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A24" w:rsidRPr="00CA3864" w:rsidRDefault="00ED7A24" w:rsidP="00091843">
      <w:pPr>
        <w:rPr>
          <w:rFonts w:cstheme="minorHAnsi"/>
        </w:rPr>
      </w:pPr>
    </w:p>
    <w:p w:rsidR="00ED7A24" w:rsidRPr="00CA3864" w:rsidRDefault="00091843" w:rsidP="007842BD">
      <w:pPr>
        <w:spacing w:before="1920" w:after="2760"/>
        <w:jc w:val="both"/>
        <w:rPr>
          <w:rFonts w:cstheme="minorHAnsi"/>
        </w:rPr>
      </w:pPr>
      <w:r w:rsidRPr="00AA3811">
        <w:rPr>
          <w:rFonts w:cs="Arial"/>
          <w:b/>
          <w:color w:val="000099"/>
          <w:sz w:val="56"/>
          <w:szCs w:val="56"/>
        </w:rPr>
        <w:t xml:space="preserve">Evaluation of the </w:t>
      </w:r>
      <w:r>
        <w:rPr>
          <w:rFonts w:cs="Arial"/>
          <w:b/>
          <w:color w:val="000099"/>
          <w:sz w:val="56"/>
          <w:szCs w:val="56"/>
        </w:rPr>
        <w:t>ND</w:t>
      </w:r>
      <w:r w:rsidRPr="00AA3811">
        <w:rPr>
          <w:rFonts w:cs="Arial"/>
          <w:b/>
          <w:color w:val="000099"/>
          <w:sz w:val="56"/>
          <w:szCs w:val="56"/>
        </w:rPr>
        <w:t>IS</w:t>
      </w:r>
    </w:p>
    <w:p w:rsidR="00ED7A24" w:rsidRPr="00CA3864" w:rsidRDefault="00091843" w:rsidP="00CB1CF7">
      <w:pPr>
        <w:spacing w:before="240" w:after="360"/>
        <w:jc w:val="both"/>
        <w:rPr>
          <w:rFonts w:cstheme="minorHAnsi"/>
        </w:rPr>
      </w:pPr>
      <w:r>
        <w:rPr>
          <w:rFonts w:cs="Arial"/>
          <w:b/>
          <w:color w:val="000099"/>
          <w:sz w:val="48"/>
          <w:szCs w:val="48"/>
        </w:rPr>
        <w:t>Initial Report</w:t>
      </w:r>
    </w:p>
    <w:p w:rsidR="00091843" w:rsidRPr="00AC259A" w:rsidRDefault="00091843" w:rsidP="00CB1CF7">
      <w:pPr>
        <w:spacing w:after="3120"/>
        <w:jc w:val="both"/>
        <w:rPr>
          <w:rFonts w:cs="Arial"/>
          <w:b/>
          <w:color w:val="000099"/>
          <w:sz w:val="32"/>
          <w:szCs w:val="32"/>
        </w:rPr>
      </w:pPr>
      <w:r>
        <w:rPr>
          <w:rFonts w:cs="Arial"/>
          <w:b/>
          <w:color w:val="000099"/>
          <w:sz w:val="32"/>
          <w:szCs w:val="32"/>
        </w:rPr>
        <w:t>December 2015</w:t>
      </w:r>
    </w:p>
    <w:p w:rsidR="0095585C" w:rsidRDefault="00667A3E" w:rsidP="007842BD">
      <w:r w:rsidRPr="00CA3864">
        <w:rPr>
          <w:noProof/>
          <w:lang w:val="en-AU" w:eastAsia="en-AU"/>
        </w:rPr>
        <w:drawing>
          <wp:inline distT="0" distB="0" distL="0" distR="0" wp14:anchorId="6CC71319" wp14:editId="2C34AA08">
            <wp:extent cx="5518785" cy="1229995"/>
            <wp:effectExtent l="0" t="0" r="5715" b="8255"/>
            <wp:docPr id="114" name="Picture 114" title="Logo of the National Institute of Labour Studies, Flinders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8785" cy="1229995"/>
                    </a:xfrm>
                    <a:prstGeom prst="rect">
                      <a:avLst/>
                    </a:prstGeom>
                    <a:noFill/>
                  </pic:spPr>
                </pic:pic>
              </a:graphicData>
            </a:graphic>
          </wp:inline>
        </w:drawing>
      </w:r>
      <w:r w:rsidR="00306280" w:rsidRPr="00CA3864">
        <w:br w:type="page"/>
      </w:r>
    </w:p>
    <w:p w:rsidR="0095585C" w:rsidRPr="0057471C" w:rsidRDefault="0095585C" w:rsidP="00757A8C">
      <w:pPr>
        <w:spacing w:after="120"/>
        <w:rPr>
          <w:b/>
          <w:sz w:val="32"/>
          <w:szCs w:val="32"/>
        </w:rPr>
      </w:pPr>
      <w:bookmarkStart w:id="0" w:name="_Toc447020929"/>
      <w:r w:rsidRPr="0057471C">
        <w:rPr>
          <w:b/>
          <w:sz w:val="32"/>
          <w:szCs w:val="32"/>
        </w:rPr>
        <w:lastRenderedPageBreak/>
        <w:t>Acknowledgements</w:t>
      </w:r>
      <w:bookmarkEnd w:id="0"/>
    </w:p>
    <w:p w:rsidR="0095585C" w:rsidRPr="006C1920" w:rsidRDefault="0095585C" w:rsidP="00757A8C">
      <w:pPr>
        <w:spacing w:after="120"/>
        <w:rPr>
          <w:sz w:val="21"/>
          <w:szCs w:val="21"/>
        </w:rPr>
      </w:pPr>
      <w:r w:rsidRPr="006C1920">
        <w:rPr>
          <w:sz w:val="21"/>
          <w:szCs w:val="21"/>
        </w:rPr>
        <w:t xml:space="preserve">The </w:t>
      </w:r>
      <w:r w:rsidR="00BF05D1" w:rsidRPr="006C1920">
        <w:rPr>
          <w:sz w:val="21"/>
          <w:szCs w:val="21"/>
        </w:rPr>
        <w:t xml:space="preserve">independent </w:t>
      </w:r>
      <w:r w:rsidRPr="006C1920">
        <w:rPr>
          <w:sz w:val="21"/>
          <w:szCs w:val="21"/>
        </w:rPr>
        <w:t>Evaluation of the</w:t>
      </w:r>
      <w:r w:rsidR="00B93587" w:rsidRPr="006C1920">
        <w:rPr>
          <w:sz w:val="21"/>
          <w:szCs w:val="21"/>
        </w:rPr>
        <w:t xml:space="preserve"> Trial of the</w:t>
      </w:r>
      <w:r w:rsidRPr="006C1920">
        <w:rPr>
          <w:sz w:val="21"/>
          <w:szCs w:val="21"/>
        </w:rPr>
        <w:t xml:space="preserve"> National Disability Insurance Scheme (NDIS) is led by the National Institute of Labour Studies</w:t>
      </w:r>
      <w:r w:rsidR="007125D6" w:rsidRPr="006C1920">
        <w:rPr>
          <w:sz w:val="21"/>
          <w:szCs w:val="21"/>
        </w:rPr>
        <w:t xml:space="preserve"> (NILS)</w:t>
      </w:r>
      <w:r w:rsidRPr="006C1920">
        <w:rPr>
          <w:sz w:val="21"/>
          <w:szCs w:val="21"/>
        </w:rPr>
        <w:t xml:space="preserve"> at Flinders University, South Australia and funded by the Australian Government Department of Social Services.</w:t>
      </w:r>
    </w:p>
    <w:p w:rsidR="00D246B7" w:rsidRPr="006C1920" w:rsidRDefault="0095585C" w:rsidP="00757A8C">
      <w:pPr>
        <w:spacing w:after="120"/>
        <w:rPr>
          <w:sz w:val="21"/>
          <w:szCs w:val="21"/>
        </w:rPr>
      </w:pPr>
      <w:r w:rsidRPr="006C1920">
        <w:rPr>
          <w:sz w:val="21"/>
          <w:szCs w:val="21"/>
        </w:rPr>
        <w:t>This report is the result of a team effort from those working</w:t>
      </w:r>
      <w:r w:rsidR="007125D6" w:rsidRPr="006C1920">
        <w:rPr>
          <w:sz w:val="21"/>
          <w:szCs w:val="21"/>
        </w:rPr>
        <w:t xml:space="preserve"> </w:t>
      </w:r>
      <w:r w:rsidR="000F5022">
        <w:rPr>
          <w:sz w:val="21"/>
          <w:szCs w:val="21"/>
        </w:rPr>
        <w:t xml:space="preserve">on the Evaluation of the NDIS and </w:t>
      </w:r>
      <w:r w:rsidR="006B593C">
        <w:rPr>
          <w:sz w:val="21"/>
          <w:szCs w:val="21"/>
        </w:rPr>
        <w:t xml:space="preserve">has been written </w:t>
      </w:r>
      <w:r w:rsidR="00C63FB6">
        <w:rPr>
          <w:sz w:val="21"/>
          <w:szCs w:val="21"/>
        </w:rPr>
        <w:t>as part of the independent evaluation of the NDIS</w:t>
      </w:r>
      <w:r w:rsidR="000F5022">
        <w:rPr>
          <w:sz w:val="21"/>
          <w:szCs w:val="21"/>
        </w:rPr>
        <w:t xml:space="preserve"> trial</w:t>
      </w:r>
      <w:r w:rsidR="00C63FB6">
        <w:rPr>
          <w:sz w:val="21"/>
          <w:szCs w:val="21"/>
        </w:rPr>
        <w:t xml:space="preserve">. </w:t>
      </w:r>
      <w:r w:rsidRPr="006C1920">
        <w:rPr>
          <w:sz w:val="21"/>
          <w:szCs w:val="21"/>
        </w:rPr>
        <w:t>We would like to acknowledge the support of the Department of Social Services; the National Disability Insurance Agenc</w:t>
      </w:r>
      <w:r w:rsidR="000F5022">
        <w:rPr>
          <w:sz w:val="21"/>
          <w:szCs w:val="21"/>
        </w:rPr>
        <w:t>y;</w:t>
      </w:r>
      <w:r w:rsidRPr="006C1920">
        <w:rPr>
          <w:sz w:val="21"/>
          <w:szCs w:val="21"/>
        </w:rPr>
        <w:t xml:space="preserve"> the Department of Human Services; the project</w:t>
      </w:r>
      <w:r w:rsidR="000F5022">
        <w:rPr>
          <w:sz w:val="21"/>
          <w:szCs w:val="21"/>
        </w:rPr>
        <w:t>’s</w:t>
      </w:r>
      <w:r w:rsidRPr="006C1920">
        <w:rPr>
          <w:sz w:val="21"/>
          <w:szCs w:val="21"/>
        </w:rPr>
        <w:t xml:space="preserve"> </w:t>
      </w:r>
      <w:r w:rsidR="000F5022">
        <w:rPr>
          <w:sz w:val="21"/>
          <w:szCs w:val="21"/>
        </w:rPr>
        <w:t>S</w:t>
      </w:r>
      <w:r w:rsidRPr="006C1920">
        <w:rPr>
          <w:sz w:val="21"/>
          <w:szCs w:val="21"/>
        </w:rPr>
        <w:t xml:space="preserve">teering </w:t>
      </w:r>
      <w:r w:rsidR="000F5022">
        <w:rPr>
          <w:sz w:val="21"/>
          <w:szCs w:val="21"/>
        </w:rPr>
        <w:t>C</w:t>
      </w:r>
      <w:r w:rsidRPr="006C1920">
        <w:rPr>
          <w:sz w:val="21"/>
          <w:szCs w:val="21"/>
        </w:rPr>
        <w:t>ommittee; and the many stakeholders</w:t>
      </w:r>
      <w:r w:rsidR="000F5022">
        <w:rPr>
          <w:sz w:val="21"/>
          <w:szCs w:val="21"/>
        </w:rPr>
        <w:t>,</w:t>
      </w:r>
      <w:r w:rsidRPr="006C1920">
        <w:rPr>
          <w:sz w:val="21"/>
          <w:szCs w:val="21"/>
        </w:rPr>
        <w:t xml:space="preserve"> whose input throughout has been invaluable. </w:t>
      </w:r>
      <w:r w:rsidR="00EC42D8" w:rsidRPr="006C1920">
        <w:rPr>
          <w:sz w:val="21"/>
          <w:szCs w:val="21"/>
        </w:rPr>
        <w:t xml:space="preserve">We also thank the State Experts </w:t>
      </w:r>
      <w:r w:rsidR="000F5022">
        <w:rPr>
          <w:sz w:val="21"/>
          <w:szCs w:val="21"/>
        </w:rPr>
        <w:t xml:space="preserve">and the International Experts </w:t>
      </w:r>
      <w:r w:rsidR="00EC42D8" w:rsidRPr="006C1920">
        <w:rPr>
          <w:sz w:val="21"/>
          <w:szCs w:val="21"/>
        </w:rPr>
        <w:t xml:space="preserve">for their </w:t>
      </w:r>
      <w:r w:rsidR="00D246B7" w:rsidRPr="006C1920">
        <w:rPr>
          <w:sz w:val="21"/>
          <w:szCs w:val="21"/>
        </w:rPr>
        <w:t>important</w:t>
      </w:r>
      <w:r w:rsidR="00EC42D8" w:rsidRPr="006C1920">
        <w:rPr>
          <w:sz w:val="21"/>
          <w:szCs w:val="21"/>
        </w:rPr>
        <w:t xml:space="preserve"> contribution.</w:t>
      </w:r>
    </w:p>
    <w:p w:rsidR="00D246B7" w:rsidRPr="006C1920" w:rsidRDefault="000F5022" w:rsidP="00D246B7">
      <w:pPr>
        <w:spacing w:after="240"/>
        <w:rPr>
          <w:sz w:val="21"/>
          <w:szCs w:val="21"/>
        </w:rPr>
      </w:pPr>
      <w:r>
        <w:rPr>
          <w:sz w:val="21"/>
          <w:szCs w:val="21"/>
        </w:rPr>
        <w:t>Above all, w</w:t>
      </w:r>
      <w:r w:rsidR="007125D6" w:rsidRPr="006C1920">
        <w:rPr>
          <w:sz w:val="21"/>
          <w:szCs w:val="21"/>
        </w:rPr>
        <w:t xml:space="preserve">e are </w:t>
      </w:r>
      <w:r>
        <w:rPr>
          <w:sz w:val="21"/>
          <w:szCs w:val="21"/>
        </w:rPr>
        <w:t xml:space="preserve">deeply </w:t>
      </w:r>
      <w:r w:rsidR="007125D6" w:rsidRPr="006C1920">
        <w:rPr>
          <w:sz w:val="21"/>
          <w:szCs w:val="21"/>
        </w:rPr>
        <w:t>grateful to all</w:t>
      </w:r>
      <w:r w:rsidR="00ED4947" w:rsidRPr="006C1920">
        <w:rPr>
          <w:sz w:val="21"/>
          <w:szCs w:val="21"/>
        </w:rPr>
        <w:t xml:space="preserve"> participants of the NDIS Surveys and interviews for </w:t>
      </w:r>
      <w:r>
        <w:rPr>
          <w:sz w:val="21"/>
          <w:szCs w:val="21"/>
        </w:rPr>
        <w:t xml:space="preserve">generously </w:t>
      </w:r>
      <w:r w:rsidR="00ED4947" w:rsidRPr="006C1920">
        <w:rPr>
          <w:sz w:val="21"/>
          <w:szCs w:val="21"/>
        </w:rPr>
        <w:t xml:space="preserve">giving their time and </w:t>
      </w:r>
      <w:r>
        <w:rPr>
          <w:sz w:val="21"/>
          <w:szCs w:val="21"/>
        </w:rPr>
        <w:t xml:space="preserve">for sharing their </w:t>
      </w:r>
      <w:r w:rsidR="00ED4947" w:rsidRPr="006C1920">
        <w:rPr>
          <w:sz w:val="21"/>
          <w:szCs w:val="21"/>
        </w:rPr>
        <w:t>personal experiences to support the evaluation of the NDIS.</w:t>
      </w:r>
      <w:bookmarkStart w:id="1" w:name="_Toc447020930"/>
    </w:p>
    <w:p w:rsidR="006C1920" w:rsidRDefault="0095585C" w:rsidP="006C1920">
      <w:pPr>
        <w:rPr>
          <w:b/>
          <w:sz w:val="28"/>
          <w:szCs w:val="28"/>
        </w:rPr>
      </w:pPr>
      <w:r w:rsidRPr="00CF35A6">
        <w:rPr>
          <w:b/>
          <w:sz w:val="28"/>
          <w:szCs w:val="28"/>
        </w:rPr>
        <w:t>Research Team</w:t>
      </w:r>
      <w:bookmarkEnd w:id="1"/>
    </w:p>
    <w:p w:rsidR="006E28CA" w:rsidRPr="006C1920" w:rsidRDefault="00D246B7" w:rsidP="00D246B7">
      <w:pPr>
        <w:spacing w:after="240"/>
        <w:rPr>
          <w:sz w:val="21"/>
          <w:szCs w:val="21"/>
        </w:rPr>
      </w:pPr>
      <w:r w:rsidRPr="006C1920">
        <w:rPr>
          <w:sz w:val="21"/>
          <w:szCs w:val="21"/>
        </w:rPr>
        <w:t xml:space="preserve">The following people </w:t>
      </w:r>
      <w:r w:rsidR="0002475A" w:rsidRPr="006C1920">
        <w:rPr>
          <w:sz w:val="21"/>
          <w:szCs w:val="21"/>
        </w:rPr>
        <w:t>have contributed to the research, data collection and the</w:t>
      </w:r>
      <w:r w:rsidRPr="006C1920">
        <w:rPr>
          <w:sz w:val="21"/>
          <w:szCs w:val="21"/>
        </w:rPr>
        <w:t xml:space="preserve"> writing of the Initial Report.</w:t>
      </w:r>
    </w:p>
    <w:p w:rsidR="0095585C" w:rsidRPr="00023AB0" w:rsidRDefault="0095585C" w:rsidP="0095585C">
      <w:pPr>
        <w:rPr>
          <w:b/>
        </w:rPr>
      </w:pPr>
      <w:r w:rsidRPr="00023AB0">
        <w:rPr>
          <w:b/>
        </w:rPr>
        <w:t>Flinders University</w:t>
      </w:r>
    </w:p>
    <w:p w:rsidR="0095585C" w:rsidRPr="006C1920" w:rsidRDefault="0095585C" w:rsidP="0095585C">
      <w:pPr>
        <w:rPr>
          <w:sz w:val="21"/>
          <w:szCs w:val="21"/>
        </w:rPr>
      </w:pPr>
      <w:r w:rsidRPr="006C1920">
        <w:rPr>
          <w:sz w:val="21"/>
          <w:szCs w:val="21"/>
        </w:rPr>
        <w:t>Kostas Mavromaras</w:t>
      </w:r>
      <w:r w:rsidR="00B93587" w:rsidRPr="006C1920">
        <w:rPr>
          <w:sz w:val="21"/>
          <w:szCs w:val="21"/>
        </w:rPr>
        <w:t xml:space="preserve"> is the </w:t>
      </w:r>
      <w:r w:rsidR="00DD7DB4" w:rsidRPr="006C1920">
        <w:rPr>
          <w:sz w:val="21"/>
          <w:szCs w:val="21"/>
        </w:rPr>
        <w:t xml:space="preserve">project’s </w:t>
      </w:r>
      <w:r w:rsidR="000F5022">
        <w:rPr>
          <w:sz w:val="21"/>
          <w:szCs w:val="21"/>
        </w:rPr>
        <w:t xml:space="preserve">Chief Investigator. </w:t>
      </w:r>
      <w:r w:rsidR="00B93587" w:rsidRPr="006C1920">
        <w:rPr>
          <w:sz w:val="21"/>
          <w:szCs w:val="21"/>
        </w:rPr>
        <w:t>The rest of the Flinders</w:t>
      </w:r>
      <w:r w:rsidR="000F5022">
        <w:rPr>
          <w:sz w:val="21"/>
          <w:szCs w:val="21"/>
        </w:rPr>
        <w:t xml:space="preserve"> University</w:t>
      </w:r>
      <w:r w:rsidR="00B93587" w:rsidRPr="006C1920">
        <w:rPr>
          <w:sz w:val="21"/>
          <w:szCs w:val="21"/>
        </w:rPr>
        <w:t xml:space="preserve"> team is</w:t>
      </w:r>
      <w:r w:rsidR="000F5022">
        <w:rPr>
          <w:sz w:val="21"/>
          <w:szCs w:val="21"/>
        </w:rPr>
        <w:t xml:space="preserve"> (in alphabetical order)</w:t>
      </w:r>
      <w:r w:rsidR="00B93587" w:rsidRPr="006C1920">
        <w:rPr>
          <w:sz w:val="21"/>
          <w:szCs w:val="21"/>
        </w:rPr>
        <w:t xml:space="preserve">: </w:t>
      </w:r>
      <w:r w:rsidRPr="006C1920">
        <w:rPr>
          <w:sz w:val="21"/>
          <w:szCs w:val="21"/>
        </w:rPr>
        <w:t xml:space="preserve">Andreas Cebulla, </w:t>
      </w:r>
      <w:r w:rsidR="00B93587" w:rsidRPr="006C1920">
        <w:rPr>
          <w:sz w:val="21"/>
          <w:szCs w:val="21"/>
        </w:rPr>
        <w:t xml:space="preserve">Angela Crettenden, Deb Davies, Caroline Ellison, Alison Goode, Lorna Hallahan, Joshua Healy, Linda Isherwood, Genevieve Knight, Stephane Mahuteau, </w:t>
      </w:r>
      <w:r w:rsidRPr="006C1920">
        <w:rPr>
          <w:sz w:val="21"/>
          <w:szCs w:val="21"/>
        </w:rPr>
        <w:t>Megan Moskos,</w:t>
      </w:r>
      <w:r w:rsidR="00B93587" w:rsidRPr="006C1920">
        <w:rPr>
          <w:sz w:val="21"/>
          <w:szCs w:val="21"/>
        </w:rPr>
        <w:t xml:space="preserve"> Deb Payne, Pammi Raghavendra</w:t>
      </w:r>
      <w:r w:rsidRPr="006C1920">
        <w:rPr>
          <w:sz w:val="21"/>
          <w:szCs w:val="21"/>
        </w:rPr>
        <w:t>,</w:t>
      </w:r>
      <w:r w:rsidR="00B93587" w:rsidRPr="006C1920">
        <w:rPr>
          <w:sz w:val="21"/>
          <w:szCs w:val="21"/>
        </w:rPr>
        <w:t xml:space="preserve"> Sue Richardson, Llainey Smith,</w:t>
      </w:r>
      <w:r w:rsidRPr="006C1920">
        <w:rPr>
          <w:sz w:val="21"/>
          <w:szCs w:val="21"/>
        </w:rPr>
        <w:t xml:space="preserve"> Helen Walton, </w:t>
      </w:r>
      <w:r w:rsidR="00B93587" w:rsidRPr="006C1920">
        <w:rPr>
          <w:sz w:val="21"/>
          <w:szCs w:val="21"/>
        </w:rPr>
        <w:t>Zhang Wei and Rong Zhu.</w:t>
      </w:r>
      <w:r w:rsidRPr="006C1920">
        <w:rPr>
          <w:sz w:val="21"/>
          <w:szCs w:val="21"/>
        </w:rPr>
        <w:t xml:space="preserve"> </w:t>
      </w:r>
    </w:p>
    <w:p w:rsidR="0095585C" w:rsidRPr="00E75379" w:rsidRDefault="0095585C" w:rsidP="0095585C">
      <w:pPr>
        <w:rPr>
          <w:b/>
          <w:sz w:val="10"/>
          <w:szCs w:val="10"/>
        </w:rPr>
      </w:pPr>
    </w:p>
    <w:p w:rsidR="0095585C" w:rsidRPr="0016279A" w:rsidRDefault="0095585C" w:rsidP="0095585C">
      <w:pPr>
        <w:rPr>
          <w:b/>
        </w:rPr>
      </w:pPr>
      <w:r w:rsidRPr="0016279A">
        <w:rPr>
          <w:b/>
        </w:rPr>
        <w:t>La Trobe University</w:t>
      </w:r>
    </w:p>
    <w:p w:rsidR="0095585C" w:rsidRPr="006C1920" w:rsidRDefault="0095585C" w:rsidP="0095585C">
      <w:pPr>
        <w:rPr>
          <w:sz w:val="21"/>
          <w:szCs w:val="21"/>
        </w:rPr>
      </w:pPr>
      <w:r w:rsidRPr="006C1920">
        <w:rPr>
          <w:sz w:val="21"/>
          <w:szCs w:val="21"/>
        </w:rPr>
        <w:t>Christine Bigby</w:t>
      </w:r>
    </w:p>
    <w:p w:rsidR="0095585C" w:rsidRPr="00E75379" w:rsidRDefault="0095585C" w:rsidP="0095585C">
      <w:pPr>
        <w:rPr>
          <w:b/>
          <w:sz w:val="10"/>
          <w:szCs w:val="10"/>
        </w:rPr>
      </w:pPr>
    </w:p>
    <w:p w:rsidR="0095585C" w:rsidRDefault="0095585C" w:rsidP="0095585C">
      <w:pPr>
        <w:rPr>
          <w:b/>
        </w:rPr>
      </w:pPr>
      <w:r>
        <w:rPr>
          <w:b/>
        </w:rPr>
        <w:t>Centre for Disability Studies</w:t>
      </w:r>
    </w:p>
    <w:p w:rsidR="0095585C" w:rsidRPr="006C1920" w:rsidRDefault="0095585C" w:rsidP="0095585C">
      <w:pPr>
        <w:rPr>
          <w:sz w:val="21"/>
          <w:szCs w:val="21"/>
        </w:rPr>
      </w:pPr>
      <w:r w:rsidRPr="006C1920">
        <w:rPr>
          <w:sz w:val="21"/>
          <w:szCs w:val="21"/>
        </w:rPr>
        <w:t>Patricia O’Brien</w:t>
      </w:r>
    </w:p>
    <w:p w:rsidR="0095585C" w:rsidRPr="00E75379" w:rsidRDefault="0095585C" w:rsidP="0095585C">
      <w:pPr>
        <w:rPr>
          <w:sz w:val="10"/>
          <w:szCs w:val="10"/>
        </w:rPr>
      </w:pPr>
    </w:p>
    <w:p w:rsidR="0095585C" w:rsidRDefault="0095585C" w:rsidP="0095585C">
      <w:pPr>
        <w:rPr>
          <w:b/>
        </w:rPr>
      </w:pPr>
      <w:r>
        <w:rPr>
          <w:b/>
        </w:rPr>
        <w:t>Social Research Centre</w:t>
      </w:r>
    </w:p>
    <w:p w:rsidR="0095585C" w:rsidRPr="006C1920" w:rsidRDefault="0095585C" w:rsidP="0095585C">
      <w:pPr>
        <w:rPr>
          <w:sz w:val="21"/>
          <w:szCs w:val="21"/>
        </w:rPr>
      </w:pPr>
      <w:r w:rsidRPr="006C1920">
        <w:rPr>
          <w:sz w:val="21"/>
          <w:szCs w:val="21"/>
        </w:rPr>
        <w:t>Karen Kellard</w:t>
      </w:r>
    </w:p>
    <w:p w:rsidR="0095585C" w:rsidRPr="00834BC5" w:rsidRDefault="0095585C" w:rsidP="0095585C">
      <w:pPr>
        <w:rPr>
          <w:b/>
          <w:sz w:val="16"/>
          <w:szCs w:val="16"/>
        </w:rPr>
      </w:pPr>
    </w:p>
    <w:p w:rsidR="00552D8E" w:rsidRDefault="00552D8E" w:rsidP="006E28CA">
      <w:pPr>
        <w:ind w:right="-755"/>
        <w:rPr>
          <w:b/>
          <w:sz w:val="28"/>
          <w:szCs w:val="28"/>
        </w:rPr>
      </w:pPr>
      <w:r w:rsidRPr="00C2168D">
        <w:rPr>
          <w:b/>
          <w:sz w:val="28"/>
          <w:szCs w:val="28"/>
        </w:rPr>
        <w:t>Data Collection</w:t>
      </w:r>
    </w:p>
    <w:p w:rsidR="006E28CA" w:rsidRPr="006E28CA" w:rsidRDefault="006E28CA" w:rsidP="006E28CA">
      <w:pPr>
        <w:ind w:right="-755"/>
        <w:rPr>
          <w:b/>
          <w:sz w:val="16"/>
          <w:szCs w:val="16"/>
        </w:rPr>
      </w:pPr>
    </w:p>
    <w:p w:rsidR="00552D8E" w:rsidRPr="00BB789C" w:rsidRDefault="00552D8E" w:rsidP="00552D8E">
      <w:pPr>
        <w:ind w:right="-755"/>
        <w:rPr>
          <w:b/>
        </w:rPr>
      </w:pPr>
      <w:r w:rsidRPr="00BB789C">
        <w:rPr>
          <w:b/>
        </w:rPr>
        <w:t>Social Research Centre</w:t>
      </w:r>
    </w:p>
    <w:p w:rsidR="00552D8E" w:rsidRPr="006C1920" w:rsidRDefault="00552D8E" w:rsidP="00552D8E">
      <w:pPr>
        <w:ind w:right="-755"/>
        <w:rPr>
          <w:sz w:val="21"/>
          <w:szCs w:val="21"/>
        </w:rPr>
      </w:pPr>
      <w:r w:rsidRPr="006C1920">
        <w:rPr>
          <w:sz w:val="21"/>
          <w:szCs w:val="21"/>
        </w:rPr>
        <w:t>Graham Challice, Darren Pennay and Sonia Whiteley</w:t>
      </w:r>
    </w:p>
    <w:p w:rsidR="00552D8E" w:rsidRPr="00E75379" w:rsidRDefault="00552D8E" w:rsidP="00552D8E">
      <w:pPr>
        <w:ind w:right="-755"/>
        <w:rPr>
          <w:sz w:val="10"/>
          <w:szCs w:val="10"/>
        </w:rPr>
      </w:pPr>
    </w:p>
    <w:p w:rsidR="00552D8E" w:rsidRPr="00BB789C" w:rsidRDefault="00552D8E" w:rsidP="00552D8E">
      <w:pPr>
        <w:ind w:right="-755"/>
        <w:rPr>
          <w:b/>
        </w:rPr>
      </w:pPr>
      <w:r w:rsidRPr="00BB789C">
        <w:rPr>
          <w:b/>
        </w:rPr>
        <w:t>I-View</w:t>
      </w:r>
    </w:p>
    <w:p w:rsidR="00552D8E" w:rsidRPr="006C1920" w:rsidRDefault="00552D8E" w:rsidP="00552D8E">
      <w:pPr>
        <w:ind w:right="-755"/>
        <w:rPr>
          <w:sz w:val="21"/>
          <w:szCs w:val="21"/>
        </w:rPr>
      </w:pPr>
      <w:r w:rsidRPr="006C1920">
        <w:rPr>
          <w:sz w:val="21"/>
          <w:szCs w:val="21"/>
        </w:rPr>
        <w:t>Julia Bizdoaca</w:t>
      </w:r>
    </w:p>
    <w:p w:rsidR="00552D8E" w:rsidRPr="00BB1FCA" w:rsidRDefault="00552D8E" w:rsidP="00552D8E">
      <w:pPr>
        <w:ind w:right="-755"/>
        <w:rPr>
          <w:sz w:val="16"/>
          <w:szCs w:val="16"/>
        </w:rPr>
      </w:pPr>
    </w:p>
    <w:p w:rsidR="0095585C" w:rsidRPr="00B93587" w:rsidRDefault="0095585C" w:rsidP="0095585C">
      <w:pPr>
        <w:rPr>
          <w:b/>
          <w:sz w:val="28"/>
          <w:szCs w:val="28"/>
        </w:rPr>
      </w:pPr>
      <w:r w:rsidRPr="00B93587">
        <w:rPr>
          <w:b/>
          <w:sz w:val="28"/>
          <w:szCs w:val="28"/>
        </w:rPr>
        <w:t>State</w:t>
      </w:r>
      <w:r w:rsidR="000F5022">
        <w:rPr>
          <w:b/>
          <w:sz w:val="28"/>
          <w:szCs w:val="28"/>
        </w:rPr>
        <w:t xml:space="preserve"> and International</w:t>
      </w:r>
      <w:r w:rsidRPr="00B93587">
        <w:rPr>
          <w:b/>
          <w:sz w:val="28"/>
          <w:szCs w:val="28"/>
        </w:rPr>
        <w:t xml:space="preserve"> Experts</w:t>
      </w:r>
    </w:p>
    <w:p w:rsidR="00141F7B" w:rsidRPr="00E75379" w:rsidRDefault="00141F7B" w:rsidP="0095585C">
      <w:pPr>
        <w:rPr>
          <w:sz w:val="10"/>
          <w:szCs w:val="10"/>
        </w:rPr>
      </w:pPr>
    </w:p>
    <w:p w:rsidR="0095585C" w:rsidRDefault="001E58FB" w:rsidP="0095585C">
      <w:pPr>
        <w:rPr>
          <w:sz w:val="21"/>
          <w:szCs w:val="21"/>
        </w:rPr>
      </w:pPr>
      <w:r w:rsidRPr="006C1920">
        <w:rPr>
          <w:sz w:val="21"/>
          <w:szCs w:val="21"/>
        </w:rPr>
        <w:t>Christine Bigby</w:t>
      </w:r>
      <w:r w:rsidR="000F5022">
        <w:rPr>
          <w:sz w:val="21"/>
          <w:szCs w:val="21"/>
        </w:rPr>
        <w:t xml:space="preserve"> (VIC</w:t>
      </w:r>
      <w:r w:rsidR="00C2168D" w:rsidRPr="006C1920">
        <w:rPr>
          <w:sz w:val="21"/>
          <w:szCs w:val="21"/>
        </w:rPr>
        <w:t>)</w:t>
      </w:r>
      <w:r w:rsidRPr="006C1920">
        <w:rPr>
          <w:sz w:val="21"/>
          <w:szCs w:val="21"/>
        </w:rPr>
        <w:t xml:space="preserve">, </w:t>
      </w:r>
      <w:r w:rsidR="0095585C" w:rsidRPr="006C1920">
        <w:rPr>
          <w:sz w:val="21"/>
          <w:szCs w:val="21"/>
        </w:rPr>
        <w:t>Di Chartres</w:t>
      </w:r>
      <w:r w:rsidR="00C2168D" w:rsidRPr="006C1920">
        <w:rPr>
          <w:sz w:val="21"/>
          <w:szCs w:val="21"/>
        </w:rPr>
        <w:t xml:space="preserve"> (SA)</w:t>
      </w:r>
      <w:r w:rsidR="0095585C" w:rsidRPr="006C1920">
        <w:rPr>
          <w:sz w:val="21"/>
          <w:szCs w:val="21"/>
        </w:rPr>
        <w:t xml:space="preserve">, </w:t>
      </w:r>
      <w:r w:rsidRPr="006C1920">
        <w:rPr>
          <w:sz w:val="21"/>
          <w:szCs w:val="21"/>
        </w:rPr>
        <w:t>Patricia O’Brien</w:t>
      </w:r>
      <w:r w:rsidR="00C2168D" w:rsidRPr="006C1920">
        <w:rPr>
          <w:sz w:val="21"/>
          <w:szCs w:val="21"/>
        </w:rPr>
        <w:t xml:space="preserve"> (NSW)</w:t>
      </w:r>
      <w:r w:rsidRPr="006C1920">
        <w:rPr>
          <w:sz w:val="21"/>
          <w:szCs w:val="21"/>
        </w:rPr>
        <w:t xml:space="preserve">, </w:t>
      </w:r>
      <w:r w:rsidR="0095585C" w:rsidRPr="006C1920">
        <w:rPr>
          <w:sz w:val="21"/>
          <w:szCs w:val="21"/>
        </w:rPr>
        <w:t>Margaret Reynolds</w:t>
      </w:r>
      <w:r w:rsidR="000F5022">
        <w:rPr>
          <w:sz w:val="21"/>
          <w:szCs w:val="21"/>
        </w:rPr>
        <w:t xml:space="preserve"> (TAS</w:t>
      </w:r>
      <w:r w:rsidR="00C2168D" w:rsidRPr="006C1920">
        <w:rPr>
          <w:sz w:val="21"/>
          <w:szCs w:val="21"/>
        </w:rPr>
        <w:t>)</w:t>
      </w:r>
      <w:r w:rsidR="00562496" w:rsidRPr="006C1920">
        <w:rPr>
          <w:sz w:val="21"/>
          <w:szCs w:val="21"/>
        </w:rPr>
        <w:t xml:space="preserve"> and </w:t>
      </w:r>
      <w:r w:rsidR="00C2168D" w:rsidRPr="006C1920">
        <w:rPr>
          <w:sz w:val="21"/>
          <w:szCs w:val="21"/>
        </w:rPr>
        <w:t>Jacinta Cummins</w:t>
      </w:r>
      <w:r w:rsidR="00671F07" w:rsidRPr="006C1920">
        <w:rPr>
          <w:sz w:val="21"/>
          <w:szCs w:val="21"/>
        </w:rPr>
        <w:t>/</w:t>
      </w:r>
      <w:r w:rsidR="00C2168D" w:rsidRPr="006C1920">
        <w:rPr>
          <w:sz w:val="21"/>
          <w:szCs w:val="21"/>
        </w:rPr>
        <w:t xml:space="preserve"> </w:t>
      </w:r>
      <w:r w:rsidR="0095585C" w:rsidRPr="006C1920">
        <w:rPr>
          <w:sz w:val="21"/>
          <w:szCs w:val="21"/>
        </w:rPr>
        <w:t>Christina Ryan</w:t>
      </w:r>
      <w:r w:rsidR="00C2168D" w:rsidRPr="006C1920">
        <w:rPr>
          <w:sz w:val="21"/>
          <w:szCs w:val="21"/>
        </w:rPr>
        <w:t xml:space="preserve"> (ACT).</w:t>
      </w:r>
    </w:p>
    <w:p w:rsidR="000F5022" w:rsidRPr="006C1920" w:rsidRDefault="000F5022" w:rsidP="0095585C">
      <w:pPr>
        <w:rPr>
          <w:sz w:val="21"/>
          <w:szCs w:val="21"/>
        </w:rPr>
      </w:pPr>
      <w:r>
        <w:rPr>
          <w:sz w:val="21"/>
          <w:szCs w:val="21"/>
        </w:rPr>
        <w:t>Bruce Stafford (UK), Jeff Smith (US), David Greenberg (US).</w:t>
      </w:r>
    </w:p>
    <w:p w:rsidR="00702C6B" w:rsidRPr="00E75379" w:rsidRDefault="00702C6B" w:rsidP="0095585C">
      <w:pPr>
        <w:rPr>
          <w:sz w:val="10"/>
          <w:szCs w:val="10"/>
        </w:rPr>
      </w:pPr>
    </w:p>
    <w:p w:rsidR="00702C6B" w:rsidRPr="00702C6B" w:rsidRDefault="00702C6B" w:rsidP="0095585C">
      <w:pPr>
        <w:rPr>
          <w:b/>
        </w:rPr>
      </w:pPr>
      <w:r w:rsidRPr="00702C6B">
        <w:rPr>
          <w:b/>
        </w:rPr>
        <w:t>Cultural Partners</w:t>
      </w:r>
    </w:p>
    <w:p w:rsidR="0095585C" w:rsidRPr="006C1920" w:rsidRDefault="00BE1B85" w:rsidP="001A3A52">
      <w:pPr>
        <w:spacing w:after="240"/>
        <w:rPr>
          <w:sz w:val="21"/>
          <w:szCs w:val="21"/>
        </w:rPr>
      </w:pPr>
      <w:r w:rsidRPr="006C1920">
        <w:rPr>
          <w:sz w:val="21"/>
          <w:szCs w:val="21"/>
        </w:rPr>
        <w:t>Ric Yamine and Garo Gabrielian</w:t>
      </w:r>
    </w:p>
    <w:p w:rsidR="00161E3F" w:rsidRDefault="0095585C" w:rsidP="00161E3F">
      <w:pPr>
        <w:rPr>
          <w:b/>
          <w:sz w:val="28"/>
          <w:szCs w:val="28"/>
        </w:rPr>
      </w:pPr>
      <w:r w:rsidRPr="00702C6B">
        <w:rPr>
          <w:b/>
          <w:sz w:val="28"/>
          <w:szCs w:val="28"/>
        </w:rPr>
        <w:t>Contact for follow-up:</w:t>
      </w:r>
    </w:p>
    <w:p w:rsidR="00702C6B" w:rsidRPr="00161E3F" w:rsidRDefault="00702C6B" w:rsidP="00161E3F">
      <w:pPr>
        <w:rPr>
          <w:b/>
          <w:sz w:val="16"/>
          <w:szCs w:val="16"/>
        </w:rPr>
      </w:pPr>
    </w:p>
    <w:p w:rsidR="0095585C" w:rsidRPr="006C1920" w:rsidRDefault="0095585C" w:rsidP="0095585C">
      <w:pPr>
        <w:ind w:right="-330"/>
        <w:rPr>
          <w:sz w:val="21"/>
          <w:szCs w:val="21"/>
        </w:rPr>
      </w:pPr>
      <w:r w:rsidRPr="006C1920">
        <w:rPr>
          <w:sz w:val="21"/>
          <w:szCs w:val="21"/>
        </w:rPr>
        <w:t xml:space="preserve">Professor Kostas Mavromaras, National Institute of Labour Studies, Flinders University, </w:t>
      </w:r>
    </w:p>
    <w:p w:rsidR="0095585C" w:rsidRPr="006C1920" w:rsidRDefault="0095585C" w:rsidP="0095585C">
      <w:pPr>
        <w:ind w:right="-755"/>
        <w:rPr>
          <w:sz w:val="21"/>
          <w:szCs w:val="21"/>
        </w:rPr>
      </w:pPr>
      <w:r w:rsidRPr="006C1920">
        <w:rPr>
          <w:sz w:val="21"/>
          <w:szCs w:val="21"/>
        </w:rPr>
        <w:t xml:space="preserve">GPO Box 2100, Adelaide SA 5001 </w:t>
      </w:r>
    </w:p>
    <w:p w:rsidR="0095585C" w:rsidRPr="006C1920" w:rsidRDefault="0095585C" w:rsidP="0095585C">
      <w:pPr>
        <w:ind w:right="-755"/>
        <w:rPr>
          <w:sz w:val="21"/>
          <w:szCs w:val="21"/>
        </w:rPr>
      </w:pPr>
      <w:r w:rsidRPr="006C1920">
        <w:rPr>
          <w:sz w:val="21"/>
          <w:szCs w:val="21"/>
        </w:rPr>
        <w:t>Phone: +61 8 8201 3482</w:t>
      </w:r>
    </w:p>
    <w:p w:rsidR="006C1920" w:rsidRPr="006C1920" w:rsidRDefault="0095585C" w:rsidP="006C1920">
      <w:pPr>
        <w:spacing w:after="240"/>
        <w:ind w:right="-755"/>
        <w:rPr>
          <w:rStyle w:val="Hyperlink"/>
          <w:sz w:val="21"/>
          <w:szCs w:val="21"/>
        </w:rPr>
      </w:pPr>
      <w:r w:rsidRPr="006C1920">
        <w:rPr>
          <w:sz w:val="21"/>
          <w:szCs w:val="21"/>
        </w:rPr>
        <w:t xml:space="preserve">Email: </w:t>
      </w:r>
      <w:hyperlink r:id="rId9" w:history="1">
        <w:r w:rsidR="00C2168D" w:rsidRPr="006C1920">
          <w:rPr>
            <w:rStyle w:val="Hyperlink"/>
            <w:sz w:val="21"/>
            <w:szCs w:val="21"/>
          </w:rPr>
          <w:t>k.mavromaras@flinders.edu.au</w:t>
        </w:r>
      </w:hyperlink>
    </w:p>
    <w:p w:rsidR="0095585C" w:rsidRPr="006C1920" w:rsidRDefault="001A3A52" w:rsidP="00984D70">
      <w:pPr>
        <w:tabs>
          <w:tab w:val="right" w:pos="9498"/>
        </w:tabs>
        <w:spacing w:after="240"/>
        <w:ind w:right="-755"/>
        <w:rPr>
          <w:sz w:val="21"/>
          <w:szCs w:val="21"/>
        </w:rPr>
      </w:pPr>
      <w:r w:rsidRPr="006C1920">
        <w:rPr>
          <w:sz w:val="21"/>
          <w:szCs w:val="21"/>
        </w:rPr>
        <w:t xml:space="preserve">Website: </w:t>
      </w:r>
      <w:hyperlink r:id="rId10" w:history="1">
        <w:r w:rsidRPr="006C1920">
          <w:rPr>
            <w:rStyle w:val="Hyperlink"/>
            <w:sz w:val="21"/>
            <w:szCs w:val="21"/>
          </w:rPr>
          <w:t>www.NDISEvaluation.net.au</w:t>
        </w:r>
      </w:hyperlink>
      <w:r w:rsidR="00984D70" w:rsidRPr="00984D70">
        <w:rPr>
          <w:rStyle w:val="Hyperlink"/>
          <w:sz w:val="21"/>
          <w:szCs w:val="21"/>
          <w:u w:val="none"/>
        </w:rPr>
        <w:tab/>
      </w:r>
      <w:r w:rsidR="007C09C0" w:rsidRPr="006C1920">
        <w:rPr>
          <w:sz w:val="21"/>
          <w:szCs w:val="21"/>
        </w:rPr>
        <w:t xml:space="preserve">Evaluation email: </w:t>
      </w:r>
      <w:hyperlink r:id="rId11" w:history="1">
        <w:r w:rsidR="007C09C0" w:rsidRPr="006C1920">
          <w:rPr>
            <w:rStyle w:val="Hyperlink"/>
            <w:sz w:val="21"/>
            <w:szCs w:val="21"/>
          </w:rPr>
          <w:t>ndisevaluation@flinders.edu.au</w:t>
        </w:r>
      </w:hyperlink>
      <w:r w:rsidR="0095585C" w:rsidRPr="006C1920">
        <w:rPr>
          <w:sz w:val="21"/>
          <w:szCs w:val="21"/>
        </w:rPr>
        <w:br w:type="page"/>
      </w:r>
    </w:p>
    <w:p w:rsidR="00F07259" w:rsidRPr="007842BD" w:rsidRDefault="002C266F" w:rsidP="007842BD">
      <w:pPr>
        <w:rPr>
          <w:rFonts w:eastAsiaTheme="minorEastAsia" w:cstheme="minorHAnsi"/>
          <w:b/>
          <w:bCs/>
          <w:color w:val="365F91"/>
          <w:sz w:val="28"/>
          <w:szCs w:val="28"/>
          <w:lang w:val="en-US" w:eastAsia="ja-JP"/>
        </w:rPr>
      </w:pPr>
      <w:r w:rsidRPr="007842BD">
        <w:rPr>
          <w:rFonts w:eastAsiaTheme="minorEastAsia" w:cstheme="minorHAnsi"/>
          <w:b/>
          <w:bCs/>
          <w:color w:val="365F91"/>
          <w:sz w:val="28"/>
          <w:szCs w:val="28"/>
          <w:lang w:val="en-US" w:eastAsia="ja-JP"/>
        </w:rPr>
        <w:lastRenderedPageBreak/>
        <w:t xml:space="preserve">Table </w:t>
      </w:r>
      <w:r w:rsidR="008A24AB" w:rsidRPr="007842BD">
        <w:rPr>
          <w:rFonts w:eastAsiaTheme="minorEastAsia" w:cstheme="minorHAnsi"/>
          <w:b/>
          <w:bCs/>
          <w:color w:val="365F91"/>
          <w:sz w:val="28"/>
          <w:szCs w:val="28"/>
          <w:lang w:val="en-US" w:eastAsia="ja-JP"/>
        </w:rPr>
        <w:t>of C</w:t>
      </w:r>
      <w:r w:rsidR="00F51283" w:rsidRPr="007842BD">
        <w:rPr>
          <w:rFonts w:eastAsiaTheme="minorEastAsia" w:cstheme="minorHAnsi"/>
          <w:b/>
          <w:bCs/>
          <w:color w:val="365F91"/>
          <w:sz w:val="28"/>
          <w:szCs w:val="28"/>
          <w:lang w:val="en-US" w:eastAsia="ja-JP"/>
        </w:rPr>
        <w:t>ontent</w:t>
      </w:r>
      <w:r w:rsidR="009A584D" w:rsidRPr="007842BD">
        <w:rPr>
          <w:rFonts w:eastAsiaTheme="minorEastAsia" w:cstheme="minorHAnsi"/>
          <w:b/>
          <w:bCs/>
          <w:color w:val="365F91"/>
          <w:sz w:val="28"/>
          <w:szCs w:val="28"/>
          <w:lang w:val="en-US" w:eastAsia="ja-JP"/>
        </w:rPr>
        <w:t>s</w:t>
      </w:r>
      <w:r w:rsidR="00F51283" w:rsidRPr="007842BD">
        <w:rPr>
          <w:rFonts w:eastAsiaTheme="minorEastAsia" w:cstheme="minorHAnsi"/>
          <w:b/>
          <w:bCs/>
          <w:color w:val="365F91"/>
          <w:sz w:val="28"/>
          <w:szCs w:val="28"/>
          <w:lang w:val="en-US" w:eastAsia="ja-JP"/>
        </w:rPr>
        <w:t xml:space="preserve"> </w:t>
      </w:r>
      <w:bookmarkStart w:id="2" w:name="_Toc219089827"/>
      <w:bookmarkStart w:id="3" w:name="_Toc219089921"/>
    </w:p>
    <w:p w:rsidR="00A71FD1" w:rsidRDefault="000317EE">
      <w:pPr>
        <w:pStyle w:val="TOC1"/>
        <w:rPr>
          <w:rFonts w:eastAsiaTheme="minorEastAsia"/>
          <w:bCs w:val="0"/>
          <w:iCs w:val="0"/>
          <w:lang w:val="en-AU" w:eastAsia="en-AU"/>
        </w:rPr>
      </w:pPr>
      <w:r>
        <w:rPr>
          <w:rFonts w:cstheme="minorHAnsi"/>
          <w:bCs w:val="0"/>
          <w:iCs w:val="0"/>
        </w:rPr>
        <w:fldChar w:fldCharType="begin"/>
      </w:r>
      <w:r>
        <w:rPr>
          <w:rFonts w:cstheme="minorHAnsi"/>
          <w:bCs w:val="0"/>
          <w:iCs w:val="0"/>
        </w:rPr>
        <w:instrText xml:space="preserve"> TOC \o "2-2" \h \z \t "Heading 1,1,Heading 3,3,Heading4,4,1. Nils numbered heading,1,1.1.1 Numbered Nils heading,3,1.1.1.1 Numbered Nils heading,4" </w:instrText>
      </w:r>
      <w:r>
        <w:rPr>
          <w:rFonts w:cstheme="minorHAnsi"/>
          <w:bCs w:val="0"/>
          <w:iCs w:val="0"/>
        </w:rPr>
        <w:fldChar w:fldCharType="separate"/>
      </w:r>
      <w:hyperlink w:anchor="_Toc449954935" w:history="1">
        <w:r w:rsidR="00A71FD1" w:rsidRPr="00FD79BC">
          <w:rPr>
            <w:rStyle w:val="Hyperlink"/>
          </w:rPr>
          <w:t>Executive Summary</w:t>
        </w:r>
        <w:r w:rsidR="00A71FD1">
          <w:rPr>
            <w:webHidden/>
          </w:rPr>
          <w:tab/>
        </w:r>
        <w:r w:rsidR="00A71FD1">
          <w:rPr>
            <w:webHidden/>
          </w:rPr>
          <w:fldChar w:fldCharType="begin"/>
        </w:r>
        <w:r w:rsidR="00A71FD1">
          <w:rPr>
            <w:webHidden/>
          </w:rPr>
          <w:instrText xml:space="preserve"> PAGEREF _Toc449954935 \h </w:instrText>
        </w:r>
        <w:r w:rsidR="00A71FD1">
          <w:rPr>
            <w:webHidden/>
          </w:rPr>
        </w:r>
        <w:r w:rsidR="00A71FD1">
          <w:rPr>
            <w:webHidden/>
          </w:rPr>
          <w:fldChar w:fldCharType="separate"/>
        </w:r>
        <w:r w:rsidR="00F05A97">
          <w:rPr>
            <w:webHidden/>
          </w:rPr>
          <w:t>1</w:t>
        </w:r>
        <w:r w:rsidR="00A71FD1">
          <w:rPr>
            <w:webHidden/>
          </w:rPr>
          <w:fldChar w:fldCharType="end"/>
        </w:r>
      </w:hyperlink>
    </w:p>
    <w:p w:rsidR="00A71FD1" w:rsidRDefault="00607746">
      <w:pPr>
        <w:pStyle w:val="TOC1"/>
        <w:rPr>
          <w:rFonts w:eastAsiaTheme="minorEastAsia"/>
          <w:bCs w:val="0"/>
          <w:iCs w:val="0"/>
          <w:lang w:val="en-AU" w:eastAsia="en-AU"/>
        </w:rPr>
      </w:pPr>
      <w:hyperlink w:anchor="_Toc449954936" w:history="1">
        <w:r w:rsidR="00A71FD1" w:rsidRPr="00FD79BC">
          <w:rPr>
            <w:rStyle w:val="Hyperlink"/>
          </w:rPr>
          <w:t>1. Introduction</w:t>
        </w:r>
        <w:r w:rsidR="00A71FD1">
          <w:rPr>
            <w:webHidden/>
          </w:rPr>
          <w:tab/>
        </w:r>
        <w:r w:rsidR="00A71FD1">
          <w:rPr>
            <w:webHidden/>
          </w:rPr>
          <w:fldChar w:fldCharType="begin"/>
        </w:r>
        <w:r w:rsidR="00A71FD1">
          <w:rPr>
            <w:webHidden/>
          </w:rPr>
          <w:instrText xml:space="preserve"> PAGEREF _Toc449954936 \h </w:instrText>
        </w:r>
        <w:r w:rsidR="00A71FD1">
          <w:rPr>
            <w:webHidden/>
          </w:rPr>
        </w:r>
        <w:r w:rsidR="00A71FD1">
          <w:rPr>
            <w:webHidden/>
          </w:rPr>
          <w:fldChar w:fldCharType="separate"/>
        </w:r>
        <w:r w:rsidR="00F05A97">
          <w:rPr>
            <w:webHidden/>
          </w:rPr>
          <w:t>14</w:t>
        </w:r>
        <w:r w:rsidR="00A71FD1">
          <w:rPr>
            <w:webHidden/>
          </w:rPr>
          <w:fldChar w:fldCharType="end"/>
        </w:r>
      </w:hyperlink>
    </w:p>
    <w:p w:rsidR="00A71FD1" w:rsidRDefault="00607746">
      <w:pPr>
        <w:pStyle w:val="TOC2"/>
        <w:rPr>
          <w:rFonts w:eastAsiaTheme="minorEastAsia"/>
          <w:bCs w:val="0"/>
          <w:noProof/>
          <w:lang w:val="en-AU" w:eastAsia="en-AU"/>
        </w:rPr>
      </w:pPr>
      <w:hyperlink w:anchor="_Toc449954937" w:history="1">
        <w:r w:rsidR="00A71FD1" w:rsidRPr="00FD79BC">
          <w:rPr>
            <w:rStyle w:val="Hyperlink"/>
            <w:noProof/>
          </w:rPr>
          <w:t>1.1 The NDIS Evaluation findings reported in this Initial Report</w:t>
        </w:r>
        <w:r w:rsidR="00A71FD1">
          <w:rPr>
            <w:noProof/>
            <w:webHidden/>
          </w:rPr>
          <w:tab/>
        </w:r>
        <w:r w:rsidR="00A71FD1">
          <w:rPr>
            <w:noProof/>
            <w:webHidden/>
          </w:rPr>
          <w:fldChar w:fldCharType="begin"/>
        </w:r>
        <w:r w:rsidR="00A71FD1">
          <w:rPr>
            <w:noProof/>
            <w:webHidden/>
          </w:rPr>
          <w:instrText xml:space="preserve"> PAGEREF _Toc449954937 \h </w:instrText>
        </w:r>
        <w:r w:rsidR="00A71FD1">
          <w:rPr>
            <w:noProof/>
            <w:webHidden/>
          </w:rPr>
        </w:r>
        <w:r w:rsidR="00A71FD1">
          <w:rPr>
            <w:noProof/>
            <w:webHidden/>
          </w:rPr>
          <w:fldChar w:fldCharType="separate"/>
        </w:r>
        <w:r w:rsidR="00F05A97">
          <w:rPr>
            <w:noProof/>
            <w:webHidden/>
          </w:rPr>
          <w:t>14</w:t>
        </w:r>
        <w:r w:rsidR="00A71FD1">
          <w:rPr>
            <w:noProof/>
            <w:webHidden/>
          </w:rPr>
          <w:fldChar w:fldCharType="end"/>
        </w:r>
      </w:hyperlink>
    </w:p>
    <w:p w:rsidR="00A71FD1" w:rsidRDefault="00607746">
      <w:pPr>
        <w:pStyle w:val="TOC2"/>
        <w:rPr>
          <w:rFonts w:eastAsiaTheme="minorEastAsia"/>
          <w:bCs w:val="0"/>
          <w:noProof/>
          <w:lang w:val="en-AU" w:eastAsia="en-AU"/>
        </w:rPr>
      </w:pPr>
      <w:hyperlink w:anchor="_Toc449954938" w:history="1">
        <w:r w:rsidR="00A71FD1" w:rsidRPr="00FD79BC">
          <w:rPr>
            <w:rStyle w:val="Hyperlink"/>
            <w:noProof/>
          </w:rPr>
          <w:t>1.2 Evaluation Framework</w:t>
        </w:r>
        <w:r w:rsidR="00A71FD1">
          <w:rPr>
            <w:noProof/>
            <w:webHidden/>
          </w:rPr>
          <w:tab/>
        </w:r>
        <w:r w:rsidR="00A71FD1">
          <w:rPr>
            <w:noProof/>
            <w:webHidden/>
          </w:rPr>
          <w:fldChar w:fldCharType="begin"/>
        </w:r>
        <w:r w:rsidR="00A71FD1">
          <w:rPr>
            <w:noProof/>
            <w:webHidden/>
          </w:rPr>
          <w:instrText xml:space="preserve"> PAGEREF _Toc449954938 \h </w:instrText>
        </w:r>
        <w:r w:rsidR="00A71FD1">
          <w:rPr>
            <w:noProof/>
            <w:webHidden/>
          </w:rPr>
        </w:r>
        <w:r w:rsidR="00A71FD1">
          <w:rPr>
            <w:noProof/>
            <w:webHidden/>
          </w:rPr>
          <w:fldChar w:fldCharType="separate"/>
        </w:r>
        <w:r w:rsidR="00F05A97">
          <w:rPr>
            <w:noProof/>
            <w:webHidden/>
          </w:rPr>
          <w:t>16</w:t>
        </w:r>
        <w:r w:rsidR="00A71FD1">
          <w:rPr>
            <w:noProof/>
            <w:webHidden/>
          </w:rPr>
          <w:fldChar w:fldCharType="end"/>
        </w:r>
      </w:hyperlink>
    </w:p>
    <w:p w:rsidR="00A71FD1" w:rsidRDefault="00607746">
      <w:pPr>
        <w:pStyle w:val="TOC2"/>
        <w:rPr>
          <w:rFonts w:eastAsiaTheme="minorEastAsia"/>
          <w:bCs w:val="0"/>
          <w:noProof/>
          <w:lang w:val="en-AU" w:eastAsia="en-AU"/>
        </w:rPr>
      </w:pPr>
      <w:hyperlink w:anchor="_Toc449954939" w:history="1">
        <w:r w:rsidR="00A71FD1" w:rsidRPr="00FD79BC">
          <w:rPr>
            <w:rStyle w:val="Hyperlink"/>
            <w:noProof/>
          </w:rPr>
          <w:t>1.3 Key Evaluation Questions</w:t>
        </w:r>
        <w:r w:rsidR="00A71FD1">
          <w:rPr>
            <w:noProof/>
            <w:webHidden/>
          </w:rPr>
          <w:tab/>
        </w:r>
        <w:r w:rsidR="00A71FD1">
          <w:rPr>
            <w:noProof/>
            <w:webHidden/>
          </w:rPr>
          <w:fldChar w:fldCharType="begin"/>
        </w:r>
        <w:r w:rsidR="00A71FD1">
          <w:rPr>
            <w:noProof/>
            <w:webHidden/>
          </w:rPr>
          <w:instrText xml:space="preserve"> PAGEREF _Toc449954939 \h </w:instrText>
        </w:r>
        <w:r w:rsidR="00A71FD1">
          <w:rPr>
            <w:noProof/>
            <w:webHidden/>
          </w:rPr>
        </w:r>
        <w:r w:rsidR="00A71FD1">
          <w:rPr>
            <w:noProof/>
            <w:webHidden/>
          </w:rPr>
          <w:fldChar w:fldCharType="separate"/>
        </w:r>
        <w:r w:rsidR="00F05A97">
          <w:rPr>
            <w:noProof/>
            <w:webHidden/>
          </w:rPr>
          <w:t>18</w:t>
        </w:r>
        <w:r w:rsidR="00A71FD1">
          <w:rPr>
            <w:noProof/>
            <w:webHidden/>
          </w:rPr>
          <w:fldChar w:fldCharType="end"/>
        </w:r>
      </w:hyperlink>
    </w:p>
    <w:p w:rsidR="00A71FD1" w:rsidRDefault="00607746">
      <w:pPr>
        <w:pStyle w:val="TOC1"/>
        <w:rPr>
          <w:rFonts w:eastAsiaTheme="minorEastAsia"/>
          <w:bCs w:val="0"/>
          <w:iCs w:val="0"/>
          <w:lang w:val="en-AU" w:eastAsia="en-AU"/>
        </w:rPr>
      </w:pPr>
      <w:hyperlink w:anchor="_Toc449954940" w:history="1">
        <w:r w:rsidR="00A71FD1" w:rsidRPr="00FD79BC">
          <w:rPr>
            <w:rStyle w:val="Hyperlink"/>
          </w:rPr>
          <w:t>2. Qualitative Impact Evaluation</w:t>
        </w:r>
        <w:r w:rsidR="00A71FD1">
          <w:rPr>
            <w:webHidden/>
          </w:rPr>
          <w:tab/>
        </w:r>
        <w:r w:rsidR="00A71FD1">
          <w:rPr>
            <w:webHidden/>
          </w:rPr>
          <w:fldChar w:fldCharType="begin"/>
        </w:r>
        <w:r w:rsidR="00A71FD1">
          <w:rPr>
            <w:webHidden/>
          </w:rPr>
          <w:instrText xml:space="preserve"> PAGEREF _Toc449954940 \h </w:instrText>
        </w:r>
        <w:r w:rsidR="00A71FD1">
          <w:rPr>
            <w:webHidden/>
          </w:rPr>
        </w:r>
        <w:r w:rsidR="00A71FD1">
          <w:rPr>
            <w:webHidden/>
          </w:rPr>
          <w:fldChar w:fldCharType="separate"/>
        </w:r>
        <w:r w:rsidR="00F05A97">
          <w:rPr>
            <w:webHidden/>
          </w:rPr>
          <w:t>21</w:t>
        </w:r>
        <w:r w:rsidR="00A71FD1">
          <w:rPr>
            <w:webHidden/>
          </w:rPr>
          <w:fldChar w:fldCharType="end"/>
        </w:r>
      </w:hyperlink>
    </w:p>
    <w:p w:rsidR="00A71FD1" w:rsidRDefault="00607746">
      <w:pPr>
        <w:pStyle w:val="TOC2"/>
        <w:rPr>
          <w:rFonts w:eastAsiaTheme="minorEastAsia"/>
          <w:bCs w:val="0"/>
          <w:noProof/>
          <w:lang w:val="en-AU" w:eastAsia="en-AU"/>
        </w:rPr>
      </w:pPr>
      <w:hyperlink w:anchor="_Toc449954941" w:history="1">
        <w:r w:rsidR="00A71FD1" w:rsidRPr="00FD79BC">
          <w:rPr>
            <w:rStyle w:val="Hyperlink"/>
            <w:noProof/>
          </w:rPr>
          <w:t>2.1 General overview</w:t>
        </w:r>
        <w:r w:rsidR="00A71FD1">
          <w:rPr>
            <w:noProof/>
            <w:webHidden/>
          </w:rPr>
          <w:tab/>
        </w:r>
        <w:r w:rsidR="00A71FD1">
          <w:rPr>
            <w:noProof/>
            <w:webHidden/>
          </w:rPr>
          <w:fldChar w:fldCharType="begin"/>
        </w:r>
        <w:r w:rsidR="00A71FD1">
          <w:rPr>
            <w:noProof/>
            <w:webHidden/>
          </w:rPr>
          <w:instrText xml:space="preserve"> PAGEREF _Toc449954941 \h </w:instrText>
        </w:r>
        <w:r w:rsidR="00A71FD1">
          <w:rPr>
            <w:noProof/>
            <w:webHidden/>
          </w:rPr>
        </w:r>
        <w:r w:rsidR="00A71FD1">
          <w:rPr>
            <w:noProof/>
            <w:webHidden/>
          </w:rPr>
          <w:fldChar w:fldCharType="separate"/>
        </w:r>
        <w:r w:rsidR="00F05A97">
          <w:rPr>
            <w:noProof/>
            <w:webHidden/>
          </w:rPr>
          <w:t>21</w:t>
        </w:r>
        <w:r w:rsidR="00A71FD1">
          <w:rPr>
            <w:noProof/>
            <w:webHidden/>
          </w:rPr>
          <w:fldChar w:fldCharType="end"/>
        </w:r>
      </w:hyperlink>
    </w:p>
    <w:p w:rsidR="00A71FD1" w:rsidRDefault="00607746">
      <w:pPr>
        <w:pStyle w:val="TOC3"/>
        <w:rPr>
          <w:rFonts w:eastAsiaTheme="minorEastAsia"/>
          <w:noProof/>
          <w:lang w:val="en-AU" w:eastAsia="en-AU"/>
        </w:rPr>
      </w:pPr>
      <w:hyperlink w:anchor="_Toc449954942" w:history="1">
        <w:r w:rsidR="00A71FD1" w:rsidRPr="00FD79BC">
          <w:rPr>
            <w:rStyle w:val="Hyperlink"/>
            <w:noProof/>
          </w:rPr>
          <w:t>2.1.1 Fieldwork and recruitment</w:t>
        </w:r>
        <w:r w:rsidR="00A71FD1">
          <w:rPr>
            <w:noProof/>
            <w:webHidden/>
          </w:rPr>
          <w:tab/>
        </w:r>
        <w:r w:rsidR="00A71FD1">
          <w:rPr>
            <w:noProof/>
            <w:webHidden/>
          </w:rPr>
          <w:fldChar w:fldCharType="begin"/>
        </w:r>
        <w:r w:rsidR="00A71FD1">
          <w:rPr>
            <w:noProof/>
            <w:webHidden/>
          </w:rPr>
          <w:instrText xml:space="preserve"> PAGEREF _Toc449954942 \h </w:instrText>
        </w:r>
        <w:r w:rsidR="00A71FD1">
          <w:rPr>
            <w:noProof/>
            <w:webHidden/>
          </w:rPr>
        </w:r>
        <w:r w:rsidR="00A71FD1">
          <w:rPr>
            <w:noProof/>
            <w:webHidden/>
          </w:rPr>
          <w:fldChar w:fldCharType="separate"/>
        </w:r>
        <w:r w:rsidR="00F05A97">
          <w:rPr>
            <w:noProof/>
            <w:webHidden/>
          </w:rPr>
          <w:t>21</w:t>
        </w:r>
        <w:r w:rsidR="00A71FD1">
          <w:rPr>
            <w:noProof/>
            <w:webHidden/>
          </w:rPr>
          <w:fldChar w:fldCharType="end"/>
        </w:r>
      </w:hyperlink>
    </w:p>
    <w:p w:rsidR="00A71FD1" w:rsidRDefault="00607746">
      <w:pPr>
        <w:pStyle w:val="TOC3"/>
        <w:rPr>
          <w:rFonts w:eastAsiaTheme="minorEastAsia"/>
          <w:noProof/>
          <w:lang w:val="en-AU" w:eastAsia="en-AU"/>
        </w:rPr>
      </w:pPr>
      <w:hyperlink w:anchor="_Toc449954943" w:history="1">
        <w:r w:rsidR="00A71FD1" w:rsidRPr="00FD79BC">
          <w:rPr>
            <w:rStyle w:val="Hyperlink"/>
            <w:noProof/>
          </w:rPr>
          <w:t>2.1.2 Interviewing</w:t>
        </w:r>
        <w:r w:rsidR="00A71FD1">
          <w:rPr>
            <w:noProof/>
            <w:webHidden/>
          </w:rPr>
          <w:tab/>
        </w:r>
        <w:r w:rsidR="00A71FD1">
          <w:rPr>
            <w:noProof/>
            <w:webHidden/>
          </w:rPr>
          <w:fldChar w:fldCharType="begin"/>
        </w:r>
        <w:r w:rsidR="00A71FD1">
          <w:rPr>
            <w:noProof/>
            <w:webHidden/>
          </w:rPr>
          <w:instrText xml:space="preserve"> PAGEREF _Toc449954943 \h </w:instrText>
        </w:r>
        <w:r w:rsidR="00A71FD1">
          <w:rPr>
            <w:noProof/>
            <w:webHidden/>
          </w:rPr>
        </w:r>
        <w:r w:rsidR="00A71FD1">
          <w:rPr>
            <w:noProof/>
            <w:webHidden/>
          </w:rPr>
          <w:fldChar w:fldCharType="separate"/>
        </w:r>
        <w:r w:rsidR="00F05A97">
          <w:rPr>
            <w:noProof/>
            <w:webHidden/>
          </w:rPr>
          <w:t>22</w:t>
        </w:r>
        <w:r w:rsidR="00A71FD1">
          <w:rPr>
            <w:noProof/>
            <w:webHidden/>
          </w:rPr>
          <w:fldChar w:fldCharType="end"/>
        </w:r>
      </w:hyperlink>
    </w:p>
    <w:p w:rsidR="00A71FD1" w:rsidRDefault="00607746">
      <w:pPr>
        <w:pStyle w:val="TOC3"/>
        <w:rPr>
          <w:rFonts w:eastAsiaTheme="minorEastAsia"/>
          <w:noProof/>
          <w:lang w:val="en-AU" w:eastAsia="en-AU"/>
        </w:rPr>
      </w:pPr>
      <w:hyperlink w:anchor="_Toc449954944" w:history="1">
        <w:r w:rsidR="00A71FD1" w:rsidRPr="00FD79BC">
          <w:rPr>
            <w:rStyle w:val="Hyperlink"/>
            <w:noProof/>
          </w:rPr>
          <w:t>2.1.3 Shared aims and objectives</w:t>
        </w:r>
        <w:r w:rsidR="00A71FD1">
          <w:rPr>
            <w:noProof/>
            <w:webHidden/>
          </w:rPr>
          <w:tab/>
        </w:r>
        <w:r w:rsidR="00A71FD1">
          <w:rPr>
            <w:noProof/>
            <w:webHidden/>
          </w:rPr>
          <w:fldChar w:fldCharType="begin"/>
        </w:r>
        <w:r w:rsidR="00A71FD1">
          <w:rPr>
            <w:noProof/>
            <w:webHidden/>
          </w:rPr>
          <w:instrText xml:space="preserve"> PAGEREF _Toc449954944 \h </w:instrText>
        </w:r>
        <w:r w:rsidR="00A71FD1">
          <w:rPr>
            <w:noProof/>
            <w:webHidden/>
          </w:rPr>
        </w:r>
        <w:r w:rsidR="00A71FD1">
          <w:rPr>
            <w:noProof/>
            <w:webHidden/>
          </w:rPr>
          <w:fldChar w:fldCharType="separate"/>
        </w:r>
        <w:r w:rsidR="00F05A97">
          <w:rPr>
            <w:noProof/>
            <w:webHidden/>
          </w:rPr>
          <w:t>23</w:t>
        </w:r>
        <w:r w:rsidR="00A71FD1">
          <w:rPr>
            <w:noProof/>
            <w:webHidden/>
          </w:rPr>
          <w:fldChar w:fldCharType="end"/>
        </w:r>
      </w:hyperlink>
    </w:p>
    <w:p w:rsidR="00A71FD1" w:rsidRDefault="00607746">
      <w:pPr>
        <w:pStyle w:val="TOC3"/>
        <w:rPr>
          <w:rFonts w:eastAsiaTheme="minorEastAsia"/>
          <w:noProof/>
          <w:lang w:val="en-AU" w:eastAsia="en-AU"/>
        </w:rPr>
      </w:pPr>
      <w:hyperlink w:anchor="_Toc449954945" w:history="1">
        <w:r w:rsidR="00A71FD1" w:rsidRPr="00FD79BC">
          <w:rPr>
            <w:rStyle w:val="Hyperlink"/>
            <w:noProof/>
          </w:rPr>
          <w:t>2.1.4 Analysis</w:t>
        </w:r>
        <w:r w:rsidR="00A71FD1">
          <w:rPr>
            <w:noProof/>
            <w:webHidden/>
          </w:rPr>
          <w:tab/>
        </w:r>
        <w:r w:rsidR="00A71FD1">
          <w:rPr>
            <w:noProof/>
            <w:webHidden/>
          </w:rPr>
          <w:fldChar w:fldCharType="begin"/>
        </w:r>
        <w:r w:rsidR="00A71FD1">
          <w:rPr>
            <w:noProof/>
            <w:webHidden/>
          </w:rPr>
          <w:instrText xml:space="preserve"> PAGEREF _Toc449954945 \h </w:instrText>
        </w:r>
        <w:r w:rsidR="00A71FD1">
          <w:rPr>
            <w:noProof/>
            <w:webHidden/>
          </w:rPr>
        </w:r>
        <w:r w:rsidR="00A71FD1">
          <w:rPr>
            <w:noProof/>
            <w:webHidden/>
          </w:rPr>
          <w:fldChar w:fldCharType="separate"/>
        </w:r>
        <w:r w:rsidR="00F05A97">
          <w:rPr>
            <w:noProof/>
            <w:webHidden/>
          </w:rPr>
          <w:t>24</w:t>
        </w:r>
        <w:r w:rsidR="00A71FD1">
          <w:rPr>
            <w:noProof/>
            <w:webHidden/>
          </w:rPr>
          <w:fldChar w:fldCharType="end"/>
        </w:r>
      </w:hyperlink>
    </w:p>
    <w:p w:rsidR="00A71FD1" w:rsidRDefault="00607746">
      <w:pPr>
        <w:pStyle w:val="TOC3"/>
        <w:rPr>
          <w:rFonts w:eastAsiaTheme="minorEastAsia"/>
          <w:noProof/>
          <w:lang w:val="en-AU" w:eastAsia="en-AU"/>
        </w:rPr>
      </w:pPr>
      <w:hyperlink w:anchor="_Toc449954946" w:history="1">
        <w:r w:rsidR="00A71FD1" w:rsidRPr="00FD79BC">
          <w:rPr>
            <w:rStyle w:val="Hyperlink"/>
            <w:noProof/>
          </w:rPr>
          <w:t>2.1.5 Structure of report</w:t>
        </w:r>
        <w:r w:rsidR="00A71FD1">
          <w:rPr>
            <w:noProof/>
            <w:webHidden/>
          </w:rPr>
          <w:tab/>
        </w:r>
        <w:r w:rsidR="00A71FD1">
          <w:rPr>
            <w:noProof/>
            <w:webHidden/>
          </w:rPr>
          <w:fldChar w:fldCharType="begin"/>
        </w:r>
        <w:r w:rsidR="00A71FD1">
          <w:rPr>
            <w:noProof/>
            <w:webHidden/>
          </w:rPr>
          <w:instrText xml:space="preserve"> PAGEREF _Toc449954946 \h </w:instrText>
        </w:r>
        <w:r w:rsidR="00A71FD1">
          <w:rPr>
            <w:noProof/>
            <w:webHidden/>
          </w:rPr>
        </w:r>
        <w:r w:rsidR="00A71FD1">
          <w:rPr>
            <w:noProof/>
            <w:webHidden/>
          </w:rPr>
          <w:fldChar w:fldCharType="separate"/>
        </w:r>
        <w:r w:rsidR="00F05A97">
          <w:rPr>
            <w:noProof/>
            <w:webHidden/>
          </w:rPr>
          <w:t>24</w:t>
        </w:r>
        <w:r w:rsidR="00A71FD1">
          <w:rPr>
            <w:noProof/>
            <w:webHidden/>
          </w:rPr>
          <w:fldChar w:fldCharType="end"/>
        </w:r>
      </w:hyperlink>
    </w:p>
    <w:p w:rsidR="00A71FD1" w:rsidRDefault="00607746">
      <w:pPr>
        <w:pStyle w:val="TOC2"/>
        <w:rPr>
          <w:rFonts w:eastAsiaTheme="minorEastAsia"/>
          <w:bCs w:val="0"/>
          <w:noProof/>
          <w:lang w:val="en-AU" w:eastAsia="en-AU"/>
        </w:rPr>
      </w:pPr>
      <w:hyperlink w:anchor="_Toc449954947" w:history="1">
        <w:r w:rsidR="00A71FD1" w:rsidRPr="00FD79BC">
          <w:rPr>
            <w:rStyle w:val="Hyperlink"/>
            <w:noProof/>
          </w:rPr>
          <w:t>2.2 Interviews with people with disability, and their families and carers</w:t>
        </w:r>
        <w:r w:rsidR="00A71FD1">
          <w:rPr>
            <w:noProof/>
            <w:webHidden/>
          </w:rPr>
          <w:tab/>
        </w:r>
        <w:r w:rsidR="00A71FD1">
          <w:rPr>
            <w:noProof/>
            <w:webHidden/>
          </w:rPr>
          <w:fldChar w:fldCharType="begin"/>
        </w:r>
        <w:r w:rsidR="00A71FD1">
          <w:rPr>
            <w:noProof/>
            <w:webHidden/>
          </w:rPr>
          <w:instrText xml:space="preserve"> PAGEREF _Toc449954947 \h </w:instrText>
        </w:r>
        <w:r w:rsidR="00A71FD1">
          <w:rPr>
            <w:noProof/>
            <w:webHidden/>
          </w:rPr>
        </w:r>
        <w:r w:rsidR="00A71FD1">
          <w:rPr>
            <w:noProof/>
            <w:webHidden/>
          </w:rPr>
          <w:fldChar w:fldCharType="separate"/>
        </w:r>
        <w:r w:rsidR="00F05A97">
          <w:rPr>
            <w:noProof/>
            <w:webHidden/>
          </w:rPr>
          <w:t>25</w:t>
        </w:r>
        <w:r w:rsidR="00A71FD1">
          <w:rPr>
            <w:noProof/>
            <w:webHidden/>
          </w:rPr>
          <w:fldChar w:fldCharType="end"/>
        </w:r>
      </w:hyperlink>
    </w:p>
    <w:p w:rsidR="00A71FD1" w:rsidRDefault="00607746">
      <w:pPr>
        <w:pStyle w:val="TOC3"/>
        <w:rPr>
          <w:rFonts w:eastAsiaTheme="minorEastAsia"/>
          <w:noProof/>
          <w:lang w:val="en-AU" w:eastAsia="en-AU"/>
        </w:rPr>
      </w:pPr>
      <w:hyperlink w:anchor="_Toc449954948" w:history="1">
        <w:r w:rsidR="00A71FD1" w:rsidRPr="00FD79BC">
          <w:rPr>
            <w:rStyle w:val="Hyperlink"/>
            <w:noProof/>
          </w:rPr>
          <w:t>2.2.1 Specific aims and objectives</w:t>
        </w:r>
        <w:r w:rsidR="00A71FD1">
          <w:rPr>
            <w:noProof/>
            <w:webHidden/>
          </w:rPr>
          <w:tab/>
        </w:r>
        <w:r w:rsidR="00A71FD1">
          <w:rPr>
            <w:noProof/>
            <w:webHidden/>
          </w:rPr>
          <w:fldChar w:fldCharType="begin"/>
        </w:r>
        <w:r w:rsidR="00A71FD1">
          <w:rPr>
            <w:noProof/>
            <w:webHidden/>
          </w:rPr>
          <w:instrText xml:space="preserve"> PAGEREF _Toc449954948 \h </w:instrText>
        </w:r>
        <w:r w:rsidR="00A71FD1">
          <w:rPr>
            <w:noProof/>
            <w:webHidden/>
          </w:rPr>
        </w:r>
        <w:r w:rsidR="00A71FD1">
          <w:rPr>
            <w:noProof/>
            <w:webHidden/>
          </w:rPr>
          <w:fldChar w:fldCharType="separate"/>
        </w:r>
        <w:r w:rsidR="00F05A97">
          <w:rPr>
            <w:noProof/>
            <w:webHidden/>
          </w:rPr>
          <w:t>25</w:t>
        </w:r>
        <w:r w:rsidR="00A71FD1">
          <w:rPr>
            <w:noProof/>
            <w:webHidden/>
          </w:rPr>
          <w:fldChar w:fldCharType="end"/>
        </w:r>
      </w:hyperlink>
    </w:p>
    <w:p w:rsidR="00A71FD1" w:rsidRDefault="00607746">
      <w:pPr>
        <w:pStyle w:val="TOC3"/>
        <w:rPr>
          <w:rFonts w:eastAsiaTheme="minorEastAsia"/>
          <w:noProof/>
          <w:lang w:val="en-AU" w:eastAsia="en-AU"/>
        </w:rPr>
      </w:pPr>
      <w:hyperlink w:anchor="_Toc449954949" w:history="1">
        <w:r w:rsidR="00A71FD1" w:rsidRPr="00FD79BC">
          <w:rPr>
            <w:rStyle w:val="Hyperlink"/>
            <w:noProof/>
          </w:rPr>
          <w:t>2.2.2 Recruitment, sample and interview</w:t>
        </w:r>
        <w:r w:rsidR="00A71FD1">
          <w:rPr>
            <w:noProof/>
            <w:webHidden/>
          </w:rPr>
          <w:tab/>
        </w:r>
        <w:r w:rsidR="00A71FD1">
          <w:rPr>
            <w:noProof/>
            <w:webHidden/>
          </w:rPr>
          <w:fldChar w:fldCharType="begin"/>
        </w:r>
        <w:r w:rsidR="00A71FD1">
          <w:rPr>
            <w:noProof/>
            <w:webHidden/>
          </w:rPr>
          <w:instrText xml:space="preserve"> PAGEREF _Toc449954949 \h </w:instrText>
        </w:r>
        <w:r w:rsidR="00A71FD1">
          <w:rPr>
            <w:noProof/>
            <w:webHidden/>
          </w:rPr>
        </w:r>
        <w:r w:rsidR="00A71FD1">
          <w:rPr>
            <w:noProof/>
            <w:webHidden/>
          </w:rPr>
          <w:fldChar w:fldCharType="separate"/>
        </w:r>
        <w:r w:rsidR="00F05A97">
          <w:rPr>
            <w:noProof/>
            <w:webHidden/>
          </w:rPr>
          <w:t>25</w:t>
        </w:r>
        <w:r w:rsidR="00A71FD1">
          <w:rPr>
            <w:noProof/>
            <w:webHidden/>
          </w:rPr>
          <w:fldChar w:fldCharType="end"/>
        </w:r>
      </w:hyperlink>
    </w:p>
    <w:p w:rsidR="00A71FD1" w:rsidRDefault="00607746">
      <w:pPr>
        <w:pStyle w:val="TOC3"/>
        <w:rPr>
          <w:rFonts w:eastAsiaTheme="minorEastAsia"/>
          <w:noProof/>
          <w:lang w:val="en-AU" w:eastAsia="en-AU"/>
        </w:rPr>
      </w:pPr>
      <w:hyperlink w:anchor="_Toc449954950" w:history="1">
        <w:r w:rsidR="00A71FD1" w:rsidRPr="00FD79BC">
          <w:rPr>
            <w:rStyle w:val="Hyperlink"/>
            <w:noProof/>
          </w:rPr>
          <w:t>2.2.3 Findings</w:t>
        </w:r>
        <w:r w:rsidR="00A71FD1">
          <w:rPr>
            <w:noProof/>
            <w:webHidden/>
          </w:rPr>
          <w:tab/>
        </w:r>
        <w:r w:rsidR="00A71FD1">
          <w:rPr>
            <w:noProof/>
            <w:webHidden/>
          </w:rPr>
          <w:fldChar w:fldCharType="begin"/>
        </w:r>
        <w:r w:rsidR="00A71FD1">
          <w:rPr>
            <w:noProof/>
            <w:webHidden/>
          </w:rPr>
          <w:instrText xml:space="preserve"> PAGEREF _Toc449954950 \h </w:instrText>
        </w:r>
        <w:r w:rsidR="00A71FD1">
          <w:rPr>
            <w:noProof/>
            <w:webHidden/>
          </w:rPr>
        </w:r>
        <w:r w:rsidR="00A71FD1">
          <w:rPr>
            <w:noProof/>
            <w:webHidden/>
          </w:rPr>
          <w:fldChar w:fldCharType="separate"/>
        </w:r>
        <w:r w:rsidR="00F05A97">
          <w:rPr>
            <w:noProof/>
            <w:webHidden/>
          </w:rPr>
          <w:t>27</w:t>
        </w:r>
        <w:r w:rsidR="00A71FD1">
          <w:rPr>
            <w:noProof/>
            <w:webHidden/>
          </w:rPr>
          <w:fldChar w:fldCharType="end"/>
        </w:r>
      </w:hyperlink>
    </w:p>
    <w:p w:rsidR="00A71FD1" w:rsidRDefault="00607746">
      <w:pPr>
        <w:pStyle w:val="TOC4"/>
        <w:rPr>
          <w:rFonts w:eastAsiaTheme="minorEastAsia"/>
          <w:noProof/>
          <w:lang w:val="en-AU" w:eastAsia="en-AU"/>
        </w:rPr>
      </w:pPr>
      <w:hyperlink w:anchor="_Toc449954951" w:history="1">
        <w:r w:rsidR="00A71FD1" w:rsidRPr="00FD79BC">
          <w:rPr>
            <w:rStyle w:val="Hyperlink"/>
            <w:noProof/>
          </w:rPr>
          <w:t>2.2.3.1 The impact of disability on the lives of people with disability, and their families and carers</w:t>
        </w:r>
        <w:r w:rsidR="00A71FD1">
          <w:rPr>
            <w:noProof/>
            <w:webHidden/>
          </w:rPr>
          <w:tab/>
        </w:r>
        <w:r w:rsidR="00A71FD1">
          <w:rPr>
            <w:noProof/>
            <w:webHidden/>
          </w:rPr>
          <w:fldChar w:fldCharType="begin"/>
        </w:r>
        <w:r w:rsidR="00A71FD1">
          <w:rPr>
            <w:noProof/>
            <w:webHidden/>
          </w:rPr>
          <w:instrText xml:space="preserve"> PAGEREF _Toc449954951 \h </w:instrText>
        </w:r>
        <w:r w:rsidR="00A71FD1">
          <w:rPr>
            <w:noProof/>
            <w:webHidden/>
          </w:rPr>
        </w:r>
        <w:r w:rsidR="00A71FD1">
          <w:rPr>
            <w:noProof/>
            <w:webHidden/>
          </w:rPr>
          <w:fldChar w:fldCharType="separate"/>
        </w:r>
        <w:r w:rsidR="00F05A97">
          <w:rPr>
            <w:noProof/>
            <w:webHidden/>
          </w:rPr>
          <w:t>27</w:t>
        </w:r>
        <w:r w:rsidR="00A71FD1">
          <w:rPr>
            <w:noProof/>
            <w:webHidden/>
          </w:rPr>
          <w:fldChar w:fldCharType="end"/>
        </w:r>
      </w:hyperlink>
    </w:p>
    <w:p w:rsidR="00A71FD1" w:rsidRDefault="00607746">
      <w:pPr>
        <w:pStyle w:val="TOC4"/>
        <w:rPr>
          <w:rFonts w:eastAsiaTheme="minorEastAsia"/>
          <w:noProof/>
          <w:lang w:val="en-AU" w:eastAsia="en-AU"/>
        </w:rPr>
      </w:pPr>
      <w:hyperlink w:anchor="_Toc449954952" w:history="1">
        <w:r w:rsidR="00A71FD1" w:rsidRPr="00FD79BC">
          <w:rPr>
            <w:rStyle w:val="Hyperlink"/>
            <w:noProof/>
          </w:rPr>
          <w:t>2.2.3.2 Awareness and expectation of the NDIS</w:t>
        </w:r>
        <w:r w:rsidR="00A71FD1">
          <w:rPr>
            <w:noProof/>
            <w:webHidden/>
          </w:rPr>
          <w:tab/>
        </w:r>
        <w:r w:rsidR="00A71FD1">
          <w:rPr>
            <w:noProof/>
            <w:webHidden/>
          </w:rPr>
          <w:fldChar w:fldCharType="begin"/>
        </w:r>
        <w:r w:rsidR="00A71FD1">
          <w:rPr>
            <w:noProof/>
            <w:webHidden/>
          </w:rPr>
          <w:instrText xml:space="preserve"> PAGEREF _Toc449954952 \h </w:instrText>
        </w:r>
        <w:r w:rsidR="00A71FD1">
          <w:rPr>
            <w:noProof/>
            <w:webHidden/>
          </w:rPr>
        </w:r>
        <w:r w:rsidR="00A71FD1">
          <w:rPr>
            <w:noProof/>
            <w:webHidden/>
          </w:rPr>
          <w:fldChar w:fldCharType="separate"/>
        </w:r>
        <w:r w:rsidR="00F05A97">
          <w:rPr>
            <w:noProof/>
            <w:webHidden/>
          </w:rPr>
          <w:t>30</w:t>
        </w:r>
        <w:r w:rsidR="00A71FD1">
          <w:rPr>
            <w:noProof/>
            <w:webHidden/>
          </w:rPr>
          <w:fldChar w:fldCharType="end"/>
        </w:r>
      </w:hyperlink>
    </w:p>
    <w:p w:rsidR="00A71FD1" w:rsidRDefault="00607746">
      <w:pPr>
        <w:pStyle w:val="TOC4"/>
        <w:rPr>
          <w:rFonts w:eastAsiaTheme="minorEastAsia"/>
          <w:noProof/>
          <w:lang w:val="en-AU" w:eastAsia="en-AU"/>
        </w:rPr>
      </w:pPr>
      <w:hyperlink w:anchor="_Toc449954953" w:history="1">
        <w:r w:rsidR="00A71FD1" w:rsidRPr="00FD79BC">
          <w:rPr>
            <w:rStyle w:val="Hyperlink"/>
            <w:noProof/>
          </w:rPr>
          <w:t>2.2.3.3 Experiences of entering the NDIS and of preparing the NDIS plan</w:t>
        </w:r>
        <w:r w:rsidR="00A71FD1">
          <w:rPr>
            <w:noProof/>
            <w:webHidden/>
          </w:rPr>
          <w:tab/>
        </w:r>
        <w:r w:rsidR="00A71FD1">
          <w:rPr>
            <w:noProof/>
            <w:webHidden/>
          </w:rPr>
          <w:fldChar w:fldCharType="begin"/>
        </w:r>
        <w:r w:rsidR="00A71FD1">
          <w:rPr>
            <w:noProof/>
            <w:webHidden/>
          </w:rPr>
          <w:instrText xml:space="preserve"> PAGEREF _Toc449954953 \h </w:instrText>
        </w:r>
        <w:r w:rsidR="00A71FD1">
          <w:rPr>
            <w:noProof/>
            <w:webHidden/>
          </w:rPr>
        </w:r>
        <w:r w:rsidR="00A71FD1">
          <w:rPr>
            <w:noProof/>
            <w:webHidden/>
          </w:rPr>
          <w:fldChar w:fldCharType="separate"/>
        </w:r>
        <w:r w:rsidR="00F05A97">
          <w:rPr>
            <w:noProof/>
            <w:webHidden/>
          </w:rPr>
          <w:t>31</w:t>
        </w:r>
        <w:r w:rsidR="00A71FD1">
          <w:rPr>
            <w:noProof/>
            <w:webHidden/>
          </w:rPr>
          <w:fldChar w:fldCharType="end"/>
        </w:r>
      </w:hyperlink>
    </w:p>
    <w:p w:rsidR="00A71FD1" w:rsidRDefault="00607746">
      <w:pPr>
        <w:pStyle w:val="TOC4"/>
        <w:rPr>
          <w:rFonts w:eastAsiaTheme="minorEastAsia"/>
          <w:noProof/>
          <w:lang w:val="en-AU" w:eastAsia="en-AU"/>
        </w:rPr>
      </w:pPr>
      <w:hyperlink w:anchor="_Toc449954954" w:history="1">
        <w:r w:rsidR="00A71FD1" w:rsidRPr="00FD79BC">
          <w:rPr>
            <w:rStyle w:val="Hyperlink"/>
            <w:noProof/>
          </w:rPr>
          <w:t>2.2.3.4 Plan implementation process and receipt of NDIS-funded supports</w:t>
        </w:r>
        <w:r w:rsidR="00A71FD1">
          <w:rPr>
            <w:noProof/>
            <w:webHidden/>
          </w:rPr>
          <w:tab/>
        </w:r>
        <w:r w:rsidR="00A71FD1">
          <w:rPr>
            <w:noProof/>
            <w:webHidden/>
          </w:rPr>
          <w:fldChar w:fldCharType="begin"/>
        </w:r>
        <w:r w:rsidR="00A71FD1">
          <w:rPr>
            <w:noProof/>
            <w:webHidden/>
          </w:rPr>
          <w:instrText xml:space="preserve"> PAGEREF _Toc449954954 \h </w:instrText>
        </w:r>
        <w:r w:rsidR="00A71FD1">
          <w:rPr>
            <w:noProof/>
            <w:webHidden/>
          </w:rPr>
        </w:r>
        <w:r w:rsidR="00A71FD1">
          <w:rPr>
            <w:noProof/>
            <w:webHidden/>
          </w:rPr>
          <w:fldChar w:fldCharType="separate"/>
        </w:r>
        <w:r w:rsidR="00F05A97">
          <w:rPr>
            <w:noProof/>
            <w:webHidden/>
          </w:rPr>
          <w:t>33</w:t>
        </w:r>
        <w:r w:rsidR="00A71FD1">
          <w:rPr>
            <w:noProof/>
            <w:webHidden/>
          </w:rPr>
          <w:fldChar w:fldCharType="end"/>
        </w:r>
      </w:hyperlink>
    </w:p>
    <w:p w:rsidR="00A71FD1" w:rsidRDefault="00607746">
      <w:pPr>
        <w:pStyle w:val="TOC4"/>
        <w:rPr>
          <w:rFonts w:eastAsiaTheme="minorEastAsia"/>
          <w:noProof/>
          <w:lang w:val="en-AU" w:eastAsia="en-AU"/>
        </w:rPr>
      </w:pPr>
      <w:hyperlink w:anchor="_Toc449954955" w:history="1">
        <w:r w:rsidR="00A71FD1" w:rsidRPr="00FD79BC">
          <w:rPr>
            <w:rStyle w:val="Hyperlink"/>
            <w:noProof/>
          </w:rPr>
          <w:t>2.2.3.5 Early accounts of the impact of the NDIS on people with disability, and their families and carers</w:t>
        </w:r>
        <w:r w:rsidR="00A71FD1">
          <w:rPr>
            <w:noProof/>
            <w:webHidden/>
          </w:rPr>
          <w:tab/>
        </w:r>
        <w:r w:rsidR="00A71FD1">
          <w:rPr>
            <w:noProof/>
            <w:webHidden/>
          </w:rPr>
          <w:fldChar w:fldCharType="begin"/>
        </w:r>
        <w:r w:rsidR="00A71FD1">
          <w:rPr>
            <w:noProof/>
            <w:webHidden/>
          </w:rPr>
          <w:instrText xml:space="preserve"> PAGEREF _Toc449954955 \h </w:instrText>
        </w:r>
        <w:r w:rsidR="00A71FD1">
          <w:rPr>
            <w:noProof/>
            <w:webHidden/>
          </w:rPr>
        </w:r>
        <w:r w:rsidR="00A71FD1">
          <w:rPr>
            <w:noProof/>
            <w:webHidden/>
          </w:rPr>
          <w:fldChar w:fldCharType="separate"/>
        </w:r>
        <w:r w:rsidR="00F05A97">
          <w:rPr>
            <w:noProof/>
            <w:webHidden/>
          </w:rPr>
          <w:t>33</w:t>
        </w:r>
        <w:r w:rsidR="00A71FD1">
          <w:rPr>
            <w:noProof/>
            <w:webHidden/>
          </w:rPr>
          <w:fldChar w:fldCharType="end"/>
        </w:r>
      </w:hyperlink>
    </w:p>
    <w:p w:rsidR="00A71FD1" w:rsidRDefault="00607746">
      <w:pPr>
        <w:pStyle w:val="TOC4"/>
        <w:rPr>
          <w:rFonts w:eastAsiaTheme="minorEastAsia"/>
          <w:noProof/>
          <w:lang w:val="en-AU" w:eastAsia="en-AU"/>
        </w:rPr>
      </w:pPr>
      <w:hyperlink w:anchor="_Toc449954956" w:history="1">
        <w:r w:rsidR="00A71FD1" w:rsidRPr="00FD79BC">
          <w:rPr>
            <w:rStyle w:val="Hyperlink"/>
            <w:noProof/>
          </w:rPr>
          <w:t>2.2.3.6 Areas for improvement</w:t>
        </w:r>
        <w:r w:rsidR="00A71FD1">
          <w:rPr>
            <w:noProof/>
            <w:webHidden/>
          </w:rPr>
          <w:tab/>
        </w:r>
        <w:r w:rsidR="00A71FD1">
          <w:rPr>
            <w:noProof/>
            <w:webHidden/>
          </w:rPr>
          <w:fldChar w:fldCharType="begin"/>
        </w:r>
        <w:r w:rsidR="00A71FD1">
          <w:rPr>
            <w:noProof/>
            <w:webHidden/>
          </w:rPr>
          <w:instrText xml:space="preserve"> PAGEREF _Toc449954956 \h </w:instrText>
        </w:r>
        <w:r w:rsidR="00A71FD1">
          <w:rPr>
            <w:noProof/>
            <w:webHidden/>
          </w:rPr>
        </w:r>
        <w:r w:rsidR="00A71FD1">
          <w:rPr>
            <w:noProof/>
            <w:webHidden/>
          </w:rPr>
          <w:fldChar w:fldCharType="separate"/>
        </w:r>
        <w:r w:rsidR="00F05A97">
          <w:rPr>
            <w:noProof/>
            <w:webHidden/>
          </w:rPr>
          <w:t>34</w:t>
        </w:r>
        <w:r w:rsidR="00A71FD1">
          <w:rPr>
            <w:noProof/>
            <w:webHidden/>
          </w:rPr>
          <w:fldChar w:fldCharType="end"/>
        </w:r>
      </w:hyperlink>
    </w:p>
    <w:p w:rsidR="00A71FD1" w:rsidRDefault="00607746">
      <w:pPr>
        <w:pStyle w:val="TOC2"/>
        <w:rPr>
          <w:rFonts w:eastAsiaTheme="minorEastAsia"/>
          <w:bCs w:val="0"/>
          <w:noProof/>
          <w:lang w:val="en-AU" w:eastAsia="en-AU"/>
        </w:rPr>
      </w:pPr>
      <w:hyperlink w:anchor="_Toc449954957" w:history="1">
        <w:r w:rsidR="00A71FD1" w:rsidRPr="00FD79BC">
          <w:rPr>
            <w:rStyle w:val="Hyperlink"/>
            <w:noProof/>
          </w:rPr>
          <w:t>2.3 Interviews with disability service providers</w:t>
        </w:r>
        <w:r w:rsidR="00A71FD1">
          <w:rPr>
            <w:noProof/>
            <w:webHidden/>
          </w:rPr>
          <w:tab/>
        </w:r>
        <w:r w:rsidR="00A71FD1">
          <w:rPr>
            <w:noProof/>
            <w:webHidden/>
          </w:rPr>
          <w:fldChar w:fldCharType="begin"/>
        </w:r>
        <w:r w:rsidR="00A71FD1">
          <w:rPr>
            <w:noProof/>
            <w:webHidden/>
          </w:rPr>
          <w:instrText xml:space="preserve"> PAGEREF _Toc449954957 \h </w:instrText>
        </w:r>
        <w:r w:rsidR="00A71FD1">
          <w:rPr>
            <w:noProof/>
            <w:webHidden/>
          </w:rPr>
        </w:r>
        <w:r w:rsidR="00A71FD1">
          <w:rPr>
            <w:noProof/>
            <w:webHidden/>
          </w:rPr>
          <w:fldChar w:fldCharType="separate"/>
        </w:r>
        <w:r w:rsidR="00F05A97">
          <w:rPr>
            <w:noProof/>
            <w:webHidden/>
          </w:rPr>
          <w:t>35</w:t>
        </w:r>
        <w:r w:rsidR="00A71FD1">
          <w:rPr>
            <w:noProof/>
            <w:webHidden/>
          </w:rPr>
          <w:fldChar w:fldCharType="end"/>
        </w:r>
      </w:hyperlink>
    </w:p>
    <w:p w:rsidR="00A71FD1" w:rsidRDefault="00607746">
      <w:pPr>
        <w:pStyle w:val="TOC3"/>
        <w:rPr>
          <w:rFonts w:eastAsiaTheme="minorEastAsia"/>
          <w:noProof/>
          <w:lang w:val="en-AU" w:eastAsia="en-AU"/>
        </w:rPr>
      </w:pPr>
      <w:hyperlink w:anchor="_Toc449954958" w:history="1">
        <w:r w:rsidR="00A71FD1" w:rsidRPr="00FD79BC">
          <w:rPr>
            <w:rStyle w:val="Hyperlink"/>
            <w:noProof/>
          </w:rPr>
          <w:t>2.3.1 Specific aims and objectives</w:t>
        </w:r>
        <w:r w:rsidR="00A71FD1">
          <w:rPr>
            <w:noProof/>
            <w:webHidden/>
          </w:rPr>
          <w:tab/>
        </w:r>
        <w:r w:rsidR="00A71FD1">
          <w:rPr>
            <w:noProof/>
            <w:webHidden/>
          </w:rPr>
          <w:fldChar w:fldCharType="begin"/>
        </w:r>
        <w:r w:rsidR="00A71FD1">
          <w:rPr>
            <w:noProof/>
            <w:webHidden/>
          </w:rPr>
          <w:instrText xml:space="preserve"> PAGEREF _Toc449954958 \h </w:instrText>
        </w:r>
        <w:r w:rsidR="00A71FD1">
          <w:rPr>
            <w:noProof/>
            <w:webHidden/>
          </w:rPr>
        </w:r>
        <w:r w:rsidR="00A71FD1">
          <w:rPr>
            <w:noProof/>
            <w:webHidden/>
          </w:rPr>
          <w:fldChar w:fldCharType="separate"/>
        </w:r>
        <w:r w:rsidR="00F05A97">
          <w:rPr>
            <w:noProof/>
            <w:webHidden/>
          </w:rPr>
          <w:t>35</w:t>
        </w:r>
        <w:r w:rsidR="00A71FD1">
          <w:rPr>
            <w:noProof/>
            <w:webHidden/>
          </w:rPr>
          <w:fldChar w:fldCharType="end"/>
        </w:r>
      </w:hyperlink>
    </w:p>
    <w:p w:rsidR="00A71FD1" w:rsidRDefault="00607746">
      <w:pPr>
        <w:pStyle w:val="TOC3"/>
        <w:rPr>
          <w:rFonts w:eastAsiaTheme="minorEastAsia"/>
          <w:noProof/>
          <w:lang w:val="en-AU" w:eastAsia="en-AU"/>
        </w:rPr>
      </w:pPr>
      <w:hyperlink w:anchor="_Toc449954959" w:history="1">
        <w:r w:rsidR="00A71FD1" w:rsidRPr="00FD79BC">
          <w:rPr>
            <w:rStyle w:val="Hyperlink"/>
            <w:noProof/>
          </w:rPr>
          <w:t>2.3.2 Recruitment, sample and interview</w:t>
        </w:r>
        <w:r w:rsidR="00A71FD1">
          <w:rPr>
            <w:noProof/>
            <w:webHidden/>
          </w:rPr>
          <w:tab/>
        </w:r>
        <w:r w:rsidR="00A71FD1">
          <w:rPr>
            <w:noProof/>
            <w:webHidden/>
          </w:rPr>
          <w:fldChar w:fldCharType="begin"/>
        </w:r>
        <w:r w:rsidR="00A71FD1">
          <w:rPr>
            <w:noProof/>
            <w:webHidden/>
          </w:rPr>
          <w:instrText xml:space="preserve"> PAGEREF _Toc449954959 \h </w:instrText>
        </w:r>
        <w:r w:rsidR="00A71FD1">
          <w:rPr>
            <w:noProof/>
            <w:webHidden/>
          </w:rPr>
        </w:r>
        <w:r w:rsidR="00A71FD1">
          <w:rPr>
            <w:noProof/>
            <w:webHidden/>
          </w:rPr>
          <w:fldChar w:fldCharType="separate"/>
        </w:r>
        <w:r w:rsidR="00F05A97">
          <w:rPr>
            <w:noProof/>
            <w:webHidden/>
          </w:rPr>
          <w:t>36</w:t>
        </w:r>
        <w:r w:rsidR="00A71FD1">
          <w:rPr>
            <w:noProof/>
            <w:webHidden/>
          </w:rPr>
          <w:fldChar w:fldCharType="end"/>
        </w:r>
      </w:hyperlink>
    </w:p>
    <w:p w:rsidR="00A71FD1" w:rsidRDefault="00607746">
      <w:pPr>
        <w:pStyle w:val="TOC3"/>
        <w:rPr>
          <w:rFonts w:eastAsiaTheme="minorEastAsia"/>
          <w:noProof/>
          <w:lang w:val="en-AU" w:eastAsia="en-AU"/>
        </w:rPr>
      </w:pPr>
      <w:hyperlink w:anchor="_Toc449954960" w:history="1">
        <w:r w:rsidR="00A71FD1" w:rsidRPr="00FD79BC">
          <w:rPr>
            <w:rStyle w:val="Hyperlink"/>
            <w:noProof/>
          </w:rPr>
          <w:t>2.3.3 Findings</w:t>
        </w:r>
        <w:r w:rsidR="00A71FD1">
          <w:rPr>
            <w:noProof/>
            <w:webHidden/>
          </w:rPr>
          <w:tab/>
        </w:r>
        <w:r w:rsidR="00A71FD1">
          <w:rPr>
            <w:noProof/>
            <w:webHidden/>
          </w:rPr>
          <w:fldChar w:fldCharType="begin"/>
        </w:r>
        <w:r w:rsidR="00A71FD1">
          <w:rPr>
            <w:noProof/>
            <w:webHidden/>
          </w:rPr>
          <w:instrText xml:space="preserve"> PAGEREF _Toc449954960 \h </w:instrText>
        </w:r>
        <w:r w:rsidR="00A71FD1">
          <w:rPr>
            <w:noProof/>
            <w:webHidden/>
          </w:rPr>
        </w:r>
        <w:r w:rsidR="00A71FD1">
          <w:rPr>
            <w:noProof/>
            <w:webHidden/>
          </w:rPr>
          <w:fldChar w:fldCharType="separate"/>
        </w:r>
        <w:r w:rsidR="00F05A97">
          <w:rPr>
            <w:noProof/>
            <w:webHidden/>
          </w:rPr>
          <w:t>38</w:t>
        </w:r>
        <w:r w:rsidR="00A71FD1">
          <w:rPr>
            <w:noProof/>
            <w:webHidden/>
          </w:rPr>
          <w:fldChar w:fldCharType="end"/>
        </w:r>
      </w:hyperlink>
    </w:p>
    <w:p w:rsidR="00A71FD1" w:rsidRDefault="00607746">
      <w:pPr>
        <w:pStyle w:val="TOC4"/>
        <w:rPr>
          <w:rFonts w:eastAsiaTheme="minorEastAsia"/>
          <w:noProof/>
          <w:lang w:val="en-AU" w:eastAsia="en-AU"/>
        </w:rPr>
      </w:pPr>
      <w:hyperlink w:anchor="_Toc449954961" w:history="1">
        <w:r w:rsidR="00A71FD1" w:rsidRPr="00FD79BC">
          <w:rPr>
            <w:rStyle w:val="Hyperlink"/>
            <w:noProof/>
          </w:rPr>
          <w:t>2.3.3.1 Expectations about the NDIS</w:t>
        </w:r>
        <w:r w:rsidR="00A71FD1">
          <w:rPr>
            <w:noProof/>
            <w:webHidden/>
          </w:rPr>
          <w:tab/>
        </w:r>
        <w:r w:rsidR="00A71FD1">
          <w:rPr>
            <w:noProof/>
            <w:webHidden/>
          </w:rPr>
          <w:fldChar w:fldCharType="begin"/>
        </w:r>
        <w:r w:rsidR="00A71FD1">
          <w:rPr>
            <w:noProof/>
            <w:webHidden/>
          </w:rPr>
          <w:instrText xml:space="preserve"> PAGEREF _Toc449954961 \h </w:instrText>
        </w:r>
        <w:r w:rsidR="00A71FD1">
          <w:rPr>
            <w:noProof/>
            <w:webHidden/>
          </w:rPr>
        </w:r>
        <w:r w:rsidR="00A71FD1">
          <w:rPr>
            <w:noProof/>
            <w:webHidden/>
          </w:rPr>
          <w:fldChar w:fldCharType="separate"/>
        </w:r>
        <w:r w:rsidR="00F05A97">
          <w:rPr>
            <w:noProof/>
            <w:webHidden/>
          </w:rPr>
          <w:t>38</w:t>
        </w:r>
        <w:r w:rsidR="00A71FD1">
          <w:rPr>
            <w:noProof/>
            <w:webHidden/>
          </w:rPr>
          <w:fldChar w:fldCharType="end"/>
        </w:r>
      </w:hyperlink>
    </w:p>
    <w:p w:rsidR="00A71FD1" w:rsidRDefault="00607746">
      <w:pPr>
        <w:pStyle w:val="TOC4"/>
        <w:rPr>
          <w:rFonts w:eastAsiaTheme="minorEastAsia"/>
          <w:noProof/>
          <w:lang w:val="en-AU" w:eastAsia="en-AU"/>
        </w:rPr>
      </w:pPr>
      <w:hyperlink w:anchor="_Toc449954962" w:history="1">
        <w:r w:rsidR="00A71FD1" w:rsidRPr="00FD79BC">
          <w:rPr>
            <w:rStyle w:val="Hyperlink"/>
            <w:noProof/>
          </w:rPr>
          <w:t>2.3.3.2 Initial impact of the NDIS on the disability sector</w:t>
        </w:r>
        <w:r w:rsidR="00A71FD1">
          <w:rPr>
            <w:noProof/>
            <w:webHidden/>
          </w:rPr>
          <w:tab/>
        </w:r>
        <w:r w:rsidR="00A71FD1">
          <w:rPr>
            <w:noProof/>
            <w:webHidden/>
          </w:rPr>
          <w:fldChar w:fldCharType="begin"/>
        </w:r>
        <w:r w:rsidR="00A71FD1">
          <w:rPr>
            <w:noProof/>
            <w:webHidden/>
          </w:rPr>
          <w:instrText xml:space="preserve"> PAGEREF _Toc449954962 \h </w:instrText>
        </w:r>
        <w:r w:rsidR="00A71FD1">
          <w:rPr>
            <w:noProof/>
            <w:webHidden/>
          </w:rPr>
        </w:r>
        <w:r w:rsidR="00A71FD1">
          <w:rPr>
            <w:noProof/>
            <w:webHidden/>
          </w:rPr>
          <w:fldChar w:fldCharType="separate"/>
        </w:r>
        <w:r w:rsidR="00F05A97">
          <w:rPr>
            <w:noProof/>
            <w:webHidden/>
          </w:rPr>
          <w:t>38</w:t>
        </w:r>
        <w:r w:rsidR="00A71FD1">
          <w:rPr>
            <w:noProof/>
            <w:webHidden/>
          </w:rPr>
          <w:fldChar w:fldCharType="end"/>
        </w:r>
      </w:hyperlink>
    </w:p>
    <w:p w:rsidR="00A71FD1" w:rsidRDefault="00607746">
      <w:pPr>
        <w:pStyle w:val="TOC4"/>
        <w:rPr>
          <w:rFonts w:eastAsiaTheme="minorEastAsia"/>
          <w:noProof/>
          <w:lang w:val="en-AU" w:eastAsia="en-AU"/>
        </w:rPr>
      </w:pPr>
      <w:hyperlink w:anchor="_Toc449954963" w:history="1">
        <w:r w:rsidR="00A71FD1" w:rsidRPr="00FD79BC">
          <w:rPr>
            <w:rStyle w:val="Hyperlink"/>
            <w:noProof/>
          </w:rPr>
          <w:t>2.3.3.3 Initial impact of the NDIS on the organisation</w:t>
        </w:r>
        <w:r w:rsidR="00A71FD1">
          <w:rPr>
            <w:noProof/>
            <w:webHidden/>
          </w:rPr>
          <w:tab/>
        </w:r>
        <w:r w:rsidR="00A71FD1">
          <w:rPr>
            <w:noProof/>
            <w:webHidden/>
          </w:rPr>
          <w:fldChar w:fldCharType="begin"/>
        </w:r>
        <w:r w:rsidR="00A71FD1">
          <w:rPr>
            <w:noProof/>
            <w:webHidden/>
          </w:rPr>
          <w:instrText xml:space="preserve"> PAGEREF _Toc449954963 \h </w:instrText>
        </w:r>
        <w:r w:rsidR="00A71FD1">
          <w:rPr>
            <w:noProof/>
            <w:webHidden/>
          </w:rPr>
        </w:r>
        <w:r w:rsidR="00A71FD1">
          <w:rPr>
            <w:noProof/>
            <w:webHidden/>
          </w:rPr>
          <w:fldChar w:fldCharType="separate"/>
        </w:r>
        <w:r w:rsidR="00F05A97">
          <w:rPr>
            <w:noProof/>
            <w:webHidden/>
          </w:rPr>
          <w:t>40</w:t>
        </w:r>
        <w:r w:rsidR="00A71FD1">
          <w:rPr>
            <w:noProof/>
            <w:webHidden/>
          </w:rPr>
          <w:fldChar w:fldCharType="end"/>
        </w:r>
      </w:hyperlink>
    </w:p>
    <w:p w:rsidR="00A71FD1" w:rsidRDefault="00607746">
      <w:pPr>
        <w:pStyle w:val="TOC4"/>
        <w:rPr>
          <w:rFonts w:eastAsiaTheme="minorEastAsia"/>
          <w:noProof/>
          <w:lang w:val="en-AU" w:eastAsia="en-AU"/>
        </w:rPr>
      </w:pPr>
      <w:hyperlink w:anchor="_Toc449954964" w:history="1">
        <w:r w:rsidR="00A71FD1" w:rsidRPr="00FD79BC">
          <w:rPr>
            <w:rStyle w:val="Hyperlink"/>
            <w:noProof/>
          </w:rPr>
          <w:t>2.3.3.4 Initial impact of the NDIS on the workforce</w:t>
        </w:r>
        <w:r w:rsidR="00A71FD1">
          <w:rPr>
            <w:noProof/>
            <w:webHidden/>
          </w:rPr>
          <w:tab/>
        </w:r>
        <w:r w:rsidR="00A71FD1">
          <w:rPr>
            <w:noProof/>
            <w:webHidden/>
          </w:rPr>
          <w:fldChar w:fldCharType="begin"/>
        </w:r>
        <w:r w:rsidR="00A71FD1">
          <w:rPr>
            <w:noProof/>
            <w:webHidden/>
          </w:rPr>
          <w:instrText xml:space="preserve"> PAGEREF _Toc449954964 \h </w:instrText>
        </w:r>
        <w:r w:rsidR="00A71FD1">
          <w:rPr>
            <w:noProof/>
            <w:webHidden/>
          </w:rPr>
        </w:r>
        <w:r w:rsidR="00A71FD1">
          <w:rPr>
            <w:noProof/>
            <w:webHidden/>
          </w:rPr>
          <w:fldChar w:fldCharType="separate"/>
        </w:r>
        <w:r w:rsidR="00F05A97">
          <w:rPr>
            <w:noProof/>
            <w:webHidden/>
          </w:rPr>
          <w:t>45</w:t>
        </w:r>
        <w:r w:rsidR="00A71FD1">
          <w:rPr>
            <w:noProof/>
            <w:webHidden/>
          </w:rPr>
          <w:fldChar w:fldCharType="end"/>
        </w:r>
      </w:hyperlink>
    </w:p>
    <w:p w:rsidR="00A71FD1" w:rsidRDefault="00607746">
      <w:pPr>
        <w:pStyle w:val="TOC4"/>
        <w:rPr>
          <w:rFonts w:eastAsiaTheme="minorEastAsia"/>
          <w:noProof/>
          <w:lang w:val="en-AU" w:eastAsia="en-AU"/>
        </w:rPr>
      </w:pPr>
      <w:hyperlink w:anchor="_Toc449954965" w:history="1">
        <w:r w:rsidR="00A71FD1" w:rsidRPr="00FD79BC">
          <w:rPr>
            <w:rStyle w:val="Hyperlink"/>
            <w:noProof/>
          </w:rPr>
          <w:t>2.3.3.5 Initial impact of the NDIS on people with disability, and their families and carers</w:t>
        </w:r>
        <w:r w:rsidR="00A71FD1">
          <w:rPr>
            <w:noProof/>
            <w:webHidden/>
          </w:rPr>
          <w:tab/>
        </w:r>
        <w:r w:rsidR="00A71FD1">
          <w:rPr>
            <w:noProof/>
            <w:webHidden/>
          </w:rPr>
          <w:fldChar w:fldCharType="begin"/>
        </w:r>
        <w:r w:rsidR="00A71FD1">
          <w:rPr>
            <w:noProof/>
            <w:webHidden/>
          </w:rPr>
          <w:instrText xml:space="preserve"> PAGEREF _Toc449954965 \h </w:instrText>
        </w:r>
        <w:r w:rsidR="00A71FD1">
          <w:rPr>
            <w:noProof/>
            <w:webHidden/>
          </w:rPr>
        </w:r>
        <w:r w:rsidR="00A71FD1">
          <w:rPr>
            <w:noProof/>
            <w:webHidden/>
          </w:rPr>
          <w:fldChar w:fldCharType="separate"/>
        </w:r>
        <w:r w:rsidR="00F05A97">
          <w:rPr>
            <w:noProof/>
            <w:webHidden/>
          </w:rPr>
          <w:t>47</w:t>
        </w:r>
        <w:r w:rsidR="00A71FD1">
          <w:rPr>
            <w:noProof/>
            <w:webHidden/>
          </w:rPr>
          <w:fldChar w:fldCharType="end"/>
        </w:r>
      </w:hyperlink>
    </w:p>
    <w:p w:rsidR="00A71FD1" w:rsidRDefault="00607746">
      <w:pPr>
        <w:pStyle w:val="TOC4"/>
        <w:rPr>
          <w:rFonts w:eastAsiaTheme="minorEastAsia"/>
          <w:noProof/>
          <w:lang w:val="en-AU" w:eastAsia="en-AU"/>
        </w:rPr>
      </w:pPr>
      <w:hyperlink w:anchor="_Toc449954966" w:history="1">
        <w:r w:rsidR="00A71FD1" w:rsidRPr="00FD79BC">
          <w:rPr>
            <w:rStyle w:val="Hyperlink"/>
            <w:noProof/>
          </w:rPr>
          <w:t>2.3.3.6 Experiences working with the NDIA</w:t>
        </w:r>
        <w:r w:rsidR="00A71FD1">
          <w:rPr>
            <w:noProof/>
            <w:webHidden/>
          </w:rPr>
          <w:tab/>
        </w:r>
        <w:r w:rsidR="00A71FD1">
          <w:rPr>
            <w:noProof/>
            <w:webHidden/>
          </w:rPr>
          <w:fldChar w:fldCharType="begin"/>
        </w:r>
        <w:r w:rsidR="00A71FD1">
          <w:rPr>
            <w:noProof/>
            <w:webHidden/>
          </w:rPr>
          <w:instrText xml:space="preserve"> PAGEREF _Toc449954966 \h </w:instrText>
        </w:r>
        <w:r w:rsidR="00A71FD1">
          <w:rPr>
            <w:noProof/>
            <w:webHidden/>
          </w:rPr>
        </w:r>
        <w:r w:rsidR="00A71FD1">
          <w:rPr>
            <w:noProof/>
            <w:webHidden/>
          </w:rPr>
          <w:fldChar w:fldCharType="separate"/>
        </w:r>
        <w:r w:rsidR="00F05A97">
          <w:rPr>
            <w:noProof/>
            <w:webHidden/>
          </w:rPr>
          <w:t>49</w:t>
        </w:r>
        <w:r w:rsidR="00A71FD1">
          <w:rPr>
            <w:noProof/>
            <w:webHidden/>
          </w:rPr>
          <w:fldChar w:fldCharType="end"/>
        </w:r>
      </w:hyperlink>
    </w:p>
    <w:p w:rsidR="00A71FD1" w:rsidRDefault="00607746">
      <w:pPr>
        <w:pStyle w:val="TOC4"/>
        <w:rPr>
          <w:rFonts w:eastAsiaTheme="minorEastAsia"/>
          <w:noProof/>
          <w:lang w:val="en-AU" w:eastAsia="en-AU"/>
        </w:rPr>
      </w:pPr>
      <w:hyperlink w:anchor="_Toc449954967" w:history="1">
        <w:r w:rsidR="00A71FD1" w:rsidRPr="00FD79BC">
          <w:rPr>
            <w:rStyle w:val="Hyperlink"/>
            <w:noProof/>
          </w:rPr>
          <w:t>2.3.3.7 Suggestions for changes and improvements</w:t>
        </w:r>
        <w:r w:rsidR="00A71FD1">
          <w:rPr>
            <w:noProof/>
            <w:webHidden/>
          </w:rPr>
          <w:tab/>
        </w:r>
        <w:r w:rsidR="00A71FD1">
          <w:rPr>
            <w:noProof/>
            <w:webHidden/>
          </w:rPr>
          <w:fldChar w:fldCharType="begin"/>
        </w:r>
        <w:r w:rsidR="00A71FD1">
          <w:rPr>
            <w:noProof/>
            <w:webHidden/>
          </w:rPr>
          <w:instrText xml:space="preserve"> PAGEREF _Toc449954967 \h </w:instrText>
        </w:r>
        <w:r w:rsidR="00A71FD1">
          <w:rPr>
            <w:noProof/>
            <w:webHidden/>
          </w:rPr>
        </w:r>
        <w:r w:rsidR="00A71FD1">
          <w:rPr>
            <w:noProof/>
            <w:webHidden/>
          </w:rPr>
          <w:fldChar w:fldCharType="separate"/>
        </w:r>
        <w:r w:rsidR="00F05A97">
          <w:rPr>
            <w:noProof/>
            <w:webHidden/>
          </w:rPr>
          <w:t>49</w:t>
        </w:r>
        <w:r w:rsidR="00A71FD1">
          <w:rPr>
            <w:noProof/>
            <w:webHidden/>
          </w:rPr>
          <w:fldChar w:fldCharType="end"/>
        </w:r>
      </w:hyperlink>
    </w:p>
    <w:p w:rsidR="00A71FD1" w:rsidRDefault="00607746">
      <w:pPr>
        <w:pStyle w:val="TOC2"/>
        <w:rPr>
          <w:rFonts w:eastAsiaTheme="minorEastAsia"/>
          <w:bCs w:val="0"/>
          <w:noProof/>
          <w:lang w:val="en-AU" w:eastAsia="en-AU"/>
        </w:rPr>
      </w:pPr>
      <w:hyperlink w:anchor="_Toc449954968" w:history="1">
        <w:r w:rsidR="00A71FD1" w:rsidRPr="00FD79BC">
          <w:rPr>
            <w:rStyle w:val="Hyperlink"/>
            <w:noProof/>
          </w:rPr>
          <w:t>2.4 Interviews with disability workforce stakeholder organisations</w:t>
        </w:r>
        <w:r w:rsidR="00A71FD1">
          <w:rPr>
            <w:noProof/>
            <w:webHidden/>
          </w:rPr>
          <w:tab/>
        </w:r>
        <w:r w:rsidR="00A71FD1">
          <w:rPr>
            <w:noProof/>
            <w:webHidden/>
          </w:rPr>
          <w:fldChar w:fldCharType="begin"/>
        </w:r>
        <w:r w:rsidR="00A71FD1">
          <w:rPr>
            <w:noProof/>
            <w:webHidden/>
          </w:rPr>
          <w:instrText xml:space="preserve"> PAGEREF _Toc449954968 \h </w:instrText>
        </w:r>
        <w:r w:rsidR="00A71FD1">
          <w:rPr>
            <w:noProof/>
            <w:webHidden/>
          </w:rPr>
        </w:r>
        <w:r w:rsidR="00A71FD1">
          <w:rPr>
            <w:noProof/>
            <w:webHidden/>
          </w:rPr>
          <w:fldChar w:fldCharType="separate"/>
        </w:r>
        <w:r w:rsidR="00F05A97">
          <w:rPr>
            <w:noProof/>
            <w:webHidden/>
          </w:rPr>
          <w:t>51</w:t>
        </w:r>
        <w:r w:rsidR="00A71FD1">
          <w:rPr>
            <w:noProof/>
            <w:webHidden/>
          </w:rPr>
          <w:fldChar w:fldCharType="end"/>
        </w:r>
      </w:hyperlink>
    </w:p>
    <w:p w:rsidR="00A71FD1" w:rsidRDefault="00607746">
      <w:pPr>
        <w:pStyle w:val="TOC3"/>
        <w:rPr>
          <w:rFonts w:eastAsiaTheme="minorEastAsia"/>
          <w:noProof/>
          <w:lang w:val="en-AU" w:eastAsia="en-AU"/>
        </w:rPr>
      </w:pPr>
      <w:hyperlink w:anchor="_Toc449954969" w:history="1">
        <w:r w:rsidR="00A71FD1" w:rsidRPr="00FD79BC">
          <w:rPr>
            <w:rStyle w:val="Hyperlink"/>
            <w:noProof/>
          </w:rPr>
          <w:t>2.4.1 Specific aims and objectives</w:t>
        </w:r>
        <w:r w:rsidR="00A71FD1">
          <w:rPr>
            <w:noProof/>
            <w:webHidden/>
          </w:rPr>
          <w:tab/>
        </w:r>
        <w:r w:rsidR="00A71FD1">
          <w:rPr>
            <w:noProof/>
            <w:webHidden/>
          </w:rPr>
          <w:fldChar w:fldCharType="begin"/>
        </w:r>
        <w:r w:rsidR="00A71FD1">
          <w:rPr>
            <w:noProof/>
            <w:webHidden/>
          </w:rPr>
          <w:instrText xml:space="preserve"> PAGEREF _Toc449954969 \h </w:instrText>
        </w:r>
        <w:r w:rsidR="00A71FD1">
          <w:rPr>
            <w:noProof/>
            <w:webHidden/>
          </w:rPr>
        </w:r>
        <w:r w:rsidR="00A71FD1">
          <w:rPr>
            <w:noProof/>
            <w:webHidden/>
          </w:rPr>
          <w:fldChar w:fldCharType="separate"/>
        </w:r>
        <w:r w:rsidR="00F05A97">
          <w:rPr>
            <w:noProof/>
            <w:webHidden/>
          </w:rPr>
          <w:t>51</w:t>
        </w:r>
        <w:r w:rsidR="00A71FD1">
          <w:rPr>
            <w:noProof/>
            <w:webHidden/>
          </w:rPr>
          <w:fldChar w:fldCharType="end"/>
        </w:r>
      </w:hyperlink>
    </w:p>
    <w:p w:rsidR="00A71FD1" w:rsidRDefault="00607746">
      <w:pPr>
        <w:pStyle w:val="TOC3"/>
        <w:rPr>
          <w:rFonts w:eastAsiaTheme="minorEastAsia"/>
          <w:noProof/>
          <w:lang w:val="en-AU" w:eastAsia="en-AU"/>
        </w:rPr>
      </w:pPr>
      <w:hyperlink w:anchor="_Toc449954970" w:history="1">
        <w:r w:rsidR="00A71FD1" w:rsidRPr="00FD79BC">
          <w:rPr>
            <w:rStyle w:val="Hyperlink"/>
            <w:noProof/>
          </w:rPr>
          <w:t>2.4.2 Recruitment, sample and interview</w:t>
        </w:r>
        <w:r w:rsidR="00A71FD1">
          <w:rPr>
            <w:noProof/>
            <w:webHidden/>
          </w:rPr>
          <w:tab/>
        </w:r>
        <w:r w:rsidR="00A71FD1">
          <w:rPr>
            <w:noProof/>
            <w:webHidden/>
          </w:rPr>
          <w:fldChar w:fldCharType="begin"/>
        </w:r>
        <w:r w:rsidR="00A71FD1">
          <w:rPr>
            <w:noProof/>
            <w:webHidden/>
          </w:rPr>
          <w:instrText xml:space="preserve"> PAGEREF _Toc449954970 \h </w:instrText>
        </w:r>
        <w:r w:rsidR="00A71FD1">
          <w:rPr>
            <w:noProof/>
            <w:webHidden/>
          </w:rPr>
        </w:r>
        <w:r w:rsidR="00A71FD1">
          <w:rPr>
            <w:noProof/>
            <w:webHidden/>
          </w:rPr>
          <w:fldChar w:fldCharType="separate"/>
        </w:r>
        <w:r w:rsidR="00F05A97">
          <w:rPr>
            <w:noProof/>
            <w:webHidden/>
          </w:rPr>
          <w:t>51</w:t>
        </w:r>
        <w:r w:rsidR="00A71FD1">
          <w:rPr>
            <w:noProof/>
            <w:webHidden/>
          </w:rPr>
          <w:fldChar w:fldCharType="end"/>
        </w:r>
      </w:hyperlink>
    </w:p>
    <w:p w:rsidR="00A71FD1" w:rsidRDefault="00607746">
      <w:pPr>
        <w:pStyle w:val="TOC3"/>
        <w:rPr>
          <w:rFonts w:eastAsiaTheme="minorEastAsia"/>
          <w:noProof/>
          <w:lang w:val="en-AU" w:eastAsia="en-AU"/>
        </w:rPr>
      </w:pPr>
      <w:hyperlink w:anchor="_Toc449954971" w:history="1">
        <w:r w:rsidR="00A71FD1" w:rsidRPr="00FD79BC">
          <w:rPr>
            <w:rStyle w:val="Hyperlink"/>
            <w:noProof/>
          </w:rPr>
          <w:t>2.4.3 Findings</w:t>
        </w:r>
        <w:r w:rsidR="00A71FD1">
          <w:rPr>
            <w:noProof/>
            <w:webHidden/>
          </w:rPr>
          <w:tab/>
        </w:r>
        <w:r w:rsidR="00A71FD1">
          <w:rPr>
            <w:noProof/>
            <w:webHidden/>
          </w:rPr>
          <w:fldChar w:fldCharType="begin"/>
        </w:r>
        <w:r w:rsidR="00A71FD1">
          <w:rPr>
            <w:noProof/>
            <w:webHidden/>
          </w:rPr>
          <w:instrText xml:space="preserve"> PAGEREF _Toc449954971 \h </w:instrText>
        </w:r>
        <w:r w:rsidR="00A71FD1">
          <w:rPr>
            <w:noProof/>
            <w:webHidden/>
          </w:rPr>
        </w:r>
        <w:r w:rsidR="00A71FD1">
          <w:rPr>
            <w:noProof/>
            <w:webHidden/>
          </w:rPr>
          <w:fldChar w:fldCharType="separate"/>
        </w:r>
        <w:r w:rsidR="00F05A97">
          <w:rPr>
            <w:noProof/>
            <w:webHidden/>
          </w:rPr>
          <w:t>52</w:t>
        </w:r>
        <w:r w:rsidR="00A71FD1">
          <w:rPr>
            <w:noProof/>
            <w:webHidden/>
          </w:rPr>
          <w:fldChar w:fldCharType="end"/>
        </w:r>
      </w:hyperlink>
    </w:p>
    <w:p w:rsidR="00A71FD1" w:rsidRDefault="00607746">
      <w:pPr>
        <w:pStyle w:val="TOC4"/>
        <w:rPr>
          <w:rFonts w:eastAsiaTheme="minorEastAsia"/>
          <w:noProof/>
          <w:lang w:val="en-AU" w:eastAsia="en-AU"/>
        </w:rPr>
      </w:pPr>
      <w:hyperlink w:anchor="_Toc449954972" w:history="1">
        <w:r w:rsidR="00A71FD1" w:rsidRPr="00FD79BC">
          <w:rPr>
            <w:rStyle w:val="Hyperlink"/>
            <w:noProof/>
          </w:rPr>
          <w:t>2.4.3.1 Initial expectations of the NDIS</w:t>
        </w:r>
        <w:r w:rsidR="00A71FD1">
          <w:rPr>
            <w:noProof/>
            <w:webHidden/>
          </w:rPr>
          <w:tab/>
        </w:r>
        <w:r w:rsidR="00A71FD1">
          <w:rPr>
            <w:noProof/>
            <w:webHidden/>
          </w:rPr>
          <w:fldChar w:fldCharType="begin"/>
        </w:r>
        <w:r w:rsidR="00A71FD1">
          <w:rPr>
            <w:noProof/>
            <w:webHidden/>
          </w:rPr>
          <w:instrText xml:space="preserve"> PAGEREF _Toc449954972 \h </w:instrText>
        </w:r>
        <w:r w:rsidR="00A71FD1">
          <w:rPr>
            <w:noProof/>
            <w:webHidden/>
          </w:rPr>
        </w:r>
        <w:r w:rsidR="00A71FD1">
          <w:rPr>
            <w:noProof/>
            <w:webHidden/>
          </w:rPr>
          <w:fldChar w:fldCharType="separate"/>
        </w:r>
        <w:r w:rsidR="00F05A97">
          <w:rPr>
            <w:noProof/>
            <w:webHidden/>
          </w:rPr>
          <w:t>52</w:t>
        </w:r>
        <w:r w:rsidR="00A71FD1">
          <w:rPr>
            <w:noProof/>
            <w:webHidden/>
          </w:rPr>
          <w:fldChar w:fldCharType="end"/>
        </w:r>
      </w:hyperlink>
    </w:p>
    <w:p w:rsidR="00A71FD1" w:rsidRDefault="00607746">
      <w:pPr>
        <w:pStyle w:val="TOC4"/>
        <w:rPr>
          <w:rFonts w:eastAsiaTheme="minorEastAsia"/>
          <w:noProof/>
          <w:lang w:val="en-AU" w:eastAsia="en-AU"/>
        </w:rPr>
      </w:pPr>
      <w:hyperlink w:anchor="_Toc449954973" w:history="1">
        <w:r w:rsidR="00A71FD1" w:rsidRPr="00FD79BC">
          <w:rPr>
            <w:rStyle w:val="Hyperlink"/>
            <w:noProof/>
          </w:rPr>
          <w:t>2.4.3.2 Initial impact of the NDIS</w:t>
        </w:r>
        <w:r w:rsidR="00A71FD1">
          <w:rPr>
            <w:noProof/>
            <w:webHidden/>
          </w:rPr>
          <w:tab/>
        </w:r>
        <w:r w:rsidR="00A71FD1">
          <w:rPr>
            <w:noProof/>
            <w:webHidden/>
          </w:rPr>
          <w:fldChar w:fldCharType="begin"/>
        </w:r>
        <w:r w:rsidR="00A71FD1">
          <w:rPr>
            <w:noProof/>
            <w:webHidden/>
          </w:rPr>
          <w:instrText xml:space="preserve"> PAGEREF _Toc449954973 \h </w:instrText>
        </w:r>
        <w:r w:rsidR="00A71FD1">
          <w:rPr>
            <w:noProof/>
            <w:webHidden/>
          </w:rPr>
        </w:r>
        <w:r w:rsidR="00A71FD1">
          <w:rPr>
            <w:noProof/>
            <w:webHidden/>
          </w:rPr>
          <w:fldChar w:fldCharType="separate"/>
        </w:r>
        <w:r w:rsidR="00F05A97">
          <w:rPr>
            <w:noProof/>
            <w:webHidden/>
          </w:rPr>
          <w:t>5</w:t>
        </w:r>
        <w:r w:rsidR="00F05A97">
          <w:rPr>
            <w:noProof/>
            <w:webHidden/>
          </w:rPr>
          <w:t>4</w:t>
        </w:r>
        <w:r w:rsidR="00A71FD1">
          <w:rPr>
            <w:noProof/>
            <w:webHidden/>
          </w:rPr>
          <w:fldChar w:fldCharType="end"/>
        </w:r>
      </w:hyperlink>
    </w:p>
    <w:p w:rsidR="00A71FD1" w:rsidRDefault="00607746">
      <w:pPr>
        <w:pStyle w:val="TOC4"/>
        <w:rPr>
          <w:rFonts w:eastAsiaTheme="minorEastAsia"/>
          <w:noProof/>
          <w:lang w:val="en-AU" w:eastAsia="en-AU"/>
        </w:rPr>
      </w:pPr>
      <w:hyperlink w:anchor="_Toc449954974" w:history="1">
        <w:r w:rsidR="00A71FD1" w:rsidRPr="00FD79BC">
          <w:rPr>
            <w:rStyle w:val="Hyperlink"/>
            <w:noProof/>
          </w:rPr>
          <w:t>2.4.3.3 Working with the NDIA</w:t>
        </w:r>
        <w:r w:rsidR="00A71FD1">
          <w:rPr>
            <w:noProof/>
            <w:webHidden/>
          </w:rPr>
          <w:tab/>
        </w:r>
        <w:r w:rsidR="00A71FD1">
          <w:rPr>
            <w:noProof/>
            <w:webHidden/>
          </w:rPr>
          <w:fldChar w:fldCharType="begin"/>
        </w:r>
        <w:r w:rsidR="00A71FD1">
          <w:rPr>
            <w:noProof/>
            <w:webHidden/>
          </w:rPr>
          <w:instrText xml:space="preserve"> PAGEREF _Toc449954974 \h </w:instrText>
        </w:r>
        <w:r w:rsidR="00A71FD1">
          <w:rPr>
            <w:noProof/>
            <w:webHidden/>
          </w:rPr>
        </w:r>
        <w:r w:rsidR="00A71FD1">
          <w:rPr>
            <w:noProof/>
            <w:webHidden/>
          </w:rPr>
          <w:fldChar w:fldCharType="separate"/>
        </w:r>
        <w:r w:rsidR="00F05A97">
          <w:rPr>
            <w:noProof/>
            <w:webHidden/>
          </w:rPr>
          <w:t>56</w:t>
        </w:r>
        <w:r w:rsidR="00A71FD1">
          <w:rPr>
            <w:noProof/>
            <w:webHidden/>
          </w:rPr>
          <w:fldChar w:fldCharType="end"/>
        </w:r>
      </w:hyperlink>
    </w:p>
    <w:p w:rsidR="00A71FD1" w:rsidRDefault="00607746">
      <w:pPr>
        <w:pStyle w:val="TOC4"/>
        <w:rPr>
          <w:rFonts w:eastAsiaTheme="minorEastAsia"/>
          <w:noProof/>
          <w:lang w:val="en-AU" w:eastAsia="en-AU"/>
        </w:rPr>
      </w:pPr>
      <w:hyperlink w:anchor="_Toc449954975" w:history="1">
        <w:r w:rsidR="00A71FD1" w:rsidRPr="00FD79BC">
          <w:rPr>
            <w:rStyle w:val="Hyperlink"/>
            <w:noProof/>
          </w:rPr>
          <w:t>2.4.3.4 Areas for improvement</w:t>
        </w:r>
        <w:r w:rsidR="00A71FD1">
          <w:rPr>
            <w:noProof/>
            <w:webHidden/>
          </w:rPr>
          <w:tab/>
        </w:r>
        <w:r w:rsidR="00A71FD1">
          <w:rPr>
            <w:noProof/>
            <w:webHidden/>
          </w:rPr>
          <w:fldChar w:fldCharType="begin"/>
        </w:r>
        <w:r w:rsidR="00A71FD1">
          <w:rPr>
            <w:noProof/>
            <w:webHidden/>
          </w:rPr>
          <w:instrText xml:space="preserve"> PAGEREF _Toc449954975 \h </w:instrText>
        </w:r>
        <w:r w:rsidR="00A71FD1">
          <w:rPr>
            <w:noProof/>
            <w:webHidden/>
          </w:rPr>
        </w:r>
        <w:r w:rsidR="00A71FD1">
          <w:rPr>
            <w:noProof/>
            <w:webHidden/>
          </w:rPr>
          <w:fldChar w:fldCharType="separate"/>
        </w:r>
        <w:r w:rsidR="00F05A97">
          <w:rPr>
            <w:noProof/>
            <w:webHidden/>
          </w:rPr>
          <w:t>57</w:t>
        </w:r>
        <w:r w:rsidR="00A71FD1">
          <w:rPr>
            <w:noProof/>
            <w:webHidden/>
          </w:rPr>
          <w:fldChar w:fldCharType="end"/>
        </w:r>
      </w:hyperlink>
    </w:p>
    <w:p w:rsidR="00A71FD1" w:rsidRDefault="00607746">
      <w:pPr>
        <w:pStyle w:val="TOC2"/>
        <w:rPr>
          <w:rFonts w:eastAsiaTheme="minorEastAsia"/>
          <w:bCs w:val="0"/>
          <w:noProof/>
          <w:lang w:val="en-AU" w:eastAsia="en-AU"/>
        </w:rPr>
      </w:pPr>
      <w:hyperlink w:anchor="_Toc449954976" w:history="1">
        <w:r w:rsidR="00A71FD1" w:rsidRPr="00FD79BC">
          <w:rPr>
            <w:rStyle w:val="Hyperlink"/>
            <w:noProof/>
          </w:rPr>
          <w:t>2.5 Interviews with NDIA managers and staff</w:t>
        </w:r>
        <w:r w:rsidR="00A71FD1">
          <w:rPr>
            <w:noProof/>
            <w:webHidden/>
          </w:rPr>
          <w:tab/>
        </w:r>
        <w:r w:rsidR="00A71FD1">
          <w:rPr>
            <w:noProof/>
            <w:webHidden/>
          </w:rPr>
          <w:fldChar w:fldCharType="begin"/>
        </w:r>
        <w:r w:rsidR="00A71FD1">
          <w:rPr>
            <w:noProof/>
            <w:webHidden/>
          </w:rPr>
          <w:instrText xml:space="preserve"> PAGEREF _Toc449954976 \h </w:instrText>
        </w:r>
        <w:r w:rsidR="00A71FD1">
          <w:rPr>
            <w:noProof/>
            <w:webHidden/>
          </w:rPr>
        </w:r>
        <w:r w:rsidR="00A71FD1">
          <w:rPr>
            <w:noProof/>
            <w:webHidden/>
          </w:rPr>
          <w:fldChar w:fldCharType="separate"/>
        </w:r>
        <w:r w:rsidR="00F05A97">
          <w:rPr>
            <w:noProof/>
            <w:webHidden/>
          </w:rPr>
          <w:t>59</w:t>
        </w:r>
        <w:r w:rsidR="00A71FD1">
          <w:rPr>
            <w:noProof/>
            <w:webHidden/>
          </w:rPr>
          <w:fldChar w:fldCharType="end"/>
        </w:r>
      </w:hyperlink>
    </w:p>
    <w:p w:rsidR="00A71FD1" w:rsidRDefault="00607746">
      <w:pPr>
        <w:pStyle w:val="TOC3"/>
        <w:rPr>
          <w:rFonts w:eastAsiaTheme="minorEastAsia"/>
          <w:noProof/>
          <w:lang w:val="en-AU" w:eastAsia="en-AU"/>
        </w:rPr>
      </w:pPr>
      <w:hyperlink w:anchor="_Toc449954977" w:history="1">
        <w:r w:rsidR="00A71FD1" w:rsidRPr="00FD79BC">
          <w:rPr>
            <w:rStyle w:val="Hyperlink"/>
            <w:noProof/>
          </w:rPr>
          <w:t>2.5.1 Specific aims and objectives</w:t>
        </w:r>
        <w:r w:rsidR="00A71FD1">
          <w:rPr>
            <w:noProof/>
            <w:webHidden/>
          </w:rPr>
          <w:tab/>
        </w:r>
        <w:r w:rsidR="00A71FD1">
          <w:rPr>
            <w:noProof/>
            <w:webHidden/>
          </w:rPr>
          <w:fldChar w:fldCharType="begin"/>
        </w:r>
        <w:r w:rsidR="00A71FD1">
          <w:rPr>
            <w:noProof/>
            <w:webHidden/>
          </w:rPr>
          <w:instrText xml:space="preserve"> PAGEREF _Toc449954977 \h </w:instrText>
        </w:r>
        <w:r w:rsidR="00A71FD1">
          <w:rPr>
            <w:noProof/>
            <w:webHidden/>
          </w:rPr>
        </w:r>
        <w:r w:rsidR="00A71FD1">
          <w:rPr>
            <w:noProof/>
            <w:webHidden/>
          </w:rPr>
          <w:fldChar w:fldCharType="separate"/>
        </w:r>
        <w:r w:rsidR="00F05A97">
          <w:rPr>
            <w:noProof/>
            <w:webHidden/>
          </w:rPr>
          <w:t>59</w:t>
        </w:r>
        <w:r w:rsidR="00A71FD1">
          <w:rPr>
            <w:noProof/>
            <w:webHidden/>
          </w:rPr>
          <w:fldChar w:fldCharType="end"/>
        </w:r>
      </w:hyperlink>
    </w:p>
    <w:p w:rsidR="00A71FD1" w:rsidRDefault="00607746">
      <w:pPr>
        <w:pStyle w:val="TOC3"/>
        <w:rPr>
          <w:rFonts w:eastAsiaTheme="minorEastAsia"/>
          <w:noProof/>
          <w:lang w:val="en-AU" w:eastAsia="en-AU"/>
        </w:rPr>
      </w:pPr>
      <w:hyperlink w:anchor="_Toc449954978" w:history="1">
        <w:r w:rsidR="00A71FD1" w:rsidRPr="00FD79BC">
          <w:rPr>
            <w:rStyle w:val="Hyperlink"/>
            <w:noProof/>
          </w:rPr>
          <w:t>2.5.2 Recruitment, sample and interview</w:t>
        </w:r>
        <w:r w:rsidR="00A71FD1">
          <w:rPr>
            <w:noProof/>
            <w:webHidden/>
          </w:rPr>
          <w:tab/>
        </w:r>
        <w:r w:rsidR="00A71FD1">
          <w:rPr>
            <w:noProof/>
            <w:webHidden/>
          </w:rPr>
          <w:fldChar w:fldCharType="begin"/>
        </w:r>
        <w:r w:rsidR="00A71FD1">
          <w:rPr>
            <w:noProof/>
            <w:webHidden/>
          </w:rPr>
          <w:instrText xml:space="preserve"> PAGEREF _Toc449954978 \h </w:instrText>
        </w:r>
        <w:r w:rsidR="00A71FD1">
          <w:rPr>
            <w:noProof/>
            <w:webHidden/>
          </w:rPr>
        </w:r>
        <w:r w:rsidR="00A71FD1">
          <w:rPr>
            <w:noProof/>
            <w:webHidden/>
          </w:rPr>
          <w:fldChar w:fldCharType="separate"/>
        </w:r>
        <w:r w:rsidR="00F05A97">
          <w:rPr>
            <w:noProof/>
            <w:webHidden/>
          </w:rPr>
          <w:t>59</w:t>
        </w:r>
        <w:r w:rsidR="00A71FD1">
          <w:rPr>
            <w:noProof/>
            <w:webHidden/>
          </w:rPr>
          <w:fldChar w:fldCharType="end"/>
        </w:r>
      </w:hyperlink>
    </w:p>
    <w:p w:rsidR="00A71FD1" w:rsidRDefault="00607746">
      <w:pPr>
        <w:pStyle w:val="TOC3"/>
        <w:rPr>
          <w:rFonts w:eastAsiaTheme="minorEastAsia"/>
          <w:noProof/>
          <w:lang w:val="en-AU" w:eastAsia="en-AU"/>
        </w:rPr>
      </w:pPr>
      <w:hyperlink w:anchor="_Toc449954979" w:history="1">
        <w:r w:rsidR="00A71FD1" w:rsidRPr="00FD79BC">
          <w:rPr>
            <w:rStyle w:val="Hyperlink"/>
            <w:noProof/>
          </w:rPr>
          <w:t>2.5.3 Findings</w:t>
        </w:r>
        <w:r w:rsidR="00A71FD1">
          <w:rPr>
            <w:noProof/>
            <w:webHidden/>
          </w:rPr>
          <w:tab/>
        </w:r>
        <w:r w:rsidR="00A71FD1">
          <w:rPr>
            <w:noProof/>
            <w:webHidden/>
          </w:rPr>
          <w:fldChar w:fldCharType="begin"/>
        </w:r>
        <w:r w:rsidR="00A71FD1">
          <w:rPr>
            <w:noProof/>
            <w:webHidden/>
          </w:rPr>
          <w:instrText xml:space="preserve"> PAGEREF _Toc449954979 \h </w:instrText>
        </w:r>
        <w:r w:rsidR="00A71FD1">
          <w:rPr>
            <w:noProof/>
            <w:webHidden/>
          </w:rPr>
        </w:r>
        <w:r w:rsidR="00A71FD1">
          <w:rPr>
            <w:noProof/>
            <w:webHidden/>
          </w:rPr>
          <w:fldChar w:fldCharType="separate"/>
        </w:r>
        <w:r w:rsidR="00F05A97">
          <w:rPr>
            <w:noProof/>
            <w:webHidden/>
          </w:rPr>
          <w:t>60</w:t>
        </w:r>
        <w:r w:rsidR="00A71FD1">
          <w:rPr>
            <w:noProof/>
            <w:webHidden/>
          </w:rPr>
          <w:fldChar w:fldCharType="end"/>
        </w:r>
      </w:hyperlink>
    </w:p>
    <w:p w:rsidR="00A71FD1" w:rsidRDefault="00607746">
      <w:pPr>
        <w:pStyle w:val="TOC4"/>
        <w:rPr>
          <w:rFonts w:eastAsiaTheme="minorEastAsia"/>
          <w:noProof/>
          <w:lang w:val="en-AU" w:eastAsia="en-AU"/>
        </w:rPr>
      </w:pPr>
      <w:hyperlink w:anchor="_Toc449954980" w:history="1">
        <w:r w:rsidR="00A71FD1" w:rsidRPr="00FD79BC">
          <w:rPr>
            <w:rStyle w:val="Hyperlink"/>
            <w:noProof/>
          </w:rPr>
          <w:t>2.5.3.1 NDIA employees’ perceptions and experiences of NDIS implementation to date</w:t>
        </w:r>
        <w:r w:rsidR="00A71FD1">
          <w:rPr>
            <w:noProof/>
            <w:webHidden/>
          </w:rPr>
          <w:tab/>
        </w:r>
        <w:r w:rsidR="00A71FD1">
          <w:rPr>
            <w:noProof/>
            <w:webHidden/>
          </w:rPr>
          <w:fldChar w:fldCharType="begin"/>
        </w:r>
        <w:r w:rsidR="00A71FD1">
          <w:rPr>
            <w:noProof/>
            <w:webHidden/>
          </w:rPr>
          <w:instrText xml:space="preserve"> PAGEREF _Toc449954980 \h </w:instrText>
        </w:r>
        <w:r w:rsidR="00A71FD1">
          <w:rPr>
            <w:noProof/>
            <w:webHidden/>
          </w:rPr>
        </w:r>
        <w:r w:rsidR="00A71FD1">
          <w:rPr>
            <w:noProof/>
            <w:webHidden/>
          </w:rPr>
          <w:fldChar w:fldCharType="separate"/>
        </w:r>
        <w:r w:rsidR="00F05A97">
          <w:rPr>
            <w:noProof/>
            <w:webHidden/>
          </w:rPr>
          <w:t>60</w:t>
        </w:r>
        <w:r w:rsidR="00A71FD1">
          <w:rPr>
            <w:noProof/>
            <w:webHidden/>
          </w:rPr>
          <w:fldChar w:fldCharType="end"/>
        </w:r>
      </w:hyperlink>
    </w:p>
    <w:p w:rsidR="00A71FD1" w:rsidRDefault="00607746">
      <w:pPr>
        <w:pStyle w:val="TOC4"/>
        <w:rPr>
          <w:rFonts w:eastAsiaTheme="minorEastAsia"/>
          <w:noProof/>
          <w:lang w:val="en-AU" w:eastAsia="en-AU"/>
        </w:rPr>
      </w:pPr>
      <w:hyperlink w:anchor="_Toc449954981" w:history="1">
        <w:r w:rsidR="00A71FD1" w:rsidRPr="00FD79BC">
          <w:rPr>
            <w:rStyle w:val="Hyperlink"/>
            <w:noProof/>
          </w:rPr>
          <w:t>2.5.3.2 Assistance in setting and achieving goals, increasing economic participation</w:t>
        </w:r>
        <w:r w:rsidR="00A71FD1">
          <w:rPr>
            <w:noProof/>
            <w:webHidden/>
          </w:rPr>
          <w:tab/>
        </w:r>
        <w:r w:rsidR="00A71FD1">
          <w:rPr>
            <w:noProof/>
            <w:webHidden/>
          </w:rPr>
          <w:fldChar w:fldCharType="begin"/>
        </w:r>
        <w:r w:rsidR="00A71FD1">
          <w:rPr>
            <w:noProof/>
            <w:webHidden/>
          </w:rPr>
          <w:instrText xml:space="preserve"> PAGEREF _Toc449954981 \h </w:instrText>
        </w:r>
        <w:r w:rsidR="00A71FD1">
          <w:rPr>
            <w:noProof/>
            <w:webHidden/>
          </w:rPr>
        </w:r>
        <w:r w:rsidR="00A71FD1">
          <w:rPr>
            <w:noProof/>
            <w:webHidden/>
          </w:rPr>
          <w:fldChar w:fldCharType="separate"/>
        </w:r>
        <w:r w:rsidR="00F05A97">
          <w:rPr>
            <w:noProof/>
            <w:webHidden/>
          </w:rPr>
          <w:t>66</w:t>
        </w:r>
        <w:r w:rsidR="00A71FD1">
          <w:rPr>
            <w:noProof/>
            <w:webHidden/>
          </w:rPr>
          <w:fldChar w:fldCharType="end"/>
        </w:r>
      </w:hyperlink>
    </w:p>
    <w:p w:rsidR="00A71FD1" w:rsidRDefault="00607746">
      <w:pPr>
        <w:pStyle w:val="TOC4"/>
        <w:rPr>
          <w:rFonts w:eastAsiaTheme="minorEastAsia"/>
          <w:noProof/>
          <w:lang w:val="en-AU" w:eastAsia="en-AU"/>
        </w:rPr>
      </w:pPr>
      <w:hyperlink w:anchor="_Toc449954982" w:history="1">
        <w:r w:rsidR="00A71FD1" w:rsidRPr="00FD79BC">
          <w:rPr>
            <w:rStyle w:val="Hyperlink"/>
            <w:noProof/>
          </w:rPr>
          <w:t>2.5.3.3 Relationship between NDIA employees and community and mainstream services</w:t>
        </w:r>
        <w:r w:rsidR="00A71FD1">
          <w:rPr>
            <w:noProof/>
            <w:webHidden/>
          </w:rPr>
          <w:tab/>
        </w:r>
        <w:r w:rsidR="00A71FD1">
          <w:rPr>
            <w:noProof/>
            <w:webHidden/>
          </w:rPr>
          <w:fldChar w:fldCharType="begin"/>
        </w:r>
        <w:r w:rsidR="00A71FD1">
          <w:rPr>
            <w:noProof/>
            <w:webHidden/>
          </w:rPr>
          <w:instrText xml:space="preserve"> PAGEREF _Toc449954982 \h </w:instrText>
        </w:r>
        <w:r w:rsidR="00A71FD1">
          <w:rPr>
            <w:noProof/>
            <w:webHidden/>
          </w:rPr>
        </w:r>
        <w:r w:rsidR="00A71FD1">
          <w:rPr>
            <w:noProof/>
            <w:webHidden/>
          </w:rPr>
          <w:fldChar w:fldCharType="separate"/>
        </w:r>
        <w:r w:rsidR="00F05A97">
          <w:rPr>
            <w:noProof/>
            <w:webHidden/>
          </w:rPr>
          <w:t>68</w:t>
        </w:r>
        <w:r w:rsidR="00A71FD1">
          <w:rPr>
            <w:noProof/>
            <w:webHidden/>
          </w:rPr>
          <w:fldChar w:fldCharType="end"/>
        </w:r>
      </w:hyperlink>
    </w:p>
    <w:p w:rsidR="00A71FD1" w:rsidRDefault="00607746">
      <w:pPr>
        <w:pStyle w:val="TOC4"/>
        <w:rPr>
          <w:rFonts w:eastAsiaTheme="minorEastAsia"/>
          <w:noProof/>
          <w:lang w:val="en-AU" w:eastAsia="en-AU"/>
        </w:rPr>
      </w:pPr>
      <w:hyperlink w:anchor="_Toc449954983" w:history="1">
        <w:r w:rsidR="00A71FD1" w:rsidRPr="00FD79BC">
          <w:rPr>
            <w:rStyle w:val="Hyperlink"/>
            <w:noProof/>
          </w:rPr>
          <w:t>2.5.3.4 Suggestions for improvement</w:t>
        </w:r>
        <w:r w:rsidR="00A71FD1">
          <w:rPr>
            <w:noProof/>
            <w:webHidden/>
          </w:rPr>
          <w:tab/>
        </w:r>
        <w:r w:rsidR="00A71FD1">
          <w:rPr>
            <w:noProof/>
            <w:webHidden/>
          </w:rPr>
          <w:fldChar w:fldCharType="begin"/>
        </w:r>
        <w:r w:rsidR="00A71FD1">
          <w:rPr>
            <w:noProof/>
            <w:webHidden/>
          </w:rPr>
          <w:instrText xml:space="preserve"> PAGEREF _Toc449954983 \h </w:instrText>
        </w:r>
        <w:r w:rsidR="00A71FD1">
          <w:rPr>
            <w:noProof/>
            <w:webHidden/>
          </w:rPr>
        </w:r>
        <w:r w:rsidR="00A71FD1">
          <w:rPr>
            <w:noProof/>
            <w:webHidden/>
          </w:rPr>
          <w:fldChar w:fldCharType="separate"/>
        </w:r>
        <w:r w:rsidR="00F05A97">
          <w:rPr>
            <w:noProof/>
            <w:webHidden/>
          </w:rPr>
          <w:t>70</w:t>
        </w:r>
        <w:r w:rsidR="00A71FD1">
          <w:rPr>
            <w:noProof/>
            <w:webHidden/>
          </w:rPr>
          <w:fldChar w:fldCharType="end"/>
        </w:r>
      </w:hyperlink>
    </w:p>
    <w:p w:rsidR="00A71FD1" w:rsidRDefault="00607746">
      <w:pPr>
        <w:pStyle w:val="TOC2"/>
        <w:rPr>
          <w:rFonts w:eastAsiaTheme="minorEastAsia"/>
          <w:bCs w:val="0"/>
          <w:noProof/>
          <w:lang w:val="en-AU" w:eastAsia="en-AU"/>
        </w:rPr>
      </w:pPr>
      <w:hyperlink w:anchor="_Toc449954984" w:history="1">
        <w:r w:rsidR="00A71FD1" w:rsidRPr="00FD79BC">
          <w:rPr>
            <w:rStyle w:val="Hyperlink"/>
            <w:noProof/>
          </w:rPr>
          <w:t>2.6 Key Evaluation Questions addressed</w:t>
        </w:r>
        <w:r w:rsidR="00A71FD1">
          <w:rPr>
            <w:noProof/>
            <w:webHidden/>
          </w:rPr>
          <w:tab/>
        </w:r>
        <w:r w:rsidR="00A71FD1">
          <w:rPr>
            <w:noProof/>
            <w:webHidden/>
          </w:rPr>
          <w:fldChar w:fldCharType="begin"/>
        </w:r>
        <w:r w:rsidR="00A71FD1">
          <w:rPr>
            <w:noProof/>
            <w:webHidden/>
          </w:rPr>
          <w:instrText xml:space="preserve"> PAGEREF _Toc449954984 \h </w:instrText>
        </w:r>
        <w:r w:rsidR="00A71FD1">
          <w:rPr>
            <w:noProof/>
            <w:webHidden/>
          </w:rPr>
        </w:r>
        <w:r w:rsidR="00A71FD1">
          <w:rPr>
            <w:noProof/>
            <w:webHidden/>
          </w:rPr>
          <w:fldChar w:fldCharType="separate"/>
        </w:r>
        <w:r w:rsidR="00F05A97">
          <w:rPr>
            <w:noProof/>
            <w:webHidden/>
          </w:rPr>
          <w:t>71</w:t>
        </w:r>
        <w:r w:rsidR="00A71FD1">
          <w:rPr>
            <w:noProof/>
            <w:webHidden/>
          </w:rPr>
          <w:fldChar w:fldCharType="end"/>
        </w:r>
      </w:hyperlink>
    </w:p>
    <w:p w:rsidR="00A71FD1" w:rsidRDefault="00607746">
      <w:pPr>
        <w:pStyle w:val="TOC3"/>
        <w:rPr>
          <w:rFonts w:eastAsiaTheme="minorEastAsia"/>
          <w:noProof/>
          <w:lang w:val="en-AU" w:eastAsia="en-AU"/>
        </w:rPr>
      </w:pPr>
      <w:hyperlink w:anchor="_Toc449954985" w:history="1">
        <w:r w:rsidR="00A71FD1" w:rsidRPr="00FD79BC">
          <w:rPr>
            <w:rStyle w:val="Hyperlink"/>
            <w:noProof/>
          </w:rPr>
          <w:t>2.6.1 Findings relating to Key Evaluation Questions</w:t>
        </w:r>
        <w:r w:rsidR="00A71FD1">
          <w:rPr>
            <w:noProof/>
            <w:webHidden/>
          </w:rPr>
          <w:tab/>
        </w:r>
        <w:r w:rsidR="00A71FD1">
          <w:rPr>
            <w:noProof/>
            <w:webHidden/>
          </w:rPr>
          <w:fldChar w:fldCharType="begin"/>
        </w:r>
        <w:r w:rsidR="00A71FD1">
          <w:rPr>
            <w:noProof/>
            <w:webHidden/>
          </w:rPr>
          <w:instrText xml:space="preserve"> PAGEREF _Toc449954985 \h </w:instrText>
        </w:r>
        <w:r w:rsidR="00A71FD1">
          <w:rPr>
            <w:noProof/>
            <w:webHidden/>
          </w:rPr>
        </w:r>
        <w:r w:rsidR="00A71FD1">
          <w:rPr>
            <w:noProof/>
            <w:webHidden/>
          </w:rPr>
          <w:fldChar w:fldCharType="separate"/>
        </w:r>
        <w:r w:rsidR="00F05A97">
          <w:rPr>
            <w:noProof/>
            <w:webHidden/>
          </w:rPr>
          <w:t>74</w:t>
        </w:r>
        <w:r w:rsidR="00A71FD1">
          <w:rPr>
            <w:noProof/>
            <w:webHidden/>
          </w:rPr>
          <w:fldChar w:fldCharType="end"/>
        </w:r>
      </w:hyperlink>
    </w:p>
    <w:p w:rsidR="00A71FD1" w:rsidRDefault="00607746">
      <w:pPr>
        <w:pStyle w:val="TOC1"/>
        <w:rPr>
          <w:rFonts w:eastAsiaTheme="minorEastAsia"/>
          <w:bCs w:val="0"/>
          <w:iCs w:val="0"/>
          <w:lang w:val="en-AU" w:eastAsia="en-AU"/>
        </w:rPr>
      </w:pPr>
      <w:hyperlink w:anchor="_Toc449954986" w:history="1">
        <w:r w:rsidR="00A71FD1" w:rsidRPr="00FD79BC">
          <w:rPr>
            <w:rStyle w:val="Hyperlink"/>
          </w:rPr>
          <w:t>3. NDIS Survey of people with disability, and their families and carers</w:t>
        </w:r>
        <w:r w:rsidR="00A71FD1">
          <w:rPr>
            <w:webHidden/>
          </w:rPr>
          <w:tab/>
        </w:r>
        <w:r w:rsidR="00A71FD1">
          <w:rPr>
            <w:webHidden/>
          </w:rPr>
          <w:fldChar w:fldCharType="begin"/>
        </w:r>
        <w:r w:rsidR="00A71FD1">
          <w:rPr>
            <w:webHidden/>
          </w:rPr>
          <w:instrText xml:space="preserve"> PAGEREF _Toc449954986 \h </w:instrText>
        </w:r>
        <w:r w:rsidR="00A71FD1">
          <w:rPr>
            <w:webHidden/>
          </w:rPr>
        </w:r>
        <w:r w:rsidR="00A71FD1">
          <w:rPr>
            <w:webHidden/>
          </w:rPr>
          <w:fldChar w:fldCharType="separate"/>
        </w:r>
        <w:r w:rsidR="00F05A97">
          <w:rPr>
            <w:webHidden/>
          </w:rPr>
          <w:t>83</w:t>
        </w:r>
        <w:r w:rsidR="00A71FD1">
          <w:rPr>
            <w:webHidden/>
          </w:rPr>
          <w:fldChar w:fldCharType="end"/>
        </w:r>
      </w:hyperlink>
    </w:p>
    <w:p w:rsidR="00A71FD1" w:rsidRDefault="00607746">
      <w:pPr>
        <w:pStyle w:val="TOC2"/>
        <w:rPr>
          <w:rFonts w:eastAsiaTheme="minorEastAsia"/>
          <w:bCs w:val="0"/>
          <w:noProof/>
          <w:lang w:val="en-AU" w:eastAsia="en-AU"/>
        </w:rPr>
      </w:pPr>
      <w:hyperlink w:anchor="_Toc449954987" w:history="1">
        <w:r w:rsidR="00A71FD1" w:rsidRPr="00FD79BC">
          <w:rPr>
            <w:rStyle w:val="Hyperlink"/>
            <w:noProof/>
          </w:rPr>
          <w:t>3.1 Introduction</w:t>
        </w:r>
        <w:r w:rsidR="00A71FD1">
          <w:rPr>
            <w:noProof/>
            <w:webHidden/>
          </w:rPr>
          <w:tab/>
        </w:r>
        <w:r w:rsidR="00A71FD1">
          <w:rPr>
            <w:noProof/>
            <w:webHidden/>
          </w:rPr>
          <w:fldChar w:fldCharType="begin"/>
        </w:r>
        <w:r w:rsidR="00A71FD1">
          <w:rPr>
            <w:noProof/>
            <w:webHidden/>
          </w:rPr>
          <w:instrText xml:space="preserve"> PAGEREF _Toc449954987 \h </w:instrText>
        </w:r>
        <w:r w:rsidR="00A71FD1">
          <w:rPr>
            <w:noProof/>
            <w:webHidden/>
          </w:rPr>
        </w:r>
        <w:r w:rsidR="00A71FD1">
          <w:rPr>
            <w:noProof/>
            <w:webHidden/>
          </w:rPr>
          <w:fldChar w:fldCharType="separate"/>
        </w:r>
        <w:r w:rsidR="00F05A97">
          <w:rPr>
            <w:noProof/>
            <w:webHidden/>
          </w:rPr>
          <w:t>83</w:t>
        </w:r>
        <w:r w:rsidR="00A71FD1">
          <w:rPr>
            <w:noProof/>
            <w:webHidden/>
          </w:rPr>
          <w:fldChar w:fldCharType="end"/>
        </w:r>
      </w:hyperlink>
    </w:p>
    <w:p w:rsidR="00A71FD1" w:rsidRDefault="00607746">
      <w:pPr>
        <w:pStyle w:val="TOC2"/>
        <w:rPr>
          <w:rFonts w:eastAsiaTheme="minorEastAsia"/>
          <w:bCs w:val="0"/>
          <w:noProof/>
          <w:lang w:val="en-AU" w:eastAsia="en-AU"/>
        </w:rPr>
      </w:pPr>
      <w:hyperlink w:anchor="_Toc449954988" w:history="1">
        <w:r w:rsidR="00A71FD1" w:rsidRPr="00FD79BC">
          <w:rPr>
            <w:rStyle w:val="Hyperlink"/>
            <w:noProof/>
          </w:rPr>
          <w:t>3.2 Design and development – the sampling process</w:t>
        </w:r>
        <w:r w:rsidR="00A71FD1">
          <w:rPr>
            <w:noProof/>
            <w:webHidden/>
          </w:rPr>
          <w:tab/>
        </w:r>
        <w:r w:rsidR="00A71FD1">
          <w:rPr>
            <w:noProof/>
            <w:webHidden/>
          </w:rPr>
          <w:fldChar w:fldCharType="begin"/>
        </w:r>
        <w:r w:rsidR="00A71FD1">
          <w:rPr>
            <w:noProof/>
            <w:webHidden/>
          </w:rPr>
          <w:instrText xml:space="preserve"> PAGEREF _Toc449954988 \h </w:instrText>
        </w:r>
        <w:r w:rsidR="00A71FD1">
          <w:rPr>
            <w:noProof/>
            <w:webHidden/>
          </w:rPr>
        </w:r>
        <w:r w:rsidR="00A71FD1">
          <w:rPr>
            <w:noProof/>
            <w:webHidden/>
          </w:rPr>
          <w:fldChar w:fldCharType="separate"/>
        </w:r>
        <w:r w:rsidR="00F05A97">
          <w:rPr>
            <w:noProof/>
            <w:webHidden/>
          </w:rPr>
          <w:t>84</w:t>
        </w:r>
        <w:r w:rsidR="00A71FD1">
          <w:rPr>
            <w:noProof/>
            <w:webHidden/>
          </w:rPr>
          <w:fldChar w:fldCharType="end"/>
        </w:r>
      </w:hyperlink>
    </w:p>
    <w:p w:rsidR="00A71FD1" w:rsidRDefault="00607746">
      <w:pPr>
        <w:pStyle w:val="TOC3"/>
        <w:rPr>
          <w:rFonts w:eastAsiaTheme="minorEastAsia"/>
          <w:noProof/>
          <w:lang w:val="en-AU" w:eastAsia="en-AU"/>
        </w:rPr>
      </w:pPr>
      <w:hyperlink w:anchor="_Toc449954989" w:history="1">
        <w:r w:rsidR="00A71FD1" w:rsidRPr="00FD79BC">
          <w:rPr>
            <w:rStyle w:val="Hyperlink"/>
            <w:noProof/>
          </w:rPr>
          <w:t>3.2.1 Sample design by location: trial and comparison groups</w:t>
        </w:r>
        <w:r w:rsidR="00A71FD1">
          <w:rPr>
            <w:noProof/>
            <w:webHidden/>
          </w:rPr>
          <w:tab/>
        </w:r>
        <w:r w:rsidR="00A71FD1">
          <w:rPr>
            <w:noProof/>
            <w:webHidden/>
          </w:rPr>
          <w:fldChar w:fldCharType="begin"/>
        </w:r>
        <w:r w:rsidR="00A71FD1">
          <w:rPr>
            <w:noProof/>
            <w:webHidden/>
          </w:rPr>
          <w:instrText xml:space="preserve"> PAGEREF _Toc449954989 \h </w:instrText>
        </w:r>
        <w:r w:rsidR="00A71FD1">
          <w:rPr>
            <w:noProof/>
            <w:webHidden/>
          </w:rPr>
        </w:r>
        <w:r w:rsidR="00A71FD1">
          <w:rPr>
            <w:noProof/>
            <w:webHidden/>
          </w:rPr>
          <w:fldChar w:fldCharType="separate"/>
        </w:r>
        <w:r w:rsidR="00F05A97">
          <w:rPr>
            <w:noProof/>
            <w:webHidden/>
          </w:rPr>
          <w:t>84</w:t>
        </w:r>
        <w:r w:rsidR="00A71FD1">
          <w:rPr>
            <w:noProof/>
            <w:webHidden/>
          </w:rPr>
          <w:fldChar w:fldCharType="end"/>
        </w:r>
      </w:hyperlink>
    </w:p>
    <w:p w:rsidR="00A71FD1" w:rsidRDefault="00607746">
      <w:pPr>
        <w:pStyle w:val="TOC3"/>
        <w:rPr>
          <w:rFonts w:eastAsiaTheme="minorEastAsia"/>
          <w:noProof/>
          <w:lang w:val="en-AU" w:eastAsia="en-AU"/>
        </w:rPr>
      </w:pPr>
      <w:hyperlink w:anchor="_Toc449954990" w:history="1">
        <w:r w:rsidR="00A71FD1" w:rsidRPr="00FD79BC">
          <w:rPr>
            <w:rStyle w:val="Hyperlink"/>
            <w:noProof/>
          </w:rPr>
          <w:t>3.2.2 Differences within trial sites and between trial sites</w:t>
        </w:r>
        <w:r w:rsidR="00A71FD1">
          <w:rPr>
            <w:noProof/>
            <w:webHidden/>
          </w:rPr>
          <w:tab/>
        </w:r>
        <w:r w:rsidR="00A71FD1">
          <w:rPr>
            <w:noProof/>
            <w:webHidden/>
          </w:rPr>
          <w:fldChar w:fldCharType="begin"/>
        </w:r>
        <w:r w:rsidR="00A71FD1">
          <w:rPr>
            <w:noProof/>
            <w:webHidden/>
          </w:rPr>
          <w:instrText xml:space="preserve"> PAGEREF _Toc449954990 \h </w:instrText>
        </w:r>
        <w:r w:rsidR="00A71FD1">
          <w:rPr>
            <w:noProof/>
            <w:webHidden/>
          </w:rPr>
        </w:r>
        <w:r w:rsidR="00A71FD1">
          <w:rPr>
            <w:noProof/>
            <w:webHidden/>
          </w:rPr>
          <w:fldChar w:fldCharType="separate"/>
        </w:r>
        <w:r w:rsidR="00F05A97">
          <w:rPr>
            <w:noProof/>
            <w:webHidden/>
          </w:rPr>
          <w:t>85</w:t>
        </w:r>
        <w:r w:rsidR="00A71FD1">
          <w:rPr>
            <w:noProof/>
            <w:webHidden/>
          </w:rPr>
          <w:fldChar w:fldCharType="end"/>
        </w:r>
      </w:hyperlink>
    </w:p>
    <w:p w:rsidR="00A71FD1" w:rsidRDefault="00607746">
      <w:pPr>
        <w:pStyle w:val="TOC3"/>
        <w:rPr>
          <w:rFonts w:eastAsiaTheme="minorEastAsia"/>
          <w:noProof/>
          <w:lang w:val="en-AU" w:eastAsia="en-AU"/>
        </w:rPr>
      </w:pPr>
      <w:hyperlink w:anchor="_Toc449954991" w:history="1">
        <w:r w:rsidR="00A71FD1" w:rsidRPr="00FD79BC">
          <w:rPr>
            <w:rStyle w:val="Hyperlink"/>
            <w:noProof/>
          </w:rPr>
          <w:t>3.2.3 Phasing in of the NDIS trial roll out and sampling timeline implications</w:t>
        </w:r>
        <w:r w:rsidR="00A71FD1">
          <w:rPr>
            <w:noProof/>
            <w:webHidden/>
          </w:rPr>
          <w:tab/>
        </w:r>
        <w:r w:rsidR="00A71FD1">
          <w:rPr>
            <w:noProof/>
            <w:webHidden/>
          </w:rPr>
          <w:fldChar w:fldCharType="begin"/>
        </w:r>
        <w:r w:rsidR="00A71FD1">
          <w:rPr>
            <w:noProof/>
            <w:webHidden/>
          </w:rPr>
          <w:instrText xml:space="preserve"> PAGEREF _Toc449954991 \h </w:instrText>
        </w:r>
        <w:r w:rsidR="00A71FD1">
          <w:rPr>
            <w:noProof/>
            <w:webHidden/>
          </w:rPr>
        </w:r>
        <w:r w:rsidR="00A71FD1">
          <w:rPr>
            <w:noProof/>
            <w:webHidden/>
          </w:rPr>
          <w:fldChar w:fldCharType="separate"/>
        </w:r>
        <w:r w:rsidR="00F05A97">
          <w:rPr>
            <w:noProof/>
            <w:webHidden/>
          </w:rPr>
          <w:t>85</w:t>
        </w:r>
        <w:r w:rsidR="00A71FD1">
          <w:rPr>
            <w:noProof/>
            <w:webHidden/>
          </w:rPr>
          <w:fldChar w:fldCharType="end"/>
        </w:r>
      </w:hyperlink>
    </w:p>
    <w:p w:rsidR="00A71FD1" w:rsidRDefault="00607746">
      <w:pPr>
        <w:pStyle w:val="TOC3"/>
        <w:rPr>
          <w:rFonts w:eastAsiaTheme="minorEastAsia"/>
          <w:noProof/>
          <w:lang w:val="en-AU" w:eastAsia="en-AU"/>
        </w:rPr>
      </w:pPr>
      <w:hyperlink w:anchor="_Toc449954992" w:history="1">
        <w:r w:rsidR="00A71FD1" w:rsidRPr="00FD79BC">
          <w:rPr>
            <w:rStyle w:val="Hyperlink"/>
            <w:noProof/>
          </w:rPr>
          <w:t>3.2.4 Sampling for trial and for control samples</w:t>
        </w:r>
        <w:r w:rsidR="00A71FD1">
          <w:rPr>
            <w:noProof/>
            <w:webHidden/>
          </w:rPr>
          <w:tab/>
        </w:r>
        <w:r w:rsidR="00A71FD1">
          <w:rPr>
            <w:noProof/>
            <w:webHidden/>
          </w:rPr>
          <w:fldChar w:fldCharType="begin"/>
        </w:r>
        <w:r w:rsidR="00A71FD1">
          <w:rPr>
            <w:noProof/>
            <w:webHidden/>
          </w:rPr>
          <w:instrText xml:space="preserve"> PAGEREF _Toc449954992 \h </w:instrText>
        </w:r>
        <w:r w:rsidR="00A71FD1">
          <w:rPr>
            <w:noProof/>
            <w:webHidden/>
          </w:rPr>
        </w:r>
        <w:r w:rsidR="00A71FD1">
          <w:rPr>
            <w:noProof/>
            <w:webHidden/>
          </w:rPr>
          <w:fldChar w:fldCharType="separate"/>
        </w:r>
        <w:r w:rsidR="00F05A97">
          <w:rPr>
            <w:noProof/>
            <w:webHidden/>
          </w:rPr>
          <w:t>86</w:t>
        </w:r>
        <w:r w:rsidR="00A71FD1">
          <w:rPr>
            <w:noProof/>
            <w:webHidden/>
          </w:rPr>
          <w:fldChar w:fldCharType="end"/>
        </w:r>
      </w:hyperlink>
    </w:p>
    <w:p w:rsidR="00A71FD1" w:rsidRDefault="00607746">
      <w:pPr>
        <w:pStyle w:val="TOC3"/>
        <w:rPr>
          <w:rFonts w:eastAsiaTheme="minorEastAsia"/>
          <w:noProof/>
          <w:lang w:val="en-AU" w:eastAsia="en-AU"/>
        </w:rPr>
      </w:pPr>
      <w:hyperlink w:anchor="_Toc449954993" w:history="1">
        <w:r w:rsidR="00A71FD1" w:rsidRPr="00FD79BC">
          <w:rPr>
            <w:rStyle w:val="Hyperlink"/>
            <w:noProof/>
          </w:rPr>
          <w:t>3.2.5 Sampling the Family and Carer</w:t>
        </w:r>
        <w:r w:rsidR="00A71FD1">
          <w:rPr>
            <w:noProof/>
            <w:webHidden/>
          </w:rPr>
          <w:tab/>
        </w:r>
        <w:r w:rsidR="00A71FD1">
          <w:rPr>
            <w:noProof/>
            <w:webHidden/>
          </w:rPr>
          <w:fldChar w:fldCharType="begin"/>
        </w:r>
        <w:r w:rsidR="00A71FD1">
          <w:rPr>
            <w:noProof/>
            <w:webHidden/>
          </w:rPr>
          <w:instrText xml:space="preserve"> PAGEREF _Toc449954993 \h </w:instrText>
        </w:r>
        <w:r w:rsidR="00A71FD1">
          <w:rPr>
            <w:noProof/>
            <w:webHidden/>
          </w:rPr>
        </w:r>
        <w:r w:rsidR="00A71FD1">
          <w:rPr>
            <w:noProof/>
            <w:webHidden/>
          </w:rPr>
          <w:fldChar w:fldCharType="separate"/>
        </w:r>
        <w:r w:rsidR="00F05A97">
          <w:rPr>
            <w:noProof/>
            <w:webHidden/>
          </w:rPr>
          <w:t>87</w:t>
        </w:r>
        <w:r w:rsidR="00A71FD1">
          <w:rPr>
            <w:noProof/>
            <w:webHidden/>
          </w:rPr>
          <w:fldChar w:fldCharType="end"/>
        </w:r>
      </w:hyperlink>
    </w:p>
    <w:p w:rsidR="00A71FD1" w:rsidRDefault="00607746">
      <w:pPr>
        <w:pStyle w:val="TOC3"/>
        <w:rPr>
          <w:rFonts w:eastAsiaTheme="minorEastAsia"/>
          <w:noProof/>
          <w:lang w:val="en-AU" w:eastAsia="en-AU"/>
        </w:rPr>
      </w:pPr>
      <w:hyperlink w:anchor="_Toc449954994" w:history="1">
        <w:r w:rsidR="00A71FD1" w:rsidRPr="00FD79BC">
          <w:rPr>
            <w:rStyle w:val="Hyperlink"/>
            <w:noProof/>
          </w:rPr>
          <w:t>3.2.6 Initial and later sampling</w:t>
        </w:r>
        <w:r w:rsidR="00A71FD1">
          <w:rPr>
            <w:noProof/>
            <w:webHidden/>
          </w:rPr>
          <w:tab/>
        </w:r>
        <w:r w:rsidR="00A71FD1">
          <w:rPr>
            <w:noProof/>
            <w:webHidden/>
          </w:rPr>
          <w:fldChar w:fldCharType="begin"/>
        </w:r>
        <w:r w:rsidR="00A71FD1">
          <w:rPr>
            <w:noProof/>
            <w:webHidden/>
          </w:rPr>
          <w:instrText xml:space="preserve"> PAGEREF _Toc449954994 \h </w:instrText>
        </w:r>
        <w:r w:rsidR="00A71FD1">
          <w:rPr>
            <w:noProof/>
            <w:webHidden/>
          </w:rPr>
        </w:r>
        <w:r w:rsidR="00A71FD1">
          <w:rPr>
            <w:noProof/>
            <w:webHidden/>
          </w:rPr>
          <w:fldChar w:fldCharType="separate"/>
        </w:r>
        <w:r w:rsidR="00F05A97">
          <w:rPr>
            <w:noProof/>
            <w:webHidden/>
          </w:rPr>
          <w:t>87</w:t>
        </w:r>
        <w:r w:rsidR="00A71FD1">
          <w:rPr>
            <w:noProof/>
            <w:webHidden/>
          </w:rPr>
          <w:fldChar w:fldCharType="end"/>
        </w:r>
      </w:hyperlink>
    </w:p>
    <w:p w:rsidR="00A71FD1" w:rsidRDefault="00607746">
      <w:pPr>
        <w:pStyle w:val="TOC3"/>
        <w:rPr>
          <w:rFonts w:eastAsiaTheme="minorEastAsia"/>
          <w:noProof/>
          <w:lang w:val="en-AU" w:eastAsia="en-AU"/>
        </w:rPr>
      </w:pPr>
      <w:hyperlink w:anchor="_Toc449954995" w:history="1">
        <w:r w:rsidR="00A71FD1" w:rsidRPr="00FD79BC">
          <w:rPr>
            <w:rStyle w:val="Hyperlink"/>
            <w:noProof/>
          </w:rPr>
          <w:t>3.2.7 Opt-out/in</w:t>
        </w:r>
        <w:r w:rsidR="00A71FD1">
          <w:rPr>
            <w:noProof/>
            <w:webHidden/>
          </w:rPr>
          <w:tab/>
        </w:r>
        <w:r w:rsidR="00A71FD1">
          <w:rPr>
            <w:noProof/>
            <w:webHidden/>
          </w:rPr>
          <w:fldChar w:fldCharType="begin"/>
        </w:r>
        <w:r w:rsidR="00A71FD1">
          <w:rPr>
            <w:noProof/>
            <w:webHidden/>
          </w:rPr>
          <w:instrText xml:space="preserve"> PAGEREF _Toc449954995 \h </w:instrText>
        </w:r>
        <w:r w:rsidR="00A71FD1">
          <w:rPr>
            <w:noProof/>
            <w:webHidden/>
          </w:rPr>
        </w:r>
        <w:r w:rsidR="00A71FD1">
          <w:rPr>
            <w:noProof/>
            <w:webHidden/>
          </w:rPr>
          <w:fldChar w:fldCharType="separate"/>
        </w:r>
        <w:r w:rsidR="00F05A97">
          <w:rPr>
            <w:noProof/>
            <w:webHidden/>
          </w:rPr>
          <w:t>88</w:t>
        </w:r>
        <w:r w:rsidR="00A71FD1">
          <w:rPr>
            <w:noProof/>
            <w:webHidden/>
          </w:rPr>
          <w:fldChar w:fldCharType="end"/>
        </w:r>
      </w:hyperlink>
    </w:p>
    <w:p w:rsidR="00A71FD1" w:rsidRDefault="00607746">
      <w:pPr>
        <w:pStyle w:val="TOC3"/>
        <w:rPr>
          <w:rFonts w:eastAsiaTheme="minorEastAsia"/>
          <w:noProof/>
          <w:lang w:val="en-AU" w:eastAsia="en-AU"/>
        </w:rPr>
      </w:pPr>
      <w:hyperlink w:anchor="_Toc449954996" w:history="1">
        <w:r w:rsidR="00A71FD1" w:rsidRPr="00FD79BC">
          <w:rPr>
            <w:rStyle w:val="Hyperlink"/>
            <w:noProof/>
          </w:rPr>
          <w:t>3.2.8 Registration</w:t>
        </w:r>
        <w:r w:rsidR="00A71FD1">
          <w:rPr>
            <w:noProof/>
            <w:webHidden/>
          </w:rPr>
          <w:tab/>
        </w:r>
        <w:r w:rsidR="00A71FD1">
          <w:rPr>
            <w:noProof/>
            <w:webHidden/>
          </w:rPr>
          <w:fldChar w:fldCharType="begin"/>
        </w:r>
        <w:r w:rsidR="00A71FD1">
          <w:rPr>
            <w:noProof/>
            <w:webHidden/>
          </w:rPr>
          <w:instrText xml:space="preserve"> PAGEREF _Toc449954996 \h </w:instrText>
        </w:r>
        <w:r w:rsidR="00A71FD1">
          <w:rPr>
            <w:noProof/>
            <w:webHidden/>
          </w:rPr>
        </w:r>
        <w:r w:rsidR="00A71FD1">
          <w:rPr>
            <w:noProof/>
            <w:webHidden/>
          </w:rPr>
          <w:fldChar w:fldCharType="separate"/>
        </w:r>
        <w:r w:rsidR="00F05A97">
          <w:rPr>
            <w:noProof/>
            <w:webHidden/>
          </w:rPr>
          <w:t>89</w:t>
        </w:r>
        <w:r w:rsidR="00A71FD1">
          <w:rPr>
            <w:noProof/>
            <w:webHidden/>
          </w:rPr>
          <w:fldChar w:fldCharType="end"/>
        </w:r>
      </w:hyperlink>
    </w:p>
    <w:p w:rsidR="00A71FD1" w:rsidRDefault="00607746">
      <w:pPr>
        <w:pStyle w:val="TOC3"/>
        <w:rPr>
          <w:rFonts w:eastAsiaTheme="minorEastAsia"/>
          <w:noProof/>
          <w:lang w:val="en-AU" w:eastAsia="en-AU"/>
        </w:rPr>
      </w:pPr>
      <w:hyperlink w:anchor="_Toc449954997" w:history="1">
        <w:r w:rsidR="00A71FD1" w:rsidRPr="00FD79BC">
          <w:rPr>
            <w:rStyle w:val="Hyperlink"/>
            <w:noProof/>
          </w:rPr>
          <w:t>3.2.9 Completing the first wave of interviews and commencing the second wave of interviews</w:t>
        </w:r>
        <w:r w:rsidR="00A71FD1">
          <w:rPr>
            <w:noProof/>
            <w:webHidden/>
          </w:rPr>
          <w:tab/>
        </w:r>
        <w:r w:rsidR="00A71FD1">
          <w:rPr>
            <w:noProof/>
            <w:webHidden/>
          </w:rPr>
          <w:fldChar w:fldCharType="begin"/>
        </w:r>
        <w:r w:rsidR="00A71FD1">
          <w:rPr>
            <w:noProof/>
            <w:webHidden/>
          </w:rPr>
          <w:instrText xml:space="preserve"> PAGEREF _Toc449954997 \h </w:instrText>
        </w:r>
        <w:r w:rsidR="00A71FD1">
          <w:rPr>
            <w:noProof/>
            <w:webHidden/>
          </w:rPr>
        </w:r>
        <w:r w:rsidR="00A71FD1">
          <w:rPr>
            <w:noProof/>
            <w:webHidden/>
          </w:rPr>
          <w:fldChar w:fldCharType="separate"/>
        </w:r>
        <w:r w:rsidR="00F05A97">
          <w:rPr>
            <w:noProof/>
            <w:webHidden/>
          </w:rPr>
          <w:t>91</w:t>
        </w:r>
        <w:r w:rsidR="00A71FD1">
          <w:rPr>
            <w:noProof/>
            <w:webHidden/>
          </w:rPr>
          <w:fldChar w:fldCharType="end"/>
        </w:r>
      </w:hyperlink>
    </w:p>
    <w:p w:rsidR="00A71FD1" w:rsidRDefault="00607746">
      <w:pPr>
        <w:pStyle w:val="TOC2"/>
        <w:rPr>
          <w:rFonts w:eastAsiaTheme="minorEastAsia"/>
          <w:bCs w:val="0"/>
          <w:noProof/>
          <w:lang w:val="en-AU" w:eastAsia="en-AU"/>
        </w:rPr>
      </w:pPr>
      <w:hyperlink w:anchor="_Toc449954998" w:history="1">
        <w:r w:rsidR="00A71FD1" w:rsidRPr="00FD79BC">
          <w:rPr>
            <w:rStyle w:val="Hyperlink"/>
            <w:noProof/>
          </w:rPr>
          <w:t>3.3 Accessibility and design – the survey instruments</w:t>
        </w:r>
        <w:r w:rsidR="00A71FD1">
          <w:rPr>
            <w:noProof/>
            <w:webHidden/>
          </w:rPr>
          <w:tab/>
        </w:r>
        <w:r w:rsidR="00A71FD1">
          <w:rPr>
            <w:noProof/>
            <w:webHidden/>
          </w:rPr>
          <w:fldChar w:fldCharType="begin"/>
        </w:r>
        <w:r w:rsidR="00A71FD1">
          <w:rPr>
            <w:noProof/>
            <w:webHidden/>
          </w:rPr>
          <w:instrText xml:space="preserve"> PAGEREF _Toc449954998 \h </w:instrText>
        </w:r>
        <w:r w:rsidR="00A71FD1">
          <w:rPr>
            <w:noProof/>
            <w:webHidden/>
          </w:rPr>
        </w:r>
        <w:r w:rsidR="00A71FD1">
          <w:rPr>
            <w:noProof/>
            <w:webHidden/>
          </w:rPr>
          <w:fldChar w:fldCharType="separate"/>
        </w:r>
        <w:r w:rsidR="00F05A97">
          <w:rPr>
            <w:noProof/>
            <w:webHidden/>
          </w:rPr>
          <w:t>92</w:t>
        </w:r>
        <w:r w:rsidR="00A71FD1">
          <w:rPr>
            <w:noProof/>
            <w:webHidden/>
          </w:rPr>
          <w:fldChar w:fldCharType="end"/>
        </w:r>
      </w:hyperlink>
    </w:p>
    <w:p w:rsidR="00A71FD1" w:rsidRDefault="00607746">
      <w:pPr>
        <w:pStyle w:val="TOC3"/>
        <w:rPr>
          <w:rFonts w:eastAsiaTheme="minorEastAsia"/>
          <w:noProof/>
          <w:lang w:val="en-AU" w:eastAsia="en-AU"/>
        </w:rPr>
      </w:pPr>
      <w:hyperlink w:anchor="_Toc449954999" w:history="1">
        <w:r w:rsidR="00A71FD1" w:rsidRPr="00FD79BC">
          <w:rPr>
            <w:rStyle w:val="Hyperlink"/>
            <w:noProof/>
          </w:rPr>
          <w:t>3.3.1 Multi-mode delivery</w:t>
        </w:r>
        <w:r w:rsidR="00A71FD1">
          <w:rPr>
            <w:noProof/>
            <w:webHidden/>
          </w:rPr>
          <w:tab/>
        </w:r>
        <w:r w:rsidR="00A71FD1">
          <w:rPr>
            <w:noProof/>
            <w:webHidden/>
          </w:rPr>
          <w:fldChar w:fldCharType="begin"/>
        </w:r>
        <w:r w:rsidR="00A71FD1">
          <w:rPr>
            <w:noProof/>
            <w:webHidden/>
          </w:rPr>
          <w:instrText xml:space="preserve"> PAGEREF _Toc449954999 \h </w:instrText>
        </w:r>
        <w:r w:rsidR="00A71FD1">
          <w:rPr>
            <w:noProof/>
            <w:webHidden/>
          </w:rPr>
        </w:r>
        <w:r w:rsidR="00A71FD1">
          <w:rPr>
            <w:noProof/>
            <w:webHidden/>
          </w:rPr>
          <w:fldChar w:fldCharType="separate"/>
        </w:r>
        <w:r w:rsidR="00F05A97">
          <w:rPr>
            <w:noProof/>
            <w:webHidden/>
          </w:rPr>
          <w:t>92</w:t>
        </w:r>
        <w:r w:rsidR="00A71FD1">
          <w:rPr>
            <w:noProof/>
            <w:webHidden/>
          </w:rPr>
          <w:fldChar w:fldCharType="end"/>
        </w:r>
      </w:hyperlink>
    </w:p>
    <w:p w:rsidR="00A71FD1" w:rsidRDefault="00607746">
      <w:pPr>
        <w:pStyle w:val="TOC3"/>
        <w:rPr>
          <w:rFonts w:eastAsiaTheme="minorEastAsia"/>
          <w:noProof/>
          <w:lang w:val="en-AU" w:eastAsia="en-AU"/>
        </w:rPr>
      </w:pPr>
      <w:hyperlink w:anchor="_Toc449955000" w:history="1">
        <w:r w:rsidR="00A71FD1" w:rsidRPr="00FD79BC">
          <w:rPr>
            <w:rStyle w:val="Hyperlink"/>
            <w:noProof/>
          </w:rPr>
          <w:t>3.3.2 Accessibility of questionnaires</w:t>
        </w:r>
        <w:r w:rsidR="00A71FD1">
          <w:rPr>
            <w:noProof/>
            <w:webHidden/>
          </w:rPr>
          <w:tab/>
        </w:r>
        <w:r w:rsidR="00A71FD1">
          <w:rPr>
            <w:noProof/>
            <w:webHidden/>
          </w:rPr>
          <w:fldChar w:fldCharType="begin"/>
        </w:r>
        <w:r w:rsidR="00A71FD1">
          <w:rPr>
            <w:noProof/>
            <w:webHidden/>
          </w:rPr>
          <w:instrText xml:space="preserve"> PAGEREF _Toc449955000 \h </w:instrText>
        </w:r>
        <w:r w:rsidR="00A71FD1">
          <w:rPr>
            <w:noProof/>
            <w:webHidden/>
          </w:rPr>
        </w:r>
        <w:r w:rsidR="00A71FD1">
          <w:rPr>
            <w:noProof/>
            <w:webHidden/>
          </w:rPr>
          <w:fldChar w:fldCharType="separate"/>
        </w:r>
        <w:r w:rsidR="00F05A97">
          <w:rPr>
            <w:noProof/>
            <w:webHidden/>
          </w:rPr>
          <w:t>92</w:t>
        </w:r>
        <w:r w:rsidR="00A71FD1">
          <w:rPr>
            <w:noProof/>
            <w:webHidden/>
          </w:rPr>
          <w:fldChar w:fldCharType="end"/>
        </w:r>
      </w:hyperlink>
    </w:p>
    <w:p w:rsidR="00A71FD1" w:rsidRDefault="00607746">
      <w:pPr>
        <w:pStyle w:val="TOC3"/>
        <w:rPr>
          <w:rFonts w:eastAsiaTheme="minorEastAsia"/>
          <w:noProof/>
          <w:lang w:val="en-AU" w:eastAsia="en-AU"/>
        </w:rPr>
      </w:pPr>
      <w:hyperlink w:anchor="_Toc449955001" w:history="1">
        <w:r w:rsidR="00A71FD1" w:rsidRPr="00FD79BC">
          <w:rPr>
            <w:rStyle w:val="Hyperlink"/>
            <w:noProof/>
          </w:rPr>
          <w:t>3.3.3 Designing the questionnaires and the questions</w:t>
        </w:r>
        <w:r w:rsidR="00A71FD1">
          <w:rPr>
            <w:noProof/>
            <w:webHidden/>
          </w:rPr>
          <w:tab/>
        </w:r>
        <w:r w:rsidR="00A71FD1">
          <w:rPr>
            <w:noProof/>
            <w:webHidden/>
          </w:rPr>
          <w:fldChar w:fldCharType="begin"/>
        </w:r>
        <w:r w:rsidR="00A71FD1">
          <w:rPr>
            <w:noProof/>
            <w:webHidden/>
          </w:rPr>
          <w:instrText xml:space="preserve"> PAGEREF _Toc449955001 \h </w:instrText>
        </w:r>
        <w:r w:rsidR="00A71FD1">
          <w:rPr>
            <w:noProof/>
            <w:webHidden/>
          </w:rPr>
        </w:r>
        <w:r w:rsidR="00A71FD1">
          <w:rPr>
            <w:noProof/>
            <w:webHidden/>
          </w:rPr>
          <w:fldChar w:fldCharType="separate"/>
        </w:r>
        <w:r w:rsidR="00F05A97">
          <w:rPr>
            <w:noProof/>
            <w:webHidden/>
          </w:rPr>
          <w:t>94</w:t>
        </w:r>
        <w:r w:rsidR="00A71FD1">
          <w:rPr>
            <w:noProof/>
            <w:webHidden/>
          </w:rPr>
          <w:fldChar w:fldCharType="end"/>
        </w:r>
      </w:hyperlink>
    </w:p>
    <w:p w:rsidR="00A71FD1" w:rsidRDefault="00607746">
      <w:pPr>
        <w:pStyle w:val="TOC3"/>
        <w:rPr>
          <w:rFonts w:eastAsiaTheme="minorEastAsia"/>
          <w:noProof/>
          <w:lang w:val="en-AU" w:eastAsia="en-AU"/>
        </w:rPr>
      </w:pPr>
      <w:hyperlink w:anchor="_Toc449955002" w:history="1">
        <w:r w:rsidR="00A71FD1" w:rsidRPr="00FD79BC">
          <w:rPr>
            <w:rStyle w:val="Hyperlink"/>
            <w:noProof/>
          </w:rPr>
          <w:t>3.3.4 Cognitive testing</w:t>
        </w:r>
        <w:r w:rsidR="00A71FD1">
          <w:rPr>
            <w:noProof/>
            <w:webHidden/>
          </w:rPr>
          <w:tab/>
        </w:r>
        <w:r w:rsidR="00A71FD1">
          <w:rPr>
            <w:noProof/>
            <w:webHidden/>
          </w:rPr>
          <w:fldChar w:fldCharType="begin"/>
        </w:r>
        <w:r w:rsidR="00A71FD1">
          <w:rPr>
            <w:noProof/>
            <w:webHidden/>
          </w:rPr>
          <w:instrText xml:space="preserve"> PAGEREF _Toc449955002 \h </w:instrText>
        </w:r>
        <w:r w:rsidR="00A71FD1">
          <w:rPr>
            <w:noProof/>
            <w:webHidden/>
          </w:rPr>
        </w:r>
        <w:r w:rsidR="00A71FD1">
          <w:rPr>
            <w:noProof/>
            <w:webHidden/>
          </w:rPr>
          <w:fldChar w:fldCharType="separate"/>
        </w:r>
        <w:r w:rsidR="00F05A97">
          <w:rPr>
            <w:noProof/>
            <w:webHidden/>
          </w:rPr>
          <w:t>95</w:t>
        </w:r>
        <w:r w:rsidR="00A71FD1">
          <w:rPr>
            <w:noProof/>
            <w:webHidden/>
          </w:rPr>
          <w:fldChar w:fldCharType="end"/>
        </w:r>
      </w:hyperlink>
    </w:p>
    <w:p w:rsidR="00A71FD1" w:rsidRDefault="00607746">
      <w:pPr>
        <w:pStyle w:val="TOC3"/>
        <w:rPr>
          <w:rFonts w:eastAsiaTheme="minorEastAsia"/>
          <w:noProof/>
          <w:lang w:val="en-AU" w:eastAsia="en-AU"/>
        </w:rPr>
      </w:pPr>
      <w:hyperlink w:anchor="_Toc449955003" w:history="1">
        <w:r w:rsidR="00A71FD1" w:rsidRPr="00FD79BC">
          <w:rPr>
            <w:rStyle w:val="Hyperlink"/>
            <w:noProof/>
          </w:rPr>
          <w:t>3.3.5 Easy English</w:t>
        </w:r>
        <w:r w:rsidR="00A71FD1">
          <w:rPr>
            <w:noProof/>
            <w:webHidden/>
          </w:rPr>
          <w:tab/>
        </w:r>
        <w:r w:rsidR="00A71FD1">
          <w:rPr>
            <w:noProof/>
            <w:webHidden/>
          </w:rPr>
          <w:fldChar w:fldCharType="begin"/>
        </w:r>
        <w:r w:rsidR="00A71FD1">
          <w:rPr>
            <w:noProof/>
            <w:webHidden/>
          </w:rPr>
          <w:instrText xml:space="preserve"> PAGEREF _Toc449955003 \h </w:instrText>
        </w:r>
        <w:r w:rsidR="00A71FD1">
          <w:rPr>
            <w:noProof/>
            <w:webHidden/>
          </w:rPr>
        </w:r>
        <w:r w:rsidR="00A71FD1">
          <w:rPr>
            <w:noProof/>
            <w:webHidden/>
          </w:rPr>
          <w:fldChar w:fldCharType="separate"/>
        </w:r>
        <w:r w:rsidR="00F05A97">
          <w:rPr>
            <w:noProof/>
            <w:webHidden/>
          </w:rPr>
          <w:t>95</w:t>
        </w:r>
        <w:r w:rsidR="00A71FD1">
          <w:rPr>
            <w:noProof/>
            <w:webHidden/>
          </w:rPr>
          <w:fldChar w:fldCharType="end"/>
        </w:r>
      </w:hyperlink>
    </w:p>
    <w:p w:rsidR="00A71FD1" w:rsidRDefault="00607746">
      <w:pPr>
        <w:pStyle w:val="TOC2"/>
        <w:rPr>
          <w:rFonts w:eastAsiaTheme="minorEastAsia"/>
          <w:bCs w:val="0"/>
          <w:noProof/>
          <w:lang w:val="en-AU" w:eastAsia="en-AU"/>
        </w:rPr>
      </w:pPr>
      <w:hyperlink w:anchor="_Toc449955004" w:history="1">
        <w:r w:rsidR="00A71FD1" w:rsidRPr="00FD79BC">
          <w:rPr>
            <w:rStyle w:val="Hyperlink"/>
            <w:noProof/>
          </w:rPr>
          <w:t>3.4 Pilot study</w:t>
        </w:r>
        <w:r w:rsidR="00A71FD1">
          <w:rPr>
            <w:noProof/>
            <w:webHidden/>
          </w:rPr>
          <w:tab/>
        </w:r>
        <w:r w:rsidR="00A71FD1">
          <w:rPr>
            <w:noProof/>
            <w:webHidden/>
          </w:rPr>
          <w:fldChar w:fldCharType="begin"/>
        </w:r>
        <w:r w:rsidR="00A71FD1">
          <w:rPr>
            <w:noProof/>
            <w:webHidden/>
          </w:rPr>
          <w:instrText xml:space="preserve"> PAGEREF _Toc449955004 \h </w:instrText>
        </w:r>
        <w:r w:rsidR="00A71FD1">
          <w:rPr>
            <w:noProof/>
            <w:webHidden/>
          </w:rPr>
        </w:r>
        <w:r w:rsidR="00A71FD1">
          <w:rPr>
            <w:noProof/>
            <w:webHidden/>
          </w:rPr>
          <w:fldChar w:fldCharType="separate"/>
        </w:r>
        <w:r w:rsidR="00F05A97">
          <w:rPr>
            <w:noProof/>
            <w:webHidden/>
          </w:rPr>
          <w:t>95</w:t>
        </w:r>
        <w:r w:rsidR="00A71FD1">
          <w:rPr>
            <w:noProof/>
            <w:webHidden/>
          </w:rPr>
          <w:fldChar w:fldCharType="end"/>
        </w:r>
      </w:hyperlink>
    </w:p>
    <w:p w:rsidR="00A71FD1" w:rsidRDefault="00607746">
      <w:pPr>
        <w:pStyle w:val="TOC2"/>
        <w:rPr>
          <w:rFonts w:eastAsiaTheme="minorEastAsia"/>
          <w:bCs w:val="0"/>
          <w:noProof/>
          <w:lang w:val="en-AU" w:eastAsia="en-AU"/>
        </w:rPr>
      </w:pPr>
      <w:hyperlink w:anchor="_Toc449955005" w:history="1">
        <w:r w:rsidR="00A71FD1" w:rsidRPr="00FD79BC">
          <w:rPr>
            <w:rStyle w:val="Hyperlink"/>
            <w:noProof/>
          </w:rPr>
          <w:t>3.5 Fieldwork (Wave 1)</w:t>
        </w:r>
        <w:r w:rsidR="00A71FD1">
          <w:rPr>
            <w:noProof/>
            <w:webHidden/>
          </w:rPr>
          <w:tab/>
        </w:r>
        <w:r w:rsidR="00A71FD1">
          <w:rPr>
            <w:noProof/>
            <w:webHidden/>
          </w:rPr>
          <w:fldChar w:fldCharType="begin"/>
        </w:r>
        <w:r w:rsidR="00A71FD1">
          <w:rPr>
            <w:noProof/>
            <w:webHidden/>
          </w:rPr>
          <w:instrText xml:space="preserve"> PAGEREF _Toc449955005 \h </w:instrText>
        </w:r>
        <w:r w:rsidR="00A71FD1">
          <w:rPr>
            <w:noProof/>
            <w:webHidden/>
          </w:rPr>
        </w:r>
        <w:r w:rsidR="00A71FD1">
          <w:rPr>
            <w:noProof/>
            <w:webHidden/>
          </w:rPr>
          <w:fldChar w:fldCharType="separate"/>
        </w:r>
        <w:r w:rsidR="00F05A97">
          <w:rPr>
            <w:noProof/>
            <w:webHidden/>
          </w:rPr>
          <w:t>97</w:t>
        </w:r>
        <w:r w:rsidR="00A71FD1">
          <w:rPr>
            <w:noProof/>
            <w:webHidden/>
          </w:rPr>
          <w:fldChar w:fldCharType="end"/>
        </w:r>
      </w:hyperlink>
    </w:p>
    <w:p w:rsidR="00A71FD1" w:rsidRDefault="00607746">
      <w:pPr>
        <w:pStyle w:val="TOC2"/>
        <w:rPr>
          <w:rFonts w:eastAsiaTheme="minorEastAsia"/>
          <w:bCs w:val="0"/>
          <w:noProof/>
          <w:lang w:val="en-AU" w:eastAsia="en-AU"/>
        </w:rPr>
      </w:pPr>
      <w:hyperlink w:anchor="_Toc449955006" w:history="1">
        <w:r w:rsidR="00A71FD1" w:rsidRPr="00FD79BC">
          <w:rPr>
            <w:rStyle w:val="Hyperlink"/>
            <w:noProof/>
          </w:rPr>
          <w:t>3.6 Initial Findings</w:t>
        </w:r>
        <w:r w:rsidR="00A71FD1">
          <w:rPr>
            <w:noProof/>
            <w:webHidden/>
          </w:rPr>
          <w:tab/>
        </w:r>
        <w:r w:rsidR="00A71FD1">
          <w:rPr>
            <w:noProof/>
            <w:webHidden/>
          </w:rPr>
          <w:fldChar w:fldCharType="begin"/>
        </w:r>
        <w:r w:rsidR="00A71FD1">
          <w:rPr>
            <w:noProof/>
            <w:webHidden/>
          </w:rPr>
          <w:instrText xml:space="preserve"> PAGEREF _Toc449955006 \h </w:instrText>
        </w:r>
        <w:r w:rsidR="00A71FD1">
          <w:rPr>
            <w:noProof/>
            <w:webHidden/>
          </w:rPr>
        </w:r>
        <w:r w:rsidR="00A71FD1">
          <w:rPr>
            <w:noProof/>
            <w:webHidden/>
          </w:rPr>
          <w:fldChar w:fldCharType="separate"/>
        </w:r>
        <w:r w:rsidR="00F05A97">
          <w:rPr>
            <w:noProof/>
            <w:webHidden/>
          </w:rPr>
          <w:t>100</w:t>
        </w:r>
        <w:r w:rsidR="00A71FD1">
          <w:rPr>
            <w:noProof/>
            <w:webHidden/>
          </w:rPr>
          <w:fldChar w:fldCharType="end"/>
        </w:r>
      </w:hyperlink>
    </w:p>
    <w:p w:rsidR="00A71FD1" w:rsidRDefault="00607746">
      <w:pPr>
        <w:pStyle w:val="TOC3"/>
        <w:rPr>
          <w:rFonts w:eastAsiaTheme="minorEastAsia"/>
          <w:noProof/>
          <w:lang w:val="en-AU" w:eastAsia="en-AU"/>
        </w:rPr>
      </w:pPr>
      <w:hyperlink w:anchor="_Toc449955007" w:history="1">
        <w:r w:rsidR="00A71FD1" w:rsidRPr="00FD79BC">
          <w:rPr>
            <w:rStyle w:val="Hyperlink"/>
            <w:noProof/>
          </w:rPr>
          <w:t>3.6.1 Part A – Socio-demographics</w:t>
        </w:r>
        <w:r w:rsidR="00A71FD1">
          <w:rPr>
            <w:noProof/>
            <w:webHidden/>
          </w:rPr>
          <w:tab/>
        </w:r>
        <w:r w:rsidR="00A71FD1">
          <w:rPr>
            <w:noProof/>
            <w:webHidden/>
          </w:rPr>
          <w:fldChar w:fldCharType="begin"/>
        </w:r>
        <w:r w:rsidR="00A71FD1">
          <w:rPr>
            <w:noProof/>
            <w:webHidden/>
          </w:rPr>
          <w:instrText xml:space="preserve"> PAGEREF _Toc449955007 \h </w:instrText>
        </w:r>
        <w:r w:rsidR="00A71FD1">
          <w:rPr>
            <w:noProof/>
            <w:webHidden/>
          </w:rPr>
        </w:r>
        <w:r w:rsidR="00A71FD1">
          <w:rPr>
            <w:noProof/>
            <w:webHidden/>
          </w:rPr>
          <w:fldChar w:fldCharType="separate"/>
        </w:r>
        <w:r w:rsidR="00F05A97">
          <w:rPr>
            <w:noProof/>
            <w:webHidden/>
          </w:rPr>
          <w:t>100</w:t>
        </w:r>
        <w:r w:rsidR="00A71FD1">
          <w:rPr>
            <w:noProof/>
            <w:webHidden/>
          </w:rPr>
          <w:fldChar w:fldCharType="end"/>
        </w:r>
      </w:hyperlink>
    </w:p>
    <w:p w:rsidR="00A71FD1" w:rsidRDefault="00607746">
      <w:pPr>
        <w:pStyle w:val="TOC3"/>
        <w:rPr>
          <w:rFonts w:eastAsiaTheme="minorEastAsia"/>
          <w:noProof/>
          <w:lang w:val="en-AU" w:eastAsia="en-AU"/>
        </w:rPr>
      </w:pPr>
      <w:hyperlink w:anchor="_Toc449955008" w:history="1">
        <w:r w:rsidR="00A71FD1" w:rsidRPr="00FD79BC">
          <w:rPr>
            <w:rStyle w:val="Hyperlink"/>
            <w:noProof/>
          </w:rPr>
          <w:t>3.6.2 Part A – Disability and living arrangements</w:t>
        </w:r>
        <w:r w:rsidR="00A71FD1">
          <w:rPr>
            <w:noProof/>
            <w:webHidden/>
          </w:rPr>
          <w:tab/>
        </w:r>
        <w:r w:rsidR="00A71FD1">
          <w:rPr>
            <w:noProof/>
            <w:webHidden/>
          </w:rPr>
          <w:fldChar w:fldCharType="begin"/>
        </w:r>
        <w:r w:rsidR="00A71FD1">
          <w:rPr>
            <w:noProof/>
            <w:webHidden/>
          </w:rPr>
          <w:instrText xml:space="preserve"> PAGEREF _Toc449955008 \h </w:instrText>
        </w:r>
        <w:r w:rsidR="00A71FD1">
          <w:rPr>
            <w:noProof/>
            <w:webHidden/>
          </w:rPr>
        </w:r>
        <w:r w:rsidR="00A71FD1">
          <w:rPr>
            <w:noProof/>
            <w:webHidden/>
          </w:rPr>
          <w:fldChar w:fldCharType="separate"/>
        </w:r>
        <w:r w:rsidR="00F05A97">
          <w:rPr>
            <w:noProof/>
            <w:webHidden/>
          </w:rPr>
          <w:t>101</w:t>
        </w:r>
        <w:r w:rsidR="00A71FD1">
          <w:rPr>
            <w:noProof/>
            <w:webHidden/>
          </w:rPr>
          <w:fldChar w:fldCharType="end"/>
        </w:r>
      </w:hyperlink>
    </w:p>
    <w:p w:rsidR="00A71FD1" w:rsidRDefault="00607746">
      <w:pPr>
        <w:pStyle w:val="TOC3"/>
        <w:rPr>
          <w:rFonts w:eastAsiaTheme="minorEastAsia"/>
          <w:noProof/>
          <w:lang w:val="en-AU" w:eastAsia="en-AU"/>
        </w:rPr>
      </w:pPr>
      <w:hyperlink w:anchor="_Toc449955009" w:history="1">
        <w:r w:rsidR="00A71FD1" w:rsidRPr="00FD79BC">
          <w:rPr>
            <w:rStyle w:val="Hyperlink"/>
            <w:noProof/>
          </w:rPr>
          <w:t>3.6.3 Part A – Supports before the NDIS (NDIS participants only)</w:t>
        </w:r>
        <w:r w:rsidR="00A71FD1">
          <w:rPr>
            <w:noProof/>
            <w:webHidden/>
          </w:rPr>
          <w:tab/>
        </w:r>
        <w:r w:rsidR="00A71FD1">
          <w:rPr>
            <w:noProof/>
            <w:webHidden/>
          </w:rPr>
          <w:fldChar w:fldCharType="begin"/>
        </w:r>
        <w:r w:rsidR="00A71FD1">
          <w:rPr>
            <w:noProof/>
            <w:webHidden/>
          </w:rPr>
          <w:instrText xml:space="preserve"> PAGEREF _Toc449955009 \h </w:instrText>
        </w:r>
        <w:r w:rsidR="00A71FD1">
          <w:rPr>
            <w:noProof/>
            <w:webHidden/>
          </w:rPr>
        </w:r>
        <w:r w:rsidR="00A71FD1">
          <w:rPr>
            <w:noProof/>
            <w:webHidden/>
          </w:rPr>
          <w:fldChar w:fldCharType="separate"/>
        </w:r>
        <w:r w:rsidR="00F05A97">
          <w:rPr>
            <w:noProof/>
            <w:webHidden/>
          </w:rPr>
          <w:t>106</w:t>
        </w:r>
        <w:r w:rsidR="00A71FD1">
          <w:rPr>
            <w:noProof/>
            <w:webHidden/>
          </w:rPr>
          <w:fldChar w:fldCharType="end"/>
        </w:r>
      </w:hyperlink>
    </w:p>
    <w:p w:rsidR="00A71FD1" w:rsidRDefault="00607746">
      <w:pPr>
        <w:pStyle w:val="TOC3"/>
        <w:rPr>
          <w:rFonts w:eastAsiaTheme="minorEastAsia"/>
          <w:noProof/>
          <w:lang w:val="en-AU" w:eastAsia="en-AU"/>
        </w:rPr>
      </w:pPr>
      <w:hyperlink w:anchor="_Toc449955010" w:history="1">
        <w:r w:rsidR="00A71FD1" w:rsidRPr="00FD79BC">
          <w:rPr>
            <w:rStyle w:val="Hyperlink"/>
            <w:noProof/>
          </w:rPr>
          <w:t>3.6.4 Part A – Participation in the NDIS: planning and accessing supports</w:t>
        </w:r>
        <w:r w:rsidR="00A71FD1">
          <w:rPr>
            <w:noProof/>
            <w:webHidden/>
          </w:rPr>
          <w:tab/>
        </w:r>
        <w:r w:rsidR="00A71FD1">
          <w:rPr>
            <w:noProof/>
            <w:webHidden/>
          </w:rPr>
          <w:fldChar w:fldCharType="begin"/>
        </w:r>
        <w:r w:rsidR="00A71FD1">
          <w:rPr>
            <w:noProof/>
            <w:webHidden/>
          </w:rPr>
          <w:instrText xml:space="preserve"> PAGEREF _Toc449955010 \h </w:instrText>
        </w:r>
        <w:r w:rsidR="00A71FD1">
          <w:rPr>
            <w:noProof/>
            <w:webHidden/>
          </w:rPr>
        </w:r>
        <w:r w:rsidR="00A71FD1">
          <w:rPr>
            <w:noProof/>
            <w:webHidden/>
          </w:rPr>
          <w:fldChar w:fldCharType="separate"/>
        </w:r>
        <w:r w:rsidR="00F05A97">
          <w:rPr>
            <w:noProof/>
            <w:webHidden/>
          </w:rPr>
          <w:t>107</w:t>
        </w:r>
        <w:r w:rsidR="00A71FD1">
          <w:rPr>
            <w:noProof/>
            <w:webHidden/>
          </w:rPr>
          <w:fldChar w:fldCharType="end"/>
        </w:r>
      </w:hyperlink>
    </w:p>
    <w:p w:rsidR="00A71FD1" w:rsidRDefault="00607746">
      <w:pPr>
        <w:pStyle w:val="TOC3"/>
        <w:rPr>
          <w:rFonts w:eastAsiaTheme="minorEastAsia"/>
          <w:noProof/>
          <w:lang w:val="en-AU" w:eastAsia="en-AU"/>
        </w:rPr>
      </w:pPr>
      <w:hyperlink w:anchor="_Toc449955011" w:history="1">
        <w:r w:rsidR="00A71FD1" w:rsidRPr="00FD79BC">
          <w:rPr>
            <w:rStyle w:val="Hyperlink"/>
            <w:noProof/>
          </w:rPr>
          <w:t>3.6.5 Part A – Participation in the NDIS: support providers</w:t>
        </w:r>
        <w:r w:rsidR="00A71FD1">
          <w:rPr>
            <w:noProof/>
            <w:webHidden/>
          </w:rPr>
          <w:tab/>
        </w:r>
        <w:r w:rsidR="00A71FD1">
          <w:rPr>
            <w:noProof/>
            <w:webHidden/>
          </w:rPr>
          <w:fldChar w:fldCharType="begin"/>
        </w:r>
        <w:r w:rsidR="00A71FD1">
          <w:rPr>
            <w:noProof/>
            <w:webHidden/>
          </w:rPr>
          <w:instrText xml:space="preserve"> PAGEREF _Toc449955011 \h </w:instrText>
        </w:r>
        <w:r w:rsidR="00A71FD1">
          <w:rPr>
            <w:noProof/>
            <w:webHidden/>
          </w:rPr>
        </w:r>
        <w:r w:rsidR="00A71FD1">
          <w:rPr>
            <w:noProof/>
            <w:webHidden/>
          </w:rPr>
          <w:fldChar w:fldCharType="separate"/>
        </w:r>
        <w:r w:rsidR="00F05A97">
          <w:rPr>
            <w:noProof/>
            <w:webHidden/>
          </w:rPr>
          <w:t>112</w:t>
        </w:r>
        <w:r w:rsidR="00A71FD1">
          <w:rPr>
            <w:noProof/>
            <w:webHidden/>
          </w:rPr>
          <w:fldChar w:fldCharType="end"/>
        </w:r>
      </w:hyperlink>
    </w:p>
    <w:p w:rsidR="00A71FD1" w:rsidRDefault="00607746">
      <w:pPr>
        <w:pStyle w:val="TOC3"/>
        <w:rPr>
          <w:rFonts w:eastAsiaTheme="minorEastAsia"/>
          <w:noProof/>
          <w:lang w:val="en-AU" w:eastAsia="en-AU"/>
        </w:rPr>
      </w:pPr>
      <w:hyperlink w:anchor="_Toc449955012" w:history="1">
        <w:r w:rsidR="00A71FD1" w:rsidRPr="00FD79BC">
          <w:rPr>
            <w:rStyle w:val="Hyperlink"/>
            <w:noProof/>
          </w:rPr>
          <w:t>3.6.6 Part A – Education</w:t>
        </w:r>
        <w:r w:rsidR="00A71FD1">
          <w:rPr>
            <w:noProof/>
            <w:webHidden/>
          </w:rPr>
          <w:tab/>
        </w:r>
        <w:r w:rsidR="00A71FD1">
          <w:rPr>
            <w:noProof/>
            <w:webHidden/>
          </w:rPr>
          <w:fldChar w:fldCharType="begin"/>
        </w:r>
        <w:r w:rsidR="00A71FD1">
          <w:rPr>
            <w:noProof/>
            <w:webHidden/>
          </w:rPr>
          <w:instrText xml:space="preserve"> PAGEREF _Toc449955012 \h </w:instrText>
        </w:r>
        <w:r w:rsidR="00A71FD1">
          <w:rPr>
            <w:noProof/>
            <w:webHidden/>
          </w:rPr>
        </w:r>
        <w:r w:rsidR="00A71FD1">
          <w:rPr>
            <w:noProof/>
            <w:webHidden/>
          </w:rPr>
          <w:fldChar w:fldCharType="separate"/>
        </w:r>
        <w:r w:rsidR="00F05A97">
          <w:rPr>
            <w:noProof/>
            <w:webHidden/>
          </w:rPr>
          <w:t>114</w:t>
        </w:r>
        <w:r w:rsidR="00A71FD1">
          <w:rPr>
            <w:noProof/>
            <w:webHidden/>
          </w:rPr>
          <w:fldChar w:fldCharType="end"/>
        </w:r>
      </w:hyperlink>
    </w:p>
    <w:p w:rsidR="00A71FD1" w:rsidRDefault="00607746">
      <w:pPr>
        <w:pStyle w:val="TOC3"/>
        <w:rPr>
          <w:rFonts w:eastAsiaTheme="minorEastAsia"/>
          <w:noProof/>
          <w:lang w:val="en-AU" w:eastAsia="en-AU"/>
        </w:rPr>
      </w:pPr>
      <w:hyperlink w:anchor="_Toc449955013" w:history="1">
        <w:r w:rsidR="00A71FD1" w:rsidRPr="00FD79BC">
          <w:rPr>
            <w:rStyle w:val="Hyperlink"/>
            <w:noProof/>
          </w:rPr>
          <w:t>3.6.7 Part A – Employment</w:t>
        </w:r>
        <w:r w:rsidR="00A71FD1">
          <w:rPr>
            <w:noProof/>
            <w:webHidden/>
          </w:rPr>
          <w:tab/>
        </w:r>
        <w:r w:rsidR="00A71FD1">
          <w:rPr>
            <w:noProof/>
            <w:webHidden/>
          </w:rPr>
          <w:fldChar w:fldCharType="begin"/>
        </w:r>
        <w:r w:rsidR="00A71FD1">
          <w:rPr>
            <w:noProof/>
            <w:webHidden/>
          </w:rPr>
          <w:instrText xml:space="preserve"> PAGEREF _Toc449955013 \h </w:instrText>
        </w:r>
        <w:r w:rsidR="00A71FD1">
          <w:rPr>
            <w:noProof/>
            <w:webHidden/>
          </w:rPr>
        </w:r>
        <w:r w:rsidR="00A71FD1">
          <w:rPr>
            <w:noProof/>
            <w:webHidden/>
          </w:rPr>
          <w:fldChar w:fldCharType="separate"/>
        </w:r>
        <w:r w:rsidR="00F05A97">
          <w:rPr>
            <w:noProof/>
            <w:webHidden/>
          </w:rPr>
          <w:t>119</w:t>
        </w:r>
        <w:r w:rsidR="00A71FD1">
          <w:rPr>
            <w:noProof/>
            <w:webHidden/>
          </w:rPr>
          <w:fldChar w:fldCharType="end"/>
        </w:r>
      </w:hyperlink>
    </w:p>
    <w:p w:rsidR="00A71FD1" w:rsidRDefault="00607746">
      <w:pPr>
        <w:pStyle w:val="TOC3"/>
        <w:rPr>
          <w:rFonts w:eastAsiaTheme="minorEastAsia"/>
          <w:noProof/>
          <w:lang w:val="en-AU" w:eastAsia="en-AU"/>
        </w:rPr>
      </w:pPr>
      <w:hyperlink w:anchor="_Toc449955014" w:history="1">
        <w:r w:rsidR="00A71FD1" w:rsidRPr="00FD79BC">
          <w:rPr>
            <w:rStyle w:val="Hyperlink"/>
            <w:noProof/>
          </w:rPr>
          <w:t>3.6.8 Part A – Income</w:t>
        </w:r>
        <w:r w:rsidR="00A71FD1">
          <w:rPr>
            <w:noProof/>
            <w:webHidden/>
          </w:rPr>
          <w:tab/>
        </w:r>
        <w:r w:rsidR="00A71FD1">
          <w:rPr>
            <w:noProof/>
            <w:webHidden/>
          </w:rPr>
          <w:fldChar w:fldCharType="begin"/>
        </w:r>
        <w:r w:rsidR="00A71FD1">
          <w:rPr>
            <w:noProof/>
            <w:webHidden/>
          </w:rPr>
          <w:instrText xml:space="preserve"> PAGEREF _Toc449955014 \h </w:instrText>
        </w:r>
        <w:r w:rsidR="00A71FD1">
          <w:rPr>
            <w:noProof/>
            <w:webHidden/>
          </w:rPr>
        </w:r>
        <w:r w:rsidR="00A71FD1">
          <w:rPr>
            <w:noProof/>
            <w:webHidden/>
          </w:rPr>
          <w:fldChar w:fldCharType="separate"/>
        </w:r>
        <w:r w:rsidR="00F05A97">
          <w:rPr>
            <w:noProof/>
            <w:webHidden/>
          </w:rPr>
          <w:t>122</w:t>
        </w:r>
        <w:r w:rsidR="00A71FD1">
          <w:rPr>
            <w:noProof/>
            <w:webHidden/>
          </w:rPr>
          <w:fldChar w:fldCharType="end"/>
        </w:r>
      </w:hyperlink>
    </w:p>
    <w:p w:rsidR="00A71FD1" w:rsidRDefault="00607746">
      <w:pPr>
        <w:pStyle w:val="TOC3"/>
        <w:rPr>
          <w:rFonts w:eastAsiaTheme="minorEastAsia"/>
          <w:noProof/>
          <w:lang w:val="en-AU" w:eastAsia="en-AU"/>
        </w:rPr>
      </w:pPr>
      <w:hyperlink w:anchor="_Toc449955015" w:history="1">
        <w:r w:rsidR="00A71FD1" w:rsidRPr="00FD79BC">
          <w:rPr>
            <w:rStyle w:val="Hyperlink"/>
            <w:noProof/>
          </w:rPr>
          <w:t>3.6.9 Part B – Overview</w:t>
        </w:r>
        <w:r w:rsidR="00A71FD1">
          <w:rPr>
            <w:noProof/>
            <w:webHidden/>
          </w:rPr>
          <w:tab/>
        </w:r>
        <w:r w:rsidR="00A71FD1">
          <w:rPr>
            <w:noProof/>
            <w:webHidden/>
          </w:rPr>
          <w:fldChar w:fldCharType="begin"/>
        </w:r>
        <w:r w:rsidR="00A71FD1">
          <w:rPr>
            <w:noProof/>
            <w:webHidden/>
          </w:rPr>
          <w:instrText xml:space="preserve"> PAGEREF _Toc449955015 \h </w:instrText>
        </w:r>
        <w:r w:rsidR="00A71FD1">
          <w:rPr>
            <w:noProof/>
            <w:webHidden/>
          </w:rPr>
        </w:r>
        <w:r w:rsidR="00A71FD1">
          <w:rPr>
            <w:noProof/>
            <w:webHidden/>
          </w:rPr>
          <w:fldChar w:fldCharType="separate"/>
        </w:r>
        <w:r w:rsidR="00F05A97">
          <w:rPr>
            <w:noProof/>
            <w:webHidden/>
          </w:rPr>
          <w:t>125</w:t>
        </w:r>
        <w:r w:rsidR="00A71FD1">
          <w:rPr>
            <w:noProof/>
            <w:webHidden/>
          </w:rPr>
          <w:fldChar w:fldCharType="end"/>
        </w:r>
      </w:hyperlink>
    </w:p>
    <w:p w:rsidR="00A71FD1" w:rsidRDefault="00607746">
      <w:pPr>
        <w:pStyle w:val="TOC3"/>
        <w:rPr>
          <w:rFonts w:eastAsiaTheme="minorEastAsia"/>
          <w:noProof/>
          <w:lang w:val="en-AU" w:eastAsia="en-AU"/>
        </w:rPr>
      </w:pPr>
      <w:hyperlink w:anchor="_Toc449955016" w:history="1">
        <w:r w:rsidR="00A71FD1" w:rsidRPr="00FD79BC">
          <w:rPr>
            <w:rStyle w:val="Hyperlink"/>
            <w:noProof/>
          </w:rPr>
          <w:t>3.6.10 Part B – Social participation and wellbeing</w:t>
        </w:r>
        <w:r w:rsidR="00A71FD1">
          <w:rPr>
            <w:noProof/>
            <w:webHidden/>
          </w:rPr>
          <w:tab/>
        </w:r>
        <w:r w:rsidR="00A71FD1">
          <w:rPr>
            <w:noProof/>
            <w:webHidden/>
          </w:rPr>
          <w:fldChar w:fldCharType="begin"/>
        </w:r>
        <w:r w:rsidR="00A71FD1">
          <w:rPr>
            <w:noProof/>
            <w:webHidden/>
          </w:rPr>
          <w:instrText xml:space="preserve"> PAGEREF _Toc449955016 \h </w:instrText>
        </w:r>
        <w:r w:rsidR="00A71FD1">
          <w:rPr>
            <w:noProof/>
            <w:webHidden/>
          </w:rPr>
        </w:r>
        <w:r w:rsidR="00A71FD1">
          <w:rPr>
            <w:noProof/>
            <w:webHidden/>
          </w:rPr>
          <w:fldChar w:fldCharType="separate"/>
        </w:r>
        <w:r w:rsidR="00F05A97">
          <w:rPr>
            <w:noProof/>
            <w:webHidden/>
          </w:rPr>
          <w:t>125</w:t>
        </w:r>
        <w:r w:rsidR="00A71FD1">
          <w:rPr>
            <w:noProof/>
            <w:webHidden/>
          </w:rPr>
          <w:fldChar w:fldCharType="end"/>
        </w:r>
      </w:hyperlink>
    </w:p>
    <w:p w:rsidR="00A71FD1" w:rsidRDefault="00607746">
      <w:pPr>
        <w:pStyle w:val="TOC4"/>
        <w:rPr>
          <w:rFonts w:eastAsiaTheme="minorEastAsia"/>
          <w:noProof/>
          <w:lang w:val="en-AU" w:eastAsia="en-AU"/>
        </w:rPr>
      </w:pPr>
      <w:hyperlink w:anchor="_Toc449955017" w:history="1">
        <w:r w:rsidR="00A71FD1" w:rsidRPr="00FD79BC">
          <w:rPr>
            <w:rStyle w:val="Hyperlink"/>
            <w:noProof/>
          </w:rPr>
          <w:t xml:space="preserve">3.6.10.1 </w:t>
        </w:r>
        <w:r w:rsidR="00A71FD1" w:rsidRPr="00FD79BC">
          <w:rPr>
            <w:rStyle w:val="Hyperlink"/>
            <w:rFonts w:ascii="Calibri" w:hAnsi="Calibri"/>
            <w:noProof/>
          </w:rPr>
          <w:t>Statements</w:t>
        </w:r>
        <w:r w:rsidR="00A71FD1" w:rsidRPr="00FD79BC">
          <w:rPr>
            <w:rStyle w:val="Hyperlink"/>
            <w:noProof/>
          </w:rPr>
          <w:t xml:space="preserve"> about yourself and how you feel</w:t>
        </w:r>
        <w:r w:rsidR="00A71FD1">
          <w:rPr>
            <w:noProof/>
            <w:webHidden/>
          </w:rPr>
          <w:tab/>
        </w:r>
        <w:r w:rsidR="00A71FD1">
          <w:rPr>
            <w:noProof/>
            <w:webHidden/>
          </w:rPr>
          <w:fldChar w:fldCharType="begin"/>
        </w:r>
        <w:r w:rsidR="00A71FD1">
          <w:rPr>
            <w:noProof/>
            <w:webHidden/>
          </w:rPr>
          <w:instrText xml:space="preserve"> PAGEREF _Toc449955017 \h </w:instrText>
        </w:r>
        <w:r w:rsidR="00A71FD1">
          <w:rPr>
            <w:noProof/>
            <w:webHidden/>
          </w:rPr>
        </w:r>
        <w:r w:rsidR="00A71FD1">
          <w:rPr>
            <w:noProof/>
            <w:webHidden/>
          </w:rPr>
          <w:fldChar w:fldCharType="separate"/>
        </w:r>
        <w:r w:rsidR="00F05A97">
          <w:rPr>
            <w:noProof/>
            <w:webHidden/>
          </w:rPr>
          <w:t>128</w:t>
        </w:r>
        <w:r w:rsidR="00A71FD1">
          <w:rPr>
            <w:noProof/>
            <w:webHidden/>
          </w:rPr>
          <w:fldChar w:fldCharType="end"/>
        </w:r>
      </w:hyperlink>
    </w:p>
    <w:p w:rsidR="00A71FD1" w:rsidRDefault="00607746">
      <w:pPr>
        <w:pStyle w:val="TOC4"/>
        <w:rPr>
          <w:rFonts w:eastAsiaTheme="minorEastAsia"/>
          <w:noProof/>
          <w:lang w:val="en-AU" w:eastAsia="en-AU"/>
        </w:rPr>
      </w:pPr>
      <w:hyperlink w:anchor="_Toc449955018" w:history="1">
        <w:r w:rsidR="00A71FD1" w:rsidRPr="00FD79BC">
          <w:rPr>
            <w:rStyle w:val="Hyperlink"/>
            <w:noProof/>
          </w:rPr>
          <w:t>3.6.10.2 Statements about how happy respondents feel about things in their life</w:t>
        </w:r>
        <w:r w:rsidR="00A71FD1">
          <w:rPr>
            <w:noProof/>
            <w:webHidden/>
          </w:rPr>
          <w:tab/>
        </w:r>
        <w:r w:rsidR="00A71FD1">
          <w:rPr>
            <w:noProof/>
            <w:webHidden/>
          </w:rPr>
          <w:fldChar w:fldCharType="begin"/>
        </w:r>
        <w:r w:rsidR="00A71FD1">
          <w:rPr>
            <w:noProof/>
            <w:webHidden/>
          </w:rPr>
          <w:instrText xml:space="preserve"> PAGEREF _Toc449955018 \h </w:instrText>
        </w:r>
        <w:r w:rsidR="00A71FD1">
          <w:rPr>
            <w:noProof/>
            <w:webHidden/>
          </w:rPr>
        </w:r>
        <w:r w:rsidR="00A71FD1">
          <w:rPr>
            <w:noProof/>
            <w:webHidden/>
          </w:rPr>
          <w:fldChar w:fldCharType="separate"/>
        </w:r>
        <w:r w:rsidR="00F05A97">
          <w:rPr>
            <w:noProof/>
            <w:webHidden/>
          </w:rPr>
          <w:t>131</w:t>
        </w:r>
        <w:r w:rsidR="00A71FD1">
          <w:rPr>
            <w:noProof/>
            <w:webHidden/>
          </w:rPr>
          <w:fldChar w:fldCharType="end"/>
        </w:r>
      </w:hyperlink>
    </w:p>
    <w:p w:rsidR="00A71FD1" w:rsidRDefault="00607746">
      <w:pPr>
        <w:pStyle w:val="TOC4"/>
        <w:rPr>
          <w:rFonts w:eastAsiaTheme="minorEastAsia"/>
          <w:noProof/>
          <w:lang w:val="en-AU" w:eastAsia="en-AU"/>
        </w:rPr>
      </w:pPr>
      <w:hyperlink w:anchor="_Toc449955019" w:history="1">
        <w:r w:rsidR="00A71FD1" w:rsidRPr="00FD79BC">
          <w:rPr>
            <w:rStyle w:val="Hyperlink"/>
            <w:noProof/>
          </w:rPr>
          <w:t>3.6.10.3 Statements about support respondents feel they have from other people</w:t>
        </w:r>
        <w:r w:rsidR="00A71FD1">
          <w:rPr>
            <w:noProof/>
            <w:webHidden/>
          </w:rPr>
          <w:tab/>
        </w:r>
        <w:r w:rsidR="00A71FD1">
          <w:rPr>
            <w:noProof/>
            <w:webHidden/>
          </w:rPr>
          <w:fldChar w:fldCharType="begin"/>
        </w:r>
        <w:r w:rsidR="00A71FD1">
          <w:rPr>
            <w:noProof/>
            <w:webHidden/>
          </w:rPr>
          <w:instrText xml:space="preserve"> PAGEREF _Toc449955019 \h </w:instrText>
        </w:r>
        <w:r w:rsidR="00A71FD1">
          <w:rPr>
            <w:noProof/>
            <w:webHidden/>
          </w:rPr>
        </w:r>
        <w:r w:rsidR="00A71FD1">
          <w:rPr>
            <w:noProof/>
            <w:webHidden/>
          </w:rPr>
          <w:fldChar w:fldCharType="separate"/>
        </w:r>
        <w:r w:rsidR="00F05A97">
          <w:rPr>
            <w:noProof/>
            <w:webHidden/>
          </w:rPr>
          <w:t>133</w:t>
        </w:r>
        <w:r w:rsidR="00A71FD1">
          <w:rPr>
            <w:noProof/>
            <w:webHidden/>
          </w:rPr>
          <w:fldChar w:fldCharType="end"/>
        </w:r>
      </w:hyperlink>
    </w:p>
    <w:p w:rsidR="00A71FD1" w:rsidRDefault="00607746">
      <w:pPr>
        <w:pStyle w:val="TOC3"/>
        <w:rPr>
          <w:rFonts w:eastAsiaTheme="minorEastAsia"/>
          <w:noProof/>
          <w:lang w:val="en-AU" w:eastAsia="en-AU"/>
        </w:rPr>
      </w:pPr>
      <w:hyperlink w:anchor="_Toc449955020" w:history="1">
        <w:r w:rsidR="00A71FD1" w:rsidRPr="00FD79BC">
          <w:rPr>
            <w:rStyle w:val="Hyperlink"/>
            <w:noProof/>
          </w:rPr>
          <w:t>3.6.11 Education aspirations (children and adults reported separately)</w:t>
        </w:r>
        <w:r w:rsidR="00A71FD1">
          <w:rPr>
            <w:noProof/>
            <w:webHidden/>
          </w:rPr>
          <w:tab/>
        </w:r>
        <w:r w:rsidR="00A71FD1">
          <w:rPr>
            <w:noProof/>
            <w:webHidden/>
          </w:rPr>
          <w:fldChar w:fldCharType="begin"/>
        </w:r>
        <w:r w:rsidR="00A71FD1">
          <w:rPr>
            <w:noProof/>
            <w:webHidden/>
          </w:rPr>
          <w:instrText xml:space="preserve"> PAGEREF _Toc449955020 \h </w:instrText>
        </w:r>
        <w:r w:rsidR="00A71FD1">
          <w:rPr>
            <w:noProof/>
            <w:webHidden/>
          </w:rPr>
        </w:r>
        <w:r w:rsidR="00A71FD1">
          <w:rPr>
            <w:noProof/>
            <w:webHidden/>
          </w:rPr>
          <w:fldChar w:fldCharType="separate"/>
        </w:r>
        <w:r w:rsidR="00F05A97">
          <w:rPr>
            <w:noProof/>
            <w:webHidden/>
          </w:rPr>
          <w:t>136</w:t>
        </w:r>
        <w:r w:rsidR="00A71FD1">
          <w:rPr>
            <w:noProof/>
            <w:webHidden/>
          </w:rPr>
          <w:fldChar w:fldCharType="end"/>
        </w:r>
      </w:hyperlink>
    </w:p>
    <w:p w:rsidR="00A71FD1" w:rsidRDefault="00607746">
      <w:pPr>
        <w:pStyle w:val="TOC3"/>
        <w:rPr>
          <w:rFonts w:eastAsiaTheme="minorEastAsia"/>
          <w:noProof/>
          <w:lang w:val="en-AU" w:eastAsia="en-AU"/>
        </w:rPr>
      </w:pPr>
      <w:hyperlink w:anchor="_Toc449955021" w:history="1">
        <w:r w:rsidR="00A71FD1" w:rsidRPr="00FD79BC">
          <w:rPr>
            <w:rStyle w:val="Hyperlink"/>
            <w:noProof/>
          </w:rPr>
          <w:t>3.6.12 Employment aspirations</w:t>
        </w:r>
        <w:r w:rsidR="00A71FD1">
          <w:rPr>
            <w:noProof/>
            <w:webHidden/>
          </w:rPr>
          <w:tab/>
        </w:r>
        <w:r w:rsidR="00A71FD1">
          <w:rPr>
            <w:noProof/>
            <w:webHidden/>
          </w:rPr>
          <w:fldChar w:fldCharType="begin"/>
        </w:r>
        <w:r w:rsidR="00A71FD1">
          <w:rPr>
            <w:noProof/>
            <w:webHidden/>
          </w:rPr>
          <w:instrText xml:space="preserve"> PAGEREF _Toc449955021 \h </w:instrText>
        </w:r>
        <w:r w:rsidR="00A71FD1">
          <w:rPr>
            <w:noProof/>
            <w:webHidden/>
          </w:rPr>
        </w:r>
        <w:r w:rsidR="00A71FD1">
          <w:rPr>
            <w:noProof/>
            <w:webHidden/>
          </w:rPr>
          <w:fldChar w:fldCharType="separate"/>
        </w:r>
        <w:r w:rsidR="00F05A97">
          <w:rPr>
            <w:noProof/>
            <w:webHidden/>
          </w:rPr>
          <w:t>138</w:t>
        </w:r>
        <w:r w:rsidR="00A71FD1">
          <w:rPr>
            <w:noProof/>
            <w:webHidden/>
          </w:rPr>
          <w:fldChar w:fldCharType="end"/>
        </w:r>
      </w:hyperlink>
    </w:p>
    <w:p w:rsidR="00A71FD1" w:rsidRDefault="00607746">
      <w:pPr>
        <w:pStyle w:val="TOC3"/>
        <w:rPr>
          <w:rFonts w:eastAsiaTheme="minorEastAsia"/>
          <w:noProof/>
          <w:lang w:val="en-AU" w:eastAsia="en-AU"/>
        </w:rPr>
      </w:pPr>
      <w:hyperlink w:anchor="_Toc449955022" w:history="1">
        <w:r w:rsidR="00A71FD1" w:rsidRPr="00FD79BC">
          <w:rPr>
            <w:rStyle w:val="Hyperlink"/>
            <w:noProof/>
          </w:rPr>
          <w:t>3.6.12 Living and housing</w:t>
        </w:r>
        <w:r w:rsidR="00A71FD1">
          <w:rPr>
            <w:noProof/>
            <w:webHidden/>
          </w:rPr>
          <w:tab/>
        </w:r>
        <w:r w:rsidR="00A71FD1">
          <w:rPr>
            <w:noProof/>
            <w:webHidden/>
          </w:rPr>
          <w:fldChar w:fldCharType="begin"/>
        </w:r>
        <w:r w:rsidR="00A71FD1">
          <w:rPr>
            <w:noProof/>
            <w:webHidden/>
          </w:rPr>
          <w:instrText xml:space="preserve"> PAGEREF _Toc449955022 \h </w:instrText>
        </w:r>
        <w:r w:rsidR="00A71FD1">
          <w:rPr>
            <w:noProof/>
            <w:webHidden/>
          </w:rPr>
        </w:r>
        <w:r w:rsidR="00A71FD1">
          <w:rPr>
            <w:noProof/>
            <w:webHidden/>
          </w:rPr>
          <w:fldChar w:fldCharType="separate"/>
        </w:r>
        <w:r w:rsidR="00F05A97">
          <w:rPr>
            <w:noProof/>
            <w:webHidden/>
          </w:rPr>
          <w:t>141</w:t>
        </w:r>
        <w:r w:rsidR="00A71FD1">
          <w:rPr>
            <w:noProof/>
            <w:webHidden/>
          </w:rPr>
          <w:fldChar w:fldCharType="end"/>
        </w:r>
      </w:hyperlink>
    </w:p>
    <w:p w:rsidR="00A71FD1" w:rsidRDefault="00607746">
      <w:pPr>
        <w:pStyle w:val="TOC3"/>
        <w:rPr>
          <w:rFonts w:eastAsiaTheme="minorEastAsia"/>
          <w:noProof/>
          <w:lang w:val="en-AU" w:eastAsia="en-AU"/>
        </w:rPr>
      </w:pPr>
      <w:hyperlink w:anchor="_Toc449955023" w:history="1">
        <w:r w:rsidR="00A71FD1" w:rsidRPr="00FD79BC">
          <w:rPr>
            <w:rStyle w:val="Hyperlink"/>
            <w:noProof/>
          </w:rPr>
          <w:t>3.6.13 Past disability supports</w:t>
        </w:r>
        <w:r w:rsidR="00A71FD1">
          <w:rPr>
            <w:noProof/>
            <w:webHidden/>
          </w:rPr>
          <w:tab/>
        </w:r>
        <w:r w:rsidR="00A71FD1">
          <w:rPr>
            <w:noProof/>
            <w:webHidden/>
          </w:rPr>
          <w:fldChar w:fldCharType="begin"/>
        </w:r>
        <w:r w:rsidR="00A71FD1">
          <w:rPr>
            <w:noProof/>
            <w:webHidden/>
          </w:rPr>
          <w:instrText xml:space="preserve"> PAGEREF _Toc449955023 \h </w:instrText>
        </w:r>
        <w:r w:rsidR="00A71FD1">
          <w:rPr>
            <w:noProof/>
            <w:webHidden/>
          </w:rPr>
        </w:r>
        <w:r w:rsidR="00A71FD1">
          <w:rPr>
            <w:noProof/>
            <w:webHidden/>
          </w:rPr>
          <w:fldChar w:fldCharType="separate"/>
        </w:r>
        <w:r w:rsidR="00F05A97">
          <w:rPr>
            <w:noProof/>
            <w:webHidden/>
          </w:rPr>
          <w:t>143</w:t>
        </w:r>
        <w:r w:rsidR="00A71FD1">
          <w:rPr>
            <w:noProof/>
            <w:webHidden/>
          </w:rPr>
          <w:fldChar w:fldCharType="end"/>
        </w:r>
      </w:hyperlink>
    </w:p>
    <w:p w:rsidR="00A71FD1" w:rsidRDefault="00607746">
      <w:pPr>
        <w:pStyle w:val="TOC3"/>
        <w:rPr>
          <w:rFonts w:eastAsiaTheme="minorEastAsia"/>
          <w:noProof/>
          <w:lang w:val="en-AU" w:eastAsia="en-AU"/>
        </w:rPr>
      </w:pPr>
      <w:hyperlink w:anchor="_Toc449955024" w:history="1">
        <w:r w:rsidR="00A71FD1" w:rsidRPr="00FD79BC">
          <w:rPr>
            <w:rStyle w:val="Hyperlink"/>
            <w:noProof/>
          </w:rPr>
          <w:t>3.6.14 Current disability supports</w:t>
        </w:r>
        <w:r w:rsidR="00A71FD1">
          <w:rPr>
            <w:noProof/>
            <w:webHidden/>
          </w:rPr>
          <w:tab/>
        </w:r>
        <w:r w:rsidR="00A71FD1">
          <w:rPr>
            <w:noProof/>
            <w:webHidden/>
          </w:rPr>
          <w:fldChar w:fldCharType="begin"/>
        </w:r>
        <w:r w:rsidR="00A71FD1">
          <w:rPr>
            <w:noProof/>
            <w:webHidden/>
          </w:rPr>
          <w:instrText xml:space="preserve"> PAGEREF _Toc449955024 \h </w:instrText>
        </w:r>
        <w:r w:rsidR="00A71FD1">
          <w:rPr>
            <w:noProof/>
            <w:webHidden/>
          </w:rPr>
        </w:r>
        <w:r w:rsidR="00A71FD1">
          <w:rPr>
            <w:noProof/>
            <w:webHidden/>
          </w:rPr>
          <w:fldChar w:fldCharType="separate"/>
        </w:r>
        <w:r w:rsidR="00F05A97">
          <w:rPr>
            <w:noProof/>
            <w:webHidden/>
          </w:rPr>
          <w:t>144</w:t>
        </w:r>
        <w:r w:rsidR="00A71FD1">
          <w:rPr>
            <w:noProof/>
            <w:webHidden/>
          </w:rPr>
          <w:fldChar w:fldCharType="end"/>
        </w:r>
      </w:hyperlink>
    </w:p>
    <w:p w:rsidR="00A71FD1" w:rsidRDefault="00607746">
      <w:pPr>
        <w:pStyle w:val="TOC2"/>
        <w:rPr>
          <w:rFonts w:eastAsiaTheme="minorEastAsia"/>
          <w:bCs w:val="0"/>
          <w:noProof/>
          <w:lang w:val="en-AU" w:eastAsia="en-AU"/>
        </w:rPr>
      </w:pPr>
      <w:hyperlink w:anchor="_Toc449955025" w:history="1">
        <w:r w:rsidR="00A71FD1" w:rsidRPr="00FD79BC">
          <w:rPr>
            <w:rStyle w:val="Hyperlink"/>
            <w:noProof/>
          </w:rPr>
          <w:t>3.7 The NDIS surveys and the Key Evaluation Questions: Preliminary thoughts</w:t>
        </w:r>
        <w:r w:rsidR="00A71FD1">
          <w:rPr>
            <w:noProof/>
            <w:webHidden/>
          </w:rPr>
          <w:tab/>
        </w:r>
        <w:r w:rsidR="00A71FD1">
          <w:rPr>
            <w:noProof/>
            <w:webHidden/>
          </w:rPr>
          <w:fldChar w:fldCharType="begin"/>
        </w:r>
        <w:r w:rsidR="00A71FD1">
          <w:rPr>
            <w:noProof/>
            <w:webHidden/>
          </w:rPr>
          <w:instrText xml:space="preserve"> PAGEREF _Toc449955025 \h </w:instrText>
        </w:r>
        <w:r w:rsidR="00A71FD1">
          <w:rPr>
            <w:noProof/>
            <w:webHidden/>
          </w:rPr>
        </w:r>
        <w:r w:rsidR="00A71FD1">
          <w:rPr>
            <w:noProof/>
            <w:webHidden/>
          </w:rPr>
          <w:fldChar w:fldCharType="separate"/>
        </w:r>
        <w:r w:rsidR="00F05A97">
          <w:rPr>
            <w:noProof/>
            <w:webHidden/>
          </w:rPr>
          <w:t>150</w:t>
        </w:r>
        <w:r w:rsidR="00A71FD1">
          <w:rPr>
            <w:noProof/>
            <w:webHidden/>
          </w:rPr>
          <w:fldChar w:fldCharType="end"/>
        </w:r>
      </w:hyperlink>
    </w:p>
    <w:p w:rsidR="00A71FD1" w:rsidRDefault="00607746">
      <w:pPr>
        <w:pStyle w:val="TOC2"/>
        <w:rPr>
          <w:rFonts w:eastAsiaTheme="minorEastAsia"/>
          <w:bCs w:val="0"/>
          <w:noProof/>
          <w:lang w:val="en-AU" w:eastAsia="en-AU"/>
        </w:rPr>
      </w:pPr>
      <w:hyperlink w:anchor="_Toc449955026" w:history="1">
        <w:r w:rsidR="00A71FD1" w:rsidRPr="00FD79BC">
          <w:rPr>
            <w:rStyle w:val="Hyperlink"/>
            <w:noProof/>
          </w:rPr>
          <w:t>3.8 Summary and comments</w:t>
        </w:r>
        <w:r w:rsidR="00A71FD1">
          <w:rPr>
            <w:noProof/>
            <w:webHidden/>
          </w:rPr>
          <w:tab/>
        </w:r>
        <w:r w:rsidR="00A71FD1">
          <w:rPr>
            <w:noProof/>
            <w:webHidden/>
          </w:rPr>
          <w:fldChar w:fldCharType="begin"/>
        </w:r>
        <w:r w:rsidR="00A71FD1">
          <w:rPr>
            <w:noProof/>
            <w:webHidden/>
          </w:rPr>
          <w:instrText xml:space="preserve"> PAGEREF _Toc449955026 \h </w:instrText>
        </w:r>
        <w:r w:rsidR="00A71FD1">
          <w:rPr>
            <w:noProof/>
            <w:webHidden/>
          </w:rPr>
        </w:r>
        <w:r w:rsidR="00A71FD1">
          <w:rPr>
            <w:noProof/>
            <w:webHidden/>
          </w:rPr>
          <w:fldChar w:fldCharType="separate"/>
        </w:r>
        <w:r w:rsidR="00F05A97">
          <w:rPr>
            <w:noProof/>
            <w:webHidden/>
          </w:rPr>
          <w:t>151</w:t>
        </w:r>
        <w:r w:rsidR="00A71FD1">
          <w:rPr>
            <w:noProof/>
            <w:webHidden/>
          </w:rPr>
          <w:fldChar w:fldCharType="end"/>
        </w:r>
      </w:hyperlink>
    </w:p>
    <w:p w:rsidR="00A71FD1" w:rsidRDefault="00607746">
      <w:pPr>
        <w:pStyle w:val="TOC1"/>
        <w:rPr>
          <w:rFonts w:eastAsiaTheme="minorEastAsia"/>
          <w:bCs w:val="0"/>
          <w:iCs w:val="0"/>
          <w:lang w:val="en-AU" w:eastAsia="en-AU"/>
        </w:rPr>
      </w:pPr>
      <w:hyperlink w:anchor="_Toc449955027" w:history="1">
        <w:r w:rsidR="00A71FD1" w:rsidRPr="00FD79BC">
          <w:rPr>
            <w:rStyle w:val="Hyperlink"/>
          </w:rPr>
          <w:t>4. The 2014 NDIS Disability Support Providers Surveys</w:t>
        </w:r>
        <w:r w:rsidR="00A71FD1">
          <w:rPr>
            <w:webHidden/>
          </w:rPr>
          <w:tab/>
        </w:r>
        <w:r w:rsidR="00A71FD1">
          <w:rPr>
            <w:webHidden/>
          </w:rPr>
          <w:fldChar w:fldCharType="begin"/>
        </w:r>
        <w:r w:rsidR="00A71FD1">
          <w:rPr>
            <w:webHidden/>
          </w:rPr>
          <w:instrText xml:space="preserve"> PAGEREF _Toc449955027 \h </w:instrText>
        </w:r>
        <w:r w:rsidR="00A71FD1">
          <w:rPr>
            <w:webHidden/>
          </w:rPr>
        </w:r>
        <w:r w:rsidR="00A71FD1">
          <w:rPr>
            <w:webHidden/>
          </w:rPr>
          <w:fldChar w:fldCharType="separate"/>
        </w:r>
        <w:r w:rsidR="00F05A97">
          <w:rPr>
            <w:webHidden/>
          </w:rPr>
          <w:t>154</w:t>
        </w:r>
        <w:r w:rsidR="00A71FD1">
          <w:rPr>
            <w:webHidden/>
          </w:rPr>
          <w:fldChar w:fldCharType="end"/>
        </w:r>
      </w:hyperlink>
    </w:p>
    <w:p w:rsidR="00A71FD1" w:rsidRDefault="00607746">
      <w:pPr>
        <w:pStyle w:val="TOC2"/>
        <w:rPr>
          <w:rFonts w:eastAsiaTheme="minorEastAsia"/>
          <w:bCs w:val="0"/>
          <w:noProof/>
          <w:lang w:val="en-AU" w:eastAsia="en-AU"/>
        </w:rPr>
      </w:pPr>
      <w:hyperlink w:anchor="_Toc449955028" w:history="1">
        <w:r w:rsidR="00A71FD1" w:rsidRPr="00FD79BC">
          <w:rPr>
            <w:rStyle w:val="Hyperlink"/>
            <w:noProof/>
          </w:rPr>
          <w:t>4.1 Introduction</w:t>
        </w:r>
        <w:r w:rsidR="00A71FD1">
          <w:rPr>
            <w:noProof/>
            <w:webHidden/>
          </w:rPr>
          <w:tab/>
        </w:r>
        <w:r w:rsidR="00A71FD1">
          <w:rPr>
            <w:noProof/>
            <w:webHidden/>
          </w:rPr>
          <w:fldChar w:fldCharType="begin"/>
        </w:r>
        <w:r w:rsidR="00A71FD1">
          <w:rPr>
            <w:noProof/>
            <w:webHidden/>
          </w:rPr>
          <w:instrText xml:space="preserve"> PAGEREF _Toc449955028 \h </w:instrText>
        </w:r>
        <w:r w:rsidR="00A71FD1">
          <w:rPr>
            <w:noProof/>
            <w:webHidden/>
          </w:rPr>
        </w:r>
        <w:r w:rsidR="00A71FD1">
          <w:rPr>
            <w:noProof/>
            <w:webHidden/>
          </w:rPr>
          <w:fldChar w:fldCharType="separate"/>
        </w:r>
        <w:r w:rsidR="00F05A97">
          <w:rPr>
            <w:noProof/>
            <w:webHidden/>
          </w:rPr>
          <w:t>154</w:t>
        </w:r>
        <w:r w:rsidR="00A71FD1">
          <w:rPr>
            <w:noProof/>
            <w:webHidden/>
          </w:rPr>
          <w:fldChar w:fldCharType="end"/>
        </w:r>
      </w:hyperlink>
    </w:p>
    <w:p w:rsidR="00A71FD1" w:rsidRDefault="00607746">
      <w:pPr>
        <w:pStyle w:val="TOC3"/>
        <w:rPr>
          <w:rFonts w:eastAsiaTheme="minorEastAsia"/>
          <w:noProof/>
          <w:lang w:val="en-AU" w:eastAsia="en-AU"/>
        </w:rPr>
      </w:pPr>
      <w:hyperlink w:anchor="_Toc449955029" w:history="1">
        <w:r w:rsidR="00A71FD1" w:rsidRPr="00FD79BC">
          <w:rPr>
            <w:rStyle w:val="Hyperlink"/>
            <w:noProof/>
          </w:rPr>
          <w:t>4.1.1 The purpose of the 2014 NDIS DSP surveys</w:t>
        </w:r>
        <w:r w:rsidR="00A71FD1">
          <w:rPr>
            <w:noProof/>
            <w:webHidden/>
          </w:rPr>
          <w:tab/>
        </w:r>
        <w:r w:rsidR="00A71FD1">
          <w:rPr>
            <w:noProof/>
            <w:webHidden/>
          </w:rPr>
          <w:fldChar w:fldCharType="begin"/>
        </w:r>
        <w:r w:rsidR="00A71FD1">
          <w:rPr>
            <w:noProof/>
            <w:webHidden/>
          </w:rPr>
          <w:instrText xml:space="preserve"> PAGEREF _Toc449955029 \h </w:instrText>
        </w:r>
        <w:r w:rsidR="00A71FD1">
          <w:rPr>
            <w:noProof/>
            <w:webHidden/>
          </w:rPr>
        </w:r>
        <w:r w:rsidR="00A71FD1">
          <w:rPr>
            <w:noProof/>
            <w:webHidden/>
          </w:rPr>
          <w:fldChar w:fldCharType="separate"/>
        </w:r>
        <w:r w:rsidR="00F05A97">
          <w:rPr>
            <w:noProof/>
            <w:webHidden/>
          </w:rPr>
          <w:t>154</w:t>
        </w:r>
        <w:r w:rsidR="00A71FD1">
          <w:rPr>
            <w:noProof/>
            <w:webHidden/>
          </w:rPr>
          <w:fldChar w:fldCharType="end"/>
        </w:r>
      </w:hyperlink>
    </w:p>
    <w:p w:rsidR="00A71FD1" w:rsidRDefault="00607746">
      <w:pPr>
        <w:pStyle w:val="TOC3"/>
        <w:rPr>
          <w:rFonts w:eastAsiaTheme="minorEastAsia"/>
          <w:noProof/>
          <w:lang w:val="en-AU" w:eastAsia="en-AU"/>
        </w:rPr>
      </w:pPr>
      <w:hyperlink w:anchor="_Toc449955030" w:history="1">
        <w:r w:rsidR="00A71FD1" w:rsidRPr="00FD79BC">
          <w:rPr>
            <w:rStyle w:val="Hyperlink"/>
            <w:rFonts w:cs="Calibri"/>
            <w:noProof/>
          </w:rPr>
          <w:t xml:space="preserve">4.1.2 2014 NDIS DSP surveys </w:t>
        </w:r>
        <w:r w:rsidR="00A71FD1" w:rsidRPr="00FD79BC">
          <w:rPr>
            <w:rStyle w:val="Hyperlink"/>
            <w:noProof/>
          </w:rPr>
          <w:t>design, development and fieldwork</w:t>
        </w:r>
        <w:r w:rsidR="00A71FD1">
          <w:rPr>
            <w:noProof/>
            <w:webHidden/>
          </w:rPr>
          <w:tab/>
        </w:r>
        <w:r w:rsidR="00A71FD1">
          <w:rPr>
            <w:noProof/>
            <w:webHidden/>
          </w:rPr>
          <w:fldChar w:fldCharType="begin"/>
        </w:r>
        <w:r w:rsidR="00A71FD1">
          <w:rPr>
            <w:noProof/>
            <w:webHidden/>
          </w:rPr>
          <w:instrText xml:space="preserve"> PAGEREF _Toc449955030 \h </w:instrText>
        </w:r>
        <w:r w:rsidR="00A71FD1">
          <w:rPr>
            <w:noProof/>
            <w:webHidden/>
          </w:rPr>
        </w:r>
        <w:r w:rsidR="00A71FD1">
          <w:rPr>
            <w:noProof/>
            <w:webHidden/>
          </w:rPr>
          <w:fldChar w:fldCharType="separate"/>
        </w:r>
        <w:r w:rsidR="00F05A97">
          <w:rPr>
            <w:noProof/>
            <w:webHidden/>
          </w:rPr>
          <w:t>154</w:t>
        </w:r>
        <w:r w:rsidR="00A71FD1">
          <w:rPr>
            <w:noProof/>
            <w:webHidden/>
          </w:rPr>
          <w:fldChar w:fldCharType="end"/>
        </w:r>
      </w:hyperlink>
    </w:p>
    <w:p w:rsidR="00A71FD1" w:rsidRDefault="00607746">
      <w:pPr>
        <w:pStyle w:val="TOC3"/>
        <w:rPr>
          <w:rFonts w:eastAsiaTheme="minorEastAsia"/>
          <w:noProof/>
          <w:lang w:val="en-AU" w:eastAsia="en-AU"/>
        </w:rPr>
      </w:pPr>
      <w:hyperlink w:anchor="_Toc449955031" w:history="1">
        <w:r w:rsidR="00A71FD1" w:rsidRPr="00FD79BC">
          <w:rPr>
            <w:rStyle w:val="Hyperlink"/>
            <w:noProof/>
          </w:rPr>
          <w:t>4.1.3 The achieved sample</w:t>
        </w:r>
        <w:r w:rsidR="00A71FD1">
          <w:rPr>
            <w:noProof/>
            <w:webHidden/>
          </w:rPr>
          <w:tab/>
        </w:r>
        <w:r w:rsidR="00A71FD1">
          <w:rPr>
            <w:noProof/>
            <w:webHidden/>
          </w:rPr>
          <w:fldChar w:fldCharType="begin"/>
        </w:r>
        <w:r w:rsidR="00A71FD1">
          <w:rPr>
            <w:noProof/>
            <w:webHidden/>
          </w:rPr>
          <w:instrText xml:space="preserve"> PAGEREF _Toc449955031 \h </w:instrText>
        </w:r>
        <w:r w:rsidR="00A71FD1">
          <w:rPr>
            <w:noProof/>
            <w:webHidden/>
          </w:rPr>
        </w:r>
        <w:r w:rsidR="00A71FD1">
          <w:rPr>
            <w:noProof/>
            <w:webHidden/>
          </w:rPr>
          <w:fldChar w:fldCharType="separate"/>
        </w:r>
        <w:r w:rsidR="00F05A97">
          <w:rPr>
            <w:noProof/>
            <w:webHidden/>
          </w:rPr>
          <w:t>158</w:t>
        </w:r>
        <w:r w:rsidR="00A71FD1">
          <w:rPr>
            <w:noProof/>
            <w:webHidden/>
          </w:rPr>
          <w:fldChar w:fldCharType="end"/>
        </w:r>
      </w:hyperlink>
    </w:p>
    <w:p w:rsidR="00A71FD1" w:rsidRDefault="00607746">
      <w:pPr>
        <w:pStyle w:val="TOC2"/>
        <w:rPr>
          <w:rFonts w:eastAsiaTheme="minorEastAsia"/>
          <w:bCs w:val="0"/>
          <w:noProof/>
          <w:lang w:val="en-AU" w:eastAsia="en-AU"/>
        </w:rPr>
      </w:pPr>
      <w:hyperlink w:anchor="_Toc449955032" w:history="1">
        <w:r w:rsidR="00A71FD1" w:rsidRPr="00FD79BC">
          <w:rPr>
            <w:rStyle w:val="Hyperlink"/>
            <w:noProof/>
          </w:rPr>
          <w:t>4.2 Initial findings for DSP outlets</w:t>
        </w:r>
        <w:r w:rsidR="00A71FD1">
          <w:rPr>
            <w:noProof/>
            <w:webHidden/>
          </w:rPr>
          <w:tab/>
        </w:r>
        <w:r w:rsidR="00A71FD1">
          <w:rPr>
            <w:noProof/>
            <w:webHidden/>
          </w:rPr>
          <w:fldChar w:fldCharType="begin"/>
        </w:r>
        <w:r w:rsidR="00A71FD1">
          <w:rPr>
            <w:noProof/>
            <w:webHidden/>
          </w:rPr>
          <w:instrText xml:space="preserve"> PAGEREF _Toc449955032 \h </w:instrText>
        </w:r>
        <w:r w:rsidR="00A71FD1">
          <w:rPr>
            <w:noProof/>
            <w:webHidden/>
          </w:rPr>
        </w:r>
        <w:r w:rsidR="00A71FD1">
          <w:rPr>
            <w:noProof/>
            <w:webHidden/>
          </w:rPr>
          <w:fldChar w:fldCharType="separate"/>
        </w:r>
        <w:r w:rsidR="00F05A97">
          <w:rPr>
            <w:noProof/>
            <w:webHidden/>
          </w:rPr>
          <w:t>158</w:t>
        </w:r>
        <w:r w:rsidR="00A71FD1">
          <w:rPr>
            <w:noProof/>
            <w:webHidden/>
          </w:rPr>
          <w:fldChar w:fldCharType="end"/>
        </w:r>
      </w:hyperlink>
    </w:p>
    <w:p w:rsidR="00A71FD1" w:rsidRDefault="00607746">
      <w:pPr>
        <w:pStyle w:val="TOC3"/>
        <w:rPr>
          <w:rFonts w:eastAsiaTheme="minorEastAsia"/>
          <w:noProof/>
          <w:lang w:val="en-AU" w:eastAsia="en-AU"/>
        </w:rPr>
      </w:pPr>
      <w:hyperlink w:anchor="_Toc449955033" w:history="1">
        <w:r w:rsidR="00A71FD1" w:rsidRPr="00FD79BC">
          <w:rPr>
            <w:rStyle w:val="Hyperlink"/>
            <w:noProof/>
          </w:rPr>
          <w:t>4.2.1 A profile of DSP outlets</w:t>
        </w:r>
        <w:r w:rsidR="00A71FD1">
          <w:rPr>
            <w:noProof/>
            <w:webHidden/>
          </w:rPr>
          <w:tab/>
        </w:r>
        <w:r w:rsidR="00A71FD1">
          <w:rPr>
            <w:noProof/>
            <w:webHidden/>
          </w:rPr>
          <w:fldChar w:fldCharType="begin"/>
        </w:r>
        <w:r w:rsidR="00A71FD1">
          <w:rPr>
            <w:noProof/>
            <w:webHidden/>
          </w:rPr>
          <w:instrText xml:space="preserve"> PAGEREF _Toc449955033 \h </w:instrText>
        </w:r>
        <w:r w:rsidR="00A71FD1">
          <w:rPr>
            <w:noProof/>
            <w:webHidden/>
          </w:rPr>
        </w:r>
        <w:r w:rsidR="00A71FD1">
          <w:rPr>
            <w:noProof/>
            <w:webHidden/>
          </w:rPr>
          <w:fldChar w:fldCharType="separate"/>
        </w:r>
        <w:r w:rsidR="00F05A97">
          <w:rPr>
            <w:noProof/>
            <w:webHidden/>
          </w:rPr>
          <w:t>158</w:t>
        </w:r>
        <w:r w:rsidR="00A71FD1">
          <w:rPr>
            <w:noProof/>
            <w:webHidden/>
          </w:rPr>
          <w:fldChar w:fldCharType="end"/>
        </w:r>
      </w:hyperlink>
    </w:p>
    <w:p w:rsidR="00A71FD1" w:rsidRDefault="00607746">
      <w:pPr>
        <w:pStyle w:val="TOC3"/>
        <w:rPr>
          <w:rFonts w:eastAsiaTheme="minorEastAsia"/>
          <w:noProof/>
          <w:lang w:val="en-AU" w:eastAsia="en-AU"/>
        </w:rPr>
      </w:pPr>
      <w:hyperlink w:anchor="_Toc449955034" w:history="1">
        <w:r w:rsidR="00A71FD1" w:rsidRPr="00FD79BC">
          <w:rPr>
            <w:rStyle w:val="Hyperlink"/>
            <w:noProof/>
          </w:rPr>
          <w:t>4.2.2 Skill shortages and staff skills</w:t>
        </w:r>
        <w:r w:rsidR="00A71FD1">
          <w:rPr>
            <w:noProof/>
            <w:webHidden/>
          </w:rPr>
          <w:tab/>
        </w:r>
        <w:r w:rsidR="00A71FD1">
          <w:rPr>
            <w:noProof/>
            <w:webHidden/>
          </w:rPr>
          <w:fldChar w:fldCharType="begin"/>
        </w:r>
        <w:r w:rsidR="00A71FD1">
          <w:rPr>
            <w:noProof/>
            <w:webHidden/>
          </w:rPr>
          <w:instrText xml:space="preserve"> PAGEREF _Toc449955034 \h </w:instrText>
        </w:r>
        <w:r w:rsidR="00A71FD1">
          <w:rPr>
            <w:noProof/>
            <w:webHidden/>
          </w:rPr>
        </w:r>
        <w:r w:rsidR="00A71FD1">
          <w:rPr>
            <w:noProof/>
            <w:webHidden/>
          </w:rPr>
          <w:fldChar w:fldCharType="separate"/>
        </w:r>
        <w:r w:rsidR="00F05A97">
          <w:rPr>
            <w:noProof/>
            <w:webHidden/>
          </w:rPr>
          <w:t>161</w:t>
        </w:r>
        <w:r w:rsidR="00A71FD1">
          <w:rPr>
            <w:noProof/>
            <w:webHidden/>
          </w:rPr>
          <w:fldChar w:fldCharType="end"/>
        </w:r>
      </w:hyperlink>
    </w:p>
    <w:p w:rsidR="00A71FD1" w:rsidRDefault="00607746">
      <w:pPr>
        <w:pStyle w:val="TOC3"/>
        <w:rPr>
          <w:rFonts w:eastAsiaTheme="minorEastAsia"/>
          <w:noProof/>
          <w:lang w:val="en-AU" w:eastAsia="en-AU"/>
        </w:rPr>
      </w:pPr>
      <w:hyperlink w:anchor="_Toc449955035" w:history="1">
        <w:r w:rsidR="00A71FD1" w:rsidRPr="00FD79BC">
          <w:rPr>
            <w:rStyle w:val="Hyperlink"/>
            <w:noProof/>
          </w:rPr>
          <w:t>4.2.3 Vacancies</w:t>
        </w:r>
        <w:r w:rsidR="00A71FD1">
          <w:rPr>
            <w:noProof/>
            <w:webHidden/>
          </w:rPr>
          <w:tab/>
        </w:r>
        <w:r w:rsidR="00A71FD1">
          <w:rPr>
            <w:noProof/>
            <w:webHidden/>
          </w:rPr>
          <w:fldChar w:fldCharType="begin"/>
        </w:r>
        <w:r w:rsidR="00A71FD1">
          <w:rPr>
            <w:noProof/>
            <w:webHidden/>
          </w:rPr>
          <w:instrText xml:space="preserve"> PAGEREF _Toc449955035 \h </w:instrText>
        </w:r>
        <w:r w:rsidR="00A71FD1">
          <w:rPr>
            <w:noProof/>
            <w:webHidden/>
          </w:rPr>
        </w:r>
        <w:r w:rsidR="00A71FD1">
          <w:rPr>
            <w:noProof/>
            <w:webHidden/>
          </w:rPr>
          <w:fldChar w:fldCharType="separate"/>
        </w:r>
        <w:r w:rsidR="00F05A97">
          <w:rPr>
            <w:noProof/>
            <w:webHidden/>
          </w:rPr>
          <w:t>164</w:t>
        </w:r>
        <w:r w:rsidR="00A71FD1">
          <w:rPr>
            <w:noProof/>
            <w:webHidden/>
          </w:rPr>
          <w:fldChar w:fldCharType="end"/>
        </w:r>
      </w:hyperlink>
    </w:p>
    <w:p w:rsidR="00A71FD1" w:rsidRDefault="00607746">
      <w:pPr>
        <w:pStyle w:val="TOC3"/>
        <w:rPr>
          <w:rFonts w:eastAsiaTheme="minorEastAsia"/>
          <w:noProof/>
          <w:lang w:val="en-AU" w:eastAsia="en-AU"/>
        </w:rPr>
      </w:pPr>
      <w:hyperlink w:anchor="_Toc449955036" w:history="1">
        <w:r w:rsidR="00A71FD1" w:rsidRPr="00FD79BC">
          <w:rPr>
            <w:rStyle w:val="Hyperlink"/>
            <w:noProof/>
          </w:rPr>
          <w:t>4.2.4 Hiring intentions</w:t>
        </w:r>
        <w:r w:rsidR="00A71FD1">
          <w:rPr>
            <w:noProof/>
            <w:webHidden/>
          </w:rPr>
          <w:tab/>
        </w:r>
        <w:r w:rsidR="00A71FD1">
          <w:rPr>
            <w:noProof/>
            <w:webHidden/>
          </w:rPr>
          <w:fldChar w:fldCharType="begin"/>
        </w:r>
        <w:r w:rsidR="00A71FD1">
          <w:rPr>
            <w:noProof/>
            <w:webHidden/>
          </w:rPr>
          <w:instrText xml:space="preserve"> PAGEREF _Toc449955036 \h </w:instrText>
        </w:r>
        <w:r w:rsidR="00A71FD1">
          <w:rPr>
            <w:noProof/>
            <w:webHidden/>
          </w:rPr>
        </w:r>
        <w:r w:rsidR="00A71FD1">
          <w:rPr>
            <w:noProof/>
            <w:webHidden/>
          </w:rPr>
          <w:fldChar w:fldCharType="separate"/>
        </w:r>
        <w:r w:rsidR="00F05A97">
          <w:rPr>
            <w:noProof/>
            <w:webHidden/>
          </w:rPr>
          <w:t>165</w:t>
        </w:r>
        <w:r w:rsidR="00A71FD1">
          <w:rPr>
            <w:noProof/>
            <w:webHidden/>
          </w:rPr>
          <w:fldChar w:fldCharType="end"/>
        </w:r>
      </w:hyperlink>
    </w:p>
    <w:p w:rsidR="00A71FD1" w:rsidRDefault="00607746">
      <w:pPr>
        <w:pStyle w:val="TOC3"/>
        <w:rPr>
          <w:rFonts w:eastAsiaTheme="minorEastAsia"/>
          <w:noProof/>
          <w:lang w:val="en-AU" w:eastAsia="en-AU"/>
        </w:rPr>
      </w:pPr>
      <w:hyperlink w:anchor="_Toc449955037" w:history="1">
        <w:r w:rsidR="00A71FD1" w:rsidRPr="00FD79BC">
          <w:rPr>
            <w:rStyle w:val="Hyperlink"/>
            <w:noProof/>
          </w:rPr>
          <w:t>4.2.5 Agency, brokered and self-employed</w:t>
        </w:r>
        <w:r w:rsidR="00A71FD1">
          <w:rPr>
            <w:noProof/>
            <w:webHidden/>
          </w:rPr>
          <w:tab/>
        </w:r>
        <w:r w:rsidR="00A71FD1">
          <w:rPr>
            <w:noProof/>
            <w:webHidden/>
          </w:rPr>
          <w:fldChar w:fldCharType="begin"/>
        </w:r>
        <w:r w:rsidR="00A71FD1">
          <w:rPr>
            <w:noProof/>
            <w:webHidden/>
          </w:rPr>
          <w:instrText xml:space="preserve"> PAGEREF _Toc449955037 \h </w:instrText>
        </w:r>
        <w:r w:rsidR="00A71FD1">
          <w:rPr>
            <w:noProof/>
            <w:webHidden/>
          </w:rPr>
        </w:r>
        <w:r w:rsidR="00A71FD1">
          <w:rPr>
            <w:noProof/>
            <w:webHidden/>
          </w:rPr>
          <w:fldChar w:fldCharType="separate"/>
        </w:r>
        <w:r w:rsidR="00F05A97">
          <w:rPr>
            <w:noProof/>
            <w:webHidden/>
          </w:rPr>
          <w:t>168</w:t>
        </w:r>
        <w:r w:rsidR="00A71FD1">
          <w:rPr>
            <w:noProof/>
            <w:webHidden/>
          </w:rPr>
          <w:fldChar w:fldCharType="end"/>
        </w:r>
      </w:hyperlink>
    </w:p>
    <w:p w:rsidR="00A71FD1" w:rsidRDefault="00607746">
      <w:pPr>
        <w:pStyle w:val="TOC3"/>
        <w:rPr>
          <w:rFonts w:eastAsiaTheme="minorEastAsia"/>
          <w:noProof/>
          <w:lang w:val="en-AU" w:eastAsia="en-AU"/>
        </w:rPr>
      </w:pPr>
      <w:hyperlink w:anchor="_Toc449955038" w:history="1">
        <w:r w:rsidR="00A71FD1" w:rsidRPr="00FD79BC">
          <w:rPr>
            <w:rStyle w:val="Hyperlink"/>
            <w:noProof/>
          </w:rPr>
          <w:t>4.2.6 Volunteers</w:t>
        </w:r>
        <w:r w:rsidR="00A71FD1">
          <w:rPr>
            <w:noProof/>
            <w:webHidden/>
          </w:rPr>
          <w:tab/>
        </w:r>
        <w:r w:rsidR="00A71FD1">
          <w:rPr>
            <w:noProof/>
            <w:webHidden/>
          </w:rPr>
          <w:fldChar w:fldCharType="begin"/>
        </w:r>
        <w:r w:rsidR="00A71FD1">
          <w:rPr>
            <w:noProof/>
            <w:webHidden/>
          </w:rPr>
          <w:instrText xml:space="preserve"> PAGEREF _Toc449955038 \h </w:instrText>
        </w:r>
        <w:r w:rsidR="00A71FD1">
          <w:rPr>
            <w:noProof/>
            <w:webHidden/>
          </w:rPr>
        </w:r>
        <w:r w:rsidR="00A71FD1">
          <w:rPr>
            <w:noProof/>
            <w:webHidden/>
          </w:rPr>
          <w:fldChar w:fldCharType="separate"/>
        </w:r>
        <w:r w:rsidR="00F05A97">
          <w:rPr>
            <w:noProof/>
            <w:webHidden/>
          </w:rPr>
          <w:t>170</w:t>
        </w:r>
        <w:r w:rsidR="00A71FD1">
          <w:rPr>
            <w:noProof/>
            <w:webHidden/>
          </w:rPr>
          <w:fldChar w:fldCharType="end"/>
        </w:r>
      </w:hyperlink>
    </w:p>
    <w:p w:rsidR="00A71FD1" w:rsidRDefault="00607746">
      <w:pPr>
        <w:pStyle w:val="TOC3"/>
        <w:rPr>
          <w:rFonts w:eastAsiaTheme="minorEastAsia"/>
          <w:noProof/>
          <w:lang w:val="en-AU" w:eastAsia="en-AU"/>
        </w:rPr>
      </w:pPr>
      <w:hyperlink w:anchor="_Toc449955039" w:history="1">
        <w:r w:rsidR="00A71FD1" w:rsidRPr="00FD79BC">
          <w:rPr>
            <w:rStyle w:val="Hyperlink"/>
            <w:noProof/>
          </w:rPr>
          <w:t>4.2.7 Expected changes</w:t>
        </w:r>
        <w:r w:rsidR="00A71FD1">
          <w:rPr>
            <w:noProof/>
            <w:webHidden/>
          </w:rPr>
          <w:tab/>
        </w:r>
        <w:r w:rsidR="00A71FD1">
          <w:rPr>
            <w:noProof/>
            <w:webHidden/>
          </w:rPr>
          <w:fldChar w:fldCharType="begin"/>
        </w:r>
        <w:r w:rsidR="00A71FD1">
          <w:rPr>
            <w:noProof/>
            <w:webHidden/>
          </w:rPr>
          <w:instrText xml:space="preserve"> PAGEREF _Toc449955039 \h </w:instrText>
        </w:r>
        <w:r w:rsidR="00A71FD1">
          <w:rPr>
            <w:noProof/>
            <w:webHidden/>
          </w:rPr>
        </w:r>
        <w:r w:rsidR="00A71FD1">
          <w:rPr>
            <w:noProof/>
            <w:webHidden/>
          </w:rPr>
          <w:fldChar w:fldCharType="separate"/>
        </w:r>
        <w:r w:rsidR="00F05A97">
          <w:rPr>
            <w:noProof/>
            <w:webHidden/>
          </w:rPr>
          <w:t>170</w:t>
        </w:r>
        <w:r w:rsidR="00A71FD1">
          <w:rPr>
            <w:noProof/>
            <w:webHidden/>
          </w:rPr>
          <w:fldChar w:fldCharType="end"/>
        </w:r>
      </w:hyperlink>
    </w:p>
    <w:p w:rsidR="00A71FD1" w:rsidRDefault="00607746">
      <w:pPr>
        <w:pStyle w:val="TOC3"/>
        <w:rPr>
          <w:rFonts w:eastAsiaTheme="minorEastAsia"/>
          <w:noProof/>
          <w:lang w:val="en-AU" w:eastAsia="en-AU"/>
        </w:rPr>
      </w:pPr>
      <w:hyperlink w:anchor="_Toc449955040" w:history="1">
        <w:r w:rsidR="00A71FD1" w:rsidRPr="00FD79BC">
          <w:rPr>
            <w:rStyle w:val="Hyperlink"/>
            <w:noProof/>
          </w:rPr>
          <w:t>4.2.8 A brief summary of findings for DSP outlets</w:t>
        </w:r>
        <w:r w:rsidR="00A71FD1">
          <w:rPr>
            <w:noProof/>
            <w:webHidden/>
          </w:rPr>
          <w:tab/>
        </w:r>
        <w:r w:rsidR="00A71FD1">
          <w:rPr>
            <w:noProof/>
            <w:webHidden/>
          </w:rPr>
          <w:fldChar w:fldCharType="begin"/>
        </w:r>
        <w:r w:rsidR="00A71FD1">
          <w:rPr>
            <w:noProof/>
            <w:webHidden/>
          </w:rPr>
          <w:instrText xml:space="preserve"> PAGEREF _Toc449955040 \h </w:instrText>
        </w:r>
        <w:r w:rsidR="00A71FD1">
          <w:rPr>
            <w:noProof/>
            <w:webHidden/>
          </w:rPr>
        </w:r>
        <w:r w:rsidR="00A71FD1">
          <w:rPr>
            <w:noProof/>
            <w:webHidden/>
          </w:rPr>
          <w:fldChar w:fldCharType="separate"/>
        </w:r>
        <w:r w:rsidR="00F05A97">
          <w:rPr>
            <w:noProof/>
            <w:webHidden/>
          </w:rPr>
          <w:t>173</w:t>
        </w:r>
        <w:r w:rsidR="00A71FD1">
          <w:rPr>
            <w:noProof/>
            <w:webHidden/>
          </w:rPr>
          <w:fldChar w:fldCharType="end"/>
        </w:r>
      </w:hyperlink>
    </w:p>
    <w:p w:rsidR="00A71FD1" w:rsidRDefault="00607746">
      <w:pPr>
        <w:pStyle w:val="TOC2"/>
        <w:rPr>
          <w:rFonts w:eastAsiaTheme="minorEastAsia"/>
          <w:bCs w:val="0"/>
          <w:noProof/>
          <w:lang w:val="en-AU" w:eastAsia="en-AU"/>
        </w:rPr>
      </w:pPr>
      <w:hyperlink w:anchor="_Toc449955041" w:history="1">
        <w:r w:rsidR="00A71FD1" w:rsidRPr="00FD79BC">
          <w:rPr>
            <w:rStyle w:val="Hyperlink"/>
            <w:noProof/>
          </w:rPr>
          <w:t>4.3 Initial findings for disability support workforce</w:t>
        </w:r>
        <w:r w:rsidR="00A71FD1">
          <w:rPr>
            <w:noProof/>
            <w:webHidden/>
          </w:rPr>
          <w:tab/>
        </w:r>
        <w:r w:rsidR="00A71FD1">
          <w:rPr>
            <w:noProof/>
            <w:webHidden/>
          </w:rPr>
          <w:fldChar w:fldCharType="begin"/>
        </w:r>
        <w:r w:rsidR="00A71FD1">
          <w:rPr>
            <w:noProof/>
            <w:webHidden/>
          </w:rPr>
          <w:instrText xml:space="preserve"> PAGEREF _Toc449955041 \h </w:instrText>
        </w:r>
        <w:r w:rsidR="00A71FD1">
          <w:rPr>
            <w:noProof/>
            <w:webHidden/>
          </w:rPr>
        </w:r>
        <w:r w:rsidR="00A71FD1">
          <w:rPr>
            <w:noProof/>
            <w:webHidden/>
          </w:rPr>
          <w:fldChar w:fldCharType="separate"/>
        </w:r>
        <w:r w:rsidR="00F05A97">
          <w:rPr>
            <w:noProof/>
            <w:webHidden/>
          </w:rPr>
          <w:t>174</w:t>
        </w:r>
        <w:r w:rsidR="00A71FD1">
          <w:rPr>
            <w:noProof/>
            <w:webHidden/>
          </w:rPr>
          <w:fldChar w:fldCharType="end"/>
        </w:r>
      </w:hyperlink>
    </w:p>
    <w:p w:rsidR="00A71FD1" w:rsidRDefault="00607746">
      <w:pPr>
        <w:pStyle w:val="TOC3"/>
        <w:rPr>
          <w:rFonts w:eastAsiaTheme="minorEastAsia"/>
          <w:noProof/>
          <w:lang w:val="en-AU" w:eastAsia="en-AU"/>
        </w:rPr>
      </w:pPr>
      <w:hyperlink w:anchor="_Toc449955042" w:history="1">
        <w:r w:rsidR="00A71FD1" w:rsidRPr="00FD79BC">
          <w:rPr>
            <w:rStyle w:val="Hyperlink"/>
            <w:noProof/>
          </w:rPr>
          <w:t>4.3.1 Introduction</w:t>
        </w:r>
        <w:r w:rsidR="00A71FD1">
          <w:rPr>
            <w:noProof/>
            <w:webHidden/>
          </w:rPr>
          <w:tab/>
        </w:r>
        <w:r w:rsidR="00A71FD1">
          <w:rPr>
            <w:noProof/>
            <w:webHidden/>
          </w:rPr>
          <w:fldChar w:fldCharType="begin"/>
        </w:r>
        <w:r w:rsidR="00A71FD1">
          <w:rPr>
            <w:noProof/>
            <w:webHidden/>
          </w:rPr>
          <w:instrText xml:space="preserve"> PAGEREF _Toc449955042 \h </w:instrText>
        </w:r>
        <w:r w:rsidR="00A71FD1">
          <w:rPr>
            <w:noProof/>
            <w:webHidden/>
          </w:rPr>
        </w:r>
        <w:r w:rsidR="00A71FD1">
          <w:rPr>
            <w:noProof/>
            <w:webHidden/>
          </w:rPr>
          <w:fldChar w:fldCharType="separate"/>
        </w:r>
        <w:r w:rsidR="00F05A97">
          <w:rPr>
            <w:noProof/>
            <w:webHidden/>
          </w:rPr>
          <w:t>174</w:t>
        </w:r>
        <w:r w:rsidR="00A71FD1">
          <w:rPr>
            <w:noProof/>
            <w:webHidden/>
          </w:rPr>
          <w:fldChar w:fldCharType="end"/>
        </w:r>
      </w:hyperlink>
    </w:p>
    <w:p w:rsidR="00A71FD1" w:rsidRDefault="00607746">
      <w:pPr>
        <w:pStyle w:val="TOC3"/>
        <w:rPr>
          <w:rFonts w:eastAsiaTheme="minorEastAsia"/>
          <w:noProof/>
          <w:lang w:val="en-AU" w:eastAsia="en-AU"/>
        </w:rPr>
      </w:pPr>
      <w:hyperlink w:anchor="_Toc449955043" w:history="1">
        <w:r w:rsidR="00A71FD1" w:rsidRPr="00FD79BC">
          <w:rPr>
            <w:rStyle w:val="Hyperlink"/>
            <w:noProof/>
          </w:rPr>
          <w:t>4.3.2 Main workforce characteristics</w:t>
        </w:r>
        <w:r w:rsidR="00A71FD1">
          <w:rPr>
            <w:noProof/>
            <w:webHidden/>
          </w:rPr>
          <w:tab/>
        </w:r>
        <w:r w:rsidR="00A71FD1">
          <w:rPr>
            <w:noProof/>
            <w:webHidden/>
          </w:rPr>
          <w:fldChar w:fldCharType="begin"/>
        </w:r>
        <w:r w:rsidR="00A71FD1">
          <w:rPr>
            <w:noProof/>
            <w:webHidden/>
          </w:rPr>
          <w:instrText xml:space="preserve"> PAGEREF _Toc449955043 \h </w:instrText>
        </w:r>
        <w:r w:rsidR="00A71FD1">
          <w:rPr>
            <w:noProof/>
            <w:webHidden/>
          </w:rPr>
        </w:r>
        <w:r w:rsidR="00A71FD1">
          <w:rPr>
            <w:noProof/>
            <w:webHidden/>
          </w:rPr>
          <w:fldChar w:fldCharType="separate"/>
        </w:r>
        <w:r w:rsidR="00F05A97">
          <w:rPr>
            <w:noProof/>
            <w:webHidden/>
          </w:rPr>
          <w:t>174</w:t>
        </w:r>
        <w:r w:rsidR="00A71FD1">
          <w:rPr>
            <w:noProof/>
            <w:webHidden/>
          </w:rPr>
          <w:fldChar w:fldCharType="end"/>
        </w:r>
      </w:hyperlink>
    </w:p>
    <w:p w:rsidR="00A71FD1" w:rsidRDefault="00607746">
      <w:pPr>
        <w:pStyle w:val="TOC3"/>
        <w:rPr>
          <w:rFonts w:eastAsiaTheme="minorEastAsia"/>
          <w:noProof/>
          <w:lang w:val="en-AU" w:eastAsia="en-AU"/>
        </w:rPr>
      </w:pPr>
      <w:hyperlink w:anchor="_Toc449955044" w:history="1">
        <w:r w:rsidR="00A71FD1" w:rsidRPr="00FD79BC">
          <w:rPr>
            <w:rStyle w:val="Hyperlink"/>
            <w:noProof/>
          </w:rPr>
          <w:t>4.3.3 Main characteristics of the disability services work</w:t>
        </w:r>
        <w:r w:rsidR="00A71FD1">
          <w:rPr>
            <w:noProof/>
            <w:webHidden/>
          </w:rPr>
          <w:tab/>
        </w:r>
        <w:r w:rsidR="00A71FD1">
          <w:rPr>
            <w:noProof/>
            <w:webHidden/>
          </w:rPr>
          <w:fldChar w:fldCharType="begin"/>
        </w:r>
        <w:r w:rsidR="00A71FD1">
          <w:rPr>
            <w:noProof/>
            <w:webHidden/>
          </w:rPr>
          <w:instrText xml:space="preserve"> PAGEREF _Toc449955044 \h </w:instrText>
        </w:r>
        <w:r w:rsidR="00A71FD1">
          <w:rPr>
            <w:noProof/>
            <w:webHidden/>
          </w:rPr>
        </w:r>
        <w:r w:rsidR="00A71FD1">
          <w:rPr>
            <w:noProof/>
            <w:webHidden/>
          </w:rPr>
          <w:fldChar w:fldCharType="separate"/>
        </w:r>
        <w:r w:rsidR="00F05A97">
          <w:rPr>
            <w:noProof/>
            <w:webHidden/>
          </w:rPr>
          <w:t>180</w:t>
        </w:r>
        <w:r w:rsidR="00A71FD1">
          <w:rPr>
            <w:noProof/>
            <w:webHidden/>
          </w:rPr>
          <w:fldChar w:fldCharType="end"/>
        </w:r>
      </w:hyperlink>
    </w:p>
    <w:p w:rsidR="00A71FD1" w:rsidRDefault="00607746">
      <w:pPr>
        <w:pStyle w:val="TOC3"/>
        <w:rPr>
          <w:rFonts w:eastAsiaTheme="minorEastAsia"/>
          <w:noProof/>
          <w:lang w:val="en-AU" w:eastAsia="en-AU"/>
        </w:rPr>
      </w:pPr>
      <w:hyperlink w:anchor="_Toc449955045" w:history="1">
        <w:r w:rsidR="00A71FD1" w:rsidRPr="00FD79BC">
          <w:rPr>
            <w:rStyle w:val="Hyperlink"/>
            <w:noProof/>
          </w:rPr>
          <w:t>4.3.4 Career paths</w:t>
        </w:r>
        <w:r w:rsidR="00A71FD1">
          <w:rPr>
            <w:noProof/>
            <w:webHidden/>
          </w:rPr>
          <w:tab/>
        </w:r>
        <w:r w:rsidR="00A71FD1">
          <w:rPr>
            <w:noProof/>
            <w:webHidden/>
          </w:rPr>
          <w:fldChar w:fldCharType="begin"/>
        </w:r>
        <w:r w:rsidR="00A71FD1">
          <w:rPr>
            <w:noProof/>
            <w:webHidden/>
          </w:rPr>
          <w:instrText xml:space="preserve"> PAGEREF _Toc449955045 \h </w:instrText>
        </w:r>
        <w:r w:rsidR="00A71FD1">
          <w:rPr>
            <w:noProof/>
            <w:webHidden/>
          </w:rPr>
        </w:r>
        <w:r w:rsidR="00A71FD1">
          <w:rPr>
            <w:noProof/>
            <w:webHidden/>
          </w:rPr>
          <w:fldChar w:fldCharType="separate"/>
        </w:r>
        <w:r w:rsidR="00F05A97">
          <w:rPr>
            <w:noProof/>
            <w:webHidden/>
          </w:rPr>
          <w:t>184</w:t>
        </w:r>
        <w:r w:rsidR="00A71FD1">
          <w:rPr>
            <w:noProof/>
            <w:webHidden/>
          </w:rPr>
          <w:fldChar w:fldCharType="end"/>
        </w:r>
      </w:hyperlink>
    </w:p>
    <w:p w:rsidR="00A71FD1" w:rsidRDefault="00607746">
      <w:pPr>
        <w:pStyle w:val="TOC3"/>
        <w:rPr>
          <w:rFonts w:eastAsiaTheme="minorEastAsia"/>
          <w:noProof/>
          <w:lang w:val="en-AU" w:eastAsia="en-AU"/>
        </w:rPr>
      </w:pPr>
      <w:hyperlink w:anchor="_Toc449955046" w:history="1">
        <w:r w:rsidR="00A71FD1" w:rsidRPr="00FD79BC">
          <w:rPr>
            <w:rStyle w:val="Hyperlink"/>
            <w:noProof/>
          </w:rPr>
          <w:t>4.3.5 Experiences of working in disability support</w:t>
        </w:r>
        <w:r w:rsidR="00A71FD1">
          <w:rPr>
            <w:noProof/>
            <w:webHidden/>
          </w:rPr>
          <w:tab/>
        </w:r>
        <w:r w:rsidR="00A71FD1">
          <w:rPr>
            <w:noProof/>
            <w:webHidden/>
          </w:rPr>
          <w:fldChar w:fldCharType="begin"/>
        </w:r>
        <w:r w:rsidR="00A71FD1">
          <w:rPr>
            <w:noProof/>
            <w:webHidden/>
          </w:rPr>
          <w:instrText xml:space="preserve"> PAGEREF _Toc449955046 \h </w:instrText>
        </w:r>
        <w:r w:rsidR="00A71FD1">
          <w:rPr>
            <w:noProof/>
            <w:webHidden/>
          </w:rPr>
        </w:r>
        <w:r w:rsidR="00A71FD1">
          <w:rPr>
            <w:noProof/>
            <w:webHidden/>
          </w:rPr>
          <w:fldChar w:fldCharType="separate"/>
        </w:r>
        <w:r w:rsidR="00F05A97">
          <w:rPr>
            <w:noProof/>
            <w:webHidden/>
          </w:rPr>
          <w:t>188</w:t>
        </w:r>
        <w:r w:rsidR="00A71FD1">
          <w:rPr>
            <w:noProof/>
            <w:webHidden/>
          </w:rPr>
          <w:fldChar w:fldCharType="end"/>
        </w:r>
      </w:hyperlink>
    </w:p>
    <w:p w:rsidR="00A71FD1" w:rsidRDefault="00607746">
      <w:pPr>
        <w:pStyle w:val="TOC3"/>
        <w:rPr>
          <w:rFonts w:eastAsiaTheme="minorEastAsia"/>
          <w:noProof/>
          <w:lang w:val="en-AU" w:eastAsia="en-AU"/>
        </w:rPr>
      </w:pPr>
      <w:hyperlink w:anchor="_Toc449955047" w:history="1">
        <w:r w:rsidR="00A71FD1" w:rsidRPr="00FD79BC">
          <w:rPr>
            <w:rStyle w:val="Hyperlink"/>
            <w:noProof/>
          </w:rPr>
          <w:t>4.3.6 A brief summary of the nature of the disability support workforce</w:t>
        </w:r>
        <w:r w:rsidR="00A71FD1">
          <w:rPr>
            <w:noProof/>
            <w:webHidden/>
          </w:rPr>
          <w:tab/>
        </w:r>
        <w:r w:rsidR="00A71FD1">
          <w:rPr>
            <w:noProof/>
            <w:webHidden/>
          </w:rPr>
          <w:fldChar w:fldCharType="begin"/>
        </w:r>
        <w:r w:rsidR="00A71FD1">
          <w:rPr>
            <w:noProof/>
            <w:webHidden/>
          </w:rPr>
          <w:instrText xml:space="preserve"> PAGEREF _Toc449955047 \h </w:instrText>
        </w:r>
        <w:r w:rsidR="00A71FD1">
          <w:rPr>
            <w:noProof/>
            <w:webHidden/>
          </w:rPr>
        </w:r>
        <w:r w:rsidR="00A71FD1">
          <w:rPr>
            <w:noProof/>
            <w:webHidden/>
          </w:rPr>
          <w:fldChar w:fldCharType="separate"/>
        </w:r>
        <w:r w:rsidR="00F05A97">
          <w:rPr>
            <w:noProof/>
            <w:webHidden/>
          </w:rPr>
          <w:t>190</w:t>
        </w:r>
        <w:r w:rsidR="00A71FD1">
          <w:rPr>
            <w:noProof/>
            <w:webHidden/>
          </w:rPr>
          <w:fldChar w:fldCharType="end"/>
        </w:r>
      </w:hyperlink>
    </w:p>
    <w:p w:rsidR="00A71FD1" w:rsidRDefault="00607746">
      <w:pPr>
        <w:pStyle w:val="TOC2"/>
        <w:rPr>
          <w:rFonts w:eastAsiaTheme="minorEastAsia"/>
          <w:bCs w:val="0"/>
          <w:noProof/>
          <w:lang w:val="en-AU" w:eastAsia="en-AU"/>
        </w:rPr>
      </w:pPr>
      <w:hyperlink w:anchor="_Toc449955048" w:history="1">
        <w:r w:rsidR="00A71FD1" w:rsidRPr="00FD79BC">
          <w:rPr>
            <w:rStyle w:val="Hyperlink"/>
            <w:noProof/>
          </w:rPr>
          <w:t>4.4 Initial findings for self-employed DSP</w:t>
        </w:r>
        <w:r w:rsidR="00A71FD1">
          <w:rPr>
            <w:noProof/>
            <w:webHidden/>
          </w:rPr>
          <w:tab/>
        </w:r>
        <w:r w:rsidR="00A71FD1">
          <w:rPr>
            <w:noProof/>
            <w:webHidden/>
          </w:rPr>
          <w:fldChar w:fldCharType="begin"/>
        </w:r>
        <w:r w:rsidR="00A71FD1">
          <w:rPr>
            <w:noProof/>
            <w:webHidden/>
          </w:rPr>
          <w:instrText xml:space="preserve"> PAGEREF _Toc449955048 \h </w:instrText>
        </w:r>
        <w:r w:rsidR="00A71FD1">
          <w:rPr>
            <w:noProof/>
            <w:webHidden/>
          </w:rPr>
        </w:r>
        <w:r w:rsidR="00A71FD1">
          <w:rPr>
            <w:noProof/>
            <w:webHidden/>
          </w:rPr>
          <w:fldChar w:fldCharType="separate"/>
        </w:r>
        <w:r w:rsidR="00F05A97">
          <w:rPr>
            <w:noProof/>
            <w:webHidden/>
          </w:rPr>
          <w:t>191</w:t>
        </w:r>
        <w:r w:rsidR="00A71FD1">
          <w:rPr>
            <w:noProof/>
            <w:webHidden/>
          </w:rPr>
          <w:fldChar w:fldCharType="end"/>
        </w:r>
      </w:hyperlink>
    </w:p>
    <w:p w:rsidR="00A71FD1" w:rsidRDefault="00607746">
      <w:pPr>
        <w:pStyle w:val="TOC3"/>
        <w:rPr>
          <w:rFonts w:eastAsiaTheme="minorEastAsia"/>
          <w:noProof/>
          <w:lang w:val="en-AU" w:eastAsia="en-AU"/>
        </w:rPr>
      </w:pPr>
      <w:hyperlink w:anchor="_Toc449955049" w:history="1">
        <w:r w:rsidR="00A71FD1" w:rsidRPr="00FD79BC">
          <w:rPr>
            <w:rStyle w:val="Hyperlink"/>
            <w:noProof/>
          </w:rPr>
          <w:t>4.4.1 Introduction</w:t>
        </w:r>
        <w:r w:rsidR="00A71FD1">
          <w:rPr>
            <w:noProof/>
            <w:webHidden/>
          </w:rPr>
          <w:tab/>
        </w:r>
        <w:r w:rsidR="00A71FD1">
          <w:rPr>
            <w:noProof/>
            <w:webHidden/>
          </w:rPr>
          <w:fldChar w:fldCharType="begin"/>
        </w:r>
        <w:r w:rsidR="00A71FD1">
          <w:rPr>
            <w:noProof/>
            <w:webHidden/>
          </w:rPr>
          <w:instrText xml:space="preserve"> PAGEREF _Toc449955049 \h </w:instrText>
        </w:r>
        <w:r w:rsidR="00A71FD1">
          <w:rPr>
            <w:noProof/>
            <w:webHidden/>
          </w:rPr>
        </w:r>
        <w:r w:rsidR="00A71FD1">
          <w:rPr>
            <w:noProof/>
            <w:webHidden/>
          </w:rPr>
          <w:fldChar w:fldCharType="separate"/>
        </w:r>
        <w:r w:rsidR="00F05A97">
          <w:rPr>
            <w:noProof/>
            <w:webHidden/>
          </w:rPr>
          <w:t>191</w:t>
        </w:r>
        <w:r w:rsidR="00A71FD1">
          <w:rPr>
            <w:noProof/>
            <w:webHidden/>
          </w:rPr>
          <w:fldChar w:fldCharType="end"/>
        </w:r>
      </w:hyperlink>
    </w:p>
    <w:p w:rsidR="00A71FD1" w:rsidRDefault="00607746">
      <w:pPr>
        <w:pStyle w:val="TOC3"/>
        <w:rPr>
          <w:rFonts w:eastAsiaTheme="minorEastAsia"/>
          <w:noProof/>
          <w:lang w:val="en-AU" w:eastAsia="en-AU"/>
        </w:rPr>
      </w:pPr>
      <w:hyperlink w:anchor="_Toc449955050" w:history="1">
        <w:r w:rsidR="00A71FD1" w:rsidRPr="00FD79BC">
          <w:rPr>
            <w:rStyle w:val="Hyperlink"/>
            <w:noProof/>
          </w:rPr>
          <w:t>4.4.2 A profile of self-employed DSP</w:t>
        </w:r>
        <w:r w:rsidR="00A71FD1">
          <w:rPr>
            <w:noProof/>
            <w:webHidden/>
          </w:rPr>
          <w:tab/>
        </w:r>
        <w:r w:rsidR="00A71FD1">
          <w:rPr>
            <w:noProof/>
            <w:webHidden/>
          </w:rPr>
          <w:fldChar w:fldCharType="begin"/>
        </w:r>
        <w:r w:rsidR="00A71FD1">
          <w:rPr>
            <w:noProof/>
            <w:webHidden/>
          </w:rPr>
          <w:instrText xml:space="preserve"> PAGEREF _Toc449955050 \h </w:instrText>
        </w:r>
        <w:r w:rsidR="00A71FD1">
          <w:rPr>
            <w:noProof/>
            <w:webHidden/>
          </w:rPr>
        </w:r>
        <w:r w:rsidR="00A71FD1">
          <w:rPr>
            <w:noProof/>
            <w:webHidden/>
          </w:rPr>
          <w:fldChar w:fldCharType="separate"/>
        </w:r>
        <w:r w:rsidR="00F05A97">
          <w:rPr>
            <w:noProof/>
            <w:webHidden/>
          </w:rPr>
          <w:t>191</w:t>
        </w:r>
        <w:r w:rsidR="00A71FD1">
          <w:rPr>
            <w:noProof/>
            <w:webHidden/>
          </w:rPr>
          <w:fldChar w:fldCharType="end"/>
        </w:r>
      </w:hyperlink>
    </w:p>
    <w:p w:rsidR="00A71FD1" w:rsidRDefault="00607746">
      <w:pPr>
        <w:pStyle w:val="TOC3"/>
        <w:rPr>
          <w:rFonts w:eastAsiaTheme="minorEastAsia"/>
          <w:noProof/>
          <w:lang w:val="en-AU" w:eastAsia="en-AU"/>
        </w:rPr>
      </w:pPr>
      <w:hyperlink w:anchor="_Toc449955051" w:history="1">
        <w:r w:rsidR="00A71FD1" w:rsidRPr="00FD79BC">
          <w:rPr>
            <w:rStyle w:val="Hyperlink"/>
            <w:noProof/>
          </w:rPr>
          <w:t>4.4.3 A brief summary of self-employed DSP</w:t>
        </w:r>
        <w:r w:rsidR="00A71FD1">
          <w:rPr>
            <w:noProof/>
            <w:webHidden/>
          </w:rPr>
          <w:tab/>
        </w:r>
        <w:r w:rsidR="00A71FD1">
          <w:rPr>
            <w:noProof/>
            <w:webHidden/>
          </w:rPr>
          <w:fldChar w:fldCharType="begin"/>
        </w:r>
        <w:r w:rsidR="00A71FD1">
          <w:rPr>
            <w:noProof/>
            <w:webHidden/>
          </w:rPr>
          <w:instrText xml:space="preserve"> PAGEREF _Toc449955051 \h </w:instrText>
        </w:r>
        <w:r w:rsidR="00A71FD1">
          <w:rPr>
            <w:noProof/>
            <w:webHidden/>
          </w:rPr>
        </w:r>
        <w:r w:rsidR="00A71FD1">
          <w:rPr>
            <w:noProof/>
            <w:webHidden/>
          </w:rPr>
          <w:fldChar w:fldCharType="separate"/>
        </w:r>
        <w:r w:rsidR="00F05A97">
          <w:rPr>
            <w:noProof/>
            <w:webHidden/>
          </w:rPr>
          <w:t>201</w:t>
        </w:r>
        <w:r w:rsidR="00A71FD1">
          <w:rPr>
            <w:noProof/>
            <w:webHidden/>
          </w:rPr>
          <w:fldChar w:fldCharType="end"/>
        </w:r>
      </w:hyperlink>
    </w:p>
    <w:p w:rsidR="005F6F7E" w:rsidRPr="00CA3864" w:rsidRDefault="000317EE" w:rsidP="007B3733">
      <w:pPr>
        <w:tabs>
          <w:tab w:val="right" w:leader="dot" w:pos="9072"/>
          <w:tab w:val="right" w:leader="dot" w:pos="9639"/>
        </w:tabs>
        <w:rPr>
          <w:rFonts w:cstheme="minorHAnsi"/>
        </w:rPr>
      </w:pPr>
      <w:r>
        <w:rPr>
          <w:rFonts w:cstheme="minorHAnsi"/>
          <w:bCs/>
          <w:iCs/>
          <w:noProof/>
        </w:rPr>
        <w:fldChar w:fldCharType="end"/>
      </w:r>
    </w:p>
    <w:p w:rsidR="007C25CC" w:rsidRDefault="007C25CC" w:rsidP="007B3733">
      <w:pPr>
        <w:tabs>
          <w:tab w:val="right" w:leader="dot" w:pos="9639"/>
        </w:tabs>
        <w:rPr>
          <w:rFonts w:eastAsiaTheme="minorEastAsia" w:cstheme="minorHAnsi"/>
          <w:b/>
          <w:bCs/>
          <w:color w:val="365F91"/>
          <w:sz w:val="28"/>
          <w:szCs w:val="28"/>
          <w:lang w:val="en-US" w:eastAsia="ja-JP"/>
        </w:rPr>
      </w:pPr>
      <w:bookmarkStart w:id="4" w:name="_Toc316474806"/>
      <w:bookmarkStart w:id="5" w:name="_Toc316982180"/>
      <w:r>
        <w:br w:type="page"/>
      </w:r>
    </w:p>
    <w:p w:rsidR="009A584D" w:rsidRPr="00CA3864" w:rsidRDefault="000D6B88" w:rsidP="004D5608">
      <w:pPr>
        <w:pStyle w:val="TOCHeading"/>
      </w:pPr>
      <w:r w:rsidRPr="00CA3864">
        <w:lastRenderedPageBreak/>
        <w:t>Tables</w:t>
      </w:r>
      <w:bookmarkEnd w:id="4"/>
      <w:bookmarkEnd w:id="5"/>
      <w:r w:rsidRPr="00CA3864">
        <w:t xml:space="preserve"> </w:t>
      </w:r>
    </w:p>
    <w:p w:rsidR="00A71FD1" w:rsidRDefault="00784A40">
      <w:pPr>
        <w:pStyle w:val="TableofFigures"/>
        <w:rPr>
          <w:rFonts w:eastAsiaTheme="minorEastAsia"/>
          <w:noProof/>
          <w:lang w:val="en-AU" w:eastAsia="en-AU"/>
        </w:rPr>
      </w:pPr>
      <w:r>
        <w:rPr>
          <w:rFonts w:cstheme="minorHAnsi"/>
        </w:rPr>
        <w:fldChar w:fldCharType="begin"/>
      </w:r>
      <w:r>
        <w:rPr>
          <w:rFonts w:cstheme="minorHAnsi"/>
        </w:rPr>
        <w:instrText xml:space="preserve"> TOC \h \z \t "NILS Table Heading" \c </w:instrText>
      </w:r>
      <w:r>
        <w:rPr>
          <w:rFonts w:cstheme="minorHAnsi"/>
        </w:rPr>
        <w:fldChar w:fldCharType="separate"/>
      </w:r>
      <w:hyperlink w:anchor="_Toc449955258" w:history="1">
        <w:r w:rsidR="00A71FD1" w:rsidRPr="006A2378">
          <w:rPr>
            <w:rStyle w:val="Hyperlink"/>
            <w:noProof/>
          </w:rPr>
          <w:t>Table 2.1: Fieldwork period for Qualitative Impact Evaluation (Wave 1)</w:t>
        </w:r>
        <w:r w:rsidR="00A71FD1">
          <w:rPr>
            <w:noProof/>
            <w:webHidden/>
          </w:rPr>
          <w:tab/>
        </w:r>
        <w:r w:rsidR="00A71FD1">
          <w:rPr>
            <w:noProof/>
            <w:webHidden/>
          </w:rPr>
          <w:fldChar w:fldCharType="begin"/>
        </w:r>
        <w:r w:rsidR="00A71FD1">
          <w:rPr>
            <w:noProof/>
            <w:webHidden/>
          </w:rPr>
          <w:instrText xml:space="preserve"> PAGEREF _Toc449955258 \h </w:instrText>
        </w:r>
        <w:r w:rsidR="00A71FD1">
          <w:rPr>
            <w:noProof/>
            <w:webHidden/>
          </w:rPr>
        </w:r>
        <w:r w:rsidR="00A71FD1">
          <w:rPr>
            <w:noProof/>
            <w:webHidden/>
          </w:rPr>
          <w:fldChar w:fldCharType="separate"/>
        </w:r>
        <w:r w:rsidR="00A71FD1">
          <w:rPr>
            <w:noProof/>
            <w:webHidden/>
          </w:rPr>
          <w:t>22</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259" w:history="1">
        <w:r w:rsidR="00A71FD1" w:rsidRPr="006A2378">
          <w:rPr>
            <w:rStyle w:val="Hyperlink"/>
            <w:noProof/>
          </w:rPr>
          <w:t>Table 2.2: Characteristics of respondents in the qualitative study of people with disability, and their families and carers</w:t>
        </w:r>
        <w:r w:rsidR="00A71FD1">
          <w:rPr>
            <w:noProof/>
            <w:webHidden/>
          </w:rPr>
          <w:tab/>
        </w:r>
        <w:r w:rsidR="00A71FD1">
          <w:rPr>
            <w:noProof/>
            <w:webHidden/>
          </w:rPr>
          <w:fldChar w:fldCharType="begin"/>
        </w:r>
        <w:r w:rsidR="00A71FD1">
          <w:rPr>
            <w:noProof/>
            <w:webHidden/>
          </w:rPr>
          <w:instrText xml:space="preserve"> PAGEREF _Toc449955259 \h </w:instrText>
        </w:r>
        <w:r w:rsidR="00A71FD1">
          <w:rPr>
            <w:noProof/>
            <w:webHidden/>
          </w:rPr>
        </w:r>
        <w:r w:rsidR="00A71FD1">
          <w:rPr>
            <w:noProof/>
            <w:webHidden/>
          </w:rPr>
          <w:fldChar w:fldCharType="separate"/>
        </w:r>
        <w:r w:rsidR="00A71FD1">
          <w:rPr>
            <w:noProof/>
            <w:webHidden/>
          </w:rPr>
          <w:t>26</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260" w:history="1">
        <w:r w:rsidR="00A71FD1" w:rsidRPr="006A2378">
          <w:rPr>
            <w:rStyle w:val="Hyperlink"/>
            <w:noProof/>
          </w:rPr>
          <w:t>Table 2.3: Characteristics of respondents in the qualitative study of disability service providers</w:t>
        </w:r>
        <w:r w:rsidR="00A71FD1">
          <w:rPr>
            <w:noProof/>
            <w:webHidden/>
          </w:rPr>
          <w:tab/>
        </w:r>
        <w:r w:rsidR="00A71FD1">
          <w:rPr>
            <w:noProof/>
            <w:webHidden/>
          </w:rPr>
          <w:fldChar w:fldCharType="begin"/>
        </w:r>
        <w:r w:rsidR="00A71FD1">
          <w:rPr>
            <w:noProof/>
            <w:webHidden/>
          </w:rPr>
          <w:instrText xml:space="preserve"> PAGEREF _Toc449955260 \h </w:instrText>
        </w:r>
        <w:r w:rsidR="00A71FD1">
          <w:rPr>
            <w:noProof/>
            <w:webHidden/>
          </w:rPr>
        </w:r>
        <w:r w:rsidR="00A71FD1">
          <w:rPr>
            <w:noProof/>
            <w:webHidden/>
          </w:rPr>
          <w:fldChar w:fldCharType="separate"/>
        </w:r>
        <w:r w:rsidR="00A71FD1">
          <w:rPr>
            <w:noProof/>
            <w:webHidden/>
          </w:rPr>
          <w:t>37</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261" w:history="1">
        <w:r w:rsidR="00A71FD1" w:rsidRPr="006A2378">
          <w:rPr>
            <w:rStyle w:val="Hyperlink"/>
            <w:noProof/>
            <w:lang w:eastAsia="zh-CN"/>
          </w:rPr>
          <w:t xml:space="preserve">Table 2.4: </w:t>
        </w:r>
        <w:r w:rsidR="00A71FD1" w:rsidRPr="006A2378">
          <w:rPr>
            <w:rStyle w:val="Hyperlink"/>
            <w:noProof/>
            <w:lang w:val="en-AU" w:eastAsia="zh-CN"/>
          </w:rPr>
          <w:t>NDIA interviews</w:t>
        </w:r>
        <w:r w:rsidR="00A71FD1" w:rsidRPr="006A2378">
          <w:rPr>
            <w:rStyle w:val="Hyperlink"/>
            <w:noProof/>
            <w:lang w:eastAsia="zh-CN"/>
          </w:rPr>
          <w:t xml:space="preserve"> by trial site and job role</w:t>
        </w:r>
        <w:r w:rsidR="00A71FD1">
          <w:rPr>
            <w:noProof/>
            <w:webHidden/>
          </w:rPr>
          <w:tab/>
        </w:r>
        <w:r w:rsidR="00A71FD1">
          <w:rPr>
            <w:noProof/>
            <w:webHidden/>
          </w:rPr>
          <w:fldChar w:fldCharType="begin"/>
        </w:r>
        <w:r w:rsidR="00A71FD1">
          <w:rPr>
            <w:noProof/>
            <w:webHidden/>
          </w:rPr>
          <w:instrText xml:space="preserve"> PAGEREF _Toc449955261 \h </w:instrText>
        </w:r>
        <w:r w:rsidR="00A71FD1">
          <w:rPr>
            <w:noProof/>
            <w:webHidden/>
          </w:rPr>
        </w:r>
        <w:r w:rsidR="00A71FD1">
          <w:rPr>
            <w:noProof/>
            <w:webHidden/>
          </w:rPr>
          <w:fldChar w:fldCharType="separate"/>
        </w:r>
        <w:r w:rsidR="00A71FD1">
          <w:rPr>
            <w:noProof/>
            <w:webHidden/>
          </w:rPr>
          <w:t>57</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262" w:history="1">
        <w:r w:rsidR="00A71FD1" w:rsidRPr="006A2378">
          <w:rPr>
            <w:rStyle w:val="Hyperlink"/>
            <w:noProof/>
          </w:rPr>
          <w:t>Table 2.5: Key Evaluation Questions</w:t>
        </w:r>
        <w:r w:rsidR="00A71FD1">
          <w:rPr>
            <w:noProof/>
            <w:webHidden/>
          </w:rPr>
          <w:tab/>
        </w:r>
        <w:r w:rsidR="00A71FD1">
          <w:rPr>
            <w:noProof/>
            <w:webHidden/>
          </w:rPr>
          <w:fldChar w:fldCharType="begin"/>
        </w:r>
        <w:r w:rsidR="00A71FD1">
          <w:rPr>
            <w:noProof/>
            <w:webHidden/>
          </w:rPr>
          <w:instrText xml:space="preserve"> PAGEREF _Toc449955262 \h </w:instrText>
        </w:r>
        <w:r w:rsidR="00A71FD1">
          <w:rPr>
            <w:noProof/>
            <w:webHidden/>
          </w:rPr>
        </w:r>
        <w:r w:rsidR="00A71FD1">
          <w:rPr>
            <w:noProof/>
            <w:webHidden/>
          </w:rPr>
          <w:fldChar w:fldCharType="separate"/>
        </w:r>
        <w:r w:rsidR="00A71FD1">
          <w:rPr>
            <w:noProof/>
            <w:webHidden/>
          </w:rPr>
          <w:t>70</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263" w:history="1">
        <w:r w:rsidR="00A71FD1" w:rsidRPr="006A2378">
          <w:rPr>
            <w:rStyle w:val="Hyperlink"/>
            <w:noProof/>
          </w:rPr>
          <w:t>Table 3.1: Estimates of NDIS eligible populations and required sample sizes</w:t>
        </w:r>
        <w:r w:rsidR="00A71FD1">
          <w:rPr>
            <w:noProof/>
            <w:webHidden/>
          </w:rPr>
          <w:tab/>
        </w:r>
        <w:r w:rsidR="00A71FD1">
          <w:rPr>
            <w:noProof/>
            <w:webHidden/>
          </w:rPr>
          <w:fldChar w:fldCharType="begin"/>
        </w:r>
        <w:r w:rsidR="00A71FD1">
          <w:rPr>
            <w:noProof/>
            <w:webHidden/>
          </w:rPr>
          <w:instrText xml:space="preserve"> PAGEREF _Toc449955263 \h </w:instrText>
        </w:r>
        <w:r w:rsidR="00A71FD1">
          <w:rPr>
            <w:noProof/>
            <w:webHidden/>
          </w:rPr>
        </w:r>
        <w:r w:rsidR="00A71FD1">
          <w:rPr>
            <w:noProof/>
            <w:webHidden/>
          </w:rPr>
          <w:fldChar w:fldCharType="separate"/>
        </w:r>
        <w:r w:rsidR="00A71FD1">
          <w:rPr>
            <w:noProof/>
            <w:webHidden/>
          </w:rPr>
          <w:t>82</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264" w:history="1">
        <w:r w:rsidR="00A71FD1" w:rsidRPr="006A2378">
          <w:rPr>
            <w:rStyle w:val="Hyperlink"/>
            <w:noProof/>
          </w:rPr>
          <w:t>Table 3.2: NDIS Survey study populations and samples</w:t>
        </w:r>
        <w:r w:rsidR="00A71FD1">
          <w:rPr>
            <w:noProof/>
            <w:webHidden/>
          </w:rPr>
          <w:tab/>
        </w:r>
        <w:r w:rsidR="00A71FD1">
          <w:rPr>
            <w:noProof/>
            <w:webHidden/>
          </w:rPr>
          <w:fldChar w:fldCharType="begin"/>
        </w:r>
        <w:r w:rsidR="00A71FD1">
          <w:rPr>
            <w:noProof/>
            <w:webHidden/>
          </w:rPr>
          <w:instrText xml:space="preserve"> PAGEREF _Toc449955264 \h </w:instrText>
        </w:r>
        <w:r w:rsidR="00A71FD1">
          <w:rPr>
            <w:noProof/>
            <w:webHidden/>
          </w:rPr>
        </w:r>
        <w:r w:rsidR="00A71FD1">
          <w:rPr>
            <w:noProof/>
            <w:webHidden/>
          </w:rPr>
          <w:fldChar w:fldCharType="separate"/>
        </w:r>
        <w:r w:rsidR="00A71FD1">
          <w:rPr>
            <w:noProof/>
            <w:webHidden/>
          </w:rPr>
          <w:t>86</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265" w:history="1">
        <w:r w:rsidR="00A71FD1" w:rsidRPr="006A2378">
          <w:rPr>
            <w:rStyle w:val="Hyperlink"/>
            <w:noProof/>
          </w:rPr>
          <w:t>Table 3.3: NDIS Survey sample and registrations (as at 15 July 2015)</w:t>
        </w:r>
        <w:r w:rsidR="00A71FD1">
          <w:rPr>
            <w:noProof/>
            <w:webHidden/>
          </w:rPr>
          <w:tab/>
        </w:r>
        <w:r w:rsidR="00A71FD1">
          <w:rPr>
            <w:noProof/>
            <w:webHidden/>
          </w:rPr>
          <w:fldChar w:fldCharType="begin"/>
        </w:r>
        <w:r w:rsidR="00A71FD1">
          <w:rPr>
            <w:noProof/>
            <w:webHidden/>
          </w:rPr>
          <w:instrText xml:space="preserve"> PAGEREF _Toc449955265 \h </w:instrText>
        </w:r>
        <w:r w:rsidR="00A71FD1">
          <w:rPr>
            <w:noProof/>
            <w:webHidden/>
          </w:rPr>
        </w:r>
        <w:r w:rsidR="00A71FD1">
          <w:rPr>
            <w:noProof/>
            <w:webHidden/>
          </w:rPr>
          <w:fldChar w:fldCharType="separate"/>
        </w:r>
        <w:r w:rsidR="00A71FD1">
          <w:rPr>
            <w:noProof/>
            <w:webHidden/>
          </w:rPr>
          <w:t>87</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266" w:history="1">
        <w:r w:rsidR="00A71FD1" w:rsidRPr="006A2378">
          <w:rPr>
            <w:rStyle w:val="Hyperlink"/>
            <w:noProof/>
          </w:rPr>
          <w:t>Table 3.4</w:t>
        </w:r>
        <w:r w:rsidR="00A71FD1" w:rsidRPr="006A2378">
          <w:rPr>
            <w:rStyle w:val="Hyperlink"/>
            <w:noProof/>
            <w:lang w:val="en-AU"/>
          </w:rPr>
          <w:t>:</w:t>
        </w:r>
        <w:r w:rsidR="00A71FD1" w:rsidRPr="006A2378">
          <w:rPr>
            <w:rStyle w:val="Hyperlink"/>
            <w:noProof/>
          </w:rPr>
          <w:t xml:space="preserve"> Types of questionnaires</w:t>
        </w:r>
        <w:r w:rsidR="00A71FD1">
          <w:rPr>
            <w:noProof/>
            <w:webHidden/>
          </w:rPr>
          <w:tab/>
        </w:r>
        <w:r w:rsidR="00A71FD1">
          <w:rPr>
            <w:noProof/>
            <w:webHidden/>
          </w:rPr>
          <w:fldChar w:fldCharType="begin"/>
        </w:r>
        <w:r w:rsidR="00A71FD1">
          <w:rPr>
            <w:noProof/>
            <w:webHidden/>
          </w:rPr>
          <w:instrText xml:space="preserve"> PAGEREF _Toc449955266 \h </w:instrText>
        </w:r>
        <w:r w:rsidR="00A71FD1">
          <w:rPr>
            <w:noProof/>
            <w:webHidden/>
          </w:rPr>
        </w:r>
        <w:r w:rsidR="00A71FD1">
          <w:rPr>
            <w:noProof/>
            <w:webHidden/>
          </w:rPr>
          <w:fldChar w:fldCharType="separate"/>
        </w:r>
        <w:r w:rsidR="00A71FD1">
          <w:rPr>
            <w:noProof/>
            <w:webHidden/>
          </w:rPr>
          <w:t>91</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267" w:history="1">
        <w:r w:rsidR="00A71FD1" w:rsidRPr="006A2378">
          <w:rPr>
            <w:rStyle w:val="Hyperlink"/>
            <w:noProof/>
          </w:rPr>
          <w:t>Table 3.5: Wave 1</w:t>
        </w:r>
        <w:r w:rsidR="00A71FD1" w:rsidRPr="006A2378">
          <w:rPr>
            <w:rStyle w:val="Hyperlink"/>
            <w:noProof/>
            <w:lang w:val="en-AU"/>
          </w:rPr>
          <w:t xml:space="preserve"> </w:t>
        </w:r>
        <w:r w:rsidR="00A71FD1" w:rsidRPr="006A2378">
          <w:rPr>
            <w:rStyle w:val="Hyperlink"/>
            <w:noProof/>
          </w:rPr>
          <w:t>NDIS Survey returns, by state, and response rate (as at 15 July 2015)</w:t>
        </w:r>
        <w:r w:rsidR="00A71FD1">
          <w:rPr>
            <w:noProof/>
            <w:webHidden/>
          </w:rPr>
          <w:tab/>
        </w:r>
        <w:r w:rsidR="00A71FD1">
          <w:rPr>
            <w:noProof/>
            <w:webHidden/>
          </w:rPr>
          <w:fldChar w:fldCharType="begin"/>
        </w:r>
        <w:r w:rsidR="00A71FD1">
          <w:rPr>
            <w:noProof/>
            <w:webHidden/>
          </w:rPr>
          <w:instrText xml:space="preserve"> PAGEREF _Toc449955267 \h </w:instrText>
        </w:r>
        <w:r w:rsidR="00A71FD1">
          <w:rPr>
            <w:noProof/>
            <w:webHidden/>
          </w:rPr>
        </w:r>
        <w:r w:rsidR="00A71FD1">
          <w:rPr>
            <w:noProof/>
            <w:webHidden/>
          </w:rPr>
          <w:fldChar w:fldCharType="separate"/>
        </w:r>
        <w:r w:rsidR="00A71FD1">
          <w:rPr>
            <w:noProof/>
            <w:webHidden/>
          </w:rPr>
          <w:t>95</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268" w:history="1">
        <w:r w:rsidR="00A71FD1" w:rsidRPr="006A2378">
          <w:rPr>
            <w:rStyle w:val="Hyperlink"/>
            <w:noProof/>
          </w:rPr>
          <w:t>Table 3.6: NDIS Survey responses by mode and types of questionnaire (as at end May 2015)</w:t>
        </w:r>
        <w:r w:rsidR="00A71FD1">
          <w:rPr>
            <w:noProof/>
            <w:webHidden/>
          </w:rPr>
          <w:tab/>
        </w:r>
        <w:r w:rsidR="00A71FD1">
          <w:rPr>
            <w:noProof/>
            <w:webHidden/>
          </w:rPr>
          <w:fldChar w:fldCharType="begin"/>
        </w:r>
        <w:r w:rsidR="00A71FD1">
          <w:rPr>
            <w:noProof/>
            <w:webHidden/>
          </w:rPr>
          <w:instrText xml:space="preserve"> PAGEREF _Toc449955268 \h </w:instrText>
        </w:r>
        <w:r w:rsidR="00A71FD1">
          <w:rPr>
            <w:noProof/>
            <w:webHidden/>
          </w:rPr>
        </w:r>
        <w:r w:rsidR="00A71FD1">
          <w:rPr>
            <w:noProof/>
            <w:webHidden/>
          </w:rPr>
          <w:fldChar w:fldCharType="separate"/>
        </w:r>
        <w:r w:rsidR="00A71FD1">
          <w:rPr>
            <w:noProof/>
            <w:webHidden/>
          </w:rPr>
          <w:t>96</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269" w:history="1">
        <w:r w:rsidR="00A71FD1" w:rsidRPr="006A2378">
          <w:rPr>
            <w:rStyle w:val="Hyperlink"/>
            <w:noProof/>
          </w:rPr>
          <w:t>Table 3.7: NDIS Survey for Families and Carers: registrations and completions (as at 15 July 2015)</w:t>
        </w:r>
        <w:r w:rsidR="00A71FD1">
          <w:rPr>
            <w:noProof/>
            <w:webHidden/>
          </w:rPr>
          <w:tab/>
        </w:r>
        <w:r w:rsidR="00A71FD1">
          <w:rPr>
            <w:noProof/>
            <w:webHidden/>
          </w:rPr>
          <w:fldChar w:fldCharType="begin"/>
        </w:r>
        <w:r w:rsidR="00A71FD1">
          <w:rPr>
            <w:noProof/>
            <w:webHidden/>
          </w:rPr>
          <w:instrText xml:space="preserve"> PAGEREF _Toc449955269 \h </w:instrText>
        </w:r>
        <w:r w:rsidR="00A71FD1">
          <w:rPr>
            <w:noProof/>
            <w:webHidden/>
          </w:rPr>
        </w:r>
        <w:r w:rsidR="00A71FD1">
          <w:rPr>
            <w:noProof/>
            <w:webHidden/>
          </w:rPr>
          <w:fldChar w:fldCharType="separate"/>
        </w:r>
        <w:r w:rsidR="00A71FD1">
          <w:rPr>
            <w:noProof/>
            <w:webHidden/>
          </w:rPr>
          <w:t>96</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270" w:history="1">
        <w:r w:rsidR="00A71FD1" w:rsidRPr="006A2378">
          <w:rPr>
            <w:rStyle w:val="Hyperlink"/>
            <w:noProof/>
          </w:rPr>
          <w:t>Table 3.8a: Demographic composition of trial and comparison samples</w:t>
        </w:r>
        <w:r w:rsidR="00A71FD1">
          <w:rPr>
            <w:noProof/>
            <w:webHidden/>
          </w:rPr>
          <w:tab/>
        </w:r>
        <w:r w:rsidR="00A71FD1">
          <w:rPr>
            <w:noProof/>
            <w:webHidden/>
          </w:rPr>
          <w:fldChar w:fldCharType="begin"/>
        </w:r>
        <w:r w:rsidR="00A71FD1">
          <w:rPr>
            <w:noProof/>
            <w:webHidden/>
          </w:rPr>
          <w:instrText xml:space="preserve"> PAGEREF _Toc449955270 \h </w:instrText>
        </w:r>
        <w:r w:rsidR="00A71FD1">
          <w:rPr>
            <w:noProof/>
            <w:webHidden/>
          </w:rPr>
        </w:r>
        <w:r w:rsidR="00A71FD1">
          <w:rPr>
            <w:noProof/>
            <w:webHidden/>
          </w:rPr>
          <w:fldChar w:fldCharType="separate"/>
        </w:r>
        <w:r w:rsidR="00A71FD1">
          <w:rPr>
            <w:noProof/>
            <w:webHidden/>
          </w:rPr>
          <w:t>97</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271" w:history="1">
        <w:r w:rsidR="00A71FD1" w:rsidRPr="006A2378">
          <w:rPr>
            <w:rStyle w:val="Hyperlink"/>
            <w:noProof/>
          </w:rPr>
          <w:t>Table 3.9: Main disability</w:t>
        </w:r>
        <w:r w:rsidR="00A71FD1">
          <w:rPr>
            <w:noProof/>
            <w:webHidden/>
          </w:rPr>
          <w:tab/>
        </w:r>
        <w:r w:rsidR="00A71FD1">
          <w:rPr>
            <w:noProof/>
            <w:webHidden/>
          </w:rPr>
          <w:fldChar w:fldCharType="begin"/>
        </w:r>
        <w:r w:rsidR="00A71FD1">
          <w:rPr>
            <w:noProof/>
            <w:webHidden/>
          </w:rPr>
          <w:instrText xml:space="preserve"> PAGEREF _Toc449955271 \h </w:instrText>
        </w:r>
        <w:r w:rsidR="00A71FD1">
          <w:rPr>
            <w:noProof/>
            <w:webHidden/>
          </w:rPr>
        </w:r>
        <w:r w:rsidR="00A71FD1">
          <w:rPr>
            <w:noProof/>
            <w:webHidden/>
          </w:rPr>
          <w:fldChar w:fldCharType="separate"/>
        </w:r>
        <w:r w:rsidR="00A71FD1">
          <w:rPr>
            <w:noProof/>
            <w:webHidden/>
          </w:rPr>
          <w:t>99</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272" w:history="1">
        <w:r w:rsidR="00A71FD1" w:rsidRPr="006A2378">
          <w:rPr>
            <w:rStyle w:val="Hyperlink"/>
            <w:noProof/>
          </w:rPr>
          <w:t>Table 3.10: Daily activities where assistance is needed</w:t>
        </w:r>
        <w:r w:rsidR="00A71FD1">
          <w:rPr>
            <w:noProof/>
            <w:webHidden/>
          </w:rPr>
          <w:tab/>
        </w:r>
        <w:r w:rsidR="00A71FD1">
          <w:rPr>
            <w:noProof/>
            <w:webHidden/>
          </w:rPr>
          <w:fldChar w:fldCharType="begin"/>
        </w:r>
        <w:r w:rsidR="00A71FD1">
          <w:rPr>
            <w:noProof/>
            <w:webHidden/>
          </w:rPr>
          <w:instrText xml:space="preserve"> PAGEREF _Toc449955272 \h </w:instrText>
        </w:r>
        <w:r w:rsidR="00A71FD1">
          <w:rPr>
            <w:noProof/>
            <w:webHidden/>
          </w:rPr>
        </w:r>
        <w:r w:rsidR="00A71FD1">
          <w:rPr>
            <w:noProof/>
            <w:webHidden/>
          </w:rPr>
          <w:fldChar w:fldCharType="separate"/>
        </w:r>
        <w:r w:rsidR="00A71FD1">
          <w:rPr>
            <w:noProof/>
            <w:webHidden/>
          </w:rPr>
          <w:t>100</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273" w:history="1">
        <w:r w:rsidR="00A71FD1" w:rsidRPr="006A2378">
          <w:rPr>
            <w:rStyle w:val="Hyperlink"/>
            <w:noProof/>
          </w:rPr>
          <w:t>Table 3.11: Who most often provides assistance with daily activities?</w:t>
        </w:r>
        <w:r w:rsidR="00A71FD1">
          <w:rPr>
            <w:noProof/>
            <w:webHidden/>
          </w:rPr>
          <w:tab/>
        </w:r>
        <w:r w:rsidR="00A71FD1">
          <w:rPr>
            <w:noProof/>
            <w:webHidden/>
          </w:rPr>
          <w:fldChar w:fldCharType="begin"/>
        </w:r>
        <w:r w:rsidR="00A71FD1">
          <w:rPr>
            <w:noProof/>
            <w:webHidden/>
          </w:rPr>
          <w:instrText xml:space="preserve"> PAGEREF _Toc449955273 \h </w:instrText>
        </w:r>
        <w:r w:rsidR="00A71FD1">
          <w:rPr>
            <w:noProof/>
            <w:webHidden/>
          </w:rPr>
        </w:r>
        <w:r w:rsidR="00A71FD1">
          <w:rPr>
            <w:noProof/>
            <w:webHidden/>
          </w:rPr>
          <w:fldChar w:fldCharType="separate"/>
        </w:r>
        <w:r w:rsidR="00A71FD1">
          <w:rPr>
            <w:noProof/>
            <w:webHidden/>
          </w:rPr>
          <w:t>101</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274" w:history="1">
        <w:r w:rsidR="00A71FD1" w:rsidRPr="006A2378">
          <w:rPr>
            <w:rStyle w:val="Hyperlink"/>
            <w:noProof/>
          </w:rPr>
          <w:t>Table 3.12: Accommodation</w:t>
        </w:r>
        <w:r w:rsidR="00A71FD1">
          <w:rPr>
            <w:noProof/>
            <w:webHidden/>
          </w:rPr>
          <w:tab/>
        </w:r>
        <w:r w:rsidR="00A71FD1">
          <w:rPr>
            <w:noProof/>
            <w:webHidden/>
          </w:rPr>
          <w:fldChar w:fldCharType="begin"/>
        </w:r>
        <w:r w:rsidR="00A71FD1">
          <w:rPr>
            <w:noProof/>
            <w:webHidden/>
          </w:rPr>
          <w:instrText xml:space="preserve"> PAGEREF _Toc449955274 \h </w:instrText>
        </w:r>
        <w:r w:rsidR="00A71FD1">
          <w:rPr>
            <w:noProof/>
            <w:webHidden/>
          </w:rPr>
        </w:r>
        <w:r w:rsidR="00A71FD1">
          <w:rPr>
            <w:noProof/>
            <w:webHidden/>
          </w:rPr>
          <w:fldChar w:fldCharType="separate"/>
        </w:r>
        <w:r w:rsidR="00A71FD1">
          <w:rPr>
            <w:noProof/>
            <w:webHidden/>
          </w:rPr>
          <w:t>101</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275" w:history="1">
        <w:r w:rsidR="00A71FD1" w:rsidRPr="006A2378">
          <w:rPr>
            <w:rStyle w:val="Hyperlink"/>
            <w:noProof/>
          </w:rPr>
          <w:t>Table 3.13: Home ownership</w:t>
        </w:r>
        <w:r w:rsidR="00A71FD1">
          <w:rPr>
            <w:noProof/>
            <w:webHidden/>
          </w:rPr>
          <w:tab/>
        </w:r>
        <w:r w:rsidR="00A71FD1">
          <w:rPr>
            <w:noProof/>
            <w:webHidden/>
          </w:rPr>
          <w:fldChar w:fldCharType="begin"/>
        </w:r>
        <w:r w:rsidR="00A71FD1">
          <w:rPr>
            <w:noProof/>
            <w:webHidden/>
          </w:rPr>
          <w:instrText xml:space="preserve"> PAGEREF _Toc449955275 \h </w:instrText>
        </w:r>
        <w:r w:rsidR="00A71FD1">
          <w:rPr>
            <w:noProof/>
            <w:webHidden/>
          </w:rPr>
        </w:r>
        <w:r w:rsidR="00A71FD1">
          <w:rPr>
            <w:noProof/>
            <w:webHidden/>
          </w:rPr>
          <w:fldChar w:fldCharType="separate"/>
        </w:r>
        <w:r w:rsidR="00A71FD1">
          <w:rPr>
            <w:noProof/>
            <w:webHidden/>
          </w:rPr>
          <w:t>102</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276" w:history="1">
        <w:r w:rsidR="00A71FD1" w:rsidRPr="006A2378">
          <w:rPr>
            <w:rStyle w:val="Hyperlink"/>
            <w:noProof/>
          </w:rPr>
          <w:t>Table 3.14: Who do people with disability live with?</w:t>
        </w:r>
        <w:r w:rsidR="00A71FD1">
          <w:rPr>
            <w:noProof/>
            <w:webHidden/>
          </w:rPr>
          <w:tab/>
        </w:r>
        <w:r w:rsidR="00A71FD1">
          <w:rPr>
            <w:noProof/>
            <w:webHidden/>
          </w:rPr>
          <w:fldChar w:fldCharType="begin"/>
        </w:r>
        <w:r w:rsidR="00A71FD1">
          <w:rPr>
            <w:noProof/>
            <w:webHidden/>
          </w:rPr>
          <w:instrText xml:space="preserve"> PAGEREF _Toc449955276 \h </w:instrText>
        </w:r>
        <w:r w:rsidR="00A71FD1">
          <w:rPr>
            <w:noProof/>
            <w:webHidden/>
          </w:rPr>
        </w:r>
        <w:r w:rsidR="00A71FD1">
          <w:rPr>
            <w:noProof/>
            <w:webHidden/>
          </w:rPr>
          <w:fldChar w:fldCharType="separate"/>
        </w:r>
        <w:r w:rsidR="00A71FD1">
          <w:rPr>
            <w:noProof/>
            <w:webHidden/>
          </w:rPr>
          <w:t>102</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277" w:history="1">
        <w:r w:rsidR="00A71FD1" w:rsidRPr="006A2378">
          <w:rPr>
            <w:rStyle w:val="Hyperlink"/>
            <w:noProof/>
          </w:rPr>
          <w:t>Table 3.15: NDIS participants only - supports received before the NDIS</w:t>
        </w:r>
        <w:r w:rsidR="00A71FD1">
          <w:rPr>
            <w:noProof/>
            <w:webHidden/>
          </w:rPr>
          <w:tab/>
        </w:r>
        <w:r w:rsidR="00A71FD1">
          <w:rPr>
            <w:noProof/>
            <w:webHidden/>
          </w:rPr>
          <w:fldChar w:fldCharType="begin"/>
        </w:r>
        <w:r w:rsidR="00A71FD1">
          <w:rPr>
            <w:noProof/>
            <w:webHidden/>
          </w:rPr>
          <w:instrText xml:space="preserve"> PAGEREF _Toc449955277 \h </w:instrText>
        </w:r>
        <w:r w:rsidR="00A71FD1">
          <w:rPr>
            <w:noProof/>
            <w:webHidden/>
          </w:rPr>
        </w:r>
        <w:r w:rsidR="00A71FD1">
          <w:rPr>
            <w:noProof/>
            <w:webHidden/>
          </w:rPr>
          <w:fldChar w:fldCharType="separate"/>
        </w:r>
        <w:r w:rsidR="00A71FD1">
          <w:rPr>
            <w:noProof/>
            <w:webHidden/>
          </w:rPr>
          <w:t>103</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278" w:history="1">
        <w:r w:rsidR="00A71FD1" w:rsidRPr="006A2378">
          <w:rPr>
            <w:rStyle w:val="Hyperlink"/>
            <w:noProof/>
          </w:rPr>
          <w:t>Table 3.16: Pre-NDIS experience with self-management of funding</w:t>
        </w:r>
        <w:r w:rsidR="00A71FD1">
          <w:rPr>
            <w:noProof/>
            <w:webHidden/>
          </w:rPr>
          <w:tab/>
        </w:r>
        <w:r w:rsidR="00A71FD1">
          <w:rPr>
            <w:noProof/>
            <w:webHidden/>
          </w:rPr>
          <w:fldChar w:fldCharType="begin"/>
        </w:r>
        <w:r w:rsidR="00A71FD1">
          <w:rPr>
            <w:noProof/>
            <w:webHidden/>
          </w:rPr>
          <w:instrText xml:space="preserve"> PAGEREF _Toc449955278 \h </w:instrText>
        </w:r>
        <w:r w:rsidR="00A71FD1">
          <w:rPr>
            <w:noProof/>
            <w:webHidden/>
          </w:rPr>
        </w:r>
        <w:r w:rsidR="00A71FD1">
          <w:rPr>
            <w:noProof/>
            <w:webHidden/>
          </w:rPr>
          <w:fldChar w:fldCharType="separate"/>
        </w:r>
        <w:r w:rsidR="00A71FD1">
          <w:rPr>
            <w:noProof/>
            <w:webHidden/>
          </w:rPr>
          <w:t>104</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279" w:history="1">
        <w:r w:rsidR="00A71FD1" w:rsidRPr="006A2378">
          <w:rPr>
            <w:rStyle w:val="Hyperlink"/>
            <w:noProof/>
          </w:rPr>
          <w:t>Table 3.17: Meeting with the NDIA Planner</w:t>
        </w:r>
        <w:r w:rsidR="00A71FD1">
          <w:rPr>
            <w:noProof/>
            <w:webHidden/>
          </w:rPr>
          <w:tab/>
        </w:r>
        <w:r w:rsidR="00A71FD1">
          <w:rPr>
            <w:noProof/>
            <w:webHidden/>
          </w:rPr>
          <w:fldChar w:fldCharType="begin"/>
        </w:r>
        <w:r w:rsidR="00A71FD1">
          <w:rPr>
            <w:noProof/>
            <w:webHidden/>
          </w:rPr>
          <w:instrText xml:space="preserve"> PAGEREF _Toc449955279 \h </w:instrText>
        </w:r>
        <w:r w:rsidR="00A71FD1">
          <w:rPr>
            <w:noProof/>
            <w:webHidden/>
          </w:rPr>
        </w:r>
        <w:r w:rsidR="00A71FD1">
          <w:rPr>
            <w:noProof/>
            <w:webHidden/>
          </w:rPr>
          <w:fldChar w:fldCharType="separate"/>
        </w:r>
        <w:r w:rsidR="00A71FD1">
          <w:rPr>
            <w:noProof/>
            <w:webHidden/>
          </w:rPr>
          <w:t>105</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280" w:history="1">
        <w:r w:rsidR="00A71FD1" w:rsidRPr="006A2378">
          <w:rPr>
            <w:rStyle w:val="Hyperlink"/>
            <w:noProof/>
          </w:rPr>
          <w:t>Table 3.18: Assisted in making decisions about supports</w:t>
        </w:r>
        <w:r w:rsidR="00A71FD1">
          <w:rPr>
            <w:noProof/>
            <w:webHidden/>
          </w:rPr>
          <w:tab/>
        </w:r>
        <w:r w:rsidR="00A71FD1">
          <w:rPr>
            <w:noProof/>
            <w:webHidden/>
          </w:rPr>
          <w:fldChar w:fldCharType="begin"/>
        </w:r>
        <w:r w:rsidR="00A71FD1">
          <w:rPr>
            <w:noProof/>
            <w:webHidden/>
          </w:rPr>
          <w:instrText xml:space="preserve"> PAGEREF _Toc449955280 \h </w:instrText>
        </w:r>
        <w:r w:rsidR="00A71FD1">
          <w:rPr>
            <w:noProof/>
            <w:webHidden/>
          </w:rPr>
        </w:r>
        <w:r w:rsidR="00A71FD1">
          <w:rPr>
            <w:noProof/>
            <w:webHidden/>
          </w:rPr>
          <w:fldChar w:fldCharType="separate"/>
        </w:r>
        <w:r w:rsidR="00A71FD1">
          <w:rPr>
            <w:noProof/>
            <w:webHidden/>
          </w:rPr>
          <w:t>106</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281" w:history="1">
        <w:r w:rsidR="00A71FD1" w:rsidRPr="006A2378">
          <w:rPr>
            <w:rStyle w:val="Hyperlink"/>
            <w:noProof/>
          </w:rPr>
          <w:t>Table 3.19: Current types of supports received</w:t>
        </w:r>
        <w:r w:rsidR="00A71FD1">
          <w:rPr>
            <w:noProof/>
            <w:webHidden/>
          </w:rPr>
          <w:tab/>
        </w:r>
        <w:r w:rsidR="00A71FD1">
          <w:rPr>
            <w:noProof/>
            <w:webHidden/>
          </w:rPr>
          <w:fldChar w:fldCharType="begin"/>
        </w:r>
        <w:r w:rsidR="00A71FD1">
          <w:rPr>
            <w:noProof/>
            <w:webHidden/>
          </w:rPr>
          <w:instrText xml:space="preserve"> PAGEREF _Toc449955281 \h </w:instrText>
        </w:r>
        <w:r w:rsidR="00A71FD1">
          <w:rPr>
            <w:noProof/>
            <w:webHidden/>
          </w:rPr>
        </w:r>
        <w:r w:rsidR="00A71FD1">
          <w:rPr>
            <w:noProof/>
            <w:webHidden/>
          </w:rPr>
          <w:fldChar w:fldCharType="separate"/>
        </w:r>
        <w:r w:rsidR="00A71FD1">
          <w:rPr>
            <w:noProof/>
            <w:webHidden/>
          </w:rPr>
          <w:t>108</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282" w:history="1">
        <w:r w:rsidR="00A71FD1" w:rsidRPr="006A2378">
          <w:rPr>
            <w:rStyle w:val="Hyperlink"/>
            <w:noProof/>
          </w:rPr>
          <w:t>Table 3.20: Respondents in receipt of an early intervention by age group</w:t>
        </w:r>
        <w:r w:rsidR="00A71FD1">
          <w:rPr>
            <w:noProof/>
            <w:webHidden/>
          </w:rPr>
          <w:tab/>
        </w:r>
        <w:r w:rsidR="00A71FD1">
          <w:rPr>
            <w:noProof/>
            <w:webHidden/>
          </w:rPr>
          <w:fldChar w:fldCharType="begin"/>
        </w:r>
        <w:r w:rsidR="00A71FD1">
          <w:rPr>
            <w:noProof/>
            <w:webHidden/>
          </w:rPr>
          <w:instrText xml:space="preserve"> PAGEREF _Toc449955282 \h </w:instrText>
        </w:r>
        <w:r w:rsidR="00A71FD1">
          <w:rPr>
            <w:noProof/>
            <w:webHidden/>
          </w:rPr>
        </w:r>
        <w:r w:rsidR="00A71FD1">
          <w:rPr>
            <w:noProof/>
            <w:webHidden/>
          </w:rPr>
          <w:fldChar w:fldCharType="separate"/>
        </w:r>
        <w:r w:rsidR="00A71FD1">
          <w:rPr>
            <w:noProof/>
            <w:webHidden/>
          </w:rPr>
          <w:t>108</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283" w:history="1">
        <w:r w:rsidR="00A71FD1" w:rsidRPr="006A2378">
          <w:rPr>
            <w:rStyle w:val="Hyperlink"/>
            <w:noProof/>
          </w:rPr>
          <w:t>Table 3.21: Number of disability support providers used</w:t>
        </w:r>
        <w:r w:rsidR="00A71FD1">
          <w:rPr>
            <w:noProof/>
            <w:webHidden/>
          </w:rPr>
          <w:tab/>
        </w:r>
        <w:r w:rsidR="00A71FD1">
          <w:rPr>
            <w:noProof/>
            <w:webHidden/>
          </w:rPr>
          <w:fldChar w:fldCharType="begin"/>
        </w:r>
        <w:r w:rsidR="00A71FD1">
          <w:rPr>
            <w:noProof/>
            <w:webHidden/>
          </w:rPr>
          <w:instrText xml:space="preserve"> PAGEREF _Toc449955283 \h </w:instrText>
        </w:r>
        <w:r w:rsidR="00A71FD1">
          <w:rPr>
            <w:noProof/>
            <w:webHidden/>
          </w:rPr>
        </w:r>
        <w:r w:rsidR="00A71FD1">
          <w:rPr>
            <w:noProof/>
            <w:webHidden/>
          </w:rPr>
          <w:fldChar w:fldCharType="separate"/>
        </w:r>
        <w:r w:rsidR="00A71FD1">
          <w:rPr>
            <w:noProof/>
            <w:webHidden/>
          </w:rPr>
          <w:t>109</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284" w:history="1">
        <w:r w:rsidR="00A71FD1" w:rsidRPr="006A2378">
          <w:rPr>
            <w:rStyle w:val="Hyperlink"/>
            <w:noProof/>
          </w:rPr>
          <w:t>Table 3.22: Changes in disability support providers</w:t>
        </w:r>
        <w:r w:rsidR="00A71FD1">
          <w:rPr>
            <w:noProof/>
            <w:webHidden/>
          </w:rPr>
          <w:tab/>
        </w:r>
        <w:r w:rsidR="00A71FD1">
          <w:rPr>
            <w:noProof/>
            <w:webHidden/>
          </w:rPr>
          <w:fldChar w:fldCharType="begin"/>
        </w:r>
        <w:r w:rsidR="00A71FD1">
          <w:rPr>
            <w:noProof/>
            <w:webHidden/>
          </w:rPr>
          <w:instrText xml:space="preserve"> PAGEREF _Toc449955284 \h </w:instrText>
        </w:r>
        <w:r w:rsidR="00A71FD1">
          <w:rPr>
            <w:noProof/>
            <w:webHidden/>
          </w:rPr>
        </w:r>
        <w:r w:rsidR="00A71FD1">
          <w:rPr>
            <w:noProof/>
            <w:webHidden/>
          </w:rPr>
          <w:fldChar w:fldCharType="separate"/>
        </w:r>
        <w:r w:rsidR="00A71FD1">
          <w:rPr>
            <w:noProof/>
            <w:webHidden/>
          </w:rPr>
          <w:t>109</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285" w:history="1">
        <w:r w:rsidR="00A71FD1" w:rsidRPr="006A2378">
          <w:rPr>
            <w:rStyle w:val="Hyperlink"/>
            <w:noProof/>
          </w:rPr>
          <w:t>Table 3.23: Could not access supports</w:t>
        </w:r>
        <w:r w:rsidR="00A71FD1">
          <w:rPr>
            <w:noProof/>
            <w:webHidden/>
          </w:rPr>
          <w:tab/>
        </w:r>
        <w:r w:rsidR="00A71FD1">
          <w:rPr>
            <w:noProof/>
            <w:webHidden/>
          </w:rPr>
          <w:fldChar w:fldCharType="begin"/>
        </w:r>
        <w:r w:rsidR="00A71FD1">
          <w:rPr>
            <w:noProof/>
            <w:webHidden/>
          </w:rPr>
          <w:instrText xml:space="preserve"> PAGEREF _Toc449955285 \h </w:instrText>
        </w:r>
        <w:r w:rsidR="00A71FD1">
          <w:rPr>
            <w:noProof/>
            <w:webHidden/>
          </w:rPr>
        </w:r>
        <w:r w:rsidR="00A71FD1">
          <w:rPr>
            <w:noProof/>
            <w:webHidden/>
          </w:rPr>
          <w:fldChar w:fldCharType="separate"/>
        </w:r>
        <w:r w:rsidR="00A71FD1">
          <w:rPr>
            <w:noProof/>
            <w:webHidden/>
          </w:rPr>
          <w:t>110</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286" w:history="1">
        <w:r w:rsidR="00A71FD1" w:rsidRPr="006A2378">
          <w:rPr>
            <w:rStyle w:val="Hyperlink"/>
            <w:noProof/>
          </w:rPr>
          <w:t>Table 3.24: Reason for not accessing support</w:t>
        </w:r>
        <w:r w:rsidR="00A71FD1">
          <w:rPr>
            <w:noProof/>
            <w:webHidden/>
          </w:rPr>
          <w:tab/>
        </w:r>
        <w:r w:rsidR="00A71FD1">
          <w:rPr>
            <w:noProof/>
            <w:webHidden/>
          </w:rPr>
          <w:fldChar w:fldCharType="begin"/>
        </w:r>
        <w:r w:rsidR="00A71FD1">
          <w:rPr>
            <w:noProof/>
            <w:webHidden/>
          </w:rPr>
          <w:instrText xml:space="preserve"> PAGEREF _Toc449955286 \h </w:instrText>
        </w:r>
        <w:r w:rsidR="00A71FD1">
          <w:rPr>
            <w:noProof/>
            <w:webHidden/>
          </w:rPr>
        </w:r>
        <w:r w:rsidR="00A71FD1">
          <w:rPr>
            <w:noProof/>
            <w:webHidden/>
          </w:rPr>
          <w:fldChar w:fldCharType="separate"/>
        </w:r>
        <w:r w:rsidR="00A71FD1">
          <w:rPr>
            <w:noProof/>
            <w:webHidden/>
          </w:rPr>
          <w:t>110</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287" w:history="1">
        <w:r w:rsidR="00A71FD1" w:rsidRPr="006A2378">
          <w:rPr>
            <w:rStyle w:val="Hyperlink"/>
            <w:noProof/>
          </w:rPr>
          <w:t>Table 3.25: Currently studying or not</w:t>
        </w:r>
        <w:r w:rsidR="00A71FD1">
          <w:rPr>
            <w:noProof/>
            <w:webHidden/>
          </w:rPr>
          <w:tab/>
        </w:r>
        <w:r w:rsidR="00A71FD1">
          <w:rPr>
            <w:noProof/>
            <w:webHidden/>
          </w:rPr>
          <w:fldChar w:fldCharType="begin"/>
        </w:r>
        <w:r w:rsidR="00A71FD1">
          <w:rPr>
            <w:noProof/>
            <w:webHidden/>
          </w:rPr>
          <w:instrText xml:space="preserve"> PAGEREF _Toc449955287 \h </w:instrText>
        </w:r>
        <w:r w:rsidR="00A71FD1">
          <w:rPr>
            <w:noProof/>
            <w:webHidden/>
          </w:rPr>
        </w:r>
        <w:r w:rsidR="00A71FD1">
          <w:rPr>
            <w:noProof/>
            <w:webHidden/>
          </w:rPr>
          <w:fldChar w:fldCharType="separate"/>
        </w:r>
        <w:r w:rsidR="00A71FD1">
          <w:rPr>
            <w:noProof/>
            <w:webHidden/>
          </w:rPr>
          <w:t>112</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288" w:history="1">
        <w:r w:rsidR="00A71FD1" w:rsidRPr="006A2378">
          <w:rPr>
            <w:rStyle w:val="Hyperlink"/>
            <w:noProof/>
          </w:rPr>
          <w:t>Table 3.26a: Attending school</w:t>
        </w:r>
        <w:r w:rsidR="00A71FD1">
          <w:rPr>
            <w:noProof/>
            <w:webHidden/>
          </w:rPr>
          <w:tab/>
        </w:r>
        <w:r w:rsidR="00A71FD1">
          <w:rPr>
            <w:noProof/>
            <w:webHidden/>
          </w:rPr>
          <w:fldChar w:fldCharType="begin"/>
        </w:r>
        <w:r w:rsidR="00A71FD1">
          <w:rPr>
            <w:noProof/>
            <w:webHidden/>
          </w:rPr>
          <w:instrText xml:space="preserve"> PAGEREF _Toc449955288 \h </w:instrText>
        </w:r>
        <w:r w:rsidR="00A71FD1">
          <w:rPr>
            <w:noProof/>
            <w:webHidden/>
          </w:rPr>
        </w:r>
        <w:r w:rsidR="00A71FD1">
          <w:rPr>
            <w:noProof/>
            <w:webHidden/>
          </w:rPr>
          <w:fldChar w:fldCharType="separate"/>
        </w:r>
        <w:r w:rsidR="00A71FD1">
          <w:rPr>
            <w:noProof/>
            <w:webHidden/>
          </w:rPr>
          <w:t>113</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289" w:history="1">
        <w:r w:rsidR="00A71FD1" w:rsidRPr="006A2378">
          <w:rPr>
            <w:rStyle w:val="Hyperlink"/>
            <w:noProof/>
          </w:rPr>
          <w:t>Table 3.26b: Attending post-school education</w:t>
        </w:r>
        <w:r w:rsidR="00A71FD1">
          <w:rPr>
            <w:noProof/>
            <w:webHidden/>
          </w:rPr>
          <w:tab/>
        </w:r>
        <w:r w:rsidR="00A71FD1">
          <w:rPr>
            <w:noProof/>
            <w:webHidden/>
          </w:rPr>
          <w:fldChar w:fldCharType="begin"/>
        </w:r>
        <w:r w:rsidR="00A71FD1">
          <w:rPr>
            <w:noProof/>
            <w:webHidden/>
          </w:rPr>
          <w:instrText xml:space="preserve"> PAGEREF _Toc449955289 \h </w:instrText>
        </w:r>
        <w:r w:rsidR="00A71FD1">
          <w:rPr>
            <w:noProof/>
            <w:webHidden/>
          </w:rPr>
        </w:r>
        <w:r w:rsidR="00A71FD1">
          <w:rPr>
            <w:noProof/>
            <w:webHidden/>
          </w:rPr>
          <w:fldChar w:fldCharType="separate"/>
        </w:r>
        <w:r w:rsidR="00A71FD1">
          <w:rPr>
            <w:noProof/>
            <w:webHidden/>
          </w:rPr>
          <w:t>113</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290" w:history="1">
        <w:r w:rsidR="00A71FD1" w:rsidRPr="006A2378">
          <w:rPr>
            <w:rStyle w:val="Hyperlink"/>
            <w:noProof/>
          </w:rPr>
          <w:t>Table 3.27: Qualification level currently studying</w:t>
        </w:r>
        <w:r w:rsidR="00A71FD1">
          <w:rPr>
            <w:noProof/>
            <w:webHidden/>
          </w:rPr>
          <w:tab/>
        </w:r>
        <w:r w:rsidR="00A71FD1">
          <w:rPr>
            <w:noProof/>
            <w:webHidden/>
          </w:rPr>
          <w:fldChar w:fldCharType="begin"/>
        </w:r>
        <w:r w:rsidR="00A71FD1">
          <w:rPr>
            <w:noProof/>
            <w:webHidden/>
          </w:rPr>
          <w:instrText xml:space="preserve"> PAGEREF _Toc449955290 \h </w:instrText>
        </w:r>
        <w:r w:rsidR="00A71FD1">
          <w:rPr>
            <w:noProof/>
            <w:webHidden/>
          </w:rPr>
        </w:r>
        <w:r w:rsidR="00A71FD1">
          <w:rPr>
            <w:noProof/>
            <w:webHidden/>
          </w:rPr>
          <w:fldChar w:fldCharType="separate"/>
        </w:r>
        <w:r w:rsidR="00A71FD1">
          <w:rPr>
            <w:noProof/>
            <w:webHidden/>
          </w:rPr>
          <w:t>114</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291" w:history="1">
        <w:r w:rsidR="00A71FD1" w:rsidRPr="006A2378">
          <w:rPr>
            <w:rStyle w:val="Hyperlink"/>
            <w:noProof/>
          </w:rPr>
          <w:t>Table 3.28: What year are you currently in?</w:t>
        </w:r>
        <w:r w:rsidR="00A71FD1">
          <w:rPr>
            <w:noProof/>
            <w:webHidden/>
          </w:rPr>
          <w:tab/>
        </w:r>
        <w:r w:rsidR="00A71FD1">
          <w:rPr>
            <w:noProof/>
            <w:webHidden/>
          </w:rPr>
          <w:fldChar w:fldCharType="begin"/>
        </w:r>
        <w:r w:rsidR="00A71FD1">
          <w:rPr>
            <w:noProof/>
            <w:webHidden/>
          </w:rPr>
          <w:instrText xml:space="preserve"> PAGEREF _Toc449955291 \h </w:instrText>
        </w:r>
        <w:r w:rsidR="00A71FD1">
          <w:rPr>
            <w:noProof/>
            <w:webHidden/>
          </w:rPr>
        </w:r>
        <w:r w:rsidR="00A71FD1">
          <w:rPr>
            <w:noProof/>
            <w:webHidden/>
          </w:rPr>
          <w:fldChar w:fldCharType="separate"/>
        </w:r>
        <w:r w:rsidR="00A71FD1">
          <w:rPr>
            <w:noProof/>
            <w:webHidden/>
          </w:rPr>
          <w:t>114</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292" w:history="1">
        <w:r w:rsidR="00A71FD1" w:rsidRPr="006A2378">
          <w:rPr>
            <w:rStyle w:val="Hyperlink"/>
            <w:noProof/>
          </w:rPr>
          <w:t>Table 3.29: Enrolled full time/part time</w:t>
        </w:r>
        <w:r w:rsidR="00A71FD1">
          <w:rPr>
            <w:noProof/>
            <w:webHidden/>
          </w:rPr>
          <w:tab/>
        </w:r>
        <w:r w:rsidR="00A71FD1">
          <w:rPr>
            <w:noProof/>
            <w:webHidden/>
          </w:rPr>
          <w:fldChar w:fldCharType="begin"/>
        </w:r>
        <w:r w:rsidR="00A71FD1">
          <w:rPr>
            <w:noProof/>
            <w:webHidden/>
          </w:rPr>
          <w:instrText xml:space="preserve"> PAGEREF _Toc449955292 \h </w:instrText>
        </w:r>
        <w:r w:rsidR="00A71FD1">
          <w:rPr>
            <w:noProof/>
            <w:webHidden/>
          </w:rPr>
        </w:r>
        <w:r w:rsidR="00A71FD1">
          <w:rPr>
            <w:noProof/>
            <w:webHidden/>
          </w:rPr>
          <w:fldChar w:fldCharType="separate"/>
        </w:r>
        <w:r w:rsidR="00A71FD1">
          <w:rPr>
            <w:noProof/>
            <w:webHidden/>
          </w:rPr>
          <w:t>115</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293" w:history="1">
        <w:r w:rsidR="00A71FD1" w:rsidRPr="006A2378">
          <w:rPr>
            <w:rStyle w:val="Hyperlink"/>
            <w:noProof/>
          </w:rPr>
          <w:t>Table 3.30: Highest year of schooling attained</w:t>
        </w:r>
        <w:r w:rsidR="00A71FD1">
          <w:rPr>
            <w:noProof/>
            <w:webHidden/>
          </w:rPr>
          <w:tab/>
        </w:r>
        <w:r w:rsidR="00A71FD1">
          <w:rPr>
            <w:noProof/>
            <w:webHidden/>
          </w:rPr>
          <w:fldChar w:fldCharType="begin"/>
        </w:r>
        <w:r w:rsidR="00A71FD1">
          <w:rPr>
            <w:noProof/>
            <w:webHidden/>
          </w:rPr>
          <w:instrText xml:space="preserve"> PAGEREF _Toc449955293 \h </w:instrText>
        </w:r>
        <w:r w:rsidR="00A71FD1">
          <w:rPr>
            <w:noProof/>
            <w:webHidden/>
          </w:rPr>
        </w:r>
        <w:r w:rsidR="00A71FD1">
          <w:rPr>
            <w:noProof/>
            <w:webHidden/>
          </w:rPr>
          <w:fldChar w:fldCharType="separate"/>
        </w:r>
        <w:r w:rsidR="00A71FD1">
          <w:rPr>
            <w:noProof/>
            <w:webHidden/>
          </w:rPr>
          <w:t>115</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294" w:history="1">
        <w:r w:rsidR="00A71FD1" w:rsidRPr="006A2378">
          <w:rPr>
            <w:rStyle w:val="Hyperlink"/>
            <w:noProof/>
          </w:rPr>
          <w:t>Table 3.31: Highest level of educational qualifications</w:t>
        </w:r>
        <w:r w:rsidR="00A71FD1">
          <w:rPr>
            <w:noProof/>
            <w:webHidden/>
          </w:rPr>
          <w:tab/>
        </w:r>
        <w:r w:rsidR="00A71FD1">
          <w:rPr>
            <w:noProof/>
            <w:webHidden/>
          </w:rPr>
          <w:fldChar w:fldCharType="begin"/>
        </w:r>
        <w:r w:rsidR="00A71FD1">
          <w:rPr>
            <w:noProof/>
            <w:webHidden/>
          </w:rPr>
          <w:instrText xml:space="preserve"> PAGEREF _Toc449955294 \h </w:instrText>
        </w:r>
        <w:r w:rsidR="00A71FD1">
          <w:rPr>
            <w:noProof/>
            <w:webHidden/>
          </w:rPr>
        </w:r>
        <w:r w:rsidR="00A71FD1">
          <w:rPr>
            <w:noProof/>
            <w:webHidden/>
          </w:rPr>
          <w:fldChar w:fldCharType="separate"/>
        </w:r>
        <w:r w:rsidR="00A71FD1">
          <w:rPr>
            <w:noProof/>
            <w:webHidden/>
          </w:rPr>
          <w:t>116</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295" w:history="1">
        <w:r w:rsidR="00A71FD1" w:rsidRPr="006A2378">
          <w:rPr>
            <w:rStyle w:val="Hyperlink"/>
            <w:noProof/>
          </w:rPr>
          <w:t>Table 3.32: Work in an Australian Disability Enterprise</w:t>
        </w:r>
        <w:r w:rsidR="00A71FD1">
          <w:rPr>
            <w:noProof/>
            <w:webHidden/>
          </w:rPr>
          <w:tab/>
        </w:r>
        <w:r w:rsidR="00A71FD1">
          <w:rPr>
            <w:noProof/>
            <w:webHidden/>
          </w:rPr>
          <w:fldChar w:fldCharType="begin"/>
        </w:r>
        <w:r w:rsidR="00A71FD1">
          <w:rPr>
            <w:noProof/>
            <w:webHidden/>
          </w:rPr>
          <w:instrText xml:space="preserve"> PAGEREF _Toc449955295 \h </w:instrText>
        </w:r>
        <w:r w:rsidR="00A71FD1">
          <w:rPr>
            <w:noProof/>
            <w:webHidden/>
          </w:rPr>
        </w:r>
        <w:r w:rsidR="00A71FD1">
          <w:rPr>
            <w:noProof/>
            <w:webHidden/>
          </w:rPr>
          <w:fldChar w:fldCharType="separate"/>
        </w:r>
        <w:r w:rsidR="00A71FD1">
          <w:rPr>
            <w:noProof/>
            <w:webHidden/>
          </w:rPr>
          <w:t>116</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296" w:history="1">
        <w:r w:rsidR="00A71FD1" w:rsidRPr="006A2378">
          <w:rPr>
            <w:rStyle w:val="Hyperlink"/>
            <w:noProof/>
          </w:rPr>
          <w:t>Table 3.33: Current occupation</w:t>
        </w:r>
        <w:r w:rsidR="00A71FD1">
          <w:rPr>
            <w:noProof/>
            <w:webHidden/>
          </w:rPr>
          <w:tab/>
        </w:r>
        <w:r w:rsidR="00A71FD1">
          <w:rPr>
            <w:noProof/>
            <w:webHidden/>
          </w:rPr>
          <w:fldChar w:fldCharType="begin"/>
        </w:r>
        <w:r w:rsidR="00A71FD1">
          <w:rPr>
            <w:noProof/>
            <w:webHidden/>
          </w:rPr>
          <w:instrText xml:space="preserve"> PAGEREF _Toc449955296 \h </w:instrText>
        </w:r>
        <w:r w:rsidR="00A71FD1">
          <w:rPr>
            <w:noProof/>
            <w:webHidden/>
          </w:rPr>
        </w:r>
        <w:r w:rsidR="00A71FD1">
          <w:rPr>
            <w:noProof/>
            <w:webHidden/>
          </w:rPr>
          <w:fldChar w:fldCharType="separate"/>
        </w:r>
        <w:r w:rsidR="00A71FD1">
          <w:rPr>
            <w:noProof/>
            <w:webHidden/>
          </w:rPr>
          <w:t>118</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297" w:history="1">
        <w:r w:rsidR="00A71FD1" w:rsidRPr="006A2378">
          <w:rPr>
            <w:rStyle w:val="Hyperlink"/>
            <w:noProof/>
          </w:rPr>
          <w:t>Table 3.34: Work place adapted to facilitate working</w:t>
        </w:r>
        <w:r w:rsidR="00A71FD1">
          <w:rPr>
            <w:noProof/>
            <w:webHidden/>
          </w:rPr>
          <w:tab/>
        </w:r>
        <w:r w:rsidR="00A71FD1">
          <w:rPr>
            <w:noProof/>
            <w:webHidden/>
          </w:rPr>
          <w:fldChar w:fldCharType="begin"/>
        </w:r>
        <w:r w:rsidR="00A71FD1">
          <w:rPr>
            <w:noProof/>
            <w:webHidden/>
          </w:rPr>
          <w:instrText xml:space="preserve"> PAGEREF _Toc449955297 \h </w:instrText>
        </w:r>
        <w:r w:rsidR="00A71FD1">
          <w:rPr>
            <w:noProof/>
            <w:webHidden/>
          </w:rPr>
        </w:r>
        <w:r w:rsidR="00A71FD1">
          <w:rPr>
            <w:noProof/>
            <w:webHidden/>
          </w:rPr>
          <w:fldChar w:fldCharType="separate"/>
        </w:r>
        <w:r w:rsidR="00A71FD1">
          <w:rPr>
            <w:noProof/>
            <w:webHidden/>
          </w:rPr>
          <w:t>118</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298" w:history="1">
        <w:r w:rsidR="00A71FD1" w:rsidRPr="006A2378">
          <w:rPr>
            <w:rStyle w:val="Hyperlink"/>
            <w:noProof/>
          </w:rPr>
          <w:t>Table 3.35: If presently not employed, have ever had a job?</w:t>
        </w:r>
        <w:r w:rsidR="00A71FD1">
          <w:rPr>
            <w:noProof/>
            <w:webHidden/>
          </w:rPr>
          <w:tab/>
        </w:r>
        <w:r w:rsidR="00A71FD1">
          <w:rPr>
            <w:noProof/>
            <w:webHidden/>
          </w:rPr>
          <w:fldChar w:fldCharType="begin"/>
        </w:r>
        <w:r w:rsidR="00A71FD1">
          <w:rPr>
            <w:noProof/>
            <w:webHidden/>
          </w:rPr>
          <w:instrText xml:space="preserve"> PAGEREF _Toc449955298 \h </w:instrText>
        </w:r>
        <w:r w:rsidR="00A71FD1">
          <w:rPr>
            <w:noProof/>
            <w:webHidden/>
          </w:rPr>
        </w:r>
        <w:r w:rsidR="00A71FD1">
          <w:rPr>
            <w:noProof/>
            <w:webHidden/>
          </w:rPr>
          <w:fldChar w:fldCharType="separate"/>
        </w:r>
        <w:r w:rsidR="00A71FD1">
          <w:rPr>
            <w:noProof/>
            <w:webHidden/>
          </w:rPr>
          <w:t>118</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299" w:history="1">
        <w:r w:rsidR="00A71FD1" w:rsidRPr="006A2378">
          <w:rPr>
            <w:rStyle w:val="Hyperlink"/>
            <w:noProof/>
          </w:rPr>
          <w:t>Table 3.36: Person with disability main source of income</w:t>
        </w:r>
        <w:r w:rsidR="00A71FD1">
          <w:rPr>
            <w:noProof/>
            <w:webHidden/>
          </w:rPr>
          <w:tab/>
        </w:r>
        <w:r w:rsidR="00A71FD1">
          <w:rPr>
            <w:noProof/>
            <w:webHidden/>
          </w:rPr>
          <w:fldChar w:fldCharType="begin"/>
        </w:r>
        <w:r w:rsidR="00A71FD1">
          <w:rPr>
            <w:noProof/>
            <w:webHidden/>
          </w:rPr>
          <w:instrText xml:space="preserve"> PAGEREF _Toc449955299 \h </w:instrText>
        </w:r>
        <w:r w:rsidR="00A71FD1">
          <w:rPr>
            <w:noProof/>
            <w:webHidden/>
          </w:rPr>
        </w:r>
        <w:r w:rsidR="00A71FD1">
          <w:rPr>
            <w:noProof/>
            <w:webHidden/>
          </w:rPr>
          <w:fldChar w:fldCharType="separate"/>
        </w:r>
        <w:r w:rsidR="00A71FD1">
          <w:rPr>
            <w:noProof/>
            <w:webHidden/>
          </w:rPr>
          <w:t>119</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00" w:history="1">
        <w:r w:rsidR="00A71FD1" w:rsidRPr="006A2378">
          <w:rPr>
            <w:rStyle w:val="Hyperlink"/>
            <w:noProof/>
          </w:rPr>
          <w:t>Table 3.37: Sources of additional income of a person with disability</w:t>
        </w:r>
        <w:r w:rsidR="00A71FD1">
          <w:rPr>
            <w:noProof/>
            <w:webHidden/>
          </w:rPr>
          <w:tab/>
        </w:r>
        <w:r w:rsidR="00A71FD1">
          <w:rPr>
            <w:noProof/>
            <w:webHidden/>
          </w:rPr>
          <w:fldChar w:fldCharType="begin"/>
        </w:r>
        <w:r w:rsidR="00A71FD1">
          <w:rPr>
            <w:noProof/>
            <w:webHidden/>
          </w:rPr>
          <w:instrText xml:space="preserve"> PAGEREF _Toc449955300 \h </w:instrText>
        </w:r>
        <w:r w:rsidR="00A71FD1">
          <w:rPr>
            <w:noProof/>
            <w:webHidden/>
          </w:rPr>
        </w:r>
        <w:r w:rsidR="00A71FD1">
          <w:rPr>
            <w:noProof/>
            <w:webHidden/>
          </w:rPr>
          <w:fldChar w:fldCharType="separate"/>
        </w:r>
        <w:r w:rsidR="00A71FD1">
          <w:rPr>
            <w:noProof/>
            <w:webHidden/>
          </w:rPr>
          <w:t>120</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01" w:history="1">
        <w:r w:rsidR="00A71FD1" w:rsidRPr="006A2378">
          <w:rPr>
            <w:rStyle w:val="Hyperlink"/>
            <w:noProof/>
          </w:rPr>
          <w:t>Table 3.39: Total person with disability household income for the last year</w:t>
        </w:r>
        <w:r w:rsidR="00A71FD1">
          <w:rPr>
            <w:noProof/>
            <w:webHidden/>
          </w:rPr>
          <w:tab/>
        </w:r>
        <w:r w:rsidR="00A71FD1">
          <w:rPr>
            <w:noProof/>
            <w:webHidden/>
          </w:rPr>
          <w:fldChar w:fldCharType="begin"/>
        </w:r>
        <w:r w:rsidR="00A71FD1">
          <w:rPr>
            <w:noProof/>
            <w:webHidden/>
          </w:rPr>
          <w:instrText xml:space="preserve"> PAGEREF _Toc449955301 \h </w:instrText>
        </w:r>
        <w:r w:rsidR="00A71FD1">
          <w:rPr>
            <w:noProof/>
            <w:webHidden/>
          </w:rPr>
        </w:r>
        <w:r w:rsidR="00A71FD1">
          <w:rPr>
            <w:noProof/>
            <w:webHidden/>
          </w:rPr>
          <w:fldChar w:fldCharType="separate"/>
        </w:r>
        <w:r w:rsidR="00A71FD1">
          <w:rPr>
            <w:noProof/>
            <w:webHidden/>
          </w:rPr>
          <w:t>121</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02" w:history="1">
        <w:r w:rsidR="00A71FD1" w:rsidRPr="006A2378">
          <w:rPr>
            <w:rStyle w:val="Hyperlink"/>
            <w:noProof/>
          </w:rPr>
          <w:t>Table 3.40: Activities that you have done recently</w:t>
        </w:r>
        <w:r w:rsidR="00A71FD1">
          <w:rPr>
            <w:noProof/>
            <w:webHidden/>
          </w:rPr>
          <w:tab/>
        </w:r>
        <w:r w:rsidR="00A71FD1">
          <w:rPr>
            <w:noProof/>
            <w:webHidden/>
          </w:rPr>
          <w:fldChar w:fldCharType="begin"/>
        </w:r>
        <w:r w:rsidR="00A71FD1">
          <w:rPr>
            <w:noProof/>
            <w:webHidden/>
          </w:rPr>
          <w:instrText xml:space="preserve"> PAGEREF _Toc449955302 \h </w:instrText>
        </w:r>
        <w:r w:rsidR="00A71FD1">
          <w:rPr>
            <w:noProof/>
            <w:webHidden/>
          </w:rPr>
        </w:r>
        <w:r w:rsidR="00A71FD1">
          <w:rPr>
            <w:noProof/>
            <w:webHidden/>
          </w:rPr>
          <w:fldChar w:fldCharType="separate"/>
        </w:r>
        <w:r w:rsidR="00A71FD1">
          <w:rPr>
            <w:noProof/>
            <w:webHidden/>
          </w:rPr>
          <w:t>122</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03" w:history="1">
        <w:r w:rsidR="00A71FD1" w:rsidRPr="006A2378">
          <w:rPr>
            <w:rStyle w:val="Hyperlink"/>
            <w:noProof/>
          </w:rPr>
          <w:t>Table 3.41: Activities (top three) you would most like to do in the coming years</w:t>
        </w:r>
        <w:r w:rsidR="00A71FD1">
          <w:rPr>
            <w:noProof/>
            <w:webHidden/>
          </w:rPr>
          <w:tab/>
        </w:r>
        <w:r w:rsidR="00A71FD1">
          <w:rPr>
            <w:noProof/>
            <w:webHidden/>
          </w:rPr>
          <w:fldChar w:fldCharType="begin"/>
        </w:r>
        <w:r w:rsidR="00A71FD1">
          <w:rPr>
            <w:noProof/>
            <w:webHidden/>
          </w:rPr>
          <w:instrText xml:space="preserve"> PAGEREF _Toc449955303 \h </w:instrText>
        </w:r>
        <w:r w:rsidR="00A71FD1">
          <w:rPr>
            <w:noProof/>
            <w:webHidden/>
          </w:rPr>
        </w:r>
        <w:r w:rsidR="00A71FD1">
          <w:rPr>
            <w:noProof/>
            <w:webHidden/>
          </w:rPr>
          <w:fldChar w:fldCharType="separate"/>
        </w:r>
        <w:r w:rsidR="00A71FD1">
          <w:rPr>
            <w:noProof/>
            <w:webHidden/>
          </w:rPr>
          <w:t>123</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04" w:history="1">
        <w:r w:rsidR="00A71FD1" w:rsidRPr="006A2378">
          <w:rPr>
            <w:rStyle w:val="Hyperlink"/>
            <w:noProof/>
          </w:rPr>
          <w:t>Table 3.42: Hurdles to doing things in the coming year</w:t>
        </w:r>
        <w:r w:rsidR="00A71FD1">
          <w:rPr>
            <w:noProof/>
            <w:webHidden/>
          </w:rPr>
          <w:tab/>
        </w:r>
        <w:r w:rsidR="00A71FD1">
          <w:rPr>
            <w:noProof/>
            <w:webHidden/>
          </w:rPr>
          <w:fldChar w:fldCharType="begin"/>
        </w:r>
        <w:r w:rsidR="00A71FD1">
          <w:rPr>
            <w:noProof/>
            <w:webHidden/>
          </w:rPr>
          <w:instrText xml:space="preserve"> PAGEREF _Toc449955304 \h </w:instrText>
        </w:r>
        <w:r w:rsidR="00A71FD1">
          <w:rPr>
            <w:noProof/>
            <w:webHidden/>
          </w:rPr>
        </w:r>
        <w:r w:rsidR="00A71FD1">
          <w:rPr>
            <w:noProof/>
            <w:webHidden/>
          </w:rPr>
          <w:fldChar w:fldCharType="separate"/>
        </w:r>
        <w:r w:rsidR="00A71FD1">
          <w:rPr>
            <w:noProof/>
            <w:webHidden/>
          </w:rPr>
          <w:t>124</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05" w:history="1">
        <w:r w:rsidR="00A71FD1" w:rsidRPr="006A2378">
          <w:rPr>
            <w:rStyle w:val="Hyperlink"/>
            <w:noProof/>
          </w:rPr>
          <w:t xml:space="preserve">Table 3.43: Does </w:t>
        </w:r>
        <w:r w:rsidR="00A71FD1" w:rsidRPr="006A2378">
          <w:rPr>
            <w:rStyle w:val="Hyperlink"/>
            <w:noProof/>
            <w:lang w:val="en-AU"/>
          </w:rPr>
          <w:t>he/she</w:t>
        </w:r>
        <w:r w:rsidR="00A71FD1" w:rsidRPr="006A2378">
          <w:rPr>
            <w:rStyle w:val="Hyperlink"/>
            <w:noProof/>
          </w:rPr>
          <w:t xml:space="preserve"> like school?</w:t>
        </w:r>
        <w:r w:rsidR="00A71FD1" w:rsidRPr="006A2378">
          <w:rPr>
            <w:rStyle w:val="Hyperlink"/>
            <w:noProof/>
            <w:lang w:val="en-AU"/>
          </w:rPr>
          <w:t xml:space="preserve"> (8 to 15 years)</w:t>
        </w:r>
        <w:r w:rsidR="00A71FD1">
          <w:rPr>
            <w:noProof/>
            <w:webHidden/>
          </w:rPr>
          <w:tab/>
        </w:r>
        <w:r w:rsidR="00A71FD1">
          <w:rPr>
            <w:noProof/>
            <w:webHidden/>
          </w:rPr>
          <w:fldChar w:fldCharType="begin"/>
        </w:r>
        <w:r w:rsidR="00A71FD1">
          <w:rPr>
            <w:noProof/>
            <w:webHidden/>
          </w:rPr>
          <w:instrText xml:space="preserve"> PAGEREF _Toc449955305 \h </w:instrText>
        </w:r>
        <w:r w:rsidR="00A71FD1">
          <w:rPr>
            <w:noProof/>
            <w:webHidden/>
          </w:rPr>
        </w:r>
        <w:r w:rsidR="00A71FD1">
          <w:rPr>
            <w:noProof/>
            <w:webHidden/>
          </w:rPr>
          <w:fldChar w:fldCharType="separate"/>
        </w:r>
        <w:r w:rsidR="00A71FD1">
          <w:rPr>
            <w:noProof/>
            <w:webHidden/>
          </w:rPr>
          <w:t>133</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06" w:history="1">
        <w:r w:rsidR="00A71FD1" w:rsidRPr="006A2378">
          <w:rPr>
            <w:rStyle w:val="Hyperlink"/>
            <w:noProof/>
          </w:rPr>
          <w:t xml:space="preserve">Table 3.44: What would </w:t>
        </w:r>
        <w:r w:rsidR="00A71FD1" w:rsidRPr="006A2378">
          <w:rPr>
            <w:rStyle w:val="Hyperlink"/>
            <w:noProof/>
            <w:lang w:val="en-AU"/>
          </w:rPr>
          <w:t>he/she</w:t>
        </w:r>
        <w:r w:rsidR="00A71FD1" w:rsidRPr="006A2378">
          <w:rPr>
            <w:rStyle w:val="Hyperlink"/>
            <w:noProof/>
          </w:rPr>
          <w:t xml:space="preserve"> like to do after finishing his/her current education?</w:t>
        </w:r>
        <w:r w:rsidR="00A71FD1" w:rsidRPr="006A2378">
          <w:rPr>
            <w:rStyle w:val="Hyperlink"/>
            <w:noProof/>
            <w:lang w:val="en-AU"/>
          </w:rPr>
          <w:t xml:space="preserve"> (8 to 15 years)</w:t>
        </w:r>
        <w:r w:rsidR="00A71FD1">
          <w:rPr>
            <w:noProof/>
            <w:webHidden/>
          </w:rPr>
          <w:tab/>
        </w:r>
        <w:r w:rsidR="00A71FD1">
          <w:rPr>
            <w:noProof/>
            <w:webHidden/>
          </w:rPr>
          <w:fldChar w:fldCharType="begin"/>
        </w:r>
        <w:r w:rsidR="00A71FD1">
          <w:rPr>
            <w:noProof/>
            <w:webHidden/>
          </w:rPr>
          <w:instrText xml:space="preserve"> PAGEREF _Toc449955306 \h </w:instrText>
        </w:r>
        <w:r w:rsidR="00A71FD1">
          <w:rPr>
            <w:noProof/>
            <w:webHidden/>
          </w:rPr>
        </w:r>
        <w:r w:rsidR="00A71FD1">
          <w:rPr>
            <w:noProof/>
            <w:webHidden/>
          </w:rPr>
          <w:fldChar w:fldCharType="separate"/>
        </w:r>
        <w:r w:rsidR="00A71FD1">
          <w:rPr>
            <w:noProof/>
            <w:webHidden/>
          </w:rPr>
          <w:t>133</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07" w:history="1">
        <w:r w:rsidR="00A71FD1" w:rsidRPr="006A2378">
          <w:rPr>
            <w:rStyle w:val="Hyperlink"/>
            <w:noProof/>
          </w:rPr>
          <w:t>Table 3.45: Does he/she like studying?</w:t>
        </w:r>
        <w:r w:rsidR="00A71FD1" w:rsidRPr="006A2378">
          <w:rPr>
            <w:rStyle w:val="Hyperlink"/>
            <w:noProof/>
            <w:lang w:val="en-AU"/>
          </w:rPr>
          <w:t xml:space="preserve"> (Adults 16+)</w:t>
        </w:r>
        <w:r w:rsidR="00A71FD1">
          <w:rPr>
            <w:noProof/>
            <w:webHidden/>
          </w:rPr>
          <w:tab/>
        </w:r>
        <w:r w:rsidR="00A71FD1">
          <w:rPr>
            <w:noProof/>
            <w:webHidden/>
          </w:rPr>
          <w:fldChar w:fldCharType="begin"/>
        </w:r>
        <w:r w:rsidR="00A71FD1">
          <w:rPr>
            <w:noProof/>
            <w:webHidden/>
          </w:rPr>
          <w:instrText xml:space="preserve"> PAGEREF _Toc449955307 \h </w:instrText>
        </w:r>
        <w:r w:rsidR="00A71FD1">
          <w:rPr>
            <w:noProof/>
            <w:webHidden/>
          </w:rPr>
        </w:r>
        <w:r w:rsidR="00A71FD1">
          <w:rPr>
            <w:noProof/>
            <w:webHidden/>
          </w:rPr>
          <w:fldChar w:fldCharType="separate"/>
        </w:r>
        <w:r w:rsidR="00A71FD1">
          <w:rPr>
            <w:noProof/>
            <w:webHidden/>
          </w:rPr>
          <w:t>134</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08" w:history="1">
        <w:r w:rsidR="00A71FD1" w:rsidRPr="006A2378">
          <w:rPr>
            <w:rStyle w:val="Hyperlink"/>
            <w:noProof/>
          </w:rPr>
          <w:t>Table 3.46: What would he/she like to do after finishing his/her current education?</w:t>
        </w:r>
        <w:r w:rsidR="00A71FD1" w:rsidRPr="006A2378">
          <w:rPr>
            <w:rStyle w:val="Hyperlink"/>
            <w:noProof/>
            <w:lang w:val="en-AU"/>
          </w:rPr>
          <w:t xml:space="preserve"> (Adults 16+)</w:t>
        </w:r>
        <w:r w:rsidR="00A71FD1">
          <w:rPr>
            <w:noProof/>
            <w:webHidden/>
          </w:rPr>
          <w:tab/>
        </w:r>
        <w:r w:rsidR="00A71FD1">
          <w:rPr>
            <w:noProof/>
            <w:webHidden/>
          </w:rPr>
          <w:fldChar w:fldCharType="begin"/>
        </w:r>
        <w:r w:rsidR="00A71FD1">
          <w:rPr>
            <w:noProof/>
            <w:webHidden/>
          </w:rPr>
          <w:instrText xml:space="preserve"> PAGEREF _Toc449955308 \h </w:instrText>
        </w:r>
        <w:r w:rsidR="00A71FD1">
          <w:rPr>
            <w:noProof/>
            <w:webHidden/>
          </w:rPr>
        </w:r>
        <w:r w:rsidR="00A71FD1">
          <w:rPr>
            <w:noProof/>
            <w:webHidden/>
          </w:rPr>
          <w:fldChar w:fldCharType="separate"/>
        </w:r>
        <w:r w:rsidR="00A71FD1">
          <w:rPr>
            <w:noProof/>
            <w:webHidden/>
          </w:rPr>
          <w:t>134</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09" w:history="1">
        <w:r w:rsidR="00A71FD1" w:rsidRPr="006A2378">
          <w:rPr>
            <w:rStyle w:val="Hyperlink"/>
            <w:noProof/>
          </w:rPr>
          <w:t>Table 3.47: Do any of the following make it hard to study?</w:t>
        </w:r>
        <w:r w:rsidR="00A71FD1" w:rsidRPr="006A2378">
          <w:rPr>
            <w:rStyle w:val="Hyperlink"/>
            <w:noProof/>
            <w:lang w:val="en-AU"/>
          </w:rPr>
          <w:t xml:space="preserve"> (Adults 16+)</w:t>
        </w:r>
        <w:r w:rsidR="00A71FD1">
          <w:rPr>
            <w:noProof/>
            <w:webHidden/>
          </w:rPr>
          <w:tab/>
        </w:r>
        <w:r w:rsidR="00A71FD1">
          <w:rPr>
            <w:noProof/>
            <w:webHidden/>
          </w:rPr>
          <w:fldChar w:fldCharType="begin"/>
        </w:r>
        <w:r w:rsidR="00A71FD1">
          <w:rPr>
            <w:noProof/>
            <w:webHidden/>
          </w:rPr>
          <w:instrText xml:space="preserve"> PAGEREF _Toc449955309 \h </w:instrText>
        </w:r>
        <w:r w:rsidR="00A71FD1">
          <w:rPr>
            <w:noProof/>
            <w:webHidden/>
          </w:rPr>
        </w:r>
        <w:r w:rsidR="00A71FD1">
          <w:rPr>
            <w:noProof/>
            <w:webHidden/>
          </w:rPr>
          <w:fldChar w:fldCharType="separate"/>
        </w:r>
        <w:r w:rsidR="00A71FD1">
          <w:rPr>
            <w:noProof/>
            <w:webHidden/>
          </w:rPr>
          <w:t>135</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10" w:history="1">
        <w:r w:rsidR="00A71FD1" w:rsidRPr="006A2378">
          <w:rPr>
            <w:rStyle w:val="Hyperlink"/>
            <w:noProof/>
          </w:rPr>
          <w:t>Table 3.48: Currently in work or not</w:t>
        </w:r>
        <w:r w:rsidR="00A71FD1">
          <w:rPr>
            <w:noProof/>
            <w:webHidden/>
          </w:rPr>
          <w:tab/>
        </w:r>
        <w:r w:rsidR="00A71FD1">
          <w:rPr>
            <w:noProof/>
            <w:webHidden/>
          </w:rPr>
          <w:fldChar w:fldCharType="begin"/>
        </w:r>
        <w:r w:rsidR="00A71FD1">
          <w:rPr>
            <w:noProof/>
            <w:webHidden/>
          </w:rPr>
          <w:instrText xml:space="preserve"> PAGEREF _Toc449955310 \h </w:instrText>
        </w:r>
        <w:r w:rsidR="00A71FD1">
          <w:rPr>
            <w:noProof/>
            <w:webHidden/>
          </w:rPr>
        </w:r>
        <w:r w:rsidR="00A71FD1">
          <w:rPr>
            <w:noProof/>
            <w:webHidden/>
          </w:rPr>
          <w:fldChar w:fldCharType="separate"/>
        </w:r>
        <w:r w:rsidR="00A71FD1">
          <w:rPr>
            <w:noProof/>
            <w:webHidden/>
          </w:rPr>
          <w:t>135</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11" w:history="1">
        <w:r w:rsidR="00A71FD1" w:rsidRPr="006A2378">
          <w:rPr>
            <w:rStyle w:val="Hyperlink"/>
            <w:noProof/>
          </w:rPr>
          <w:t>Table 3.49: Does he/she like his/her job?</w:t>
        </w:r>
        <w:r w:rsidR="00A71FD1">
          <w:rPr>
            <w:noProof/>
            <w:webHidden/>
          </w:rPr>
          <w:tab/>
        </w:r>
        <w:r w:rsidR="00A71FD1">
          <w:rPr>
            <w:noProof/>
            <w:webHidden/>
          </w:rPr>
          <w:fldChar w:fldCharType="begin"/>
        </w:r>
        <w:r w:rsidR="00A71FD1">
          <w:rPr>
            <w:noProof/>
            <w:webHidden/>
          </w:rPr>
          <w:instrText xml:space="preserve"> PAGEREF _Toc449955311 \h </w:instrText>
        </w:r>
        <w:r w:rsidR="00A71FD1">
          <w:rPr>
            <w:noProof/>
            <w:webHidden/>
          </w:rPr>
        </w:r>
        <w:r w:rsidR="00A71FD1">
          <w:rPr>
            <w:noProof/>
            <w:webHidden/>
          </w:rPr>
          <w:fldChar w:fldCharType="separate"/>
        </w:r>
        <w:r w:rsidR="00A71FD1">
          <w:rPr>
            <w:noProof/>
            <w:webHidden/>
          </w:rPr>
          <w:t>136</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12" w:history="1">
        <w:r w:rsidR="00A71FD1" w:rsidRPr="006A2378">
          <w:rPr>
            <w:rStyle w:val="Hyperlink"/>
            <w:noProof/>
          </w:rPr>
          <w:t>Table 3.50: Would you like to have a different job?</w:t>
        </w:r>
        <w:r w:rsidR="00A71FD1">
          <w:rPr>
            <w:noProof/>
            <w:webHidden/>
          </w:rPr>
          <w:tab/>
        </w:r>
        <w:r w:rsidR="00A71FD1">
          <w:rPr>
            <w:noProof/>
            <w:webHidden/>
          </w:rPr>
          <w:fldChar w:fldCharType="begin"/>
        </w:r>
        <w:r w:rsidR="00A71FD1">
          <w:rPr>
            <w:noProof/>
            <w:webHidden/>
          </w:rPr>
          <w:instrText xml:space="preserve"> PAGEREF _Toc449955312 \h </w:instrText>
        </w:r>
        <w:r w:rsidR="00A71FD1">
          <w:rPr>
            <w:noProof/>
            <w:webHidden/>
          </w:rPr>
        </w:r>
        <w:r w:rsidR="00A71FD1">
          <w:rPr>
            <w:noProof/>
            <w:webHidden/>
          </w:rPr>
          <w:fldChar w:fldCharType="separate"/>
        </w:r>
        <w:r w:rsidR="00A71FD1">
          <w:rPr>
            <w:noProof/>
            <w:webHidden/>
          </w:rPr>
          <w:t>136</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13" w:history="1">
        <w:r w:rsidR="00A71FD1" w:rsidRPr="006A2378">
          <w:rPr>
            <w:rStyle w:val="Hyperlink"/>
            <w:noProof/>
          </w:rPr>
          <w:t>Table 3.51: Looking for a different job</w:t>
        </w:r>
        <w:r w:rsidR="00A71FD1">
          <w:rPr>
            <w:noProof/>
            <w:webHidden/>
          </w:rPr>
          <w:tab/>
        </w:r>
        <w:r w:rsidR="00A71FD1">
          <w:rPr>
            <w:noProof/>
            <w:webHidden/>
          </w:rPr>
          <w:fldChar w:fldCharType="begin"/>
        </w:r>
        <w:r w:rsidR="00A71FD1">
          <w:rPr>
            <w:noProof/>
            <w:webHidden/>
          </w:rPr>
          <w:instrText xml:space="preserve"> PAGEREF _Toc449955313 \h </w:instrText>
        </w:r>
        <w:r w:rsidR="00A71FD1">
          <w:rPr>
            <w:noProof/>
            <w:webHidden/>
          </w:rPr>
        </w:r>
        <w:r w:rsidR="00A71FD1">
          <w:rPr>
            <w:noProof/>
            <w:webHidden/>
          </w:rPr>
          <w:fldChar w:fldCharType="separate"/>
        </w:r>
        <w:r w:rsidR="00A71FD1">
          <w:rPr>
            <w:noProof/>
            <w:webHidden/>
          </w:rPr>
          <w:t>136</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14" w:history="1">
        <w:r w:rsidR="00A71FD1" w:rsidRPr="006A2378">
          <w:rPr>
            <w:rStyle w:val="Hyperlink"/>
            <w:noProof/>
          </w:rPr>
          <w:t>Table 3.52: Would like to have a job</w:t>
        </w:r>
        <w:r w:rsidR="00A71FD1">
          <w:rPr>
            <w:noProof/>
            <w:webHidden/>
          </w:rPr>
          <w:tab/>
        </w:r>
        <w:r w:rsidR="00A71FD1">
          <w:rPr>
            <w:noProof/>
            <w:webHidden/>
          </w:rPr>
          <w:fldChar w:fldCharType="begin"/>
        </w:r>
        <w:r w:rsidR="00A71FD1">
          <w:rPr>
            <w:noProof/>
            <w:webHidden/>
          </w:rPr>
          <w:instrText xml:space="preserve"> PAGEREF _Toc449955314 \h </w:instrText>
        </w:r>
        <w:r w:rsidR="00A71FD1">
          <w:rPr>
            <w:noProof/>
            <w:webHidden/>
          </w:rPr>
        </w:r>
        <w:r w:rsidR="00A71FD1">
          <w:rPr>
            <w:noProof/>
            <w:webHidden/>
          </w:rPr>
          <w:fldChar w:fldCharType="separate"/>
        </w:r>
        <w:r w:rsidR="00A71FD1">
          <w:rPr>
            <w:noProof/>
            <w:webHidden/>
          </w:rPr>
          <w:t>137</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15" w:history="1">
        <w:r w:rsidR="00A71FD1" w:rsidRPr="006A2378">
          <w:rPr>
            <w:rStyle w:val="Hyperlink"/>
            <w:noProof/>
          </w:rPr>
          <w:t>Table 3.53: Do any of the following make it hard to get a job?</w:t>
        </w:r>
        <w:r w:rsidR="00A71FD1">
          <w:rPr>
            <w:noProof/>
            <w:webHidden/>
          </w:rPr>
          <w:tab/>
        </w:r>
        <w:r w:rsidR="00A71FD1">
          <w:rPr>
            <w:noProof/>
            <w:webHidden/>
          </w:rPr>
          <w:fldChar w:fldCharType="begin"/>
        </w:r>
        <w:r w:rsidR="00A71FD1">
          <w:rPr>
            <w:noProof/>
            <w:webHidden/>
          </w:rPr>
          <w:instrText xml:space="preserve"> PAGEREF _Toc449955315 \h </w:instrText>
        </w:r>
        <w:r w:rsidR="00A71FD1">
          <w:rPr>
            <w:noProof/>
            <w:webHidden/>
          </w:rPr>
        </w:r>
        <w:r w:rsidR="00A71FD1">
          <w:rPr>
            <w:noProof/>
            <w:webHidden/>
          </w:rPr>
          <w:fldChar w:fldCharType="separate"/>
        </w:r>
        <w:r w:rsidR="00A71FD1">
          <w:rPr>
            <w:noProof/>
            <w:webHidden/>
          </w:rPr>
          <w:t>137</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16" w:history="1">
        <w:r w:rsidR="00A71FD1" w:rsidRPr="006A2378">
          <w:rPr>
            <w:rStyle w:val="Hyperlink"/>
            <w:noProof/>
          </w:rPr>
          <w:t>Table 3.54: Is there anything stopping him/her from working or studying?</w:t>
        </w:r>
        <w:r w:rsidR="00A71FD1">
          <w:rPr>
            <w:noProof/>
            <w:webHidden/>
          </w:rPr>
          <w:tab/>
        </w:r>
        <w:r w:rsidR="00A71FD1">
          <w:rPr>
            <w:noProof/>
            <w:webHidden/>
          </w:rPr>
          <w:fldChar w:fldCharType="begin"/>
        </w:r>
        <w:r w:rsidR="00A71FD1">
          <w:rPr>
            <w:noProof/>
            <w:webHidden/>
          </w:rPr>
          <w:instrText xml:space="preserve"> PAGEREF _Toc449955316 \h </w:instrText>
        </w:r>
        <w:r w:rsidR="00A71FD1">
          <w:rPr>
            <w:noProof/>
            <w:webHidden/>
          </w:rPr>
        </w:r>
        <w:r w:rsidR="00A71FD1">
          <w:rPr>
            <w:noProof/>
            <w:webHidden/>
          </w:rPr>
          <w:fldChar w:fldCharType="separate"/>
        </w:r>
        <w:r w:rsidR="00A71FD1">
          <w:rPr>
            <w:noProof/>
            <w:webHidden/>
          </w:rPr>
          <w:t>138</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17" w:history="1">
        <w:r w:rsidR="00A71FD1" w:rsidRPr="006A2378">
          <w:rPr>
            <w:rStyle w:val="Hyperlink"/>
            <w:noProof/>
          </w:rPr>
          <w:t>Table 3.55: Would like to live in a place of his/her own one day</w:t>
        </w:r>
        <w:r w:rsidR="00A71FD1">
          <w:rPr>
            <w:noProof/>
            <w:webHidden/>
          </w:rPr>
          <w:tab/>
        </w:r>
        <w:r w:rsidR="00A71FD1">
          <w:rPr>
            <w:noProof/>
            <w:webHidden/>
          </w:rPr>
          <w:fldChar w:fldCharType="begin"/>
        </w:r>
        <w:r w:rsidR="00A71FD1">
          <w:rPr>
            <w:noProof/>
            <w:webHidden/>
          </w:rPr>
          <w:instrText xml:space="preserve"> PAGEREF _Toc449955317 \h </w:instrText>
        </w:r>
        <w:r w:rsidR="00A71FD1">
          <w:rPr>
            <w:noProof/>
            <w:webHidden/>
          </w:rPr>
        </w:r>
        <w:r w:rsidR="00A71FD1">
          <w:rPr>
            <w:noProof/>
            <w:webHidden/>
          </w:rPr>
          <w:fldChar w:fldCharType="separate"/>
        </w:r>
        <w:r w:rsidR="00A71FD1">
          <w:rPr>
            <w:noProof/>
            <w:webHidden/>
          </w:rPr>
          <w:t>138</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18" w:history="1">
        <w:r w:rsidR="00A71FD1" w:rsidRPr="006A2378">
          <w:rPr>
            <w:rStyle w:val="Hyperlink"/>
            <w:noProof/>
          </w:rPr>
          <w:t>Table 3.56: When would</w:t>
        </w:r>
        <w:r w:rsidR="00A71FD1" w:rsidRPr="006A2378">
          <w:rPr>
            <w:rStyle w:val="Hyperlink"/>
            <w:noProof/>
            <w:lang w:val="en-AU"/>
          </w:rPr>
          <w:t xml:space="preserve"> he/she </w:t>
        </w:r>
        <w:r w:rsidR="00A71FD1" w:rsidRPr="006A2378">
          <w:rPr>
            <w:rStyle w:val="Hyperlink"/>
            <w:noProof/>
          </w:rPr>
          <w:t>like to live on his/her own</w:t>
        </w:r>
        <w:r w:rsidR="00A71FD1">
          <w:rPr>
            <w:noProof/>
            <w:webHidden/>
          </w:rPr>
          <w:tab/>
        </w:r>
        <w:r w:rsidR="00A71FD1">
          <w:rPr>
            <w:noProof/>
            <w:webHidden/>
          </w:rPr>
          <w:fldChar w:fldCharType="begin"/>
        </w:r>
        <w:r w:rsidR="00A71FD1">
          <w:rPr>
            <w:noProof/>
            <w:webHidden/>
          </w:rPr>
          <w:instrText xml:space="preserve"> PAGEREF _Toc449955318 \h </w:instrText>
        </w:r>
        <w:r w:rsidR="00A71FD1">
          <w:rPr>
            <w:noProof/>
            <w:webHidden/>
          </w:rPr>
        </w:r>
        <w:r w:rsidR="00A71FD1">
          <w:rPr>
            <w:noProof/>
            <w:webHidden/>
          </w:rPr>
          <w:fldChar w:fldCharType="separate"/>
        </w:r>
        <w:r w:rsidR="00A71FD1">
          <w:rPr>
            <w:noProof/>
            <w:webHidden/>
          </w:rPr>
          <w:t>139</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19" w:history="1">
        <w:r w:rsidR="00A71FD1" w:rsidRPr="006A2378">
          <w:rPr>
            <w:rStyle w:val="Hyperlink"/>
            <w:noProof/>
          </w:rPr>
          <w:t>Table 3.57: Where</w:t>
        </w:r>
        <w:r w:rsidR="00A71FD1" w:rsidRPr="006A2378">
          <w:rPr>
            <w:rStyle w:val="Hyperlink"/>
            <w:noProof/>
            <w:lang w:val="en-AU"/>
          </w:rPr>
          <w:t xml:space="preserve"> </w:t>
        </w:r>
        <w:r w:rsidR="00A71FD1" w:rsidRPr="006A2378">
          <w:rPr>
            <w:rStyle w:val="Hyperlink"/>
            <w:noProof/>
          </w:rPr>
          <w:t>currently living meets</w:t>
        </w:r>
        <w:r w:rsidR="00A71FD1" w:rsidRPr="006A2378">
          <w:rPr>
            <w:rStyle w:val="Hyperlink"/>
            <w:noProof/>
            <w:lang w:val="en-AU"/>
          </w:rPr>
          <w:t xml:space="preserve"> </w:t>
        </w:r>
        <w:r w:rsidR="00A71FD1" w:rsidRPr="006A2378">
          <w:rPr>
            <w:rStyle w:val="Hyperlink"/>
            <w:noProof/>
          </w:rPr>
          <w:t>needs</w:t>
        </w:r>
        <w:r w:rsidR="00A71FD1">
          <w:rPr>
            <w:noProof/>
            <w:webHidden/>
          </w:rPr>
          <w:tab/>
        </w:r>
        <w:r w:rsidR="00A71FD1">
          <w:rPr>
            <w:noProof/>
            <w:webHidden/>
          </w:rPr>
          <w:fldChar w:fldCharType="begin"/>
        </w:r>
        <w:r w:rsidR="00A71FD1">
          <w:rPr>
            <w:noProof/>
            <w:webHidden/>
          </w:rPr>
          <w:instrText xml:space="preserve"> PAGEREF _Toc449955319 \h </w:instrText>
        </w:r>
        <w:r w:rsidR="00A71FD1">
          <w:rPr>
            <w:noProof/>
            <w:webHidden/>
          </w:rPr>
        </w:r>
        <w:r w:rsidR="00A71FD1">
          <w:rPr>
            <w:noProof/>
            <w:webHidden/>
          </w:rPr>
          <w:fldChar w:fldCharType="separate"/>
        </w:r>
        <w:r w:rsidR="00A71FD1">
          <w:rPr>
            <w:noProof/>
            <w:webHidden/>
          </w:rPr>
          <w:t>139</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20" w:history="1">
        <w:r w:rsidR="00A71FD1" w:rsidRPr="006A2378">
          <w:rPr>
            <w:rStyle w:val="Hyperlink"/>
            <w:noProof/>
          </w:rPr>
          <w:t>Table 3.58: Is there anything about where he/she lives that he/she is not happy about?</w:t>
        </w:r>
        <w:r w:rsidR="00A71FD1">
          <w:rPr>
            <w:noProof/>
            <w:webHidden/>
          </w:rPr>
          <w:tab/>
        </w:r>
        <w:r w:rsidR="00A71FD1">
          <w:rPr>
            <w:noProof/>
            <w:webHidden/>
          </w:rPr>
          <w:fldChar w:fldCharType="begin"/>
        </w:r>
        <w:r w:rsidR="00A71FD1">
          <w:rPr>
            <w:noProof/>
            <w:webHidden/>
          </w:rPr>
          <w:instrText xml:space="preserve"> PAGEREF _Toc449955320 \h </w:instrText>
        </w:r>
        <w:r w:rsidR="00A71FD1">
          <w:rPr>
            <w:noProof/>
            <w:webHidden/>
          </w:rPr>
        </w:r>
        <w:r w:rsidR="00A71FD1">
          <w:rPr>
            <w:noProof/>
            <w:webHidden/>
          </w:rPr>
          <w:fldChar w:fldCharType="separate"/>
        </w:r>
        <w:r w:rsidR="00A71FD1">
          <w:rPr>
            <w:noProof/>
            <w:webHidden/>
          </w:rPr>
          <w:t>140</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21" w:history="1">
        <w:r w:rsidR="00A71FD1" w:rsidRPr="006A2378">
          <w:rPr>
            <w:rStyle w:val="Hyperlink"/>
            <w:noProof/>
          </w:rPr>
          <w:t>Table 3.59: Satisfaction with quality of support before NDIS</w:t>
        </w:r>
        <w:r w:rsidR="00A71FD1">
          <w:rPr>
            <w:noProof/>
            <w:webHidden/>
          </w:rPr>
          <w:tab/>
        </w:r>
        <w:r w:rsidR="00A71FD1">
          <w:rPr>
            <w:noProof/>
            <w:webHidden/>
          </w:rPr>
          <w:fldChar w:fldCharType="begin"/>
        </w:r>
        <w:r w:rsidR="00A71FD1">
          <w:rPr>
            <w:noProof/>
            <w:webHidden/>
          </w:rPr>
          <w:instrText xml:space="preserve"> PAGEREF _Toc449955321 \h </w:instrText>
        </w:r>
        <w:r w:rsidR="00A71FD1">
          <w:rPr>
            <w:noProof/>
            <w:webHidden/>
          </w:rPr>
        </w:r>
        <w:r w:rsidR="00A71FD1">
          <w:rPr>
            <w:noProof/>
            <w:webHidden/>
          </w:rPr>
          <w:fldChar w:fldCharType="separate"/>
        </w:r>
        <w:r w:rsidR="00A71FD1">
          <w:rPr>
            <w:noProof/>
            <w:webHidden/>
          </w:rPr>
          <w:t>140</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22" w:history="1">
        <w:r w:rsidR="00A71FD1" w:rsidRPr="006A2378">
          <w:rPr>
            <w:rStyle w:val="Hyperlink"/>
            <w:noProof/>
          </w:rPr>
          <w:t>Table 3.60: How much say over decisions about what support received before NDIS</w:t>
        </w:r>
        <w:r w:rsidR="00A71FD1">
          <w:rPr>
            <w:noProof/>
            <w:webHidden/>
          </w:rPr>
          <w:tab/>
        </w:r>
        <w:r w:rsidR="00A71FD1">
          <w:rPr>
            <w:noProof/>
            <w:webHidden/>
          </w:rPr>
          <w:fldChar w:fldCharType="begin"/>
        </w:r>
        <w:r w:rsidR="00A71FD1">
          <w:rPr>
            <w:noProof/>
            <w:webHidden/>
          </w:rPr>
          <w:instrText xml:space="preserve"> PAGEREF _Toc449955322 \h </w:instrText>
        </w:r>
        <w:r w:rsidR="00A71FD1">
          <w:rPr>
            <w:noProof/>
            <w:webHidden/>
          </w:rPr>
        </w:r>
        <w:r w:rsidR="00A71FD1">
          <w:rPr>
            <w:noProof/>
            <w:webHidden/>
          </w:rPr>
          <w:fldChar w:fldCharType="separate"/>
        </w:r>
        <w:r w:rsidR="00A71FD1">
          <w:rPr>
            <w:noProof/>
            <w:webHidden/>
          </w:rPr>
          <w:t>141</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23" w:history="1">
        <w:r w:rsidR="00A71FD1" w:rsidRPr="006A2378">
          <w:rPr>
            <w:rStyle w:val="Hyperlink"/>
            <w:noProof/>
          </w:rPr>
          <w:t>Table 3.61: How much choice over where obtained supports before NDIS?</w:t>
        </w:r>
        <w:r w:rsidR="00A71FD1">
          <w:rPr>
            <w:noProof/>
            <w:webHidden/>
          </w:rPr>
          <w:tab/>
        </w:r>
        <w:r w:rsidR="00A71FD1">
          <w:rPr>
            <w:noProof/>
            <w:webHidden/>
          </w:rPr>
          <w:fldChar w:fldCharType="begin"/>
        </w:r>
        <w:r w:rsidR="00A71FD1">
          <w:rPr>
            <w:noProof/>
            <w:webHidden/>
          </w:rPr>
          <w:instrText xml:space="preserve"> PAGEREF _Toc449955323 \h </w:instrText>
        </w:r>
        <w:r w:rsidR="00A71FD1">
          <w:rPr>
            <w:noProof/>
            <w:webHidden/>
          </w:rPr>
        </w:r>
        <w:r w:rsidR="00A71FD1">
          <w:rPr>
            <w:noProof/>
            <w:webHidden/>
          </w:rPr>
          <w:fldChar w:fldCharType="separate"/>
        </w:r>
        <w:r w:rsidR="00A71FD1">
          <w:rPr>
            <w:noProof/>
            <w:webHidden/>
          </w:rPr>
          <w:t>141</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24" w:history="1">
        <w:r w:rsidR="00A71FD1" w:rsidRPr="006A2378">
          <w:rPr>
            <w:rStyle w:val="Hyperlink"/>
            <w:noProof/>
          </w:rPr>
          <w:t>Table 3.62: Pre and post NDIS: Time to get supports, do the necessary paperwork and find out where to get the supports</w:t>
        </w:r>
        <w:r w:rsidR="00A71FD1">
          <w:rPr>
            <w:noProof/>
            <w:webHidden/>
          </w:rPr>
          <w:tab/>
        </w:r>
        <w:r w:rsidR="00A71FD1">
          <w:rPr>
            <w:noProof/>
            <w:webHidden/>
          </w:rPr>
          <w:fldChar w:fldCharType="begin"/>
        </w:r>
        <w:r w:rsidR="00A71FD1">
          <w:rPr>
            <w:noProof/>
            <w:webHidden/>
          </w:rPr>
          <w:instrText xml:space="preserve"> PAGEREF _Toc449955324 \h </w:instrText>
        </w:r>
        <w:r w:rsidR="00A71FD1">
          <w:rPr>
            <w:noProof/>
            <w:webHidden/>
          </w:rPr>
        </w:r>
        <w:r w:rsidR="00A71FD1">
          <w:rPr>
            <w:noProof/>
            <w:webHidden/>
          </w:rPr>
          <w:fldChar w:fldCharType="separate"/>
        </w:r>
        <w:r w:rsidR="00A71FD1">
          <w:rPr>
            <w:noProof/>
            <w:webHidden/>
          </w:rPr>
          <w:t>142</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25" w:history="1">
        <w:r w:rsidR="00A71FD1" w:rsidRPr="006A2378">
          <w:rPr>
            <w:rStyle w:val="Hyperlink"/>
            <w:noProof/>
          </w:rPr>
          <w:t>Table 3.63: Satisfaction with quality of received supports</w:t>
        </w:r>
        <w:r w:rsidR="00A71FD1">
          <w:rPr>
            <w:noProof/>
            <w:webHidden/>
          </w:rPr>
          <w:tab/>
        </w:r>
        <w:r w:rsidR="00A71FD1">
          <w:rPr>
            <w:noProof/>
            <w:webHidden/>
          </w:rPr>
          <w:fldChar w:fldCharType="begin"/>
        </w:r>
        <w:r w:rsidR="00A71FD1">
          <w:rPr>
            <w:noProof/>
            <w:webHidden/>
          </w:rPr>
          <w:instrText xml:space="preserve"> PAGEREF _Toc449955325 \h </w:instrText>
        </w:r>
        <w:r w:rsidR="00A71FD1">
          <w:rPr>
            <w:noProof/>
            <w:webHidden/>
          </w:rPr>
        </w:r>
        <w:r w:rsidR="00A71FD1">
          <w:rPr>
            <w:noProof/>
            <w:webHidden/>
          </w:rPr>
          <w:fldChar w:fldCharType="separate"/>
        </w:r>
        <w:r w:rsidR="00A71FD1">
          <w:rPr>
            <w:noProof/>
            <w:webHidden/>
          </w:rPr>
          <w:t>142</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26" w:history="1">
        <w:r w:rsidR="00A71FD1" w:rsidRPr="006A2378">
          <w:rPr>
            <w:rStyle w:val="Hyperlink"/>
            <w:noProof/>
          </w:rPr>
          <w:t>Table 3.64: How much say over decisions about what supports to receive</w:t>
        </w:r>
        <w:r w:rsidR="00A71FD1">
          <w:rPr>
            <w:noProof/>
            <w:webHidden/>
          </w:rPr>
          <w:tab/>
        </w:r>
        <w:r w:rsidR="00A71FD1">
          <w:rPr>
            <w:noProof/>
            <w:webHidden/>
          </w:rPr>
          <w:fldChar w:fldCharType="begin"/>
        </w:r>
        <w:r w:rsidR="00A71FD1">
          <w:rPr>
            <w:noProof/>
            <w:webHidden/>
          </w:rPr>
          <w:instrText xml:space="preserve"> PAGEREF _Toc449955326 \h </w:instrText>
        </w:r>
        <w:r w:rsidR="00A71FD1">
          <w:rPr>
            <w:noProof/>
            <w:webHidden/>
          </w:rPr>
        </w:r>
        <w:r w:rsidR="00A71FD1">
          <w:rPr>
            <w:noProof/>
            <w:webHidden/>
          </w:rPr>
          <w:fldChar w:fldCharType="separate"/>
        </w:r>
        <w:r w:rsidR="00A71FD1">
          <w:rPr>
            <w:noProof/>
            <w:webHidden/>
          </w:rPr>
          <w:t>143</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27" w:history="1">
        <w:r w:rsidR="00A71FD1" w:rsidRPr="006A2378">
          <w:rPr>
            <w:rStyle w:val="Hyperlink"/>
            <w:noProof/>
          </w:rPr>
          <w:t xml:space="preserve">Table 3.65: How much choice over where supports </w:t>
        </w:r>
        <w:r w:rsidR="00A71FD1" w:rsidRPr="006A2378">
          <w:rPr>
            <w:rStyle w:val="Hyperlink"/>
            <w:noProof/>
            <w:lang w:val="en-AU"/>
          </w:rPr>
          <w:t xml:space="preserve">are </w:t>
        </w:r>
        <w:r w:rsidR="00A71FD1" w:rsidRPr="006A2378">
          <w:rPr>
            <w:rStyle w:val="Hyperlink"/>
            <w:noProof/>
          </w:rPr>
          <w:t>obtained</w:t>
        </w:r>
        <w:r w:rsidR="00A71FD1">
          <w:rPr>
            <w:noProof/>
            <w:webHidden/>
          </w:rPr>
          <w:tab/>
        </w:r>
        <w:r w:rsidR="00A71FD1">
          <w:rPr>
            <w:noProof/>
            <w:webHidden/>
          </w:rPr>
          <w:fldChar w:fldCharType="begin"/>
        </w:r>
        <w:r w:rsidR="00A71FD1">
          <w:rPr>
            <w:noProof/>
            <w:webHidden/>
          </w:rPr>
          <w:instrText xml:space="preserve"> PAGEREF _Toc449955327 \h </w:instrText>
        </w:r>
        <w:r w:rsidR="00A71FD1">
          <w:rPr>
            <w:noProof/>
            <w:webHidden/>
          </w:rPr>
        </w:r>
        <w:r w:rsidR="00A71FD1">
          <w:rPr>
            <w:noProof/>
            <w:webHidden/>
          </w:rPr>
          <w:fldChar w:fldCharType="separate"/>
        </w:r>
        <w:r w:rsidR="00A71FD1">
          <w:rPr>
            <w:noProof/>
            <w:webHidden/>
          </w:rPr>
          <w:t>143</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28" w:history="1">
        <w:r w:rsidR="00A71FD1" w:rsidRPr="006A2378">
          <w:rPr>
            <w:rStyle w:val="Hyperlink"/>
            <w:noProof/>
          </w:rPr>
          <w:t>Table 3.66: Pre and post NDIS: changes in satisfaction, control and choice</w:t>
        </w:r>
        <w:r w:rsidR="00A71FD1">
          <w:rPr>
            <w:noProof/>
            <w:webHidden/>
          </w:rPr>
          <w:tab/>
        </w:r>
        <w:r w:rsidR="00A71FD1">
          <w:rPr>
            <w:noProof/>
            <w:webHidden/>
          </w:rPr>
          <w:fldChar w:fldCharType="begin"/>
        </w:r>
        <w:r w:rsidR="00A71FD1">
          <w:rPr>
            <w:noProof/>
            <w:webHidden/>
          </w:rPr>
          <w:instrText xml:space="preserve"> PAGEREF _Toc449955328 \h </w:instrText>
        </w:r>
        <w:r w:rsidR="00A71FD1">
          <w:rPr>
            <w:noProof/>
            <w:webHidden/>
          </w:rPr>
        </w:r>
        <w:r w:rsidR="00A71FD1">
          <w:rPr>
            <w:noProof/>
            <w:webHidden/>
          </w:rPr>
          <w:fldChar w:fldCharType="separate"/>
        </w:r>
        <w:r w:rsidR="00A71FD1">
          <w:rPr>
            <w:noProof/>
            <w:webHidden/>
          </w:rPr>
          <w:t>144</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29" w:history="1">
        <w:r w:rsidR="00A71FD1" w:rsidRPr="006A2378">
          <w:rPr>
            <w:rStyle w:val="Hyperlink"/>
            <w:noProof/>
          </w:rPr>
          <w:t>Table 3.67: Pre and post NDIS comparison: Satisfaction with quality of received supports</w:t>
        </w:r>
        <w:r w:rsidR="00A71FD1">
          <w:rPr>
            <w:noProof/>
            <w:webHidden/>
          </w:rPr>
          <w:tab/>
        </w:r>
        <w:r w:rsidR="00A71FD1">
          <w:rPr>
            <w:noProof/>
            <w:webHidden/>
          </w:rPr>
          <w:fldChar w:fldCharType="begin"/>
        </w:r>
        <w:r w:rsidR="00A71FD1">
          <w:rPr>
            <w:noProof/>
            <w:webHidden/>
          </w:rPr>
          <w:instrText xml:space="preserve"> PAGEREF _Toc449955329 \h </w:instrText>
        </w:r>
        <w:r w:rsidR="00A71FD1">
          <w:rPr>
            <w:noProof/>
            <w:webHidden/>
          </w:rPr>
        </w:r>
        <w:r w:rsidR="00A71FD1">
          <w:rPr>
            <w:noProof/>
            <w:webHidden/>
          </w:rPr>
          <w:fldChar w:fldCharType="separate"/>
        </w:r>
        <w:r w:rsidR="00A71FD1">
          <w:rPr>
            <w:noProof/>
            <w:webHidden/>
          </w:rPr>
          <w:t>144</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30" w:history="1">
        <w:r w:rsidR="00A71FD1" w:rsidRPr="006A2378">
          <w:rPr>
            <w:rStyle w:val="Hyperlink"/>
            <w:noProof/>
          </w:rPr>
          <w:t>Table 3.68: Pre and post NDIS comparison: How much say over decisions about what supports to receive</w:t>
        </w:r>
        <w:r w:rsidR="00A71FD1">
          <w:rPr>
            <w:noProof/>
            <w:webHidden/>
          </w:rPr>
          <w:tab/>
        </w:r>
        <w:r w:rsidR="00A71FD1">
          <w:rPr>
            <w:noProof/>
            <w:webHidden/>
          </w:rPr>
          <w:fldChar w:fldCharType="begin"/>
        </w:r>
        <w:r w:rsidR="00A71FD1">
          <w:rPr>
            <w:noProof/>
            <w:webHidden/>
          </w:rPr>
          <w:instrText xml:space="preserve"> PAGEREF _Toc449955330 \h </w:instrText>
        </w:r>
        <w:r w:rsidR="00A71FD1">
          <w:rPr>
            <w:noProof/>
            <w:webHidden/>
          </w:rPr>
        </w:r>
        <w:r w:rsidR="00A71FD1">
          <w:rPr>
            <w:noProof/>
            <w:webHidden/>
          </w:rPr>
          <w:fldChar w:fldCharType="separate"/>
        </w:r>
        <w:r w:rsidR="00A71FD1">
          <w:rPr>
            <w:noProof/>
            <w:webHidden/>
          </w:rPr>
          <w:t>145</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31" w:history="1">
        <w:r w:rsidR="00A71FD1" w:rsidRPr="006A2378">
          <w:rPr>
            <w:rStyle w:val="Hyperlink"/>
            <w:noProof/>
          </w:rPr>
          <w:t>Table 3.69: Pre and post NDIS comparison: How much choice over where supports obtained</w:t>
        </w:r>
        <w:r w:rsidR="00A71FD1">
          <w:rPr>
            <w:noProof/>
            <w:webHidden/>
          </w:rPr>
          <w:tab/>
        </w:r>
        <w:r w:rsidR="00A71FD1">
          <w:rPr>
            <w:noProof/>
            <w:webHidden/>
          </w:rPr>
          <w:fldChar w:fldCharType="begin"/>
        </w:r>
        <w:r w:rsidR="00A71FD1">
          <w:rPr>
            <w:noProof/>
            <w:webHidden/>
          </w:rPr>
          <w:instrText xml:space="preserve"> PAGEREF _Toc449955331 \h </w:instrText>
        </w:r>
        <w:r w:rsidR="00A71FD1">
          <w:rPr>
            <w:noProof/>
            <w:webHidden/>
          </w:rPr>
        </w:r>
        <w:r w:rsidR="00A71FD1">
          <w:rPr>
            <w:noProof/>
            <w:webHidden/>
          </w:rPr>
          <w:fldChar w:fldCharType="separate"/>
        </w:r>
        <w:r w:rsidR="00A71FD1">
          <w:rPr>
            <w:noProof/>
            <w:webHidden/>
          </w:rPr>
          <w:t>145</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32" w:history="1">
        <w:r w:rsidR="00A71FD1" w:rsidRPr="006A2378">
          <w:rPr>
            <w:rStyle w:val="Hyperlink"/>
            <w:noProof/>
          </w:rPr>
          <w:t>Table 3.70: In which areas of disability supports would you like to have more choice?</w:t>
        </w:r>
        <w:r w:rsidR="00A71FD1">
          <w:rPr>
            <w:noProof/>
            <w:webHidden/>
          </w:rPr>
          <w:tab/>
        </w:r>
        <w:r w:rsidR="00A71FD1">
          <w:rPr>
            <w:noProof/>
            <w:webHidden/>
          </w:rPr>
          <w:fldChar w:fldCharType="begin"/>
        </w:r>
        <w:r w:rsidR="00A71FD1">
          <w:rPr>
            <w:noProof/>
            <w:webHidden/>
          </w:rPr>
          <w:instrText xml:space="preserve"> PAGEREF _Toc449955332 \h </w:instrText>
        </w:r>
        <w:r w:rsidR="00A71FD1">
          <w:rPr>
            <w:noProof/>
            <w:webHidden/>
          </w:rPr>
        </w:r>
        <w:r w:rsidR="00A71FD1">
          <w:rPr>
            <w:noProof/>
            <w:webHidden/>
          </w:rPr>
          <w:fldChar w:fldCharType="separate"/>
        </w:r>
        <w:r w:rsidR="00A71FD1">
          <w:rPr>
            <w:noProof/>
            <w:webHidden/>
          </w:rPr>
          <w:t>146</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33" w:history="1">
        <w:r w:rsidR="00A71FD1" w:rsidRPr="006A2378">
          <w:rPr>
            <w:rStyle w:val="Hyperlink"/>
            <w:noProof/>
          </w:rPr>
          <w:t>Table 3.71: Satisfaction that supports received are reasonable and necessary</w:t>
        </w:r>
        <w:r w:rsidR="00A71FD1">
          <w:rPr>
            <w:noProof/>
            <w:webHidden/>
          </w:rPr>
          <w:tab/>
        </w:r>
        <w:r w:rsidR="00A71FD1">
          <w:rPr>
            <w:noProof/>
            <w:webHidden/>
          </w:rPr>
          <w:fldChar w:fldCharType="begin"/>
        </w:r>
        <w:r w:rsidR="00A71FD1">
          <w:rPr>
            <w:noProof/>
            <w:webHidden/>
          </w:rPr>
          <w:instrText xml:space="preserve"> PAGEREF _Toc449955333 \h </w:instrText>
        </w:r>
        <w:r w:rsidR="00A71FD1">
          <w:rPr>
            <w:noProof/>
            <w:webHidden/>
          </w:rPr>
        </w:r>
        <w:r w:rsidR="00A71FD1">
          <w:rPr>
            <w:noProof/>
            <w:webHidden/>
          </w:rPr>
          <w:fldChar w:fldCharType="separate"/>
        </w:r>
        <w:r w:rsidR="00A71FD1">
          <w:rPr>
            <w:noProof/>
            <w:webHidden/>
          </w:rPr>
          <w:t>146</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34" w:history="1">
        <w:r w:rsidR="00A71FD1" w:rsidRPr="006A2378">
          <w:rPr>
            <w:rStyle w:val="Hyperlink"/>
            <w:noProof/>
          </w:rPr>
          <w:t>Table 4.1: Distribution of outlets and all PAYG employees by State/Territory and ownership type</w:t>
        </w:r>
        <w:r w:rsidR="00A71FD1">
          <w:rPr>
            <w:noProof/>
            <w:webHidden/>
          </w:rPr>
          <w:tab/>
        </w:r>
        <w:r w:rsidR="00A71FD1">
          <w:rPr>
            <w:noProof/>
            <w:webHidden/>
          </w:rPr>
          <w:fldChar w:fldCharType="begin"/>
        </w:r>
        <w:r w:rsidR="00A71FD1">
          <w:rPr>
            <w:noProof/>
            <w:webHidden/>
          </w:rPr>
          <w:instrText xml:space="preserve"> PAGEREF _Toc449955334 \h </w:instrText>
        </w:r>
        <w:r w:rsidR="00A71FD1">
          <w:rPr>
            <w:noProof/>
            <w:webHidden/>
          </w:rPr>
        </w:r>
        <w:r w:rsidR="00A71FD1">
          <w:rPr>
            <w:noProof/>
            <w:webHidden/>
          </w:rPr>
          <w:fldChar w:fldCharType="separate"/>
        </w:r>
        <w:r w:rsidR="00A71FD1">
          <w:rPr>
            <w:noProof/>
            <w:webHidden/>
          </w:rPr>
          <w:t>156</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35" w:history="1">
        <w:r w:rsidR="00A71FD1" w:rsidRPr="006A2378">
          <w:rPr>
            <w:rStyle w:val="Hyperlink"/>
            <w:noProof/>
          </w:rPr>
          <w:t>Table 4.2: Distribution of PAYG employees in outlets</w:t>
        </w:r>
        <w:r w:rsidR="00A71FD1">
          <w:rPr>
            <w:noProof/>
            <w:webHidden/>
          </w:rPr>
          <w:tab/>
        </w:r>
        <w:r w:rsidR="00A71FD1">
          <w:rPr>
            <w:noProof/>
            <w:webHidden/>
          </w:rPr>
          <w:fldChar w:fldCharType="begin"/>
        </w:r>
        <w:r w:rsidR="00A71FD1">
          <w:rPr>
            <w:noProof/>
            <w:webHidden/>
          </w:rPr>
          <w:instrText xml:space="preserve"> PAGEREF _Toc449955335 \h </w:instrText>
        </w:r>
        <w:r w:rsidR="00A71FD1">
          <w:rPr>
            <w:noProof/>
            <w:webHidden/>
          </w:rPr>
        </w:r>
        <w:r w:rsidR="00A71FD1">
          <w:rPr>
            <w:noProof/>
            <w:webHidden/>
          </w:rPr>
          <w:fldChar w:fldCharType="separate"/>
        </w:r>
        <w:r w:rsidR="00A71FD1">
          <w:rPr>
            <w:noProof/>
            <w:webHidden/>
          </w:rPr>
          <w:t>156</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36" w:history="1">
        <w:r w:rsidR="00A71FD1" w:rsidRPr="006A2378">
          <w:rPr>
            <w:rStyle w:val="Hyperlink"/>
            <w:noProof/>
          </w:rPr>
          <w:t>Table 4.3: Types of disability support currently provided</w:t>
        </w:r>
        <w:r w:rsidR="00A71FD1">
          <w:rPr>
            <w:noProof/>
            <w:webHidden/>
          </w:rPr>
          <w:tab/>
        </w:r>
        <w:r w:rsidR="00A71FD1">
          <w:rPr>
            <w:noProof/>
            <w:webHidden/>
          </w:rPr>
          <w:fldChar w:fldCharType="begin"/>
        </w:r>
        <w:r w:rsidR="00A71FD1">
          <w:rPr>
            <w:noProof/>
            <w:webHidden/>
          </w:rPr>
          <w:instrText xml:space="preserve"> PAGEREF _Toc449955336 \h </w:instrText>
        </w:r>
        <w:r w:rsidR="00A71FD1">
          <w:rPr>
            <w:noProof/>
            <w:webHidden/>
          </w:rPr>
        </w:r>
        <w:r w:rsidR="00A71FD1">
          <w:rPr>
            <w:noProof/>
            <w:webHidden/>
          </w:rPr>
          <w:fldChar w:fldCharType="separate"/>
        </w:r>
        <w:r w:rsidR="00A71FD1">
          <w:rPr>
            <w:noProof/>
            <w:webHidden/>
          </w:rPr>
          <w:t>157</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37" w:history="1">
        <w:r w:rsidR="00A71FD1" w:rsidRPr="006A2378">
          <w:rPr>
            <w:rStyle w:val="Hyperlink"/>
            <w:noProof/>
          </w:rPr>
          <w:t>Table 4.4: Primary disability types and ages of the current users of the outlet’s supports</w:t>
        </w:r>
        <w:r w:rsidR="00A71FD1">
          <w:rPr>
            <w:noProof/>
            <w:webHidden/>
          </w:rPr>
          <w:tab/>
        </w:r>
        <w:r w:rsidR="00A71FD1">
          <w:rPr>
            <w:noProof/>
            <w:webHidden/>
          </w:rPr>
          <w:fldChar w:fldCharType="begin"/>
        </w:r>
        <w:r w:rsidR="00A71FD1">
          <w:rPr>
            <w:noProof/>
            <w:webHidden/>
          </w:rPr>
          <w:instrText xml:space="preserve"> PAGEREF _Toc449955337 \h </w:instrText>
        </w:r>
        <w:r w:rsidR="00A71FD1">
          <w:rPr>
            <w:noProof/>
            <w:webHidden/>
          </w:rPr>
        </w:r>
        <w:r w:rsidR="00A71FD1">
          <w:rPr>
            <w:noProof/>
            <w:webHidden/>
          </w:rPr>
          <w:fldChar w:fldCharType="separate"/>
        </w:r>
        <w:r w:rsidR="00A71FD1">
          <w:rPr>
            <w:noProof/>
            <w:webHidden/>
          </w:rPr>
          <w:t>158</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38" w:history="1">
        <w:r w:rsidR="00A71FD1" w:rsidRPr="006A2378">
          <w:rPr>
            <w:rStyle w:val="Hyperlink"/>
            <w:noProof/>
          </w:rPr>
          <w:t>Percent of outlets recording current user age group, for each disability type listed</w:t>
        </w:r>
        <w:r w:rsidR="00A71FD1">
          <w:rPr>
            <w:noProof/>
            <w:webHidden/>
          </w:rPr>
          <w:tab/>
        </w:r>
        <w:r w:rsidR="00A71FD1">
          <w:rPr>
            <w:noProof/>
            <w:webHidden/>
          </w:rPr>
          <w:fldChar w:fldCharType="begin"/>
        </w:r>
        <w:r w:rsidR="00A71FD1">
          <w:rPr>
            <w:noProof/>
            <w:webHidden/>
          </w:rPr>
          <w:instrText xml:space="preserve"> PAGEREF _Toc449955338 \h </w:instrText>
        </w:r>
        <w:r w:rsidR="00A71FD1">
          <w:rPr>
            <w:noProof/>
            <w:webHidden/>
          </w:rPr>
        </w:r>
        <w:r w:rsidR="00A71FD1">
          <w:rPr>
            <w:noProof/>
            <w:webHidden/>
          </w:rPr>
          <w:fldChar w:fldCharType="separate"/>
        </w:r>
        <w:r w:rsidR="00A71FD1">
          <w:rPr>
            <w:noProof/>
            <w:webHidden/>
          </w:rPr>
          <w:t>158</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39" w:history="1">
        <w:r w:rsidR="00A71FD1" w:rsidRPr="006A2378">
          <w:rPr>
            <w:rStyle w:val="Hyperlink"/>
            <w:noProof/>
          </w:rPr>
          <w:t>Table 4.5: Proportion of outlets reporting under-skilling</w:t>
        </w:r>
        <w:r w:rsidR="00A71FD1">
          <w:rPr>
            <w:noProof/>
            <w:webHidden/>
          </w:rPr>
          <w:tab/>
        </w:r>
        <w:r w:rsidR="00A71FD1">
          <w:rPr>
            <w:noProof/>
            <w:webHidden/>
          </w:rPr>
          <w:fldChar w:fldCharType="begin"/>
        </w:r>
        <w:r w:rsidR="00A71FD1">
          <w:rPr>
            <w:noProof/>
            <w:webHidden/>
          </w:rPr>
          <w:instrText xml:space="preserve"> PAGEREF _Toc449955339 \h </w:instrText>
        </w:r>
        <w:r w:rsidR="00A71FD1">
          <w:rPr>
            <w:noProof/>
            <w:webHidden/>
          </w:rPr>
        </w:r>
        <w:r w:rsidR="00A71FD1">
          <w:rPr>
            <w:noProof/>
            <w:webHidden/>
          </w:rPr>
          <w:fldChar w:fldCharType="separate"/>
        </w:r>
        <w:r w:rsidR="00A71FD1">
          <w:rPr>
            <w:noProof/>
            <w:webHidden/>
          </w:rPr>
          <w:t>159</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40" w:history="1">
        <w:r w:rsidR="00A71FD1" w:rsidRPr="006A2378">
          <w:rPr>
            <w:rStyle w:val="Hyperlink"/>
            <w:noProof/>
          </w:rPr>
          <w:t>Table 4.6: Proportion of outlets reporting skill shortages in past 12 months</w:t>
        </w:r>
        <w:r w:rsidR="00A71FD1">
          <w:rPr>
            <w:noProof/>
            <w:webHidden/>
          </w:rPr>
          <w:tab/>
        </w:r>
        <w:r w:rsidR="00A71FD1">
          <w:rPr>
            <w:noProof/>
            <w:webHidden/>
          </w:rPr>
          <w:fldChar w:fldCharType="begin"/>
        </w:r>
        <w:r w:rsidR="00A71FD1">
          <w:rPr>
            <w:noProof/>
            <w:webHidden/>
          </w:rPr>
          <w:instrText xml:space="preserve"> PAGEREF _Toc449955340 \h </w:instrText>
        </w:r>
        <w:r w:rsidR="00A71FD1">
          <w:rPr>
            <w:noProof/>
            <w:webHidden/>
          </w:rPr>
        </w:r>
        <w:r w:rsidR="00A71FD1">
          <w:rPr>
            <w:noProof/>
            <w:webHidden/>
          </w:rPr>
          <w:fldChar w:fldCharType="separate"/>
        </w:r>
        <w:r w:rsidR="00A71FD1">
          <w:rPr>
            <w:noProof/>
            <w:webHidden/>
          </w:rPr>
          <w:t>159</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41" w:history="1">
        <w:r w:rsidR="00A71FD1" w:rsidRPr="006A2378">
          <w:rPr>
            <w:rStyle w:val="Hyperlink"/>
            <w:noProof/>
          </w:rPr>
          <w:t>Table 4.7: Reasons for skill shortages</w:t>
        </w:r>
        <w:r w:rsidR="00A71FD1">
          <w:rPr>
            <w:noProof/>
            <w:webHidden/>
          </w:rPr>
          <w:tab/>
        </w:r>
        <w:r w:rsidR="00A71FD1">
          <w:rPr>
            <w:noProof/>
            <w:webHidden/>
          </w:rPr>
          <w:fldChar w:fldCharType="begin"/>
        </w:r>
        <w:r w:rsidR="00A71FD1">
          <w:rPr>
            <w:noProof/>
            <w:webHidden/>
          </w:rPr>
          <w:instrText xml:space="preserve"> PAGEREF _Toc449955341 \h </w:instrText>
        </w:r>
        <w:r w:rsidR="00A71FD1">
          <w:rPr>
            <w:noProof/>
            <w:webHidden/>
          </w:rPr>
        </w:r>
        <w:r w:rsidR="00A71FD1">
          <w:rPr>
            <w:noProof/>
            <w:webHidden/>
          </w:rPr>
          <w:fldChar w:fldCharType="separate"/>
        </w:r>
        <w:r w:rsidR="00A71FD1">
          <w:rPr>
            <w:noProof/>
            <w:webHidden/>
          </w:rPr>
          <w:t>160</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42" w:history="1">
        <w:r w:rsidR="00A71FD1" w:rsidRPr="006A2378">
          <w:rPr>
            <w:rStyle w:val="Hyperlink"/>
            <w:noProof/>
          </w:rPr>
          <w:t>Table 4.8: Outlet responses to skill shortages</w:t>
        </w:r>
        <w:r w:rsidR="00A71FD1">
          <w:rPr>
            <w:noProof/>
            <w:webHidden/>
          </w:rPr>
          <w:tab/>
        </w:r>
        <w:r w:rsidR="00A71FD1">
          <w:rPr>
            <w:noProof/>
            <w:webHidden/>
          </w:rPr>
          <w:fldChar w:fldCharType="begin"/>
        </w:r>
        <w:r w:rsidR="00A71FD1">
          <w:rPr>
            <w:noProof/>
            <w:webHidden/>
          </w:rPr>
          <w:instrText xml:space="preserve"> PAGEREF _Toc449955342 \h </w:instrText>
        </w:r>
        <w:r w:rsidR="00A71FD1">
          <w:rPr>
            <w:noProof/>
            <w:webHidden/>
          </w:rPr>
        </w:r>
        <w:r w:rsidR="00A71FD1">
          <w:rPr>
            <w:noProof/>
            <w:webHidden/>
          </w:rPr>
          <w:fldChar w:fldCharType="separate"/>
        </w:r>
        <w:r w:rsidR="00A71FD1">
          <w:rPr>
            <w:noProof/>
            <w:webHidden/>
          </w:rPr>
          <w:t>161</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43" w:history="1">
        <w:r w:rsidR="00A71FD1" w:rsidRPr="006A2378">
          <w:rPr>
            <w:rStyle w:val="Hyperlink"/>
            <w:noProof/>
          </w:rPr>
          <w:t>Table 4.9: Number of current vacancies by occupation</w:t>
        </w:r>
        <w:r w:rsidR="00A71FD1">
          <w:rPr>
            <w:noProof/>
            <w:webHidden/>
          </w:rPr>
          <w:tab/>
        </w:r>
        <w:r w:rsidR="00A71FD1">
          <w:rPr>
            <w:noProof/>
            <w:webHidden/>
          </w:rPr>
          <w:fldChar w:fldCharType="begin"/>
        </w:r>
        <w:r w:rsidR="00A71FD1">
          <w:rPr>
            <w:noProof/>
            <w:webHidden/>
          </w:rPr>
          <w:instrText xml:space="preserve"> PAGEREF _Toc449955343 \h </w:instrText>
        </w:r>
        <w:r w:rsidR="00A71FD1">
          <w:rPr>
            <w:noProof/>
            <w:webHidden/>
          </w:rPr>
        </w:r>
        <w:r w:rsidR="00A71FD1">
          <w:rPr>
            <w:noProof/>
            <w:webHidden/>
          </w:rPr>
          <w:fldChar w:fldCharType="separate"/>
        </w:r>
        <w:r w:rsidR="00A71FD1">
          <w:rPr>
            <w:noProof/>
            <w:webHidden/>
          </w:rPr>
          <w:t>161</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44" w:history="1">
        <w:r w:rsidR="00A71FD1" w:rsidRPr="006A2378">
          <w:rPr>
            <w:rStyle w:val="Hyperlink"/>
            <w:noProof/>
          </w:rPr>
          <w:t>Table 4.10: Whether the most recent vacancy was filled</w:t>
        </w:r>
        <w:r w:rsidR="00A71FD1">
          <w:rPr>
            <w:noProof/>
            <w:webHidden/>
          </w:rPr>
          <w:tab/>
        </w:r>
        <w:r w:rsidR="00A71FD1">
          <w:rPr>
            <w:noProof/>
            <w:webHidden/>
          </w:rPr>
          <w:fldChar w:fldCharType="begin"/>
        </w:r>
        <w:r w:rsidR="00A71FD1">
          <w:rPr>
            <w:noProof/>
            <w:webHidden/>
          </w:rPr>
          <w:instrText xml:space="preserve"> PAGEREF _Toc449955344 \h </w:instrText>
        </w:r>
        <w:r w:rsidR="00A71FD1">
          <w:rPr>
            <w:noProof/>
            <w:webHidden/>
          </w:rPr>
        </w:r>
        <w:r w:rsidR="00A71FD1">
          <w:rPr>
            <w:noProof/>
            <w:webHidden/>
          </w:rPr>
          <w:fldChar w:fldCharType="separate"/>
        </w:r>
        <w:r w:rsidR="00A71FD1">
          <w:rPr>
            <w:noProof/>
            <w:webHidden/>
          </w:rPr>
          <w:t>162</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45" w:history="1">
        <w:r w:rsidR="00A71FD1" w:rsidRPr="006A2378">
          <w:rPr>
            <w:rStyle w:val="Hyperlink"/>
            <w:noProof/>
          </w:rPr>
          <w:t>Table 4.11: Hiring intentions in next 12 months</w:t>
        </w:r>
        <w:r w:rsidR="00A71FD1">
          <w:rPr>
            <w:noProof/>
            <w:webHidden/>
          </w:rPr>
          <w:tab/>
        </w:r>
        <w:r w:rsidR="00A71FD1">
          <w:rPr>
            <w:noProof/>
            <w:webHidden/>
          </w:rPr>
          <w:fldChar w:fldCharType="begin"/>
        </w:r>
        <w:r w:rsidR="00A71FD1">
          <w:rPr>
            <w:noProof/>
            <w:webHidden/>
          </w:rPr>
          <w:instrText xml:space="preserve"> PAGEREF _Toc449955345 \h </w:instrText>
        </w:r>
        <w:r w:rsidR="00A71FD1">
          <w:rPr>
            <w:noProof/>
            <w:webHidden/>
          </w:rPr>
        </w:r>
        <w:r w:rsidR="00A71FD1">
          <w:rPr>
            <w:noProof/>
            <w:webHidden/>
          </w:rPr>
          <w:fldChar w:fldCharType="separate"/>
        </w:r>
        <w:r w:rsidR="00A71FD1">
          <w:rPr>
            <w:noProof/>
            <w:webHidden/>
          </w:rPr>
          <w:t>163</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46" w:history="1">
        <w:r w:rsidR="00A71FD1" w:rsidRPr="006A2378">
          <w:rPr>
            <w:rStyle w:val="Hyperlink"/>
            <w:noProof/>
          </w:rPr>
          <w:t>Table 4.11a:</w:t>
        </w:r>
        <w:r w:rsidR="00A71FD1" w:rsidRPr="006A2378">
          <w:rPr>
            <w:rStyle w:val="Hyperlink"/>
            <w:noProof/>
            <w:lang w:val="en-AU"/>
          </w:rPr>
          <w:t xml:space="preserve"> Intentions to hire </w:t>
        </w:r>
        <w:r w:rsidR="00A71FD1" w:rsidRPr="006A2378">
          <w:rPr>
            <w:rStyle w:val="Hyperlink"/>
            <w:noProof/>
          </w:rPr>
          <w:t xml:space="preserve">in next 12 months as a proportion of total number of </w:t>
        </w:r>
        <w:r w:rsidR="00A71FD1" w:rsidRPr="006A2378">
          <w:rPr>
            <w:rStyle w:val="Hyperlink"/>
            <w:noProof/>
            <w:lang w:val="en-AU"/>
          </w:rPr>
          <w:t>new hires</w:t>
        </w:r>
        <w:r w:rsidR="00A71FD1" w:rsidRPr="006A2378">
          <w:rPr>
            <w:rStyle w:val="Hyperlink"/>
            <w:noProof/>
          </w:rPr>
          <w:t xml:space="preserve"> by occupation and outlet size</w:t>
        </w:r>
        <w:r w:rsidR="00A71FD1">
          <w:rPr>
            <w:noProof/>
            <w:webHidden/>
          </w:rPr>
          <w:tab/>
        </w:r>
        <w:r w:rsidR="00A71FD1">
          <w:rPr>
            <w:noProof/>
            <w:webHidden/>
          </w:rPr>
          <w:fldChar w:fldCharType="begin"/>
        </w:r>
        <w:r w:rsidR="00A71FD1">
          <w:rPr>
            <w:noProof/>
            <w:webHidden/>
          </w:rPr>
          <w:instrText xml:space="preserve"> PAGEREF _Toc449955346 \h </w:instrText>
        </w:r>
        <w:r w:rsidR="00A71FD1">
          <w:rPr>
            <w:noProof/>
            <w:webHidden/>
          </w:rPr>
        </w:r>
        <w:r w:rsidR="00A71FD1">
          <w:rPr>
            <w:noProof/>
            <w:webHidden/>
          </w:rPr>
          <w:fldChar w:fldCharType="separate"/>
        </w:r>
        <w:r w:rsidR="00A71FD1">
          <w:rPr>
            <w:noProof/>
            <w:webHidden/>
          </w:rPr>
          <w:t>164</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47" w:history="1">
        <w:r w:rsidR="00A71FD1" w:rsidRPr="006A2378">
          <w:rPr>
            <w:rStyle w:val="Hyperlink"/>
            <w:noProof/>
          </w:rPr>
          <w:t xml:space="preserve">Table 4.11b: Hiring intentions in next 12 months by outlet size </w:t>
        </w:r>
        <w:r w:rsidR="00A71FD1" w:rsidRPr="006A2378">
          <w:rPr>
            <w:rStyle w:val="Hyperlink"/>
            <w:noProof/>
            <w:lang w:val="en-AU"/>
          </w:rPr>
          <w:t>(per cent of outlets by size hiring any workers)</w:t>
        </w:r>
        <w:r w:rsidR="00A71FD1">
          <w:rPr>
            <w:noProof/>
            <w:webHidden/>
          </w:rPr>
          <w:tab/>
        </w:r>
        <w:r w:rsidR="00A71FD1">
          <w:rPr>
            <w:noProof/>
            <w:webHidden/>
          </w:rPr>
          <w:fldChar w:fldCharType="begin"/>
        </w:r>
        <w:r w:rsidR="00A71FD1">
          <w:rPr>
            <w:noProof/>
            <w:webHidden/>
          </w:rPr>
          <w:instrText xml:space="preserve"> PAGEREF _Toc449955347 \h </w:instrText>
        </w:r>
        <w:r w:rsidR="00A71FD1">
          <w:rPr>
            <w:noProof/>
            <w:webHidden/>
          </w:rPr>
        </w:r>
        <w:r w:rsidR="00A71FD1">
          <w:rPr>
            <w:noProof/>
            <w:webHidden/>
          </w:rPr>
          <w:fldChar w:fldCharType="separate"/>
        </w:r>
        <w:r w:rsidR="00A71FD1">
          <w:rPr>
            <w:noProof/>
            <w:webHidden/>
          </w:rPr>
          <w:t>164</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48" w:history="1">
        <w:r w:rsidR="00A71FD1" w:rsidRPr="006A2378">
          <w:rPr>
            <w:rStyle w:val="Hyperlink"/>
            <w:noProof/>
          </w:rPr>
          <w:t>Table 4.12: Whether hiring plans change the outlet’s current mix of support activities by outlet size</w:t>
        </w:r>
        <w:r w:rsidR="00A71FD1" w:rsidRPr="006A2378">
          <w:rPr>
            <w:rStyle w:val="Hyperlink"/>
            <w:noProof/>
            <w:lang w:val="en-AU"/>
          </w:rPr>
          <w:t xml:space="preserve"> (per cent)</w:t>
        </w:r>
        <w:r w:rsidR="00A71FD1">
          <w:rPr>
            <w:noProof/>
            <w:webHidden/>
          </w:rPr>
          <w:tab/>
        </w:r>
        <w:r w:rsidR="00A71FD1">
          <w:rPr>
            <w:noProof/>
            <w:webHidden/>
          </w:rPr>
          <w:fldChar w:fldCharType="begin"/>
        </w:r>
        <w:r w:rsidR="00A71FD1">
          <w:rPr>
            <w:noProof/>
            <w:webHidden/>
          </w:rPr>
          <w:instrText xml:space="preserve"> PAGEREF _Toc449955348 \h </w:instrText>
        </w:r>
        <w:r w:rsidR="00A71FD1">
          <w:rPr>
            <w:noProof/>
            <w:webHidden/>
          </w:rPr>
        </w:r>
        <w:r w:rsidR="00A71FD1">
          <w:rPr>
            <w:noProof/>
            <w:webHidden/>
          </w:rPr>
          <w:fldChar w:fldCharType="separate"/>
        </w:r>
        <w:r w:rsidR="00A71FD1">
          <w:rPr>
            <w:noProof/>
            <w:webHidden/>
          </w:rPr>
          <w:t>165</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49" w:history="1">
        <w:r w:rsidR="00A71FD1" w:rsidRPr="006A2378">
          <w:rPr>
            <w:rStyle w:val="Hyperlink"/>
            <w:noProof/>
          </w:rPr>
          <w:t>Table 4.13: Use of non-PAYG workers by type of worker (per</w:t>
        </w:r>
        <w:r w:rsidR="00A71FD1" w:rsidRPr="006A2378">
          <w:rPr>
            <w:rStyle w:val="Hyperlink"/>
            <w:noProof/>
            <w:lang w:val="en-AU"/>
          </w:rPr>
          <w:t xml:space="preserve"> </w:t>
        </w:r>
        <w:r w:rsidR="00A71FD1" w:rsidRPr="006A2378">
          <w:rPr>
            <w:rStyle w:val="Hyperlink"/>
            <w:noProof/>
          </w:rPr>
          <w:t>cent of outlets)</w:t>
        </w:r>
        <w:r w:rsidR="00A71FD1">
          <w:rPr>
            <w:noProof/>
            <w:webHidden/>
          </w:rPr>
          <w:tab/>
        </w:r>
        <w:r w:rsidR="00A71FD1">
          <w:rPr>
            <w:noProof/>
            <w:webHidden/>
          </w:rPr>
          <w:fldChar w:fldCharType="begin"/>
        </w:r>
        <w:r w:rsidR="00A71FD1">
          <w:rPr>
            <w:noProof/>
            <w:webHidden/>
          </w:rPr>
          <w:instrText xml:space="preserve"> PAGEREF _Toc449955349 \h </w:instrText>
        </w:r>
        <w:r w:rsidR="00A71FD1">
          <w:rPr>
            <w:noProof/>
            <w:webHidden/>
          </w:rPr>
        </w:r>
        <w:r w:rsidR="00A71FD1">
          <w:rPr>
            <w:noProof/>
            <w:webHidden/>
          </w:rPr>
          <w:fldChar w:fldCharType="separate"/>
        </w:r>
        <w:r w:rsidR="00A71FD1">
          <w:rPr>
            <w:noProof/>
            <w:webHidden/>
          </w:rPr>
          <w:t>166</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50" w:history="1">
        <w:r w:rsidR="00A71FD1" w:rsidRPr="006A2378">
          <w:rPr>
            <w:rStyle w:val="Hyperlink"/>
            <w:noProof/>
          </w:rPr>
          <w:t>Table 4.14: Number of volunteers and voluntary hours in the outlet last week</w:t>
        </w:r>
        <w:r w:rsidR="00A71FD1">
          <w:rPr>
            <w:noProof/>
            <w:webHidden/>
          </w:rPr>
          <w:tab/>
        </w:r>
        <w:r w:rsidR="00A71FD1">
          <w:rPr>
            <w:noProof/>
            <w:webHidden/>
          </w:rPr>
          <w:fldChar w:fldCharType="begin"/>
        </w:r>
        <w:r w:rsidR="00A71FD1">
          <w:rPr>
            <w:noProof/>
            <w:webHidden/>
          </w:rPr>
          <w:instrText xml:space="preserve"> PAGEREF _Toc449955350 \h </w:instrText>
        </w:r>
        <w:r w:rsidR="00A71FD1">
          <w:rPr>
            <w:noProof/>
            <w:webHidden/>
          </w:rPr>
        </w:r>
        <w:r w:rsidR="00A71FD1">
          <w:rPr>
            <w:noProof/>
            <w:webHidden/>
          </w:rPr>
          <w:fldChar w:fldCharType="separate"/>
        </w:r>
        <w:r w:rsidR="00A71FD1">
          <w:rPr>
            <w:noProof/>
            <w:webHidden/>
          </w:rPr>
          <w:t>167</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51" w:history="1">
        <w:r w:rsidR="00A71FD1" w:rsidRPr="006A2378">
          <w:rPr>
            <w:rStyle w:val="Hyperlink"/>
            <w:noProof/>
          </w:rPr>
          <w:t>Table 4.15: What outlet is already doing/planning to do in response to full NDIS rollout</w:t>
        </w:r>
        <w:r w:rsidR="00A71FD1">
          <w:rPr>
            <w:noProof/>
            <w:webHidden/>
          </w:rPr>
          <w:tab/>
        </w:r>
        <w:r w:rsidR="00A71FD1">
          <w:rPr>
            <w:noProof/>
            <w:webHidden/>
          </w:rPr>
          <w:fldChar w:fldCharType="begin"/>
        </w:r>
        <w:r w:rsidR="00A71FD1">
          <w:rPr>
            <w:noProof/>
            <w:webHidden/>
          </w:rPr>
          <w:instrText xml:space="preserve"> PAGEREF _Toc449955351 \h </w:instrText>
        </w:r>
        <w:r w:rsidR="00A71FD1">
          <w:rPr>
            <w:noProof/>
            <w:webHidden/>
          </w:rPr>
        </w:r>
        <w:r w:rsidR="00A71FD1">
          <w:rPr>
            <w:noProof/>
            <w:webHidden/>
          </w:rPr>
          <w:fldChar w:fldCharType="separate"/>
        </w:r>
        <w:r w:rsidR="00A71FD1">
          <w:rPr>
            <w:noProof/>
            <w:webHidden/>
          </w:rPr>
          <w:t>168</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52" w:history="1">
        <w:r w:rsidR="00A71FD1" w:rsidRPr="006A2378">
          <w:rPr>
            <w:rStyle w:val="Hyperlink"/>
            <w:noProof/>
          </w:rPr>
          <w:t>Table 4.16: Anticipated general impact of NDIS</w:t>
        </w:r>
        <w:r w:rsidR="00A71FD1">
          <w:rPr>
            <w:noProof/>
            <w:webHidden/>
          </w:rPr>
          <w:tab/>
        </w:r>
        <w:r w:rsidR="00A71FD1">
          <w:rPr>
            <w:noProof/>
            <w:webHidden/>
          </w:rPr>
          <w:fldChar w:fldCharType="begin"/>
        </w:r>
        <w:r w:rsidR="00A71FD1">
          <w:rPr>
            <w:noProof/>
            <w:webHidden/>
          </w:rPr>
          <w:instrText xml:space="preserve"> PAGEREF _Toc449955352 \h </w:instrText>
        </w:r>
        <w:r w:rsidR="00A71FD1">
          <w:rPr>
            <w:noProof/>
            <w:webHidden/>
          </w:rPr>
        </w:r>
        <w:r w:rsidR="00A71FD1">
          <w:rPr>
            <w:noProof/>
            <w:webHidden/>
          </w:rPr>
          <w:fldChar w:fldCharType="separate"/>
        </w:r>
        <w:r w:rsidR="00A71FD1">
          <w:rPr>
            <w:noProof/>
            <w:webHidden/>
          </w:rPr>
          <w:t>168</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53" w:history="1">
        <w:r w:rsidR="00A71FD1" w:rsidRPr="006A2378">
          <w:rPr>
            <w:rStyle w:val="Hyperlink"/>
            <w:noProof/>
          </w:rPr>
          <w:t>Table 4.17: Expectations about how NDIS will change outlet</w:t>
        </w:r>
        <w:r w:rsidR="00A71FD1" w:rsidRPr="006A2378">
          <w:rPr>
            <w:rStyle w:val="Hyperlink"/>
            <w:noProof/>
            <w:lang w:val="en-AU"/>
          </w:rPr>
          <w:t>’s</w:t>
        </w:r>
        <w:r w:rsidR="00A71FD1" w:rsidRPr="006A2378">
          <w:rPr>
            <w:rStyle w:val="Hyperlink"/>
            <w:noProof/>
          </w:rPr>
          <w:t xml:space="preserve"> operations in next 12 months</w:t>
        </w:r>
        <w:r w:rsidR="00A71FD1">
          <w:rPr>
            <w:noProof/>
            <w:webHidden/>
          </w:rPr>
          <w:tab/>
        </w:r>
        <w:r w:rsidR="00A71FD1">
          <w:rPr>
            <w:noProof/>
            <w:webHidden/>
          </w:rPr>
          <w:fldChar w:fldCharType="begin"/>
        </w:r>
        <w:r w:rsidR="00A71FD1">
          <w:rPr>
            <w:noProof/>
            <w:webHidden/>
          </w:rPr>
          <w:instrText xml:space="preserve"> PAGEREF _Toc449955353 \h </w:instrText>
        </w:r>
        <w:r w:rsidR="00A71FD1">
          <w:rPr>
            <w:noProof/>
            <w:webHidden/>
          </w:rPr>
        </w:r>
        <w:r w:rsidR="00A71FD1">
          <w:rPr>
            <w:noProof/>
            <w:webHidden/>
          </w:rPr>
          <w:fldChar w:fldCharType="separate"/>
        </w:r>
        <w:r w:rsidR="00A71FD1">
          <w:rPr>
            <w:noProof/>
            <w:webHidden/>
          </w:rPr>
          <w:t>169</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54" w:history="1">
        <w:r w:rsidR="00A71FD1" w:rsidRPr="006A2378">
          <w:rPr>
            <w:rStyle w:val="Hyperlink"/>
            <w:noProof/>
          </w:rPr>
          <w:t>Table 4.18: Composition of outlets’ total workforce by occupation and gender: number employed and per cent for each occupation</w:t>
        </w:r>
        <w:r w:rsidR="00A71FD1">
          <w:rPr>
            <w:noProof/>
            <w:webHidden/>
          </w:rPr>
          <w:tab/>
        </w:r>
        <w:r w:rsidR="00A71FD1">
          <w:rPr>
            <w:noProof/>
            <w:webHidden/>
          </w:rPr>
          <w:fldChar w:fldCharType="begin"/>
        </w:r>
        <w:r w:rsidR="00A71FD1">
          <w:rPr>
            <w:noProof/>
            <w:webHidden/>
          </w:rPr>
          <w:instrText xml:space="preserve"> PAGEREF _Toc449955354 \h </w:instrText>
        </w:r>
        <w:r w:rsidR="00A71FD1">
          <w:rPr>
            <w:noProof/>
            <w:webHidden/>
          </w:rPr>
        </w:r>
        <w:r w:rsidR="00A71FD1">
          <w:rPr>
            <w:noProof/>
            <w:webHidden/>
          </w:rPr>
          <w:fldChar w:fldCharType="separate"/>
        </w:r>
        <w:r w:rsidR="00A71FD1">
          <w:rPr>
            <w:noProof/>
            <w:webHidden/>
          </w:rPr>
          <w:t>172</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55" w:history="1">
        <w:r w:rsidR="00A71FD1" w:rsidRPr="006A2378">
          <w:rPr>
            <w:rStyle w:val="Hyperlink"/>
            <w:noProof/>
          </w:rPr>
          <w:t>Table 4.19: Age distribution of the disability support workforce</w:t>
        </w:r>
        <w:r w:rsidR="00A71FD1">
          <w:rPr>
            <w:noProof/>
            <w:webHidden/>
          </w:rPr>
          <w:tab/>
        </w:r>
        <w:r w:rsidR="00A71FD1">
          <w:rPr>
            <w:noProof/>
            <w:webHidden/>
          </w:rPr>
          <w:fldChar w:fldCharType="begin"/>
        </w:r>
        <w:r w:rsidR="00A71FD1">
          <w:rPr>
            <w:noProof/>
            <w:webHidden/>
          </w:rPr>
          <w:instrText xml:space="preserve"> PAGEREF _Toc449955355 \h </w:instrText>
        </w:r>
        <w:r w:rsidR="00A71FD1">
          <w:rPr>
            <w:noProof/>
            <w:webHidden/>
          </w:rPr>
        </w:r>
        <w:r w:rsidR="00A71FD1">
          <w:rPr>
            <w:noProof/>
            <w:webHidden/>
          </w:rPr>
          <w:fldChar w:fldCharType="separate"/>
        </w:r>
        <w:r w:rsidR="00A71FD1">
          <w:rPr>
            <w:noProof/>
            <w:webHidden/>
          </w:rPr>
          <w:t>173</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56" w:history="1">
        <w:r w:rsidR="00A71FD1" w:rsidRPr="006A2378">
          <w:rPr>
            <w:rStyle w:val="Hyperlink"/>
            <w:noProof/>
          </w:rPr>
          <w:t>Table 4.20: Country of birth of the disability support workforce</w:t>
        </w:r>
        <w:r w:rsidR="00A71FD1">
          <w:rPr>
            <w:noProof/>
            <w:webHidden/>
          </w:rPr>
          <w:tab/>
        </w:r>
        <w:r w:rsidR="00A71FD1">
          <w:rPr>
            <w:noProof/>
            <w:webHidden/>
          </w:rPr>
          <w:fldChar w:fldCharType="begin"/>
        </w:r>
        <w:r w:rsidR="00A71FD1">
          <w:rPr>
            <w:noProof/>
            <w:webHidden/>
          </w:rPr>
          <w:instrText xml:space="preserve"> PAGEREF _Toc449955356 \h </w:instrText>
        </w:r>
        <w:r w:rsidR="00A71FD1">
          <w:rPr>
            <w:noProof/>
            <w:webHidden/>
          </w:rPr>
        </w:r>
        <w:r w:rsidR="00A71FD1">
          <w:rPr>
            <w:noProof/>
            <w:webHidden/>
          </w:rPr>
          <w:fldChar w:fldCharType="separate"/>
        </w:r>
        <w:r w:rsidR="00A71FD1">
          <w:rPr>
            <w:noProof/>
            <w:webHidden/>
          </w:rPr>
          <w:t>173</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57" w:history="1">
        <w:r w:rsidR="00A71FD1" w:rsidRPr="006A2378">
          <w:rPr>
            <w:rStyle w:val="Hyperlink"/>
            <w:noProof/>
          </w:rPr>
          <w:t>Table 4.21: Self-reported English language skills (per cent)</w:t>
        </w:r>
        <w:r w:rsidR="00A71FD1">
          <w:rPr>
            <w:noProof/>
            <w:webHidden/>
          </w:rPr>
          <w:tab/>
        </w:r>
        <w:r w:rsidR="00A71FD1">
          <w:rPr>
            <w:noProof/>
            <w:webHidden/>
          </w:rPr>
          <w:fldChar w:fldCharType="begin"/>
        </w:r>
        <w:r w:rsidR="00A71FD1">
          <w:rPr>
            <w:noProof/>
            <w:webHidden/>
          </w:rPr>
          <w:instrText xml:space="preserve"> PAGEREF _Toc449955357 \h </w:instrText>
        </w:r>
        <w:r w:rsidR="00A71FD1">
          <w:rPr>
            <w:noProof/>
            <w:webHidden/>
          </w:rPr>
        </w:r>
        <w:r w:rsidR="00A71FD1">
          <w:rPr>
            <w:noProof/>
            <w:webHidden/>
          </w:rPr>
          <w:fldChar w:fldCharType="separate"/>
        </w:r>
        <w:r w:rsidR="00A71FD1">
          <w:rPr>
            <w:noProof/>
            <w:webHidden/>
          </w:rPr>
          <w:t>174</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58" w:history="1">
        <w:r w:rsidR="00A71FD1" w:rsidRPr="006A2378">
          <w:rPr>
            <w:rStyle w:val="Hyperlink"/>
            <w:noProof/>
          </w:rPr>
          <w:t>Table 4.22: Self-reported health of the disability support workforce</w:t>
        </w:r>
        <w:r w:rsidR="00A71FD1">
          <w:rPr>
            <w:noProof/>
            <w:webHidden/>
          </w:rPr>
          <w:tab/>
        </w:r>
        <w:r w:rsidR="00A71FD1">
          <w:rPr>
            <w:noProof/>
            <w:webHidden/>
          </w:rPr>
          <w:fldChar w:fldCharType="begin"/>
        </w:r>
        <w:r w:rsidR="00A71FD1">
          <w:rPr>
            <w:noProof/>
            <w:webHidden/>
          </w:rPr>
          <w:instrText xml:space="preserve"> PAGEREF _Toc449955358 \h </w:instrText>
        </w:r>
        <w:r w:rsidR="00A71FD1">
          <w:rPr>
            <w:noProof/>
            <w:webHidden/>
          </w:rPr>
        </w:r>
        <w:r w:rsidR="00A71FD1">
          <w:rPr>
            <w:noProof/>
            <w:webHidden/>
          </w:rPr>
          <w:fldChar w:fldCharType="separate"/>
        </w:r>
        <w:r w:rsidR="00A71FD1">
          <w:rPr>
            <w:noProof/>
            <w:webHidden/>
          </w:rPr>
          <w:t>174</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59" w:history="1">
        <w:r w:rsidR="00A71FD1" w:rsidRPr="006A2378">
          <w:rPr>
            <w:rStyle w:val="Hyperlink"/>
            <w:noProof/>
          </w:rPr>
          <w:t>Table 4.23: Self-reported health problem or disability limiting day to day activities of the disability support workforce</w:t>
        </w:r>
        <w:r w:rsidR="00A71FD1">
          <w:rPr>
            <w:noProof/>
            <w:webHidden/>
          </w:rPr>
          <w:tab/>
        </w:r>
        <w:r w:rsidR="00A71FD1">
          <w:rPr>
            <w:noProof/>
            <w:webHidden/>
          </w:rPr>
          <w:fldChar w:fldCharType="begin"/>
        </w:r>
        <w:r w:rsidR="00A71FD1">
          <w:rPr>
            <w:noProof/>
            <w:webHidden/>
          </w:rPr>
          <w:instrText xml:space="preserve"> PAGEREF _Toc449955359 \h </w:instrText>
        </w:r>
        <w:r w:rsidR="00A71FD1">
          <w:rPr>
            <w:noProof/>
            <w:webHidden/>
          </w:rPr>
        </w:r>
        <w:r w:rsidR="00A71FD1">
          <w:rPr>
            <w:noProof/>
            <w:webHidden/>
          </w:rPr>
          <w:fldChar w:fldCharType="separate"/>
        </w:r>
        <w:r w:rsidR="00A71FD1">
          <w:rPr>
            <w:noProof/>
            <w:webHidden/>
          </w:rPr>
          <w:t>174</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60" w:history="1">
        <w:r w:rsidR="00A71FD1" w:rsidRPr="006A2378">
          <w:rPr>
            <w:rStyle w:val="Hyperlink"/>
            <w:noProof/>
          </w:rPr>
          <w:t>Table 4.24: Level of qualifications</w:t>
        </w:r>
        <w:r w:rsidR="00A71FD1">
          <w:rPr>
            <w:noProof/>
            <w:webHidden/>
          </w:rPr>
          <w:tab/>
        </w:r>
        <w:r w:rsidR="00A71FD1">
          <w:rPr>
            <w:noProof/>
            <w:webHidden/>
          </w:rPr>
          <w:fldChar w:fldCharType="begin"/>
        </w:r>
        <w:r w:rsidR="00A71FD1">
          <w:rPr>
            <w:noProof/>
            <w:webHidden/>
          </w:rPr>
          <w:instrText xml:space="preserve"> PAGEREF _Toc449955360 \h </w:instrText>
        </w:r>
        <w:r w:rsidR="00A71FD1">
          <w:rPr>
            <w:noProof/>
            <w:webHidden/>
          </w:rPr>
        </w:r>
        <w:r w:rsidR="00A71FD1">
          <w:rPr>
            <w:noProof/>
            <w:webHidden/>
          </w:rPr>
          <w:fldChar w:fldCharType="separate"/>
        </w:r>
        <w:r w:rsidR="00A71FD1">
          <w:rPr>
            <w:noProof/>
            <w:webHidden/>
          </w:rPr>
          <w:t>175</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61" w:history="1">
        <w:r w:rsidR="00A71FD1" w:rsidRPr="006A2378">
          <w:rPr>
            <w:rStyle w:val="Hyperlink"/>
            <w:noProof/>
          </w:rPr>
          <w:t>Table 4.25: Field of study of the highest and most relevant qualification for current role</w:t>
        </w:r>
        <w:r w:rsidR="00A71FD1">
          <w:rPr>
            <w:noProof/>
            <w:webHidden/>
          </w:rPr>
          <w:tab/>
        </w:r>
        <w:r w:rsidR="00A71FD1">
          <w:rPr>
            <w:noProof/>
            <w:webHidden/>
          </w:rPr>
          <w:fldChar w:fldCharType="begin"/>
        </w:r>
        <w:r w:rsidR="00A71FD1">
          <w:rPr>
            <w:noProof/>
            <w:webHidden/>
          </w:rPr>
          <w:instrText xml:space="preserve"> PAGEREF _Toc449955361 \h </w:instrText>
        </w:r>
        <w:r w:rsidR="00A71FD1">
          <w:rPr>
            <w:noProof/>
            <w:webHidden/>
          </w:rPr>
        </w:r>
        <w:r w:rsidR="00A71FD1">
          <w:rPr>
            <w:noProof/>
            <w:webHidden/>
          </w:rPr>
          <w:fldChar w:fldCharType="separate"/>
        </w:r>
        <w:r w:rsidR="00A71FD1">
          <w:rPr>
            <w:noProof/>
            <w:webHidden/>
          </w:rPr>
          <w:t>176</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62" w:history="1">
        <w:r w:rsidR="00A71FD1" w:rsidRPr="006A2378">
          <w:rPr>
            <w:rStyle w:val="Hyperlink"/>
            <w:noProof/>
          </w:rPr>
          <w:t>Table 4.26: The highest level of qualification currently studying for</w:t>
        </w:r>
        <w:r w:rsidR="00A71FD1">
          <w:rPr>
            <w:noProof/>
            <w:webHidden/>
          </w:rPr>
          <w:tab/>
        </w:r>
        <w:r w:rsidR="00A71FD1">
          <w:rPr>
            <w:noProof/>
            <w:webHidden/>
          </w:rPr>
          <w:fldChar w:fldCharType="begin"/>
        </w:r>
        <w:r w:rsidR="00A71FD1">
          <w:rPr>
            <w:noProof/>
            <w:webHidden/>
          </w:rPr>
          <w:instrText xml:space="preserve"> PAGEREF _Toc449955362 \h </w:instrText>
        </w:r>
        <w:r w:rsidR="00A71FD1">
          <w:rPr>
            <w:noProof/>
            <w:webHidden/>
          </w:rPr>
        </w:r>
        <w:r w:rsidR="00A71FD1">
          <w:rPr>
            <w:noProof/>
            <w:webHidden/>
          </w:rPr>
          <w:fldChar w:fldCharType="separate"/>
        </w:r>
        <w:r w:rsidR="00A71FD1">
          <w:rPr>
            <w:noProof/>
            <w:webHidden/>
          </w:rPr>
          <w:t>176</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63" w:history="1">
        <w:r w:rsidR="00A71FD1" w:rsidRPr="006A2378">
          <w:rPr>
            <w:rStyle w:val="Hyperlink"/>
            <w:noProof/>
          </w:rPr>
          <w:t>Table 4.27: The field of study currently studying for</w:t>
        </w:r>
        <w:r w:rsidR="00A71FD1">
          <w:rPr>
            <w:noProof/>
            <w:webHidden/>
          </w:rPr>
          <w:tab/>
        </w:r>
        <w:r w:rsidR="00A71FD1">
          <w:rPr>
            <w:noProof/>
            <w:webHidden/>
          </w:rPr>
          <w:fldChar w:fldCharType="begin"/>
        </w:r>
        <w:r w:rsidR="00A71FD1">
          <w:rPr>
            <w:noProof/>
            <w:webHidden/>
          </w:rPr>
          <w:instrText xml:space="preserve"> PAGEREF _Toc449955363 \h </w:instrText>
        </w:r>
        <w:r w:rsidR="00A71FD1">
          <w:rPr>
            <w:noProof/>
            <w:webHidden/>
          </w:rPr>
        </w:r>
        <w:r w:rsidR="00A71FD1">
          <w:rPr>
            <w:noProof/>
            <w:webHidden/>
          </w:rPr>
          <w:fldChar w:fldCharType="separate"/>
        </w:r>
        <w:r w:rsidR="00A71FD1">
          <w:rPr>
            <w:noProof/>
            <w:webHidden/>
          </w:rPr>
          <w:t>177</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64" w:history="1">
        <w:r w:rsidR="00A71FD1" w:rsidRPr="006A2378">
          <w:rPr>
            <w:rStyle w:val="Hyperlink"/>
            <w:noProof/>
          </w:rPr>
          <w:t>Table 4.28: Form of employment of the PAYG disability support workforce</w:t>
        </w:r>
        <w:r w:rsidR="00A71FD1">
          <w:rPr>
            <w:noProof/>
            <w:webHidden/>
          </w:rPr>
          <w:tab/>
        </w:r>
        <w:r w:rsidR="00A71FD1">
          <w:rPr>
            <w:noProof/>
            <w:webHidden/>
          </w:rPr>
          <w:fldChar w:fldCharType="begin"/>
        </w:r>
        <w:r w:rsidR="00A71FD1">
          <w:rPr>
            <w:noProof/>
            <w:webHidden/>
          </w:rPr>
          <w:instrText xml:space="preserve"> PAGEREF _Toc449955364 \h </w:instrText>
        </w:r>
        <w:r w:rsidR="00A71FD1">
          <w:rPr>
            <w:noProof/>
            <w:webHidden/>
          </w:rPr>
        </w:r>
        <w:r w:rsidR="00A71FD1">
          <w:rPr>
            <w:noProof/>
            <w:webHidden/>
          </w:rPr>
          <w:fldChar w:fldCharType="separate"/>
        </w:r>
        <w:r w:rsidR="00A71FD1">
          <w:rPr>
            <w:noProof/>
            <w:webHidden/>
          </w:rPr>
          <w:t>178</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65" w:history="1">
        <w:r w:rsidR="00A71FD1" w:rsidRPr="006A2378">
          <w:rPr>
            <w:rStyle w:val="Hyperlink"/>
            <w:noProof/>
          </w:rPr>
          <w:t>Table 4.29: Current and preferred work schedule</w:t>
        </w:r>
        <w:r w:rsidR="00A71FD1">
          <w:rPr>
            <w:noProof/>
            <w:webHidden/>
          </w:rPr>
          <w:tab/>
        </w:r>
        <w:r w:rsidR="00A71FD1">
          <w:rPr>
            <w:noProof/>
            <w:webHidden/>
          </w:rPr>
          <w:fldChar w:fldCharType="begin"/>
        </w:r>
        <w:r w:rsidR="00A71FD1">
          <w:rPr>
            <w:noProof/>
            <w:webHidden/>
          </w:rPr>
          <w:instrText xml:space="preserve"> PAGEREF _Toc449955365 \h </w:instrText>
        </w:r>
        <w:r w:rsidR="00A71FD1">
          <w:rPr>
            <w:noProof/>
            <w:webHidden/>
          </w:rPr>
        </w:r>
        <w:r w:rsidR="00A71FD1">
          <w:rPr>
            <w:noProof/>
            <w:webHidden/>
          </w:rPr>
          <w:fldChar w:fldCharType="separate"/>
        </w:r>
        <w:r w:rsidR="00A71FD1">
          <w:rPr>
            <w:noProof/>
            <w:webHidden/>
          </w:rPr>
          <w:t>178</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66" w:history="1">
        <w:r w:rsidR="00A71FD1" w:rsidRPr="006A2378">
          <w:rPr>
            <w:rStyle w:val="Hyperlink"/>
            <w:noProof/>
          </w:rPr>
          <w:t>Table 4.30: Total working hours per week and preferred total work hours per week</w:t>
        </w:r>
        <w:r w:rsidR="00A71FD1" w:rsidRPr="006A2378">
          <w:rPr>
            <w:rStyle w:val="Hyperlink"/>
            <w:noProof/>
            <w:lang w:val="en-AU"/>
          </w:rPr>
          <w:t xml:space="preserve"> (per cent)</w:t>
        </w:r>
        <w:r w:rsidR="00A71FD1">
          <w:rPr>
            <w:noProof/>
            <w:webHidden/>
          </w:rPr>
          <w:tab/>
        </w:r>
        <w:r w:rsidR="00A71FD1">
          <w:rPr>
            <w:noProof/>
            <w:webHidden/>
          </w:rPr>
          <w:fldChar w:fldCharType="begin"/>
        </w:r>
        <w:r w:rsidR="00A71FD1">
          <w:rPr>
            <w:noProof/>
            <w:webHidden/>
          </w:rPr>
          <w:instrText xml:space="preserve"> PAGEREF _Toc449955366 \h </w:instrText>
        </w:r>
        <w:r w:rsidR="00A71FD1">
          <w:rPr>
            <w:noProof/>
            <w:webHidden/>
          </w:rPr>
        </w:r>
        <w:r w:rsidR="00A71FD1">
          <w:rPr>
            <w:noProof/>
            <w:webHidden/>
          </w:rPr>
          <w:fldChar w:fldCharType="separate"/>
        </w:r>
        <w:r w:rsidR="00A71FD1">
          <w:rPr>
            <w:noProof/>
            <w:webHidden/>
          </w:rPr>
          <w:t>179</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67" w:history="1">
        <w:r w:rsidR="00A71FD1" w:rsidRPr="006A2378">
          <w:rPr>
            <w:rStyle w:val="Hyperlink"/>
            <w:noProof/>
          </w:rPr>
          <w:t>Table 4.31: Total working hours per week against preferred total work hours per week</w:t>
        </w:r>
        <w:r w:rsidR="00A71FD1">
          <w:rPr>
            <w:noProof/>
            <w:webHidden/>
          </w:rPr>
          <w:tab/>
        </w:r>
        <w:r w:rsidR="00A71FD1">
          <w:rPr>
            <w:noProof/>
            <w:webHidden/>
          </w:rPr>
          <w:fldChar w:fldCharType="begin"/>
        </w:r>
        <w:r w:rsidR="00A71FD1">
          <w:rPr>
            <w:noProof/>
            <w:webHidden/>
          </w:rPr>
          <w:instrText xml:space="preserve"> PAGEREF _Toc449955367 \h </w:instrText>
        </w:r>
        <w:r w:rsidR="00A71FD1">
          <w:rPr>
            <w:noProof/>
            <w:webHidden/>
          </w:rPr>
        </w:r>
        <w:r w:rsidR="00A71FD1">
          <w:rPr>
            <w:noProof/>
            <w:webHidden/>
          </w:rPr>
          <w:fldChar w:fldCharType="separate"/>
        </w:r>
        <w:r w:rsidR="00A71FD1">
          <w:rPr>
            <w:noProof/>
            <w:webHidden/>
          </w:rPr>
          <w:t>179</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68" w:history="1">
        <w:r w:rsidR="00A71FD1" w:rsidRPr="006A2378">
          <w:rPr>
            <w:rStyle w:val="Hyperlink"/>
            <w:noProof/>
          </w:rPr>
          <w:t>Table 4.32: Weekly earnings before tax by occupation</w:t>
        </w:r>
        <w:r w:rsidR="00A71FD1">
          <w:rPr>
            <w:noProof/>
            <w:webHidden/>
          </w:rPr>
          <w:tab/>
        </w:r>
        <w:r w:rsidR="00A71FD1">
          <w:rPr>
            <w:noProof/>
            <w:webHidden/>
          </w:rPr>
          <w:fldChar w:fldCharType="begin"/>
        </w:r>
        <w:r w:rsidR="00A71FD1">
          <w:rPr>
            <w:noProof/>
            <w:webHidden/>
          </w:rPr>
          <w:instrText xml:space="preserve"> PAGEREF _Toc449955368 \h </w:instrText>
        </w:r>
        <w:r w:rsidR="00A71FD1">
          <w:rPr>
            <w:noProof/>
            <w:webHidden/>
          </w:rPr>
        </w:r>
        <w:r w:rsidR="00A71FD1">
          <w:rPr>
            <w:noProof/>
            <w:webHidden/>
          </w:rPr>
          <w:fldChar w:fldCharType="separate"/>
        </w:r>
        <w:r w:rsidR="00A71FD1">
          <w:rPr>
            <w:noProof/>
            <w:webHidden/>
          </w:rPr>
          <w:t>180</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69" w:history="1">
        <w:r w:rsidR="00A71FD1" w:rsidRPr="006A2378">
          <w:rPr>
            <w:rStyle w:val="Hyperlink"/>
            <w:noProof/>
          </w:rPr>
          <w:t>Table 4.32a: Weekly earnings before tax by occupation, full-time employees</w:t>
        </w:r>
        <w:r w:rsidR="00A71FD1">
          <w:rPr>
            <w:noProof/>
            <w:webHidden/>
          </w:rPr>
          <w:tab/>
        </w:r>
        <w:r w:rsidR="00A71FD1">
          <w:rPr>
            <w:noProof/>
            <w:webHidden/>
          </w:rPr>
          <w:fldChar w:fldCharType="begin"/>
        </w:r>
        <w:r w:rsidR="00A71FD1">
          <w:rPr>
            <w:noProof/>
            <w:webHidden/>
          </w:rPr>
          <w:instrText xml:space="preserve"> PAGEREF _Toc449955369 \h </w:instrText>
        </w:r>
        <w:r w:rsidR="00A71FD1">
          <w:rPr>
            <w:noProof/>
            <w:webHidden/>
          </w:rPr>
        </w:r>
        <w:r w:rsidR="00A71FD1">
          <w:rPr>
            <w:noProof/>
            <w:webHidden/>
          </w:rPr>
          <w:fldChar w:fldCharType="separate"/>
        </w:r>
        <w:r w:rsidR="00A71FD1">
          <w:rPr>
            <w:noProof/>
            <w:webHidden/>
          </w:rPr>
          <w:t>181</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70" w:history="1">
        <w:r w:rsidR="00A71FD1" w:rsidRPr="006A2378">
          <w:rPr>
            <w:rStyle w:val="Hyperlink"/>
            <w:noProof/>
          </w:rPr>
          <w:t>Table 4.32b: Weekly earnings before tax by occupation, part-time employees</w:t>
        </w:r>
        <w:r w:rsidR="00A71FD1">
          <w:rPr>
            <w:noProof/>
            <w:webHidden/>
          </w:rPr>
          <w:tab/>
        </w:r>
        <w:r w:rsidR="00A71FD1">
          <w:rPr>
            <w:noProof/>
            <w:webHidden/>
          </w:rPr>
          <w:fldChar w:fldCharType="begin"/>
        </w:r>
        <w:r w:rsidR="00A71FD1">
          <w:rPr>
            <w:noProof/>
            <w:webHidden/>
          </w:rPr>
          <w:instrText xml:space="preserve"> PAGEREF _Toc449955370 \h </w:instrText>
        </w:r>
        <w:r w:rsidR="00A71FD1">
          <w:rPr>
            <w:noProof/>
            <w:webHidden/>
          </w:rPr>
        </w:r>
        <w:r w:rsidR="00A71FD1">
          <w:rPr>
            <w:noProof/>
            <w:webHidden/>
          </w:rPr>
          <w:fldChar w:fldCharType="separate"/>
        </w:r>
        <w:r w:rsidR="00A71FD1">
          <w:rPr>
            <w:noProof/>
            <w:webHidden/>
          </w:rPr>
          <w:t>181</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71" w:history="1">
        <w:r w:rsidR="00A71FD1" w:rsidRPr="006A2378">
          <w:rPr>
            <w:rStyle w:val="Hyperlink"/>
            <w:noProof/>
          </w:rPr>
          <w:t>Table 4.33: Last paid job before started working in the disability support sector</w:t>
        </w:r>
        <w:r w:rsidR="00A71FD1">
          <w:rPr>
            <w:noProof/>
            <w:webHidden/>
          </w:rPr>
          <w:tab/>
        </w:r>
        <w:r w:rsidR="00A71FD1">
          <w:rPr>
            <w:noProof/>
            <w:webHidden/>
          </w:rPr>
          <w:fldChar w:fldCharType="begin"/>
        </w:r>
        <w:r w:rsidR="00A71FD1">
          <w:rPr>
            <w:noProof/>
            <w:webHidden/>
          </w:rPr>
          <w:instrText xml:space="preserve"> PAGEREF _Toc449955371 \h </w:instrText>
        </w:r>
        <w:r w:rsidR="00A71FD1">
          <w:rPr>
            <w:noProof/>
            <w:webHidden/>
          </w:rPr>
        </w:r>
        <w:r w:rsidR="00A71FD1">
          <w:rPr>
            <w:noProof/>
            <w:webHidden/>
          </w:rPr>
          <w:fldChar w:fldCharType="separate"/>
        </w:r>
        <w:r w:rsidR="00A71FD1">
          <w:rPr>
            <w:noProof/>
            <w:webHidden/>
          </w:rPr>
          <w:t>182</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72" w:history="1">
        <w:r w:rsidR="00A71FD1" w:rsidRPr="006A2378">
          <w:rPr>
            <w:rStyle w:val="Hyperlink"/>
            <w:noProof/>
          </w:rPr>
          <w:t>Table 4.34: Age at which began working in the disability support sector</w:t>
        </w:r>
        <w:r w:rsidR="00A71FD1">
          <w:rPr>
            <w:noProof/>
            <w:webHidden/>
          </w:rPr>
          <w:tab/>
        </w:r>
        <w:r w:rsidR="00A71FD1">
          <w:rPr>
            <w:noProof/>
            <w:webHidden/>
          </w:rPr>
          <w:fldChar w:fldCharType="begin"/>
        </w:r>
        <w:r w:rsidR="00A71FD1">
          <w:rPr>
            <w:noProof/>
            <w:webHidden/>
          </w:rPr>
          <w:instrText xml:space="preserve"> PAGEREF _Toc449955372 \h </w:instrText>
        </w:r>
        <w:r w:rsidR="00A71FD1">
          <w:rPr>
            <w:noProof/>
            <w:webHidden/>
          </w:rPr>
        </w:r>
        <w:r w:rsidR="00A71FD1">
          <w:rPr>
            <w:noProof/>
            <w:webHidden/>
          </w:rPr>
          <w:fldChar w:fldCharType="separate"/>
        </w:r>
        <w:r w:rsidR="00A71FD1">
          <w:rPr>
            <w:noProof/>
            <w:webHidden/>
          </w:rPr>
          <w:t>182</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73" w:history="1">
        <w:r w:rsidR="00A71FD1" w:rsidRPr="006A2378">
          <w:rPr>
            <w:rStyle w:val="Hyperlink"/>
            <w:noProof/>
          </w:rPr>
          <w:t>Table 4.35: Reasons to work in the disability support sector</w:t>
        </w:r>
        <w:r w:rsidR="00A71FD1">
          <w:rPr>
            <w:noProof/>
            <w:webHidden/>
          </w:rPr>
          <w:tab/>
        </w:r>
        <w:r w:rsidR="00A71FD1">
          <w:rPr>
            <w:noProof/>
            <w:webHidden/>
          </w:rPr>
          <w:fldChar w:fldCharType="begin"/>
        </w:r>
        <w:r w:rsidR="00A71FD1">
          <w:rPr>
            <w:noProof/>
            <w:webHidden/>
          </w:rPr>
          <w:instrText xml:space="preserve"> PAGEREF _Toc449955373 \h </w:instrText>
        </w:r>
        <w:r w:rsidR="00A71FD1">
          <w:rPr>
            <w:noProof/>
            <w:webHidden/>
          </w:rPr>
        </w:r>
        <w:r w:rsidR="00A71FD1">
          <w:rPr>
            <w:noProof/>
            <w:webHidden/>
          </w:rPr>
          <w:fldChar w:fldCharType="separate"/>
        </w:r>
        <w:r w:rsidR="00A71FD1">
          <w:rPr>
            <w:noProof/>
            <w:webHidden/>
          </w:rPr>
          <w:t>183</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74" w:history="1">
        <w:r w:rsidR="00A71FD1" w:rsidRPr="006A2378">
          <w:rPr>
            <w:rStyle w:val="Hyperlink"/>
            <w:noProof/>
          </w:rPr>
          <w:t>Table 4.36: The main reason for leaving one's last job in the disability support sector</w:t>
        </w:r>
        <w:r w:rsidR="00A71FD1">
          <w:rPr>
            <w:noProof/>
            <w:webHidden/>
          </w:rPr>
          <w:tab/>
        </w:r>
        <w:r w:rsidR="00A71FD1">
          <w:rPr>
            <w:noProof/>
            <w:webHidden/>
          </w:rPr>
          <w:fldChar w:fldCharType="begin"/>
        </w:r>
        <w:r w:rsidR="00A71FD1">
          <w:rPr>
            <w:noProof/>
            <w:webHidden/>
          </w:rPr>
          <w:instrText xml:space="preserve"> PAGEREF _Toc449955374 \h </w:instrText>
        </w:r>
        <w:r w:rsidR="00A71FD1">
          <w:rPr>
            <w:noProof/>
            <w:webHidden/>
          </w:rPr>
        </w:r>
        <w:r w:rsidR="00A71FD1">
          <w:rPr>
            <w:noProof/>
            <w:webHidden/>
          </w:rPr>
          <w:fldChar w:fldCharType="separate"/>
        </w:r>
        <w:r w:rsidR="00A71FD1">
          <w:rPr>
            <w:noProof/>
            <w:webHidden/>
          </w:rPr>
          <w:t>183</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75" w:history="1">
        <w:r w:rsidR="00A71FD1" w:rsidRPr="006A2378">
          <w:rPr>
            <w:rStyle w:val="Hyperlink"/>
            <w:noProof/>
          </w:rPr>
          <w:t>Table 4.37: Tenure with current employer and tenure in current job</w:t>
        </w:r>
        <w:r w:rsidR="00A71FD1">
          <w:rPr>
            <w:noProof/>
            <w:webHidden/>
          </w:rPr>
          <w:tab/>
        </w:r>
        <w:r w:rsidR="00A71FD1">
          <w:rPr>
            <w:noProof/>
            <w:webHidden/>
          </w:rPr>
          <w:fldChar w:fldCharType="begin"/>
        </w:r>
        <w:r w:rsidR="00A71FD1">
          <w:rPr>
            <w:noProof/>
            <w:webHidden/>
          </w:rPr>
          <w:instrText xml:space="preserve"> PAGEREF _Toc449955375 \h </w:instrText>
        </w:r>
        <w:r w:rsidR="00A71FD1">
          <w:rPr>
            <w:noProof/>
            <w:webHidden/>
          </w:rPr>
        </w:r>
        <w:r w:rsidR="00A71FD1">
          <w:rPr>
            <w:noProof/>
            <w:webHidden/>
          </w:rPr>
          <w:fldChar w:fldCharType="separate"/>
        </w:r>
        <w:r w:rsidR="00A71FD1">
          <w:rPr>
            <w:noProof/>
            <w:webHidden/>
          </w:rPr>
          <w:t>184</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76" w:history="1">
        <w:r w:rsidR="00A71FD1" w:rsidRPr="006A2378">
          <w:rPr>
            <w:rStyle w:val="Hyperlink"/>
            <w:noProof/>
          </w:rPr>
          <w:t>Table 4.38: Whether actively seeking work with another employer</w:t>
        </w:r>
        <w:r w:rsidR="00A71FD1">
          <w:rPr>
            <w:noProof/>
            <w:webHidden/>
          </w:rPr>
          <w:tab/>
        </w:r>
        <w:r w:rsidR="00A71FD1">
          <w:rPr>
            <w:noProof/>
            <w:webHidden/>
          </w:rPr>
          <w:fldChar w:fldCharType="begin"/>
        </w:r>
        <w:r w:rsidR="00A71FD1">
          <w:rPr>
            <w:noProof/>
            <w:webHidden/>
          </w:rPr>
          <w:instrText xml:space="preserve"> PAGEREF _Toc449955376 \h </w:instrText>
        </w:r>
        <w:r w:rsidR="00A71FD1">
          <w:rPr>
            <w:noProof/>
            <w:webHidden/>
          </w:rPr>
        </w:r>
        <w:r w:rsidR="00A71FD1">
          <w:rPr>
            <w:noProof/>
            <w:webHidden/>
          </w:rPr>
          <w:fldChar w:fldCharType="separate"/>
        </w:r>
        <w:r w:rsidR="00A71FD1">
          <w:rPr>
            <w:noProof/>
            <w:webHidden/>
          </w:rPr>
          <w:t>184</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77" w:history="1">
        <w:r w:rsidR="00A71FD1" w:rsidRPr="006A2378">
          <w:rPr>
            <w:rStyle w:val="Hyperlink"/>
            <w:noProof/>
          </w:rPr>
          <w:t>Table 4.39: Expected activity in 12 months’ time of the disability support workforce</w:t>
        </w:r>
        <w:r w:rsidR="00A71FD1">
          <w:rPr>
            <w:noProof/>
            <w:webHidden/>
          </w:rPr>
          <w:tab/>
        </w:r>
        <w:r w:rsidR="00A71FD1">
          <w:rPr>
            <w:noProof/>
            <w:webHidden/>
          </w:rPr>
          <w:fldChar w:fldCharType="begin"/>
        </w:r>
        <w:r w:rsidR="00A71FD1">
          <w:rPr>
            <w:noProof/>
            <w:webHidden/>
          </w:rPr>
          <w:instrText xml:space="preserve"> PAGEREF _Toc449955377 \h </w:instrText>
        </w:r>
        <w:r w:rsidR="00A71FD1">
          <w:rPr>
            <w:noProof/>
            <w:webHidden/>
          </w:rPr>
        </w:r>
        <w:r w:rsidR="00A71FD1">
          <w:rPr>
            <w:noProof/>
            <w:webHidden/>
          </w:rPr>
          <w:fldChar w:fldCharType="separate"/>
        </w:r>
        <w:r w:rsidR="00A71FD1">
          <w:rPr>
            <w:noProof/>
            <w:webHidden/>
          </w:rPr>
          <w:t>185</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78" w:history="1">
        <w:r w:rsidR="00A71FD1" w:rsidRPr="006A2378">
          <w:rPr>
            <w:rStyle w:val="Hyperlink"/>
            <w:noProof/>
          </w:rPr>
          <w:t xml:space="preserve">Table 4.40: Job satisfaction [1-10 dissatisfied/satisfied scaling] </w:t>
        </w:r>
        <w:r w:rsidR="00A71FD1" w:rsidRPr="006A2378">
          <w:rPr>
            <w:rStyle w:val="Hyperlink"/>
            <w:noProof/>
            <w:lang w:val="en-AU"/>
          </w:rPr>
          <w:t>(per cent)</w:t>
        </w:r>
        <w:r w:rsidR="00A71FD1">
          <w:rPr>
            <w:noProof/>
            <w:webHidden/>
          </w:rPr>
          <w:tab/>
        </w:r>
        <w:r w:rsidR="00A71FD1">
          <w:rPr>
            <w:noProof/>
            <w:webHidden/>
          </w:rPr>
          <w:fldChar w:fldCharType="begin"/>
        </w:r>
        <w:r w:rsidR="00A71FD1">
          <w:rPr>
            <w:noProof/>
            <w:webHidden/>
          </w:rPr>
          <w:instrText xml:space="preserve"> PAGEREF _Toc449955378 \h </w:instrText>
        </w:r>
        <w:r w:rsidR="00A71FD1">
          <w:rPr>
            <w:noProof/>
            <w:webHidden/>
          </w:rPr>
        </w:r>
        <w:r w:rsidR="00A71FD1">
          <w:rPr>
            <w:noProof/>
            <w:webHidden/>
          </w:rPr>
          <w:fldChar w:fldCharType="separate"/>
        </w:r>
        <w:r w:rsidR="00A71FD1">
          <w:rPr>
            <w:noProof/>
            <w:webHidden/>
          </w:rPr>
          <w:t>185</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79" w:history="1">
        <w:r w:rsidR="00A71FD1" w:rsidRPr="006A2378">
          <w:rPr>
            <w:rStyle w:val="Hyperlink"/>
            <w:noProof/>
          </w:rPr>
          <w:t xml:space="preserve">Table 4.41: Opinions about aspects of work </w:t>
        </w:r>
        <w:r w:rsidR="00A71FD1" w:rsidRPr="006A2378">
          <w:rPr>
            <w:rStyle w:val="Hyperlink"/>
            <w:noProof/>
            <w:lang w:val="en-AU"/>
          </w:rPr>
          <w:t>[</w:t>
        </w:r>
        <w:r w:rsidR="00A71FD1" w:rsidRPr="006A2378">
          <w:rPr>
            <w:rStyle w:val="Hyperlink"/>
            <w:noProof/>
          </w:rPr>
          <w:t>1</w:t>
        </w:r>
        <w:r w:rsidR="00A71FD1" w:rsidRPr="006A2378">
          <w:rPr>
            <w:rStyle w:val="Hyperlink"/>
            <w:noProof/>
            <w:lang w:val="en-AU"/>
          </w:rPr>
          <w:t xml:space="preserve"> to </w:t>
        </w:r>
        <w:r w:rsidR="00A71FD1" w:rsidRPr="006A2378">
          <w:rPr>
            <w:rStyle w:val="Hyperlink"/>
            <w:noProof/>
          </w:rPr>
          <w:t>7 disagree/agree scaling</w:t>
        </w:r>
        <w:r w:rsidR="00A71FD1" w:rsidRPr="006A2378">
          <w:rPr>
            <w:rStyle w:val="Hyperlink"/>
            <w:noProof/>
            <w:lang w:val="en-AU"/>
          </w:rPr>
          <w:t>] (per cent)</w:t>
        </w:r>
        <w:r w:rsidR="00A71FD1">
          <w:rPr>
            <w:noProof/>
            <w:webHidden/>
          </w:rPr>
          <w:tab/>
        </w:r>
        <w:r w:rsidR="00A71FD1">
          <w:rPr>
            <w:noProof/>
            <w:webHidden/>
          </w:rPr>
          <w:fldChar w:fldCharType="begin"/>
        </w:r>
        <w:r w:rsidR="00A71FD1">
          <w:rPr>
            <w:noProof/>
            <w:webHidden/>
          </w:rPr>
          <w:instrText xml:space="preserve"> PAGEREF _Toc449955379 \h </w:instrText>
        </w:r>
        <w:r w:rsidR="00A71FD1">
          <w:rPr>
            <w:noProof/>
            <w:webHidden/>
          </w:rPr>
        </w:r>
        <w:r w:rsidR="00A71FD1">
          <w:rPr>
            <w:noProof/>
            <w:webHidden/>
          </w:rPr>
          <w:fldChar w:fldCharType="separate"/>
        </w:r>
        <w:r w:rsidR="00A71FD1">
          <w:rPr>
            <w:noProof/>
            <w:webHidden/>
          </w:rPr>
          <w:t>186</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80" w:history="1">
        <w:r w:rsidR="00A71FD1" w:rsidRPr="006A2378">
          <w:rPr>
            <w:rStyle w:val="Hyperlink"/>
            <w:noProof/>
          </w:rPr>
          <w:t>Table 4.42: Time allocation in current disability support job</w:t>
        </w:r>
        <w:r w:rsidR="00A71FD1">
          <w:rPr>
            <w:noProof/>
            <w:webHidden/>
          </w:rPr>
          <w:tab/>
        </w:r>
        <w:r w:rsidR="00A71FD1">
          <w:rPr>
            <w:noProof/>
            <w:webHidden/>
          </w:rPr>
          <w:fldChar w:fldCharType="begin"/>
        </w:r>
        <w:r w:rsidR="00A71FD1">
          <w:rPr>
            <w:noProof/>
            <w:webHidden/>
          </w:rPr>
          <w:instrText xml:space="preserve"> PAGEREF _Toc449955380 \h </w:instrText>
        </w:r>
        <w:r w:rsidR="00A71FD1">
          <w:rPr>
            <w:noProof/>
            <w:webHidden/>
          </w:rPr>
        </w:r>
        <w:r w:rsidR="00A71FD1">
          <w:rPr>
            <w:noProof/>
            <w:webHidden/>
          </w:rPr>
          <w:fldChar w:fldCharType="separate"/>
        </w:r>
        <w:r w:rsidR="00A71FD1">
          <w:rPr>
            <w:noProof/>
            <w:webHidden/>
          </w:rPr>
          <w:t>186</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81" w:history="1">
        <w:r w:rsidR="00A71FD1" w:rsidRPr="006A2378">
          <w:rPr>
            <w:rStyle w:val="Hyperlink"/>
            <w:noProof/>
          </w:rPr>
          <w:t xml:space="preserve">Table 4.43: Relationship between the following groups in the outlet </w:t>
        </w:r>
        <w:r w:rsidR="00A71FD1" w:rsidRPr="006A2378">
          <w:rPr>
            <w:rStyle w:val="Hyperlink"/>
            <w:noProof/>
            <w:lang w:val="en-AU"/>
          </w:rPr>
          <w:t>[</w:t>
        </w:r>
        <w:r w:rsidR="00A71FD1" w:rsidRPr="006A2378">
          <w:rPr>
            <w:rStyle w:val="Hyperlink"/>
            <w:noProof/>
          </w:rPr>
          <w:t>1 to 7 bad/good scaling</w:t>
        </w:r>
        <w:r w:rsidR="00A71FD1" w:rsidRPr="006A2378">
          <w:rPr>
            <w:rStyle w:val="Hyperlink"/>
            <w:noProof/>
            <w:lang w:val="en-AU"/>
          </w:rPr>
          <w:t>] (per cent)</w:t>
        </w:r>
        <w:r w:rsidR="00A71FD1">
          <w:rPr>
            <w:noProof/>
            <w:webHidden/>
          </w:rPr>
          <w:tab/>
        </w:r>
        <w:r w:rsidR="00A71FD1">
          <w:rPr>
            <w:noProof/>
            <w:webHidden/>
          </w:rPr>
          <w:fldChar w:fldCharType="begin"/>
        </w:r>
        <w:r w:rsidR="00A71FD1">
          <w:rPr>
            <w:noProof/>
            <w:webHidden/>
          </w:rPr>
          <w:instrText xml:space="preserve"> PAGEREF _Toc449955381 \h </w:instrText>
        </w:r>
        <w:r w:rsidR="00A71FD1">
          <w:rPr>
            <w:noProof/>
            <w:webHidden/>
          </w:rPr>
        </w:r>
        <w:r w:rsidR="00A71FD1">
          <w:rPr>
            <w:noProof/>
            <w:webHidden/>
          </w:rPr>
          <w:fldChar w:fldCharType="separate"/>
        </w:r>
        <w:r w:rsidR="00A71FD1">
          <w:rPr>
            <w:noProof/>
            <w:webHidden/>
          </w:rPr>
          <w:t>187</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82" w:history="1">
        <w:r w:rsidR="00A71FD1" w:rsidRPr="006A2378">
          <w:rPr>
            <w:rStyle w:val="Hyperlink"/>
            <w:noProof/>
          </w:rPr>
          <w:t>Table 4.44: Distribution of self-employed providers by state and region</w:t>
        </w:r>
        <w:r w:rsidR="00A71FD1">
          <w:rPr>
            <w:noProof/>
            <w:webHidden/>
          </w:rPr>
          <w:tab/>
        </w:r>
        <w:r w:rsidR="00A71FD1">
          <w:rPr>
            <w:noProof/>
            <w:webHidden/>
          </w:rPr>
          <w:fldChar w:fldCharType="begin"/>
        </w:r>
        <w:r w:rsidR="00A71FD1">
          <w:rPr>
            <w:noProof/>
            <w:webHidden/>
          </w:rPr>
          <w:instrText xml:space="preserve"> PAGEREF _Toc449955382 \h </w:instrText>
        </w:r>
        <w:r w:rsidR="00A71FD1">
          <w:rPr>
            <w:noProof/>
            <w:webHidden/>
          </w:rPr>
        </w:r>
        <w:r w:rsidR="00A71FD1">
          <w:rPr>
            <w:noProof/>
            <w:webHidden/>
          </w:rPr>
          <w:fldChar w:fldCharType="separate"/>
        </w:r>
        <w:r w:rsidR="00A71FD1">
          <w:rPr>
            <w:noProof/>
            <w:webHidden/>
          </w:rPr>
          <w:t>188</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83" w:history="1">
        <w:r w:rsidR="00A71FD1" w:rsidRPr="006A2378">
          <w:rPr>
            <w:rStyle w:val="Hyperlink"/>
            <w:noProof/>
          </w:rPr>
          <w:t>Table 4.45: Number of employees of self-employed providers</w:t>
        </w:r>
        <w:r w:rsidR="00A71FD1">
          <w:rPr>
            <w:noProof/>
            <w:webHidden/>
          </w:rPr>
          <w:tab/>
        </w:r>
        <w:r w:rsidR="00A71FD1">
          <w:rPr>
            <w:noProof/>
            <w:webHidden/>
          </w:rPr>
          <w:fldChar w:fldCharType="begin"/>
        </w:r>
        <w:r w:rsidR="00A71FD1">
          <w:rPr>
            <w:noProof/>
            <w:webHidden/>
          </w:rPr>
          <w:instrText xml:space="preserve"> PAGEREF _Toc449955383 \h </w:instrText>
        </w:r>
        <w:r w:rsidR="00A71FD1">
          <w:rPr>
            <w:noProof/>
            <w:webHidden/>
          </w:rPr>
        </w:r>
        <w:r w:rsidR="00A71FD1">
          <w:rPr>
            <w:noProof/>
            <w:webHidden/>
          </w:rPr>
          <w:fldChar w:fldCharType="separate"/>
        </w:r>
        <w:r w:rsidR="00A71FD1">
          <w:rPr>
            <w:noProof/>
            <w:webHidden/>
          </w:rPr>
          <w:t>189</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84" w:history="1">
        <w:r w:rsidR="00A71FD1" w:rsidRPr="006A2378">
          <w:rPr>
            <w:rStyle w:val="Hyperlink"/>
            <w:noProof/>
          </w:rPr>
          <w:t>Table 4.46: Self-employed DSP types of disability support provided</w:t>
        </w:r>
        <w:r w:rsidR="00A71FD1">
          <w:rPr>
            <w:noProof/>
            <w:webHidden/>
          </w:rPr>
          <w:tab/>
        </w:r>
        <w:r w:rsidR="00A71FD1">
          <w:rPr>
            <w:noProof/>
            <w:webHidden/>
          </w:rPr>
          <w:fldChar w:fldCharType="begin"/>
        </w:r>
        <w:r w:rsidR="00A71FD1">
          <w:rPr>
            <w:noProof/>
            <w:webHidden/>
          </w:rPr>
          <w:instrText xml:space="preserve"> PAGEREF _Toc449955384 \h </w:instrText>
        </w:r>
        <w:r w:rsidR="00A71FD1">
          <w:rPr>
            <w:noProof/>
            <w:webHidden/>
          </w:rPr>
        </w:r>
        <w:r w:rsidR="00A71FD1">
          <w:rPr>
            <w:noProof/>
            <w:webHidden/>
          </w:rPr>
          <w:fldChar w:fldCharType="separate"/>
        </w:r>
        <w:r w:rsidR="00A71FD1">
          <w:rPr>
            <w:noProof/>
            <w:webHidden/>
          </w:rPr>
          <w:t>189</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85" w:history="1">
        <w:r w:rsidR="00A71FD1" w:rsidRPr="006A2378">
          <w:rPr>
            <w:rStyle w:val="Hyperlink"/>
            <w:noProof/>
          </w:rPr>
          <w:t xml:space="preserve">Table 4.47: Primary disability types and ages of the current users of the business's disability supports of self-employed providers </w:t>
        </w:r>
        <w:r w:rsidR="00A71FD1" w:rsidRPr="006A2378">
          <w:rPr>
            <w:rStyle w:val="Hyperlink"/>
            <w:noProof/>
            <w:lang w:val="en-US"/>
          </w:rPr>
          <w:t>(per cent)</w:t>
        </w:r>
        <w:r w:rsidR="00A71FD1">
          <w:rPr>
            <w:noProof/>
            <w:webHidden/>
          </w:rPr>
          <w:tab/>
        </w:r>
        <w:r w:rsidR="00A71FD1">
          <w:rPr>
            <w:noProof/>
            <w:webHidden/>
          </w:rPr>
          <w:fldChar w:fldCharType="begin"/>
        </w:r>
        <w:r w:rsidR="00A71FD1">
          <w:rPr>
            <w:noProof/>
            <w:webHidden/>
          </w:rPr>
          <w:instrText xml:space="preserve"> PAGEREF _Toc449955385 \h </w:instrText>
        </w:r>
        <w:r w:rsidR="00A71FD1">
          <w:rPr>
            <w:noProof/>
            <w:webHidden/>
          </w:rPr>
        </w:r>
        <w:r w:rsidR="00A71FD1">
          <w:rPr>
            <w:noProof/>
            <w:webHidden/>
          </w:rPr>
          <w:fldChar w:fldCharType="separate"/>
        </w:r>
        <w:r w:rsidR="00A71FD1">
          <w:rPr>
            <w:noProof/>
            <w:webHidden/>
          </w:rPr>
          <w:t>190</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86" w:history="1">
        <w:r w:rsidR="00A71FD1" w:rsidRPr="006A2378">
          <w:rPr>
            <w:rStyle w:val="Hyperlink"/>
            <w:noProof/>
          </w:rPr>
          <w:t>Table 4.48: Age distribution of self-employed providers of disability care and supports</w:t>
        </w:r>
        <w:r w:rsidR="00A71FD1">
          <w:rPr>
            <w:noProof/>
            <w:webHidden/>
          </w:rPr>
          <w:tab/>
        </w:r>
        <w:r w:rsidR="00A71FD1">
          <w:rPr>
            <w:noProof/>
            <w:webHidden/>
          </w:rPr>
          <w:fldChar w:fldCharType="begin"/>
        </w:r>
        <w:r w:rsidR="00A71FD1">
          <w:rPr>
            <w:noProof/>
            <w:webHidden/>
          </w:rPr>
          <w:instrText xml:space="preserve"> PAGEREF _Toc449955386 \h </w:instrText>
        </w:r>
        <w:r w:rsidR="00A71FD1">
          <w:rPr>
            <w:noProof/>
            <w:webHidden/>
          </w:rPr>
        </w:r>
        <w:r w:rsidR="00A71FD1">
          <w:rPr>
            <w:noProof/>
            <w:webHidden/>
          </w:rPr>
          <w:fldChar w:fldCharType="separate"/>
        </w:r>
        <w:r w:rsidR="00A71FD1">
          <w:rPr>
            <w:noProof/>
            <w:webHidden/>
          </w:rPr>
          <w:t>190</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87" w:history="1">
        <w:r w:rsidR="00A71FD1" w:rsidRPr="006A2378">
          <w:rPr>
            <w:rStyle w:val="Hyperlink"/>
            <w:noProof/>
          </w:rPr>
          <w:t>Table 4.49: Country of birth self-employed providers of disability care and supports</w:t>
        </w:r>
        <w:r w:rsidR="00A71FD1">
          <w:rPr>
            <w:noProof/>
            <w:webHidden/>
          </w:rPr>
          <w:tab/>
        </w:r>
        <w:r w:rsidR="00A71FD1">
          <w:rPr>
            <w:noProof/>
            <w:webHidden/>
          </w:rPr>
          <w:fldChar w:fldCharType="begin"/>
        </w:r>
        <w:r w:rsidR="00A71FD1">
          <w:rPr>
            <w:noProof/>
            <w:webHidden/>
          </w:rPr>
          <w:instrText xml:space="preserve"> PAGEREF _Toc449955387 \h </w:instrText>
        </w:r>
        <w:r w:rsidR="00A71FD1">
          <w:rPr>
            <w:noProof/>
            <w:webHidden/>
          </w:rPr>
        </w:r>
        <w:r w:rsidR="00A71FD1">
          <w:rPr>
            <w:noProof/>
            <w:webHidden/>
          </w:rPr>
          <w:fldChar w:fldCharType="separate"/>
        </w:r>
        <w:r w:rsidR="00A71FD1">
          <w:rPr>
            <w:noProof/>
            <w:webHidden/>
          </w:rPr>
          <w:t>191</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88" w:history="1">
        <w:r w:rsidR="00A71FD1" w:rsidRPr="006A2378">
          <w:rPr>
            <w:rStyle w:val="Hyperlink"/>
            <w:noProof/>
          </w:rPr>
          <w:t>Table 4.50: Self-reported general health of self-employed providers of disability care and supports</w:t>
        </w:r>
        <w:r w:rsidR="00A71FD1">
          <w:rPr>
            <w:noProof/>
            <w:webHidden/>
          </w:rPr>
          <w:tab/>
        </w:r>
        <w:r w:rsidR="00A71FD1">
          <w:rPr>
            <w:noProof/>
            <w:webHidden/>
          </w:rPr>
          <w:fldChar w:fldCharType="begin"/>
        </w:r>
        <w:r w:rsidR="00A71FD1">
          <w:rPr>
            <w:noProof/>
            <w:webHidden/>
          </w:rPr>
          <w:instrText xml:space="preserve"> PAGEREF _Toc449955388 \h </w:instrText>
        </w:r>
        <w:r w:rsidR="00A71FD1">
          <w:rPr>
            <w:noProof/>
            <w:webHidden/>
          </w:rPr>
        </w:r>
        <w:r w:rsidR="00A71FD1">
          <w:rPr>
            <w:noProof/>
            <w:webHidden/>
          </w:rPr>
          <w:fldChar w:fldCharType="separate"/>
        </w:r>
        <w:r w:rsidR="00A71FD1">
          <w:rPr>
            <w:noProof/>
            <w:webHidden/>
          </w:rPr>
          <w:t>191</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89" w:history="1">
        <w:r w:rsidR="00A71FD1" w:rsidRPr="006A2378">
          <w:rPr>
            <w:rStyle w:val="Hyperlink"/>
            <w:noProof/>
          </w:rPr>
          <w:t>Table 4.51: Level of qualifications completed of self-employed</w:t>
        </w:r>
        <w:r w:rsidR="00A71FD1" w:rsidRPr="006A2378">
          <w:rPr>
            <w:rStyle w:val="Hyperlink"/>
            <w:noProof/>
            <w:lang w:val="en-AU"/>
          </w:rPr>
          <w:t xml:space="preserve"> </w:t>
        </w:r>
        <w:r w:rsidR="00A71FD1" w:rsidRPr="006A2378">
          <w:rPr>
            <w:rStyle w:val="Hyperlink"/>
            <w:noProof/>
          </w:rPr>
          <w:t>providers of disability care and supports</w:t>
        </w:r>
        <w:r w:rsidR="00A71FD1">
          <w:rPr>
            <w:noProof/>
            <w:webHidden/>
          </w:rPr>
          <w:tab/>
        </w:r>
        <w:r w:rsidR="00A71FD1">
          <w:rPr>
            <w:noProof/>
            <w:webHidden/>
          </w:rPr>
          <w:fldChar w:fldCharType="begin"/>
        </w:r>
        <w:r w:rsidR="00A71FD1">
          <w:rPr>
            <w:noProof/>
            <w:webHidden/>
          </w:rPr>
          <w:instrText xml:space="preserve"> PAGEREF _Toc449955389 \h </w:instrText>
        </w:r>
        <w:r w:rsidR="00A71FD1">
          <w:rPr>
            <w:noProof/>
            <w:webHidden/>
          </w:rPr>
        </w:r>
        <w:r w:rsidR="00A71FD1">
          <w:rPr>
            <w:noProof/>
            <w:webHidden/>
          </w:rPr>
          <w:fldChar w:fldCharType="separate"/>
        </w:r>
        <w:r w:rsidR="00A71FD1">
          <w:rPr>
            <w:noProof/>
            <w:webHidden/>
          </w:rPr>
          <w:t>192</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90" w:history="1">
        <w:r w:rsidR="00A71FD1" w:rsidRPr="006A2378">
          <w:rPr>
            <w:rStyle w:val="Hyperlink"/>
            <w:noProof/>
          </w:rPr>
          <w:t>Table 4.52: Field of study of the highest and the most relevant qualification of self-employed providers of disability care and supports</w:t>
        </w:r>
        <w:r w:rsidR="00A71FD1">
          <w:rPr>
            <w:noProof/>
            <w:webHidden/>
          </w:rPr>
          <w:tab/>
        </w:r>
        <w:r w:rsidR="00A71FD1">
          <w:rPr>
            <w:noProof/>
            <w:webHidden/>
          </w:rPr>
          <w:fldChar w:fldCharType="begin"/>
        </w:r>
        <w:r w:rsidR="00A71FD1">
          <w:rPr>
            <w:noProof/>
            <w:webHidden/>
          </w:rPr>
          <w:instrText xml:space="preserve"> PAGEREF _Toc449955390 \h </w:instrText>
        </w:r>
        <w:r w:rsidR="00A71FD1">
          <w:rPr>
            <w:noProof/>
            <w:webHidden/>
          </w:rPr>
        </w:r>
        <w:r w:rsidR="00A71FD1">
          <w:rPr>
            <w:noProof/>
            <w:webHidden/>
          </w:rPr>
          <w:fldChar w:fldCharType="separate"/>
        </w:r>
        <w:r w:rsidR="00A71FD1">
          <w:rPr>
            <w:noProof/>
            <w:webHidden/>
          </w:rPr>
          <w:t>192</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91" w:history="1">
        <w:r w:rsidR="00A71FD1" w:rsidRPr="006A2378">
          <w:rPr>
            <w:rStyle w:val="Hyperlink"/>
            <w:noProof/>
          </w:rPr>
          <w:t>Table 4.53: Self-employed DSP normal weekly working hours in the business</w:t>
        </w:r>
        <w:r w:rsidR="00A71FD1">
          <w:rPr>
            <w:noProof/>
            <w:webHidden/>
          </w:rPr>
          <w:tab/>
        </w:r>
        <w:r w:rsidR="00A71FD1">
          <w:rPr>
            <w:noProof/>
            <w:webHidden/>
          </w:rPr>
          <w:fldChar w:fldCharType="begin"/>
        </w:r>
        <w:r w:rsidR="00A71FD1">
          <w:rPr>
            <w:noProof/>
            <w:webHidden/>
          </w:rPr>
          <w:instrText xml:space="preserve"> PAGEREF _Toc449955391 \h </w:instrText>
        </w:r>
        <w:r w:rsidR="00A71FD1">
          <w:rPr>
            <w:noProof/>
            <w:webHidden/>
          </w:rPr>
        </w:r>
        <w:r w:rsidR="00A71FD1">
          <w:rPr>
            <w:noProof/>
            <w:webHidden/>
          </w:rPr>
          <w:fldChar w:fldCharType="separate"/>
        </w:r>
        <w:r w:rsidR="00A71FD1">
          <w:rPr>
            <w:noProof/>
            <w:webHidden/>
          </w:rPr>
          <w:t>193</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92" w:history="1">
        <w:r w:rsidR="00A71FD1" w:rsidRPr="006A2378">
          <w:rPr>
            <w:rStyle w:val="Hyperlink"/>
            <w:noProof/>
          </w:rPr>
          <w:t>Table 4.54: Self-employed DSP Weekly gross income</w:t>
        </w:r>
        <w:r w:rsidR="00A71FD1">
          <w:rPr>
            <w:noProof/>
            <w:webHidden/>
          </w:rPr>
          <w:tab/>
        </w:r>
        <w:r w:rsidR="00A71FD1">
          <w:rPr>
            <w:noProof/>
            <w:webHidden/>
          </w:rPr>
          <w:fldChar w:fldCharType="begin"/>
        </w:r>
        <w:r w:rsidR="00A71FD1">
          <w:rPr>
            <w:noProof/>
            <w:webHidden/>
          </w:rPr>
          <w:instrText xml:space="preserve"> PAGEREF _Toc449955392 \h </w:instrText>
        </w:r>
        <w:r w:rsidR="00A71FD1">
          <w:rPr>
            <w:noProof/>
            <w:webHidden/>
          </w:rPr>
        </w:r>
        <w:r w:rsidR="00A71FD1">
          <w:rPr>
            <w:noProof/>
            <w:webHidden/>
          </w:rPr>
          <w:fldChar w:fldCharType="separate"/>
        </w:r>
        <w:r w:rsidR="00A71FD1">
          <w:rPr>
            <w:noProof/>
            <w:webHidden/>
          </w:rPr>
          <w:t>193</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93" w:history="1">
        <w:r w:rsidR="00A71FD1" w:rsidRPr="006A2378">
          <w:rPr>
            <w:rStyle w:val="Hyperlink"/>
            <w:noProof/>
          </w:rPr>
          <w:t xml:space="preserve">Table 4.55: Age at which self-employed providers began working in the disability support sector </w:t>
        </w:r>
        <w:r w:rsidR="00A71FD1" w:rsidRPr="006A2378">
          <w:rPr>
            <w:rStyle w:val="Hyperlink"/>
            <w:noProof/>
            <w:lang w:val="en-US"/>
          </w:rPr>
          <w:t>(per cent)</w:t>
        </w:r>
        <w:r w:rsidR="00A71FD1">
          <w:rPr>
            <w:noProof/>
            <w:webHidden/>
          </w:rPr>
          <w:tab/>
        </w:r>
        <w:r w:rsidR="00A71FD1">
          <w:rPr>
            <w:noProof/>
            <w:webHidden/>
          </w:rPr>
          <w:fldChar w:fldCharType="begin"/>
        </w:r>
        <w:r w:rsidR="00A71FD1">
          <w:rPr>
            <w:noProof/>
            <w:webHidden/>
          </w:rPr>
          <w:instrText xml:space="preserve"> PAGEREF _Toc449955393 \h </w:instrText>
        </w:r>
        <w:r w:rsidR="00A71FD1">
          <w:rPr>
            <w:noProof/>
            <w:webHidden/>
          </w:rPr>
        </w:r>
        <w:r w:rsidR="00A71FD1">
          <w:rPr>
            <w:noProof/>
            <w:webHidden/>
          </w:rPr>
          <w:fldChar w:fldCharType="separate"/>
        </w:r>
        <w:r w:rsidR="00A71FD1">
          <w:rPr>
            <w:noProof/>
            <w:webHidden/>
          </w:rPr>
          <w:t>194</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94" w:history="1">
        <w:r w:rsidR="00A71FD1" w:rsidRPr="006A2378">
          <w:rPr>
            <w:rStyle w:val="Hyperlink"/>
            <w:noProof/>
          </w:rPr>
          <w:t>Table 4.56: Total number of years spent working in the disability support sector by self-employed providers</w:t>
        </w:r>
        <w:r w:rsidR="00A71FD1">
          <w:rPr>
            <w:noProof/>
            <w:webHidden/>
          </w:rPr>
          <w:tab/>
        </w:r>
        <w:r w:rsidR="00A71FD1">
          <w:rPr>
            <w:noProof/>
            <w:webHidden/>
          </w:rPr>
          <w:fldChar w:fldCharType="begin"/>
        </w:r>
        <w:r w:rsidR="00A71FD1">
          <w:rPr>
            <w:noProof/>
            <w:webHidden/>
          </w:rPr>
          <w:instrText xml:space="preserve"> PAGEREF _Toc449955394 \h </w:instrText>
        </w:r>
        <w:r w:rsidR="00A71FD1">
          <w:rPr>
            <w:noProof/>
            <w:webHidden/>
          </w:rPr>
        </w:r>
        <w:r w:rsidR="00A71FD1">
          <w:rPr>
            <w:noProof/>
            <w:webHidden/>
          </w:rPr>
          <w:fldChar w:fldCharType="separate"/>
        </w:r>
        <w:r w:rsidR="00A71FD1">
          <w:rPr>
            <w:noProof/>
            <w:webHidden/>
          </w:rPr>
          <w:t>194</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95" w:history="1">
        <w:r w:rsidR="00A71FD1" w:rsidRPr="006A2378">
          <w:rPr>
            <w:rStyle w:val="Hyperlink"/>
            <w:noProof/>
          </w:rPr>
          <w:t>Table 4.57: The main reason for becoming a self-employed provider of disability supports</w:t>
        </w:r>
        <w:r w:rsidR="00A71FD1">
          <w:rPr>
            <w:noProof/>
            <w:webHidden/>
          </w:rPr>
          <w:tab/>
        </w:r>
        <w:r w:rsidR="00A71FD1">
          <w:rPr>
            <w:noProof/>
            <w:webHidden/>
          </w:rPr>
          <w:fldChar w:fldCharType="begin"/>
        </w:r>
        <w:r w:rsidR="00A71FD1">
          <w:rPr>
            <w:noProof/>
            <w:webHidden/>
          </w:rPr>
          <w:instrText xml:space="preserve"> PAGEREF _Toc449955395 \h </w:instrText>
        </w:r>
        <w:r w:rsidR="00A71FD1">
          <w:rPr>
            <w:noProof/>
            <w:webHidden/>
          </w:rPr>
        </w:r>
        <w:r w:rsidR="00A71FD1">
          <w:rPr>
            <w:noProof/>
            <w:webHidden/>
          </w:rPr>
          <w:fldChar w:fldCharType="separate"/>
        </w:r>
        <w:r w:rsidR="00A71FD1">
          <w:rPr>
            <w:noProof/>
            <w:webHidden/>
          </w:rPr>
          <w:t>195</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96" w:history="1">
        <w:r w:rsidR="00A71FD1" w:rsidRPr="006A2378">
          <w:rPr>
            <w:rStyle w:val="Hyperlink"/>
            <w:noProof/>
          </w:rPr>
          <w:t>Table 4.58: Reasons for self-employed providers to work in the disability support sector</w:t>
        </w:r>
        <w:r w:rsidR="00A71FD1">
          <w:rPr>
            <w:noProof/>
            <w:webHidden/>
          </w:rPr>
          <w:tab/>
        </w:r>
        <w:r w:rsidR="00A71FD1">
          <w:rPr>
            <w:noProof/>
            <w:webHidden/>
          </w:rPr>
          <w:fldChar w:fldCharType="begin"/>
        </w:r>
        <w:r w:rsidR="00A71FD1">
          <w:rPr>
            <w:noProof/>
            <w:webHidden/>
          </w:rPr>
          <w:instrText xml:space="preserve"> PAGEREF _Toc449955396 \h </w:instrText>
        </w:r>
        <w:r w:rsidR="00A71FD1">
          <w:rPr>
            <w:noProof/>
            <w:webHidden/>
          </w:rPr>
        </w:r>
        <w:r w:rsidR="00A71FD1">
          <w:rPr>
            <w:noProof/>
            <w:webHidden/>
          </w:rPr>
          <w:fldChar w:fldCharType="separate"/>
        </w:r>
        <w:r w:rsidR="00A71FD1">
          <w:rPr>
            <w:noProof/>
            <w:webHidden/>
          </w:rPr>
          <w:t>195</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97" w:history="1">
        <w:r w:rsidR="00A71FD1" w:rsidRPr="006A2378">
          <w:rPr>
            <w:rStyle w:val="Hyperlink"/>
            <w:noProof/>
          </w:rPr>
          <w:t xml:space="preserve">Table 4.59: Job satisfaction of self-employed providers </w:t>
        </w:r>
        <w:r w:rsidR="00A71FD1" w:rsidRPr="006A2378">
          <w:rPr>
            <w:rStyle w:val="Hyperlink"/>
            <w:noProof/>
            <w:lang w:val="en-AU"/>
          </w:rPr>
          <w:t>[</w:t>
        </w:r>
        <w:r w:rsidR="00A71FD1" w:rsidRPr="006A2378">
          <w:rPr>
            <w:rStyle w:val="Hyperlink"/>
            <w:noProof/>
          </w:rPr>
          <w:t>1</w:t>
        </w:r>
        <w:r w:rsidR="00A71FD1" w:rsidRPr="006A2378">
          <w:rPr>
            <w:rStyle w:val="Hyperlink"/>
            <w:noProof/>
            <w:lang w:val="en-AU"/>
          </w:rPr>
          <w:t xml:space="preserve"> to </w:t>
        </w:r>
        <w:r w:rsidR="00A71FD1" w:rsidRPr="006A2378">
          <w:rPr>
            <w:rStyle w:val="Hyperlink"/>
            <w:noProof/>
          </w:rPr>
          <w:t>10 dissatisfied/satisfied</w:t>
        </w:r>
        <w:r w:rsidR="00A71FD1" w:rsidRPr="006A2378">
          <w:rPr>
            <w:rStyle w:val="Hyperlink"/>
            <w:noProof/>
            <w:lang w:val="en-AU"/>
          </w:rPr>
          <w:t xml:space="preserve"> </w:t>
        </w:r>
        <w:r w:rsidR="00A71FD1" w:rsidRPr="006A2378">
          <w:rPr>
            <w:rStyle w:val="Hyperlink"/>
            <w:noProof/>
          </w:rPr>
          <w:t>scaling</w:t>
        </w:r>
        <w:r w:rsidR="00A71FD1" w:rsidRPr="006A2378">
          <w:rPr>
            <w:rStyle w:val="Hyperlink"/>
            <w:noProof/>
            <w:lang w:val="en-AU"/>
          </w:rPr>
          <w:t>] (per cent)</w:t>
        </w:r>
        <w:r w:rsidR="00A71FD1">
          <w:rPr>
            <w:noProof/>
            <w:webHidden/>
          </w:rPr>
          <w:tab/>
        </w:r>
        <w:r w:rsidR="00A71FD1">
          <w:rPr>
            <w:noProof/>
            <w:webHidden/>
          </w:rPr>
          <w:fldChar w:fldCharType="begin"/>
        </w:r>
        <w:r w:rsidR="00A71FD1">
          <w:rPr>
            <w:noProof/>
            <w:webHidden/>
          </w:rPr>
          <w:instrText xml:space="preserve"> PAGEREF _Toc449955397 \h </w:instrText>
        </w:r>
        <w:r w:rsidR="00A71FD1">
          <w:rPr>
            <w:noProof/>
            <w:webHidden/>
          </w:rPr>
        </w:r>
        <w:r w:rsidR="00A71FD1">
          <w:rPr>
            <w:noProof/>
            <w:webHidden/>
          </w:rPr>
          <w:fldChar w:fldCharType="separate"/>
        </w:r>
        <w:r w:rsidR="00A71FD1">
          <w:rPr>
            <w:noProof/>
            <w:webHidden/>
          </w:rPr>
          <w:t>196</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98" w:history="1">
        <w:r w:rsidR="00A71FD1" w:rsidRPr="006A2378">
          <w:rPr>
            <w:rStyle w:val="Hyperlink"/>
            <w:noProof/>
          </w:rPr>
          <w:t>Table 4.60: Opinions about aspects of work of self-employed providers</w:t>
        </w:r>
        <w:r w:rsidR="00A71FD1">
          <w:rPr>
            <w:noProof/>
            <w:webHidden/>
          </w:rPr>
          <w:tab/>
        </w:r>
        <w:r w:rsidR="00A71FD1">
          <w:rPr>
            <w:noProof/>
            <w:webHidden/>
          </w:rPr>
          <w:fldChar w:fldCharType="begin"/>
        </w:r>
        <w:r w:rsidR="00A71FD1">
          <w:rPr>
            <w:noProof/>
            <w:webHidden/>
          </w:rPr>
          <w:instrText xml:space="preserve"> PAGEREF _Toc449955398 \h </w:instrText>
        </w:r>
        <w:r w:rsidR="00A71FD1">
          <w:rPr>
            <w:noProof/>
            <w:webHidden/>
          </w:rPr>
        </w:r>
        <w:r w:rsidR="00A71FD1">
          <w:rPr>
            <w:noProof/>
            <w:webHidden/>
          </w:rPr>
          <w:fldChar w:fldCharType="separate"/>
        </w:r>
        <w:r w:rsidR="00A71FD1">
          <w:rPr>
            <w:noProof/>
            <w:webHidden/>
          </w:rPr>
          <w:t>197</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399" w:history="1">
        <w:r w:rsidR="00A71FD1" w:rsidRPr="006A2378">
          <w:rPr>
            <w:rStyle w:val="Hyperlink"/>
            <w:noProof/>
            <w:lang w:val="en-AU"/>
          </w:rPr>
          <w:t>[</w:t>
        </w:r>
        <w:r w:rsidR="00A71FD1" w:rsidRPr="006A2378">
          <w:rPr>
            <w:rStyle w:val="Hyperlink"/>
            <w:noProof/>
          </w:rPr>
          <w:t>1</w:t>
        </w:r>
        <w:r w:rsidR="00A71FD1" w:rsidRPr="006A2378">
          <w:rPr>
            <w:rStyle w:val="Hyperlink"/>
            <w:noProof/>
            <w:lang w:val="en-AU"/>
          </w:rPr>
          <w:t xml:space="preserve"> to </w:t>
        </w:r>
        <w:r w:rsidR="00A71FD1" w:rsidRPr="006A2378">
          <w:rPr>
            <w:rStyle w:val="Hyperlink"/>
            <w:noProof/>
          </w:rPr>
          <w:t>7 disagree</w:t>
        </w:r>
        <w:r w:rsidR="00A71FD1" w:rsidRPr="006A2378">
          <w:rPr>
            <w:rStyle w:val="Hyperlink"/>
            <w:noProof/>
            <w:lang w:val="en-AU"/>
          </w:rPr>
          <w:t>/</w:t>
        </w:r>
        <w:r w:rsidR="00A71FD1" w:rsidRPr="006A2378">
          <w:rPr>
            <w:rStyle w:val="Hyperlink"/>
            <w:noProof/>
          </w:rPr>
          <w:t>agree scaling</w:t>
        </w:r>
        <w:r w:rsidR="00A71FD1" w:rsidRPr="006A2378">
          <w:rPr>
            <w:rStyle w:val="Hyperlink"/>
            <w:noProof/>
            <w:lang w:val="en-AU"/>
          </w:rPr>
          <w:t>] (per cent)</w:t>
        </w:r>
        <w:r w:rsidR="00A71FD1">
          <w:rPr>
            <w:noProof/>
            <w:webHidden/>
          </w:rPr>
          <w:tab/>
        </w:r>
        <w:r w:rsidR="00A71FD1">
          <w:rPr>
            <w:noProof/>
            <w:webHidden/>
          </w:rPr>
          <w:fldChar w:fldCharType="begin"/>
        </w:r>
        <w:r w:rsidR="00A71FD1">
          <w:rPr>
            <w:noProof/>
            <w:webHidden/>
          </w:rPr>
          <w:instrText xml:space="preserve"> PAGEREF _Toc449955399 \h </w:instrText>
        </w:r>
        <w:r w:rsidR="00A71FD1">
          <w:rPr>
            <w:noProof/>
            <w:webHidden/>
          </w:rPr>
        </w:r>
        <w:r w:rsidR="00A71FD1">
          <w:rPr>
            <w:noProof/>
            <w:webHidden/>
          </w:rPr>
          <w:fldChar w:fldCharType="separate"/>
        </w:r>
        <w:r w:rsidR="00A71FD1">
          <w:rPr>
            <w:noProof/>
            <w:webHidden/>
          </w:rPr>
          <w:t>197</w:t>
        </w:r>
        <w:r w:rsidR="00A71FD1">
          <w:rPr>
            <w:noProof/>
            <w:webHidden/>
          </w:rPr>
          <w:fldChar w:fldCharType="end"/>
        </w:r>
      </w:hyperlink>
    </w:p>
    <w:p w:rsidR="00A71FD1" w:rsidRDefault="00607746">
      <w:pPr>
        <w:pStyle w:val="TableofFigures"/>
        <w:rPr>
          <w:rFonts w:eastAsiaTheme="minorEastAsia"/>
          <w:noProof/>
          <w:lang w:val="en-AU" w:eastAsia="en-AU"/>
        </w:rPr>
      </w:pPr>
      <w:hyperlink w:anchor="_Toc449955400" w:history="1">
        <w:r w:rsidR="00A71FD1" w:rsidRPr="006A2378">
          <w:rPr>
            <w:rStyle w:val="Hyperlink"/>
            <w:noProof/>
          </w:rPr>
          <w:t>Table 4.61: Time allocation at work of self-employed providers</w:t>
        </w:r>
        <w:r w:rsidR="00A71FD1">
          <w:rPr>
            <w:noProof/>
            <w:webHidden/>
          </w:rPr>
          <w:tab/>
        </w:r>
        <w:r w:rsidR="00A71FD1">
          <w:rPr>
            <w:noProof/>
            <w:webHidden/>
          </w:rPr>
          <w:fldChar w:fldCharType="begin"/>
        </w:r>
        <w:r w:rsidR="00A71FD1">
          <w:rPr>
            <w:noProof/>
            <w:webHidden/>
          </w:rPr>
          <w:instrText xml:space="preserve"> PAGEREF _Toc449955400 \h </w:instrText>
        </w:r>
        <w:r w:rsidR="00A71FD1">
          <w:rPr>
            <w:noProof/>
            <w:webHidden/>
          </w:rPr>
        </w:r>
        <w:r w:rsidR="00A71FD1">
          <w:rPr>
            <w:noProof/>
            <w:webHidden/>
          </w:rPr>
          <w:fldChar w:fldCharType="separate"/>
        </w:r>
        <w:r w:rsidR="00A71FD1">
          <w:rPr>
            <w:noProof/>
            <w:webHidden/>
          </w:rPr>
          <w:t>197</w:t>
        </w:r>
        <w:r w:rsidR="00A71FD1">
          <w:rPr>
            <w:noProof/>
            <w:webHidden/>
          </w:rPr>
          <w:fldChar w:fldCharType="end"/>
        </w:r>
      </w:hyperlink>
    </w:p>
    <w:p w:rsidR="00E55766" w:rsidRPr="00CA3864" w:rsidRDefault="00784A40" w:rsidP="00971FD7">
      <w:pPr>
        <w:pStyle w:val="TOC1"/>
        <w:tabs>
          <w:tab w:val="right" w:leader="dot" w:pos="9072"/>
        </w:tabs>
        <w:rPr>
          <w:rFonts w:cstheme="minorHAnsi"/>
        </w:rPr>
      </w:pPr>
      <w:r>
        <w:rPr>
          <w:rFonts w:cstheme="minorHAnsi"/>
          <w:noProof w:val="0"/>
        </w:rPr>
        <w:fldChar w:fldCharType="end"/>
      </w:r>
    </w:p>
    <w:p w:rsidR="005A644D" w:rsidRPr="00CA3864" w:rsidRDefault="005A644D" w:rsidP="00971FD7">
      <w:pPr>
        <w:tabs>
          <w:tab w:val="right" w:leader="dot" w:pos="9072"/>
          <w:tab w:val="right" w:leader="dot" w:pos="9639"/>
        </w:tabs>
        <w:rPr>
          <w:rFonts w:cstheme="minorHAnsi"/>
        </w:rPr>
      </w:pPr>
    </w:p>
    <w:p w:rsidR="00306280" w:rsidRPr="00CA3864" w:rsidRDefault="00306280" w:rsidP="00971FD7">
      <w:pPr>
        <w:pStyle w:val="TOCHeading"/>
        <w:tabs>
          <w:tab w:val="right" w:leader="dot" w:pos="9072"/>
          <w:tab w:val="right" w:leader="dot" w:pos="9639"/>
        </w:tabs>
      </w:pPr>
      <w:bookmarkStart w:id="6" w:name="_Toc316474807"/>
      <w:bookmarkStart w:id="7" w:name="_Toc316982181"/>
      <w:r w:rsidRPr="00CA3864">
        <w:t>Figures</w:t>
      </w:r>
      <w:bookmarkEnd w:id="6"/>
      <w:bookmarkEnd w:id="7"/>
    </w:p>
    <w:p w:rsidR="00645749" w:rsidRDefault="00784A40">
      <w:pPr>
        <w:pStyle w:val="TableofFigures"/>
        <w:rPr>
          <w:rFonts w:eastAsiaTheme="minorEastAsia"/>
          <w:noProof/>
          <w:lang w:val="en-AU" w:eastAsia="en-AU"/>
        </w:rPr>
      </w:pPr>
      <w:r>
        <w:rPr>
          <w:bCs/>
          <w:iCs/>
        </w:rPr>
        <w:fldChar w:fldCharType="begin"/>
      </w:r>
      <w:r>
        <w:rPr>
          <w:bCs/>
          <w:iCs/>
        </w:rPr>
        <w:instrText xml:space="preserve"> TOC \h \z \t "NILS Figure Title" \c </w:instrText>
      </w:r>
      <w:r>
        <w:rPr>
          <w:bCs/>
          <w:iCs/>
        </w:rPr>
        <w:fldChar w:fldCharType="separate"/>
      </w:r>
      <w:hyperlink w:anchor="_Toc449956364" w:history="1">
        <w:r w:rsidR="00645749" w:rsidRPr="002F7ECC">
          <w:rPr>
            <w:rStyle w:val="Hyperlink"/>
            <w:noProof/>
          </w:rPr>
          <w:t>Figure 1.1: Key Evaluation Questions</w:t>
        </w:r>
        <w:r w:rsidR="00645749">
          <w:rPr>
            <w:noProof/>
            <w:webHidden/>
          </w:rPr>
          <w:tab/>
        </w:r>
        <w:r w:rsidR="00645749">
          <w:rPr>
            <w:noProof/>
            <w:webHidden/>
          </w:rPr>
          <w:fldChar w:fldCharType="begin"/>
        </w:r>
        <w:r w:rsidR="00645749">
          <w:rPr>
            <w:noProof/>
            <w:webHidden/>
          </w:rPr>
          <w:instrText xml:space="preserve"> PAGEREF _Toc449956364 \h </w:instrText>
        </w:r>
        <w:r w:rsidR="00645749">
          <w:rPr>
            <w:noProof/>
            <w:webHidden/>
          </w:rPr>
        </w:r>
        <w:r w:rsidR="00645749">
          <w:rPr>
            <w:noProof/>
            <w:webHidden/>
          </w:rPr>
          <w:fldChar w:fldCharType="separate"/>
        </w:r>
        <w:r w:rsidR="00645749">
          <w:rPr>
            <w:noProof/>
            <w:webHidden/>
          </w:rPr>
          <w:t>19</w:t>
        </w:r>
        <w:r w:rsidR="00645749">
          <w:rPr>
            <w:noProof/>
            <w:webHidden/>
          </w:rPr>
          <w:fldChar w:fldCharType="end"/>
        </w:r>
      </w:hyperlink>
    </w:p>
    <w:p w:rsidR="00645749" w:rsidRDefault="00607746">
      <w:pPr>
        <w:pStyle w:val="TableofFigures"/>
        <w:rPr>
          <w:rFonts w:eastAsiaTheme="minorEastAsia"/>
          <w:noProof/>
          <w:lang w:val="en-AU" w:eastAsia="en-AU"/>
        </w:rPr>
      </w:pPr>
      <w:hyperlink w:anchor="_Toc449956365" w:history="1">
        <w:r w:rsidR="00645749" w:rsidRPr="002F7ECC">
          <w:rPr>
            <w:rStyle w:val="Hyperlink"/>
            <w:noProof/>
          </w:rPr>
          <w:t>Figure 3.1: Number of months since access request to NDIA approved</w:t>
        </w:r>
        <w:r w:rsidR="00645749">
          <w:rPr>
            <w:noProof/>
            <w:webHidden/>
          </w:rPr>
          <w:tab/>
        </w:r>
        <w:r w:rsidR="00645749">
          <w:rPr>
            <w:noProof/>
            <w:webHidden/>
          </w:rPr>
          <w:fldChar w:fldCharType="begin"/>
        </w:r>
        <w:r w:rsidR="00645749">
          <w:rPr>
            <w:noProof/>
            <w:webHidden/>
          </w:rPr>
          <w:instrText xml:space="preserve"> PAGEREF _Toc449956365 \h </w:instrText>
        </w:r>
        <w:r w:rsidR="00645749">
          <w:rPr>
            <w:noProof/>
            <w:webHidden/>
          </w:rPr>
        </w:r>
        <w:r w:rsidR="00645749">
          <w:rPr>
            <w:noProof/>
            <w:webHidden/>
          </w:rPr>
          <w:fldChar w:fldCharType="separate"/>
        </w:r>
        <w:r w:rsidR="00645749">
          <w:rPr>
            <w:noProof/>
            <w:webHidden/>
          </w:rPr>
          <w:t>105</w:t>
        </w:r>
        <w:r w:rsidR="00645749">
          <w:rPr>
            <w:noProof/>
            <w:webHidden/>
          </w:rPr>
          <w:fldChar w:fldCharType="end"/>
        </w:r>
      </w:hyperlink>
    </w:p>
    <w:p w:rsidR="00645749" w:rsidRDefault="00607746">
      <w:pPr>
        <w:pStyle w:val="TableofFigures"/>
        <w:rPr>
          <w:rFonts w:eastAsiaTheme="minorEastAsia"/>
          <w:noProof/>
          <w:lang w:val="en-AU" w:eastAsia="en-AU"/>
        </w:rPr>
      </w:pPr>
      <w:hyperlink w:anchor="_Toc449956366" w:history="1">
        <w:r w:rsidR="00645749" w:rsidRPr="002F7ECC">
          <w:rPr>
            <w:rStyle w:val="Hyperlink"/>
            <w:noProof/>
          </w:rPr>
          <w:t>Figure 3.2: Working hours per week in paid job</w:t>
        </w:r>
        <w:r w:rsidR="00645749">
          <w:rPr>
            <w:noProof/>
            <w:webHidden/>
          </w:rPr>
          <w:tab/>
        </w:r>
        <w:r w:rsidR="00645749">
          <w:rPr>
            <w:noProof/>
            <w:webHidden/>
          </w:rPr>
          <w:fldChar w:fldCharType="begin"/>
        </w:r>
        <w:r w:rsidR="00645749">
          <w:rPr>
            <w:noProof/>
            <w:webHidden/>
          </w:rPr>
          <w:instrText xml:space="preserve"> PAGEREF _Toc449956366 \h </w:instrText>
        </w:r>
        <w:r w:rsidR="00645749">
          <w:rPr>
            <w:noProof/>
            <w:webHidden/>
          </w:rPr>
        </w:r>
        <w:r w:rsidR="00645749">
          <w:rPr>
            <w:noProof/>
            <w:webHidden/>
          </w:rPr>
          <w:fldChar w:fldCharType="separate"/>
        </w:r>
        <w:r w:rsidR="00645749">
          <w:rPr>
            <w:noProof/>
            <w:webHidden/>
          </w:rPr>
          <w:t>117</w:t>
        </w:r>
        <w:r w:rsidR="00645749">
          <w:rPr>
            <w:noProof/>
            <w:webHidden/>
          </w:rPr>
          <w:fldChar w:fldCharType="end"/>
        </w:r>
      </w:hyperlink>
    </w:p>
    <w:p w:rsidR="00645749" w:rsidRDefault="00607746">
      <w:pPr>
        <w:pStyle w:val="TableofFigures"/>
        <w:rPr>
          <w:rFonts w:eastAsiaTheme="minorEastAsia"/>
          <w:noProof/>
          <w:lang w:val="en-AU" w:eastAsia="en-AU"/>
        </w:rPr>
      </w:pPr>
      <w:hyperlink w:anchor="_Toc449956367" w:history="1">
        <w:r w:rsidR="00645749" w:rsidRPr="002F7ECC">
          <w:rPr>
            <w:rStyle w:val="Hyperlink"/>
            <w:noProof/>
          </w:rPr>
          <w:t>Figure 3.3a: How respondent feels</w:t>
        </w:r>
        <w:r w:rsidR="00645749">
          <w:rPr>
            <w:noProof/>
            <w:webHidden/>
          </w:rPr>
          <w:tab/>
        </w:r>
        <w:r w:rsidR="00645749">
          <w:rPr>
            <w:noProof/>
            <w:webHidden/>
          </w:rPr>
          <w:fldChar w:fldCharType="begin"/>
        </w:r>
        <w:r w:rsidR="00645749">
          <w:rPr>
            <w:noProof/>
            <w:webHidden/>
          </w:rPr>
          <w:instrText xml:space="preserve"> PAGEREF _Toc449956367 \h </w:instrText>
        </w:r>
        <w:r w:rsidR="00645749">
          <w:rPr>
            <w:noProof/>
            <w:webHidden/>
          </w:rPr>
        </w:r>
        <w:r w:rsidR="00645749">
          <w:rPr>
            <w:noProof/>
            <w:webHidden/>
          </w:rPr>
          <w:fldChar w:fldCharType="separate"/>
        </w:r>
        <w:r w:rsidR="00645749">
          <w:rPr>
            <w:noProof/>
            <w:webHidden/>
          </w:rPr>
          <w:t>125</w:t>
        </w:r>
        <w:r w:rsidR="00645749">
          <w:rPr>
            <w:noProof/>
            <w:webHidden/>
          </w:rPr>
          <w:fldChar w:fldCharType="end"/>
        </w:r>
      </w:hyperlink>
    </w:p>
    <w:p w:rsidR="00645749" w:rsidRDefault="00607746">
      <w:pPr>
        <w:pStyle w:val="TableofFigures"/>
        <w:rPr>
          <w:rFonts w:eastAsiaTheme="minorEastAsia"/>
          <w:noProof/>
          <w:lang w:val="en-AU" w:eastAsia="en-AU"/>
        </w:rPr>
      </w:pPr>
      <w:hyperlink w:anchor="_Toc449956368" w:history="1">
        <w:r w:rsidR="00645749" w:rsidRPr="002F7ECC">
          <w:rPr>
            <w:rStyle w:val="Hyperlink"/>
            <w:noProof/>
          </w:rPr>
          <w:t>Figure 3.3b: How respondent feels</w:t>
        </w:r>
        <w:r w:rsidR="00645749">
          <w:rPr>
            <w:noProof/>
            <w:webHidden/>
          </w:rPr>
          <w:tab/>
        </w:r>
        <w:r w:rsidR="00645749">
          <w:rPr>
            <w:noProof/>
            <w:webHidden/>
          </w:rPr>
          <w:fldChar w:fldCharType="begin"/>
        </w:r>
        <w:r w:rsidR="00645749">
          <w:rPr>
            <w:noProof/>
            <w:webHidden/>
          </w:rPr>
          <w:instrText xml:space="preserve"> PAGEREF _Toc449956368 \h </w:instrText>
        </w:r>
        <w:r w:rsidR="00645749">
          <w:rPr>
            <w:noProof/>
            <w:webHidden/>
          </w:rPr>
        </w:r>
        <w:r w:rsidR="00645749">
          <w:rPr>
            <w:noProof/>
            <w:webHidden/>
          </w:rPr>
          <w:fldChar w:fldCharType="separate"/>
        </w:r>
        <w:r w:rsidR="00645749">
          <w:rPr>
            <w:noProof/>
            <w:webHidden/>
          </w:rPr>
          <w:t>126</w:t>
        </w:r>
        <w:r w:rsidR="00645749">
          <w:rPr>
            <w:noProof/>
            <w:webHidden/>
          </w:rPr>
          <w:fldChar w:fldCharType="end"/>
        </w:r>
      </w:hyperlink>
    </w:p>
    <w:p w:rsidR="00645749" w:rsidRDefault="00607746">
      <w:pPr>
        <w:pStyle w:val="TableofFigures"/>
        <w:rPr>
          <w:rFonts w:eastAsiaTheme="minorEastAsia"/>
          <w:noProof/>
          <w:lang w:val="en-AU" w:eastAsia="en-AU"/>
        </w:rPr>
      </w:pPr>
      <w:hyperlink w:anchor="_Toc449956369" w:history="1">
        <w:r w:rsidR="00645749" w:rsidRPr="002F7ECC">
          <w:rPr>
            <w:rStyle w:val="Hyperlink"/>
            <w:noProof/>
          </w:rPr>
          <w:t>Figure 3.3c: How respondent feels</w:t>
        </w:r>
        <w:r w:rsidR="00645749">
          <w:rPr>
            <w:noProof/>
            <w:webHidden/>
          </w:rPr>
          <w:tab/>
        </w:r>
        <w:r w:rsidR="00645749">
          <w:rPr>
            <w:noProof/>
            <w:webHidden/>
          </w:rPr>
          <w:fldChar w:fldCharType="begin"/>
        </w:r>
        <w:r w:rsidR="00645749">
          <w:rPr>
            <w:noProof/>
            <w:webHidden/>
          </w:rPr>
          <w:instrText xml:space="preserve"> PAGEREF _Toc449956369 \h </w:instrText>
        </w:r>
        <w:r w:rsidR="00645749">
          <w:rPr>
            <w:noProof/>
            <w:webHidden/>
          </w:rPr>
        </w:r>
        <w:r w:rsidR="00645749">
          <w:rPr>
            <w:noProof/>
            <w:webHidden/>
          </w:rPr>
          <w:fldChar w:fldCharType="separate"/>
        </w:r>
        <w:r w:rsidR="00645749">
          <w:rPr>
            <w:noProof/>
            <w:webHidden/>
          </w:rPr>
          <w:t>126</w:t>
        </w:r>
        <w:r w:rsidR="00645749">
          <w:rPr>
            <w:noProof/>
            <w:webHidden/>
          </w:rPr>
          <w:fldChar w:fldCharType="end"/>
        </w:r>
      </w:hyperlink>
    </w:p>
    <w:p w:rsidR="00645749" w:rsidRDefault="00607746">
      <w:pPr>
        <w:pStyle w:val="TableofFigures"/>
        <w:rPr>
          <w:rFonts w:eastAsiaTheme="minorEastAsia"/>
          <w:noProof/>
          <w:lang w:val="en-AU" w:eastAsia="en-AU"/>
        </w:rPr>
      </w:pPr>
      <w:hyperlink w:anchor="_Toc449956370" w:history="1">
        <w:r w:rsidR="00645749" w:rsidRPr="002F7ECC">
          <w:rPr>
            <w:rStyle w:val="Hyperlink"/>
            <w:noProof/>
          </w:rPr>
          <w:t>Figure 3.3d: How respondent feels</w:t>
        </w:r>
        <w:r w:rsidR="00645749">
          <w:rPr>
            <w:noProof/>
            <w:webHidden/>
          </w:rPr>
          <w:tab/>
        </w:r>
        <w:r w:rsidR="00645749">
          <w:rPr>
            <w:noProof/>
            <w:webHidden/>
          </w:rPr>
          <w:fldChar w:fldCharType="begin"/>
        </w:r>
        <w:r w:rsidR="00645749">
          <w:rPr>
            <w:noProof/>
            <w:webHidden/>
          </w:rPr>
          <w:instrText xml:space="preserve"> PAGEREF _Toc449956370 \h </w:instrText>
        </w:r>
        <w:r w:rsidR="00645749">
          <w:rPr>
            <w:noProof/>
            <w:webHidden/>
          </w:rPr>
        </w:r>
        <w:r w:rsidR="00645749">
          <w:rPr>
            <w:noProof/>
            <w:webHidden/>
          </w:rPr>
          <w:fldChar w:fldCharType="separate"/>
        </w:r>
        <w:r w:rsidR="00645749">
          <w:rPr>
            <w:noProof/>
            <w:webHidden/>
          </w:rPr>
          <w:t>126</w:t>
        </w:r>
        <w:r w:rsidR="00645749">
          <w:rPr>
            <w:noProof/>
            <w:webHidden/>
          </w:rPr>
          <w:fldChar w:fldCharType="end"/>
        </w:r>
      </w:hyperlink>
    </w:p>
    <w:p w:rsidR="00645749" w:rsidRDefault="00607746">
      <w:pPr>
        <w:pStyle w:val="TableofFigures"/>
        <w:rPr>
          <w:rFonts w:eastAsiaTheme="minorEastAsia"/>
          <w:noProof/>
          <w:lang w:val="en-AU" w:eastAsia="en-AU"/>
        </w:rPr>
      </w:pPr>
      <w:hyperlink w:anchor="_Toc449956371" w:history="1">
        <w:r w:rsidR="00645749" w:rsidRPr="002F7ECC">
          <w:rPr>
            <w:rStyle w:val="Hyperlink"/>
            <w:noProof/>
          </w:rPr>
          <w:t>Figure 3.3e: How respondent feels</w:t>
        </w:r>
        <w:r w:rsidR="00645749">
          <w:rPr>
            <w:noProof/>
            <w:webHidden/>
          </w:rPr>
          <w:tab/>
        </w:r>
        <w:r w:rsidR="00645749">
          <w:rPr>
            <w:noProof/>
            <w:webHidden/>
          </w:rPr>
          <w:fldChar w:fldCharType="begin"/>
        </w:r>
        <w:r w:rsidR="00645749">
          <w:rPr>
            <w:noProof/>
            <w:webHidden/>
          </w:rPr>
          <w:instrText xml:space="preserve"> PAGEREF _Toc449956371 \h </w:instrText>
        </w:r>
        <w:r w:rsidR="00645749">
          <w:rPr>
            <w:noProof/>
            <w:webHidden/>
          </w:rPr>
        </w:r>
        <w:r w:rsidR="00645749">
          <w:rPr>
            <w:noProof/>
            <w:webHidden/>
          </w:rPr>
          <w:fldChar w:fldCharType="separate"/>
        </w:r>
        <w:r w:rsidR="00645749">
          <w:rPr>
            <w:noProof/>
            <w:webHidden/>
          </w:rPr>
          <w:t>127</w:t>
        </w:r>
        <w:r w:rsidR="00645749">
          <w:rPr>
            <w:noProof/>
            <w:webHidden/>
          </w:rPr>
          <w:fldChar w:fldCharType="end"/>
        </w:r>
      </w:hyperlink>
    </w:p>
    <w:p w:rsidR="00645749" w:rsidRDefault="00607746">
      <w:pPr>
        <w:pStyle w:val="TableofFigures"/>
        <w:rPr>
          <w:rFonts w:eastAsiaTheme="minorEastAsia"/>
          <w:noProof/>
          <w:lang w:val="en-AU" w:eastAsia="en-AU"/>
        </w:rPr>
      </w:pPr>
      <w:hyperlink w:anchor="_Toc449956372" w:history="1">
        <w:r w:rsidR="00645749" w:rsidRPr="002F7ECC">
          <w:rPr>
            <w:rStyle w:val="Hyperlink"/>
            <w:noProof/>
          </w:rPr>
          <w:t>Figure 3.3f: How respondent feels</w:t>
        </w:r>
        <w:r w:rsidR="00645749">
          <w:rPr>
            <w:noProof/>
            <w:webHidden/>
          </w:rPr>
          <w:tab/>
        </w:r>
        <w:r w:rsidR="00645749">
          <w:rPr>
            <w:noProof/>
            <w:webHidden/>
          </w:rPr>
          <w:fldChar w:fldCharType="begin"/>
        </w:r>
        <w:r w:rsidR="00645749">
          <w:rPr>
            <w:noProof/>
            <w:webHidden/>
          </w:rPr>
          <w:instrText xml:space="preserve"> PAGEREF _Toc449956372 \h </w:instrText>
        </w:r>
        <w:r w:rsidR="00645749">
          <w:rPr>
            <w:noProof/>
            <w:webHidden/>
          </w:rPr>
        </w:r>
        <w:r w:rsidR="00645749">
          <w:rPr>
            <w:noProof/>
            <w:webHidden/>
          </w:rPr>
          <w:fldChar w:fldCharType="separate"/>
        </w:r>
        <w:r w:rsidR="00645749">
          <w:rPr>
            <w:noProof/>
            <w:webHidden/>
          </w:rPr>
          <w:t>127</w:t>
        </w:r>
        <w:r w:rsidR="00645749">
          <w:rPr>
            <w:noProof/>
            <w:webHidden/>
          </w:rPr>
          <w:fldChar w:fldCharType="end"/>
        </w:r>
      </w:hyperlink>
    </w:p>
    <w:p w:rsidR="00645749" w:rsidRDefault="00607746">
      <w:pPr>
        <w:pStyle w:val="TableofFigures"/>
        <w:rPr>
          <w:rFonts w:eastAsiaTheme="minorEastAsia"/>
          <w:noProof/>
          <w:lang w:val="en-AU" w:eastAsia="en-AU"/>
        </w:rPr>
      </w:pPr>
      <w:hyperlink w:anchor="_Toc449956373" w:history="1">
        <w:r w:rsidR="00645749" w:rsidRPr="002F7ECC">
          <w:rPr>
            <w:rStyle w:val="Hyperlink"/>
            <w:noProof/>
          </w:rPr>
          <w:t>Figure 3.4a: Happiness about things in life</w:t>
        </w:r>
        <w:r w:rsidR="00645749">
          <w:rPr>
            <w:noProof/>
            <w:webHidden/>
          </w:rPr>
          <w:tab/>
        </w:r>
        <w:r w:rsidR="00645749">
          <w:rPr>
            <w:noProof/>
            <w:webHidden/>
          </w:rPr>
          <w:fldChar w:fldCharType="begin"/>
        </w:r>
        <w:r w:rsidR="00645749">
          <w:rPr>
            <w:noProof/>
            <w:webHidden/>
          </w:rPr>
          <w:instrText xml:space="preserve"> PAGEREF _Toc449956373 \h </w:instrText>
        </w:r>
        <w:r w:rsidR="00645749">
          <w:rPr>
            <w:noProof/>
            <w:webHidden/>
          </w:rPr>
        </w:r>
        <w:r w:rsidR="00645749">
          <w:rPr>
            <w:noProof/>
            <w:webHidden/>
          </w:rPr>
          <w:fldChar w:fldCharType="separate"/>
        </w:r>
        <w:r w:rsidR="00645749">
          <w:rPr>
            <w:noProof/>
            <w:webHidden/>
          </w:rPr>
          <w:t>128</w:t>
        </w:r>
        <w:r w:rsidR="00645749">
          <w:rPr>
            <w:noProof/>
            <w:webHidden/>
          </w:rPr>
          <w:fldChar w:fldCharType="end"/>
        </w:r>
      </w:hyperlink>
    </w:p>
    <w:p w:rsidR="00645749" w:rsidRDefault="00607746">
      <w:pPr>
        <w:pStyle w:val="TableofFigures"/>
        <w:rPr>
          <w:rFonts w:eastAsiaTheme="minorEastAsia"/>
          <w:noProof/>
          <w:lang w:val="en-AU" w:eastAsia="en-AU"/>
        </w:rPr>
      </w:pPr>
      <w:hyperlink w:anchor="_Toc449956374" w:history="1">
        <w:r w:rsidR="00645749" w:rsidRPr="002F7ECC">
          <w:rPr>
            <w:rStyle w:val="Hyperlink"/>
            <w:noProof/>
          </w:rPr>
          <w:t>Figure 3.4b: Happiness about things in life</w:t>
        </w:r>
        <w:r w:rsidR="00645749">
          <w:rPr>
            <w:noProof/>
            <w:webHidden/>
          </w:rPr>
          <w:tab/>
        </w:r>
        <w:r w:rsidR="00645749">
          <w:rPr>
            <w:noProof/>
            <w:webHidden/>
          </w:rPr>
          <w:fldChar w:fldCharType="begin"/>
        </w:r>
        <w:r w:rsidR="00645749">
          <w:rPr>
            <w:noProof/>
            <w:webHidden/>
          </w:rPr>
          <w:instrText xml:space="preserve"> PAGEREF _Toc449956374 \h </w:instrText>
        </w:r>
        <w:r w:rsidR="00645749">
          <w:rPr>
            <w:noProof/>
            <w:webHidden/>
          </w:rPr>
        </w:r>
        <w:r w:rsidR="00645749">
          <w:rPr>
            <w:noProof/>
            <w:webHidden/>
          </w:rPr>
          <w:fldChar w:fldCharType="separate"/>
        </w:r>
        <w:r w:rsidR="00645749">
          <w:rPr>
            <w:noProof/>
            <w:webHidden/>
          </w:rPr>
          <w:t>128</w:t>
        </w:r>
        <w:r w:rsidR="00645749">
          <w:rPr>
            <w:noProof/>
            <w:webHidden/>
          </w:rPr>
          <w:fldChar w:fldCharType="end"/>
        </w:r>
      </w:hyperlink>
    </w:p>
    <w:p w:rsidR="00645749" w:rsidRDefault="00607746">
      <w:pPr>
        <w:pStyle w:val="TableofFigures"/>
        <w:rPr>
          <w:rFonts w:eastAsiaTheme="minorEastAsia"/>
          <w:noProof/>
          <w:lang w:val="en-AU" w:eastAsia="en-AU"/>
        </w:rPr>
      </w:pPr>
      <w:hyperlink w:anchor="_Toc449956375" w:history="1">
        <w:r w:rsidR="00645749" w:rsidRPr="002F7ECC">
          <w:rPr>
            <w:rStyle w:val="Hyperlink"/>
            <w:noProof/>
          </w:rPr>
          <w:t>Figure 3.4c: Happiness about things in life</w:t>
        </w:r>
        <w:r w:rsidR="00645749">
          <w:rPr>
            <w:noProof/>
            <w:webHidden/>
          </w:rPr>
          <w:tab/>
        </w:r>
        <w:r w:rsidR="00645749">
          <w:rPr>
            <w:noProof/>
            <w:webHidden/>
          </w:rPr>
          <w:fldChar w:fldCharType="begin"/>
        </w:r>
        <w:r w:rsidR="00645749">
          <w:rPr>
            <w:noProof/>
            <w:webHidden/>
          </w:rPr>
          <w:instrText xml:space="preserve"> PAGEREF _Toc449956375 \h </w:instrText>
        </w:r>
        <w:r w:rsidR="00645749">
          <w:rPr>
            <w:noProof/>
            <w:webHidden/>
          </w:rPr>
        </w:r>
        <w:r w:rsidR="00645749">
          <w:rPr>
            <w:noProof/>
            <w:webHidden/>
          </w:rPr>
          <w:fldChar w:fldCharType="separate"/>
        </w:r>
        <w:r w:rsidR="00645749">
          <w:rPr>
            <w:noProof/>
            <w:webHidden/>
          </w:rPr>
          <w:t>129</w:t>
        </w:r>
        <w:r w:rsidR="00645749">
          <w:rPr>
            <w:noProof/>
            <w:webHidden/>
          </w:rPr>
          <w:fldChar w:fldCharType="end"/>
        </w:r>
      </w:hyperlink>
    </w:p>
    <w:p w:rsidR="00645749" w:rsidRDefault="00607746">
      <w:pPr>
        <w:pStyle w:val="TableofFigures"/>
        <w:rPr>
          <w:rFonts w:eastAsiaTheme="minorEastAsia"/>
          <w:noProof/>
          <w:lang w:val="en-AU" w:eastAsia="en-AU"/>
        </w:rPr>
      </w:pPr>
      <w:hyperlink w:anchor="_Toc449956376" w:history="1">
        <w:r w:rsidR="00645749" w:rsidRPr="002F7ECC">
          <w:rPr>
            <w:rStyle w:val="Hyperlink"/>
            <w:noProof/>
          </w:rPr>
          <w:t>Figure 3.4d: Happiness about things in life</w:t>
        </w:r>
        <w:r w:rsidR="00645749">
          <w:rPr>
            <w:noProof/>
            <w:webHidden/>
          </w:rPr>
          <w:tab/>
        </w:r>
        <w:r w:rsidR="00645749">
          <w:rPr>
            <w:noProof/>
            <w:webHidden/>
          </w:rPr>
          <w:fldChar w:fldCharType="begin"/>
        </w:r>
        <w:r w:rsidR="00645749">
          <w:rPr>
            <w:noProof/>
            <w:webHidden/>
          </w:rPr>
          <w:instrText xml:space="preserve"> PAGEREF _Toc449956376 \h </w:instrText>
        </w:r>
        <w:r w:rsidR="00645749">
          <w:rPr>
            <w:noProof/>
            <w:webHidden/>
          </w:rPr>
        </w:r>
        <w:r w:rsidR="00645749">
          <w:rPr>
            <w:noProof/>
            <w:webHidden/>
          </w:rPr>
          <w:fldChar w:fldCharType="separate"/>
        </w:r>
        <w:r w:rsidR="00645749">
          <w:rPr>
            <w:noProof/>
            <w:webHidden/>
          </w:rPr>
          <w:t>129</w:t>
        </w:r>
        <w:r w:rsidR="00645749">
          <w:rPr>
            <w:noProof/>
            <w:webHidden/>
          </w:rPr>
          <w:fldChar w:fldCharType="end"/>
        </w:r>
      </w:hyperlink>
    </w:p>
    <w:p w:rsidR="00645749" w:rsidRDefault="00607746">
      <w:pPr>
        <w:pStyle w:val="TableofFigures"/>
        <w:rPr>
          <w:rFonts w:eastAsiaTheme="minorEastAsia"/>
          <w:noProof/>
          <w:lang w:val="en-AU" w:eastAsia="en-AU"/>
        </w:rPr>
      </w:pPr>
      <w:hyperlink w:anchor="_Toc449956377" w:history="1">
        <w:r w:rsidR="00645749" w:rsidRPr="002F7ECC">
          <w:rPr>
            <w:rStyle w:val="Hyperlink"/>
            <w:noProof/>
          </w:rPr>
          <w:t>Figure 3.4e: Happiness about things in life</w:t>
        </w:r>
        <w:r w:rsidR="00645749">
          <w:rPr>
            <w:noProof/>
            <w:webHidden/>
          </w:rPr>
          <w:tab/>
        </w:r>
        <w:r w:rsidR="00645749">
          <w:rPr>
            <w:noProof/>
            <w:webHidden/>
          </w:rPr>
          <w:fldChar w:fldCharType="begin"/>
        </w:r>
        <w:r w:rsidR="00645749">
          <w:rPr>
            <w:noProof/>
            <w:webHidden/>
          </w:rPr>
          <w:instrText xml:space="preserve"> PAGEREF _Toc449956377 \h </w:instrText>
        </w:r>
        <w:r w:rsidR="00645749">
          <w:rPr>
            <w:noProof/>
            <w:webHidden/>
          </w:rPr>
        </w:r>
        <w:r w:rsidR="00645749">
          <w:rPr>
            <w:noProof/>
            <w:webHidden/>
          </w:rPr>
          <w:fldChar w:fldCharType="separate"/>
        </w:r>
        <w:r w:rsidR="00645749">
          <w:rPr>
            <w:noProof/>
            <w:webHidden/>
          </w:rPr>
          <w:t>129</w:t>
        </w:r>
        <w:r w:rsidR="00645749">
          <w:rPr>
            <w:noProof/>
            <w:webHidden/>
          </w:rPr>
          <w:fldChar w:fldCharType="end"/>
        </w:r>
      </w:hyperlink>
    </w:p>
    <w:p w:rsidR="00645749" w:rsidRDefault="00607746">
      <w:pPr>
        <w:pStyle w:val="TableofFigures"/>
        <w:rPr>
          <w:rFonts w:eastAsiaTheme="minorEastAsia"/>
          <w:noProof/>
          <w:lang w:val="en-AU" w:eastAsia="en-AU"/>
        </w:rPr>
      </w:pPr>
      <w:hyperlink w:anchor="_Toc449956378" w:history="1">
        <w:r w:rsidR="00645749" w:rsidRPr="002F7ECC">
          <w:rPr>
            <w:rStyle w:val="Hyperlink"/>
            <w:noProof/>
          </w:rPr>
          <w:t>Figure 3.4f: Happiness about things in life</w:t>
        </w:r>
        <w:r w:rsidR="00645749">
          <w:rPr>
            <w:noProof/>
            <w:webHidden/>
          </w:rPr>
          <w:tab/>
        </w:r>
        <w:r w:rsidR="00645749">
          <w:rPr>
            <w:noProof/>
            <w:webHidden/>
          </w:rPr>
          <w:fldChar w:fldCharType="begin"/>
        </w:r>
        <w:r w:rsidR="00645749">
          <w:rPr>
            <w:noProof/>
            <w:webHidden/>
          </w:rPr>
          <w:instrText xml:space="preserve"> PAGEREF _Toc449956378 \h </w:instrText>
        </w:r>
        <w:r w:rsidR="00645749">
          <w:rPr>
            <w:noProof/>
            <w:webHidden/>
          </w:rPr>
        </w:r>
        <w:r w:rsidR="00645749">
          <w:rPr>
            <w:noProof/>
            <w:webHidden/>
          </w:rPr>
          <w:fldChar w:fldCharType="separate"/>
        </w:r>
        <w:r w:rsidR="00645749">
          <w:rPr>
            <w:noProof/>
            <w:webHidden/>
          </w:rPr>
          <w:t>130</w:t>
        </w:r>
        <w:r w:rsidR="00645749">
          <w:rPr>
            <w:noProof/>
            <w:webHidden/>
          </w:rPr>
          <w:fldChar w:fldCharType="end"/>
        </w:r>
      </w:hyperlink>
    </w:p>
    <w:p w:rsidR="00645749" w:rsidRDefault="00607746">
      <w:pPr>
        <w:pStyle w:val="TableofFigures"/>
        <w:rPr>
          <w:rFonts w:eastAsiaTheme="minorEastAsia"/>
          <w:noProof/>
          <w:lang w:val="en-AU" w:eastAsia="en-AU"/>
        </w:rPr>
      </w:pPr>
      <w:hyperlink w:anchor="_Toc449956379" w:history="1">
        <w:r w:rsidR="00645749" w:rsidRPr="002F7ECC">
          <w:rPr>
            <w:rStyle w:val="Hyperlink"/>
            <w:noProof/>
          </w:rPr>
          <w:t>Figure 3.4g: Happiness about things in life</w:t>
        </w:r>
        <w:r w:rsidR="00645749">
          <w:rPr>
            <w:noProof/>
            <w:webHidden/>
          </w:rPr>
          <w:tab/>
        </w:r>
        <w:r w:rsidR="00645749">
          <w:rPr>
            <w:noProof/>
            <w:webHidden/>
          </w:rPr>
          <w:fldChar w:fldCharType="begin"/>
        </w:r>
        <w:r w:rsidR="00645749">
          <w:rPr>
            <w:noProof/>
            <w:webHidden/>
          </w:rPr>
          <w:instrText xml:space="preserve"> PAGEREF _Toc449956379 \h </w:instrText>
        </w:r>
        <w:r w:rsidR="00645749">
          <w:rPr>
            <w:noProof/>
            <w:webHidden/>
          </w:rPr>
        </w:r>
        <w:r w:rsidR="00645749">
          <w:rPr>
            <w:noProof/>
            <w:webHidden/>
          </w:rPr>
          <w:fldChar w:fldCharType="separate"/>
        </w:r>
        <w:r w:rsidR="00645749">
          <w:rPr>
            <w:noProof/>
            <w:webHidden/>
          </w:rPr>
          <w:t>130</w:t>
        </w:r>
        <w:r w:rsidR="00645749">
          <w:rPr>
            <w:noProof/>
            <w:webHidden/>
          </w:rPr>
          <w:fldChar w:fldCharType="end"/>
        </w:r>
      </w:hyperlink>
    </w:p>
    <w:p w:rsidR="00645749" w:rsidRDefault="00607746">
      <w:pPr>
        <w:pStyle w:val="TableofFigures"/>
        <w:rPr>
          <w:rFonts w:eastAsiaTheme="minorEastAsia"/>
          <w:noProof/>
          <w:lang w:val="en-AU" w:eastAsia="en-AU"/>
        </w:rPr>
      </w:pPr>
      <w:hyperlink w:anchor="_Toc449956380" w:history="1">
        <w:r w:rsidR="00645749" w:rsidRPr="002F7ECC">
          <w:rPr>
            <w:rStyle w:val="Hyperlink"/>
            <w:noProof/>
          </w:rPr>
          <w:t>Figure 3.5a: Support from others</w:t>
        </w:r>
        <w:r w:rsidR="00645749">
          <w:rPr>
            <w:noProof/>
            <w:webHidden/>
          </w:rPr>
          <w:tab/>
        </w:r>
        <w:r w:rsidR="00645749">
          <w:rPr>
            <w:noProof/>
            <w:webHidden/>
          </w:rPr>
          <w:fldChar w:fldCharType="begin"/>
        </w:r>
        <w:r w:rsidR="00645749">
          <w:rPr>
            <w:noProof/>
            <w:webHidden/>
          </w:rPr>
          <w:instrText xml:space="preserve"> PAGEREF _Toc449956380 \h </w:instrText>
        </w:r>
        <w:r w:rsidR="00645749">
          <w:rPr>
            <w:noProof/>
            <w:webHidden/>
          </w:rPr>
        </w:r>
        <w:r w:rsidR="00645749">
          <w:rPr>
            <w:noProof/>
            <w:webHidden/>
          </w:rPr>
          <w:fldChar w:fldCharType="separate"/>
        </w:r>
        <w:r w:rsidR="00645749">
          <w:rPr>
            <w:noProof/>
            <w:webHidden/>
          </w:rPr>
          <w:t>131</w:t>
        </w:r>
        <w:r w:rsidR="00645749">
          <w:rPr>
            <w:noProof/>
            <w:webHidden/>
          </w:rPr>
          <w:fldChar w:fldCharType="end"/>
        </w:r>
      </w:hyperlink>
    </w:p>
    <w:p w:rsidR="00645749" w:rsidRDefault="00607746">
      <w:pPr>
        <w:pStyle w:val="TableofFigures"/>
        <w:rPr>
          <w:rFonts w:eastAsiaTheme="minorEastAsia"/>
          <w:noProof/>
          <w:lang w:val="en-AU" w:eastAsia="en-AU"/>
        </w:rPr>
      </w:pPr>
      <w:hyperlink w:anchor="_Toc449956381" w:history="1">
        <w:r w:rsidR="00645749" w:rsidRPr="002F7ECC">
          <w:rPr>
            <w:rStyle w:val="Hyperlink"/>
            <w:noProof/>
          </w:rPr>
          <w:t>Figure 3.5b: Support from others</w:t>
        </w:r>
        <w:r w:rsidR="00645749">
          <w:rPr>
            <w:noProof/>
            <w:webHidden/>
          </w:rPr>
          <w:tab/>
        </w:r>
        <w:r w:rsidR="00645749">
          <w:rPr>
            <w:noProof/>
            <w:webHidden/>
          </w:rPr>
          <w:fldChar w:fldCharType="begin"/>
        </w:r>
        <w:r w:rsidR="00645749">
          <w:rPr>
            <w:noProof/>
            <w:webHidden/>
          </w:rPr>
          <w:instrText xml:space="preserve"> PAGEREF _Toc449956381 \h </w:instrText>
        </w:r>
        <w:r w:rsidR="00645749">
          <w:rPr>
            <w:noProof/>
            <w:webHidden/>
          </w:rPr>
        </w:r>
        <w:r w:rsidR="00645749">
          <w:rPr>
            <w:noProof/>
            <w:webHidden/>
          </w:rPr>
          <w:fldChar w:fldCharType="separate"/>
        </w:r>
        <w:r w:rsidR="00645749">
          <w:rPr>
            <w:noProof/>
            <w:webHidden/>
          </w:rPr>
          <w:t>131</w:t>
        </w:r>
        <w:r w:rsidR="00645749">
          <w:rPr>
            <w:noProof/>
            <w:webHidden/>
          </w:rPr>
          <w:fldChar w:fldCharType="end"/>
        </w:r>
      </w:hyperlink>
    </w:p>
    <w:p w:rsidR="00645749" w:rsidRDefault="00607746">
      <w:pPr>
        <w:pStyle w:val="TableofFigures"/>
        <w:rPr>
          <w:rFonts w:eastAsiaTheme="minorEastAsia"/>
          <w:noProof/>
          <w:lang w:val="en-AU" w:eastAsia="en-AU"/>
        </w:rPr>
      </w:pPr>
      <w:hyperlink w:anchor="_Toc449956382" w:history="1">
        <w:r w:rsidR="00645749" w:rsidRPr="002F7ECC">
          <w:rPr>
            <w:rStyle w:val="Hyperlink"/>
            <w:noProof/>
          </w:rPr>
          <w:t>Figure 3.5c: Support from others</w:t>
        </w:r>
        <w:r w:rsidR="00645749">
          <w:rPr>
            <w:noProof/>
            <w:webHidden/>
          </w:rPr>
          <w:tab/>
        </w:r>
        <w:r w:rsidR="00645749">
          <w:rPr>
            <w:noProof/>
            <w:webHidden/>
          </w:rPr>
          <w:fldChar w:fldCharType="begin"/>
        </w:r>
        <w:r w:rsidR="00645749">
          <w:rPr>
            <w:noProof/>
            <w:webHidden/>
          </w:rPr>
          <w:instrText xml:space="preserve"> PAGEREF _Toc449956382 \h </w:instrText>
        </w:r>
        <w:r w:rsidR="00645749">
          <w:rPr>
            <w:noProof/>
            <w:webHidden/>
          </w:rPr>
        </w:r>
        <w:r w:rsidR="00645749">
          <w:rPr>
            <w:noProof/>
            <w:webHidden/>
          </w:rPr>
          <w:fldChar w:fldCharType="separate"/>
        </w:r>
        <w:r w:rsidR="00645749">
          <w:rPr>
            <w:noProof/>
            <w:webHidden/>
          </w:rPr>
          <w:t>131</w:t>
        </w:r>
        <w:r w:rsidR="00645749">
          <w:rPr>
            <w:noProof/>
            <w:webHidden/>
          </w:rPr>
          <w:fldChar w:fldCharType="end"/>
        </w:r>
      </w:hyperlink>
    </w:p>
    <w:p w:rsidR="00645749" w:rsidRDefault="00607746">
      <w:pPr>
        <w:pStyle w:val="TableofFigures"/>
        <w:rPr>
          <w:rFonts w:eastAsiaTheme="minorEastAsia"/>
          <w:noProof/>
          <w:lang w:val="en-AU" w:eastAsia="en-AU"/>
        </w:rPr>
      </w:pPr>
      <w:hyperlink w:anchor="_Toc449956383" w:history="1">
        <w:r w:rsidR="00645749" w:rsidRPr="002F7ECC">
          <w:rPr>
            <w:rStyle w:val="Hyperlink"/>
            <w:noProof/>
          </w:rPr>
          <w:t>Figure 3.5d: Support from others</w:t>
        </w:r>
        <w:r w:rsidR="00645749">
          <w:rPr>
            <w:noProof/>
            <w:webHidden/>
          </w:rPr>
          <w:tab/>
        </w:r>
        <w:r w:rsidR="00645749">
          <w:rPr>
            <w:noProof/>
            <w:webHidden/>
          </w:rPr>
          <w:fldChar w:fldCharType="begin"/>
        </w:r>
        <w:r w:rsidR="00645749">
          <w:rPr>
            <w:noProof/>
            <w:webHidden/>
          </w:rPr>
          <w:instrText xml:space="preserve"> PAGEREF _Toc449956383 \h </w:instrText>
        </w:r>
        <w:r w:rsidR="00645749">
          <w:rPr>
            <w:noProof/>
            <w:webHidden/>
          </w:rPr>
        </w:r>
        <w:r w:rsidR="00645749">
          <w:rPr>
            <w:noProof/>
            <w:webHidden/>
          </w:rPr>
          <w:fldChar w:fldCharType="separate"/>
        </w:r>
        <w:r w:rsidR="00645749">
          <w:rPr>
            <w:noProof/>
            <w:webHidden/>
          </w:rPr>
          <w:t>132</w:t>
        </w:r>
        <w:r w:rsidR="00645749">
          <w:rPr>
            <w:noProof/>
            <w:webHidden/>
          </w:rPr>
          <w:fldChar w:fldCharType="end"/>
        </w:r>
      </w:hyperlink>
    </w:p>
    <w:p w:rsidR="00645749" w:rsidRDefault="00607746">
      <w:pPr>
        <w:pStyle w:val="TableofFigures"/>
        <w:rPr>
          <w:rFonts w:eastAsiaTheme="minorEastAsia"/>
          <w:noProof/>
          <w:lang w:val="en-AU" w:eastAsia="en-AU"/>
        </w:rPr>
      </w:pPr>
      <w:hyperlink w:anchor="_Toc449956384" w:history="1">
        <w:r w:rsidR="00645749" w:rsidRPr="002F7ECC">
          <w:rPr>
            <w:rStyle w:val="Hyperlink"/>
            <w:noProof/>
          </w:rPr>
          <w:t>Figure 3.5e: Support from others</w:t>
        </w:r>
        <w:r w:rsidR="00645749">
          <w:rPr>
            <w:noProof/>
            <w:webHidden/>
          </w:rPr>
          <w:tab/>
        </w:r>
        <w:r w:rsidR="00645749">
          <w:rPr>
            <w:noProof/>
            <w:webHidden/>
          </w:rPr>
          <w:fldChar w:fldCharType="begin"/>
        </w:r>
        <w:r w:rsidR="00645749">
          <w:rPr>
            <w:noProof/>
            <w:webHidden/>
          </w:rPr>
          <w:instrText xml:space="preserve"> PAGEREF _Toc449956384 \h </w:instrText>
        </w:r>
        <w:r w:rsidR="00645749">
          <w:rPr>
            <w:noProof/>
            <w:webHidden/>
          </w:rPr>
        </w:r>
        <w:r w:rsidR="00645749">
          <w:rPr>
            <w:noProof/>
            <w:webHidden/>
          </w:rPr>
          <w:fldChar w:fldCharType="separate"/>
        </w:r>
        <w:r w:rsidR="00645749">
          <w:rPr>
            <w:noProof/>
            <w:webHidden/>
          </w:rPr>
          <w:t>132</w:t>
        </w:r>
        <w:r w:rsidR="00645749">
          <w:rPr>
            <w:noProof/>
            <w:webHidden/>
          </w:rPr>
          <w:fldChar w:fldCharType="end"/>
        </w:r>
      </w:hyperlink>
    </w:p>
    <w:p w:rsidR="00206C1D" w:rsidRDefault="00784A40" w:rsidP="00424CB0">
      <w:pPr>
        <w:pStyle w:val="Heading1"/>
        <w:tabs>
          <w:tab w:val="right" w:leader="dot" w:pos="9639"/>
        </w:tabs>
        <w:sectPr w:rsidR="00206C1D" w:rsidSect="007B3733">
          <w:headerReference w:type="default" r:id="rId12"/>
          <w:footerReference w:type="even" r:id="rId13"/>
          <w:footerReference w:type="default" r:id="rId14"/>
          <w:footerReference w:type="first" r:id="rId15"/>
          <w:pgSz w:w="11906" w:h="16838" w:code="9"/>
          <w:pgMar w:top="1418" w:right="849" w:bottom="1247" w:left="1418" w:header="709" w:footer="709" w:gutter="0"/>
          <w:pgNumType w:fmt="lowerRoman" w:start="1" w:chapStyle="1"/>
          <w:cols w:space="709"/>
          <w:titlePg/>
        </w:sectPr>
      </w:pPr>
      <w:r>
        <w:fldChar w:fldCharType="end"/>
      </w:r>
      <w:bookmarkEnd w:id="2"/>
      <w:bookmarkEnd w:id="3"/>
    </w:p>
    <w:p w:rsidR="00D907AF" w:rsidRDefault="00D907AF" w:rsidP="00367B24">
      <w:pPr>
        <w:pStyle w:val="Heading1"/>
      </w:pPr>
      <w:bookmarkStart w:id="8" w:name="_Toc447020931"/>
      <w:bookmarkStart w:id="9" w:name="_Toc449954935"/>
      <w:r w:rsidRPr="00367B24">
        <w:lastRenderedPageBreak/>
        <w:t>Executive Summary</w:t>
      </w:r>
      <w:bookmarkEnd w:id="8"/>
      <w:bookmarkEnd w:id="9"/>
    </w:p>
    <w:p w:rsidR="004B5DB1" w:rsidRPr="00B92A70" w:rsidRDefault="004B5DB1" w:rsidP="00B92A70">
      <w:pPr>
        <w:spacing w:after="240"/>
        <w:rPr>
          <w:b/>
        </w:rPr>
      </w:pPr>
      <w:r w:rsidRPr="00B92A70">
        <w:rPr>
          <w:b/>
        </w:rPr>
        <w:t>Background</w:t>
      </w:r>
    </w:p>
    <w:p w:rsidR="000F7D0B" w:rsidRDefault="000F7D0B" w:rsidP="00E145B4">
      <w:r>
        <w:t xml:space="preserve">In August 2011, the Australian Productivity Commission released its landmark report on </w:t>
      </w:r>
      <w:r w:rsidR="00EB235F">
        <w:t>d</w:t>
      </w:r>
      <w:r>
        <w:t xml:space="preserve">isability </w:t>
      </w:r>
      <w:r w:rsidR="00EB235F">
        <w:t>c</w:t>
      </w:r>
      <w:r>
        <w:t xml:space="preserve">are and </w:t>
      </w:r>
      <w:r w:rsidR="00EB235F">
        <w:t>s</w:t>
      </w:r>
      <w:r>
        <w:t>upport. The report was highly critical of the Australian care and support available to people with disability and their families and carers</w:t>
      </w:r>
      <w:r w:rsidR="00E50F1F">
        <w:t xml:space="preserve"> and argued for the need for deep and far reaching change</w:t>
      </w:r>
      <w:r>
        <w:t xml:space="preserve">. The main recommendation of the report was the setting up of a national insurance scheme in order to improve the quality and enhance the equity of disability service provisions across Australia. A series of Council of Australian Government (COAG) agreements were reached between the </w:t>
      </w:r>
      <w:r w:rsidR="003F777B">
        <w:t xml:space="preserve">Australian </w:t>
      </w:r>
      <w:r>
        <w:t xml:space="preserve">and state </w:t>
      </w:r>
      <w:r w:rsidR="003F777B">
        <w:t xml:space="preserve">and territory </w:t>
      </w:r>
      <w:r>
        <w:t>governments and formalised transition arrangements from the old system to the new N</w:t>
      </w:r>
      <w:r w:rsidR="009C67F5">
        <w:t xml:space="preserve">ational </w:t>
      </w:r>
      <w:r>
        <w:t>D</w:t>
      </w:r>
      <w:r w:rsidR="009C67F5">
        <w:t xml:space="preserve">isability </w:t>
      </w:r>
      <w:r>
        <w:t>I</w:t>
      </w:r>
      <w:r w:rsidR="009C67F5">
        <w:t xml:space="preserve">nsurance </w:t>
      </w:r>
      <w:r>
        <w:t>S</w:t>
      </w:r>
      <w:r w:rsidR="009C67F5">
        <w:t>cheme (NDIS)</w:t>
      </w:r>
      <w:r>
        <w:t>.</w:t>
      </w:r>
      <w:r w:rsidR="009C67F5">
        <w:t xml:space="preserve"> </w:t>
      </w:r>
      <w:r w:rsidR="00282D11">
        <w:t>T</w:t>
      </w:r>
      <w:r w:rsidR="00282D11" w:rsidRPr="00282D11">
        <w:t>he Intergovernmental Agreement (IGA) for NDIS Launch was signed by the Commonwealth and all States and Territories at the Council of Australian Governments meeting on 7 December 2012.</w:t>
      </w:r>
      <w:r w:rsidR="009C67F5">
        <w:t xml:space="preserve">The </w:t>
      </w:r>
      <w:r w:rsidR="009C67F5" w:rsidRPr="004A1DAF">
        <w:rPr>
          <w:i/>
        </w:rPr>
        <w:t>National Disability Insurance Scheme Act 2013</w:t>
      </w:r>
      <w:r w:rsidR="009C67F5">
        <w:t xml:space="preserve"> established the National Disability Insurance Agency (NDIA) </w:t>
      </w:r>
      <w:r w:rsidR="007578DE" w:rsidRPr="007578DE">
        <w:t>and gave birth to the new Australian NDIS</w:t>
      </w:r>
      <w:r w:rsidR="009C67F5">
        <w:t>.</w:t>
      </w:r>
    </w:p>
    <w:p w:rsidR="000F7D0B" w:rsidRDefault="000F7D0B" w:rsidP="00E145B4"/>
    <w:p w:rsidR="00DA3768" w:rsidRDefault="009C67F5" w:rsidP="009C67F5">
      <w:r>
        <w:t xml:space="preserve">The trial of the NDIS, originally known as DisabilityCare Australia, began in July 2013 in South Australia, Tasmania, the Barwon area </w:t>
      </w:r>
      <w:r w:rsidR="002B0F76">
        <w:t>in</w:t>
      </w:r>
      <w:r>
        <w:t xml:space="preserve"> Victoria and the Hunter area in New South Wales. Western Australia, the </w:t>
      </w:r>
      <w:r w:rsidR="003F777B">
        <w:t>Australian Capital Territory (</w:t>
      </w:r>
      <w:r>
        <w:t>ACT</w:t>
      </w:r>
      <w:r w:rsidR="003F777B">
        <w:t>)</w:t>
      </w:r>
      <w:r>
        <w:t xml:space="preserve"> and the Northern Territory joined the launch in July 2014. The </w:t>
      </w:r>
      <w:r w:rsidRPr="00837C88">
        <w:t>Nepean Blue Mountains</w:t>
      </w:r>
      <w:r>
        <w:t xml:space="preserve"> area of New South Wales became the latest NDIS trial site to date, starting its trial in July 2015.</w:t>
      </w:r>
      <w:r w:rsidR="002B0F76">
        <w:t xml:space="preserve"> </w:t>
      </w:r>
    </w:p>
    <w:p w:rsidR="00DA3768" w:rsidRDefault="00DA3768" w:rsidP="009C67F5"/>
    <w:p w:rsidR="00E145B4" w:rsidRDefault="002B0F76" w:rsidP="00E145B4">
      <w:r>
        <w:t>In May 2013 t</w:t>
      </w:r>
      <w:r w:rsidR="00E145B4">
        <w:t xml:space="preserve">he Australian </w:t>
      </w:r>
      <w:r w:rsidR="003F777B">
        <w:t xml:space="preserve">Government </w:t>
      </w:r>
      <w:r w:rsidR="00E145B4">
        <w:t xml:space="preserve">Department of Social Services (DSS) commissioned </w:t>
      </w:r>
      <w:r w:rsidR="00E50F1F">
        <w:t xml:space="preserve">a consortium led by </w:t>
      </w:r>
      <w:r w:rsidR="00E145B4">
        <w:t xml:space="preserve">the National Institute of Labour Studies (NILS) at Flinders University to </w:t>
      </w:r>
      <w:r w:rsidR="00E50F1F">
        <w:t>conduct</w:t>
      </w:r>
      <w:r w:rsidR="00E145B4">
        <w:t xml:space="preserve"> the Evaluation of the trial of the NDIS.</w:t>
      </w:r>
      <w:r w:rsidR="00E145B4">
        <w:rPr>
          <w:rStyle w:val="FootnoteReference"/>
        </w:rPr>
        <w:footnoteReference w:id="1"/>
      </w:r>
      <w:r w:rsidR="00E145B4">
        <w:t xml:space="preserve"> </w:t>
      </w:r>
      <w:r>
        <w:t xml:space="preserve">The </w:t>
      </w:r>
      <w:r w:rsidR="00CF6F78">
        <w:t>e</w:t>
      </w:r>
      <w:r>
        <w:t>valuation was originally planned to take place between 2013 and 2016 and cover South Australia, Tasmania, the Barwon area in Victoria and the Hunter area in New South Wales</w:t>
      </w:r>
      <w:r w:rsidR="00E50F1F">
        <w:t xml:space="preserve"> from 2013 and the ACT from 2014</w:t>
      </w:r>
      <w:r>
        <w:t>.</w:t>
      </w:r>
      <w:r w:rsidR="00E50F1F">
        <w:t xml:space="preserve"> In 2014 the </w:t>
      </w:r>
      <w:r w:rsidR="005E7EDD">
        <w:t xml:space="preserve">NDIS </w:t>
      </w:r>
      <w:r w:rsidR="00E50F1F">
        <w:t xml:space="preserve">Evaluation was extended to include the Northern Territory and in 2015 the </w:t>
      </w:r>
      <w:r>
        <w:t xml:space="preserve">end date </w:t>
      </w:r>
      <w:r w:rsidR="00F67070">
        <w:t>of the whole e</w:t>
      </w:r>
      <w:r w:rsidR="00E50F1F">
        <w:t>valuation was</w:t>
      </w:r>
      <w:r>
        <w:t xml:space="preserve"> extended to 2017</w:t>
      </w:r>
      <w:r w:rsidR="00E50F1F">
        <w:t xml:space="preserve"> in order to accommodate the actual timing of the NDIS trial roll-out.</w:t>
      </w:r>
    </w:p>
    <w:p w:rsidR="00DA3768" w:rsidRDefault="00DA3768" w:rsidP="00DA3768"/>
    <w:p w:rsidR="00DA3768" w:rsidRDefault="00DA3768" w:rsidP="00DA3768">
      <w:r w:rsidRPr="00D3433A">
        <w:t xml:space="preserve">In this report, generic references </w:t>
      </w:r>
      <w:r w:rsidR="00817673" w:rsidRPr="00D3433A">
        <w:t>to “</w:t>
      </w:r>
      <w:r w:rsidRPr="00D3433A">
        <w:t>trial sites” refer specifically to</w:t>
      </w:r>
      <w:r w:rsidR="00817673" w:rsidRPr="00D3433A">
        <w:t xml:space="preserve"> the</w:t>
      </w:r>
      <w:r w:rsidRPr="00D3433A">
        <w:t xml:space="preserve"> trial sites in South Australia, Tasmania</w:t>
      </w:r>
      <w:r w:rsidR="00817673" w:rsidRPr="00D3433A">
        <w:t xml:space="preserve">, the Barwon area in Victoria, </w:t>
      </w:r>
      <w:r w:rsidRPr="00D3433A">
        <w:t>the Hunter area in New South Wales and the ACT.</w:t>
      </w:r>
      <w:r w:rsidR="00817673" w:rsidRPr="00D3433A">
        <w:t xml:space="preserve"> A separate report will document the findings of the</w:t>
      </w:r>
      <w:r w:rsidR="00667BEC">
        <w:t xml:space="preserve"> e</w:t>
      </w:r>
      <w:r w:rsidR="00817673" w:rsidRPr="00D3433A">
        <w:t>valuation in the Barkly NDIS trial site in the Northern Territory.</w:t>
      </w:r>
      <w:r w:rsidRPr="00D3433A">
        <w:t xml:space="preserve"> </w:t>
      </w:r>
      <w:r w:rsidR="00817673" w:rsidRPr="00D3433A">
        <w:t xml:space="preserve">The </w:t>
      </w:r>
      <w:r w:rsidR="00667BEC">
        <w:t xml:space="preserve">NDIS </w:t>
      </w:r>
      <w:r w:rsidR="00817673" w:rsidRPr="00D3433A">
        <w:t>Evaluation does not include any other NDIS trial sites.</w:t>
      </w:r>
    </w:p>
    <w:p w:rsidR="008F643C" w:rsidRPr="00D3433A" w:rsidRDefault="008F643C" w:rsidP="00DA3768"/>
    <w:p w:rsidR="00E50F1F" w:rsidRDefault="00E50F1F" w:rsidP="00E145B4"/>
    <w:p w:rsidR="008F643C" w:rsidRPr="00B04F94" w:rsidRDefault="008F643C" w:rsidP="00E145B4">
      <w:pPr>
        <w:rPr>
          <w:b/>
          <w:sz w:val="26"/>
          <w:szCs w:val="26"/>
          <w:lang w:val="en-AU" w:eastAsia="zh-CN"/>
        </w:rPr>
      </w:pPr>
      <w:r w:rsidRPr="00B04F94">
        <w:rPr>
          <w:b/>
          <w:sz w:val="26"/>
          <w:szCs w:val="26"/>
          <w:lang w:val="en-AU" w:eastAsia="zh-CN"/>
        </w:rPr>
        <w:t>Reporting Framework for the</w:t>
      </w:r>
      <w:r w:rsidR="00CE6859">
        <w:rPr>
          <w:b/>
          <w:sz w:val="26"/>
          <w:szCs w:val="26"/>
          <w:lang w:val="en-AU" w:eastAsia="zh-CN"/>
        </w:rPr>
        <w:t xml:space="preserve"> NDIS</w:t>
      </w:r>
      <w:r w:rsidRPr="00B04F94">
        <w:rPr>
          <w:b/>
          <w:sz w:val="26"/>
          <w:szCs w:val="26"/>
          <w:lang w:val="en-AU" w:eastAsia="zh-CN"/>
        </w:rPr>
        <w:t xml:space="preserve"> Evaluation</w:t>
      </w:r>
    </w:p>
    <w:p w:rsidR="008F643C" w:rsidRDefault="008F643C" w:rsidP="00E145B4"/>
    <w:p w:rsidR="00E50F1F" w:rsidRDefault="00E50F1F" w:rsidP="00E145B4">
      <w:r>
        <w:t xml:space="preserve">The </w:t>
      </w:r>
      <w:r w:rsidR="009C45B0">
        <w:t xml:space="preserve">NDIS </w:t>
      </w:r>
      <w:r>
        <w:t xml:space="preserve">Evaluation has been running for two years and </w:t>
      </w:r>
      <w:r w:rsidR="003F777B">
        <w:t>this</w:t>
      </w:r>
      <w:r>
        <w:t xml:space="preserve"> Initial Report is the first of three major reports. An Intermediate Report is scheduled for </w:t>
      </w:r>
      <w:r w:rsidR="003D4CF6">
        <w:t>second half of 2016</w:t>
      </w:r>
      <w:r>
        <w:t xml:space="preserve"> and a Final Report is scheduled to be completed in 2017.</w:t>
      </w:r>
    </w:p>
    <w:p w:rsidR="0069365D" w:rsidRDefault="0069365D" w:rsidP="00E145B4"/>
    <w:p w:rsidR="00D233E8" w:rsidRDefault="0069365D" w:rsidP="00E145B4">
      <w:r>
        <w:t>The Initial R</w:t>
      </w:r>
      <w:r w:rsidR="00157E68">
        <w:t>eport provides findings from all</w:t>
      </w:r>
      <w:r>
        <w:t xml:space="preserve"> Wave 1 fieldwork that was complete by the end of June 2015</w:t>
      </w:r>
      <w:r w:rsidR="00157E68">
        <w:t>. This includes the full first w</w:t>
      </w:r>
      <w:r>
        <w:t xml:space="preserve">ave of the Qualitative Impact Evaluation, the parts of the first wave of the longitudinal survey of people with disability, and their families and carers that were completed by the end of June 2015, and the full first wave of the </w:t>
      </w:r>
      <w:r w:rsidR="003F777B">
        <w:t xml:space="preserve">survey of </w:t>
      </w:r>
      <w:r>
        <w:t xml:space="preserve">disability support sector </w:t>
      </w:r>
      <w:r w:rsidR="00157E68">
        <w:t xml:space="preserve">employers </w:t>
      </w:r>
      <w:r>
        <w:t>and its workforce, including</w:t>
      </w:r>
      <w:r w:rsidR="003F777B">
        <w:t xml:space="preserve"> data collected in</w:t>
      </w:r>
      <w:r>
        <w:t xml:space="preserve"> Queensland. The main purpose of the Initial Report is to </w:t>
      </w:r>
      <w:r>
        <w:lastRenderedPageBreak/>
        <w:t xml:space="preserve">describe the generation of the evidence from the three major methodologies that will inform the </w:t>
      </w:r>
      <w:r w:rsidR="00C14530">
        <w:t>e</w:t>
      </w:r>
      <w:r>
        <w:t>valuation</w:t>
      </w:r>
      <w:r w:rsidR="00157E68">
        <w:t xml:space="preserve">. These are </w:t>
      </w:r>
      <w:r>
        <w:t xml:space="preserve">the </w:t>
      </w:r>
      <w:r w:rsidR="006D177C">
        <w:t>Qualitative Impact Evaluation</w:t>
      </w:r>
      <w:r>
        <w:t xml:space="preserve">, </w:t>
      </w:r>
      <w:r w:rsidR="006D177C">
        <w:t>the quantitative people with disability and their families and carers surveys</w:t>
      </w:r>
      <w:r>
        <w:t xml:space="preserve"> and the quantitative disability support providers and their workfor</w:t>
      </w:r>
      <w:r w:rsidR="00157E68">
        <w:t>ce surveys</w:t>
      </w:r>
      <w:r>
        <w:t xml:space="preserve">. Each of these </w:t>
      </w:r>
      <w:r w:rsidR="00157E68">
        <w:t xml:space="preserve">three </w:t>
      </w:r>
      <w:r>
        <w:t xml:space="preserve">major evidence collections need to be well-understood in their own right before they can be </w:t>
      </w:r>
      <w:r w:rsidR="00D233E8">
        <w:t xml:space="preserve">synthesised and </w:t>
      </w:r>
      <w:r>
        <w:t>used for the</w:t>
      </w:r>
      <w:r w:rsidR="00D233E8">
        <w:t xml:space="preserve"> purposes of the formal evaluation exercise. </w:t>
      </w:r>
      <w:r w:rsidR="00157E68">
        <w:t xml:space="preserve">The ultimate purpose of the Initial Report is to present the raw evidence that will be used as the benchmark for </w:t>
      </w:r>
      <w:r w:rsidR="00A406FC">
        <w:t xml:space="preserve">all further development of the evidence collection and ultimately for </w:t>
      </w:r>
      <w:r w:rsidR="00157E68">
        <w:t xml:space="preserve">measuring change over time. </w:t>
      </w:r>
      <w:r w:rsidR="00D233E8">
        <w:t xml:space="preserve">It is true for all evaluations that they can be only as good as the evidence they are based on, hence </w:t>
      </w:r>
      <w:r w:rsidR="00A406FC">
        <w:t>the Initial Report places a strong</w:t>
      </w:r>
      <w:r w:rsidR="00D233E8">
        <w:t xml:space="preserve"> emphasis on the</w:t>
      </w:r>
      <w:r w:rsidR="00A406FC">
        <w:t xml:space="preserve"> presentation of each of the three methodologies</w:t>
      </w:r>
      <w:r w:rsidR="00D233E8">
        <w:t>.</w:t>
      </w:r>
      <w:r>
        <w:t xml:space="preserve"> </w:t>
      </w:r>
    </w:p>
    <w:p w:rsidR="00D233E8" w:rsidRDefault="00D233E8" w:rsidP="00E145B4"/>
    <w:p w:rsidR="008F643C" w:rsidRDefault="0069365D" w:rsidP="00E145B4">
      <w:r>
        <w:t xml:space="preserve">The Intermediate Report </w:t>
      </w:r>
      <w:r w:rsidR="00D233E8">
        <w:t xml:space="preserve">is </w:t>
      </w:r>
      <w:r w:rsidR="00157E68">
        <w:t xml:space="preserve">the second major report of the </w:t>
      </w:r>
      <w:r w:rsidR="00C14530">
        <w:t xml:space="preserve">NDIS </w:t>
      </w:r>
      <w:r w:rsidR="00006A5E">
        <w:t>Evaluation</w:t>
      </w:r>
      <w:r w:rsidR="00157E68">
        <w:t xml:space="preserve">. It is </w:t>
      </w:r>
      <w:r w:rsidR="00D233E8">
        <w:t xml:space="preserve">planned for </w:t>
      </w:r>
      <w:r w:rsidR="003D4CF6">
        <w:t>second half of 2016</w:t>
      </w:r>
      <w:r w:rsidR="00D233E8">
        <w:t xml:space="preserve"> and is intended to pr</w:t>
      </w:r>
      <w:r w:rsidR="00157E68">
        <w:t>esent</w:t>
      </w:r>
      <w:r w:rsidR="00D233E8">
        <w:t xml:space="preserve"> the synthesis of the evidence provided in the Initial Report and to also add to the evidence by incorporating </w:t>
      </w:r>
      <w:r w:rsidR="00157E68">
        <w:t>i</w:t>
      </w:r>
      <w:r w:rsidR="00D233E8">
        <w:t>n the report all new evidence generated after June</w:t>
      </w:r>
      <w:r w:rsidR="00964124">
        <w:t xml:space="preserve"> </w:t>
      </w:r>
      <w:r w:rsidR="00D233E8">
        <w:t>2015. This will include the remainder of Wave 1 longitudinal survey of people with disability, and their families and carers, and, subject to the timing and the numbers available in the ACT NDIS roll out, survey data from the ACT. The Intermediate Report will also include the continuation of the second wave of qualitative evidence collection</w:t>
      </w:r>
      <w:r w:rsidR="00DC657F">
        <w:t>,</w:t>
      </w:r>
      <w:r w:rsidR="00EB5115">
        <w:t xml:space="preserve"> but </w:t>
      </w:r>
      <w:r w:rsidR="005E65BD">
        <w:t>not its completion</w:t>
      </w:r>
      <w:r w:rsidR="00EB5115">
        <w:t>.</w:t>
      </w:r>
      <w:r w:rsidR="00DC657F">
        <w:t xml:space="preserve"> Crucially, the Intermediate Report</w:t>
      </w:r>
      <w:r w:rsidR="009D7F07">
        <w:t xml:space="preserve"> will </w:t>
      </w:r>
      <w:r w:rsidR="00246E24">
        <w:t xml:space="preserve">report </w:t>
      </w:r>
      <w:r w:rsidR="009D7F07">
        <w:t xml:space="preserve">on the outcomes from the beginning of the integration of the evidence collected from different sources and methodologies. The work of combining and integrating data is at the heart of the design of the </w:t>
      </w:r>
      <w:r w:rsidR="00C43E8A">
        <w:t>e</w:t>
      </w:r>
      <w:r w:rsidR="00006A5E">
        <w:t>valuation</w:t>
      </w:r>
      <w:r w:rsidR="009D7F07">
        <w:t xml:space="preserve"> and will follow all evidence collections. First, qualitative evidence will be juxtaposed and combined with quantitative evidence in a thematic way in order to </w:t>
      </w:r>
      <w:r w:rsidR="008F643C">
        <w:t xml:space="preserve">inform the </w:t>
      </w:r>
      <w:r w:rsidR="00C43E8A">
        <w:t>e</w:t>
      </w:r>
      <w:r w:rsidR="00006A5E">
        <w:t>valuation</w:t>
      </w:r>
      <w:r w:rsidR="008F643C">
        <w:t xml:space="preserve"> of potential</w:t>
      </w:r>
      <w:r w:rsidR="009D7F07">
        <w:t xml:space="preserve"> synergies </w:t>
      </w:r>
      <w:r w:rsidR="008F643C">
        <w:t xml:space="preserve">between the depth of understanding qualitative evidence offers and the overall representativeness that the quantitative survey evidence offers. Second, the Intermediate Report will present the first results from the planned data synthesis in that the data from people with disability will be </w:t>
      </w:r>
      <w:r w:rsidR="00637D4D">
        <w:t>matched</w:t>
      </w:r>
      <w:r w:rsidR="008F643C">
        <w:t xml:space="preserve"> with the data from their families and carers so that they can be analysed in the right family context. </w:t>
      </w:r>
      <w:r w:rsidR="00246E24">
        <w:t>A similar synthesis will commence with the data of employers being combined with the data of their employees.</w:t>
      </w:r>
      <w:r w:rsidR="008F643C">
        <w:t xml:space="preserve"> </w:t>
      </w:r>
      <w:r w:rsidR="00246E24">
        <w:t xml:space="preserve">In the background of this analysis will be the presence of the Policy Logic questions that the </w:t>
      </w:r>
      <w:r w:rsidR="00C15FBF">
        <w:t>e</w:t>
      </w:r>
      <w:r w:rsidR="00006A5E">
        <w:t>valuation</w:t>
      </w:r>
      <w:r w:rsidR="00246E24">
        <w:t xml:space="preserve"> has been designed to answer. The Intermediate Report will examine the strengths and the weaknesses of the evidence we are generating in order to suggest any changes that may be feasible before wave 2 of the major data collections are finalised (especially </w:t>
      </w:r>
      <w:r w:rsidR="00637D4D">
        <w:t xml:space="preserve">those </w:t>
      </w:r>
      <w:r w:rsidR="00246E24">
        <w:t>of people with disability and their families and carers).</w:t>
      </w:r>
    </w:p>
    <w:p w:rsidR="00246E24" w:rsidRDefault="00246E24" w:rsidP="00E145B4"/>
    <w:p w:rsidR="008E1481" w:rsidRDefault="008E1481" w:rsidP="00367B24">
      <w:r>
        <w:t>The F</w:t>
      </w:r>
      <w:r w:rsidR="00246E24">
        <w:t>inal Report is planned for 2017 and will p</w:t>
      </w:r>
      <w:r w:rsidR="00381000">
        <w:t>rovide the findings from all remaining d</w:t>
      </w:r>
      <w:r w:rsidR="00246E24">
        <w:t xml:space="preserve">ata collections </w:t>
      </w:r>
      <w:r w:rsidR="00381000">
        <w:t xml:space="preserve">and studies </w:t>
      </w:r>
      <w:r w:rsidR="00246E24">
        <w:t>t</w:t>
      </w:r>
      <w:r w:rsidR="00381000">
        <w:t>hat were not included in the Int</w:t>
      </w:r>
      <w:r w:rsidR="00246E24">
        <w:t xml:space="preserve">ermediate </w:t>
      </w:r>
      <w:r w:rsidR="00381000">
        <w:t>Report. N</w:t>
      </w:r>
      <w:r w:rsidR="00246E24">
        <w:t>otably</w:t>
      </w:r>
      <w:r w:rsidR="00EB5115">
        <w:t>, it will report on</w:t>
      </w:r>
      <w:r w:rsidR="00246E24">
        <w:t xml:space="preserve"> the </w:t>
      </w:r>
      <w:r w:rsidR="00EB5115">
        <w:t xml:space="preserve">completion of the </w:t>
      </w:r>
      <w:r w:rsidR="00246E24">
        <w:t xml:space="preserve">second wave of </w:t>
      </w:r>
      <w:r w:rsidR="00EB5115">
        <w:t xml:space="preserve">evidence collection for </w:t>
      </w:r>
      <w:r w:rsidR="00246E24">
        <w:t xml:space="preserve">the people with disabilities, their families and carers </w:t>
      </w:r>
      <w:r w:rsidR="00EB5115">
        <w:t>from both qualitative and quantitative methodologies</w:t>
      </w:r>
      <w:r>
        <w:t>.</w:t>
      </w:r>
      <w:r w:rsidR="00EB5115">
        <w:t xml:space="preserve"> </w:t>
      </w:r>
      <w:r w:rsidR="00361B91">
        <w:t xml:space="preserve">A crucial part of the </w:t>
      </w:r>
      <w:r w:rsidR="00A2644C">
        <w:t>e</w:t>
      </w:r>
      <w:r w:rsidR="00006A5E">
        <w:t>valuation</w:t>
      </w:r>
      <w:r w:rsidR="00361B91">
        <w:t xml:space="preserve"> is to establish what changes have happened between wave 1 and wave 2 of the data. </w:t>
      </w:r>
      <w:r w:rsidR="00EB5115">
        <w:t>With all evidence collection concluded, t</w:t>
      </w:r>
      <w:r>
        <w:t xml:space="preserve">he Final Report will </w:t>
      </w:r>
      <w:r w:rsidR="00EB5115">
        <w:t xml:space="preserve">report on </w:t>
      </w:r>
      <w:r>
        <w:t xml:space="preserve">the synthesis </w:t>
      </w:r>
      <w:r w:rsidR="00EB5115">
        <w:t xml:space="preserve">of evidence </w:t>
      </w:r>
      <w:r>
        <w:t xml:space="preserve">that will </w:t>
      </w:r>
      <w:r w:rsidR="00B86BD9">
        <w:t xml:space="preserve">inform </w:t>
      </w:r>
      <w:r>
        <w:t>the formal evaluation</w:t>
      </w:r>
      <w:r w:rsidR="00EB5115">
        <w:t>, with particular reference to the policy logic questions</w:t>
      </w:r>
      <w:r>
        <w:t xml:space="preserve">. It will also dwell on the methodological aspects of the </w:t>
      </w:r>
      <w:r w:rsidR="00A13F4A">
        <w:t>e</w:t>
      </w:r>
      <w:r w:rsidR="00A46B00">
        <w:t>valuation</w:t>
      </w:r>
      <w:r>
        <w:t xml:space="preserve"> design, a necessary aspect given the complexity of the design and the diversity of the evidence utilised.</w:t>
      </w:r>
      <w:r w:rsidR="00EB5115">
        <w:t xml:space="preserve"> A major contribution of the Final Report will be the reporting of the </w:t>
      </w:r>
      <w:r w:rsidR="00A13F4A">
        <w:t>e</w:t>
      </w:r>
      <w:r w:rsidR="00006A5E">
        <w:t>valuation</w:t>
      </w:r>
      <w:r w:rsidR="00EB5115">
        <w:t xml:space="preserve"> outcomes that emerge from the formal evaluation process of comparing the change that occurred in the NDIS trial areas with the change that occurred in the comparison areas and judging the degree to which any </w:t>
      </w:r>
      <w:r w:rsidR="00361B91">
        <w:t>measurable</w:t>
      </w:r>
      <w:r w:rsidR="00EB5115">
        <w:t xml:space="preserve"> difference</w:t>
      </w:r>
      <w:r w:rsidR="00361B91">
        <w:t>s</w:t>
      </w:r>
      <w:r w:rsidR="00EB5115">
        <w:t xml:space="preserve"> between these two changes</w:t>
      </w:r>
      <w:r w:rsidR="00361B91">
        <w:t xml:space="preserve"> can be attributed to the NDIS roll out or not.</w:t>
      </w:r>
      <w:r w:rsidR="00EB5115">
        <w:t xml:space="preserve"> </w:t>
      </w:r>
    </w:p>
    <w:p w:rsidR="00EB5115" w:rsidRDefault="00EB5115" w:rsidP="00E145B4"/>
    <w:p w:rsidR="008E1481" w:rsidRDefault="00361B91" w:rsidP="00E145B4">
      <w:r>
        <w:t xml:space="preserve">The Final Report is planned to </w:t>
      </w:r>
      <w:r w:rsidR="00A406FC">
        <w:t xml:space="preserve">also </w:t>
      </w:r>
      <w:r>
        <w:t xml:space="preserve">report on all new evidence that will have emerged from the older people with disability study and from the mainstream </w:t>
      </w:r>
      <w:r w:rsidR="009339C1">
        <w:t>providers’</w:t>
      </w:r>
      <w:r>
        <w:t xml:space="preserve"> studies. </w:t>
      </w:r>
      <w:r w:rsidR="008E1481">
        <w:t xml:space="preserve">The placing of the reporting of the Northern Territory study </w:t>
      </w:r>
      <w:r w:rsidR="00AE7CA8">
        <w:t xml:space="preserve">(within the Final Report or in a separate document) </w:t>
      </w:r>
      <w:r w:rsidR="008E1481">
        <w:t>has not been decided as yet between the Department and NILS. As this study is progressing almost independently, there is no urgency for this decision.</w:t>
      </w:r>
    </w:p>
    <w:p w:rsidR="008E1481" w:rsidRDefault="008E1481" w:rsidP="00E145B4"/>
    <w:p w:rsidR="00313FF3" w:rsidRDefault="008E1481" w:rsidP="00E145B4">
      <w:r>
        <w:t>The reporting on the</w:t>
      </w:r>
      <w:r w:rsidR="00E90669">
        <w:t xml:space="preserve"> NDIS</w:t>
      </w:r>
      <w:r>
        <w:t xml:space="preserve"> </w:t>
      </w:r>
      <w:r w:rsidR="00006A5E">
        <w:t>Evaluation</w:t>
      </w:r>
      <w:r>
        <w:t xml:space="preserve"> presents several difficulties that will need to be managed</w:t>
      </w:r>
      <w:r w:rsidR="00313FF3">
        <w:t xml:space="preserve"> as the </w:t>
      </w:r>
      <w:r w:rsidR="00E90669">
        <w:t>e</w:t>
      </w:r>
      <w:r w:rsidR="00006A5E">
        <w:t>valuation</w:t>
      </w:r>
      <w:r w:rsidR="00313FF3">
        <w:t xml:space="preserve"> </w:t>
      </w:r>
      <w:r w:rsidR="00A406FC">
        <w:t>reporting progress</w:t>
      </w:r>
      <w:r w:rsidR="00313FF3">
        <w:t>es</w:t>
      </w:r>
      <w:r>
        <w:t xml:space="preserve">. </w:t>
      </w:r>
      <w:r w:rsidR="00313FF3">
        <w:t>First, the reports can be too segmented. Second, the reports can be too long. Third, the reports can be too technical. Finally, the three reports will have been written to be sequentially read, which can make for very long and potentially difficult reading. It is recognis</w:t>
      </w:r>
      <w:r w:rsidR="009319ED">
        <w:t xml:space="preserve">ed that these difficulties will need to be addressed as the </w:t>
      </w:r>
      <w:r w:rsidR="00005072">
        <w:t>e</w:t>
      </w:r>
      <w:r w:rsidR="00006A5E">
        <w:t>valuation</w:t>
      </w:r>
      <w:r w:rsidR="009319ED">
        <w:t xml:space="preserve"> progresses, especially when the </w:t>
      </w:r>
      <w:r w:rsidR="00005072">
        <w:t>e</w:t>
      </w:r>
      <w:r w:rsidR="00006A5E">
        <w:t>valuation</w:t>
      </w:r>
      <w:r w:rsidR="009319ED">
        <w:t xml:space="preserve"> comes to the stage when it will be reporting for the full NDIS trial impact.</w:t>
      </w:r>
    </w:p>
    <w:p w:rsidR="00313FF3" w:rsidRDefault="00313FF3" w:rsidP="00E145B4"/>
    <w:p w:rsidR="004C3F9C" w:rsidRDefault="009319ED" w:rsidP="00E145B4">
      <w:r>
        <w:t>A</w:t>
      </w:r>
      <w:r w:rsidR="00361B91">
        <w:t xml:space="preserve">lthough </w:t>
      </w:r>
      <w:r w:rsidR="00313FF3">
        <w:t xml:space="preserve">the </w:t>
      </w:r>
      <w:r w:rsidR="00C8764B">
        <w:t>e</w:t>
      </w:r>
      <w:r w:rsidR="00006A5E">
        <w:t>valuation</w:t>
      </w:r>
      <w:r w:rsidR="00313FF3">
        <w:t xml:space="preserve"> has been agreed to report</w:t>
      </w:r>
      <w:r w:rsidR="004C3F9C">
        <w:t xml:space="preserve"> in just three steps, </w:t>
      </w:r>
      <w:r>
        <w:t xml:space="preserve">segmentation is unavoidable as </w:t>
      </w:r>
      <w:r w:rsidR="004C3F9C">
        <w:t>each rep</w:t>
      </w:r>
      <w:r w:rsidR="00361B91">
        <w:t>ort</w:t>
      </w:r>
      <w:r w:rsidR="004C3F9C">
        <w:t>ing step must</w:t>
      </w:r>
      <w:r w:rsidR="00361B91">
        <w:t xml:space="preserve"> contain the outcomes of several </w:t>
      </w:r>
      <w:r w:rsidR="00AE7CA8">
        <w:t xml:space="preserve">simultaneous but inter-related </w:t>
      </w:r>
      <w:r w:rsidR="00361B91">
        <w:t>studies that need to be presented almost independently, as their methodologies are different and their uses are diverse</w:t>
      </w:r>
      <w:r w:rsidR="004C3F9C">
        <w:t xml:space="preserve">. </w:t>
      </w:r>
      <w:r>
        <w:t>Segmented reporting</w:t>
      </w:r>
      <w:r w:rsidR="004C3F9C">
        <w:t xml:space="preserve"> will be most prominent in the Initial Report, but will continue to be very visible in the Intermediate Report and will still </w:t>
      </w:r>
      <w:r w:rsidR="00AE7CA8">
        <w:t>be present in the Final Report, despite the fact that by the time the Final Report is written most of the evidence from different methodologies will have been synthesised.</w:t>
      </w:r>
    </w:p>
    <w:p w:rsidR="004C3F9C" w:rsidRDefault="004C3F9C" w:rsidP="00E145B4"/>
    <w:p w:rsidR="007067AE" w:rsidRDefault="009319ED" w:rsidP="00CE0943">
      <w:pPr>
        <w:spacing w:after="240"/>
      </w:pPr>
      <w:r>
        <w:t>A</w:t>
      </w:r>
      <w:r w:rsidR="00AE7CA8">
        <w:t xml:space="preserve">part from </w:t>
      </w:r>
      <w:r w:rsidR="004C3F9C">
        <w:t xml:space="preserve">the </w:t>
      </w:r>
      <w:r>
        <w:t>segmentation of</w:t>
      </w:r>
      <w:r w:rsidR="007B4B24">
        <w:t xml:space="preserve"> the reported studies</w:t>
      </w:r>
      <w:r>
        <w:t>,</w:t>
      </w:r>
      <w:r w:rsidR="007B4B24">
        <w:t xml:space="preserve"> the </w:t>
      </w:r>
      <w:r w:rsidR="00F3777A">
        <w:t>nature of the content at</w:t>
      </w:r>
      <w:r>
        <w:t xml:space="preserve"> each </w:t>
      </w:r>
      <w:r w:rsidR="00F3777A">
        <w:t xml:space="preserve">of the three </w:t>
      </w:r>
      <w:r>
        <w:t>report</w:t>
      </w:r>
      <w:r w:rsidR="00F3777A">
        <w:t>ing points</w:t>
      </w:r>
      <w:r>
        <w:t xml:space="preserve"> </w:t>
      </w:r>
      <w:r w:rsidR="001D50FF">
        <w:t xml:space="preserve">accounts </w:t>
      </w:r>
      <w:r>
        <w:t xml:space="preserve">for both the </w:t>
      </w:r>
      <w:r w:rsidR="007B4B24">
        <w:t xml:space="preserve">length </w:t>
      </w:r>
      <w:r w:rsidR="00F3777A">
        <w:t xml:space="preserve">and the technical complexity </w:t>
      </w:r>
      <w:r w:rsidR="007B4B24">
        <w:t xml:space="preserve">of each </w:t>
      </w:r>
      <w:r w:rsidR="00AE7CA8">
        <w:t xml:space="preserve">of the three planned </w:t>
      </w:r>
      <w:r w:rsidR="004C3F9C">
        <w:t>report</w:t>
      </w:r>
      <w:r w:rsidR="00AE7CA8">
        <w:t>s</w:t>
      </w:r>
      <w:r>
        <w:t xml:space="preserve">. </w:t>
      </w:r>
      <w:r w:rsidR="00F3777A">
        <w:t xml:space="preserve">Finally, the end product of the </w:t>
      </w:r>
      <w:r w:rsidR="00C43B20">
        <w:t>e</w:t>
      </w:r>
      <w:r w:rsidR="00006A5E">
        <w:t>valuation</w:t>
      </w:r>
      <w:r w:rsidR="00F3777A">
        <w:t xml:space="preserve"> will need to be both technical</w:t>
      </w:r>
      <w:r w:rsidR="00951F51">
        <w:t>ly</w:t>
      </w:r>
      <w:r w:rsidR="004A1DAF">
        <w:t xml:space="preserve"> </w:t>
      </w:r>
      <w:r w:rsidR="00F3777A">
        <w:t>detailed</w:t>
      </w:r>
      <w:r w:rsidR="00951F51">
        <w:t xml:space="preserve"> (</w:t>
      </w:r>
      <w:r w:rsidR="00F3777A">
        <w:t>long</w:t>
      </w:r>
      <w:r w:rsidR="00951F51">
        <w:t>)</w:t>
      </w:r>
      <w:r w:rsidR="00F3777A">
        <w:t xml:space="preserve"> and accessible</w:t>
      </w:r>
      <w:r w:rsidR="00951F51">
        <w:t xml:space="preserve"> (</w:t>
      </w:r>
      <w:r w:rsidR="00F3777A">
        <w:t>easy to read</w:t>
      </w:r>
      <w:r w:rsidR="00951F51">
        <w:t>/</w:t>
      </w:r>
      <w:r w:rsidR="00F3777A">
        <w:t>short</w:t>
      </w:r>
      <w:r w:rsidR="00951F51">
        <w:t>)</w:t>
      </w:r>
      <w:r w:rsidR="00F3777A">
        <w:t>. This conflict of attributes will need to be addressed ideally before the preparation of further reports commences and definitely before the preparation of the Final Report commences.</w:t>
      </w:r>
    </w:p>
    <w:p w:rsidR="004B5DB1" w:rsidRDefault="004B5DB1" w:rsidP="00CE0943">
      <w:pPr>
        <w:spacing w:after="240"/>
      </w:pPr>
      <w:r>
        <w:t>The remainder of this Executive Summary deals with the contents of the Initial Report which can be divided into three main parts:</w:t>
      </w:r>
    </w:p>
    <w:p w:rsidR="004B5DB1" w:rsidRDefault="004B5DB1" w:rsidP="00AF5E38">
      <w:pPr>
        <w:pStyle w:val="ListParagraph"/>
        <w:numPr>
          <w:ilvl w:val="0"/>
          <w:numId w:val="28"/>
        </w:numPr>
        <w:spacing w:line="480" w:lineRule="auto"/>
      </w:pPr>
      <w:r>
        <w:t>the Qualitative Impact Evaluation</w:t>
      </w:r>
    </w:p>
    <w:p w:rsidR="004B5DB1" w:rsidRDefault="004B5DB1" w:rsidP="00AF5E38">
      <w:pPr>
        <w:pStyle w:val="ListParagraph"/>
        <w:numPr>
          <w:ilvl w:val="0"/>
          <w:numId w:val="28"/>
        </w:numPr>
        <w:spacing w:line="480" w:lineRule="auto"/>
      </w:pPr>
      <w:r>
        <w:t>the</w:t>
      </w:r>
      <w:r w:rsidRPr="00DE4786">
        <w:t xml:space="preserve"> NDIS Survey of People with Disability, and their Families and Carers</w:t>
      </w:r>
    </w:p>
    <w:p w:rsidR="004B5DB1" w:rsidRPr="00E87146" w:rsidRDefault="004B5DB1" w:rsidP="00AF5E38">
      <w:pPr>
        <w:pStyle w:val="ListParagraph"/>
        <w:numPr>
          <w:ilvl w:val="0"/>
          <w:numId w:val="28"/>
        </w:numPr>
        <w:spacing w:line="480" w:lineRule="auto"/>
      </w:pPr>
      <w:r w:rsidRPr="00E87146">
        <w:t>the 2014 NDIS</w:t>
      </w:r>
      <w:r w:rsidR="007A019A">
        <w:t xml:space="preserve"> </w:t>
      </w:r>
      <w:r w:rsidR="00993217">
        <w:t>Disability Support Providers Surveys</w:t>
      </w:r>
    </w:p>
    <w:p w:rsidR="004B5DB1" w:rsidRDefault="004B5DB1">
      <w:pPr>
        <w:rPr>
          <w:b/>
          <w:sz w:val="24"/>
          <w:szCs w:val="24"/>
          <w:lang w:val="en-AU" w:eastAsia="zh-CN"/>
        </w:rPr>
      </w:pPr>
      <w:r>
        <w:rPr>
          <w:b/>
          <w:sz w:val="24"/>
          <w:szCs w:val="24"/>
          <w:lang w:val="en-AU" w:eastAsia="zh-CN"/>
        </w:rPr>
        <w:br w:type="page"/>
      </w:r>
    </w:p>
    <w:p w:rsidR="003A6A89" w:rsidRPr="00367B24" w:rsidRDefault="003A6A89" w:rsidP="003A6A89">
      <w:pPr>
        <w:rPr>
          <w:b/>
          <w:sz w:val="26"/>
          <w:szCs w:val="26"/>
          <w:lang w:val="en-AU" w:eastAsia="zh-CN"/>
        </w:rPr>
      </w:pPr>
      <w:r w:rsidRPr="00367B24">
        <w:rPr>
          <w:b/>
          <w:sz w:val="26"/>
          <w:szCs w:val="26"/>
          <w:lang w:val="en-AU" w:eastAsia="zh-CN"/>
        </w:rPr>
        <w:lastRenderedPageBreak/>
        <w:t>Qualitative Impact Evaluation</w:t>
      </w:r>
    </w:p>
    <w:p w:rsidR="003A6A89" w:rsidRPr="003A6A89" w:rsidRDefault="003A6A89" w:rsidP="003A6A89">
      <w:pPr>
        <w:rPr>
          <w:lang w:val="en-AU" w:eastAsia="zh-CN"/>
        </w:rPr>
      </w:pPr>
    </w:p>
    <w:p w:rsidR="00FD3E69" w:rsidRPr="009B4396" w:rsidRDefault="00FD3E69" w:rsidP="00FD3E69">
      <w:pPr>
        <w:spacing w:after="200" w:line="276" w:lineRule="auto"/>
        <w:rPr>
          <w:rFonts w:eastAsiaTheme="minorEastAsia" w:cstheme="minorHAnsi"/>
          <w:lang w:val="en-AU"/>
        </w:rPr>
      </w:pPr>
      <w:bookmarkStart w:id="10" w:name="_Toc219086468"/>
      <w:r w:rsidRPr="009B4396">
        <w:rPr>
          <w:rFonts w:eastAsiaTheme="minorEastAsia" w:cstheme="minorHAnsi"/>
          <w:lang w:val="en-AU"/>
        </w:rPr>
        <w:t xml:space="preserve">The </w:t>
      </w:r>
      <w:r w:rsidR="009B4396">
        <w:rPr>
          <w:rFonts w:eastAsiaTheme="minorEastAsia" w:cstheme="minorHAnsi"/>
          <w:lang w:val="en-AU"/>
        </w:rPr>
        <w:t>Q</w:t>
      </w:r>
      <w:r w:rsidRPr="009B4396">
        <w:rPr>
          <w:rFonts w:eastAsiaTheme="minorEastAsia" w:cstheme="minorHAnsi"/>
          <w:lang w:val="en-AU"/>
        </w:rPr>
        <w:t xml:space="preserve">ualitative </w:t>
      </w:r>
      <w:r w:rsidR="009B4396">
        <w:rPr>
          <w:rFonts w:eastAsiaTheme="minorEastAsia" w:cstheme="minorHAnsi"/>
          <w:lang w:val="en-AU"/>
        </w:rPr>
        <w:t>I</w:t>
      </w:r>
      <w:r w:rsidRPr="009B4396">
        <w:rPr>
          <w:rFonts w:eastAsiaTheme="minorEastAsia" w:cstheme="minorHAnsi"/>
          <w:lang w:val="en-AU"/>
        </w:rPr>
        <w:t xml:space="preserve">mpact </w:t>
      </w:r>
      <w:r w:rsidR="009B4396">
        <w:rPr>
          <w:rFonts w:eastAsiaTheme="minorEastAsia" w:cstheme="minorHAnsi"/>
          <w:lang w:val="en-AU"/>
        </w:rPr>
        <w:t>E</w:t>
      </w:r>
      <w:r w:rsidRPr="009B4396">
        <w:rPr>
          <w:rFonts w:eastAsiaTheme="minorEastAsia" w:cstheme="minorHAnsi"/>
          <w:lang w:val="en-AU"/>
        </w:rPr>
        <w:t>valuation consisted of a number of in-depth interviews with:</w:t>
      </w:r>
    </w:p>
    <w:p w:rsidR="00FD3E69" w:rsidRPr="009B4396" w:rsidRDefault="00FD3E69" w:rsidP="00FD3E69">
      <w:pPr>
        <w:spacing w:after="200" w:line="276" w:lineRule="auto"/>
        <w:rPr>
          <w:rFonts w:eastAsiaTheme="minorEastAsia" w:cstheme="minorHAnsi"/>
          <w:lang w:val="en-AU"/>
        </w:rPr>
      </w:pPr>
      <w:r w:rsidRPr="009B4396">
        <w:rPr>
          <w:rFonts w:eastAsiaTheme="minorEastAsia" w:cstheme="minorHAnsi"/>
          <w:lang w:val="en-AU"/>
        </w:rPr>
        <w:t xml:space="preserve">- </w:t>
      </w:r>
      <w:r w:rsidR="0014628E">
        <w:rPr>
          <w:rFonts w:eastAsiaTheme="minorEastAsia" w:cstheme="minorHAnsi"/>
          <w:lang w:val="en-AU"/>
        </w:rPr>
        <w:t xml:space="preserve"> </w:t>
      </w:r>
      <w:r w:rsidRPr="009B4396">
        <w:rPr>
          <w:rFonts w:eastAsiaTheme="minorEastAsia" w:cstheme="minorHAnsi"/>
          <w:lang w:val="en-AU"/>
        </w:rPr>
        <w:t>people with disabi</w:t>
      </w:r>
      <w:r w:rsidR="0014628E">
        <w:rPr>
          <w:rFonts w:eastAsiaTheme="minorEastAsia" w:cstheme="minorHAnsi"/>
          <w:lang w:val="en-AU"/>
        </w:rPr>
        <w:t>lity, their families and carers</w:t>
      </w:r>
      <w:r w:rsidRPr="009B4396">
        <w:rPr>
          <w:rFonts w:eastAsiaTheme="minorEastAsia" w:cstheme="minorHAnsi"/>
          <w:lang w:val="en-AU"/>
        </w:rPr>
        <w:t xml:space="preserve"> </w:t>
      </w:r>
    </w:p>
    <w:p w:rsidR="0014628E" w:rsidRDefault="00FD3E69" w:rsidP="00FD3E69">
      <w:pPr>
        <w:spacing w:after="200" w:line="276" w:lineRule="auto"/>
        <w:rPr>
          <w:rFonts w:eastAsiaTheme="minorEastAsia" w:cstheme="minorHAnsi"/>
          <w:lang w:val="en-AU"/>
        </w:rPr>
      </w:pPr>
      <w:r w:rsidRPr="009B4396">
        <w:rPr>
          <w:rFonts w:eastAsiaTheme="minorEastAsia" w:cstheme="minorHAnsi"/>
          <w:lang w:val="en-AU"/>
        </w:rPr>
        <w:t xml:space="preserve">- </w:t>
      </w:r>
      <w:r w:rsidR="0014628E">
        <w:rPr>
          <w:rFonts w:eastAsiaTheme="minorEastAsia" w:cstheme="minorHAnsi"/>
          <w:lang w:val="en-AU"/>
        </w:rPr>
        <w:t xml:space="preserve"> disability service providers</w:t>
      </w:r>
      <w:r w:rsidRPr="009B4396">
        <w:rPr>
          <w:rFonts w:eastAsiaTheme="minorEastAsia" w:cstheme="minorHAnsi"/>
          <w:lang w:val="en-AU"/>
        </w:rPr>
        <w:t xml:space="preserve"> </w:t>
      </w:r>
    </w:p>
    <w:p w:rsidR="00FD3E69" w:rsidRPr="009B4396" w:rsidRDefault="00FD3E69" w:rsidP="00FD3E69">
      <w:pPr>
        <w:spacing w:after="200" w:line="276" w:lineRule="auto"/>
        <w:rPr>
          <w:rFonts w:eastAsiaTheme="minorEastAsia" w:cstheme="minorHAnsi"/>
          <w:lang w:val="en-AU"/>
        </w:rPr>
      </w:pPr>
      <w:r w:rsidRPr="009B4396">
        <w:rPr>
          <w:rFonts w:eastAsiaTheme="minorEastAsia" w:cstheme="minorHAnsi"/>
          <w:lang w:val="en-AU"/>
        </w:rPr>
        <w:t xml:space="preserve">- </w:t>
      </w:r>
      <w:r w:rsidR="0014628E">
        <w:rPr>
          <w:rFonts w:eastAsiaTheme="minorEastAsia" w:cstheme="minorHAnsi"/>
          <w:lang w:val="en-AU"/>
        </w:rPr>
        <w:t xml:space="preserve"> </w:t>
      </w:r>
      <w:r w:rsidRPr="009B4396">
        <w:rPr>
          <w:rFonts w:eastAsiaTheme="minorEastAsia" w:cstheme="minorHAnsi"/>
          <w:lang w:val="en-AU"/>
        </w:rPr>
        <w:t xml:space="preserve">disability workforce </w:t>
      </w:r>
      <w:r w:rsidR="0014628E">
        <w:rPr>
          <w:rFonts w:eastAsiaTheme="minorEastAsia" w:cstheme="minorHAnsi"/>
          <w:lang w:val="en-AU"/>
        </w:rPr>
        <w:t>stakeholder organisations</w:t>
      </w:r>
    </w:p>
    <w:p w:rsidR="00FD3E69" w:rsidRPr="009B4396" w:rsidRDefault="00FD3E69" w:rsidP="00FD3E69">
      <w:pPr>
        <w:spacing w:after="200" w:line="276" w:lineRule="auto"/>
        <w:rPr>
          <w:rFonts w:eastAsiaTheme="minorEastAsia" w:cstheme="minorHAnsi"/>
          <w:lang w:val="en-AU"/>
        </w:rPr>
      </w:pPr>
      <w:r w:rsidRPr="009B4396">
        <w:rPr>
          <w:rFonts w:eastAsiaTheme="minorEastAsia" w:cstheme="minorHAnsi"/>
          <w:lang w:val="en-AU"/>
        </w:rPr>
        <w:t xml:space="preserve">- </w:t>
      </w:r>
      <w:r w:rsidR="0014628E">
        <w:rPr>
          <w:rFonts w:eastAsiaTheme="minorEastAsia" w:cstheme="minorHAnsi"/>
          <w:lang w:val="en-AU"/>
        </w:rPr>
        <w:t xml:space="preserve"> </w:t>
      </w:r>
      <w:r w:rsidRPr="009B4396">
        <w:rPr>
          <w:rFonts w:eastAsiaTheme="minorEastAsia" w:cstheme="minorHAnsi"/>
          <w:lang w:val="en-AU"/>
        </w:rPr>
        <w:t>NDIA managers and staff.</w:t>
      </w:r>
    </w:p>
    <w:p w:rsidR="00FD3E69" w:rsidRDefault="00FD3E69" w:rsidP="00B97A09">
      <w:pPr>
        <w:spacing w:before="240" w:after="240"/>
        <w:rPr>
          <w:rFonts w:eastAsiaTheme="minorEastAsia" w:cstheme="minorHAnsi"/>
          <w:lang w:val="en-AU"/>
        </w:rPr>
      </w:pPr>
      <w:r w:rsidRPr="009B4396">
        <w:rPr>
          <w:rFonts w:eastAsiaTheme="minorEastAsia" w:cstheme="minorHAnsi"/>
          <w:lang w:val="en-AU"/>
        </w:rPr>
        <w:t xml:space="preserve">These interviews collected impressions and assessments of the progress and achievements of the early implementation of the NDIS.  </w:t>
      </w:r>
    </w:p>
    <w:p w:rsidR="00D907AF" w:rsidRPr="00AD6720" w:rsidRDefault="00D907AF" w:rsidP="00B97A09">
      <w:pPr>
        <w:spacing w:before="240" w:after="240"/>
        <w:rPr>
          <w:rFonts w:cstheme="minorHAnsi"/>
          <w:b/>
        </w:rPr>
      </w:pPr>
      <w:r w:rsidRPr="00AD6720">
        <w:rPr>
          <w:rFonts w:cstheme="minorHAnsi"/>
          <w:b/>
        </w:rPr>
        <w:t>Interviews with People with Disability, and their Families and Carers</w:t>
      </w:r>
    </w:p>
    <w:p w:rsidR="00D907AF" w:rsidRDefault="00D907AF" w:rsidP="00D907AF">
      <w:r>
        <w:t xml:space="preserve">Interviews were conducted with 62 NDIS participants, and family members and carers in the five trial sites. The interviews targeted people who had already moved into the scheme and commenced or completed the NDIS plan preparation and implementation.  Recruitment for the interviews targeted people with a range of disabilities, including about a third who were living with </w:t>
      </w:r>
      <w:r w:rsidRPr="0052591D">
        <w:t>a developmental condition</w:t>
      </w:r>
      <w:r>
        <w:t xml:space="preserve">, </w:t>
      </w:r>
      <w:r w:rsidRPr="0052591D">
        <w:t>a quarter</w:t>
      </w:r>
      <w:r>
        <w:t xml:space="preserve"> experiencing a </w:t>
      </w:r>
      <w:r w:rsidRPr="0052591D">
        <w:t>neurological or brain condition</w:t>
      </w:r>
      <w:r>
        <w:t>, and</w:t>
      </w:r>
      <w:r w:rsidRPr="0052591D">
        <w:t xml:space="preserve"> </w:t>
      </w:r>
      <w:r>
        <w:t xml:space="preserve">a fifth </w:t>
      </w:r>
      <w:r w:rsidRPr="0052591D">
        <w:t>living with an intellectual disability</w:t>
      </w:r>
      <w:r>
        <w:t>.</w:t>
      </w:r>
    </w:p>
    <w:p w:rsidR="00D907AF" w:rsidRDefault="00D907AF" w:rsidP="00D907AF"/>
    <w:p w:rsidR="00D907AF" w:rsidRDefault="00D907AF" w:rsidP="00D907AF">
      <w:r>
        <w:t>Key findings were:</w:t>
      </w:r>
    </w:p>
    <w:p w:rsidR="00D907AF" w:rsidRDefault="00D907AF" w:rsidP="00D907AF"/>
    <w:p w:rsidR="00D907AF" w:rsidRDefault="00D907AF" w:rsidP="00DB74CD">
      <w:pPr>
        <w:pStyle w:val="ListParagraph"/>
        <w:numPr>
          <w:ilvl w:val="0"/>
          <w:numId w:val="6"/>
        </w:numPr>
      </w:pPr>
      <w:r>
        <w:t>Respondents explained that their disability had an adverse impact on their health, and social and economic participation. The NDIS was seen as an opportunity for improving</w:t>
      </w:r>
      <w:r w:rsidR="00FD3E69">
        <w:t xml:space="preserve"> their</w:t>
      </w:r>
      <w:r>
        <w:t xml:space="preserve"> lives and increasing social activities, but there had also been uncertainty as to how eligibility for the Scheme was going to be assessed.</w:t>
      </w:r>
    </w:p>
    <w:p w:rsidR="00DB74CD" w:rsidRDefault="00DB74CD" w:rsidP="00DB74CD">
      <w:pPr>
        <w:pStyle w:val="ListParagraph"/>
        <w:ind w:left="360"/>
      </w:pPr>
    </w:p>
    <w:p w:rsidR="00DB74CD" w:rsidRDefault="00D907AF" w:rsidP="00DB74CD">
      <w:pPr>
        <w:pStyle w:val="ListParagraph"/>
        <w:numPr>
          <w:ilvl w:val="0"/>
          <w:numId w:val="6"/>
        </w:numPr>
      </w:pPr>
      <w:r>
        <w:t>Experiences of transitioning into the NDIS were varied. Communications with the NDIA and the latter’s responsiveness to public enquiries were described as problematic, in particular in the early stages of the trial.</w:t>
      </w:r>
    </w:p>
    <w:p w:rsidR="00DB74CD" w:rsidRDefault="00DB74CD" w:rsidP="00DB74CD"/>
    <w:p w:rsidR="00D907AF" w:rsidRPr="00191811" w:rsidRDefault="00D907AF" w:rsidP="00DB74CD">
      <w:pPr>
        <w:pStyle w:val="ListParagraph"/>
        <w:numPr>
          <w:ilvl w:val="0"/>
          <w:numId w:val="6"/>
        </w:numPr>
      </w:pPr>
      <w:r w:rsidRPr="00191811">
        <w:t xml:space="preserve">NDIS participants often found the </w:t>
      </w:r>
      <w:r w:rsidR="00136A8A">
        <w:t xml:space="preserve">new </w:t>
      </w:r>
      <w:r w:rsidRPr="00191811">
        <w:t>experience of plan development overwhelming</w:t>
      </w:r>
      <w:r w:rsidR="0012742B">
        <w:t>.</w:t>
      </w:r>
      <w:r w:rsidR="00136A8A">
        <w:t xml:space="preserve"> Participants valued the support given by the</w:t>
      </w:r>
      <w:r w:rsidRPr="00191811">
        <w:t xml:space="preserve"> NDIS planner</w:t>
      </w:r>
      <w:r w:rsidR="00136A8A">
        <w:t>s</w:t>
      </w:r>
      <w:r w:rsidR="00DB3691">
        <w:t xml:space="preserve"> </w:t>
      </w:r>
      <w:r w:rsidRPr="00191811">
        <w:t>but also occasionally found</w:t>
      </w:r>
      <w:r w:rsidR="00136A8A">
        <w:t xml:space="preserve"> </w:t>
      </w:r>
      <w:r w:rsidRPr="00191811">
        <w:t>planners</w:t>
      </w:r>
      <w:r w:rsidR="001A2314">
        <w:t xml:space="preserve"> lacked specialist</w:t>
      </w:r>
      <w:r w:rsidRPr="00191811">
        <w:t xml:space="preserve"> disability expertise. NDIS participants would have liked the opportunity to involve advocates in </w:t>
      </w:r>
      <w:r w:rsidR="001A2314">
        <w:t xml:space="preserve">developing their </w:t>
      </w:r>
      <w:r w:rsidRPr="00191811">
        <w:t>plan.</w:t>
      </w:r>
    </w:p>
    <w:p w:rsidR="00DB74CD" w:rsidRDefault="00DB74CD" w:rsidP="00DB74CD"/>
    <w:p w:rsidR="00D907AF" w:rsidRDefault="00B17727" w:rsidP="00DB74CD">
      <w:pPr>
        <w:pStyle w:val="ListParagraph"/>
        <w:numPr>
          <w:ilvl w:val="0"/>
          <w:numId w:val="6"/>
        </w:numPr>
      </w:pPr>
      <w:r>
        <w:t>Many participants</w:t>
      </w:r>
      <w:r w:rsidR="00017C6E">
        <w:t xml:space="preserve"> typically</w:t>
      </w:r>
      <w:r>
        <w:t xml:space="preserve"> limited their plan to retaining existing services and service providers. </w:t>
      </w:r>
      <w:r w:rsidR="00D907AF">
        <w:t>NDIS participants would have welcomed better information about plan and provider options from the NDIA to strengthen their choice and control.</w:t>
      </w:r>
    </w:p>
    <w:p w:rsidR="00DB74CD" w:rsidRDefault="00DB74CD" w:rsidP="00DB74CD"/>
    <w:p w:rsidR="00D907AF" w:rsidRDefault="00FD3E69" w:rsidP="00DB74CD">
      <w:pPr>
        <w:pStyle w:val="ListParagraph"/>
        <w:numPr>
          <w:ilvl w:val="0"/>
          <w:numId w:val="6"/>
        </w:numPr>
      </w:pPr>
      <w:r w:rsidRPr="00FD3E69">
        <w:rPr>
          <w:lang w:val="en-AU"/>
        </w:rPr>
        <w:t>For some family members and carers, the NDIS was reported to have reduced the financial stress and strain often associated with supporting a person living with disability.</w:t>
      </w:r>
      <w:r>
        <w:rPr>
          <w:lang w:val="en-AU"/>
        </w:rPr>
        <w:t xml:space="preserve"> </w:t>
      </w:r>
      <w:r w:rsidR="00D907AF">
        <w:t>Some participants felt that the NDIS was beginning to provide them with more opportunities for developing independence and personal skills, and engaging in new activities.</w:t>
      </w:r>
    </w:p>
    <w:p w:rsidR="003C476E" w:rsidRDefault="003C476E">
      <w:pPr>
        <w:rPr>
          <w:b/>
        </w:rPr>
      </w:pPr>
      <w:r>
        <w:rPr>
          <w:b/>
        </w:rPr>
        <w:br w:type="page"/>
      </w:r>
    </w:p>
    <w:p w:rsidR="00D907AF" w:rsidRPr="00B97A09" w:rsidRDefault="00D907AF" w:rsidP="00B97A09">
      <w:pPr>
        <w:spacing w:before="240" w:after="240"/>
        <w:rPr>
          <w:b/>
        </w:rPr>
      </w:pPr>
      <w:r w:rsidRPr="00B97A09">
        <w:rPr>
          <w:b/>
        </w:rPr>
        <w:lastRenderedPageBreak/>
        <w:t>Interviews with Disability Service Providers</w:t>
      </w:r>
    </w:p>
    <w:p w:rsidR="00D907AF" w:rsidRDefault="00D907AF" w:rsidP="00D907AF">
      <w:pPr>
        <w:spacing w:before="120" w:after="120"/>
        <w:rPr>
          <w:rFonts w:cstheme="minorHAnsi"/>
          <w:szCs w:val="18"/>
        </w:rPr>
      </w:pPr>
      <w:r w:rsidRPr="00FA217D">
        <w:rPr>
          <w:rFonts w:cstheme="minorHAnsi"/>
          <w:szCs w:val="18"/>
        </w:rPr>
        <w:t>Interviews were conducted with five NDIA-registered disability service providers in each of the trial sites</w:t>
      </w:r>
      <w:r w:rsidR="00DA3768">
        <w:rPr>
          <w:rFonts w:cstheme="minorHAnsi"/>
          <w:szCs w:val="18"/>
        </w:rPr>
        <w:t xml:space="preserve"> between September and November 2014. Interviews were undertaken with</w:t>
      </w:r>
      <w:r w:rsidRPr="00FA217D">
        <w:rPr>
          <w:rFonts w:cstheme="minorHAnsi"/>
          <w:szCs w:val="18"/>
        </w:rPr>
        <w:t xml:space="preserve"> employers of </w:t>
      </w:r>
      <w:r w:rsidR="00951F51">
        <w:rPr>
          <w:rFonts w:cstheme="minorHAnsi"/>
          <w:szCs w:val="18"/>
        </w:rPr>
        <w:t>‘</w:t>
      </w:r>
      <w:r w:rsidRPr="00FA217D">
        <w:rPr>
          <w:rFonts w:cstheme="minorHAnsi"/>
          <w:szCs w:val="18"/>
        </w:rPr>
        <w:t>P</w:t>
      </w:r>
      <w:r w:rsidR="00FD3E69">
        <w:rPr>
          <w:rFonts w:cstheme="minorHAnsi"/>
          <w:szCs w:val="18"/>
        </w:rPr>
        <w:t xml:space="preserve">ay as you </w:t>
      </w:r>
      <w:r w:rsidR="009B4396">
        <w:rPr>
          <w:rFonts w:cstheme="minorHAnsi"/>
          <w:szCs w:val="18"/>
        </w:rPr>
        <w:t>g</w:t>
      </w:r>
      <w:r w:rsidR="00FD3E69">
        <w:rPr>
          <w:rFonts w:cstheme="minorHAnsi"/>
          <w:szCs w:val="18"/>
        </w:rPr>
        <w:t>o</w:t>
      </w:r>
      <w:r w:rsidR="00951F51">
        <w:rPr>
          <w:rFonts w:cstheme="minorHAnsi"/>
          <w:szCs w:val="18"/>
        </w:rPr>
        <w:t>’ (PAYG)</w:t>
      </w:r>
      <w:r w:rsidRPr="00FA217D">
        <w:rPr>
          <w:rFonts w:cstheme="minorHAnsi"/>
          <w:szCs w:val="18"/>
        </w:rPr>
        <w:t xml:space="preserve"> workers, brokered workers and self-employed sole providers. Selective sampling ensured that the types of disability service providers broadly reflected the characteristics of the types of disability services provided in each trial site. Providers varied in size and were operating primarily in the trial state. </w:t>
      </w:r>
    </w:p>
    <w:p w:rsidR="00D907AF" w:rsidRPr="00FA217D" w:rsidRDefault="00D907AF" w:rsidP="00D907AF">
      <w:pPr>
        <w:spacing w:before="120" w:after="120"/>
        <w:rPr>
          <w:rFonts w:cstheme="minorHAnsi"/>
          <w:szCs w:val="18"/>
        </w:rPr>
      </w:pPr>
      <w:r>
        <w:rPr>
          <w:rFonts w:cstheme="minorHAnsi"/>
          <w:szCs w:val="18"/>
        </w:rPr>
        <w:t>Key findings:</w:t>
      </w:r>
    </w:p>
    <w:p w:rsidR="00D907AF" w:rsidRDefault="00FD3E69" w:rsidP="00DB74CD">
      <w:pPr>
        <w:pStyle w:val="ListParagraph"/>
        <w:numPr>
          <w:ilvl w:val="0"/>
          <w:numId w:val="7"/>
        </w:numPr>
        <w:rPr>
          <w:rFonts w:cstheme="minorHAnsi"/>
          <w:szCs w:val="18"/>
        </w:rPr>
      </w:pPr>
      <w:r>
        <w:rPr>
          <w:rFonts w:cstheme="minorHAnsi"/>
          <w:szCs w:val="18"/>
        </w:rPr>
        <w:t>In common</w:t>
      </w:r>
      <w:r w:rsidR="00D907AF" w:rsidRPr="00A00A19">
        <w:rPr>
          <w:rFonts w:cstheme="minorHAnsi"/>
          <w:szCs w:val="18"/>
        </w:rPr>
        <w:t xml:space="preserve"> with </w:t>
      </w:r>
      <w:r>
        <w:rPr>
          <w:rFonts w:cstheme="minorHAnsi"/>
          <w:szCs w:val="18"/>
        </w:rPr>
        <w:t xml:space="preserve">people with </w:t>
      </w:r>
      <w:r w:rsidR="00D907AF" w:rsidRPr="00A00A19">
        <w:rPr>
          <w:rFonts w:cstheme="minorHAnsi"/>
          <w:szCs w:val="18"/>
        </w:rPr>
        <w:t xml:space="preserve">disability, disability service providers shared many positive expectations of the NDIS, but also expressed concern about the impact it would have on their businesses and activities. </w:t>
      </w:r>
      <w:r w:rsidRPr="00FD3E69">
        <w:rPr>
          <w:rFonts w:cstheme="minorHAnsi"/>
          <w:szCs w:val="18"/>
          <w:lang w:val="en-AU"/>
        </w:rPr>
        <w:t>Some of these concerns appeared to be confirmed during the early implementation of the NDIS</w:t>
      </w:r>
      <w:r w:rsidR="00637D4D">
        <w:rPr>
          <w:rFonts w:cstheme="minorHAnsi"/>
          <w:szCs w:val="18"/>
          <w:lang w:val="en-AU"/>
        </w:rPr>
        <w:t>—</w:t>
      </w:r>
      <w:r w:rsidR="00817673">
        <w:rPr>
          <w:rFonts w:cstheme="minorHAnsi"/>
          <w:szCs w:val="18"/>
          <w:lang w:val="en-AU"/>
        </w:rPr>
        <w:t>f</w:t>
      </w:r>
      <w:r w:rsidRPr="00FD3E69">
        <w:rPr>
          <w:rFonts w:cstheme="minorHAnsi"/>
          <w:szCs w:val="18"/>
          <w:lang w:val="en-AU"/>
        </w:rPr>
        <w:t>or example</w:t>
      </w:r>
      <w:r w:rsidR="00637D4D">
        <w:rPr>
          <w:rFonts w:cstheme="minorHAnsi"/>
          <w:szCs w:val="18"/>
          <w:lang w:val="en-AU"/>
        </w:rPr>
        <w:t>,</w:t>
      </w:r>
      <w:r w:rsidRPr="00FD3E69">
        <w:rPr>
          <w:rFonts w:cstheme="minorHAnsi"/>
          <w:szCs w:val="18"/>
          <w:lang w:val="en-AU"/>
        </w:rPr>
        <w:t xml:space="preserve"> </w:t>
      </w:r>
      <w:r w:rsidR="00817673">
        <w:rPr>
          <w:rFonts w:cstheme="minorHAnsi"/>
          <w:szCs w:val="18"/>
          <w:lang w:val="en-AU"/>
        </w:rPr>
        <w:t xml:space="preserve">when </w:t>
      </w:r>
      <w:r w:rsidRPr="00FD3E69">
        <w:rPr>
          <w:rFonts w:cstheme="minorHAnsi"/>
          <w:szCs w:val="18"/>
          <w:lang w:val="en-AU"/>
        </w:rPr>
        <w:t>relationships between providers were reported as becoming less collaborative</w:t>
      </w:r>
      <w:r w:rsidR="00817673">
        <w:rPr>
          <w:rFonts w:cstheme="minorHAnsi"/>
          <w:szCs w:val="18"/>
          <w:lang w:val="en-AU"/>
        </w:rPr>
        <w:t xml:space="preserve">. However, feedback about later stages of the roll-out suggested a </w:t>
      </w:r>
      <w:r w:rsidR="004E1721">
        <w:rPr>
          <w:rFonts w:cstheme="minorHAnsi"/>
          <w:szCs w:val="18"/>
          <w:lang w:val="en-AU"/>
        </w:rPr>
        <w:t xml:space="preserve">cautious </w:t>
      </w:r>
      <w:r w:rsidRPr="00FD3E69">
        <w:rPr>
          <w:rFonts w:cstheme="minorHAnsi"/>
          <w:szCs w:val="18"/>
          <w:lang w:val="en-AU"/>
        </w:rPr>
        <w:t xml:space="preserve">return to a more </w:t>
      </w:r>
      <w:r w:rsidR="00817673">
        <w:rPr>
          <w:rFonts w:cstheme="minorHAnsi"/>
          <w:szCs w:val="18"/>
          <w:lang w:val="en-AU"/>
        </w:rPr>
        <w:t>colla</w:t>
      </w:r>
      <w:r w:rsidRPr="00FD3E69">
        <w:rPr>
          <w:rFonts w:cstheme="minorHAnsi"/>
          <w:szCs w:val="18"/>
          <w:lang w:val="en-AU"/>
        </w:rPr>
        <w:t xml:space="preserve">borative environment, </w:t>
      </w:r>
      <w:r w:rsidR="00951F51">
        <w:rPr>
          <w:rFonts w:cstheme="minorHAnsi"/>
          <w:szCs w:val="18"/>
          <w:lang w:val="en-AU"/>
        </w:rPr>
        <w:t xml:space="preserve">and </w:t>
      </w:r>
      <w:r w:rsidR="00817673">
        <w:rPr>
          <w:rFonts w:cstheme="minorHAnsi"/>
          <w:szCs w:val="18"/>
          <w:lang w:val="en-AU"/>
        </w:rPr>
        <w:t xml:space="preserve">that disability services providers were more </w:t>
      </w:r>
      <w:r w:rsidR="004E1721">
        <w:rPr>
          <w:rFonts w:cstheme="minorHAnsi"/>
          <w:szCs w:val="18"/>
          <w:lang w:val="en-AU"/>
        </w:rPr>
        <w:t xml:space="preserve">commonly </w:t>
      </w:r>
      <w:r w:rsidRPr="00FD3E69">
        <w:rPr>
          <w:rFonts w:cstheme="minorHAnsi"/>
          <w:szCs w:val="18"/>
          <w:lang w:val="en-AU"/>
        </w:rPr>
        <w:t>exchanging experiences and shared learning of the NDIS.</w:t>
      </w:r>
    </w:p>
    <w:p w:rsidR="00DB74CD" w:rsidRPr="00A00A19" w:rsidRDefault="00DB74CD" w:rsidP="00DB74CD">
      <w:pPr>
        <w:pStyle w:val="ListParagraph"/>
        <w:ind w:left="360"/>
        <w:rPr>
          <w:rFonts w:cstheme="minorHAnsi"/>
          <w:szCs w:val="18"/>
        </w:rPr>
      </w:pPr>
    </w:p>
    <w:p w:rsidR="00DB74CD" w:rsidRDefault="00D907AF" w:rsidP="00DB74CD">
      <w:pPr>
        <w:pStyle w:val="ListParagraph"/>
        <w:numPr>
          <w:ilvl w:val="0"/>
          <w:numId w:val="7"/>
        </w:numPr>
        <w:rPr>
          <w:rFonts w:cstheme="minorHAnsi"/>
          <w:szCs w:val="18"/>
        </w:rPr>
      </w:pPr>
      <w:r w:rsidRPr="0076509D">
        <w:rPr>
          <w:rFonts w:cstheme="minorHAnsi"/>
          <w:szCs w:val="18"/>
        </w:rPr>
        <w:t>Provider</w:t>
      </w:r>
      <w:r>
        <w:rPr>
          <w:rFonts w:cstheme="minorHAnsi"/>
          <w:szCs w:val="18"/>
        </w:rPr>
        <w:t>s</w:t>
      </w:r>
      <w:r w:rsidRPr="0076509D">
        <w:rPr>
          <w:rFonts w:cstheme="minorHAnsi"/>
          <w:szCs w:val="18"/>
        </w:rPr>
        <w:t xml:space="preserve"> </w:t>
      </w:r>
      <w:r>
        <w:rPr>
          <w:rFonts w:cstheme="minorHAnsi"/>
          <w:szCs w:val="18"/>
        </w:rPr>
        <w:t xml:space="preserve">were worried that the NDIA’s </w:t>
      </w:r>
      <w:r w:rsidRPr="0076509D">
        <w:rPr>
          <w:rFonts w:cstheme="minorHAnsi"/>
          <w:szCs w:val="18"/>
        </w:rPr>
        <w:t xml:space="preserve">payment-in-arrears system </w:t>
      </w:r>
      <w:r>
        <w:rPr>
          <w:rFonts w:cstheme="minorHAnsi"/>
          <w:szCs w:val="18"/>
        </w:rPr>
        <w:t xml:space="preserve">would threaten the </w:t>
      </w:r>
      <w:r w:rsidR="00DB3691">
        <w:rPr>
          <w:rFonts w:cstheme="minorHAnsi"/>
          <w:szCs w:val="18"/>
        </w:rPr>
        <w:t xml:space="preserve">financial </w:t>
      </w:r>
      <w:r>
        <w:rPr>
          <w:rFonts w:cstheme="minorHAnsi"/>
          <w:szCs w:val="18"/>
        </w:rPr>
        <w:t xml:space="preserve">viability of smaller providers. </w:t>
      </w:r>
      <w:r w:rsidR="00FD3E69" w:rsidRPr="00FD3E69">
        <w:rPr>
          <w:rFonts w:cstheme="minorHAnsi"/>
          <w:szCs w:val="18"/>
          <w:lang w:val="en-AU"/>
        </w:rPr>
        <w:t>Providers reported undertaking increasing amounts of unfunded work, including administrative tasks to comply with NDIA regulations, and having less funding available for fixed costs (e.g. property maintenance) or staff training and development.</w:t>
      </w:r>
      <w:r>
        <w:rPr>
          <w:rFonts w:cstheme="minorHAnsi"/>
          <w:szCs w:val="18"/>
        </w:rPr>
        <w:t xml:space="preserve"> The NDIS pricing structure was also criticised for not allowing full cost recovery.</w:t>
      </w:r>
    </w:p>
    <w:p w:rsidR="00DB74CD" w:rsidRPr="00DB74CD" w:rsidRDefault="00DB74CD" w:rsidP="00DB74CD">
      <w:pPr>
        <w:rPr>
          <w:rFonts w:cstheme="minorHAnsi"/>
          <w:szCs w:val="18"/>
        </w:rPr>
      </w:pPr>
    </w:p>
    <w:p w:rsidR="00D907AF" w:rsidRPr="00DB74CD" w:rsidRDefault="00D907AF" w:rsidP="00DB74CD">
      <w:pPr>
        <w:pStyle w:val="ListParagraph"/>
        <w:numPr>
          <w:ilvl w:val="0"/>
          <w:numId w:val="7"/>
        </w:numPr>
        <w:rPr>
          <w:rFonts w:cstheme="minorHAnsi"/>
          <w:i/>
          <w:szCs w:val="18"/>
        </w:rPr>
      </w:pPr>
      <w:r w:rsidRPr="001157AF">
        <w:rPr>
          <w:rFonts w:cstheme="minorHAnsi"/>
          <w:szCs w:val="18"/>
        </w:rPr>
        <w:t xml:space="preserve">In order to keep </w:t>
      </w:r>
      <w:r>
        <w:rPr>
          <w:rFonts w:cstheme="minorHAnsi"/>
          <w:szCs w:val="18"/>
        </w:rPr>
        <w:t xml:space="preserve">up </w:t>
      </w:r>
      <w:r w:rsidRPr="001157AF">
        <w:rPr>
          <w:rFonts w:cstheme="minorHAnsi"/>
          <w:szCs w:val="18"/>
        </w:rPr>
        <w:t>with the structural changes brought about by the NDIS, providers had begun to change</w:t>
      </w:r>
      <w:r>
        <w:rPr>
          <w:rFonts w:cstheme="minorHAnsi"/>
          <w:szCs w:val="18"/>
        </w:rPr>
        <w:t xml:space="preserve"> their</w:t>
      </w:r>
      <w:r w:rsidRPr="001157AF">
        <w:rPr>
          <w:rFonts w:cstheme="minorHAnsi"/>
          <w:szCs w:val="18"/>
        </w:rPr>
        <w:t xml:space="preserve"> administrative systems</w:t>
      </w:r>
      <w:r>
        <w:rPr>
          <w:rFonts w:cstheme="minorHAnsi"/>
          <w:szCs w:val="18"/>
        </w:rPr>
        <w:t>,</w:t>
      </w:r>
      <w:r w:rsidRPr="001157AF">
        <w:rPr>
          <w:rFonts w:cstheme="minorHAnsi"/>
          <w:szCs w:val="18"/>
        </w:rPr>
        <w:t xml:space="preserve"> </w:t>
      </w:r>
      <w:r>
        <w:rPr>
          <w:rFonts w:cstheme="minorHAnsi"/>
          <w:szCs w:val="18"/>
        </w:rPr>
        <w:t xml:space="preserve">including </w:t>
      </w:r>
      <w:r w:rsidRPr="001157AF">
        <w:rPr>
          <w:rFonts w:cstheme="minorHAnsi"/>
          <w:szCs w:val="18"/>
        </w:rPr>
        <w:t>finance, pay, rostering and data systems</w:t>
      </w:r>
      <w:r>
        <w:rPr>
          <w:rFonts w:cstheme="minorHAnsi"/>
          <w:szCs w:val="18"/>
        </w:rPr>
        <w:t>.</w:t>
      </w:r>
    </w:p>
    <w:p w:rsidR="00DB74CD" w:rsidRPr="00DB74CD" w:rsidRDefault="00DB74CD" w:rsidP="00DB74CD">
      <w:pPr>
        <w:rPr>
          <w:rFonts w:cstheme="minorHAnsi"/>
          <w:i/>
          <w:szCs w:val="18"/>
        </w:rPr>
      </w:pPr>
    </w:p>
    <w:p w:rsidR="00D907AF" w:rsidRDefault="00D907AF" w:rsidP="00DB74CD">
      <w:pPr>
        <w:pStyle w:val="ListParagraph"/>
        <w:numPr>
          <w:ilvl w:val="0"/>
          <w:numId w:val="7"/>
        </w:numPr>
        <w:ind w:right="851"/>
        <w:rPr>
          <w:rFonts w:cstheme="minorHAnsi"/>
          <w:szCs w:val="18"/>
        </w:rPr>
      </w:pPr>
      <w:r w:rsidRPr="00682762">
        <w:rPr>
          <w:rFonts w:cstheme="minorHAnsi"/>
          <w:szCs w:val="18"/>
        </w:rPr>
        <w:t>According to providers, NDIS clients were increasingly seeking individualised rather than group-based services, in particular requesting supports for independent living in the home. Some providers felt that delivering fewer group-based services may risk reducing social participation opportunities for NDIS participants</w:t>
      </w:r>
      <w:r>
        <w:rPr>
          <w:rFonts w:cstheme="minorHAnsi"/>
          <w:szCs w:val="18"/>
        </w:rPr>
        <w:t>.</w:t>
      </w:r>
    </w:p>
    <w:p w:rsidR="00DB74CD" w:rsidRPr="00DB74CD" w:rsidRDefault="00DB74CD" w:rsidP="00DB74CD">
      <w:pPr>
        <w:ind w:right="851"/>
        <w:rPr>
          <w:rFonts w:cstheme="minorHAnsi"/>
          <w:szCs w:val="18"/>
        </w:rPr>
      </w:pPr>
    </w:p>
    <w:p w:rsidR="00D907AF" w:rsidRDefault="00D907AF" w:rsidP="00DB74CD">
      <w:pPr>
        <w:pStyle w:val="ListParagraph"/>
        <w:numPr>
          <w:ilvl w:val="0"/>
          <w:numId w:val="7"/>
        </w:numPr>
        <w:ind w:right="851"/>
        <w:rPr>
          <w:rFonts w:cstheme="minorHAnsi"/>
          <w:szCs w:val="18"/>
        </w:rPr>
      </w:pPr>
      <w:r w:rsidRPr="00682762">
        <w:rPr>
          <w:rFonts w:cstheme="minorHAnsi"/>
          <w:szCs w:val="18"/>
        </w:rPr>
        <w:t>Providers reported more competition for staff since the implementation of the NDIS</w:t>
      </w:r>
      <w:r>
        <w:rPr>
          <w:rFonts w:cstheme="minorHAnsi"/>
          <w:szCs w:val="18"/>
        </w:rPr>
        <w:t xml:space="preserve"> trial, in particular </w:t>
      </w:r>
      <w:r w:rsidR="00FF1187">
        <w:rPr>
          <w:rFonts w:cstheme="minorHAnsi"/>
          <w:szCs w:val="18"/>
        </w:rPr>
        <w:t xml:space="preserve">from </w:t>
      </w:r>
      <w:r>
        <w:rPr>
          <w:rFonts w:cstheme="minorHAnsi"/>
          <w:szCs w:val="18"/>
        </w:rPr>
        <w:t xml:space="preserve">the NDIA, which was able to offer better terms and conditions. While some providers responded by improving training and staffing flexibility within the organisation, they still felt </w:t>
      </w:r>
      <w:r w:rsidRPr="000221F1">
        <w:rPr>
          <w:rFonts w:cstheme="minorHAnsi"/>
          <w:szCs w:val="18"/>
        </w:rPr>
        <w:t xml:space="preserve">staff </w:t>
      </w:r>
      <w:r>
        <w:rPr>
          <w:rFonts w:cstheme="minorHAnsi"/>
          <w:szCs w:val="18"/>
        </w:rPr>
        <w:t xml:space="preserve">might leave because of a </w:t>
      </w:r>
      <w:r w:rsidRPr="000221F1">
        <w:rPr>
          <w:rFonts w:cstheme="minorHAnsi"/>
          <w:szCs w:val="18"/>
        </w:rPr>
        <w:t xml:space="preserve">change </w:t>
      </w:r>
      <w:r>
        <w:rPr>
          <w:rFonts w:cstheme="minorHAnsi"/>
          <w:szCs w:val="18"/>
        </w:rPr>
        <w:t xml:space="preserve">in </w:t>
      </w:r>
      <w:r w:rsidRPr="000221F1">
        <w:rPr>
          <w:rFonts w:cstheme="minorHAnsi"/>
          <w:szCs w:val="18"/>
        </w:rPr>
        <w:t xml:space="preserve">the values and ethos of </w:t>
      </w:r>
      <w:r>
        <w:rPr>
          <w:rFonts w:cstheme="minorHAnsi"/>
          <w:szCs w:val="18"/>
        </w:rPr>
        <w:t xml:space="preserve">disability </w:t>
      </w:r>
      <w:r w:rsidRPr="000221F1">
        <w:rPr>
          <w:rFonts w:cstheme="minorHAnsi"/>
          <w:szCs w:val="18"/>
        </w:rPr>
        <w:t>service provision</w:t>
      </w:r>
      <w:r>
        <w:rPr>
          <w:rFonts w:cstheme="minorHAnsi"/>
          <w:szCs w:val="18"/>
        </w:rPr>
        <w:t xml:space="preserve"> under the NDIS</w:t>
      </w:r>
      <w:r w:rsidRPr="000221F1">
        <w:rPr>
          <w:rFonts w:cstheme="minorHAnsi"/>
          <w:szCs w:val="18"/>
        </w:rPr>
        <w:t>.</w:t>
      </w:r>
    </w:p>
    <w:p w:rsidR="00DB74CD" w:rsidRPr="00DB74CD" w:rsidRDefault="00DB74CD" w:rsidP="00DB74CD">
      <w:pPr>
        <w:ind w:right="851"/>
        <w:rPr>
          <w:rFonts w:cstheme="minorHAnsi"/>
          <w:szCs w:val="18"/>
        </w:rPr>
      </w:pPr>
    </w:p>
    <w:p w:rsidR="00D907AF" w:rsidRDefault="00D907AF" w:rsidP="00DB74CD">
      <w:pPr>
        <w:pStyle w:val="ListParagraph"/>
        <w:numPr>
          <w:ilvl w:val="0"/>
          <w:numId w:val="7"/>
        </w:numPr>
        <w:ind w:right="851"/>
        <w:rPr>
          <w:rFonts w:cstheme="minorHAnsi"/>
          <w:szCs w:val="18"/>
        </w:rPr>
      </w:pPr>
      <w:r w:rsidRPr="00682762">
        <w:rPr>
          <w:rFonts w:cstheme="minorHAnsi"/>
          <w:szCs w:val="18"/>
        </w:rPr>
        <w:t xml:space="preserve">Disability service providers appreciated </w:t>
      </w:r>
      <w:r>
        <w:rPr>
          <w:rFonts w:cstheme="minorHAnsi"/>
          <w:szCs w:val="18"/>
        </w:rPr>
        <w:t xml:space="preserve">recent </w:t>
      </w:r>
      <w:r w:rsidRPr="00682762">
        <w:rPr>
          <w:rFonts w:cstheme="minorHAnsi"/>
          <w:szCs w:val="18"/>
        </w:rPr>
        <w:t xml:space="preserve">opportunities to </w:t>
      </w:r>
      <w:r>
        <w:rPr>
          <w:rFonts w:cstheme="minorHAnsi"/>
          <w:szCs w:val="18"/>
        </w:rPr>
        <w:t>participate in</w:t>
      </w:r>
      <w:r w:rsidRPr="00682762">
        <w:rPr>
          <w:rFonts w:cstheme="minorHAnsi"/>
          <w:szCs w:val="18"/>
        </w:rPr>
        <w:t xml:space="preserve"> the planning process with individual clients</w:t>
      </w:r>
      <w:r>
        <w:rPr>
          <w:rFonts w:cstheme="minorHAnsi"/>
          <w:szCs w:val="18"/>
        </w:rPr>
        <w:t xml:space="preserve"> and </w:t>
      </w:r>
      <w:r w:rsidRPr="00682762">
        <w:rPr>
          <w:rFonts w:cstheme="minorHAnsi"/>
          <w:szCs w:val="18"/>
        </w:rPr>
        <w:t xml:space="preserve">to advocate </w:t>
      </w:r>
      <w:r>
        <w:rPr>
          <w:rFonts w:cstheme="minorHAnsi"/>
          <w:szCs w:val="18"/>
        </w:rPr>
        <w:t xml:space="preserve">on </w:t>
      </w:r>
      <w:r w:rsidRPr="00682762">
        <w:rPr>
          <w:rFonts w:cstheme="minorHAnsi"/>
          <w:szCs w:val="18"/>
        </w:rPr>
        <w:t>their clients</w:t>
      </w:r>
      <w:r>
        <w:rPr>
          <w:rFonts w:cstheme="minorHAnsi"/>
          <w:szCs w:val="18"/>
        </w:rPr>
        <w:t>’ behalf</w:t>
      </w:r>
      <w:r w:rsidRPr="00682762">
        <w:rPr>
          <w:rFonts w:cstheme="minorHAnsi"/>
          <w:szCs w:val="18"/>
        </w:rPr>
        <w:t xml:space="preserve">. </w:t>
      </w:r>
      <w:r>
        <w:rPr>
          <w:rFonts w:cstheme="minorHAnsi"/>
          <w:szCs w:val="18"/>
        </w:rPr>
        <w:t xml:space="preserve">Providers questioned whether bureaucracy in the NDIS was making it more difficult for </w:t>
      </w:r>
      <w:r w:rsidRPr="004D558E">
        <w:rPr>
          <w:rFonts w:cstheme="minorHAnsi"/>
          <w:szCs w:val="18"/>
        </w:rPr>
        <w:t xml:space="preserve">people with disability </w:t>
      </w:r>
      <w:r>
        <w:rPr>
          <w:rFonts w:cstheme="minorHAnsi"/>
          <w:szCs w:val="18"/>
        </w:rPr>
        <w:t>to navigate</w:t>
      </w:r>
      <w:r w:rsidRPr="004D558E">
        <w:rPr>
          <w:rFonts w:cstheme="minorHAnsi"/>
          <w:szCs w:val="18"/>
        </w:rPr>
        <w:t xml:space="preserve"> the disability supports environment. </w:t>
      </w:r>
    </w:p>
    <w:p w:rsidR="00D907AF" w:rsidRPr="00B97A09" w:rsidRDefault="002B5C78" w:rsidP="00B97A09">
      <w:pPr>
        <w:spacing w:before="240" w:after="240"/>
        <w:rPr>
          <w:b/>
        </w:rPr>
      </w:pPr>
      <w:r>
        <w:rPr>
          <w:b/>
        </w:rPr>
        <w:t xml:space="preserve">Interviews with </w:t>
      </w:r>
      <w:r w:rsidR="00D907AF" w:rsidRPr="00B97A09">
        <w:rPr>
          <w:b/>
        </w:rPr>
        <w:t>Disability Workforce Stakeholder Organisations</w:t>
      </w:r>
    </w:p>
    <w:p w:rsidR="00D907AF" w:rsidRDefault="00D907AF" w:rsidP="00D907AF">
      <w:r>
        <w:t>Senior personnel of 15 disability workforce stakeholder organisations were interviewed</w:t>
      </w:r>
      <w:r w:rsidR="00DA3768">
        <w:t xml:space="preserve"> between September and December 2014</w:t>
      </w:r>
      <w:r>
        <w:t xml:space="preserve">. The organisations represented a mix of occupations and workforces supporting people with disability. </w:t>
      </w:r>
    </w:p>
    <w:p w:rsidR="00D907AF" w:rsidRDefault="00D907AF" w:rsidP="00D907AF"/>
    <w:p w:rsidR="003C476E" w:rsidRDefault="003C476E">
      <w:r>
        <w:br w:type="page"/>
      </w:r>
    </w:p>
    <w:p w:rsidR="00D907AF" w:rsidRDefault="00FF1187" w:rsidP="00D907AF">
      <w:r>
        <w:lastRenderedPageBreak/>
        <w:t>Key findings were</w:t>
      </w:r>
      <w:r w:rsidR="00D907AF">
        <w:t>:</w:t>
      </w:r>
    </w:p>
    <w:p w:rsidR="00D907AF" w:rsidRDefault="00D907AF" w:rsidP="00D907AF"/>
    <w:p w:rsidR="00D907AF" w:rsidRDefault="00D907AF" w:rsidP="00685BE5">
      <w:pPr>
        <w:pStyle w:val="ListParagraph"/>
        <w:numPr>
          <w:ilvl w:val="0"/>
          <w:numId w:val="8"/>
        </w:numPr>
      </w:pPr>
      <w:r>
        <w:t>The disability workforce shared many of the high expectations of the NDIS already reported</w:t>
      </w:r>
      <w:r w:rsidR="00FF1187">
        <w:t xml:space="preserve"> by</w:t>
      </w:r>
      <w:r>
        <w:t xml:space="preserve"> people with disability and disability support providers. Extra funding under the NDIS was anticipated to benefit support users and the sector, generating more diverse service options, greater service flexibility and enhanced person-centred care.</w:t>
      </w:r>
    </w:p>
    <w:p w:rsidR="00DB74CD" w:rsidRDefault="00DB74CD" w:rsidP="00DB74CD">
      <w:pPr>
        <w:pStyle w:val="ListParagraph"/>
        <w:ind w:left="360"/>
      </w:pPr>
    </w:p>
    <w:p w:rsidR="00DB74CD" w:rsidRDefault="00D907AF" w:rsidP="00BC6287">
      <w:pPr>
        <w:pStyle w:val="ListParagraph"/>
        <w:numPr>
          <w:ilvl w:val="0"/>
          <w:numId w:val="8"/>
        </w:numPr>
        <w:spacing w:after="240"/>
      </w:pPr>
      <w:r>
        <w:t>Expectations were more muted as to the impact of the scheme on working conditions. Stakeholders were concerned that competition between providers might force disability service providers to reduce their operating costs, lower wages, use more temporary and casual staff, or weaken career structures. Stakeholders were also concerned that staff training and professional development might be cut back.</w:t>
      </w:r>
    </w:p>
    <w:p w:rsidR="00D907AF" w:rsidRDefault="00D907AF" w:rsidP="00685BE5">
      <w:pPr>
        <w:pStyle w:val="ListParagraph"/>
        <w:numPr>
          <w:ilvl w:val="0"/>
          <w:numId w:val="8"/>
        </w:numPr>
      </w:pPr>
      <w:r>
        <w:t xml:space="preserve">To date few significant changes since the introduction of the NDIS were reported. Some accounts pointed to disability providers proactively engaging with the new systems of service delivery, combining specialist disability services with other provisions, brokered in collaboration with mainstream and third sector organisations. </w:t>
      </w:r>
    </w:p>
    <w:p w:rsidR="00DB74CD" w:rsidRDefault="00DB74CD" w:rsidP="00DB74CD"/>
    <w:p w:rsidR="00D907AF" w:rsidRDefault="00D907AF" w:rsidP="00685BE5">
      <w:pPr>
        <w:pStyle w:val="ListParagraph"/>
        <w:numPr>
          <w:ilvl w:val="0"/>
          <w:numId w:val="8"/>
        </w:numPr>
      </w:pPr>
      <w:r>
        <w:t xml:space="preserve">Stakeholders were concerned about state </w:t>
      </w:r>
      <w:r w:rsidR="001A4268">
        <w:t xml:space="preserve">and territory </w:t>
      </w:r>
      <w:r>
        <w:t xml:space="preserve">governments withdrawing from the provision of disability services before other providers were ready to meet increasing demand. </w:t>
      </w:r>
    </w:p>
    <w:p w:rsidR="00DB74CD" w:rsidRDefault="00DB74CD" w:rsidP="00DB74CD"/>
    <w:p w:rsidR="00DB74CD" w:rsidRDefault="00D907AF" w:rsidP="00CE1B06">
      <w:pPr>
        <w:pStyle w:val="ListParagraph"/>
        <w:numPr>
          <w:ilvl w:val="0"/>
          <w:numId w:val="8"/>
        </w:numPr>
        <w:spacing w:after="240"/>
      </w:pPr>
      <w:r>
        <w:t>Workforce stakeholders observed that providers were finding it difficult to transition from the old block funding system to the new individualised funding model of the NDIS. The viability of smaller providers was perceived to be at risk as NDIA determined prices were not matching the costs of service delivery.</w:t>
      </w:r>
    </w:p>
    <w:p w:rsidR="00DB74CD" w:rsidRDefault="00D907AF" w:rsidP="00CE1B06">
      <w:pPr>
        <w:pStyle w:val="ListParagraph"/>
        <w:numPr>
          <w:ilvl w:val="0"/>
          <w:numId w:val="8"/>
        </w:numPr>
        <w:spacing w:after="240"/>
      </w:pPr>
      <w:r>
        <w:t xml:space="preserve">In particular trade unions and those aligned to allied health felt distant from the NDIA. Few had been in direct contact with the NDIA, at </w:t>
      </w:r>
      <w:r w:rsidR="001A4268">
        <w:t xml:space="preserve">the </w:t>
      </w:r>
      <w:r>
        <w:t>federal or state office level. Many were disappointed not to have been consulted prior to the start of the NDIS trial.</w:t>
      </w:r>
    </w:p>
    <w:p w:rsidR="00D907AF" w:rsidRDefault="00D907AF" w:rsidP="00685BE5">
      <w:pPr>
        <w:pStyle w:val="ListParagraph"/>
        <w:numPr>
          <w:ilvl w:val="0"/>
          <w:numId w:val="8"/>
        </w:numPr>
      </w:pPr>
      <w:r>
        <w:t xml:space="preserve">The workforce organisations felt they could offer a valuable interface between the disability and the mainstream sector, because they were engaged in health, mental health, education and aged care, as well as disability services. </w:t>
      </w:r>
    </w:p>
    <w:p w:rsidR="00D907AF" w:rsidRPr="003E2395" w:rsidRDefault="002B5C78" w:rsidP="003E2395">
      <w:pPr>
        <w:spacing w:before="240" w:after="240"/>
        <w:rPr>
          <w:b/>
        </w:rPr>
      </w:pPr>
      <w:r>
        <w:rPr>
          <w:b/>
        </w:rPr>
        <w:t xml:space="preserve">Interviews with </w:t>
      </w:r>
      <w:r w:rsidR="00D907AF" w:rsidRPr="003E2395">
        <w:rPr>
          <w:b/>
        </w:rPr>
        <w:t>NDIA managers and staff</w:t>
      </w:r>
    </w:p>
    <w:p w:rsidR="00D907AF" w:rsidRDefault="00D907AF" w:rsidP="007427A6">
      <w:pPr>
        <w:spacing w:after="240"/>
      </w:pPr>
      <w:r>
        <w:t>Forty-six NDIA staff</w:t>
      </w:r>
      <w:r w:rsidRPr="000D3CC5">
        <w:t xml:space="preserve"> </w:t>
      </w:r>
      <w:r>
        <w:t xml:space="preserve">across the original five trial sites were interviewed </w:t>
      </w:r>
      <w:r w:rsidRPr="000D3CC5">
        <w:t>between October 2014 and</w:t>
      </w:r>
      <w:r>
        <w:t xml:space="preserve"> April 2015, including managerial and operational staff, and practitioners.</w:t>
      </w:r>
    </w:p>
    <w:p w:rsidR="00D907AF" w:rsidRDefault="00D907AF" w:rsidP="007427A6">
      <w:pPr>
        <w:spacing w:after="240"/>
      </w:pPr>
      <w:r>
        <w:t>Key findings were:</w:t>
      </w:r>
    </w:p>
    <w:p w:rsidR="00D907AF" w:rsidRDefault="00D907AF" w:rsidP="00685BE5">
      <w:pPr>
        <w:pStyle w:val="ListParagraph"/>
        <w:numPr>
          <w:ilvl w:val="0"/>
          <w:numId w:val="9"/>
        </w:numPr>
      </w:pPr>
      <w:r w:rsidRPr="00C16678">
        <w:t>NDIA</w:t>
      </w:r>
      <w:r w:rsidR="00857869">
        <w:t xml:space="preserve"> staff who participated in the e</w:t>
      </w:r>
      <w:r w:rsidRPr="00C16678">
        <w:t xml:space="preserve">valuation reflected positively </w:t>
      </w:r>
      <w:r>
        <w:t xml:space="preserve">on </w:t>
      </w:r>
      <w:r w:rsidRPr="00C16678">
        <w:t xml:space="preserve">the </w:t>
      </w:r>
      <w:r>
        <w:t xml:space="preserve">achievements of the </w:t>
      </w:r>
      <w:r w:rsidRPr="00C16678">
        <w:t>NDIS and the NDIA to-date</w:t>
      </w:r>
      <w:r>
        <w:t>, although the initial set up had been difficult and, some felt, rushed.</w:t>
      </w:r>
    </w:p>
    <w:p w:rsidR="00DB74CD" w:rsidRDefault="00DB74CD" w:rsidP="00DB74CD">
      <w:pPr>
        <w:pStyle w:val="ListParagraph"/>
        <w:ind w:left="360"/>
      </w:pPr>
    </w:p>
    <w:p w:rsidR="00DB74CD" w:rsidRDefault="00D907AF" w:rsidP="00EA4425">
      <w:pPr>
        <w:pStyle w:val="ListParagraph"/>
        <w:numPr>
          <w:ilvl w:val="0"/>
          <w:numId w:val="9"/>
        </w:numPr>
        <w:spacing w:after="240"/>
      </w:pPr>
      <w:r>
        <w:t xml:space="preserve">The rapid launch of the trial meant </w:t>
      </w:r>
      <w:r w:rsidRPr="009E0B6A">
        <w:t xml:space="preserve">that policies and procedures </w:t>
      </w:r>
      <w:r>
        <w:t>had not been</w:t>
      </w:r>
      <w:r w:rsidRPr="009E0B6A">
        <w:t xml:space="preserve"> in place to guide staff and to assist NDIS participants, and their families and carers</w:t>
      </w:r>
      <w:r>
        <w:t>. C</w:t>
      </w:r>
      <w:r w:rsidRPr="00C16678">
        <w:t xml:space="preserve">onsiderable </w:t>
      </w:r>
      <w:r>
        <w:t xml:space="preserve">resources were </w:t>
      </w:r>
      <w:r w:rsidRPr="00C16678">
        <w:t xml:space="preserve">invested </w:t>
      </w:r>
      <w:r>
        <w:t>to develop and improve</w:t>
      </w:r>
      <w:r w:rsidRPr="00C16678">
        <w:t xml:space="preserve"> policies and procedures</w:t>
      </w:r>
      <w:r>
        <w:t xml:space="preserve"> </w:t>
      </w:r>
      <w:r w:rsidRPr="00C16678">
        <w:t>over time</w:t>
      </w:r>
      <w:r>
        <w:t>, making them more consistent</w:t>
      </w:r>
      <w:r w:rsidRPr="00C16678">
        <w:t>.</w:t>
      </w:r>
    </w:p>
    <w:p w:rsidR="00DB74CD" w:rsidRDefault="00D907AF" w:rsidP="00EA4425">
      <w:pPr>
        <w:pStyle w:val="ListParagraph"/>
        <w:numPr>
          <w:ilvl w:val="0"/>
          <w:numId w:val="9"/>
        </w:numPr>
        <w:spacing w:after="240"/>
      </w:pPr>
      <w:r>
        <w:t xml:space="preserve">The absence of process guidelines within the NDIA at the start of </w:t>
      </w:r>
      <w:r w:rsidR="001A4268">
        <w:t xml:space="preserve">the </w:t>
      </w:r>
      <w:r>
        <w:t xml:space="preserve">trial was said to have adversely affected NDIS </w:t>
      </w:r>
      <w:r w:rsidRPr="008E2B7F">
        <w:t xml:space="preserve">eligibility </w:t>
      </w:r>
      <w:r>
        <w:t>determinations and plan development processes. Both were felt</w:t>
      </w:r>
      <w:r w:rsidRPr="008E2B7F">
        <w:t xml:space="preserve"> </w:t>
      </w:r>
      <w:r>
        <w:t>to have improved over time.</w:t>
      </w:r>
    </w:p>
    <w:p w:rsidR="00D907AF" w:rsidRDefault="00D907AF" w:rsidP="00685BE5">
      <w:pPr>
        <w:pStyle w:val="ListParagraph"/>
        <w:numPr>
          <w:ilvl w:val="0"/>
          <w:numId w:val="9"/>
        </w:numPr>
      </w:pPr>
      <w:r>
        <w:lastRenderedPageBreak/>
        <w:t xml:space="preserve">Transitioning into the NDIS proved problematic </w:t>
      </w:r>
      <w:r w:rsidRPr="00746DCB">
        <w:t xml:space="preserve">in the early stages </w:t>
      </w:r>
      <w:r>
        <w:t xml:space="preserve">because of a lack of quality information about potentially NDIS-eligible people with disability. Information technology essential for the effective operation of such a complex project was also found inadequate, resulting in increased administrative burden placed on planners, </w:t>
      </w:r>
      <w:r w:rsidRPr="00052E49">
        <w:t>Plan Support Coordinators</w:t>
      </w:r>
      <w:r w:rsidRPr="00DB214B">
        <w:t xml:space="preserve"> </w:t>
      </w:r>
      <w:r w:rsidR="00375A60">
        <w:t xml:space="preserve">and Local Area Coordinators. </w:t>
      </w:r>
      <w:r>
        <w:t>Pressure on staff, due to this and other workload commitments, was described as very high, often at stress level.</w:t>
      </w:r>
    </w:p>
    <w:p w:rsidR="00DB74CD" w:rsidRDefault="00DB74CD" w:rsidP="00DB74CD"/>
    <w:p w:rsidR="00D907AF" w:rsidRDefault="00D907AF" w:rsidP="00685BE5">
      <w:pPr>
        <w:pStyle w:val="ListParagraph"/>
        <w:numPr>
          <w:ilvl w:val="0"/>
          <w:numId w:val="9"/>
        </w:numPr>
      </w:pPr>
      <w:r>
        <w:t>These pressures affected efforts to engage with</w:t>
      </w:r>
      <w:r w:rsidRPr="00746DCB">
        <w:t xml:space="preserve"> </w:t>
      </w:r>
      <w:r>
        <w:t xml:space="preserve">specific </w:t>
      </w:r>
      <w:r w:rsidRPr="00746DCB">
        <w:t>population</w:t>
      </w:r>
      <w:r>
        <w:t>s</w:t>
      </w:r>
      <w:r w:rsidRPr="00746DCB">
        <w:t xml:space="preserve">, </w:t>
      </w:r>
      <w:r>
        <w:t xml:space="preserve">including </w:t>
      </w:r>
      <w:r w:rsidRPr="00746DCB">
        <w:t xml:space="preserve">people with </w:t>
      </w:r>
      <w:r>
        <w:t>psychosocial</w:t>
      </w:r>
      <w:r w:rsidRPr="00746DCB">
        <w:t xml:space="preserve"> d</w:t>
      </w:r>
      <w:r w:rsidR="00D26992">
        <w:t>isabilities</w:t>
      </w:r>
      <w:r w:rsidR="00FF1187">
        <w:t>,</w:t>
      </w:r>
      <w:r w:rsidR="00D26992">
        <w:t xml:space="preserve"> and those from culturally and linguistically diverse</w:t>
      </w:r>
      <w:r w:rsidRPr="00746DCB">
        <w:t xml:space="preserve"> or </w:t>
      </w:r>
      <w:r w:rsidR="001A4268">
        <w:t>I</w:t>
      </w:r>
      <w:r w:rsidRPr="00746DCB">
        <w:t xml:space="preserve">ndigenous backgrounds. </w:t>
      </w:r>
      <w:r>
        <w:t>Specialist training that could have helped NDIA staff to connect with these target populations was described as inadequate and too generic.</w:t>
      </w:r>
    </w:p>
    <w:p w:rsidR="00DB74CD" w:rsidRDefault="00DB74CD" w:rsidP="00DB74CD"/>
    <w:p w:rsidR="00D907AF" w:rsidRDefault="001A4268" w:rsidP="00685BE5">
      <w:pPr>
        <w:pStyle w:val="ListParagraph"/>
        <w:numPr>
          <w:ilvl w:val="0"/>
          <w:numId w:val="9"/>
        </w:numPr>
      </w:pPr>
      <w:r>
        <w:t xml:space="preserve">NDIA staff felt that </w:t>
      </w:r>
      <w:r w:rsidR="00D907AF" w:rsidRPr="00DD21F4">
        <w:t>NDIS participants</w:t>
      </w:r>
      <w:r w:rsidR="00D907AF">
        <w:t xml:space="preserve"> were </w:t>
      </w:r>
      <w:r>
        <w:t>having difficulties adapting</w:t>
      </w:r>
      <w:r w:rsidR="00D907AF">
        <w:t xml:space="preserve"> to the NDIS, </w:t>
      </w:r>
      <w:r w:rsidR="00FF1187">
        <w:t>particularly in regards</w:t>
      </w:r>
      <w:r w:rsidR="00D907AF">
        <w:t xml:space="preserve"> to thinking about goals and aspirations. </w:t>
      </w:r>
      <w:r w:rsidR="00FF1187" w:rsidRPr="00FF1187">
        <w:rPr>
          <w:lang w:val="en-AU"/>
        </w:rPr>
        <w:t xml:space="preserve">Some argued that the capacity of NDIS participants and their families and carers to negotiate access and to undertake planning and plan implementation </w:t>
      </w:r>
      <w:r w:rsidR="00FF1187">
        <w:rPr>
          <w:lang w:val="en-AU"/>
        </w:rPr>
        <w:t>might have been over-estimated</w:t>
      </w:r>
      <w:r w:rsidR="00D907AF" w:rsidRPr="00DD21F4">
        <w:t>.</w:t>
      </w:r>
      <w:r w:rsidR="00D907AF">
        <w:t xml:space="preserve"> Progress towards articulating or realising more ambitious objectives was not expected until future plan review meeting.</w:t>
      </w:r>
    </w:p>
    <w:p w:rsidR="00DB74CD" w:rsidRDefault="00DB74CD" w:rsidP="00DB74CD"/>
    <w:p w:rsidR="00D907AF" w:rsidRDefault="00D907AF" w:rsidP="00685BE5">
      <w:pPr>
        <w:pStyle w:val="ListParagraph"/>
        <w:numPr>
          <w:ilvl w:val="0"/>
          <w:numId w:val="9"/>
        </w:numPr>
      </w:pPr>
      <w:r>
        <w:t xml:space="preserve">Despite these concerns, </w:t>
      </w:r>
      <w:r w:rsidRPr="008E2B7F">
        <w:t xml:space="preserve">NDIS participants </w:t>
      </w:r>
      <w:r>
        <w:t xml:space="preserve">were now seen to have the right support </w:t>
      </w:r>
      <w:r w:rsidRPr="008E2B7F">
        <w:t xml:space="preserve">plans. There was </w:t>
      </w:r>
      <w:r>
        <w:t xml:space="preserve">also </w:t>
      </w:r>
      <w:r w:rsidRPr="008E2B7F">
        <w:t xml:space="preserve">agreement </w:t>
      </w:r>
      <w:r>
        <w:t xml:space="preserve">that the then emerging </w:t>
      </w:r>
      <w:r w:rsidRPr="008E2B7F">
        <w:t xml:space="preserve">pre-planning sessions with new </w:t>
      </w:r>
      <w:r>
        <w:t xml:space="preserve">NDIS </w:t>
      </w:r>
      <w:r w:rsidRPr="008E2B7F">
        <w:t>participants</w:t>
      </w:r>
      <w:r>
        <w:t xml:space="preserve"> were of considerable value to the plan development process.</w:t>
      </w:r>
    </w:p>
    <w:p w:rsidR="008A7749" w:rsidRDefault="008A7749" w:rsidP="001032EF">
      <w:pPr>
        <w:pStyle w:val="ListParagraph"/>
      </w:pPr>
    </w:p>
    <w:p w:rsidR="008A7749" w:rsidRDefault="008A7749" w:rsidP="00685BE5">
      <w:pPr>
        <w:pStyle w:val="ListParagraph"/>
        <w:numPr>
          <w:ilvl w:val="0"/>
          <w:numId w:val="9"/>
        </w:numPr>
      </w:pPr>
      <w:r w:rsidRPr="00C262D4">
        <w:t xml:space="preserve">The take up of fully self-managed funding options was reported to be low. NDIA staff felt that the time pressure </w:t>
      </w:r>
      <w:r w:rsidR="001A4268">
        <w:t>that</w:t>
      </w:r>
      <w:r w:rsidR="001A4268" w:rsidRPr="00C262D4">
        <w:t xml:space="preserve"> </w:t>
      </w:r>
      <w:r w:rsidRPr="00C262D4">
        <w:t>they were operating under prevented them from dedicating more resources</w:t>
      </w:r>
      <w:r w:rsidRPr="00FF1187">
        <w:rPr>
          <w:lang w:val="en-AU"/>
        </w:rPr>
        <w:t xml:space="preserve"> towards assisting people with learning about and understanding self-managed funding.</w:t>
      </w:r>
    </w:p>
    <w:p w:rsidR="008A7749" w:rsidRDefault="008A7749" w:rsidP="001032EF">
      <w:pPr>
        <w:tabs>
          <w:tab w:val="left" w:pos="1623"/>
        </w:tabs>
      </w:pPr>
    </w:p>
    <w:p w:rsidR="006155A0" w:rsidRDefault="00D907AF" w:rsidP="00685BE5">
      <w:pPr>
        <w:pStyle w:val="ListParagraph"/>
        <w:numPr>
          <w:ilvl w:val="0"/>
          <w:numId w:val="9"/>
        </w:numPr>
      </w:pPr>
      <w:r>
        <w:t>D</w:t>
      </w:r>
      <w:r w:rsidRPr="00410D9C">
        <w:t xml:space="preserve">isability service providers, it was felt, were finding it hard to adapt to the </w:t>
      </w:r>
      <w:r>
        <w:t>changing</w:t>
      </w:r>
      <w:r w:rsidRPr="00410D9C">
        <w:t xml:space="preserve"> policy environment</w:t>
      </w:r>
      <w:r>
        <w:t>, although progress was said to be evident</w:t>
      </w:r>
      <w:r w:rsidRPr="00410D9C">
        <w:t xml:space="preserve">. </w:t>
      </w:r>
      <w:r w:rsidR="00FF1187" w:rsidRPr="00FF1187">
        <w:rPr>
          <w:lang w:val="en-AU"/>
        </w:rPr>
        <w:t>Many NDIA staff described the sector as still being slow to move from block to individualised funding.</w:t>
      </w:r>
      <w:r w:rsidR="00FF1187">
        <w:rPr>
          <w:lang w:val="en-AU"/>
        </w:rPr>
        <w:t xml:space="preserve"> </w:t>
      </w:r>
      <w:r>
        <w:t xml:space="preserve">More recently, </w:t>
      </w:r>
      <w:r w:rsidRPr="00410D9C">
        <w:t xml:space="preserve">disputes about pricing structures </w:t>
      </w:r>
      <w:r>
        <w:t>were described to be complicating</w:t>
      </w:r>
      <w:r w:rsidRPr="00410D9C">
        <w:t xml:space="preserve"> </w:t>
      </w:r>
      <w:r>
        <w:t xml:space="preserve">NDIS plan development and </w:t>
      </w:r>
      <w:r w:rsidRPr="00410D9C">
        <w:t xml:space="preserve">plan implementation. </w:t>
      </w:r>
    </w:p>
    <w:p w:rsidR="006155A0" w:rsidRDefault="006155A0">
      <w:r>
        <w:br w:type="page"/>
      </w:r>
    </w:p>
    <w:p w:rsidR="00653EAA" w:rsidRPr="00EC2C19" w:rsidRDefault="00653EAA" w:rsidP="00830604">
      <w:pPr>
        <w:rPr>
          <w:b/>
          <w:sz w:val="26"/>
          <w:szCs w:val="26"/>
          <w:lang w:val="en-AU" w:eastAsia="zh-CN"/>
        </w:rPr>
      </w:pPr>
      <w:r w:rsidRPr="00367B24">
        <w:rPr>
          <w:b/>
          <w:sz w:val="26"/>
          <w:szCs w:val="26"/>
          <w:lang w:val="en-AU" w:eastAsia="zh-CN"/>
        </w:rPr>
        <w:lastRenderedPageBreak/>
        <w:t>The NDIS Survey of People with Disability, and their Families and Car</w:t>
      </w:r>
      <w:r w:rsidRPr="00EC2C19">
        <w:rPr>
          <w:b/>
          <w:sz w:val="26"/>
          <w:szCs w:val="26"/>
          <w:lang w:val="en-AU" w:eastAsia="zh-CN"/>
        </w:rPr>
        <w:t>ers</w:t>
      </w:r>
    </w:p>
    <w:p w:rsidR="00653EAA" w:rsidRPr="008A7C80" w:rsidRDefault="00653EAA" w:rsidP="00830604">
      <w:pPr>
        <w:rPr>
          <w:rFonts w:ascii="Calibri" w:hAnsi="Calibri" w:cs="Calibri"/>
          <w:lang w:eastAsia="zh-CN"/>
        </w:rPr>
      </w:pPr>
    </w:p>
    <w:p w:rsidR="00653EAA" w:rsidRPr="008A7C80" w:rsidRDefault="00FF1187" w:rsidP="00830604">
      <w:pPr>
        <w:rPr>
          <w:rFonts w:ascii="Calibri" w:hAnsi="Calibri" w:cs="Calibri"/>
        </w:rPr>
      </w:pPr>
      <w:r w:rsidRPr="00FF1187">
        <w:rPr>
          <w:rFonts w:ascii="Calibri" w:hAnsi="Calibri" w:cs="Calibri"/>
          <w:lang w:val="en-AU"/>
        </w:rPr>
        <w:t>The NDIS survey of people with disability, and their families and carers has been designed to help us understand how the lives of people with disability, and their families and carers</w:t>
      </w:r>
      <w:r w:rsidR="001A4268">
        <w:rPr>
          <w:rFonts w:ascii="Calibri" w:hAnsi="Calibri" w:cs="Calibri"/>
          <w:lang w:val="en-AU"/>
        </w:rPr>
        <w:t>,</w:t>
      </w:r>
      <w:r w:rsidRPr="00FF1187">
        <w:rPr>
          <w:rFonts w:ascii="Calibri" w:hAnsi="Calibri" w:cs="Calibri"/>
          <w:lang w:val="en-AU"/>
        </w:rPr>
        <w:t xml:space="preserve"> have been affected by the roll-out of the NDIS</w:t>
      </w:r>
      <w:r>
        <w:rPr>
          <w:rFonts w:ascii="Calibri" w:hAnsi="Calibri" w:cs="Calibri"/>
          <w:lang w:val="en-AU"/>
        </w:rPr>
        <w:t>.</w:t>
      </w:r>
      <w:r w:rsidR="00653EAA" w:rsidRPr="008A7C80">
        <w:rPr>
          <w:rFonts w:ascii="Calibri" w:hAnsi="Calibri" w:cs="Calibri"/>
        </w:rPr>
        <w:t xml:space="preserve"> The survey</w:t>
      </w:r>
      <w:r>
        <w:rPr>
          <w:rFonts w:ascii="Calibri" w:hAnsi="Calibri" w:cs="Calibri"/>
        </w:rPr>
        <w:t xml:space="preserve"> follows</w:t>
      </w:r>
      <w:r w:rsidR="00653EAA" w:rsidRPr="008A7C80">
        <w:rPr>
          <w:rFonts w:ascii="Calibri" w:hAnsi="Calibri" w:cs="Calibri"/>
        </w:rPr>
        <w:t xml:space="preserve"> a two-wave longitudinal design and focuses on information that will help the </w:t>
      </w:r>
      <w:r w:rsidR="004E07C3">
        <w:rPr>
          <w:rFonts w:ascii="Calibri" w:hAnsi="Calibri" w:cs="Calibri"/>
        </w:rPr>
        <w:t>e</w:t>
      </w:r>
      <w:r w:rsidR="00006A5E">
        <w:rPr>
          <w:rFonts w:ascii="Calibri" w:hAnsi="Calibri" w:cs="Calibri"/>
        </w:rPr>
        <w:t>valuation</w:t>
      </w:r>
      <w:r w:rsidR="00653EAA" w:rsidRPr="008A7C80">
        <w:rPr>
          <w:rFonts w:ascii="Calibri" w:hAnsi="Calibri" w:cs="Calibri"/>
        </w:rPr>
        <w:t xml:space="preserve"> answer its core policy logic questions. </w:t>
      </w:r>
    </w:p>
    <w:p w:rsidR="00653EAA" w:rsidRPr="008A7C80" w:rsidRDefault="00653EAA" w:rsidP="00830604">
      <w:pPr>
        <w:spacing w:before="240" w:after="240"/>
        <w:rPr>
          <w:rFonts w:ascii="Calibri" w:hAnsi="Calibri" w:cs="Calibri"/>
          <w:b/>
        </w:rPr>
      </w:pPr>
      <w:r w:rsidRPr="008A7C80">
        <w:rPr>
          <w:rFonts w:ascii="Calibri" w:hAnsi="Calibri" w:cs="Calibri"/>
          <w:b/>
        </w:rPr>
        <w:t>Design and development</w:t>
      </w:r>
    </w:p>
    <w:p w:rsidR="00653EAA" w:rsidRPr="008A7C80" w:rsidRDefault="00653EAA" w:rsidP="00830604">
      <w:pPr>
        <w:rPr>
          <w:rFonts w:ascii="Calibri" w:hAnsi="Calibri" w:cs="Calibri"/>
        </w:rPr>
      </w:pPr>
      <w:r w:rsidRPr="008A7C80">
        <w:rPr>
          <w:rFonts w:ascii="Calibri" w:hAnsi="Calibri" w:cs="Calibri"/>
        </w:rPr>
        <w:t xml:space="preserve">The objective of the survey design is: first, to collect information on the changes that happened to NDIS participants in the trial sites; second, to collect information on the changes that happened to NDIS non-participants in areas that are not affected by the NDIS yet; and finally, to help measure the difference in the change that happened to NDIS participants with that </w:t>
      </w:r>
      <w:r w:rsidR="00FF1187">
        <w:rPr>
          <w:rFonts w:ascii="Calibri" w:hAnsi="Calibri" w:cs="Calibri"/>
        </w:rPr>
        <w:t>of</w:t>
      </w:r>
      <w:r w:rsidRPr="008A7C80">
        <w:rPr>
          <w:rFonts w:ascii="Calibri" w:hAnsi="Calibri" w:cs="Calibri"/>
        </w:rPr>
        <w:t xml:space="preserve"> NDIS non-participants. This method is called difference-in-difference. By using this methodology we can measure the impact of the NDIS in the trial sites.</w:t>
      </w:r>
    </w:p>
    <w:p w:rsidR="00653EAA" w:rsidRPr="008A7C80" w:rsidRDefault="00653EAA" w:rsidP="00830604">
      <w:pPr>
        <w:rPr>
          <w:rFonts w:ascii="Calibri" w:hAnsi="Calibri" w:cs="Calibri"/>
        </w:rPr>
      </w:pPr>
    </w:p>
    <w:p w:rsidR="00653EAA" w:rsidRPr="008A7C80" w:rsidRDefault="00653EAA" w:rsidP="00AF5E38">
      <w:pPr>
        <w:pStyle w:val="ListParagraph"/>
        <w:numPr>
          <w:ilvl w:val="0"/>
          <w:numId w:val="23"/>
        </w:numPr>
        <w:ind w:left="360"/>
        <w:rPr>
          <w:rFonts w:ascii="Calibri" w:hAnsi="Calibri" w:cs="Calibri"/>
        </w:rPr>
      </w:pPr>
      <w:r w:rsidRPr="008A7C80">
        <w:rPr>
          <w:rFonts w:ascii="Calibri" w:hAnsi="Calibri" w:cs="Calibri"/>
        </w:rPr>
        <w:t>The survey is being conducted in all trial sites and also includes a comparison group which comprises people with disability, and their families and carers who would have been NDIS participants if they were living within the trial sites. Following the NDIS trial design, the sample composition of the survey participants differs by site.</w:t>
      </w:r>
    </w:p>
    <w:p w:rsidR="00653EAA" w:rsidRPr="008A7C80" w:rsidRDefault="00653EAA" w:rsidP="00AD6720">
      <w:pPr>
        <w:ind w:left="360" w:hanging="360"/>
        <w:rPr>
          <w:rFonts w:ascii="Calibri" w:hAnsi="Calibri" w:cs="Calibri"/>
        </w:rPr>
      </w:pPr>
    </w:p>
    <w:p w:rsidR="000F3B01" w:rsidRPr="000F3B01" w:rsidRDefault="000F3B01" w:rsidP="00AF5E38">
      <w:pPr>
        <w:pStyle w:val="ListParagraph"/>
        <w:numPr>
          <w:ilvl w:val="0"/>
          <w:numId w:val="23"/>
        </w:numPr>
        <w:ind w:left="360"/>
        <w:rPr>
          <w:rFonts w:ascii="Calibri" w:hAnsi="Calibri" w:cs="Calibri"/>
          <w:lang w:val="en-AU"/>
        </w:rPr>
      </w:pPr>
      <w:r w:rsidRPr="000F3B01">
        <w:rPr>
          <w:rFonts w:ascii="Calibri" w:hAnsi="Calibri" w:cs="Calibri"/>
          <w:lang w:val="en-AU"/>
        </w:rPr>
        <w:t>The survey follows a mix of opt-out and opt-in consent rules designed to comply with the project’s ethics requirements. These rules have worked well in terms of protecting the ethical integrity of the project’s design, but they have come at the cost of reducing the final number of survey respondents. With the hindsight provided by the first wave collection, it is conceivable that this process could be simplified without loss of integrity for future data collections.</w:t>
      </w:r>
    </w:p>
    <w:p w:rsidR="00653EAA" w:rsidRPr="008A7C80" w:rsidRDefault="00653EAA" w:rsidP="00AD6720">
      <w:pPr>
        <w:ind w:left="360" w:hanging="360"/>
        <w:rPr>
          <w:rFonts w:ascii="Calibri" w:hAnsi="Calibri" w:cs="Calibri"/>
        </w:rPr>
      </w:pPr>
    </w:p>
    <w:p w:rsidR="00653EAA" w:rsidRPr="008A7C80" w:rsidRDefault="00653EAA" w:rsidP="00AF5E38">
      <w:pPr>
        <w:pStyle w:val="ListParagraph"/>
        <w:numPr>
          <w:ilvl w:val="0"/>
          <w:numId w:val="23"/>
        </w:numPr>
        <w:ind w:left="360"/>
        <w:rPr>
          <w:rFonts w:ascii="Calibri" w:hAnsi="Calibri" w:cs="Calibri"/>
        </w:rPr>
      </w:pPr>
      <w:r w:rsidRPr="008A7C80">
        <w:rPr>
          <w:rFonts w:ascii="Calibri" w:hAnsi="Calibri" w:cs="Calibri"/>
        </w:rPr>
        <w:t>The survey uses a specially designed registration process to allow respondents to be approached in their preferred way. They are offered the possibility of a Computer Assisted Telephone Interview (CATI), an online response, a hard copy mail response, and a Face to Face interview. The registration process also allows respondents to provide further information on their disability and</w:t>
      </w:r>
      <w:r>
        <w:rPr>
          <w:rFonts w:ascii="Calibri" w:hAnsi="Calibri" w:cs="Calibri"/>
        </w:rPr>
        <w:t xml:space="preserve"> to</w:t>
      </w:r>
      <w:r w:rsidRPr="008A7C80">
        <w:rPr>
          <w:rFonts w:ascii="Calibri" w:hAnsi="Calibri" w:cs="Calibri"/>
        </w:rPr>
        <w:t xml:space="preserve"> nominate their preferred family member or carer </w:t>
      </w:r>
      <w:r>
        <w:rPr>
          <w:rFonts w:ascii="Calibri" w:hAnsi="Calibri" w:cs="Calibri"/>
        </w:rPr>
        <w:t>to be interviewed</w:t>
      </w:r>
      <w:r w:rsidR="00AD6720">
        <w:rPr>
          <w:rFonts w:ascii="Calibri" w:hAnsi="Calibri" w:cs="Calibri"/>
        </w:rPr>
        <w:t xml:space="preserve"> in</w:t>
      </w:r>
      <w:r>
        <w:rPr>
          <w:rFonts w:ascii="Calibri" w:hAnsi="Calibri" w:cs="Calibri"/>
        </w:rPr>
        <w:t xml:space="preserve"> </w:t>
      </w:r>
      <w:r w:rsidRPr="008A7C80">
        <w:rPr>
          <w:rFonts w:ascii="Calibri" w:hAnsi="Calibri" w:cs="Calibri"/>
        </w:rPr>
        <w:t xml:space="preserve">the families and carers part of the survey. </w:t>
      </w:r>
    </w:p>
    <w:p w:rsidR="00653EAA" w:rsidRPr="008A7C80" w:rsidRDefault="00653EAA" w:rsidP="00AD6720">
      <w:pPr>
        <w:ind w:left="360" w:hanging="360"/>
        <w:rPr>
          <w:rFonts w:ascii="Calibri" w:hAnsi="Calibri" w:cs="Calibri"/>
        </w:rPr>
      </w:pPr>
    </w:p>
    <w:p w:rsidR="00653EAA" w:rsidRPr="008A7C80" w:rsidRDefault="00653EAA" w:rsidP="00AF5E38">
      <w:pPr>
        <w:pStyle w:val="ListParagraph"/>
        <w:numPr>
          <w:ilvl w:val="0"/>
          <w:numId w:val="23"/>
        </w:numPr>
        <w:ind w:left="360"/>
        <w:rPr>
          <w:rFonts w:ascii="Calibri" w:hAnsi="Calibri" w:cs="Calibri"/>
        </w:rPr>
      </w:pPr>
      <w:r w:rsidRPr="008A7C80">
        <w:rPr>
          <w:rFonts w:ascii="Calibri" w:hAnsi="Calibri" w:cs="Calibri"/>
        </w:rPr>
        <w:t xml:space="preserve">The timelines of the survey have been following the timing of the NDIS trial rollout. The slow initial rollout numbers have been mirrored in the initial sample sizes of the survey. Due to the small initial numbers of NDIS participants, the survey’s first wave </w:t>
      </w:r>
      <w:r>
        <w:rPr>
          <w:rFonts w:ascii="Calibri" w:hAnsi="Calibri" w:cs="Calibri"/>
        </w:rPr>
        <w:t>was</w:t>
      </w:r>
      <w:r w:rsidRPr="008A7C80">
        <w:rPr>
          <w:rFonts w:ascii="Calibri" w:hAnsi="Calibri" w:cs="Calibri"/>
        </w:rPr>
        <w:t xml:space="preserve"> divided </w:t>
      </w:r>
      <w:r>
        <w:rPr>
          <w:rFonts w:ascii="Calibri" w:hAnsi="Calibri" w:cs="Calibri"/>
        </w:rPr>
        <w:t xml:space="preserve">chronologically </w:t>
      </w:r>
      <w:r w:rsidRPr="008A7C80">
        <w:rPr>
          <w:rFonts w:ascii="Calibri" w:hAnsi="Calibri" w:cs="Calibri"/>
        </w:rPr>
        <w:t>into three separate samplings</w:t>
      </w:r>
      <w:r>
        <w:rPr>
          <w:rFonts w:ascii="Calibri" w:hAnsi="Calibri" w:cs="Calibri"/>
        </w:rPr>
        <w:t xml:space="preserve">: </w:t>
      </w:r>
      <w:r w:rsidRPr="008A7C80">
        <w:rPr>
          <w:rFonts w:ascii="Calibri" w:hAnsi="Calibri" w:cs="Calibri"/>
        </w:rPr>
        <w:t xml:space="preserve">the first one </w:t>
      </w:r>
      <w:r>
        <w:rPr>
          <w:rFonts w:ascii="Calibri" w:hAnsi="Calibri" w:cs="Calibri"/>
        </w:rPr>
        <w:t xml:space="preserve">happened </w:t>
      </w:r>
      <w:r w:rsidRPr="008A7C80">
        <w:rPr>
          <w:rFonts w:ascii="Calibri" w:hAnsi="Calibri" w:cs="Calibri"/>
        </w:rPr>
        <w:t xml:space="preserve">at the end of 2014, the second in the middle </w:t>
      </w:r>
      <w:r>
        <w:rPr>
          <w:rFonts w:ascii="Calibri" w:hAnsi="Calibri" w:cs="Calibri"/>
        </w:rPr>
        <w:t xml:space="preserve">of 2015 </w:t>
      </w:r>
      <w:r w:rsidR="00FF1187" w:rsidRPr="00FF1187">
        <w:rPr>
          <w:rFonts w:ascii="Calibri" w:hAnsi="Calibri" w:cs="Calibri"/>
          <w:lang w:val="en-AU"/>
        </w:rPr>
        <w:t>with the third sample scheduled to begin in the second half of 2015.</w:t>
      </w:r>
      <w:r w:rsidR="00FF1187">
        <w:rPr>
          <w:rFonts w:ascii="Calibri" w:hAnsi="Calibri" w:cs="Calibri"/>
          <w:lang w:val="en-AU"/>
        </w:rPr>
        <w:t xml:space="preserve"> </w:t>
      </w:r>
      <w:r w:rsidRPr="008A7C80">
        <w:rPr>
          <w:rFonts w:ascii="Calibri" w:hAnsi="Calibri" w:cs="Calibri"/>
        </w:rPr>
        <w:t xml:space="preserve">The third sampling </w:t>
      </w:r>
      <w:r>
        <w:rPr>
          <w:rFonts w:ascii="Calibri" w:hAnsi="Calibri" w:cs="Calibri"/>
        </w:rPr>
        <w:t xml:space="preserve">is timed to </w:t>
      </w:r>
      <w:r w:rsidRPr="008A7C80">
        <w:rPr>
          <w:rFonts w:ascii="Calibri" w:hAnsi="Calibri" w:cs="Calibri"/>
        </w:rPr>
        <w:t xml:space="preserve">happen when the NDIS participation numbers </w:t>
      </w:r>
      <w:r>
        <w:rPr>
          <w:rFonts w:ascii="Calibri" w:hAnsi="Calibri" w:cs="Calibri"/>
        </w:rPr>
        <w:t>are</w:t>
      </w:r>
      <w:r w:rsidRPr="008A7C80">
        <w:rPr>
          <w:rFonts w:ascii="Calibri" w:hAnsi="Calibri" w:cs="Calibri"/>
        </w:rPr>
        <w:t xml:space="preserve"> sufficient to enable the </w:t>
      </w:r>
      <w:r w:rsidR="004E07C3">
        <w:rPr>
          <w:rFonts w:ascii="Calibri" w:hAnsi="Calibri" w:cs="Calibri"/>
        </w:rPr>
        <w:t>e</w:t>
      </w:r>
      <w:r w:rsidR="00006A5E">
        <w:rPr>
          <w:rFonts w:ascii="Calibri" w:hAnsi="Calibri" w:cs="Calibri"/>
        </w:rPr>
        <w:t>valuation</w:t>
      </w:r>
      <w:r w:rsidRPr="008A7C80">
        <w:rPr>
          <w:rFonts w:ascii="Calibri" w:hAnsi="Calibri" w:cs="Calibri"/>
        </w:rPr>
        <w:t xml:space="preserve"> to reach its original targeted sample size</w:t>
      </w:r>
      <w:r>
        <w:rPr>
          <w:rFonts w:ascii="Calibri" w:hAnsi="Calibri" w:cs="Calibri"/>
        </w:rPr>
        <w:t xml:space="preserve"> and get as close as possible to the original composition by state and territory</w:t>
      </w:r>
      <w:r w:rsidRPr="008A7C80">
        <w:rPr>
          <w:rFonts w:ascii="Calibri" w:hAnsi="Calibri" w:cs="Calibri"/>
        </w:rPr>
        <w:t>.</w:t>
      </w:r>
    </w:p>
    <w:p w:rsidR="00653EAA" w:rsidRPr="008A7C80" w:rsidRDefault="00653EAA" w:rsidP="00AD6720">
      <w:pPr>
        <w:pStyle w:val="ListParagraph"/>
        <w:ind w:left="360" w:hanging="360"/>
        <w:rPr>
          <w:rFonts w:ascii="Calibri" w:hAnsi="Calibri" w:cs="Calibri"/>
        </w:rPr>
      </w:pPr>
    </w:p>
    <w:p w:rsidR="00653EAA" w:rsidRPr="008A7C80" w:rsidRDefault="00653EAA" w:rsidP="00AF5E38">
      <w:pPr>
        <w:pStyle w:val="ListParagraph"/>
        <w:numPr>
          <w:ilvl w:val="0"/>
          <w:numId w:val="23"/>
        </w:numPr>
        <w:ind w:left="360"/>
        <w:rPr>
          <w:rFonts w:ascii="Calibri" w:hAnsi="Calibri" w:cs="Calibri"/>
        </w:rPr>
      </w:pPr>
      <w:r w:rsidRPr="008A7C80">
        <w:rPr>
          <w:rFonts w:ascii="Calibri" w:hAnsi="Calibri" w:cs="Calibri"/>
        </w:rPr>
        <w:t xml:space="preserve">The survey </w:t>
      </w:r>
      <w:r>
        <w:rPr>
          <w:rFonts w:ascii="Calibri" w:hAnsi="Calibri" w:cs="Calibri"/>
        </w:rPr>
        <w:t>is divided into two major components</w:t>
      </w:r>
      <w:r w:rsidR="001A4268">
        <w:rPr>
          <w:rFonts w:ascii="Calibri" w:hAnsi="Calibri" w:cs="Calibri"/>
        </w:rPr>
        <w:t>;</w:t>
      </w:r>
      <w:r>
        <w:rPr>
          <w:rFonts w:ascii="Calibri" w:hAnsi="Calibri" w:cs="Calibri"/>
        </w:rPr>
        <w:t xml:space="preserve"> the first one addresses</w:t>
      </w:r>
      <w:r w:rsidRPr="008A7C80">
        <w:rPr>
          <w:rFonts w:ascii="Calibri" w:hAnsi="Calibri" w:cs="Calibri"/>
        </w:rPr>
        <w:t xml:space="preserve"> people with disability and </w:t>
      </w:r>
      <w:r>
        <w:rPr>
          <w:rFonts w:ascii="Calibri" w:hAnsi="Calibri" w:cs="Calibri"/>
        </w:rPr>
        <w:t>the second addresses their</w:t>
      </w:r>
      <w:r w:rsidRPr="008A7C80">
        <w:rPr>
          <w:rFonts w:ascii="Calibri" w:hAnsi="Calibri" w:cs="Calibri"/>
        </w:rPr>
        <w:t xml:space="preserve"> families and carers. The views of both are obtained through different questionnaires.</w:t>
      </w:r>
    </w:p>
    <w:p w:rsidR="0014628E" w:rsidRDefault="0014628E">
      <w:pPr>
        <w:rPr>
          <w:rFonts w:ascii="Calibri" w:hAnsi="Calibri" w:cs="Calibri"/>
          <w:b/>
        </w:rPr>
      </w:pPr>
      <w:r>
        <w:rPr>
          <w:rFonts w:ascii="Calibri" w:hAnsi="Calibri" w:cs="Calibri"/>
          <w:b/>
        </w:rPr>
        <w:br w:type="page"/>
      </w:r>
    </w:p>
    <w:p w:rsidR="00653EAA" w:rsidRPr="008A7C80" w:rsidRDefault="00653EAA" w:rsidP="00830604">
      <w:pPr>
        <w:spacing w:before="240" w:after="240"/>
        <w:rPr>
          <w:rFonts w:ascii="Calibri" w:hAnsi="Calibri" w:cs="Calibri"/>
          <w:b/>
        </w:rPr>
      </w:pPr>
      <w:r w:rsidRPr="008A7C80">
        <w:rPr>
          <w:rFonts w:ascii="Calibri" w:hAnsi="Calibri" w:cs="Calibri"/>
          <w:b/>
        </w:rPr>
        <w:lastRenderedPageBreak/>
        <w:t>Accessibility and design of the survey instruments</w:t>
      </w:r>
    </w:p>
    <w:p w:rsidR="00653EAA" w:rsidRPr="008A7C80" w:rsidRDefault="00AD6720" w:rsidP="00830604">
      <w:pPr>
        <w:rPr>
          <w:rFonts w:ascii="Calibri" w:hAnsi="Calibri" w:cs="Calibri"/>
        </w:rPr>
      </w:pPr>
      <w:r w:rsidRPr="00AD6720">
        <w:rPr>
          <w:rFonts w:ascii="Calibri" w:hAnsi="Calibri" w:cs="Calibri"/>
          <w:lang w:val="en-AU"/>
        </w:rPr>
        <w:t xml:space="preserve">Accessibility is one of the core objectives of the NDIS </w:t>
      </w:r>
      <w:r w:rsidR="00233A9E">
        <w:rPr>
          <w:rFonts w:ascii="Calibri" w:hAnsi="Calibri" w:cs="Calibri"/>
          <w:lang w:val="en-AU"/>
        </w:rPr>
        <w:t>S</w:t>
      </w:r>
      <w:r w:rsidRPr="00AD6720">
        <w:rPr>
          <w:rFonts w:ascii="Calibri" w:hAnsi="Calibri" w:cs="Calibri"/>
          <w:lang w:val="en-AU"/>
        </w:rPr>
        <w:t>urvey. Extensive use was made of accessibility, disability and inclusion experts in order to design questionnaires that are as accessible as possible to complete.</w:t>
      </w:r>
    </w:p>
    <w:p w:rsidR="00653EAA" w:rsidRPr="008A7C80" w:rsidRDefault="00653EAA" w:rsidP="007A3B34">
      <w:pPr>
        <w:rPr>
          <w:rFonts w:ascii="Calibri" w:hAnsi="Calibri" w:cs="Calibri"/>
        </w:rPr>
      </w:pPr>
    </w:p>
    <w:p w:rsidR="006178D8" w:rsidRDefault="006178D8" w:rsidP="00AF5E38">
      <w:pPr>
        <w:pStyle w:val="ListParagraph"/>
        <w:numPr>
          <w:ilvl w:val="0"/>
          <w:numId w:val="24"/>
        </w:numPr>
        <w:ind w:left="360"/>
        <w:rPr>
          <w:rFonts w:ascii="Calibri" w:hAnsi="Calibri" w:cs="Calibri"/>
        </w:rPr>
      </w:pPr>
      <w:r>
        <w:rPr>
          <w:rFonts w:ascii="Calibri" w:hAnsi="Calibri" w:cs="Calibri"/>
        </w:rPr>
        <w:t>In order to facilitate completion, the q</w:t>
      </w:r>
      <w:r w:rsidRPr="008A7C80">
        <w:rPr>
          <w:rFonts w:ascii="Calibri" w:hAnsi="Calibri" w:cs="Calibri"/>
        </w:rPr>
        <w:t>uestionnaires were divided into two parts</w:t>
      </w:r>
      <w:r>
        <w:rPr>
          <w:rFonts w:ascii="Calibri" w:hAnsi="Calibri" w:cs="Calibri"/>
        </w:rPr>
        <w:t>: Part A and Part B</w:t>
      </w:r>
      <w:r w:rsidRPr="008A7C80">
        <w:rPr>
          <w:rFonts w:ascii="Calibri" w:hAnsi="Calibri" w:cs="Calibri"/>
        </w:rPr>
        <w:t>. Part A deals mainly with factual, less subjective information</w:t>
      </w:r>
      <w:r>
        <w:rPr>
          <w:rFonts w:ascii="Calibri" w:hAnsi="Calibri" w:cs="Calibri"/>
        </w:rPr>
        <w:t>. Where it is necessary to use a proxy, this proxy can provide accurate information on behalf of a respondent</w:t>
      </w:r>
      <w:r w:rsidRPr="008A7C80">
        <w:rPr>
          <w:rFonts w:ascii="Calibri" w:hAnsi="Calibri" w:cs="Calibri"/>
        </w:rPr>
        <w:t xml:space="preserve">. </w:t>
      </w:r>
      <w:r>
        <w:rPr>
          <w:rFonts w:ascii="Calibri" w:hAnsi="Calibri" w:cs="Calibri"/>
        </w:rPr>
        <w:t xml:space="preserve">Part A includes </w:t>
      </w:r>
      <w:r w:rsidRPr="008A7C80">
        <w:rPr>
          <w:rFonts w:ascii="Calibri" w:hAnsi="Calibri" w:cs="Calibri"/>
        </w:rPr>
        <w:t>information on disability, supports,</w:t>
      </w:r>
      <w:r>
        <w:rPr>
          <w:rFonts w:ascii="Calibri" w:hAnsi="Calibri" w:cs="Calibri"/>
        </w:rPr>
        <w:t xml:space="preserve"> activities undertaken,</w:t>
      </w:r>
      <w:r w:rsidRPr="008A7C80">
        <w:rPr>
          <w:rFonts w:ascii="Calibri" w:hAnsi="Calibri" w:cs="Calibri"/>
        </w:rPr>
        <w:t xml:space="preserve"> supports before and during the NDIS, and socio</w:t>
      </w:r>
      <w:r w:rsidR="00951F51">
        <w:rPr>
          <w:rFonts w:ascii="Calibri" w:hAnsi="Calibri" w:cs="Calibri"/>
        </w:rPr>
        <w:t>-</w:t>
      </w:r>
      <w:r w:rsidRPr="008A7C80">
        <w:rPr>
          <w:rFonts w:ascii="Calibri" w:hAnsi="Calibri" w:cs="Calibri"/>
        </w:rPr>
        <w:t>demographic indicators.</w:t>
      </w:r>
    </w:p>
    <w:p w:rsidR="006178D8" w:rsidRPr="001032EF" w:rsidRDefault="006178D8" w:rsidP="001032EF">
      <w:pPr>
        <w:rPr>
          <w:rFonts w:ascii="Calibri" w:hAnsi="Calibri" w:cs="Calibri"/>
        </w:rPr>
      </w:pPr>
    </w:p>
    <w:p w:rsidR="00653EAA" w:rsidRPr="008A7C80" w:rsidRDefault="006178D8" w:rsidP="00AF5E38">
      <w:pPr>
        <w:pStyle w:val="ListParagraph"/>
        <w:numPr>
          <w:ilvl w:val="0"/>
          <w:numId w:val="24"/>
        </w:numPr>
        <w:ind w:left="360"/>
        <w:rPr>
          <w:rFonts w:ascii="Calibri" w:hAnsi="Calibri" w:cs="Calibri"/>
        </w:rPr>
      </w:pPr>
      <w:r>
        <w:rPr>
          <w:rFonts w:ascii="Calibri" w:hAnsi="Calibri" w:cs="Calibri"/>
          <w:lang w:val="en-AU"/>
        </w:rPr>
        <w:t>In contrast</w:t>
      </w:r>
      <w:r w:rsidR="00696C4A" w:rsidRPr="00696C4A">
        <w:rPr>
          <w:rFonts w:ascii="Calibri" w:hAnsi="Calibri" w:cs="Calibri"/>
          <w:lang w:val="en-AU"/>
        </w:rPr>
        <w:t>, Part B asks mainly subjective questions which have to do with opinions, assessments and perceptions.</w:t>
      </w:r>
      <w:r w:rsidR="00653EAA" w:rsidRPr="008A7C80">
        <w:rPr>
          <w:rFonts w:ascii="Calibri" w:hAnsi="Calibri" w:cs="Calibri"/>
        </w:rPr>
        <w:t xml:space="preserve"> Here the survey design prefers to encourage the person with disability to answer. </w:t>
      </w:r>
      <w:r w:rsidR="00653EAA">
        <w:rPr>
          <w:rFonts w:ascii="Calibri" w:hAnsi="Calibri" w:cs="Calibri"/>
        </w:rPr>
        <w:t>Part B questions</w:t>
      </w:r>
      <w:r w:rsidR="00653EAA" w:rsidRPr="008A7C80">
        <w:rPr>
          <w:rFonts w:ascii="Calibri" w:hAnsi="Calibri" w:cs="Calibri"/>
        </w:rPr>
        <w:t xml:space="preserve"> include social participation, well-being, aspirations, opinions and needs.</w:t>
      </w:r>
    </w:p>
    <w:p w:rsidR="00653EAA" w:rsidRPr="008A7C80" w:rsidRDefault="00653EAA" w:rsidP="007A3B34">
      <w:pPr>
        <w:pStyle w:val="ListParagraph"/>
        <w:ind w:left="207"/>
        <w:rPr>
          <w:rFonts w:ascii="Calibri" w:hAnsi="Calibri" w:cs="Calibri"/>
        </w:rPr>
      </w:pPr>
    </w:p>
    <w:p w:rsidR="00653EAA" w:rsidRPr="008A7C80" w:rsidRDefault="00696C4A" w:rsidP="00AF5E38">
      <w:pPr>
        <w:pStyle w:val="ListParagraph"/>
        <w:numPr>
          <w:ilvl w:val="0"/>
          <w:numId w:val="24"/>
        </w:numPr>
        <w:ind w:left="360"/>
        <w:rPr>
          <w:rFonts w:ascii="Calibri" w:hAnsi="Calibri" w:cs="Calibri"/>
        </w:rPr>
      </w:pPr>
      <w:r w:rsidRPr="00696C4A">
        <w:rPr>
          <w:rFonts w:ascii="Calibri" w:hAnsi="Calibri" w:cs="Calibri"/>
          <w:lang w:val="en-AU"/>
        </w:rPr>
        <w:t>Part B is also offered in a pictorial easy English format and both versions can be completed either with or without the support of someone else.</w:t>
      </w:r>
      <w:r w:rsidR="00653EAA" w:rsidRPr="008A7C80">
        <w:rPr>
          <w:rFonts w:ascii="Calibri" w:hAnsi="Calibri" w:cs="Calibri"/>
        </w:rPr>
        <w:t xml:space="preserve"> Whether such support was necessary is recorded and will </w:t>
      </w:r>
      <w:r w:rsidR="00653EAA">
        <w:rPr>
          <w:rFonts w:ascii="Calibri" w:hAnsi="Calibri" w:cs="Calibri"/>
        </w:rPr>
        <w:t>inform</w:t>
      </w:r>
      <w:r w:rsidR="00653EAA" w:rsidRPr="008A7C80">
        <w:rPr>
          <w:rFonts w:ascii="Calibri" w:hAnsi="Calibri" w:cs="Calibri"/>
        </w:rPr>
        <w:t xml:space="preserve"> the analysis.</w:t>
      </w:r>
    </w:p>
    <w:p w:rsidR="00653EAA" w:rsidRPr="008A7C80" w:rsidRDefault="00653EAA" w:rsidP="007A3B34">
      <w:pPr>
        <w:pStyle w:val="ListParagraph"/>
        <w:ind w:left="207"/>
        <w:rPr>
          <w:rFonts w:ascii="Calibri" w:hAnsi="Calibri" w:cs="Calibri"/>
        </w:rPr>
      </w:pPr>
    </w:p>
    <w:p w:rsidR="00653EAA" w:rsidRPr="00696C4A" w:rsidRDefault="00653EAA" w:rsidP="00AF5E38">
      <w:pPr>
        <w:pStyle w:val="ListParagraph"/>
        <w:numPr>
          <w:ilvl w:val="0"/>
          <w:numId w:val="24"/>
        </w:numPr>
        <w:ind w:left="360"/>
        <w:rPr>
          <w:rFonts w:ascii="Calibri" w:hAnsi="Calibri" w:cs="Calibri"/>
        </w:rPr>
      </w:pPr>
      <w:r w:rsidRPr="008A7C80">
        <w:rPr>
          <w:rFonts w:ascii="Calibri" w:hAnsi="Calibri" w:cs="Calibri"/>
        </w:rPr>
        <w:t xml:space="preserve">Questionnaires that are age-appropriate are designed and distributed </w:t>
      </w:r>
      <w:r w:rsidRPr="00696C4A">
        <w:rPr>
          <w:rFonts w:ascii="Calibri" w:hAnsi="Calibri" w:cs="Calibri"/>
        </w:rPr>
        <w:t xml:space="preserve">accordingly. </w:t>
      </w:r>
      <w:r w:rsidR="00696C4A" w:rsidRPr="00810470">
        <w:rPr>
          <w:rFonts w:ascii="Calibri" w:hAnsi="Calibri" w:cs="Calibri"/>
          <w:iCs/>
          <w:lang w:val="en-AU"/>
        </w:rPr>
        <w:t xml:space="preserve">Children below the age of 8 </w:t>
      </w:r>
      <w:r w:rsidR="001A4268">
        <w:rPr>
          <w:rFonts w:ascii="Calibri" w:hAnsi="Calibri" w:cs="Calibri"/>
          <w:iCs/>
          <w:lang w:val="en-AU"/>
        </w:rPr>
        <w:t xml:space="preserve">years </w:t>
      </w:r>
      <w:r w:rsidR="00696C4A" w:rsidRPr="00810470">
        <w:rPr>
          <w:rFonts w:ascii="Calibri" w:hAnsi="Calibri" w:cs="Calibri"/>
          <w:iCs/>
          <w:lang w:val="en-AU"/>
        </w:rPr>
        <w:t>are not asked to provide any direct information, their surveys typically being completed by their parents.</w:t>
      </w:r>
    </w:p>
    <w:p w:rsidR="00653EAA" w:rsidRPr="008A7C80" w:rsidRDefault="00653EAA" w:rsidP="007A3B34">
      <w:pPr>
        <w:pStyle w:val="ListParagraph"/>
        <w:ind w:left="207"/>
        <w:rPr>
          <w:rFonts w:ascii="Calibri" w:hAnsi="Calibri" w:cs="Calibri"/>
        </w:rPr>
      </w:pPr>
    </w:p>
    <w:p w:rsidR="00653EAA" w:rsidRPr="008A7C80" w:rsidRDefault="00653EAA" w:rsidP="00AF5E38">
      <w:pPr>
        <w:pStyle w:val="ListParagraph"/>
        <w:numPr>
          <w:ilvl w:val="0"/>
          <w:numId w:val="24"/>
        </w:numPr>
        <w:ind w:left="360"/>
        <w:rPr>
          <w:rFonts w:ascii="Calibri" w:hAnsi="Calibri" w:cs="Calibri"/>
        </w:rPr>
      </w:pPr>
      <w:r w:rsidRPr="008A7C80">
        <w:rPr>
          <w:rFonts w:ascii="Calibri" w:hAnsi="Calibri" w:cs="Calibri"/>
        </w:rPr>
        <w:t>The diversity of the respondents</w:t>
      </w:r>
      <w:r>
        <w:rPr>
          <w:rFonts w:ascii="Calibri" w:hAnsi="Calibri" w:cs="Calibri"/>
        </w:rPr>
        <w:t>’</w:t>
      </w:r>
      <w:r w:rsidRPr="008A7C80">
        <w:rPr>
          <w:rFonts w:ascii="Calibri" w:hAnsi="Calibri" w:cs="Calibri"/>
        </w:rPr>
        <w:t xml:space="preserve"> categorisations is reflected in the fact that there are in total 18 different questionnaires used in the survey, all targeted at and designed for specific sub-groups.</w:t>
      </w:r>
    </w:p>
    <w:p w:rsidR="00653EAA" w:rsidRPr="008A7C80" w:rsidRDefault="00653EAA" w:rsidP="00830604">
      <w:pPr>
        <w:spacing w:before="240" w:after="240"/>
        <w:rPr>
          <w:rFonts w:ascii="Calibri" w:hAnsi="Calibri" w:cs="Calibri"/>
          <w:b/>
        </w:rPr>
      </w:pPr>
      <w:r w:rsidRPr="008A7C80">
        <w:rPr>
          <w:rFonts w:ascii="Calibri" w:hAnsi="Calibri" w:cs="Calibri"/>
          <w:b/>
        </w:rPr>
        <w:t>Pilot and fieldwork</w:t>
      </w:r>
    </w:p>
    <w:p w:rsidR="00653EAA" w:rsidRPr="008A7C80" w:rsidRDefault="00653EAA" w:rsidP="00830604">
      <w:pPr>
        <w:rPr>
          <w:rFonts w:ascii="Calibri" w:hAnsi="Calibri" w:cs="Calibri"/>
        </w:rPr>
      </w:pPr>
      <w:r w:rsidRPr="008A7C80">
        <w:rPr>
          <w:rFonts w:ascii="Calibri" w:hAnsi="Calibri" w:cs="Calibri"/>
        </w:rPr>
        <w:t>A pilot study has already been conducted and the fieldwork for the first wave is underway.</w:t>
      </w:r>
    </w:p>
    <w:p w:rsidR="00653EAA" w:rsidRPr="008A7C80" w:rsidRDefault="00653EAA" w:rsidP="00830604">
      <w:pPr>
        <w:rPr>
          <w:rFonts w:ascii="Calibri" w:hAnsi="Calibri" w:cs="Calibri"/>
        </w:rPr>
      </w:pPr>
    </w:p>
    <w:p w:rsidR="00653EAA" w:rsidRPr="008A7C80" w:rsidRDefault="00653EAA" w:rsidP="00AF5E38">
      <w:pPr>
        <w:pStyle w:val="ListParagraph"/>
        <w:numPr>
          <w:ilvl w:val="0"/>
          <w:numId w:val="25"/>
        </w:numPr>
        <w:ind w:left="360"/>
        <w:rPr>
          <w:rFonts w:ascii="Calibri" w:hAnsi="Calibri" w:cs="Calibri"/>
        </w:rPr>
      </w:pPr>
      <w:r w:rsidRPr="008A7C80">
        <w:rPr>
          <w:rFonts w:ascii="Calibri" w:hAnsi="Calibri" w:cs="Calibri"/>
        </w:rPr>
        <w:t>A pilot</w:t>
      </w:r>
      <w:r>
        <w:rPr>
          <w:rFonts w:ascii="Calibri" w:hAnsi="Calibri" w:cs="Calibri"/>
        </w:rPr>
        <w:t xml:space="preserve"> study, including extensive cognitive testing,</w:t>
      </w:r>
      <w:r w:rsidRPr="008A7C80">
        <w:rPr>
          <w:rFonts w:ascii="Calibri" w:hAnsi="Calibri" w:cs="Calibri"/>
        </w:rPr>
        <w:t xml:space="preserve"> was conducted in the first half of 2014. The results of the pilot confirmed the need for a more extensive registration process than was initially anticipated. Although the registration process adds length to the overall duration of the fieldwork, it empowers respondents by allowing them to choose their preferred mode of response. </w:t>
      </w:r>
    </w:p>
    <w:p w:rsidR="00653EAA" w:rsidRPr="003C60CF" w:rsidRDefault="00653EAA" w:rsidP="003C60CF">
      <w:pPr>
        <w:rPr>
          <w:rFonts w:ascii="Calibri" w:hAnsi="Calibri" w:cs="Calibri"/>
          <w:lang w:val="en-AU"/>
        </w:rPr>
      </w:pPr>
    </w:p>
    <w:p w:rsidR="00AF5E38" w:rsidRPr="003C60CF" w:rsidRDefault="00AF5E38" w:rsidP="003C60CF">
      <w:pPr>
        <w:pStyle w:val="ListParagraph"/>
        <w:numPr>
          <w:ilvl w:val="0"/>
          <w:numId w:val="25"/>
        </w:numPr>
        <w:ind w:left="360"/>
        <w:rPr>
          <w:rFonts w:ascii="Calibri" w:hAnsi="Calibri" w:cs="Calibri"/>
          <w:lang w:val="en-AU"/>
        </w:rPr>
      </w:pPr>
      <w:r w:rsidRPr="003C60CF">
        <w:rPr>
          <w:rFonts w:ascii="Calibri" w:hAnsi="Calibri" w:cs="Calibri"/>
          <w:lang w:val="en-AU"/>
        </w:rPr>
        <w:t>Fieldwork for Wave 1 commenced in August 2014 in the form of screening registrations and in December 2014</w:t>
      </w:r>
      <w:r w:rsidR="00D10ACC" w:rsidRPr="003C60CF">
        <w:rPr>
          <w:rFonts w:ascii="Calibri" w:hAnsi="Calibri" w:cs="Calibri"/>
          <w:lang w:val="en-AU"/>
        </w:rPr>
        <w:t xml:space="preserve"> in the form of answering the full survey</w:t>
      </w:r>
      <w:r w:rsidRPr="003C60CF">
        <w:rPr>
          <w:rFonts w:ascii="Calibri" w:hAnsi="Calibri" w:cs="Calibri"/>
          <w:lang w:val="en-AU"/>
        </w:rPr>
        <w:t>. The first part of Wave 1 (referred to as Wave 1a) consisted of about one-third of the target sample size for the whole of the NDIS survey. The second part of Wave 1 was sampled in March 2015 (referred to as Wave 1b) and covered less than an additional one-third of the full NDIS target sample size. Both Waves 1a and 1b have been in essence a census of all NDIS participants who had consented to take part in research at the time of sampling.</w:t>
      </w:r>
    </w:p>
    <w:p w:rsidR="00653EAA" w:rsidRPr="003C60CF" w:rsidRDefault="00653EAA" w:rsidP="003C60CF">
      <w:pPr>
        <w:rPr>
          <w:rFonts w:ascii="Calibri" w:hAnsi="Calibri" w:cs="Calibri"/>
          <w:lang w:val="en-AU"/>
        </w:rPr>
      </w:pPr>
    </w:p>
    <w:p w:rsidR="00063034" w:rsidRPr="00063034" w:rsidRDefault="00063034" w:rsidP="00AF5E38">
      <w:pPr>
        <w:pStyle w:val="ListParagraph"/>
        <w:numPr>
          <w:ilvl w:val="0"/>
          <w:numId w:val="25"/>
        </w:numPr>
        <w:ind w:left="360"/>
        <w:rPr>
          <w:rFonts w:ascii="Calibri" w:hAnsi="Calibri" w:cs="Calibri"/>
          <w:lang w:val="en-AU"/>
        </w:rPr>
      </w:pPr>
      <w:r w:rsidRPr="00063034">
        <w:rPr>
          <w:rFonts w:ascii="Calibri" w:hAnsi="Calibri" w:cs="Calibri"/>
          <w:lang w:val="en-AU"/>
        </w:rPr>
        <w:t xml:space="preserve">Fieldwork for families and carers has been lagging </w:t>
      </w:r>
      <w:r w:rsidR="001A4268">
        <w:rPr>
          <w:rFonts w:ascii="Calibri" w:hAnsi="Calibri" w:cs="Calibri"/>
          <w:lang w:val="en-AU"/>
        </w:rPr>
        <w:t xml:space="preserve">behind </w:t>
      </w:r>
      <w:r w:rsidRPr="00063034">
        <w:rPr>
          <w:rFonts w:ascii="Calibri" w:hAnsi="Calibri" w:cs="Calibri"/>
          <w:lang w:val="en-AU"/>
        </w:rPr>
        <w:t xml:space="preserve">the collection of </w:t>
      </w:r>
      <w:r w:rsidR="001A4268">
        <w:rPr>
          <w:rFonts w:ascii="Calibri" w:hAnsi="Calibri" w:cs="Calibri"/>
          <w:lang w:val="en-AU"/>
        </w:rPr>
        <w:t xml:space="preserve">information from </w:t>
      </w:r>
      <w:r w:rsidRPr="00063034">
        <w:rPr>
          <w:rFonts w:ascii="Calibri" w:hAnsi="Calibri" w:cs="Calibri"/>
          <w:lang w:val="en-AU"/>
        </w:rPr>
        <w:t>people with disability</w:t>
      </w:r>
      <w:r w:rsidR="00487E1D">
        <w:rPr>
          <w:rFonts w:ascii="Calibri" w:hAnsi="Calibri" w:cs="Calibri"/>
          <w:lang w:val="en-AU"/>
        </w:rPr>
        <w:t>.</w:t>
      </w:r>
      <w:r w:rsidRPr="00063034">
        <w:rPr>
          <w:rFonts w:ascii="Calibri" w:hAnsi="Calibri" w:cs="Calibri"/>
          <w:lang w:val="en-AU"/>
        </w:rPr>
        <w:t xml:space="preserve"> </w:t>
      </w:r>
      <w:r w:rsidR="00487E1D">
        <w:rPr>
          <w:rFonts w:ascii="Calibri" w:hAnsi="Calibri" w:cs="Calibri"/>
          <w:lang w:val="en-AU"/>
        </w:rPr>
        <w:t>T</w:t>
      </w:r>
      <w:r w:rsidRPr="00063034">
        <w:rPr>
          <w:rFonts w:ascii="Calibri" w:hAnsi="Calibri" w:cs="Calibri"/>
          <w:lang w:val="en-AU"/>
        </w:rPr>
        <w:t xml:space="preserve">he families and carers sample size </w:t>
      </w:r>
      <w:r w:rsidR="00487E1D">
        <w:rPr>
          <w:rFonts w:ascii="Calibri" w:hAnsi="Calibri" w:cs="Calibri"/>
          <w:lang w:val="en-AU"/>
        </w:rPr>
        <w:t xml:space="preserve">was </w:t>
      </w:r>
      <w:r w:rsidRPr="00063034">
        <w:rPr>
          <w:rFonts w:ascii="Calibri" w:hAnsi="Calibri" w:cs="Calibri"/>
          <w:lang w:val="en-AU"/>
        </w:rPr>
        <w:t xml:space="preserve">too small for reporting in 15 July 2015 when the last data for this report was received by NILS. This shortcoming </w:t>
      </w:r>
      <w:r w:rsidR="00D60A34">
        <w:rPr>
          <w:rFonts w:ascii="Calibri" w:hAnsi="Calibri" w:cs="Calibri"/>
          <w:lang w:val="en-AU"/>
        </w:rPr>
        <w:t>will be fully addressed in the I</w:t>
      </w:r>
      <w:r w:rsidRPr="00063034">
        <w:rPr>
          <w:rFonts w:ascii="Calibri" w:hAnsi="Calibri" w:cs="Calibri"/>
          <w:lang w:val="en-AU"/>
        </w:rPr>
        <w:t xml:space="preserve">ntermediate </w:t>
      </w:r>
      <w:r w:rsidR="00D60A34">
        <w:rPr>
          <w:rFonts w:ascii="Calibri" w:hAnsi="Calibri" w:cs="Calibri"/>
          <w:lang w:val="en-AU"/>
        </w:rPr>
        <w:t>R</w:t>
      </w:r>
      <w:r w:rsidRPr="00063034">
        <w:rPr>
          <w:rFonts w:ascii="Calibri" w:hAnsi="Calibri" w:cs="Calibri"/>
          <w:lang w:val="en-AU"/>
        </w:rPr>
        <w:t>eport.</w:t>
      </w:r>
    </w:p>
    <w:p w:rsidR="00653EAA" w:rsidRPr="008A7C80" w:rsidRDefault="00653EAA" w:rsidP="007A3B34">
      <w:pPr>
        <w:rPr>
          <w:rFonts w:ascii="Calibri" w:hAnsi="Calibri" w:cs="Calibri"/>
        </w:rPr>
      </w:pPr>
    </w:p>
    <w:p w:rsidR="00653EAA" w:rsidRPr="008A7C80" w:rsidRDefault="00653EAA" w:rsidP="00AF5E38">
      <w:pPr>
        <w:pStyle w:val="ListParagraph"/>
        <w:numPr>
          <w:ilvl w:val="0"/>
          <w:numId w:val="25"/>
        </w:numPr>
        <w:ind w:left="360"/>
        <w:rPr>
          <w:rFonts w:ascii="Calibri" w:hAnsi="Calibri" w:cs="Calibri"/>
        </w:rPr>
      </w:pPr>
      <w:r w:rsidRPr="008A7C80">
        <w:rPr>
          <w:rFonts w:ascii="Calibri" w:hAnsi="Calibri" w:cs="Calibri"/>
        </w:rPr>
        <w:t xml:space="preserve">Fieldwork for the remainder of </w:t>
      </w:r>
      <w:r>
        <w:rPr>
          <w:rFonts w:ascii="Calibri" w:hAnsi="Calibri" w:cs="Calibri"/>
        </w:rPr>
        <w:t>W</w:t>
      </w:r>
      <w:r w:rsidRPr="008A7C80">
        <w:rPr>
          <w:rFonts w:ascii="Calibri" w:hAnsi="Calibri" w:cs="Calibri"/>
        </w:rPr>
        <w:t xml:space="preserve">ave 1 is planned to be completed during the second half of 2015. </w:t>
      </w:r>
    </w:p>
    <w:p w:rsidR="00653EAA" w:rsidRPr="008A7C80" w:rsidRDefault="00653EAA" w:rsidP="007A3B34">
      <w:pPr>
        <w:rPr>
          <w:rFonts w:ascii="Calibri" w:hAnsi="Calibri" w:cs="Calibri"/>
        </w:rPr>
      </w:pPr>
    </w:p>
    <w:p w:rsidR="00653EAA" w:rsidRPr="008A7C80" w:rsidRDefault="00653EAA" w:rsidP="00AF5E38">
      <w:pPr>
        <w:pStyle w:val="ListParagraph"/>
        <w:numPr>
          <w:ilvl w:val="0"/>
          <w:numId w:val="25"/>
        </w:numPr>
        <w:ind w:left="360"/>
        <w:rPr>
          <w:rFonts w:ascii="Calibri" w:hAnsi="Calibri" w:cs="Calibri"/>
        </w:rPr>
      </w:pPr>
      <w:r w:rsidRPr="008A7C80">
        <w:rPr>
          <w:rFonts w:ascii="Calibri" w:hAnsi="Calibri" w:cs="Calibri"/>
        </w:rPr>
        <w:t xml:space="preserve">The re-sampling of </w:t>
      </w:r>
      <w:r>
        <w:rPr>
          <w:rFonts w:ascii="Calibri" w:hAnsi="Calibri" w:cs="Calibri"/>
        </w:rPr>
        <w:t>W</w:t>
      </w:r>
      <w:r w:rsidRPr="008A7C80">
        <w:rPr>
          <w:rFonts w:ascii="Calibri" w:hAnsi="Calibri" w:cs="Calibri"/>
        </w:rPr>
        <w:t>aves 1a and 1b (that is, for the second wave of the longitudinal collection) is to commence at the end of 2015 about 10</w:t>
      </w:r>
      <w:r w:rsidR="001A4268">
        <w:rPr>
          <w:rFonts w:ascii="Calibri" w:hAnsi="Calibri" w:cs="Calibri"/>
        </w:rPr>
        <w:t>–</w:t>
      </w:r>
      <w:r w:rsidRPr="008A7C80">
        <w:rPr>
          <w:rFonts w:ascii="Calibri" w:hAnsi="Calibri" w:cs="Calibri"/>
        </w:rPr>
        <w:t>12 months after the first interviews took place.</w:t>
      </w:r>
      <w:r>
        <w:rPr>
          <w:rFonts w:ascii="Calibri" w:hAnsi="Calibri" w:cs="Calibri"/>
        </w:rPr>
        <w:t xml:space="preserve"> The second wave is planned to have a</w:t>
      </w:r>
      <w:r w:rsidR="005A7471">
        <w:rPr>
          <w:rFonts w:ascii="Calibri" w:hAnsi="Calibri" w:cs="Calibri"/>
        </w:rPr>
        <w:t xml:space="preserve"> </w:t>
      </w:r>
      <w:r>
        <w:rPr>
          <w:rFonts w:ascii="Calibri" w:hAnsi="Calibri" w:cs="Calibri"/>
        </w:rPr>
        <w:t>shorter fieldwork duration.</w:t>
      </w:r>
    </w:p>
    <w:p w:rsidR="00696C4A" w:rsidRPr="00DA4A21" w:rsidRDefault="00696C4A" w:rsidP="00AF5E38">
      <w:pPr>
        <w:pStyle w:val="ListParagraph"/>
        <w:numPr>
          <w:ilvl w:val="0"/>
          <w:numId w:val="25"/>
        </w:numPr>
        <w:spacing w:before="240" w:after="240"/>
        <w:ind w:left="360"/>
        <w:rPr>
          <w:rFonts w:ascii="Calibri" w:hAnsi="Calibri" w:cs="Calibri"/>
          <w:lang w:val="en-AU"/>
        </w:rPr>
      </w:pPr>
      <w:r w:rsidRPr="00DA4A21">
        <w:rPr>
          <w:rFonts w:ascii="Calibri" w:hAnsi="Calibri" w:cs="Calibri"/>
          <w:lang w:val="en-AU"/>
        </w:rPr>
        <w:t>Despite the major delays experienced with establishing fieldwork for the first wave (primarily due to the need to wait for the sample size of those who consent to taking part in research to grow in numbers), the quality of the data obtained has been high.</w:t>
      </w:r>
    </w:p>
    <w:p w:rsidR="00653EAA" w:rsidRPr="001A4268" w:rsidRDefault="00653EAA" w:rsidP="00830604">
      <w:pPr>
        <w:spacing w:before="240" w:after="240"/>
        <w:rPr>
          <w:rFonts w:ascii="Calibri" w:hAnsi="Calibri" w:cs="Calibri"/>
          <w:b/>
        </w:rPr>
      </w:pPr>
      <w:r w:rsidRPr="001A4268">
        <w:rPr>
          <w:rFonts w:ascii="Calibri" w:hAnsi="Calibri" w:cs="Calibri"/>
          <w:b/>
        </w:rPr>
        <w:t>Initial findings</w:t>
      </w:r>
      <w:r w:rsidR="00360FCB" w:rsidRPr="001A4268">
        <w:rPr>
          <w:rFonts w:ascii="Calibri" w:hAnsi="Calibri" w:cs="Calibri"/>
          <w:b/>
        </w:rPr>
        <w:t xml:space="preserve"> </w:t>
      </w:r>
      <w:r w:rsidR="00360FCB" w:rsidRPr="004A1DAF">
        <w:rPr>
          <w:rFonts w:ascii="Calibri" w:hAnsi="Calibri" w:cs="Calibri"/>
          <w:b/>
        </w:rPr>
        <w:t xml:space="preserve">of the NDIS Survey of People with Disability, and their Families and Carers </w:t>
      </w:r>
    </w:p>
    <w:p w:rsidR="00653EAA" w:rsidRPr="008A7C80" w:rsidRDefault="00696C4A" w:rsidP="00830604">
      <w:pPr>
        <w:rPr>
          <w:rFonts w:ascii="Calibri" w:hAnsi="Calibri" w:cs="Calibri"/>
        </w:rPr>
      </w:pPr>
      <w:r w:rsidRPr="00696C4A">
        <w:rPr>
          <w:rFonts w:ascii="Calibri" w:hAnsi="Calibri" w:cs="Calibri"/>
          <w:lang w:val="en-AU"/>
        </w:rPr>
        <w:t>Several findings have become apparent from the data collections</w:t>
      </w:r>
      <w:r w:rsidR="00653EAA" w:rsidRPr="008A7C80">
        <w:rPr>
          <w:rFonts w:ascii="Calibri" w:hAnsi="Calibri" w:cs="Calibri"/>
        </w:rPr>
        <w:t xml:space="preserve">. </w:t>
      </w:r>
      <w:r w:rsidR="00653EAA">
        <w:rPr>
          <w:rFonts w:ascii="Calibri" w:hAnsi="Calibri" w:cs="Calibri"/>
        </w:rPr>
        <w:t>For now, these</w:t>
      </w:r>
      <w:r w:rsidR="00653EAA" w:rsidRPr="008A7C80">
        <w:rPr>
          <w:rFonts w:ascii="Calibri" w:hAnsi="Calibri" w:cs="Calibri"/>
        </w:rPr>
        <w:t xml:space="preserve"> findings have to be read</w:t>
      </w:r>
      <w:r w:rsidR="00653EAA">
        <w:rPr>
          <w:rFonts w:ascii="Calibri" w:hAnsi="Calibri" w:cs="Calibri"/>
        </w:rPr>
        <w:t xml:space="preserve"> as preliminary</w:t>
      </w:r>
      <w:r w:rsidR="00653EAA" w:rsidRPr="008A7C80">
        <w:rPr>
          <w:rFonts w:ascii="Calibri" w:hAnsi="Calibri" w:cs="Calibri"/>
        </w:rPr>
        <w:t xml:space="preserve"> and interpreted with several important caveats in mind. First, by design</w:t>
      </w:r>
      <w:r w:rsidR="00653EAA">
        <w:rPr>
          <w:rFonts w:ascii="Calibri" w:hAnsi="Calibri" w:cs="Calibri"/>
        </w:rPr>
        <w:t>,</w:t>
      </w:r>
      <w:r w:rsidR="00653EAA" w:rsidRPr="008A7C80">
        <w:rPr>
          <w:rFonts w:ascii="Calibri" w:hAnsi="Calibri" w:cs="Calibri"/>
        </w:rPr>
        <w:t xml:space="preserve"> this data will only be of full use when we have both Waves 1 and 2 at hand. </w:t>
      </w:r>
      <w:r w:rsidR="00653EAA">
        <w:rPr>
          <w:rFonts w:ascii="Calibri" w:hAnsi="Calibri" w:cs="Calibri"/>
        </w:rPr>
        <w:t>It is only t</w:t>
      </w:r>
      <w:r w:rsidR="00653EAA" w:rsidRPr="008A7C80">
        <w:rPr>
          <w:rFonts w:ascii="Calibri" w:hAnsi="Calibri" w:cs="Calibri"/>
        </w:rPr>
        <w:t>hen that we will be able to observe</w:t>
      </w:r>
      <w:r w:rsidR="00653EAA">
        <w:rPr>
          <w:rFonts w:ascii="Calibri" w:hAnsi="Calibri" w:cs="Calibri"/>
        </w:rPr>
        <w:t xml:space="preserve"> actual</w:t>
      </w:r>
      <w:r w:rsidR="00653EAA" w:rsidRPr="008A7C80">
        <w:rPr>
          <w:rFonts w:ascii="Calibri" w:hAnsi="Calibri" w:cs="Calibri"/>
        </w:rPr>
        <w:t xml:space="preserve"> change </w:t>
      </w:r>
      <w:r w:rsidR="00653EAA">
        <w:rPr>
          <w:rFonts w:ascii="Calibri" w:hAnsi="Calibri" w:cs="Calibri"/>
        </w:rPr>
        <w:t>and appropriately apportion its</w:t>
      </w:r>
      <w:r w:rsidR="00653EAA" w:rsidRPr="008A7C80">
        <w:rPr>
          <w:rFonts w:ascii="Calibri" w:hAnsi="Calibri" w:cs="Calibri"/>
        </w:rPr>
        <w:t xml:space="preserve"> impact on those concerned. The difference-in-difference methodology requir</w:t>
      </w:r>
      <w:r w:rsidR="00653EAA">
        <w:rPr>
          <w:rFonts w:ascii="Calibri" w:hAnsi="Calibri" w:cs="Calibri"/>
        </w:rPr>
        <w:t>es this. Second, to the degree in</w:t>
      </w:r>
      <w:r w:rsidR="00653EAA" w:rsidRPr="008A7C80">
        <w:rPr>
          <w:rFonts w:ascii="Calibri" w:hAnsi="Calibri" w:cs="Calibri"/>
        </w:rPr>
        <w:t xml:space="preserve"> which the phasing-in of the NDIS in the trial sites has been non-random, we can expect that the data collected may also be non-random and possibly not as </w:t>
      </w:r>
      <w:r w:rsidR="00653EAA">
        <w:rPr>
          <w:rFonts w:ascii="Calibri" w:hAnsi="Calibri" w:cs="Calibri"/>
        </w:rPr>
        <w:t>precise</w:t>
      </w:r>
      <w:r w:rsidR="00653EAA" w:rsidRPr="008A7C80">
        <w:rPr>
          <w:rFonts w:ascii="Calibri" w:hAnsi="Calibri" w:cs="Calibri"/>
        </w:rPr>
        <w:t xml:space="preserve"> a representation of the expected total NDIS participants population</w:t>
      </w:r>
      <w:r w:rsidR="00653EAA">
        <w:rPr>
          <w:rFonts w:ascii="Calibri" w:hAnsi="Calibri" w:cs="Calibri"/>
        </w:rPr>
        <w:t xml:space="preserve"> as we would wish</w:t>
      </w:r>
      <w:r w:rsidR="00653EAA" w:rsidRPr="008A7C80">
        <w:rPr>
          <w:rFonts w:ascii="Calibri" w:hAnsi="Calibri" w:cs="Calibri"/>
        </w:rPr>
        <w:t xml:space="preserve">. This type of statistical bias can be corrected (or at least alleviated) through appropriate statistical methods at a later stage </w:t>
      </w:r>
      <w:r w:rsidR="00653EAA">
        <w:rPr>
          <w:rFonts w:ascii="Calibri" w:hAnsi="Calibri" w:cs="Calibri"/>
        </w:rPr>
        <w:t xml:space="preserve">of the analysis </w:t>
      </w:r>
      <w:r w:rsidR="00653EAA" w:rsidRPr="008A7C80">
        <w:rPr>
          <w:rFonts w:ascii="Calibri" w:hAnsi="Calibri" w:cs="Calibri"/>
        </w:rPr>
        <w:t xml:space="preserve">when both waves are at hand. Until then we must treat our conclusions </w:t>
      </w:r>
      <w:r w:rsidR="00653EAA">
        <w:rPr>
          <w:rFonts w:ascii="Calibri" w:hAnsi="Calibri" w:cs="Calibri"/>
        </w:rPr>
        <w:t xml:space="preserve">as preliminary and </w:t>
      </w:r>
      <w:r w:rsidR="00653EAA" w:rsidRPr="008A7C80">
        <w:rPr>
          <w:rFonts w:ascii="Calibri" w:hAnsi="Calibri" w:cs="Calibri"/>
        </w:rPr>
        <w:t>with caution. We need to bear this point in mind, especially when we are looking at Wave 1 data alone. Thi</w:t>
      </w:r>
      <w:r w:rsidR="00653EAA">
        <w:rPr>
          <w:rFonts w:ascii="Calibri" w:hAnsi="Calibri" w:cs="Calibri"/>
        </w:rPr>
        <w:t>rd, an additional reason for bei</w:t>
      </w:r>
      <w:r w:rsidR="00653EAA" w:rsidRPr="008A7C80">
        <w:rPr>
          <w:rFonts w:ascii="Calibri" w:hAnsi="Calibri" w:cs="Calibri"/>
        </w:rPr>
        <w:t>n</w:t>
      </w:r>
      <w:r w:rsidR="00653EAA">
        <w:rPr>
          <w:rFonts w:ascii="Calibri" w:hAnsi="Calibri" w:cs="Calibri"/>
        </w:rPr>
        <w:t>g</w:t>
      </w:r>
      <w:r w:rsidR="00653EAA" w:rsidRPr="008A7C80">
        <w:rPr>
          <w:rFonts w:ascii="Calibri" w:hAnsi="Calibri" w:cs="Calibri"/>
        </w:rPr>
        <w:t xml:space="preserve"> cautious when talking about Wave 1 is that the sample size is still </w:t>
      </w:r>
      <w:r w:rsidR="00DB74CD">
        <w:rPr>
          <w:rFonts w:ascii="Calibri" w:hAnsi="Calibri" w:cs="Calibri"/>
        </w:rPr>
        <w:t>well below</w:t>
      </w:r>
      <w:r w:rsidR="00653EAA" w:rsidRPr="008A7C80">
        <w:rPr>
          <w:rFonts w:ascii="Calibri" w:hAnsi="Calibri" w:cs="Calibri"/>
        </w:rPr>
        <w:t xml:space="preserve"> what we expect will give our sample the desired statistical power. This becomes</w:t>
      </w:r>
      <w:r w:rsidR="00653EAA">
        <w:rPr>
          <w:rFonts w:ascii="Calibri" w:hAnsi="Calibri" w:cs="Calibri"/>
        </w:rPr>
        <w:t xml:space="preserve"> a</w:t>
      </w:r>
      <w:r w:rsidR="00653EAA" w:rsidRPr="008A7C80">
        <w:rPr>
          <w:rFonts w:ascii="Calibri" w:hAnsi="Calibri" w:cs="Calibri"/>
        </w:rPr>
        <w:t xml:space="preserve"> more prominent </w:t>
      </w:r>
      <w:r w:rsidR="00653EAA">
        <w:rPr>
          <w:rFonts w:ascii="Calibri" w:hAnsi="Calibri" w:cs="Calibri"/>
        </w:rPr>
        <w:t>caveat when we refer to</w:t>
      </w:r>
      <w:r w:rsidR="00653EAA" w:rsidRPr="008A7C80">
        <w:rPr>
          <w:rFonts w:ascii="Calibri" w:hAnsi="Calibri" w:cs="Calibri"/>
        </w:rPr>
        <w:t xml:space="preserve"> cases that are less prevalent in the data, where the relevant cell sample sizes may be too low. </w:t>
      </w:r>
      <w:r w:rsidR="00653EAA">
        <w:rPr>
          <w:rFonts w:ascii="Calibri" w:hAnsi="Calibri" w:cs="Calibri"/>
        </w:rPr>
        <w:t xml:space="preserve">This is the case in several of the tables we present, but we still include them to illustrate the forthcoming full data potential. </w:t>
      </w:r>
      <w:r w:rsidR="00653EAA" w:rsidRPr="008A7C80">
        <w:rPr>
          <w:rFonts w:ascii="Calibri" w:hAnsi="Calibri" w:cs="Calibri"/>
        </w:rPr>
        <w:t xml:space="preserve">Fourth, we should be wary of making comparisons between the trial and the comparison sample statistics without having performed the appropriate probabilistic matching in advance, in order to make the trial and comparison sub-samples comparable. </w:t>
      </w:r>
    </w:p>
    <w:p w:rsidR="00653EAA" w:rsidRPr="008A7C80" w:rsidRDefault="00653EAA" w:rsidP="00830604">
      <w:pPr>
        <w:rPr>
          <w:rFonts w:ascii="Calibri" w:hAnsi="Calibri" w:cs="Calibri"/>
        </w:rPr>
      </w:pPr>
    </w:p>
    <w:p w:rsidR="00696C4A" w:rsidRDefault="00653EAA" w:rsidP="00830604">
      <w:pPr>
        <w:rPr>
          <w:rFonts w:ascii="Calibri" w:hAnsi="Calibri" w:cs="Calibri"/>
          <w:lang w:val="en-AU"/>
        </w:rPr>
      </w:pPr>
      <w:r w:rsidRPr="008A7C80">
        <w:rPr>
          <w:rFonts w:ascii="Calibri" w:hAnsi="Calibri" w:cs="Calibri"/>
        </w:rPr>
        <w:t xml:space="preserve">Bearing these caveats in mind, some findings are worth noting. </w:t>
      </w:r>
      <w:r w:rsidR="00696C4A" w:rsidRPr="00696C4A">
        <w:rPr>
          <w:rFonts w:ascii="Calibri" w:hAnsi="Calibri" w:cs="Calibri"/>
          <w:lang w:val="en-AU"/>
        </w:rPr>
        <w:t xml:space="preserve">The richness of the data collection is especially worth noting as it shows the potential for answering the </w:t>
      </w:r>
      <w:r w:rsidR="002809F8">
        <w:rPr>
          <w:rFonts w:ascii="Calibri" w:hAnsi="Calibri" w:cs="Calibri"/>
          <w:lang w:val="en-AU"/>
        </w:rPr>
        <w:t>Key E</w:t>
      </w:r>
      <w:r w:rsidR="00696C4A" w:rsidRPr="00696C4A">
        <w:rPr>
          <w:rFonts w:ascii="Calibri" w:hAnsi="Calibri" w:cs="Calibri"/>
          <w:lang w:val="en-AU"/>
        </w:rPr>
        <w:t xml:space="preserve">valuation </w:t>
      </w:r>
      <w:r w:rsidR="002809F8">
        <w:rPr>
          <w:rFonts w:ascii="Calibri" w:hAnsi="Calibri" w:cs="Calibri"/>
          <w:lang w:val="en-AU"/>
        </w:rPr>
        <w:t>Q</w:t>
      </w:r>
      <w:r w:rsidR="00696C4A" w:rsidRPr="00696C4A">
        <w:rPr>
          <w:rFonts w:ascii="Calibri" w:hAnsi="Calibri" w:cs="Calibri"/>
          <w:lang w:val="en-AU"/>
        </w:rPr>
        <w:t>uestions that the full data set will have once both waves have been collected.</w:t>
      </w:r>
    </w:p>
    <w:p w:rsidR="00653EAA" w:rsidRPr="008A7C80" w:rsidRDefault="00653EAA" w:rsidP="00830604">
      <w:pPr>
        <w:rPr>
          <w:rFonts w:ascii="Calibri" w:hAnsi="Calibri" w:cs="Calibri"/>
        </w:rPr>
      </w:pPr>
    </w:p>
    <w:p w:rsidR="00653EAA" w:rsidRPr="008A7C80" w:rsidRDefault="00653EAA" w:rsidP="00AF5E38">
      <w:pPr>
        <w:pStyle w:val="ListParagraph"/>
        <w:numPr>
          <w:ilvl w:val="0"/>
          <w:numId w:val="26"/>
        </w:numPr>
        <w:ind w:left="360"/>
        <w:rPr>
          <w:rFonts w:ascii="Calibri" w:hAnsi="Calibri" w:cs="Calibri"/>
        </w:rPr>
      </w:pPr>
      <w:r w:rsidRPr="008A7C80">
        <w:rPr>
          <w:rFonts w:ascii="Calibri" w:hAnsi="Calibri" w:cs="Calibri"/>
        </w:rPr>
        <w:t xml:space="preserve">The proportion of children is much larger in the trial group. We expect this to be temporary as the age structure of the </w:t>
      </w:r>
      <w:r>
        <w:rPr>
          <w:rFonts w:ascii="Calibri" w:hAnsi="Calibri" w:cs="Calibri"/>
        </w:rPr>
        <w:t xml:space="preserve">growing </w:t>
      </w:r>
      <w:r w:rsidRPr="008A7C80">
        <w:rPr>
          <w:rFonts w:ascii="Calibri" w:hAnsi="Calibri" w:cs="Calibri"/>
        </w:rPr>
        <w:t xml:space="preserve">sample </w:t>
      </w:r>
      <w:r>
        <w:rPr>
          <w:rFonts w:ascii="Calibri" w:hAnsi="Calibri" w:cs="Calibri"/>
        </w:rPr>
        <w:t xml:space="preserve">will grow to resemble </w:t>
      </w:r>
      <w:r w:rsidRPr="008A7C80">
        <w:rPr>
          <w:rFonts w:ascii="Calibri" w:hAnsi="Calibri" w:cs="Calibri"/>
        </w:rPr>
        <w:t>more the age structure of the population.</w:t>
      </w:r>
    </w:p>
    <w:p w:rsidR="00653EAA" w:rsidRPr="008A7C80" w:rsidRDefault="00653EAA" w:rsidP="00653EAA">
      <w:pPr>
        <w:rPr>
          <w:rFonts w:ascii="Calibri" w:hAnsi="Calibri" w:cs="Calibri"/>
        </w:rPr>
      </w:pPr>
    </w:p>
    <w:p w:rsidR="00653EAA" w:rsidRPr="008A7C80" w:rsidRDefault="00653EAA" w:rsidP="00AF5E38">
      <w:pPr>
        <w:pStyle w:val="ListParagraph"/>
        <w:numPr>
          <w:ilvl w:val="0"/>
          <w:numId w:val="26"/>
        </w:numPr>
        <w:ind w:left="360"/>
        <w:rPr>
          <w:rFonts w:ascii="Calibri" w:hAnsi="Calibri" w:cs="Calibri"/>
        </w:rPr>
      </w:pPr>
      <w:r w:rsidRPr="008A7C80">
        <w:rPr>
          <w:rFonts w:ascii="Calibri" w:hAnsi="Calibri" w:cs="Calibri"/>
        </w:rPr>
        <w:t>The composition of the already surveyed people with disability shows a majority of people with intellectual or developmental conditions. The majority also report they have not just one type of disability but several.</w:t>
      </w:r>
    </w:p>
    <w:p w:rsidR="00653EAA" w:rsidRPr="008A7C80" w:rsidRDefault="00653EAA" w:rsidP="00653EAA">
      <w:pPr>
        <w:rPr>
          <w:rFonts w:ascii="Calibri" w:hAnsi="Calibri" w:cs="Calibri"/>
        </w:rPr>
      </w:pPr>
    </w:p>
    <w:p w:rsidR="00653EAA" w:rsidRPr="008A7C80" w:rsidRDefault="00653EAA" w:rsidP="00AF5E38">
      <w:pPr>
        <w:pStyle w:val="ListParagraph"/>
        <w:numPr>
          <w:ilvl w:val="0"/>
          <w:numId w:val="26"/>
        </w:numPr>
        <w:ind w:left="360"/>
        <w:rPr>
          <w:rFonts w:ascii="Calibri" w:hAnsi="Calibri" w:cs="Calibri"/>
        </w:rPr>
      </w:pPr>
      <w:r w:rsidRPr="008A7C80">
        <w:rPr>
          <w:rFonts w:ascii="Calibri" w:hAnsi="Calibri" w:cs="Calibri"/>
        </w:rPr>
        <w:t>The role of families shows prominently in results concerning support</w:t>
      </w:r>
      <w:r>
        <w:rPr>
          <w:rFonts w:ascii="Calibri" w:hAnsi="Calibri" w:cs="Calibri"/>
        </w:rPr>
        <w:t xml:space="preserve"> and activities</w:t>
      </w:r>
      <w:r w:rsidRPr="008A7C80">
        <w:rPr>
          <w:rFonts w:ascii="Calibri" w:hAnsi="Calibri" w:cs="Calibri"/>
        </w:rPr>
        <w:t>.</w:t>
      </w:r>
    </w:p>
    <w:p w:rsidR="00653EAA" w:rsidRPr="008A7C80" w:rsidRDefault="00653EAA" w:rsidP="00653EAA">
      <w:pPr>
        <w:rPr>
          <w:rFonts w:ascii="Calibri" w:hAnsi="Calibri" w:cs="Calibri"/>
        </w:rPr>
      </w:pPr>
    </w:p>
    <w:p w:rsidR="00653EAA" w:rsidRPr="008A7C80" w:rsidRDefault="00653EAA" w:rsidP="00AF5E38">
      <w:pPr>
        <w:pStyle w:val="ListParagraph"/>
        <w:numPr>
          <w:ilvl w:val="0"/>
          <w:numId w:val="26"/>
        </w:numPr>
        <w:ind w:left="360"/>
        <w:rPr>
          <w:rFonts w:ascii="Calibri" w:hAnsi="Calibri" w:cs="Calibri"/>
        </w:rPr>
      </w:pPr>
      <w:r w:rsidRPr="008A7C80">
        <w:rPr>
          <w:rFonts w:ascii="Calibri" w:hAnsi="Calibri" w:cs="Calibri"/>
        </w:rPr>
        <w:t>We trace problems with access to supports, which could be an early indication of bottlenecks in the relevant supply chains.</w:t>
      </w:r>
    </w:p>
    <w:p w:rsidR="00653EAA" w:rsidRPr="008A7C80" w:rsidRDefault="00653EAA" w:rsidP="00653EAA">
      <w:pPr>
        <w:rPr>
          <w:rFonts w:ascii="Calibri" w:hAnsi="Calibri" w:cs="Calibri"/>
        </w:rPr>
      </w:pPr>
    </w:p>
    <w:p w:rsidR="00653EAA" w:rsidRPr="008A7C80" w:rsidRDefault="00653EAA" w:rsidP="00AF5E38">
      <w:pPr>
        <w:pStyle w:val="ListParagraph"/>
        <w:numPr>
          <w:ilvl w:val="0"/>
          <w:numId w:val="26"/>
        </w:numPr>
        <w:ind w:left="360"/>
        <w:rPr>
          <w:rFonts w:ascii="Calibri" w:hAnsi="Calibri" w:cs="Calibri"/>
        </w:rPr>
      </w:pPr>
      <w:r w:rsidRPr="008A7C80">
        <w:rPr>
          <w:rFonts w:ascii="Calibri" w:hAnsi="Calibri" w:cs="Calibri"/>
        </w:rPr>
        <w:t xml:space="preserve">We already see complex support relationships between people with disability and the providers of </w:t>
      </w:r>
      <w:r>
        <w:rPr>
          <w:rFonts w:ascii="Calibri" w:hAnsi="Calibri" w:cs="Calibri"/>
        </w:rPr>
        <w:t xml:space="preserve">the </w:t>
      </w:r>
      <w:r w:rsidRPr="008A7C80">
        <w:rPr>
          <w:rFonts w:ascii="Calibri" w:hAnsi="Calibri" w:cs="Calibri"/>
        </w:rPr>
        <w:t>supports</w:t>
      </w:r>
      <w:r>
        <w:rPr>
          <w:rFonts w:ascii="Calibri" w:hAnsi="Calibri" w:cs="Calibri"/>
        </w:rPr>
        <w:t xml:space="preserve"> they need</w:t>
      </w:r>
      <w:r w:rsidRPr="008A7C80">
        <w:rPr>
          <w:rFonts w:ascii="Calibri" w:hAnsi="Calibri" w:cs="Calibri"/>
        </w:rPr>
        <w:t>, especially in less populated areas.</w:t>
      </w:r>
    </w:p>
    <w:p w:rsidR="00653EAA" w:rsidRPr="008A7C80" w:rsidRDefault="00653EAA" w:rsidP="00653EAA">
      <w:pPr>
        <w:rPr>
          <w:rFonts w:ascii="Calibri" w:hAnsi="Calibri" w:cs="Calibri"/>
        </w:rPr>
      </w:pPr>
    </w:p>
    <w:p w:rsidR="00653EAA" w:rsidRPr="008A7C80" w:rsidRDefault="00653EAA" w:rsidP="00AF5E38">
      <w:pPr>
        <w:pStyle w:val="ListParagraph"/>
        <w:numPr>
          <w:ilvl w:val="0"/>
          <w:numId w:val="26"/>
        </w:numPr>
        <w:ind w:left="360"/>
        <w:rPr>
          <w:rFonts w:ascii="Calibri" w:hAnsi="Calibri" w:cs="Calibri"/>
        </w:rPr>
      </w:pPr>
      <w:r w:rsidRPr="008A7C80">
        <w:rPr>
          <w:rFonts w:ascii="Calibri" w:hAnsi="Calibri" w:cs="Calibri"/>
        </w:rPr>
        <w:lastRenderedPageBreak/>
        <w:t>A large proportion of people with disability in the trial sites have changed support providers after they joined the NDIS.</w:t>
      </w:r>
      <w:r>
        <w:rPr>
          <w:rFonts w:ascii="Calibri" w:hAnsi="Calibri" w:cs="Calibri"/>
        </w:rPr>
        <w:t xml:space="preserve"> This suggests that the data collection captures adequately the change that is happening with the NDIS rollout.</w:t>
      </w:r>
    </w:p>
    <w:p w:rsidR="00653EAA" w:rsidRPr="008A7C80" w:rsidRDefault="00653EAA" w:rsidP="00653EAA">
      <w:pPr>
        <w:rPr>
          <w:rFonts w:ascii="Calibri" w:hAnsi="Calibri" w:cs="Calibri"/>
        </w:rPr>
      </w:pPr>
    </w:p>
    <w:p w:rsidR="00653EAA" w:rsidRPr="008A7C80" w:rsidRDefault="001C09BD" w:rsidP="00AF5E38">
      <w:pPr>
        <w:pStyle w:val="ListParagraph"/>
        <w:numPr>
          <w:ilvl w:val="0"/>
          <w:numId w:val="26"/>
        </w:numPr>
        <w:ind w:left="360"/>
        <w:rPr>
          <w:rFonts w:ascii="Calibri" w:hAnsi="Calibri" w:cs="Calibri"/>
        </w:rPr>
      </w:pPr>
      <w:r>
        <w:rPr>
          <w:rFonts w:ascii="Calibri" w:hAnsi="Calibri" w:cs="Calibri"/>
        </w:rPr>
        <w:t xml:space="preserve">Data relating to household incomes suggests </w:t>
      </w:r>
      <w:r w:rsidR="00775306" w:rsidRPr="00775306">
        <w:rPr>
          <w:rFonts w:ascii="Calibri" w:hAnsi="Calibri" w:cs="Calibri"/>
        </w:rPr>
        <w:t xml:space="preserve">households of people with disability are </w:t>
      </w:r>
      <w:r w:rsidR="00775306">
        <w:rPr>
          <w:rFonts w:ascii="Calibri" w:hAnsi="Calibri" w:cs="Calibri"/>
        </w:rPr>
        <w:t xml:space="preserve">slightly </w:t>
      </w:r>
      <w:r w:rsidR="00775306" w:rsidRPr="00775306">
        <w:rPr>
          <w:rFonts w:ascii="Calibri" w:hAnsi="Calibri" w:cs="Calibri"/>
        </w:rPr>
        <w:t>below the national average</w:t>
      </w:r>
      <w:r w:rsidR="001A4268">
        <w:rPr>
          <w:rFonts w:ascii="Calibri" w:hAnsi="Calibri" w:cs="Calibri"/>
        </w:rPr>
        <w:t>;</w:t>
      </w:r>
      <w:r w:rsidR="00775306">
        <w:rPr>
          <w:rFonts w:ascii="Calibri" w:hAnsi="Calibri" w:cs="Calibri"/>
        </w:rPr>
        <w:t xml:space="preserve"> however</w:t>
      </w:r>
      <w:r w:rsidR="001A4268">
        <w:rPr>
          <w:rFonts w:ascii="Calibri" w:hAnsi="Calibri" w:cs="Calibri"/>
        </w:rPr>
        <w:t>,</w:t>
      </w:r>
      <w:r w:rsidR="00775306">
        <w:rPr>
          <w:rFonts w:ascii="Calibri" w:hAnsi="Calibri" w:cs="Calibri"/>
        </w:rPr>
        <w:t xml:space="preserve"> data for individuals</w:t>
      </w:r>
      <w:r w:rsidR="00775306" w:rsidRPr="00775306">
        <w:t xml:space="preserve"> </w:t>
      </w:r>
      <w:r w:rsidR="00775306">
        <w:t xml:space="preserve">shows </w:t>
      </w:r>
      <w:r w:rsidR="00775306" w:rsidRPr="00775306">
        <w:rPr>
          <w:rFonts w:ascii="Calibri" w:hAnsi="Calibri" w:cs="Calibri"/>
        </w:rPr>
        <w:t>the majority of persons with disability are recipients of very low incomes</w:t>
      </w:r>
      <w:r w:rsidR="00653EAA" w:rsidRPr="008A7C80">
        <w:rPr>
          <w:rFonts w:ascii="Calibri" w:hAnsi="Calibri" w:cs="Calibri"/>
        </w:rPr>
        <w:t xml:space="preserve">. </w:t>
      </w:r>
      <w:r>
        <w:rPr>
          <w:rFonts w:ascii="Calibri" w:hAnsi="Calibri" w:cs="Calibri"/>
        </w:rPr>
        <w:t>Results</w:t>
      </w:r>
      <w:r w:rsidR="00653EAA" w:rsidRPr="008A7C80">
        <w:rPr>
          <w:rFonts w:ascii="Calibri" w:hAnsi="Calibri" w:cs="Calibri"/>
        </w:rPr>
        <w:t xml:space="preserve"> suggest that people with disability are strongly supported financially by their families and that many people with disability would be living in poverty if it were not for that support, reflected in their total household income.</w:t>
      </w:r>
      <w:r w:rsidR="00653EAA">
        <w:rPr>
          <w:rFonts w:ascii="Calibri" w:hAnsi="Calibri" w:cs="Calibri"/>
        </w:rPr>
        <w:t xml:space="preserve"> This further confirms the </w:t>
      </w:r>
      <w:r w:rsidR="00775306">
        <w:rPr>
          <w:rFonts w:ascii="Calibri" w:hAnsi="Calibri" w:cs="Calibri"/>
        </w:rPr>
        <w:t>value</w:t>
      </w:r>
      <w:r w:rsidR="00653EAA">
        <w:rPr>
          <w:rFonts w:ascii="Calibri" w:hAnsi="Calibri" w:cs="Calibri"/>
        </w:rPr>
        <w:t xml:space="preserve"> of performing both surveys of people with disability, and their families and carers.</w:t>
      </w:r>
    </w:p>
    <w:p w:rsidR="00653EAA" w:rsidRPr="008A7C80" w:rsidRDefault="00653EAA" w:rsidP="00830604">
      <w:pPr>
        <w:rPr>
          <w:rFonts w:ascii="Calibri" w:hAnsi="Calibri" w:cs="Calibri"/>
        </w:rPr>
      </w:pPr>
    </w:p>
    <w:p w:rsidR="00ED38D9" w:rsidRPr="00BE4AA6" w:rsidRDefault="00ED38D9" w:rsidP="00AF5E38">
      <w:pPr>
        <w:pStyle w:val="ListParagraph"/>
        <w:numPr>
          <w:ilvl w:val="0"/>
          <w:numId w:val="26"/>
        </w:numPr>
        <w:ind w:left="360"/>
        <w:rPr>
          <w:rFonts w:ascii="Calibri" w:hAnsi="Calibri" w:cs="Calibri"/>
          <w:lang w:val="en-AU"/>
        </w:rPr>
      </w:pPr>
      <w:r w:rsidRPr="00BE4AA6">
        <w:rPr>
          <w:rFonts w:ascii="Calibri" w:hAnsi="Calibri" w:cs="Calibri"/>
          <w:lang w:val="en-AU"/>
        </w:rPr>
        <w:t xml:space="preserve">The reporting of wellbeing has been done through three suites of questions </w:t>
      </w:r>
      <w:r w:rsidR="001A4268">
        <w:rPr>
          <w:rFonts w:ascii="Calibri" w:hAnsi="Calibri" w:cs="Calibri"/>
          <w:lang w:val="en-AU"/>
        </w:rPr>
        <w:t>that</w:t>
      </w:r>
      <w:r w:rsidR="001A4268" w:rsidRPr="00BE4AA6">
        <w:rPr>
          <w:rFonts w:ascii="Calibri" w:hAnsi="Calibri" w:cs="Calibri"/>
          <w:lang w:val="en-AU"/>
        </w:rPr>
        <w:t xml:space="preserve"> </w:t>
      </w:r>
      <w:r w:rsidRPr="00BE4AA6">
        <w:rPr>
          <w:rFonts w:ascii="Calibri" w:hAnsi="Calibri" w:cs="Calibri"/>
          <w:lang w:val="en-AU"/>
        </w:rPr>
        <w:t xml:space="preserve">can be analysed as a whole to derive validated indicators of well-being, or independently to study each component in more depth. </w:t>
      </w:r>
    </w:p>
    <w:p w:rsidR="00653EAA" w:rsidRPr="008A7C80" w:rsidRDefault="00653EAA" w:rsidP="00775306">
      <w:pPr>
        <w:rPr>
          <w:rFonts w:ascii="Calibri" w:hAnsi="Calibri" w:cs="Calibri"/>
        </w:rPr>
      </w:pPr>
    </w:p>
    <w:p w:rsidR="00653EAA" w:rsidRPr="008A7C80" w:rsidRDefault="00653EAA" w:rsidP="00AF5E38">
      <w:pPr>
        <w:pStyle w:val="ListParagraph"/>
        <w:numPr>
          <w:ilvl w:val="0"/>
          <w:numId w:val="26"/>
        </w:numPr>
        <w:ind w:left="360"/>
        <w:rPr>
          <w:rFonts w:ascii="Calibri" w:hAnsi="Calibri" w:cs="Calibri"/>
        </w:rPr>
      </w:pPr>
      <w:r w:rsidRPr="008A7C80">
        <w:rPr>
          <w:rFonts w:ascii="Calibri" w:hAnsi="Calibri" w:cs="Calibri"/>
        </w:rPr>
        <w:t>The number of people with disability in employment was too small for reliable conclusions. The same applied to education. We expect the full Wave 1 data to become more informative in the reporting of actual employment and education as well as employment and education aspirations.</w:t>
      </w:r>
    </w:p>
    <w:p w:rsidR="00653EAA" w:rsidRPr="008A7C80" w:rsidRDefault="00653EAA" w:rsidP="00775306">
      <w:pPr>
        <w:rPr>
          <w:rFonts w:ascii="Calibri" w:hAnsi="Calibri" w:cs="Calibri"/>
        </w:rPr>
      </w:pPr>
    </w:p>
    <w:p w:rsidR="00653EAA" w:rsidRPr="008A7C80" w:rsidRDefault="00696C4A" w:rsidP="00AF5E38">
      <w:pPr>
        <w:pStyle w:val="ListParagraph"/>
        <w:numPr>
          <w:ilvl w:val="0"/>
          <w:numId w:val="26"/>
        </w:numPr>
        <w:ind w:left="360"/>
        <w:rPr>
          <w:rFonts w:ascii="Calibri" w:hAnsi="Calibri" w:cs="Calibri"/>
        </w:rPr>
      </w:pPr>
      <w:r w:rsidRPr="00696C4A">
        <w:rPr>
          <w:rFonts w:ascii="Calibri" w:hAnsi="Calibri" w:cs="Calibri"/>
          <w:lang w:val="en-AU"/>
        </w:rPr>
        <w:t>There are early indications of the NDIS delivering on its promises. A much larger proportion of NDIS participants report that things got better after joining the NDIS than those reporting that things had got worse. Three aspects have been asked explicitly: satisfaction with quality of support, input over decisions about what supports to receive, and choice of where to get the supports.</w:t>
      </w:r>
      <w:r w:rsidR="00653EAA" w:rsidRPr="008A7C80">
        <w:rPr>
          <w:rFonts w:ascii="Calibri" w:hAnsi="Calibri" w:cs="Calibri"/>
        </w:rPr>
        <w:t xml:space="preserve"> In all three aspects there is a clear pattern of things having got better after joining the NDIS.</w:t>
      </w:r>
    </w:p>
    <w:p w:rsidR="00653EAA" w:rsidRPr="008A7C80" w:rsidRDefault="00653EAA" w:rsidP="00830604">
      <w:pPr>
        <w:rPr>
          <w:rFonts w:ascii="Calibri" w:hAnsi="Calibri" w:cs="Calibri"/>
        </w:rPr>
      </w:pPr>
    </w:p>
    <w:p w:rsidR="00653EAA" w:rsidRPr="008A7C80" w:rsidRDefault="00653EAA" w:rsidP="00830604">
      <w:pPr>
        <w:rPr>
          <w:rFonts w:ascii="Calibri" w:hAnsi="Calibri" w:cs="Calibri"/>
        </w:rPr>
      </w:pPr>
      <w:r w:rsidRPr="008A7C80">
        <w:rPr>
          <w:rFonts w:ascii="Calibri" w:hAnsi="Calibri" w:cs="Calibri"/>
        </w:rPr>
        <w:t>We should reiterate that these results are preliminary and should be treated with cauti</w:t>
      </w:r>
      <w:r>
        <w:rPr>
          <w:rFonts w:ascii="Calibri" w:hAnsi="Calibri" w:cs="Calibri"/>
        </w:rPr>
        <w:t>on. Utilising the full W</w:t>
      </w:r>
      <w:r w:rsidRPr="008A7C80">
        <w:rPr>
          <w:rFonts w:ascii="Calibri" w:hAnsi="Calibri" w:cs="Calibri"/>
        </w:rPr>
        <w:t xml:space="preserve">ave 1 data, they will be analysed and presented as part of the </w:t>
      </w:r>
      <w:r w:rsidR="00F23B12">
        <w:rPr>
          <w:rFonts w:ascii="Calibri" w:hAnsi="Calibri" w:cs="Calibri"/>
        </w:rPr>
        <w:t>I</w:t>
      </w:r>
      <w:r w:rsidRPr="008A7C80">
        <w:rPr>
          <w:rFonts w:ascii="Calibri" w:hAnsi="Calibri" w:cs="Calibri"/>
        </w:rPr>
        <w:t xml:space="preserve">ntermediate </w:t>
      </w:r>
      <w:r w:rsidR="00F23B12">
        <w:rPr>
          <w:rFonts w:ascii="Calibri" w:hAnsi="Calibri" w:cs="Calibri"/>
        </w:rPr>
        <w:t>R</w:t>
      </w:r>
      <w:r w:rsidRPr="008A7C80">
        <w:rPr>
          <w:rFonts w:ascii="Calibri" w:hAnsi="Calibri" w:cs="Calibri"/>
        </w:rPr>
        <w:t xml:space="preserve">eport in </w:t>
      </w:r>
      <w:r w:rsidR="003D4CF6">
        <w:rPr>
          <w:rFonts w:ascii="Calibri" w:hAnsi="Calibri" w:cs="Calibri"/>
        </w:rPr>
        <w:t>second half of 2016</w:t>
      </w:r>
      <w:r w:rsidRPr="008A7C80">
        <w:rPr>
          <w:rFonts w:ascii="Calibri" w:hAnsi="Calibri" w:cs="Calibri"/>
        </w:rPr>
        <w:t>.</w:t>
      </w:r>
      <w:r>
        <w:rPr>
          <w:rFonts w:ascii="Calibri" w:hAnsi="Calibri" w:cs="Calibri"/>
        </w:rPr>
        <w:t xml:space="preserve"> The full strength of the data will only become apparent after the completion of the second wave</w:t>
      </w:r>
      <w:r w:rsidR="001A4268">
        <w:rPr>
          <w:rFonts w:ascii="Calibri" w:hAnsi="Calibri" w:cs="Calibri"/>
        </w:rPr>
        <w:t>,</w:t>
      </w:r>
      <w:r>
        <w:rPr>
          <w:rFonts w:ascii="Calibri" w:hAnsi="Calibri" w:cs="Calibri"/>
        </w:rPr>
        <w:t xml:space="preserve"> which will allow the necessary longitudinal analysis to commence.</w:t>
      </w:r>
    </w:p>
    <w:p w:rsidR="00653EAA" w:rsidRPr="008A7C80" w:rsidRDefault="00653EAA" w:rsidP="00830604">
      <w:pPr>
        <w:spacing w:before="240" w:after="240"/>
        <w:rPr>
          <w:rFonts w:ascii="Calibri" w:hAnsi="Calibri" w:cs="Calibri"/>
          <w:b/>
        </w:rPr>
      </w:pPr>
      <w:r>
        <w:rPr>
          <w:rFonts w:ascii="Calibri" w:hAnsi="Calibri" w:cs="Calibri"/>
          <w:b/>
        </w:rPr>
        <w:t>Towards W</w:t>
      </w:r>
      <w:r w:rsidRPr="008A7C80">
        <w:rPr>
          <w:rFonts w:ascii="Calibri" w:hAnsi="Calibri" w:cs="Calibri"/>
          <w:b/>
        </w:rPr>
        <w:t>ave 2 and beyond</w:t>
      </w:r>
    </w:p>
    <w:p w:rsidR="00653EAA" w:rsidRPr="008A7C80" w:rsidRDefault="00653EAA" w:rsidP="00830604">
      <w:pPr>
        <w:rPr>
          <w:rFonts w:ascii="Calibri" w:hAnsi="Calibri" w:cs="Calibri"/>
        </w:rPr>
      </w:pPr>
      <w:r w:rsidRPr="008A7C80">
        <w:rPr>
          <w:rFonts w:ascii="Calibri" w:hAnsi="Calibri" w:cs="Calibri"/>
        </w:rPr>
        <w:t>The quality of the information will become more apparent and more precise as we look at what we already have through a</w:t>
      </w:r>
      <w:r>
        <w:rPr>
          <w:rFonts w:ascii="Calibri" w:hAnsi="Calibri" w:cs="Calibri"/>
        </w:rPr>
        <w:t xml:space="preserve"> multivariate analysis</w:t>
      </w:r>
      <w:r w:rsidRPr="008A7C80">
        <w:rPr>
          <w:rFonts w:ascii="Calibri" w:hAnsi="Calibri" w:cs="Calibri"/>
        </w:rPr>
        <w:t xml:space="preserve"> statistical lens. </w:t>
      </w:r>
      <w:r>
        <w:rPr>
          <w:rFonts w:ascii="Calibri" w:hAnsi="Calibri" w:cs="Calibri"/>
        </w:rPr>
        <w:t xml:space="preserve">We will report first results in the </w:t>
      </w:r>
      <w:r w:rsidR="00907015">
        <w:rPr>
          <w:rFonts w:ascii="Calibri" w:hAnsi="Calibri" w:cs="Calibri"/>
        </w:rPr>
        <w:t>Intermediate R</w:t>
      </w:r>
      <w:r>
        <w:rPr>
          <w:rFonts w:ascii="Calibri" w:hAnsi="Calibri" w:cs="Calibri"/>
        </w:rPr>
        <w:t>eport.</w:t>
      </w:r>
    </w:p>
    <w:p w:rsidR="00653EAA" w:rsidRPr="008A7C80" w:rsidRDefault="00653EAA" w:rsidP="00830604">
      <w:pPr>
        <w:rPr>
          <w:rFonts w:ascii="Calibri" w:hAnsi="Calibri" w:cs="Calibri"/>
        </w:rPr>
      </w:pPr>
    </w:p>
    <w:p w:rsidR="00653EAA" w:rsidRDefault="00653EAA" w:rsidP="00830604">
      <w:pPr>
        <w:rPr>
          <w:rFonts w:ascii="Calibri" w:hAnsi="Calibri" w:cs="Calibri"/>
        </w:rPr>
      </w:pPr>
      <w:r w:rsidRPr="008A7C80">
        <w:rPr>
          <w:rFonts w:ascii="Calibri" w:hAnsi="Calibri" w:cs="Calibri"/>
        </w:rPr>
        <w:t>A requirement of the project is that the design of the core longitudinal data collection on people with disability, and their families and carers is conducted on a template that would allow the continued collection of more waves beyond the present timeframe and beyond Wave 2 to enable future investigation and monitoring.</w:t>
      </w:r>
    </w:p>
    <w:p w:rsidR="00653EAA" w:rsidRDefault="00653EAA" w:rsidP="00830604">
      <w:pPr>
        <w:rPr>
          <w:rFonts w:ascii="Calibri" w:hAnsi="Calibri" w:cs="Calibri"/>
        </w:rPr>
      </w:pPr>
    </w:p>
    <w:p w:rsidR="00653EAA" w:rsidRDefault="00653EAA">
      <w:pPr>
        <w:rPr>
          <w:b/>
          <w:sz w:val="26"/>
          <w:szCs w:val="26"/>
          <w:lang w:val="en-AU" w:eastAsia="zh-CN"/>
        </w:rPr>
      </w:pPr>
      <w:r>
        <w:rPr>
          <w:b/>
          <w:sz w:val="26"/>
          <w:szCs w:val="26"/>
          <w:lang w:val="en-AU" w:eastAsia="zh-CN"/>
        </w:rPr>
        <w:br w:type="page"/>
      </w:r>
    </w:p>
    <w:p w:rsidR="006155A0" w:rsidRDefault="006155A0" w:rsidP="00A55A68">
      <w:pPr>
        <w:rPr>
          <w:b/>
          <w:sz w:val="26"/>
          <w:szCs w:val="26"/>
          <w:lang w:val="en-AU" w:eastAsia="zh-CN"/>
        </w:rPr>
      </w:pPr>
      <w:r w:rsidRPr="00A55A68">
        <w:rPr>
          <w:b/>
          <w:sz w:val="26"/>
          <w:szCs w:val="26"/>
          <w:lang w:val="en-AU" w:eastAsia="zh-CN"/>
        </w:rPr>
        <w:lastRenderedPageBreak/>
        <w:t>The 2014 NDIS Disability Support Providers Surveys</w:t>
      </w:r>
    </w:p>
    <w:p w:rsidR="00A55A68" w:rsidRPr="00A55A68" w:rsidRDefault="00A55A68" w:rsidP="00A55A68">
      <w:pPr>
        <w:rPr>
          <w:b/>
          <w:sz w:val="26"/>
          <w:szCs w:val="26"/>
          <w:lang w:val="en-AU" w:eastAsia="zh-CN"/>
        </w:rPr>
      </w:pPr>
    </w:p>
    <w:p w:rsidR="006155A0" w:rsidRPr="00D60EE4" w:rsidRDefault="00ED38D9" w:rsidP="006155A0">
      <w:r w:rsidRPr="00ED38D9">
        <w:rPr>
          <w:lang w:val="en-AU"/>
        </w:rPr>
        <w:t>The survey of disability support providers (DSP) sought to help understand whether there will be sufficient workforce capacity to meet the growing and changing demands of a full NDIS roll</w:t>
      </w:r>
      <w:r w:rsidR="00BE4AA6">
        <w:rPr>
          <w:lang w:val="en-AU"/>
        </w:rPr>
        <w:t>-</w:t>
      </w:r>
      <w:r w:rsidRPr="00ED38D9">
        <w:rPr>
          <w:lang w:val="en-AU"/>
        </w:rPr>
        <w:t>out.</w:t>
      </w:r>
      <w:r w:rsidR="006155A0">
        <w:t xml:space="preserve"> The 2014 surveys provided a baseline for this understanding from the perspective of both DSP outlets and the DSP workforce. S</w:t>
      </w:r>
      <w:r w:rsidR="006155A0">
        <w:rPr>
          <w:rFonts w:cstheme="minorHAnsi"/>
        </w:rPr>
        <w:t xml:space="preserve">eparate questionnaires were administered for DSP outlet managers, a random sample of DSP workers, and self-employed disability service providers. </w:t>
      </w:r>
    </w:p>
    <w:p w:rsidR="006155A0" w:rsidRDefault="006155A0" w:rsidP="006155A0"/>
    <w:p w:rsidR="006155A0" w:rsidRDefault="006155A0" w:rsidP="006155A0">
      <w:r>
        <w:rPr>
          <w:lang w:eastAsia="zh-CN"/>
        </w:rPr>
        <w:t>The surveys found a rich mixture of providers—large and small, mainly not-for-profit, with some smaller for-profit providers and a modest number of large public providers. About 28 per cent employed 50 or more people, while 34 per cent employed fewer than 10. There was clear evidence of specialisation in the types of disabilities that were supported, and the types of services that were offered. The diversity in size, ownership and services suggested that the sector had the capacity for resilience and adaptability.</w:t>
      </w:r>
    </w:p>
    <w:p w:rsidR="006155A0" w:rsidRDefault="006155A0" w:rsidP="006155A0"/>
    <w:p w:rsidR="006155A0" w:rsidRDefault="006155A0" w:rsidP="006155A0">
      <w:r>
        <w:t>The key findings from the survey of outlets were:</w:t>
      </w:r>
    </w:p>
    <w:p w:rsidR="006155A0" w:rsidRDefault="006155A0" w:rsidP="006155A0"/>
    <w:p w:rsidR="006155A0" w:rsidRDefault="006155A0" w:rsidP="00AF5E38">
      <w:pPr>
        <w:pStyle w:val="ListParagraph"/>
        <w:numPr>
          <w:ilvl w:val="0"/>
          <w:numId w:val="15"/>
        </w:numPr>
      </w:pPr>
      <w:r>
        <w:t>Two</w:t>
      </w:r>
      <w:r w:rsidR="001A4268">
        <w:t>-</w:t>
      </w:r>
      <w:r>
        <w:t>thirds of the workforce of DSP outlets w</w:t>
      </w:r>
      <w:r w:rsidR="005A7471">
        <w:t>as</w:t>
      </w:r>
      <w:r>
        <w:t xml:space="preserve"> disability/residential support or personal/home care workers. These occupations dominated the concerns about workforce competence, skill shortages, vacancies and intentions to hire more staff.</w:t>
      </w:r>
    </w:p>
    <w:p w:rsidR="00DB74CD" w:rsidRDefault="00DB74CD" w:rsidP="00DB74CD">
      <w:pPr>
        <w:pStyle w:val="ListParagraph"/>
        <w:ind w:left="360"/>
      </w:pPr>
    </w:p>
    <w:p w:rsidR="006155A0" w:rsidRDefault="006155A0" w:rsidP="00AF5E38">
      <w:pPr>
        <w:pStyle w:val="ListParagraph"/>
        <w:numPr>
          <w:ilvl w:val="0"/>
          <w:numId w:val="15"/>
        </w:numPr>
      </w:pPr>
      <w:r>
        <w:t>Most outlets thought that their staff had the skills they needed to do their jobs.</w:t>
      </w:r>
    </w:p>
    <w:p w:rsidR="00DB74CD" w:rsidRDefault="00DB74CD" w:rsidP="00DB74CD"/>
    <w:p w:rsidR="006155A0" w:rsidRDefault="00B53FF0" w:rsidP="00AF5E38">
      <w:pPr>
        <w:pStyle w:val="ListParagraph"/>
        <w:numPr>
          <w:ilvl w:val="0"/>
          <w:numId w:val="15"/>
        </w:numPr>
      </w:pPr>
      <w:r>
        <w:t>Less</w:t>
      </w:r>
      <w:r w:rsidR="006155A0">
        <w:t xml:space="preserve"> than one in ten outlets reported that they faced a continuous (as distinct from occasional or no) skill shortage.</w:t>
      </w:r>
    </w:p>
    <w:p w:rsidR="00DB74CD" w:rsidRDefault="00DB74CD" w:rsidP="00DB74CD"/>
    <w:p w:rsidR="006155A0" w:rsidRDefault="006155A0" w:rsidP="00AF5E38">
      <w:pPr>
        <w:pStyle w:val="ListParagraph"/>
        <w:numPr>
          <w:ilvl w:val="0"/>
          <w:numId w:val="15"/>
        </w:numPr>
      </w:pPr>
      <w:r>
        <w:t>Over two</w:t>
      </w:r>
      <w:r w:rsidR="001A4268">
        <w:t>-</w:t>
      </w:r>
      <w:r>
        <w:t>thirds of outlets said they had no current vacancies</w:t>
      </w:r>
      <w:r w:rsidRPr="00DE69F6">
        <w:t xml:space="preserve"> </w:t>
      </w:r>
      <w:r>
        <w:t>for most occupations.</w:t>
      </w:r>
    </w:p>
    <w:p w:rsidR="00DB74CD" w:rsidRDefault="00DB74CD" w:rsidP="00DB74CD"/>
    <w:p w:rsidR="006155A0" w:rsidRDefault="006155A0" w:rsidP="00AF5E38">
      <w:pPr>
        <w:pStyle w:val="ListParagraph"/>
        <w:numPr>
          <w:ilvl w:val="0"/>
          <w:numId w:val="15"/>
        </w:numPr>
      </w:pPr>
      <w:r>
        <w:t>Most outlets intended to hire staff in the coming year. One</w:t>
      </w:r>
      <w:r w:rsidR="001A4268">
        <w:t>-</w:t>
      </w:r>
      <w:r>
        <w:t>quarter said that their hiring plans would increase their capacity to provide disability services</w:t>
      </w:r>
      <w:r w:rsidR="00DB74CD">
        <w:t>.</w:t>
      </w:r>
    </w:p>
    <w:p w:rsidR="00DB74CD" w:rsidRDefault="00DB74CD" w:rsidP="00DB74CD"/>
    <w:p w:rsidR="006155A0" w:rsidRDefault="006155A0" w:rsidP="00AF5E38">
      <w:pPr>
        <w:pStyle w:val="ListParagraph"/>
        <w:numPr>
          <w:ilvl w:val="0"/>
          <w:numId w:val="15"/>
        </w:numPr>
      </w:pPr>
      <w:r>
        <w:t>The requirement for specialist knowledge and geographic location were the most common reasons cited for a skills shortage. More training and longer hours for their existing workforce were the main responses.</w:t>
      </w:r>
    </w:p>
    <w:p w:rsidR="006155A0" w:rsidRDefault="006155A0" w:rsidP="006155A0">
      <w:pPr>
        <w:pStyle w:val="ListParagraph"/>
      </w:pPr>
    </w:p>
    <w:p w:rsidR="006155A0" w:rsidRDefault="006155A0" w:rsidP="006155A0">
      <w:r>
        <w:t>The key findings from the survey of the DSP workforce were:</w:t>
      </w:r>
    </w:p>
    <w:p w:rsidR="006155A0" w:rsidRPr="00D60EE4" w:rsidRDefault="006155A0" w:rsidP="006155A0">
      <w:pPr>
        <w:rPr>
          <w:b/>
        </w:rPr>
      </w:pPr>
    </w:p>
    <w:p w:rsidR="006155A0" w:rsidRDefault="006155A0" w:rsidP="00AF5E38">
      <w:pPr>
        <w:pStyle w:val="ListParagraph"/>
        <w:numPr>
          <w:ilvl w:val="0"/>
          <w:numId w:val="15"/>
        </w:numPr>
      </w:pPr>
      <w:r>
        <w:t>The workforce was older than average and predominantly female; although 30 per cent of disability/residential support workers were male.</w:t>
      </w:r>
    </w:p>
    <w:p w:rsidR="00DB74CD" w:rsidRDefault="00DB74CD" w:rsidP="00DB74CD">
      <w:pPr>
        <w:pStyle w:val="ListParagraph"/>
        <w:ind w:left="360"/>
      </w:pPr>
    </w:p>
    <w:p w:rsidR="006155A0" w:rsidRDefault="006155A0" w:rsidP="00AF5E38">
      <w:pPr>
        <w:pStyle w:val="ListParagraph"/>
        <w:numPr>
          <w:ilvl w:val="0"/>
          <w:numId w:val="15"/>
        </w:numPr>
      </w:pPr>
      <w:r>
        <w:t>The workforce included relatively few migrants, and especially, recent migrants.</w:t>
      </w:r>
    </w:p>
    <w:p w:rsidR="00DB74CD" w:rsidRDefault="00DB74CD" w:rsidP="00DB74CD"/>
    <w:p w:rsidR="006155A0" w:rsidRDefault="006155A0" w:rsidP="00AF5E38">
      <w:pPr>
        <w:pStyle w:val="ListParagraph"/>
        <w:numPr>
          <w:ilvl w:val="0"/>
          <w:numId w:val="15"/>
        </w:numPr>
      </w:pPr>
      <w:r>
        <w:t>It was highly educated: 90 per cent had post-school qualifications, including 36 per cent who had a bachelor’s degree, and these qualifications were mostly relevant to the jobs.</w:t>
      </w:r>
    </w:p>
    <w:p w:rsidR="00DB74CD" w:rsidRDefault="00DB74CD" w:rsidP="00DB74CD"/>
    <w:p w:rsidR="006155A0" w:rsidRDefault="006155A0" w:rsidP="00AF5E38">
      <w:pPr>
        <w:pStyle w:val="ListParagraph"/>
        <w:numPr>
          <w:ilvl w:val="0"/>
          <w:numId w:val="15"/>
        </w:numPr>
      </w:pPr>
      <w:r>
        <w:t>Twenty nine per cent of workers were employed on casual terms and only 38 per cent were happy with the hours they work. Forty per cent wanted to work fewer hours, whereas 21 per cent wanted to work more hours.</w:t>
      </w:r>
    </w:p>
    <w:p w:rsidR="00DB74CD" w:rsidRDefault="00DB74CD" w:rsidP="00DB74CD"/>
    <w:p w:rsidR="006155A0" w:rsidRDefault="006155A0" w:rsidP="00AF5E38">
      <w:pPr>
        <w:pStyle w:val="ListParagraph"/>
        <w:numPr>
          <w:ilvl w:val="0"/>
          <w:numId w:val="15"/>
        </w:numPr>
      </w:pPr>
      <w:r>
        <w:t>Professional and managerial workers had much higher earnings than care or support workers.</w:t>
      </w:r>
    </w:p>
    <w:p w:rsidR="006155A0" w:rsidRDefault="006155A0" w:rsidP="00AF5E38">
      <w:pPr>
        <w:pStyle w:val="ListParagraph"/>
        <w:numPr>
          <w:ilvl w:val="0"/>
          <w:numId w:val="15"/>
        </w:numPr>
      </w:pPr>
      <w:r>
        <w:lastRenderedPageBreak/>
        <w:t>People came to disability work through very diverse pathways; nearly all had worked in a different field first (e.g. sales, teacher, clerical, hospitality). Only 7 per cent came from aged care.</w:t>
      </w:r>
    </w:p>
    <w:p w:rsidR="00DB74CD" w:rsidRDefault="00DB74CD" w:rsidP="00DB74CD">
      <w:pPr>
        <w:pStyle w:val="ListParagraph"/>
        <w:ind w:left="360"/>
      </w:pPr>
    </w:p>
    <w:p w:rsidR="006155A0" w:rsidRPr="00DB74CD" w:rsidRDefault="006155A0" w:rsidP="00AF5E38">
      <w:pPr>
        <w:pStyle w:val="ListParagraph"/>
        <w:numPr>
          <w:ilvl w:val="0"/>
          <w:numId w:val="15"/>
        </w:numPr>
      </w:pPr>
      <w:r w:rsidRPr="00AB33E3">
        <w:rPr>
          <w:rFonts w:cstheme="minorHAnsi"/>
        </w:rPr>
        <w:t xml:space="preserve">A desire to help others </w:t>
      </w:r>
      <w:r>
        <w:rPr>
          <w:rFonts w:cstheme="minorHAnsi"/>
        </w:rPr>
        <w:t>and</w:t>
      </w:r>
      <w:r w:rsidRPr="00AB33E3">
        <w:rPr>
          <w:rFonts w:cstheme="minorHAnsi"/>
        </w:rPr>
        <w:t xml:space="preserve"> </w:t>
      </w:r>
      <w:r>
        <w:rPr>
          <w:rFonts w:cstheme="minorHAnsi"/>
        </w:rPr>
        <w:t xml:space="preserve">to </w:t>
      </w:r>
      <w:r w:rsidRPr="00AB33E3">
        <w:rPr>
          <w:rFonts w:cstheme="minorHAnsi"/>
        </w:rPr>
        <w:t xml:space="preserve">do something worthwhile </w:t>
      </w:r>
      <w:r>
        <w:rPr>
          <w:rFonts w:cstheme="minorHAnsi"/>
        </w:rPr>
        <w:t>was the dominant reason</w:t>
      </w:r>
      <w:r w:rsidRPr="00AB33E3">
        <w:rPr>
          <w:rFonts w:cstheme="minorHAnsi"/>
        </w:rPr>
        <w:t xml:space="preserve"> for working in the disability support sector</w:t>
      </w:r>
      <w:r>
        <w:rPr>
          <w:rFonts w:cstheme="minorHAnsi"/>
        </w:rPr>
        <w:t>. Job security and pay were not attractors.</w:t>
      </w:r>
    </w:p>
    <w:p w:rsidR="00DB74CD" w:rsidRPr="00894F7B" w:rsidRDefault="00DB74CD" w:rsidP="00DB74CD"/>
    <w:p w:rsidR="006155A0" w:rsidRDefault="006155A0" w:rsidP="00AF5E38">
      <w:pPr>
        <w:pStyle w:val="ListParagraph"/>
        <w:numPr>
          <w:ilvl w:val="0"/>
          <w:numId w:val="15"/>
        </w:numPr>
      </w:pPr>
      <w:r>
        <w:t>Overall,</w:t>
      </w:r>
      <w:r w:rsidRPr="00AB33E3">
        <w:t xml:space="preserve"> workers </w:t>
      </w:r>
      <w:r>
        <w:t>we</w:t>
      </w:r>
      <w:r w:rsidRPr="00AB33E3">
        <w:t>re hi</w:t>
      </w:r>
      <w:r>
        <w:t>ghly satisfied with their job. T</w:t>
      </w:r>
      <w:r w:rsidRPr="00AB33E3">
        <w:t xml:space="preserve">hey </w:t>
      </w:r>
      <w:r>
        <w:t>we</w:t>
      </w:r>
      <w:r w:rsidRPr="00AB33E3">
        <w:t>re particularly satisfied with the work itself and the sense of achievement they g</w:t>
      </w:r>
      <w:r>
        <w:t>o</w:t>
      </w:r>
      <w:r w:rsidRPr="00AB33E3">
        <w:t xml:space="preserve">t from </w:t>
      </w:r>
      <w:r>
        <w:t>it. They were least satisfied with their pay and job security and some felt excessive pressure and stress</w:t>
      </w:r>
      <w:r w:rsidR="00DB74CD">
        <w:t>.</w:t>
      </w:r>
    </w:p>
    <w:p w:rsidR="00DB74CD" w:rsidRDefault="00DB74CD" w:rsidP="00DB74CD"/>
    <w:p w:rsidR="006155A0" w:rsidRDefault="006155A0" w:rsidP="00AF5E38">
      <w:pPr>
        <w:pStyle w:val="ListParagraph"/>
        <w:numPr>
          <w:ilvl w:val="0"/>
          <w:numId w:val="15"/>
        </w:numPr>
      </w:pPr>
      <w:r>
        <w:t>Workers were confident that they had the necessary skills and freedom to do a good job and felt that they received respect for doing it well. They also expressed high levels of loyalty and pride in their workplace.</w:t>
      </w:r>
    </w:p>
    <w:p w:rsidR="00DB74CD" w:rsidRDefault="00DB74CD" w:rsidP="00DB74CD"/>
    <w:p w:rsidR="006155A0" w:rsidRDefault="006155A0" w:rsidP="00AF5E38">
      <w:pPr>
        <w:pStyle w:val="ListParagraph"/>
        <w:numPr>
          <w:ilvl w:val="0"/>
          <w:numId w:val="15"/>
        </w:numPr>
      </w:pPr>
      <w:r>
        <w:t>Over 90 per cent thought that there were very good relationships between workers and their clients.</w:t>
      </w:r>
    </w:p>
    <w:p w:rsidR="00DB74CD" w:rsidRPr="00894F7B" w:rsidRDefault="00DB74CD" w:rsidP="00DB74CD"/>
    <w:p w:rsidR="006155A0" w:rsidRPr="00DB74CD" w:rsidRDefault="006155A0" w:rsidP="00AF5E38">
      <w:pPr>
        <w:pStyle w:val="ListParagraph"/>
        <w:numPr>
          <w:ilvl w:val="0"/>
          <w:numId w:val="15"/>
        </w:numPr>
      </w:pPr>
      <w:r w:rsidRPr="000F0235">
        <w:rPr>
          <w:rFonts w:cstheme="minorHAnsi"/>
        </w:rPr>
        <w:t xml:space="preserve">There was substantial stability of the workforce within the sector, with some mobility between employers and jobs. </w:t>
      </w:r>
      <w:r>
        <w:t xml:space="preserve">Six per cent of workers expected to leave the sector in the next 12 months. </w:t>
      </w:r>
      <w:r w:rsidRPr="000F0235">
        <w:rPr>
          <w:rFonts w:cstheme="minorHAnsi"/>
        </w:rPr>
        <w:t>Sixteen per cent expect</w:t>
      </w:r>
      <w:r>
        <w:rPr>
          <w:rFonts w:cstheme="minorHAnsi"/>
        </w:rPr>
        <w:t>ed</w:t>
      </w:r>
      <w:r w:rsidRPr="000F0235">
        <w:rPr>
          <w:rFonts w:cstheme="minorHAnsi"/>
        </w:rPr>
        <w:t xml:space="preserve"> to change employer or job</w:t>
      </w:r>
      <w:r>
        <w:rPr>
          <w:rFonts w:cstheme="minorHAnsi"/>
        </w:rPr>
        <w:t>.</w:t>
      </w:r>
    </w:p>
    <w:p w:rsidR="00DB74CD" w:rsidRPr="001C2AFD" w:rsidRDefault="00DB74CD" w:rsidP="00DB74CD"/>
    <w:p w:rsidR="006155A0" w:rsidRPr="00DB74CD" w:rsidRDefault="006155A0" w:rsidP="00AF5E38">
      <w:pPr>
        <w:pStyle w:val="ListParagraph"/>
        <w:numPr>
          <w:ilvl w:val="0"/>
          <w:numId w:val="15"/>
        </w:numPr>
      </w:pPr>
      <w:r w:rsidRPr="000F0235">
        <w:rPr>
          <w:rFonts w:cstheme="minorHAnsi"/>
        </w:rPr>
        <w:t>The employee workforce was supplemented by self-employed providers, who were mostly graduates in allied health, psychology or counselling</w:t>
      </w:r>
      <w:r>
        <w:rPr>
          <w:rFonts w:cstheme="minorHAnsi"/>
        </w:rPr>
        <w:t xml:space="preserve">. They </w:t>
      </w:r>
      <w:r w:rsidRPr="000F0235">
        <w:rPr>
          <w:rFonts w:cstheme="minorHAnsi"/>
        </w:rPr>
        <w:t xml:space="preserve">particularly worked with children and in early intervention and therapeutic services. </w:t>
      </w:r>
    </w:p>
    <w:p w:rsidR="00DB74CD" w:rsidRPr="001C2AFD" w:rsidRDefault="00DB74CD" w:rsidP="00DB74CD"/>
    <w:p w:rsidR="006155A0" w:rsidRPr="000F0235" w:rsidRDefault="006155A0" w:rsidP="00AF5E38">
      <w:pPr>
        <w:pStyle w:val="ListParagraph"/>
        <w:numPr>
          <w:ilvl w:val="0"/>
          <w:numId w:val="15"/>
        </w:numPr>
        <w:rPr>
          <w:rFonts w:cstheme="minorHAnsi"/>
        </w:rPr>
      </w:pPr>
      <w:r>
        <w:t>Over half had been working in the disability sector for 15 or more years and 97 per cent expected to still be doing so in 12 months’ time. Even more than the employees,</w:t>
      </w:r>
      <w:r w:rsidRPr="000F0235">
        <w:rPr>
          <w:rFonts w:ascii="Calibri" w:eastAsia="Calibri" w:hAnsi="Calibri" w:cs="Calibri"/>
        </w:rPr>
        <w:t xml:space="preserve"> </w:t>
      </w:r>
      <w:r w:rsidRPr="000F0235">
        <w:rPr>
          <w:rFonts w:cstheme="minorHAnsi"/>
        </w:rPr>
        <w:t xml:space="preserve">‘desire to help others’ and ‘desire to do something worthwhile’ </w:t>
      </w:r>
      <w:r>
        <w:rPr>
          <w:rFonts w:cstheme="minorHAnsi"/>
        </w:rPr>
        <w:t>we</w:t>
      </w:r>
      <w:r w:rsidRPr="000F0235">
        <w:rPr>
          <w:rFonts w:cstheme="minorHAnsi"/>
        </w:rPr>
        <w:t>re their dominant reasons for working in disability care.</w:t>
      </w:r>
    </w:p>
    <w:p w:rsidR="006155A0" w:rsidRDefault="006155A0" w:rsidP="006155A0"/>
    <w:p w:rsidR="006155A0" w:rsidRDefault="006155A0">
      <w:pPr>
        <w:rPr>
          <w:rFonts w:eastAsia="Times" w:cstheme="minorHAnsi"/>
          <w:b/>
          <w:kern w:val="32"/>
          <w:sz w:val="28"/>
          <w:szCs w:val="24"/>
          <w:lang w:val="en-AU" w:eastAsia="zh-CN"/>
        </w:rPr>
      </w:pPr>
      <w:r w:rsidRPr="00AB33E3">
        <w:t xml:space="preserve">From a workforce planning perspective, it is </w:t>
      </w:r>
      <w:r>
        <w:t>a positive</w:t>
      </w:r>
      <w:r w:rsidRPr="00AB33E3">
        <w:t xml:space="preserve"> that it </w:t>
      </w:r>
      <w:r>
        <w:t>appeared to be drawing</w:t>
      </w:r>
      <w:r w:rsidRPr="00AB33E3">
        <w:t xml:space="preserve"> on a wide demographic.</w:t>
      </w:r>
      <w:r>
        <w:t xml:space="preserve"> </w:t>
      </w:r>
      <w:r w:rsidRPr="001E55C9">
        <w:rPr>
          <w:rFonts w:cstheme="minorHAnsi"/>
          <w:bCs/>
        </w:rPr>
        <w:t xml:space="preserve">The diverse pathways into disability care </w:t>
      </w:r>
      <w:r>
        <w:rPr>
          <w:rFonts w:cstheme="minorHAnsi"/>
          <w:bCs/>
        </w:rPr>
        <w:t>also implied</w:t>
      </w:r>
      <w:r w:rsidRPr="001E55C9">
        <w:rPr>
          <w:rFonts w:cstheme="minorHAnsi"/>
          <w:bCs/>
        </w:rPr>
        <w:t xml:space="preserve"> that there </w:t>
      </w:r>
      <w:r>
        <w:rPr>
          <w:rFonts w:cstheme="minorHAnsi"/>
          <w:bCs/>
        </w:rPr>
        <w:t xml:space="preserve">was </w:t>
      </w:r>
      <w:r w:rsidRPr="001E55C9">
        <w:rPr>
          <w:rFonts w:cstheme="minorHAnsi"/>
          <w:bCs/>
        </w:rPr>
        <w:t xml:space="preserve">quite a wide scope for expanding employment in </w:t>
      </w:r>
      <w:r>
        <w:rPr>
          <w:rFonts w:cstheme="minorHAnsi"/>
          <w:bCs/>
        </w:rPr>
        <w:t>the field</w:t>
      </w:r>
      <w:r w:rsidRPr="001E55C9">
        <w:rPr>
          <w:rFonts w:cstheme="minorHAnsi"/>
          <w:bCs/>
        </w:rPr>
        <w:t>: it d</w:t>
      </w:r>
      <w:r>
        <w:rPr>
          <w:rFonts w:cstheme="minorHAnsi"/>
          <w:bCs/>
        </w:rPr>
        <w:t>id</w:t>
      </w:r>
      <w:r w:rsidRPr="001E55C9">
        <w:rPr>
          <w:rFonts w:cstheme="minorHAnsi"/>
          <w:bCs/>
        </w:rPr>
        <w:t xml:space="preserve"> not rely on a narrow pipeline of potential workers.</w:t>
      </w:r>
      <w:r>
        <w:rPr>
          <w:rFonts w:cstheme="minorHAnsi"/>
          <w:bCs/>
        </w:rPr>
        <w:t xml:space="preserve"> </w:t>
      </w:r>
      <w:r w:rsidRPr="00AB33E3">
        <w:t>Both these factors suggest</w:t>
      </w:r>
      <w:r>
        <w:t>ed</w:t>
      </w:r>
      <w:r w:rsidRPr="00AB33E3">
        <w:t xml:space="preserve"> that there </w:t>
      </w:r>
      <w:r>
        <w:t>wa</w:t>
      </w:r>
      <w:r w:rsidRPr="00AB33E3">
        <w:t xml:space="preserve">s a substantial pool of people currently working in other areas of the economy who could potentially be attracted into disability care. One qualification to this view </w:t>
      </w:r>
      <w:r>
        <w:t>wa</w:t>
      </w:r>
      <w:r w:rsidRPr="00AB33E3">
        <w:t xml:space="preserve">s that the workforce </w:t>
      </w:r>
      <w:r>
        <w:t>wa</w:t>
      </w:r>
      <w:r w:rsidRPr="00AB33E3">
        <w:t>s unusua</w:t>
      </w:r>
      <w:r>
        <w:t>l in the emphasis that it placed</w:t>
      </w:r>
      <w:r w:rsidRPr="00AB33E3">
        <w:t xml:space="preserve"> on job satisfaction as a motivation, in contrast to the material perquisites of work (such as pay, job security and opportunities for promotion). The pool of people in the wider workforce </w:t>
      </w:r>
      <w:r>
        <w:t>that</w:t>
      </w:r>
      <w:r w:rsidRPr="00AB33E3">
        <w:t xml:space="preserve"> has a high motivation to care and to improve the daily lives of others is likely to be much smaller than the pool </w:t>
      </w:r>
      <w:r>
        <w:t xml:space="preserve">of people </w:t>
      </w:r>
      <w:r w:rsidRPr="00AB33E3">
        <w:t xml:space="preserve">that has the potential to otherwise become a carer. The distinctive caring character of the job might be one reason why intention to leave, for both the job and the occupation, </w:t>
      </w:r>
      <w:r>
        <w:t>wa</w:t>
      </w:r>
      <w:r w:rsidRPr="00AB33E3">
        <w:t xml:space="preserve">s quite low. </w:t>
      </w:r>
      <w:r w:rsidR="00D629DA">
        <w:t>Of</w:t>
      </w:r>
      <w:r w:rsidRPr="00AB33E3">
        <w:t xml:space="preserve"> note</w:t>
      </w:r>
      <w:r w:rsidR="00D629DA">
        <w:t>,</w:t>
      </w:r>
      <w:r w:rsidRPr="00AB33E3">
        <w:t xml:space="preserve"> only </w:t>
      </w:r>
      <w:r>
        <w:t>seven</w:t>
      </w:r>
      <w:r w:rsidRPr="00AB33E3">
        <w:t xml:space="preserve"> per cent of employees came to disability care from aged care: they seem</w:t>
      </w:r>
      <w:r>
        <w:t>ed</w:t>
      </w:r>
      <w:r w:rsidRPr="00AB33E3">
        <w:t xml:space="preserve"> to be quite distinct work forces. </w:t>
      </w:r>
      <w:bookmarkStart w:id="11" w:name="_Toc428271200"/>
      <w:r>
        <w:br w:type="page"/>
      </w:r>
    </w:p>
    <w:p w:rsidR="00A90BD4" w:rsidRDefault="00A90BD4" w:rsidP="00367B24">
      <w:pPr>
        <w:pStyle w:val="Heading1"/>
      </w:pPr>
      <w:bookmarkStart w:id="12" w:name="_Toc449954936"/>
      <w:r>
        <w:lastRenderedPageBreak/>
        <w:t xml:space="preserve">1. </w:t>
      </w:r>
      <w:r w:rsidRPr="00A90BD4">
        <w:t>Introduction</w:t>
      </w:r>
      <w:bookmarkEnd w:id="12"/>
    </w:p>
    <w:p w:rsidR="00A90BD4" w:rsidRDefault="00A90BD4" w:rsidP="00E87146">
      <w:pPr>
        <w:pStyle w:val="Heading2"/>
      </w:pPr>
      <w:bookmarkStart w:id="13" w:name="_Toc449954937"/>
      <w:r>
        <w:t xml:space="preserve">1.1 The </w:t>
      </w:r>
      <w:r w:rsidR="004E07C3">
        <w:t xml:space="preserve">NDIS </w:t>
      </w:r>
      <w:r w:rsidRPr="00A90BD4">
        <w:t>Evaluation</w:t>
      </w:r>
      <w:r>
        <w:t xml:space="preserve"> findings reported in this Initial Report</w:t>
      </w:r>
      <w:bookmarkEnd w:id="13"/>
      <w:r>
        <w:t xml:space="preserve"> </w:t>
      </w:r>
    </w:p>
    <w:p w:rsidR="00A90BD4" w:rsidRDefault="00A90BD4" w:rsidP="001B28D3">
      <w:pPr>
        <w:rPr>
          <w:rFonts w:ascii="Calibri" w:hAnsi="Calibri" w:cs="Calibri"/>
        </w:rPr>
      </w:pPr>
      <w:r w:rsidRPr="00A61328">
        <w:rPr>
          <w:rFonts w:ascii="Calibri" w:hAnsi="Calibri" w:cs="Calibri"/>
        </w:rPr>
        <w:t>Th</w:t>
      </w:r>
      <w:r>
        <w:rPr>
          <w:rFonts w:ascii="Calibri" w:hAnsi="Calibri" w:cs="Calibri"/>
        </w:rPr>
        <w:t xml:space="preserve">is Initial Report is the first of three reports on the Evaluation of the trial of </w:t>
      </w:r>
      <w:r w:rsidRPr="00BF72A5">
        <w:rPr>
          <w:rFonts w:ascii="Calibri" w:hAnsi="Calibri" w:cs="Calibri"/>
        </w:rPr>
        <w:t xml:space="preserve">the </w:t>
      </w:r>
      <w:r w:rsidRPr="00A61328">
        <w:rPr>
          <w:rFonts w:ascii="Calibri" w:hAnsi="Calibri" w:cs="Calibri"/>
        </w:rPr>
        <w:t>National Disability Insurance Scheme (NDIS)</w:t>
      </w:r>
      <w:r w:rsidRPr="00BF72A5">
        <w:rPr>
          <w:rFonts w:ascii="Calibri" w:hAnsi="Calibri" w:cs="Calibri"/>
        </w:rPr>
        <w:t xml:space="preserve">, conducted by Flinders University in 2013-2017. </w:t>
      </w:r>
      <w:r w:rsidR="001B7A93" w:rsidRPr="001B7A93">
        <w:rPr>
          <w:rFonts w:ascii="Calibri" w:hAnsi="Calibri" w:cs="Calibri"/>
          <w:lang w:val="en-AU"/>
        </w:rPr>
        <w:t>One preliminary document</w:t>
      </w:r>
      <w:r w:rsidR="00C00977">
        <w:rPr>
          <w:rFonts w:ascii="Calibri" w:hAnsi="Calibri" w:cs="Calibri"/>
          <w:lang w:val="en-AU"/>
        </w:rPr>
        <w:t xml:space="preserve">, the </w:t>
      </w:r>
      <w:r w:rsidR="00C00977" w:rsidRPr="001B7A93">
        <w:rPr>
          <w:rFonts w:ascii="Calibri" w:hAnsi="Calibri" w:cs="Calibri"/>
          <w:lang w:val="en-AU"/>
        </w:rPr>
        <w:t>Evaluation Framework</w:t>
      </w:r>
      <w:r w:rsidR="00A62016">
        <w:rPr>
          <w:rStyle w:val="FootnoteReference"/>
          <w:rFonts w:ascii="Calibri" w:hAnsi="Calibri" w:cs="Calibri"/>
        </w:rPr>
        <w:footnoteReference w:id="2"/>
      </w:r>
      <w:r w:rsidR="00C00977">
        <w:rPr>
          <w:rFonts w:ascii="Calibri" w:hAnsi="Calibri" w:cs="Calibri"/>
          <w:lang w:val="en-AU"/>
        </w:rPr>
        <w:t>,</w:t>
      </w:r>
      <w:r w:rsidR="001B7A93" w:rsidRPr="001B7A93">
        <w:rPr>
          <w:rFonts w:ascii="Calibri" w:hAnsi="Calibri" w:cs="Calibri"/>
          <w:lang w:val="en-AU"/>
        </w:rPr>
        <w:t xml:space="preserve"> has already been publishe</w:t>
      </w:r>
      <w:r w:rsidR="004E07C3">
        <w:rPr>
          <w:rFonts w:ascii="Calibri" w:hAnsi="Calibri" w:cs="Calibri"/>
          <w:lang w:val="en-AU"/>
        </w:rPr>
        <w:t>d explaining the nature of the e</w:t>
      </w:r>
      <w:r w:rsidR="001B7A93" w:rsidRPr="001B7A93">
        <w:rPr>
          <w:rFonts w:ascii="Calibri" w:hAnsi="Calibri" w:cs="Calibri"/>
          <w:lang w:val="en-AU"/>
        </w:rPr>
        <w:t>valuation</w:t>
      </w:r>
      <w:r w:rsidR="00C00977">
        <w:rPr>
          <w:rFonts w:ascii="Calibri" w:hAnsi="Calibri" w:cs="Calibri"/>
          <w:lang w:val="en-AU"/>
        </w:rPr>
        <w:t>.</w:t>
      </w:r>
      <w:r w:rsidR="001B7A93" w:rsidRPr="001B7A93">
        <w:rPr>
          <w:rFonts w:ascii="Calibri" w:hAnsi="Calibri" w:cs="Calibri"/>
          <w:lang w:val="en-AU"/>
        </w:rPr>
        <w:t xml:space="preserve"> </w:t>
      </w:r>
      <w:r w:rsidR="00D30348">
        <w:rPr>
          <w:rFonts w:ascii="Calibri" w:hAnsi="Calibri" w:cs="Calibri"/>
          <w:lang w:val="en-AU"/>
        </w:rPr>
        <w:t>A second</w:t>
      </w:r>
      <w:r w:rsidR="001B7A93" w:rsidRPr="001B7A93">
        <w:rPr>
          <w:rFonts w:ascii="Calibri" w:hAnsi="Calibri" w:cs="Calibri"/>
          <w:lang w:val="en-AU"/>
        </w:rPr>
        <w:t xml:space="preserve"> supporting document detailing the relationship between the Key Evaluation Questions and the methodologies developed by the </w:t>
      </w:r>
      <w:r w:rsidR="004E07C3">
        <w:rPr>
          <w:rFonts w:ascii="Calibri" w:hAnsi="Calibri" w:cs="Calibri"/>
        </w:rPr>
        <w:t>e</w:t>
      </w:r>
      <w:r>
        <w:rPr>
          <w:rFonts w:ascii="Calibri" w:hAnsi="Calibri" w:cs="Calibri"/>
        </w:rPr>
        <w:t xml:space="preserve">valuation </w:t>
      </w:r>
      <w:r w:rsidR="00331A09" w:rsidRPr="001B7A93">
        <w:rPr>
          <w:rFonts w:ascii="Calibri" w:hAnsi="Calibri" w:cs="Calibri"/>
          <w:lang w:val="en-AU"/>
        </w:rPr>
        <w:t xml:space="preserve">is planned to become public </w:t>
      </w:r>
      <w:r w:rsidR="00331A09">
        <w:rPr>
          <w:rFonts w:ascii="Calibri" w:hAnsi="Calibri" w:cs="Calibri"/>
          <w:lang w:val="en-AU"/>
        </w:rPr>
        <w:t>at a future date.</w:t>
      </w:r>
    </w:p>
    <w:p w:rsidR="00A90BD4" w:rsidRDefault="00A90BD4" w:rsidP="001B28D3">
      <w:pPr>
        <w:rPr>
          <w:rFonts w:ascii="Calibri" w:hAnsi="Calibri" w:cs="Calibri"/>
        </w:rPr>
      </w:pPr>
    </w:p>
    <w:p w:rsidR="00A90BD4" w:rsidRDefault="00A90BD4" w:rsidP="001B28D3">
      <w:pPr>
        <w:rPr>
          <w:rFonts w:ascii="Calibri" w:hAnsi="Calibri" w:cs="Calibri"/>
        </w:rPr>
      </w:pPr>
      <w:r>
        <w:rPr>
          <w:rFonts w:ascii="Calibri" w:hAnsi="Calibri" w:cs="Calibri"/>
        </w:rPr>
        <w:t xml:space="preserve">The </w:t>
      </w:r>
      <w:r w:rsidRPr="003B367D">
        <w:rPr>
          <w:rFonts w:ascii="Calibri" w:hAnsi="Calibri" w:cs="Calibri"/>
        </w:rPr>
        <w:t xml:space="preserve">Initial Report </w:t>
      </w:r>
      <w:r w:rsidRPr="00A61328">
        <w:rPr>
          <w:rFonts w:ascii="Calibri" w:hAnsi="Calibri" w:cs="Calibri"/>
        </w:rPr>
        <w:t>describe</w:t>
      </w:r>
      <w:r>
        <w:rPr>
          <w:rFonts w:ascii="Calibri" w:hAnsi="Calibri" w:cs="Calibri"/>
        </w:rPr>
        <w:t>s</w:t>
      </w:r>
      <w:r w:rsidRPr="00A61328">
        <w:rPr>
          <w:rFonts w:ascii="Calibri" w:hAnsi="Calibri" w:cs="Calibri"/>
        </w:rPr>
        <w:t xml:space="preserve"> the </w:t>
      </w:r>
      <w:r w:rsidR="003E2AD9">
        <w:rPr>
          <w:rFonts w:ascii="Calibri" w:hAnsi="Calibri" w:cs="Calibri"/>
        </w:rPr>
        <w:t>first stage of the evaluation work, namely how the e</w:t>
      </w:r>
      <w:r>
        <w:rPr>
          <w:rFonts w:ascii="Calibri" w:hAnsi="Calibri" w:cs="Calibri"/>
        </w:rPr>
        <w:t xml:space="preserve">valuation was put together and how the large data collection that underpins it has commenced. The Initial Report covers the period of May 2013 to July 2015 and presents the initial </w:t>
      </w:r>
      <w:r w:rsidRPr="00A61328">
        <w:rPr>
          <w:rFonts w:ascii="Calibri" w:hAnsi="Calibri" w:cs="Calibri"/>
        </w:rPr>
        <w:t>findings from Wave 1 fieldwork in</w:t>
      </w:r>
      <w:r>
        <w:rPr>
          <w:rFonts w:ascii="Calibri" w:hAnsi="Calibri" w:cs="Calibri"/>
        </w:rPr>
        <w:t>to</w:t>
      </w:r>
      <w:r w:rsidRPr="00A61328">
        <w:rPr>
          <w:rFonts w:ascii="Calibri" w:hAnsi="Calibri" w:cs="Calibri"/>
        </w:rPr>
        <w:t xml:space="preserve"> the background and context of the development of the </w:t>
      </w:r>
      <w:r>
        <w:rPr>
          <w:rFonts w:ascii="Calibri" w:hAnsi="Calibri" w:cs="Calibri"/>
        </w:rPr>
        <w:t xml:space="preserve">trial of the </w:t>
      </w:r>
      <w:r w:rsidRPr="00A61328">
        <w:rPr>
          <w:rFonts w:ascii="Calibri" w:hAnsi="Calibri" w:cs="Calibri"/>
        </w:rPr>
        <w:t xml:space="preserve">NDIS </w:t>
      </w:r>
      <w:r>
        <w:rPr>
          <w:rFonts w:ascii="Calibri" w:hAnsi="Calibri" w:cs="Calibri"/>
        </w:rPr>
        <w:t>t</w:t>
      </w:r>
      <w:r w:rsidRPr="00A61328">
        <w:rPr>
          <w:rFonts w:ascii="Calibri" w:hAnsi="Calibri" w:cs="Calibri"/>
        </w:rPr>
        <w:t>rial in the four initial sites</w:t>
      </w:r>
      <w:r w:rsidR="00D3433A">
        <w:rPr>
          <w:rFonts w:ascii="Calibri" w:hAnsi="Calibri" w:cs="Calibri"/>
        </w:rPr>
        <w:t>:</w:t>
      </w:r>
      <w:r w:rsidR="00093161" w:rsidRPr="00D3433A">
        <w:rPr>
          <w:rFonts w:ascii="Calibri" w:hAnsi="Calibri" w:cs="Calibri"/>
        </w:rPr>
        <w:t xml:space="preserve">  </w:t>
      </w:r>
      <w:r w:rsidR="00D3433A" w:rsidRPr="00D3433A">
        <w:rPr>
          <w:rFonts w:ascii="Calibri" w:hAnsi="Calibri" w:cs="Calibri"/>
        </w:rPr>
        <w:t>South Australia</w:t>
      </w:r>
      <w:r w:rsidR="00D3433A">
        <w:rPr>
          <w:rFonts w:ascii="Calibri" w:hAnsi="Calibri" w:cs="Calibri"/>
        </w:rPr>
        <w:t>;</w:t>
      </w:r>
      <w:r w:rsidR="00D3433A" w:rsidRPr="00D3433A">
        <w:rPr>
          <w:rFonts w:ascii="Calibri" w:hAnsi="Calibri" w:cs="Calibri"/>
        </w:rPr>
        <w:t xml:space="preserve"> Tasmania</w:t>
      </w:r>
      <w:r w:rsidR="00951F51" w:rsidRPr="00D3433A">
        <w:rPr>
          <w:rFonts w:ascii="Calibri" w:hAnsi="Calibri" w:cs="Calibri"/>
        </w:rPr>
        <w:t xml:space="preserve">; </w:t>
      </w:r>
      <w:r w:rsidR="00951F51">
        <w:rPr>
          <w:rFonts w:ascii="Calibri" w:hAnsi="Calibri" w:cs="Calibri"/>
        </w:rPr>
        <w:t>the</w:t>
      </w:r>
      <w:r w:rsidR="00D3433A" w:rsidRPr="00D3433A">
        <w:rPr>
          <w:rFonts w:ascii="Calibri" w:hAnsi="Calibri" w:cs="Calibri"/>
        </w:rPr>
        <w:t xml:space="preserve"> Barwon area in Victoria</w:t>
      </w:r>
      <w:r w:rsidR="00D3433A">
        <w:rPr>
          <w:rFonts w:ascii="Calibri" w:hAnsi="Calibri" w:cs="Calibri"/>
        </w:rPr>
        <w:t>;</w:t>
      </w:r>
      <w:r w:rsidR="00D3433A" w:rsidRPr="00D3433A">
        <w:rPr>
          <w:rFonts w:ascii="Calibri" w:hAnsi="Calibri" w:cs="Calibri"/>
        </w:rPr>
        <w:t xml:space="preserve"> and the Hunter area in New South Wales</w:t>
      </w:r>
      <w:r w:rsidR="00D3433A">
        <w:rPr>
          <w:rFonts w:ascii="Calibri" w:hAnsi="Calibri" w:cs="Calibri"/>
        </w:rPr>
        <w:t>.</w:t>
      </w:r>
      <w:r>
        <w:rPr>
          <w:rFonts w:ascii="Calibri" w:hAnsi="Calibri" w:cs="Calibri"/>
        </w:rPr>
        <w:t xml:space="preserve"> B</w:t>
      </w:r>
      <w:r w:rsidRPr="00A61328">
        <w:rPr>
          <w:rFonts w:ascii="Calibri" w:hAnsi="Calibri" w:cs="Calibri"/>
        </w:rPr>
        <w:t xml:space="preserve">ecause of its later launch, </w:t>
      </w:r>
      <w:r w:rsidR="00D3433A">
        <w:rPr>
          <w:rFonts w:ascii="Calibri" w:hAnsi="Calibri" w:cs="Calibri"/>
        </w:rPr>
        <w:t xml:space="preserve">material from </w:t>
      </w:r>
      <w:r>
        <w:rPr>
          <w:rFonts w:ascii="Calibri" w:hAnsi="Calibri" w:cs="Calibri"/>
        </w:rPr>
        <w:t xml:space="preserve">the ACT </w:t>
      </w:r>
      <w:r w:rsidR="00D3433A">
        <w:rPr>
          <w:rFonts w:ascii="Calibri" w:hAnsi="Calibri" w:cs="Calibri"/>
        </w:rPr>
        <w:t>trial site</w:t>
      </w:r>
      <w:r>
        <w:rPr>
          <w:rFonts w:ascii="Calibri" w:hAnsi="Calibri" w:cs="Calibri"/>
        </w:rPr>
        <w:t xml:space="preserve"> is presented </w:t>
      </w:r>
      <w:r w:rsidRPr="00A61328">
        <w:rPr>
          <w:rFonts w:ascii="Calibri" w:hAnsi="Calibri" w:cs="Calibri"/>
        </w:rPr>
        <w:t>in less detail</w:t>
      </w:r>
      <w:r>
        <w:rPr>
          <w:rFonts w:ascii="Calibri" w:hAnsi="Calibri" w:cs="Calibri"/>
        </w:rPr>
        <w:t>. We report on both the quantitative and the qualitative evidence collections. On the</w:t>
      </w:r>
      <w:r w:rsidRPr="00A61328">
        <w:rPr>
          <w:rFonts w:ascii="Calibri" w:hAnsi="Calibri" w:cs="Calibri"/>
        </w:rPr>
        <w:t xml:space="preserve"> </w:t>
      </w:r>
      <w:r>
        <w:rPr>
          <w:rFonts w:ascii="Calibri" w:hAnsi="Calibri" w:cs="Calibri"/>
        </w:rPr>
        <w:t xml:space="preserve">quantitative side, we report </w:t>
      </w:r>
      <w:r w:rsidRPr="00A61328">
        <w:rPr>
          <w:rFonts w:ascii="Calibri" w:hAnsi="Calibri" w:cs="Calibri"/>
        </w:rPr>
        <w:t>the most up to date version of the first wave of the</w:t>
      </w:r>
      <w:r>
        <w:rPr>
          <w:rFonts w:ascii="Calibri" w:hAnsi="Calibri" w:cs="Calibri"/>
        </w:rPr>
        <w:t xml:space="preserve"> l</w:t>
      </w:r>
      <w:r w:rsidRPr="00A61328">
        <w:rPr>
          <w:rFonts w:ascii="Calibri" w:hAnsi="Calibri" w:cs="Calibri"/>
        </w:rPr>
        <w:t xml:space="preserve">ongitudinal survey of people with disability, and their families </w:t>
      </w:r>
      <w:r w:rsidRPr="003B367D">
        <w:rPr>
          <w:rFonts w:ascii="Calibri" w:hAnsi="Calibri" w:cs="Calibri"/>
        </w:rPr>
        <w:t xml:space="preserve">and carers </w:t>
      </w:r>
      <w:r>
        <w:rPr>
          <w:rFonts w:ascii="Calibri" w:hAnsi="Calibri" w:cs="Calibri"/>
        </w:rPr>
        <w:t>and</w:t>
      </w:r>
      <w:r w:rsidRPr="00A61328">
        <w:rPr>
          <w:rFonts w:ascii="Calibri" w:hAnsi="Calibri" w:cs="Calibri"/>
        </w:rPr>
        <w:t xml:space="preserve"> the complete first wave of the survey of disability support providers, including employers, specialist workers and the self-employed for all trial sites (with the ad</w:t>
      </w:r>
      <w:r w:rsidRPr="003B367D">
        <w:rPr>
          <w:rFonts w:ascii="Calibri" w:hAnsi="Calibri" w:cs="Calibri"/>
        </w:rPr>
        <w:t>dition of the Queensland study)</w:t>
      </w:r>
      <w:r>
        <w:rPr>
          <w:rFonts w:ascii="Calibri" w:hAnsi="Calibri" w:cs="Calibri"/>
        </w:rPr>
        <w:t>. On the qualitative side, we report</w:t>
      </w:r>
      <w:r w:rsidRPr="00A61328">
        <w:rPr>
          <w:rFonts w:ascii="Calibri" w:hAnsi="Calibri" w:cs="Calibri"/>
        </w:rPr>
        <w:t xml:space="preserve"> the analysis undertaken in the four initial trial sites</w:t>
      </w:r>
      <w:r>
        <w:rPr>
          <w:rFonts w:ascii="Calibri" w:hAnsi="Calibri" w:cs="Calibri"/>
        </w:rPr>
        <w:t>, New South Wales, Victoria, Tasmania and South Australia,</w:t>
      </w:r>
      <w:r w:rsidRPr="00A61328">
        <w:rPr>
          <w:rFonts w:ascii="Calibri" w:hAnsi="Calibri" w:cs="Calibri"/>
        </w:rPr>
        <w:t xml:space="preserve"> and </w:t>
      </w:r>
      <w:r>
        <w:rPr>
          <w:rFonts w:ascii="Calibri" w:hAnsi="Calibri" w:cs="Calibri"/>
        </w:rPr>
        <w:t xml:space="preserve">subsequently </w:t>
      </w:r>
      <w:r w:rsidRPr="00A61328">
        <w:rPr>
          <w:rFonts w:ascii="Calibri" w:hAnsi="Calibri" w:cs="Calibri"/>
        </w:rPr>
        <w:t>the ACT.</w:t>
      </w:r>
      <w:r>
        <w:rPr>
          <w:rFonts w:ascii="Calibri" w:hAnsi="Calibri" w:cs="Calibri"/>
        </w:rPr>
        <w:t xml:space="preserve"> This includes </w:t>
      </w:r>
      <w:r w:rsidRPr="00211DA4">
        <w:rPr>
          <w:rFonts w:ascii="Calibri" w:hAnsi="Calibri" w:cs="Calibri"/>
        </w:rPr>
        <w:t xml:space="preserve">the early </w:t>
      </w:r>
      <w:r>
        <w:rPr>
          <w:rFonts w:ascii="Calibri" w:hAnsi="Calibri" w:cs="Calibri"/>
        </w:rPr>
        <w:t xml:space="preserve">qualitative analysis </w:t>
      </w:r>
      <w:r w:rsidRPr="00211DA4">
        <w:rPr>
          <w:rFonts w:ascii="Calibri" w:hAnsi="Calibri" w:cs="Calibri"/>
        </w:rPr>
        <w:t>results from the first of two waves of surveys and interviews with people with disability, and their families and carers, including NDIS participants and others not (yet) participating in the NDIS; disability service providers; disability workforce stakeholder organisations; and the NDIA.</w:t>
      </w:r>
    </w:p>
    <w:p w:rsidR="00A90BD4" w:rsidRDefault="00A90BD4" w:rsidP="001B28D3">
      <w:pPr>
        <w:rPr>
          <w:rFonts w:ascii="Calibri" w:hAnsi="Calibri" w:cs="Calibri"/>
        </w:rPr>
      </w:pPr>
    </w:p>
    <w:p w:rsidR="00A90BD4" w:rsidRDefault="00A90BD4" w:rsidP="001B28D3">
      <w:pPr>
        <w:rPr>
          <w:rFonts w:ascii="Calibri" w:hAnsi="Calibri" w:cs="Calibri"/>
        </w:rPr>
      </w:pPr>
      <w:r>
        <w:rPr>
          <w:rFonts w:ascii="Calibri" w:hAnsi="Calibri" w:cs="Calibri"/>
        </w:rPr>
        <w:t>The Evaluation of the trial of the NDIS also extends to the Northern Territory. As t</w:t>
      </w:r>
      <w:r w:rsidR="00637E7F">
        <w:rPr>
          <w:rFonts w:ascii="Calibri" w:hAnsi="Calibri" w:cs="Calibri"/>
        </w:rPr>
        <w:t>he E</w:t>
      </w:r>
      <w:r w:rsidRPr="00211DA4">
        <w:rPr>
          <w:rFonts w:ascii="Calibri" w:hAnsi="Calibri" w:cs="Calibri"/>
        </w:rPr>
        <w:t>valuation of the trial of the NDIS in the N</w:t>
      </w:r>
      <w:r>
        <w:rPr>
          <w:rFonts w:ascii="Calibri" w:hAnsi="Calibri" w:cs="Calibri"/>
        </w:rPr>
        <w:t xml:space="preserve">orthern </w:t>
      </w:r>
      <w:r w:rsidRPr="00211DA4">
        <w:rPr>
          <w:rFonts w:ascii="Calibri" w:hAnsi="Calibri" w:cs="Calibri"/>
        </w:rPr>
        <w:t>T</w:t>
      </w:r>
      <w:r>
        <w:rPr>
          <w:rFonts w:ascii="Calibri" w:hAnsi="Calibri" w:cs="Calibri"/>
        </w:rPr>
        <w:t>erritory</w:t>
      </w:r>
      <w:r w:rsidRPr="00211DA4">
        <w:rPr>
          <w:rFonts w:ascii="Calibri" w:hAnsi="Calibri" w:cs="Calibri"/>
        </w:rPr>
        <w:t xml:space="preserve"> is still in its early stages</w:t>
      </w:r>
      <w:r>
        <w:rPr>
          <w:rFonts w:ascii="Calibri" w:hAnsi="Calibri" w:cs="Calibri"/>
        </w:rPr>
        <w:t>,</w:t>
      </w:r>
      <w:r w:rsidRPr="003B367D">
        <w:rPr>
          <w:rFonts w:ascii="Calibri" w:hAnsi="Calibri" w:cs="Calibri"/>
        </w:rPr>
        <w:t xml:space="preserve"> </w:t>
      </w:r>
      <w:r>
        <w:rPr>
          <w:rFonts w:ascii="Calibri" w:hAnsi="Calibri" w:cs="Calibri"/>
        </w:rPr>
        <w:t>it</w:t>
      </w:r>
      <w:r w:rsidRPr="00211DA4">
        <w:rPr>
          <w:rFonts w:ascii="Calibri" w:hAnsi="Calibri" w:cs="Calibri"/>
        </w:rPr>
        <w:t xml:space="preserve"> will not be included in th</w:t>
      </w:r>
      <w:r>
        <w:rPr>
          <w:rFonts w:ascii="Calibri" w:hAnsi="Calibri" w:cs="Calibri"/>
        </w:rPr>
        <w:t>is</w:t>
      </w:r>
      <w:r w:rsidRPr="003B367D">
        <w:rPr>
          <w:rFonts w:ascii="Calibri" w:hAnsi="Calibri" w:cs="Calibri"/>
        </w:rPr>
        <w:t xml:space="preserve"> Initial Report.</w:t>
      </w:r>
      <w:r w:rsidRPr="00211DA4">
        <w:rPr>
          <w:rFonts w:ascii="Calibri" w:hAnsi="Calibri" w:cs="Calibri"/>
        </w:rPr>
        <w:t xml:space="preserve"> The unique character of the NDIS trials in the N</w:t>
      </w:r>
      <w:r>
        <w:rPr>
          <w:rFonts w:ascii="Calibri" w:hAnsi="Calibri" w:cs="Calibri"/>
        </w:rPr>
        <w:t xml:space="preserve">orthern </w:t>
      </w:r>
      <w:r w:rsidRPr="00211DA4">
        <w:rPr>
          <w:rFonts w:ascii="Calibri" w:hAnsi="Calibri" w:cs="Calibri"/>
        </w:rPr>
        <w:t>T</w:t>
      </w:r>
      <w:r>
        <w:rPr>
          <w:rFonts w:ascii="Calibri" w:hAnsi="Calibri" w:cs="Calibri"/>
        </w:rPr>
        <w:t xml:space="preserve">erritory </w:t>
      </w:r>
      <w:r w:rsidRPr="00211DA4">
        <w:rPr>
          <w:rFonts w:ascii="Calibri" w:hAnsi="Calibri" w:cs="Calibri"/>
        </w:rPr>
        <w:t>require</w:t>
      </w:r>
      <w:r>
        <w:rPr>
          <w:rFonts w:ascii="Calibri" w:hAnsi="Calibri" w:cs="Calibri"/>
        </w:rPr>
        <w:t>s</w:t>
      </w:r>
      <w:r w:rsidRPr="00211DA4">
        <w:rPr>
          <w:rFonts w:ascii="Calibri" w:hAnsi="Calibri" w:cs="Calibri"/>
        </w:rPr>
        <w:t xml:space="preserve"> </w:t>
      </w:r>
      <w:r>
        <w:rPr>
          <w:rFonts w:ascii="Calibri" w:hAnsi="Calibri" w:cs="Calibri"/>
        </w:rPr>
        <w:t>additional design elements. D</w:t>
      </w:r>
      <w:r w:rsidRPr="00211DA4">
        <w:rPr>
          <w:rFonts w:ascii="Calibri" w:hAnsi="Calibri" w:cs="Calibri"/>
        </w:rPr>
        <w:t>iscussions with the D</w:t>
      </w:r>
      <w:r>
        <w:rPr>
          <w:rFonts w:ascii="Calibri" w:hAnsi="Calibri" w:cs="Calibri"/>
        </w:rPr>
        <w:t xml:space="preserve">epartment of </w:t>
      </w:r>
      <w:r w:rsidRPr="00211DA4">
        <w:rPr>
          <w:rFonts w:ascii="Calibri" w:hAnsi="Calibri" w:cs="Calibri"/>
        </w:rPr>
        <w:t>S</w:t>
      </w:r>
      <w:r>
        <w:rPr>
          <w:rFonts w:ascii="Calibri" w:hAnsi="Calibri" w:cs="Calibri"/>
        </w:rPr>
        <w:t xml:space="preserve">ocial </w:t>
      </w:r>
      <w:r w:rsidRPr="00211DA4">
        <w:rPr>
          <w:rFonts w:ascii="Calibri" w:hAnsi="Calibri" w:cs="Calibri"/>
        </w:rPr>
        <w:t>S</w:t>
      </w:r>
      <w:r>
        <w:rPr>
          <w:rFonts w:ascii="Calibri" w:hAnsi="Calibri" w:cs="Calibri"/>
        </w:rPr>
        <w:t xml:space="preserve">ervices concluded that inclusion in this report would not be </w:t>
      </w:r>
      <w:r w:rsidRPr="00211DA4">
        <w:rPr>
          <w:rFonts w:ascii="Calibri" w:hAnsi="Calibri" w:cs="Calibri"/>
        </w:rPr>
        <w:t xml:space="preserve">the most appropriate format for reporting findings from the NT. </w:t>
      </w:r>
      <w:r w:rsidRPr="003B367D">
        <w:rPr>
          <w:rFonts w:ascii="Calibri" w:hAnsi="Calibri" w:cs="Calibri"/>
        </w:rPr>
        <w:t>Th</w:t>
      </w:r>
      <w:r>
        <w:rPr>
          <w:rFonts w:ascii="Calibri" w:hAnsi="Calibri" w:cs="Calibri"/>
        </w:rPr>
        <w:t>e</w:t>
      </w:r>
      <w:r w:rsidRPr="00211DA4">
        <w:rPr>
          <w:rFonts w:ascii="Calibri" w:hAnsi="Calibri" w:cs="Calibri"/>
        </w:rPr>
        <w:t xml:space="preserve"> format </w:t>
      </w:r>
      <w:r>
        <w:rPr>
          <w:rFonts w:ascii="Calibri" w:hAnsi="Calibri" w:cs="Calibri"/>
        </w:rPr>
        <w:t xml:space="preserve">to be used </w:t>
      </w:r>
      <w:r w:rsidRPr="00211DA4">
        <w:rPr>
          <w:rFonts w:ascii="Calibri" w:hAnsi="Calibri" w:cs="Calibri"/>
        </w:rPr>
        <w:t xml:space="preserve">must guard the confidentiality of the information and ensure anonymity of the </w:t>
      </w:r>
      <w:r>
        <w:rPr>
          <w:rFonts w:ascii="Calibri" w:hAnsi="Calibri" w:cs="Calibri"/>
        </w:rPr>
        <w:t xml:space="preserve">respondents. </w:t>
      </w:r>
    </w:p>
    <w:p w:rsidR="00A90BD4" w:rsidRDefault="00A90BD4" w:rsidP="001B28D3">
      <w:pPr>
        <w:rPr>
          <w:rFonts w:ascii="Calibri" w:hAnsi="Calibri" w:cs="Calibri"/>
        </w:rPr>
      </w:pPr>
    </w:p>
    <w:p w:rsidR="00A90BD4" w:rsidRDefault="00A90BD4" w:rsidP="001B28D3">
      <w:pPr>
        <w:rPr>
          <w:rFonts w:ascii="Calibri" w:hAnsi="Calibri" w:cs="Calibri"/>
        </w:rPr>
      </w:pPr>
      <w:r>
        <w:rPr>
          <w:rFonts w:ascii="Calibri" w:hAnsi="Calibri" w:cs="Calibri"/>
        </w:rPr>
        <w:t xml:space="preserve">As the roll out of the NDIS in the ACT commenced in July 2014, that is, one full year later than in the other four trial sites, information collection in the ACT is not as well developed. This has required that we adapt data collections and subsequent reporting to accommodate this difference. The </w:t>
      </w:r>
      <w:r w:rsidR="003E2AD9">
        <w:rPr>
          <w:rFonts w:ascii="Calibri" w:hAnsi="Calibri" w:cs="Calibri"/>
        </w:rPr>
        <w:t>e</w:t>
      </w:r>
      <w:r>
        <w:rPr>
          <w:rFonts w:ascii="Calibri" w:hAnsi="Calibri" w:cs="Calibri"/>
        </w:rPr>
        <w:t xml:space="preserve">valuation design includes a single data collection on providers of disability supports in Queensland, which is reported along with the rest of disability support providers. </w:t>
      </w:r>
    </w:p>
    <w:p w:rsidR="00A90BD4" w:rsidRDefault="00A90BD4" w:rsidP="001B28D3">
      <w:pPr>
        <w:pStyle w:val="Default"/>
        <w:rPr>
          <w:sz w:val="22"/>
          <w:szCs w:val="22"/>
        </w:rPr>
      </w:pPr>
    </w:p>
    <w:p w:rsidR="00A90BD4" w:rsidRPr="00A61328" w:rsidRDefault="00A90BD4" w:rsidP="001B28D3">
      <w:pPr>
        <w:pStyle w:val="Default"/>
        <w:rPr>
          <w:sz w:val="22"/>
          <w:szCs w:val="22"/>
        </w:rPr>
      </w:pPr>
      <w:r>
        <w:rPr>
          <w:sz w:val="22"/>
          <w:szCs w:val="22"/>
        </w:rPr>
        <w:t>In agreement with the Depa</w:t>
      </w:r>
      <w:r w:rsidR="003E2AD9">
        <w:rPr>
          <w:sz w:val="22"/>
          <w:szCs w:val="22"/>
        </w:rPr>
        <w:t>rtment of Social Services, the e</w:t>
      </w:r>
      <w:r>
        <w:rPr>
          <w:sz w:val="22"/>
          <w:szCs w:val="22"/>
        </w:rPr>
        <w:t xml:space="preserve">valuation of the impact of the NDIS on mainstream providers and services has been delayed to allow for more time to develop and design this study. An initially intended community study was not commissioned so that impacts on the wider community would need to be collected indirectly, using the agreed and commissioned </w:t>
      </w:r>
      <w:r w:rsidR="00F1716C">
        <w:rPr>
          <w:sz w:val="22"/>
          <w:szCs w:val="22"/>
        </w:rPr>
        <w:t>e</w:t>
      </w:r>
      <w:r>
        <w:rPr>
          <w:sz w:val="22"/>
          <w:szCs w:val="22"/>
        </w:rPr>
        <w:t>valuation instruments. The Evaluation of the trial of the NDIS is also intended to evaluate high-level processes, focusing on elements of the NDIS which contributed to or impeded the intended positive outcomes.</w:t>
      </w:r>
      <w:r w:rsidR="00F1716C">
        <w:rPr>
          <w:sz w:val="22"/>
          <w:szCs w:val="22"/>
        </w:rPr>
        <w:t xml:space="preserve"> Reporting on this part of the e</w:t>
      </w:r>
      <w:r>
        <w:rPr>
          <w:sz w:val="22"/>
          <w:szCs w:val="22"/>
        </w:rPr>
        <w:t xml:space="preserve">valuation will be one of the objectives of the Intermediate Report to be delivered in </w:t>
      </w:r>
      <w:r w:rsidR="003D4CF6">
        <w:rPr>
          <w:sz w:val="22"/>
          <w:szCs w:val="22"/>
        </w:rPr>
        <w:t>second half of 2016</w:t>
      </w:r>
      <w:r>
        <w:rPr>
          <w:sz w:val="22"/>
          <w:szCs w:val="22"/>
        </w:rPr>
        <w:t>.</w:t>
      </w:r>
    </w:p>
    <w:p w:rsidR="00A90BD4" w:rsidRDefault="00A90BD4" w:rsidP="001B28D3">
      <w:pPr>
        <w:rPr>
          <w:rFonts w:ascii="Calibri" w:hAnsi="Calibri" w:cs="Calibri"/>
        </w:rPr>
      </w:pPr>
    </w:p>
    <w:p w:rsidR="00A90BD4" w:rsidRDefault="00A90BD4" w:rsidP="001B28D3">
      <w:pPr>
        <w:rPr>
          <w:rFonts w:ascii="Calibri" w:hAnsi="Calibri" w:cs="Calibri"/>
        </w:rPr>
      </w:pPr>
      <w:r>
        <w:rPr>
          <w:rFonts w:ascii="Calibri" w:hAnsi="Calibri" w:cs="Calibri"/>
        </w:rPr>
        <w:lastRenderedPageBreak/>
        <w:t xml:space="preserve">The </w:t>
      </w:r>
      <w:r w:rsidR="0084764B">
        <w:rPr>
          <w:rFonts w:ascii="Calibri" w:hAnsi="Calibri" w:cs="Calibri"/>
        </w:rPr>
        <w:t>e</w:t>
      </w:r>
      <w:r w:rsidR="00BD356D">
        <w:rPr>
          <w:rFonts w:ascii="Calibri" w:hAnsi="Calibri" w:cs="Calibri"/>
        </w:rPr>
        <w:t>valuation</w:t>
      </w:r>
      <w:r>
        <w:rPr>
          <w:rFonts w:ascii="Calibri" w:hAnsi="Calibri" w:cs="Calibri"/>
        </w:rPr>
        <w:t xml:space="preserve"> design includes an extensive data collection of potentially eligible people with disability, and their families and carers in areas where the NDIS is not available as yet. This collection is designed to provide the </w:t>
      </w:r>
      <w:r w:rsidR="00EC5201">
        <w:rPr>
          <w:rFonts w:ascii="Calibri" w:hAnsi="Calibri" w:cs="Calibri"/>
        </w:rPr>
        <w:t>e</w:t>
      </w:r>
      <w:r w:rsidR="00BD356D">
        <w:rPr>
          <w:rFonts w:ascii="Calibri" w:hAnsi="Calibri" w:cs="Calibri"/>
        </w:rPr>
        <w:t>valuation</w:t>
      </w:r>
      <w:r>
        <w:rPr>
          <w:rFonts w:ascii="Calibri" w:hAnsi="Calibri" w:cs="Calibri"/>
        </w:rPr>
        <w:t xml:space="preserve"> with a comparison group of respondents. The aim of this type of sampling is that the comparison group is as similar as possible to the NDIS participants group, in order to enable us to analyse what happens to people with similar needs, some within and some outside of the NDIS at the time we collect their information. However, before the full data sets have been collected and before we have established the degree to which these two groups contain similar people, comparisons cannot be reliable. For instance, the distinction between a</w:t>
      </w:r>
      <w:r w:rsidRPr="00CE0B8A">
        <w:rPr>
          <w:rFonts w:ascii="Calibri" w:hAnsi="Calibri" w:cs="Calibri"/>
        </w:rPr>
        <w:t xml:space="preserve"> </w:t>
      </w:r>
      <w:r>
        <w:rPr>
          <w:rFonts w:ascii="Calibri" w:hAnsi="Calibri" w:cs="Calibri"/>
        </w:rPr>
        <w:t>disability support provider who is operating within or outside an NDIS trial area is not always clear as several providers operate in more than one area and through more than one outlet. Furthermore, several providers are also operating in more than just the disability supports product market. Their products or services may be accessed by clients that may or may not become NDIS participants once the NDIS reaches their area. A comparison group is therefore not easily defined in the context of support providers and their workforces. Similarly, we cannot know with certainty the composition of the future population of NDIS participants and, hence, the appropriate composition of the comparison group.</w:t>
      </w:r>
    </w:p>
    <w:p w:rsidR="00A90BD4" w:rsidRDefault="00A90BD4" w:rsidP="001B28D3">
      <w:pPr>
        <w:rPr>
          <w:rFonts w:ascii="Calibri" w:hAnsi="Calibri" w:cs="Calibri"/>
        </w:rPr>
      </w:pPr>
    </w:p>
    <w:p w:rsidR="00A90BD4" w:rsidRDefault="00A90BD4" w:rsidP="001B28D3">
      <w:pPr>
        <w:rPr>
          <w:rFonts w:ascii="Calibri" w:hAnsi="Calibri" w:cs="Calibri"/>
        </w:rPr>
      </w:pPr>
      <w:r>
        <w:rPr>
          <w:rFonts w:ascii="Calibri" w:hAnsi="Calibri" w:cs="Calibri"/>
        </w:rPr>
        <w:t xml:space="preserve">It is critical to clarify from the outset that this report does not contain definitive information and that should not be utilised as a source of a definitive understanding of Wave 1 data. For this the reader must wait for the Intermediate Report which will present the full complement of Wave 1 data sets, after these have been examined thoroughly and undergone the necessary extensive testing through statistical analyses. It is critical for the reader to bear in mind that most of the </w:t>
      </w:r>
      <w:r w:rsidR="00C05B43">
        <w:rPr>
          <w:rFonts w:ascii="Calibri" w:hAnsi="Calibri" w:cs="Calibri"/>
        </w:rPr>
        <w:t>e</w:t>
      </w:r>
      <w:r w:rsidR="00006A5E">
        <w:rPr>
          <w:rFonts w:ascii="Calibri" w:hAnsi="Calibri" w:cs="Calibri"/>
        </w:rPr>
        <w:t>valuation</w:t>
      </w:r>
      <w:r>
        <w:rPr>
          <w:rFonts w:ascii="Calibri" w:hAnsi="Calibri" w:cs="Calibri"/>
        </w:rPr>
        <w:t xml:space="preserve"> questions will only be answered after the full complement of the two waves of </w:t>
      </w:r>
      <w:r w:rsidR="00C05B43">
        <w:rPr>
          <w:rFonts w:ascii="Calibri" w:hAnsi="Calibri" w:cs="Calibri"/>
        </w:rPr>
        <w:t>e</w:t>
      </w:r>
      <w:r>
        <w:rPr>
          <w:rFonts w:ascii="Calibri" w:hAnsi="Calibri" w:cs="Calibri"/>
        </w:rPr>
        <w:t xml:space="preserve">valuation data has been collected and appropriately analysed. Reaching definitive conclusions on incomplete data must be avoided. Finally, it is also critical for the reader to bear in mind that the subject of the study of this </w:t>
      </w:r>
      <w:r w:rsidR="00C05B43">
        <w:rPr>
          <w:rFonts w:ascii="Calibri" w:hAnsi="Calibri" w:cs="Calibri"/>
        </w:rPr>
        <w:t>e</w:t>
      </w:r>
      <w:r>
        <w:rPr>
          <w:rFonts w:ascii="Calibri" w:hAnsi="Calibri" w:cs="Calibri"/>
        </w:rPr>
        <w:t>valuation, the trial of the Australian NDIS, has already undergone substantial development in its first two years and in continually developing and changing, as indeed a trial ought to. As</w:t>
      </w:r>
      <w:r w:rsidR="00F56561">
        <w:rPr>
          <w:rFonts w:ascii="Calibri" w:hAnsi="Calibri" w:cs="Calibri"/>
        </w:rPr>
        <w:t xml:space="preserve"> a direct consequence, for the e</w:t>
      </w:r>
      <w:r>
        <w:rPr>
          <w:rFonts w:ascii="Calibri" w:hAnsi="Calibri" w:cs="Calibri"/>
        </w:rPr>
        <w:t>valuation to be true to its objectives, it has to follow these changes and incorporate them in its evidence collection and subsequent analyses.</w:t>
      </w:r>
    </w:p>
    <w:p w:rsidR="00A90BD4" w:rsidRDefault="00A90BD4" w:rsidP="001B28D3">
      <w:pPr>
        <w:rPr>
          <w:rFonts w:ascii="Calibri" w:hAnsi="Calibri" w:cs="Calibri"/>
        </w:rPr>
      </w:pPr>
    </w:p>
    <w:p w:rsidR="00A90BD4" w:rsidRDefault="003A3A2E" w:rsidP="001B28D3">
      <w:pPr>
        <w:pStyle w:val="Default"/>
        <w:rPr>
          <w:sz w:val="22"/>
          <w:szCs w:val="22"/>
        </w:rPr>
      </w:pPr>
      <w:r>
        <w:rPr>
          <w:sz w:val="22"/>
          <w:szCs w:val="22"/>
        </w:rPr>
        <w:t>The precise objective of the E</w:t>
      </w:r>
      <w:r w:rsidR="00A90BD4">
        <w:rPr>
          <w:sz w:val="22"/>
          <w:szCs w:val="22"/>
        </w:rPr>
        <w:t xml:space="preserve">valuation of the trial of the NDIS is to assess the impacts of the NDIS in South Australia, Tasmania, New South Wales, Victoria and the Australian Capital Territory on: </w:t>
      </w:r>
    </w:p>
    <w:p w:rsidR="00A90BD4" w:rsidRDefault="00A90BD4" w:rsidP="001B28D3">
      <w:pPr>
        <w:pStyle w:val="Default"/>
        <w:rPr>
          <w:sz w:val="22"/>
          <w:szCs w:val="22"/>
        </w:rPr>
      </w:pPr>
    </w:p>
    <w:p w:rsidR="00A90BD4" w:rsidRDefault="00A90BD4" w:rsidP="00AF5E38">
      <w:pPr>
        <w:pStyle w:val="Default"/>
        <w:numPr>
          <w:ilvl w:val="0"/>
          <w:numId w:val="19"/>
        </w:numPr>
        <w:spacing w:after="120"/>
        <w:rPr>
          <w:sz w:val="22"/>
          <w:szCs w:val="22"/>
        </w:rPr>
      </w:pPr>
      <w:r>
        <w:rPr>
          <w:sz w:val="22"/>
          <w:szCs w:val="22"/>
        </w:rPr>
        <w:t>people with disability, and their families and carers</w:t>
      </w:r>
    </w:p>
    <w:p w:rsidR="00A90BD4" w:rsidRDefault="00A90BD4" w:rsidP="00AF5E38">
      <w:pPr>
        <w:pStyle w:val="Default"/>
        <w:numPr>
          <w:ilvl w:val="0"/>
          <w:numId w:val="19"/>
        </w:numPr>
        <w:spacing w:after="120"/>
        <w:rPr>
          <w:sz w:val="22"/>
          <w:szCs w:val="22"/>
        </w:rPr>
      </w:pPr>
      <w:r>
        <w:rPr>
          <w:sz w:val="22"/>
          <w:szCs w:val="22"/>
        </w:rPr>
        <w:t>the disability sector and its workforce</w:t>
      </w:r>
    </w:p>
    <w:p w:rsidR="00A90BD4" w:rsidRPr="00946F08" w:rsidRDefault="00A90BD4" w:rsidP="00AF5E38">
      <w:pPr>
        <w:pStyle w:val="ListParagraph"/>
        <w:numPr>
          <w:ilvl w:val="0"/>
          <w:numId w:val="19"/>
        </w:numPr>
        <w:autoSpaceDE w:val="0"/>
        <w:autoSpaceDN w:val="0"/>
        <w:adjustRightInd w:val="0"/>
        <w:spacing w:after="120"/>
      </w:pPr>
      <w:r w:rsidRPr="00946F08">
        <w:rPr>
          <w:rFonts w:ascii="Calibri" w:hAnsi="Calibri" w:cs="Calibri"/>
          <w:color w:val="000000"/>
        </w:rPr>
        <w:t>selected mai</w:t>
      </w:r>
      <w:r>
        <w:rPr>
          <w:rFonts w:ascii="Calibri" w:hAnsi="Calibri" w:cs="Calibri"/>
          <w:color w:val="000000"/>
        </w:rPr>
        <w:t>nstream providers and services</w:t>
      </w:r>
    </w:p>
    <w:p w:rsidR="00A90BD4" w:rsidRDefault="00A90BD4" w:rsidP="00AF5E38">
      <w:pPr>
        <w:pStyle w:val="Default"/>
        <w:numPr>
          <w:ilvl w:val="0"/>
          <w:numId w:val="19"/>
        </w:numPr>
        <w:rPr>
          <w:sz w:val="22"/>
          <w:szCs w:val="22"/>
        </w:rPr>
      </w:pPr>
      <w:r>
        <w:rPr>
          <w:sz w:val="22"/>
          <w:szCs w:val="22"/>
        </w:rPr>
        <w:t>the wider community.</w:t>
      </w:r>
    </w:p>
    <w:p w:rsidR="00A90BD4" w:rsidRDefault="00A90BD4" w:rsidP="001B28D3">
      <w:pPr>
        <w:pStyle w:val="Default"/>
        <w:rPr>
          <w:sz w:val="22"/>
          <w:szCs w:val="22"/>
        </w:rPr>
      </w:pPr>
    </w:p>
    <w:p w:rsidR="00A90BD4" w:rsidRPr="00A61328" w:rsidRDefault="00A90BD4" w:rsidP="00A61328">
      <w:pPr>
        <w:rPr>
          <w:rFonts w:ascii="Calibri" w:hAnsi="Calibri" w:cs="Calibri"/>
        </w:rPr>
      </w:pPr>
      <w:r w:rsidRPr="007C05B9">
        <w:rPr>
          <w:rFonts w:ascii="Calibri" w:hAnsi="Calibri" w:cs="Calibri"/>
        </w:rPr>
        <w:t xml:space="preserve">This Initial Report provides us with an initial assessment of the performance of the data collection processes, </w:t>
      </w:r>
      <w:r>
        <w:rPr>
          <w:rFonts w:ascii="Calibri" w:hAnsi="Calibri" w:cs="Calibri"/>
        </w:rPr>
        <w:t>our</w:t>
      </w:r>
      <w:r w:rsidRPr="007C05B9">
        <w:rPr>
          <w:rFonts w:ascii="Calibri" w:hAnsi="Calibri" w:cs="Calibri"/>
        </w:rPr>
        <w:t xml:space="preserve"> focus </w:t>
      </w:r>
      <w:r>
        <w:rPr>
          <w:rFonts w:ascii="Calibri" w:hAnsi="Calibri" w:cs="Calibri"/>
        </w:rPr>
        <w:t xml:space="preserve">being </w:t>
      </w:r>
      <w:r w:rsidRPr="007C05B9">
        <w:rPr>
          <w:rFonts w:ascii="Calibri" w:hAnsi="Calibri" w:cs="Calibri"/>
        </w:rPr>
        <w:t xml:space="preserve">on understanding the adequacy and potential of the present data collections. </w:t>
      </w:r>
      <w:r>
        <w:rPr>
          <w:rFonts w:ascii="Calibri" w:hAnsi="Calibri" w:cs="Calibri"/>
        </w:rPr>
        <w:t>To this purpose it also</w:t>
      </w:r>
      <w:r w:rsidRPr="007C05B9">
        <w:rPr>
          <w:rFonts w:ascii="Calibri" w:hAnsi="Calibri" w:cs="Calibri"/>
        </w:rPr>
        <w:t xml:space="preserve"> describe</w:t>
      </w:r>
      <w:r>
        <w:rPr>
          <w:rFonts w:ascii="Calibri" w:hAnsi="Calibri" w:cs="Calibri"/>
        </w:rPr>
        <w:t>s</w:t>
      </w:r>
      <w:r w:rsidRPr="007C05B9">
        <w:rPr>
          <w:rFonts w:ascii="Calibri" w:hAnsi="Calibri" w:cs="Calibri"/>
        </w:rPr>
        <w:t xml:space="preserve"> the initial findings that can already be seen in </w:t>
      </w:r>
      <w:r>
        <w:rPr>
          <w:rFonts w:ascii="Calibri" w:hAnsi="Calibri" w:cs="Calibri"/>
        </w:rPr>
        <w:t>all</w:t>
      </w:r>
      <w:r w:rsidRPr="007C05B9">
        <w:rPr>
          <w:rFonts w:ascii="Calibri" w:hAnsi="Calibri" w:cs="Calibri"/>
        </w:rPr>
        <w:t xml:space="preserve"> evidence collections to date.</w:t>
      </w:r>
      <w:r w:rsidRPr="00465D25">
        <w:rPr>
          <w:rFonts w:ascii="Calibri" w:hAnsi="Calibri" w:cs="Calibri"/>
        </w:rPr>
        <w:t xml:space="preserve"> Much of the information it presents will be superseded by the more thorough and complete Intermediate Report which is planned for </w:t>
      </w:r>
      <w:r w:rsidR="003D4CF6">
        <w:rPr>
          <w:rFonts w:ascii="Calibri" w:hAnsi="Calibri" w:cs="Calibri"/>
        </w:rPr>
        <w:t>second half of 2016</w:t>
      </w:r>
      <w:r w:rsidRPr="00465D25">
        <w:rPr>
          <w:rFonts w:ascii="Calibri" w:hAnsi="Calibri" w:cs="Calibri"/>
        </w:rPr>
        <w:t xml:space="preserve"> and will contain the analysis of all Wave 1 evidence collections.</w:t>
      </w:r>
    </w:p>
    <w:p w:rsidR="00A90BD4" w:rsidRPr="00A61328" w:rsidRDefault="00A90BD4" w:rsidP="00A61328">
      <w:pPr>
        <w:pStyle w:val="Default"/>
        <w:rPr>
          <w:sz w:val="22"/>
          <w:szCs w:val="22"/>
        </w:rPr>
      </w:pPr>
    </w:p>
    <w:p w:rsidR="00F258BE" w:rsidRDefault="00F258BE">
      <w:pPr>
        <w:rPr>
          <w:rFonts w:eastAsia="Times" w:cstheme="minorHAnsi"/>
          <w:b/>
          <w:kern w:val="32"/>
          <w:sz w:val="26"/>
          <w:szCs w:val="24"/>
          <w:lang w:val="en-AU" w:eastAsia="zh-CN"/>
        </w:rPr>
      </w:pPr>
      <w:r>
        <w:br w:type="page"/>
      </w:r>
    </w:p>
    <w:p w:rsidR="00A90BD4" w:rsidRDefault="00A90BD4" w:rsidP="00367B24">
      <w:pPr>
        <w:pStyle w:val="Heading2"/>
      </w:pPr>
      <w:bookmarkStart w:id="14" w:name="_Toc449954938"/>
      <w:r>
        <w:lastRenderedPageBreak/>
        <w:t>1.2 Evaluation Framework</w:t>
      </w:r>
      <w:bookmarkEnd w:id="14"/>
    </w:p>
    <w:p w:rsidR="00A90BD4" w:rsidRDefault="00A90BD4" w:rsidP="001B28D3">
      <w:pPr>
        <w:pStyle w:val="Default"/>
        <w:rPr>
          <w:sz w:val="22"/>
          <w:szCs w:val="22"/>
        </w:rPr>
      </w:pPr>
      <w:r>
        <w:rPr>
          <w:sz w:val="22"/>
          <w:szCs w:val="22"/>
        </w:rPr>
        <w:t xml:space="preserve">The Evaluation Framework presented a reasoned assessment of the scope, scale and potential challenges of the </w:t>
      </w:r>
      <w:r w:rsidR="00AD13A2">
        <w:rPr>
          <w:sz w:val="22"/>
          <w:szCs w:val="22"/>
        </w:rPr>
        <w:t>e</w:t>
      </w:r>
      <w:r>
        <w:rPr>
          <w:sz w:val="22"/>
          <w:szCs w:val="22"/>
        </w:rPr>
        <w:t>valuation, discussing the data, design and methodological options. Much of what was presented in that framework has since been applied and is reported in this Initial Report.</w:t>
      </w:r>
    </w:p>
    <w:p w:rsidR="00A90BD4" w:rsidRDefault="00A90BD4" w:rsidP="001B28D3">
      <w:pPr>
        <w:pStyle w:val="Default"/>
        <w:rPr>
          <w:sz w:val="22"/>
          <w:szCs w:val="22"/>
        </w:rPr>
      </w:pPr>
    </w:p>
    <w:p w:rsidR="00A90BD4" w:rsidRDefault="00A90BD4" w:rsidP="001B28D3">
      <w:pPr>
        <w:pStyle w:val="Default"/>
        <w:rPr>
          <w:sz w:val="22"/>
          <w:szCs w:val="22"/>
        </w:rPr>
      </w:pPr>
      <w:r>
        <w:rPr>
          <w:sz w:val="22"/>
          <w:szCs w:val="22"/>
        </w:rPr>
        <w:t xml:space="preserve">The Evaluation Framework took into account several specific features of the NDIS, notably: </w:t>
      </w:r>
    </w:p>
    <w:p w:rsidR="00A90BD4" w:rsidRDefault="00A90BD4" w:rsidP="001B28D3">
      <w:pPr>
        <w:pStyle w:val="Default"/>
        <w:spacing w:after="27"/>
        <w:rPr>
          <w:sz w:val="22"/>
          <w:szCs w:val="22"/>
        </w:rPr>
      </w:pPr>
    </w:p>
    <w:p w:rsidR="00A90BD4" w:rsidRDefault="00A90BD4" w:rsidP="00AF5E38">
      <w:pPr>
        <w:pStyle w:val="Default"/>
        <w:numPr>
          <w:ilvl w:val="0"/>
          <w:numId w:val="19"/>
        </w:numPr>
        <w:spacing w:after="120"/>
        <w:rPr>
          <w:sz w:val="22"/>
          <w:szCs w:val="22"/>
        </w:rPr>
      </w:pPr>
      <w:r>
        <w:rPr>
          <w:sz w:val="22"/>
          <w:szCs w:val="22"/>
        </w:rPr>
        <w:t>The d</w:t>
      </w:r>
      <w:r w:rsidRPr="00A66087">
        <w:rPr>
          <w:sz w:val="22"/>
          <w:szCs w:val="22"/>
        </w:rPr>
        <w:t xml:space="preserve">ifferences in the implementation of the NDIS in the five initial </w:t>
      </w:r>
      <w:r>
        <w:rPr>
          <w:sz w:val="22"/>
          <w:szCs w:val="22"/>
        </w:rPr>
        <w:t>trial</w:t>
      </w:r>
      <w:r w:rsidRPr="00A66087">
        <w:rPr>
          <w:sz w:val="22"/>
          <w:szCs w:val="22"/>
        </w:rPr>
        <w:t xml:space="preserve"> sites, in particular variations in eligible populations, phasing</w:t>
      </w:r>
      <w:r>
        <w:rPr>
          <w:sz w:val="22"/>
          <w:szCs w:val="22"/>
        </w:rPr>
        <w:t>-in processes, and start dates, notably the delayed trial start in the ACT</w:t>
      </w:r>
    </w:p>
    <w:p w:rsidR="00A90BD4" w:rsidRDefault="00E877F9" w:rsidP="00AF5E38">
      <w:pPr>
        <w:pStyle w:val="Default"/>
        <w:numPr>
          <w:ilvl w:val="0"/>
          <w:numId w:val="19"/>
        </w:numPr>
        <w:spacing w:after="120"/>
        <w:rPr>
          <w:sz w:val="22"/>
          <w:szCs w:val="22"/>
        </w:rPr>
      </w:pPr>
      <w:r>
        <w:rPr>
          <w:sz w:val="22"/>
          <w:szCs w:val="22"/>
        </w:rPr>
        <w:t>The risk to the e</w:t>
      </w:r>
      <w:r w:rsidR="00A90BD4" w:rsidRPr="00A66087">
        <w:rPr>
          <w:sz w:val="22"/>
          <w:szCs w:val="22"/>
        </w:rPr>
        <w:t>valuation that the NDIS may get rolled out in comparison sites, as indeed happened with the extension of the NDIS into the Blue Mountain region in New South Wales</w:t>
      </w:r>
    </w:p>
    <w:p w:rsidR="00A90BD4" w:rsidRDefault="00A90BD4" w:rsidP="00AF5E38">
      <w:pPr>
        <w:pStyle w:val="Default"/>
        <w:numPr>
          <w:ilvl w:val="0"/>
          <w:numId w:val="19"/>
        </w:numPr>
        <w:spacing w:after="120"/>
        <w:rPr>
          <w:sz w:val="22"/>
          <w:szCs w:val="22"/>
        </w:rPr>
      </w:pPr>
      <w:r w:rsidRPr="00A66087">
        <w:rPr>
          <w:sz w:val="22"/>
          <w:szCs w:val="22"/>
        </w:rPr>
        <w:t>Practical challenges of collecting data in remote areas,</w:t>
      </w:r>
      <w:r>
        <w:rPr>
          <w:sz w:val="22"/>
          <w:szCs w:val="22"/>
        </w:rPr>
        <w:t xml:space="preserve"> especially in South Australia, which resulted in the introduction of a flexible design allowing for different data collection modes to be used</w:t>
      </w:r>
    </w:p>
    <w:p w:rsidR="00A90BD4" w:rsidRDefault="00A90BD4" w:rsidP="00AF5E38">
      <w:pPr>
        <w:pStyle w:val="Default"/>
        <w:numPr>
          <w:ilvl w:val="0"/>
          <w:numId w:val="19"/>
        </w:numPr>
        <w:spacing w:after="120"/>
        <w:rPr>
          <w:sz w:val="22"/>
          <w:szCs w:val="22"/>
        </w:rPr>
      </w:pPr>
      <w:r w:rsidRPr="00A66087">
        <w:rPr>
          <w:sz w:val="22"/>
          <w:szCs w:val="22"/>
        </w:rPr>
        <w:t>The diversity of the population of people with disability, including people with diverse communication needs, children and young people, Aboriginal and Torres Strait Islander people, and people from culturally and linguistically diverse backgrounds</w:t>
      </w:r>
      <w:r>
        <w:rPr>
          <w:sz w:val="22"/>
          <w:szCs w:val="22"/>
        </w:rPr>
        <w:t xml:space="preserve">. The </w:t>
      </w:r>
      <w:r w:rsidR="00E13654">
        <w:rPr>
          <w:sz w:val="22"/>
          <w:szCs w:val="22"/>
        </w:rPr>
        <w:t>e</w:t>
      </w:r>
      <w:r>
        <w:rPr>
          <w:sz w:val="22"/>
          <w:szCs w:val="22"/>
        </w:rPr>
        <w:t>valuation addressed these challenges by engaging specialist, and multi-lingual and multi-cultural researchers and consultants at different levels and during different phases of the research</w:t>
      </w:r>
    </w:p>
    <w:p w:rsidR="00A90BD4" w:rsidRDefault="00A90BD4" w:rsidP="00AF5E38">
      <w:pPr>
        <w:pStyle w:val="Default"/>
        <w:numPr>
          <w:ilvl w:val="0"/>
          <w:numId w:val="19"/>
        </w:numPr>
        <w:spacing w:after="120"/>
        <w:rPr>
          <w:sz w:val="22"/>
          <w:szCs w:val="22"/>
        </w:rPr>
      </w:pPr>
      <w:r w:rsidRPr="00A66087">
        <w:rPr>
          <w:sz w:val="22"/>
          <w:szCs w:val="22"/>
        </w:rPr>
        <w:t xml:space="preserve">The need to consider the </w:t>
      </w:r>
      <w:r>
        <w:rPr>
          <w:sz w:val="22"/>
          <w:szCs w:val="22"/>
        </w:rPr>
        <w:t xml:space="preserve">relevant </w:t>
      </w:r>
      <w:r w:rsidRPr="00A66087">
        <w:rPr>
          <w:sz w:val="22"/>
          <w:szCs w:val="22"/>
        </w:rPr>
        <w:t xml:space="preserve">experiences and changes </w:t>
      </w:r>
      <w:r>
        <w:rPr>
          <w:sz w:val="22"/>
          <w:szCs w:val="22"/>
        </w:rPr>
        <w:t>in</w:t>
      </w:r>
      <w:r w:rsidRPr="00A66087">
        <w:rPr>
          <w:sz w:val="22"/>
          <w:szCs w:val="22"/>
        </w:rPr>
        <w:t xml:space="preserve"> the disability and mainstream sectors, including the workforce of disability support providers</w:t>
      </w:r>
      <w:r>
        <w:rPr>
          <w:sz w:val="22"/>
          <w:szCs w:val="22"/>
        </w:rPr>
        <w:t xml:space="preserve"> and their</w:t>
      </w:r>
      <w:r w:rsidRPr="00A66087">
        <w:rPr>
          <w:sz w:val="22"/>
          <w:szCs w:val="22"/>
        </w:rPr>
        <w:t xml:space="preserve"> service users</w:t>
      </w:r>
      <w:r>
        <w:rPr>
          <w:sz w:val="22"/>
          <w:szCs w:val="22"/>
        </w:rPr>
        <w:t>. This informed the choice and thematic focus of different evaluation instruments</w:t>
      </w:r>
    </w:p>
    <w:p w:rsidR="00A90BD4" w:rsidRPr="00A66087" w:rsidRDefault="00A90BD4" w:rsidP="00AF5E38">
      <w:pPr>
        <w:pStyle w:val="Default"/>
        <w:numPr>
          <w:ilvl w:val="0"/>
          <w:numId w:val="19"/>
        </w:numPr>
        <w:spacing w:after="27"/>
        <w:rPr>
          <w:sz w:val="22"/>
          <w:szCs w:val="22"/>
        </w:rPr>
      </w:pPr>
      <w:r w:rsidRPr="00A66087">
        <w:rPr>
          <w:sz w:val="22"/>
          <w:szCs w:val="22"/>
        </w:rPr>
        <w:t>The ethical issues associated with the research</w:t>
      </w:r>
      <w:r>
        <w:rPr>
          <w:sz w:val="22"/>
          <w:szCs w:val="22"/>
        </w:rPr>
        <w:t>. These have been considered during research design and are monitored in close collaboration with Flinders University’s Social and Human Behaviour Research Ethics Committee</w:t>
      </w:r>
      <w:r w:rsidRPr="00A66087">
        <w:rPr>
          <w:sz w:val="22"/>
          <w:szCs w:val="22"/>
        </w:rPr>
        <w:t xml:space="preserve">. </w:t>
      </w:r>
    </w:p>
    <w:p w:rsidR="00A90BD4" w:rsidRDefault="00A90BD4" w:rsidP="001B28D3">
      <w:pPr>
        <w:pStyle w:val="Default"/>
        <w:rPr>
          <w:sz w:val="22"/>
          <w:szCs w:val="22"/>
        </w:rPr>
      </w:pPr>
    </w:p>
    <w:p w:rsidR="00A90BD4" w:rsidRDefault="00ED38D9" w:rsidP="001B28D3">
      <w:pPr>
        <w:pStyle w:val="Default"/>
        <w:rPr>
          <w:color w:val="auto"/>
          <w:sz w:val="22"/>
          <w:szCs w:val="22"/>
        </w:rPr>
      </w:pPr>
      <w:r w:rsidRPr="00ED38D9">
        <w:rPr>
          <w:color w:val="auto"/>
          <w:sz w:val="22"/>
          <w:szCs w:val="22"/>
          <w:lang w:val="en-GB"/>
        </w:rPr>
        <w:t>The phased beginning of the NDIS trial and the associated phased transitioning of participants into the Scheme have b</w:t>
      </w:r>
      <w:r w:rsidR="00E13654">
        <w:rPr>
          <w:color w:val="auto"/>
          <w:sz w:val="22"/>
          <w:szCs w:val="22"/>
          <w:lang w:val="en-GB"/>
        </w:rPr>
        <w:t>een the main challenge to this e</w:t>
      </w:r>
      <w:r w:rsidRPr="00ED38D9">
        <w:rPr>
          <w:color w:val="auto"/>
          <w:sz w:val="22"/>
          <w:szCs w:val="22"/>
          <w:lang w:val="en-GB"/>
        </w:rPr>
        <w:t>valuation, alongside the absence of a genuine baseline for the proposed before-after evaluation design.</w:t>
      </w:r>
      <w:r>
        <w:rPr>
          <w:color w:val="auto"/>
          <w:sz w:val="22"/>
          <w:szCs w:val="22"/>
          <w:lang w:val="en-GB"/>
        </w:rPr>
        <w:t xml:space="preserve"> </w:t>
      </w:r>
      <w:r w:rsidR="00E13654">
        <w:rPr>
          <w:color w:val="auto"/>
          <w:sz w:val="22"/>
          <w:szCs w:val="22"/>
        </w:rPr>
        <w:t>The e</w:t>
      </w:r>
      <w:r w:rsidR="00A90BD4">
        <w:rPr>
          <w:color w:val="auto"/>
          <w:sz w:val="22"/>
          <w:szCs w:val="22"/>
        </w:rPr>
        <w:t xml:space="preserve">valuation has sought to respond to these specific challenges through a flexible design that </w:t>
      </w:r>
      <w:r>
        <w:rPr>
          <w:color w:val="auto"/>
          <w:sz w:val="22"/>
          <w:szCs w:val="22"/>
        </w:rPr>
        <w:t>is</w:t>
      </w:r>
      <w:r w:rsidR="00A90BD4">
        <w:rPr>
          <w:color w:val="auto"/>
          <w:sz w:val="22"/>
          <w:szCs w:val="22"/>
        </w:rPr>
        <w:t xml:space="preserve"> responsive to continued variations of the implementation of the NDIS within and across launch sites. Examples of such flexible design can be found in the repeated top-up sampling during survey fieldwork (in the context of the NDIS survey of people with disability, and their families and carers), and in sampling of comparison and (in the qualitative fieldwork) trial groups that seeks to reflect the anticipated future profile of NDIS participants as well as their current characteristics. Additional flexible design measures presently considered for implementation in the second waves of fieldwork, include further top-up sampling in order to yield information on the more recent NDIS participants and on the newly established or arriving disability service providers and their workforces. This flexibility will enhance substantially the scope, scale and</w:t>
      </w:r>
      <w:r w:rsidR="00E13654">
        <w:rPr>
          <w:color w:val="auto"/>
          <w:sz w:val="22"/>
          <w:szCs w:val="22"/>
        </w:rPr>
        <w:t xml:space="preserve"> statistical robustness of the e</w:t>
      </w:r>
      <w:r w:rsidR="00A90BD4">
        <w:rPr>
          <w:color w:val="auto"/>
          <w:sz w:val="22"/>
          <w:szCs w:val="22"/>
        </w:rPr>
        <w:t xml:space="preserve">valuation’s analyses. </w:t>
      </w:r>
    </w:p>
    <w:p w:rsidR="00A90BD4" w:rsidRDefault="00A90BD4" w:rsidP="001B28D3">
      <w:pPr>
        <w:pStyle w:val="Default"/>
        <w:rPr>
          <w:color w:val="auto"/>
          <w:sz w:val="22"/>
          <w:szCs w:val="22"/>
        </w:rPr>
      </w:pPr>
    </w:p>
    <w:p w:rsidR="00A90BD4" w:rsidRDefault="00A90BD4" w:rsidP="001B28D3">
      <w:pPr>
        <w:pStyle w:val="Default"/>
        <w:rPr>
          <w:color w:val="auto"/>
          <w:sz w:val="22"/>
          <w:szCs w:val="22"/>
        </w:rPr>
      </w:pPr>
      <w:r>
        <w:rPr>
          <w:color w:val="auto"/>
          <w:sz w:val="22"/>
          <w:szCs w:val="22"/>
        </w:rPr>
        <w:t xml:space="preserve">The Evaluation Framework had assumed a design that combined existing administrative data with the new </w:t>
      </w:r>
      <w:r w:rsidR="00E13654">
        <w:rPr>
          <w:color w:val="auto"/>
          <w:sz w:val="22"/>
          <w:szCs w:val="22"/>
        </w:rPr>
        <w:t>survey data collections by the e</w:t>
      </w:r>
      <w:r>
        <w:rPr>
          <w:color w:val="auto"/>
          <w:sz w:val="22"/>
          <w:szCs w:val="22"/>
        </w:rPr>
        <w:t xml:space="preserve">valuation research team. The combination of administrative and survey data sets would have facilitated a more comprehensive impact assessment; however this has not been feasible to date. The flexible design measure introduced to alleviate this problem has been the introduction of a registration process that allows survey respondents to provide this information as part of their survey responses. </w:t>
      </w:r>
    </w:p>
    <w:p w:rsidR="00A90BD4" w:rsidRDefault="00A90BD4" w:rsidP="001B28D3">
      <w:pPr>
        <w:pStyle w:val="Default"/>
        <w:rPr>
          <w:color w:val="auto"/>
          <w:sz w:val="22"/>
          <w:szCs w:val="22"/>
        </w:rPr>
      </w:pPr>
    </w:p>
    <w:p w:rsidR="00A90BD4" w:rsidRDefault="00A90BD4" w:rsidP="001B28D3">
      <w:pPr>
        <w:pStyle w:val="Default"/>
        <w:rPr>
          <w:color w:val="auto"/>
          <w:sz w:val="22"/>
          <w:szCs w:val="22"/>
        </w:rPr>
      </w:pPr>
      <w:r>
        <w:rPr>
          <w:color w:val="auto"/>
          <w:sz w:val="22"/>
          <w:szCs w:val="22"/>
        </w:rPr>
        <w:lastRenderedPageBreak/>
        <w:t xml:space="preserve">The Evaluation Framework explained that the </w:t>
      </w:r>
      <w:r w:rsidR="00E13654">
        <w:rPr>
          <w:color w:val="auto"/>
          <w:sz w:val="22"/>
          <w:szCs w:val="22"/>
        </w:rPr>
        <w:t>e</w:t>
      </w:r>
      <w:r w:rsidR="00BD356D">
        <w:rPr>
          <w:color w:val="auto"/>
          <w:sz w:val="22"/>
          <w:szCs w:val="22"/>
        </w:rPr>
        <w:t>valuation</w:t>
      </w:r>
      <w:r>
        <w:rPr>
          <w:color w:val="auto"/>
          <w:sz w:val="22"/>
          <w:szCs w:val="22"/>
        </w:rPr>
        <w:t xml:space="preserve"> will be implemented in three phases with the Phase 1 including the preparation of the Framework itself. In addition it had been anticipated that this Phase would also include the conduct, completion and start of analysis of the first waves of survey data from people with disability, and their families and carers, and the disability service sector. The slowness of the rollout of the NDIS has not allowed for this objective to be achieved in its entirety, with the two NDIS Surveys of people with disability, and their families and carers remaining in field at the time of the writing of this Initial Report.</w:t>
      </w:r>
    </w:p>
    <w:p w:rsidR="00A90BD4" w:rsidRDefault="00A90BD4" w:rsidP="001B28D3">
      <w:pPr>
        <w:pStyle w:val="Default"/>
        <w:rPr>
          <w:color w:val="auto"/>
          <w:sz w:val="22"/>
          <w:szCs w:val="22"/>
        </w:rPr>
      </w:pPr>
    </w:p>
    <w:p w:rsidR="00A90BD4" w:rsidRDefault="00A90BD4" w:rsidP="001B28D3">
      <w:pPr>
        <w:pStyle w:val="Default"/>
        <w:rPr>
          <w:color w:val="auto"/>
          <w:sz w:val="22"/>
          <w:szCs w:val="22"/>
        </w:rPr>
      </w:pPr>
      <w:r>
        <w:rPr>
          <w:color w:val="auto"/>
          <w:sz w:val="22"/>
          <w:szCs w:val="22"/>
        </w:rPr>
        <w:t>The Initial Report, which was formerly known as the Baseline Report, forms an es</w:t>
      </w:r>
      <w:r w:rsidR="00BB09DA">
        <w:rPr>
          <w:color w:val="auto"/>
          <w:sz w:val="22"/>
          <w:szCs w:val="22"/>
        </w:rPr>
        <w:t>sential part of Phase 2 of the e</w:t>
      </w:r>
      <w:r>
        <w:rPr>
          <w:color w:val="auto"/>
          <w:sz w:val="22"/>
          <w:szCs w:val="22"/>
        </w:rPr>
        <w:t>valuation, which, besides reporting twice in the Initial and then the Intermediate Report, continues the quantitative and the qualitative fieldwork.</w:t>
      </w:r>
    </w:p>
    <w:p w:rsidR="00A90BD4" w:rsidRDefault="00A90BD4" w:rsidP="001B28D3">
      <w:pPr>
        <w:pStyle w:val="Default"/>
        <w:rPr>
          <w:color w:val="auto"/>
          <w:sz w:val="22"/>
          <w:szCs w:val="22"/>
        </w:rPr>
      </w:pPr>
    </w:p>
    <w:p w:rsidR="00F258BE" w:rsidRDefault="00F258BE">
      <w:pPr>
        <w:rPr>
          <w:rFonts w:eastAsia="Times" w:cstheme="minorHAnsi"/>
          <w:b/>
          <w:kern w:val="32"/>
          <w:sz w:val="26"/>
          <w:szCs w:val="24"/>
          <w:lang w:val="en-AU" w:eastAsia="zh-CN"/>
        </w:rPr>
      </w:pPr>
      <w:r>
        <w:br w:type="page"/>
      </w:r>
    </w:p>
    <w:p w:rsidR="00A90BD4" w:rsidRDefault="00A90BD4" w:rsidP="00367B24">
      <w:pPr>
        <w:pStyle w:val="Heading2"/>
      </w:pPr>
      <w:bookmarkStart w:id="15" w:name="_Toc449954939"/>
      <w:r>
        <w:lastRenderedPageBreak/>
        <w:t>1.3 Key Evaluation Questions</w:t>
      </w:r>
      <w:bookmarkEnd w:id="15"/>
    </w:p>
    <w:p w:rsidR="006574D3" w:rsidRPr="001032EF" w:rsidRDefault="006574D3" w:rsidP="006574D3">
      <w:pPr>
        <w:pStyle w:val="Default"/>
        <w:rPr>
          <w:sz w:val="22"/>
          <w:szCs w:val="22"/>
        </w:rPr>
      </w:pPr>
      <w:r w:rsidRPr="001032EF">
        <w:rPr>
          <w:sz w:val="22"/>
          <w:szCs w:val="22"/>
        </w:rPr>
        <w:t>A central focus of the Evaluation Framework has been the Key Evaluation Questions originally identified by the Department of Social Services to g</w:t>
      </w:r>
      <w:r w:rsidR="00BB09DA">
        <w:rPr>
          <w:sz w:val="22"/>
          <w:szCs w:val="22"/>
        </w:rPr>
        <w:t>uide the NDIS E</w:t>
      </w:r>
      <w:r w:rsidRPr="001032EF">
        <w:rPr>
          <w:sz w:val="22"/>
          <w:szCs w:val="22"/>
        </w:rPr>
        <w:t>valuation.</w:t>
      </w:r>
    </w:p>
    <w:p w:rsidR="00A90BD4" w:rsidRDefault="006574D3" w:rsidP="001B28D3">
      <w:pPr>
        <w:pStyle w:val="Default"/>
        <w:rPr>
          <w:color w:val="auto"/>
          <w:sz w:val="22"/>
          <w:szCs w:val="22"/>
        </w:rPr>
      </w:pPr>
      <w:r w:rsidRPr="006574D3" w:rsidDel="006574D3">
        <w:rPr>
          <w:sz w:val="22"/>
          <w:szCs w:val="22"/>
          <w:lang w:val="en-GB"/>
        </w:rPr>
        <w:t xml:space="preserve"> </w:t>
      </w:r>
    </w:p>
    <w:p w:rsidR="00A90BD4" w:rsidRDefault="00A90BD4" w:rsidP="001B28D3">
      <w:pPr>
        <w:pStyle w:val="Default"/>
        <w:rPr>
          <w:color w:val="auto"/>
          <w:sz w:val="22"/>
          <w:szCs w:val="22"/>
        </w:rPr>
      </w:pPr>
      <w:r>
        <w:rPr>
          <w:color w:val="auto"/>
          <w:sz w:val="22"/>
          <w:szCs w:val="22"/>
        </w:rPr>
        <w:t xml:space="preserve">The Evaluation Framework grouped and presented the 32 principal evaluation questions into those that concern impact assessments with respect to: </w:t>
      </w:r>
    </w:p>
    <w:p w:rsidR="00A90BD4" w:rsidRDefault="00A90BD4" w:rsidP="001B28D3">
      <w:pPr>
        <w:pStyle w:val="Default"/>
        <w:rPr>
          <w:color w:val="auto"/>
          <w:sz w:val="22"/>
          <w:szCs w:val="22"/>
        </w:rPr>
      </w:pPr>
    </w:p>
    <w:p w:rsidR="00A90BD4" w:rsidRDefault="00A90BD4" w:rsidP="00AF5E38">
      <w:pPr>
        <w:pStyle w:val="Default"/>
        <w:numPr>
          <w:ilvl w:val="0"/>
          <w:numId w:val="21"/>
        </w:numPr>
        <w:spacing w:after="120"/>
        <w:ind w:left="426" w:hanging="426"/>
        <w:rPr>
          <w:color w:val="auto"/>
          <w:sz w:val="22"/>
          <w:szCs w:val="22"/>
        </w:rPr>
      </w:pPr>
      <w:r>
        <w:rPr>
          <w:color w:val="auto"/>
          <w:sz w:val="22"/>
          <w:szCs w:val="22"/>
        </w:rPr>
        <w:t xml:space="preserve">people with disability, and their families and carers </w:t>
      </w:r>
    </w:p>
    <w:p w:rsidR="00A90BD4" w:rsidRDefault="00A90BD4" w:rsidP="00AF5E38">
      <w:pPr>
        <w:pStyle w:val="Default"/>
        <w:numPr>
          <w:ilvl w:val="0"/>
          <w:numId w:val="21"/>
        </w:numPr>
        <w:spacing w:after="120"/>
        <w:ind w:left="426" w:hanging="426"/>
        <w:rPr>
          <w:color w:val="auto"/>
          <w:sz w:val="22"/>
          <w:szCs w:val="22"/>
        </w:rPr>
      </w:pPr>
      <w:r>
        <w:rPr>
          <w:color w:val="auto"/>
          <w:sz w:val="22"/>
          <w:szCs w:val="22"/>
        </w:rPr>
        <w:t xml:space="preserve">the disability sector </w:t>
      </w:r>
    </w:p>
    <w:p w:rsidR="00A90BD4" w:rsidRDefault="00A90BD4" w:rsidP="00AF5E38">
      <w:pPr>
        <w:pStyle w:val="Default"/>
        <w:numPr>
          <w:ilvl w:val="0"/>
          <w:numId w:val="21"/>
        </w:numPr>
        <w:spacing w:after="120"/>
        <w:ind w:left="426" w:hanging="426"/>
        <w:rPr>
          <w:color w:val="auto"/>
          <w:sz w:val="22"/>
          <w:szCs w:val="22"/>
        </w:rPr>
      </w:pPr>
      <w:r>
        <w:rPr>
          <w:color w:val="auto"/>
          <w:sz w:val="22"/>
          <w:szCs w:val="22"/>
        </w:rPr>
        <w:t xml:space="preserve">the mainstream services sector </w:t>
      </w:r>
    </w:p>
    <w:p w:rsidR="00A90BD4" w:rsidRDefault="00A90BD4" w:rsidP="00AF5E38">
      <w:pPr>
        <w:pStyle w:val="Default"/>
        <w:numPr>
          <w:ilvl w:val="0"/>
          <w:numId w:val="21"/>
        </w:numPr>
        <w:spacing w:after="120"/>
        <w:ind w:left="426" w:hanging="426"/>
        <w:rPr>
          <w:color w:val="auto"/>
          <w:sz w:val="22"/>
          <w:szCs w:val="22"/>
        </w:rPr>
      </w:pPr>
      <w:r w:rsidRPr="00127E52">
        <w:rPr>
          <w:color w:val="auto"/>
          <w:sz w:val="22"/>
          <w:szCs w:val="22"/>
        </w:rPr>
        <w:t>neighbourhoods, social networks and voluntary organisations</w:t>
      </w:r>
      <w:r>
        <w:rPr>
          <w:color w:val="auto"/>
          <w:sz w:val="22"/>
          <w:szCs w:val="22"/>
        </w:rPr>
        <w:t xml:space="preserve"> and </w:t>
      </w:r>
    </w:p>
    <w:p w:rsidR="00A90BD4" w:rsidRDefault="00A90BD4" w:rsidP="00AF5E38">
      <w:pPr>
        <w:pStyle w:val="Default"/>
        <w:numPr>
          <w:ilvl w:val="0"/>
          <w:numId w:val="21"/>
        </w:numPr>
        <w:ind w:left="426" w:hanging="426"/>
        <w:rPr>
          <w:color w:val="auto"/>
          <w:sz w:val="22"/>
          <w:szCs w:val="22"/>
        </w:rPr>
      </w:pPr>
      <w:r>
        <w:rPr>
          <w:color w:val="auto"/>
          <w:sz w:val="22"/>
          <w:szCs w:val="22"/>
        </w:rPr>
        <w:t>h</w:t>
      </w:r>
      <w:r w:rsidRPr="00127E52">
        <w:rPr>
          <w:color w:val="auto"/>
          <w:sz w:val="22"/>
          <w:szCs w:val="22"/>
        </w:rPr>
        <w:t xml:space="preserve">igh-level </w:t>
      </w:r>
      <w:r>
        <w:rPr>
          <w:color w:val="auto"/>
          <w:sz w:val="22"/>
          <w:szCs w:val="22"/>
        </w:rPr>
        <w:t xml:space="preserve">policy </w:t>
      </w:r>
      <w:r w:rsidRPr="00127E52">
        <w:rPr>
          <w:color w:val="auto"/>
          <w:sz w:val="22"/>
          <w:szCs w:val="22"/>
        </w:rPr>
        <w:t>process</w:t>
      </w:r>
      <w:r>
        <w:rPr>
          <w:color w:val="auto"/>
          <w:sz w:val="22"/>
          <w:szCs w:val="22"/>
        </w:rPr>
        <w:t>es.</w:t>
      </w:r>
    </w:p>
    <w:p w:rsidR="00A90BD4" w:rsidRDefault="00A90BD4" w:rsidP="001B28D3">
      <w:pPr>
        <w:pStyle w:val="Default"/>
        <w:rPr>
          <w:color w:val="auto"/>
          <w:sz w:val="22"/>
          <w:szCs w:val="22"/>
        </w:rPr>
      </w:pPr>
    </w:p>
    <w:p w:rsidR="00A90BD4" w:rsidRDefault="00A90BD4">
      <w:pPr>
        <w:pStyle w:val="Default"/>
        <w:rPr>
          <w:color w:val="auto"/>
          <w:sz w:val="22"/>
          <w:szCs w:val="22"/>
        </w:rPr>
      </w:pPr>
      <w:r>
        <w:rPr>
          <w:color w:val="auto"/>
          <w:sz w:val="22"/>
          <w:szCs w:val="22"/>
        </w:rPr>
        <w:t>A total of 56 questions is reached after including 24 additional sub-questions. Part of this set of 56 questions is reproduced in Figure 1 below. We note that the mainstream study has not yet commenced and that a community study has not been commissioned. We also note that the discussion of high level policy processes will only become feasible once the full evaluation material has been collected and will be delivered within the Final Report. Figure 1 is, therefore, limited to those Key Evaluation Questio</w:t>
      </w:r>
      <w:r w:rsidRPr="00543554">
        <w:rPr>
          <w:color w:val="auto"/>
          <w:sz w:val="20"/>
          <w:szCs w:val="22"/>
        </w:rPr>
        <w:t>n</w:t>
      </w:r>
      <w:r>
        <w:rPr>
          <w:color w:val="auto"/>
          <w:sz w:val="22"/>
          <w:szCs w:val="22"/>
        </w:rPr>
        <w:t xml:space="preserve">s which relate to the data collection tools presented and discussed in this report. These include the data collections pertaining to people with disability, and their families and carers and to the disability sector, and omit the data collections pertaining to the mainstream services sector and the </w:t>
      </w:r>
      <w:r w:rsidRPr="00127E52">
        <w:rPr>
          <w:color w:val="auto"/>
          <w:sz w:val="22"/>
          <w:szCs w:val="22"/>
        </w:rPr>
        <w:t>neighbourhoods, social networks and voluntary organisations</w:t>
      </w:r>
      <w:r>
        <w:rPr>
          <w:color w:val="auto"/>
          <w:sz w:val="22"/>
          <w:szCs w:val="22"/>
        </w:rPr>
        <w:t>.</w:t>
      </w:r>
    </w:p>
    <w:p w:rsidR="00A90BD4" w:rsidRDefault="00A90BD4" w:rsidP="001B28D3">
      <w:pPr>
        <w:pStyle w:val="Default"/>
        <w:rPr>
          <w:color w:val="auto"/>
          <w:sz w:val="22"/>
          <w:szCs w:val="22"/>
        </w:rPr>
      </w:pPr>
    </w:p>
    <w:p w:rsidR="00A90BD4" w:rsidRDefault="00A90BD4" w:rsidP="001B28D3">
      <w:pPr>
        <w:pStyle w:val="Default"/>
        <w:rPr>
          <w:color w:val="auto"/>
          <w:sz w:val="22"/>
          <w:szCs w:val="22"/>
        </w:rPr>
      </w:pPr>
      <w:r w:rsidRPr="00704EAD">
        <w:rPr>
          <w:color w:val="auto"/>
          <w:sz w:val="22"/>
          <w:szCs w:val="22"/>
        </w:rPr>
        <w:t xml:space="preserve">Key </w:t>
      </w:r>
      <w:r>
        <w:rPr>
          <w:color w:val="auto"/>
          <w:sz w:val="22"/>
          <w:szCs w:val="22"/>
        </w:rPr>
        <w:t>E</w:t>
      </w:r>
      <w:r w:rsidRPr="00704EAD">
        <w:rPr>
          <w:color w:val="auto"/>
          <w:sz w:val="22"/>
          <w:szCs w:val="22"/>
        </w:rPr>
        <w:t xml:space="preserve">valuation </w:t>
      </w:r>
      <w:r>
        <w:rPr>
          <w:color w:val="auto"/>
          <w:sz w:val="22"/>
          <w:szCs w:val="22"/>
        </w:rPr>
        <w:t>Q</w:t>
      </w:r>
      <w:r w:rsidRPr="00704EAD">
        <w:rPr>
          <w:color w:val="auto"/>
          <w:sz w:val="22"/>
          <w:szCs w:val="22"/>
        </w:rPr>
        <w:t xml:space="preserve">uestions that pertain to outcomes for people with disability, and their families and carers </w:t>
      </w:r>
      <w:r>
        <w:rPr>
          <w:color w:val="auto"/>
          <w:sz w:val="22"/>
          <w:szCs w:val="22"/>
        </w:rPr>
        <w:t xml:space="preserve">have been </w:t>
      </w:r>
      <w:r w:rsidRPr="00704EAD">
        <w:rPr>
          <w:color w:val="auto"/>
          <w:sz w:val="22"/>
          <w:szCs w:val="22"/>
        </w:rPr>
        <w:t xml:space="preserve">grouped according to whether they relate to the evaluation of (a) impacts, (b) processes or (c) the realisation of the </w:t>
      </w:r>
      <w:r>
        <w:rPr>
          <w:color w:val="auto"/>
          <w:sz w:val="22"/>
          <w:szCs w:val="22"/>
        </w:rPr>
        <w:t>NDIS</w:t>
      </w:r>
      <w:r w:rsidRPr="00704EAD">
        <w:rPr>
          <w:color w:val="auto"/>
          <w:sz w:val="22"/>
          <w:szCs w:val="22"/>
        </w:rPr>
        <w:t xml:space="preserve">. </w:t>
      </w:r>
      <w:r>
        <w:rPr>
          <w:color w:val="auto"/>
          <w:sz w:val="22"/>
          <w:szCs w:val="22"/>
        </w:rPr>
        <w:t>As was explained in the Evaluation Framework, d</w:t>
      </w:r>
      <w:r w:rsidRPr="00704EAD">
        <w:rPr>
          <w:color w:val="auto"/>
          <w:sz w:val="22"/>
          <w:szCs w:val="22"/>
        </w:rPr>
        <w:t xml:space="preserve">ifferentiating between </w:t>
      </w:r>
      <w:r>
        <w:rPr>
          <w:color w:val="auto"/>
          <w:sz w:val="22"/>
          <w:szCs w:val="22"/>
        </w:rPr>
        <w:t>‘</w:t>
      </w:r>
      <w:r w:rsidRPr="00704EAD">
        <w:rPr>
          <w:color w:val="auto"/>
          <w:sz w:val="22"/>
          <w:szCs w:val="22"/>
        </w:rPr>
        <w:t>processes</w:t>
      </w:r>
      <w:r>
        <w:rPr>
          <w:color w:val="auto"/>
          <w:sz w:val="22"/>
          <w:szCs w:val="22"/>
        </w:rPr>
        <w:t>’</w:t>
      </w:r>
      <w:r w:rsidRPr="00704EAD">
        <w:rPr>
          <w:color w:val="auto"/>
          <w:sz w:val="22"/>
          <w:szCs w:val="22"/>
        </w:rPr>
        <w:t xml:space="preserve"> and </w:t>
      </w:r>
      <w:r>
        <w:rPr>
          <w:color w:val="auto"/>
          <w:sz w:val="22"/>
          <w:szCs w:val="22"/>
        </w:rPr>
        <w:t>‘</w:t>
      </w:r>
      <w:r w:rsidRPr="00704EAD">
        <w:rPr>
          <w:color w:val="auto"/>
          <w:sz w:val="22"/>
          <w:szCs w:val="22"/>
        </w:rPr>
        <w:t>realisation</w:t>
      </w:r>
      <w:r>
        <w:rPr>
          <w:color w:val="auto"/>
          <w:sz w:val="22"/>
          <w:szCs w:val="22"/>
        </w:rPr>
        <w:t>’</w:t>
      </w:r>
      <w:r w:rsidRPr="00704EAD">
        <w:rPr>
          <w:color w:val="auto"/>
          <w:sz w:val="22"/>
          <w:szCs w:val="22"/>
        </w:rPr>
        <w:t xml:space="preserve"> allows </w:t>
      </w:r>
      <w:r>
        <w:rPr>
          <w:color w:val="auto"/>
          <w:sz w:val="22"/>
          <w:szCs w:val="22"/>
        </w:rPr>
        <w:t xml:space="preserve">the </w:t>
      </w:r>
      <w:r w:rsidRPr="00704EAD">
        <w:rPr>
          <w:color w:val="auto"/>
          <w:sz w:val="22"/>
          <w:szCs w:val="22"/>
        </w:rPr>
        <w:t xml:space="preserve">analysis </w:t>
      </w:r>
      <w:r>
        <w:rPr>
          <w:color w:val="auto"/>
          <w:sz w:val="22"/>
          <w:szCs w:val="22"/>
        </w:rPr>
        <w:t>to distinguish between matters that</w:t>
      </w:r>
      <w:r w:rsidRPr="00704EAD">
        <w:rPr>
          <w:color w:val="auto"/>
          <w:sz w:val="22"/>
          <w:szCs w:val="22"/>
        </w:rPr>
        <w:t xml:space="preserve"> are </w:t>
      </w:r>
      <w:r>
        <w:rPr>
          <w:color w:val="auto"/>
          <w:sz w:val="22"/>
          <w:szCs w:val="22"/>
        </w:rPr>
        <w:t xml:space="preserve">designed or </w:t>
      </w:r>
      <w:r w:rsidRPr="00704EAD">
        <w:rPr>
          <w:color w:val="auto"/>
          <w:sz w:val="22"/>
          <w:szCs w:val="22"/>
        </w:rPr>
        <w:t xml:space="preserve">directed by the </w:t>
      </w:r>
      <w:r>
        <w:rPr>
          <w:color w:val="auto"/>
          <w:sz w:val="22"/>
          <w:szCs w:val="22"/>
        </w:rPr>
        <w:t>NDIA</w:t>
      </w:r>
      <w:r w:rsidRPr="00704EAD">
        <w:rPr>
          <w:color w:val="auto"/>
          <w:sz w:val="22"/>
          <w:szCs w:val="22"/>
        </w:rPr>
        <w:t xml:space="preserve"> (process</w:t>
      </w:r>
      <w:r>
        <w:rPr>
          <w:color w:val="auto"/>
          <w:sz w:val="22"/>
          <w:szCs w:val="22"/>
        </w:rPr>
        <w:t>es</w:t>
      </w:r>
      <w:r w:rsidRPr="00704EAD">
        <w:rPr>
          <w:color w:val="auto"/>
          <w:sz w:val="22"/>
          <w:szCs w:val="22"/>
        </w:rPr>
        <w:t>) and others that</w:t>
      </w:r>
      <w:r>
        <w:rPr>
          <w:color w:val="auto"/>
          <w:sz w:val="22"/>
          <w:szCs w:val="22"/>
        </w:rPr>
        <w:t xml:space="preserve"> may be shaped by, but are not directed by the </w:t>
      </w:r>
      <w:r w:rsidRPr="00704EAD">
        <w:rPr>
          <w:color w:val="auto"/>
          <w:sz w:val="22"/>
          <w:szCs w:val="22"/>
        </w:rPr>
        <w:t>Agency</w:t>
      </w:r>
      <w:r>
        <w:rPr>
          <w:color w:val="auto"/>
          <w:sz w:val="22"/>
          <w:szCs w:val="22"/>
        </w:rPr>
        <w:t xml:space="preserve">’s activities (realisation). </w:t>
      </w:r>
    </w:p>
    <w:p w:rsidR="00A90BD4" w:rsidRDefault="00A90BD4" w:rsidP="001B28D3">
      <w:pPr>
        <w:pStyle w:val="Default"/>
        <w:rPr>
          <w:color w:val="auto"/>
          <w:sz w:val="22"/>
          <w:szCs w:val="22"/>
        </w:rPr>
      </w:pPr>
    </w:p>
    <w:p w:rsidR="009862D9" w:rsidRDefault="00A90BD4" w:rsidP="001B28D3">
      <w:pPr>
        <w:pStyle w:val="Default"/>
        <w:rPr>
          <w:color w:val="auto"/>
          <w:sz w:val="22"/>
          <w:szCs w:val="22"/>
        </w:rPr>
      </w:pPr>
      <w:r>
        <w:rPr>
          <w:color w:val="auto"/>
          <w:sz w:val="22"/>
          <w:szCs w:val="22"/>
        </w:rPr>
        <w:t xml:space="preserve">The differentiation between impacts, processes and realisation also implies a timeline for the </w:t>
      </w:r>
      <w:r w:rsidR="00543554">
        <w:rPr>
          <w:color w:val="auto"/>
          <w:sz w:val="22"/>
          <w:szCs w:val="22"/>
        </w:rPr>
        <w:t>evaluation</w:t>
      </w:r>
      <w:r>
        <w:rPr>
          <w:color w:val="auto"/>
          <w:sz w:val="22"/>
          <w:szCs w:val="22"/>
        </w:rPr>
        <w:t xml:space="preserve">’s reporting on NDIS outcomes. Impacts can only be reported at the end of the </w:t>
      </w:r>
      <w:r w:rsidR="00543554">
        <w:rPr>
          <w:color w:val="auto"/>
          <w:sz w:val="22"/>
          <w:szCs w:val="22"/>
        </w:rPr>
        <w:t>evaluation</w:t>
      </w:r>
      <w:r>
        <w:rPr>
          <w:color w:val="auto"/>
          <w:sz w:val="22"/>
          <w:szCs w:val="22"/>
        </w:rPr>
        <w:t xml:space="preserve">, that is, after the full completion and analysis of at least two waves of data collection. In contrast, it is possible that we could report some early findings about processes and realisation, noting however, that such reporting will need to be subject to review and possible revision upon the arrival and analysis of the second wave data. In this Initial Report, we focus our discussion of how initial </w:t>
      </w:r>
      <w:r w:rsidR="00543554">
        <w:rPr>
          <w:color w:val="auto"/>
          <w:sz w:val="22"/>
          <w:szCs w:val="22"/>
        </w:rPr>
        <w:t>e</w:t>
      </w:r>
      <w:r w:rsidR="00006A5E">
        <w:rPr>
          <w:color w:val="auto"/>
          <w:sz w:val="22"/>
          <w:szCs w:val="22"/>
        </w:rPr>
        <w:t>valuation</w:t>
      </w:r>
      <w:r>
        <w:rPr>
          <w:color w:val="auto"/>
          <w:sz w:val="22"/>
          <w:szCs w:val="22"/>
        </w:rPr>
        <w:t xml:space="preserve"> findings may relate to the Key Evaluation Questions primarily in the context of the Qualitative Impact Evaluation and to a much lesser degree in the context of the two major quantitative data collections on people and providers. This is because the qualitative fieldwork generated sufficiently detailed insights into the experiences of NDIS participants, the disability sector and the NDIA that allowed such early</w:t>
      </w:r>
      <w:r w:rsidR="00BD356D">
        <w:rPr>
          <w:color w:val="auto"/>
          <w:sz w:val="22"/>
          <w:szCs w:val="22"/>
        </w:rPr>
        <w:t xml:space="preserve"> assessments. The quantitative </w:t>
      </w:r>
      <w:r w:rsidR="00543554">
        <w:rPr>
          <w:color w:val="auto"/>
          <w:sz w:val="22"/>
          <w:szCs w:val="22"/>
        </w:rPr>
        <w:t>e</w:t>
      </w:r>
      <w:r>
        <w:rPr>
          <w:color w:val="auto"/>
          <w:sz w:val="22"/>
          <w:szCs w:val="22"/>
        </w:rPr>
        <w:t>valuation components, in contrast, will require complete Wave 1 and Wave 2 data for the in-depth comparative analyses of trial and comparison groups they are designed to produce.</w:t>
      </w:r>
    </w:p>
    <w:p w:rsidR="00A90BD4" w:rsidRDefault="00A90BD4" w:rsidP="001B28D3">
      <w:pPr>
        <w:pStyle w:val="Default"/>
        <w:rPr>
          <w:color w:val="auto"/>
          <w:sz w:val="22"/>
          <w:szCs w:val="22"/>
        </w:rPr>
      </w:pPr>
    </w:p>
    <w:p w:rsidR="00F258BE" w:rsidRDefault="00F258BE">
      <w:pPr>
        <w:rPr>
          <w:rFonts w:eastAsia="Times New Roman"/>
          <w:b/>
          <w:sz w:val="20"/>
          <w:lang w:val="en-US"/>
        </w:rPr>
      </w:pPr>
      <w:r>
        <w:br w:type="page"/>
      </w:r>
    </w:p>
    <w:p w:rsidR="00A90BD4" w:rsidRPr="00704EAD" w:rsidRDefault="00A90BD4" w:rsidP="00A61328">
      <w:pPr>
        <w:pStyle w:val="NILSFigureTitle"/>
      </w:pPr>
      <w:bookmarkStart w:id="16" w:name="_Toc449956364"/>
      <w:r>
        <w:lastRenderedPageBreak/>
        <w:t>F</w:t>
      </w:r>
      <w:r w:rsidRPr="00704EAD">
        <w:t xml:space="preserve">igure </w:t>
      </w:r>
      <w:r>
        <w:t>1.1:</w:t>
      </w:r>
      <w:r w:rsidRPr="00704EAD">
        <w:t xml:space="preserve"> Key </w:t>
      </w:r>
      <w:r w:rsidR="00BD356D">
        <w:t>Evaluation</w:t>
      </w:r>
      <w:r w:rsidR="00006A5E">
        <w:t xml:space="preserve"> Q</w:t>
      </w:r>
      <w:r w:rsidRPr="00704EAD">
        <w:t>uestions</w:t>
      </w:r>
      <w:bookmarkEnd w:id="16"/>
      <w:r w:rsidRPr="00704EAD">
        <w:t xml:space="preserve"> </w:t>
      </w:r>
    </w:p>
    <w:p w:rsidR="00A90BD4" w:rsidRPr="00A90BD4" w:rsidRDefault="00A90BD4" w:rsidP="009862D9">
      <w:pPr>
        <w:pBdr>
          <w:top w:val="single" w:sz="4" w:space="1" w:color="auto"/>
          <w:left w:val="single" w:sz="4" w:space="4" w:color="auto"/>
          <w:bottom w:val="single" w:sz="4" w:space="1" w:color="auto"/>
          <w:right w:val="single" w:sz="4" w:space="4" w:color="auto"/>
        </w:pBdr>
        <w:spacing w:before="100" w:beforeAutospacing="1" w:after="120"/>
        <w:jc w:val="both"/>
        <w:rPr>
          <w:rFonts w:ascii="Calibri" w:eastAsia="Calibri" w:hAnsi="Calibri" w:cs="Calibri"/>
          <w:b/>
        </w:rPr>
      </w:pPr>
      <w:r w:rsidRPr="00A90BD4">
        <w:rPr>
          <w:rFonts w:ascii="Calibri" w:eastAsia="Calibri" w:hAnsi="Calibri" w:cs="Calibri"/>
          <w:b/>
        </w:rPr>
        <w:t>Outcomes for people with disability, and their families and carers</w:t>
      </w:r>
    </w:p>
    <w:p w:rsidR="00A90BD4" w:rsidRPr="00A61328" w:rsidRDefault="00A90BD4" w:rsidP="00A61328">
      <w:pPr>
        <w:pBdr>
          <w:top w:val="single" w:sz="4" w:space="1" w:color="auto"/>
          <w:left w:val="single" w:sz="4" w:space="4" w:color="auto"/>
          <w:bottom w:val="single" w:sz="4" w:space="1" w:color="auto"/>
          <w:right w:val="single" w:sz="4" w:space="4" w:color="auto"/>
        </w:pBdr>
        <w:spacing w:after="120"/>
        <w:jc w:val="both"/>
        <w:rPr>
          <w:rFonts w:ascii="Calibri" w:eastAsia="Calibri" w:hAnsi="Calibri" w:cs="Calibri"/>
          <w:b/>
          <w:i/>
        </w:rPr>
      </w:pPr>
      <w:r w:rsidRPr="00A61328">
        <w:rPr>
          <w:rFonts w:ascii="Calibri" w:eastAsia="Calibri" w:hAnsi="Calibri" w:cs="Calibri"/>
          <w:b/>
          <w:i/>
        </w:rPr>
        <w:t>Impacts</w:t>
      </w:r>
    </w:p>
    <w:p w:rsidR="00A90BD4" w:rsidRPr="00704EAD" w:rsidRDefault="00A90BD4" w:rsidP="00AF5E38">
      <w:pPr>
        <w:numPr>
          <w:ilvl w:val="0"/>
          <w:numId w:val="20"/>
        </w:numPr>
        <w:pBdr>
          <w:top w:val="single" w:sz="4" w:space="1" w:color="auto"/>
          <w:left w:val="single" w:sz="4" w:space="4" w:color="auto"/>
          <w:bottom w:val="single" w:sz="4" w:space="1" w:color="auto"/>
          <w:right w:val="single" w:sz="4" w:space="4" w:color="auto"/>
        </w:pBdr>
        <w:spacing w:after="120"/>
        <w:ind w:left="357" w:hanging="357"/>
        <w:jc w:val="both"/>
        <w:rPr>
          <w:rFonts w:ascii="Calibri" w:eastAsia="Calibri" w:hAnsi="Calibri" w:cs="Calibri"/>
        </w:rPr>
      </w:pPr>
      <w:r w:rsidRPr="00704EAD">
        <w:rPr>
          <w:rFonts w:ascii="Calibri" w:eastAsia="Calibri" w:hAnsi="Calibri" w:cs="Calibri"/>
        </w:rPr>
        <w:t>To what extent has the NDIS contributed to changes in wellbeing and quality of life for people with disability, and their families and carers?</w:t>
      </w:r>
    </w:p>
    <w:p w:rsidR="00A90BD4" w:rsidRPr="00704EAD" w:rsidRDefault="00A90BD4" w:rsidP="00AF5E38">
      <w:pPr>
        <w:numPr>
          <w:ilvl w:val="0"/>
          <w:numId w:val="20"/>
        </w:numPr>
        <w:pBdr>
          <w:top w:val="single" w:sz="4" w:space="1" w:color="auto"/>
          <w:left w:val="single" w:sz="4" w:space="4" w:color="auto"/>
          <w:bottom w:val="single" w:sz="4" w:space="1" w:color="auto"/>
          <w:right w:val="single" w:sz="4" w:space="4" w:color="auto"/>
        </w:pBdr>
        <w:spacing w:before="100" w:beforeAutospacing="1" w:after="120"/>
        <w:jc w:val="both"/>
        <w:rPr>
          <w:rFonts w:ascii="Calibri" w:eastAsia="Calibri" w:hAnsi="Calibri" w:cs="Calibri"/>
        </w:rPr>
      </w:pPr>
      <w:r w:rsidRPr="00704EAD">
        <w:rPr>
          <w:rFonts w:ascii="Calibri" w:eastAsia="Calibri" w:hAnsi="Calibri" w:cs="Calibri"/>
        </w:rPr>
        <w:t xml:space="preserve">To what extent has the NDIS contributed to changes in social and economic participation (including employment, education and the ability to express wishes and have them respected) for people with disability, and their families and carers? </w:t>
      </w:r>
    </w:p>
    <w:p w:rsidR="00A90BD4" w:rsidRPr="00704EAD" w:rsidRDefault="00A90BD4" w:rsidP="00AF5E38">
      <w:pPr>
        <w:numPr>
          <w:ilvl w:val="0"/>
          <w:numId w:val="20"/>
        </w:numPr>
        <w:pBdr>
          <w:top w:val="single" w:sz="4" w:space="1" w:color="auto"/>
          <w:left w:val="single" w:sz="4" w:space="4" w:color="auto"/>
          <w:bottom w:val="single" w:sz="4" w:space="1" w:color="auto"/>
          <w:right w:val="single" w:sz="4" w:space="4" w:color="auto"/>
        </w:pBdr>
        <w:spacing w:before="100" w:beforeAutospacing="1" w:after="120"/>
        <w:jc w:val="both"/>
        <w:rPr>
          <w:rFonts w:ascii="Calibri" w:eastAsia="Calibri" w:hAnsi="Calibri" w:cs="Calibri"/>
        </w:rPr>
      </w:pPr>
      <w:r w:rsidRPr="00704EAD">
        <w:rPr>
          <w:rFonts w:ascii="Calibri" w:eastAsia="Calibri" w:hAnsi="Calibri" w:cs="Calibri"/>
        </w:rPr>
        <w:t xml:space="preserve">To what extent has the NDIS enabled people with disability to set and achieve their goals? </w:t>
      </w:r>
    </w:p>
    <w:p w:rsidR="00A90BD4" w:rsidRPr="00704EAD" w:rsidRDefault="00A90BD4" w:rsidP="00AF5E38">
      <w:pPr>
        <w:numPr>
          <w:ilvl w:val="0"/>
          <w:numId w:val="20"/>
        </w:numPr>
        <w:pBdr>
          <w:top w:val="single" w:sz="4" w:space="1" w:color="auto"/>
          <w:left w:val="single" w:sz="4" w:space="4" w:color="auto"/>
          <w:bottom w:val="single" w:sz="4" w:space="1" w:color="auto"/>
          <w:right w:val="single" w:sz="4" w:space="4" w:color="auto"/>
        </w:pBdr>
        <w:spacing w:before="100" w:beforeAutospacing="1" w:after="120"/>
        <w:jc w:val="both"/>
        <w:rPr>
          <w:rFonts w:ascii="Calibri" w:eastAsia="Calibri" w:hAnsi="Calibri" w:cs="Calibri"/>
        </w:rPr>
      </w:pPr>
      <w:r w:rsidRPr="00704EAD">
        <w:rPr>
          <w:rFonts w:ascii="Calibri" w:eastAsia="Calibri" w:hAnsi="Calibri" w:cs="Calibri"/>
        </w:rPr>
        <w:t xml:space="preserve">For whom has the NDIS worked well or less well? </w:t>
      </w:r>
    </w:p>
    <w:p w:rsidR="00A90BD4" w:rsidRPr="00704EAD" w:rsidRDefault="00A90BD4" w:rsidP="00AF5E38">
      <w:pPr>
        <w:numPr>
          <w:ilvl w:val="0"/>
          <w:numId w:val="20"/>
        </w:numPr>
        <w:pBdr>
          <w:top w:val="single" w:sz="4" w:space="1" w:color="auto"/>
          <w:left w:val="single" w:sz="4" w:space="4" w:color="auto"/>
          <w:bottom w:val="single" w:sz="4" w:space="1" w:color="auto"/>
          <w:right w:val="single" w:sz="4" w:space="4" w:color="auto"/>
        </w:pBdr>
        <w:spacing w:before="100" w:beforeAutospacing="1" w:after="120"/>
        <w:jc w:val="both"/>
        <w:rPr>
          <w:rFonts w:ascii="Calibri" w:eastAsia="Calibri" w:hAnsi="Calibri" w:cs="Calibri"/>
        </w:rPr>
      </w:pPr>
      <w:r w:rsidRPr="00704EAD">
        <w:rPr>
          <w:rFonts w:ascii="Calibri" w:eastAsia="Calibri" w:hAnsi="Calibri" w:cs="Calibri"/>
        </w:rPr>
        <w:t>Have there been any significant differences in the experiences of people with disability, and their families and carers, in the different launch sites?</w:t>
      </w:r>
    </w:p>
    <w:p w:rsidR="00A90BD4" w:rsidRDefault="00A90BD4" w:rsidP="00AF5E38">
      <w:pPr>
        <w:numPr>
          <w:ilvl w:val="0"/>
          <w:numId w:val="20"/>
        </w:numPr>
        <w:pBdr>
          <w:top w:val="single" w:sz="4" w:space="1" w:color="auto"/>
          <w:left w:val="single" w:sz="4" w:space="4" w:color="auto"/>
          <w:bottom w:val="single" w:sz="4" w:space="1" w:color="auto"/>
          <w:right w:val="single" w:sz="4" w:space="4" w:color="auto"/>
        </w:pBdr>
        <w:spacing w:before="100" w:beforeAutospacing="1" w:after="100" w:afterAutospacing="1"/>
        <w:contextualSpacing/>
        <w:jc w:val="both"/>
        <w:rPr>
          <w:rFonts w:ascii="Calibri" w:eastAsia="Calibri" w:hAnsi="Calibri" w:cs="Calibri"/>
        </w:rPr>
      </w:pPr>
      <w:r w:rsidRPr="00704EAD">
        <w:rPr>
          <w:rFonts w:ascii="Calibri" w:eastAsia="Calibri" w:hAnsi="Calibri" w:cs="Calibri"/>
        </w:rPr>
        <w:t>Have there been any other changes, including unintended changes (anticipated and unanticipated, positive and negative), in the experiences of people with disability, and their families and carers as a result of the scheme?</w:t>
      </w:r>
    </w:p>
    <w:p w:rsidR="00A90BD4" w:rsidRPr="00704EAD" w:rsidRDefault="00A90BD4" w:rsidP="00A61328">
      <w:pPr>
        <w:pBdr>
          <w:top w:val="single" w:sz="4" w:space="1" w:color="auto"/>
          <w:left w:val="single" w:sz="4" w:space="4" w:color="auto"/>
          <w:bottom w:val="single" w:sz="4" w:space="1" w:color="auto"/>
          <w:right w:val="single" w:sz="4" w:space="4" w:color="auto"/>
        </w:pBdr>
        <w:spacing w:before="100" w:beforeAutospacing="1" w:after="100" w:afterAutospacing="1"/>
        <w:contextualSpacing/>
        <w:jc w:val="both"/>
        <w:rPr>
          <w:rFonts w:ascii="Calibri" w:eastAsia="Calibri" w:hAnsi="Calibri" w:cs="Calibri"/>
        </w:rPr>
      </w:pPr>
    </w:p>
    <w:p w:rsidR="00A90BD4" w:rsidRPr="00A61328" w:rsidRDefault="00A90BD4" w:rsidP="00A61328">
      <w:pPr>
        <w:pBdr>
          <w:top w:val="single" w:sz="4" w:space="1" w:color="auto"/>
          <w:left w:val="single" w:sz="4" w:space="4" w:color="auto"/>
          <w:bottom w:val="single" w:sz="4" w:space="1" w:color="auto"/>
          <w:right w:val="single" w:sz="4" w:space="4" w:color="auto"/>
        </w:pBdr>
        <w:spacing w:before="100" w:beforeAutospacing="1" w:after="120"/>
        <w:jc w:val="both"/>
        <w:rPr>
          <w:rFonts w:ascii="Calibri" w:eastAsia="Calibri" w:hAnsi="Calibri" w:cs="Calibri"/>
          <w:b/>
          <w:i/>
        </w:rPr>
      </w:pPr>
      <w:r w:rsidRPr="00A61328">
        <w:rPr>
          <w:rFonts w:ascii="Calibri" w:eastAsia="Calibri" w:hAnsi="Calibri" w:cs="Calibri"/>
          <w:b/>
          <w:i/>
        </w:rPr>
        <w:t>Process</w:t>
      </w:r>
    </w:p>
    <w:p w:rsidR="00A90BD4" w:rsidRPr="00704EAD" w:rsidRDefault="00A90BD4" w:rsidP="00AF5E38">
      <w:pPr>
        <w:numPr>
          <w:ilvl w:val="0"/>
          <w:numId w:val="20"/>
        </w:numPr>
        <w:pBdr>
          <w:top w:val="single" w:sz="4" w:space="1" w:color="auto"/>
          <w:left w:val="single" w:sz="4" w:space="4" w:color="auto"/>
          <w:bottom w:val="single" w:sz="4" w:space="1" w:color="auto"/>
          <w:right w:val="single" w:sz="4" w:space="4" w:color="auto"/>
        </w:pBdr>
        <w:spacing w:after="120"/>
        <w:ind w:left="357" w:hanging="357"/>
        <w:jc w:val="both"/>
        <w:rPr>
          <w:rFonts w:ascii="Calibri" w:eastAsia="Calibri" w:hAnsi="Calibri" w:cs="Calibri"/>
        </w:rPr>
      </w:pPr>
      <w:r w:rsidRPr="00704EAD">
        <w:rPr>
          <w:rFonts w:ascii="Calibri" w:eastAsia="Calibri" w:hAnsi="Calibri" w:cs="Calibri"/>
        </w:rPr>
        <w:t>To what extent has the NDIS enabled people with disability to have increased choice and control over their supports?</w:t>
      </w:r>
    </w:p>
    <w:p w:rsidR="00A90BD4" w:rsidRPr="00704EAD" w:rsidRDefault="00A90BD4" w:rsidP="00AF5E38">
      <w:pPr>
        <w:numPr>
          <w:ilvl w:val="0"/>
          <w:numId w:val="20"/>
        </w:numPr>
        <w:pBdr>
          <w:top w:val="single" w:sz="4" w:space="1" w:color="auto"/>
          <w:left w:val="single" w:sz="4" w:space="4" w:color="auto"/>
          <w:bottom w:val="single" w:sz="4" w:space="1" w:color="auto"/>
          <w:right w:val="single" w:sz="4" w:space="4" w:color="auto"/>
        </w:pBdr>
        <w:spacing w:before="100" w:beforeAutospacing="1" w:after="120"/>
        <w:jc w:val="both"/>
        <w:rPr>
          <w:rFonts w:ascii="Calibri" w:eastAsia="Calibri" w:hAnsi="Calibri" w:cs="Calibri"/>
        </w:rPr>
      </w:pPr>
      <w:r w:rsidRPr="00704EAD">
        <w:rPr>
          <w:rFonts w:ascii="Calibri" w:eastAsia="Calibri" w:hAnsi="Calibri" w:cs="Calibri"/>
        </w:rPr>
        <w:t xml:space="preserve">What sort of assistance do people with disability (or their families and carers, if they are managing the care) require to gain more control and navigate the system? </w:t>
      </w:r>
    </w:p>
    <w:p w:rsidR="00A90BD4" w:rsidRPr="00704EAD" w:rsidRDefault="00A90BD4" w:rsidP="00AF5E38">
      <w:pPr>
        <w:numPr>
          <w:ilvl w:val="0"/>
          <w:numId w:val="20"/>
        </w:numPr>
        <w:pBdr>
          <w:top w:val="single" w:sz="4" w:space="1" w:color="auto"/>
          <w:left w:val="single" w:sz="4" w:space="4" w:color="auto"/>
          <w:bottom w:val="single" w:sz="4" w:space="1" w:color="auto"/>
          <w:right w:val="single" w:sz="4" w:space="4" w:color="auto"/>
        </w:pBdr>
        <w:spacing w:before="100" w:beforeAutospacing="1" w:after="120"/>
        <w:jc w:val="both"/>
        <w:rPr>
          <w:rFonts w:ascii="Calibri" w:eastAsia="Calibri" w:hAnsi="Calibri" w:cs="Calibri"/>
        </w:rPr>
      </w:pPr>
      <w:r w:rsidRPr="00704EAD">
        <w:rPr>
          <w:rFonts w:ascii="Calibri" w:eastAsia="Calibri" w:hAnsi="Calibri" w:cs="Calibri"/>
        </w:rPr>
        <w:t xml:space="preserve">To what extent has there been an appropriate balance between choice and control and safeguards for vulnerable people? </w:t>
      </w:r>
    </w:p>
    <w:p w:rsidR="00A90BD4" w:rsidRPr="00704EAD" w:rsidRDefault="00A90BD4" w:rsidP="00AF5E38">
      <w:pPr>
        <w:numPr>
          <w:ilvl w:val="0"/>
          <w:numId w:val="20"/>
        </w:numPr>
        <w:pBdr>
          <w:top w:val="single" w:sz="4" w:space="1" w:color="auto"/>
          <w:left w:val="single" w:sz="4" w:space="4" w:color="auto"/>
          <w:bottom w:val="single" w:sz="4" w:space="1" w:color="auto"/>
          <w:right w:val="single" w:sz="4" w:space="4" w:color="auto"/>
        </w:pBdr>
        <w:spacing w:before="100" w:beforeAutospacing="1" w:after="120"/>
        <w:jc w:val="both"/>
        <w:rPr>
          <w:rFonts w:ascii="Calibri" w:eastAsia="Calibri" w:hAnsi="Calibri" w:cs="Calibri"/>
        </w:rPr>
      </w:pPr>
      <w:r w:rsidRPr="00704EAD">
        <w:rPr>
          <w:rFonts w:ascii="Calibri" w:eastAsia="Calibri" w:hAnsi="Calibri" w:cs="Calibri"/>
        </w:rPr>
        <w:t>To what extent has the NDIS enabled people with disability to gain confidence that their ‘reasonable and necessary’ needs will be addressed?</w:t>
      </w:r>
    </w:p>
    <w:p w:rsidR="00A90BD4" w:rsidRPr="00704EAD" w:rsidRDefault="00A90BD4" w:rsidP="00AF5E38">
      <w:pPr>
        <w:numPr>
          <w:ilvl w:val="0"/>
          <w:numId w:val="20"/>
        </w:numPr>
        <w:pBdr>
          <w:top w:val="single" w:sz="4" w:space="1" w:color="auto"/>
          <w:left w:val="single" w:sz="4" w:space="4" w:color="auto"/>
          <w:bottom w:val="single" w:sz="4" w:space="1" w:color="auto"/>
          <w:right w:val="single" w:sz="4" w:space="4" w:color="auto"/>
        </w:pBdr>
        <w:spacing w:before="100" w:beforeAutospacing="1" w:after="120"/>
        <w:jc w:val="both"/>
        <w:rPr>
          <w:rFonts w:ascii="Calibri" w:eastAsia="Calibri" w:hAnsi="Calibri" w:cs="Calibri"/>
        </w:rPr>
      </w:pPr>
      <w:r w:rsidRPr="00704EAD">
        <w:rPr>
          <w:rFonts w:ascii="Calibri" w:eastAsia="Calibri" w:hAnsi="Calibri" w:cs="Calibri"/>
        </w:rPr>
        <w:t>To what extent have people with disability, and their families and carers seen the NDIS review and dispute resolution processes as effective and fair?</w:t>
      </w:r>
    </w:p>
    <w:p w:rsidR="00A90BD4" w:rsidRPr="00704EAD" w:rsidRDefault="00A90BD4" w:rsidP="00AF5E38">
      <w:pPr>
        <w:numPr>
          <w:ilvl w:val="0"/>
          <w:numId w:val="20"/>
        </w:num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Calibri" w:eastAsia="Calibri" w:hAnsi="Calibri" w:cs="Calibri"/>
        </w:rPr>
      </w:pPr>
      <w:r w:rsidRPr="00704EAD">
        <w:rPr>
          <w:rFonts w:ascii="Calibri" w:eastAsia="Calibri" w:hAnsi="Calibri" w:cs="Calibri"/>
        </w:rPr>
        <w:t>How effective are Local Area Coordinators and other supports (e.g. website) in helping people with disability to gain control and access to necessary community and mainstream supports?</w:t>
      </w:r>
    </w:p>
    <w:p w:rsidR="00A90BD4" w:rsidRPr="00A61328" w:rsidRDefault="00A90BD4" w:rsidP="00A61328">
      <w:pPr>
        <w:pBdr>
          <w:top w:val="single" w:sz="4" w:space="1" w:color="auto"/>
          <w:left w:val="single" w:sz="4" w:space="4" w:color="auto"/>
          <w:bottom w:val="single" w:sz="4" w:space="1" w:color="auto"/>
          <w:right w:val="single" w:sz="4" w:space="4" w:color="auto"/>
        </w:pBdr>
        <w:spacing w:before="100" w:beforeAutospacing="1" w:after="120"/>
        <w:jc w:val="both"/>
        <w:rPr>
          <w:rFonts w:ascii="Calibri" w:eastAsia="Calibri" w:hAnsi="Calibri" w:cs="Calibri"/>
          <w:b/>
          <w:i/>
        </w:rPr>
      </w:pPr>
      <w:r w:rsidRPr="00A61328">
        <w:rPr>
          <w:rFonts w:ascii="Calibri" w:eastAsia="Calibri" w:hAnsi="Calibri" w:cs="Calibri"/>
          <w:b/>
          <w:i/>
        </w:rPr>
        <w:t>Realisation</w:t>
      </w:r>
    </w:p>
    <w:p w:rsidR="00A90BD4" w:rsidRPr="00704EAD" w:rsidRDefault="00A90BD4" w:rsidP="00AF5E38">
      <w:pPr>
        <w:numPr>
          <w:ilvl w:val="0"/>
          <w:numId w:val="20"/>
        </w:numPr>
        <w:pBdr>
          <w:top w:val="single" w:sz="4" w:space="1" w:color="auto"/>
          <w:left w:val="single" w:sz="4" w:space="4" w:color="auto"/>
          <w:bottom w:val="single" w:sz="4" w:space="1" w:color="auto"/>
          <w:right w:val="single" w:sz="4" w:space="4" w:color="auto"/>
        </w:pBdr>
        <w:spacing w:after="120"/>
        <w:ind w:left="357" w:hanging="357"/>
        <w:jc w:val="both"/>
        <w:rPr>
          <w:rFonts w:ascii="Calibri" w:eastAsia="Calibri" w:hAnsi="Calibri" w:cs="Calibri"/>
        </w:rPr>
      </w:pPr>
      <w:r w:rsidRPr="00704EAD">
        <w:rPr>
          <w:rFonts w:ascii="Calibri" w:eastAsia="Calibri" w:hAnsi="Calibri" w:cs="Calibri"/>
        </w:rPr>
        <w:t>To what extent have people with disability been able to manage their funding on their own, customise creative sets of options for themselves, or find suitable brokers, depending on their preferences?</w:t>
      </w:r>
    </w:p>
    <w:p w:rsidR="00A90BD4" w:rsidRPr="00704EAD" w:rsidRDefault="00A90BD4" w:rsidP="00AF5E38">
      <w:pPr>
        <w:numPr>
          <w:ilvl w:val="0"/>
          <w:numId w:val="20"/>
        </w:numPr>
        <w:pBdr>
          <w:top w:val="single" w:sz="4" w:space="1" w:color="auto"/>
          <w:left w:val="single" w:sz="4" w:space="4" w:color="auto"/>
          <w:bottom w:val="single" w:sz="4" w:space="1" w:color="auto"/>
          <w:right w:val="single" w:sz="4" w:space="4" w:color="auto"/>
        </w:pBdr>
        <w:spacing w:before="100" w:beforeAutospacing="1" w:after="120"/>
        <w:jc w:val="both"/>
        <w:rPr>
          <w:rFonts w:ascii="Calibri" w:eastAsia="Calibri" w:hAnsi="Calibri" w:cs="Calibri"/>
        </w:rPr>
      </w:pPr>
      <w:r w:rsidRPr="00704EAD">
        <w:rPr>
          <w:rFonts w:ascii="Calibri" w:eastAsia="Calibri" w:hAnsi="Calibri" w:cs="Calibri"/>
        </w:rPr>
        <w:t xml:space="preserve">For people with disability who previously received supports, to what extent has the NDIS contributed to changes in their patterns and use of supports? </w:t>
      </w:r>
    </w:p>
    <w:p w:rsidR="00A90BD4" w:rsidRPr="00704EAD" w:rsidRDefault="00A90BD4" w:rsidP="00AF5E38">
      <w:pPr>
        <w:numPr>
          <w:ilvl w:val="0"/>
          <w:numId w:val="20"/>
        </w:numPr>
        <w:pBdr>
          <w:top w:val="single" w:sz="4" w:space="1" w:color="auto"/>
          <w:left w:val="single" w:sz="4" w:space="4" w:color="auto"/>
          <w:bottom w:val="single" w:sz="4" w:space="1" w:color="auto"/>
          <w:right w:val="single" w:sz="4" w:space="4" w:color="auto"/>
        </w:pBdr>
        <w:spacing w:before="100" w:beforeAutospacing="1" w:after="120"/>
        <w:jc w:val="both"/>
        <w:rPr>
          <w:rFonts w:ascii="Calibri" w:eastAsia="Calibri" w:hAnsi="Calibri" w:cs="Calibri"/>
        </w:rPr>
      </w:pPr>
      <w:r w:rsidRPr="00704EAD">
        <w:rPr>
          <w:rFonts w:ascii="Calibri" w:eastAsia="Calibri" w:hAnsi="Calibri" w:cs="Calibri"/>
        </w:rPr>
        <w:t xml:space="preserve">To what extent has the NDIS contributed to equity and fairness? </w:t>
      </w:r>
    </w:p>
    <w:p w:rsidR="00A90BD4" w:rsidRPr="00704EAD" w:rsidRDefault="00A90BD4" w:rsidP="007842BD">
      <w:pPr>
        <w:numPr>
          <w:ilvl w:val="0"/>
          <w:numId w:val="20"/>
        </w:numPr>
        <w:pBdr>
          <w:top w:val="single" w:sz="4" w:space="1" w:color="auto"/>
          <w:left w:val="single" w:sz="4" w:space="4" w:color="auto"/>
          <w:bottom w:val="single" w:sz="4" w:space="1" w:color="auto"/>
          <w:right w:val="single" w:sz="4" w:space="4" w:color="auto"/>
        </w:pBdr>
        <w:spacing w:before="100" w:beforeAutospacing="1" w:after="120"/>
        <w:jc w:val="both"/>
        <w:rPr>
          <w:rFonts w:ascii="Calibri" w:eastAsia="Calibri" w:hAnsi="Calibri" w:cs="Calibri"/>
        </w:rPr>
      </w:pPr>
      <w:r w:rsidRPr="00704EAD">
        <w:rPr>
          <w:rFonts w:ascii="Calibri" w:eastAsia="Calibri" w:hAnsi="Calibri" w:cs="Calibri"/>
        </w:rPr>
        <w:t>To what extent has the NDIS helped people with disability, and their families and carers during major life transitions such as starting preschool or school, leaving school, starting tertiary education, starting work, leaving home, leaving state care, leaving the workforce, and entering the aged care system?</w:t>
      </w:r>
    </w:p>
    <w:p w:rsidR="00A90BD4" w:rsidRDefault="00A90BD4" w:rsidP="00AF5E38">
      <w:pPr>
        <w:numPr>
          <w:ilvl w:val="0"/>
          <w:numId w:val="20"/>
        </w:numPr>
        <w:pBdr>
          <w:top w:val="single" w:sz="4" w:space="1" w:color="auto"/>
          <w:left w:val="single" w:sz="4" w:space="4" w:color="auto"/>
          <w:bottom w:val="single" w:sz="4" w:space="1" w:color="auto"/>
          <w:right w:val="single" w:sz="4" w:space="4" w:color="auto"/>
        </w:pBdr>
        <w:spacing w:before="100" w:beforeAutospacing="1" w:after="120"/>
        <w:jc w:val="both"/>
        <w:rPr>
          <w:rFonts w:ascii="Calibri" w:eastAsia="Calibri" w:hAnsi="Calibri" w:cs="Calibri"/>
        </w:rPr>
      </w:pPr>
      <w:r w:rsidRPr="00704EAD">
        <w:rPr>
          <w:rFonts w:ascii="Calibri" w:eastAsia="Calibri" w:hAnsi="Calibri" w:cs="Calibri"/>
        </w:rPr>
        <w:lastRenderedPageBreak/>
        <w:t>How effective has the NDIS been in using early interventions to minimise the impact of a disability on functional capacity over time?</w:t>
      </w:r>
    </w:p>
    <w:p w:rsidR="00A90BD4" w:rsidRPr="00A61328" w:rsidRDefault="00A90BD4" w:rsidP="00A61328">
      <w:pPr>
        <w:pBdr>
          <w:top w:val="single" w:sz="4" w:space="1" w:color="auto"/>
          <w:left w:val="single" w:sz="4" w:space="4" w:color="auto"/>
          <w:bottom w:val="single" w:sz="4" w:space="1" w:color="auto"/>
          <w:right w:val="single" w:sz="4" w:space="4" w:color="auto"/>
        </w:pBdr>
        <w:spacing w:before="100" w:beforeAutospacing="1" w:after="120"/>
        <w:jc w:val="both"/>
        <w:rPr>
          <w:rFonts w:ascii="Calibri" w:eastAsia="Calibri" w:hAnsi="Calibri" w:cs="Calibri"/>
          <w:b/>
        </w:rPr>
      </w:pPr>
      <w:r w:rsidRPr="00A61328">
        <w:rPr>
          <w:rFonts w:ascii="Calibri" w:eastAsia="Calibri" w:hAnsi="Calibri" w:cs="Calibri"/>
          <w:b/>
        </w:rPr>
        <w:t>Outcomes for the disability sector</w:t>
      </w:r>
    </w:p>
    <w:p w:rsidR="00A90BD4" w:rsidRDefault="00A90BD4" w:rsidP="00AF5E38">
      <w:pPr>
        <w:numPr>
          <w:ilvl w:val="0"/>
          <w:numId w:val="20"/>
        </w:numPr>
        <w:pBdr>
          <w:top w:val="single" w:sz="4" w:space="1" w:color="auto"/>
          <w:left w:val="single" w:sz="4" w:space="4" w:color="auto"/>
          <w:bottom w:val="single" w:sz="4" w:space="1" w:color="auto"/>
          <w:right w:val="single" w:sz="4" w:space="4" w:color="auto"/>
        </w:pBdr>
        <w:spacing w:after="120"/>
        <w:ind w:left="357" w:hanging="357"/>
        <w:jc w:val="both"/>
        <w:rPr>
          <w:rFonts w:ascii="Calibri" w:eastAsia="Calibri" w:hAnsi="Calibri" w:cs="Calibri"/>
        </w:rPr>
      </w:pPr>
      <w:r>
        <w:rPr>
          <w:rFonts w:ascii="Calibri" w:eastAsia="Calibri" w:hAnsi="Calibri" w:cs="Calibri"/>
        </w:rPr>
        <w:t xml:space="preserve">What has been </w:t>
      </w:r>
      <w:r w:rsidRPr="00704EAD">
        <w:rPr>
          <w:rFonts w:ascii="Calibri" w:eastAsia="Calibri" w:hAnsi="Calibri" w:cs="Calibri"/>
        </w:rPr>
        <w:t>the impact of the NDIS on the overall provision and quality of disability supports?</w:t>
      </w:r>
    </w:p>
    <w:p w:rsidR="00A90BD4" w:rsidRDefault="00A90BD4" w:rsidP="00AF5E38">
      <w:pPr>
        <w:numPr>
          <w:ilvl w:val="0"/>
          <w:numId w:val="20"/>
        </w:numPr>
        <w:pBdr>
          <w:top w:val="single" w:sz="4" w:space="1" w:color="auto"/>
          <w:left w:val="single" w:sz="4" w:space="4" w:color="auto"/>
          <w:bottom w:val="single" w:sz="4" w:space="1" w:color="auto"/>
          <w:right w:val="single" w:sz="4" w:space="4" w:color="auto"/>
        </w:pBdr>
        <w:spacing w:before="100" w:beforeAutospacing="1" w:after="120"/>
        <w:jc w:val="both"/>
        <w:rPr>
          <w:rFonts w:ascii="Calibri" w:eastAsia="Calibri" w:hAnsi="Calibri" w:cs="Calibri"/>
        </w:rPr>
      </w:pPr>
      <w:r>
        <w:rPr>
          <w:rFonts w:ascii="Calibri" w:eastAsia="Calibri" w:hAnsi="Calibri" w:cs="Calibri"/>
        </w:rPr>
        <w:t xml:space="preserve">What </w:t>
      </w:r>
      <w:r w:rsidRPr="00704EAD">
        <w:rPr>
          <w:rFonts w:ascii="Calibri" w:eastAsia="Calibri" w:hAnsi="Calibri" w:cs="Calibri"/>
        </w:rPr>
        <w:t>has been the impact of the NDIS on the disability sector, including the relevant government agency in each jurisdiction and advocacy organisations</w:t>
      </w:r>
      <w:r>
        <w:rPr>
          <w:rFonts w:ascii="Calibri" w:eastAsia="Calibri" w:hAnsi="Calibri" w:cs="Calibri"/>
        </w:rPr>
        <w:t>?</w:t>
      </w:r>
    </w:p>
    <w:p w:rsidR="00A90BD4" w:rsidRDefault="00A90BD4" w:rsidP="00AF5E38">
      <w:pPr>
        <w:numPr>
          <w:ilvl w:val="0"/>
          <w:numId w:val="20"/>
        </w:numPr>
        <w:pBdr>
          <w:top w:val="single" w:sz="4" w:space="1" w:color="auto"/>
          <w:left w:val="single" w:sz="4" w:space="4" w:color="auto"/>
          <w:bottom w:val="single" w:sz="4" w:space="1" w:color="auto"/>
          <w:right w:val="single" w:sz="4" w:space="4" w:color="auto"/>
        </w:pBdr>
        <w:spacing w:before="100" w:beforeAutospacing="1" w:after="120"/>
        <w:jc w:val="both"/>
        <w:rPr>
          <w:rFonts w:ascii="Calibri" w:eastAsia="Calibri" w:hAnsi="Calibri" w:cs="Calibri"/>
        </w:rPr>
      </w:pPr>
      <w:r w:rsidRPr="00704EAD">
        <w:rPr>
          <w:rFonts w:ascii="Calibri" w:eastAsia="Calibri" w:hAnsi="Calibri" w:cs="Calibri"/>
        </w:rPr>
        <w:t>To what extent has the supply of disability supports responded to demand?</w:t>
      </w:r>
    </w:p>
    <w:p w:rsidR="00A90BD4" w:rsidRPr="00E3259F" w:rsidRDefault="00A90BD4" w:rsidP="00AF5E38">
      <w:pPr>
        <w:numPr>
          <w:ilvl w:val="0"/>
          <w:numId w:val="20"/>
        </w:numPr>
        <w:pBdr>
          <w:top w:val="single" w:sz="4" w:space="1" w:color="auto"/>
          <w:left w:val="single" w:sz="4" w:space="4" w:color="auto"/>
          <w:bottom w:val="single" w:sz="4" w:space="1" w:color="auto"/>
          <w:right w:val="single" w:sz="4" w:space="4" w:color="auto"/>
        </w:pBdr>
        <w:spacing w:before="100" w:beforeAutospacing="1" w:after="120"/>
        <w:jc w:val="both"/>
        <w:rPr>
          <w:rFonts w:ascii="Calibri" w:eastAsia="Calibri" w:hAnsi="Calibri" w:cs="Calibri"/>
        </w:rPr>
      </w:pPr>
      <w:r w:rsidRPr="00704EAD">
        <w:rPr>
          <w:rFonts w:ascii="Calibri" w:eastAsia="Calibri" w:hAnsi="Calibri" w:cs="Calibri"/>
        </w:rPr>
        <w:t>To what extent has the NDIS contributed to an increase in the provision of early interventions from disability services</w:t>
      </w:r>
      <w:r>
        <w:rPr>
          <w:rFonts w:ascii="Calibri" w:eastAsia="Calibri" w:hAnsi="Calibri" w:cs="Calibri"/>
        </w:rPr>
        <w:t>?</w:t>
      </w:r>
    </w:p>
    <w:p w:rsidR="00A90BD4" w:rsidRDefault="00A90BD4" w:rsidP="001B28D3">
      <w:pPr>
        <w:pStyle w:val="Default"/>
        <w:rPr>
          <w:color w:val="auto"/>
          <w:sz w:val="22"/>
          <w:szCs w:val="22"/>
        </w:rPr>
      </w:pPr>
    </w:p>
    <w:p w:rsidR="00A90BD4" w:rsidRDefault="00A90BD4" w:rsidP="001B28D3">
      <w:pPr>
        <w:pStyle w:val="Default"/>
        <w:rPr>
          <w:color w:val="auto"/>
          <w:sz w:val="22"/>
          <w:szCs w:val="22"/>
        </w:rPr>
      </w:pPr>
      <w:r>
        <w:rPr>
          <w:color w:val="auto"/>
          <w:sz w:val="22"/>
          <w:szCs w:val="22"/>
        </w:rPr>
        <w:t>The remainder of the Initial Report is structured as follows. Chapter 2</w:t>
      </w:r>
      <w:r w:rsidR="0075351A">
        <w:rPr>
          <w:color w:val="auto"/>
          <w:sz w:val="22"/>
          <w:szCs w:val="22"/>
        </w:rPr>
        <w:t>,</w:t>
      </w:r>
      <w:r w:rsidR="0075351A" w:rsidRPr="00B23EE0">
        <w:rPr>
          <w:color w:val="auto"/>
          <w:sz w:val="22"/>
          <w:szCs w:val="22"/>
        </w:rPr>
        <w:t xml:space="preserve"> </w:t>
      </w:r>
      <w:r w:rsidR="00B23EE0" w:rsidRPr="00B23EE0">
        <w:rPr>
          <w:color w:val="auto"/>
          <w:sz w:val="22"/>
          <w:szCs w:val="22"/>
        </w:rPr>
        <w:t>summarises the findings from the four elements of qualitative research conducted with (a) people with disability, and their families and carers, (b) disability service providers, (c) disability workforce stakeholder organisations, and (d) NDIA employees.</w:t>
      </w:r>
      <w:r>
        <w:rPr>
          <w:color w:val="auto"/>
          <w:sz w:val="22"/>
          <w:szCs w:val="22"/>
        </w:rPr>
        <w:t xml:space="preserve"> </w:t>
      </w:r>
    </w:p>
    <w:p w:rsidR="00A90BD4" w:rsidRDefault="00A90BD4" w:rsidP="001B28D3">
      <w:pPr>
        <w:pStyle w:val="Default"/>
        <w:rPr>
          <w:color w:val="auto"/>
          <w:sz w:val="22"/>
          <w:szCs w:val="22"/>
        </w:rPr>
      </w:pPr>
    </w:p>
    <w:p w:rsidR="00B23EE0" w:rsidRDefault="00A90BD4" w:rsidP="00EA4425">
      <w:pPr>
        <w:pStyle w:val="Default"/>
        <w:spacing w:after="240"/>
        <w:rPr>
          <w:color w:val="auto"/>
          <w:sz w:val="22"/>
          <w:szCs w:val="22"/>
        </w:rPr>
      </w:pPr>
      <w:r>
        <w:rPr>
          <w:color w:val="auto"/>
          <w:sz w:val="22"/>
          <w:szCs w:val="22"/>
        </w:rPr>
        <w:t>Chapter 3</w:t>
      </w:r>
      <w:r w:rsidR="00B23EE0" w:rsidRPr="00B23EE0">
        <w:t xml:space="preserve"> </w:t>
      </w:r>
      <w:r w:rsidR="00B23EE0" w:rsidRPr="00B23EE0">
        <w:rPr>
          <w:color w:val="auto"/>
          <w:sz w:val="22"/>
          <w:szCs w:val="22"/>
        </w:rPr>
        <w:t>reports the early findings from the analysis of the NDIS Survey of people with disability and the NDIS Survey for Families and Carers. Both surveys continue to remain in the field so that the analysis was based on a partial subset of data received by 15 July 2015. A report using the final first wave data is expected to be included in the Intermediate Report.</w:t>
      </w:r>
    </w:p>
    <w:p w:rsidR="00A90BD4" w:rsidRDefault="00A90BD4" w:rsidP="001B28D3">
      <w:pPr>
        <w:pStyle w:val="Default"/>
        <w:rPr>
          <w:color w:val="auto"/>
          <w:sz w:val="22"/>
          <w:szCs w:val="22"/>
        </w:rPr>
      </w:pPr>
      <w:r>
        <w:rPr>
          <w:color w:val="auto"/>
          <w:sz w:val="22"/>
          <w:szCs w:val="22"/>
        </w:rPr>
        <w:t xml:space="preserve">Chapter 4 </w:t>
      </w:r>
      <w:r w:rsidR="00B23EE0">
        <w:rPr>
          <w:color w:val="auto"/>
          <w:sz w:val="22"/>
          <w:szCs w:val="22"/>
        </w:rPr>
        <w:t>presents the findings from the analysis of the completed first wave of the survey of the specialist providers and their workforces</w:t>
      </w:r>
      <w:r w:rsidR="008A6833">
        <w:rPr>
          <w:color w:val="auto"/>
          <w:sz w:val="22"/>
          <w:szCs w:val="22"/>
        </w:rPr>
        <w:t>.</w:t>
      </w:r>
    </w:p>
    <w:p w:rsidR="00A90BD4" w:rsidRDefault="00A90BD4" w:rsidP="001B28D3">
      <w:pPr>
        <w:pStyle w:val="Default"/>
        <w:rPr>
          <w:color w:val="auto"/>
          <w:sz w:val="22"/>
          <w:szCs w:val="22"/>
        </w:rPr>
      </w:pPr>
    </w:p>
    <w:p w:rsidR="00A90BD4" w:rsidRDefault="00A90BD4" w:rsidP="001B28D3">
      <w:pPr>
        <w:pStyle w:val="Default"/>
        <w:rPr>
          <w:color w:val="auto"/>
          <w:sz w:val="22"/>
          <w:szCs w:val="22"/>
        </w:rPr>
      </w:pPr>
      <w:r>
        <w:rPr>
          <w:color w:val="auto"/>
          <w:sz w:val="22"/>
          <w:szCs w:val="22"/>
        </w:rPr>
        <w:t>All three chapters follow a similar format, reporting first on approaches to sampling and data collection, response rates and the characteristics of respondents. This is followed by the presentation of initial findings, their discussion and summary.</w:t>
      </w:r>
    </w:p>
    <w:p w:rsidR="00A90BD4" w:rsidRDefault="00A90BD4">
      <w:pPr>
        <w:rPr>
          <w:rFonts w:eastAsia="Times" w:cstheme="minorHAnsi"/>
          <w:b/>
          <w:kern w:val="32"/>
          <w:sz w:val="28"/>
          <w:szCs w:val="24"/>
          <w:lang w:val="en-AU" w:eastAsia="zh-CN"/>
        </w:rPr>
      </w:pPr>
      <w:r>
        <w:br w:type="page"/>
      </w:r>
    </w:p>
    <w:p w:rsidR="00D907AF" w:rsidRDefault="00D907AF" w:rsidP="00367B24">
      <w:pPr>
        <w:pStyle w:val="Heading1"/>
      </w:pPr>
      <w:bookmarkStart w:id="17" w:name="_Toc449954940"/>
      <w:r>
        <w:lastRenderedPageBreak/>
        <w:t>2. Qualitative Impact Evaluation</w:t>
      </w:r>
      <w:bookmarkEnd w:id="11"/>
      <w:bookmarkEnd w:id="17"/>
    </w:p>
    <w:p w:rsidR="00D907AF" w:rsidRDefault="00D907AF" w:rsidP="00E87146">
      <w:pPr>
        <w:pStyle w:val="Heading2"/>
      </w:pPr>
      <w:bookmarkStart w:id="18" w:name="_Toc428271201"/>
      <w:bookmarkStart w:id="19" w:name="_Toc449954941"/>
      <w:r>
        <w:t>2.1 General overview</w:t>
      </w:r>
      <w:bookmarkEnd w:id="18"/>
      <w:bookmarkEnd w:id="19"/>
    </w:p>
    <w:p w:rsidR="00D907AF" w:rsidRDefault="00D907AF" w:rsidP="00D907AF">
      <w:r>
        <w:t xml:space="preserve">This </w:t>
      </w:r>
      <w:r w:rsidR="00543554">
        <w:t>p</w:t>
      </w:r>
      <w:r>
        <w:t xml:space="preserve">art of the Initial Report of the Evaluation of the trial of the NDIS presents the main findings of the </w:t>
      </w:r>
      <w:r w:rsidR="00543554">
        <w:t>e</w:t>
      </w:r>
      <w:r>
        <w:t>valuation’s qualitative components. These included in-depth interviews with:</w:t>
      </w:r>
    </w:p>
    <w:p w:rsidR="00D907AF" w:rsidRDefault="00D907AF" w:rsidP="00D907AF"/>
    <w:p w:rsidR="00D907AF" w:rsidRPr="009862D9" w:rsidRDefault="00D907AF" w:rsidP="00AF5E38">
      <w:pPr>
        <w:pStyle w:val="ListParagraph"/>
        <w:numPr>
          <w:ilvl w:val="0"/>
          <w:numId w:val="27"/>
        </w:numPr>
        <w:spacing w:after="120"/>
      </w:pPr>
      <w:r w:rsidRPr="009862D9">
        <w:t>people with disability, and their families and carers</w:t>
      </w:r>
    </w:p>
    <w:p w:rsidR="00D907AF" w:rsidRPr="009862D9" w:rsidRDefault="00D907AF" w:rsidP="00AF5E38">
      <w:pPr>
        <w:pStyle w:val="ListParagraph"/>
        <w:numPr>
          <w:ilvl w:val="0"/>
          <w:numId w:val="27"/>
        </w:numPr>
        <w:spacing w:after="120"/>
      </w:pPr>
      <w:r w:rsidRPr="009862D9">
        <w:t xml:space="preserve">representatives of disability service providers </w:t>
      </w:r>
    </w:p>
    <w:p w:rsidR="00D907AF" w:rsidRPr="009862D9" w:rsidRDefault="00D907AF" w:rsidP="00AF5E38">
      <w:pPr>
        <w:pStyle w:val="ListParagraph"/>
        <w:numPr>
          <w:ilvl w:val="0"/>
          <w:numId w:val="27"/>
        </w:numPr>
        <w:spacing w:after="120"/>
      </w:pPr>
      <w:r w:rsidRPr="009862D9">
        <w:t>representatives of stakeholder organisations with responsibility for disability workforce representation or development</w:t>
      </w:r>
    </w:p>
    <w:p w:rsidR="00D907AF" w:rsidRPr="001825D4" w:rsidRDefault="00D907AF" w:rsidP="00AF5E38">
      <w:pPr>
        <w:pStyle w:val="ListParagraph"/>
        <w:numPr>
          <w:ilvl w:val="0"/>
          <w:numId w:val="27"/>
        </w:numPr>
        <w:spacing w:after="120"/>
      </w:pPr>
      <w:r w:rsidRPr="009862D9">
        <w:t>representatives</w:t>
      </w:r>
      <w:r>
        <w:t xml:space="preserve"> and employees of the National Disability Insurance Agency (NDIA).</w:t>
      </w:r>
    </w:p>
    <w:p w:rsidR="00D907AF" w:rsidRDefault="00D907AF" w:rsidP="00D907AF"/>
    <w:p w:rsidR="00D907AF" w:rsidRDefault="00D907AF" w:rsidP="00D907AF">
      <w:r>
        <w:t>In this first section, we present a general overview of the qualitative fieldwork that was conducted with these four groups of people and organisations affected by the trial of the NDIS, before the findings from these interviews are presented separately for each population in the subsequent chapters.</w:t>
      </w:r>
    </w:p>
    <w:p w:rsidR="00D907AF" w:rsidRDefault="00D907AF" w:rsidP="00EC2C19">
      <w:pPr>
        <w:pStyle w:val="Heading3"/>
      </w:pPr>
      <w:bookmarkStart w:id="20" w:name="_Toc428271202"/>
      <w:bookmarkStart w:id="21" w:name="_Toc449954942"/>
      <w:r>
        <w:t>2.1.1 Fieldwork and recruitment</w:t>
      </w:r>
      <w:bookmarkEnd w:id="20"/>
      <w:bookmarkEnd w:id="21"/>
    </w:p>
    <w:p w:rsidR="00D907AF" w:rsidRDefault="00D907AF" w:rsidP="00D907AF">
      <w:r>
        <w:t>Interviews with the four parties of interest were conducted in all five initial trial sites and states, that is, New South Wales, South Australia, Tasmania, Victoria and the Australian Capital Territory (ACT). Interviews with people with disability, and their families and carers were limited to NDIS participants and, hence, took place in the actual trial sites. Disability service providers were located in the trial states or expected to have active links to the sites. Workforce stakeholder organisations, in contrast, were typically national bodies operating Australia-wide. NDIA representatives and employees were, of course, located in the trial sites. Further detail about the primary characteristics of participants in the qualitative studies will be presented in the relevant chapters below.</w:t>
      </w:r>
    </w:p>
    <w:p w:rsidR="00D907AF" w:rsidRDefault="00D907AF" w:rsidP="00D907AF"/>
    <w:p w:rsidR="00D907AF" w:rsidRDefault="00D907AF" w:rsidP="00D907AF">
      <w:r>
        <w:t xml:space="preserve">Whilst the </w:t>
      </w:r>
      <w:r w:rsidR="007B7B91">
        <w:t>e</w:t>
      </w:r>
      <w:r>
        <w:t xml:space="preserve">valuation has been extended to include the trial of the NDIS in the Northern Territory, the Northern Territory is excluded from this Initial Report. The late addition of the </w:t>
      </w:r>
      <w:r w:rsidR="007B7B91">
        <w:t>e</w:t>
      </w:r>
      <w:r>
        <w:t xml:space="preserve">valuation component in the Northern Territory, which did not commence until July 2014, and the special character of the NDIS trial there require that the findings for that trial site are reported separately. </w:t>
      </w:r>
    </w:p>
    <w:p w:rsidR="00D907AF" w:rsidRDefault="00D907AF" w:rsidP="00D907AF"/>
    <w:p w:rsidR="00D907AF" w:rsidRDefault="00D907AF" w:rsidP="00D907AF">
      <w:r>
        <w:t xml:space="preserve">The fieldwork for all four components of the </w:t>
      </w:r>
      <w:r w:rsidR="00697084">
        <w:t>Qualitative Impact Evaluation</w:t>
      </w:r>
      <w:r>
        <w:t xml:space="preserve"> took place between September 2014 and April 2015, varying with trial site and component (Table 2.1). Notably, interviews with NDIS participants and NDIA staff started and completed later in the ACT, where the NDIS trial had only commenced in July 2014. The delay was necessary in order to identify NDIS participants and relevant NDIA staff. The intention was to interview all parties in the other trial sites at approximately similar points in time to ensure that the accounts that respondents gave of their experiences and anticipations related to comparable development stages in the roll out of the trial of the NDIS.</w:t>
      </w:r>
    </w:p>
    <w:p w:rsidR="00D907AF" w:rsidRDefault="00D907AF" w:rsidP="00D907AF"/>
    <w:p w:rsidR="00D907AF" w:rsidRDefault="00D907AF">
      <w:pPr>
        <w:spacing w:after="200" w:line="276" w:lineRule="auto"/>
      </w:pPr>
      <w:r>
        <w:br w:type="page"/>
      </w:r>
    </w:p>
    <w:p w:rsidR="00D907AF" w:rsidRDefault="00D907AF" w:rsidP="0044684E">
      <w:pPr>
        <w:pStyle w:val="NILSTableHeading"/>
      </w:pPr>
      <w:bookmarkStart w:id="22" w:name="_Toc428271189"/>
      <w:bookmarkStart w:id="23" w:name="_Toc449955258"/>
      <w:r>
        <w:lastRenderedPageBreak/>
        <w:t>Table 2.1: Fieldwork period for Qualitative Impact Evaluation (Wave 1)</w:t>
      </w:r>
      <w:bookmarkEnd w:id="22"/>
      <w:bookmarkEnd w:id="23"/>
    </w:p>
    <w:tbl>
      <w:tblPr>
        <w:tblStyle w:val="TableGrid"/>
        <w:tblW w:w="0" w:type="auto"/>
        <w:tblLook w:val="04A0" w:firstRow="1" w:lastRow="0" w:firstColumn="1" w:lastColumn="0" w:noHBand="0" w:noVBand="1"/>
        <w:tblCaption w:val="Table 2.1 fieldwork period for qualitative impact evaluation, wave 1"/>
      </w:tblPr>
      <w:tblGrid>
        <w:gridCol w:w="5410"/>
        <w:gridCol w:w="1710"/>
        <w:gridCol w:w="1559"/>
      </w:tblGrid>
      <w:tr w:rsidR="00D907AF" w:rsidRPr="006D057D" w:rsidTr="0071562F">
        <w:trPr>
          <w:cantSplit/>
          <w:trHeight w:val="20"/>
          <w:tblHeader/>
        </w:trPr>
        <w:tc>
          <w:tcPr>
            <w:tcW w:w="0" w:type="auto"/>
            <w:tcBorders>
              <w:top w:val="single" w:sz="4" w:space="0" w:color="auto"/>
              <w:bottom w:val="single" w:sz="4" w:space="0" w:color="auto"/>
            </w:tcBorders>
            <w:vAlign w:val="center"/>
          </w:tcPr>
          <w:p w:rsidR="00D907AF" w:rsidRPr="006D057D" w:rsidRDefault="00EF676A" w:rsidP="003E471E">
            <w:pPr>
              <w:spacing w:before="40" w:after="40"/>
              <w:rPr>
                <w:sz w:val="20"/>
                <w:szCs w:val="20"/>
              </w:rPr>
            </w:pPr>
            <w:bookmarkStart w:id="24" w:name="Title_2_1"/>
            <w:bookmarkEnd w:id="24"/>
            <w:r>
              <w:rPr>
                <w:sz w:val="20"/>
                <w:szCs w:val="20"/>
              </w:rPr>
              <w:t>Fieldwork c</w:t>
            </w:r>
            <w:r w:rsidR="00D907AF" w:rsidRPr="006D057D">
              <w:rPr>
                <w:sz w:val="20"/>
                <w:szCs w:val="20"/>
              </w:rPr>
              <w:t>omponent</w:t>
            </w:r>
          </w:p>
        </w:tc>
        <w:tc>
          <w:tcPr>
            <w:tcW w:w="1710" w:type="dxa"/>
            <w:tcBorders>
              <w:top w:val="single" w:sz="4" w:space="0" w:color="auto"/>
              <w:bottom w:val="single" w:sz="4" w:space="0" w:color="auto"/>
            </w:tcBorders>
            <w:vAlign w:val="center"/>
          </w:tcPr>
          <w:p w:rsidR="00D907AF" w:rsidRPr="006D057D" w:rsidRDefault="00D907AF" w:rsidP="003E471E">
            <w:pPr>
              <w:spacing w:before="40" w:after="40"/>
              <w:rPr>
                <w:sz w:val="20"/>
                <w:szCs w:val="20"/>
              </w:rPr>
            </w:pPr>
            <w:r w:rsidRPr="006D057D">
              <w:rPr>
                <w:sz w:val="20"/>
                <w:szCs w:val="20"/>
              </w:rPr>
              <w:t>Fieldwork start</w:t>
            </w:r>
          </w:p>
        </w:tc>
        <w:tc>
          <w:tcPr>
            <w:tcW w:w="1559" w:type="dxa"/>
            <w:tcBorders>
              <w:top w:val="single" w:sz="4" w:space="0" w:color="auto"/>
              <w:bottom w:val="single" w:sz="4" w:space="0" w:color="auto"/>
            </w:tcBorders>
            <w:vAlign w:val="center"/>
          </w:tcPr>
          <w:p w:rsidR="00D907AF" w:rsidRPr="006D057D" w:rsidRDefault="00D907AF" w:rsidP="003E471E">
            <w:pPr>
              <w:spacing w:before="40" w:after="40"/>
              <w:rPr>
                <w:sz w:val="20"/>
                <w:szCs w:val="20"/>
              </w:rPr>
            </w:pPr>
            <w:r w:rsidRPr="006D057D">
              <w:rPr>
                <w:sz w:val="20"/>
                <w:szCs w:val="20"/>
              </w:rPr>
              <w:t>Fieldwork end</w:t>
            </w:r>
          </w:p>
        </w:tc>
      </w:tr>
      <w:tr w:rsidR="00D907AF" w:rsidRPr="006D057D" w:rsidTr="00217C89">
        <w:trPr>
          <w:cantSplit/>
          <w:trHeight w:val="20"/>
          <w:tblHeader/>
        </w:trPr>
        <w:tc>
          <w:tcPr>
            <w:tcW w:w="0" w:type="auto"/>
            <w:vAlign w:val="center"/>
          </w:tcPr>
          <w:p w:rsidR="00217C89" w:rsidRDefault="00397086" w:rsidP="00B57552">
            <w:pPr>
              <w:spacing w:before="40" w:after="40"/>
              <w:ind w:right="175"/>
              <w:rPr>
                <w:sz w:val="20"/>
                <w:szCs w:val="20"/>
              </w:rPr>
            </w:pPr>
            <w:r w:rsidRPr="00EF676A">
              <w:rPr>
                <w:sz w:val="20"/>
                <w:szCs w:val="20"/>
              </w:rPr>
              <w:t xml:space="preserve">People with disability, and their families and carers </w:t>
            </w:r>
          </w:p>
          <w:p w:rsidR="00D907AF" w:rsidRPr="00EF676A" w:rsidRDefault="00D907AF" w:rsidP="00217C89">
            <w:pPr>
              <w:spacing w:before="40" w:after="40"/>
              <w:ind w:right="175"/>
              <w:rPr>
                <w:sz w:val="20"/>
                <w:szCs w:val="20"/>
              </w:rPr>
            </w:pPr>
            <w:r w:rsidRPr="00EF676A">
              <w:rPr>
                <w:sz w:val="20"/>
                <w:szCs w:val="20"/>
              </w:rPr>
              <w:t xml:space="preserve">in </w:t>
            </w:r>
            <w:r w:rsidR="00217C89">
              <w:rPr>
                <w:sz w:val="20"/>
                <w:szCs w:val="20"/>
              </w:rPr>
              <w:t>NSW (Hunter), Tasmania and Victoria (Barwon)</w:t>
            </w:r>
          </w:p>
        </w:tc>
        <w:tc>
          <w:tcPr>
            <w:tcW w:w="1710" w:type="dxa"/>
            <w:vAlign w:val="bottom"/>
          </w:tcPr>
          <w:p w:rsidR="00D907AF" w:rsidRPr="006D057D" w:rsidRDefault="00D907AF" w:rsidP="00217C89">
            <w:pPr>
              <w:spacing w:before="40" w:after="40"/>
              <w:rPr>
                <w:sz w:val="20"/>
                <w:szCs w:val="20"/>
              </w:rPr>
            </w:pPr>
            <w:r w:rsidRPr="006D057D">
              <w:rPr>
                <w:sz w:val="20"/>
                <w:szCs w:val="20"/>
              </w:rPr>
              <w:t>September 2014</w:t>
            </w:r>
          </w:p>
        </w:tc>
        <w:tc>
          <w:tcPr>
            <w:tcW w:w="1559" w:type="dxa"/>
            <w:vAlign w:val="bottom"/>
          </w:tcPr>
          <w:p w:rsidR="00D907AF" w:rsidRPr="006D057D" w:rsidRDefault="00D907AF" w:rsidP="00217C89">
            <w:pPr>
              <w:spacing w:before="40" w:after="40"/>
              <w:rPr>
                <w:sz w:val="20"/>
                <w:szCs w:val="20"/>
              </w:rPr>
            </w:pPr>
            <w:r w:rsidRPr="006D057D">
              <w:rPr>
                <w:sz w:val="20"/>
                <w:szCs w:val="20"/>
              </w:rPr>
              <w:t>October 2014</w:t>
            </w:r>
          </w:p>
        </w:tc>
      </w:tr>
      <w:tr w:rsidR="00D907AF" w:rsidRPr="006D057D" w:rsidTr="0071562F">
        <w:trPr>
          <w:cantSplit/>
          <w:trHeight w:val="20"/>
          <w:tblHeader/>
        </w:trPr>
        <w:tc>
          <w:tcPr>
            <w:tcW w:w="0" w:type="auto"/>
            <w:vAlign w:val="center"/>
          </w:tcPr>
          <w:p w:rsidR="00D907AF" w:rsidRPr="00EF676A" w:rsidRDefault="00397086" w:rsidP="003E471E">
            <w:pPr>
              <w:spacing w:before="40" w:after="40"/>
              <w:ind w:right="175"/>
              <w:rPr>
                <w:sz w:val="20"/>
                <w:szCs w:val="20"/>
              </w:rPr>
            </w:pPr>
            <w:r w:rsidRPr="00EF676A">
              <w:rPr>
                <w:sz w:val="20"/>
                <w:szCs w:val="20"/>
              </w:rPr>
              <w:t xml:space="preserve">People with disability, and their families and carers </w:t>
            </w:r>
            <w:r w:rsidR="00D907AF" w:rsidRPr="00EF676A">
              <w:rPr>
                <w:sz w:val="20"/>
                <w:szCs w:val="20"/>
              </w:rPr>
              <w:t xml:space="preserve">in SA </w:t>
            </w:r>
          </w:p>
        </w:tc>
        <w:tc>
          <w:tcPr>
            <w:tcW w:w="1710" w:type="dxa"/>
            <w:vAlign w:val="center"/>
          </w:tcPr>
          <w:p w:rsidR="00D907AF" w:rsidRPr="006D057D" w:rsidRDefault="00D907AF" w:rsidP="003E471E">
            <w:pPr>
              <w:spacing w:before="40" w:after="40"/>
              <w:rPr>
                <w:sz w:val="20"/>
                <w:szCs w:val="20"/>
              </w:rPr>
            </w:pPr>
            <w:r w:rsidRPr="006D057D">
              <w:rPr>
                <w:sz w:val="20"/>
                <w:szCs w:val="20"/>
              </w:rPr>
              <w:t>August 2014</w:t>
            </w:r>
          </w:p>
        </w:tc>
        <w:tc>
          <w:tcPr>
            <w:tcW w:w="1559" w:type="dxa"/>
            <w:vAlign w:val="center"/>
          </w:tcPr>
          <w:p w:rsidR="00D907AF" w:rsidRPr="006D057D" w:rsidRDefault="00D907AF" w:rsidP="003E471E">
            <w:pPr>
              <w:spacing w:before="40" w:after="40"/>
              <w:rPr>
                <w:sz w:val="20"/>
                <w:szCs w:val="20"/>
              </w:rPr>
            </w:pPr>
            <w:r w:rsidRPr="006D057D">
              <w:rPr>
                <w:sz w:val="20"/>
                <w:szCs w:val="20"/>
              </w:rPr>
              <w:t>November 2014</w:t>
            </w:r>
          </w:p>
        </w:tc>
      </w:tr>
      <w:tr w:rsidR="00D907AF" w:rsidRPr="006D057D" w:rsidTr="0071562F">
        <w:trPr>
          <w:cantSplit/>
          <w:trHeight w:val="20"/>
          <w:tblHeader/>
        </w:trPr>
        <w:tc>
          <w:tcPr>
            <w:tcW w:w="0" w:type="auto"/>
            <w:vAlign w:val="center"/>
          </w:tcPr>
          <w:p w:rsidR="00D907AF" w:rsidRPr="00EF676A" w:rsidRDefault="00397086" w:rsidP="003E471E">
            <w:pPr>
              <w:spacing w:before="40" w:after="40"/>
              <w:ind w:right="175"/>
              <w:rPr>
                <w:sz w:val="20"/>
                <w:szCs w:val="20"/>
              </w:rPr>
            </w:pPr>
            <w:r w:rsidRPr="00EF676A">
              <w:rPr>
                <w:sz w:val="20"/>
                <w:szCs w:val="20"/>
              </w:rPr>
              <w:t xml:space="preserve">People with disability, and their families and carers </w:t>
            </w:r>
            <w:r w:rsidR="00D907AF" w:rsidRPr="00EF676A">
              <w:rPr>
                <w:sz w:val="20"/>
                <w:szCs w:val="20"/>
              </w:rPr>
              <w:t>in the ACT</w:t>
            </w:r>
          </w:p>
        </w:tc>
        <w:tc>
          <w:tcPr>
            <w:tcW w:w="1710" w:type="dxa"/>
            <w:vAlign w:val="center"/>
          </w:tcPr>
          <w:p w:rsidR="00D907AF" w:rsidRPr="006D057D" w:rsidRDefault="00D907AF" w:rsidP="003E471E">
            <w:pPr>
              <w:spacing w:before="40" w:after="40"/>
              <w:rPr>
                <w:sz w:val="20"/>
                <w:szCs w:val="20"/>
              </w:rPr>
            </w:pPr>
            <w:r w:rsidRPr="006D057D">
              <w:rPr>
                <w:sz w:val="20"/>
                <w:szCs w:val="20"/>
              </w:rPr>
              <w:t>December 2014</w:t>
            </w:r>
          </w:p>
        </w:tc>
        <w:tc>
          <w:tcPr>
            <w:tcW w:w="1559" w:type="dxa"/>
            <w:vAlign w:val="center"/>
          </w:tcPr>
          <w:p w:rsidR="00D907AF" w:rsidRPr="006D057D" w:rsidRDefault="00D907AF" w:rsidP="003E471E">
            <w:pPr>
              <w:spacing w:before="40" w:after="40"/>
              <w:rPr>
                <w:sz w:val="20"/>
                <w:szCs w:val="20"/>
              </w:rPr>
            </w:pPr>
            <w:r w:rsidRPr="006D057D">
              <w:rPr>
                <w:sz w:val="20"/>
                <w:szCs w:val="20"/>
              </w:rPr>
              <w:t>February 2015</w:t>
            </w:r>
          </w:p>
        </w:tc>
      </w:tr>
      <w:tr w:rsidR="00D907AF" w:rsidRPr="006D057D" w:rsidTr="0071562F">
        <w:trPr>
          <w:cantSplit/>
          <w:trHeight w:val="20"/>
          <w:tblHeader/>
        </w:trPr>
        <w:tc>
          <w:tcPr>
            <w:tcW w:w="0" w:type="auto"/>
            <w:vAlign w:val="center"/>
          </w:tcPr>
          <w:p w:rsidR="00D907AF" w:rsidRPr="006D057D" w:rsidRDefault="00D907AF" w:rsidP="003E471E">
            <w:pPr>
              <w:spacing w:before="40" w:after="40"/>
              <w:rPr>
                <w:sz w:val="20"/>
                <w:szCs w:val="20"/>
              </w:rPr>
            </w:pPr>
            <w:r w:rsidRPr="006D057D">
              <w:rPr>
                <w:sz w:val="20"/>
                <w:szCs w:val="20"/>
              </w:rPr>
              <w:t>Disability service providers</w:t>
            </w:r>
          </w:p>
        </w:tc>
        <w:tc>
          <w:tcPr>
            <w:tcW w:w="1710" w:type="dxa"/>
            <w:vAlign w:val="center"/>
          </w:tcPr>
          <w:p w:rsidR="00D907AF" w:rsidRPr="006D057D" w:rsidRDefault="00D907AF" w:rsidP="003E471E">
            <w:pPr>
              <w:spacing w:before="40" w:after="40"/>
              <w:rPr>
                <w:sz w:val="20"/>
                <w:szCs w:val="20"/>
              </w:rPr>
            </w:pPr>
            <w:r w:rsidRPr="006D057D">
              <w:rPr>
                <w:sz w:val="20"/>
                <w:szCs w:val="20"/>
              </w:rPr>
              <w:t>September 2014</w:t>
            </w:r>
          </w:p>
        </w:tc>
        <w:tc>
          <w:tcPr>
            <w:tcW w:w="1559" w:type="dxa"/>
            <w:vAlign w:val="center"/>
          </w:tcPr>
          <w:p w:rsidR="00D907AF" w:rsidRPr="006D057D" w:rsidRDefault="00D907AF" w:rsidP="003E471E">
            <w:pPr>
              <w:spacing w:before="40" w:after="40"/>
              <w:rPr>
                <w:sz w:val="20"/>
                <w:szCs w:val="20"/>
              </w:rPr>
            </w:pPr>
            <w:r w:rsidRPr="006D057D">
              <w:rPr>
                <w:sz w:val="20"/>
                <w:szCs w:val="20"/>
              </w:rPr>
              <w:t>November 2014</w:t>
            </w:r>
          </w:p>
        </w:tc>
      </w:tr>
      <w:tr w:rsidR="00D907AF" w:rsidRPr="006D057D" w:rsidTr="0071562F">
        <w:trPr>
          <w:cantSplit/>
          <w:trHeight w:val="20"/>
          <w:tblHeader/>
        </w:trPr>
        <w:tc>
          <w:tcPr>
            <w:tcW w:w="0" w:type="auto"/>
            <w:vAlign w:val="center"/>
          </w:tcPr>
          <w:p w:rsidR="00D907AF" w:rsidRPr="006D057D" w:rsidRDefault="00D907AF" w:rsidP="003E471E">
            <w:pPr>
              <w:spacing w:before="40" w:after="40"/>
              <w:rPr>
                <w:sz w:val="20"/>
                <w:szCs w:val="20"/>
              </w:rPr>
            </w:pPr>
            <w:r w:rsidRPr="006D057D">
              <w:rPr>
                <w:sz w:val="20"/>
                <w:szCs w:val="20"/>
              </w:rPr>
              <w:t>Workforce stakeholder organisations</w:t>
            </w:r>
          </w:p>
        </w:tc>
        <w:tc>
          <w:tcPr>
            <w:tcW w:w="1710" w:type="dxa"/>
            <w:vAlign w:val="center"/>
          </w:tcPr>
          <w:p w:rsidR="00D907AF" w:rsidRPr="006D057D" w:rsidRDefault="00D907AF" w:rsidP="003E471E">
            <w:pPr>
              <w:spacing w:before="40" w:after="40"/>
              <w:rPr>
                <w:sz w:val="20"/>
                <w:szCs w:val="20"/>
              </w:rPr>
            </w:pPr>
            <w:r w:rsidRPr="006D057D">
              <w:rPr>
                <w:sz w:val="20"/>
                <w:szCs w:val="20"/>
              </w:rPr>
              <w:t>September 2014</w:t>
            </w:r>
          </w:p>
        </w:tc>
        <w:tc>
          <w:tcPr>
            <w:tcW w:w="1559" w:type="dxa"/>
            <w:vAlign w:val="center"/>
          </w:tcPr>
          <w:p w:rsidR="00D907AF" w:rsidRPr="006D057D" w:rsidRDefault="00D907AF" w:rsidP="003E471E">
            <w:pPr>
              <w:spacing w:before="40" w:after="40"/>
              <w:rPr>
                <w:sz w:val="20"/>
                <w:szCs w:val="20"/>
              </w:rPr>
            </w:pPr>
            <w:r w:rsidRPr="006D057D">
              <w:rPr>
                <w:sz w:val="20"/>
                <w:szCs w:val="20"/>
              </w:rPr>
              <w:t>December 2014</w:t>
            </w:r>
          </w:p>
        </w:tc>
      </w:tr>
      <w:tr w:rsidR="00D907AF" w:rsidRPr="006D057D" w:rsidTr="0071562F">
        <w:trPr>
          <w:cantSplit/>
          <w:trHeight w:val="20"/>
          <w:tblHeader/>
        </w:trPr>
        <w:tc>
          <w:tcPr>
            <w:tcW w:w="0" w:type="auto"/>
            <w:tcBorders>
              <w:bottom w:val="single" w:sz="4" w:space="0" w:color="auto"/>
            </w:tcBorders>
            <w:vAlign w:val="center"/>
          </w:tcPr>
          <w:p w:rsidR="00D907AF" w:rsidRPr="006D057D" w:rsidRDefault="00D907AF" w:rsidP="003E471E">
            <w:pPr>
              <w:spacing w:before="40" w:after="40"/>
              <w:rPr>
                <w:sz w:val="20"/>
                <w:szCs w:val="20"/>
              </w:rPr>
            </w:pPr>
            <w:r w:rsidRPr="006D057D">
              <w:rPr>
                <w:sz w:val="20"/>
                <w:szCs w:val="20"/>
              </w:rPr>
              <w:t>N</w:t>
            </w:r>
            <w:r w:rsidR="00957A1C">
              <w:rPr>
                <w:sz w:val="20"/>
                <w:szCs w:val="20"/>
              </w:rPr>
              <w:t xml:space="preserve">ational </w:t>
            </w:r>
            <w:r w:rsidRPr="006D057D">
              <w:rPr>
                <w:sz w:val="20"/>
                <w:szCs w:val="20"/>
              </w:rPr>
              <w:t>D</w:t>
            </w:r>
            <w:r w:rsidR="00957A1C">
              <w:rPr>
                <w:sz w:val="20"/>
                <w:szCs w:val="20"/>
              </w:rPr>
              <w:t xml:space="preserve">isability </w:t>
            </w:r>
            <w:r w:rsidRPr="006D057D">
              <w:rPr>
                <w:sz w:val="20"/>
                <w:szCs w:val="20"/>
              </w:rPr>
              <w:t>I</w:t>
            </w:r>
            <w:r w:rsidR="00957A1C">
              <w:rPr>
                <w:sz w:val="20"/>
                <w:szCs w:val="20"/>
              </w:rPr>
              <w:t xml:space="preserve">nsurance </w:t>
            </w:r>
            <w:r w:rsidRPr="006D057D">
              <w:rPr>
                <w:sz w:val="20"/>
                <w:szCs w:val="20"/>
              </w:rPr>
              <w:t>A</w:t>
            </w:r>
            <w:r w:rsidR="00957A1C">
              <w:rPr>
                <w:sz w:val="20"/>
                <w:szCs w:val="20"/>
              </w:rPr>
              <w:t>gency</w:t>
            </w:r>
          </w:p>
        </w:tc>
        <w:tc>
          <w:tcPr>
            <w:tcW w:w="1710" w:type="dxa"/>
            <w:tcBorders>
              <w:bottom w:val="single" w:sz="4" w:space="0" w:color="auto"/>
            </w:tcBorders>
            <w:vAlign w:val="center"/>
          </w:tcPr>
          <w:p w:rsidR="00D907AF" w:rsidRPr="006D057D" w:rsidRDefault="00D907AF" w:rsidP="003E471E">
            <w:pPr>
              <w:spacing w:before="40" w:after="40"/>
              <w:rPr>
                <w:sz w:val="20"/>
                <w:szCs w:val="20"/>
              </w:rPr>
            </w:pPr>
            <w:r w:rsidRPr="006D057D">
              <w:rPr>
                <w:sz w:val="20"/>
                <w:szCs w:val="20"/>
              </w:rPr>
              <w:t>November 2014</w:t>
            </w:r>
          </w:p>
        </w:tc>
        <w:tc>
          <w:tcPr>
            <w:tcW w:w="1559" w:type="dxa"/>
            <w:tcBorders>
              <w:bottom w:val="single" w:sz="4" w:space="0" w:color="auto"/>
            </w:tcBorders>
            <w:vAlign w:val="center"/>
          </w:tcPr>
          <w:p w:rsidR="00D907AF" w:rsidRPr="006D057D" w:rsidRDefault="00D907AF" w:rsidP="003E471E">
            <w:pPr>
              <w:spacing w:before="40" w:after="40"/>
              <w:rPr>
                <w:sz w:val="20"/>
                <w:szCs w:val="20"/>
              </w:rPr>
            </w:pPr>
            <w:r w:rsidRPr="006D057D">
              <w:rPr>
                <w:sz w:val="20"/>
                <w:szCs w:val="20"/>
              </w:rPr>
              <w:t>April 2015</w:t>
            </w:r>
          </w:p>
        </w:tc>
      </w:tr>
    </w:tbl>
    <w:p w:rsidR="00D907AF" w:rsidRDefault="00D907AF" w:rsidP="00D907AF"/>
    <w:p w:rsidR="00D907AF" w:rsidRDefault="00D907AF" w:rsidP="00D907AF">
      <w:r>
        <w:t>Recruitment for interviews had often commenced two to three months prior to the time when the interviews actually took place. Respondents were recruited via a diversity of means, which typically included advertising the research by distributing information leaflets with, for instance, disability service providers, or through notification in the newsletters of support and advocacy groups.</w:t>
      </w:r>
      <w:r>
        <w:rPr>
          <w:rStyle w:val="FootnoteReference"/>
        </w:rPr>
        <w:footnoteReference w:id="3"/>
      </w:r>
      <w:r>
        <w:t xml:space="preserve"> This was the typical approach for recruiting people with disability, and their families and carers, whilst in the case of recruiting employees of the NDIA, senior management assisted by informing staff about the study and way in which employees could register their interest in participating. Both people with disability, and their families and carers, and NDIA employees could express their interest by contacting the </w:t>
      </w:r>
      <w:r w:rsidR="00D80793">
        <w:t>e</w:t>
      </w:r>
      <w:r>
        <w:t>valuation team using a toll free phone number or via email.</w:t>
      </w:r>
    </w:p>
    <w:p w:rsidR="00D907AF" w:rsidRDefault="00D907AF" w:rsidP="00D907AF"/>
    <w:p w:rsidR="00D907AF" w:rsidRDefault="00D907AF" w:rsidP="00D907AF">
      <w:r>
        <w:t xml:space="preserve">In addition to these indirect recruitment strategies, direct approaches were made to disability service providers and stakeholder organisations. Disability service providers were purposively selected from a list of organisations that indicated their interest to participate in these in-depth interviews via the </w:t>
      </w:r>
      <w:r w:rsidRPr="00C61135">
        <w:t>NDIS Disability Support Providers Survey</w:t>
      </w:r>
      <w:r>
        <w:t xml:space="preserve">. </w:t>
      </w:r>
    </w:p>
    <w:p w:rsidR="00D907AF" w:rsidRDefault="00D907AF" w:rsidP="00D907AF"/>
    <w:p w:rsidR="00D907AF" w:rsidRDefault="00D907AF" w:rsidP="00D907AF">
      <w:r>
        <w:t>In all trial sites, recruitment took great care that the profile of respondents represented, as far as was possible to determine at the time, that of NDIS participants, service providers, and known or anticipated prominent service needs in the trial site. The samples were thus, purposely selected. It is important to note that the interviews with people with disability, and their families and carers were intended to capture then current NDIS participants. As a result, the characteristics of this sample of respondents may not reflect the future profile of NDIS participants. Profiles of all samples will be presented in the relevant subsequent chapters.</w:t>
      </w:r>
    </w:p>
    <w:p w:rsidR="00D907AF" w:rsidRDefault="00D907AF" w:rsidP="00367B24">
      <w:pPr>
        <w:pStyle w:val="Heading3"/>
      </w:pPr>
      <w:bookmarkStart w:id="25" w:name="_Toc428271203"/>
      <w:bookmarkStart w:id="26" w:name="_Toc449954943"/>
      <w:r>
        <w:t xml:space="preserve">2.1.2 </w:t>
      </w:r>
      <w:r w:rsidRPr="002E2C13">
        <w:t>Interviewing</w:t>
      </w:r>
      <w:bookmarkEnd w:id="25"/>
      <w:bookmarkEnd w:id="26"/>
    </w:p>
    <w:p w:rsidR="00D907AF" w:rsidRDefault="00D907AF" w:rsidP="00D907AF">
      <w:r>
        <w:t>Participation in interviews was voluntary. In accordance with established principles of research ethics, all respondents were informed about the aims and objectives of the study, the likely duration of interviews, and their rights to withdraw from the interview or not answer specific questions prior to the interview taking place. Respondents were also informed that participation would not affect services they may receive from the NDIA. In accordance with the respondents’ preferences, interviews were conducted face-to-face or by telephone. Face-to-face interviews were conducted in a location of the respondents’ choice and an environment ensuring that privacy and confidentiality were maintained. In the case of interviews with people with disability, and their families and carers, face-to-face interviews were mostly undertaken in the respondents’ homes or public places of their choice. Interviews with disability service providers, stakeholder organisations and NDIA staff were all done by telephone, with one exception that was conducted face-to-face.</w:t>
      </w:r>
    </w:p>
    <w:p w:rsidR="00D907AF" w:rsidRDefault="00D907AF" w:rsidP="00D907AF">
      <w:r>
        <w:t xml:space="preserve"> </w:t>
      </w:r>
    </w:p>
    <w:p w:rsidR="00D907AF" w:rsidRDefault="00D907AF" w:rsidP="00D907AF">
      <w:r>
        <w:lastRenderedPageBreak/>
        <w:t xml:space="preserve">With the consent of respondents, interviews were audio-recorded, transcribed and de-identified prior to analysis. Analysis was conducted using NVivo and an analysis framework agreed and tested by the researchers. Interview topic guides were tested by the </w:t>
      </w:r>
      <w:r w:rsidR="00F62A71">
        <w:t xml:space="preserve">researchers </w:t>
      </w:r>
      <w:r>
        <w:t>and both the DSS and the NDIS Evaluation Steering Committee were given an opportunity to comment. All research components had previously been given ethics approval by the Social and Behavioural Sciences Research Ethics Committee (SBREC) at Flinders University.</w:t>
      </w:r>
    </w:p>
    <w:p w:rsidR="00D907AF" w:rsidRDefault="00D907AF" w:rsidP="00D907AF"/>
    <w:p w:rsidR="00D907AF" w:rsidRDefault="00D907AF" w:rsidP="00D907AF">
      <w:r>
        <w:t>In each instance, participants in these interviews will be invited to participate in a second interview about 12 months after the first. This will help to update information about the experiences of the NDIS amongst respondents and to develop the analysis of impact and change over time. Respondents at Wave 1 who decline to participate in a second interview or for some other reasons cannot be re-interviewed may be replaced with new respondents in the second wave sample.</w:t>
      </w:r>
    </w:p>
    <w:p w:rsidR="00D907AF" w:rsidRDefault="00D907AF" w:rsidP="00367B24">
      <w:pPr>
        <w:pStyle w:val="Heading3"/>
      </w:pPr>
      <w:bookmarkStart w:id="27" w:name="_Toc428271204"/>
      <w:bookmarkStart w:id="28" w:name="_Toc449954944"/>
      <w:r>
        <w:t>2.1.3 Shared aims and objectives</w:t>
      </w:r>
      <w:bookmarkEnd w:id="27"/>
      <w:bookmarkEnd w:id="28"/>
      <w:r>
        <w:t xml:space="preserve"> </w:t>
      </w:r>
    </w:p>
    <w:p w:rsidR="00D907AF" w:rsidRDefault="00D907AF" w:rsidP="00D907AF">
      <w:r>
        <w:t xml:space="preserve">The </w:t>
      </w:r>
      <w:r w:rsidR="006D177C">
        <w:t>Qualitative Impact Evaluation</w:t>
      </w:r>
      <w:r>
        <w:t xml:space="preserve"> is closely connected to t</w:t>
      </w:r>
      <w:r w:rsidR="00D80793">
        <w:t>he quantitative element of the e</w:t>
      </w:r>
      <w:r>
        <w:t xml:space="preserve">valuation, as both seek to inform and complement each other’s focus of enquiry. Similar to the quantitative studies, the development of the </w:t>
      </w:r>
      <w:r w:rsidR="006D177C">
        <w:t>Qualitative Impact Evaluation</w:t>
      </w:r>
      <w:r>
        <w:t xml:space="preserve"> has been structured so to provide insights that will enable the </w:t>
      </w:r>
      <w:r w:rsidR="00D80793">
        <w:t>e</w:t>
      </w:r>
      <w:r>
        <w:t>valuation to provide answers to the Key Evaluation Questions.</w:t>
      </w:r>
    </w:p>
    <w:p w:rsidR="00D907AF" w:rsidRDefault="00D907AF" w:rsidP="00D907AF">
      <w:r>
        <w:t xml:space="preserve"> </w:t>
      </w:r>
    </w:p>
    <w:p w:rsidR="00D907AF" w:rsidRDefault="00D907AF" w:rsidP="00D907AF">
      <w:r>
        <w:t xml:space="preserve">The topic guides used in the qualitative interviews were designed to assist the researchers in addressing Key Evaluation Questions that were relevant and most appropriate in the context of the conversations with people with disability, disability service providers, workforce stakeholders, and the NDIA. Naturally, not all Key Evaluation Questions were immediately relevant or indeed appropriate to explore with all respondents and respondent groups; nor could all be addressed in the first wave of interviews. Some would require longer periods of observation and, for this reason, will be suited for inclusion in the second wave of interviews. Others seek to measure or otherwise capture change over time and, hence, also require two waves of data. </w:t>
      </w:r>
    </w:p>
    <w:p w:rsidR="00D907AF" w:rsidRDefault="00D907AF" w:rsidP="00D907AF"/>
    <w:p w:rsidR="00D907AF" w:rsidRDefault="00D907AF" w:rsidP="00D907AF">
      <w:r>
        <w:t>In order to focus the qualitative research on the most appropriate Key Evaluation Questions, a set of rules were applied to guide the design and application of topic guides. These were:</w:t>
      </w:r>
    </w:p>
    <w:p w:rsidR="00D907AF" w:rsidRDefault="00D907AF" w:rsidP="00D907AF"/>
    <w:p w:rsidR="00D907AF" w:rsidRDefault="00D907AF" w:rsidP="009862D9">
      <w:pPr>
        <w:pStyle w:val="ListParagraph"/>
        <w:numPr>
          <w:ilvl w:val="0"/>
          <w:numId w:val="10"/>
        </w:numPr>
        <w:spacing w:after="120"/>
        <w:ind w:left="426" w:hanging="426"/>
      </w:pPr>
      <w:r>
        <w:t>parsimony. Given that interview time was limited, it was necessary to direct questions to essential topics, that is, information that (i) could only be gathered by this particular mode and from this population and/or (ii) was required to be collected in the first interview in order to serve as a baseline for the second</w:t>
      </w:r>
    </w:p>
    <w:p w:rsidR="00D907AF" w:rsidRDefault="00D907AF" w:rsidP="009862D9">
      <w:pPr>
        <w:pStyle w:val="ListParagraph"/>
        <w:numPr>
          <w:ilvl w:val="0"/>
          <w:numId w:val="10"/>
        </w:numPr>
        <w:spacing w:after="120"/>
        <w:ind w:left="426" w:hanging="426"/>
      </w:pPr>
      <w:r>
        <w:t>relevance. The focus of the interview and, thus, the Key Evaluation Questions that were covered had to reflect the level of experience and exposure that respondents had to the relevant theme. In other words, it was important to ask questions to those who could answer them because the issue in hand affected them personally; reliance on secondary observers, on the other hand, was to be kept to a minimum</w:t>
      </w:r>
    </w:p>
    <w:p w:rsidR="00D907AF" w:rsidRDefault="00D907AF" w:rsidP="009862D9">
      <w:pPr>
        <w:pStyle w:val="ListParagraph"/>
        <w:numPr>
          <w:ilvl w:val="0"/>
          <w:numId w:val="10"/>
        </w:numPr>
        <w:spacing w:after="120"/>
        <w:ind w:left="426" w:hanging="426"/>
      </w:pPr>
      <w:r>
        <w:t>realism. Not all questions may have answers because the time for change to occur and become observable may be too short, or because no-one was able to comment and provide relevant insight on an issue</w:t>
      </w:r>
    </w:p>
    <w:p w:rsidR="00D907AF" w:rsidRDefault="00D907AF" w:rsidP="009862D9">
      <w:pPr>
        <w:pStyle w:val="ListParagraph"/>
        <w:numPr>
          <w:ilvl w:val="0"/>
          <w:numId w:val="10"/>
        </w:numPr>
        <w:spacing w:after="120"/>
        <w:ind w:left="426" w:hanging="426"/>
      </w:pPr>
      <w:r>
        <w:t>reflection. Whilst some Key Evaluation Questions seek assessments of change or impact (e.g. KEQ29 “</w:t>
      </w:r>
      <w:r w:rsidRPr="00AB4F80">
        <w:t xml:space="preserve">How effective has </w:t>
      </w:r>
      <w:r>
        <w:t>the</w:t>
      </w:r>
      <w:r w:rsidRPr="00AB4F80">
        <w:t xml:space="preserve"> NDIS been in helping people to look ahead?</w:t>
      </w:r>
      <w:r>
        <w:t>”), the purpose of qualitative research is not to ‘measure’ responses by asking for assessments or opinion, but to contextualise reported or observed behaviours. Doing so will only be feasible at the point of integration of findings in later s</w:t>
      </w:r>
      <w:r w:rsidR="00D80793">
        <w:t>tages of the research when the e</w:t>
      </w:r>
      <w:r>
        <w:t>valuation will draw on all sources of information.</w:t>
      </w:r>
    </w:p>
    <w:p w:rsidR="00D907AF" w:rsidRDefault="00D907AF" w:rsidP="00D907AF"/>
    <w:p w:rsidR="00D907AF" w:rsidRDefault="00D907AF" w:rsidP="00D907AF">
      <w:r>
        <w:t xml:space="preserve">The final section of this chapter will summarise the findings from the </w:t>
      </w:r>
      <w:r w:rsidR="006D177C">
        <w:t xml:space="preserve">Qualitative Impact Evaluation </w:t>
      </w:r>
      <w:r>
        <w:t>with respect to those Key Evaluation Questions it was able to address in this initial round of interviews.</w:t>
      </w:r>
    </w:p>
    <w:p w:rsidR="00D907AF" w:rsidRDefault="00D907AF" w:rsidP="00367B24">
      <w:pPr>
        <w:pStyle w:val="Heading3"/>
      </w:pPr>
      <w:bookmarkStart w:id="29" w:name="_Toc428271205"/>
      <w:bookmarkStart w:id="30" w:name="_Toc449954945"/>
      <w:r>
        <w:t>2.1.4 Analysis</w:t>
      </w:r>
      <w:bookmarkEnd w:id="29"/>
      <w:bookmarkEnd w:id="30"/>
    </w:p>
    <w:p w:rsidR="00D907AF" w:rsidRDefault="00D907AF" w:rsidP="00D907AF">
      <w:r w:rsidRPr="000F5283">
        <w:t xml:space="preserve">With the consent of participants, interviews were recorded using a digital recorder and transcribed verbatim using a professional transcription service. All identifying information was removed from the resulting </w:t>
      </w:r>
      <w:r w:rsidRPr="00C4287E">
        <w:t xml:space="preserve">transcripts and throughout the reports participants are referred to </w:t>
      </w:r>
      <w:r>
        <w:t>using</w:t>
      </w:r>
      <w:r w:rsidRPr="00C4287E">
        <w:t xml:space="preserve"> pseudonyms. The analysis o</w:t>
      </w:r>
      <w:r w:rsidRPr="000F5283">
        <w:t xml:space="preserve">f all interview data was conducted according to the framework approach (Ritchie and Spencer 1994) which is particularly suited to applied social research, including evaluations. The analysis proceeded through a number of steps. </w:t>
      </w:r>
    </w:p>
    <w:p w:rsidR="00D907AF" w:rsidRDefault="00D907AF" w:rsidP="00D907AF"/>
    <w:p w:rsidR="00D907AF" w:rsidRDefault="00D907AF" w:rsidP="00D907AF">
      <w:r w:rsidRPr="000F5283">
        <w:t>First, the research team began familiarisation with the data through reading transcripts and listening to audio recordings. At the same time, the process of identifying a thematic framework began. After the initial familiarisation, the research team met to identify a number of a priori and emergent themes. Members of the research team then independently coded a small number of the transcripts against the identified themes to test the thematic framework.</w:t>
      </w:r>
      <w:r>
        <w:t xml:space="preserve"> T</w:t>
      </w:r>
      <w:r w:rsidRPr="000F5283">
        <w:t xml:space="preserve">he level of agreement between coders was </w:t>
      </w:r>
      <w:r>
        <w:t xml:space="preserve">then </w:t>
      </w:r>
      <w:r w:rsidRPr="000F5283">
        <w:t>assessed and</w:t>
      </w:r>
      <w:r>
        <w:t xml:space="preserve">, if appropriate, </w:t>
      </w:r>
      <w:r w:rsidRPr="000F5283">
        <w:t xml:space="preserve">the framework was altered </w:t>
      </w:r>
      <w:r>
        <w:t>to address any disagreement or inconsistencies that were found</w:t>
      </w:r>
      <w:r w:rsidRPr="000F5283">
        <w:t xml:space="preserve">. Coding of the whole data set proceeded according to the thematic framework. </w:t>
      </w:r>
      <w:r>
        <w:t xml:space="preserve">Patterns within the data were found and key themes and sub-themes established. </w:t>
      </w:r>
      <w:r w:rsidRPr="000F5283">
        <w:t>NVivo was used to assist in the analysis, storage and retrieval of the interview data.</w:t>
      </w:r>
    </w:p>
    <w:p w:rsidR="00D907AF" w:rsidRDefault="00D907AF" w:rsidP="00367B24">
      <w:pPr>
        <w:pStyle w:val="Heading3"/>
      </w:pPr>
      <w:bookmarkStart w:id="31" w:name="_Toc428271206"/>
      <w:bookmarkStart w:id="32" w:name="_Toc449954946"/>
      <w:r>
        <w:t>2.1.5 Structure of report</w:t>
      </w:r>
      <w:bookmarkEnd w:id="31"/>
      <w:bookmarkEnd w:id="32"/>
    </w:p>
    <w:p w:rsidR="00D907AF" w:rsidRDefault="00D907AF" w:rsidP="00D907AF">
      <w:r w:rsidRPr="00CE48DC">
        <w:t>The followi</w:t>
      </w:r>
      <w:r>
        <w:t>ng sections will</w:t>
      </w:r>
      <w:r w:rsidRPr="00CE48DC">
        <w:t xml:space="preserve"> present and summarise the findings of the qualitative research with people with disability, and their families and carers; disability service providers; workforce stakeholder organisations; and representatives of the NDIA.</w:t>
      </w:r>
      <w:r>
        <w:t xml:space="preserve"> </w:t>
      </w:r>
      <w:r w:rsidRPr="00CE48DC">
        <w:t xml:space="preserve">The final </w:t>
      </w:r>
      <w:r>
        <w:t>section</w:t>
      </w:r>
      <w:r w:rsidRPr="00CE48DC">
        <w:t xml:space="preserve"> will relate the evidence to a significant subset of relevant and, if preliminarily, answerable Key Evaluation Questions.</w:t>
      </w:r>
    </w:p>
    <w:p w:rsidR="00D907AF" w:rsidRDefault="00D907AF">
      <w:pPr>
        <w:rPr>
          <w:rFonts w:eastAsiaTheme="majorEastAsia" w:cstheme="majorBidi"/>
          <w:b/>
          <w:bCs/>
          <w:sz w:val="26"/>
          <w:szCs w:val="26"/>
        </w:rPr>
      </w:pPr>
      <w:r>
        <w:br w:type="page"/>
      </w:r>
    </w:p>
    <w:p w:rsidR="00D907AF" w:rsidRPr="009F606B" w:rsidRDefault="00D907AF" w:rsidP="00EC2C19">
      <w:pPr>
        <w:pStyle w:val="Heading2"/>
      </w:pPr>
      <w:bookmarkStart w:id="33" w:name="_Toc428271207"/>
      <w:bookmarkStart w:id="34" w:name="_Toc449954947"/>
      <w:r>
        <w:lastRenderedPageBreak/>
        <w:t>2.2 Interviews with people with disability, and their families and carers</w:t>
      </w:r>
      <w:bookmarkEnd w:id="33"/>
      <w:bookmarkEnd w:id="34"/>
    </w:p>
    <w:p w:rsidR="00D907AF" w:rsidRDefault="00D907AF" w:rsidP="00EC2C19">
      <w:pPr>
        <w:pStyle w:val="Heading3"/>
      </w:pPr>
      <w:bookmarkStart w:id="35" w:name="_Toc428271208"/>
      <w:bookmarkStart w:id="36" w:name="_Toc449954948"/>
      <w:r>
        <w:t>2.2.1 Specific aims and objectives</w:t>
      </w:r>
      <w:bookmarkEnd w:id="35"/>
      <w:bookmarkEnd w:id="36"/>
    </w:p>
    <w:p w:rsidR="00D907AF" w:rsidRDefault="00D907AF" w:rsidP="00D907AF">
      <w:r>
        <w:t xml:space="preserve">The aim of conducting interviews with people with disability, and their families and carers was to provide a better understanding of: </w:t>
      </w:r>
    </w:p>
    <w:p w:rsidR="00D907AF" w:rsidRDefault="00D907AF" w:rsidP="00D907AF"/>
    <w:p w:rsidR="00D907AF" w:rsidRPr="00A26A53" w:rsidRDefault="00D907AF" w:rsidP="00AF5E38">
      <w:pPr>
        <w:pStyle w:val="Bullets"/>
        <w:numPr>
          <w:ilvl w:val="0"/>
          <w:numId w:val="18"/>
        </w:numPr>
        <w:spacing w:before="0"/>
      </w:pPr>
      <w:r>
        <w:t xml:space="preserve">the </w:t>
      </w:r>
      <w:r w:rsidRPr="00A26A53">
        <w:t>expectation and experience thus far of participating in the NDIS or of being a family member/caring for someone who is participating in the NDIS</w:t>
      </w:r>
    </w:p>
    <w:p w:rsidR="00D907AF" w:rsidRPr="00A26A53" w:rsidRDefault="00D907AF" w:rsidP="00AF5E38">
      <w:pPr>
        <w:pStyle w:val="Bullets"/>
        <w:numPr>
          <w:ilvl w:val="0"/>
          <w:numId w:val="18"/>
        </w:numPr>
        <w:spacing w:after="0"/>
      </w:pPr>
      <w:r>
        <w:t xml:space="preserve">the </w:t>
      </w:r>
      <w:r w:rsidRPr="00A26A53">
        <w:t xml:space="preserve">experience of living with disability or being a family member/caring for a person with disability, and how this may have changed (or not) through the NDIS. </w:t>
      </w:r>
    </w:p>
    <w:p w:rsidR="00D907AF" w:rsidRDefault="00D907AF" w:rsidP="00D907AF"/>
    <w:p w:rsidR="00D907AF" w:rsidRDefault="00D907AF" w:rsidP="00D907AF">
      <w:r>
        <w:t xml:space="preserve">As with all qualitative components of this </w:t>
      </w:r>
      <w:r w:rsidR="00D80793">
        <w:t>evaluation</w:t>
      </w:r>
      <w:r>
        <w:t xml:space="preserve">, qualitative interviews with people with disability, and their families and carers provided a vehicle for deepening our understanding of findings from the corresponding quantitative survey-based work, both now and later on, after the second wave of interviews. Great care was therefore taken to balance information needs and information gathered from these two principal sources, with a view to informing the interpretation of findings over the course of the </w:t>
      </w:r>
      <w:r w:rsidR="00D80793">
        <w:t>evaluation</w:t>
      </w:r>
      <w:r>
        <w:t>.</w:t>
      </w:r>
    </w:p>
    <w:p w:rsidR="00D907AF" w:rsidRDefault="00D907AF" w:rsidP="00D907AF"/>
    <w:p w:rsidR="00D907AF" w:rsidRDefault="00D907AF" w:rsidP="00D907AF">
      <w:r>
        <w:t>In order to record impressions and experiences of people with disability in the early phases of the trial of the NDIS, and to map the circumstances and conditions under which NDIS participants were living with disability, the qualitative interviews focused on a range of topics, each representing a sub-set of the Key Evaluation Questions. In broad categories, these topics covered:</w:t>
      </w:r>
    </w:p>
    <w:p w:rsidR="00D907AF" w:rsidRDefault="00D907AF" w:rsidP="00D907AF"/>
    <w:p w:rsidR="00D907AF" w:rsidRDefault="00D907AF" w:rsidP="00AF5E38">
      <w:pPr>
        <w:pStyle w:val="Bullets"/>
        <w:numPr>
          <w:ilvl w:val="0"/>
          <w:numId w:val="18"/>
        </w:numPr>
        <w:spacing w:before="0"/>
      </w:pPr>
      <w:r>
        <w:t>the impact of disability on the lives of people with disability as well as the lives of family members and carers, including on social and economic participation</w:t>
      </w:r>
    </w:p>
    <w:p w:rsidR="00D907AF" w:rsidRDefault="00D907AF" w:rsidP="00AF5E38">
      <w:pPr>
        <w:pStyle w:val="Bullets"/>
        <w:numPr>
          <w:ilvl w:val="0"/>
          <w:numId w:val="18"/>
        </w:numPr>
        <w:spacing w:before="0"/>
      </w:pPr>
      <w:r>
        <w:t>awareness and expectation of the NDIS</w:t>
      </w:r>
    </w:p>
    <w:p w:rsidR="00D907AF" w:rsidRDefault="00D907AF" w:rsidP="00AF5E38">
      <w:pPr>
        <w:pStyle w:val="Bullets"/>
        <w:numPr>
          <w:ilvl w:val="0"/>
          <w:numId w:val="18"/>
        </w:numPr>
        <w:spacing w:before="0"/>
      </w:pPr>
      <w:r>
        <w:t>experiences of entering the NDIS and of preparing the NDIS plan</w:t>
      </w:r>
    </w:p>
    <w:p w:rsidR="00D907AF" w:rsidRDefault="00D907AF" w:rsidP="00AF5E38">
      <w:pPr>
        <w:pStyle w:val="Bullets"/>
        <w:numPr>
          <w:ilvl w:val="0"/>
          <w:numId w:val="18"/>
        </w:numPr>
        <w:spacing w:before="0"/>
      </w:pPr>
      <w:r>
        <w:t>plan implementation process and receipt of NDIS-funded supports</w:t>
      </w:r>
    </w:p>
    <w:p w:rsidR="00D907AF" w:rsidRDefault="00D907AF" w:rsidP="00AF5E38">
      <w:pPr>
        <w:pStyle w:val="Bullets"/>
        <w:numPr>
          <w:ilvl w:val="0"/>
          <w:numId w:val="18"/>
        </w:numPr>
        <w:spacing w:before="0"/>
      </w:pPr>
      <w:r>
        <w:t>early accounts of the impact of the NDIS on people with disability, and their families and carers</w:t>
      </w:r>
    </w:p>
    <w:p w:rsidR="00D907AF" w:rsidRDefault="00D907AF" w:rsidP="00AF5E38">
      <w:pPr>
        <w:pStyle w:val="Bullets"/>
        <w:numPr>
          <w:ilvl w:val="0"/>
          <w:numId w:val="18"/>
        </w:numPr>
        <w:spacing w:before="0"/>
      </w:pPr>
      <w:r>
        <w:t>areas of improvement identified by respondents.</w:t>
      </w:r>
    </w:p>
    <w:p w:rsidR="00D907AF" w:rsidRPr="004B3D27" w:rsidRDefault="00D907AF" w:rsidP="00D907AF"/>
    <w:p w:rsidR="00D907AF" w:rsidRDefault="00D907AF" w:rsidP="00D907AF">
      <w:r>
        <w:t>In all instances, the focus of the interviews was to get the respondents’ perspective, and to isolate activities and effect associated with the NDIS from other influences.</w:t>
      </w:r>
    </w:p>
    <w:p w:rsidR="00D907AF" w:rsidRDefault="00D907AF" w:rsidP="00EC2C19">
      <w:pPr>
        <w:pStyle w:val="Heading3"/>
      </w:pPr>
      <w:bookmarkStart w:id="37" w:name="_Toc428271209"/>
      <w:bookmarkStart w:id="38" w:name="_Toc449954949"/>
      <w:r>
        <w:t>2.2.2 Recruitment, sample and interview</w:t>
      </w:r>
      <w:bookmarkEnd w:id="37"/>
      <w:bookmarkEnd w:id="38"/>
    </w:p>
    <w:p w:rsidR="00D907AF" w:rsidRDefault="00D907AF" w:rsidP="00D907AF">
      <w:r>
        <w:t xml:space="preserve">Interviews were conducted with 62 NDIS participants, and family members and carers across the four initial trial sites and the ACT. The interviews targeted people who had already moved into the scheme and commenced, or indeed completed, the NDIS plan preparation and implementation. </w:t>
      </w:r>
    </w:p>
    <w:p w:rsidR="00D907AF" w:rsidRDefault="00D907AF" w:rsidP="00D907AF"/>
    <w:p w:rsidR="00D907AF" w:rsidRDefault="00D907AF" w:rsidP="00D907AF">
      <w:r>
        <w:t>Recruitment for the interview was conducted by way of advertisement through stakeholder organisations and disability support providers, using and encouraging the dissemination of information flyers, which had been distributed electronically or in the form of paper copies. People with disability interested in participating in the s</w:t>
      </w:r>
      <w:r w:rsidR="004B6A6F">
        <w:t>tudy were asked to contact the e</w:t>
      </w:r>
      <w:r>
        <w:t xml:space="preserve">valuation team and register for the study. Selective sampling was then used to ensure that the characteristics of the NDIS participants registering to be interviewed broadly reflected the characteristics of the NDIS participant population within each of the trial sites at the time. In addition, the researchers selected people who </w:t>
      </w:r>
      <w:r>
        <w:lastRenderedPageBreak/>
        <w:t>had been living with disability for different lengths of time, including both people who had been living with disability since birth and people who had more recently acquired a disability.</w:t>
      </w:r>
    </w:p>
    <w:p w:rsidR="00D907AF" w:rsidRDefault="00D907AF" w:rsidP="00D907AF"/>
    <w:p w:rsidR="00D907AF" w:rsidRDefault="00D907AF" w:rsidP="00D907AF">
      <w:r>
        <w:t>In the end</w:t>
      </w:r>
      <w:r w:rsidRPr="0052591D">
        <w:t xml:space="preserve">, </w:t>
      </w:r>
      <w:r>
        <w:t>almost two thirds (</w:t>
      </w:r>
      <w:r w:rsidRPr="0052591D">
        <w:t>64 per</w:t>
      </w:r>
      <w:r>
        <w:t xml:space="preserve"> </w:t>
      </w:r>
      <w:r w:rsidRPr="0052591D">
        <w:t>cent</w:t>
      </w:r>
      <w:r>
        <w:t>)</w:t>
      </w:r>
      <w:r w:rsidRPr="0052591D">
        <w:t xml:space="preserve"> of NDIS participants </w:t>
      </w:r>
      <w:r>
        <w:t xml:space="preserve">who took part in the qualitative study were </w:t>
      </w:r>
      <w:r w:rsidRPr="0052591D">
        <w:t>male</w:t>
      </w:r>
      <w:r>
        <w:t>; one third</w:t>
      </w:r>
      <w:r w:rsidRPr="0052591D">
        <w:t xml:space="preserve"> </w:t>
      </w:r>
      <w:r>
        <w:t>(</w:t>
      </w:r>
      <w:r w:rsidRPr="0052591D">
        <w:t>36 per</w:t>
      </w:r>
      <w:r>
        <w:t xml:space="preserve"> </w:t>
      </w:r>
      <w:r w:rsidRPr="0052591D">
        <w:t>cent</w:t>
      </w:r>
      <w:r>
        <w:t>) were</w:t>
      </w:r>
      <w:r w:rsidRPr="0052591D">
        <w:t xml:space="preserve"> female</w:t>
      </w:r>
      <w:r>
        <w:t xml:space="preserve"> (Table 2.2)</w:t>
      </w:r>
      <w:r w:rsidRPr="0052591D">
        <w:t>. Respondents were fairly evenly distributed across different age categories. However those aged 0-12 years (29</w:t>
      </w:r>
      <w:r>
        <w:t xml:space="preserve"> per cent</w:t>
      </w:r>
      <w:r w:rsidRPr="0052591D">
        <w:t>) and 18-24 years (27</w:t>
      </w:r>
      <w:r>
        <w:t xml:space="preserve"> per cent</w:t>
      </w:r>
      <w:r w:rsidRPr="0052591D">
        <w:t xml:space="preserve">) were overrepresented because </w:t>
      </w:r>
      <w:r>
        <w:t xml:space="preserve">the </w:t>
      </w:r>
      <w:r w:rsidRPr="0052591D">
        <w:t xml:space="preserve">two trial sites </w:t>
      </w:r>
      <w:r>
        <w:t xml:space="preserve">in </w:t>
      </w:r>
      <w:r w:rsidRPr="0052591D">
        <w:t>South Australia and Tasmania targeted younger age groups.</w:t>
      </w:r>
    </w:p>
    <w:p w:rsidR="00D907AF" w:rsidRDefault="00D907AF" w:rsidP="00D907AF"/>
    <w:p w:rsidR="00D907AF" w:rsidRPr="006C7EE3" w:rsidRDefault="00D907AF" w:rsidP="0044684E">
      <w:pPr>
        <w:pStyle w:val="NILSTableHeading"/>
        <w:rPr>
          <w:lang w:val="en-AU"/>
        </w:rPr>
      </w:pPr>
      <w:bookmarkStart w:id="39" w:name="_Toc428271190"/>
      <w:bookmarkStart w:id="40" w:name="_Toc449955259"/>
      <w:r w:rsidRPr="00EA718E">
        <w:t xml:space="preserve">Table </w:t>
      </w:r>
      <w:r>
        <w:t xml:space="preserve">2.2: </w:t>
      </w:r>
      <w:r w:rsidRPr="00EA718E">
        <w:t xml:space="preserve">Characteristics of </w:t>
      </w:r>
      <w:r>
        <w:t>r</w:t>
      </w:r>
      <w:r w:rsidRPr="00EA718E">
        <w:t xml:space="preserve">espondents in the </w:t>
      </w:r>
      <w:r>
        <w:t>q</w:t>
      </w:r>
      <w:r w:rsidRPr="00EA718E">
        <w:t xml:space="preserve">ualitative </w:t>
      </w:r>
      <w:r>
        <w:t>s</w:t>
      </w:r>
      <w:r w:rsidRPr="00EA718E">
        <w:t xml:space="preserve">tudy of </w:t>
      </w:r>
      <w:r>
        <w:t>p</w:t>
      </w:r>
      <w:r w:rsidRPr="00EA718E">
        <w:t xml:space="preserve">eople with </w:t>
      </w:r>
      <w:r>
        <w:t>d</w:t>
      </w:r>
      <w:r w:rsidRPr="00EA718E">
        <w:t xml:space="preserve">isability, and their </w:t>
      </w:r>
      <w:r>
        <w:t>f</w:t>
      </w:r>
      <w:r w:rsidRPr="00EA718E">
        <w:t xml:space="preserve">amilies and </w:t>
      </w:r>
      <w:r>
        <w:t>c</w:t>
      </w:r>
      <w:r w:rsidRPr="00EA718E">
        <w:t>arers</w:t>
      </w:r>
      <w:bookmarkEnd w:id="39"/>
      <w:bookmarkEnd w:id="40"/>
    </w:p>
    <w:tbl>
      <w:tblPr>
        <w:tblStyle w:val="MediumGrid3-Accent5"/>
        <w:tblW w:w="4485" w:type="pct"/>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Caption w:val="Table 2.2 Characteristics of respondents in the qualitative study of people with disability, and their families and carers."/>
        <w:tblDescription w:val="This table contains the percentage of respondents by gender, age, disability, date of joining the NDIS and type of residence."/>
      </w:tblPr>
      <w:tblGrid>
        <w:gridCol w:w="2459"/>
        <w:gridCol w:w="4154"/>
        <w:gridCol w:w="1523"/>
      </w:tblGrid>
      <w:tr w:rsidR="00D907AF" w:rsidRPr="00574123" w:rsidTr="00F3445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511" w:type="pct"/>
            <w:tcBorders>
              <w:top w:val="single" w:sz="4" w:space="0" w:color="auto"/>
              <w:left w:val="nil"/>
              <w:bottom w:val="single" w:sz="4" w:space="0" w:color="auto"/>
              <w:right w:val="none" w:sz="0" w:space="0" w:color="auto"/>
            </w:tcBorders>
            <w:shd w:val="clear" w:color="auto" w:fill="auto"/>
          </w:tcPr>
          <w:p w:rsidR="00D907AF" w:rsidRPr="008914CC" w:rsidRDefault="00D907AF" w:rsidP="00D907AF">
            <w:pPr>
              <w:spacing w:before="20" w:after="20"/>
              <w:rPr>
                <w:rFonts w:eastAsia="Calibri" w:cstheme="minorHAnsi"/>
                <w:b w:val="0"/>
                <w:color w:val="auto"/>
                <w:sz w:val="20"/>
                <w:szCs w:val="20"/>
              </w:rPr>
            </w:pPr>
            <w:bookmarkStart w:id="41" w:name="Title_2_2"/>
            <w:bookmarkEnd w:id="41"/>
          </w:p>
        </w:tc>
        <w:tc>
          <w:tcPr>
            <w:tcW w:w="2553" w:type="pct"/>
            <w:tcBorders>
              <w:top w:val="single" w:sz="4" w:space="0" w:color="auto"/>
              <w:left w:val="none" w:sz="0" w:space="0" w:color="auto"/>
              <w:bottom w:val="single" w:sz="4" w:space="0" w:color="auto"/>
              <w:right w:val="none" w:sz="0" w:space="0" w:color="auto"/>
            </w:tcBorders>
            <w:shd w:val="clear" w:color="auto" w:fill="auto"/>
            <w:vAlign w:val="bottom"/>
          </w:tcPr>
          <w:p w:rsidR="00D907AF" w:rsidRPr="008914CC" w:rsidRDefault="0018313D" w:rsidP="00FF2B0E">
            <w:pPr>
              <w:spacing w:before="20" w:after="20"/>
              <w:cnfStyle w:val="100000000000" w:firstRow="1" w:lastRow="0" w:firstColumn="0" w:lastColumn="0" w:oddVBand="0" w:evenVBand="0" w:oddHBand="0" w:evenHBand="0" w:firstRowFirstColumn="0" w:firstRowLastColumn="0" w:lastRowFirstColumn="0" w:lastRowLastColumn="0"/>
              <w:rPr>
                <w:rFonts w:eastAsia="Calibri" w:cstheme="minorHAnsi"/>
                <w:b w:val="0"/>
                <w:color w:val="auto"/>
                <w:sz w:val="20"/>
                <w:szCs w:val="20"/>
              </w:rPr>
            </w:pPr>
            <w:r w:rsidRPr="008914CC">
              <w:rPr>
                <w:rFonts w:eastAsia="Calibri" w:cstheme="minorHAnsi"/>
                <w:b w:val="0"/>
                <w:color w:val="auto"/>
                <w:sz w:val="20"/>
                <w:szCs w:val="20"/>
              </w:rPr>
              <w:t>Characteristic</w:t>
            </w:r>
          </w:p>
        </w:tc>
        <w:tc>
          <w:tcPr>
            <w:tcW w:w="936" w:type="pct"/>
            <w:tcBorders>
              <w:top w:val="single" w:sz="4" w:space="0" w:color="auto"/>
              <w:left w:val="none" w:sz="0" w:space="0" w:color="auto"/>
              <w:bottom w:val="single" w:sz="4" w:space="0" w:color="auto"/>
              <w:right w:val="nil"/>
            </w:tcBorders>
            <w:shd w:val="clear" w:color="auto" w:fill="auto"/>
          </w:tcPr>
          <w:p w:rsidR="00D907AF" w:rsidRDefault="0071562F" w:rsidP="0071562F">
            <w:pPr>
              <w:spacing w:before="20" w:after="20"/>
              <w:ind w:right="255"/>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color w:val="auto"/>
                <w:sz w:val="20"/>
                <w:szCs w:val="20"/>
              </w:rPr>
            </w:pPr>
            <w:r>
              <w:rPr>
                <w:rFonts w:eastAsia="Calibri" w:cstheme="minorHAnsi"/>
                <w:b w:val="0"/>
                <w:color w:val="auto"/>
                <w:sz w:val="20"/>
                <w:szCs w:val="20"/>
              </w:rPr>
              <w:t>R</w:t>
            </w:r>
            <w:r w:rsidR="00D907AF" w:rsidRPr="008914CC">
              <w:rPr>
                <w:rFonts w:eastAsia="Calibri" w:cstheme="minorHAnsi"/>
                <w:b w:val="0"/>
                <w:color w:val="auto"/>
                <w:sz w:val="20"/>
                <w:szCs w:val="20"/>
              </w:rPr>
              <w:t>espondents</w:t>
            </w:r>
            <w:r>
              <w:rPr>
                <w:rFonts w:eastAsia="Calibri" w:cstheme="minorHAnsi"/>
                <w:b w:val="0"/>
                <w:color w:val="auto"/>
                <w:sz w:val="20"/>
                <w:szCs w:val="20"/>
              </w:rPr>
              <w:t xml:space="preserve"> </w:t>
            </w:r>
          </w:p>
          <w:p w:rsidR="0071562F" w:rsidRPr="008914CC" w:rsidRDefault="0071562F" w:rsidP="0071562F">
            <w:pPr>
              <w:spacing w:before="20" w:after="20"/>
              <w:ind w:right="255"/>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color w:val="auto"/>
                <w:sz w:val="20"/>
                <w:szCs w:val="20"/>
              </w:rPr>
            </w:pPr>
            <w:r>
              <w:rPr>
                <w:rFonts w:eastAsia="Calibri" w:cstheme="minorHAnsi"/>
                <w:b w:val="0"/>
                <w:color w:val="auto"/>
                <w:sz w:val="20"/>
                <w:szCs w:val="20"/>
              </w:rPr>
              <w:t>%</w:t>
            </w:r>
          </w:p>
        </w:tc>
      </w:tr>
      <w:tr w:rsidR="00D907AF" w:rsidRPr="00574123" w:rsidTr="00F3445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11" w:type="pct"/>
            <w:tcBorders>
              <w:top w:val="single" w:sz="4" w:space="0" w:color="auto"/>
              <w:left w:val="nil"/>
              <w:bottom w:val="none" w:sz="0" w:space="0" w:color="auto"/>
              <w:right w:val="none" w:sz="0" w:space="0" w:color="auto"/>
            </w:tcBorders>
            <w:shd w:val="clear" w:color="auto" w:fill="auto"/>
          </w:tcPr>
          <w:p w:rsidR="00D907AF" w:rsidRPr="00574123" w:rsidRDefault="00D907AF" w:rsidP="00D907AF">
            <w:pPr>
              <w:spacing w:before="20" w:after="20"/>
              <w:rPr>
                <w:rFonts w:cstheme="minorHAnsi"/>
                <w:color w:val="auto"/>
                <w:sz w:val="20"/>
                <w:szCs w:val="20"/>
              </w:rPr>
            </w:pPr>
            <w:r w:rsidRPr="00574123">
              <w:rPr>
                <w:rFonts w:cstheme="minorHAnsi"/>
                <w:color w:val="auto"/>
                <w:sz w:val="20"/>
                <w:szCs w:val="20"/>
              </w:rPr>
              <w:t>Gender</w:t>
            </w:r>
          </w:p>
        </w:tc>
        <w:tc>
          <w:tcPr>
            <w:tcW w:w="2553" w:type="pct"/>
            <w:tcBorders>
              <w:top w:val="single" w:sz="4" w:space="0" w:color="auto"/>
              <w:left w:val="none" w:sz="0" w:space="0" w:color="auto"/>
              <w:bottom w:val="none" w:sz="0" w:space="0" w:color="auto"/>
              <w:right w:val="none" w:sz="0" w:space="0" w:color="auto"/>
            </w:tcBorders>
            <w:shd w:val="clear" w:color="auto" w:fill="auto"/>
          </w:tcPr>
          <w:p w:rsidR="00D907AF" w:rsidRPr="00574123" w:rsidRDefault="00D907AF" w:rsidP="00D907AF">
            <w:pPr>
              <w:spacing w:before="20" w:after="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74123">
              <w:rPr>
                <w:rFonts w:cstheme="minorHAnsi"/>
                <w:sz w:val="20"/>
                <w:szCs w:val="20"/>
              </w:rPr>
              <w:t>Female</w:t>
            </w:r>
          </w:p>
        </w:tc>
        <w:tc>
          <w:tcPr>
            <w:tcW w:w="936" w:type="pct"/>
            <w:tcBorders>
              <w:top w:val="single" w:sz="4" w:space="0" w:color="auto"/>
              <w:left w:val="none" w:sz="0" w:space="0" w:color="auto"/>
              <w:bottom w:val="none" w:sz="0" w:space="0" w:color="auto"/>
              <w:right w:val="nil"/>
            </w:tcBorders>
            <w:shd w:val="clear" w:color="auto" w:fill="auto"/>
          </w:tcPr>
          <w:p w:rsidR="00D907AF" w:rsidRPr="00574123" w:rsidRDefault="00D907AF" w:rsidP="00F3445F">
            <w:pPr>
              <w:spacing w:before="20" w:after="20"/>
              <w:ind w:right="743"/>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74123">
              <w:rPr>
                <w:rFonts w:cstheme="minorHAnsi"/>
                <w:sz w:val="20"/>
                <w:szCs w:val="20"/>
              </w:rPr>
              <w:t>36</w:t>
            </w:r>
          </w:p>
        </w:tc>
      </w:tr>
      <w:tr w:rsidR="00D907AF" w:rsidRPr="00574123" w:rsidTr="00F3445F">
        <w:trPr>
          <w:cantSplit/>
        </w:trPr>
        <w:tc>
          <w:tcPr>
            <w:cnfStyle w:val="001000000000" w:firstRow="0" w:lastRow="0" w:firstColumn="1" w:lastColumn="0" w:oddVBand="0" w:evenVBand="0" w:oddHBand="0" w:evenHBand="0" w:firstRowFirstColumn="0" w:firstRowLastColumn="0" w:lastRowFirstColumn="0" w:lastRowLastColumn="0"/>
            <w:tcW w:w="1511" w:type="pct"/>
            <w:tcBorders>
              <w:left w:val="nil"/>
              <w:bottom w:val="none" w:sz="0" w:space="0" w:color="auto"/>
              <w:right w:val="none" w:sz="0" w:space="0" w:color="auto"/>
            </w:tcBorders>
            <w:shd w:val="clear" w:color="auto" w:fill="auto"/>
          </w:tcPr>
          <w:p w:rsidR="00D907AF" w:rsidRPr="009123EF" w:rsidRDefault="003B05C4" w:rsidP="009123EF">
            <w:pPr>
              <w:spacing w:before="20" w:after="20"/>
              <w:rPr>
                <w:rFonts w:cstheme="minorHAnsi"/>
                <w:b w:val="0"/>
                <w:color w:val="auto"/>
                <w:sz w:val="20"/>
                <w:szCs w:val="20"/>
              </w:rPr>
            </w:pPr>
            <w:r w:rsidRPr="00AA4667">
              <w:rPr>
                <w:rFonts w:cstheme="minorHAnsi"/>
                <w:b w:val="0"/>
                <w:sz w:val="20"/>
                <w:szCs w:val="20"/>
              </w:rPr>
              <w:t>Gender</w:t>
            </w:r>
          </w:p>
        </w:tc>
        <w:tc>
          <w:tcPr>
            <w:tcW w:w="2553" w:type="pct"/>
            <w:shd w:val="clear" w:color="auto" w:fill="auto"/>
          </w:tcPr>
          <w:p w:rsidR="00D907AF" w:rsidRPr="00574123" w:rsidRDefault="00D907AF" w:rsidP="00D907AF">
            <w:pPr>
              <w:spacing w:before="20" w:after="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74123">
              <w:rPr>
                <w:rFonts w:cstheme="minorHAnsi"/>
                <w:sz w:val="20"/>
                <w:szCs w:val="20"/>
              </w:rPr>
              <w:t>Male</w:t>
            </w:r>
          </w:p>
        </w:tc>
        <w:tc>
          <w:tcPr>
            <w:tcW w:w="936" w:type="pct"/>
            <w:tcBorders>
              <w:right w:val="nil"/>
            </w:tcBorders>
            <w:shd w:val="clear" w:color="auto" w:fill="auto"/>
          </w:tcPr>
          <w:p w:rsidR="00D907AF" w:rsidRPr="00574123" w:rsidRDefault="00D907AF" w:rsidP="00F3445F">
            <w:pPr>
              <w:spacing w:before="20" w:after="20"/>
              <w:ind w:right="743"/>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74123">
              <w:rPr>
                <w:rFonts w:cstheme="minorHAnsi"/>
                <w:sz w:val="20"/>
                <w:szCs w:val="20"/>
              </w:rPr>
              <w:t>64</w:t>
            </w:r>
          </w:p>
        </w:tc>
      </w:tr>
      <w:tr w:rsidR="00D907AF" w:rsidRPr="00574123" w:rsidTr="00F3445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11" w:type="pct"/>
            <w:tcBorders>
              <w:top w:val="none" w:sz="0" w:space="0" w:color="auto"/>
              <w:left w:val="nil"/>
              <w:bottom w:val="none" w:sz="0" w:space="0" w:color="auto"/>
              <w:right w:val="none" w:sz="0" w:space="0" w:color="auto"/>
            </w:tcBorders>
            <w:shd w:val="clear" w:color="auto" w:fill="auto"/>
          </w:tcPr>
          <w:p w:rsidR="00D907AF" w:rsidRPr="009123EF" w:rsidRDefault="00D907AF" w:rsidP="00D907AF">
            <w:pPr>
              <w:spacing w:before="20" w:after="20"/>
              <w:rPr>
                <w:rFonts w:cstheme="minorHAnsi"/>
                <w:color w:val="auto"/>
                <w:sz w:val="20"/>
                <w:szCs w:val="20"/>
              </w:rPr>
            </w:pPr>
            <w:r w:rsidRPr="009123EF">
              <w:rPr>
                <w:rFonts w:cstheme="minorHAnsi"/>
                <w:color w:val="auto"/>
                <w:sz w:val="20"/>
                <w:szCs w:val="20"/>
              </w:rPr>
              <w:t>Age</w:t>
            </w:r>
          </w:p>
        </w:tc>
        <w:tc>
          <w:tcPr>
            <w:tcW w:w="2553" w:type="pct"/>
            <w:tcBorders>
              <w:top w:val="none" w:sz="0" w:space="0" w:color="auto"/>
              <w:left w:val="none" w:sz="0" w:space="0" w:color="auto"/>
              <w:bottom w:val="none" w:sz="0" w:space="0" w:color="auto"/>
              <w:right w:val="none" w:sz="0" w:space="0" w:color="auto"/>
            </w:tcBorders>
            <w:shd w:val="clear" w:color="auto" w:fill="auto"/>
          </w:tcPr>
          <w:p w:rsidR="00D907AF" w:rsidRPr="00574123" w:rsidRDefault="009123EF" w:rsidP="00D907AF">
            <w:pPr>
              <w:spacing w:before="20" w:after="20"/>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0 to </w:t>
            </w:r>
            <w:r w:rsidR="00D907AF" w:rsidRPr="00574123">
              <w:rPr>
                <w:rFonts w:cstheme="minorHAnsi"/>
                <w:sz w:val="20"/>
                <w:szCs w:val="20"/>
              </w:rPr>
              <w:t>12 years</w:t>
            </w:r>
          </w:p>
        </w:tc>
        <w:tc>
          <w:tcPr>
            <w:tcW w:w="936" w:type="pct"/>
            <w:tcBorders>
              <w:top w:val="none" w:sz="0" w:space="0" w:color="auto"/>
              <w:left w:val="none" w:sz="0" w:space="0" w:color="auto"/>
              <w:bottom w:val="none" w:sz="0" w:space="0" w:color="auto"/>
              <w:right w:val="nil"/>
            </w:tcBorders>
            <w:shd w:val="clear" w:color="auto" w:fill="auto"/>
          </w:tcPr>
          <w:p w:rsidR="00D907AF" w:rsidRPr="00574123" w:rsidRDefault="00D907AF" w:rsidP="00F3445F">
            <w:pPr>
              <w:spacing w:before="20" w:after="20"/>
              <w:ind w:right="743"/>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74123">
              <w:rPr>
                <w:rFonts w:cstheme="minorHAnsi"/>
                <w:sz w:val="20"/>
                <w:szCs w:val="20"/>
              </w:rPr>
              <w:t>29</w:t>
            </w:r>
          </w:p>
        </w:tc>
      </w:tr>
      <w:tr w:rsidR="003B05C4" w:rsidRPr="00574123" w:rsidTr="00F3445F">
        <w:trPr>
          <w:cantSplit/>
        </w:trPr>
        <w:tc>
          <w:tcPr>
            <w:cnfStyle w:val="001000000000" w:firstRow="0" w:lastRow="0" w:firstColumn="1" w:lastColumn="0" w:oddVBand="0" w:evenVBand="0" w:oddHBand="0" w:evenHBand="0" w:firstRowFirstColumn="0" w:firstRowLastColumn="0" w:lastRowFirstColumn="0" w:lastRowLastColumn="0"/>
            <w:tcW w:w="1511" w:type="pct"/>
            <w:tcBorders>
              <w:left w:val="nil"/>
              <w:bottom w:val="none" w:sz="0" w:space="0" w:color="auto"/>
              <w:right w:val="none" w:sz="0" w:space="0" w:color="auto"/>
            </w:tcBorders>
            <w:shd w:val="clear" w:color="auto" w:fill="auto"/>
          </w:tcPr>
          <w:p w:rsidR="003B05C4" w:rsidRPr="00AA4667" w:rsidRDefault="003B05C4">
            <w:pPr>
              <w:rPr>
                <w:b w:val="0"/>
              </w:rPr>
            </w:pPr>
            <w:r w:rsidRPr="00AA4667">
              <w:rPr>
                <w:b w:val="0"/>
              </w:rPr>
              <w:t>Age</w:t>
            </w:r>
          </w:p>
        </w:tc>
        <w:tc>
          <w:tcPr>
            <w:tcW w:w="2553" w:type="pct"/>
            <w:shd w:val="clear" w:color="auto" w:fill="auto"/>
          </w:tcPr>
          <w:p w:rsidR="003B05C4" w:rsidRPr="00574123" w:rsidRDefault="003B05C4" w:rsidP="009123EF">
            <w:pPr>
              <w:spacing w:before="20" w:after="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74123">
              <w:rPr>
                <w:rFonts w:cstheme="minorHAnsi"/>
                <w:sz w:val="20"/>
                <w:szCs w:val="20"/>
              </w:rPr>
              <w:t>13</w:t>
            </w:r>
            <w:r w:rsidR="009123EF">
              <w:rPr>
                <w:rFonts w:cstheme="minorHAnsi"/>
                <w:sz w:val="20"/>
                <w:szCs w:val="20"/>
              </w:rPr>
              <w:t xml:space="preserve"> to </w:t>
            </w:r>
            <w:r w:rsidRPr="00574123">
              <w:rPr>
                <w:rFonts w:cstheme="minorHAnsi"/>
                <w:sz w:val="20"/>
                <w:szCs w:val="20"/>
              </w:rPr>
              <w:t>17 years</w:t>
            </w:r>
          </w:p>
        </w:tc>
        <w:tc>
          <w:tcPr>
            <w:tcW w:w="936" w:type="pct"/>
            <w:tcBorders>
              <w:right w:val="nil"/>
            </w:tcBorders>
            <w:shd w:val="clear" w:color="auto" w:fill="auto"/>
          </w:tcPr>
          <w:p w:rsidR="003B05C4" w:rsidRPr="00574123" w:rsidRDefault="003B05C4" w:rsidP="00F3445F">
            <w:pPr>
              <w:spacing w:before="20" w:after="20"/>
              <w:ind w:right="743"/>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74123">
              <w:rPr>
                <w:rFonts w:cstheme="minorHAnsi"/>
                <w:sz w:val="20"/>
                <w:szCs w:val="20"/>
              </w:rPr>
              <w:t>10</w:t>
            </w:r>
          </w:p>
        </w:tc>
      </w:tr>
      <w:tr w:rsidR="003B05C4" w:rsidRPr="00574123" w:rsidTr="00F3445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11" w:type="pct"/>
            <w:tcBorders>
              <w:top w:val="none" w:sz="0" w:space="0" w:color="auto"/>
              <w:left w:val="nil"/>
              <w:bottom w:val="none" w:sz="0" w:space="0" w:color="auto"/>
              <w:right w:val="none" w:sz="0" w:space="0" w:color="auto"/>
            </w:tcBorders>
            <w:shd w:val="clear" w:color="auto" w:fill="auto"/>
          </w:tcPr>
          <w:p w:rsidR="003B05C4" w:rsidRPr="00AA4667" w:rsidRDefault="003B05C4">
            <w:pPr>
              <w:rPr>
                <w:b w:val="0"/>
              </w:rPr>
            </w:pPr>
            <w:r w:rsidRPr="00AA4667">
              <w:rPr>
                <w:b w:val="0"/>
              </w:rPr>
              <w:t>Age</w:t>
            </w:r>
          </w:p>
        </w:tc>
        <w:tc>
          <w:tcPr>
            <w:tcW w:w="2553" w:type="pct"/>
            <w:tcBorders>
              <w:top w:val="none" w:sz="0" w:space="0" w:color="auto"/>
              <w:left w:val="none" w:sz="0" w:space="0" w:color="auto"/>
              <w:bottom w:val="none" w:sz="0" w:space="0" w:color="auto"/>
              <w:right w:val="none" w:sz="0" w:space="0" w:color="auto"/>
            </w:tcBorders>
            <w:shd w:val="clear" w:color="auto" w:fill="auto"/>
          </w:tcPr>
          <w:p w:rsidR="003B05C4" w:rsidRPr="00574123" w:rsidRDefault="003B05C4" w:rsidP="009123EF">
            <w:pPr>
              <w:spacing w:before="20" w:after="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74123">
              <w:rPr>
                <w:rFonts w:cstheme="minorHAnsi"/>
                <w:sz w:val="20"/>
                <w:szCs w:val="20"/>
              </w:rPr>
              <w:t>18</w:t>
            </w:r>
            <w:r w:rsidR="009123EF">
              <w:rPr>
                <w:rFonts w:cstheme="minorHAnsi"/>
                <w:sz w:val="20"/>
                <w:szCs w:val="20"/>
              </w:rPr>
              <w:t xml:space="preserve"> to </w:t>
            </w:r>
            <w:r w:rsidRPr="00574123">
              <w:rPr>
                <w:rFonts w:cstheme="minorHAnsi"/>
                <w:sz w:val="20"/>
                <w:szCs w:val="20"/>
              </w:rPr>
              <w:t>24 years</w:t>
            </w:r>
          </w:p>
        </w:tc>
        <w:tc>
          <w:tcPr>
            <w:tcW w:w="936" w:type="pct"/>
            <w:tcBorders>
              <w:top w:val="none" w:sz="0" w:space="0" w:color="auto"/>
              <w:left w:val="none" w:sz="0" w:space="0" w:color="auto"/>
              <w:bottom w:val="none" w:sz="0" w:space="0" w:color="auto"/>
              <w:right w:val="nil"/>
            </w:tcBorders>
            <w:shd w:val="clear" w:color="auto" w:fill="auto"/>
          </w:tcPr>
          <w:p w:rsidR="003B05C4" w:rsidRPr="00574123" w:rsidRDefault="003B05C4" w:rsidP="00F3445F">
            <w:pPr>
              <w:spacing w:before="20" w:after="20"/>
              <w:ind w:right="743"/>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74123">
              <w:rPr>
                <w:rFonts w:cstheme="minorHAnsi"/>
                <w:sz w:val="20"/>
                <w:szCs w:val="20"/>
              </w:rPr>
              <w:t>27</w:t>
            </w:r>
          </w:p>
        </w:tc>
      </w:tr>
      <w:tr w:rsidR="003B05C4" w:rsidRPr="00574123" w:rsidTr="00F3445F">
        <w:trPr>
          <w:cantSplit/>
        </w:trPr>
        <w:tc>
          <w:tcPr>
            <w:cnfStyle w:val="001000000000" w:firstRow="0" w:lastRow="0" w:firstColumn="1" w:lastColumn="0" w:oddVBand="0" w:evenVBand="0" w:oddHBand="0" w:evenHBand="0" w:firstRowFirstColumn="0" w:firstRowLastColumn="0" w:lastRowFirstColumn="0" w:lastRowLastColumn="0"/>
            <w:tcW w:w="1511" w:type="pct"/>
            <w:tcBorders>
              <w:left w:val="nil"/>
              <w:bottom w:val="none" w:sz="0" w:space="0" w:color="auto"/>
              <w:right w:val="none" w:sz="0" w:space="0" w:color="auto"/>
            </w:tcBorders>
            <w:shd w:val="clear" w:color="auto" w:fill="auto"/>
          </w:tcPr>
          <w:p w:rsidR="003B05C4" w:rsidRPr="00AA4667" w:rsidRDefault="003B05C4">
            <w:pPr>
              <w:rPr>
                <w:b w:val="0"/>
              </w:rPr>
            </w:pPr>
            <w:r w:rsidRPr="00AA4667">
              <w:rPr>
                <w:b w:val="0"/>
              </w:rPr>
              <w:t>Age</w:t>
            </w:r>
          </w:p>
        </w:tc>
        <w:tc>
          <w:tcPr>
            <w:tcW w:w="2553" w:type="pct"/>
            <w:shd w:val="clear" w:color="auto" w:fill="auto"/>
          </w:tcPr>
          <w:p w:rsidR="003B05C4" w:rsidRPr="00574123" w:rsidRDefault="003B05C4" w:rsidP="009123EF">
            <w:pPr>
              <w:spacing w:before="20" w:after="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74123">
              <w:rPr>
                <w:rFonts w:cstheme="minorHAnsi"/>
                <w:sz w:val="20"/>
                <w:szCs w:val="20"/>
              </w:rPr>
              <w:t>25</w:t>
            </w:r>
            <w:r w:rsidR="009123EF">
              <w:rPr>
                <w:rFonts w:cstheme="minorHAnsi"/>
                <w:sz w:val="20"/>
                <w:szCs w:val="20"/>
              </w:rPr>
              <w:t xml:space="preserve"> to </w:t>
            </w:r>
            <w:r w:rsidRPr="00574123">
              <w:rPr>
                <w:rFonts w:cstheme="minorHAnsi"/>
                <w:sz w:val="20"/>
                <w:szCs w:val="20"/>
              </w:rPr>
              <w:t>34 years</w:t>
            </w:r>
          </w:p>
        </w:tc>
        <w:tc>
          <w:tcPr>
            <w:tcW w:w="936" w:type="pct"/>
            <w:tcBorders>
              <w:right w:val="nil"/>
            </w:tcBorders>
            <w:shd w:val="clear" w:color="auto" w:fill="auto"/>
          </w:tcPr>
          <w:p w:rsidR="003B05C4" w:rsidRPr="00574123" w:rsidRDefault="003B05C4" w:rsidP="00F3445F">
            <w:pPr>
              <w:spacing w:before="20" w:after="20"/>
              <w:ind w:right="743"/>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74123">
              <w:rPr>
                <w:rFonts w:cstheme="minorHAnsi"/>
                <w:sz w:val="20"/>
                <w:szCs w:val="20"/>
              </w:rPr>
              <w:t>8</w:t>
            </w:r>
          </w:p>
        </w:tc>
      </w:tr>
      <w:tr w:rsidR="003B05C4" w:rsidRPr="00574123" w:rsidTr="00F3445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11" w:type="pct"/>
            <w:tcBorders>
              <w:top w:val="none" w:sz="0" w:space="0" w:color="auto"/>
              <w:left w:val="nil"/>
              <w:bottom w:val="none" w:sz="0" w:space="0" w:color="auto"/>
              <w:right w:val="none" w:sz="0" w:space="0" w:color="auto"/>
            </w:tcBorders>
            <w:shd w:val="clear" w:color="auto" w:fill="auto"/>
          </w:tcPr>
          <w:p w:rsidR="003B05C4" w:rsidRPr="00AA4667" w:rsidRDefault="003B05C4">
            <w:pPr>
              <w:rPr>
                <w:b w:val="0"/>
              </w:rPr>
            </w:pPr>
            <w:r w:rsidRPr="00AA4667">
              <w:rPr>
                <w:b w:val="0"/>
              </w:rPr>
              <w:t>Age</w:t>
            </w:r>
          </w:p>
        </w:tc>
        <w:tc>
          <w:tcPr>
            <w:tcW w:w="2553" w:type="pct"/>
            <w:tcBorders>
              <w:top w:val="none" w:sz="0" w:space="0" w:color="auto"/>
              <w:left w:val="none" w:sz="0" w:space="0" w:color="auto"/>
              <w:bottom w:val="none" w:sz="0" w:space="0" w:color="auto"/>
              <w:right w:val="none" w:sz="0" w:space="0" w:color="auto"/>
            </w:tcBorders>
            <w:shd w:val="clear" w:color="auto" w:fill="auto"/>
          </w:tcPr>
          <w:p w:rsidR="003B05C4" w:rsidRPr="00574123" w:rsidRDefault="003B05C4" w:rsidP="009123EF">
            <w:pPr>
              <w:spacing w:before="20" w:after="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74123">
              <w:rPr>
                <w:rFonts w:cstheme="minorHAnsi"/>
                <w:sz w:val="20"/>
                <w:szCs w:val="20"/>
              </w:rPr>
              <w:t>35</w:t>
            </w:r>
            <w:r w:rsidR="009123EF">
              <w:rPr>
                <w:rFonts w:cstheme="minorHAnsi"/>
                <w:sz w:val="20"/>
                <w:szCs w:val="20"/>
              </w:rPr>
              <w:t xml:space="preserve"> to </w:t>
            </w:r>
            <w:r w:rsidRPr="00574123">
              <w:rPr>
                <w:rFonts w:cstheme="minorHAnsi"/>
                <w:sz w:val="20"/>
                <w:szCs w:val="20"/>
              </w:rPr>
              <w:t>44 years</w:t>
            </w:r>
          </w:p>
        </w:tc>
        <w:tc>
          <w:tcPr>
            <w:tcW w:w="936" w:type="pct"/>
            <w:tcBorders>
              <w:top w:val="none" w:sz="0" w:space="0" w:color="auto"/>
              <w:left w:val="none" w:sz="0" w:space="0" w:color="auto"/>
              <w:bottom w:val="none" w:sz="0" w:space="0" w:color="auto"/>
              <w:right w:val="nil"/>
            </w:tcBorders>
            <w:shd w:val="clear" w:color="auto" w:fill="auto"/>
          </w:tcPr>
          <w:p w:rsidR="003B05C4" w:rsidRPr="00574123" w:rsidRDefault="003B05C4" w:rsidP="00F3445F">
            <w:pPr>
              <w:spacing w:before="20" w:after="20"/>
              <w:ind w:right="743"/>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74123">
              <w:rPr>
                <w:rFonts w:cstheme="minorHAnsi"/>
                <w:sz w:val="20"/>
                <w:szCs w:val="20"/>
              </w:rPr>
              <w:t>7</w:t>
            </w:r>
          </w:p>
        </w:tc>
      </w:tr>
      <w:tr w:rsidR="003B05C4" w:rsidRPr="00574123" w:rsidTr="00F3445F">
        <w:trPr>
          <w:cantSplit/>
        </w:trPr>
        <w:tc>
          <w:tcPr>
            <w:cnfStyle w:val="001000000000" w:firstRow="0" w:lastRow="0" w:firstColumn="1" w:lastColumn="0" w:oddVBand="0" w:evenVBand="0" w:oddHBand="0" w:evenHBand="0" w:firstRowFirstColumn="0" w:firstRowLastColumn="0" w:lastRowFirstColumn="0" w:lastRowLastColumn="0"/>
            <w:tcW w:w="1511" w:type="pct"/>
            <w:tcBorders>
              <w:left w:val="nil"/>
              <w:bottom w:val="none" w:sz="0" w:space="0" w:color="auto"/>
              <w:right w:val="none" w:sz="0" w:space="0" w:color="auto"/>
            </w:tcBorders>
            <w:shd w:val="clear" w:color="auto" w:fill="auto"/>
          </w:tcPr>
          <w:p w:rsidR="003B05C4" w:rsidRPr="00AA4667" w:rsidRDefault="003B05C4">
            <w:pPr>
              <w:rPr>
                <w:b w:val="0"/>
              </w:rPr>
            </w:pPr>
            <w:r w:rsidRPr="00AA4667">
              <w:rPr>
                <w:b w:val="0"/>
              </w:rPr>
              <w:t>Age</w:t>
            </w:r>
          </w:p>
        </w:tc>
        <w:tc>
          <w:tcPr>
            <w:tcW w:w="2553" w:type="pct"/>
            <w:shd w:val="clear" w:color="auto" w:fill="auto"/>
          </w:tcPr>
          <w:p w:rsidR="003B05C4" w:rsidRPr="00574123" w:rsidRDefault="003B05C4" w:rsidP="009123EF">
            <w:pPr>
              <w:spacing w:before="20" w:after="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74123">
              <w:rPr>
                <w:rFonts w:cstheme="minorHAnsi"/>
                <w:sz w:val="20"/>
                <w:szCs w:val="20"/>
              </w:rPr>
              <w:t>45</w:t>
            </w:r>
            <w:r w:rsidR="009123EF">
              <w:rPr>
                <w:rFonts w:cstheme="minorHAnsi"/>
                <w:sz w:val="20"/>
                <w:szCs w:val="20"/>
              </w:rPr>
              <w:t xml:space="preserve"> to </w:t>
            </w:r>
            <w:r w:rsidRPr="00574123">
              <w:rPr>
                <w:rFonts w:cstheme="minorHAnsi"/>
                <w:sz w:val="20"/>
                <w:szCs w:val="20"/>
              </w:rPr>
              <w:t>54 years</w:t>
            </w:r>
          </w:p>
        </w:tc>
        <w:tc>
          <w:tcPr>
            <w:tcW w:w="936" w:type="pct"/>
            <w:tcBorders>
              <w:right w:val="nil"/>
            </w:tcBorders>
            <w:shd w:val="clear" w:color="auto" w:fill="auto"/>
          </w:tcPr>
          <w:p w:rsidR="003B05C4" w:rsidRPr="00574123" w:rsidRDefault="003B05C4" w:rsidP="00F3445F">
            <w:pPr>
              <w:spacing w:before="20" w:after="20"/>
              <w:ind w:right="743"/>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74123">
              <w:rPr>
                <w:rFonts w:cstheme="minorHAnsi"/>
                <w:sz w:val="20"/>
                <w:szCs w:val="20"/>
              </w:rPr>
              <w:t>7</w:t>
            </w:r>
          </w:p>
        </w:tc>
      </w:tr>
      <w:tr w:rsidR="003B05C4" w:rsidRPr="00574123" w:rsidTr="00F3445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11" w:type="pct"/>
            <w:tcBorders>
              <w:top w:val="none" w:sz="0" w:space="0" w:color="auto"/>
              <w:left w:val="nil"/>
              <w:bottom w:val="none" w:sz="0" w:space="0" w:color="auto"/>
              <w:right w:val="none" w:sz="0" w:space="0" w:color="auto"/>
            </w:tcBorders>
            <w:shd w:val="clear" w:color="auto" w:fill="auto"/>
          </w:tcPr>
          <w:p w:rsidR="003B05C4" w:rsidRPr="00AA4667" w:rsidRDefault="003B05C4">
            <w:pPr>
              <w:rPr>
                <w:b w:val="0"/>
              </w:rPr>
            </w:pPr>
            <w:r w:rsidRPr="00AA4667">
              <w:rPr>
                <w:b w:val="0"/>
              </w:rPr>
              <w:t>Age</w:t>
            </w:r>
          </w:p>
        </w:tc>
        <w:tc>
          <w:tcPr>
            <w:tcW w:w="2553" w:type="pct"/>
            <w:tcBorders>
              <w:top w:val="none" w:sz="0" w:space="0" w:color="auto"/>
              <w:left w:val="none" w:sz="0" w:space="0" w:color="auto"/>
              <w:bottom w:val="none" w:sz="0" w:space="0" w:color="auto"/>
              <w:right w:val="none" w:sz="0" w:space="0" w:color="auto"/>
            </w:tcBorders>
            <w:shd w:val="clear" w:color="auto" w:fill="auto"/>
          </w:tcPr>
          <w:p w:rsidR="003B05C4" w:rsidRPr="00574123" w:rsidRDefault="003B05C4" w:rsidP="00D907AF">
            <w:pPr>
              <w:spacing w:before="20" w:after="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74123">
              <w:rPr>
                <w:rFonts w:cstheme="minorHAnsi"/>
                <w:sz w:val="20"/>
                <w:szCs w:val="20"/>
              </w:rPr>
              <w:t>55+ years</w:t>
            </w:r>
          </w:p>
        </w:tc>
        <w:tc>
          <w:tcPr>
            <w:tcW w:w="936" w:type="pct"/>
            <w:tcBorders>
              <w:top w:val="none" w:sz="0" w:space="0" w:color="auto"/>
              <w:left w:val="none" w:sz="0" w:space="0" w:color="auto"/>
              <w:bottom w:val="none" w:sz="0" w:space="0" w:color="auto"/>
              <w:right w:val="nil"/>
            </w:tcBorders>
            <w:shd w:val="clear" w:color="auto" w:fill="auto"/>
          </w:tcPr>
          <w:p w:rsidR="003B05C4" w:rsidRPr="00574123" w:rsidRDefault="003B05C4" w:rsidP="00F3445F">
            <w:pPr>
              <w:spacing w:before="20" w:after="20"/>
              <w:ind w:right="743"/>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74123">
              <w:rPr>
                <w:rFonts w:cstheme="minorHAnsi"/>
                <w:sz w:val="20"/>
                <w:szCs w:val="20"/>
              </w:rPr>
              <w:t>13</w:t>
            </w:r>
          </w:p>
        </w:tc>
      </w:tr>
      <w:tr w:rsidR="00D907AF" w:rsidRPr="00574123" w:rsidTr="00F3445F">
        <w:trPr>
          <w:cantSplit/>
        </w:trPr>
        <w:tc>
          <w:tcPr>
            <w:cnfStyle w:val="001000000000" w:firstRow="0" w:lastRow="0" w:firstColumn="1" w:lastColumn="0" w:oddVBand="0" w:evenVBand="0" w:oddHBand="0" w:evenHBand="0" w:firstRowFirstColumn="0" w:firstRowLastColumn="0" w:lastRowFirstColumn="0" w:lastRowLastColumn="0"/>
            <w:tcW w:w="1511" w:type="pct"/>
            <w:tcBorders>
              <w:left w:val="nil"/>
              <w:bottom w:val="none" w:sz="0" w:space="0" w:color="auto"/>
              <w:right w:val="none" w:sz="0" w:space="0" w:color="auto"/>
            </w:tcBorders>
            <w:shd w:val="clear" w:color="auto" w:fill="auto"/>
          </w:tcPr>
          <w:p w:rsidR="00D907AF" w:rsidRPr="009123EF" w:rsidRDefault="00D907AF" w:rsidP="00D907AF">
            <w:pPr>
              <w:spacing w:before="20" w:after="20"/>
              <w:rPr>
                <w:rFonts w:cstheme="minorHAnsi"/>
                <w:color w:val="auto"/>
                <w:sz w:val="20"/>
                <w:szCs w:val="20"/>
              </w:rPr>
            </w:pPr>
            <w:r w:rsidRPr="009123EF">
              <w:rPr>
                <w:rFonts w:cstheme="minorHAnsi"/>
                <w:color w:val="auto"/>
                <w:sz w:val="20"/>
                <w:szCs w:val="20"/>
              </w:rPr>
              <w:t>Primary Disability Type</w:t>
            </w:r>
          </w:p>
        </w:tc>
        <w:tc>
          <w:tcPr>
            <w:tcW w:w="2553" w:type="pct"/>
            <w:shd w:val="clear" w:color="auto" w:fill="auto"/>
          </w:tcPr>
          <w:p w:rsidR="00D907AF" w:rsidRPr="00574123" w:rsidRDefault="00D907AF" w:rsidP="00D907AF">
            <w:pPr>
              <w:spacing w:before="20" w:after="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74123">
              <w:rPr>
                <w:rFonts w:cstheme="minorHAnsi"/>
                <w:sz w:val="20"/>
                <w:szCs w:val="20"/>
              </w:rPr>
              <w:t>Congenital or inherited condition</w:t>
            </w:r>
            <w:r w:rsidRPr="00574123">
              <w:rPr>
                <w:rFonts w:cstheme="minorHAnsi"/>
                <w:sz w:val="20"/>
                <w:szCs w:val="20"/>
                <w:vertAlign w:val="superscript"/>
              </w:rPr>
              <w:t>1</w:t>
            </w:r>
          </w:p>
        </w:tc>
        <w:tc>
          <w:tcPr>
            <w:tcW w:w="936" w:type="pct"/>
            <w:tcBorders>
              <w:right w:val="nil"/>
            </w:tcBorders>
            <w:shd w:val="clear" w:color="auto" w:fill="auto"/>
          </w:tcPr>
          <w:p w:rsidR="00D907AF" w:rsidRPr="00574123" w:rsidRDefault="00D907AF" w:rsidP="00F3445F">
            <w:pPr>
              <w:spacing w:before="20" w:after="20"/>
              <w:ind w:right="743"/>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74123">
              <w:rPr>
                <w:rFonts w:cstheme="minorHAnsi"/>
                <w:sz w:val="20"/>
                <w:szCs w:val="20"/>
              </w:rPr>
              <w:t>11</w:t>
            </w:r>
          </w:p>
        </w:tc>
      </w:tr>
      <w:tr w:rsidR="00AA4667" w:rsidRPr="00574123" w:rsidTr="00F3445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11" w:type="pct"/>
            <w:tcBorders>
              <w:top w:val="none" w:sz="0" w:space="0" w:color="auto"/>
              <w:left w:val="nil"/>
              <w:bottom w:val="none" w:sz="0" w:space="0" w:color="auto"/>
              <w:right w:val="none" w:sz="0" w:space="0" w:color="auto"/>
            </w:tcBorders>
            <w:shd w:val="clear" w:color="auto" w:fill="auto"/>
          </w:tcPr>
          <w:p w:rsidR="00AA4667" w:rsidRPr="00AA4667" w:rsidRDefault="00AA4667">
            <w:pPr>
              <w:rPr>
                <w:b w:val="0"/>
              </w:rPr>
            </w:pPr>
            <w:r w:rsidRPr="00AA4667">
              <w:rPr>
                <w:b w:val="0"/>
              </w:rPr>
              <w:t>Primary Disability Type</w:t>
            </w:r>
          </w:p>
        </w:tc>
        <w:tc>
          <w:tcPr>
            <w:tcW w:w="2553" w:type="pct"/>
            <w:tcBorders>
              <w:top w:val="none" w:sz="0" w:space="0" w:color="auto"/>
              <w:left w:val="none" w:sz="0" w:space="0" w:color="auto"/>
              <w:bottom w:val="none" w:sz="0" w:space="0" w:color="auto"/>
              <w:right w:val="none" w:sz="0" w:space="0" w:color="auto"/>
            </w:tcBorders>
            <w:shd w:val="clear" w:color="auto" w:fill="auto"/>
          </w:tcPr>
          <w:p w:rsidR="00AA4667" w:rsidRPr="00574123" w:rsidRDefault="00AA4667" w:rsidP="00D907AF">
            <w:pPr>
              <w:spacing w:before="20" w:after="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74123">
              <w:rPr>
                <w:rFonts w:cstheme="minorHAnsi"/>
                <w:sz w:val="20"/>
                <w:szCs w:val="20"/>
              </w:rPr>
              <w:t>Developmental condition</w:t>
            </w:r>
            <w:r w:rsidRPr="00574123">
              <w:rPr>
                <w:rFonts w:cstheme="minorHAnsi"/>
                <w:sz w:val="20"/>
                <w:szCs w:val="20"/>
                <w:vertAlign w:val="superscript"/>
              </w:rPr>
              <w:t>2</w:t>
            </w:r>
          </w:p>
        </w:tc>
        <w:tc>
          <w:tcPr>
            <w:tcW w:w="936" w:type="pct"/>
            <w:tcBorders>
              <w:top w:val="none" w:sz="0" w:space="0" w:color="auto"/>
              <w:left w:val="none" w:sz="0" w:space="0" w:color="auto"/>
              <w:bottom w:val="none" w:sz="0" w:space="0" w:color="auto"/>
              <w:right w:val="nil"/>
            </w:tcBorders>
            <w:shd w:val="clear" w:color="auto" w:fill="auto"/>
          </w:tcPr>
          <w:p w:rsidR="00AA4667" w:rsidRPr="00574123" w:rsidRDefault="00AA4667" w:rsidP="00F3445F">
            <w:pPr>
              <w:spacing w:before="20" w:after="20"/>
              <w:ind w:right="743"/>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74123">
              <w:rPr>
                <w:rFonts w:cstheme="minorHAnsi"/>
                <w:sz w:val="20"/>
                <w:szCs w:val="20"/>
              </w:rPr>
              <w:t>31</w:t>
            </w:r>
          </w:p>
        </w:tc>
      </w:tr>
      <w:tr w:rsidR="00AA4667" w:rsidRPr="00574123" w:rsidTr="00F3445F">
        <w:trPr>
          <w:cantSplit/>
        </w:trPr>
        <w:tc>
          <w:tcPr>
            <w:cnfStyle w:val="001000000000" w:firstRow="0" w:lastRow="0" w:firstColumn="1" w:lastColumn="0" w:oddVBand="0" w:evenVBand="0" w:oddHBand="0" w:evenHBand="0" w:firstRowFirstColumn="0" w:firstRowLastColumn="0" w:lastRowFirstColumn="0" w:lastRowLastColumn="0"/>
            <w:tcW w:w="1511" w:type="pct"/>
            <w:tcBorders>
              <w:left w:val="nil"/>
              <w:bottom w:val="none" w:sz="0" w:space="0" w:color="auto"/>
              <w:right w:val="none" w:sz="0" w:space="0" w:color="auto"/>
            </w:tcBorders>
            <w:shd w:val="clear" w:color="auto" w:fill="auto"/>
          </w:tcPr>
          <w:p w:rsidR="00AA4667" w:rsidRPr="00AA4667" w:rsidRDefault="00AA4667">
            <w:pPr>
              <w:rPr>
                <w:b w:val="0"/>
              </w:rPr>
            </w:pPr>
            <w:r w:rsidRPr="00AA4667">
              <w:rPr>
                <w:b w:val="0"/>
              </w:rPr>
              <w:t>Primary Disability Type</w:t>
            </w:r>
          </w:p>
        </w:tc>
        <w:tc>
          <w:tcPr>
            <w:tcW w:w="2553" w:type="pct"/>
            <w:shd w:val="clear" w:color="auto" w:fill="auto"/>
          </w:tcPr>
          <w:p w:rsidR="00AA4667" w:rsidRPr="00574123" w:rsidRDefault="00AA4667" w:rsidP="00D907AF">
            <w:pPr>
              <w:spacing w:before="20" w:after="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74123">
              <w:rPr>
                <w:rFonts w:cstheme="minorHAnsi"/>
                <w:sz w:val="20"/>
                <w:szCs w:val="20"/>
              </w:rPr>
              <w:t>Mental health condition/psychosocial disability</w:t>
            </w:r>
            <w:r w:rsidRPr="00574123">
              <w:rPr>
                <w:rFonts w:cstheme="minorHAnsi"/>
                <w:sz w:val="20"/>
                <w:szCs w:val="20"/>
                <w:vertAlign w:val="superscript"/>
              </w:rPr>
              <w:t>3</w:t>
            </w:r>
          </w:p>
        </w:tc>
        <w:tc>
          <w:tcPr>
            <w:tcW w:w="936" w:type="pct"/>
            <w:tcBorders>
              <w:right w:val="nil"/>
            </w:tcBorders>
            <w:shd w:val="clear" w:color="auto" w:fill="auto"/>
          </w:tcPr>
          <w:p w:rsidR="00AA4667" w:rsidRPr="00574123" w:rsidRDefault="00AA4667" w:rsidP="00F3445F">
            <w:pPr>
              <w:spacing w:before="20" w:after="20"/>
              <w:ind w:right="743"/>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74123">
              <w:rPr>
                <w:rFonts w:cstheme="minorHAnsi"/>
                <w:sz w:val="20"/>
                <w:szCs w:val="20"/>
              </w:rPr>
              <w:t>7</w:t>
            </w:r>
          </w:p>
        </w:tc>
      </w:tr>
      <w:tr w:rsidR="00AA4667" w:rsidRPr="00574123" w:rsidTr="00F3445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11" w:type="pct"/>
            <w:tcBorders>
              <w:top w:val="none" w:sz="0" w:space="0" w:color="auto"/>
              <w:left w:val="nil"/>
              <w:bottom w:val="none" w:sz="0" w:space="0" w:color="auto"/>
              <w:right w:val="none" w:sz="0" w:space="0" w:color="auto"/>
            </w:tcBorders>
            <w:shd w:val="clear" w:color="auto" w:fill="auto"/>
          </w:tcPr>
          <w:p w:rsidR="00AA4667" w:rsidRPr="00AA4667" w:rsidRDefault="00AA4667">
            <w:pPr>
              <w:rPr>
                <w:b w:val="0"/>
              </w:rPr>
            </w:pPr>
            <w:r w:rsidRPr="00AA4667">
              <w:rPr>
                <w:b w:val="0"/>
              </w:rPr>
              <w:t>Primary Disability Type</w:t>
            </w:r>
          </w:p>
        </w:tc>
        <w:tc>
          <w:tcPr>
            <w:tcW w:w="2553" w:type="pct"/>
            <w:tcBorders>
              <w:top w:val="none" w:sz="0" w:space="0" w:color="auto"/>
              <w:left w:val="none" w:sz="0" w:space="0" w:color="auto"/>
              <w:bottom w:val="none" w:sz="0" w:space="0" w:color="auto"/>
              <w:right w:val="none" w:sz="0" w:space="0" w:color="auto"/>
            </w:tcBorders>
            <w:shd w:val="clear" w:color="auto" w:fill="auto"/>
          </w:tcPr>
          <w:p w:rsidR="00AA4667" w:rsidRPr="00574123" w:rsidRDefault="00AA4667" w:rsidP="00D907AF">
            <w:pPr>
              <w:spacing w:before="20" w:after="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74123">
              <w:rPr>
                <w:rFonts w:cstheme="minorHAnsi"/>
                <w:sz w:val="20"/>
                <w:szCs w:val="20"/>
              </w:rPr>
              <w:t>Neurological condition</w:t>
            </w:r>
            <w:r w:rsidRPr="00574123">
              <w:rPr>
                <w:rFonts w:cstheme="minorHAnsi"/>
                <w:sz w:val="20"/>
                <w:szCs w:val="20"/>
                <w:vertAlign w:val="superscript"/>
              </w:rPr>
              <w:t>4</w:t>
            </w:r>
          </w:p>
        </w:tc>
        <w:tc>
          <w:tcPr>
            <w:tcW w:w="936" w:type="pct"/>
            <w:tcBorders>
              <w:top w:val="none" w:sz="0" w:space="0" w:color="auto"/>
              <w:left w:val="none" w:sz="0" w:space="0" w:color="auto"/>
              <w:bottom w:val="none" w:sz="0" w:space="0" w:color="auto"/>
              <w:right w:val="nil"/>
            </w:tcBorders>
            <w:shd w:val="clear" w:color="auto" w:fill="auto"/>
          </w:tcPr>
          <w:p w:rsidR="00AA4667" w:rsidRPr="00574123" w:rsidRDefault="00AA4667" w:rsidP="00F3445F">
            <w:pPr>
              <w:spacing w:before="20" w:after="20"/>
              <w:ind w:right="743"/>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74123">
              <w:rPr>
                <w:rFonts w:cstheme="minorHAnsi"/>
                <w:sz w:val="20"/>
                <w:szCs w:val="20"/>
              </w:rPr>
              <w:t>24</w:t>
            </w:r>
          </w:p>
        </w:tc>
      </w:tr>
      <w:tr w:rsidR="00AA4667" w:rsidRPr="00574123" w:rsidTr="00F3445F">
        <w:trPr>
          <w:cantSplit/>
        </w:trPr>
        <w:tc>
          <w:tcPr>
            <w:cnfStyle w:val="001000000000" w:firstRow="0" w:lastRow="0" w:firstColumn="1" w:lastColumn="0" w:oddVBand="0" w:evenVBand="0" w:oddHBand="0" w:evenHBand="0" w:firstRowFirstColumn="0" w:firstRowLastColumn="0" w:lastRowFirstColumn="0" w:lastRowLastColumn="0"/>
            <w:tcW w:w="1511" w:type="pct"/>
            <w:tcBorders>
              <w:left w:val="nil"/>
              <w:bottom w:val="none" w:sz="0" w:space="0" w:color="auto"/>
              <w:right w:val="none" w:sz="0" w:space="0" w:color="auto"/>
            </w:tcBorders>
            <w:shd w:val="clear" w:color="auto" w:fill="auto"/>
          </w:tcPr>
          <w:p w:rsidR="00AA4667" w:rsidRPr="00AA4667" w:rsidRDefault="00AA4667">
            <w:pPr>
              <w:rPr>
                <w:b w:val="0"/>
              </w:rPr>
            </w:pPr>
            <w:r w:rsidRPr="00AA4667">
              <w:rPr>
                <w:b w:val="0"/>
              </w:rPr>
              <w:t>Primary Disability Type</w:t>
            </w:r>
          </w:p>
        </w:tc>
        <w:tc>
          <w:tcPr>
            <w:tcW w:w="2553" w:type="pct"/>
            <w:shd w:val="clear" w:color="auto" w:fill="auto"/>
          </w:tcPr>
          <w:p w:rsidR="00AA4667" w:rsidRPr="00574123" w:rsidRDefault="00AA4667" w:rsidP="00D907AF">
            <w:pPr>
              <w:spacing w:before="20" w:after="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74123">
              <w:rPr>
                <w:rFonts w:cstheme="minorHAnsi"/>
                <w:sz w:val="20"/>
                <w:szCs w:val="20"/>
              </w:rPr>
              <w:t>Intellectual disability</w:t>
            </w:r>
            <w:r w:rsidRPr="00574123">
              <w:rPr>
                <w:rFonts w:cstheme="minorHAnsi"/>
                <w:sz w:val="20"/>
                <w:szCs w:val="20"/>
                <w:vertAlign w:val="superscript"/>
              </w:rPr>
              <w:t>5</w:t>
            </w:r>
          </w:p>
        </w:tc>
        <w:tc>
          <w:tcPr>
            <w:tcW w:w="936" w:type="pct"/>
            <w:tcBorders>
              <w:right w:val="nil"/>
            </w:tcBorders>
            <w:shd w:val="clear" w:color="auto" w:fill="auto"/>
          </w:tcPr>
          <w:p w:rsidR="00AA4667" w:rsidRPr="00574123" w:rsidRDefault="00AA4667" w:rsidP="00F3445F">
            <w:pPr>
              <w:spacing w:before="20" w:after="20"/>
              <w:ind w:right="743"/>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74123">
              <w:rPr>
                <w:rFonts w:cstheme="minorHAnsi"/>
                <w:sz w:val="20"/>
                <w:szCs w:val="20"/>
              </w:rPr>
              <w:t>21</w:t>
            </w:r>
          </w:p>
        </w:tc>
      </w:tr>
      <w:tr w:rsidR="00AA4667" w:rsidRPr="00574123" w:rsidTr="00F3445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11" w:type="pct"/>
            <w:tcBorders>
              <w:top w:val="none" w:sz="0" w:space="0" w:color="auto"/>
              <w:left w:val="nil"/>
              <w:bottom w:val="none" w:sz="0" w:space="0" w:color="auto"/>
              <w:right w:val="none" w:sz="0" w:space="0" w:color="auto"/>
            </w:tcBorders>
            <w:shd w:val="clear" w:color="auto" w:fill="auto"/>
          </w:tcPr>
          <w:p w:rsidR="00AA4667" w:rsidRPr="00AA4667" w:rsidRDefault="00AA4667">
            <w:pPr>
              <w:rPr>
                <w:b w:val="0"/>
              </w:rPr>
            </w:pPr>
            <w:r w:rsidRPr="00AA4667">
              <w:rPr>
                <w:b w:val="0"/>
              </w:rPr>
              <w:t>Primary Disability Type</w:t>
            </w:r>
          </w:p>
        </w:tc>
        <w:tc>
          <w:tcPr>
            <w:tcW w:w="2553" w:type="pct"/>
            <w:tcBorders>
              <w:top w:val="none" w:sz="0" w:space="0" w:color="auto"/>
              <w:left w:val="none" w:sz="0" w:space="0" w:color="auto"/>
              <w:bottom w:val="none" w:sz="0" w:space="0" w:color="auto"/>
              <w:right w:val="none" w:sz="0" w:space="0" w:color="auto"/>
            </w:tcBorders>
            <w:shd w:val="clear" w:color="auto" w:fill="auto"/>
          </w:tcPr>
          <w:p w:rsidR="00AA4667" w:rsidRPr="00574123" w:rsidRDefault="00AA4667" w:rsidP="00D907AF">
            <w:pPr>
              <w:spacing w:before="20" w:after="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74123">
              <w:rPr>
                <w:rFonts w:cstheme="minorHAnsi"/>
                <w:sz w:val="20"/>
                <w:szCs w:val="20"/>
              </w:rPr>
              <w:t>Physical condition</w:t>
            </w:r>
            <w:r w:rsidRPr="00574123">
              <w:rPr>
                <w:rFonts w:cstheme="minorHAnsi"/>
                <w:sz w:val="20"/>
                <w:szCs w:val="20"/>
                <w:vertAlign w:val="superscript"/>
              </w:rPr>
              <w:t>6</w:t>
            </w:r>
          </w:p>
        </w:tc>
        <w:tc>
          <w:tcPr>
            <w:tcW w:w="936" w:type="pct"/>
            <w:tcBorders>
              <w:top w:val="none" w:sz="0" w:space="0" w:color="auto"/>
              <w:left w:val="none" w:sz="0" w:space="0" w:color="auto"/>
              <w:bottom w:val="none" w:sz="0" w:space="0" w:color="auto"/>
              <w:right w:val="nil"/>
            </w:tcBorders>
            <w:shd w:val="clear" w:color="auto" w:fill="auto"/>
          </w:tcPr>
          <w:p w:rsidR="00AA4667" w:rsidRPr="00574123" w:rsidRDefault="00AA4667" w:rsidP="00F3445F">
            <w:pPr>
              <w:spacing w:before="20" w:after="20"/>
              <w:ind w:right="743"/>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74123">
              <w:rPr>
                <w:rFonts w:cstheme="minorHAnsi"/>
                <w:sz w:val="20"/>
                <w:szCs w:val="20"/>
              </w:rPr>
              <w:t>5</w:t>
            </w:r>
          </w:p>
        </w:tc>
      </w:tr>
      <w:tr w:rsidR="00AA4667" w:rsidRPr="00574123" w:rsidTr="00F3445F">
        <w:trPr>
          <w:cantSplit/>
        </w:trPr>
        <w:tc>
          <w:tcPr>
            <w:cnfStyle w:val="001000000000" w:firstRow="0" w:lastRow="0" w:firstColumn="1" w:lastColumn="0" w:oddVBand="0" w:evenVBand="0" w:oddHBand="0" w:evenHBand="0" w:firstRowFirstColumn="0" w:firstRowLastColumn="0" w:lastRowFirstColumn="0" w:lastRowLastColumn="0"/>
            <w:tcW w:w="1511" w:type="pct"/>
            <w:tcBorders>
              <w:left w:val="nil"/>
              <w:bottom w:val="none" w:sz="0" w:space="0" w:color="auto"/>
              <w:right w:val="none" w:sz="0" w:space="0" w:color="auto"/>
            </w:tcBorders>
            <w:shd w:val="clear" w:color="auto" w:fill="auto"/>
          </w:tcPr>
          <w:p w:rsidR="00AA4667" w:rsidRPr="00AA4667" w:rsidRDefault="00AA4667">
            <w:pPr>
              <w:rPr>
                <w:b w:val="0"/>
              </w:rPr>
            </w:pPr>
            <w:r w:rsidRPr="00AA4667">
              <w:rPr>
                <w:b w:val="0"/>
              </w:rPr>
              <w:t>Primary Disability Type</w:t>
            </w:r>
          </w:p>
        </w:tc>
        <w:tc>
          <w:tcPr>
            <w:tcW w:w="2553" w:type="pct"/>
            <w:shd w:val="clear" w:color="auto" w:fill="auto"/>
          </w:tcPr>
          <w:p w:rsidR="00AA4667" w:rsidRPr="00574123" w:rsidRDefault="00AA4667" w:rsidP="00D907AF">
            <w:pPr>
              <w:spacing w:before="20" w:after="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74123">
              <w:rPr>
                <w:rFonts w:cstheme="minorHAnsi"/>
                <w:sz w:val="20"/>
                <w:szCs w:val="20"/>
              </w:rPr>
              <w:t>Speech condition</w:t>
            </w:r>
          </w:p>
        </w:tc>
        <w:tc>
          <w:tcPr>
            <w:tcW w:w="936" w:type="pct"/>
            <w:tcBorders>
              <w:right w:val="nil"/>
            </w:tcBorders>
            <w:shd w:val="clear" w:color="auto" w:fill="auto"/>
          </w:tcPr>
          <w:p w:rsidR="00AA4667" w:rsidRPr="00574123" w:rsidRDefault="00AA4667" w:rsidP="00F3445F">
            <w:pPr>
              <w:spacing w:before="20" w:after="20"/>
              <w:ind w:right="743"/>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74123">
              <w:rPr>
                <w:rFonts w:cstheme="minorHAnsi"/>
                <w:sz w:val="20"/>
                <w:szCs w:val="20"/>
              </w:rPr>
              <w:t>2</w:t>
            </w:r>
          </w:p>
        </w:tc>
      </w:tr>
      <w:tr w:rsidR="00D907AF" w:rsidRPr="00574123" w:rsidTr="00F3445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11" w:type="pct"/>
            <w:tcBorders>
              <w:top w:val="none" w:sz="0" w:space="0" w:color="auto"/>
              <w:left w:val="nil"/>
              <w:bottom w:val="none" w:sz="0" w:space="0" w:color="auto"/>
              <w:right w:val="none" w:sz="0" w:space="0" w:color="auto"/>
            </w:tcBorders>
            <w:shd w:val="clear" w:color="auto" w:fill="auto"/>
          </w:tcPr>
          <w:p w:rsidR="00D907AF" w:rsidRPr="009123EF" w:rsidRDefault="00D907AF" w:rsidP="00D907AF">
            <w:pPr>
              <w:spacing w:before="20" w:after="20"/>
              <w:rPr>
                <w:rFonts w:cstheme="minorHAnsi"/>
                <w:color w:val="auto"/>
                <w:sz w:val="20"/>
                <w:szCs w:val="20"/>
              </w:rPr>
            </w:pPr>
            <w:r w:rsidRPr="009123EF">
              <w:rPr>
                <w:rFonts w:cstheme="minorHAnsi"/>
                <w:color w:val="auto"/>
                <w:sz w:val="20"/>
                <w:szCs w:val="20"/>
              </w:rPr>
              <w:t>Joined NDIS</w:t>
            </w:r>
          </w:p>
        </w:tc>
        <w:tc>
          <w:tcPr>
            <w:tcW w:w="2553" w:type="pct"/>
            <w:tcBorders>
              <w:top w:val="none" w:sz="0" w:space="0" w:color="auto"/>
              <w:left w:val="none" w:sz="0" w:space="0" w:color="auto"/>
              <w:bottom w:val="none" w:sz="0" w:space="0" w:color="auto"/>
              <w:right w:val="none" w:sz="0" w:space="0" w:color="auto"/>
            </w:tcBorders>
            <w:shd w:val="clear" w:color="auto" w:fill="auto"/>
          </w:tcPr>
          <w:p w:rsidR="00D907AF" w:rsidRPr="00574123" w:rsidRDefault="00C23CC6" w:rsidP="00D907AF">
            <w:pPr>
              <w:spacing w:before="20" w:after="20"/>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1 July to </w:t>
            </w:r>
            <w:r w:rsidR="00D907AF" w:rsidRPr="00574123">
              <w:rPr>
                <w:rFonts w:cstheme="minorHAnsi"/>
                <w:sz w:val="20"/>
                <w:szCs w:val="20"/>
              </w:rPr>
              <w:t>31 Dec 2013</w:t>
            </w:r>
          </w:p>
        </w:tc>
        <w:tc>
          <w:tcPr>
            <w:tcW w:w="936" w:type="pct"/>
            <w:tcBorders>
              <w:top w:val="none" w:sz="0" w:space="0" w:color="auto"/>
              <w:left w:val="none" w:sz="0" w:space="0" w:color="auto"/>
              <w:bottom w:val="none" w:sz="0" w:space="0" w:color="auto"/>
              <w:right w:val="nil"/>
            </w:tcBorders>
            <w:shd w:val="clear" w:color="auto" w:fill="auto"/>
          </w:tcPr>
          <w:p w:rsidR="00D907AF" w:rsidRPr="00574123" w:rsidRDefault="00D907AF" w:rsidP="00F3445F">
            <w:pPr>
              <w:spacing w:before="20" w:after="20"/>
              <w:ind w:right="743"/>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74123">
              <w:rPr>
                <w:rFonts w:cstheme="minorHAnsi"/>
                <w:sz w:val="20"/>
                <w:szCs w:val="20"/>
              </w:rPr>
              <w:t>51</w:t>
            </w:r>
          </w:p>
        </w:tc>
      </w:tr>
      <w:tr w:rsidR="00AA4667" w:rsidRPr="00574123" w:rsidTr="00F3445F">
        <w:trPr>
          <w:cantSplit/>
        </w:trPr>
        <w:tc>
          <w:tcPr>
            <w:cnfStyle w:val="001000000000" w:firstRow="0" w:lastRow="0" w:firstColumn="1" w:lastColumn="0" w:oddVBand="0" w:evenVBand="0" w:oddHBand="0" w:evenHBand="0" w:firstRowFirstColumn="0" w:firstRowLastColumn="0" w:lastRowFirstColumn="0" w:lastRowLastColumn="0"/>
            <w:tcW w:w="1511" w:type="pct"/>
            <w:tcBorders>
              <w:left w:val="nil"/>
              <w:bottom w:val="none" w:sz="0" w:space="0" w:color="auto"/>
              <w:right w:val="none" w:sz="0" w:space="0" w:color="auto"/>
            </w:tcBorders>
            <w:shd w:val="clear" w:color="auto" w:fill="auto"/>
          </w:tcPr>
          <w:p w:rsidR="00AA4667" w:rsidRPr="00C961C2" w:rsidRDefault="00AA4667">
            <w:pPr>
              <w:rPr>
                <w:b w:val="0"/>
                <w:highlight w:val="red"/>
              </w:rPr>
            </w:pPr>
            <w:r w:rsidRPr="00C961C2">
              <w:rPr>
                <w:b w:val="0"/>
              </w:rPr>
              <w:t>Joined NDIS</w:t>
            </w:r>
          </w:p>
        </w:tc>
        <w:tc>
          <w:tcPr>
            <w:tcW w:w="2553" w:type="pct"/>
            <w:shd w:val="clear" w:color="auto" w:fill="auto"/>
          </w:tcPr>
          <w:p w:rsidR="00AA4667" w:rsidRPr="00574123" w:rsidRDefault="00AA4667" w:rsidP="00C23CC6">
            <w:pPr>
              <w:spacing w:before="20" w:after="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74123">
              <w:rPr>
                <w:rFonts w:cstheme="minorHAnsi"/>
                <w:sz w:val="20"/>
                <w:szCs w:val="20"/>
              </w:rPr>
              <w:t>1 Jan</w:t>
            </w:r>
            <w:r w:rsidR="00C23CC6">
              <w:rPr>
                <w:rFonts w:cstheme="minorHAnsi"/>
                <w:sz w:val="20"/>
                <w:szCs w:val="20"/>
              </w:rPr>
              <w:t xml:space="preserve"> to </w:t>
            </w:r>
            <w:r w:rsidRPr="00574123">
              <w:rPr>
                <w:rFonts w:cstheme="minorHAnsi"/>
                <w:sz w:val="20"/>
                <w:szCs w:val="20"/>
              </w:rPr>
              <w:t>30 June 2014</w:t>
            </w:r>
          </w:p>
        </w:tc>
        <w:tc>
          <w:tcPr>
            <w:tcW w:w="936" w:type="pct"/>
            <w:tcBorders>
              <w:right w:val="nil"/>
            </w:tcBorders>
            <w:shd w:val="clear" w:color="auto" w:fill="auto"/>
          </w:tcPr>
          <w:p w:rsidR="00AA4667" w:rsidRPr="00574123" w:rsidRDefault="00AA4667" w:rsidP="00F3445F">
            <w:pPr>
              <w:spacing w:before="20" w:after="20"/>
              <w:ind w:right="743"/>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74123">
              <w:rPr>
                <w:rFonts w:cstheme="minorHAnsi"/>
                <w:sz w:val="20"/>
                <w:szCs w:val="20"/>
              </w:rPr>
              <w:t>23</w:t>
            </w:r>
          </w:p>
        </w:tc>
      </w:tr>
      <w:tr w:rsidR="00AA4667" w:rsidRPr="00574123" w:rsidTr="00F3445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11" w:type="pct"/>
            <w:tcBorders>
              <w:top w:val="none" w:sz="0" w:space="0" w:color="auto"/>
              <w:left w:val="nil"/>
              <w:bottom w:val="none" w:sz="0" w:space="0" w:color="auto"/>
              <w:right w:val="none" w:sz="0" w:space="0" w:color="auto"/>
            </w:tcBorders>
            <w:shd w:val="clear" w:color="auto" w:fill="auto"/>
          </w:tcPr>
          <w:p w:rsidR="00AA4667" w:rsidRPr="00C961C2" w:rsidRDefault="00AA4667">
            <w:pPr>
              <w:rPr>
                <w:b w:val="0"/>
              </w:rPr>
            </w:pPr>
            <w:r w:rsidRPr="00C961C2">
              <w:rPr>
                <w:b w:val="0"/>
              </w:rPr>
              <w:t>Joined NDIS</w:t>
            </w:r>
          </w:p>
        </w:tc>
        <w:tc>
          <w:tcPr>
            <w:tcW w:w="2553" w:type="pct"/>
            <w:tcBorders>
              <w:top w:val="none" w:sz="0" w:space="0" w:color="auto"/>
              <w:left w:val="none" w:sz="0" w:space="0" w:color="auto"/>
              <w:bottom w:val="none" w:sz="0" w:space="0" w:color="auto"/>
              <w:right w:val="none" w:sz="0" w:space="0" w:color="auto"/>
            </w:tcBorders>
            <w:shd w:val="clear" w:color="auto" w:fill="auto"/>
          </w:tcPr>
          <w:p w:rsidR="00AA4667" w:rsidRPr="00574123" w:rsidRDefault="00AA4667" w:rsidP="00D907AF">
            <w:pPr>
              <w:spacing w:before="20" w:after="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74123">
              <w:rPr>
                <w:rFonts w:cstheme="minorHAnsi"/>
                <w:sz w:val="20"/>
                <w:szCs w:val="20"/>
              </w:rPr>
              <w:t>1 July 2014 onwards</w:t>
            </w:r>
          </w:p>
        </w:tc>
        <w:tc>
          <w:tcPr>
            <w:tcW w:w="936" w:type="pct"/>
            <w:tcBorders>
              <w:top w:val="none" w:sz="0" w:space="0" w:color="auto"/>
              <w:left w:val="none" w:sz="0" w:space="0" w:color="auto"/>
              <w:bottom w:val="none" w:sz="0" w:space="0" w:color="auto"/>
              <w:right w:val="nil"/>
            </w:tcBorders>
            <w:shd w:val="clear" w:color="auto" w:fill="auto"/>
          </w:tcPr>
          <w:p w:rsidR="00AA4667" w:rsidRPr="00574123" w:rsidRDefault="00AA4667" w:rsidP="00F3445F">
            <w:pPr>
              <w:spacing w:before="20" w:after="20"/>
              <w:ind w:right="743"/>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74123">
              <w:rPr>
                <w:rFonts w:cstheme="minorHAnsi"/>
                <w:sz w:val="20"/>
                <w:szCs w:val="20"/>
              </w:rPr>
              <w:t>27</w:t>
            </w:r>
          </w:p>
        </w:tc>
      </w:tr>
      <w:tr w:rsidR="00D907AF" w:rsidRPr="00574123" w:rsidTr="00F3445F">
        <w:trPr>
          <w:cantSplit/>
        </w:trPr>
        <w:tc>
          <w:tcPr>
            <w:cnfStyle w:val="001000000000" w:firstRow="0" w:lastRow="0" w:firstColumn="1" w:lastColumn="0" w:oddVBand="0" w:evenVBand="0" w:oddHBand="0" w:evenHBand="0" w:firstRowFirstColumn="0" w:firstRowLastColumn="0" w:lastRowFirstColumn="0" w:lastRowLastColumn="0"/>
            <w:tcW w:w="1511" w:type="pct"/>
            <w:tcBorders>
              <w:left w:val="nil"/>
              <w:bottom w:val="none" w:sz="0" w:space="0" w:color="auto"/>
              <w:right w:val="none" w:sz="0" w:space="0" w:color="auto"/>
            </w:tcBorders>
            <w:shd w:val="clear" w:color="auto" w:fill="auto"/>
          </w:tcPr>
          <w:p w:rsidR="00D907AF" w:rsidRPr="009123EF" w:rsidRDefault="00D907AF" w:rsidP="00D907AF">
            <w:pPr>
              <w:spacing w:before="20" w:after="20"/>
              <w:rPr>
                <w:rFonts w:cstheme="minorHAnsi"/>
                <w:color w:val="auto"/>
                <w:sz w:val="20"/>
                <w:szCs w:val="20"/>
              </w:rPr>
            </w:pPr>
            <w:r w:rsidRPr="009123EF">
              <w:rPr>
                <w:rFonts w:cstheme="minorHAnsi"/>
                <w:color w:val="auto"/>
                <w:sz w:val="20"/>
                <w:szCs w:val="20"/>
              </w:rPr>
              <w:t>Residence</w:t>
            </w:r>
          </w:p>
        </w:tc>
        <w:tc>
          <w:tcPr>
            <w:tcW w:w="2553" w:type="pct"/>
            <w:shd w:val="clear" w:color="auto" w:fill="auto"/>
          </w:tcPr>
          <w:p w:rsidR="00D907AF" w:rsidRPr="00574123" w:rsidRDefault="00D907AF" w:rsidP="00D907AF">
            <w:pPr>
              <w:spacing w:before="20" w:after="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74123">
              <w:rPr>
                <w:rFonts w:cstheme="minorHAnsi"/>
                <w:sz w:val="20"/>
                <w:szCs w:val="20"/>
              </w:rPr>
              <w:t xml:space="preserve">Lives </w:t>
            </w:r>
            <w:r>
              <w:rPr>
                <w:rFonts w:cstheme="minorHAnsi"/>
                <w:sz w:val="20"/>
                <w:szCs w:val="20"/>
              </w:rPr>
              <w:t>a</w:t>
            </w:r>
            <w:r w:rsidRPr="00574123">
              <w:rPr>
                <w:rFonts w:cstheme="minorHAnsi"/>
                <w:sz w:val="20"/>
                <w:szCs w:val="20"/>
              </w:rPr>
              <w:t>lone</w:t>
            </w:r>
          </w:p>
        </w:tc>
        <w:tc>
          <w:tcPr>
            <w:tcW w:w="936" w:type="pct"/>
            <w:tcBorders>
              <w:right w:val="nil"/>
            </w:tcBorders>
            <w:shd w:val="clear" w:color="auto" w:fill="auto"/>
          </w:tcPr>
          <w:p w:rsidR="00D907AF" w:rsidRPr="00574123" w:rsidRDefault="00D907AF" w:rsidP="00F3445F">
            <w:pPr>
              <w:spacing w:before="20" w:after="20"/>
              <w:ind w:right="743"/>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74123">
              <w:rPr>
                <w:rFonts w:cstheme="minorHAnsi"/>
                <w:sz w:val="20"/>
                <w:szCs w:val="20"/>
              </w:rPr>
              <w:t>8</w:t>
            </w:r>
          </w:p>
        </w:tc>
      </w:tr>
      <w:tr w:rsidR="00C961C2" w:rsidRPr="00574123" w:rsidTr="00F3445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11" w:type="pct"/>
            <w:tcBorders>
              <w:top w:val="none" w:sz="0" w:space="0" w:color="auto"/>
              <w:left w:val="nil"/>
              <w:right w:val="none" w:sz="0" w:space="0" w:color="auto"/>
            </w:tcBorders>
            <w:shd w:val="clear" w:color="auto" w:fill="auto"/>
          </w:tcPr>
          <w:p w:rsidR="00C961C2" w:rsidRPr="00C961C2" w:rsidRDefault="00C961C2">
            <w:pPr>
              <w:rPr>
                <w:b w:val="0"/>
              </w:rPr>
            </w:pPr>
            <w:r w:rsidRPr="00C961C2">
              <w:rPr>
                <w:b w:val="0"/>
              </w:rPr>
              <w:t>Residence</w:t>
            </w:r>
          </w:p>
        </w:tc>
        <w:tc>
          <w:tcPr>
            <w:tcW w:w="2553" w:type="pct"/>
            <w:tcBorders>
              <w:top w:val="none" w:sz="0" w:space="0" w:color="auto"/>
              <w:left w:val="none" w:sz="0" w:space="0" w:color="auto"/>
              <w:bottom w:val="none" w:sz="0" w:space="0" w:color="auto"/>
              <w:right w:val="none" w:sz="0" w:space="0" w:color="auto"/>
            </w:tcBorders>
            <w:shd w:val="clear" w:color="auto" w:fill="auto"/>
          </w:tcPr>
          <w:p w:rsidR="00C961C2" w:rsidRPr="00574123" w:rsidRDefault="00C961C2" w:rsidP="00D907AF">
            <w:pPr>
              <w:spacing w:before="20" w:after="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74123">
              <w:rPr>
                <w:rFonts w:cstheme="minorHAnsi"/>
                <w:sz w:val="20"/>
                <w:szCs w:val="20"/>
              </w:rPr>
              <w:t>Lives with family</w:t>
            </w:r>
          </w:p>
        </w:tc>
        <w:tc>
          <w:tcPr>
            <w:tcW w:w="936" w:type="pct"/>
            <w:tcBorders>
              <w:top w:val="none" w:sz="0" w:space="0" w:color="auto"/>
              <w:left w:val="none" w:sz="0" w:space="0" w:color="auto"/>
              <w:bottom w:val="none" w:sz="0" w:space="0" w:color="auto"/>
              <w:right w:val="nil"/>
            </w:tcBorders>
            <w:shd w:val="clear" w:color="auto" w:fill="auto"/>
          </w:tcPr>
          <w:p w:rsidR="00C961C2" w:rsidRPr="00574123" w:rsidRDefault="00C961C2" w:rsidP="00F3445F">
            <w:pPr>
              <w:spacing w:before="20" w:after="20"/>
              <w:ind w:right="743"/>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74123">
              <w:rPr>
                <w:rFonts w:cstheme="minorHAnsi"/>
                <w:sz w:val="20"/>
                <w:szCs w:val="20"/>
              </w:rPr>
              <w:t>86</w:t>
            </w:r>
          </w:p>
        </w:tc>
      </w:tr>
      <w:tr w:rsidR="00C961C2" w:rsidRPr="00574123" w:rsidTr="00F3445F">
        <w:trPr>
          <w:cantSplit/>
        </w:trPr>
        <w:tc>
          <w:tcPr>
            <w:cnfStyle w:val="001000000000" w:firstRow="0" w:lastRow="0" w:firstColumn="1" w:lastColumn="0" w:oddVBand="0" w:evenVBand="0" w:oddHBand="0" w:evenHBand="0" w:firstRowFirstColumn="0" w:firstRowLastColumn="0" w:lastRowFirstColumn="0" w:lastRowLastColumn="0"/>
            <w:tcW w:w="1511" w:type="pct"/>
            <w:tcBorders>
              <w:left w:val="nil"/>
              <w:bottom w:val="single" w:sz="4" w:space="0" w:color="auto"/>
              <w:right w:val="none" w:sz="0" w:space="0" w:color="auto"/>
            </w:tcBorders>
            <w:shd w:val="clear" w:color="auto" w:fill="auto"/>
          </w:tcPr>
          <w:p w:rsidR="00C961C2" w:rsidRPr="00C961C2" w:rsidRDefault="00C961C2">
            <w:pPr>
              <w:rPr>
                <w:b w:val="0"/>
              </w:rPr>
            </w:pPr>
            <w:r w:rsidRPr="00C961C2">
              <w:rPr>
                <w:b w:val="0"/>
              </w:rPr>
              <w:t>Residence</w:t>
            </w:r>
          </w:p>
        </w:tc>
        <w:tc>
          <w:tcPr>
            <w:tcW w:w="2553" w:type="pct"/>
            <w:tcBorders>
              <w:bottom w:val="single" w:sz="4" w:space="0" w:color="auto"/>
            </w:tcBorders>
            <w:shd w:val="clear" w:color="auto" w:fill="auto"/>
          </w:tcPr>
          <w:p w:rsidR="00C961C2" w:rsidRPr="00574123" w:rsidRDefault="00C961C2" w:rsidP="00D907AF">
            <w:pPr>
              <w:spacing w:before="20" w:after="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74123">
              <w:rPr>
                <w:rFonts w:cstheme="minorHAnsi"/>
                <w:sz w:val="20"/>
                <w:szCs w:val="20"/>
              </w:rPr>
              <w:t xml:space="preserve">Supported </w:t>
            </w:r>
            <w:r>
              <w:rPr>
                <w:rFonts w:cstheme="minorHAnsi"/>
                <w:sz w:val="20"/>
                <w:szCs w:val="20"/>
              </w:rPr>
              <w:t>a</w:t>
            </w:r>
            <w:r w:rsidRPr="00574123">
              <w:rPr>
                <w:rFonts w:cstheme="minorHAnsi"/>
                <w:sz w:val="20"/>
                <w:szCs w:val="20"/>
              </w:rPr>
              <w:t>ccommodation</w:t>
            </w:r>
          </w:p>
        </w:tc>
        <w:tc>
          <w:tcPr>
            <w:tcW w:w="936" w:type="pct"/>
            <w:tcBorders>
              <w:bottom w:val="single" w:sz="4" w:space="0" w:color="auto"/>
              <w:right w:val="nil"/>
            </w:tcBorders>
            <w:shd w:val="clear" w:color="auto" w:fill="auto"/>
          </w:tcPr>
          <w:p w:rsidR="00C961C2" w:rsidRPr="00574123" w:rsidRDefault="00C961C2" w:rsidP="00F3445F">
            <w:pPr>
              <w:spacing w:before="20" w:after="20"/>
              <w:ind w:right="743"/>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74123">
              <w:rPr>
                <w:rFonts w:cstheme="minorHAnsi"/>
                <w:sz w:val="20"/>
                <w:szCs w:val="20"/>
              </w:rPr>
              <w:t>7</w:t>
            </w:r>
          </w:p>
        </w:tc>
      </w:tr>
    </w:tbl>
    <w:p w:rsidR="00D907AF" w:rsidRPr="00574123" w:rsidRDefault="00D907AF" w:rsidP="00D907AF">
      <w:pPr>
        <w:pStyle w:val="NILSReference"/>
      </w:pPr>
      <w:r w:rsidRPr="00574123">
        <w:t xml:space="preserve">Note: </w:t>
      </w:r>
      <w:r w:rsidRPr="00574123">
        <w:rPr>
          <w:vertAlign w:val="superscript"/>
        </w:rPr>
        <w:t>1</w:t>
      </w:r>
      <w:r w:rsidRPr="00574123">
        <w:t xml:space="preserve"> incl. spina bifida, muscular dystrophy, cystic fibrosis; </w:t>
      </w:r>
      <w:r w:rsidRPr="00574123">
        <w:rPr>
          <w:vertAlign w:val="superscript"/>
        </w:rPr>
        <w:t>2</w:t>
      </w:r>
      <w:r w:rsidRPr="00574123">
        <w:t xml:space="preserve"> incl. autism, Asperger syndrome, or other pervasive, mixed or specific developmental disorder not otherwise specified; </w:t>
      </w:r>
      <w:r w:rsidRPr="00574123">
        <w:rPr>
          <w:vertAlign w:val="superscript"/>
        </w:rPr>
        <w:t>3</w:t>
      </w:r>
      <w:r w:rsidRPr="00574123">
        <w:t xml:space="preserve"> incl. anxiety, depression, post-traumatic stress disorder, schizophrenia, Tourette syndrome, psychosis; </w:t>
      </w:r>
      <w:r w:rsidRPr="00574123">
        <w:rPr>
          <w:vertAlign w:val="superscript"/>
        </w:rPr>
        <w:t>4</w:t>
      </w:r>
      <w:r w:rsidRPr="00574123">
        <w:t xml:space="preserve"> incl. acquired brain injury, cerebral palsy, epilepsy, multiple sclerosis; </w:t>
      </w:r>
      <w:r w:rsidRPr="00574123">
        <w:rPr>
          <w:vertAlign w:val="superscript"/>
        </w:rPr>
        <w:t>5</w:t>
      </w:r>
      <w:r w:rsidRPr="00574123">
        <w:t xml:space="preserve"> including learning disability, cognitive impairment, Down </w:t>
      </w:r>
      <w:r>
        <w:t>S</w:t>
      </w:r>
      <w:r w:rsidRPr="00574123">
        <w:t xml:space="preserve">yndrome; </w:t>
      </w:r>
      <w:r w:rsidRPr="00574123">
        <w:rPr>
          <w:vertAlign w:val="superscript"/>
        </w:rPr>
        <w:t>6</w:t>
      </w:r>
      <w:r w:rsidRPr="00574123">
        <w:t xml:space="preserve"> incl. amputation, arthritis, crush injuries, musculo-skeletal, spinal and other physical disorders.</w:t>
      </w:r>
    </w:p>
    <w:p w:rsidR="00D907AF" w:rsidRDefault="00D907AF" w:rsidP="00D907AF"/>
    <w:p w:rsidR="00D907AF" w:rsidRDefault="00D907AF" w:rsidP="00D907AF">
      <w:r>
        <w:t xml:space="preserve">Close to a third (31 per cent) </w:t>
      </w:r>
      <w:r w:rsidRPr="0052591D">
        <w:t xml:space="preserve">of </w:t>
      </w:r>
      <w:r>
        <w:t xml:space="preserve">respondents reported to be living with </w:t>
      </w:r>
      <w:r w:rsidRPr="0052591D">
        <w:t xml:space="preserve">a developmental condition (e.g. autism, </w:t>
      </w:r>
      <w:r>
        <w:t>A</w:t>
      </w:r>
      <w:r w:rsidRPr="0052591D">
        <w:t xml:space="preserve">sperger syndrome). Around a quarter of NDIS participants </w:t>
      </w:r>
      <w:r>
        <w:t xml:space="preserve">(24 per cent) described their primary disability as a </w:t>
      </w:r>
      <w:r w:rsidRPr="0052591D">
        <w:t xml:space="preserve">neurological or brain condition (e.g. acquired brain injury, cerebral palsy, epilepsy, multiple sclerosis), whilst </w:t>
      </w:r>
      <w:r>
        <w:t>a fifth (</w:t>
      </w:r>
      <w:r w:rsidRPr="0052591D">
        <w:t>21 per</w:t>
      </w:r>
      <w:r>
        <w:t xml:space="preserve"> </w:t>
      </w:r>
      <w:r w:rsidRPr="0052591D">
        <w:t>cent</w:t>
      </w:r>
      <w:r>
        <w:t>)</w:t>
      </w:r>
      <w:r w:rsidRPr="0052591D">
        <w:t xml:space="preserve"> were living with an intellectual disability (e.g. learning disability, cognitive impairment, Down </w:t>
      </w:r>
      <w:r>
        <w:t>S</w:t>
      </w:r>
      <w:r w:rsidRPr="0052591D">
        <w:t>yndrome).</w:t>
      </w:r>
      <w:r>
        <w:t xml:space="preserve"> Others indicated </w:t>
      </w:r>
      <w:r w:rsidRPr="0052591D">
        <w:t xml:space="preserve">congenital or inherited </w:t>
      </w:r>
      <w:r>
        <w:t xml:space="preserve">conditions, </w:t>
      </w:r>
      <w:r w:rsidRPr="0052591D">
        <w:t>a mental health condition/psychosocial disability or a physical condition</w:t>
      </w:r>
      <w:r>
        <w:t>.</w:t>
      </w:r>
    </w:p>
    <w:p w:rsidR="00D907AF" w:rsidRPr="0052591D" w:rsidRDefault="00D907AF" w:rsidP="00D907AF"/>
    <w:p w:rsidR="00D907AF" w:rsidRDefault="00D907AF" w:rsidP="00EA4425">
      <w:pPr>
        <w:spacing w:after="240"/>
      </w:pPr>
      <w:r w:rsidRPr="0052591D">
        <w:lastRenderedPageBreak/>
        <w:t>Half of all NDIS participants who participated in an interview joined the NDIS in the initial 6 months of the trial (from 1</w:t>
      </w:r>
      <w:r w:rsidRPr="003F246F">
        <w:rPr>
          <w:vertAlign w:val="superscript"/>
        </w:rPr>
        <w:t>st</w:t>
      </w:r>
      <w:r>
        <w:t xml:space="preserve"> </w:t>
      </w:r>
      <w:r w:rsidRPr="0052591D">
        <w:t xml:space="preserve">July 2013 </w:t>
      </w:r>
      <w:r w:rsidR="00476EA8">
        <w:t>to</w:t>
      </w:r>
      <w:r w:rsidRPr="0052591D">
        <w:t xml:space="preserve"> 31</w:t>
      </w:r>
      <w:r w:rsidRPr="003F246F">
        <w:rPr>
          <w:vertAlign w:val="superscript"/>
        </w:rPr>
        <w:t>st</w:t>
      </w:r>
      <w:r>
        <w:t xml:space="preserve"> </w:t>
      </w:r>
      <w:r w:rsidRPr="0052591D">
        <w:t>December 2013). The remaining participants were fairly evenly distributed between those that joined in the first and second half of 2014. The majority of those who entered the NDIS from the 1st of July 2014 were located in the ACT; reflecting the delayed rollout of the trial in this site.</w:t>
      </w:r>
    </w:p>
    <w:p w:rsidR="00D907AF" w:rsidRDefault="00D907AF" w:rsidP="00D907AF">
      <w:r>
        <w:t xml:space="preserve">The majority of respondents in this study were living with a family, be it a partner or parents. However, a small proportion </w:t>
      </w:r>
      <w:r w:rsidR="00F62A71">
        <w:t xml:space="preserve">was </w:t>
      </w:r>
      <w:r>
        <w:t>living independently or in supported accommodation.</w:t>
      </w:r>
    </w:p>
    <w:p w:rsidR="00D907AF" w:rsidRDefault="00D907AF" w:rsidP="00D907AF"/>
    <w:p w:rsidR="00D907AF" w:rsidRDefault="00D907AF" w:rsidP="00D907AF">
      <w:r>
        <w:t>People with disability, and their families or carers were given the choice to be interviewed individually or jointly. In the majority of cases, respondents chose to be interviewed jointly, although in one fifth of cases (21 per cent) only the person with disability was interviewed. This was typically the case for individuals living independently and without (permanent) access to a carer. Overall, 92 per cent of interviews also included a family member or carer, either separately or jointly with the person with disability. Almost three quarters of the latter were the mother of the person with disability, partially reflecting the high proportion of under 18 year olds in the sample; in the remaining instances, they were spouses or children of the</w:t>
      </w:r>
      <w:r w:rsidRPr="0052591D">
        <w:t xml:space="preserve"> NDIS participant. </w:t>
      </w:r>
    </w:p>
    <w:p w:rsidR="00D907AF" w:rsidRDefault="00D907AF" w:rsidP="00D907AF"/>
    <w:p w:rsidR="00D907AF" w:rsidRPr="00F4476B" w:rsidRDefault="00D907AF" w:rsidP="00D907AF">
      <w:r>
        <w:t>A</w:t>
      </w:r>
      <w:r w:rsidRPr="00F4476B">
        <w:t xml:space="preserve"> </w:t>
      </w:r>
      <w:r>
        <w:t xml:space="preserve">small </w:t>
      </w:r>
      <w:r w:rsidRPr="00F4476B">
        <w:t xml:space="preserve">group of people with disability </w:t>
      </w:r>
      <w:r>
        <w:t xml:space="preserve">(19 per cent) </w:t>
      </w:r>
      <w:r w:rsidRPr="00F4476B">
        <w:t>were unable to participate in the interview themselves, because the person had a severe and profound intellectual disability. In these instances an extended interview of the family member</w:t>
      </w:r>
      <w:r>
        <w:t xml:space="preserve"> or </w:t>
      </w:r>
      <w:r w:rsidRPr="00F4476B">
        <w:t>carer was conducted asking questions pertaining to both the person with disability and the family member</w:t>
      </w:r>
      <w:r>
        <w:t xml:space="preserve"> or </w:t>
      </w:r>
      <w:r w:rsidRPr="00F4476B">
        <w:t>carer. NDIS participants aged 12 years or below were not interviewed</w:t>
      </w:r>
      <w:r>
        <w:t>.</w:t>
      </w:r>
      <w:r w:rsidRPr="00F4476B">
        <w:rPr>
          <w:vertAlign w:val="superscript"/>
        </w:rPr>
        <w:footnoteReference w:id="4"/>
      </w:r>
      <w:r w:rsidRPr="00F4476B">
        <w:rPr>
          <w:vertAlign w:val="superscript"/>
        </w:rPr>
        <w:t xml:space="preserve"> </w:t>
      </w:r>
      <w:r w:rsidRPr="00F4476B">
        <w:t xml:space="preserve">In these instances </w:t>
      </w:r>
      <w:r>
        <w:t xml:space="preserve">we also conducted </w:t>
      </w:r>
      <w:r w:rsidRPr="00F4476B">
        <w:t>an extended interview with the family member or carer.</w:t>
      </w:r>
    </w:p>
    <w:p w:rsidR="00D907AF" w:rsidRDefault="00D907AF" w:rsidP="00D907AF"/>
    <w:p w:rsidR="00D907AF" w:rsidRDefault="00D907AF" w:rsidP="00D907AF">
      <w:r>
        <w:t xml:space="preserve">As noted in the previous introductory chapter, the interviews were conducted between August 2014 and February 2015, preceded by a pilot conducted in August 2014. Each interview typically lasted between 1 and 1.5 hours, although extended interviews typically lasted longer. Most interviews were undertaken </w:t>
      </w:r>
      <w:r w:rsidRPr="00F4476B">
        <w:t xml:space="preserve">face-to-face </w:t>
      </w:r>
      <w:r>
        <w:t>and at the respondent’s home</w:t>
      </w:r>
      <w:r w:rsidRPr="00F4476B">
        <w:t>.</w:t>
      </w:r>
    </w:p>
    <w:p w:rsidR="00D907AF" w:rsidRDefault="00D907AF" w:rsidP="00367B24">
      <w:pPr>
        <w:pStyle w:val="Heading3"/>
      </w:pPr>
      <w:bookmarkStart w:id="42" w:name="_Toc428271210"/>
      <w:bookmarkStart w:id="43" w:name="_Toc449954950"/>
      <w:r>
        <w:t>2.2.3 Findings</w:t>
      </w:r>
      <w:bookmarkEnd w:id="42"/>
      <w:bookmarkEnd w:id="43"/>
    </w:p>
    <w:p w:rsidR="00D907AF" w:rsidRPr="008658CC" w:rsidRDefault="00D907AF" w:rsidP="00367B24">
      <w:pPr>
        <w:pStyle w:val="Heading40"/>
      </w:pPr>
      <w:bookmarkStart w:id="44" w:name="_Toc428271211"/>
      <w:bookmarkStart w:id="45" w:name="_Toc449954951"/>
      <w:r>
        <w:t xml:space="preserve">2.2.3.1 </w:t>
      </w:r>
      <w:r w:rsidRPr="008658CC">
        <w:t xml:space="preserve">The impact of disability </w:t>
      </w:r>
      <w:r>
        <w:t xml:space="preserve">on </w:t>
      </w:r>
      <w:r w:rsidRPr="008658CC">
        <w:t>the lives of people with disability, and their families and carers</w:t>
      </w:r>
      <w:bookmarkEnd w:id="44"/>
      <w:bookmarkEnd w:id="45"/>
    </w:p>
    <w:p w:rsidR="00D907AF" w:rsidRDefault="00D907AF" w:rsidP="00D907AF">
      <w:r>
        <w:t>In our interviews, respondents described a number of ways in which disability impacted on their lives, in particular their general health and wellbeing, but also social activities inside and outside the home, and their employment. These accounts stretched across the range of respondents’ disabilities, whether acquired at birth or later in life.</w:t>
      </w:r>
    </w:p>
    <w:p w:rsidR="00D907AF" w:rsidRDefault="00D907AF" w:rsidP="00D907AF"/>
    <w:p w:rsidR="00D907AF" w:rsidRPr="00411C5A" w:rsidRDefault="00D907AF" w:rsidP="00D907AF">
      <w:r w:rsidRPr="008B1433">
        <w:rPr>
          <w:b/>
        </w:rPr>
        <w:t>Health</w:t>
      </w:r>
      <w:r>
        <w:t xml:space="preserve"> and the sometimes unpredictable nature of a disability were repeated themes in our discussions. People with disability often </w:t>
      </w:r>
      <w:r w:rsidRPr="00411C5A">
        <w:t>reported multiple health issues</w:t>
      </w:r>
      <w:r>
        <w:t xml:space="preserve"> that were associated with their disability, in </w:t>
      </w:r>
      <w:r w:rsidRPr="00411C5A">
        <w:t xml:space="preserve">particular when the disability was linked to a degenerative condition. </w:t>
      </w:r>
      <w:r>
        <w:t xml:space="preserve">Thus, for example, cerebral palsy was described to have secondary effects, such as arthritis or chronic fatigue; whilst psychosocial disability was also reported to have physical side effects. These additional effects of disability were not always present, but fluctuated, in particular for people with mental health </w:t>
      </w:r>
      <w:r>
        <w:lastRenderedPageBreak/>
        <w:t>issues. These fluctuations had the potential to severely limit a person’s capacity to pursue their everyday activities whilst supports needs could suddenly change.</w:t>
      </w:r>
    </w:p>
    <w:p w:rsidR="00D907AF" w:rsidRPr="00411C5A" w:rsidRDefault="00D907AF" w:rsidP="00D907AF"/>
    <w:p w:rsidR="00D907AF" w:rsidRDefault="00D907AF" w:rsidP="00D907AF">
      <w:r w:rsidRPr="00CD2A8A">
        <w:t xml:space="preserve">In general, </w:t>
      </w:r>
      <w:r>
        <w:t>people with a lifelong or acquired severe disability reported a high</w:t>
      </w:r>
      <w:r w:rsidRPr="00CD2A8A">
        <w:t xml:space="preserve"> </w:t>
      </w:r>
      <w:r>
        <w:t xml:space="preserve">level of </w:t>
      </w:r>
      <w:r w:rsidRPr="00CD2A8A">
        <w:t>support needs</w:t>
      </w:r>
      <w:r>
        <w:t xml:space="preserve">, often involving </w:t>
      </w:r>
      <w:r w:rsidRPr="00CD2A8A">
        <w:t>assistance</w:t>
      </w:r>
      <w:r>
        <w:t xml:space="preserve"> for </w:t>
      </w:r>
      <w:r w:rsidRPr="00CD2A8A">
        <w:t>most day to day activities, such as cookin</w:t>
      </w:r>
      <w:r>
        <w:t>g, cleaning and personal care. People with less severe, yet nonetheless permanent conditions felt their support needs were</w:t>
      </w:r>
      <w:r w:rsidRPr="00CD2A8A">
        <w:t xml:space="preserve"> relatively</w:t>
      </w:r>
      <w:r>
        <w:t xml:space="preserve"> lower </w:t>
      </w:r>
      <w:r w:rsidRPr="00CD2A8A">
        <w:t>with the boundaries clear and predictable</w:t>
      </w:r>
      <w:r>
        <w:t>, involving perhaps just</w:t>
      </w:r>
      <w:r w:rsidRPr="00CD2A8A">
        <w:t xml:space="preserve"> twice weekly visits from an attendant care worker or weekly therapy sessions.</w:t>
      </w:r>
      <w:r>
        <w:t xml:space="preserve"> </w:t>
      </w:r>
    </w:p>
    <w:p w:rsidR="00D907AF" w:rsidRPr="00CD2A8A" w:rsidRDefault="00D907AF" w:rsidP="00D907AF"/>
    <w:p w:rsidR="00D907AF" w:rsidRDefault="00D907AF" w:rsidP="00D907AF">
      <w:r w:rsidRPr="00CD2A8A">
        <w:t xml:space="preserve">For young </w:t>
      </w:r>
      <w:r>
        <w:t xml:space="preserve">and very young </w:t>
      </w:r>
      <w:r w:rsidRPr="00CD2A8A">
        <w:t xml:space="preserve">NDIS participants </w:t>
      </w:r>
      <w:r>
        <w:t xml:space="preserve">family members </w:t>
      </w:r>
      <w:r w:rsidRPr="00CD2A8A">
        <w:t xml:space="preserve">reported </w:t>
      </w:r>
      <w:r>
        <w:t xml:space="preserve">support needs </w:t>
      </w:r>
      <w:r w:rsidRPr="00CD2A8A">
        <w:t xml:space="preserve">as being </w:t>
      </w:r>
      <w:r>
        <w:t>of a very high level as their</w:t>
      </w:r>
      <w:r w:rsidRPr="00CD2A8A">
        <w:t xml:space="preserve"> children requir</w:t>
      </w:r>
      <w:r>
        <w:t>ed</w:t>
      </w:r>
      <w:r w:rsidRPr="00CD2A8A">
        <w:t xml:space="preserve"> help and support to participate in </w:t>
      </w:r>
      <w:r>
        <w:t xml:space="preserve">almost any </w:t>
      </w:r>
      <w:r w:rsidRPr="00CD2A8A">
        <w:t>activities of daily living:</w:t>
      </w:r>
      <w:r>
        <w:t xml:space="preserve"> </w:t>
      </w:r>
    </w:p>
    <w:p w:rsidR="00D907AF" w:rsidRPr="00CD2A8A" w:rsidRDefault="00D907AF" w:rsidP="00D907AF"/>
    <w:p w:rsidR="00D907AF" w:rsidRPr="00B61A7D" w:rsidRDefault="00D907AF" w:rsidP="00D907AF">
      <w:pPr>
        <w:autoSpaceDE w:val="0"/>
        <w:autoSpaceDN w:val="0"/>
        <w:adjustRightInd w:val="0"/>
        <w:ind w:left="720"/>
        <w:jc w:val="both"/>
        <w:rPr>
          <w:rFonts w:eastAsia="Calibri" w:cstheme="minorHAnsi"/>
          <w:szCs w:val="18"/>
        </w:rPr>
      </w:pPr>
      <w:r w:rsidRPr="00B61A7D">
        <w:rPr>
          <w:rFonts w:eastAsia="Calibri" w:cstheme="minorHAnsi"/>
          <w:szCs w:val="18"/>
        </w:rPr>
        <w:t>‘What’s common sense for us, easy for us, is a challenge for him, like opening a padlock gate, whether it’s doing the buttons and lining them all up, whether it’s putting your jumper on inside out, back to front, whether it’s hanging something up on a coat hanger and half and half is on each side. Now that might sound like a really simple thing to do, but it’s not a simple thing to do for Jacob.’ (</w:t>
      </w:r>
      <w:r w:rsidR="00370101" w:rsidRPr="00370101">
        <w:rPr>
          <w:rFonts w:eastAsia="Calibri" w:cstheme="minorHAnsi"/>
          <w:szCs w:val="18"/>
        </w:rPr>
        <w:t>PWD&amp;C42</w:t>
      </w:r>
      <w:r w:rsidRPr="00B61A7D">
        <w:rPr>
          <w:rFonts w:eastAsia="Calibri" w:cstheme="minorHAnsi"/>
          <w:szCs w:val="18"/>
        </w:rPr>
        <w:t>)</w:t>
      </w:r>
    </w:p>
    <w:p w:rsidR="00D907AF" w:rsidRDefault="00D907AF" w:rsidP="00D907AF"/>
    <w:p w:rsidR="00D907AF" w:rsidRPr="002B0936" w:rsidRDefault="00D907AF" w:rsidP="00D907AF">
      <w:r w:rsidRPr="002B0936">
        <w:t xml:space="preserve">Providing support </w:t>
      </w:r>
      <w:r>
        <w:t xml:space="preserve">with daily care needs </w:t>
      </w:r>
      <w:r w:rsidRPr="002B0936">
        <w:t>impacted markedly on the family member or carer.</w:t>
      </w:r>
      <w:r>
        <w:t xml:space="preserve"> C</w:t>
      </w:r>
      <w:r w:rsidRPr="002B0936">
        <w:t>aregiving family members and carers reported adverse effects on their personal physical and psychological wellbeing, experiencing</w:t>
      </w:r>
      <w:r>
        <w:t>, amongst other things,</w:t>
      </w:r>
      <w:r w:rsidRPr="002B0936">
        <w:t xml:space="preserve"> stress</w:t>
      </w:r>
      <w:r>
        <w:t>,</w:t>
      </w:r>
      <w:r w:rsidRPr="002B0936">
        <w:t xml:space="preserve"> tiredness</w:t>
      </w:r>
      <w:r>
        <w:t xml:space="preserve"> and physical exhaustion; and also impacts for family and marital relationships more broadly</w:t>
      </w:r>
      <w:r w:rsidRPr="002B0936">
        <w:t>.</w:t>
      </w:r>
      <w:r>
        <w:t xml:space="preserve"> These experiences were yet more marked where the caregivers were themselves living with disability. For some parents, concern about an uncertain future of their child coupled physical with emotional exhaustion.</w:t>
      </w:r>
    </w:p>
    <w:p w:rsidR="00D907AF" w:rsidRDefault="00D907AF" w:rsidP="00D907AF">
      <w:bookmarkStart w:id="46" w:name="_Toc421873441"/>
    </w:p>
    <w:p w:rsidR="00D907AF" w:rsidRPr="008B1433" w:rsidRDefault="00D907AF" w:rsidP="00D907AF">
      <w:r w:rsidRPr="008B1433">
        <w:rPr>
          <w:b/>
        </w:rPr>
        <w:t>Social, educational and economic participation</w:t>
      </w:r>
      <w:bookmarkEnd w:id="46"/>
      <w:r w:rsidRPr="008B1433">
        <w:t xml:space="preserve"> </w:t>
      </w:r>
      <w:r>
        <w:t xml:space="preserve">were all affected by a person’s disability. Choices and the feasibility of activities were reported to be limited, and more so than for people without disability. This was most apparent with respect to employment, as both people with disability and their families or (informal) carers reported facing limited opportunities for labour market participation, albeit for different reasons. </w:t>
      </w:r>
    </w:p>
    <w:p w:rsidR="00D907AF" w:rsidRDefault="00D907AF" w:rsidP="00D907AF"/>
    <w:p w:rsidR="00D907AF" w:rsidRDefault="00D907AF" w:rsidP="00D907AF">
      <w:r w:rsidRPr="00AE26DB">
        <w:t>A small number of</w:t>
      </w:r>
      <w:r>
        <w:t xml:space="preserve"> NDIS participants in this qualitative study </w:t>
      </w:r>
      <w:r w:rsidRPr="00C21917">
        <w:t xml:space="preserve">had </w:t>
      </w:r>
      <w:r>
        <w:t xml:space="preserve">paid employment, either a </w:t>
      </w:r>
      <w:r w:rsidRPr="00C21917">
        <w:t>full-time</w:t>
      </w:r>
      <w:r>
        <w:t xml:space="preserve"> or</w:t>
      </w:r>
      <w:r w:rsidRPr="00C21917">
        <w:t xml:space="preserve"> part-time </w:t>
      </w:r>
      <w:r>
        <w:t xml:space="preserve">job, or </w:t>
      </w:r>
      <w:r w:rsidR="00F62A71">
        <w:t xml:space="preserve">casual </w:t>
      </w:r>
      <w:r w:rsidR="002A3341">
        <w:t xml:space="preserve">work. </w:t>
      </w:r>
      <w:r>
        <w:t xml:space="preserve">Others were </w:t>
      </w:r>
      <w:r w:rsidRPr="00C21917">
        <w:t>receiving assistance from providers in their job search or</w:t>
      </w:r>
      <w:r>
        <w:t xml:space="preserve">, failing </w:t>
      </w:r>
      <w:r w:rsidR="002A3341">
        <w:t>that,</w:t>
      </w:r>
      <w:r w:rsidRPr="00C21917">
        <w:t xml:space="preserve"> had family members or carers assume the responsibility of finding employment for them. </w:t>
      </w:r>
      <w:r>
        <w:t xml:space="preserve">Even those not already taking active steps to gaining employment typically expressed a desire for employment or opportunities to undertake voluntary work, as did some family members and carers. Employment was seen as a means to </w:t>
      </w:r>
      <w:r w:rsidRPr="00C21917">
        <w:t>feel</w:t>
      </w:r>
      <w:r>
        <w:t>ing “useful” and having</w:t>
      </w:r>
      <w:r w:rsidRPr="00C21917">
        <w:t xml:space="preserve"> something “meaningful” to do</w:t>
      </w:r>
      <w:r>
        <w:t>, and offering positive effects for self-esteem, but also physical health (through activity and mobility)</w:t>
      </w:r>
      <w:r w:rsidRPr="00C21917">
        <w:t xml:space="preserve">. </w:t>
      </w:r>
    </w:p>
    <w:p w:rsidR="00D907AF" w:rsidRDefault="00D907AF" w:rsidP="00D907AF"/>
    <w:p w:rsidR="00D907AF" w:rsidRDefault="00D907AF" w:rsidP="00D907AF">
      <w:r>
        <w:t xml:space="preserve">The scope for participating in the labour market, however, was often curtailed by </w:t>
      </w:r>
      <w:r w:rsidRPr="00C21917">
        <w:t xml:space="preserve">the nature of </w:t>
      </w:r>
      <w:r>
        <w:t xml:space="preserve">a person’s </w:t>
      </w:r>
      <w:r w:rsidRPr="00C21917">
        <w:t>disability</w:t>
      </w:r>
      <w:r>
        <w:t xml:space="preserve"> or care commitments, and associated </w:t>
      </w:r>
      <w:r w:rsidRPr="00C21917">
        <w:t xml:space="preserve">difficulties </w:t>
      </w:r>
      <w:r>
        <w:t xml:space="preserve">encountered </w:t>
      </w:r>
      <w:r w:rsidRPr="00C21917">
        <w:t xml:space="preserve">in finding a job. </w:t>
      </w:r>
      <w:r>
        <w:t>People with disability, and their families and carers reported a number of obstacles</w:t>
      </w:r>
      <w:r w:rsidRPr="00C21917">
        <w:t xml:space="preserve"> to </w:t>
      </w:r>
      <w:r>
        <w:t>paid or unpaid work including</w:t>
      </w:r>
      <w:r w:rsidRPr="00C21917">
        <w:t xml:space="preserve"> but not limited to </w:t>
      </w:r>
      <w:r>
        <w:t xml:space="preserve">personal </w:t>
      </w:r>
      <w:r w:rsidRPr="00C21917">
        <w:t xml:space="preserve">physical and psychological </w:t>
      </w:r>
      <w:r>
        <w:t>barriers to</w:t>
      </w:r>
      <w:r w:rsidRPr="00C21917">
        <w:t xml:space="preserve"> accessing public places</w:t>
      </w:r>
      <w:r>
        <w:t>;</w:t>
      </w:r>
      <w:r w:rsidRPr="00C21917">
        <w:t xml:space="preserve"> lack of appropriate volunteer/employment opportunities</w:t>
      </w:r>
      <w:r>
        <w:t>, including disability-confident workplaces ready to accommodate people with disability</w:t>
      </w:r>
      <w:r w:rsidRPr="00C21917">
        <w:t>; lack of appropriate and reliable transport</w:t>
      </w:r>
      <w:r>
        <w:t>;</w:t>
      </w:r>
      <w:r w:rsidRPr="00C21917">
        <w:t xml:space="preserve"> lack of employment service providers assist</w:t>
      </w:r>
      <w:r>
        <w:t>ing</w:t>
      </w:r>
      <w:r w:rsidRPr="00C21917">
        <w:t xml:space="preserve"> in </w:t>
      </w:r>
      <w:r>
        <w:t>job search</w:t>
      </w:r>
      <w:r w:rsidRPr="00C21917">
        <w:t xml:space="preserve">; and fluctuating symptoms </w:t>
      </w:r>
      <w:r>
        <w:t xml:space="preserve">of disability that made NDIS </w:t>
      </w:r>
      <w:r w:rsidRPr="00C21917">
        <w:t>participants reluctant to commit to ongoing arrangements.</w:t>
      </w:r>
      <w:r>
        <w:t xml:space="preserve"> </w:t>
      </w:r>
    </w:p>
    <w:p w:rsidR="00D907AF" w:rsidRDefault="00D907AF" w:rsidP="00D907AF"/>
    <w:p w:rsidR="00D907AF" w:rsidRPr="00742522" w:rsidRDefault="00D907AF" w:rsidP="00D907AF">
      <w:pPr>
        <w:rPr>
          <w:rFonts w:ascii="Calibri" w:eastAsia="Calibri" w:hAnsi="Calibri" w:cs="Calibri"/>
          <w:i/>
          <w:szCs w:val="18"/>
        </w:rPr>
      </w:pPr>
      <w:r>
        <w:lastRenderedPageBreak/>
        <w:t>The families and carers of people with disability, on the other hand, lacked the time for active labour market participation as long as they remained the sole or even just the primary caregiver. In fact, s</w:t>
      </w:r>
      <w:r w:rsidRPr="00EB085C">
        <w:t>everal family members</w:t>
      </w:r>
      <w:r>
        <w:t xml:space="preserve"> and </w:t>
      </w:r>
      <w:r w:rsidRPr="00EB085C">
        <w:t>carers had given up their careers as a result of care responsibilities, which</w:t>
      </w:r>
      <w:r>
        <w:t xml:space="preserve">, in turn, </w:t>
      </w:r>
      <w:r w:rsidRPr="00EB085C">
        <w:t xml:space="preserve">had </w:t>
      </w:r>
      <w:r>
        <w:t>adverse effects for</w:t>
      </w:r>
      <w:r w:rsidRPr="00EB085C">
        <w:t xml:space="preserve"> their well-being and self-worth. </w:t>
      </w:r>
      <w:r>
        <w:t xml:space="preserve">Caregivers were also aware that time out of work might reduce their chances of a return to work in the future: </w:t>
      </w:r>
    </w:p>
    <w:p w:rsidR="00D907AF" w:rsidRDefault="00D907AF" w:rsidP="00D907AF">
      <w:pPr>
        <w:autoSpaceDE w:val="0"/>
        <w:autoSpaceDN w:val="0"/>
        <w:adjustRightInd w:val="0"/>
        <w:ind w:left="720"/>
        <w:jc w:val="both"/>
        <w:rPr>
          <w:rFonts w:ascii="Calibri" w:eastAsia="Calibri" w:hAnsi="Calibri" w:cs="Calibri"/>
          <w:i/>
          <w:szCs w:val="18"/>
        </w:rPr>
      </w:pPr>
    </w:p>
    <w:p w:rsidR="00D907AF" w:rsidRPr="00B61A7D" w:rsidRDefault="00D907AF" w:rsidP="00D907AF">
      <w:pPr>
        <w:autoSpaceDE w:val="0"/>
        <w:autoSpaceDN w:val="0"/>
        <w:adjustRightInd w:val="0"/>
        <w:ind w:left="720"/>
        <w:jc w:val="both"/>
        <w:rPr>
          <w:rFonts w:eastAsia="Calibri" w:cstheme="minorHAnsi"/>
          <w:szCs w:val="18"/>
        </w:rPr>
      </w:pPr>
      <w:r w:rsidRPr="00B61A7D">
        <w:rPr>
          <w:rFonts w:eastAsia="Calibri" w:cstheme="minorHAnsi"/>
          <w:szCs w:val="18"/>
        </w:rPr>
        <w:t>‘Yeah, it does make it very difficult. So of course in the process I've allowed my registration (as a personal trainer) to lapse… so I'd have to reregister, I'd have to restudy, I'd have to do my first aid certificates and things like that, to even consider going back to work even part-time.’ (</w:t>
      </w:r>
      <w:r w:rsidR="00370101" w:rsidRPr="00370101">
        <w:rPr>
          <w:rFonts w:eastAsia="Calibri" w:cstheme="minorHAnsi"/>
          <w:szCs w:val="18"/>
        </w:rPr>
        <w:t>PWD&amp;C38</w:t>
      </w:r>
      <w:r w:rsidRPr="00B61A7D">
        <w:rPr>
          <w:rFonts w:eastAsia="Calibri" w:cstheme="minorHAnsi"/>
          <w:szCs w:val="18"/>
        </w:rPr>
        <w:t>)</w:t>
      </w:r>
    </w:p>
    <w:p w:rsidR="00D907AF" w:rsidRDefault="00D907AF" w:rsidP="00D907AF"/>
    <w:p w:rsidR="00D907AF" w:rsidRDefault="00D907AF" w:rsidP="00D907AF">
      <w:r w:rsidRPr="003E6493">
        <w:t xml:space="preserve">The few family members and carers in paid employment </w:t>
      </w:r>
      <w:r>
        <w:t>had been forced to choose flexible work arrangements in to order combine work with their care responsibilities. Such arrangements included working</w:t>
      </w:r>
      <w:r w:rsidRPr="003E6493">
        <w:t xml:space="preserve"> part-time</w:t>
      </w:r>
      <w:r>
        <w:t>,</w:t>
      </w:r>
      <w:r w:rsidRPr="003E6493">
        <w:t xml:space="preserve"> </w:t>
      </w:r>
      <w:r>
        <w:t xml:space="preserve">out </w:t>
      </w:r>
      <w:r w:rsidRPr="003E6493">
        <w:t>of</w:t>
      </w:r>
      <w:r>
        <w:t xml:space="preserve"> </w:t>
      </w:r>
      <w:r w:rsidRPr="003E6493">
        <w:t xml:space="preserve">hours or on weekends, </w:t>
      </w:r>
      <w:r>
        <w:t xml:space="preserve">and </w:t>
      </w:r>
      <w:r w:rsidRPr="003E6493">
        <w:t>working from home</w:t>
      </w:r>
      <w:r>
        <w:t>.</w:t>
      </w:r>
    </w:p>
    <w:p w:rsidR="00D907AF" w:rsidRPr="003E6493" w:rsidRDefault="00D907AF" w:rsidP="00D907AF"/>
    <w:p w:rsidR="00D907AF" w:rsidRPr="00B61A7D" w:rsidRDefault="00D907AF" w:rsidP="00D907AF">
      <w:pPr>
        <w:autoSpaceDE w:val="0"/>
        <w:autoSpaceDN w:val="0"/>
        <w:adjustRightInd w:val="0"/>
        <w:ind w:left="720"/>
        <w:jc w:val="both"/>
        <w:rPr>
          <w:rFonts w:eastAsia="Calibri" w:cstheme="minorHAnsi"/>
          <w:szCs w:val="18"/>
        </w:rPr>
      </w:pPr>
      <w:r w:rsidRPr="00B61A7D">
        <w:rPr>
          <w:rFonts w:eastAsia="Calibri" w:cstheme="minorHAnsi"/>
          <w:szCs w:val="18"/>
        </w:rPr>
        <w:t>‘I only work two days. I was working three days and then Travis and I were just getting sick; he was getting sick and then I was getting run down and I was sick, and in the end I spoke to work and they were going to talk to me apparently anyway, and they just said “maybe work less days because you’re just not able to do it”. I said “yep, that’d be great”, so I went to two days, and that’s enough.’ (</w:t>
      </w:r>
      <w:r w:rsidR="00370101" w:rsidRPr="00370101">
        <w:rPr>
          <w:rFonts w:eastAsia="Calibri" w:cstheme="minorHAnsi"/>
          <w:szCs w:val="18"/>
        </w:rPr>
        <w:t>PWD&amp;C19</w:t>
      </w:r>
      <w:r w:rsidRPr="00B61A7D">
        <w:rPr>
          <w:rFonts w:eastAsia="Calibri" w:cstheme="minorHAnsi"/>
          <w:szCs w:val="18"/>
        </w:rPr>
        <w:t>)</w:t>
      </w:r>
    </w:p>
    <w:p w:rsidR="00D907AF" w:rsidRDefault="00D907AF" w:rsidP="00D907AF"/>
    <w:p w:rsidR="00D907AF" w:rsidRPr="001C3798" w:rsidRDefault="00D907AF" w:rsidP="00D907AF">
      <w:r w:rsidRPr="001C3798">
        <w:t>Not everyone, however, was able to switch so easily to a shorter working week as the costs associated with disability forced some family members to work long hours; but this was typically only an option in households with two (or more) family members sharing the tasks of caring for a child or parent:</w:t>
      </w:r>
    </w:p>
    <w:p w:rsidR="00D907AF" w:rsidRDefault="00D907AF" w:rsidP="00D907AF">
      <w:pPr>
        <w:autoSpaceDE w:val="0"/>
        <w:autoSpaceDN w:val="0"/>
        <w:adjustRightInd w:val="0"/>
        <w:ind w:left="720"/>
        <w:jc w:val="both"/>
        <w:rPr>
          <w:rFonts w:asciiTheme="majorHAnsi" w:eastAsia="Calibri" w:hAnsiTheme="majorHAnsi" w:cstheme="majorHAnsi"/>
          <w:i/>
          <w:szCs w:val="18"/>
        </w:rPr>
      </w:pPr>
    </w:p>
    <w:p w:rsidR="00D907AF" w:rsidRPr="00B61A7D" w:rsidRDefault="00D907AF" w:rsidP="00D907AF">
      <w:pPr>
        <w:autoSpaceDE w:val="0"/>
        <w:autoSpaceDN w:val="0"/>
        <w:adjustRightInd w:val="0"/>
        <w:ind w:left="720"/>
        <w:jc w:val="both"/>
        <w:rPr>
          <w:rFonts w:eastAsia="Calibri" w:cstheme="minorHAnsi"/>
          <w:szCs w:val="18"/>
        </w:rPr>
      </w:pPr>
      <w:r w:rsidRPr="00B61A7D">
        <w:rPr>
          <w:rFonts w:eastAsia="Calibri" w:cstheme="minorHAnsi"/>
          <w:szCs w:val="18"/>
        </w:rPr>
        <w:t>‘My husband works seven days a week to keep us afloat.’ (</w:t>
      </w:r>
      <w:r w:rsidR="00271837" w:rsidRPr="00271837">
        <w:rPr>
          <w:rFonts w:eastAsia="Calibri" w:cstheme="minorHAnsi"/>
          <w:szCs w:val="18"/>
        </w:rPr>
        <w:t>PWD&amp;C36</w:t>
      </w:r>
      <w:r w:rsidRPr="00B61A7D">
        <w:rPr>
          <w:rFonts w:eastAsia="Calibri" w:cstheme="minorHAnsi"/>
          <w:szCs w:val="18"/>
        </w:rPr>
        <w:t>)</w:t>
      </w:r>
    </w:p>
    <w:p w:rsidR="00D907AF" w:rsidRDefault="00D907AF" w:rsidP="00D907AF"/>
    <w:p w:rsidR="00D907AF" w:rsidRDefault="00D907AF" w:rsidP="00D907AF">
      <w:r w:rsidRPr="001C3798">
        <w:t>Unsurprisingly, given the various access barriers encountered by people with disability and the high costs involved, especially when earnings were often low,</w:t>
      </w:r>
      <w:r>
        <w:t xml:space="preserve"> engaging in</w:t>
      </w:r>
      <w:r w:rsidRPr="001C3798">
        <w:t xml:space="preserve"> </w:t>
      </w:r>
      <w:r w:rsidRPr="001C3798">
        <w:rPr>
          <w:b/>
        </w:rPr>
        <w:t>social activities</w:t>
      </w:r>
      <w:r w:rsidRPr="001C3798">
        <w:t xml:space="preserve"> w</w:t>
      </w:r>
      <w:r>
        <w:t>as</w:t>
      </w:r>
      <w:r w:rsidRPr="001C3798">
        <w:t xml:space="preserve"> more often an</w:t>
      </w:r>
      <w:r>
        <w:t xml:space="preserve"> </w:t>
      </w:r>
      <w:r w:rsidRPr="001C3798">
        <w:t>aspiration than a regular reality.</w:t>
      </w:r>
      <w:r>
        <w:t xml:space="preserve"> As with employment, the absence of </w:t>
      </w:r>
      <w:r w:rsidRPr="0079096C">
        <w:rPr>
          <w:u w:val="single"/>
        </w:rPr>
        <w:t>safe</w:t>
      </w:r>
      <w:r>
        <w:t xml:space="preserve"> and </w:t>
      </w:r>
      <w:r w:rsidRPr="0079096C">
        <w:rPr>
          <w:u w:val="single"/>
        </w:rPr>
        <w:t>accessible</w:t>
      </w:r>
      <w:r>
        <w:t xml:space="preserve"> transport made </w:t>
      </w:r>
      <w:r w:rsidRPr="001C3798">
        <w:t xml:space="preserve">social participation a challenge at times. </w:t>
      </w:r>
      <w:r>
        <w:t>Being cognitively, emotionally and financially in a position to use taxis or other means of private transport independently greatly facilitated social participation. Limited interaction or communication skills, personal anxiety and a reluctance to mix and connect with other people, and the risk of being excluded or rejected by others, posed real and, for some, ever-present limits to social participation. Feeling personally safe was a high priority for people with disability, and for their families and carers.</w:t>
      </w:r>
    </w:p>
    <w:p w:rsidR="00D907AF" w:rsidRDefault="00D907AF" w:rsidP="00D907AF">
      <w:pPr>
        <w:autoSpaceDE w:val="0"/>
        <w:autoSpaceDN w:val="0"/>
        <w:adjustRightInd w:val="0"/>
        <w:ind w:left="720"/>
        <w:jc w:val="both"/>
        <w:rPr>
          <w:rFonts w:ascii="Calibri" w:eastAsia="Calibri" w:hAnsi="Calibri" w:cs="Calibri"/>
          <w:i/>
          <w:szCs w:val="18"/>
        </w:rPr>
      </w:pPr>
    </w:p>
    <w:p w:rsidR="00D907AF" w:rsidRPr="00B61A7D" w:rsidRDefault="00D907AF" w:rsidP="00D907AF">
      <w:pPr>
        <w:autoSpaceDE w:val="0"/>
        <w:autoSpaceDN w:val="0"/>
        <w:adjustRightInd w:val="0"/>
        <w:ind w:left="720"/>
        <w:jc w:val="both"/>
        <w:rPr>
          <w:rFonts w:eastAsia="Calibri" w:cstheme="minorHAnsi"/>
          <w:szCs w:val="18"/>
        </w:rPr>
      </w:pPr>
      <w:r w:rsidRPr="00B61A7D">
        <w:rPr>
          <w:rFonts w:eastAsia="Calibri" w:cstheme="minorHAnsi"/>
          <w:szCs w:val="18"/>
        </w:rPr>
        <w:t>‘Just even getting him to go out because he doesn’t interact with anyone, doesn’t have any friends. To him, I’m his best friend so that’s the complete interaction he has with a lot of people….He mainly has that support person when they’re with him as the person he talks to.’ (</w:t>
      </w:r>
      <w:r w:rsidR="00714F8C" w:rsidRPr="00714F8C">
        <w:rPr>
          <w:rFonts w:eastAsia="Calibri" w:cstheme="minorHAnsi"/>
          <w:szCs w:val="18"/>
        </w:rPr>
        <w:t>PWD&amp;C15</w:t>
      </w:r>
      <w:r w:rsidRPr="00B61A7D">
        <w:rPr>
          <w:rFonts w:eastAsia="Calibri" w:cstheme="minorHAnsi"/>
          <w:szCs w:val="18"/>
        </w:rPr>
        <w:t>)</w:t>
      </w:r>
    </w:p>
    <w:p w:rsidR="00D907AF" w:rsidRDefault="00D907AF" w:rsidP="00D907AF"/>
    <w:p w:rsidR="00D907AF" w:rsidRDefault="00D907AF" w:rsidP="00D907AF">
      <w:r>
        <w:t xml:space="preserve">NDIS </w:t>
      </w:r>
      <w:r w:rsidRPr="001C3798">
        <w:t xml:space="preserve">participants </w:t>
      </w:r>
      <w:r>
        <w:t>in this study, especially when living with intellectual or psychosocial disability, often found navigating</w:t>
      </w:r>
      <w:r w:rsidRPr="001C3798">
        <w:t xml:space="preserve"> </w:t>
      </w:r>
      <w:r>
        <w:t xml:space="preserve">public </w:t>
      </w:r>
      <w:r w:rsidRPr="001C3798">
        <w:t>services</w:t>
      </w:r>
      <w:r>
        <w:t>, including community transport facilities,</w:t>
      </w:r>
      <w:r w:rsidRPr="001C3798">
        <w:t xml:space="preserve"> restricted their ability to </w:t>
      </w:r>
      <w:r>
        <w:t xml:space="preserve">be mobile and </w:t>
      </w:r>
      <w:r w:rsidRPr="001C3798">
        <w:t xml:space="preserve">access public </w:t>
      </w:r>
      <w:r>
        <w:t xml:space="preserve">and private </w:t>
      </w:r>
      <w:r w:rsidRPr="001C3798">
        <w:t>spaces</w:t>
      </w:r>
      <w:r>
        <w:t>:</w:t>
      </w:r>
    </w:p>
    <w:p w:rsidR="00D907AF" w:rsidRPr="001C3798" w:rsidRDefault="00D907AF" w:rsidP="00D907AF">
      <w:r w:rsidRPr="001C3798">
        <w:t xml:space="preserve"> </w:t>
      </w:r>
    </w:p>
    <w:p w:rsidR="00D907AF" w:rsidRPr="00B61A7D" w:rsidRDefault="00D907AF" w:rsidP="00D907AF">
      <w:pPr>
        <w:autoSpaceDE w:val="0"/>
        <w:autoSpaceDN w:val="0"/>
        <w:adjustRightInd w:val="0"/>
        <w:ind w:left="720"/>
        <w:jc w:val="both"/>
        <w:rPr>
          <w:rFonts w:eastAsia="Calibri" w:cstheme="minorHAnsi"/>
          <w:szCs w:val="18"/>
        </w:rPr>
      </w:pPr>
      <w:r w:rsidRPr="00B61A7D">
        <w:rPr>
          <w:rFonts w:eastAsia="Calibri" w:cstheme="minorHAnsi"/>
          <w:szCs w:val="18"/>
        </w:rPr>
        <w:t>‘It’s certainly hard to say, like once he’s been shown where to get on and where to get off; he can probably do that but to just kind of get on a bus and, you know, pick the right bus and things like that, no. That’s something he probably wouldn’t be able to master.’ (</w:t>
      </w:r>
      <w:r w:rsidR="00714F8C" w:rsidRPr="00714F8C">
        <w:rPr>
          <w:rFonts w:eastAsia="Calibri" w:cstheme="minorHAnsi"/>
          <w:szCs w:val="18"/>
        </w:rPr>
        <w:t>PWD&amp;C50</w:t>
      </w:r>
      <w:r w:rsidRPr="00B61A7D">
        <w:rPr>
          <w:rFonts w:eastAsia="Calibri" w:cstheme="minorHAnsi"/>
          <w:szCs w:val="18"/>
        </w:rPr>
        <w:t>)</w:t>
      </w:r>
    </w:p>
    <w:p w:rsidR="00D907AF" w:rsidRDefault="00D907AF" w:rsidP="00D907AF"/>
    <w:p w:rsidR="00D907AF" w:rsidRDefault="00D907AF" w:rsidP="00D907AF">
      <w:r>
        <w:lastRenderedPageBreak/>
        <w:t>People with disability often needed additional supports when outside the home, regardless of the means of transport chosen. The trouble with public transport that study participants noted was its unreliability</w:t>
      </w:r>
      <w:r w:rsidRPr="00D956E3">
        <w:t>, particularly in areas outside of major metropolitan centres</w:t>
      </w:r>
      <w:r>
        <w:t>. Route changes, (connecting) service cancellations and long-distance journeys c</w:t>
      </w:r>
      <w:r w:rsidRPr="00D956E3">
        <w:t>ould cause anxiety in both the person with disability</w:t>
      </w:r>
      <w:r>
        <w:t>,</w:t>
      </w:r>
      <w:r w:rsidRPr="00D956E3">
        <w:t xml:space="preserve"> and their family member and carer.</w:t>
      </w:r>
      <w:r w:rsidR="00476EA8">
        <w:t xml:space="preserve"> </w:t>
      </w:r>
      <w:r w:rsidRPr="006D7DDF">
        <w:t xml:space="preserve">One participant with </w:t>
      </w:r>
      <w:r>
        <w:t>s</w:t>
      </w:r>
      <w:r w:rsidRPr="006D7DDF">
        <w:t xml:space="preserve">pina </w:t>
      </w:r>
      <w:r>
        <w:t>b</w:t>
      </w:r>
      <w:r w:rsidRPr="006D7DDF">
        <w:t xml:space="preserve">ifida described the barriers to her social participation as follows: </w:t>
      </w:r>
    </w:p>
    <w:p w:rsidR="00D907AF" w:rsidRPr="006D7DDF" w:rsidRDefault="00D907AF" w:rsidP="00D907AF"/>
    <w:p w:rsidR="00D907AF" w:rsidRPr="00B61A7D" w:rsidRDefault="00D907AF" w:rsidP="00D907AF">
      <w:pPr>
        <w:autoSpaceDE w:val="0"/>
        <w:autoSpaceDN w:val="0"/>
        <w:adjustRightInd w:val="0"/>
        <w:ind w:left="720"/>
        <w:jc w:val="both"/>
        <w:rPr>
          <w:rFonts w:eastAsia="Calibri" w:cstheme="minorHAnsi"/>
          <w:szCs w:val="18"/>
        </w:rPr>
      </w:pPr>
      <w:r w:rsidRPr="00B61A7D">
        <w:rPr>
          <w:rFonts w:eastAsia="Calibri" w:cstheme="minorHAnsi"/>
          <w:szCs w:val="18"/>
        </w:rPr>
        <w:t>‘So it has affected me in the fact that with my lack of independence I can’t go out obviously. I can’t just run down the street or catch a taxi and catch up with friends. Then with my blue spells [periods of being unable to breathe linked to spina bifida]) I’m not allowed to go out by myself without someone with me. So it can be kind of awkward just because I have to go out when it’s convenient with someone else too not just when it’s convenient for me.’ (</w:t>
      </w:r>
      <w:r w:rsidR="00ED4F08" w:rsidRPr="00ED4F08">
        <w:rPr>
          <w:rFonts w:eastAsia="Calibri" w:cstheme="minorHAnsi"/>
          <w:szCs w:val="18"/>
        </w:rPr>
        <w:t>PWD&amp;C16</w:t>
      </w:r>
      <w:r w:rsidRPr="00B61A7D">
        <w:rPr>
          <w:rFonts w:eastAsia="Calibri" w:cstheme="minorHAnsi"/>
          <w:szCs w:val="18"/>
        </w:rPr>
        <w:t>)</w:t>
      </w:r>
    </w:p>
    <w:p w:rsidR="00D907AF" w:rsidRDefault="00D907AF" w:rsidP="00D907AF">
      <w:pPr>
        <w:autoSpaceDE w:val="0"/>
        <w:autoSpaceDN w:val="0"/>
        <w:adjustRightInd w:val="0"/>
        <w:ind w:left="720"/>
        <w:jc w:val="both"/>
        <w:rPr>
          <w:rFonts w:ascii="Calibri" w:eastAsia="Calibri" w:hAnsi="Calibri" w:cs="Calibri"/>
          <w:i/>
          <w:szCs w:val="18"/>
        </w:rPr>
      </w:pPr>
    </w:p>
    <w:p w:rsidR="00D907AF" w:rsidRDefault="00D907AF" w:rsidP="00D907AF">
      <w:r>
        <w:t xml:space="preserve">Carers also found their </w:t>
      </w:r>
      <w:r w:rsidRPr="008819E7">
        <w:t xml:space="preserve">social </w:t>
      </w:r>
      <w:r>
        <w:t>activities heavily curtailed by their caring responsibilities</w:t>
      </w:r>
      <w:r w:rsidRPr="008819E7">
        <w:t xml:space="preserve">, regardless of the age </w:t>
      </w:r>
      <w:r>
        <w:t>or</w:t>
      </w:r>
      <w:r w:rsidRPr="008819E7">
        <w:t xml:space="preserve"> disability type of the person </w:t>
      </w:r>
      <w:r>
        <w:t xml:space="preserve">they </w:t>
      </w:r>
      <w:r w:rsidRPr="008819E7">
        <w:t>cared for. Famil</w:t>
      </w:r>
      <w:r>
        <w:t>ies</w:t>
      </w:r>
      <w:r w:rsidRPr="008819E7">
        <w:t xml:space="preserve"> and carers typically reported </w:t>
      </w:r>
      <w:r>
        <w:t xml:space="preserve">limited </w:t>
      </w:r>
      <w:r w:rsidRPr="008819E7">
        <w:t>time and energy</w:t>
      </w:r>
      <w:r>
        <w:t xml:space="preserve"> and</w:t>
      </w:r>
      <w:r w:rsidRPr="008819E7">
        <w:t xml:space="preserve"> spoke of the need to be flexible, to be able to “drop everything at a moment’s notice” if </w:t>
      </w:r>
      <w:r>
        <w:t xml:space="preserve">and when their support was </w:t>
      </w:r>
      <w:r w:rsidRPr="008819E7">
        <w:t>needed.</w:t>
      </w:r>
      <w:r>
        <w:t xml:space="preserve"> Some also pointed out the effect of the NDIS on their time management:</w:t>
      </w:r>
      <w:r w:rsidRPr="008819E7">
        <w:t xml:space="preserve"> </w:t>
      </w:r>
    </w:p>
    <w:p w:rsidR="00D907AF" w:rsidRPr="008819E7" w:rsidRDefault="00D907AF" w:rsidP="00D907AF"/>
    <w:p w:rsidR="00D907AF" w:rsidRPr="00B61A7D" w:rsidRDefault="00D907AF" w:rsidP="00D907AF">
      <w:pPr>
        <w:autoSpaceDE w:val="0"/>
        <w:autoSpaceDN w:val="0"/>
        <w:adjustRightInd w:val="0"/>
        <w:ind w:left="720"/>
        <w:jc w:val="both"/>
        <w:rPr>
          <w:rFonts w:eastAsia="Calibri" w:cstheme="minorHAnsi"/>
          <w:szCs w:val="18"/>
        </w:rPr>
      </w:pPr>
      <w:r w:rsidRPr="00B61A7D">
        <w:rPr>
          <w:rFonts w:eastAsia="Calibri" w:cstheme="minorHAnsi"/>
          <w:szCs w:val="18"/>
        </w:rPr>
        <w:t>‘…between dealing with the NDIS and coordinating Rory’s [care]…there's probably two to three days gone a week.’ (</w:t>
      </w:r>
      <w:r w:rsidR="00D524BC" w:rsidRPr="00D524BC">
        <w:rPr>
          <w:rFonts w:eastAsia="Calibri" w:cstheme="minorHAnsi"/>
          <w:szCs w:val="18"/>
        </w:rPr>
        <w:t>PWD&amp;C57</w:t>
      </w:r>
      <w:r w:rsidRPr="00B61A7D">
        <w:rPr>
          <w:rFonts w:eastAsia="Calibri" w:cstheme="minorHAnsi"/>
          <w:szCs w:val="18"/>
        </w:rPr>
        <w:t xml:space="preserve">) </w:t>
      </w:r>
    </w:p>
    <w:p w:rsidR="00D907AF" w:rsidRPr="00742522" w:rsidRDefault="00D907AF" w:rsidP="00D907AF">
      <w:pPr>
        <w:autoSpaceDE w:val="0"/>
        <w:autoSpaceDN w:val="0"/>
        <w:adjustRightInd w:val="0"/>
        <w:ind w:left="720"/>
        <w:jc w:val="both"/>
        <w:rPr>
          <w:rFonts w:ascii="Calibri" w:eastAsia="Calibri" w:hAnsi="Calibri" w:cs="Calibri"/>
          <w:i/>
          <w:szCs w:val="18"/>
        </w:rPr>
      </w:pPr>
    </w:p>
    <w:p w:rsidR="00D907AF" w:rsidRPr="0079096C" w:rsidRDefault="00D907AF" w:rsidP="00D907AF">
      <w:r w:rsidRPr="0079096C">
        <w:t xml:space="preserve">Carers rarely remarked on their own personal barriers to </w:t>
      </w:r>
      <w:r w:rsidRPr="0079096C">
        <w:rPr>
          <w:b/>
        </w:rPr>
        <w:t>education</w:t>
      </w:r>
      <w:r w:rsidRPr="0079096C">
        <w:t xml:space="preserve">, but were concerned about the impact that disability had on the educational participation of the person with disability. This concern was most articulate in South Australia and Tasmania where the trial of the NDIS focused on </w:t>
      </w:r>
      <w:r>
        <w:t xml:space="preserve">children and </w:t>
      </w:r>
      <w:r w:rsidRPr="0079096C">
        <w:t>young people. Parents and carers were most concerned about determining the ‘right’ type of education for the child, be it in mainstream or special schools. The risk of being bullied or otherwise ‘picked on’ was foremost on the mind of many parents.</w:t>
      </w:r>
    </w:p>
    <w:p w:rsidR="00D907AF" w:rsidRDefault="00D907AF" w:rsidP="00D907AF">
      <w:bookmarkStart w:id="47" w:name="_Toc421873448"/>
    </w:p>
    <w:p w:rsidR="00D907AF" w:rsidRDefault="00D907AF" w:rsidP="00D907AF">
      <w:r w:rsidRPr="00960A70">
        <w:t xml:space="preserve">The stigma that disability continues to bear in society was repeatedly referred to in our conversations as people with disability, and their families and carers sought to manage their daily lives. Whilst frustrated by the everyday manifestations of this stigma, families and carers expressed a personal determination to face this challenge as they sought to live </w:t>
      </w:r>
      <w:r w:rsidRPr="00D4022A">
        <w:t xml:space="preserve">their </w:t>
      </w:r>
      <w:r w:rsidRPr="00960A70">
        <w:t>lives, as this parent explained:</w:t>
      </w:r>
    </w:p>
    <w:p w:rsidR="00D907AF" w:rsidRPr="00960A70" w:rsidRDefault="00D907AF" w:rsidP="00D907AF"/>
    <w:p w:rsidR="00D907AF" w:rsidRPr="00B61A7D" w:rsidRDefault="00D907AF" w:rsidP="00D907AF">
      <w:pPr>
        <w:autoSpaceDE w:val="0"/>
        <w:autoSpaceDN w:val="0"/>
        <w:adjustRightInd w:val="0"/>
        <w:ind w:left="720"/>
        <w:jc w:val="both"/>
        <w:rPr>
          <w:rFonts w:eastAsia="Calibri" w:cstheme="minorHAnsi"/>
          <w:szCs w:val="18"/>
        </w:rPr>
      </w:pPr>
      <w:r w:rsidRPr="00B61A7D">
        <w:rPr>
          <w:rFonts w:eastAsia="Calibri" w:cstheme="minorHAnsi"/>
          <w:szCs w:val="18"/>
        </w:rPr>
        <w:t xml:space="preserve">‘Like, it was my birthday the other day, we went down to a café and people were all staring at him, and everything, and it made my husband feel uncomfortable. Like, I didn't mind, but afterwards I said to him, "You know, you have to stop worrying about what other people think. Jordan is who he is, so you just need to get over it. Like, you just make everyone miserable when you are worried about what he's doing." You see, that's the whole problem, this is what our whole lives are like.’ </w:t>
      </w:r>
      <w:r w:rsidR="00ED4F08">
        <w:rPr>
          <w:rFonts w:eastAsia="Calibri" w:cstheme="minorHAnsi"/>
          <w:szCs w:val="18"/>
        </w:rPr>
        <w:t>(</w:t>
      </w:r>
      <w:r w:rsidR="00ED4F08" w:rsidRPr="00ED4F08">
        <w:rPr>
          <w:rFonts w:eastAsia="Calibri" w:cstheme="minorHAnsi"/>
          <w:szCs w:val="18"/>
        </w:rPr>
        <w:t>PWD&amp;C25</w:t>
      </w:r>
      <w:r w:rsidRPr="00B61A7D">
        <w:rPr>
          <w:rFonts w:eastAsia="Calibri" w:cstheme="minorHAnsi"/>
          <w:szCs w:val="18"/>
        </w:rPr>
        <w:t>)</w:t>
      </w:r>
    </w:p>
    <w:p w:rsidR="00D907AF" w:rsidRDefault="00D907AF" w:rsidP="00D907AF"/>
    <w:p w:rsidR="00D907AF" w:rsidRPr="007B7D78" w:rsidRDefault="00D907AF" w:rsidP="00D907AF">
      <w:r>
        <w:t>In summary, people with disability, and their families and carers faced a number of personal and societal challenges that affected their social and economic lives, their health, emotional and material wellbeing. These challenges were not borne by one person, but shared, and as a result, affected family or spousal relationships</w:t>
      </w:r>
      <w:bookmarkEnd w:id="47"/>
      <w:r>
        <w:t>. Thus</w:t>
      </w:r>
      <w:r w:rsidRPr="007B7D78">
        <w:t>, individual impacts of disability were not independent from one another but interrelated, sometimes compounding individual effects.</w:t>
      </w:r>
    </w:p>
    <w:p w:rsidR="00D907AF" w:rsidRPr="008658CC" w:rsidRDefault="00D907AF" w:rsidP="00367B24">
      <w:pPr>
        <w:pStyle w:val="Heading40"/>
      </w:pPr>
      <w:bookmarkStart w:id="48" w:name="_Toc428271212"/>
      <w:bookmarkStart w:id="49" w:name="_Toc449954952"/>
      <w:r>
        <w:t xml:space="preserve">2.2.3.2 </w:t>
      </w:r>
      <w:r w:rsidRPr="008658CC">
        <w:t>Awareness and expectation of the NDIS</w:t>
      </w:r>
      <w:bookmarkEnd w:id="48"/>
      <w:bookmarkEnd w:id="49"/>
    </w:p>
    <w:p w:rsidR="00D907AF" w:rsidRDefault="00D907AF" w:rsidP="00D907AF">
      <w:r>
        <w:t xml:space="preserve">Against the background of these everyday challenges that many of the participants in our interviews had been experiencing, often for many years, respondents were optimistic that the NDIS would improve their lives. Much weight was placed on expectations that the NDIS would help to improve </w:t>
      </w:r>
      <w:r>
        <w:lastRenderedPageBreak/>
        <w:t xml:space="preserve">access to services and supports that people with disability, but also families and carers needed. Some family members and carers were also explicit in their hope that the NDIS would help them return to paid work. </w:t>
      </w:r>
    </w:p>
    <w:p w:rsidR="00D907AF" w:rsidRDefault="00D907AF" w:rsidP="00D907AF">
      <w:r>
        <w:t xml:space="preserve">Initially however, there was considerable uncertainty as to what the NDIS was going to yield and who would be eligible to join the scheme. </w:t>
      </w:r>
    </w:p>
    <w:p w:rsidR="00D907AF" w:rsidRDefault="00D907AF" w:rsidP="00D907AF"/>
    <w:p w:rsidR="00D907AF" w:rsidRPr="00B61A7D" w:rsidRDefault="00D907AF" w:rsidP="00D907AF">
      <w:pPr>
        <w:autoSpaceDE w:val="0"/>
        <w:autoSpaceDN w:val="0"/>
        <w:adjustRightInd w:val="0"/>
        <w:ind w:left="720"/>
        <w:jc w:val="both"/>
        <w:rPr>
          <w:rFonts w:eastAsia="Calibri" w:cstheme="minorHAnsi"/>
          <w:szCs w:val="18"/>
        </w:rPr>
      </w:pPr>
      <w:r w:rsidRPr="00B61A7D">
        <w:rPr>
          <w:rFonts w:eastAsia="Calibri" w:cstheme="minorHAnsi"/>
          <w:szCs w:val="18"/>
        </w:rPr>
        <w:t>‘I was never certain whether I'd be eligible, because they are still very vague about severity… I would accept that somebody who had this permanently in a wheelchair with quadriplegia or whatever is clearly severely (disabled). But with other things, it's a matter of degree and I kept waiting to hear some sort of definition of cut-off points. Well even after I had applied, I still couldn't get a straight answer to that.’ (</w:t>
      </w:r>
      <w:r w:rsidR="009E6DAF" w:rsidRPr="009E6DAF">
        <w:rPr>
          <w:rFonts w:eastAsia="Calibri" w:cstheme="minorHAnsi"/>
          <w:szCs w:val="18"/>
        </w:rPr>
        <w:t>PWD&amp;C02</w:t>
      </w:r>
      <w:r w:rsidRPr="00B61A7D">
        <w:rPr>
          <w:rFonts w:eastAsia="Calibri" w:cstheme="minorHAnsi"/>
          <w:szCs w:val="18"/>
        </w:rPr>
        <w:t>)</w:t>
      </w:r>
    </w:p>
    <w:p w:rsidR="00D907AF" w:rsidRDefault="00D907AF" w:rsidP="00D907AF"/>
    <w:p w:rsidR="00D907AF" w:rsidRDefault="00D907AF" w:rsidP="00D907AF">
      <w:r w:rsidRPr="00665C06">
        <w:t>This view was particularly prevalent among people with a psychosocial disability or mental health problem who were confused by the lack of a clear direction on eligibility in the early months of the trials. Where people with disability were very young children, such as was predominately the case in South Australia, concerns about eligibility were compounded by the emotional consequences of the process of establishing a diagnosis and finding out their child has a potentially life-long disability.</w:t>
      </w:r>
      <w:r>
        <w:t xml:space="preserve"> </w:t>
      </w:r>
    </w:p>
    <w:p w:rsidR="00D907AF" w:rsidRDefault="00D907AF" w:rsidP="00D907AF"/>
    <w:p w:rsidR="00D907AF" w:rsidRDefault="00D907AF" w:rsidP="00D907AF">
      <w:r>
        <w:t>There also was a strongly felt belief amongst participants in our study that, as they were transitioning into the NDIS, people with disability would be able to retain their existing services, with the NDIS merely taking over their funding. Although some expressed concern that the trial of the NDIS could herald a change in supports, which would have unsettling consequences for the user, by and large the hope and expectation was that the range of supports available to people with disability would increase, as would their funding levels. From before the time of the trial of the NDIS, “choice and control” had been heavily marketed. For participants in this study, “choice and control” was interpreted to mean more funding and greater access to higher quality supports.</w:t>
      </w:r>
    </w:p>
    <w:p w:rsidR="00D907AF" w:rsidRDefault="00D907AF" w:rsidP="00D907AF"/>
    <w:p w:rsidR="00D907AF" w:rsidRDefault="00D907AF" w:rsidP="00D907AF">
      <w:r w:rsidRPr="00016282">
        <w:t>The precise content of supports that people with disability anticipated to be receiving under the NDIS varied with disability</w:t>
      </w:r>
      <w:r>
        <w:t xml:space="preserve"> and age</w:t>
      </w:r>
      <w:r w:rsidRPr="00016282">
        <w:t>.</w:t>
      </w:r>
      <w:r>
        <w:t xml:space="preserve"> </w:t>
      </w:r>
      <w:r w:rsidRPr="00016282">
        <w:t xml:space="preserve">Most notable, whereas participants with mental illness expressed a desire for more support in initiating and facilitating social leisure and group activities, participants with physical disabilities were more inclined to expect more and better self-care supports and a greater number of hours of support provided in and outside their homes. </w:t>
      </w:r>
      <w:r>
        <w:t xml:space="preserve">This was in particular to reduce reliance on family members. </w:t>
      </w:r>
    </w:p>
    <w:p w:rsidR="00D907AF" w:rsidRDefault="00D907AF" w:rsidP="00D907AF"/>
    <w:p w:rsidR="00D907AF" w:rsidRPr="00016282" w:rsidRDefault="00D907AF" w:rsidP="00D907AF">
      <w:r w:rsidRPr="00016282">
        <w:t>Carers of participants with intellectual disabilities expected services to assist participants to link better with broader community in such arenas as school, accommodation, and non-disability specific social activities. Carers’ expectations typically concerned the needs of the persons for whom they cared, rather than their own needs, although a few carers had hoped that the extra support that the NDIS would provide to the person with disability would also allow them to undertake other activities, including paid work.</w:t>
      </w:r>
      <w:r>
        <w:t xml:space="preserve"> These expectations of improved supports were balanced by an awareness of the likely cost implications, raising questions among some about the sustainability of a fully-grown NDIS.</w:t>
      </w:r>
    </w:p>
    <w:p w:rsidR="00D907AF" w:rsidRDefault="00D907AF" w:rsidP="00D907AF">
      <w:pPr>
        <w:autoSpaceDE w:val="0"/>
        <w:autoSpaceDN w:val="0"/>
        <w:adjustRightInd w:val="0"/>
        <w:ind w:left="720"/>
        <w:jc w:val="both"/>
        <w:rPr>
          <w:rFonts w:ascii="Calibri" w:eastAsia="Calibri" w:hAnsi="Calibri" w:cs="Calibri"/>
          <w:i/>
          <w:szCs w:val="18"/>
        </w:rPr>
      </w:pPr>
    </w:p>
    <w:p w:rsidR="00D907AF" w:rsidRPr="00B61A7D" w:rsidRDefault="00D907AF" w:rsidP="00D907AF">
      <w:pPr>
        <w:autoSpaceDE w:val="0"/>
        <w:autoSpaceDN w:val="0"/>
        <w:adjustRightInd w:val="0"/>
        <w:ind w:left="720"/>
        <w:jc w:val="both"/>
        <w:rPr>
          <w:rFonts w:eastAsia="Calibri" w:cstheme="minorHAnsi"/>
          <w:szCs w:val="18"/>
        </w:rPr>
      </w:pPr>
      <w:r w:rsidRPr="00B61A7D">
        <w:rPr>
          <w:rFonts w:eastAsia="Calibri" w:cstheme="minorHAnsi"/>
          <w:szCs w:val="18"/>
        </w:rPr>
        <w:t>‘Well if everyone’s claiming, you know, the government’s going to come back to you and say look, we just can’t afford to -- because it is highly expensive to have all these plans and stuff for our children.’ (</w:t>
      </w:r>
      <w:r w:rsidR="00370101" w:rsidRPr="00370101">
        <w:rPr>
          <w:rFonts w:eastAsia="Calibri" w:cstheme="minorHAnsi"/>
          <w:szCs w:val="18"/>
        </w:rPr>
        <w:t>PWD&amp;C44</w:t>
      </w:r>
      <w:r w:rsidRPr="00B61A7D">
        <w:rPr>
          <w:rFonts w:eastAsia="Calibri" w:cstheme="minorHAnsi"/>
          <w:szCs w:val="18"/>
        </w:rPr>
        <w:t>)</w:t>
      </w:r>
    </w:p>
    <w:p w:rsidR="00D907AF" w:rsidRPr="008658CC" w:rsidRDefault="00D907AF" w:rsidP="00367B24">
      <w:pPr>
        <w:pStyle w:val="Heading40"/>
      </w:pPr>
      <w:bookmarkStart w:id="50" w:name="_Toc428271213"/>
      <w:bookmarkStart w:id="51" w:name="_Toc449954953"/>
      <w:r>
        <w:t xml:space="preserve">2.2.3.3 </w:t>
      </w:r>
      <w:r w:rsidRPr="008658CC">
        <w:t>Experiences of entering the NDIS and of preparing the NDIS plan</w:t>
      </w:r>
      <w:bookmarkEnd w:id="50"/>
      <w:bookmarkEnd w:id="51"/>
    </w:p>
    <w:p w:rsidR="00D907AF" w:rsidRDefault="00D907AF" w:rsidP="00D907AF">
      <w:r>
        <w:t>The accounts of people’s experiences of entering the NDIS varied greatly, ranging from most positive and administratively simple to highly problematic and personally disconcerting.</w:t>
      </w:r>
    </w:p>
    <w:p w:rsidR="00D907AF" w:rsidRDefault="00D907AF" w:rsidP="00D907AF"/>
    <w:p w:rsidR="00D907AF" w:rsidRDefault="00D907AF" w:rsidP="00D907AF">
      <w:r>
        <w:lastRenderedPageBreak/>
        <w:t>Respondents who had an easy transition into the NDIS were generally those who had a service provider who assisted them with enrolling in the scheme (often also retaining their services), had other family members already in the scheme, or were seeking services for the very first time. Yet even then, the experience of transitioning into the NDIS was not always easy:</w:t>
      </w:r>
    </w:p>
    <w:p w:rsidR="00D907AF" w:rsidRPr="00B61A7D" w:rsidRDefault="00D907AF" w:rsidP="00D907AF">
      <w:pPr>
        <w:autoSpaceDE w:val="0"/>
        <w:autoSpaceDN w:val="0"/>
        <w:adjustRightInd w:val="0"/>
        <w:ind w:left="720"/>
        <w:jc w:val="both"/>
        <w:rPr>
          <w:rFonts w:eastAsia="Calibri" w:cstheme="minorHAnsi"/>
          <w:szCs w:val="18"/>
        </w:rPr>
      </w:pPr>
      <w:r w:rsidRPr="00B61A7D">
        <w:rPr>
          <w:rFonts w:eastAsia="Calibri" w:cstheme="minorHAnsi"/>
          <w:szCs w:val="18"/>
        </w:rPr>
        <w:t>‘I have to tell you it was a really confronting experience because it was in the early stages of the disease, and I was still finding it difficult to actually think ahead of things that I might require…. We just felt as though the system was there to help us, not to try and prevent us from being involved in the system.’ (</w:t>
      </w:r>
      <w:r w:rsidR="00B42F21" w:rsidRPr="00B42F21">
        <w:rPr>
          <w:rFonts w:eastAsia="Calibri" w:cstheme="minorHAnsi"/>
          <w:szCs w:val="18"/>
        </w:rPr>
        <w:t>PWD&amp;C24</w:t>
      </w:r>
      <w:r w:rsidRPr="00B61A7D">
        <w:rPr>
          <w:rFonts w:eastAsia="Calibri" w:cstheme="minorHAnsi"/>
          <w:szCs w:val="18"/>
        </w:rPr>
        <w:t>)</w:t>
      </w:r>
    </w:p>
    <w:p w:rsidR="00D907AF" w:rsidRDefault="00D907AF" w:rsidP="00D907AF"/>
    <w:p w:rsidR="00D907AF" w:rsidRDefault="00D907AF" w:rsidP="00D907AF">
      <w:r>
        <w:t>The most common concerns about the transitioning processes that participants in this study noted were:</w:t>
      </w:r>
    </w:p>
    <w:p w:rsidR="00D907AF" w:rsidRDefault="00D907AF" w:rsidP="00D907AF"/>
    <w:p w:rsidR="00D907AF" w:rsidRDefault="00D907AF" w:rsidP="009862D9">
      <w:pPr>
        <w:pStyle w:val="Bullets"/>
        <w:spacing w:before="0"/>
        <w:ind w:left="426" w:hanging="437"/>
      </w:pPr>
      <w:r>
        <w:t xml:space="preserve">a lack of responsiveness by the NDIA, with many having to follow-up first contact from the NDIA with a phone call or email due to problems with receiving paperwork, having paperwork mislaid, and needing to complete multiple applications </w:t>
      </w:r>
    </w:p>
    <w:p w:rsidR="00D907AF" w:rsidRDefault="00D907AF" w:rsidP="009862D9">
      <w:pPr>
        <w:pStyle w:val="Bullets"/>
        <w:ind w:left="426" w:hanging="437"/>
      </w:pPr>
      <w:r>
        <w:t xml:space="preserve">frustrations with the amount of paperwork required, with additional concerns being raised about the accessibility of the scheme given the complexity and amount of requisite paperwork </w:t>
      </w:r>
    </w:p>
    <w:p w:rsidR="00D907AF" w:rsidRDefault="00D907AF" w:rsidP="009862D9">
      <w:pPr>
        <w:pStyle w:val="Bullets"/>
        <w:ind w:left="426" w:hanging="437"/>
      </w:pPr>
      <w:r>
        <w:t>additional assessment being needed to establish eligibility for the NDIS, costing respondents time and money</w:t>
      </w:r>
    </w:p>
    <w:p w:rsidR="00D907AF" w:rsidRDefault="00D907AF" w:rsidP="009862D9">
      <w:pPr>
        <w:pStyle w:val="Bullets"/>
        <w:spacing w:after="0"/>
        <w:ind w:left="426" w:hanging="437"/>
      </w:pPr>
      <w:r>
        <w:t xml:space="preserve">dissatisfaction with some NDIA staff members’ disability-specific knowledge, which resulted in the need to have multiple meetings with different NDIA staff, in speculation over the person’s eligibility, and the accessing individuals becoming concerned about the extent to which the NDIS would be able to meet their support needs. </w:t>
      </w:r>
    </w:p>
    <w:p w:rsidR="00D907AF" w:rsidRDefault="00D907AF" w:rsidP="00D907AF"/>
    <w:p w:rsidR="00D907AF" w:rsidRDefault="00D907AF" w:rsidP="00D907AF">
      <w:r>
        <w:t xml:space="preserve">Once accepted into the NDIS, respondents worked with an NDIA planner on </w:t>
      </w:r>
      <w:r w:rsidRPr="00895342">
        <w:rPr>
          <w:b/>
        </w:rPr>
        <w:t>developing their NDIS plan</w:t>
      </w:r>
      <w:r>
        <w:t xml:space="preserve">. The success of the planning process was found to depend on three factors; namely (a) the extent to which people with disability and their family members or carers felt they themselves were prepared for the planning process, (b) the planner’s experience and understanding of the disability, and (c) the presence of an advocate in the planning process. </w:t>
      </w:r>
    </w:p>
    <w:p w:rsidR="00D907AF" w:rsidRDefault="00D907AF" w:rsidP="00D907AF"/>
    <w:p w:rsidR="00D907AF" w:rsidRDefault="00D907AF" w:rsidP="00D907AF">
      <w:r>
        <w:t xml:space="preserve">Overall, most NDIS participants and their families were content with the plan outcome and were satisfied that the plan adequately addressed the support needs of the person with disability. Some family members and carers of NDIS participants also felt that their own needs and the needs of the family more broadly had been taken into consideration during the planning process. </w:t>
      </w:r>
    </w:p>
    <w:p w:rsidR="00D907AF" w:rsidRDefault="00D907AF" w:rsidP="00D907AF"/>
    <w:p w:rsidR="00D907AF" w:rsidRDefault="00D907AF" w:rsidP="00D907AF">
      <w:r>
        <w:t>Remaining dissatisfaction with plans was triggered by perceptions that plans did not reflect the participants’ recollection of conversations and agreements reached with the NDIA planner during the planning meeting or meetings.</w:t>
      </w:r>
    </w:p>
    <w:p w:rsidR="00D907AF" w:rsidRDefault="00D907AF" w:rsidP="00D907AF"/>
    <w:p w:rsidR="00D907AF" w:rsidRDefault="00D907AF" w:rsidP="00D907AF">
      <w:r>
        <w:t>Some participants who had previously received disability supports found that those subsequently agreed with the NDIA differed substantially, in particular where the support was for children. This caused confusion and upset where supports were perceived to have been scaled back, leaving gaps in provision and funding. Several f</w:t>
      </w:r>
      <w:r w:rsidRPr="00AA5D55">
        <w:t xml:space="preserve">amily members and carers </w:t>
      </w:r>
      <w:r>
        <w:t xml:space="preserve">reported </w:t>
      </w:r>
      <w:r w:rsidRPr="00AA5D55">
        <w:t xml:space="preserve">that their child </w:t>
      </w:r>
      <w:r>
        <w:t xml:space="preserve">had been denied funding for </w:t>
      </w:r>
      <w:r w:rsidRPr="00AA5D55">
        <w:t xml:space="preserve">services </w:t>
      </w:r>
      <w:r>
        <w:t xml:space="preserve">because their effectiveness was </w:t>
      </w:r>
      <w:r w:rsidRPr="00AA5D55">
        <w:t xml:space="preserve">judged to be lacking </w:t>
      </w:r>
      <w:r>
        <w:t xml:space="preserve">firm </w:t>
      </w:r>
      <w:r w:rsidRPr="00AA5D55">
        <w:t>evidence</w:t>
      </w:r>
      <w:r>
        <w:t xml:space="preserve">. Yet these services had </w:t>
      </w:r>
      <w:r w:rsidRPr="00AA5D55">
        <w:t>previous</w:t>
      </w:r>
      <w:r>
        <w:t>ly been supported under federally funded programmes</w:t>
      </w:r>
      <w:r w:rsidRPr="00AA5D55">
        <w:t>.</w:t>
      </w:r>
    </w:p>
    <w:p w:rsidR="00D907AF" w:rsidRDefault="00D907AF" w:rsidP="00D907AF">
      <w:r>
        <w:t xml:space="preserve"> </w:t>
      </w:r>
    </w:p>
    <w:p w:rsidR="00D907AF" w:rsidRDefault="00D907AF" w:rsidP="00D907AF">
      <w:r>
        <w:t xml:space="preserve">Others reported difficulties in understanding the language and terminology used by the plan. Finally, social networks, hearsay and the use of social media had enabled NDIS participants in our study to make comparisons between their own agreed support plans and those of others that they had heard of or indeed seen. In particular in the early phases of the trial (in 2013 and into mid- to late 2014), these comparisons brought to light (what was seen as) inconsistencies in plans between NDIS </w:t>
      </w:r>
      <w:r>
        <w:lastRenderedPageBreak/>
        <w:t>participants with the similar or indeed identical diagnoses or conditions; as well as variations within and between trial sites (and planners in those sites) in the types of supports that were being funded in participants plan.</w:t>
      </w:r>
    </w:p>
    <w:p w:rsidR="00D907AF" w:rsidRDefault="00D907AF" w:rsidP="00D907AF"/>
    <w:p w:rsidR="00D907AF" w:rsidRDefault="00D907AF" w:rsidP="00D907AF">
      <w:r>
        <w:t xml:space="preserve">The planning process also appeared not to discuss in sufficient detail, if at all, the opportunity for people with disability or family members and carers, to manage their own funding. The option of </w:t>
      </w:r>
      <w:r w:rsidRPr="00C52BD3">
        <w:rPr>
          <w:b/>
        </w:rPr>
        <w:t>self-managed funding</w:t>
      </w:r>
      <w:r>
        <w:t xml:space="preserve"> was not always well understood. Most respondents in this study had chosen not to self-manage, as they perceived it as complex, time consuming and incurring a large administrative burden. This said, the few that had decided to self-manage funding were typically positive about its benefits, principally in relation to greater choice and flexibility in accessing non-NDIS service providers.</w:t>
      </w:r>
    </w:p>
    <w:p w:rsidR="00D907AF" w:rsidRPr="008658CC" w:rsidRDefault="00D907AF" w:rsidP="00367B24">
      <w:pPr>
        <w:pStyle w:val="Heading40"/>
      </w:pPr>
      <w:bookmarkStart w:id="52" w:name="_Toc428271214"/>
      <w:bookmarkStart w:id="53" w:name="_Toc449954954"/>
      <w:r>
        <w:t xml:space="preserve">2.2.3.4 </w:t>
      </w:r>
      <w:r w:rsidRPr="008658CC">
        <w:t>Plan implementation process and receipt of NDIS-funded supports</w:t>
      </w:r>
      <w:bookmarkEnd w:id="52"/>
      <w:bookmarkEnd w:id="53"/>
    </w:p>
    <w:p w:rsidR="00D907AF" w:rsidRDefault="00D907AF" w:rsidP="00D907AF">
      <w:r>
        <w:t xml:space="preserve">Many respondents in this study continued to access the same supports and support providers under the NDIS as they had previously done, seeing no need to change them. In some instances, this included supports not funded under the NDIS, such as home help provided by the local council or specialist supports the participants had been funding privately. </w:t>
      </w:r>
    </w:p>
    <w:p w:rsidR="00D907AF" w:rsidRDefault="00D907AF" w:rsidP="00D907AF"/>
    <w:p w:rsidR="00D907AF" w:rsidRDefault="00D907AF" w:rsidP="00D907AF">
      <w:r>
        <w:t xml:space="preserve">NDIS participants were generally satisfied with the implementation of their NDIS plan. There was evidence that participation in the NDIS had increased choice and control of supports. In particular, self-management of funding was thought to have provided markedly greater access to service providers, which also included those not registered with the NDIA. Some NDIS participants who were not self-managing their funding, however, felt aggrieved by having to very specifically </w:t>
      </w:r>
      <w:r w:rsidRPr="00A638A5">
        <w:t xml:space="preserve">detail </w:t>
      </w:r>
      <w:r>
        <w:t xml:space="preserve">their </w:t>
      </w:r>
      <w:r w:rsidRPr="00A638A5">
        <w:t xml:space="preserve">supports </w:t>
      </w:r>
      <w:r>
        <w:t>for approval</w:t>
      </w:r>
      <w:r w:rsidRPr="00A638A5">
        <w:t xml:space="preserve"> under the NDIS.</w:t>
      </w:r>
      <w:r>
        <w:t xml:space="preserve"> It was argued that this </w:t>
      </w:r>
      <w:r w:rsidRPr="00A638A5">
        <w:t xml:space="preserve">prevented </w:t>
      </w:r>
      <w:r>
        <w:t xml:space="preserve">NDIS participants from adapting their support uses </w:t>
      </w:r>
      <w:r w:rsidRPr="00A638A5">
        <w:t>spontaneous</w:t>
      </w:r>
      <w:r>
        <w:t xml:space="preserve">ly </w:t>
      </w:r>
      <w:r w:rsidRPr="00A638A5">
        <w:t xml:space="preserve">to changing circumstances which, in turn, limited the extent to which NDIS participants could fully enjoy their new freedoms of choice and control. </w:t>
      </w:r>
    </w:p>
    <w:p w:rsidR="00D907AF" w:rsidRDefault="00D907AF" w:rsidP="00D907AF"/>
    <w:p w:rsidR="00D907AF" w:rsidRDefault="00D907AF" w:rsidP="00D907AF">
      <w:r>
        <w:t>In regional and some outer metropolitan areas, respondents often felt their choice and control over supports were impeded by the small number or low capacity of service providers in their area. This particularly affected the provision of therapy, respite and employment services. Limitation of choice was also attributed to inflexibility of support hours by service providers, rigid structures in the NDIS claiming system and fixed prices for certain types of support. Many respondents felt that the NDIA had been slow to respond to their queries before and after joining the scheme.</w:t>
      </w:r>
    </w:p>
    <w:p w:rsidR="00D907AF" w:rsidRDefault="00D907AF" w:rsidP="00D907AF"/>
    <w:p w:rsidR="00D907AF" w:rsidRDefault="00D907AF" w:rsidP="00D907AF">
      <w:r>
        <w:t>Whereas some respondents reported that the NDIS had helped them to increase their hours of supports, increase the frequency of service provision, access better equipment and a wider range of therapeutic or social activities (typically socialising with other people with disability), others were surprised to see items and activities they had hoped to access not funded under their NDIS plan. Plans were thus described as not always meeting expectations; in part, these differences were the result of continued uncertainty as to whether supports should be sourced from the NDIS or from mainstream services, notably in health and education.</w:t>
      </w:r>
    </w:p>
    <w:p w:rsidR="00D907AF" w:rsidRPr="008658CC" w:rsidRDefault="00D907AF" w:rsidP="00367B24">
      <w:pPr>
        <w:pStyle w:val="Heading40"/>
      </w:pPr>
      <w:bookmarkStart w:id="54" w:name="_Toc428271215"/>
      <w:bookmarkStart w:id="55" w:name="_Toc449954955"/>
      <w:r>
        <w:t xml:space="preserve">2.2.3.5 </w:t>
      </w:r>
      <w:r w:rsidRPr="008658CC">
        <w:t>Early accounts of the impact of the NDIS on people with dis</w:t>
      </w:r>
      <w:r>
        <w:t xml:space="preserve">ability, and their families and </w:t>
      </w:r>
      <w:r w:rsidRPr="008658CC">
        <w:t>carers</w:t>
      </w:r>
      <w:bookmarkEnd w:id="54"/>
      <w:bookmarkEnd w:id="55"/>
    </w:p>
    <w:p w:rsidR="00D907AF" w:rsidRDefault="00D907AF" w:rsidP="00D907AF">
      <w:r>
        <w:t xml:space="preserve">Many NDIS participants and their family members and carers felt that the well-being and quality of life of the NDIS participant had been enhanced through the support they were receiving as part of their NDIS plan, in particular as a result of increased choice of funded provisions, choice in hours of support, and a choice of activities – and how positive that felt for participants. Participation in social and every day activities had generally increased and participants were learning new skills and enhancing their existing capabilities. Whilst NDIS participants did not report many incidents of </w:t>
      </w:r>
      <w:r>
        <w:lastRenderedPageBreak/>
        <w:t xml:space="preserve">greater economic participation at this stage, they spoke about how the NDIS had increased the independence they had over life, including living arrangements and transport. This said, we encountered notable geographical variations in that NDIS participants living in regional areas felt the effect of the NDIS had to date been far less apparent and, at times, negligible, often because service infrastructure, already comparatively underdeveloped, had remained unchanged. </w:t>
      </w:r>
    </w:p>
    <w:p w:rsidR="00D907AF" w:rsidRDefault="00D907AF" w:rsidP="00D907AF"/>
    <w:p w:rsidR="00D907AF" w:rsidRDefault="00D907AF" w:rsidP="00D907AF">
      <w:r>
        <w:t>Many family members and carers felt that being in the NDIS had helped to reduce the financial strain that living with disability and caring for a person with disability entailed. Increased access to supports including respite, support to assist with personal care and independent living and life skills, and supports around the house eased the burden for some family members and carers, and allowed them to be involved in other valued activities such as employment, social activities and quality time with other family members.</w:t>
      </w:r>
    </w:p>
    <w:p w:rsidR="00D907AF" w:rsidRDefault="00D907AF" w:rsidP="00D907AF"/>
    <w:p w:rsidR="00D907AF" w:rsidRDefault="00D907AF" w:rsidP="00D907AF">
      <w:r>
        <w:t>The administrative burden associated with working with the NDIS nonetheless remained an issue, to the extent that some parents felt the added paperwork was both stressful and consumed time usually spent as a family.</w:t>
      </w:r>
    </w:p>
    <w:p w:rsidR="00D907AF" w:rsidRPr="008658CC" w:rsidRDefault="00D907AF" w:rsidP="00367B24">
      <w:pPr>
        <w:pStyle w:val="Heading40"/>
      </w:pPr>
      <w:bookmarkStart w:id="56" w:name="_Toc428271216"/>
      <w:bookmarkStart w:id="57" w:name="_Toc449954956"/>
      <w:r>
        <w:t xml:space="preserve">2.2.3.6 </w:t>
      </w:r>
      <w:r w:rsidRPr="008658CC">
        <w:t>Areas for improvement</w:t>
      </w:r>
      <w:bookmarkEnd w:id="56"/>
      <w:bookmarkEnd w:id="57"/>
    </w:p>
    <w:p w:rsidR="00D907AF" w:rsidRDefault="00D907AF" w:rsidP="00D907AF">
      <w:r>
        <w:t>This research with NDIS participants, and their families and carers highlighted some difficulties that participants encountered when working with the NDIS, which in turn resulted in some suggestions for improvements that respondents felt may inform the development of the NDIS into the future. The most prominent suggestions are summarised next.</w:t>
      </w:r>
    </w:p>
    <w:p w:rsidR="00D907AF" w:rsidRPr="00B61A7D" w:rsidRDefault="00D907AF" w:rsidP="00D907AF">
      <w:pPr>
        <w:spacing w:before="240" w:after="240"/>
        <w:rPr>
          <w:b/>
        </w:rPr>
      </w:pPr>
      <w:r>
        <w:rPr>
          <w:b/>
        </w:rPr>
        <w:t>C</w:t>
      </w:r>
      <w:r w:rsidRPr="00B61A7D">
        <w:rPr>
          <w:b/>
        </w:rPr>
        <w:t xml:space="preserve">ommunication between the NDIA, providers and participants </w:t>
      </w:r>
    </w:p>
    <w:p w:rsidR="00D907AF" w:rsidRDefault="00D907AF" w:rsidP="00D907AF">
      <w:r>
        <w:t xml:space="preserve">Respondents called for improved administrative processes within the NDIA, which would allow more timely responses to queries and enquiries, and promote greater clarity and understanding of participation and planning processes. Participants would welcome a system, perhaps automated, for confirming the receipt of documents, appointments and processing update. </w:t>
      </w:r>
    </w:p>
    <w:p w:rsidR="00D907AF" w:rsidRPr="00B61A7D" w:rsidRDefault="00D907AF" w:rsidP="00D907AF">
      <w:pPr>
        <w:spacing w:before="240" w:after="240"/>
        <w:rPr>
          <w:b/>
        </w:rPr>
      </w:pPr>
      <w:r>
        <w:rPr>
          <w:b/>
        </w:rPr>
        <w:t>I</w:t>
      </w:r>
      <w:r w:rsidRPr="00B61A7D">
        <w:rPr>
          <w:b/>
        </w:rPr>
        <w:t>ncreased support and preparation for the planning stage</w:t>
      </w:r>
    </w:p>
    <w:p w:rsidR="00D907AF" w:rsidRDefault="00D907AF" w:rsidP="00D907AF">
      <w:r>
        <w:t xml:space="preserve">Respondents would like more support and preparation during the NDIS plan development stage, including help with identifying and unpacking goals and aspirations, and planning for the future. For many these were novel tasks and concepts, and required opportunities for learning. </w:t>
      </w:r>
    </w:p>
    <w:p w:rsidR="00D907AF" w:rsidRDefault="00D907AF" w:rsidP="00D907AF">
      <w:pPr>
        <w:ind w:left="357"/>
      </w:pPr>
    </w:p>
    <w:p w:rsidR="00D907AF" w:rsidRDefault="00D907AF" w:rsidP="00D907AF">
      <w:r>
        <w:t>To assist with making choices, respondents also called for more and better information about disability support providers and their services, including examples of activities and services that had been shown to help others with similar needs or goals.</w:t>
      </w:r>
    </w:p>
    <w:p w:rsidR="00D907AF" w:rsidRPr="00B61A7D" w:rsidRDefault="00D907AF" w:rsidP="00D907AF">
      <w:pPr>
        <w:spacing w:before="240" w:after="240"/>
        <w:rPr>
          <w:b/>
        </w:rPr>
      </w:pPr>
      <w:r>
        <w:rPr>
          <w:b/>
        </w:rPr>
        <w:t>I</w:t>
      </w:r>
      <w:r w:rsidRPr="00B61A7D">
        <w:rPr>
          <w:b/>
        </w:rPr>
        <w:t>mproved access to advocacy</w:t>
      </w:r>
    </w:p>
    <w:p w:rsidR="00D907AF" w:rsidRDefault="00D907AF" w:rsidP="00D907AF">
      <w:r>
        <w:t xml:space="preserve">It was also suggested that access to advocacy be improved as this would help people with disability develop and implement their plan, and to support them in meetings with the NDIA. </w:t>
      </w:r>
    </w:p>
    <w:p w:rsidR="00D907AF" w:rsidRPr="00B61A7D" w:rsidRDefault="00D907AF" w:rsidP="00D907AF">
      <w:pPr>
        <w:spacing w:before="240" w:after="240"/>
        <w:rPr>
          <w:b/>
        </w:rPr>
      </w:pPr>
      <w:r>
        <w:rPr>
          <w:b/>
        </w:rPr>
        <w:t>P</w:t>
      </w:r>
      <w:r w:rsidRPr="00B61A7D">
        <w:rPr>
          <w:b/>
        </w:rPr>
        <w:t xml:space="preserve">lanning processes </w:t>
      </w:r>
    </w:p>
    <w:p w:rsidR="00D907AF" w:rsidRDefault="00D907AF" w:rsidP="00D907AF">
      <w:r>
        <w:t xml:space="preserve">Respondents felt the planning processes needed to be made more open and transparent, and greater consistency be achieved across funding packages for NDIS participants with similar disability and support needs. Participants would have also liked planners to more readily accept existing statements of need, including therapists’ assessments of a person’s support needs. Specific recommendations included (i) training to help NDIA planners better understand different disability </w:t>
      </w:r>
      <w:r>
        <w:lastRenderedPageBreak/>
        <w:t>types or diagnoses, and (ii) matching NDIS participants to NDIA planners with appropriate specialist expertise in disability.</w:t>
      </w:r>
    </w:p>
    <w:p w:rsidR="00D907AF" w:rsidRPr="00B61A7D" w:rsidRDefault="00D907AF" w:rsidP="00D907AF">
      <w:pPr>
        <w:spacing w:before="240" w:after="240"/>
        <w:rPr>
          <w:b/>
        </w:rPr>
      </w:pPr>
      <w:r>
        <w:rPr>
          <w:b/>
        </w:rPr>
        <w:t>Plan</w:t>
      </w:r>
      <w:r w:rsidRPr="00B61A7D">
        <w:rPr>
          <w:b/>
        </w:rPr>
        <w:t xml:space="preserve"> implementation flexibility</w:t>
      </w:r>
    </w:p>
    <w:p w:rsidR="00D907AF" w:rsidRDefault="00D907AF" w:rsidP="00D907AF">
      <w:r>
        <w:t>Plan implementation was often still perceived to be rigid because the plan required a close detailing of supports approved under the NDIS. Participants would have welcomed more discretion and flexibility in the implementation of NDIA plan. This would allow changes at short as well as long notice (via the review process) and allow supports to be assembled, packaged, combined and divided at different points in time and as required.</w:t>
      </w:r>
    </w:p>
    <w:p w:rsidR="00D907AF" w:rsidRPr="00B61A7D" w:rsidRDefault="00D907AF" w:rsidP="00D907AF">
      <w:pPr>
        <w:spacing w:before="240" w:after="240"/>
        <w:rPr>
          <w:b/>
        </w:rPr>
      </w:pPr>
      <w:r>
        <w:rPr>
          <w:b/>
        </w:rPr>
        <w:t>Im</w:t>
      </w:r>
      <w:r w:rsidRPr="00B61A7D">
        <w:rPr>
          <w:b/>
        </w:rPr>
        <w:t xml:space="preserve">provements to processes for participants going through a transition </w:t>
      </w:r>
    </w:p>
    <w:p w:rsidR="00D907AF" w:rsidRDefault="00D907AF" w:rsidP="00D907AF">
      <w:r>
        <w:t>Where respondents were transitioning to school; from school aged services to adult services; or from living at home to moving into supported accommodation, there appeared to be complexities in moving from different support services coupled with transitioning to NDIS. Further support in navigating these transitions was suggested, to ensure that services and support were not lost or delayed.</w:t>
      </w:r>
    </w:p>
    <w:p w:rsidR="00D907AF" w:rsidRDefault="00D907AF" w:rsidP="00D907AF">
      <w:pPr>
        <w:ind w:left="641"/>
      </w:pPr>
    </w:p>
    <w:p w:rsidR="00D907AF" w:rsidRDefault="00D907AF" w:rsidP="00D907AF">
      <w:r>
        <w:t>Related to transition planning, the evidence also suggested a need for enhanced support for participants during major life transitions. For example, among those who were not in any paid employment at the time of the interview was an expressed desire to be able to find an activity, ideally paid work. Gaining work experience and work placements were paramount. Respondents wanted to be in a work place environment, learning new skills, interacting with others and perhaps earning some of their own money. However, according to some there was limited support in this area with providers struggling to find inclusive employment opportunities, and not actively supporting NDIS participants in taking the next steps once a work activity/experience had ended. In addition, several parents/carers of young NDIS participants wanted more help (and potentially funding) to assist their children to access community services, and for the NDIA to advocate and support inclusive community-based programmes for children with disabilities.</w:t>
      </w:r>
    </w:p>
    <w:p w:rsidR="00D907AF" w:rsidRDefault="00D907AF" w:rsidP="00D907AF">
      <w:r>
        <w:t xml:space="preserve"> </w:t>
      </w:r>
    </w:p>
    <w:p w:rsidR="00D907AF" w:rsidRDefault="00D907AF" w:rsidP="00D907AF">
      <w:r>
        <w:t>The evidence from these interviews also suggests that, over time, NDIS participants experienced improvements in NDIS plan development and implementation, greater clarity of eligibility and greater availability of pre-planning supports. This was the case for both early entrants to the NDIS, who felt processes were improving during their participation, and for later entrants who tended to report more positive experiences from the start.</w:t>
      </w:r>
    </w:p>
    <w:p w:rsidR="00D907AF" w:rsidRDefault="00D907AF">
      <w:pPr>
        <w:rPr>
          <w:rFonts w:eastAsiaTheme="majorEastAsia" w:cstheme="majorBidi"/>
          <w:b/>
          <w:bCs/>
          <w:sz w:val="26"/>
          <w:szCs w:val="26"/>
        </w:rPr>
      </w:pPr>
    </w:p>
    <w:p w:rsidR="00D907AF" w:rsidRDefault="00D907AF" w:rsidP="00EC2C19">
      <w:pPr>
        <w:pStyle w:val="Heading2"/>
      </w:pPr>
      <w:bookmarkStart w:id="58" w:name="_Toc428271217"/>
      <w:bookmarkStart w:id="59" w:name="_Toc449954957"/>
      <w:r>
        <w:t>2.3 Interviews with d</w:t>
      </w:r>
      <w:r w:rsidRPr="003F0BD0">
        <w:t>isability</w:t>
      </w:r>
      <w:r>
        <w:t xml:space="preserve"> service providers</w:t>
      </w:r>
      <w:bookmarkEnd w:id="58"/>
      <w:bookmarkEnd w:id="59"/>
    </w:p>
    <w:p w:rsidR="00D907AF" w:rsidRPr="0081510D" w:rsidRDefault="00D907AF" w:rsidP="00EC2C19">
      <w:pPr>
        <w:pStyle w:val="Heading3"/>
      </w:pPr>
      <w:bookmarkStart w:id="60" w:name="_Toc428271218"/>
      <w:bookmarkStart w:id="61" w:name="_Toc449954958"/>
      <w:r>
        <w:t xml:space="preserve">2.3.1 </w:t>
      </w:r>
      <w:r w:rsidRPr="0081510D">
        <w:t>Specific aims and objectives</w:t>
      </w:r>
      <w:bookmarkEnd w:id="60"/>
      <w:bookmarkEnd w:id="61"/>
    </w:p>
    <w:p w:rsidR="00D907AF" w:rsidRDefault="00D907AF" w:rsidP="00D907AF">
      <w:r>
        <w:t>The aim of conducting interviews with disability service providers was to provide a better understanding of:</w:t>
      </w:r>
    </w:p>
    <w:p w:rsidR="00D907AF" w:rsidRDefault="00D907AF" w:rsidP="00D907AF"/>
    <w:p w:rsidR="00D907AF" w:rsidRPr="009A3CE3" w:rsidRDefault="00D907AF" w:rsidP="00AF5E38">
      <w:pPr>
        <w:pStyle w:val="Bullets"/>
        <w:numPr>
          <w:ilvl w:val="0"/>
          <w:numId w:val="18"/>
        </w:numPr>
        <w:spacing w:before="0"/>
      </w:pPr>
      <w:r>
        <w:t>h</w:t>
      </w:r>
      <w:r w:rsidRPr="009A3CE3">
        <w:t>ow the NDIS has impacted specialist disability service providers</w:t>
      </w:r>
    </w:p>
    <w:p w:rsidR="00D907AF" w:rsidRPr="009A3CE3" w:rsidRDefault="00D907AF" w:rsidP="00AF5E38">
      <w:pPr>
        <w:pStyle w:val="Bullets"/>
        <w:numPr>
          <w:ilvl w:val="0"/>
          <w:numId w:val="18"/>
        </w:numPr>
        <w:spacing w:before="0"/>
      </w:pPr>
      <w:r>
        <w:t>h</w:t>
      </w:r>
      <w:r w:rsidRPr="009A3CE3">
        <w:t>ow the NDIS has impacted the specialist disability workforce</w:t>
      </w:r>
    </w:p>
    <w:p w:rsidR="00D907AF" w:rsidRDefault="00D907AF" w:rsidP="00AF5E38">
      <w:pPr>
        <w:pStyle w:val="Bullets"/>
        <w:numPr>
          <w:ilvl w:val="0"/>
          <w:numId w:val="18"/>
        </w:numPr>
        <w:spacing w:before="0"/>
      </w:pPr>
      <w:r>
        <w:t>d</w:t>
      </w:r>
      <w:r w:rsidRPr="009A3CE3">
        <w:t>isability service providers</w:t>
      </w:r>
      <w:r>
        <w:t>’</w:t>
      </w:r>
      <w:r w:rsidRPr="009A3CE3">
        <w:t xml:space="preserve"> responses to NDIS (innovative practices, changes in skills or training requirements, leadership issues)</w:t>
      </w:r>
    </w:p>
    <w:p w:rsidR="00D907AF" w:rsidRDefault="00D907AF" w:rsidP="00AF5E38">
      <w:pPr>
        <w:pStyle w:val="Bullets"/>
        <w:numPr>
          <w:ilvl w:val="0"/>
          <w:numId w:val="18"/>
        </w:numPr>
        <w:spacing w:before="0"/>
      </w:pPr>
      <w:r>
        <w:t>h</w:t>
      </w:r>
      <w:r w:rsidRPr="009A3CE3">
        <w:t xml:space="preserve">ow specialist disability supports assist NDIS participants. </w:t>
      </w:r>
    </w:p>
    <w:p w:rsidR="009F7950" w:rsidRDefault="009F7950">
      <w:pPr>
        <w:rPr>
          <w:rFonts w:cstheme="minorHAnsi"/>
          <w:szCs w:val="18"/>
        </w:rPr>
      </w:pPr>
      <w:r>
        <w:rPr>
          <w:rFonts w:cstheme="minorHAnsi"/>
          <w:szCs w:val="18"/>
        </w:rPr>
        <w:br w:type="page"/>
      </w:r>
    </w:p>
    <w:p w:rsidR="00D907AF" w:rsidRDefault="00D907AF" w:rsidP="002368A8">
      <w:pPr>
        <w:spacing w:after="240"/>
      </w:pPr>
      <w:r>
        <w:rPr>
          <w:rFonts w:cstheme="minorHAnsi"/>
          <w:szCs w:val="18"/>
        </w:rPr>
        <w:lastRenderedPageBreak/>
        <w:t xml:space="preserve">In order to record the experiences of disability service providers in the early phases of the trial of the NDIS, the qualitative interviews </w:t>
      </w:r>
      <w:r>
        <w:t>focused on a range of topics, each representing a sub-set of the Key Evaluation Questions. In broad categories, these topics covered:</w:t>
      </w:r>
    </w:p>
    <w:p w:rsidR="00D907AF" w:rsidRPr="00A52441" w:rsidRDefault="00D907AF" w:rsidP="00AF5E38">
      <w:pPr>
        <w:pStyle w:val="Bullets"/>
        <w:numPr>
          <w:ilvl w:val="0"/>
          <w:numId w:val="18"/>
        </w:numPr>
        <w:spacing w:before="0"/>
      </w:pPr>
      <w:r>
        <w:t>e</w:t>
      </w:r>
      <w:r w:rsidRPr="00A52441">
        <w:t>xpectations about the NDIS</w:t>
      </w:r>
    </w:p>
    <w:p w:rsidR="00D907AF" w:rsidRPr="00A52441" w:rsidRDefault="00D907AF" w:rsidP="00AF5E38">
      <w:pPr>
        <w:pStyle w:val="Bullets"/>
        <w:numPr>
          <w:ilvl w:val="0"/>
          <w:numId w:val="18"/>
        </w:numPr>
        <w:spacing w:before="0"/>
      </w:pPr>
      <w:r>
        <w:t>i</w:t>
      </w:r>
      <w:r w:rsidRPr="00A52441">
        <w:t>nitial impact of the NDIS on the disability sector</w:t>
      </w:r>
    </w:p>
    <w:p w:rsidR="00D907AF" w:rsidRPr="00A52441" w:rsidRDefault="00D907AF" w:rsidP="00AF5E38">
      <w:pPr>
        <w:pStyle w:val="Bullets"/>
        <w:numPr>
          <w:ilvl w:val="0"/>
          <w:numId w:val="18"/>
        </w:numPr>
        <w:spacing w:before="0"/>
      </w:pPr>
      <w:r>
        <w:t>i</w:t>
      </w:r>
      <w:r w:rsidRPr="00A52441">
        <w:t>nitial impact of the NDIS on the organisation</w:t>
      </w:r>
    </w:p>
    <w:p w:rsidR="00D907AF" w:rsidRPr="00A52441" w:rsidRDefault="00D907AF" w:rsidP="00AF5E38">
      <w:pPr>
        <w:pStyle w:val="Bullets"/>
        <w:numPr>
          <w:ilvl w:val="0"/>
          <w:numId w:val="18"/>
        </w:numPr>
        <w:spacing w:before="0"/>
      </w:pPr>
      <w:r>
        <w:t>i</w:t>
      </w:r>
      <w:r w:rsidRPr="00A52441">
        <w:t xml:space="preserve">nitial impact of the NDIS on the </w:t>
      </w:r>
      <w:r>
        <w:t>disability w</w:t>
      </w:r>
      <w:r w:rsidRPr="00A52441">
        <w:t>orkforce</w:t>
      </w:r>
    </w:p>
    <w:p w:rsidR="00D907AF" w:rsidRPr="00A52441" w:rsidRDefault="00D907AF" w:rsidP="00AF5E38">
      <w:pPr>
        <w:pStyle w:val="Bullets"/>
        <w:numPr>
          <w:ilvl w:val="0"/>
          <w:numId w:val="18"/>
        </w:numPr>
        <w:spacing w:before="0"/>
      </w:pPr>
      <w:r>
        <w:t>i</w:t>
      </w:r>
      <w:r w:rsidRPr="00A52441">
        <w:t>nitial impact of the NDIS on people with disability</w:t>
      </w:r>
      <w:r>
        <w:t>,</w:t>
      </w:r>
      <w:r w:rsidRPr="00A52441">
        <w:t xml:space="preserve"> and their famil</w:t>
      </w:r>
      <w:r>
        <w:t>ies</w:t>
      </w:r>
      <w:r w:rsidRPr="00A52441">
        <w:t xml:space="preserve"> and carers</w:t>
      </w:r>
    </w:p>
    <w:p w:rsidR="00D907AF" w:rsidRPr="00A52441" w:rsidRDefault="00D907AF" w:rsidP="00AF5E38">
      <w:pPr>
        <w:pStyle w:val="Bullets"/>
        <w:numPr>
          <w:ilvl w:val="0"/>
          <w:numId w:val="18"/>
        </w:numPr>
        <w:spacing w:before="0"/>
      </w:pPr>
      <w:r>
        <w:t>e</w:t>
      </w:r>
      <w:r w:rsidRPr="00A52441">
        <w:t>xperiences working with the NDIA</w:t>
      </w:r>
    </w:p>
    <w:p w:rsidR="00D907AF" w:rsidRDefault="00D907AF" w:rsidP="00AF5E38">
      <w:pPr>
        <w:pStyle w:val="Bullets"/>
        <w:numPr>
          <w:ilvl w:val="0"/>
          <w:numId w:val="18"/>
        </w:numPr>
        <w:spacing w:before="0"/>
      </w:pPr>
      <w:r>
        <w:t>s</w:t>
      </w:r>
      <w:r w:rsidRPr="00A52441">
        <w:t>uggestions for changes and improvements</w:t>
      </w:r>
      <w:r>
        <w:t>.</w:t>
      </w:r>
      <w:r w:rsidRPr="00A52441">
        <w:t xml:space="preserve"> </w:t>
      </w:r>
    </w:p>
    <w:p w:rsidR="00D907AF" w:rsidRPr="00A850EC" w:rsidRDefault="00D907AF" w:rsidP="00D907AF"/>
    <w:p w:rsidR="00D907AF" w:rsidRPr="00230721" w:rsidRDefault="00D907AF" w:rsidP="00D907AF">
      <w:r>
        <w:t>T</w:t>
      </w:r>
      <w:r w:rsidRPr="00AF0F33">
        <w:t>hese broad topics inc</w:t>
      </w:r>
      <w:r>
        <w:t xml:space="preserve">orporated the impact of the NDIS on the disability service provider market, the supply of disability supports and services, service delivery, and financial viability and sustainability. The focus was to seek from respondents both organisational and disability sector perspectives, and to isolate activities and effect associated with the NDIS from other influences. </w:t>
      </w:r>
    </w:p>
    <w:p w:rsidR="00D907AF" w:rsidRPr="0081510D" w:rsidRDefault="00D907AF" w:rsidP="00EC2C19">
      <w:pPr>
        <w:pStyle w:val="Heading3"/>
      </w:pPr>
      <w:bookmarkStart w:id="62" w:name="_Toc428271219"/>
      <w:bookmarkStart w:id="63" w:name="_Toc449954959"/>
      <w:r>
        <w:t xml:space="preserve">2.3.2 </w:t>
      </w:r>
      <w:r w:rsidRPr="0081510D">
        <w:t xml:space="preserve">Recruitment, </w:t>
      </w:r>
      <w:r>
        <w:t>s</w:t>
      </w:r>
      <w:r w:rsidRPr="0081510D">
        <w:t xml:space="preserve">ample and </w:t>
      </w:r>
      <w:r>
        <w:t>i</w:t>
      </w:r>
      <w:r w:rsidRPr="0081510D">
        <w:t>nterview</w:t>
      </w:r>
      <w:bookmarkEnd w:id="62"/>
      <w:bookmarkEnd w:id="63"/>
    </w:p>
    <w:p w:rsidR="00D907AF" w:rsidRDefault="00D907AF" w:rsidP="00D907AF">
      <w:r>
        <w:t xml:space="preserve">Interviews were conducted with five disability support providers/employers in each of the five initial trial sites. The total of 25 in-depth interviews included employers of PAYG workers, brokered workers and self-employed sole providers. All those interviewed were registered NDIA providers. </w:t>
      </w:r>
    </w:p>
    <w:p w:rsidR="00D907AF" w:rsidRDefault="00D907AF" w:rsidP="00D907AF"/>
    <w:p w:rsidR="00D907AF" w:rsidRDefault="00D907AF" w:rsidP="00D907AF">
      <w:r>
        <w:t xml:space="preserve">Respondents were selected from among organisations that had previously been approached for the </w:t>
      </w:r>
      <w:r w:rsidRPr="00050D15">
        <w:t xml:space="preserve">quantitative </w:t>
      </w:r>
      <w:r>
        <w:t xml:space="preserve">provider </w:t>
      </w:r>
      <w:r w:rsidRPr="00050D15">
        <w:t>survey</w:t>
      </w:r>
      <w:r>
        <w:t xml:space="preserve"> (Survey of Disability Support Providers and their Workforce) and, at the time, indicated their interest in participating in an in-depth interview. Selective sampling was used to ensure</w:t>
      </w:r>
      <w:r w:rsidRPr="002A56A1">
        <w:t xml:space="preserve"> </w:t>
      </w:r>
      <w:r>
        <w:t xml:space="preserve">that the types of disability service providers that were interviewed as part of the </w:t>
      </w:r>
      <w:r w:rsidR="004B6A6F">
        <w:t>NDIS E</w:t>
      </w:r>
      <w:r w:rsidR="00BD356D">
        <w:t>valuation</w:t>
      </w:r>
      <w:r>
        <w:t xml:space="preserve"> broadly reflected the characteristics of the types of disability services provided in each trial site (as informed by Australian Institute of Health and Welfare data). </w:t>
      </w:r>
      <w:r w:rsidRPr="00050D15">
        <w:t>Variation was also sought on the size of the organisation.</w:t>
      </w:r>
    </w:p>
    <w:p w:rsidR="00D907AF" w:rsidRDefault="00D907AF" w:rsidP="00D907AF">
      <w:pPr>
        <w:rPr>
          <w:rFonts w:cstheme="minorHAnsi"/>
          <w:szCs w:val="18"/>
        </w:rPr>
      </w:pPr>
    </w:p>
    <w:p w:rsidR="00D907AF" w:rsidRDefault="00D907AF" w:rsidP="00D907AF">
      <w:pPr>
        <w:rPr>
          <w:rFonts w:cstheme="minorHAnsi"/>
          <w:szCs w:val="18"/>
        </w:rPr>
      </w:pPr>
      <w:r>
        <w:rPr>
          <w:rFonts w:cstheme="minorHAnsi"/>
          <w:szCs w:val="18"/>
        </w:rPr>
        <w:t xml:space="preserve">Of the 25 disability service providers interviewed, five were self-employed sole providers of disability services, one from each of the trial sites. Eleven disability service providers were small businesses with </w:t>
      </w:r>
      <w:r w:rsidRPr="00AA38ED">
        <w:rPr>
          <w:rFonts w:cstheme="minorHAnsi"/>
          <w:szCs w:val="18"/>
        </w:rPr>
        <w:t>fewer than 50 employees</w:t>
      </w:r>
      <w:r>
        <w:rPr>
          <w:rFonts w:cstheme="minorHAnsi"/>
          <w:szCs w:val="18"/>
        </w:rPr>
        <w:t>;</w:t>
      </w:r>
      <w:r w:rsidRPr="00AA38ED">
        <w:rPr>
          <w:rFonts w:cstheme="minorHAnsi"/>
          <w:szCs w:val="18"/>
        </w:rPr>
        <w:t xml:space="preserve"> </w:t>
      </w:r>
      <w:r>
        <w:rPr>
          <w:rFonts w:cstheme="minorHAnsi"/>
          <w:szCs w:val="18"/>
        </w:rPr>
        <w:t>five</w:t>
      </w:r>
      <w:r w:rsidRPr="00AA38ED">
        <w:rPr>
          <w:rFonts w:cstheme="minorHAnsi"/>
          <w:szCs w:val="18"/>
        </w:rPr>
        <w:t xml:space="preserve"> were medium sized business</w:t>
      </w:r>
      <w:r>
        <w:rPr>
          <w:rFonts w:cstheme="minorHAnsi"/>
          <w:szCs w:val="18"/>
        </w:rPr>
        <w:t>es</w:t>
      </w:r>
      <w:r w:rsidRPr="00AA38ED">
        <w:rPr>
          <w:rFonts w:cstheme="minorHAnsi"/>
          <w:szCs w:val="18"/>
        </w:rPr>
        <w:t xml:space="preserve"> employing between 50 and 200 employees</w:t>
      </w:r>
      <w:r>
        <w:rPr>
          <w:rFonts w:cstheme="minorHAnsi"/>
          <w:szCs w:val="18"/>
        </w:rPr>
        <w:t>;</w:t>
      </w:r>
      <w:r w:rsidRPr="00AA38ED">
        <w:rPr>
          <w:rFonts w:cstheme="minorHAnsi"/>
          <w:szCs w:val="18"/>
        </w:rPr>
        <w:t xml:space="preserve"> and </w:t>
      </w:r>
      <w:r>
        <w:rPr>
          <w:rFonts w:cstheme="minorHAnsi"/>
          <w:szCs w:val="18"/>
        </w:rPr>
        <w:t>eight</w:t>
      </w:r>
      <w:r w:rsidRPr="00AA38ED">
        <w:rPr>
          <w:rFonts w:cstheme="minorHAnsi"/>
          <w:szCs w:val="18"/>
        </w:rPr>
        <w:t xml:space="preserve"> were large business</w:t>
      </w:r>
      <w:r>
        <w:rPr>
          <w:rFonts w:cstheme="minorHAnsi"/>
          <w:szCs w:val="18"/>
        </w:rPr>
        <w:t>es</w:t>
      </w:r>
      <w:r w:rsidRPr="00AA38ED">
        <w:rPr>
          <w:rFonts w:cstheme="minorHAnsi"/>
          <w:szCs w:val="18"/>
        </w:rPr>
        <w:t xml:space="preserve"> employing more than 200 employees</w:t>
      </w:r>
      <w:r>
        <w:rPr>
          <w:rFonts w:cstheme="minorHAnsi"/>
          <w:szCs w:val="18"/>
        </w:rPr>
        <w:t xml:space="preserve"> (Table 2.3)</w:t>
      </w:r>
      <w:r w:rsidRPr="00AA38ED">
        <w:rPr>
          <w:rFonts w:cstheme="minorHAnsi"/>
          <w:szCs w:val="18"/>
        </w:rPr>
        <w:t xml:space="preserve">. </w:t>
      </w:r>
      <w:r>
        <w:rPr>
          <w:rFonts w:cstheme="minorHAnsi"/>
          <w:szCs w:val="18"/>
        </w:rPr>
        <w:t xml:space="preserve">The majority of disability service providers (84 per cent) were state based, while the remaining 16 percent were national organisations providing disability services Australia wide. </w:t>
      </w:r>
    </w:p>
    <w:p w:rsidR="00D907AF" w:rsidRDefault="00D907AF" w:rsidP="00D907AF">
      <w:pPr>
        <w:rPr>
          <w:rFonts w:cstheme="minorHAnsi"/>
          <w:szCs w:val="18"/>
        </w:rPr>
      </w:pPr>
    </w:p>
    <w:p w:rsidR="008D79BD" w:rsidRDefault="008D79BD">
      <w:pPr>
        <w:rPr>
          <w:b/>
          <w:sz w:val="20"/>
          <w:lang w:val="x-none"/>
        </w:rPr>
      </w:pPr>
      <w:bookmarkStart w:id="64" w:name="_Toc428271191"/>
      <w:r>
        <w:br w:type="page"/>
      </w:r>
    </w:p>
    <w:p w:rsidR="00D907AF" w:rsidRDefault="00D907AF" w:rsidP="0044684E">
      <w:pPr>
        <w:pStyle w:val="NILSTableHeading"/>
      </w:pPr>
      <w:bookmarkStart w:id="65" w:name="_Toc449955260"/>
      <w:r w:rsidRPr="0054451B">
        <w:lastRenderedPageBreak/>
        <w:t>Table</w:t>
      </w:r>
      <w:r>
        <w:t xml:space="preserve"> 2.3</w:t>
      </w:r>
      <w:r w:rsidRPr="002E2C13">
        <w:t>:</w:t>
      </w:r>
      <w:r>
        <w:t xml:space="preserve"> </w:t>
      </w:r>
      <w:r w:rsidRPr="002E2C13">
        <w:t xml:space="preserve">Characteristics of </w:t>
      </w:r>
      <w:r>
        <w:t>r</w:t>
      </w:r>
      <w:r w:rsidRPr="002E2C13">
        <w:t xml:space="preserve">espondents in the </w:t>
      </w:r>
      <w:r>
        <w:t>q</w:t>
      </w:r>
      <w:r w:rsidRPr="002E2C13">
        <w:t xml:space="preserve">ualitative </w:t>
      </w:r>
      <w:r>
        <w:t>s</w:t>
      </w:r>
      <w:r w:rsidRPr="002E2C13">
        <w:t xml:space="preserve">tudy of </w:t>
      </w:r>
      <w:r>
        <w:t>d</w:t>
      </w:r>
      <w:r w:rsidRPr="002E2C13">
        <w:t xml:space="preserve">isability </w:t>
      </w:r>
      <w:r>
        <w:t>s</w:t>
      </w:r>
      <w:r w:rsidRPr="002E2C13">
        <w:t xml:space="preserve">ervice </w:t>
      </w:r>
      <w:r>
        <w:t>p</w:t>
      </w:r>
      <w:r w:rsidRPr="002E2C13">
        <w:t>roviders</w:t>
      </w:r>
      <w:bookmarkEnd w:id="65"/>
      <w:r w:rsidRPr="000E6E56">
        <w:t xml:space="preserve"> </w:t>
      </w:r>
      <w:bookmarkEnd w:id="64"/>
    </w:p>
    <w:tbl>
      <w:tblPr>
        <w:tblStyle w:val="MediumGrid3-Accent5"/>
        <w:tblW w:w="5096"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2.3: Characteristics of respondents in the qualitative study of disability service providers "/>
        <w:tblDescription w:val="This table contains information about the organisations who took part in the study.  The information displayed is on the number of service providers who took part in the study, type of provider, staffing numbers, national or state based, percentage of disability services and service type."/>
      </w:tblPr>
      <w:tblGrid>
        <w:gridCol w:w="4814"/>
        <w:gridCol w:w="3463"/>
        <w:gridCol w:w="967"/>
      </w:tblGrid>
      <w:tr w:rsidR="00D907AF" w:rsidRPr="002265D8" w:rsidTr="002368A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604" w:type="pct"/>
            <w:tcBorders>
              <w:top w:val="single" w:sz="4" w:space="0" w:color="auto"/>
              <w:left w:val="none" w:sz="0" w:space="0" w:color="auto"/>
              <w:bottom w:val="single" w:sz="4" w:space="0" w:color="auto"/>
              <w:right w:val="none" w:sz="0" w:space="0" w:color="auto"/>
            </w:tcBorders>
            <w:shd w:val="clear" w:color="auto" w:fill="auto"/>
          </w:tcPr>
          <w:p w:rsidR="00D907AF" w:rsidRPr="002265D8" w:rsidRDefault="00D907AF" w:rsidP="00D907AF">
            <w:pPr>
              <w:spacing w:before="20" w:after="20"/>
              <w:rPr>
                <w:rFonts w:eastAsia="Calibri" w:cstheme="minorHAnsi"/>
                <w:b w:val="0"/>
                <w:color w:val="auto"/>
                <w:sz w:val="20"/>
                <w:szCs w:val="20"/>
              </w:rPr>
            </w:pPr>
            <w:bookmarkStart w:id="66" w:name="Title_2_3"/>
            <w:bookmarkEnd w:id="66"/>
          </w:p>
        </w:tc>
        <w:tc>
          <w:tcPr>
            <w:tcW w:w="1873" w:type="pct"/>
            <w:tcBorders>
              <w:top w:val="single" w:sz="4" w:space="0" w:color="auto"/>
              <w:left w:val="none" w:sz="0" w:space="0" w:color="auto"/>
              <w:bottom w:val="single" w:sz="4" w:space="0" w:color="auto"/>
              <w:right w:val="none" w:sz="0" w:space="0" w:color="auto"/>
            </w:tcBorders>
            <w:shd w:val="clear" w:color="auto" w:fill="auto"/>
          </w:tcPr>
          <w:p w:rsidR="00D907AF" w:rsidRPr="002265D8" w:rsidRDefault="00CE5DFE" w:rsidP="00D907AF">
            <w:pPr>
              <w:spacing w:before="20" w:after="20"/>
              <w:cnfStyle w:val="100000000000" w:firstRow="1" w:lastRow="0" w:firstColumn="0" w:lastColumn="0" w:oddVBand="0" w:evenVBand="0" w:oddHBand="0" w:evenHBand="0" w:firstRowFirstColumn="0" w:firstRowLastColumn="0" w:lastRowFirstColumn="0" w:lastRowLastColumn="0"/>
              <w:rPr>
                <w:rFonts w:eastAsia="Calibri" w:cstheme="minorHAnsi"/>
                <w:b w:val="0"/>
                <w:color w:val="auto"/>
                <w:sz w:val="20"/>
                <w:szCs w:val="20"/>
              </w:rPr>
            </w:pPr>
            <w:r>
              <w:rPr>
                <w:rFonts w:eastAsia="Calibri" w:cstheme="minorHAnsi"/>
                <w:b w:val="0"/>
                <w:color w:val="auto"/>
                <w:sz w:val="20"/>
                <w:szCs w:val="20"/>
              </w:rPr>
              <w:t>Characteristic</w:t>
            </w:r>
          </w:p>
        </w:tc>
        <w:tc>
          <w:tcPr>
            <w:tcW w:w="523" w:type="pct"/>
            <w:tcBorders>
              <w:top w:val="single" w:sz="4" w:space="0" w:color="auto"/>
              <w:left w:val="none" w:sz="0" w:space="0" w:color="auto"/>
              <w:bottom w:val="single" w:sz="4" w:space="0" w:color="auto"/>
              <w:right w:val="none" w:sz="0" w:space="0" w:color="auto"/>
            </w:tcBorders>
            <w:shd w:val="clear" w:color="auto" w:fill="auto"/>
          </w:tcPr>
          <w:p w:rsidR="00D907AF" w:rsidRPr="002265D8" w:rsidRDefault="00D907AF" w:rsidP="00D907AF">
            <w:pPr>
              <w:spacing w:before="20" w:after="20"/>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color w:val="auto"/>
                <w:sz w:val="20"/>
                <w:szCs w:val="20"/>
              </w:rPr>
            </w:pPr>
            <w:r w:rsidRPr="002265D8">
              <w:rPr>
                <w:rFonts w:eastAsia="Calibri" w:cstheme="minorHAnsi"/>
                <w:b w:val="0"/>
                <w:color w:val="auto"/>
                <w:sz w:val="20"/>
                <w:szCs w:val="20"/>
              </w:rPr>
              <w:t>Number</w:t>
            </w:r>
          </w:p>
        </w:tc>
      </w:tr>
      <w:tr w:rsidR="00D907AF" w:rsidRPr="002265D8" w:rsidTr="002368A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04" w:type="pct"/>
            <w:tcBorders>
              <w:top w:val="single" w:sz="4" w:space="0" w:color="auto"/>
              <w:left w:val="none" w:sz="0" w:space="0" w:color="auto"/>
              <w:bottom w:val="none" w:sz="0" w:space="0" w:color="auto"/>
              <w:right w:val="none" w:sz="0" w:space="0" w:color="auto"/>
            </w:tcBorders>
            <w:shd w:val="clear" w:color="auto" w:fill="auto"/>
          </w:tcPr>
          <w:p w:rsidR="00D907AF" w:rsidRPr="002265D8" w:rsidRDefault="00D907AF" w:rsidP="00D907AF">
            <w:pPr>
              <w:spacing w:before="20" w:after="20"/>
              <w:rPr>
                <w:rFonts w:cstheme="minorHAnsi"/>
                <w:b w:val="0"/>
                <w:color w:val="auto"/>
                <w:sz w:val="20"/>
                <w:szCs w:val="20"/>
              </w:rPr>
            </w:pPr>
            <w:r w:rsidRPr="002265D8">
              <w:rPr>
                <w:rFonts w:cstheme="minorHAnsi"/>
                <w:b w:val="0"/>
                <w:color w:val="auto"/>
                <w:sz w:val="20"/>
                <w:szCs w:val="20"/>
              </w:rPr>
              <w:t>Type</w:t>
            </w:r>
          </w:p>
        </w:tc>
        <w:tc>
          <w:tcPr>
            <w:tcW w:w="1873" w:type="pct"/>
            <w:tcBorders>
              <w:top w:val="single" w:sz="4" w:space="0" w:color="auto"/>
              <w:left w:val="none" w:sz="0" w:space="0" w:color="auto"/>
              <w:bottom w:val="none" w:sz="0" w:space="0" w:color="auto"/>
              <w:right w:val="none" w:sz="0" w:space="0" w:color="auto"/>
            </w:tcBorders>
            <w:shd w:val="clear" w:color="auto" w:fill="auto"/>
          </w:tcPr>
          <w:p w:rsidR="00D907AF" w:rsidRPr="002265D8" w:rsidRDefault="00D907AF" w:rsidP="00D907AF">
            <w:pPr>
              <w:spacing w:before="20" w:after="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265D8">
              <w:rPr>
                <w:rFonts w:cstheme="minorHAnsi"/>
                <w:sz w:val="20"/>
                <w:szCs w:val="20"/>
              </w:rPr>
              <w:t>Organisation</w:t>
            </w:r>
          </w:p>
        </w:tc>
        <w:tc>
          <w:tcPr>
            <w:tcW w:w="523" w:type="pct"/>
            <w:tcBorders>
              <w:top w:val="single" w:sz="4" w:space="0" w:color="auto"/>
              <w:left w:val="none" w:sz="0" w:space="0" w:color="auto"/>
              <w:bottom w:val="none" w:sz="0" w:space="0" w:color="auto"/>
              <w:right w:val="none" w:sz="0" w:space="0" w:color="auto"/>
            </w:tcBorders>
            <w:shd w:val="clear" w:color="auto" w:fill="auto"/>
          </w:tcPr>
          <w:p w:rsidR="00D907AF" w:rsidRPr="002265D8" w:rsidRDefault="00D907AF" w:rsidP="00D907AF">
            <w:pPr>
              <w:tabs>
                <w:tab w:val="right" w:pos="457"/>
              </w:tabs>
              <w:spacing w:before="20" w:after="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265D8">
              <w:rPr>
                <w:rFonts w:cstheme="minorHAnsi"/>
                <w:sz w:val="20"/>
                <w:szCs w:val="20"/>
              </w:rPr>
              <w:tab/>
              <w:t>20</w:t>
            </w:r>
          </w:p>
        </w:tc>
      </w:tr>
      <w:tr w:rsidR="00D907AF" w:rsidRPr="002265D8" w:rsidTr="002368A8">
        <w:trPr>
          <w:cantSplit/>
        </w:trPr>
        <w:tc>
          <w:tcPr>
            <w:cnfStyle w:val="001000000000" w:firstRow="0" w:lastRow="0" w:firstColumn="1" w:lastColumn="0" w:oddVBand="0" w:evenVBand="0" w:oddHBand="0" w:evenHBand="0" w:firstRowFirstColumn="0" w:firstRowLastColumn="0" w:lastRowFirstColumn="0" w:lastRowLastColumn="0"/>
            <w:tcW w:w="2604" w:type="pct"/>
            <w:tcBorders>
              <w:left w:val="none" w:sz="0" w:space="0" w:color="auto"/>
              <w:bottom w:val="none" w:sz="0" w:space="0" w:color="auto"/>
              <w:right w:val="none" w:sz="0" w:space="0" w:color="auto"/>
            </w:tcBorders>
            <w:shd w:val="clear" w:color="auto" w:fill="auto"/>
          </w:tcPr>
          <w:p w:rsidR="00D907AF" w:rsidRPr="002265D8" w:rsidRDefault="000B41E3" w:rsidP="00D907AF">
            <w:pPr>
              <w:spacing w:before="20" w:after="20"/>
              <w:rPr>
                <w:rFonts w:cstheme="minorHAnsi"/>
                <w:b w:val="0"/>
                <w:color w:val="auto"/>
                <w:sz w:val="20"/>
                <w:szCs w:val="20"/>
              </w:rPr>
            </w:pPr>
            <w:r w:rsidRPr="000B41E3">
              <w:rPr>
                <w:rFonts w:cstheme="minorHAnsi"/>
                <w:b w:val="0"/>
                <w:sz w:val="20"/>
                <w:szCs w:val="20"/>
              </w:rPr>
              <w:t>Type</w:t>
            </w:r>
          </w:p>
        </w:tc>
        <w:tc>
          <w:tcPr>
            <w:tcW w:w="1873" w:type="pct"/>
            <w:shd w:val="clear" w:color="auto" w:fill="auto"/>
          </w:tcPr>
          <w:p w:rsidR="00D907AF" w:rsidRPr="002265D8" w:rsidRDefault="00D26992" w:rsidP="00D907AF">
            <w:pPr>
              <w:spacing w:before="20" w:after="2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Self-</w:t>
            </w:r>
            <w:r w:rsidR="00D907AF" w:rsidRPr="002265D8">
              <w:rPr>
                <w:rFonts w:cstheme="minorHAnsi"/>
                <w:sz w:val="20"/>
                <w:szCs w:val="20"/>
              </w:rPr>
              <w:t>employed</w:t>
            </w:r>
          </w:p>
        </w:tc>
        <w:tc>
          <w:tcPr>
            <w:tcW w:w="523" w:type="pct"/>
            <w:shd w:val="clear" w:color="auto" w:fill="auto"/>
          </w:tcPr>
          <w:p w:rsidR="00D907AF" w:rsidRPr="002265D8" w:rsidRDefault="00D907AF" w:rsidP="00D907AF">
            <w:pPr>
              <w:tabs>
                <w:tab w:val="right" w:pos="457"/>
              </w:tabs>
              <w:spacing w:before="20" w:after="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265D8">
              <w:rPr>
                <w:rFonts w:cstheme="minorHAnsi"/>
                <w:sz w:val="20"/>
                <w:szCs w:val="20"/>
              </w:rPr>
              <w:tab/>
              <w:t>5</w:t>
            </w:r>
          </w:p>
        </w:tc>
      </w:tr>
      <w:tr w:rsidR="00D907AF" w:rsidRPr="002265D8" w:rsidTr="002368A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04" w:type="pct"/>
            <w:tcBorders>
              <w:top w:val="none" w:sz="0" w:space="0" w:color="auto"/>
              <w:left w:val="none" w:sz="0" w:space="0" w:color="auto"/>
              <w:bottom w:val="none" w:sz="0" w:space="0" w:color="auto"/>
              <w:right w:val="none" w:sz="0" w:space="0" w:color="auto"/>
            </w:tcBorders>
            <w:shd w:val="clear" w:color="auto" w:fill="auto"/>
          </w:tcPr>
          <w:p w:rsidR="00D907AF" w:rsidRPr="002265D8" w:rsidRDefault="00D907AF" w:rsidP="00D907AF">
            <w:pPr>
              <w:spacing w:before="20" w:after="20"/>
              <w:rPr>
                <w:rFonts w:cstheme="minorHAnsi"/>
                <w:b w:val="0"/>
                <w:color w:val="auto"/>
                <w:sz w:val="20"/>
                <w:szCs w:val="20"/>
              </w:rPr>
            </w:pPr>
            <w:r w:rsidRPr="002265D8">
              <w:rPr>
                <w:rFonts w:cstheme="minorHAnsi"/>
                <w:b w:val="0"/>
                <w:color w:val="auto"/>
                <w:sz w:val="20"/>
                <w:szCs w:val="20"/>
              </w:rPr>
              <w:t>Staffing Numbers</w:t>
            </w:r>
          </w:p>
        </w:tc>
        <w:tc>
          <w:tcPr>
            <w:tcW w:w="1873" w:type="pct"/>
            <w:tcBorders>
              <w:top w:val="none" w:sz="0" w:space="0" w:color="auto"/>
              <w:left w:val="none" w:sz="0" w:space="0" w:color="auto"/>
              <w:bottom w:val="none" w:sz="0" w:space="0" w:color="auto"/>
              <w:right w:val="none" w:sz="0" w:space="0" w:color="auto"/>
            </w:tcBorders>
            <w:shd w:val="clear" w:color="auto" w:fill="auto"/>
          </w:tcPr>
          <w:p w:rsidR="00D907AF" w:rsidRPr="002265D8" w:rsidRDefault="00D907AF" w:rsidP="00D907AF">
            <w:pPr>
              <w:spacing w:before="20" w:after="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265D8">
              <w:rPr>
                <w:rFonts w:cstheme="minorHAnsi"/>
                <w:sz w:val="20"/>
                <w:szCs w:val="20"/>
              </w:rPr>
              <w:t>&lt; 50</w:t>
            </w:r>
          </w:p>
        </w:tc>
        <w:tc>
          <w:tcPr>
            <w:tcW w:w="523" w:type="pct"/>
            <w:tcBorders>
              <w:top w:val="none" w:sz="0" w:space="0" w:color="auto"/>
              <w:left w:val="none" w:sz="0" w:space="0" w:color="auto"/>
              <w:bottom w:val="none" w:sz="0" w:space="0" w:color="auto"/>
              <w:right w:val="none" w:sz="0" w:space="0" w:color="auto"/>
            </w:tcBorders>
            <w:shd w:val="clear" w:color="auto" w:fill="auto"/>
          </w:tcPr>
          <w:p w:rsidR="00D907AF" w:rsidRPr="002265D8" w:rsidRDefault="00D907AF" w:rsidP="00D907AF">
            <w:pPr>
              <w:tabs>
                <w:tab w:val="right" w:pos="457"/>
              </w:tabs>
              <w:spacing w:before="20" w:after="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265D8">
              <w:rPr>
                <w:rFonts w:cstheme="minorHAnsi"/>
                <w:sz w:val="20"/>
                <w:szCs w:val="20"/>
              </w:rPr>
              <w:tab/>
              <w:t>11</w:t>
            </w:r>
          </w:p>
        </w:tc>
      </w:tr>
      <w:tr w:rsidR="0054451B" w:rsidRPr="002265D8" w:rsidTr="002368A8">
        <w:trPr>
          <w:cantSplit/>
        </w:trPr>
        <w:tc>
          <w:tcPr>
            <w:cnfStyle w:val="001000000000" w:firstRow="0" w:lastRow="0" w:firstColumn="1" w:lastColumn="0" w:oddVBand="0" w:evenVBand="0" w:oddHBand="0" w:evenHBand="0" w:firstRowFirstColumn="0" w:firstRowLastColumn="0" w:lastRowFirstColumn="0" w:lastRowLastColumn="0"/>
            <w:tcW w:w="2604" w:type="pct"/>
            <w:tcBorders>
              <w:left w:val="none" w:sz="0" w:space="0" w:color="auto"/>
              <w:bottom w:val="none" w:sz="0" w:space="0" w:color="auto"/>
              <w:right w:val="none" w:sz="0" w:space="0" w:color="auto"/>
            </w:tcBorders>
            <w:shd w:val="clear" w:color="auto" w:fill="auto"/>
          </w:tcPr>
          <w:p w:rsidR="0054451B" w:rsidRPr="00A15B20" w:rsidRDefault="0054451B" w:rsidP="004D1056">
            <w:pPr>
              <w:rPr>
                <w:b w:val="0"/>
              </w:rPr>
            </w:pPr>
            <w:r w:rsidRPr="00A15B20">
              <w:rPr>
                <w:b w:val="0"/>
              </w:rPr>
              <w:t xml:space="preserve">Staffing </w:t>
            </w:r>
          </w:p>
        </w:tc>
        <w:tc>
          <w:tcPr>
            <w:tcW w:w="1873" w:type="pct"/>
            <w:shd w:val="clear" w:color="auto" w:fill="auto"/>
          </w:tcPr>
          <w:p w:rsidR="0054451B" w:rsidRPr="002265D8" w:rsidRDefault="0054451B" w:rsidP="00D907AF">
            <w:pPr>
              <w:spacing w:before="20" w:after="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265D8">
              <w:rPr>
                <w:rFonts w:cstheme="minorHAnsi"/>
                <w:sz w:val="20"/>
                <w:szCs w:val="20"/>
              </w:rPr>
              <w:t>5</w:t>
            </w:r>
            <w:r>
              <w:rPr>
                <w:rFonts w:cstheme="minorHAnsi"/>
                <w:sz w:val="20"/>
                <w:szCs w:val="20"/>
              </w:rPr>
              <w:t>0</w:t>
            </w:r>
            <w:r w:rsidR="00A15B20">
              <w:rPr>
                <w:rFonts w:cstheme="minorHAnsi"/>
                <w:sz w:val="20"/>
                <w:szCs w:val="20"/>
              </w:rPr>
              <w:t xml:space="preserve"> to </w:t>
            </w:r>
            <w:r w:rsidRPr="002265D8">
              <w:rPr>
                <w:rFonts w:cstheme="minorHAnsi"/>
                <w:sz w:val="20"/>
                <w:szCs w:val="20"/>
              </w:rPr>
              <w:t>200</w:t>
            </w:r>
          </w:p>
        </w:tc>
        <w:tc>
          <w:tcPr>
            <w:tcW w:w="523" w:type="pct"/>
            <w:shd w:val="clear" w:color="auto" w:fill="auto"/>
          </w:tcPr>
          <w:p w:rsidR="0054451B" w:rsidRPr="002265D8" w:rsidRDefault="0054451B" w:rsidP="00D907AF">
            <w:pPr>
              <w:tabs>
                <w:tab w:val="right" w:pos="457"/>
              </w:tabs>
              <w:spacing w:before="20" w:after="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265D8">
              <w:rPr>
                <w:rFonts w:cstheme="minorHAnsi"/>
                <w:sz w:val="20"/>
                <w:szCs w:val="20"/>
              </w:rPr>
              <w:tab/>
              <w:t>5</w:t>
            </w:r>
          </w:p>
        </w:tc>
      </w:tr>
      <w:tr w:rsidR="0054451B" w:rsidRPr="002265D8" w:rsidTr="002368A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04" w:type="pct"/>
            <w:tcBorders>
              <w:top w:val="none" w:sz="0" w:space="0" w:color="auto"/>
              <w:left w:val="none" w:sz="0" w:space="0" w:color="auto"/>
              <w:bottom w:val="none" w:sz="0" w:space="0" w:color="auto"/>
              <w:right w:val="none" w:sz="0" w:space="0" w:color="auto"/>
            </w:tcBorders>
            <w:shd w:val="clear" w:color="auto" w:fill="auto"/>
          </w:tcPr>
          <w:p w:rsidR="0054451B" w:rsidRPr="004D1056" w:rsidRDefault="0054451B" w:rsidP="004D1056">
            <w:pPr>
              <w:rPr>
                <w:b w:val="0"/>
              </w:rPr>
            </w:pPr>
            <w:r w:rsidRPr="004D1056">
              <w:rPr>
                <w:b w:val="0"/>
              </w:rPr>
              <w:t xml:space="preserve">Staffing </w:t>
            </w:r>
          </w:p>
        </w:tc>
        <w:tc>
          <w:tcPr>
            <w:tcW w:w="1873" w:type="pct"/>
            <w:tcBorders>
              <w:top w:val="none" w:sz="0" w:space="0" w:color="auto"/>
              <w:left w:val="none" w:sz="0" w:space="0" w:color="auto"/>
              <w:bottom w:val="none" w:sz="0" w:space="0" w:color="auto"/>
              <w:right w:val="none" w:sz="0" w:space="0" w:color="auto"/>
            </w:tcBorders>
            <w:shd w:val="clear" w:color="auto" w:fill="auto"/>
          </w:tcPr>
          <w:p w:rsidR="0054451B" w:rsidRPr="002265D8" w:rsidRDefault="0054451B" w:rsidP="00D907AF">
            <w:pPr>
              <w:spacing w:before="20" w:after="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265D8">
              <w:rPr>
                <w:rFonts w:cstheme="minorHAnsi"/>
                <w:sz w:val="20"/>
                <w:szCs w:val="20"/>
              </w:rPr>
              <w:t>201+</w:t>
            </w:r>
          </w:p>
        </w:tc>
        <w:tc>
          <w:tcPr>
            <w:tcW w:w="523" w:type="pct"/>
            <w:tcBorders>
              <w:top w:val="none" w:sz="0" w:space="0" w:color="auto"/>
              <w:left w:val="none" w:sz="0" w:space="0" w:color="auto"/>
              <w:bottom w:val="none" w:sz="0" w:space="0" w:color="auto"/>
              <w:right w:val="none" w:sz="0" w:space="0" w:color="auto"/>
            </w:tcBorders>
            <w:shd w:val="clear" w:color="auto" w:fill="auto"/>
          </w:tcPr>
          <w:p w:rsidR="0054451B" w:rsidRPr="002265D8" w:rsidRDefault="0054451B" w:rsidP="00D907AF">
            <w:pPr>
              <w:tabs>
                <w:tab w:val="right" w:pos="457"/>
              </w:tabs>
              <w:spacing w:before="20" w:after="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265D8">
              <w:rPr>
                <w:rFonts w:cstheme="minorHAnsi"/>
                <w:sz w:val="20"/>
                <w:szCs w:val="20"/>
              </w:rPr>
              <w:tab/>
              <w:t>8</w:t>
            </w:r>
          </w:p>
        </w:tc>
      </w:tr>
      <w:tr w:rsidR="0054451B" w:rsidRPr="002265D8" w:rsidTr="002368A8">
        <w:trPr>
          <w:cantSplit/>
        </w:trPr>
        <w:tc>
          <w:tcPr>
            <w:cnfStyle w:val="001000000000" w:firstRow="0" w:lastRow="0" w:firstColumn="1" w:lastColumn="0" w:oddVBand="0" w:evenVBand="0" w:oddHBand="0" w:evenHBand="0" w:firstRowFirstColumn="0" w:firstRowLastColumn="0" w:lastRowFirstColumn="0" w:lastRowLastColumn="0"/>
            <w:tcW w:w="2604" w:type="pct"/>
            <w:tcBorders>
              <w:left w:val="none" w:sz="0" w:space="0" w:color="auto"/>
              <w:bottom w:val="none" w:sz="0" w:space="0" w:color="auto"/>
              <w:right w:val="none" w:sz="0" w:space="0" w:color="auto"/>
            </w:tcBorders>
            <w:shd w:val="clear" w:color="auto" w:fill="auto"/>
          </w:tcPr>
          <w:p w:rsidR="0054451B" w:rsidRPr="004D1056" w:rsidRDefault="0054451B" w:rsidP="004D1056">
            <w:pPr>
              <w:rPr>
                <w:b w:val="0"/>
              </w:rPr>
            </w:pPr>
            <w:r w:rsidRPr="004D1056">
              <w:rPr>
                <w:b w:val="0"/>
              </w:rPr>
              <w:t xml:space="preserve">Staffing </w:t>
            </w:r>
          </w:p>
        </w:tc>
        <w:tc>
          <w:tcPr>
            <w:tcW w:w="1873" w:type="pct"/>
            <w:shd w:val="clear" w:color="auto" w:fill="auto"/>
          </w:tcPr>
          <w:p w:rsidR="0054451B" w:rsidRPr="002265D8" w:rsidRDefault="0054451B" w:rsidP="00D907AF">
            <w:pPr>
              <w:spacing w:before="20" w:after="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265D8">
              <w:rPr>
                <w:rFonts w:cstheme="minorHAnsi"/>
                <w:sz w:val="20"/>
                <w:szCs w:val="20"/>
              </w:rPr>
              <w:t>Unknown</w:t>
            </w:r>
          </w:p>
        </w:tc>
        <w:tc>
          <w:tcPr>
            <w:tcW w:w="523" w:type="pct"/>
            <w:shd w:val="clear" w:color="auto" w:fill="auto"/>
          </w:tcPr>
          <w:p w:rsidR="0054451B" w:rsidRPr="002265D8" w:rsidRDefault="0054451B" w:rsidP="00D907AF">
            <w:pPr>
              <w:tabs>
                <w:tab w:val="right" w:pos="457"/>
              </w:tabs>
              <w:spacing w:before="20" w:after="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265D8">
              <w:rPr>
                <w:rFonts w:cstheme="minorHAnsi"/>
                <w:sz w:val="20"/>
                <w:szCs w:val="20"/>
              </w:rPr>
              <w:tab/>
              <w:t>1</w:t>
            </w:r>
          </w:p>
        </w:tc>
      </w:tr>
      <w:tr w:rsidR="00D907AF" w:rsidRPr="002265D8" w:rsidTr="002368A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04" w:type="pct"/>
            <w:tcBorders>
              <w:top w:val="none" w:sz="0" w:space="0" w:color="auto"/>
              <w:left w:val="none" w:sz="0" w:space="0" w:color="auto"/>
              <w:bottom w:val="none" w:sz="0" w:space="0" w:color="auto"/>
              <w:right w:val="none" w:sz="0" w:space="0" w:color="auto"/>
            </w:tcBorders>
            <w:shd w:val="clear" w:color="auto" w:fill="auto"/>
          </w:tcPr>
          <w:p w:rsidR="00D907AF" w:rsidRPr="002265D8" w:rsidRDefault="00D907AF" w:rsidP="005F7B2F">
            <w:pPr>
              <w:spacing w:before="20" w:after="20"/>
              <w:rPr>
                <w:rFonts w:cstheme="minorHAnsi"/>
                <w:b w:val="0"/>
                <w:color w:val="auto"/>
                <w:sz w:val="20"/>
                <w:szCs w:val="20"/>
              </w:rPr>
            </w:pPr>
            <w:r w:rsidRPr="002265D8">
              <w:rPr>
                <w:rFonts w:cstheme="minorHAnsi"/>
                <w:b w:val="0"/>
                <w:color w:val="auto"/>
                <w:sz w:val="20"/>
                <w:szCs w:val="20"/>
              </w:rPr>
              <w:t>National/State</w:t>
            </w:r>
            <w:r w:rsidR="005F7B2F">
              <w:rPr>
                <w:rFonts w:cstheme="minorHAnsi"/>
                <w:b w:val="0"/>
                <w:color w:val="auto"/>
                <w:sz w:val="20"/>
                <w:szCs w:val="20"/>
              </w:rPr>
              <w:t xml:space="preserve"> </w:t>
            </w:r>
            <w:r w:rsidRPr="002265D8">
              <w:rPr>
                <w:rFonts w:cstheme="minorHAnsi"/>
                <w:b w:val="0"/>
                <w:color w:val="auto"/>
                <w:sz w:val="20"/>
                <w:szCs w:val="20"/>
              </w:rPr>
              <w:t xml:space="preserve">based </w:t>
            </w:r>
          </w:p>
        </w:tc>
        <w:tc>
          <w:tcPr>
            <w:tcW w:w="1873" w:type="pct"/>
            <w:tcBorders>
              <w:top w:val="none" w:sz="0" w:space="0" w:color="auto"/>
              <w:left w:val="none" w:sz="0" w:space="0" w:color="auto"/>
              <w:bottom w:val="none" w:sz="0" w:space="0" w:color="auto"/>
              <w:right w:val="none" w:sz="0" w:space="0" w:color="auto"/>
            </w:tcBorders>
            <w:shd w:val="clear" w:color="auto" w:fill="auto"/>
          </w:tcPr>
          <w:p w:rsidR="00D907AF" w:rsidRPr="002265D8" w:rsidRDefault="00D907AF" w:rsidP="00D907AF">
            <w:pPr>
              <w:spacing w:before="20" w:after="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265D8">
              <w:rPr>
                <w:rFonts w:cstheme="minorHAnsi"/>
                <w:sz w:val="20"/>
                <w:szCs w:val="20"/>
              </w:rPr>
              <w:t>National</w:t>
            </w:r>
          </w:p>
        </w:tc>
        <w:tc>
          <w:tcPr>
            <w:tcW w:w="523" w:type="pct"/>
            <w:tcBorders>
              <w:top w:val="none" w:sz="0" w:space="0" w:color="auto"/>
              <w:left w:val="none" w:sz="0" w:space="0" w:color="auto"/>
              <w:bottom w:val="none" w:sz="0" w:space="0" w:color="auto"/>
              <w:right w:val="none" w:sz="0" w:space="0" w:color="auto"/>
            </w:tcBorders>
            <w:shd w:val="clear" w:color="auto" w:fill="auto"/>
          </w:tcPr>
          <w:p w:rsidR="00D907AF" w:rsidRPr="002265D8" w:rsidRDefault="00D907AF" w:rsidP="00D907AF">
            <w:pPr>
              <w:tabs>
                <w:tab w:val="right" w:pos="457"/>
              </w:tabs>
              <w:spacing w:before="20" w:after="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265D8">
              <w:rPr>
                <w:rFonts w:cstheme="minorHAnsi"/>
                <w:sz w:val="20"/>
                <w:szCs w:val="20"/>
              </w:rPr>
              <w:tab/>
              <w:t>4</w:t>
            </w:r>
          </w:p>
        </w:tc>
      </w:tr>
      <w:tr w:rsidR="0054451B" w:rsidRPr="002265D8" w:rsidTr="002368A8">
        <w:trPr>
          <w:cantSplit/>
        </w:trPr>
        <w:tc>
          <w:tcPr>
            <w:cnfStyle w:val="001000000000" w:firstRow="0" w:lastRow="0" w:firstColumn="1" w:lastColumn="0" w:oddVBand="0" w:evenVBand="0" w:oddHBand="0" w:evenHBand="0" w:firstRowFirstColumn="0" w:firstRowLastColumn="0" w:lastRowFirstColumn="0" w:lastRowLastColumn="0"/>
            <w:tcW w:w="2604" w:type="pct"/>
            <w:tcBorders>
              <w:left w:val="none" w:sz="0" w:space="0" w:color="auto"/>
              <w:bottom w:val="none" w:sz="0" w:space="0" w:color="auto"/>
              <w:right w:val="none" w:sz="0" w:space="0" w:color="auto"/>
            </w:tcBorders>
            <w:shd w:val="clear" w:color="auto" w:fill="auto"/>
          </w:tcPr>
          <w:p w:rsidR="0054451B" w:rsidRPr="003D2498" w:rsidRDefault="0054451B">
            <w:pPr>
              <w:rPr>
                <w:b w:val="0"/>
              </w:rPr>
            </w:pPr>
          </w:p>
        </w:tc>
        <w:tc>
          <w:tcPr>
            <w:tcW w:w="1873" w:type="pct"/>
            <w:shd w:val="clear" w:color="auto" w:fill="auto"/>
          </w:tcPr>
          <w:p w:rsidR="0054451B" w:rsidRPr="002265D8" w:rsidRDefault="0054451B" w:rsidP="00D907AF">
            <w:pPr>
              <w:spacing w:before="20" w:after="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265D8">
              <w:rPr>
                <w:rFonts w:cstheme="minorHAnsi"/>
                <w:sz w:val="20"/>
                <w:szCs w:val="20"/>
              </w:rPr>
              <w:t>State</w:t>
            </w:r>
          </w:p>
        </w:tc>
        <w:tc>
          <w:tcPr>
            <w:tcW w:w="523" w:type="pct"/>
            <w:shd w:val="clear" w:color="auto" w:fill="auto"/>
          </w:tcPr>
          <w:p w:rsidR="0054451B" w:rsidRPr="002265D8" w:rsidRDefault="0054451B" w:rsidP="00D907AF">
            <w:pPr>
              <w:tabs>
                <w:tab w:val="right" w:pos="457"/>
              </w:tabs>
              <w:spacing w:before="20" w:after="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265D8">
              <w:rPr>
                <w:rFonts w:cstheme="minorHAnsi"/>
                <w:sz w:val="20"/>
                <w:szCs w:val="20"/>
              </w:rPr>
              <w:tab/>
              <w:t>21</w:t>
            </w:r>
          </w:p>
        </w:tc>
      </w:tr>
      <w:tr w:rsidR="00D907AF" w:rsidRPr="002265D8" w:rsidTr="002368A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04" w:type="pct"/>
            <w:tcBorders>
              <w:top w:val="none" w:sz="0" w:space="0" w:color="auto"/>
              <w:left w:val="none" w:sz="0" w:space="0" w:color="auto"/>
              <w:bottom w:val="none" w:sz="0" w:space="0" w:color="auto"/>
              <w:right w:val="none" w:sz="0" w:space="0" w:color="auto"/>
            </w:tcBorders>
            <w:shd w:val="clear" w:color="auto" w:fill="auto"/>
          </w:tcPr>
          <w:p w:rsidR="00D907AF" w:rsidRPr="002265D8" w:rsidRDefault="00D907AF" w:rsidP="00D907AF">
            <w:pPr>
              <w:spacing w:before="20" w:after="20"/>
              <w:rPr>
                <w:rFonts w:cstheme="minorHAnsi"/>
                <w:b w:val="0"/>
                <w:color w:val="auto"/>
                <w:sz w:val="20"/>
                <w:szCs w:val="20"/>
              </w:rPr>
            </w:pPr>
            <w:r w:rsidRPr="002265D8">
              <w:rPr>
                <w:rFonts w:cstheme="minorHAnsi"/>
                <w:b w:val="0"/>
                <w:color w:val="auto"/>
                <w:sz w:val="20"/>
                <w:szCs w:val="20"/>
              </w:rPr>
              <w:t>Percentage of disability service in total services (approx.)</w:t>
            </w:r>
          </w:p>
        </w:tc>
        <w:tc>
          <w:tcPr>
            <w:tcW w:w="1873" w:type="pct"/>
            <w:tcBorders>
              <w:top w:val="none" w:sz="0" w:space="0" w:color="auto"/>
              <w:left w:val="none" w:sz="0" w:space="0" w:color="auto"/>
              <w:bottom w:val="none" w:sz="0" w:space="0" w:color="auto"/>
              <w:right w:val="none" w:sz="0" w:space="0" w:color="auto"/>
            </w:tcBorders>
            <w:shd w:val="clear" w:color="auto" w:fill="auto"/>
          </w:tcPr>
          <w:p w:rsidR="00D907AF" w:rsidRPr="002265D8" w:rsidRDefault="00D907AF" w:rsidP="00D907AF">
            <w:pPr>
              <w:spacing w:before="20" w:after="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265D8">
              <w:rPr>
                <w:rFonts w:cstheme="minorHAnsi"/>
                <w:sz w:val="20"/>
                <w:szCs w:val="20"/>
              </w:rPr>
              <w:t>&lt; 20%</w:t>
            </w:r>
          </w:p>
        </w:tc>
        <w:tc>
          <w:tcPr>
            <w:tcW w:w="523" w:type="pct"/>
            <w:tcBorders>
              <w:top w:val="none" w:sz="0" w:space="0" w:color="auto"/>
              <w:left w:val="none" w:sz="0" w:space="0" w:color="auto"/>
              <w:bottom w:val="none" w:sz="0" w:space="0" w:color="auto"/>
              <w:right w:val="none" w:sz="0" w:space="0" w:color="auto"/>
            </w:tcBorders>
            <w:shd w:val="clear" w:color="auto" w:fill="auto"/>
          </w:tcPr>
          <w:p w:rsidR="00D907AF" w:rsidRPr="002265D8" w:rsidRDefault="00D907AF" w:rsidP="00D907AF">
            <w:pPr>
              <w:tabs>
                <w:tab w:val="right" w:pos="457"/>
              </w:tabs>
              <w:spacing w:before="20" w:after="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265D8">
              <w:rPr>
                <w:rFonts w:cstheme="minorHAnsi"/>
                <w:sz w:val="20"/>
                <w:szCs w:val="20"/>
              </w:rPr>
              <w:tab/>
              <w:t>2</w:t>
            </w:r>
          </w:p>
        </w:tc>
      </w:tr>
      <w:tr w:rsidR="003D2498" w:rsidRPr="002265D8" w:rsidTr="002368A8">
        <w:trPr>
          <w:cantSplit/>
        </w:trPr>
        <w:tc>
          <w:tcPr>
            <w:cnfStyle w:val="001000000000" w:firstRow="0" w:lastRow="0" w:firstColumn="1" w:lastColumn="0" w:oddVBand="0" w:evenVBand="0" w:oddHBand="0" w:evenHBand="0" w:firstRowFirstColumn="0" w:firstRowLastColumn="0" w:lastRowFirstColumn="0" w:lastRowLastColumn="0"/>
            <w:tcW w:w="2604" w:type="pct"/>
            <w:tcBorders>
              <w:left w:val="none" w:sz="0" w:space="0" w:color="auto"/>
              <w:bottom w:val="none" w:sz="0" w:space="0" w:color="auto"/>
              <w:right w:val="none" w:sz="0" w:space="0" w:color="auto"/>
            </w:tcBorders>
            <w:shd w:val="clear" w:color="auto" w:fill="auto"/>
          </w:tcPr>
          <w:p w:rsidR="003D2498" w:rsidRPr="003D2498" w:rsidRDefault="003D2498">
            <w:pPr>
              <w:rPr>
                <w:b w:val="0"/>
              </w:rPr>
            </w:pPr>
            <w:r w:rsidRPr="003D2498">
              <w:rPr>
                <w:b w:val="0"/>
              </w:rPr>
              <w:t xml:space="preserve">Percentage of disability service in total services </w:t>
            </w:r>
          </w:p>
        </w:tc>
        <w:tc>
          <w:tcPr>
            <w:tcW w:w="1873" w:type="pct"/>
            <w:shd w:val="clear" w:color="auto" w:fill="auto"/>
          </w:tcPr>
          <w:p w:rsidR="003D2498" w:rsidRPr="002265D8" w:rsidRDefault="003D2498" w:rsidP="00D907AF">
            <w:pPr>
              <w:spacing w:before="20" w:after="2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21 to </w:t>
            </w:r>
            <w:r w:rsidRPr="002265D8">
              <w:rPr>
                <w:rFonts w:cstheme="minorHAnsi"/>
                <w:sz w:val="20"/>
                <w:szCs w:val="20"/>
              </w:rPr>
              <w:t>50%</w:t>
            </w:r>
          </w:p>
        </w:tc>
        <w:tc>
          <w:tcPr>
            <w:tcW w:w="523" w:type="pct"/>
            <w:shd w:val="clear" w:color="auto" w:fill="auto"/>
          </w:tcPr>
          <w:p w:rsidR="003D2498" w:rsidRPr="002265D8" w:rsidRDefault="003D2498" w:rsidP="00D907AF">
            <w:pPr>
              <w:tabs>
                <w:tab w:val="right" w:pos="457"/>
              </w:tabs>
              <w:spacing w:before="20" w:after="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265D8">
              <w:rPr>
                <w:rFonts w:cstheme="minorHAnsi"/>
                <w:sz w:val="20"/>
                <w:szCs w:val="20"/>
              </w:rPr>
              <w:tab/>
              <w:t>3</w:t>
            </w:r>
          </w:p>
        </w:tc>
      </w:tr>
      <w:tr w:rsidR="003D2498" w:rsidRPr="002265D8" w:rsidTr="002368A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04" w:type="pct"/>
            <w:tcBorders>
              <w:top w:val="none" w:sz="0" w:space="0" w:color="auto"/>
              <w:left w:val="none" w:sz="0" w:space="0" w:color="auto"/>
              <w:bottom w:val="none" w:sz="0" w:space="0" w:color="auto"/>
              <w:right w:val="none" w:sz="0" w:space="0" w:color="auto"/>
            </w:tcBorders>
            <w:shd w:val="clear" w:color="auto" w:fill="auto"/>
          </w:tcPr>
          <w:p w:rsidR="003D2498" w:rsidRPr="003D2498" w:rsidRDefault="003D2498">
            <w:pPr>
              <w:rPr>
                <w:b w:val="0"/>
              </w:rPr>
            </w:pPr>
            <w:r w:rsidRPr="003D2498">
              <w:rPr>
                <w:b w:val="0"/>
              </w:rPr>
              <w:t xml:space="preserve">Percentage of disability service in total services </w:t>
            </w:r>
          </w:p>
        </w:tc>
        <w:tc>
          <w:tcPr>
            <w:tcW w:w="1873" w:type="pct"/>
            <w:tcBorders>
              <w:top w:val="none" w:sz="0" w:space="0" w:color="auto"/>
              <w:left w:val="none" w:sz="0" w:space="0" w:color="auto"/>
              <w:bottom w:val="none" w:sz="0" w:space="0" w:color="auto"/>
              <w:right w:val="none" w:sz="0" w:space="0" w:color="auto"/>
            </w:tcBorders>
            <w:shd w:val="clear" w:color="auto" w:fill="auto"/>
          </w:tcPr>
          <w:p w:rsidR="003D2498" w:rsidRPr="002265D8" w:rsidRDefault="003D2498" w:rsidP="00A15B20">
            <w:pPr>
              <w:spacing w:before="20" w:after="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265D8">
              <w:rPr>
                <w:rFonts w:cstheme="minorHAnsi"/>
                <w:sz w:val="20"/>
                <w:szCs w:val="20"/>
              </w:rPr>
              <w:t>51</w:t>
            </w:r>
            <w:r>
              <w:rPr>
                <w:rFonts w:cstheme="minorHAnsi"/>
                <w:sz w:val="20"/>
                <w:szCs w:val="20"/>
              </w:rPr>
              <w:t xml:space="preserve"> to </w:t>
            </w:r>
            <w:r w:rsidRPr="002265D8">
              <w:rPr>
                <w:rFonts w:cstheme="minorHAnsi"/>
                <w:sz w:val="20"/>
                <w:szCs w:val="20"/>
              </w:rPr>
              <w:t>75%</w:t>
            </w:r>
          </w:p>
        </w:tc>
        <w:tc>
          <w:tcPr>
            <w:tcW w:w="523" w:type="pct"/>
            <w:tcBorders>
              <w:top w:val="none" w:sz="0" w:space="0" w:color="auto"/>
              <w:left w:val="none" w:sz="0" w:space="0" w:color="auto"/>
              <w:bottom w:val="none" w:sz="0" w:space="0" w:color="auto"/>
              <w:right w:val="none" w:sz="0" w:space="0" w:color="auto"/>
            </w:tcBorders>
            <w:shd w:val="clear" w:color="auto" w:fill="auto"/>
          </w:tcPr>
          <w:p w:rsidR="003D2498" w:rsidRPr="002265D8" w:rsidRDefault="003D2498" w:rsidP="00D907AF">
            <w:pPr>
              <w:tabs>
                <w:tab w:val="right" w:pos="457"/>
              </w:tabs>
              <w:spacing w:before="20" w:after="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265D8">
              <w:rPr>
                <w:rFonts w:cstheme="minorHAnsi"/>
                <w:sz w:val="20"/>
                <w:szCs w:val="20"/>
              </w:rPr>
              <w:tab/>
              <w:t>6</w:t>
            </w:r>
          </w:p>
        </w:tc>
      </w:tr>
      <w:tr w:rsidR="003D2498" w:rsidRPr="002265D8" w:rsidTr="002368A8">
        <w:trPr>
          <w:cantSplit/>
        </w:trPr>
        <w:tc>
          <w:tcPr>
            <w:cnfStyle w:val="001000000000" w:firstRow="0" w:lastRow="0" w:firstColumn="1" w:lastColumn="0" w:oddVBand="0" w:evenVBand="0" w:oddHBand="0" w:evenHBand="0" w:firstRowFirstColumn="0" w:firstRowLastColumn="0" w:lastRowFirstColumn="0" w:lastRowLastColumn="0"/>
            <w:tcW w:w="2604" w:type="pct"/>
            <w:tcBorders>
              <w:left w:val="none" w:sz="0" w:space="0" w:color="auto"/>
              <w:bottom w:val="none" w:sz="0" w:space="0" w:color="auto"/>
              <w:right w:val="none" w:sz="0" w:space="0" w:color="auto"/>
            </w:tcBorders>
            <w:shd w:val="clear" w:color="auto" w:fill="auto"/>
          </w:tcPr>
          <w:p w:rsidR="003D2498" w:rsidRPr="003D2498" w:rsidRDefault="003D2498">
            <w:pPr>
              <w:rPr>
                <w:b w:val="0"/>
              </w:rPr>
            </w:pPr>
            <w:r w:rsidRPr="003D2498">
              <w:rPr>
                <w:b w:val="0"/>
              </w:rPr>
              <w:t xml:space="preserve">Percentage of disability service in total services </w:t>
            </w:r>
          </w:p>
        </w:tc>
        <w:tc>
          <w:tcPr>
            <w:tcW w:w="1873" w:type="pct"/>
            <w:shd w:val="clear" w:color="auto" w:fill="auto"/>
          </w:tcPr>
          <w:p w:rsidR="003D2498" w:rsidRPr="002265D8" w:rsidRDefault="003D2498" w:rsidP="00D907AF">
            <w:pPr>
              <w:spacing w:before="20" w:after="2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&gt;75</w:t>
            </w:r>
            <w:r w:rsidRPr="002265D8">
              <w:rPr>
                <w:rFonts w:cstheme="minorHAnsi"/>
                <w:sz w:val="20"/>
                <w:szCs w:val="20"/>
              </w:rPr>
              <w:t xml:space="preserve"> </w:t>
            </w:r>
            <w:r w:rsidR="00B7608C">
              <w:rPr>
                <w:rFonts w:cstheme="minorHAnsi"/>
                <w:sz w:val="20"/>
                <w:szCs w:val="20"/>
              </w:rPr>
              <w:t>%</w:t>
            </w:r>
          </w:p>
        </w:tc>
        <w:tc>
          <w:tcPr>
            <w:tcW w:w="523" w:type="pct"/>
            <w:shd w:val="clear" w:color="auto" w:fill="auto"/>
          </w:tcPr>
          <w:p w:rsidR="003D2498" w:rsidRPr="002265D8" w:rsidRDefault="003D2498" w:rsidP="00D907AF">
            <w:pPr>
              <w:tabs>
                <w:tab w:val="right" w:pos="457"/>
              </w:tabs>
              <w:spacing w:before="20" w:after="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265D8">
              <w:rPr>
                <w:rFonts w:cstheme="minorHAnsi"/>
                <w:sz w:val="20"/>
                <w:szCs w:val="20"/>
              </w:rPr>
              <w:tab/>
              <w:t>13</w:t>
            </w:r>
          </w:p>
        </w:tc>
      </w:tr>
      <w:tr w:rsidR="003D2498" w:rsidRPr="002265D8" w:rsidTr="002368A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04" w:type="pct"/>
            <w:tcBorders>
              <w:top w:val="none" w:sz="0" w:space="0" w:color="auto"/>
              <w:left w:val="none" w:sz="0" w:space="0" w:color="auto"/>
              <w:bottom w:val="none" w:sz="0" w:space="0" w:color="auto"/>
              <w:right w:val="none" w:sz="0" w:space="0" w:color="auto"/>
            </w:tcBorders>
            <w:shd w:val="clear" w:color="auto" w:fill="auto"/>
          </w:tcPr>
          <w:p w:rsidR="003D2498" w:rsidRPr="003D2498" w:rsidRDefault="003D2498">
            <w:pPr>
              <w:rPr>
                <w:b w:val="0"/>
              </w:rPr>
            </w:pPr>
            <w:r w:rsidRPr="003D2498">
              <w:rPr>
                <w:b w:val="0"/>
              </w:rPr>
              <w:t xml:space="preserve">Percentage of disability service in total services </w:t>
            </w:r>
          </w:p>
        </w:tc>
        <w:tc>
          <w:tcPr>
            <w:tcW w:w="1873" w:type="pct"/>
            <w:tcBorders>
              <w:top w:val="none" w:sz="0" w:space="0" w:color="auto"/>
              <w:left w:val="none" w:sz="0" w:space="0" w:color="auto"/>
              <w:bottom w:val="none" w:sz="0" w:space="0" w:color="auto"/>
              <w:right w:val="none" w:sz="0" w:space="0" w:color="auto"/>
            </w:tcBorders>
            <w:shd w:val="clear" w:color="auto" w:fill="auto"/>
          </w:tcPr>
          <w:p w:rsidR="003D2498" w:rsidRPr="002265D8" w:rsidRDefault="003D2498" w:rsidP="00D907AF">
            <w:pPr>
              <w:spacing w:before="20" w:after="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265D8">
              <w:rPr>
                <w:rFonts w:cstheme="minorHAnsi"/>
                <w:sz w:val="20"/>
                <w:szCs w:val="20"/>
              </w:rPr>
              <w:t>Unknown</w:t>
            </w:r>
          </w:p>
        </w:tc>
        <w:tc>
          <w:tcPr>
            <w:tcW w:w="523" w:type="pct"/>
            <w:tcBorders>
              <w:top w:val="none" w:sz="0" w:space="0" w:color="auto"/>
              <w:left w:val="none" w:sz="0" w:space="0" w:color="auto"/>
              <w:bottom w:val="none" w:sz="0" w:space="0" w:color="auto"/>
              <w:right w:val="none" w:sz="0" w:space="0" w:color="auto"/>
            </w:tcBorders>
            <w:shd w:val="clear" w:color="auto" w:fill="auto"/>
          </w:tcPr>
          <w:p w:rsidR="003D2498" w:rsidRPr="002265D8" w:rsidRDefault="003D2498" w:rsidP="00D907AF">
            <w:pPr>
              <w:tabs>
                <w:tab w:val="right" w:pos="457"/>
              </w:tabs>
              <w:spacing w:before="20" w:after="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265D8">
              <w:rPr>
                <w:rFonts w:cstheme="minorHAnsi"/>
                <w:sz w:val="20"/>
                <w:szCs w:val="20"/>
              </w:rPr>
              <w:tab/>
              <w:t>1</w:t>
            </w:r>
          </w:p>
        </w:tc>
      </w:tr>
      <w:tr w:rsidR="00D907AF" w:rsidRPr="002265D8" w:rsidTr="002368A8">
        <w:trPr>
          <w:cantSplit/>
        </w:trPr>
        <w:tc>
          <w:tcPr>
            <w:cnfStyle w:val="001000000000" w:firstRow="0" w:lastRow="0" w:firstColumn="1" w:lastColumn="0" w:oddVBand="0" w:evenVBand="0" w:oddHBand="0" w:evenHBand="0" w:firstRowFirstColumn="0" w:firstRowLastColumn="0" w:lastRowFirstColumn="0" w:lastRowLastColumn="0"/>
            <w:tcW w:w="2604" w:type="pct"/>
            <w:tcBorders>
              <w:left w:val="none" w:sz="0" w:space="0" w:color="auto"/>
              <w:bottom w:val="none" w:sz="0" w:space="0" w:color="auto"/>
              <w:right w:val="none" w:sz="0" w:space="0" w:color="auto"/>
            </w:tcBorders>
            <w:shd w:val="clear" w:color="auto" w:fill="auto"/>
          </w:tcPr>
          <w:p w:rsidR="00D907AF" w:rsidRPr="002265D8" w:rsidRDefault="00D907AF" w:rsidP="00D907AF">
            <w:pPr>
              <w:spacing w:before="20" w:after="20"/>
              <w:rPr>
                <w:rFonts w:cstheme="minorHAnsi"/>
                <w:b w:val="0"/>
                <w:color w:val="auto"/>
                <w:sz w:val="20"/>
                <w:szCs w:val="20"/>
              </w:rPr>
            </w:pPr>
            <w:r w:rsidRPr="002265D8">
              <w:rPr>
                <w:rFonts w:cstheme="minorHAnsi"/>
                <w:b w:val="0"/>
                <w:color w:val="auto"/>
                <w:sz w:val="20"/>
                <w:szCs w:val="20"/>
              </w:rPr>
              <w:t>Service Type</w:t>
            </w:r>
          </w:p>
        </w:tc>
        <w:tc>
          <w:tcPr>
            <w:tcW w:w="1873" w:type="pct"/>
            <w:shd w:val="clear" w:color="auto" w:fill="auto"/>
          </w:tcPr>
          <w:p w:rsidR="00D907AF" w:rsidRPr="002265D8" w:rsidRDefault="00D907AF" w:rsidP="00D907AF">
            <w:pPr>
              <w:spacing w:before="20" w:after="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265D8">
              <w:rPr>
                <w:rFonts w:cstheme="minorHAnsi"/>
                <w:sz w:val="20"/>
                <w:szCs w:val="20"/>
              </w:rPr>
              <w:t>Early intervention</w:t>
            </w:r>
          </w:p>
        </w:tc>
        <w:tc>
          <w:tcPr>
            <w:tcW w:w="523" w:type="pct"/>
            <w:shd w:val="clear" w:color="auto" w:fill="auto"/>
          </w:tcPr>
          <w:p w:rsidR="00D907AF" w:rsidRPr="002265D8" w:rsidRDefault="00D907AF" w:rsidP="00D907AF">
            <w:pPr>
              <w:tabs>
                <w:tab w:val="right" w:pos="457"/>
              </w:tabs>
              <w:spacing w:before="20" w:after="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265D8">
              <w:rPr>
                <w:rFonts w:cstheme="minorHAnsi"/>
                <w:sz w:val="20"/>
                <w:szCs w:val="20"/>
              </w:rPr>
              <w:tab/>
              <w:t>7</w:t>
            </w:r>
          </w:p>
        </w:tc>
      </w:tr>
      <w:tr w:rsidR="00BD2EA6" w:rsidRPr="002265D8" w:rsidTr="002368A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04" w:type="pct"/>
            <w:tcBorders>
              <w:top w:val="none" w:sz="0" w:space="0" w:color="auto"/>
              <w:left w:val="none" w:sz="0" w:space="0" w:color="auto"/>
              <w:bottom w:val="none" w:sz="0" w:space="0" w:color="auto"/>
              <w:right w:val="none" w:sz="0" w:space="0" w:color="auto"/>
            </w:tcBorders>
            <w:shd w:val="clear" w:color="auto" w:fill="auto"/>
          </w:tcPr>
          <w:p w:rsidR="00BD2EA6" w:rsidRPr="00BD2EA6" w:rsidRDefault="00BD2EA6">
            <w:pPr>
              <w:rPr>
                <w:b w:val="0"/>
              </w:rPr>
            </w:pPr>
            <w:r w:rsidRPr="00BD2EA6">
              <w:rPr>
                <w:b w:val="0"/>
              </w:rPr>
              <w:t>Service Type</w:t>
            </w:r>
          </w:p>
        </w:tc>
        <w:tc>
          <w:tcPr>
            <w:tcW w:w="1873" w:type="pct"/>
            <w:tcBorders>
              <w:top w:val="none" w:sz="0" w:space="0" w:color="auto"/>
              <w:left w:val="none" w:sz="0" w:space="0" w:color="auto"/>
              <w:bottom w:val="none" w:sz="0" w:space="0" w:color="auto"/>
              <w:right w:val="none" w:sz="0" w:space="0" w:color="auto"/>
            </w:tcBorders>
            <w:shd w:val="clear" w:color="auto" w:fill="auto"/>
          </w:tcPr>
          <w:p w:rsidR="00BD2EA6" w:rsidRPr="002265D8" w:rsidRDefault="00BD2EA6" w:rsidP="00D907AF">
            <w:pPr>
              <w:spacing w:before="20" w:after="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265D8">
              <w:rPr>
                <w:rFonts w:cstheme="minorHAnsi"/>
                <w:sz w:val="20"/>
                <w:szCs w:val="20"/>
              </w:rPr>
              <w:t>Personal support</w:t>
            </w:r>
          </w:p>
        </w:tc>
        <w:tc>
          <w:tcPr>
            <w:tcW w:w="523" w:type="pct"/>
            <w:tcBorders>
              <w:top w:val="none" w:sz="0" w:space="0" w:color="auto"/>
              <w:left w:val="none" w:sz="0" w:space="0" w:color="auto"/>
              <w:bottom w:val="none" w:sz="0" w:space="0" w:color="auto"/>
              <w:right w:val="none" w:sz="0" w:space="0" w:color="auto"/>
            </w:tcBorders>
            <w:shd w:val="clear" w:color="auto" w:fill="auto"/>
          </w:tcPr>
          <w:p w:rsidR="00BD2EA6" w:rsidRPr="002265D8" w:rsidRDefault="00BD2EA6" w:rsidP="00D907AF">
            <w:pPr>
              <w:tabs>
                <w:tab w:val="right" w:pos="457"/>
              </w:tabs>
              <w:spacing w:before="20" w:after="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265D8">
              <w:rPr>
                <w:rFonts w:cstheme="minorHAnsi"/>
                <w:sz w:val="20"/>
                <w:szCs w:val="20"/>
              </w:rPr>
              <w:tab/>
              <w:t>9</w:t>
            </w:r>
          </w:p>
        </w:tc>
      </w:tr>
      <w:tr w:rsidR="00BD2EA6" w:rsidRPr="002265D8" w:rsidTr="002368A8">
        <w:trPr>
          <w:cantSplit/>
        </w:trPr>
        <w:tc>
          <w:tcPr>
            <w:cnfStyle w:val="001000000000" w:firstRow="0" w:lastRow="0" w:firstColumn="1" w:lastColumn="0" w:oddVBand="0" w:evenVBand="0" w:oddHBand="0" w:evenHBand="0" w:firstRowFirstColumn="0" w:firstRowLastColumn="0" w:lastRowFirstColumn="0" w:lastRowLastColumn="0"/>
            <w:tcW w:w="2604" w:type="pct"/>
            <w:tcBorders>
              <w:left w:val="none" w:sz="0" w:space="0" w:color="auto"/>
              <w:bottom w:val="none" w:sz="0" w:space="0" w:color="auto"/>
              <w:right w:val="none" w:sz="0" w:space="0" w:color="auto"/>
            </w:tcBorders>
            <w:shd w:val="clear" w:color="auto" w:fill="auto"/>
          </w:tcPr>
          <w:p w:rsidR="00BD2EA6" w:rsidRPr="00BD2EA6" w:rsidRDefault="00BD2EA6">
            <w:pPr>
              <w:rPr>
                <w:b w:val="0"/>
              </w:rPr>
            </w:pPr>
            <w:r w:rsidRPr="00BD2EA6">
              <w:rPr>
                <w:b w:val="0"/>
              </w:rPr>
              <w:t>Service Type</w:t>
            </w:r>
          </w:p>
        </w:tc>
        <w:tc>
          <w:tcPr>
            <w:tcW w:w="1873" w:type="pct"/>
            <w:shd w:val="clear" w:color="auto" w:fill="auto"/>
          </w:tcPr>
          <w:p w:rsidR="00BD2EA6" w:rsidRPr="002265D8" w:rsidRDefault="00BD2EA6" w:rsidP="00D907AF">
            <w:pPr>
              <w:spacing w:before="20" w:after="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265D8">
              <w:rPr>
                <w:rFonts w:cstheme="minorHAnsi"/>
                <w:sz w:val="20"/>
                <w:szCs w:val="20"/>
              </w:rPr>
              <w:t>Respite</w:t>
            </w:r>
          </w:p>
        </w:tc>
        <w:tc>
          <w:tcPr>
            <w:tcW w:w="523" w:type="pct"/>
            <w:shd w:val="clear" w:color="auto" w:fill="auto"/>
          </w:tcPr>
          <w:p w:rsidR="00BD2EA6" w:rsidRPr="002265D8" w:rsidRDefault="00BD2EA6" w:rsidP="00D907AF">
            <w:pPr>
              <w:tabs>
                <w:tab w:val="right" w:pos="457"/>
              </w:tabs>
              <w:spacing w:before="20" w:after="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265D8">
              <w:rPr>
                <w:rFonts w:cstheme="minorHAnsi"/>
                <w:sz w:val="20"/>
                <w:szCs w:val="20"/>
              </w:rPr>
              <w:tab/>
              <w:t>7</w:t>
            </w:r>
          </w:p>
        </w:tc>
      </w:tr>
      <w:tr w:rsidR="00BD2EA6" w:rsidRPr="002265D8" w:rsidTr="002368A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04" w:type="pct"/>
            <w:tcBorders>
              <w:top w:val="none" w:sz="0" w:space="0" w:color="auto"/>
              <w:left w:val="none" w:sz="0" w:space="0" w:color="auto"/>
              <w:bottom w:val="none" w:sz="0" w:space="0" w:color="auto"/>
              <w:right w:val="none" w:sz="0" w:space="0" w:color="auto"/>
            </w:tcBorders>
            <w:shd w:val="clear" w:color="auto" w:fill="auto"/>
          </w:tcPr>
          <w:p w:rsidR="00BD2EA6" w:rsidRPr="00BD2EA6" w:rsidRDefault="00BD2EA6">
            <w:pPr>
              <w:rPr>
                <w:b w:val="0"/>
              </w:rPr>
            </w:pPr>
            <w:r w:rsidRPr="00BD2EA6">
              <w:rPr>
                <w:b w:val="0"/>
              </w:rPr>
              <w:t>Service Type</w:t>
            </w:r>
          </w:p>
        </w:tc>
        <w:tc>
          <w:tcPr>
            <w:tcW w:w="1873" w:type="pct"/>
            <w:tcBorders>
              <w:top w:val="none" w:sz="0" w:space="0" w:color="auto"/>
              <w:left w:val="none" w:sz="0" w:space="0" w:color="auto"/>
              <w:bottom w:val="none" w:sz="0" w:space="0" w:color="auto"/>
              <w:right w:val="none" w:sz="0" w:space="0" w:color="auto"/>
            </w:tcBorders>
            <w:shd w:val="clear" w:color="auto" w:fill="auto"/>
          </w:tcPr>
          <w:p w:rsidR="00BD2EA6" w:rsidRPr="002265D8" w:rsidRDefault="00BD2EA6" w:rsidP="00D907AF">
            <w:pPr>
              <w:spacing w:before="20" w:after="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265D8">
              <w:rPr>
                <w:rFonts w:cstheme="minorHAnsi"/>
                <w:sz w:val="20"/>
                <w:szCs w:val="20"/>
              </w:rPr>
              <w:t>Therapeutic services</w:t>
            </w:r>
          </w:p>
        </w:tc>
        <w:tc>
          <w:tcPr>
            <w:tcW w:w="523" w:type="pct"/>
            <w:tcBorders>
              <w:top w:val="none" w:sz="0" w:space="0" w:color="auto"/>
              <w:left w:val="none" w:sz="0" w:space="0" w:color="auto"/>
              <w:bottom w:val="none" w:sz="0" w:space="0" w:color="auto"/>
              <w:right w:val="none" w:sz="0" w:space="0" w:color="auto"/>
            </w:tcBorders>
            <w:shd w:val="clear" w:color="auto" w:fill="auto"/>
          </w:tcPr>
          <w:p w:rsidR="00BD2EA6" w:rsidRPr="002265D8" w:rsidRDefault="00BD2EA6" w:rsidP="00D907AF">
            <w:pPr>
              <w:tabs>
                <w:tab w:val="right" w:pos="457"/>
              </w:tabs>
              <w:spacing w:before="20" w:after="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265D8">
              <w:rPr>
                <w:rFonts w:cstheme="minorHAnsi"/>
                <w:sz w:val="20"/>
                <w:szCs w:val="20"/>
              </w:rPr>
              <w:tab/>
              <w:t>15</w:t>
            </w:r>
          </w:p>
        </w:tc>
      </w:tr>
      <w:tr w:rsidR="00BD2EA6" w:rsidRPr="002265D8" w:rsidTr="002368A8">
        <w:trPr>
          <w:cantSplit/>
        </w:trPr>
        <w:tc>
          <w:tcPr>
            <w:cnfStyle w:val="001000000000" w:firstRow="0" w:lastRow="0" w:firstColumn="1" w:lastColumn="0" w:oddVBand="0" w:evenVBand="0" w:oddHBand="0" w:evenHBand="0" w:firstRowFirstColumn="0" w:firstRowLastColumn="0" w:lastRowFirstColumn="0" w:lastRowLastColumn="0"/>
            <w:tcW w:w="2604" w:type="pct"/>
            <w:tcBorders>
              <w:left w:val="none" w:sz="0" w:space="0" w:color="auto"/>
              <w:bottom w:val="none" w:sz="0" w:space="0" w:color="auto"/>
              <w:right w:val="none" w:sz="0" w:space="0" w:color="auto"/>
            </w:tcBorders>
            <w:shd w:val="clear" w:color="auto" w:fill="auto"/>
          </w:tcPr>
          <w:p w:rsidR="00BD2EA6" w:rsidRPr="00BD2EA6" w:rsidRDefault="00BD2EA6">
            <w:pPr>
              <w:rPr>
                <w:b w:val="0"/>
              </w:rPr>
            </w:pPr>
            <w:r w:rsidRPr="00BD2EA6">
              <w:rPr>
                <w:b w:val="0"/>
              </w:rPr>
              <w:t>Service Type</w:t>
            </w:r>
          </w:p>
        </w:tc>
        <w:tc>
          <w:tcPr>
            <w:tcW w:w="1873" w:type="pct"/>
            <w:shd w:val="clear" w:color="auto" w:fill="auto"/>
          </w:tcPr>
          <w:p w:rsidR="00BD2EA6" w:rsidRPr="002265D8" w:rsidRDefault="00BD2EA6" w:rsidP="00D907AF">
            <w:pPr>
              <w:spacing w:before="20" w:after="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265D8">
              <w:rPr>
                <w:rFonts w:cstheme="minorHAnsi"/>
                <w:sz w:val="20"/>
                <w:szCs w:val="20"/>
              </w:rPr>
              <w:t>Accommodation support</w:t>
            </w:r>
          </w:p>
        </w:tc>
        <w:tc>
          <w:tcPr>
            <w:tcW w:w="523" w:type="pct"/>
            <w:shd w:val="clear" w:color="auto" w:fill="auto"/>
          </w:tcPr>
          <w:p w:rsidR="00BD2EA6" w:rsidRPr="002265D8" w:rsidRDefault="00BD2EA6" w:rsidP="00D907AF">
            <w:pPr>
              <w:tabs>
                <w:tab w:val="right" w:pos="457"/>
              </w:tabs>
              <w:spacing w:before="20" w:after="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265D8">
              <w:rPr>
                <w:rFonts w:cstheme="minorHAnsi"/>
                <w:sz w:val="20"/>
                <w:szCs w:val="20"/>
              </w:rPr>
              <w:tab/>
              <w:t>11</w:t>
            </w:r>
          </w:p>
        </w:tc>
      </w:tr>
      <w:tr w:rsidR="00BD2EA6" w:rsidRPr="002265D8" w:rsidTr="002368A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04" w:type="pct"/>
            <w:tcBorders>
              <w:top w:val="none" w:sz="0" w:space="0" w:color="auto"/>
              <w:left w:val="none" w:sz="0" w:space="0" w:color="auto"/>
              <w:bottom w:val="none" w:sz="0" w:space="0" w:color="auto"/>
              <w:right w:val="none" w:sz="0" w:space="0" w:color="auto"/>
            </w:tcBorders>
            <w:shd w:val="clear" w:color="auto" w:fill="auto"/>
          </w:tcPr>
          <w:p w:rsidR="00BD2EA6" w:rsidRPr="00BD2EA6" w:rsidRDefault="00BD2EA6">
            <w:pPr>
              <w:rPr>
                <w:b w:val="0"/>
              </w:rPr>
            </w:pPr>
            <w:r w:rsidRPr="00BD2EA6">
              <w:rPr>
                <w:b w:val="0"/>
              </w:rPr>
              <w:t>Service Type</w:t>
            </w:r>
          </w:p>
        </w:tc>
        <w:tc>
          <w:tcPr>
            <w:tcW w:w="1873" w:type="pct"/>
            <w:tcBorders>
              <w:top w:val="none" w:sz="0" w:space="0" w:color="auto"/>
              <w:left w:val="none" w:sz="0" w:space="0" w:color="auto"/>
              <w:bottom w:val="none" w:sz="0" w:space="0" w:color="auto"/>
              <w:right w:val="none" w:sz="0" w:space="0" w:color="auto"/>
            </w:tcBorders>
            <w:shd w:val="clear" w:color="auto" w:fill="auto"/>
          </w:tcPr>
          <w:p w:rsidR="00BD2EA6" w:rsidRPr="002265D8" w:rsidRDefault="00BD2EA6" w:rsidP="00D907AF">
            <w:pPr>
              <w:spacing w:before="20" w:after="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265D8">
              <w:rPr>
                <w:rFonts w:cstheme="minorHAnsi"/>
                <w:sz w:val="20"/>
                <w:szCs w:val="20"/>
              </w:rPr>
              <w:t>Employment support</w:t>
            </w:r>
          </w:p>
        </w:tc>
        <w:tc>
          <w:tcPr>
            <w:tcW w:w="523" w:type="pct"/>
            <w:tcBorders>
              <w:top w:val="none" w:sz="0" w:space="0" w:color="auto"/>
              <w:left w:val="none" w:sz="0" w:space="0" w:color="auto"/>
              <w:bottom w:val="none" w:sz="0" w:space="0" w:color="auto"/>
              <w:right w:val="none" w:sz="0" w:space="0" w:color="auto"/>
            </w:tcBorders>
            <w:shd w:val="clear" w:color="auto" w:fill="auto"/>
          </w:tcPr>
          <w:p w:rsidR="00BD2EA6" w:rsidRPr="002265D8" w:rsidRDefault="00BD2EA6" w:rsidP="00D907AF">
            <w:pPr>
              <w:tabs>
                <w:tab w:val="right" w:pos="457"/>
              </w:tabs>
              <w:spacing w:before="20" w:after="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265D8">
              <w:rPr>
                <w:rFonts w:cstheme="minorHAnsi"/>
                <w:sz w:val="20"/>
                <w:szCs w:val="20"/>
              </w:rPr>
              <w:tab/>
              <w:t>6</w:t>
            </w:r>
          </w:p>
        </w:tc>
      </w:tr>
      <w:tr w:rsidR="00BD2EA6" w:rsidRPr="002265D8" w:rsidTr="002368A8">
        <w:trPr>
          <w:cantSplit/>
        </w:trPr>
        <w:tc>
          <w:tcPr>
            <w:cnfStyle w:val="001000000000" w:firstRow="0" w:lastRow="0" w:firstColumn="1" w:lastColumn="0" w:oddVBand="0" w:evenVBand="0" w:oddHBand="0" w:evenHBand="0" w:firstRowFirstColumn="0" w:firstRowLastColumn="0" w:lastRowFirstColumn="0" w:lastRowLastColumn="0"/>
            <w:tcW w:w="2604" w:type="pct"/>
            <w:tcBorders>
              <w:left w:val="none" w:sz="0" w:space="0" w:color="auto"/>
              <w:bottom w:val="none" w:sz="0" w:space="0" w:color="auto"/>
              <w:right w:val="none" w:sz="0" w:space="0" w:color="auto"/>
            </w:tcBorders>
            <w:shd w:val="clear" w:color="auto" w:fill="auto"/>
          </w:tcPr>
          <w:p w:rsidR="00BD2EA6" w:rsidRPr="00BD2EA6" w:rsidRDefault="00BD2EA6">
            <w:pPr>
              <w:rPr>
                <w:b w:val="0"/>
              </w:rPr>
            </w:pPr>
            <w:r w:rsidRPr="00BD2EA6">
              <w:rPr>
                <w:b w:val="0"/>
              </w:rPr>
              <w:t>Service Type</w:t>
            </w:r>
          </w:p>
        </w:tc>
        <w:tc>
          <w:tcPr>
            <w:tcW w:w="1873" w:type="pct"/>
            <w:shd w:val="clear" w:color="auto" w:fill="auto"/>
          </w:tcPr>
          <w:p w:rsidR="00BD2EA6" w:rsidRPr="002265D8" w:rsidRDefault="00BD2EA6" w:rsidP="00D907AF">
            <w:pPr>
              <w:spacing w:before="20" w:after="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265D8">
              <w:rPr>
                <w:rFonts w:cstheme="minorHAnsi"/>
                <w:sz w:val="20"/>
                <w:szCs w:val="20"/>
              </w:rPr>
              <w:t>Community access</w:t>
            </w:r>
          </w:p>
        </w:tc>
        <w:tc>
          <w:tcPr>
            <w:tcW w:w="523" w:type="pct"/>
            <w:shd w:val="clear" w:color="auto" w:fill="auto"/>
          </w:tcPr>
          <w:p w:rsidR="00BD2EA6" w:rsidRPr="002265D8" w:rsidRDefault="00BD2EA6" w:rsidP="00D907AF">
            <w:pPr>
              <w:tabs>
                <w:tab w:val="right" w:pos="457"/>
              </w:tabs>
              <w:spacing w:before="20" w:after="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265D8">
              <w:rPr>
                <w:rFonts w:cstheme="minorHAnsi"/>
                <w:sz w:val="20"/>
                <w:szCs w:val="20"/>
              </w:rPr>
              <w:tab/>
              <w:t>10</w:t>
            </w:r>
          </w:p>
        </w:tc>
      </w:tr>
      <w:tr w:rsidR="00BD2EA6" w:rsidRPr="002265D8" w:rsidTr="002368A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04" w:type="pct"/>
            <w:tcBorders>
              <w:top w:val="none" w:sz="0" w:space="0" w:color="auto"/>
              <w:left w:val="none" w:sz="0" w:space="0" w:color="auto"/>
              <w:bottom w:val="none" w:sz="0" w:space="0" w:color="auto"/>
              <w:right w:val="none" w:sz="0" w:space="0" w:color="auto"/>
            </w:tcBorders>
            <w:shd w:val="clear" w:color="auto" w:fill="auto"/>
          </w:tcPr>
          <w:p w:rsidR="00BD2EA6" w:rsidRPr="00BD2EA6" w:rsidRDefault="00BD2EA6">
            <w:pPr>
              <w:rPr>
                <w:b w:val="0"/>
              </w:rPr>
            </w:pPr>
            <w:r w:rsidRPr="00BD2EA6">
              <w:rPr>
                <w:b w:val="0"/>
              </w:rPr>
              <w:t>Service Type</w:t>
            </w:r>
          </w:p>
        </w:tc>
        <w:tc>
          <w:tcPr>
            <w:tcW w:w="1873" w:type="pct"/>
            <w:tcBorders>
              <w:top w:val="none" w:sz="0" w:space="0" w:color="auto"/>
              <w:left w:val="none" w:sz="0" w:space="0" w:color="auto"/>
              <w:bottom w:val="none" w:sz="0" w:space="0" w:color="auto"/>
              <w:right w:val="none" w:sz="0" w:space="0" w:color="auto"/>
            </w:tcBorders>
            <w:shd w:val="clear" w:color="auto" w:fill="auto"/>
          </w:tcPr>
          <w:p w:rsidR="00BD2EA6" w:rsidRPr="002265D8" w:rsidRDefault="00BD2EA6" w:rsidP="00D907AF">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265D8">
              <w:rPr>
                <w:rFonts w:cstheme="minorHAnsi"/>
                <w:sz w:val="20"/>
                <w:szCs w:val="20"/>
              </w:rPr>
              <w:t xml:space="preserve">Aids </w:t>
            </w:r>
            <w:r>
              <w:rPr>
                <w:rFonts w:cstheme="minorHAnsi"/>
                <w:sz w:val="20"/>
                <w:szCs w:val="20"/>
              </w:rPr>
              <w:t>and</w:t>
            </w:r>
            <w:r w:rsidRPr="002265D8">
              <w:rPr>
                <w:rFonts w:cstheme="minorHAnsi"/>
                <w:sz w:val="20"/>
                <w:szCs w:val="20"/>
              </w:rPr>
              <w:t xml:space="preserve"> equipment</w:t>
            </w:r>
          </w:p>
        </w:tc>
        <w:tc>
          <w:tcPr>
            <w:tcW w:w="523" w:type="pct"/>
            <w:tcBorders>
              <w:top w:val="none" w:sz="0" w:space="0" w:color="auto"/>
              <w:left w:val="none" w:sz="0" w:space="0" w:color="auto"/>
              <w:bottom w:val="none" w:sz="0" w:space="0" w:color="auto"/>
              <w:right w:val="none" w:sz="0" w:space="0" w:color="auto"/>
            </w:tcBorders>
            <w:shd w:val="clear" w:color="auto" w:fill="auto"/>
          </w:tcPr>
          <w:p w:rsidR="00BD2EA6" w:rsidRPr="002265D8" w:rsidRDefault="00BD2EA6" w:rsidP="00D907AF">
            <w:pPr>
              <w:tabs>
                <w:tab w:val="right" w:pos="457"/>
              </w:tabs>
              <w:spacing w:before="20" w:after="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265D8">
              <w:rPr>
                <w:rFonts w:cstheme="minorHAnsi"/>
                <w:sz w:val="20"/>
                <w:szCs w:val="20"/>
              </w:rPr>
              <w:tab/>
              <w:t>6</w:t>
            </w:r>
          </w:p>
        </w:tc>
      </w:tr>
      <w:tr w:rsidR="00BD2EA6" w:rsidRPr="002265D8" w:rsidTr="002368A8">
        <w:trPr>
          <w:cantSplit/>
        </w:trPr>
        <w:tc>
          <w:tcPr>
            <w:cnfStyle w:val="001000000000" w:firstRow="0" w:lastRow="0" w:firstColumn="1" w:lastColumn="0" w:oddVBand="0" w:evenVBand="0" w:oddHBand="0" w:evenHBand="0" w:firstRowFirstColumn="0" w:firstRowLastColumn="0" w:lastRowFirstColumn="0" w:lastRowLastColumn="0"/>
            <w:tcW w:w="2604" w:type="pct"/>
            <w:tcBorders>
              <w:left w:val="none" w:sz="0" w:space="0" w:color="auto"/>
              <w:bottom w:val="none" w:sz="0" w:space="0" w:color="auto"/>
              <w:right w:val="none" w:sz="0" w:space="0" w:color="auto"/>
            </w:tcBorders>
            <w:shd w:val="clear" w:color="auto" w:fill="auto"/>
          </w:tcPr>
          <w:p w:rsidR="00BD2EA6" w:rsidRPr="00BD2EA6" w:rsidRDefault="00BD2EA6">
            <w:pPr>
              <w:rPr>
                <w:b w:val="0"/>
              </w:rPr>
            </w:pPr>
            <w:r w:rsidRPr="00BD2EA6">
              <w:rPr>
                <w:b w:val="0"/>
              </w:rPr>
              <w:t>Service Type</w:t>
            </w:r>
          </w:p>
        </w:tc>
        <w:tc>
          <w:tcPr>
            <w:tcW w:w="1873" w:type="pct"/>
            <w:shd w:val="clear" w:color="auto" w:fill="auto"/>
          </w:tcPr>
          <w:p w:rsidR="00BD2EA6" w:rsidRPr="002265D8" w:rsidRDefault="00BD2EA6" w:rsidP="00D907AF">
            <w:pPr>
              <w:spacing w:before="20" w:after="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265D8">
              <w:rPr>
                <w:rFonts w:cstheme="minorHAnsi"/>
                <w:sz w:val="20"/>
                <w:szCs w:val="20"/>
              </w:rPr>
              <w:t>Development of daily living and life skills</w:t>
            </w:r>
          </w:p>
        </w:tc>
        <w:tc>
          <w:tcPr>
            <w:tcW w:w="523" w:type="pct"/>
            <w:shd w:val="clear" w:color="auto" w:fill="auto"/>
          </w:tcPr>
          <w:p w:rsidR="00BD2EA6" w:rsidRPr="002265D8" w:rsidRDefault="00BD2EA6" w:rsidP="00D907AF">
            <w:pPr>
              <w:tabs>
                <w:tab w:val="right" w:pos="457"/>
              </w:tabs>
              <w:spacing w:before="20" w:after="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265D8">
              <w:rPr>
                <w:rFonts w:cstheme="minorHAnsi"/>
                <w:sz w:val="20"/>
                <w:szCs w:val="20"/>
              </w:rPr>
              <w:tab/>
              <w:t>10</w:t>
            </w:r>
          </w:p>
        </w:tc>
      </w:tr>
      <w:tr w:rsidR="00BD2EA6" w:rsidRPr="002265D8" w:rsidTr="002368A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04" w:type="pct"/>
            <w:tcBorders>
              <w:top w:val="none" w:sz="0" w:space="0" w:color="auto"/>
              <w:left w:val="none" w:sz="0" w:space="0" w:color="auto"/>
              <w:bottom w:val="none" w:sz="0" w:space="0" w:color="auto"/>
              <w:right w:val="none" w:sz="0" w:space="0" w:color="auto"/>
            </w:tcBorders>
            <w:shd w:val="clear" w:color="auto" w:fill="auto"/>
          </w:tcPr>
          <w:p w:rsidR="00BD2EA6" w:rsidRPr="00BD2EA6" w:rsidRDefault="00BD2EA6">
            <w:pPr>
              <w:rPr>
                <w:b w:val="0"/>
              </w:rPr>
            </w:pPr>
            <w:r w:rsidRPr="00BD2EA6">
              <w:rPr>
                <w:b w:val="0"/>
              </w:rPr>
              <w:t>Service Type</w:t>
            </w:r>
          </w:p>
        </w:tc>
        <w:tc>
          <w:tcPr>
            <w:tcW w:w="1873" w:type="pct"/>
            <w:tcBorders>
              <w:top w:val="none" w:sz="0" w:space="0" w:color="auto"/>
              <w:left w:val="none" w:sz="0" w:space="0" w:color="auto"/>
              <w:bottom w:val="none" w:sz="0" w:space="0" w:color="auto"/>
              <w:right w:val="none" w:sz="0" w:space="0" w:color="auto"/>
            </w:tcBorders>
            <w:shd w:val="clear" w:color="auto" w:fill="auto"/>
          </w:tcPr>
          <w:p w:rsidR="00BD2EA6" w:rsidRPr="002265D8" w:rsidRDefault="00BD2EA6" w:rsidP="00D907AF">
            <w:pPr>
              <w:spacing w:before="20" w:after="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265D8">
              <w:rPr>
                <w:rFonts w:cstheme="minorHAnsi"/>
                <w:sz w:val="20"/>
                <w:szCs w:val="20"/>
              </w:rPr>
              <w:t>Managing life transitions</w:t>
            </w:r>
          </w:p>
        </w:tc>
        <w:tc>
          <w:tcPr>
            <w:tcW w:w="523" w:type="pct"/>
            <w:tcBorders>
              <w:top w:val="none" w:sz="0" w:space="0" w:color="auto"/>
              <w:left w:val="none" w:sz="0" w:space="0" w:color="auto"/>
              <w:bottom w:val="none" w:sz="0" w:space="0" w:color="auto"/>
              <w:right w:val="none" w:sz="0" w:space="0" w:color="auto"/>
            </w:tcBorders>
            <w:shd w:val="clear" w:color="auto" w:fill="auto"/>
          </w:tcPr>
          <w:p w:rsidR="00BD2EA6" w:rsidRPr="002265D8" w:rsidRDefault="00BD2EA6" w:rsidP="00D907AF">
            <w:pPr>
              <w:tabs>
                <w:tab w:val="right" w:pos="457"/>
              </w:tabs>
              <w:spacing w:before="20" w:after="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265D8">
              <w:rPr>
                <w:rFonts w:cstheme="minorHAnsi"/>
                <w:sz w:val="20"/>
                <w:szCs w:val="20"/>
              </w:rPr>
              <w:tab/>
              <w:t>4</w:t>
            </w:r>
          </w:p>
        </w:tc>
      </w:tr>
    </w:tbl>
    <w:p w:rsidR="00D907AF" w:rsidRDefault="00D907AF" w:rsidP="00D907AF">
      <w:pPr>
        <w:spacing w:before="120" w:after="120"/>
        <w:jc w:val="both"/>
        <w:rPr>
          <w:rFonts w:asciiTheme="majorHAnsi" w:hAnsiTheme="majorHAnsi" w:cstheme="majorHAnsi"/>
          <w:b/>
          <w:szCs w:val="18"/>
        </w:rPr>
      </w:pPr>
    </w:p>
    <w:p w:rsidR="00D907AF" w:rsidRDefault="00D907AF" w:rsidP="00D907AF">
      <w:r>
        <w:t>The large majority of disability service providers (76 percent) reported that disability services made up 50 percent or more of their total service provision. The most common types of disability services provided were t</w:t>
      </w:r>
      <w:r w:rsidRPr="00BC3FBC">
        <w:t>herapeutic services</w:t>
      </w:r>
      <w:r>
        <w:t>, a</w:t>
      </w:r>
      <w:r w:rsidRPr="00BC3FBC">
        <w:t>ccommodation support</w:t>
      </w:r>
      <w:r>
        <w:t>, d</w:t>
      </w:r>
      <w:r w:rsidRPr="00BC3FBC">
        <w:t>evelopment of daily living and life skills</w:t>
      </w:r>
      <w:r>
        <w:t>, community a</w:t>
      </w:r>
      <w:r w:rsidRPr="00BC3FBC">
        <w:t>ccess</w:t>
      </w:r>
      <w:r>
        <w:t xml:space="preserve"> and p</w:t>
      </w:r>
      <w:r w:rsidRPr="00BC3FBC">
        <w:t>ersonal support</w:t>
      </w:r>
      <w:r>
        <w:t xml:space="preserve">. Comparatively few provided support to assist with managing life transitions, employment support, or aids and equipment. </w:t>
      </w:r>
    </w:p>
    <w:p w:rsidR="00D907AF" w:rsidRDefault="00D907AF" w:rsidP="00D907AF">
      <w:pPr>
        <w:rPr>
          <w:rFonts w:cstheme="minorHAnsi"/>
          <w:szCs w:val="18"/>
        </w:rPr>
      </w:pPr>
    </w:p>
    <w:p w:rsidR="00D907AF" w:rsidRDefault="00D907AF" w:rsidP="00D907AF">
      <w:pPr>
        <w:rPr>
          <w:rFonts w:cstheme="minorHAnsi"/>
          <w:szCs w:val="18"/>
        </w:rPr>
      </w:pPr>
      <w:r w:rsidRPr="00333FEF">
        <w:rPr>
          <w:rFonts w:cstheme="minorHAnsi"/>
          <w:szCs w:val="18"/>
        </w:rPr>
        <w:t xml:space="preserve">Of those disability service providers that participated in the in-depth interviews, two large organisations </w:t>
      </w:r>
      <w:r>
        <w:rPr>
          <w:rFonts w:cstheme="minorHAnsi"/>
          <w:szCs w:val="18"/>
        </w:rPr>
        <w:t xml:space="preserve">specialised </w:t>
      </w:r>
      <w:r w:rsidRPr="00333FEF">
        <w:rPr>
          <w:rFonts w:cstheme="minorHAnsi"/>
          <w:szCs w:val="18"/>
        </w:rPr>
        <w:t>in the provision of mental health services</w:t>
      </w:r>
      <w:r>
        <w:rPr>
          <w:rFonts w:cstheme="minorHAnsi"/>
          <w:szCs w:val="18"/>
        </w:rPr>
        <w:t>, whilst</w:t>
      </w:r>
      <w:r w:rsidRPr="00333FEF">
        <w:rPr>
          <w:rFonts w:cstheme="minorHAnsi"/>
          <w:szCs w:val="18"/>
        </w:rPr>
        <w:t xml:space="preserve"> other</w:t>
      </w:r>
      <w:r>
        <w:rPr>
          <w:rFonts w:cstheme="minorHAnsi"/>
          <w:szCs w:val="18"/>
        </w:rPr>
        <w:t>s</w:t>
      </w:r>
      <w:r w:rsidRPr="00333FEF">
        <w:rPr>
          <w:rFonts w:cstheme="minorHAnsi"/>
          <w:szCs w:val="18"/>
        </w:rPr>
        <w:t xml:space="preserve"> provided mental health services as a component of overall service provision.</w:t>
      </w:r>
      <w:r>
        <w:rPr>
          <w:rFonts w:cstheme="minorHAnsi"/>
          <w:szCs w:val="18"/>
        </w:rPr>
        <w:t xml:space="preserve"> </w:t>
      </w:r>
    </w:p>
    <w:p w:rsidR="00D907AF" w:rsidRDefault="00D907AF" w:rsidP="00D907AF">
      <w:pPr>
        <w:rPr>
          <w:rFonts w:cstheme="minorHAnsi"/>
          <w:szCs w:val="18"/>
        </w:rPr>
      </w:pPr>
    </w:p>
    <w:p w:rsidR="00D907AF" w:rsidRDefault="00D907AF" w:rsidP="00D907AF">
      <w:pPr>
        <w:rPr>
          <w:rFonts w:cstheme="minorHAnsi"/>
          <w:szCs w:val="18"/>
        </w:rPr>
      </w:pPr>
      <w:r>
        <w:rPr>
          <w:rFonts w:cstheme="minorHAnsi"/>
          <w:szCs w:val="18"/>
        </w:rPr>
        <w:t xml:space="preserve">As noted in the introductory chapter, the interviews were conducted between September and November 2014. </w:t>
      </w:r>
      <w:r w:rsidRPr="0064261E">
        <w:rPr>
          <w:rFonts w:cstheme="minorHAnsi"/>
          <w:szCs w:val="18"/>
        </w:rPr>
        <w:t xml:space="preserve">The interviews lasted between 1 and 1.5 hours and were conducted </w:t>
      </w:r>
      <w:r>
        <w:rPr>
          <w:rFonts w:cstheme="minorHAnsi"/>
          <w:szCs w:val="18"/>
        </w:rPr>
        <w:t xml:space="preserve">by telephone, </w:t>
      </w:r>
      <w:r w:rsidRPr="0064261E">
        <w:rPr>
          <w:rFonts w:cstheme="minorHAnsi"/>
          <w:szCs w:val="18"/>
        </w:rPr>
        <w:t>using a common set of questions.</w:t>
      </w:r>
      <w:r>
        <w:rPr>
          <w:rFonts w:cstheme="minorHAnsi"/>
          <w:szCs w:val="18"/>
        </w:rPr>
        <w:t xml:space="preserve"> </w:t>
      </w:r>
      <w:r w:rsidRPr="009A3CE3">
        <w:rPr>
          <w:rFonts w:cstheme="minorHAnsi"/>
          <w:szCs w:val="18"/>
        </w:rPr>
        <w:t xml:space="preserve">Participants were free to decide </w:t>
      </w:r>
      <w:r>
        <w:rPr>
          <w:rFonts w:cstheme="minorHAnsi"/>
          <w:szCs w:val="18"/>
        </w:rPr>
        <w:t xml:space="preserve">the day and time that best suited them for the interview. While most interviews were conducted with one respondent, two providers elected for two staff members to be interviewed together.  </w:t>
      </w:r>
    </w:p>
    <w:p w:rsidR="00D907AF" w:rsidRPr="0081510D" w:rsidRDefault="00D907AF" w:rsidP="00EC2C19">
      <w:pPr>
        <w:pStyle w:val="Heading3"/>
      </w:pPr>
      <w:bookmarkStart w:id="67" w:name="_Toc428271220"/>
      <w:bookmarkStart w:id="68" w:name="_Toc449954960"/>
      <w:r>
        <w:lastRenderedPageBreak/>
        <w:t xml:space="preserve">2.3.3 </w:t>
      </w:r>
      <w:r w:rsidRPr="0081510D">
        <w:t>Findings</w:t>
      </w:r>
      <w:bookmarkEnd w:id="67"/>
      <w:bookmarkEnd w:id="68"/>
      <w:r w:rsidRPr="0081510D">
        <w:t xml:space="preserve"> </w:t>
      </w:r>
    </w:p>
    <w:p w:rsidR="00D907AF" w:rsidRDefault="00D907AF" w:rsidP="00EC2C19">
      <w:pPr>
        <w:pStyle w:val="Heading40"/>
      </w:pPr>
      <w:bookmarkStart w:id="69" w:name="_Toc428271221"/>
      <w:bookmarkStart w:id="70" w:name="_Toc449954961"/>
      <w:r>
        <w:t xml:space="preserve">2.3.3.1 </w:t>
      </w:r>
      <w:r w:rsidRPr="00AC3CBF">
        <w:t>Expectations about the NDIS</w:t>
      </w:r>
      <w:bookmarkEnd w:id="69"/>
      <w:bookmarkEnd w:id="70"/>
    </w:p>
    <w:p w:rsidR="00D907AF" w:rsidRDefault="00D907AF" w:rsidP="00D907AF">
      <w:r w:rsidRPr="00FF1E1D">
        <w:t xml:space="preserve">Expectations of the NDIS varied amongst disability service providers, but overall providers expressed agreement with the </w:t>
      </w:r>
      <w:r>
        <w:t xml:space="preserve">fundamental principles and </w:t>
      </w:r>
      <w:r w:rsidRPr="00FF1E1D">
        <w:t xml:space="preserve">philosophy </w:t>
      </w:r>
      <w:r>
        <w:t xml:space="preserve">underpinning the NDIS </w:t>
      </w:r>
      <w:r w:rsidRPr="00FF1E1D">
        <w:t>and the expected benefits the NDIS would have for people with disability:</w:t>
      </w:r>
    </w:p>
    <w:p w:rsidR="00D907AF" w:rsidRPr="00B61A7D" w:rsidRDefault="00D907AF" w:rsidP="00D907AF">
      <w:pPr>
        <w:ind w:left="720"/>
        <w:rPr>
          <w:rFonts w:cstheme="minorHAnsi"/>
          <w:szCs w:val="18"/>
        </w:rPr>
      </w:pPr>
      <w:r w:rsidRPr="00B61A7D">
        <w:rPr>
          <w:rFonts w:cstheme="minorHAnsi"/>
          <w:szCs w:val="18"/>
        </w:rPr>
        <w:t>‘We all knew that the scheme was going to mean a lot to clients with disability in terms of being able to have more choice and control, more access to services, quicker access to services and … a broader range of people would benefit from that.’ (D01S)</w:t>
      </w:r>
    </w:p>
    <w:p w:rsidR="00D907AF" w:rsidRPr="00FF1E1D" w:rsidRDefault="00D907AF" w:rsidP="00D907AF">
      <w:pPr>
        <w:ind w:left="720"/>
        <w:rPr>
          <w:rFonts w:cstheme="minorHAnsi"/>
          <w:i/>
          <w:szCs w:val="18"/>
        </w:rPr>
      </w:pPr>
    </w:p>
    <w:p w:rsidR="00D907AF" w:rsidRPr="00FF1E1D" w:rsidRDefault="00D907AF" w:rsidP="00EA4425">
      <w:pPr>
        <w:spacing w:after="240"/>
        <w:rPr>
          <w:rFonts w:cstheme="minorHAnsi"/>
          <w:szCs w:val="18"/>
        </w:rPr>
      </w:pPr>
      <w:r w:rsidRPr="00FF1E1D">
        <w:rPr>
          <w:rFonts w:cstheme="minorHAnsi"/>
          <w:szCs w:val="18"/>
        </w:rPr>
        <w:t>Providers expected the NDIS to improve access to services, reduce waiting lists, increase the range and volume of services, offer access to services catering to individual needs</w:t>
      </w:r>
      <w:r>
        <w:rPr>
          <w:rFonts w:cstheme="minorHAnsi"/>
          <w:szCs w:val="18"/>
        </w:rPr>
        <w:t>, offer more choice</w:t>
      </w:r>
      <w:r w:rsidRPr="00FF1E1D">
        <w:rPr>
          <w:rFonts w:cstheme="minorHAnsi"/>
          <w:szCs w:val="18"/>
        </w:rPr>
        <w:t xml:space="preserve"> and reduce costs borne by people with disability. </w:t>
      </w:r>
    </w:p>
    <w:p w:rsidR="00D907AF" w:rsidRPr="00FF1E1D" w:rsidRDefault="00D907AF" w:rsidP="00EA4425">
      <w:pPr>
        <w:spacing w:after="240"/>
        <w:rPr>
          <w:rFonts w:cstheme="minorHAnsi"/>
          <w:szCs w:val="18"/>
        </w:rPr>
      </w:pPr>
      <w:r w:rsidRPr="00FF1E1D">
        <w:rPr>
          <w:rFonts w:cstheme="minorHAnsi"/>
          <w:szCs w:val="18"/>
        </w:rPr>
        <w:t>Disability service providers, particularly larger providers, also had clear expectations about how the NDIS would impact on their organisation and the disability sector more broadly</w:t>
      </w:r>
      <w:r>
        <w:rPr>
          <w:rFonts w:cstheme="minorHAnsi"/>
          <w:szCs w:val="18"/>
        </w:rPr>
        <w:t>:</w:t>
      </w:r>
    </w:p>
    <w:p w:rsidR="00D907AF" w:rsidRPr="00FA614D" w:rsidRDefault="00D907AF" w:rsidP="00D907AF">
      <w:pPr>
        <w:ind w:left="720"/>
        <w:rPr>
          <w:rFonts w:cstheme="minorHAnsi"/>
          <w:szCs w:val="18"/>
        </w:rPr>
      </w:pPr>
      <w:r w:rsidRPr="00B61A7D">
        <w:rPr>
          <w:rFonts w:cstheme="minorHAnsi"/>
          <w:szCs w:val="18"/>
        </w:rPr>
        <w:t xml:space="preserve">‘It was going to impact on everything that we do. So, you know, in terms of IT, in terms of finances, in terms of the workforce, in terms of governance.’ (A01S) </w:t>
      </w:r>
    </w:p>
    <w:p w:rsidR="00D907AF" w:rsidRPr="00FF1E1D" w:rsidRDefault="00D907AF" w:rsidP="00D907AF">
      <w:pPr>
        <w:rPr>
          <w:rFonts w:cstheme="minorHAnsi"/>
          <w:szCs w:val="18"/>
        </w:rPr>
      </w:pPr>
    </w:p>
    <w:p w:rsidR="00D907AF" w:rsidRDefault="00D907AF" w:rsidP="00D907AF">
      <w:r w:rsidRPr="00FF1E1D">
        <w:t>Disability service providers</w:t>
      </w:r>
      <w:r>
        <w:t xml:space="preserve"> expected the</w:t>
      </w:r>
      <w:r w:rsidRPr="00FF1E1D">
        <w:t xml:space="preserve"> NDIS </w:t>
      </w:r>
      <w:r>
        <w:t>to</w:t>
      </w:r>
      <w:r w:rsidRPr="00FF1E1D">
        <w:t xml:space="preserve"> impact on their organisation and the disability sector more broadly</w:t>
      </w:r>
      <w:r>
        <w:t xml:space="preserve"> with a shift to more individualised service provision. Providers believed the NDIS would provide opportunities for disability providers to review and improve service delivery, to have greater freedom around service delivery including increased flexibility around the types of services they provided,</w:t>
      </w:r>
      <w:r w:rsidRPr="00FF1E1D">
        <w:t xml:space="preserve"> the frequency with which services were offered</w:t>
      </w:r>
      <w:r>
        <w:t xml:space="preserve"> </w:t>
      </w:r>
      <w:r w:rsidRPr="00AF6E92">
        <w:t>as well as inspiring them to be innovative in the way they provide</w:t>
      </w:r>
      <w:r>
        <w:t>d</w:t>
      </w:r>
      <w:r w:rsidRPr="00AF6E92">
        <w:t xml:space="preserve"> services. They also expected the NDIS to make provider organisations working in the disability sector more accountable</w:t>
      </w:r>
      <w:r>
        <w:t>,</w:t>
      </w:r>
      <w:r w:rsidRPr="00AF6E92">
        <w:t xml:space="preserve"> which would ensure the best quality and value for money services. </w:t>
      </w:r>
    </w:p>
    <w:p w:rsidR="00D907AF" w:rsidRPr="00AC3CBF" w:rsidRDefault="00D907AF" w:rsidP="00EC2C19">
      <w:pPr>
        <w:pStyle w:val="Heading40"/>
      </w:pPr>
      <w:bookmarkStart w:id="71" w:name="_Toc428271222"/>
      <w:bookmarkStart w:id="72" w:name="_Toc449954962"/>
      <w:r>
        <w:t xml:space="preserve">2.3.3.2 </w:t>
      </w:r>
      <w:r w:rsidRPr="00AC3CBF">
        <w:t>Initial impact of the NDIS on the disability sector</w:t>
      </w:r>
      <w:bookmarkEnd w:id="71"/>
      <w:bookmarkEnd w:id="72"/>
    </w:p>
    <w:p w:rsidR="00D907AF" w:rsidRPr="004F3B08" w:rsidRDefault="00D907AF" w:rsidP="00D907AF">
      <w:pPr>
        <w:rPr>
          <w:rFonts w:cstheme="minorHAnsi"/>
          <w:szCs w:val="18"/>
        </w:rPr>
      </w:pPr>
      <w:r w:rsidRPr="004F3B08">
        <w:rPr>
          <w:rFonts w:cstheme="minorHAnsi"/>
          <w:szCs w:val="18"/>
        </w:rPr>
        <w:t xml:space="preserve">Disability service providers reported a number of impacts </w:t>
      </w:r>
      <w:r>
        <w:rPr>
          <w:rFonts w:cstheme="minorHAnsi"/>
          <w:szCs w:val="18"/>
        </w:rPr>
        <w:t xml:space="preserve">from </w:t>
      </w:r>
      <w:r w:rsidRPr="004F3B08">
        <w:rPr>
          <w:rFonts w:cstheme="minorHAnsi"/>
          <w:szCs w:val="18"/>
        </w:rPr>
        <w:t xml:space="preserve">the NDIS trial on the disability sector. These included reports of </w:t>
      </w:r>
      <w:r>
        <w:rPr>
          <w:rFonts w:cstheme="minorHAnsi"/>
          <w:szCs w:val="18"/>
        </w:rPr>
        <w:t xml:space="preserve">some limited change in the provider market to date, </w:t>
      </w:r>
      <w:r w:rsidRPr="004F3B08">
        <w:rPr>
          <w:rFonts w:cstheme="minorHAnsi"/>
          <w:szCs w:val="18"/>
        </w:rPr>
        <w:t xml:space="preserve">changing relationships between </w:t>
      </w:r>
      <w:r w:rsidRPr="00637D25">
        <w:rPr>
          <w:rFonts w:cstheme="minorHAnsi"/>
          <w:szCs w:val="18"/>
        </w:rPr>
        <w:t>existing providers, substantial concerns about the financial viability and sustainability of the sector under the new funding system</w:t>
      </w:r>
      <w:r>
        <w:rPr>
          <w:rFonts w:cstheme="minorHAnsi"/>
          <w:szCs w:val="18"/>
        </w:rPr>
        <w:t xml:space="preserve"> and potential service gaps for people with disability</w:t>
      </w:r>
      <w:r w:rsidRPr="00637D25">
        <w:rPr>
          <w:rFonts w:cstheme="minorHAnsi"/>
          <w:szCs w:val="18"/>
        </w:rPr>
        <w:t>.</w:t>
      </w:r>
      <w:r>
        <w:rPr>
          <w:rFonts w:cstheme="minorHAnsi"/>
          <w:szCs w:val="18"/>
        </w:rPr>
        <w:t xml:space="preserve"> </w:t>
      </w:r>
    </w:p>
    <w:p w:rsidR="00D907AF" w:rsidRPr="001D114B" w:rsidRDefault="00D907AF" w:rsidP="00D907AF">
      <w:pPr>
        <w:rPr>
          <w:rFonts w:cstheme="minorHAnsi"/>
          <w:color w:val="00B050"/>
          <w:szCs w:val="18"/>
        </w:rPr>
      </w:pPr>
    </w:p>
    <w:p w:rsidR="00D907AF" w:rsidRDefault="00D907AF" w:rsidP="00D907AF">
      <w:pPr>
        <w:rPr>
          <w:rFonts w:cstheme="minorHAnsi"/>
          <w:szCs w:val="18"/>
        </w:rPr>
      </w:pPr>
      <w:r w:rsidRPr="004F3B08">
        <w:rPr>
          <w:rFonts w:cstheme="minorHAnsi"/>
          <w:szCs w:val="18"/>
        </w:rPr>
        <w:t>While</w:t>
      </w:r>
      <w:r>
        <w:rPr>
          <w:rFonts w:cstheme="minorHAnsi"/>
          <w:szCs w:val="18"/>
        </w:rPr>
        <w:t xml:space="preserve"> an</w:t>
      </w:r>
      <w:r w:rsidRPr="004F3B08">
        <w:rPr>
          <w:rFonts w:cstheme="minorHAnsi"/>
          <w:szCs w:val="18"/>
        </w:rPr>
        <w:t xml:space="preserve"> anticipated influx of new providers to the sector had not eventuated, disability service providers did indicate that providers new to the local market were registering with the NDIA, although few were actively providing services in the trial sites. </w:t>
      </w:r>
      <w:r>
        <w:rPr>
          <w:rFonts w:cstheme="minorHAnsi"/>
          <w:szCs w:val="18"/>
        </w:rPr>
        <w:t xml:space="preserve">Respondents attributed this to new providers playing a ‘wait and see’ game. </w:t>
      </w:r>
    </w:p>
    <w:p w:rsidR="00D907AF" w:rsidRDefault="00D907AF" w:rsidP="00D907AF">
      <w:pPr>
        <w:rPr>
          <w:rFonts w:cstheme="minorHAnsi"/>
          <w:szCs w:val="18"/>
        </w:rPr>
      </w:pPr>
    </w:p>
    <w:p w:rsidR="00D907AF" w:rsidRPr="00B61A7D" w:rsidRDefault="00D907AF" w:rsidP="00D907AF">
      <w:pPr>
        <w:ind w:left="720"/>
        <w:rPr>
          <w:rFonts w:cstheme="minorHAnsi"/>
          <w:szCs w:val="18"/>
        </w:rPr>
      </w:pPr>
      <w:r w:rsidRPr="00B61A7D">
        <w:rPr>
          <w:rFonts w:cstheme="minorHAnsi"/>
          <w:szCs w:val="18"/>
        </w:rPr>
        <w:t xml:space="preserve">‘My suspicion is they’ll sit back and let us go through the transition period and the changes …Iron out the problems and then once the dust settles, they may very well offer services.’ (C04S) </w:t>
      </w:r>
    </w:p>
    <w:p w:rsidR="00D907AF" w:rsidRPr="00CF20BA" w:rsidRDefault="00D907AF" w:rsidP="00D907AF">
      <w:pPr>
        <w:ind w:left="720"/>
        <w:rPr>
          <w:rFonts w:cstheme="minorHAnsi"/>
          <w:i/>
          <w:szCs w:val="18"/>
        </w:rPr>
      </w:pPr>
    </w:p>
    <w:p w:rsidR="00D907AF" w:rsidRDefault="00D907AF" w:rsidP="00D907AF">
      <w:pPr>
        <w:rPr>
          <w:rFonts w:cstheme="minorHAnsi"/>
          <w:szCs w:val="18"/>
        </w:rPr>
      </w:pPr>
      <w:r>
        <w:rPr>
          <w:rFonts w:cstheme="minorHAnsi"/>
          <w:szCs w:val="18"/>
        </w:rPr>
        <w:t>E</w:t>
      </w:r>
      <w:r w:rsidRPr="00CF20BA">
        <w:rPr>
          <w:rFonts w:cstheme="minorHAnsi"/>
          <w:szCs w:val="18"/>
        </w:rPr>
        <w:t xml:space="preserve">xisting providers, particularly large </w:t>
      </w:r>
      <w:r>
        <w:rPr>
          <w:rFonts w:cstheme="minorHAnsi"/>
          <w:szCs w:val="18"/>
        </w:rPr>
        <w:t>ones</w:t>
      </w:r>
      <w:r w:rsidRPr="00CF20BA">
        <w:rPr>
          <w:rFonts w:cstheme="minorHAnsi"/>
          <w:szCs w:val="18"/>
        </w:rPr>
        <w:t xml:space="preserve">, speculated that </w:t>
      </w:r>
      <w:r>
        <w:rPr>
          <w:rFonts w:cstheme="minorHAnsi"/>
          <w:szCs w:val="18"/>
        </w:rPr>
        <w:t>after</w:t>
      </w:r>
      <w:r w:rsidRPr="00CF20BA">
        <w:rPr>
          <w:rFonts w:cstheme="minorHAnsi"/>
          <w:szCs w:val="18"/>
        </w:rPr>
        <w:t xml:space="preserve"> the trial phase for-profit organisations would enter the disability sector</w:t>
      </w:r>
      <w:r>
        <w:rPr>
          <w:rFonts w:cstheme="minorHAnsi"/>
          <w:szCs w:val="18"/>
        </w:rPr>
        <w:t>,</w:t>
      </w:r>
      <w:r w:rsidRPr="00CF20BA">
        <w:rPr>
          <w:rFonts w:cstheme="minorHAnsi"/>
          <w:szCs w:val="18"/>
        </w:rPr>
        <w:t xml:space="preserve"> target the profitable supports </w:t>
      </w:r>
      <w:r>
        <w:rPr>
          <w:rFonts w:cstheme="minorHAnsi"/>
          <w:szCs w:val="18"/>
        </w:rPr>
        <w:t>or</w:t>
      </w:r>
      <w:r w:rsidRPr="00CF20BA">
        <w:rPr>
          <w:rFonts w:cstheme="minorHAnsi"/>
          <w:szCs w:val="18"/>
        </w:rPr>
        <w:t xml:space="preserve"> “</w:t>
      </w:r>
      <w:r w:rsidRPr="00B61A7D">
        <w:rPr>
          <w:rFonts w:cstheme="minorHAnsi"/>
          <w:szCs w:val="18"/>
        </w:rPr>
        <w:t>pick the easy clients</w:t>
      </w:r>
      <w:r w:rsidRPr="00A74DFB">
        <w:rPr>
          <w:rFonts w:cstheme="minorHAnsi"/>
          <w:szCs w:val="18"/>
        </w:rPr>
        <w:t>”</w:t>
      </w:r>
      <w:r w:rsidRPr="00CF20BA">
        <w:rPr>
          <w:rFonts w:cstheme="minorHAnsi"/>
          <w:szCs w:val="18"/>
        </w:rPr>
        <w:t xml:space="preserve"> (C01S)</w:t>
      </w:r>
      <w:r>
        <w:rPr>
          <w:rFonts w:cstheme="minorHAnsi"/>
          <w:szCs w:val="18"/>
        </w:rPr>
        <w:t>. This</w:t>
      </w:r>
      <w:r w:rsidRPr="00CF20BA">
        <w:rPr>
          <w:rFonts w:cstheme="minorHAnsi"/>
          <w:szCs w:val="18"/>
        </w:rPr>
        <w:t xml:space="preserve"> would </w:t>
      </w:r>
      <w:r>
        <w:rPr>
          <w:rFonts w:cstheme="minorHAnsi"/>
          <w:szCs w:val="18"/>
        </w:rPr>
        <w:t xml:space="preserve">leave </w:t>
      </w:r>
      <w:r w:rsidRPr="00CF20BA">
        <w:rPr>
          <w:rFonts w:cstheme="minorHAnsi"/>
          <w:szCs w:val="18"/>
        </w:rPr>
        <w:t>existing disability service providers to manage the more difficult and challenging clients.</w:t>
      </w:r>
    </w:p>
    <w:p w:rsidR="00D907AF" w:rsidRDefault="00D907AF" w:rsidP="00D907AF">
      <w:pPr>
        <w:rPr>
          <w:rFonts w:cstheme="minorHAnsi"/>
          <w:szCs w:val="18"/>
        </w:rPr>
      </w:pPr>
    </w:p>
    <w:p w:rsidR="00D907AF" w:rsidRDefault="00D907AF" w:rsidP="00D907AF">
      <w:pPr>
        <w:rPr>
          <w:rFonts w:cstheme="minorHAnsi"/>
          <w:szCs w:val="18"/>
        </w:rPr>
      </w:pPr>
      <w:r w:rsidRPr="00CF20BA">
        <w:rPr>
          <w:rFonts w:cstheme="minorHAnsi"/>
          <w:szCs w:val="18"/>
        </w:rPr>
        <w:lastRenderedPageBreak/>
        <w:t>Disability service providers also suggested that the NDIA pricing for services was acting as a barrier to new providers:</w:t>
      </w:r>
    </w:p>
    <w:p w:rsidR="00D907AF" w:rsidRPr="00CF20BA" w:rsidRDefault="00D907AF" w:rsidP="00D907AF">
      <w:pPr>
        <w:rPr>
          <w:rFonts w:cstheme="minorHAnsi"/>
          <w:szCs w:val="18"/>
        </w:rPr>
      </w:pPr>
    </w:p>
    <w:p w:rsidR="00D907AF" w:rsidRPr="00B61A7D" w:rsidRDefault="00D907AF" w:rsidP="00D907AF">
      <w:pPr>
        <w:ind w:left="720"/>
        <w:rPr>
          <w:rFonts w:cstheme="minorHAnsi"/>
          <w:szCs w:val="18"/>
        </w:rPr>
      </w:pPr>
      <w:r w:rsidRPr="00B61A7D">
        <w:rPr>
          <w:rFonts w:cstheme="minorHAnsi"/>
          <w:szCs w:val="18"/>
        </w:rPr>
        <w:t xml:space="preserve">‘Well, I suppose we were told there would be national players and international players...But there's probably not as many providers as I thought there would be and I think that's constrained by the pricing.’ (B02S) </w:t>
      </w:r>
    </w:p>
    <w:p w:rsidR="00D907AF" w:rsidRPr="00CF20BA" w:rsidRDefault="00D907AF" w:rsidP="00D907AF">
      <w:pPr>
        <w:ind w:left="720"/>
        <w:rPr>
          <w:rFonts w:cstheme="minorHAnsi"/>
          <w:i/>
          <w:szCs w:val="18"/>
        </w:rPr>
      </w:pPr>
    </w:p>
    <w:p w:rsidR="00D907AF" w:rsidRPr="00CF20BA" w:rsidRDefault="00D907AF" w:rsidP="003F1508">
      <w:pPr>
        <w:spacing w:after="240"/>
        <w:rPr>
          <w:rFonts w:cstheme="minorHAnsi"/>
          <w:szCs w:val="18"/>
        </w:rPr>
      </w:pPr>
      <w:r>
        <w:rPr>
          <w:rFonts w:cstheme="minorHAnsi"/>
          <w:szCs w:val="18"/>
        </w:rPr>
        <w:t>There were also concerns a</w:t>
      </w:r>
      <w:r w:rsidRPr="00CF20BA">
        <w:rPr>
          <w:rFonts w:cstheme="minorHAnsi"/>
          <w:szCs w:val="18"/>
        </w:rPr>
        <w:t xml:space="preserve">bout the impact on service quality if </w:t>
      </w:r>
      <w:r>
        <w:rPr>
          <w:rFonts w:cstheme="minorHAnsi"/>
          <w:szCs w:val="18"/>
        </w:rPr>
        <w:t>(more) for-profit organisations were to enter the sector:</w:t>
      </w:r>
    </w:p>
    <w:p w:rsidR="00D907AF" w:rsidRPr="00FA614D" w:rsidRDefault="00D907AF" w:rsidP="00D907AF">
      <w:pPr>
        <w:ind w:left="720"/>
        <w:rPr>
          <w:rFonts w:cstheme="minorHAnsi"/>
          <w:szCs w:val="18"/>
        </w:rPr>
      </w:pPr>
      <w:r w:rsidRPr="00B61A7D">
        <w:rPr>
          <w:rFonts w:cstheme="minorHAnsi"/>
          <w:szCs w:val="18"/>
        </w:rPr>
        <w:t>‘NDIA may think that the health providers will come in but they actually have to make a profit too and so, you know, that may, well it may or may not work but if it did it would be very low cost, low quality, services and that’s a concern.’ (B01S)</w:t>
      </w:r>
    </w:p>
    <w:p w:rsidR="00D907AF" w:rsidRDefault="00D907AF" w:rsidP="00D907AF">
      <w:pPr>
        <w:rPr>
          <w:rFonts w:cstheme="minorHAnsi"/>
          <w:szCs w:val="18"/>
        </w:rPr>
      </w:pPr>
    </w:p>
    <w:p w:rsidR="00D907AF" w:rsidRPr="00CF20BA" w:rsidRDefault="00D907AF" w:rsidP="00D907AF">
      <w:pPr>
        <w:rPr>
          <w:rFonts w:cstheme="minorHAnsi"/>
          <w:szCs w:val="18"/>
        </w:rPr>
      </w:pPr>
      <w:r w:rsidRPr="00CF20BA">
        <w:rPr>
          <w:rFonts w:cstheme="minorHAnsi"/>
          <w:szCs w:val="18"/>
        </w:rPr>
        <w:t>Wh</w:t>
      </w:r>
      <w:r>
        <w:rPr>
          <w:rFonts w:cstheme="minorHAnsi"/>
          <w:szCs w:val="18"/>
        </w:rPr>
        <w:t>ile</w:t>
      </w:r>
      <w:r w:rsidRPr="00CF20BA">
        <w:rPr>
          <w:rFonts w:cstheme="minorHAnsi"/>
          <w:szCs w:val="18"/>
        </w:rPr>
        <w:t xml:space="preserve"> there was little evidence of new disability service provider organisations entering local provider markets, disability service providers report</w:t>
      </w:r>
      <w:r>
        <w:rPr>
          <w:rFonts w:cstheme="minorHAnsi"/>
          <w:szCs w:val="18"/>
        </w:rPr>
        <w:t>ed</w:t>
      </w:r>
      <w:r w:rsidRPr="00CF20BA">
        <w:rPr>
          <w:rFonts w:cstheme="minorHAnsi"/>
          <w:szCs w:val="18"/>
        </w:rPr>
        <w:t xml:space="preserve"> an increase in allied health professionals establishing their own private practices. This was attributed to both the expectation that the NDIS would create increased demand for services and the reduction in public sector service provision that resulted from the restructuring of disability services in some trial sites due to the implementation of the NDIS. </w:t>
      </w:r>
    </w:p>
    <w:p w:rsidR="00D907AF" w:rsidRPr="00CF20BA" w:rsidRDefault="00D907AF" w:rsidP="00D907AF">
      <w:pPr>
        <w:rPr>
          <w:rFonts w:cstheme="minorHAnsi"/>
          <w:szCs w:val="18"/>
        </w:rPr>
      </w:pPr>
    </w:p>
    <w:p w:rsidR="00D907AF" w:rsidRPr="009815C1" w:rsidRDefault="00D907AF" w:rsidP="00D907AF">
      <w:pPr>
        <w:rPr>
          <w:rFonts w:cstheme="minorHAnsi"/>
          <w:szCs w:val="18"/>
        </w:rPr>
      </w:pPr>
      <w:r w:rsidRPr="009815C1">
        <w:rPr>
          <w:rFonts w:cstheme="minorHAnsi"/>
          <w:szCs w:val="18"/>
        </w:rPr>
        <w:t>Disability service providers suggested that the move to a competitive market had resulted in changes to the relationship between existing providers, with organisations now being guarded in their interaction with other, competing providers operating in the disability sector</w:t>
      </w:r>
      <w:r>
        <w:rPr>
          <w:rFonts w:cstheme="minorHAnsi"/>
          <w:szCs w:val="18"/>
        </w:rPr>
        <w:t xml:space="preserve">. </w:t>
      </w:r>
      <w:r w:rsidRPr="009815C1">
        <w:rPr>
          <w:rFonts w:cstheme="minorHAnsi"/>
          <w:szCs w:val="18"/>
        </w:rPr>
        <w:t xml:space="preserve">This said, as the trial progressed, there was also evidence of some disability service providers increasing collaborations in efforts to “share learnings” and experiences </w:t>
      </w:r>
      <w:r w:rsidR="00C77351">
        <w:rPr>
          <w:rFonts w:cstheme="minorHAnsi"/>
          <w:szCs w:val="18"/>
        </w:rPr>
        <w:t>about operating under the NDIS.</w:t>
      </w:r>
    </w:p>
    <w:p w:rsidR="00D907AF" w:rsidRPr="00C77351" w:rsidRDefault="00D907AF" w:rsidP="00D907AF">
      <w:pPr>
        <w:rPr>
          <w:rFonts w:cstheme="minorHAnsi"/>
          <w:szCs w:val="18"/>
        </w:rPr>
      </w:pPr>
    </w:p>
    <w:p w:rsidR="00D907AF" w:rsidRPr="00637D25" w:rsidRDefault="00D907AF" w:rsidP="00D907AF">
      <w:pPr>
        <w:rPr>
          <w:rFonts w:cstheme="minorHAnsi"/>
          <w:szCs w:val="18"/>
        </w:rPr>
      </w:pPr>
      <w:r w:rsidRPr="00CF20BA">
        <w:rPr>
          <w:rFonts w:cstheme="minorHAnsi"/>
          <w:szCs w:val="18"/>
        </w:rPr>
        <w:t>Notably, there were no reports of disability service providers exiting the market in the trial sites</w:t>
      </w:r>
      <w:r>
        <w:rPr>
          <w:rFonts w:cstheme="minorHAnsi"/>
          <w:szCs w:val="18"/>
        </w:rPr>
        <w:t xml:space="preserve">. However, concerns were raised about </w:t>
      </w:r>
      <w:r w:rsidRPr="004F3B08">
        <w:rPr>
          <w:rFonts w:cstheme="minorHAnsi"/>
          <w:szCs w:val="18"/>
        </w:rPr>
        <w:t>the fin</w:t>
      </w:r>
      <w:r>
        <w:rPr>
          <w:rFonts w:cstheme="minorHAnsi"/>
          <w:szCs w:val="18"/>
        </w:rPr>
        <w:t xml:space="preserve">ancial viability of the sector although it was too early for most providers to ascertain the full financial impact of the NDIS on their own organisation. </w:t>
      </w:r>
      <w:r w:rsidRPr="00637D25">
        <w:rPr>
          <w:rFonts w:cstheme="minorHAnsi"/>
          <w:szCs w:val="18"/>
        </w:rPr>
        <w:t>For a number of providers this was because the funding sources that they relied on prior to the NDIS trial continued to be in place. Most disability service providers however, were concerned about the impact in the future:</w:t>
      </w:r>
    </w:p>
    <w:p w:rsidR="00D907AF" w:rsidRPr="00637D25" w:rsidRDefault="00D907AF" w:rsidP="00D907AF">
      <w:pPr>
        <w:ind w:left="720" w:right="851"/>
        <w:rPr>
          <w:rFonts w:cstheme="minorHAnsi"/>
          <w:i/>
          <w:szCs w:val="18"/>
        </w:rPr>
      </w:pPr>
    </w:p>
    <w:p w:rsidR="00D907AF" w:rsidRPr="00B61A7D" w:rsidRDefault="00D907AF" w:rsidP="00D907AF">
      <w:pPr>
        <w:ind w:left="720" w:right="851"/>
        <w:rPr>
          <w:rFonts w:cstheme="minorHAnsi"/>
          <w:szCs w:val="18"/>
        </w:rPr>
      </w:pPr>
      <w:r w:rsidRPr="00B61A7D">
        <w:rPr>
          <w:rFonts w:cstheme="minorHAnsi"/>
          <w:szCs w:val="18"/>
        </w:rPr>
        <w:t>‘…we don’t sort of see how we survive into the future because the money that comes in through us supporting people with NDIS funding does not cover all of our operational costs and replacement costs.’ (D02S)</w:t>
      </w:r>
    </w:p>
    <w:p w:rsidR="00D907AF" w:rsidRDefault="00D907AF" w:rsidP="00D907AF">
      <w:pPr>
        <w:rPr>
          <w:rFonts w:cstheme="minorHAnsi"/>
          <w:szCs w:val="18"/>
        </w:rPr>
      </w:pPr>
    </w:p>
    <w:p w:rsidR="00D907AF" w:rsidRDefault="00D907AF" w:rsidP="00D907AF">
      <w:pPr>
        <w:rPr>
          <w:rFonts w:cstheme="minorHAnsi"/>
          <w:szCs w:val="18"/>
        </w:rPr>
      </w:pPr>
      <w:r w:rsidRPr="00EA1D52">
        <w:rPr>
          <w:rFonts w:cstheme="minorHAnsi"/>
          <w:szCs w:val="18"/>
        </w:rPr>
        <w:t xml:space="preserve">Provider concerns about financial viability and sustainability </w:t>
      </w:r>
      <w:r>
        <w:rPr>
          <w:rFonts w:cstheme="minorHAnsi"/>
          <w:szCs w:val="18"/>
        </w:rPr>
        <w:t xml:space="preserve">were directed at the payment-in-arrears system and in particular, </w:t>
      </w:r>
      <w:r w:rsidRPr="00EA1D52">
        <w:rPr>
          <w:rFonts w:cstheme="minorHAnsi"/>
          <w:szCs w:val="18"/>
        </w:rPr>
        <w:t>reports of substantial amounts of unfunded work that was being undertaken as a result of the NDIS.</w:t>
      </w:r>
      <w:r>
        <w:rPr>
          <w:rFonts w:cstheme="minorHAnsi"/>
          <w:b/>
          <w:szCs w:val="18"/>
        </w:rPr>
        <w:t xml:space="preserve"> </w:t>
      </w:r>
      <w:r w:rsidRPr="00E45A5A">
        <w:rPr>
          <w:rFonts w:cstheme="minorHAnsi"/>
          <w:szCs w:val="18"/>
        </w:rPr>
        <w:t xml:space="preserve">This </w:t>
      </w:r>
      <w:r>
        <w:rPr>
          <w:rFonts w:cstheme="minorHAnsi"/>
          <w:szCs w:val="18"/>
        </w:rPr>
        <w:t xml:space="preserve">unfunded work </w:t>
      </w:r>
      <w:r w:rsidRPr="00E45A5A">
        <w:rPr>
          <w:rFonts w:cstheme="minorHAnsi"/>
          <w:szCs w:val="18"/>
        </w:rPr>
        <w:t xml:space="preserve">included work </w:t>
      </w:r>
      <w:r>
        <w:rPr>
          <w:rFonts w:cstheme="minorHAnsi"/>
          <w:szCs w:val="18"/>
        </w:rPr>
        <w:t>carried out</w:t>
      </w:r>
      <w:r w:rsidRPr="00E45A5A">
        <w:rPr>
          <w:rFonts w:cstheme="minorHAnsi"/>
          <w:szCs w:val="18"/>
        </w:rPr>
        <w:t xml:space="preserve"> to assist clients with plan development and implementation, support coordination, case management, and providing information for potential new clients. While some of this work simply could not be claimed under the NDIS, other work, such as case management, was </w:t>
      </w:r>
      <w:r>
        <w:rPr>
          <w:rFonts w:cstheme="minorHAnsi"/>
          <w:szCs w:val="18"/>
        </w:rPr>
        <w:t xml:space="preserve">acknowledged to be </w:t>
      </w:r>
      <w:r w:rsidRPr="00E45A5A">
        <w:rPr>
          <w:rFonts w:cstheme="minorHAnsi"/>
          <w:szCs w:val="18"/>
        </w:rPr>
        <w:t>potentially fundable but not always included in plans.</w:t>
      </w:r>
      <w:r>
        <w:rPr>
          <w:rFonts w:cstheme="minorHAnsi"/>
          <w:szCs w:val="18"/>
        </w:rPr>
        <w:t xml:space="preserve"> </w:t>
      </w:r>
    </w:p>
    <w:p w:rsidR="00D907AF" w:rsidRDefault="00D907AF" w:rsidP="00D907AF">
      <w:pPr>
        <w:rPr>
          <w:rFonts w:cstheme="minorHAnsi"/>
          <w:szCs w:val="18"/>
        </w:rPr>
      </w:pPr>
    </w:p>
    <w:p w:rsidR="00D907AF" w:rsidRDefault="00D907AF" w:rsidP="00D907AF">
      <w:pPr>
        <w:rPr>
          <w:rFonts w:cstheme="minorHAnsi"/>
          <w:szCs w:val="18"/>
        </w:rPr>
      </w:pPr>
      <w:r w:rsidRPr="00E45A5A">
        <w:rPr>
          <w:rFonts w:cstheme="minorHAnsi"/>
          <w:szCs w:val="18"/>
        </w:rPr>
        <w:t>Disability service providers viewed much of this unfunded work as important and necessary and</w:t>
      </w:r>
      <w:r>
        <w:rPr>
          <w:rFonts w:cstheme="minorHAnsi"/>
          <w:szCs w:val="18"/>
        </w:rPr>
        <w:t>,</w:t>
      </w:r>
      <w:r w:rsidRPr="00E45A5A">
        <w:rPr>
          <w:rFonts w:cstheme="minorHAnsi"/>
          <w:szCs w:val="18"/>
        </w:rPr>
        <w:t xml:space="preserve"> while block funding was still in place</w:t>
      </w:r>
      <w:r>
        <w:rPr>
          <w:rFonts w:cstheme="minorHAnsi"/>
          <w:szCs w:val="18"/>
        </w:rPr>
        <w:t>,</w:t>
      </w:r>
      <w:r w:rsidRPr="00E45A5A">
        <w:rPr>
          <w:rFonts w:cstheme="minorHAnsi"/>
          <w:szCs w:val="18"/>
        </w:rPr>
        <w:t xml:space="preserve"> attempted to absorb the extra costs. However, they anticipated that their capacity to do so in the future would diminish or cease entirely, creating potential service gaps for people with disability: </w:t>
      </w:r>
    </w:p>
    <w:p w:rsidR="00D907AF" w:rsidRPr="00E45A5A" w:rsidRDefault="00D907AF" w:rsidP="00D907AF">
      <w:pPr>
        <w:rPr>
          <w:rFonts w:cstheme="minorHAnsi"/>
          <w:szCs w:val="18"/>
        </w:rPr>
      </w:pPr>
    </w:p>
    <w:p w:rsidR="00D907AF" w:rsidRPr="00B61A7D" w:rsidRDefault="00D907AF" w:rsidP="00D907AF">
      <w:pPr>
        <w:ind w:left="720"/>
        <w:rPr>
          <w:rFonts w:cstheme="minorHAnsi"/>
          <w:szCs w:val="18"/>
        </w:rPr>
      </w:pPr>
      <w:r w:rsidRPr="00B61A7D">
        <w:rPr>
          <w:rFonts w:cstheme="minorHAnsi"/>
          <w:szCs w:val="18"/>
        </w:rPr>
        <w:lastRenderedPageBreak/>
        <w:t>‘All organisations are doing an awful lot off the side of the desk unfunded. If organisations stopped doing that there would be real problems in the system. But I think the nature of organisations and providers is that we want to make it work and at the moment while you’ve got block funding at least you can do stuff knowing that you’ve got some funds to operate with but if you had to bill in arrears to assist the organisation, I don’t think there’d be anyone assisting them.’ (C01S)</w:t>
      </w:r>
    </w:p>
    <w:p w:rsidR="00D907AF" w:rsidRDefault="00D907AF" w:rsidP="00D907AF">
      <w:pPr>
        <w:rPr>
          <w:rFonts w:cstheme="minorHAnsi"/>
          <w:szCs w:val="18"/>
        </w:rPr>
      </w:pPr>
    </w:p>
    <w:p w:rsidR="00D907AF" w:rsidRDefault="00D907AF" w:rsidP="00D907AF">
      <w:pPr>
        <w:rPr>
          <w:rFonts w:cstheme="minorHAnsi"/>
          <w:szCs w:val="18"/>
        </w:rPr>
      </w:pPr>
      <w:r>
        <w:rPr>
          <w:rFonts w:cstheme="minorHAnsi"/>
          <w:szCs w:val="18"/>
        </w:rPr>
        <w:t xml:space="preserve">Providers also expressed particular concerns about the </w:t>
      </w:r>
      <w:r w:rsidRPr="00751E88">
        <w:rPr>
          <w:rFonts w:cstheme="minorHAnsi"/>
          <w:szCs w:val="18"/>
        </w:rPr>
        <w:t xml:space="preserve">sustainability of small </w:t>
      </w:r>
      <w:r>
        <w:rPr>
          <w:rFonts w:cstheme="minorHAnsi"/>
          <w:szCs w:val="18"/>
        </w:rPr>
        <w:t xml:space="preserve">disability </w:t>
      </w:r>
      <w:r w:rsidRPr="00751E88">
        <w:rPr>
          <w:rFonts w:cstheme="minorHAnsi"/>
          <w:szCs w:val="18"/>
        </w:rPr>
        <w:t xml:space="preserve">providers </w:t>
      </w:r>
      <w:r>
        <w:rPr>
          <w:rFonts w:cstheme="minorHAnsi"/>
          <w:szCs w:val="18"/>
        </w:rPr>
        <w:t xml:space="preserve">under the NDIS. </w:t>
      </w:r>
      <w:r w:rsidRPr="00751E88">
        <w:rPr>
          <w:rFonts w:cstheme="minorHAnsi"/>
          <w:szCs w:val="18"/>
        </w:rPr>
        <w:t>Small providers with fewer financial resources</w:t>
      </w:r>
      <w:r>
        <w:rPr>
          <w:rFonts w:cstheme="minorHAnsi"/>
          <w:szCs w:val="18"/>
        </w:rPr>
        <w:t xml:space="preserve">, smaller staff numbers and less capacity to absorb extra work </w:t>
      </w:r>
      <w:r w:rsidRPr="00751E88">
        <w:rPr>
          <w:rFonts w:cstheme="minorHAnsi"/>
          <w:szCs w:val="18"/>
        </w:rPr>
        <w:t>were thought to face more difficulty managing the work req</w:t>
      </w:r>
      <w:r>
        <w:rPr>
          <w:rFonts w:cstheme="minorHAnsi"/>
          <w:szCs w:val="18"/>
        </w:rPr>
        <w:t>uired to transition to the NDIS:</w:t>
      </w:r>
      <w:r w:rsidRPr="00751E88">
        <w:rPr>
          <w:rFonts w:cstheme="minorHAnsi"/>
          <w:szCs w:val="18"/>
        </w:rPr>
        <w:t xml:space="preserve"> </w:t>
      </w:r>
    </w:p>
    <w:p w:rsidR="00D907AF" w:rsidRPr="00751E88" w:rsidRDefault="00D907AF" w:rsidP="00D907AF">
      <w:pPr>
        <w:rPr>
          <w:rFonts w:cstheme="minorHAnsi"/>
          <w:szCs w:val="18"/>
        </w:rPr>
      </w:pPr>
    </w:p>
    <w:p w:rsidR="00D907AF" w:rsidRPr="00B61A7D" w:rsidRDefault="00D907AF" w:rsidP="00D907AF">
      <w:pPr>
        <w:ind w:left="720"/>
        <w:rPr>
          <w:rFonts w:cstheme="minorHAnsi"/>
          <w:szCs w:val="18"/>
        </w:rPr>
      </w:pPr>
      <w:r w:rsidRPr="00B61A7D">
        <w:rPr>
          <w:rFonts w:cstheme="minorHAnsi"/>
          <w:szCs w:val="18"/>
        </w:rPr>
        <w:t xml:space="preserve">‘I really feel for some of the smaller organisations. In some of the working groups that I’ve been in it just highlights when you listen to some of the very small disability services how they just don’t have the finance resource[s] to be able to even look at what the unit cost might be. And the understanding of the staff in those teams. We’ve been very lucky that we’ve got a fairly robust finance team that can help us with that so if you don’t have that understanding yourself you’re going to have to buy it in.’ (A03S) </w:t>
      </w:r>
    </w:p>
    <w:p w:rsidR="00D907AF" w:rsidRPr="00751E88" w:rsidRDefault="00D907AF" w:rsidP="00D907AF">
      <w:pPr>
        <w:ind w:left="720"/>
        <w:rPr>
          <w:rFonts w:cstheme="minorHAnsi"/>
          <w:i/>
          <w:szCs w:val="18"/>
        </w:rPr>
      </w:pPr>
    </w:p>
    <w:p w:rsidR="00D907AF" w:rsidRPr="004F3B08" w:rsidRDefault="00D907AF" w:rsidP="00D907AF">
      <w:pPr>
        <w:rPr>
          <w:rFonts w:cstheme="minorHAnsi"/>
          <w:szCs w:val="18"/>
        </w:rPr>
      </w:pPr>
      <w:r>
        <w:rPr>
          <w:rFonts w:cstheme="minorHAnsi"/>
          <w:szCs w:val="18"/>
        </w:rPr>
        <w:t xml:space="preserve">After transition to the NDIS small providers were still considered vulnerable as they </w:t>
      </w:r>
      <w:r w:rsidRPr="00751E88">
        <w:rPr>
          <w:rFonts w:cstheme="minorHAnsi"/>
          <w:szCs w:val="18"/>
        </w:rPr>
        <w:t>were less able to cross subsidise</w:t>
      </w:r>
      <w:r>
        <w:rPr>
          <w:rFonts w:cstheme="minorHAnsi"/>
          <w:szCs w:val="18"/>
        </w:rPr>
        <w:t xml:space="preserve"> and </w:t>
      </w:r>
      <w:r w:rsidRPr="00751E88">
        <w:rPr>
          <w:rFonts w:cstheme="minorHAnsi"/>
          <w:szCs w:val="18"/>
        </w:rPr>
        <w:t>more likely to experience cash flow problems</w:t>
      </w:r>
      <w:r>
        <w:rPr>
          <w:rFonts w:cstheme="minorHAnsi"/>
          <w:szCs w:val="18"/>
        </w:rPr>
        <w:t xml:space="preserve">. </w:t>
      </w:r>
      <w:r w:rsidRPr="00751E88">
        <w:rPr>
          <w:rFonts w:cstheme="minorHAnsi"/>
          <w:szCs w:val="18"/>
        </w:rPr>
        <w:t xml:space="preserve">Some questioned whether small providers could remain sustainable, if they had a place in the future </w:t>
      </w:r>
      <w:r>
        <w:rPr>
          <w:rFonts w:cstheme="minorHAnsi"/>
          <w:szCs w:val="18"/>
        </w:rPr>
        <w:t xml:space="preserve">under the NDIS </w:t>
      </w:r>
      <w:r w:rsidRPr="00751E88">
        <w:rPr>
          <w:rFonts w:cstheme="minorHAnsi"/>
          <w:szCs w:val="18"/>
        </w:rPr>
        <w:t>and if not, what that meant for the services being offered and choice available for people with disability</w:t>
      </w:r>
      <w:r>
        <w:rPr>
          <w:rFonts w:cstheme="minorHAnsi"/>
          <w:szCs w:val="18"/>
        </w:rPr>
        <w:t>.</w:t>
      </w:r>
    </w:p>
    <w:p w:rsidR="00D907AF" w:rsidRDefault="00D907AF" w:rsidP="00D907AF">
      <w:pPr>
        <w:rPr>
          <w:rFonts w:cstheme="minorHAnsi"/>
          <w:color w:val="00B050"/>
          <w:szCs w:val="18"/>
        </w:rPr>
      </w:pPr>
    </w:p>
    <w:p w:rsidR="00D907AF" w:rsidRDefault="00D907AF" w:rsidP="00D907AF">
      <w:pPr>
        <w:rPr>
          <w:rFonts w:cstheme="minorHAnsi"/>
          <w:szCs w:val="18"/>
        </w:rPr>
      </w:pPr>
      <w:r w:rsidRPr="00EF18E9">
        <w:rPr>
          <w:rFonts w:cstheme="minorHAnsi"/>
          <w:szCs w:val="18"/>
        </w:rPr>
        <w:t xml:space="preserve">Disability service providers </w:t>
      </w:r>
      <w:r>
        <w:rPr>
          <w:rFonts w:cstheme="minorHAnsi"/>
          <w:szCs w:val="18"/>
        </w:rPr>
        <w:t xml:space="preserve">also </w:t>
      </w:r>
      <w:r w:rsidRPr="00EF18E9">
        <w:rPr>
          <w:rFonts w:cstheme="minorHAnsi"/>
          <w:szCs w:val="18"/>
        </w:rPr>
        <w:t xml:space="preserve">expressed concern about the interface between disability and mainstream services. </w:t>
      </w:r>
      <w:r>
        <w:rPr>
          <w:rFonts w:cstheme="minorHAnsi"/>
          <w:szCs w:val="18"/>
        </w:rPr>
        <w:t xml:space="preserve">In their view, </w:t>
      </w:r>
      <w:r w:rsidRPr="00EF18E9">
        <w:rPr>
          <w:rFonts w:cstheme="minorHAnsi"/>
          <w:szCs w:val="18"/>
        </w:rPr>
        <w:t>“</w:t>
      </w:r>
      <w:r>
        <w:rPr>
          <w:rFonts w:cstheme="minorHAnsi"/>
          <w:szCs w:val="18"/>
        </w:rPr>
        <w:t>b</w:t>
      </w:r>
      <w:r w:rsidRPr="00EF18E9">
        <w:rPr>
          <w:rFonts w:cstheme="minorHAnsi"/>
          <w:szCs w:val="18"/>
        </w:rPr>
        <w:t xml:space="preserve">lurred lines” about who was responsible for funding particular services was creating </w:t>
      </w:r>
      <w:r>
        <w:rPr>
          <w:rFonts w:cstheme="minorHAnsi"/>
          <w:szCs w:val="18"/>
        </w:rPr>
        <w:t xml:space="preserve">the </w:t>
      </w:r>
      <w:r w:rsidRPr="00EF18E9">
        <w:rPr>
          <w:rFonts w:cstheme="minorHAnsi"/>
          <w:szCs w:val="18"/>
        </w:rPr>
        <w:t xml:space="preserve">potential </w:t>
      </w:r>
      <w:r>
        <w:rPr>
          <w:rFonts w:cstheme="minorHAnsi"/>
          <w:szCs w:val="18"/>
        </w:rPr>
        <w:t xml:space="preserve">for </w:t>
      </w:r>
      <w:r w:rsidRPr="00EF18E9">
        <w:rPr>
          <w:rFonts w:cstheme="minorHAnsi"/>
          <w:szCs w:val="18"/>
        </w:rPr>
        <w:t>service gaps for people with disability:</w:t>
      </w:r>
    </w:p>
    <w:p w:rsidR="00D907AF" w:rsidRPr="00EF18E9" w:rsidRDefault="00D907AF" w:rsidP="00D907AF">
      <w:pPr>
        <w:rPr>
          <w:rFonts w:cstheme="minorHAnsi"/>
          <w:szCs w:val="18"/>
        </w:rPr>
      </w:pPr>
      <w:r w:rsidRPr="00EF18E9">
        <w:rPr>
          <w:rFonts w:cstheme="minorHAnsi"/>
          <w:szCs w:val="18"/>
        </w:rPr>
        <w:tab/>
      </w:r>
    </w:p>
    <w:p w:rsidR="00D907AF" w:rsidRPr="00B61A7D" w:rsidRDefault="00D907AF" w:rsidP="00D907AF">
      <w:pPr>
        <w:ind w:left="720" w:right="851"/>
        <w:rPr>
          <w:rFonts w:cstheme="minorHAnsi"/>
          <w:szCs w:val="18"/>
        </w:rPr>
      </w:pPr>
      <w:r w:rsidRPr="00B61A7D">
        <w:rPr>
          <w:rFonts w:cstheme="minorHAnsi"/>
          <w:szCs w:val="18"/>
        </w:rPr>
        <w:t>‘Are people going to fall between the cracks of the different service systems…who's responsible and the argy-bargy of, "No. We're not responsible. You're responsible." Some of those things are being played out. So I think there's danger that vulnerable people may not get a service at all.’ (B02S)</w:t>
      </w:r>
    </w:p>
    <w:p w:rsidR="00D907AF" w:rsidRDefault="00D907AF" w:rsidP="00D907AF">
      <w:pPr>
        <w:ind w:right="851"/>
        <w:rPr>
          <w:rFonts w:cstheme="minorHAnsi"/>
          <w:i/>
          <w:szCs w:val="18"/>
        </w:rPr>
      </w:pPr>
    </w:p>
    <w:p w:rsidR="00D907AF" w:rsidRDefault="00D907AF" w:rsidP="00D907AF">
      <w:pPr>
        <w:ind w:right="851"/>
        <w:rPr>
          <w:rFonts w:cstheme="minorHAnsi"/>
          <w:szCs w:val="18"/>
        </w:rPr>
      </w:pPr>
      <w:r w:rsidRPr="00EF18E9">
        <w:rPr>
          <w:rFonts w:cstheme="minorHAnsi"/>
          <w:szCs w:val="18"/>
        </w:rPr>
        <w:t>Changes in state government funding in response to the rollout of the NDIS exacerbated concerns about service provision and potential service gaps across the sector, particularly amongst mental health service providers</w:t>
      </w:r>
      <w:r>
        <w:rPr>
          <w:rFonts w:cstheme="minorHAnsi"/>
          <w:szCs w:val="18"/>
        </w:rPr>
        <w:t xml:space="preserve">. </w:t>
      </w:r>
    </w:p>
    <w:p w:rsidR="00D907AF" w:rsidRDefault="00D907AF" w:rsidP="00367B24">
      <w:pPr>
        <w:pStyle w:val="Heading40"/>
      </w:pPr>
      <w:bookmarkStart w:id="73" w:name="_Toc428271223"/>
      <w:bookmarkStart w:id="74" w:name="_Toc449954963"/>
      <w:r>
        <w:t xml:space="preserve">2.3.3.3 </w:t>
      </w:r>
      <w:r w:rsidRPr="00AC3CBF">
        <w:t>Initial impact of the NDIS on the organisation</w:t>
      </w:r>
      <w:bookmarkEnd w:id="73"/>
      <w:bookmarkEnd w:id="74"/>
    </w:p>
    <w:p w:rsidR="00D907AF" w:rsidRPr="00D750D8" w:rsidRDefault="00D907AF" w:rsidP="00D907AF">
      <w:pPr>
        <w:rPr>
          <w:rFonts w:cstheme="minorHAnsi"/>
          <w:color w:val="00B050"/>
          <w:szCs w:val="18"/>
        </w:rPr>
      </w:pPr>
      <w:r w:rsidRPr="00D750D8">
        <w:rPr>
          <w:rFonts w:cstheme="minorHAnsi"/>
          <w:szCs w:val="18"/>
        </w:rPr>
        <w:t>Disability service providers explained how the NDIS had affected their organisation. This included accounts of the amount of work undertaken to prepare for the NDIS, the organisation’s ability to plan for the future, changes to organisational structures</w:t>
      </w:r>
      <w:r>
        <w:rPr>
          <w:rFonts w:cstheme="minorHAnsi"/>
          <w:szCs w:val="18"/>
        </w:rPr>
        <w:t>,</w:t>
      </w:r>
      <w:r w:rsidRPr="00D750D8">
        <w:rPr>
          <w:rFonts w:cstheme="minorHAnsi"/>
          <w:szCs w:val="18"/>
        </w:rPr>
        <w:t xml:space="preserve"> systems</w:t>
      </w:r>
      <w:r>
        <w:rPr>
          <w:rFonts w:cstheme="minorHAnsi"/>
          <w:szCs w:val="18"/>
        </w:rPr>
        <w:t>,</w:t>
      </w:r>
      <w:r w:rsidRPr="00D750D8">
        <w:rPr>
          <w:rFonts w:cstheme="minorHAnsi"/>
          <w:szCs w:val="18"/>
        </w:rPr>
        <w:t xml:space="preserve"> supports and services.</w:t>
      </w:r>
      <w:r>
        <w:rPr>
          <w:rFonts w:cstheme="minorHAnsi"/>
          <w:szCs w:val="18"/>
        </w:rPr>
        <w:t xml:space="preserve"> </w:t>
      </w:r>
    </w:p>
    <w:p w:rsidR="00D907AF" w:rsidRDefault="00D907AF" w:rsidP="00D907AF">
      <w:pPr>
        <w:rPr>
          <w:b/>
        </w:rPr>
      </w:pPr>
    </w:p>
    <w:p w:rsidR="00D907AF" w:rsidRPr="00732724" w:rsidRDefault="00D907AF" w:rsidP="00D907AF">
      <w:pPr>
        <w:rPr>
          <w:b/>
        </w:rPr>
      </w:pPr>
      <w:r w:rsidRPr="00732724">
        <w:rPr>
          <w:b/>
        </w:rPr>
        <w:t>Preparation for the NDIS</w:t>
      </w:r>
    </w:p>
    <w:p w:rsidR="00D907AF" w:rsidRDefault="00D907AF" w:rsidP="00D907AF">
      <w:pPr>
        <w:spacing w:before="240" w:after="240"/>
        <w:rPr>
          <w:rFonts w:cstheme="minorHAnsi"/>
          <w:szCs w:val="18"/>
        </w:rPr>
      </w:pPr>
      <w:r w:rsidRPr="004F3B08">
        <w:rPr>
          <w:rFonts w:cstheme="minorHAnsi"/>
          <w:szCs w:val="18"/>
        </w:rPr>
        <w:t>The amount of time and effort invested in preparing for the NDIS varied between s</w:t>
      </w:r>
      <w:r>
        <w:rPr>
          <w:rFonts w:cstheme="minorHAnsi"/>
          <w:szCs w:val="18"/>
        </w:rPr>
        <w:t>ervice</w:t>
      </w:r>
      <w:r w:rsidRPr="004F3B08">
        <w:rPr>
          <w:rFonts w:cstheme="minorHAnsi"/>
          <w:szCs w:val="18"/>
        </w:rPr>
        <w:t xml:space="preserve"> providers.</w:t>
      </w:r>
      <w:r>
        <w:rPr>
          <w:rFonts w:cstheme="minorHAnsi"/>
          <w:szCs w:val="18"/>
        </w:rPr>
        <w:t xml:space="preserve"> </w:t>
      </w:r>
      <w:r w:rsidRPr="004F3B08">
        <w:rPr>
          <w:rFonts w:cstheme="minorHAnsi"/>
          <w:szCs w:val="18"/>
        </w:rPr>
        <w:t xml:space="preserve">For a number of large providers, planning and restructuring began three </w:t>
      </w:r>
      <w:r>
        <w:rPr>
          <w:rFonts w:cstheme="minorHAnsi"/>
          <w:szCs w:val="18"/>
        </w:rPr>
        <w:t>or more</w:t>
      </w:r>
      <w:r w:rsidRPr="004F3B08">
        <w:rPr>
          <w:rFonts w:cstheme="minorHAnsi"/>
          <w:szCs w:val="18"/>
        </w:rPr>
        <w:t xml:space="preserve"> years before the NDIS trial commenced; there was less evidence of preparation for the NDIS amongst the smaller disability service providers</w:t>
      </w:r>
      <w:r>
        <w:rPr>
          <w:rFonts w:cstheme="minorHAnsi"/>
          <w:szCs w:val="18"/>
        </w:rPr>
        <w:t>.</w:t>
      </w:r>
    </w:p>
    <w:p w:rsidR="00D907AF" w:rsidRDefault="00D907AF" w:rsidP="00D907AF">
      <w:pPr>
        <w:rPr>
          <w:rFonts w:cstheme="minorHAnsi"/>
          <w:szCs w:val="18"/>
        </w:rPr>
      </w:pPr>
      <w:r w:rsidRPr="00DE0C9F">
        <w:rPr>
          <w:rFonts w:cstheme="minorHAnsi"/>
          <w:szCs w:val="18"/>
        </w:rPr>
        <w:t>Disability service providers reported that the work undertaken to prepare for the transition to the NDIS had generated substantial costs both in real financial terms and in staff time.</w:t>
      </w:r>
      <w:r>
        <w:rPr>
          <w:rFonts w:cstheme="minorHAnsi"/>
          <w:szCs w:val="18"/>
        </w:rPr>
        <w:t xml:space="preserve"> </w:t>
      </w:r>
      <w:r w:rsidRPr="00DE0C9F">
        <w:rPr>
          <w:rFonts w:cstheme="minorHAnsi"/>
          <w:szCs w:val="18"/>
        </w:rPr>
        <w:t xml:space="preserve">For some large </w:t>
      </w:r>
      <w:r w:rsidRPr="00DE0C9F">
        <w:rPr>
          <w:rFonts w:cstheme="minorHAnsi"/>
          <w:szCs w:val="18"/>
        </w:rPr>
        <w:lastRenderedPageBreak/>
        <w:t xml:space="preserve">providers </w:t>
      </w:r>
      <w:r>
        <w:rPr>
          <w:rFonts w:cstheme="minorHAnsi"/>
          <w:szCs w:val="18"/>
        </w:rPr>
        <w:t>that</w:t>
      </w:r>
      <w:r w:rsidRPr="00DE0C9F">
        <w:rPr>
          <w:rFonts w:cstheme="minorHAnsi"/>
          <w:szCs w:val="18"/>
        </w:rPr>
        <w:t xml:space="preserve"> were part of Australia-wide organisations, there was an acknowledgment that their involvement in the NDI</w:t>
      </w:r>
      <w:r>
        <w:rPr>
          <w:rFonts w:cstheme="minorHAnsi"/>
          <w:szCs w:val="18"/>
        </w:rPr>
        <w:t>S</w:t>
      </w:r>
      <w:r w:rsidRPr="00DE0C9F">
        <w:rPr>
          <w:rFonts w:cstheme="minorHAnsi"/>
          <w:szCs w:val="18"/>
        </w:rPr>
        <w:t xml:space="preserve"> trial would benefit the </w:t>
      </w:r>
      <w:r>
        <w:rPr>
          <w:rFonts w:cstheme="minorHAnsi"/>
          <w:szCs w:val="18"/>
        </w:rPr>
        <w:t xml:space="preserve">whole of the </w:t>
      </w:r>
      <w:r w:rsidRPr="00DE0C9F">
        <w:rPr>
          <w:rFonts w:cstheme="minorHAnsi"/>
          <w:szCs w:val="18"/>
        </w:rPr>
        <w:t xml:space="preserve">organisation </w:t>
      </w:r>
      <w:r>
        <w:rPr>
          <w:rFonts w:cstheme="minorHAnsi"/>
          <w:szCs w:val="18"/>
        </w:rPr>
        <w:t xml:space="preserve">once </w:t>
      </w:r>
      <w:r w:rsidRPr="00DE0C9F">
        <w:rPr>
          <w:rFonts w:cstheme="minorHAnsi"/>
          <w:szCs w:val="18"/>
        </w:rPr>
        <w:t xml:space="preserve">the scheme rolled out nationally. However, several providers weighed this up against the amount of work required of providers in the trial sites to prepare for the </w:t>
      </w:r>
      <w:r>
        <w:rPr>
          <w:rFonts w:cstheme="minorHAnsi"/>
          <w:szCs w:val="18"/>
        </w:rPr>
        <w:t>new scheme</w:t>
      </w:r>
      <w:r w:rsidRPr="00DE0C9F">
        <w:rPr>
          <w:rFonts w:cstheme="minorHAnsi"/>
          <w:szCs w:val="18"/>
        </w:rPr>
        <w:t xml:space="preserve">. </w:t>
      </w:r>
    </w:p>
    <w:p w:rsidR="00D907AF" w:rsidRDefault="00D907AF" w:rsidP="00D907AF">
      <w:pPr>
        <w:rPr>
          <w:b/>
        </w:rPr>
      </w:pPr>
    </w:p>
    <w:p w:rsidR="008D79BD" w:rsidRDefault="008D79BD">
      <w:pPr>
        <w:rPr>
          <w:b/>
        </w:rPr>
      </w:pPr>
      <w:r>
        <w:rPr>
          <w:b/>
        </w:rPr>
        <w:br w:type="page"/>
      </w:r>
    </w:p>
    <w:p w:rsidR="00D907AF" w:rsidRDefault="00D907AF" w:rsidP="00D907AF">
      <w:pPr>
        <w:rPr>
          <w:b/>
        </w:rPr>
      </w:pPr>
      <w:r w:rsidRPr="00732724">
        <w:rPr>
          <w:b/>
        </w:rPr>
        <w:lastRenderedPageBreak/>
        <w:t>Strategic plans</w:t>
      </w:r>
    </w:p>
    <w:p w:rsidR="00D907AF" w:rsidRPr="00732724" w:rsidRDefault="00D907AF" w:rsidP="00D907AF">
      <w:pPr>
        <w:rPr>
          <w:b/>
        </w:rPr>
      </w:pPr>
    </w:p>
    <w:p w:rsidR="00D907AF" w:rsidRPr="006B099F" w:rsidRDefault="00D907AF" w:rsidP="00D907AF">
      <w:pPr>
        <w:rPr>
          <w:rFonts w:cstheme="minorHAnsi"/>
          <w:szCs w:val="18"/>
        </w:rPr>
      </w:pPr>
      <w:r w:rsidRPr="006B099F">
        <w:rPr>
          <w:rFonts w:cstheme="minorHAnsi"/>
          <w:szCs w:val="18"/>
        </w:rPr>
        <w:t xml:space="preserve">Disability service providers </w:t>
      </w:r>
      <w:r>
        <w:rPr>
          <w:rFonts w:cstheme="minorHAnsi"/>
          <w:szCs w:val="18"/>
        </w:rPr>
        <w:t xml:space="preserve">had undertaken, or </w:t>
      </w:r>
      <w:r w:rsidRPr="006B099F">
        <w:rPr>
          <w:rFonts w:cstheme="minorHAnsi"/>
          <w:szCs w:val="18"/>
        </w:rPr>
        <w:t>were in the process of</w:t>
      </w:r>
      <w:r>
        <w:rPr>
          <w:rFonts w:cstheme="minorHAnsi"/>
          <w:szCs w:val="18"/>
        </w:rPr>
        <w:t xml:space="preserve"> undertaking</w:t>
      </w:r>
      <w:r w:rsidRPr="006B099F">
        <w:rPr>
          <w:rFonts w:cstheme="minorHAnsi"/>
          <w:szCs w:val="18"/>
        </w:rPr>
        <w:t xml:space="preserve">, strategic reviews </w:t>
      </w:r>
      <w:r>
        <w:rPr>
          <w:rFonts w:cstheme="minorHAnsi"/>
          <w:szCs w:val="18"/>
        </w:rPr>
        <w:t xml:space="preserve">to better </w:t>
      </w:r>
      <w:r w:rsidRPr="006B099F">
        <w:rPr>
          <w:rFonts w:cstheme="minorHAnsi"/>
          <w:szCs w:val="18"/>
        </w:rPr>
        <w:t xml:space="preserve">understand their </w:t>
      </w:r>
      <w:r>
        <w:rPr>
          <w:rFonts w:cstheme="minorHAnsi"/>
          <w:szCs w:val="18"/>
        </w:rPr>
        <w:t xml:space="preserve">operational </w:t>
      </w:r>
      <w:r w:rsidRPr="006B099F">
        <w:rPr>
          <w:rFonts w:cstheme="minorHAnsi"/>
          <w:szCs w:val="18"/>
        </w:rPr>
        <w:t>costs</w:t>
      </w:r>
      <w:r>
        <w:rPr>
          <w:rFonts w:cstheme="minorHAnsi"/>
          <w:szCs w:val="18"/>
        </w:rPr>
        <w:t>,</w:t>
      </w:r>
      <w:r w:rsidRPr="006B099F">
        <w:rPr>
          <w:rFonts w:cstheme="minorHAnsi"/>
          <w:szCs w:val="18"/>
        </w:rPr>
        <w:t xml:space="preserve"> and how their financial planning and budgeting </w:t>
      </w:r>
      <w:r>
        <w:rPr>
          <w:rFonts w:cstheme="minorHAnsi"/>
          <w:szCs w:val="18"/>
        </w:rPr>
        <w:t>might</w:t>
      </w:r>
      <w:r w:rsidRPr="006B099F">
        <w:rPr>
          <w:rFonts w:cstheme="minorHAnsi"/>
          <w:szCs w:val="18"/>
        </w:rPr>
        <w:t xml:space="preserve"> be impacted by the NDIS trial.</w:t>
      </w:r>
    </w:p>
    <w:p w:rsidR="00D907AF" w:rsidRPr="00C77351" w:rsidRDefault="00D907AF" w:rsidP="00D907AF">
      <w:pPr>
        <w:rPr>
          <w:rFonts w:cstheme="minorHAnsi"/>
          <w:szCs w:val="18"/>
        </w:rPr>
      </w:pPr>
    </w:p>
    <w:p w:rsidR="00D907AF" w:rsidRPr="006B099F" w:rsidRDefault="00D907AF" w:rsidP="00D907AF">
      <w:pPr>
        <w:rPr>
          <w:rFonts w:cstheme="minorHAnsi"/>
          <w:szCs w:val="18"/>
        </w:rPr>
      </w:pPr>
      <w:r w:rsidRPr="00AF4AD0">
        <w:rPr>
          <w:rFonts w:cstheme="minorHAnsi"/>
          <w:szCs w:val="18"/>
        </w:rPr>
        <w:t xml:space="preserve">Several disability service providers reported that they were considering </w:t>
      </w:r>
      <w:r>
        <w:rPr>
          <w:rFonts w:cstheme="minorHAnsi"/>
          <w:szCs w:val="18"/>
        </w:rPr>
        <w:t xml:space="preserve">strategic alliances and partnerships, and the possibility of mergers and acquisitions in the future </w:t>
      </w:r>
      <w:r w:rsidRPr="00AF4AD0">
        <w:rPr>
          <w:rFonts w:cstheme="minorHAnsi"/>
          <w:szCs w:val="18"/>
        </w:rPr>
        <w:t>to alleviate the administrative burden of working within the NDIS as well as to expand t</w:t>
      </w:r>
      <w:r>
        <w:rPr>
          <w:rFonts w:cstheme="minorHAnsi"/>
          <w:szCs w:val="18"/>
        </w:rPr>
        <w:t xml:space="preserve">he breadth of service provision. </w:t>
      </w:r>
      <w:r w:rsidRPr="006B099F">
        <w:rPr>
          <w:rFonts w:cstheme="minorHAnsi"/>
          <w:szCs w:val="18"/>
        </w:rPr>
        <w:t xml:space="preserve">A number of providers </w:t>
      </w:r>
      <w:r>
        <w:rPr>
          <w:rFonts w:cstheme="minorHAnsi"/>
          <w:szCs w:val="18"/>
        </w:rPr>
        <w:t xml:space="preserve">also remarked </w:t>
      </w:r>
      <w:r w:rsidRPr="006B099F">
        <w:rPr>
          <w:rFonts w:cstheme="minorHAnsi"/>
          <w:szCs w:val="18"/>
        </w:rPr>
        <w:t>that they either had or would need to redesign their services and their models of service provision to reflect the new system.</w:t>
      </w:r>
    </w:p>
    <w:p w:rsidR="00D907AF" w:rsidRPr="00C77351" w:rsidRDefault="00D907AF" w:rsidP="00D907AF">
      <w:pPr>
        <w:rPr>
          <w:rFonts w:cstheme="minorHAnsi"/>
          <w:szCs w:val="18"/>
        </w:rPr>
      </w:pPr>
    </w:p>
    <w:p w:rsidR="00D907AF" w:rsidRPr="00C77351" w:rsidRDefault="00D907AF" w:rsidP="00D907AF">
      <w:pPr>
        <w:rPr>
          <w:rFonts w:cstheme="minorHAnsi"/>
          <w:szCs w:val="18"/>
        </w:rPr>
      </w:pPr>
      <w:r w:rsidRPr="006B099F">
        <w:rPr>
          <w:rFonts w:cstheme="minorHAnsi"/>
          <w:szCs w:val="18"/>
        </w:rPr>
        <w:t xml:space="preserve">A small number of disability service providers reported that strategic planning within the organisation had been deferred or delayed as a result of the NDIS trial. This was either because implementing the changes required to operate under the NDIS was consuming all of the organisation’s resources or because they lacked the information that they needed to implement any future planning. </w:t>
      </w:r>
      <w:r>
        <w:rPr>
          <w:rFonts w:cstheme="minorHAnsi"/>
          <w:szCs w:val="18"/>
        </w:rPr>
        <w:t>U</w:t>
      </w:r>
      <w:r w:rsidRPr="006B099F">
        <w:rPr>
          <w:rFonts w:cstheme="minorHAnsi"/>
          <w:szCs w:val="18"/>
        </w:rPr>
        <w:t xml:space="preserve">ncertainty </w:t>
      </w:r>
      <w:r>
        <w:rPr>
          <w:rFonts w:cstheme="minorHAnsi"/>
          <w:szCs w:val="18"/>
        </w:rPr>
        <w:t xml:space="preserve">prevailed </w:t>
      </w:r>
      <w:r w:rsidRPr="006B099F">
        <w:rPr>
          <w:rFonts w:cstheme="minorHAnsi"/>
          <w:szCs w:val="18"/>
        </w:rPr>
        <w:t>in the disability services environment</w:t>
      </w:r>
      <w:r>
        <w:rPr>
          <w:rFonts w:cstheme="minorHAnsi"/>
          <w:szCs w:val="18"/>
        </w:rPr>
        <w:t xml:space="preserve"> as the NDIS was being trialled, yet information about its likely future shape and operations was still largely lacking, which meant that some providers only planned for the</w:t>
      </w:r>
      <w:r w:rsidRPr="006B099F">
        <w:rPr>
          <w:rFonts w:cstheme="minorHAnsi"/>
          <w:szCs w:val="18"/>
        </w:rPr>
        <w:t xml:space="preserve"> short</w:t>
      </w:r>
      <w:r>
        <w:rPr>
          <w:rFonts w:cstheme="minorHAnsi"/>
          <w:szCs w:val="18"/>
        </w:rPr>
        <w:t xml:space="preserve"> </w:t>
      </w:r>
      <w:r w:rsidRPr="006B099F">
        <w:rPr>
          <w:rFonts w:cstheme="minorHAnsi"/>
          <w:szCs w:val="18"/>
        </w:rPr>
        <w:t>term</w:t>
      </w:r>
      <w:r>
        <w:rPr>
          <w:rFonts w:cstheme="minorHAnsi"/>
          <w:szCs w:val="18"/>
        </w:rPr>
        <w:t>.</w:t>
      </w:r>
    </w:p>
    <w:p w:rsidR="00D907AF" w:rsidRDefault="00D907AF" w:rsidP="00D907AF">
      <w:pPr>
        <w:rPr>
          <w:b/>
        </w:rPr>
      </w:pPr>
    </w:p>
    <w:p w:rsidR="00D907AF" w:rsidRDefault="00D907AF" w:rsidP="00D907AF">
      <w:pPr>
        <w:rPr>
          <w:b/>
        </w:rPr>
      </w:pPr>
      <w:r w:rsidRPr="00732724">
        <w:rPr>
          <w:b/>
        </w:rPr>
        <w:t xml:space="preserve">Structures and </w:t>
      </w:r>
      <w:r>
        <w:rPr>
          <w:b/>
        </w:rPr>
        <w:t>s</w:t>
      </w:r>
      <w:r w:rsidRPr="00732724">
        <w:rPr>
          <w:b/>
        </w:rPr>
        <w:t>ystems</w:t>
      </w:r>
    </w:p>
    <w:p w:rsidR="00D907AF" w:rsidRPr="00732724" w:rsidRDefault="00D907AF" w:rsidP="00D907AF">
      <w:pPr>
        <w:rPr>
          <w:b/>
        </w:rPr>
      </w:pPr>
    </w:p>
    <w:p w:rsidR="00D907AF" w:rsidRPr="00BD7B51" w:rsidRDefault="00D907AF" w:rsidP="00D907AF">
      <w:pPr>
        <w:rPr>
          <w:rFonts w:cstheme="minorHAnsi"/>
          <w:szCs w:val="18"/>
        </w:rPr>
      </w:pPr>
      <w:r w:rsidRPr="00BD7B51">
        <w:rPr>
          <w:rFonts w:cstheme="minorHAnsi"/>
          <w:szCs w:val="18"/>
        </w:rPr>
        <w:t xml:space="preserve">The NDIS trial and the change to a fee-for-service model of service delivery meant that disability service providers had undertaken or would need to undertake changes to organisational structures and systems. This included changes to administrative systems, IT systems, and marketing systems. </w:t>
      </w:r>
      <w:r>
        <w:rPr>
          <w:rFonts w:cstheme="minorHAnsi"/>
          <w:szCs w:val="18"/>
        </w:rPr>
        <w:t>In</w:t>
      </w:r>
      <w:r w:rsidRPr="00BD7B51">
        <w:rPr>
          <w:rFonts w:cstheme="minorHAnsi"/>
          <w:szCs w:val="18"/>
        </w:rPr>
        <w:t xml:space="preserve"> some organisations these changes </w:t>
      </w:r>
      <w:r>
        <w:rPr>
          <w:rFonts w:cstheme="minorHAnsi"/>
          <w:szCs w:val="18"/>
        </w:rPr>
        <w:t>had been</w:t>
      </w:r>
      <w:r w:rsidRPr="00BD7B51">
        <w:rPr>
          <w:rFonts w:cstheme="minorHAnsi"/>
          <w:szCs w:val="18"/>
        </w:rPr>
        <w:t xml:space="preserve"> initiated some time ago and were </w:t>
      </w:r>
      <w:r>
        <w:rPr>
          <w:rFonts w:cstheme="minorHAnsi"/>
          <w:szCs w:val="18"/>
        </w:rPr>
        <w:t xml:space="preserve">now well advanced in their </w:t>
      </w:r>
      <w:r w:rsidRPr="00BD7B51">
        <w:rPr>
          <w:rFonts w:cstheme="minorHAnsi"/>
          <w:szCs w:val="18"/>
        </w:rPr>
        <w:t>implement</w:t>
      </w:r>
      <w:r>
        <w:rPr>
          <w:rFonts w:cstheme="minorHAnsi"/>
          <w:szCs w:val="18"/>
        </w:rPr>
        <w:t>ation</w:t>
      </w:r>
      <w:r w:rsidRPr="00BD7B51">
        <w:rPr>
          <w:rFonts w:cstheme="minorHAnsi"/>
          <w:szCs w:val="18"/>
        </w:rPr>
        <w:t>. Other organisations were more cautious, reluctant to execute changes because of the lack of information about the scheme and its future shape. Among those who had already begun implementing changes to structures and systems, some expressed confidence in their future direction. Others felt that having operated with minimal information about the emerging NDIS they could only hope to remain flexible and that their changes would fit the eventual model:</w:t>
      </w:r>
    </w:p>
    <w:p w:rsidR="00D907AF" w:rsidRPr="00C77351" w:rsidRDefault="00D907AF" w:rsidP="00D907AF">
      <w:pPr>
        <w:rPr>
          <w:rFonts w:cstheme="minorHAnsi"/>
          <w:szCs w:val="18"/>
        </w:rPr>
      </w:pPr>
    </w:p>
    <w:p w:rsidR="00D907AF" w:rsidRPr="00C77351" w:rsidRDefault="00D907AF" w:rsidP="00D907AF">
      <w:pPr>
        <w:ind w:left="720" w:right="851"/>
        <w:rPr>
          <w:rFonts w:cstheme="minorHAnsi"/>
          <w:szCs w:val="18"/>
        </w:rPr>
      </w:pPr>
      <w:r w:rsidRPr="00B61A7D">
        <w:rPr>
          <w:rFonts w:cstheme="minorHAnsi"/>
          <w:szCs w:val="18"/>
        </w:rPr>
        <w:t>‘I guess that’s one of the big sort of overall sense about the NDIA; we just had to move in this kind of evolutionary time and we don't have any control over that; we just have to hope that we’re flexible enough to be able to respond as things, you know, kind of unfold and reveal themselves.’ (E04S)</w:t>
      </w:r>
    </w:p>
    <w:p w:rsidR="00D907AF" w:rsidRDefault="00D907AF" w:rsidP="00D907AF">
      <w:pPr>
        <w:rPr>
          <w:rFonts w:cstheme="minorHAnsi"/>
          <w:szCs w:val="18"/>
        </w:rPr>
      </w:pPr>
    </w:p>
    <w:p w:rsidR="00D907AF" w:rsidRPr="00315369" w:rsidRDefault="00D907AF" w:rsidP="00D907AF">
      <w:pPr>
        <w:rPr>
          <w:rFonts w:cstheme="minorHAnsi"/>
          <w:szCs w:val="18"/>
        </w:rPr>
      </w:pPr>
      <w:r>
        <w:rPr>
          <w:rFonts w:cstheme="minorHAnsi"/>
          <w:szCs w:val="18"/>
        </w:rPr>
        <w:t xml:space="preserve">Disability service providers had undertaken changes to </w:t>
      </w:r>
      <w:r w:rsidRPr="00EE19E0">
        <w:rPr>
          <w:rFonts w:cstheme="minorHAnsi"/>
          <w:szCs w:val="18"/>
        </w:rPr>
        <w:t>administrative systems includ</w:t>
      </w:r>
      <w:r>
        <w:rPr>
          <w:rFonts w:cstheme="minorHAnsi"/>
          <w:szCs w:val="18"/>
        </w:rPr>
        <w:t>ing</w:t>
      </w:r>
      <w:r w:rsidRPr="00EE19E0">
        <w:rPr>
          <w:rFonts w:cstheme="minorHAnsi"/>
          <w:szCs w:val="18"/>
        </w:rPr>
        <w:t xml:space="preserve"> revisions of finance, pay, rostering and data systems in order to satisfy the service data required to be collected by the NDIS and to accommodate a fee-for-service model of service delivery. </w:t>
      </w:r>
      <w:r w:rsidRPr="00315369">
        <w:rPr>
          <w:rFonts w:cstheme="minorHAnsi"/>
          <w:szCs w:val="18"/>
        </w:rPr>
        <w:t>Some disability service providers noted that purchasing and implementing new administration systems and software packages was costly for the organisation:</w:t>
      </w:r>
    </w:p>
    <w:p w:rsidR="00D907AF" w:rsidRPr="00315369" w:rsidRDefault="00D907AF" w:rsidP="00D907AF">
      <w:pPr>
        <w:rPr>
          <w:rFonts w:cstheme="minorHAnsi"/>
          <w:szCs w:val="18"/>
        </w:rPr>
      </w:pPr>
    </w:p>
    <w:p w:rsidR="00D907AF" w:rsidRPr="00B61A7D" w:rsidRDefault="00D907AF" w:rsidP="00D907AF">
      <w:pPr>
        <w:ind w:left="720" w:right="851"/>
        <w:rPr>
          <w:rFonts w:cstheme="minorHAnsi"/>
          <w:szCs w:val="18"/>
        </w:rPr>
      </w:pPr>
      <w:r w:rsidRPr="00B61A7D">
        <w:rPr>
          <w:rFonts w:cstheme="minorHAnsi"/>
          <w:szCs w:val="18"/>
        </w:rPr>
        <w:t>‘…we’re in the process of implementing a very expensive—in excess of a million dollars—integrated data system, both a client management system, a customer relationship system, finance and human resource system, in order to cater to the transactional model that the NDIS is based on and the data that the NDIS requires as well as data that we’re wanting and needing in terms of understanding our business performance.’ (A01S)</w:t>
      </w:r>
    </w:p>
    <w:p w:rsidR="00D907AF" w:rsidRPr="00C77351" w:rsidRDefault="00D907AF" w:rsidP="00D907AF">
      <w:pPr>
        <w:ind w:right="851"/>
        <w:rPr>
          <w:rFonts w:cstheme="minorHAnsi"/>
          <w:szCs w:val="18"/>
        </w:rPr>
      </w:pPr>
    </w:p>
    <w:p w:rsidR="00D907AF" w:rsidRPr="00090013" w:rsidRDefault="00D907AF" w:rsidP="00D907AF">
      <w:r w:rsidRPr="00090013">
        <w:t>A considerable number of providers across the trial sites also noted that the NDIS had created an “</w:t>
      </w:r>
      <w:r w:rsidRPr="00B61A7D">
        <w:t>administrative burden</w:t>
      </w:r>
      <w:r w:rsidRPr="00090013">
        <w:t xml:space="preserve">” (D04S) for providers including extra paperwork and processing and time </w:t>
      </w:r>
      <w:r w:rsidRPr="00090013">
        <w:lastRenderedPageBreak/>
        <w:t>spent managing problems with the NDIS portal. This extra administrative work was borne by a range of staff in provider organisations including managers, therapists and disability support staff as well as administrative staff. Providers observed that the workload for staff had increased as a result of the NDIS, in particular in administration and finances.</w:t>
      </w:r>
    </w:p>
    <w:p w:rsidR="00D907AF" w:rsidRDefault="00D907AF" w:rsidP="00D907AF">
      <w:pPr>
        <w:rPr>
          <w:b/>
        </w:rPr>
      </w:pPr>
    </w:p>
    <w:p w:rsidR="00D907AF" w:rsidRDefault="00D907AF" w:rsidP="00D907AF">
      <w:pPr>
        <w:rPr>
          <w:b/>
        </w:rPr>
      </w:pPr>
      <w:r w:rsidRPr="00732724">
        <w:rPr>
          <w:b/>
        </w:rPr>
        <w:t xml:space="preserve">Supports and </w:t>
      </w:r>
      <w:r>
        <w:rPr>
          <w:b/>
        </w:rPr>
        <w:t>s</w:t>
      </w:r>
      <w:r w:rsidRPr="00732724">
        <w:rPr>
          <w:b/>
        </w:rPr>
        <w:t xml:space="preserve">ervices </w:t>
      </w:r>
    </w:p>
    <w:p w:rsidR="00D907AF" w:rsidRPr="00732724" w:rsidRDefault="00D907AF" w:rsidP="00D907AF">
      <w:pPr>
        <w:rPr>
          <w:b/>
        </w:rPr>
      </w:pPr>
    </w:p>
    <w:p w:rsidR="00D907AF" w:rsidRPr="00227155" w:rsidRDefault="00D907AF" w:rsidP="00D907AF">
      <w:pPr>
        <w:rPr>
          <w:rFonts w:cstheme="minorHAnsi"/>
          <w:szCs w:val="18"/>
        </w:rPr>
      </w:pPr>
      <w:r w:rsidRPr="00227155">
        <w:rPr>
          <w:rFonts w:cstheme="minorHAnsi"/>
          <w:szCs w:val="18"/>
        </w:rPr>
        <w:t xml:space="preserve">Disability service providers reported on the impact of the NDIS on disability supports and services including referral pathways, demand for services, individualised services replacing some group-based services, the financial viability of service provision, quality of services and relationships with clients. It should be noted that these impacts remained somewhat uncertain at the time of the </w:t>
      </w:r>
      <w:r>
        <w:rPr>
          <w:rFonts w:cstheme="minorHAnsi"/>
          <w:szCs w:val="18"/>
        </w:rPr>
        <w:t xml:space="preserve">first round of </w:t>
      </w:r>
      <w:r w:rsidRPr="00227155">
        <w:rPr>
          <w:rFonts w:cstheme="minorHAnsi"/>
          <w:szCs w:val="18"/>
        </w:rPr>
        <w:t xml:space="preserve">interviews as providers </w:t>
      </w:r>
      <w:r>
        <w:rPr>
          <w:rFonts w:cstheme="minorHAnsi"/>
          <w:szCs w:val="18"/>
        </w:rPr>
        <w:t xml:space="preserve">were still only </w:t>
      </w:r>
      <w:r w:rsidRPr="00227155">
        <w:rPr>
          <w:rFonts w:cstheme="minorHAnsi"/>
          <w:szCs w:val="18"/>
        </w:rPr>
        <w:t xml:space="preserve">servicing </w:t>
      </w:r>
      <w:r>
        <w:rPr>
          <w:rFonts w:cstheme="minorHAnsi"/>
          <w:szCs w:val="18"/>
        </w:rPr>
        <w:t xml:space="preserve">a small number of </w:t>
      </w:r>
      <w:r w:rsidRPr="00227155">
        <w:rPr>
          <w:rFonts w:cstheme="minorHAnsi"/>
          <w:szCs w:val="18"/>
        </w:rPr>
        <w:t xml:space="preserve">NDIS clients </w:t>
      </w:r>
      <w:r>
        <w:rPr>
          <w:rFonts w:cstheme="minorHAnsi"/>
          <w:szCs w:val="18"/>
        </w:rPr>
        <w:t xml:space="preserve">or </w:t>
      </w:r>
      <w:r w:rsidRPr="00227155">
        <w:rPr>
          <w:rFonts w:cstheme="minorHAnsi"/>
          <w:szCs w:val="18"/>
        </w:rPr>
        <w:t xml:space="preserve">were not yet delivering all of the services that they had registered with the NDIS. </w:t>
      </w:r>
    </w:p>
    <w:p w:rsidR="00D907AF" w:rsidRPr="00227155" w:rsidRDefault="00D907AF" w:rsidP="00D907AF"/>
    <w:p w:rsidR="00D907AF" w:rsidRDefault="00D907AF" w:rsidP="00D907AF">
      <w:pPr>
        <w:pStyle w:val="SecBody"/>
        <w:spacing w:before="0" w:after="0"/>
        <w:ind w:left="0"/>
        <w:rPr>
          <w:rFonts w:asciiTheme="minorHAnsi" w:hAnsiTheme="minorHAnsi" w:cstheme="minorHAnsi"/>
          <w:szCs w:val="18"/>
        </w:rPr>
      </w:pPr>
      <w:r w:rsidRPr="006C75E1">
        <w:rPr>
          <w:rFonts w:asciiTheme="minorHAnsi" w:hAnsiTheme="minorHAnsi" w:cstheme="minorHAnsi"/>
          <w:szCs w:val="18"/>
        </w:rPr>
        <w:t>Most disability service providers reported that referral pathways had remained</w:t>
      </w:r>
      <w:r>
        <w:rPr>
          <w:rFonts w:asciiTheme="minorHAnsi" w:hAnsiTheme="minorHAnsi" w:cstheme="minorHAnsi"/>
          <w:szCs w:val="18"/>
        </w:rPr>
        <w:t xml:space="preserve"> largely</w:t>
      </w:r>
      <w:r w:rsidRPr="006C75E1">
        <w:rPr>
          <w:rFonts w:asciiTheme="minorHAnsi" w:hAnsiTheme="minorHAnsi" w:cstheme="minorHAnsi"/>
          <w:szCs w:val="18"/>
        </w:rPr>
        <w:t xml:space="preserve"> unaffected by the NDIS trial. </w:t>
      </w:r>
      <w:r>
        <w:rPr>
          <w:rFonts w:asciiTheme="minorHAnsi" w:hAnsiTheme="minorHAnsi" w:cstheme="minorHAnsi"/>
          <w:szCs w:val="18"/>
        </w:rPr>
        <w:t xml:space="preserve">Those that had </w:t>
      </w:r>
      <w:r w:rsidRPr="006C75E1">
        <w:rPr>
          <w:rFonts w:asciiTheme="minorHAnsi" w:hAnsiTheme="minorHAnsi" w:cstheme="minorHAnsi"/>
          <w:szCs w:val="18"/>
        </w:rPr>
        <w:t xml:space="preserve">observed </w:t>
      </w:r>
      <w:r>
        <w:rPr>
          <w:rFonts w:asciiTheme="minorHAnsi" w:hAnsiTheme="minorHAnsi" w:cstheme="minorHAnsi"/>
          <w:szCs w:val="18"/>
        </w:rPr>
        <w:t xml:space="preserve">change </w:t>
      </w:r>
      <w:r w:rsidRPr="006C75E1">
        <w:rPr>
          <w:rFonts w:asciiTheme="minorHAnsi" w:hAnsiTheme="minorHAnsi" w:cstheme="minorHAnsi"/>
          <w:szCs w:val="18"/>
        </w:rPr>
        <w:t xml:space="preserve">reported </w:t>
      </w:r>
      <w:r>
        <w:rPr>
          <w:rFonts w:asciiTheme="minorHAnsi" w:hAnsiTheme="minorHAnsi" w:cstheme="minorHAnsi"/>
          <w:szCs w:val="18"/>
        </w:rPr>
        <w:t xml:space="preserve">more self-referrals (rather than referrals via other providers) or a greater reluctance on the part of </w:t>
      </w:r>
      <w:r w:rsidRPr="006C75E1">
        <w:rPr>
          <w:rFonts w:asciiTheme="minorHAnsi" w:hAnsiTheme="minorHAnsi" w:cstheme="minorHAnsi"/>
          <w:szCs w:val="18"/>
        </w:rPr>
        <w:t>mainstream and community organisations to share clients as a result of competition within the market</w:t>
      </w:r>
      <w:r>
        <w:rPr>
          <w:rFonts w:asciiTheme="minorHAnsi" w:hAnsiTheme="minorHAnsi" w:cstheme="minorHAnsi"/>
          <w:szCs w:val="18"/>
        </w:rPr>
        <w:t>.</w:t>
      </w:r>
    </w:p>
    <w:p w:rsidR="00D907AF" w:rsidRDefault="00D907AF" w:rsidP="00D907AF">
      <w:pPr>
        <w:pStyle w:val="SecBody"/>
        <w:spacing w:before="0" w:after="0"/>
        <w:ind w:left="0"/>
        <w:rPr>
          <w:rFonts w:asciiTheme="minorHAnsi" w:hAnsiTheme="minorHAnsi" w:cstheme="minorHAnsi"/>
          <w:szCs w:val="18"/>
        </w:rPr>
      </w:pPr>
    </w:p>
    <w:p w:rsidR="00D907AF" w:rsidRDefault="00D907AF" w:rsidP="00D907AF">
      <w:pPr>
        <w:pStyle w:val="SecBody"/>
        <w:spacing w:before="0" w:after="0"/>
        <w:ind w:left="0"/>
        <w:rPr>
          <w:rFonts w:asciiTheme="minorHAnsi" w:hAnsiTheme="minorHAnsi" w:cstheme="minorHAnsi"/>
          <w:szCs w:val="18"/>
        </w:rPr>
      </w:pPr>
      <w:r w:rsidRPr="00C20B8C">
        <w:rPr>
          <w:rFonts w:asciiTheme="minorHAnsi" w:hAnsiTheme="minorHAnsi" w:cstheme="minorHAnsi"/>
          <w:szCs w:val="18"/>
        </w:rPr>
        <w:t xml:space="preserve">One of the most obvious changes to </w:t>
      </w:r>
      <w:r>
        <w:rPr>
          <w:rFonts w:asciiTheme="minorHAnsi" w:hAnsiTheme="minorHAnsi" w:cstheme="minorHAnsi"/>
          <w:szCs w:val="18"/>
        </w:rPr>
        <w:t xml:space="preserve">service provision </w:t>
      </w:r>
      <w:r w:rsidRPr="00C20B8C">
        <w:rPr>
          <w:rFonts w:asciiTheme="minorHAnsi" w:hAnsiTheme="minorHAnsi" w:cstheme="minorHAnsi"/>
          <w:szCs w:val="18"/>
        </w:rPr>
        <w:t>result</w:t>
      </w:r>
      <w:r>
        <w:rPr>
          <w:rFonts w:asciiTheme="minorHAnsi" w:hAnsiTheme="minorHAnsi" w:cstheme="minorHAnsi"/>
          <w:szCs w:val="18"/>
        </w:rPr>
        <w:t>ing</w:t>
      </w:r>
      <w:r w:rsidRPr="00C20B8C">
        <w:rPr>
          <w:rFonts w:asciiTheme="minorHAnsi" w:hAnsiTheme="minorHAnsi" w:cstheme="minorHAnsi"/>
          <w:szCs w:val="18"/>
        </w:rPr>
        <w:t xml:space="preserve"> from the NDIS trial </w:t>
      </w:r>
      <w:r>
        <w:rPr>
          <w:rFonts w:asciiTheme="minorHAnsi" w:hAnsiTheme="minorHAnsi" w:cstheme="minorHAnsi"/>
          <w:szCs w:val="18"/>
        </w:rPr>
        <w:t xml:space="preserve">and reported by disability service providers </w:t>
      </w:r>
      <w:r w:rsidRPr="00C20B8C">
        <w:rPr>
          <w:rFonts w:asciiTheme="minorHAnsi" w:hAnsiTheme="minorHAnsi" w:cstheme="minorHAnsi"/>
          <w:szCs w:val="18"/>
        </w:rPr>
        <w:t xml:space="preserve">was </w:t>
      </w:r>
      <w:r>
        <w:rPr>
          <w:rFonts w:asciiTheme="minorHAnsi" w:hAnsiTheme="minorHAnsi" w:cstheme="minorHAnsi"/>
          <w:szCs w:val="18"/>
        </w:rPr>
        <w:t>a need</w:t>
      </w:r>
      <w:r w:rsidRPr="00C20B8C">
        <w:rPr>
          <w:rFonts w:asciiTheme="minorHAnsi" w:hAnsiTheme="minorHAnsi" w:cstheme="minorHAnsi"/>
          <w:szCs w:val="18"/>
        </w:rPr>
        <w:t xml:space="preserve"> to provide clients with information</w:t>
      </w:r>
      <w:r>
        <w:rPr>
          <w:rFonts w:asciiTheme="minorHAnsi" w:hAnsiTheme="minorHAnsi" w:cstheme="minorHAnsi"/>
          <w:szCs w:val="18"/>
        </w:rPr>
        <w:t xml:space="preserve"> about,</w:t>
      </w:r>
      <w:r w:rsidRPr="00C20B8C">
        <w:rPr>
          <w:rFonts w:asciiTheme="minorHAnsi" w:hAnsiTheme="minorHAnsi" w:cstheme="minorHAnsi"/>
          <w:szCs w:val="18"/>
        </w:rPr>
        <w:t xml:space="preserve"> and support with</w:t>
      </w:r>
      <w:r>
        <w:rPr>
          <w:rFonts w:asciiTheme="minorHAnsi" w:hAnsiTheme="minorHAnsi" w:cstheme="minorHAnsi"/>
          <w:szCs w:val="18"/>
        </w:rPr>
        <w:t>,</w:t>
      </w:r>
      <w:r w:rsidRPr="00C20B8C">
        <w:rPr>
          <w:rFonts w:asciiTheme="minorHAnsi" w:hAnsiTheme="minorHAnsi" w:cstheme="minorHAnsi"/>
          <w:szCs w:val="18"/>
        </w:rPr>
        <w:t xml:space="preserve"> transitioning into the scheme. This included providing clients with information about the transition process, assisting NDIS participants and their families to identify their goals and aspirations in preparation for their planning meeting, and advocating for participants if plans did not meet the participants’ needs or expectations</w:t>
      </w:r>
      <w:r>
        <w:rPr>
          <w:rFonts w:asciiTheme="minorHAnsi" w:hAnsiTheme="minorHAnsi" w:cstheme="minorHAnsi"/>
          <w:szCs w:val="18"/>
        </w:rPr>
        <w:t xml:space="preserve">. </w:t>
      </w:r>
    </w:p>
    <w:p w:rsidR="00D907AF" w:rsidRDefault="00D907AF" w:rsidP="00D907AF">
      <w:pPr>
        <w:pStyle w:val="SecBody"/>
        <w:spacing w:before="0" w:after="0"/>
        <w:ind w:left="0"/>
        <w:rPr>
          <w:rFonts w:asciiTheme="minorHAnsi" w:hAnsiTheme="minorHAnsi" w:cstheme="minorHAnsi"/>
          <w:szCs w:val="18"/>
        </w:rPr>
      </w:pPr>
    </w:p>
    <w:p w:rsidR="00D907AF" w:rsidRDefault="00D907AF" w:rsidP="00D907AF">
      <w:pPr>
        <w:rPr>
          <w:rFonts w:cstheme="minorHAnsi"/>
          <w:szCs w:val="18"/>
        </w:rPr>
      </w:pPr>
      <w:r>
        <w:rPr>
          <w:rFonts w:cstheme="minorHAnsi"/>
          <w:szCs w:val="18"/>
        </w:rPr>
        <w:t>D</w:t>
      </w:r>
      <w:r w:rsidRPr="00C20B8C">
        <w:rPr>
          <w:rFonts w:cstheme="minorHAnsi"/>
          <w:szCs w:val="18"/>
        </w:rPr>
        <w:t xml:space="preserve">isability service providers reported that there had been </w:t>
      </w:r>
      <w:r>
        <w:rPr>
          <w:rFonts w:cstheme="minorHAnsi"/>
          <w:szCs w:val="18"/>
        </w:rPr>
        <w:t xml:space="preserve">an </w:t>
      </w:r>
      <w:r w:rsidRPr="00C20B8C">
        <w:rPr>
          <w:rFonts w:cstheme="minorHAnsi"/>
          <w:szCs w:val="18"/>
        </w:rPr>
        <w:t>increase in demand for services around participants gaining more independence in the home and in the community</w:t>
      </w:r>
      <w:r>
        <w:rPr>
          <w:rFonts w:cstheme="minorHAnsi"/>
          <w:szCs w:val="18"/>
        </w:rPr>
        <w:t xml:space="preserve"> a</w:t>
      </w:r>
      <w:r w:rsidRPr="00C20B8C">
        <w:rPr>
          <w:rFonts w:cstheme="minorHAnsi"/>
          <w:szCs w:val="18"/>
        </w:rPr>
        <w:t xml:space="preserve">s a result of the NDIS trial. These services included independent living assessments, skills-based programs and assistive technology. </w:t>
      </w:r>
    </w:p>
    <w:p w:rsidR="00D907AF" w:rsidRPr="00C20B8C" w:rsidRDefault="00D907AF" w:rsidP="00D907AF">
      <w:pPr>
        <w:rPr>
          <w:rFonts w:cstheme="minorHAnsi"/>
          <w:szCs w:val="18"/>
        </w:rPr>
      </w:pPr>
    </w:p>
    <w:p w:rsidR="00D907AF" w:rsidRDefault="00D907AF" w:rsidP="00D907AF">
      <w:pPr>
        <w:rPr>
          <w:rFonts w:cstheme="minorHAnsi"/>
          <w:szCs w:val="18"/>
        </w:rPr>
      </w:pPr>
      <w:r w:rsidRPr="00C20B8C">
        <w:rPr>
          <w:rFonts w:cstheme="minorHAnsi"/>
          <w:szCs w:val="18"/>
        </w:rPr>
        <w:t>Similarly, respite was a service considered by many</w:t>
      </w:r>
      <w:r>
        <w:rPr>
          <w:rFonts w:cstheme="minorHAnsi"/>
          <w:szCs w:val="18"/>
        </w:rPr>
        <w:t xml:space="preserve"> </w:t>
      </w:r>
      <w:r w:rsidRPr="00C20B8C">
        <w:rPr>
          <w:rFonts w:cstheme="minorHAnsi"/>
          <w:szCs w:val="18"/>
        </w:rPr>
        <w:t xml:space="preserve">disability service providers to be in demand from clients and desirable for disability service providers to deliver. One disability service provider speculated that the demand for respite services had not </w:t>
      </w:r>
      <w:r>
        <w:rPr>
          <w:rFonts w:cstheme="minorHAnsi"/>
          <w:szCs w:val="18"/>
        </w:rPr>
        <w:t>changed on aggregate</w:t>
      </w:r>
      <w:r w:rsidRPr="00C20B8C">
        <w:rPr>
          <w:rFonts w:cstheme="minorHAnsi"/>
          <w:szCs w:val="18"/>
        </w:rPr>
        <w:t xml:space="preserve"> but participants were using individual, in-home supports in</w:t>
      </w:r>
      <w:r>
        <w:rPr>
          <w:rFonts w:cstheme="minorHAnsi"/>
          <w:szCs w:val="18"/>
        </w:rPr>
        <w:t xml:space="preserve"> lieu</w:t>
      </w:r>
      <w:r w:rsidRPr="00C20B8C">
        <w:rPr>
          <w:rFonts w:cstheme="minorHAnsi"/>
          <w:szCs w:val="18"/>
        </w:rPr>
        <w:t xml:space="preserve"> </w:t>
      </w:r>
      <w:r>
        <w:rPr>
          <w:rFonts w:cstheme="minorHAnsi"/>
          <w:szCs w:val="18"/>
        </w:rPr>
        <w:t xml:space="preserve">of </w:t>
      </w:r>
      <w:r w:rsidRPr="00C20B8C">
        <w:rPr>
          <w:rFonts w:cstheme="minorHAnsi"/>
          <w:szCs w:val="18"/>
        </w:rPr>
        <w:t xml:space="preserve">facility-based respite. </w:t>
      </w:r>
    </w:p>
    <w:p w:rsidR="00D907AF" w:rsidRDefault="00D907AF" w:rsidP="00D907AF">
      <w:pPr>
        <w:rPr>
          <w:rFonts w:cstheme="minorHAnsi"/>
          <w:szCs w:val="18"/>
        </w:rPr>
      </w:pPr>
    </w:p>
    <w:p w:rsidR="00D907AF" w:rsidRDefault="00D907AF" w:rsidP="00D907AF">
      <w:pPr>
        <w:rPr>
          <w:rFonts w:cstheme="minorHAnsi"/>
          <w:szCs w:val="18"/>
        </w:rPr>
      </w:pPr>
      <w:r>
        <w:rPr>
          <w:rFonts w:cstheme="minorHAnsi"/>
          <w:szCs w:val="18"/>
        </w:rPr>
        <w:t>Disability</w:t>
      </w:r>
      <w:r w:rsidRPr="00C20B8C">
        <w:rPr>
          <w:rFonts w:cstheme="minorHAnsi"/>
          <w:szCs w:val="18"/>
        </w:rPr>
        <w:t xml:space="preserve"> service providers reported that the NDIS resulted in a general move away from group-based services to individual services. The move was necessary </w:t>
      </w:r>
      <w:r>
        <w:rPr>
          <w:rFonts w:cstheme="minorHAnsi"/>
          <w:szCs w:val="18"/>
        </w:rPr>
        <w:t>so</w:t>
      </w:r>
      <w:r w:rsidRPr="00C20B8C">
        <w:rPr>
          <w:rFonts w:cstheme="minorHAnsi"/>
          <w:szCs w:val="18"/>
        </w:rPr>
        <w:t xml:space="preserve"> that </w:t>
      </w:r>
      <w:r>
        <w:rPr>
          <w:rFonts w:cstheme="minorHAnsi"/>
          <w:szCs w:val="18"/>
        </w:rPr>
        <w:t>providers</w:t>
      </w:r>
      <w:r w:rsidRPr="00C20B8C">
        <w:rPr>
          <w:rFonts w:cstheme="minorHAnsi"/>
          <w:szCs w:val="18"/>
        </w:rPr>
        <w:t xml:space="preserve"> </w:t>
      </w:r>
      <w:r>
        <w:rPr>
          <w:rFonts w:cstheme="minorHAnsi"/>
          <w:szCs w:val="18"/>
        </w:rPr>
        <w:t xml:space="preserve">offered </w:t>
      </w:r>
      <w:r w:rsidRPr="00C20B8C">
        <w:rPr>
          <w:rFonts w:cstheme="minorHAnsi"/>
          <w:szCs w:val="18"/>
        </w:rPr>
        <w:t>services that were in demand and available at the times and locations that suited participants.</w:t>
      </w:r>
    </w:p>
    <w:p w:rsidR="00D907AF" w:rsidRDefault="00D907AF" w:rsidP="00D907AF">
      <w:pPr>
        <w:rPr>
          <w:rFonts w:cstheme="minorHAnsi"/>
          <w:szCs w:val="18"/>
        </w:rPr>
      </w:pPr>
    </w:p>
    <w:p w:rsidR="00D907AF" w:rsidRDefault="00D907AF" w:rsidP="00D907AF">
      <w:pPr>
        <w:rPr>
          <w:rFonts w:cstheme="minorHAnsi"/>
          <w:szCs w:val="18"/>
        </w:rPr>
      </w:pPr>
      <w:r w:rsidRPr="00C20B8C">
        <w:rPr>
          <w:rFonts w:cstheme="minorHAnsi"/>
          <w:szCs w:val="18"/>
        </w:rPr>
        <w:t xml:space="preserve">In response to the increased demand for flexible service delivery, </w:t>
      </w:r>
      <w:r>
        <w:rPr>
          <w:rFonts w:cstheme="minorHAnsi"/>
          <w:szCs w:val="18"/>
        </w:rPr>
        <w:t xml:space="preserve">some </w:t>
      </w:r>
      <w:r w:rsidRPr="00C20B8C">
        <w:rPr>
          <w:rFonts w:cstheme="minorHAnsi"/>
          <w:szCs w:val="18"/>
        </w:rPr>
        <w:t xml:space="preserve">disability service providers </w:t>
      </w:r>
      <w:r>
        <w:rPr>
          <w:rFonts w:cstheme="minorHAnsi"/>
          <w:szCs w:val="18"/>
        </w:rPr>
        <w:t xml:space="preserve">had </w:t>
      </w:r>
      <w:r w:rsidRPr="00C20B8C">
        <w:rPr>
          <w:rFonts w:cstheme="minorHAnsi"/>
          <w:szCs w:val="18"/>
        </w:rPr>
        <w:t>extended their operating hours and</w:t>
      </w:r>
      <w:r>
        <w:rPr>
          <w:rFonts w:cstheme="minorHAnsi"/>
          <w:szCs w:val="18"/>
        </w:rPr>
        <w:t xml:space="preserve"> some also</w:t>
      </w:r>
      <w:r w:rsidRPr="00C20B8C">
        <w:rPr>
          <w:rFonts w:cstheme="minorHAnsi"/>
          <w:szCs w:val="18"/>
        </w:rPr>
        <w:t xml:space="preserve"> expanded the range of clients that they were able to service. The change to individualised service provision also resulted in disability service providers having more conversations with their clients around what services they wanted</w:t>
      </w:r>
      <w:r>
        <w:rPr>
          <w:rFonts w:cstheme="minorHAnsi"/>
          <w:szCs w:val="18"/>
        </w:rPr>
        <w:t xml:space="preserve">. </w:t>
      </w:r>
    </w:p>
    <w:p w:rsidR="00D907AF" w:rsidRPr="00C77351" w:rsidRDefault="00D907AF" w:rsidP="00D907AF">
      <w:pPr>
        <w:spacing w:before="240"/>
        <w:rPr>
          <w:rFonts w:cstheme="minorHAnsi"/>
          <w:szCs w:val="18"/>
        </w:rPr>
      </w:pPr>
      <w:r w:rsidRPr="00C20B8C">
        <w:rPr>
          <w:rFonts w:cstheme="minorHAnsi"/>
          <w:szCs w:val="18"/>
        </w:rPr>
        <w:t xml:space="preserve">Disability service providers did not see the move to individualised </w:t>
      </w:r>
      <w:r>
        <w:rPr>
          <w:rFonts w:cstheme="minorHAnsi"/>
          <w:szCs w:val="18"/>
        </w:rPr>
        <w:t xml:space="preserve">services as unproblematic. </w:t>
      </w:r>
      <w:r w:rsidRPr="00C20B8C">
        <w:rPr>
          <w:rFonts w:cstheme="minorHAnsi"/>
          <w:szCs w:val="18"/>
        </w:rPr>
        <w:t>Group-based services were viewed as providing social opportunities both for the participants and their families</w:t>
      </w:r>
      <w:r>
        <w:rPr>
          <w:rFonts w:cstheme="minorHAnsi"/>
          <w:szCs w:val="18"/>
        </w:rPr>
        <w:t>:</w:t>
      </w:r>
      <w:r w:rsidRPr="00C20B8C">
        <w:rPr>
          <w:rFonts w:cstheme="minorHAnsi"/>
          <w:szCs w:val="18"/>
        </w:rPr>
        <w:t xml:space="preserve"> </w:t>
      </w:r>
    </w:p>
    <w:p w:rsidR="00D907AF" w:rsidRPr="00C77351" w:rsidRDefault="00D907AF" w:rsidP="00D907AF">
      <w:pPr>
        <w:rPr>
          <w:rFonts w:cstheme="minorHAnsi"/>
          <w:szCs w:val="18"/>
        </w:rPr>
      </w:pPr>
    </w:p>
    <w:p w:rsidR="00D907AF" w:rsidRPr="00FA614D" w:rsidRDefault="00D907AF" w:rsidP="00D907AF">
      <w:pPr>
        <w:ind w:left="720" w:right="851"/>
        <w:rPr>
          <w:rFonts w:cstheme="minorHAnsi"/>
          <w:color w:val="00B050"/>
          <w:szCs w:val="18"/>
        </w:rPr>
      </w:pPr>
      <w:r w:rsidRPr="00B61A7D">
        <w:rPr>
          <w:rFonts w:cstheme="minorHAnsi"/>
          <w:szCs w:val="18"/>
        </w:rPr>
        <w:t xml:space="preserve">‘I think the biggest loss that families talk about, and it came out in the marketing research as well, that we just did is that the families missing... well social interaction with one another, which is what they were able to get when they came </w:t>
      </w:r>
      <w:r w:rsidRPr="00B61A7D">
        <w:rPr>
          <w:rFonts w:cstheme="minorHAnsi"/>
          <w:szCs w:val="18"/>
        </w:rPr>
        <w:lastRenderedPageBreak/>
        <w:t>and used... participated in the groups as well. So families would build up very, very good strong relationships with one another, which were typically lifelong.’ (D04S)</w:t>
      </w:r>
    </w:p>
    <w:p w:rsidR="00D907AF" w:rsidRPr="00C77351" w:rsidRDefault="00D907AF" w:rsidP="00D907AF">
      <w:pPr>
        <w:rPr>
          <w:rFonts w:cstheme="minorHAnsi"/>
          <w:szCs w:val="18"/>
        </w:rPr>
      </w:pPr>
    </w:p>
    <w:p w:rsidR="00D907AF" w:rsidRPr="00AB641E" w:rsidRDefault="00D907AF" w:rsidP="00D907AF">
      <w:pPr>
        <w:rPr>
          <w:rFonts w:cstheme="minorHAnsi"/>
          <w:szCs w:val="18"/>
        </w:rPr>
      </w:pPr>
      <w:r w:rsidRPr="00AB641E">
        <w:rPr>
          <w:rFonts w:cstheme="minorHAnsi"/>
          <w:szCs w:val="18"/>
        </w:rPr>
        <w:t xml:space="preserve">Group-based services also facilitated transdisciplinary collaboration between service providers. In addition, delivering </w:t>
      </w:r>
      <w:r>
        <w:rPr>
          <w:rFonts w:cstheme="minorHAnsi"/>
          <w:szCs w:val="18"/>
        </w:rPr>
        <w:t xml:space="preserve">more </w:t>
      </w:r>
      <w:r w:rsidRPr="00AB641E">
        <w:rPr>
          <w:rFonts w:cstheme="minorHAnsi"/>
          <w:szCs w:val="18"/>
        </w:rPr>
        <w:t xml:space="preserve">services in people’s homes created challenges for disability service providers around risk assessment and ensuring the safety of staff. Further, the </w:t>
      </w:r>
      <w:r w:rsidR="00D3624F">
        <w:rPr>
          <w:rFonts w:cstheme="minorHAnsi"/>
          <w:szCs w:val="18"/>
        </w:rPr>
        <w:t>flexibility required to deliver</w:t>
      </w:r>
      <w:r w:rsidRPr="00AB641E">
        <w:rPr>
          <w:rFonts w:cstheme="minorHAnsi"/>
          <w:szCs w:val="18"/>
        </w:rPr>
        <w:t xml:space="preserve"> individualised services and supports also challenged industrial relations</w:t>
      </w:r>
      <w:r>
        <w:rPr>
          <w:rFonts w:cstheme="minorHAnsi"/>
          <w:szCs w:val="18"/>
        </w:rPr>
        <w:t xml:space="preserve"> (IR)</w:t>
      </w:r>
      <w:r w:rsidRPr="00AB641E">
        <w:rPr>
          <w:rFonts w:cstheme="minorHAnsi"/>
          <w:szCs w:val="18"/>
        </w:rPr>
        <w:t xml:space="preserve">: </w:t>
      </w:r>
    </w:p>
    <w:p w:rsidR="00D907AF" w:rsidRPr="00C77351" w:rsidRDefault="00D907AF" w:rsidP="00D907AF">
      <w:pPr>
        <w:rPr>
          <w:rFonts w:cstheme="minorHAnsi"/>
          <w:szCs w:val="18"/>
        </w:rPr>
      </w:pPr>
    </w:p>
    <w:p w:rsidR="00D907AF" w:rsidRPr="00B61A7D" w:rsidRDefault="00D907AF" w:rsidP="00D907AF">
      <w:pPr>
        <w:ind w:left="720" w:right="851"/>
        <w:rPr>
          <w:rFonts w:cstheme="minorHAnsi"/>
          <w:szCs w:val="18"/>
        </w:rPr>
      </w:pPr>
      <w:r w:rsidRPr="00B61A7D">
        <w:rPr>
          <w:rFonts w:cstheme="minorHAnsi"/>
          <w:szCs w:val="18"/>
        </w:rPr>
        <w:t>‘Individualised support is all about choice and control and giving people the option to have their support when they want it and with whom they want it but that has its own complications particularly from an IR perspective on how we contract with people and the flexibility of our employees around particularly when we’re under Awards and MEA’s and things like that that may not be as flexible as the requests we’re getting.’ (C02S)</w:t>
      </w:r>
    </w:p>
    <w:p w:rsidR="00D907AF" w:rsidRPr="00C20B8C" w:rsidRDefault="00D907AF" w:rsidP="00D907AF">
      <w:pPr>
        <w:rPr>
          <w:rFonts w:cstheme="minorHAnsi"/>
          <w:szCs w:val="18"/>
        </w:rPr>
      </w:pPr>
    </w:p>
    <w:p w:rsidR="00D907AF" w:rsidRDefault="00D907AF" w:rsidP="00D907AF">
      <w:pPr>
        <w:rPr>
          <w:rFonts w:cstheme="minorHAnsi"/>
          <w:szCs w:val="18"/>
        </w:rPr>
      </w:pPr>
      <w:r w:rsidRPr="00C20B8C">
        <w:rPr>
          <w:rFonts w:cstheme="minorHAnsi"/>
          <w:szCs w:val="18"/>
        </w:rPr>
        <w:t xml:space="preserve">NDIS pricing </w:t>
      </w:r>
      <w:r>
        <w:rPr>
          <w:rFonts w:cstheme="minorHAnsi"/>
          <w:szCs w:val="18"/>
        </w:rPr>
        <w:t xml:space="preserve">for services </w:t>
      </w:r>
      <w:r w:rsidRPr="00C20B8C">
        <w:rPr>
          <w:rFonts w:cstheme="minorHAnsi"/>
          <w:szCs w:val="18"/>
        </w:rPr>
        <w:t xml:space="preserve">and the viability of service provision based on the </w:t>
      </w:r>
      <w:r>
        <w:rPr>
          <w:rFonts w:cstheme="minorHAnsi"/>
          <w:szCs w:val="18"/>
        </w:rPr>
        <w:t xml:space="preserve">costs covered by the NDIA </w:t>
      </w:r>
      <w:r w:rsidRPr="00C20B8C">
        <w:rPr>
          <w:rFonts w:cstheme="minorHAnsi"/>
          <w:szCs w:val="18"/>
        </w:rPr>
        <w:t xml:space="preserve">influenced </w:t>
      </w:r>
      <w:r>
        <w:rPr>
          <w:rFonts w:cstheme="minorHAnsi"/>
          <w:szCs w:val="18"/>
        </w:rPr>
        <w:t>provider</w:t>
      </w:r>
      <w:r w:rsidRPr="00C20B8C">
        <w:rPr>
          <w:rFonts w:cstheme="minorHAnsi"/>
          <w:szCs w:val="18"/>
        </w:rPr>
        <w:t xml:space="preserve"> decisions about what services </w:t>
      </w:r>
      <w:r>
        <w:rPr>
          <w:rFonts w:cstheme="minorHAnsi"/>
          <w:szCs w:val="18"/>
        </w:rPr>
        <w:t xml:space="preserve">they </w:t>
      </w:r>
      <w:r w:rsidRPr="00C20B8C">
        <w:rPr>
          <w:rFonts w:cstheme="minorHAnsi"/>
          <w:szCs w:val="18"/>
        </w:rPr>
        <w:t xml:space="preserve">would </w:t>
      </w:r>
      <w:r>
        <w:rPr>
          <w:rFonts w:cstheme="minorHAnsi"/>
          <w:szCs w:val="18"/>
        </w:rPr>
        <w:t>offer</w:t>
      </w:r>
      <w:r w:rsidRPr="00C20B8C">
        <w:rPr>
          <w:rFonts w:cstheme="minorHAnsi"/>
          <w:szCs w:val="18"/>
        </w:rPr>
        <w:t xml:space="preserve">. To a large extent, </w:t>
      </w:r>
      <w:r>
        <w:rPr>
          <w:rFonts w:cstheme="minorHAnsi"/>
          <w:szCs w:val="18"/>
        </w:rPr>
        <w:t xml:space="preserve">any </w:t>
      </w:r>
      <w:r w:rsidRPr="00C20B8C">
        <w:rPr>
          <w:rFonts w:cstheme="minorHAnsi"/>
          <w:szCs w:val="18"/>
        </w:rPr>
        <w:t xml:space="preserve">changes in service provision occurred in response to demand and </w:t>
      </w:r>
      <w:r>
        <w:rPr>
          <w:rFonts w:cstheme="minorHAnsi"/>
          <w:szCs w:val="18"/>
        </w:rPr>
        <w:t xml:space="preserve">provider assessments of </w:t>
      </w:r>
      <w:r w:rsidRPr="00C20B8C">
        <w:rPr>
          <w:rFonts w:cstheme="minorHAnsi"/>
          <w:szCs w:val="18"/>
        </w:rPr>
        <w:t xml:space="preserve">the financial viability of delivering </w:t>
      </w:r>
      <w:r>
        <w:rPr>
          <w:rFonts w:cstheme="minorHAnsi"/>
          <w:szCs w:val="18"/>
        </w:rPr>
        <w:t xml:space="preserve">particular </w:t>
      </w:r>
      <w:r w:rsidRPr="00C20B8C">
        <w:rPr>
          <w:rFonts w:cstheme="minorHAnsi"/>
          <w:szCs w:val="18"/>
        </w:rPr>
        <w:t>services</w:t>
      </w:r>
      <w:r>
        <w:rPr>
          <w:rFonts w:cstheme="minorHAnsi"/>
          <w:szCs w:val="18"/>
        </w:rPr>
        <w:t xml:space="preserve"> under the NDIS. </w:t>
      </w:r>
    </w:p>
    <w:p w:rsidR="00D907AF" w:rsidRDefault="00D907AF" w:rsidP="00D907AF">
      <w:pPr>
        <w:rPr>
          <w:rFonts w:cstheme="minorHAnsi"/>
          <w:szCs w:val="18"/>
        </w:rPr>
      </w:pPr>
    </w:p>
    <w:p w:rsidR="00D907AF" w:rsidRDefault="00D907AF" w:rsidP="00D907AF">
      <w:pPr>
        <w:rPr>
          <w:rFonts w:cstheme="minorHAnsi"/>
          <w:szCs w:val="18"/>
        </w:rPr>
      </w:pPr>
      <w:r w:rsidRPr="002D0B80">
        <w:rPr>
          <w:rFonts w:cstheme="minorHAnsi"/>
          <w:szCs w:val="18"/>
        </w:rPr>
        <w:t>Employment services</w:t>
      </w:r>
      <w:r>
        <w:rPr>
          <w:rFonts w:cstheme="minorHAnsi"/>
          <w:szCs w:val="18"/>
        </w:rPr>
        <w:t xml:space="preserve">, </w:t>
      </w:r>
      <w:r w:rsidRPr="002D0B80">
        <w:rPr>
          <w:rFonts w:cstheme="minorHAnsi"/>
          <w:szCs w:val="18"/>
        </w:rPr>
        <w:t xml:space="preserve">supports for people with high needs </w:t>
      </w:r>
      <w:r>
        <w:rPr>
          <w:rFonts w:cstheme="minorHAnsi"/>
          <w:szCs w:val="18"/>
        </w:rPr>
        <w:t xml:space="preserve">and supported holidays and camps </w:t>
      </w:r>
      <w:r w:rsidRPr="002D0B80">
        <w:rPr>
          <w:rFonts w:cstheme="minorHAnsi"/>
          <w:szCs w:val="18"/>
        </w:rPr>
        <w:t xml:space="preserve">were examples of services that were identified as in demand but not cost-effective to run </w:t>
      </w:r>
      <w:r>
        <w:rPr>
          <w:rFonts w:cstheme="minorHAnsi"/>
          <w:szCs w:val="18"/>
        </w:rPr>
        <w:t>under</w:t>
      </w:r>
      <w:r w:rsidRPr="002D0B80">
        <w:rPr>
          <w:rFonts w:cstheme="minorHAnsi"/>
          <w:szCs w:val="18"/>
        </w:rPr>
        <w:t xml:space="preserve"> the NDIS pricing</w:t>
      </w:r>
      <w:r>
        <w:rPr>
          <w:rFonts w:cstheme="minorHAnsi"/>
          <w:szCs w:val="18"/>
        </w:rPr>
        <w:t xml:space="preserve"> at the time of interview</w:t>
      </w:r>
      <w:r w:rsidRPr="002D0B80">
        <w:rPr>
          <w:rFonts w:cstheme="minorHAnsi"/>
          <w:szCs w:val="18"/>
        </w:rPr>
        <w:t xml:space="preserve">. Other services that were viewed as being non-viable under </w:t>
      </w:r>
      <w:r>
        <w:rPr>
          <w:rFonts w:cstheme="minorHAnsi"/>
          <w:szCs w:val="18"/>
        </w:rPr>
        <w:t>that</w:t>
      </w:r>
      <w:r w:rsidRPr="002D0B80">
        <w:rPr>
          <w:rFonts w:cstheme="minorHAnsi"/>
          <w:szCs w:val="18"/>
        </w:rPr>
        <w:t xml:space="preserve"> NDIS pricing included group therapy, out of school hours care programs, and night shifts for residential rehabilitation. </w:t>
      </w:r>
    </w:p>
    <w:p w:rsidR="00D907AF" w:rsidRDefault="00D907AF" w:rsidP="00D907AF">
      <w:pPr>
        <w:rPr>
          <w:rFonts w:cstheme="minorHAnsi"/>
          <w:szCs w:val="18"/>
        </w:rPr>
      </w:pPr>
    </w:p>
    <w:p w:rsidR="00D907AF" w:rsidRPr="002D0B80" w:rsidRDefault="00D907AF" w:rsidP="00D907AF">
      <w:pPr>
        <w:rPr>
          <w:rFonts w:cstheme="minorHAnsi"/>
          <w:szCs w:val="18"/>
        </w:rPr>
      </w:pPr>
      <w:r w:rsidRPr="00915DE2">
        <w:rPr>
          <w:rFonts w:cstheme="minorHAnsi"/>
          <w:szCs w:val="18"/>
        </w:rPr>
        <w:t xml:space="preserve">A number of disability service providers noted that they </w:t>
      </w:r>
      <w:r>
        <w:rPr>
          <w:rFonts w:cstheme="minorHAnsi"/>
          <w:szCs w:val="18"/>
        </w:rPr>
        <w:t xml:space="preserve">were in the process of assessing whether they would continue to offer particular services </w:t>
      </w:r>
      <w:r w:rsidRPr="00915DE2">
        <w:rPr>
          <w:rFonts w:cstheme="minorHAnsi"/>
          <w:szCs w:val="18"/>
        </w:rPr>
        <w:t>where the NDIA price did not cover the cost of service delivery. Some large providers were absorbing losses from services by cross subsiding but advised this was not sustainable long term.</w:t>
      </w:r>
      <w:r>
        <w:rPr>
          <w:rFonts w:cstheme="minorHAnsi"/>
          <w:szCs w:val="18"/>
        </w:rPr>
        <w:t xml:space="preserve"> </w:t>
      </w:r>
    </w:p>
    <w:p w:rsidR="00D907AF" w:rsidRPr="00C77351" w:rsidRDefault="00D907AF" w:rsidP="00D907AF">
      <w:pPr>
        <w:rPr>
          <w:rFonts w:cstheme="minorHAnsi"/>
          <w:szCs w:val="18"/>
        </w:rPr>
      </w:pPr>
    </w:p>
    <w:p w:rsidR="00D907AF" w:rsidRDefault="00D907AF" w:rsidP="00D907AF">
      <w:pPr>
        <w:rPr>
          <w:rFonts w:cstheme="minorHAnsi"/>
          <w:szCs w:val="18"/>
        </w:rPr>
      </w:pPr>
      <w:r w:rsidRPr="00C20B8C">
        <w:rPr>
          <w:rFonts w:cstheme="minorHAnsi"/>
          <w:szCs w:val="18"/>
        </w:rPr>
        <w:t xml:space="preserve">In addition, NDIA pricing was reported to not cover travel. This was seen to impact </w:t>
      </w:r>
      <w:r>
        <w:rPr>
          <w:rFonts w:cstheme="minorHAnsi"/>
          <w:szCs w:val="18"/>
        </w:rPr>
        <w:t xml:space="preserve">directly </w:t>
      </w:r>
      <w:r w:rsidRPr="00C20B8C">
        <w:rPr>
          <w:rFonts w:cstheme="minorHAnsi"/>
          <w:szCs w:val="18"/>
        </w:rPr>
        <w:t xml:space="preserve">on the types of services that could be provided and </w:t>
      </w:r>
      <w:r>
        <w:rPr>
          <w:rFonts w:cstheme="minorHAnsi"/>
          <w:szCs w:val="18"/>
        </w:rPr>
        <w:t xml:space="preserve">on </w:t>
      </w:r>
      <w:r w:rsidRPr="00C20B8C">
        <w:rPr>
          <w:rFonts w:cstheme="minorHAnsi"/>
          <w:szCs w:val="18"/>
        </w:rPr>
        <w:t xml:space="preserve">participants’ access to </w:t>
      </w:r>
      <w:r>
        <w:rPr>
          <w:rFonts w:cstheme="minorHAnsi"/>
          <w:szCs w:val="18"/>
        </w:rPr>
        <w:t xml:space="preserve">these </w:t>
      </w:r>
      <w:r w:rsidRPr="00C20B8C">
        <w:rPr>
          <w:rFonts w:cstheme="minorHAnsi"/>
          <w:szCs w:val="18"/>
        </w:rPr>
        <w:t>services:</w:t>
      </w:r>
    </w:p>
    <w:p w:rsidR="00D907AF" w:rsidRPr="00C20B8C" w:rsidRDefault="00D907AF" w:rsidP="00D907AF">
      <w:pPr>
        <w:rPr>
          <w:rFonts w:cstheme="minorHAnsi"/>
          <w:szCs w:val="18"/>
        </w:rPr>
      </w:pPr>
    </w:p>
    <w:p w:rsidR="00D907AF" w:rsidRPr="00B61A7D" w:rsidRDefault="00D907AF" w:rsidP="00D907AF">
      <w:pPr>
        <w:ind w:left="720" w:right="851"/>
        <w:rPr>
          <w:rFonts w:cstheme="minorHAnsi"/>
          <w:szCs w:val="18"/>
        </w:rPr>
      </w:pPr>
      <w:r w:rsidRPr="00B61A7D">
        <w:rPr>
          <w:rFonts w:cstheme="minorHAnsi"/>
          <w:szCs w:val="18"/>
        </w:rPr>
        <w:t>‘At the moment we’ve got a vehicle that we go out and pick children up and bring them in… But under the NDIA that type of transport for the majority of children isn’t an option, they won’t fund it.’ (A02S)</w:t>
      </w:r>
    </w:p>
    <w:p w:rsidR="00D907AF" w:rsidRPr="00C77351" w:rsidRDefault="00D907AF" w:rsidP="00D907AF">
      <w:pPr>
        <w:ind w:right="851"/>
        <w:rPr>
          <w:rFonts w:cstheme="minorHAnsi"/>
          <w:szCs w:val="18"/>
        </w:rPr>
      </w:pPr>
    </w:p>
    <w:p w:rsidR="00D907AF" w:rsidRDefault="00D907AF" w:rsidP="00D907AF">
      <w:pPr>
        <w:rPr>
          <w:rFonts w:cstheme="minorHAnsi"/>
          <w:szCs w:val="18"/>
        </w:rPr>
      </w:pPr>
      <w:r w:rsidRPr="006B3908">
        <w:rPr>
          <w:rFonts w:cstheme="minorHAnsi"/>
          <w:szCs w:val="18"/>
        </w:rPr>
        <w:t>NDIS pricing was also report</w:t>
      </w:r>
      <w:r>
        <w:rPr>
          <w:rFonts w:cstheme="minorHAnsi"/>
          <w:szCs w:val="18"/>
        </w:rPr>
        <w:t>ed</w:t>
      </w:r>
      <w:r w:rsidRPr="006B3908">
        <w:rPr>
          <w:rFonts w:cstheme="minorHAnsi"/>
          <w:szCs w:val="18"/>
        </w:rPr>
        <w:t xml:space="preserve"> to impact on an organisation</w:t>
      </w:r>
      <w:r>
        <w:rPr>
          <w:rFonts w:cstheme="minorHAnsi"/>
          <w:szCs w:val="18"/>
        </w:rPr>
        <w:t>’</w:t>
      </w:r>
      <w:r w:rsidRPr="006B3908">
        <w:rPr>
          <w:rFonts w:cstheme="minorHAnsi"/>
          <w:szCs w:val="18"/>
        </w:rPr>
        <w:t>s ability to maintain and repair facilities,</w:t>
      </w:r>
      <w:r>
        <w:rPr>
          <w:rFonts w:cstheme="minorHAnsi"/>
          <w:szCs w:val="18"/>
        </w:rPr>
        <w:t xml:space="preserve"> which unlike under block funding, were not deemed to be eligible costs claimable under the NDIS and which could impact on </w:t>
      </w:r>
      <w:r w:rsidRPr="006B3908">
        <w:rPr>
          <w:rFonts w:cstheme="minorHAnsi"/>
          <w:szCs w:val="18"/>
        </w:rPr>
        <w:t xml:space="preserve">future </w:t>
      </w:r>
      <w:r>
        <w:rPr>
          <w:rFonts w:cstheme="minorHAnsi"/>
          <w:szCs w:val="18"/>
        </w:rPr>
        <w:t xml:space="preserve">service </w:t>
      </w:r>
      <w:r w:rsidRPr="006B3908">
        <w:rPr>
          <w:rFonts w:cstheme="minorHAnsi"/>
          <w:szCs w:val="18"/>
        </w:rPr>
        <w:t>provision</w:t>
      </w:r>
      <w:r>
        <w:rPr>
          <w:rFonts w:cstheme="minorHAnsi"/>
          <w:szCs w:val="18"/>
        </w:rPr>
        <w:t>:</w:t>
      </w:r>
      <w:r w:rsidRPr="006B3908">
        <w:rPr>
          <w:rFonts w:cstheme="minorHAnsi"/>
          <w:szCs w:val="18"/>
        </w:rPr>
        <w:t xml:space="preserve"> </w:t>
      </w:r>
    </w:p>
    <w:p w:rsidR="00D907AF" w:rsidRPr="006B3908" w:rsidRDefault="00D907AF" w:rsidP="00D907AF">
      <w:pPr>
        <w:rPr>
          <w:rFonts w:cstheme="minorHAnsi"/>
          <w:szCs w:val="18"/>
        </w:rPr>
      </w:pPr>
    </w:p>
    <w:p w:rsidR="00D907AF" w:rsidRPr="00B61A7D" w:rsidRDefault="00D907AF" w:rsidP="00D907AF">
      <w:pPr>
        <w:ind w:left="720" w:right="851"/>
        <w:rPr>
          <w:rFonts w:cstheme="minorHAnsi"/>
          <w:szCs w:val="18"/>
        </w:rPr>
      </w:pPr>
      <w:r w:rsidRPr="00B61A7D">
        <w:rPr>
          <w:rFonts w:cstheme="minorHAnsi"/>
          <w:szCs w:val="18"/>
        </w:rPr>
        <w:t>‘…so there’s nothing to allow us to buy new equipment. So we have people here with challenging behaviours who put holes in walls, who jump on chairs and break them, there’s no way of replacing any of that equipment or doing any repairs to buildings that the clients might come in and cause.’ (D02S)</w:t>
      </w:r>
    </w:p>
    <w:p w:rsidR="00D907AF" w:rsidRPr="006B3908" w:rsidRDefault="00D907AF" w:rsidP="00D907AF">
      <w:pPr>
        <w:ind w:right="851"/>
        <w:rPr>
          <w:rFonts w:cstheme="minorHAnsi"/>
          <w:i/>
          <w:szCs w:val="18"/>
        </w:rPr>
      </w:pPr>
    </w:p>
    <w:p w:rsidR="00D907AF" w:rsidRDefault="00D907AF" w:rsidP="00D907AF">
      <w:pPr>
        <w:rPr>
          <w:rFonts w:cstheme="minorHAnsi"/>
          <w:szCs w:val="18"/>
        </w:rPr>
      </w:pPr>
      <w:r>
        <w:rPr>
          <w:rFonts w:cstheme="minorHAnsi"/>
          <w:szCs w:val="18"/>
        </w:rPr>
        <w:t>Providers were concerned about the impact of NDIS pricing on their ability to deliver quality services. In considerations about future service provision, both within provider organisations and across the disability sector, providers stressed the importance of maintaining service quality:</w:t>
      </w:r>
    </w:p>
    <w:p w:rsidR="00D907AF" w:rsidRDefault="00D907AF" w:rsidP="00D907AF">
      <w:pPr>
        <w:rPr>
          <w:rFonts w:cstheme="minorHAnsi"/>
          <w:szCs w:val="18"/>
        </w:rPr>
      </w:pPr>
    </w:p>
    <w:p w:rsidR="00D907AF" w:rsidRPr="00FA614D" w:rsidRDefault="00D907AF" w:rsidP="00D907AF">
      <w:pPr>
        <w:ind w:left="720"/>
      </w:pPr>
      <w:r w:rsidRPr="00B61A7D">
        <w:lastRenderedPageBreak/>
        <w:t>‘We need to be able to have a healthy discussion about what's working well, what are the problems, to actually get the very best outcome, and I suppose for us we want to be a quality service provider and that's the issue for us is do we have a future, is there a role for quality services.’</w:t>
      </w:r>
      <w:r w:rsidRPr="00FA614D">
        <w:t xml:space="preserve"> (B02S)</w:t>
      </w:r>
    </w:p>
    <w:p w:rsidR="00D907AF" w:rsidRPr="00C77351" w:rsidRDefault="00D907AF" w:rsidP="00D907AF"/>
    <w:p w:rsidR="00D907AF" w:rsidRDefault="00D907AF" w:rsidP="00D907AF">
      <w:pPr>
        <w:rPr>
          <w:rFonts w:cstheme="minorHAnsi"/>
          <w:szCs w:val="18"/>
        </w:rPr>
      </w:pPr>
      <w:r>
        <w:t>In addition to seeking the best outcomes for people with disability, providers also recognised the importance of service quality to attract clients and ensure their place in the market:</w:t>
      </w:r>
    </w:p>
    <w:p w:rsidR="00D907AF" w:rsidRPr="00D42A2C" w:rsidRDefault="00D907AF" w:rsidP="00D907AF">
      <w:pPr>
        <w:rPr>
          <w:rFonts w:cstheme="minorHAnsi"/>
          <w:szCs w:val="18"/>
        </w:rPr>
      </w:pPr>
    </w:p>
    <w:p w:rsidR="00D907AF" w:rsidRPr="00B61A7D" w:rsidRDefault="00D907AF" w:rsidP="00D907AF">
      <w:pPr>
        <w:ind w:left="720" w:right="851"/>
        <w:rPr>
          <w:rFonts w:cstheme="minorHAnsi"/>
          <w:szCs w:val="18"/>
        </w:rPr>
      </w:pPr>
      <w:r w:rsidRPr="00B61A7D">
        <w:rPr>
          <w:rFonts w:cstheme="minorHAnsi"/>
          <w:szCs w:val="18"/>
        </w:rPr>
        <w:t>‘I think [organisation] is very embracing of the fact that we need to ensure our services are the best quality and most value for money so that parents do select us.’ (A01S)</w:t>
      </w:r>
    </w:p>
    <w:p w:rsidR="00D907AF" w:rsidRDefault="00D907AF" w:rsidP="00D907AF">
      <w:pPr>
        <w:rPr>
          <w:b/>
        </w:rPr>
      </w:pPr>
    </w:p>
    <w:p w:rsidR="00D907AF" w:rsidRPr="00732724" w:rsidRDefault="00D907AF" w:rsidP="00D907AF">
      <w:pPr>
        <w:rPr>
          <w:b/>
        </w:rPr>
      </w:pPr>
      <w:r w:rsidRPr="00732724">
        <w:rPr>
          <w:b/>
        </w:rPr>
        <w:t xml:space="preserve">Relationships with clients </w:t>
      </w:r>
    </w:p>
    <w:p w:rsidR="00D907AF" w:rsidRDefault="00D907AF" w:rsidP="00D907AF"/>
    <w:p w:rsidR="00D907AF" w:rsidRDefault="00D907AF" w:rsidP="00D907AF">
      <w:r w:rsidRPr="00C734E9">
        <w:t xml:space="preserve">Disability service providers observed changes to their relationship with clients. The main impact of the NDIS trial on the relationship between providers and their clients was the greater role that disability service providers took in advocating for clients and helping them to navigate the transition to the NDIS. Providers were also more open with clients about the types and costs of the services they offered and this openness had not had an adverse impact on relationships with existing clients. Providers reported that most clients had opted to remain with existing providers and they attributed the retention of clients who had transitioned to the NDIS to satisfaction with services and the organisation overall. However there was some concern that the focus on financial aspects of service provision may interfere with </w:t>
      </w:r>
      <w:r>
        <w:t xml:space="preserve">the </w:t>
      </w:r>
      <w:r w:rsidRPr="00C734E9">
        <w:t>ability of disability service providers to establish a caring relationship with</w:t>
      </w:r>
      <w:r>
        <w:t xml:space="preserve"> potential new </w:t>
      </w:r>
      <w:r w:rsidRPr="00C734E9">
        <w:t>clients and their famil</w:t>
      </w:r>
      <w:r>
        <w:t>ies</w:t>
      </w:r>
      <w:r w:rsidRPr="00C734E9">
        <w:t>:</w:t>
      </w:r>
    </w:p>
    <w:p w:rsidR="00D907AF" w:rsidRPr="00C734E9" w:rsidRDefault="00D907AF" w:rsidP="00D907AF"/>
    <w:p w:rsidR="00D907AF" w:rsidRPr="00B61A7D" w:rsidRDefault="00D907AF" w:rsidP="00D907AF">
      <w:pPr>
        <w:ind w:left="720" w:right="851"/>
        <w:rPr>
          <w:rFonts w:cstheme="minorHAnsi"/>
          <w:szCs w:val="18"/>
        </w:rPr>
      </w:pPr>
      <w:r w:rsidRPr="00B61A7D">
        <w:rPr>
          <w:rFonts w:cstheme="minorHAnsi"/>
          <w:szCs w:val="18"/>
        </w:rPr>
        <w:t>‘I don’t think before we’ve had to say to them upfront ‘how are you going to pay for this?’… It’s like yeah…okay that’s what you want, but how are you going to pay for it. Because already if I’ve spoken to you for an hour, how have I paid for that hour?...And yet you’re in a situation where you’re trying to create this I suppose caring relationship or some sense that you give a damn about the person beyond the buck that they can give you...’ (E01S)</w:t>
      </w:r>
    </w:p>
    <w:p w:rsidR="00D907AF" w:rsidRDefault="00D907AF" w:rsidP="00367B24">
      <w:pPr>
        <w:pStyle w:val="Heading40"/>
      </w:pPr>
      <w:bookmarkStart w:id="75" w:name="_Toc428271224"/>
      <w:bookmarkStart w:id="76" w:name="_Toc449954964"/>
      <w:r>
        <w:t xml:space="preserve">2.3.3.4 </w:t>
      </w:r>
      <w:r w:rsidRPr="00AC3CBF">
        <w:t xml:space="preserve">Initial impact of the NDIS on the </w:t>
      </w:r>
      <w:r>
        <w:t>w</w:t>
      </w:r>
      <w:r w:rsidRPr="00AC3CBF">
        <w:t>orkforce</w:t>
      </w:r>
      <w:bookmarkEnd w:id="75"/>
      <w:bookmarkEnd w:id="76"/>
    </w:p>
    <w:p w:rsidR="00D907AF" w:rsidRDefault="00D907AF" w:rsidP="00D907AF">
      <w:pPr>
        <w:rPr>
          <w:rFonts w:cstheme="minorHAnsi"/>
          <w:szCs w:val="18"/>
        </w:rPr>
      </w:pPr>
      <w:r>
        <w:rPr>
          <w:rFonts w:cstheme="minorHAnsi"/>
          <w:szCs w:val="18"/>
        </w:rPr>
        <w:t>In addition to impacts on their organisation and disability sector more generally, d</w:t>
      </w:r>
      <w:r w:rsidRPr="00DE0C9F">
        <w:rPr>
          <w:rFonts w:cstheme="minorHAnsi"/>
          <w:szCs w:val="18"/>
        </w:rPr>
        <w:t xml:space="preserve">isability service providers also reported a number of impacts the NDIS had had on </w:t>
      </w:r>
      <w:r>
        <w:rPr>
          <w:rFonts w:cstheme="minorHAnsi"/>
          <w:szCs w:val="18"/>
        </w:rPr>
        <w:t>the workforce</w:t>
      </w:r>
      <w:r w:rsidRPr="00DE0C9F">
        <w:rPr>
          <w:rFonts w:cstheme="minorHAnsi"/>
          <w:szCs w:val="18"/>
        </w:rPr>
        <w:t xml:space="preserve">. These included </w:t>
      </w:r>
      <w:r>
        <w:rPr>
          <w:rFonts w:cstheme="minorHAnsi"/>
          <w:szCs w:val="18"/>
        </w:rPr>
        <w:t xml:space="preserve">the skills and training required by their workforce, recruitment and retention of staff, staff workloads and on industrial relations. </w:t>
      </w:r>
    </w:p>
    <w:p w:rsidR="00D907AF" w:rsidRPr="00C77351" w:rsidRDefault="00D907AF" w:rsidP="00D907AF">
      <w:pPr>
        <w:rPr>
          <w:rFonts w:cstheme="minorHAnsi"/>
          <w:szCs w:val="18"/>
        </w:rPr>
      </w:pPr>
    </w:p>
    <w:p w:rsidR="00D907AF" w:rsidRDefault="00D907AF" w:rsidP="00D907AF">
      <w:pPr>
        <w:rPr>
          <w:rFonts w:cstheme="minorHAnsi"/>
          <w:szCs w:val="18"/>
        </w:rPr>
      </w:pPr>
      <w:r>
        <w:rPr>
          <w:rFonts w:cstheme="minorHAnsi"/>
          <w:szCs w:val="18"/>
        </w:rPr>
        <w:t>Disability service providers described m</w:t>
      </w:r>
      <w:r w:rsidRPr="00455C3F">
        <w:rPr>
          <w:rFonts w:cstheme="minorHAnsi"/>
          <w:szCs w:val="18"/>
        </w:rPr>
        <w:t xml:space="preserve">aintaining staff skills </w:t>
      </w:r>
      <w:r>
        <w:rPr>
          <w:rFonts w:cstheme="minorHAnsi"/>
          <w:szCs w:val="18"/>
        </w:rPr>
        <w:t xml:space="preserve">as </w:t>
      </w:r>
      <w:r w:rsidRPr="00455C3F">
        <w:rPr>
          <w:rFonts w:cstheme="minorHAnsi"/>
          <w:szCs w:val="18"/>
        </w:rPr>
        <w:t xml:space="preserve">integral </w:t>
      </w:r>
      <w:r>
        <w:rPr>
          <w:rFonts w:cstheme="minorHAnsi"/>
          <w:szCs w:val="18"/>
        </w:rPr>
        <w:t xml:space="preserve">to delivering </w:t>
      </w:r>
      <w:r w:rsidRPr="00455C3F">
        <w:rPr>
          <w:rFonts w:cstheme="minorHAnsi"/>
          <w:szCs w:val="18"/>
        </w:rPr>
        <w:t>quality services</w:t>
      </w:r>
      <w:r>
        <w:rPr>
          <w:rFonts w:cstheme="minorHAnsi"/>
          <w:szCs w:val="18"/>
        </w:rPr>
        <w:t>:</w:t>
      </w:r>
    </w:p>
    <w:p w:rsidR="00D907AF" w:rsidRDefault="00D907AF" w:rsidP="00D907AF">
      <w:pPr>
        <w:ind w:left="720"/>
      </w:pPr>
    </w:p>
    <w:p w:rsidR="00D907AF" w:rsidRPr="00FA614D" w:rsidRDefault="00D907AF" w:rsidP="00D907AF">
      <w:pPr>
        <w:ind w:left="720"/>
      </w:pPr>
      <w:r w:rsidRPr="00B61A7D">
        <w:t>‘Training's really important in the quality of your service, so the quality of your staff, the quality of your service, and if you're going to work with people with complex needs safely and try and achieve great outcomes for them.’</w:t>
      </w:r>
      <w:r w:rsidRPr="00FA614D">
        <w:t xml:space="preserve"> (B02S)</w:t>
      </w:r>
    </w:p>
    <w:p w:rsidR="00D907AF" w:rsidRDefault="00D907AF" w:rsidP="00D907AF">
      <w:pPr>
        <w:rPr>
          <w:rFonts w:cstheme="minorHAnsi"/>
          <w:szCs w:val="18"/>
        </w:rPr>
      </w:pPr>
    </w:p>
    <w:p w:rsidR="00D907AF" w:rsidRPr="00C9187C" w:rsidRDefault="00D907AF" w:rsidP="00D907AF">
      <w:pPr>
        <w:rPr>
          <w:rFonts w:cstheme="minorHAnsi"/>
          <w:szCs w:val="18"/>
        </w:rPr>
      </w:pPr>
      <w:r>
        <w:rPr>
          <w:rFonts w:cstheme="minorHAnsi"/>
          <w:szCs w:val="18"/>
        </w:rPr>
        <w:t xml:space="preserve">To maintain or develop these skills providers typically provided staff with </w:t>
      </w:r>
      <w:r w:rsidRPr="00455C3F">
        <w:rPr>
          <w:rFonts w:cstheme="minorHAnsi"/>
          <w:szCs w:val="18"/>
        </w:rPr>
        <w:t>in-house</w:t>
      </w:r>
      <w:r>
        <w:rPr>
          <w:rFonts w:cstheme="minorHAnsi"/>
          <w:szCs w:val="18"/>
        </w:rPr>
        <w:t xml:space="preserve"> job training</w:t>
      </w:r>
      <w:r w:rsidRPr="00455C3F">
        <w:rPr>
          <w:rFonts w:cstheme="minorHAnsi"/>
          <w:szCs w:val="18"/>
        </w:rPr>
        <w:t xml:space="preserve">. </w:t>
      </w:r>
      <w:r w:rsidRPr="00C9187C">
        <w:rPr>
          <w:rFonts w:cstheme="minorHAnsi"/>
          <w:szCs w:val="18"/>
        </w:rPr>
        <w:t xml:space="preserve">The introduction of the NDIS model and its emphasis on transdisciplinary working and individualised service provision had resulted in changes to the provision of training for staff and the skills sought by organisations. Disability service providers sought to develop a skills base around in-home support provision, person-centred care, transdisciplinary working, and, for some of the more innovative supports, recruiting staff with specialist recreation skills. Concerns were raised about the NDIS </w:t>
      </w:r>
      <w:r w:rsidRPr="00C9187C">
        <w:rPr>
          <w:rFonts w:cstheme="minorHAnsi"/>
          <w:szCs w:val="18"/>
        </w:rPr>
        <w:lastRenderedPageBreak/>
        <w:t>funding model and the availability of time and money that disability service providers had to engage in training staff.</w:t>
      </w:r>
    </w:p>
    <w:p w:rsidR="00D907AF" w:rsidRDefault="00D907AF" w:rsidP="00D907AF">
      <w:pPr>
        <w:rPr>
          <w:rFonts w:cstheme="minorHAnsi"/>
          <w:szCs w:val="18"/>
        </w:rPr>
      </w:pPr>
    </w:p>
    <w:p w:rsidR="00D907AF" w:rsidRPr="00304896" w:rsidRDefault="00D907AF" w:rsidP="00D907AF">
      <w:pPr>
        <w:rPr>
          <w:rFonts w:cstheme="minorHAnsi"/>
          <w:szCs w:val="18"/>
        </w:rPr>
      </w:pPr>
      <w:r>
        <w:rPr>
          <w:rFonts w:cstheme="minorHAnsi"/>
          <w:szCs w:val="18"/>
        </w:rPr>
        <w:t xml:space="preserve">Recruiting good quality staff had been challenging for disability service providers prior to the introduction of the NDIS and remained so since the trials had commenced. </w:t>
      </w:r>
      <w:r w:rsidRPr="00304896">
        <w:rPr>
          <w:rFonts w:cstheme="minorHAnsi"/>
          <w:szCs w:val="18"/>
        </w:rPr>
        <w:t>One disability service provider linked problems with recruiting good quality staff not just to lower rates of pay in the disability sector, but to how people with disability and the disability sector more generally were valued across the community:</w:t>
      </w:r>
      <w:r>
        <w:rPr>
          <w:rFonts w:cstheme="minorHAnsi"/>
          <w:szCs w:val="18"/>
        </w:rPr>
        <w:t xml:space="preserve"> </w:t>
      </w:r>
    </w:p>
    <w:p w:rsidR="00D907AF" w:rsidRPr="00304896" w:rsidRDefault="00D907AF" w:rsidP="00D907AF">
      <w:pPr>
        <w:rPr>
          <w:rFonts w:cstheme="minorHAnsi"/>
          <w:szCs w:val="18"/>
        </w:rPr>
      </w:pPr>
    </w:p>
    <w:p w:rsidR="00D907AF" w:rsidRPr="00B61A7D" w:rsidRDefault="00D907AF" w:rsidP="00D907AF">
      <w:pPr>
        <w:ind w:left="720" w:right="851"/>
        <w:rPr>
          <w:rFonts w:cstheme="minorHAnsi"/>
          <w:szCs w:val="18"/>
        </w:rPr>
      </w:pPr>
      <w:r w:rsidRPr="00B61A7D">
        <w:rPr>
          <w:rFonts w:cstheme="minorHAnsi"/>
          <w:szCs w:val="18"/>
        </w:rPr>
        <w:t>‘Yes, support worker staff we’ve always struggled with getting people to see the value of working in the field but because the pay has been so low it’s not been attractive to anyone other than people who will take any job… people with disabilities are devalued and people who work with people with disabilities are devalued as well. Until that nexus is overcome it’s going to be very difficult I think to attract well educated, good quality people.’ (C01S)</w:t>
      </w:r>
    </w:p>
    <w:p w:rsidR="00D907AF" w:rsidRDefault="00D907AF" w:rsidP="00D907AF">
      <w:pPr>
        <w:rPr>
          <w:rFonts w:cstheme="minorHAnsi"/>
          <w:szCs w:val="18"/>
        </w:rPr>
      </w:pPr>
    </w:p>
    <w:p w:rsidR="00D907AF" w:rsidRDefault="00D907AF" w:rsidP="00D907AF">
      <w:pPr>
        <w:rPr>
          <w:rFonts w:cstheme="minorHAnsi"/>
          <w:szCs w:val="18"/>
        </w:rPr>
      </w:pPr>
      <w:r>
        <w:rPr>
          <w:rFonts w:cstheme="minorHAnsi"/>
          <w:szCs w:val="18"/>
        </w:rPr>
        <w:t>Providers reported more competition for staff since the implementation of the NDIS:</w:t>
      </w:r>
    </w:p>
    <w:p w:rsidR="00D907AF" w:rsidRDefault="00D907AF" w:rsidP="00D907AF">
      <w:pPr>
        <w:rPr>
          <w:rFonts w:cstheme="minorHAnsi"/>
          <w:szCs w:val="18"/>
        </w:rPr>
      </w:pPr>
    </w:p>
    <w:p w:rsidR="00D907AF" w:rsidRPr="00FA614D" w:rsidRDefault="00D907AF" w:rsidP="00D907AF">
      <w:pPr>
        <w:ind w:left="720"/>
        <w:rPr>
          <w:rFonts w:cstheme="minorHAnsi"/>
          <w:szCs w:val="18"/>
        </w:rPr>
      </w:pPr>
      <w:r w:rsidRPr="00B61A7D">
        <w:rPr>
          <w:rFonts w:cstheme="minorHAnsi"/>
          <w:szCs w:val="18"/>
        </w:rPr>
        <w:t>‘So the demand of staff is so much higher and the competition of course is that you work across so many other agencies and people are starting picking with wages, conditions, all sorts of things</w:t>
      </w:r>
      <w:r w:rsidRPr="00FA614D">
        <w:rPr>
          <w:rFonts w:cstheme="minorHAnsi"/>
          <w:szCs w:val="18"/>
        </w:rPr>
        <w:t>.’ (A03S)</w:t>
      </w:r>
    </w:p>
    <w:p w:rsidR="00D907AF" w:rsidRPr="00C77351" w:rsidRDefault="00D907AF" w:rsidP="00D907AF">
      <w:pPr>
        <w:rPr>
          <w:rFonts w:cstheme="minorHAnsi"/>
          <w:szCs w:val="18"/>
        </w:rPr>
      </w:pPr>
    </w:p>
    <w:p w:rsidR="00D907AF" w:rsidRDefault="00D907AF" w:rsidP="00D907AF">
      <w:pPr>
        <w:rPr>
          <w:rFonts w:cstheme="minorHAnsi"/>
          <w:szCs w:val="18"/>
        </w:rPr>
      </w:pPr>
      <w:r>
        <w:rPr>
          <w:rFonts w:cstheme="minorHAnsi"/>
          <w:szCs w:val="18"/>
        </w:rPr>
        <w:t>Strategies to attract s</w:t>
      </w:r>
      <w:r w:rsidRPr="0067734A">
        <w:rPr>
          <w:rFonts w:cstheme="minorHAnsi"/>
          <w:szCs w:val="18"/>
        </w:rPr>
        <w:t>upport</w:t>
      </w:r>
      <w:r>
        <w:rPr>
          <w:rFonts w:cstheme="minorHAnsi"/>
          <w:color w:val="00B050"/>
          <w:szCs w:val="18"/>
        </w:rPr>
        <w:t xml:space="preserve"> </w:t>
      </w:r>
      <w:r w:rsidRPr="0067734A">
        <w:rPr>
          <w:rFonts w:cstheme="minorHAnsi"/>
          <w:szCs w:val="18"/>
        </w:rPr>
        <w:t xml:space="preserve">workers </w:t>
      </w:r>
      <w:r>
        <w:rPr>
          <w:rFonts w:cstheme="minorHAnsi"/>
          <w:szCs w:val="18"/>
        </w:rPr>
        <w:t>included hiring</w:t>
      </w:r>
      <w:r w:rsidRPr="00070EB3">
        <w:rPr>
          <w:rFonts w:cstheme="minorHAnsi"/>
          <w:szCs w:val="18"/>
        </w:rPr>
        <w:t xml:space="preserve"> staff based on their values and attitudes rather than their qualifications and then provid</w:t>
      </w:r>
      <w:r>
        <w:rPr>
          <w:rFonts w:cstheme="minorHAnsi"/>
          <w:szCs w:val="18"/>
        </w:rPr>
        <w:t>ing</w:t>
      </w:r>
      <w:r w:rsidRPr="00070EB3">
        <w:rPr>
          <w:rFonts w:cstheme="minorHAnsi"/>
          <w:szCs w:val="18"/>
        </w:rPr>
        <w:t xml:space="preserve"> on-the-job training</w:t>
      </w:r>
      <w:r>
        <w:rPr>
          <w:rFonts w:cstheme="minorHAnsi"/>
          <w:szCs w:val="18"/>
        </w:rPr>
        <w:t xml:space="preserve">, and increasing the number of permanent roles. </w:t>
      </w:r>
    </w:p>
    <w:p w:rsidR="00D907AF" w:rsidRDefault="00D907AF" w:rsidP="00D907AF">
      <w:pPr>
        <w:rPr>
          <w:rFonts w:cstheme="minorHAnsi"/>
          <w:szCs w:val="18"/>
        </w:rPr>
      </w:pPr>
    </w:p>
    <w:p w:rsidR="00D907AF" w:rsidRDefault="00D907AF" w:rsidP="00D907AF">
      <w:pPr>
        <w:rPr>
          <w:rFonts w:cstheme="minorHAnsi"/>
          <w:szCs w:val="18"/>
        </w:rPr>
      </w:pPr>
      <w:r>
        <w:rPr>
          <w:rFonts w:cstheme="minorHAnsi"/>
          <w:szCs w:val="18"/>
        </w:rPr>
        <w:t xml:space="preserve">However, some providers reported that offering permanent roles was problematic, at least in the short term: </w:t>
      </w:r>
    </w:p>
    <w:p w:rsidR="00D907AF" w:rsidRDefault="00D907AF" w:rsidP="00D907AF">
      <w:pPr>
        <w:rPr>
          <w:rFonts w:cstheme="minorHAnsi"/>
          <w:szCs w:val="18"/>
        </w:rPr>
      </w:pPr>
    </w:p>
    <w:p w:rsidR="00D907AF" w:rsidRPr="001151A5" w:rsidRDefault="00D907AF" w:rsidP="00D907AF">
      <w:pPr>
        <w:ind w:left="720"/>
      </w:pPr>
      <w:r w:rsidRPr="00B61A7D">
        <w:t>‘I suppose there’s a growing number of casual staff as well…To cater to the flexibility required with NDIS…It’s really a temporary thing til</w:t>
      </w:r>
      <w:r w:rsidR="003652F8">
        <w:t>l</w:t>
      </w:r>
      <w:r w:rsidRPr="00B61A7D">
        <w:t xml:space="preserve"> we get our head around how things are going because our preference is actually to have part time staff…Because we really, what we’re finding we need is more staff so we actually need to look at how we can give job security to staff...</w:t>
      </w:r>
      <w:r w:rsidRPr="00B61A7D">
        <w:rPr>
          <w:rFonts w:ascii="Arial" w:hAnsi="Arial" w:cs="Arial"/>
        </w:rPr>
        <w:t xml:space="preserve"> </w:t>
      </w:r>
      <w:r w:rsidRPr="00B61A7D">
        <w:t>but really we’re still, because NDIA has been, it’s been such a rush and it’s changing all the time we’re still working on our workforce strategy</w:t>
      </w:r>
      <w:r w:rsidRPr="001151A5">
        <w:t>.’ (B01S)</w:t>
      </w:r>
    </w:p>
    <w:p w:rsidR="00D907AF" w:rsidRDefault="00D907AF" w:rsidP="00D907AF">
      <w:pPr>
        <w:rPr>
          <w:rFonts w:cstheme="minorHAnsi"/>
          <w:szCs w:val="18"/>
        </w:rPr>
      </w:pPr>
    </w:p>
    <w:p w:rsidR="00D907AF" w:rsidRPr="000221F1" w:rsidRDefault="00D907AF" w:rsidP="00D907AF">
      <w:pPr>
        <w:rPr>
          <w:rFonts w:cstheme="minorHAnsi"/>
          <w:szCs w:val="18"/>
        </w:rPr>
      </w:pPr>
      <w:r>
        <w:rPr>
          <w:rFonts w:cstheme="minorHAnsi"/>
          <w:szCs w:val="18"/>
        </w:rPr>
        <w:t>C</w:t>
      </w:r>
      <w:r w:rsidRPr="00070EB3">
        <w:rPr>
          <w:rFonts w:cstheme="minorHAnsi"/>
          <w:szCs w:val="18"/>
        </w:rPr>
        <w:t xml:space="preserve">omparatively lower wages in the sector were </w:t>
      </w:r>
      <w:r>
        <w:rPr>
          <w:rFonts w:cstheme="minorHAnsi"/>
          <w:szCs w:val="18"/>
        </w:rPr>
        <w:t xml:space="preserve">also </w:t>
      </w:r>
      <w:r w:rsidRPr="00070EB3">
        <w:rPr>
          <w:rFonts w:cstheme="minorHAnsi"/>
          <w:szCs w:val="18"/>
        </w:rPr>
        <w:t>a challenge to recruitment at the professional level. For many disability service providers the main competitor</w:t>
      </w:r>
      <w:r>
        <w:rPr>
          <w:rFonts w:cstheme="minorHAnsi"/>
          <w:szCs w:val="18"/>
        </w:rPr>
        <w:t>s</w:t>
      </w:r>
      <w:r w:rsidRPr="00070EB3">
        <w:rPr>
          <w:rFonts w:cstheme="minorHAnsi"/>
          <w:szCs w:val="18"/>
        </w:rPr>
        <w:t xml:space="preserve"> for </w:t>
      </w:r>
      <w:r>
        <w:rPr>
          <w:rFonts w:cstheme="minorHAnsi"/>
          <w:szCs w:val="18"/>
        </w:rPr>
        <w:t xml:space="preserve">allied health </w:t>
      </w:r>
      <w:r w:rsidRPr="00070EB3">
        <w:rPr>
          <w:rFonts w:cstheme="minorHAnsi"/>
          <w:szCs w:val="18"/>
        </w:rPr>
        <w:t xml:space="preserve">staff were private practice and the public sector, </w:t>
      </w:r>
      <w:r>
        <w:rPr>
          <w:rFonts w:cstheme="minorHAnsi"/>
          <w:szCs w:val="18"/>
        </w:rPr>
        <w:t xml:space="preserve">including the NDIA itself, </w:t>
      </w:r>
      <w:r w:rsidRPr="00070EB3">
        <w:rPr>
          <w:rFonts w:cstheme="minorHAnsi"/>
          <w:szCs w:val="18"/>
        </w:rPr>
        <w:t>which were able to offer more attractive salaries</w:t>
      </w:r>
      <w:r>
        <w:rPr>
          <w:rFonts w:cstheme="minorHAnsi"/>
          <w:szCs w:val="18"/>
        </w:rPr>
        <w:t xml:space="preserve">. </w:t>
      </w:r>
      <w:r w:rsidRPr="000221F1">
        <w:rPr>
          <w:rFonts w:cstheme="minorHAnsi"/>
          <w:szCs w:val="18"/>
        </w:rPr>
        <w:t>There was some concern among disability service providers that NDIS pricing would affect wages within the disability sector and had the potential to exacerbate existing difficulties in attracting staff to the sector.</w:t>
      </w:r>
    </w:p>
    <w:p w:rsidR="00D907AF" w:rsidRPr="000221F1" w:rsidRDefault="00D907AF" w:rsidP="00D907AF">
      <w:pPr>
        <w:rPr>
          <w:rFonts w:cstheme="minorHAnsi"/>
          <w:szCs w:val="18"/>
        </w:rPr>
      </w:pPr>
    </w:p>
    <w:p w:rsidR="00D907AF" w:rsidRDefault="00D907AF" w:rsidP="00D907AF">
      <w:pPr>
        <w:rPr>
          <w:rFonts w:cstheme="minorHAnsi"/>
          <w:szCs w:val="18"/>
        </w:rPr>
      </w:pPr>
      <w:r>
        <w:rPr>
          <w:rFonts w:cstheme="minorHAnsi"/>
          <w:szCs w:val="18"/>
        </w:rPr>
        <w:t xml:space="preserve">In order to retain staff, disability service providers attempted to offer other benefits to staff including providing on-going training and opportunities to move around within the organisation. However, some </w:t>
      </w:r>
      <w:r w:rsidRPr="000221F1">
        <w:rPr>
          <w:rFonts w:cstheme="minorHAnsi"/>
          <w:szCs w:val="18"/>
        </w:rPr>
        <w:t>providers argued that the move to a more commercial, business-like model of service provision had led to staff attrition as a result of change to the values and ethos of service provision and increasing job insecurity.</w:t>
      </w:r>
    </w:p>
    <w:p w:rsidR="00D907AF" w:rsidRPr="000221F1" w:rsidRDefault="00D907AF" w:rsidP="00D907AF">
      <w:pPr>
        <w:rPr>
          <w:rFonts w:cstheme="minorHAnsi"/>
          <w:szCs w:val="18"/>
        </w:rPr>
      </w:pPr>
    </w:p>
    <w:p w:rsidR="00D907AF" w:rsidRDefault="00D907AF" w:rsidP="00D907AF">
      <w:pPr>
        <w:rPr>
          <w:rFonts w:cstheme="minorHAnsi"/>
          <w:szCs w:val="18"/>
        </w:rPr>
      </w:pPr>
      <w:r w:rsidRPr="000930F9">
        <w:rPr>
          <w:rFonts w:cstheme="minorHAnsi"/>
          <w:szCs w:val="18"/>
        </w:rPr>
        <w:t xml:space="preserve">Disability service providers </w:t>
      </w:r>
      <w:r>
        <w:rPr>
          <w:rFonts w:cstheme="minorHAnsi"/>
          <w:szCs w:val="18"/>
        </w:rPr>
        <w:t>were</w:t>
      </w:r>
      <w:r w:rsidRPr="000930F9">
        <w:rPr>
          <w:rFonts w:cstheme="minorHAnsi"/>
          <w:szCs w:val="18"/>
        </w:rPr>
        <w:t xml:space="preserve"> concern</w:t>
      </w:r>
      <w:r>
        <w:rPr>
          <w:rFonts w:cstheme="minorHAnsi"/>
          <w:szCs w:val="18"/>
        </w:rPr>
        <w:t>ed</w:t>
      </w:r>
      <w:r w:rsidRPr="000930F9">
        <w:rPr>
          <w:rFonts w:cstheme="minorHAnsi"/>
          <w:szCs w:val="18"/>
        </w:rPr>
        <w:t xml:space="preserve"> that NDIS pricing arrangements conflicted with their industrial relations responsibilities. </w:t>
      </w:r>
      <w:r>
        <w:rPr>
          <w:rFonts w:cstheme="minorHAnsi"/>
          <w:szCs w:val="18"/>
        </w:rPr>
        <w:t xml:space="preserve">Providers identified a </w:t>
      </w:r>
      <w:r w:rsidRPr="000930F9">
        <w:rPr>
          <w:rFonts w:cstheme="minorHAnsi"/>
          <w:szCs w:val="18"/>
        </w:rPr>
        <w:t xml:space="preserve">lack of capacity within NDIA pricing to pay staff the wages outlined by award rates and Enterprise Bargaining Agreements, particularly with </w:t>
      </w:r>
      <w:r w:rsidRPr="000930F9">
        <w:rPr>
          <w:rFonts w:cstheme="minorHAnsi"/>
          <w:szCs w:val="18"/>
        </w:rPr>
        <w:lastRenderedPageBreak/>
        <w:t xml:space="preserve">respect to penalty rates for weekends and night shifts. Similarly, disability service providers </w:t>
      </w:r>
      <w:r>
        <w:rPr>
          <w:rFonts w:cstheme="minorHAnsi"/>
          <w:szCs w:val="18"/>
        </w:rPr>
        <w:t>reported</w:t>
      </w:r>
      <w:r w:rsidRPr="000930F9">
        <w:rPr>
          <w:rFonts w:cstheme="minorHAnsi"/>
          <w:szCs w:val="18"/>
        </w:rPr>
        <w:t xml:space="preserve"> that the NDIS pricing did not account for staff to be provided with the necessary breaks, or for their shifts to conform to the requirements outlined in relevant awards.</w:t>
      </w:r>
    </w:p>
    <w:p w:rsidR="00D907AF" w:rsidRDefault="00D907AF" w:rsidP="00367B24">
      <w:pPr>
        <w:pStyle w:val="Heading40"/>
      </w:pPr>
      <w:bookmarkStart w:id="77" w:name="_Toc428271225"/>
      <w:bookmarkStart w:id="78" w:name="_Toc449954965"/>
      <w:r>
        <w:t xml:space="preserve">2.3.3.5 </w:t>
      </w:r>
      <w:r w:rsidRPr="00AC3CBF">
        <w:t>Initial impact of the NDIS on people with disability, and their famil</w:t>
      </w:r>
      <w:r>
        <w:t>ies</w:t>
      </w:r>
      <w:r w:rsidRPr="00AC3CBF">
        <w:t xml:space="preserve"> and carers</w:t>
      </w:r>
      <w:bookmarkEnd w:id="77"/>
      <w:bookmarkEnd w:id="78"/>
    </w:p>
    <w:p w:rsidR="00D907AF" w:rsidRPr="00640598" w:rsidRDefault="00D907AF" w:rsidP="00D907AF">
      <w:pPr>
        <w:rPr>
          <w:rFonts w:cstheme="minorHAnsi"/>
          <w:i/>
          <w:szCs w:val="18"/>
        </w:rPr>
      </w:pPr>
      <w:r w:rsidRPr="00EE6681">
        <w:rPr>
          <w:rFonts w:cstheme="minorHAnsi"/>
          <w:szCs w:val="18"/>
        </w:rPr>
        <w:t>Disability support providers commented on a number of strength</w:t>
      </w:r>
      <w:r>
        <w:rPr>
          <w:rFonts w:cstheme="minorHAnsi"/>
          <w:szCs w:val="18"/>
        </w:rPr>
        <w:t>s</w:t>
      </w:r>
      <w:r w:rsidRPr="00EE6681">
        <w:rPr>
          <w:rFonts w:cstheme="minorHAnsi"/>
          <w:szCs w:val="18"/>
        </w:rPr>
        <w:t xml:space="preserve"> and weaknesses of the emerging NDIS that w</w:t>
      </w:r>
      <w:r>
        <w:rPr>
          <w:rFonts w:cstheme="minorHAnsi"/>
          <w:szCs w:val="18"/>
        </w:rPr>
        <w:t>ere</w:t>
      </w:r>
      <w:r w:rsidRPr="00EE6681">
        <w:rPr>
          <w:rFonts w:cstheme="minorHAnsi"/>
          <w:szCs w:val="18"/>
        </w:rPr>
        <w:t xml:space="preserve"> affecting people with disability. </w:t>
      </w:r>
      <w:r w:rsidRPr="00913871">
        <w:rPr>
          <w:rFonts w:cstheme="minorHAnsi"/>
          <w:szCs w:val="18"/>
        </w:rPr>
        <w:t xml:space="preserve">Those specifically addressed concerned </w:t>
      </w:r>
      <w:r>
        <w:rPr>
          <w:rFonts w:cstheme="minorHAnsi"/>
          <w:szCs w:val="18"/>
        </w:rPr>
        <w:t>s</w:t>
      </w:r>
      <w:r w:rsidRPr="00913871">
        <w:rPr>
          <w:rFonts w:cstheme="minorHAnsi"/>
          <w:szCs w:val="18"/>
        </w:rPr>
        <w:t xml:space="preserve">upport services and NDIS plans, </w:t>
      </w:r>
      <w:r>
        <w:rPr>
          <w:rFonts w:cstheme="minorHAnsi"/>
          <w:szCs w:val="18"/>
        </w:rPr>
        <w:t>s</w:t>
      </w:r>
      <w:r w:rsidRPr="00913871">
        <w:rPr>
          <w:rFonts w:cstheme="minorHAnsi"/>
          <w:szCs w:val="18"/>
        </w:rPr>
        <w:t xml:space="preserve">elf-managed funding, </w:t>
      </w:r>
      <w:r>
        <w:rPr>
          <w:rFonts w:cstheme="minorHAnsi"/>
          <w:szCs w:val="18"/>
        </w:rPr>
        <w:t xml:space="preserve">impacts on social and </w:t>
      </w:r>
      <w:r w:rsidRPr="00913871">
        <w:rPr>
          <w:rFonts w:cstheme="minorHAnsi"/>
          <w:szCs w:val="18"/>
        </w:rPr>
        <w:t xml:space="preserve">economic participation, </w:t>
      </w:r>
      <w:r>
        <w:rPr>
          <w:rFonts w:cstheme="minorHAnsi"/>
          <w:szCs w:val="18"/>
        </w:rPr>
        <w:t>particular issues affecting p</w:t>
      </w:r>
      <w:r w:rsidRPr="00913871">
        <w:rPr>
          <w:rFonts w:cstheme="minorHAnsi"/>
          <w:szCs w:val="18"/>
        </w:rPr>
        <w:t xml:space="preserve">eople with psycho-social disability and supporting people from </w:t>
      </w:r>
      <w:r>
        <w:rPr>
          <w:rFonts w:cstheme="minorHAnsi"/>
          <w:szCs w:val="18"/>
        </w:rPr>
        <w:t>d</w:t>
      </w:r>
      <w:r w:rsidRPr="00913871">
        <w:rPr>
          <w:rFonts w:cstheme="minorHAnsi"/>
          <w:szCs w:val="18"/>
        </w:rPr>
        <w:t xml:space="preserve">ifferent </w:t>
      </w:r>
      <w:r>
        <w:rPr>
          <w:rFonts w:cstheme="minorHAnsi"/>
          <w:szCs w:val="18"/>
        </w:rPr>
        <w:t>b</w:t>
      </w:r>
      <w:r w:rsidRPr="00913871">
        <w:rPr>
          <w:rFonts w:cstheme="minorHAnsi"/>
          <w:szCs w:val="18"/>
        </w:rPr>
        <w:t>ackgrounds</w:t>
      </w:r>
      <w:r>
        <w:rPr>
          <w:rFonts w:cstheme="minorHAnsi"/>
          <w:szCs w:val="18"/>
        </w:rPr>
        <w:t>.</w:t>
      </w:r>
    </w:p>
    <w:p w:rsidR="00D907AF" w:rsidRPr="00C77351" w:rsidRDefault="00D907AF" w:rsidP="00D907AF">
      <w:pPr>
        <w:rPr>
          <w:rFonts w:cstheme="minorHAnsi"/>
          <w:szCs w:val="18"/>
        </w:rPr>
      </w:pPr>
    </w:p>
    <w:p w:rsidR="00D907AF" w:rsidRPr="009E5EA5" w:rsidRDefault="00D907AF" w:rsidP="00D907AF">
      <w:pPr>
        <w:rPr>
          <w:rFonts w:cstheme="minorHAnsi"/>
          <w:szCs w:val="18"/>
        </w:rPr>
      </w:pPr>
      <w:r w:rsidRPr="009E5EA5">
        <w:rPr>
          <w:rFonts w:cstheme="minorHAnsi"/>
          <w:szCs w:val="18"/>
        </w:rPr>
        <w:t xml:space="preserve">Disability service providers reported mixed outcomes in service provision for people with disability under the NDIS. Providers </w:t>
      </w:r>
      <w:r>
        <w:rPr>
          <w:rFonts w:cstheme="minorHAnsi"/>
          <w:szCs w:val="18"/>
        </w:rPr>
        <w:t>observed</w:t>
      </w:r>
      <w:r w:rsidRPr="009E5EA5">
        <w:rPr>
          <w:rFonts w:cstheme="minorHAnsi"/>
          <w:szCs w:val="18"/>
        </w:rPr>
        <w:t xml:space="preserve"> positive changes for many clients, and, on the whole, disability support plans provided NDIS participants with the supports and services that they need</w:t>
      </w:r>
      <w:r>
        <w:rPr>
          <w:rFonts w:cstheme="minorHAnsi"/>
          <w:szCs w:val="18"/>
        </w:rPr>
        <w:t>ed</w:t>
      </w:r>
      <w:r w:rsidRPr="009E5EA5">
        <w:rPr>
          <w:rFonts w:cstheme="minorHAnsi"/>
          <w:szCs w:val="18"/>
        </w:rPr>
        <w:t xml:space="preserve">. Providers were impressed that access to allied health supports and services had increased due to better funding arrangements. However, some NDIS participants were reported to have fewer support services included in their </w:t>
      </w:r>
      <w:r>
        <w:rPr>
          <w:rFonts w:cstheme="minorHAnsi"/>
          <w:szCs w:val="18"/>
        </w:rPr>
        <w:t>support</w:t>
      </w:r>
      <w:r w:rsidRPr="009E5EA5">
        <w:rPr>
          <w:rFonts w:cstheme="minorHAnsi"/>
          <w:szCs w:val="18"/>
        </w:rPr>
        <w:t xml:space="preserve"> plan</w:t>
      </w:r>
      <w:r>
        <w:rPr>
          <w:rFonts w:cstheme="minorHAnsi"/>
          <w:szCs w:val="18"/>
        </w:rPr>
        <w:t>s</w:t>
      </w:r>
      <w:r w:rsidRPr="009E5EA5">
        <w:rPr>
          <w:rFonts w:cstheme="minorHAnsi"/>
          <w:szCs w:val="18"/>
        </w:rPr>
        <w:t xml:space="preserve"> compared to what they had </w:t>
      </w:r>
      <w:r>
        <w:rPr>
          <w:rFonts w:cstheme="minorHAnsi"/>
          <w:szCs w:val="18"/>
        </w:rPr>
        <w:t xml:space="preserve">been receiving </w:t>
      </w:r>
      <w:r w:rsidRPr="009E5EA5">
        <w:rPr>
          <w:rFonts w:cstheme="minorHAnsi"/>
          <w:szCs w:val="18"/>
        </w:rPr>
        <w:t xml:space="preserve">prior to joining the NDIS. </w:t>
      </w:r>
    </w:p>
    <w:p w:rsidR="00D907AF" w:rsidRPr="009E5EA5" w:rsidRDefault="00D907AF" w:rsidP="00D907AF">
      <w:pPr>
        <w:rPr>
          <w:rFonts w:cstheme="minorHAnsi"/>
          <w:szCs w:val="18"/>
        </w:rPr>
      </w:pPr>
    </w:p>
    <w:p w:rsidR="00D907AF" w:rsidRDefault="00D907AF" w:rsidP="00D907AF">
      <w:pPr>
        <w:rPr>
          <w:rFonts w:cstheme="minorHAnsi"/>
          <w:szCs w:val="18"/>
        </w:rPr>
      </w:pPr>
      <w:r w:rsidRPr="009E5EA5">
        <w:rPr>
          <w:rFonts w:cstheme="minorHAnsi"/>
          <w:szCs w:val="18"/>
        </w:rPr>
        <w:t>Providers observed considerable variation in NDIS plans, which created different levels of satisfaction among NDIS participants</w:t>
      </w:r>
      <w:r>
        <w:rPr>
          <w:rFonts w:cstheme="minorHAnsi"/>
          <w:szCs w:val="18"/>
        </w:rPr>
        <w:t>,</w:t>
      </w:r>
      <w:r w:rsidRPr="009E5EA5">
        <w:rPr>
          <w:rFonts w:cstheme="minorHAnsi"/>
          <w:szCs w:val="18"/>
        </w:rPr>
        <w:t xml:space="preserve"> and their families and carers</w:t>
      </w:r>
      <w:r>
        <w:rPr>
          <w:rFonts w:cstheme="minorHAnsi"/>
          <w:szCs w:val="18"/>
        </w:rPr>
        <w:t>:</w:t>
      </w:r>
    </w:p>
    <w:p w:rsidR="00D907AF" w:rsidRDefault="00D907AF" w:rsidP="00D907AF">
      <w:pPr>
        <w:rPr>
          <w:rFonts w:cstheme="minorHAnsi"/>
          <w:szCs w:val="18"/>
        </w:rPr>
      </w:pPr>
    </w:p>
    <w:p w:rsidR="00D907AF" w:rsidRPr="00B61A7D" w:rsidRDefault="00D907AF" w:rsidP="00D907AF">
      <w:pPr>
        <w:ind w:left="720" w:right="851"/>
        <w:rPr>
          <w:rFonts w:cstheme="minorHAnsi"/>
          <w:szCs w:val="18"/>
        </w:rPr>
      </w:pPr>
      <w:r w:rsidRPr="00B61A7D">
        <w:rPr>
          <w:rFonts w:cstheme="minorHAnsi"/>
          <w:szCs w:val="18"/>
        </w:rPr>
        <w:t>‘A huge degree of variability; some parents expressing satisfaction with the process of engaging with the NDIA and satisfaction with the outcome of their plan for their child, so that’s at one end of the spectrum, all the way through to the other end of the spectrum of complete dissatisfaction, confusion, anger…’ (A01S)</w:t>
      </w:r>
    </w:p>
    <w:p w:rsidR="00D907AF" w:rsidRDefault="00D907AF" w:rsidP="00D907AF">
      <w:pPr>
        <w:rPr>
          <w:rFonts w:cstheme="minorHAnsi"/>
          <w:szCs w:val="18"/>
        </w:rPr>
      </w:pPr>
    </w:p>
    <w:p w:rsidR="00D907AF" w:rsidRPr="009E5EA5" w:rsidRDefault="00D907AF" w:rsidP="00D907AF">
      <w:pPr>
        <w:rPr>
          <w:rFonts w:cstheme="minorHAnsi"/>
          <w:szCs w:val="18"/>
        </w:rPr>
      </w:pPr>
      <w:r w:rsidRPr="009E5EA5">
        <w:rPr>
          <w:rFonts w:cstheme="minorHAnsi"/>
          <w:szCs w:val="18"/>
        </w:rPr>
        <w:t xml:space="preserve">Some attributed this apparent inconsistency to planners’ variable levels of skills and experience in the disability sector, with some planners viewed as lacking knowledge of the range of supports that were potentially available. Other disability service providers </w:t>
      </w:r>
      <w:r>
        <w:rPr>
          <w:rFonts w:cstheme="minorHAnsi"/>
          <w:szCs w:val="18"/>
        </w:rPr>
        <w:t>attributed</w:t>
      </w:r>
      <w:r w:rsidRPr="009E5EA5">
        <w:rPr>
          <w:rFonts w:cstheme="minorHAnsi"/>
          <w:szCs w:val="18"/>
        </w:rPr>
        <w:t xml:space="preserve"> this variability </w:t>
      </w:r>
      <w:r>
        <w:rPr>
          <w:rFonts w:cstheme="minorHAnsi"/>
          <w:szCs w:val="18"/>
        </w:rPr>
        <w:t>to</w:t>
      </w:r>
      <w:r w:rsidRPr="009E5EA5">
        <w:rPr>
          <w:rFonts w:cstheme="minorHAnsi"/>
          <w:szCs w:val="18"/>
        </w:rPr>
        <w:t xml:space="preserve"> the pace of change brought about by the fast introduction of the NDIS and the much slower development of expertise amongst planners. </w:t>
      </w:r>
    </w:p>
    <w:p w:rsidR="00D907AF" w:rsidRPr="009E5EA5" w:rsidRDefault="00D907AF" w:rsidP="00D907AF">
      <w:pPr>
        <w:rPr>
          <w:rFonts w:cstheme="minorHAnsi"/>
          <w:szCs w:val="18"/>
        </w:rPr>
      </w:pPr>
    </w:p>
    <w:p w:rsidR="00D907AF" w:rsidRDefault="00D907AF" w:rsidP="00D907AF">
      <w:pPr>
        <w:rPr>
          <w:rFonts w:cstheme="minorHAnsi"/>
          <w:szCs w:val="18"/>
        </w:rPr>
      </w:pPr>
      <w:r w:rsidRPr="009E5EA5">
        <w:rPr>
          <w:rFonts w:cstheme="minorHAnsi"/>
          <w:szCs w:val="18"/>
        </w:rPr>
        <w:t>It was argued that people with disability who were more able to navigate the system and interact with NDIA planners experienced better outcomes in terms of the supports included in their plans</w:t>
      </w:r>
      <w:r>
        <w:rPr>
          <w:rFonts w:cstheme="minorHAnsi"/>
          <w:szCs w:val="18"/>
        </w:rPr>
        <w:t>:</w:t>
      </w:r>
    </w:p>
    <w:p w:rsidR="00D907AF" w:rsidRDefault="00D907AF" w:rsidP="00D907AF">
      <w:pPr>
        <w:rPr>
          <w:rFonts w:cstheme="minorHAnsi"/>
          <w:szCs w:val="18"/>
        </w:rPr>
      </w:pPr>
    </w:p>
    <w:p w:rsidR="00D907AF" w:rsidRPr="00B61A7D" w:rsidRDefault="00D907AF" w:rsidP="00D907AF">
      <w:pPr>
        <w:ind w:left="720" w:right="851"/>
        <w:rPr>
          <w:rFonts w:cstheme="minorHAnsi"/>
          <w:szCs w:val="18"/>
        </w:rPr>
      </w:pPr>
      <w:r w:rsidRPr="00B61A7D">
        <w:rPr>
          <w:rFonts w:cstheme="minorHAnsi"/>
          <w:szCs w:val="18"/>
        </w:rPr>
        <w:t>‘I still think that it’s a system for the savvy. In the sense that if you’ve got really good advocacy or a family who understands the system or an advocate that does, or you do as a participant, then you still seem to come out with a better result through the planning process.’ (B01S)</w:t>
      </w:r>
    </w:p>
    <w:p w:rsidR="00D907AF" w:rsidRDefault="00D907AF" w:rsidP="00D907AF">
      <w:pPr>
        <w:rPr>
          <w:rFonts w:cstheme="minorHAnsi"/>
          <w:szCs w:val="18"/>
        </w:rPr>
      </w:pPr>
    </w:p>
    <w:p w:rsidR="00D907AF" w:rsidRDefault="00D907AF" w:rsidP="00D907AF">
      <w:pPr>
        <w:rPr>
          <w:rFonts w:cstheme="minorHAnsi"/>
          <w:szCs w:val="18"/>
        </w:rPr>
      </w:pPr>
      <w:r>
        <w:rPr>
          <w:rFonts w:cstheme="minorHAnsi"/>
          <w:szCs w:val="18"/>
        </w:rPr>
        <w:t>Providers believed t</w:t>
      </w:r>
      <w:r w:rsidRPr="009E5EA5">
        <w:rPr>
          <w:rFonts w:cstheme="minorHAnsi"/>
          <w:szCs w:val="18"/>
        </w:rPr>
        <w:t xml:space="preserve">hose </w:t>
      </w:r>
      <w:r>
        <w:rPr>
          <w:rFonts w:cstheme="minorHAnsi"/>
          <w:szCs w:val="18"/>
        </w:rPr>
        <w:t xml:space="preserve">people with disability who did not fully </w:t>
      </w:r>
      <w:r w:rsidRPr="009E5EA5">
        <w:rPr>
          <w:rFonts w:cstheme="minorHAnsi"/>
          <w:szCs w:val="18"/>
        </w:rPr>
        <w:t xml:space="preserve">understand the </w:t>
      </w:r>
      <w:r>
        <w:rPr>
          <w:rFonts w:cstheme="minorHAnsi"/>
          <w:szCs w:val="18"/>
        </w:rPr>
        <w:t xml:space="preserve">approach to disability services or could not fully </w:t>
      </w:r>
      <w:r w:rsidRPr="009E5EA5">
        <w:rPr>
          <w:rFonts w:cstheme="minorHAnsi"/>
          <w:szCs w:val="18"/>
        </w:rPr>
        <w:t xml:space="preserve">articulate their needs were considered at risk </w:t>
      </w:r>
      <w:r>
        <w:rPr>
          <w:rFonts w:cstheme="minorHAnsi"/>
          <w:szCs w:val="18"/>
        </w:rPr>
        <w:t>of being left behind or underserviced under the new system</w:t>
      </w:r>
      <w:r w:rsidRPr="009E5EA5">
        <w:rPr>
          <w:rFonts w:cstheme="minorHAnsi"/>
          <w:szCs w:val="18"/>
        </w:rPr>
        <w:t xml:space="preserve">. </w:t>
      </w:r>
      <w:r w:rsidRPr="0092092E">
        <w:rPr>
          <w:rFonts w:cstheme="minorHAnsi"/>
          <w:szCs w:val="18"/>
        </w:rPr>
        <w:t>Providers saw the need for more support coordination for the most complex cases and stronger protections for their most vulnerable clients.</w:t>
      </w:r>
    </w:p>
    <w:p w:rsidR="00D907AF" w:rsidRPr="009E5EA5" w:rsidRDefault="00D907AF" w:rsidP="00D907AF">
      <w:pPr>
        <w:rPr>
          <w:rFonts w:cstheme="minorHAnsi"/>
          <w:szCs w:val="18"/>
        </w:rPr>
      </w:pPr>
    </w:p>
    <w:p w:rsidR="00D907AF" w:rsidRPr="001D0312" w:rsidRDefault="00D907AF" w:rsidP="00D907AF">
      <w:pPr>
        <w:rPr>
          <w:rFonts w:cstheme="minorHAnsi"/>
          <w:szCs w:val="18"/>
        </w:rPr>
      </w:pPr>
      <w:r w:rsidRPr="001D0312">
        <w:rPr>
          <w:rFonts w:cstheme="minorHAnsi"/>
          <w:szCs w:val="18"/>
        </w:rPr>
        <w:t xml:space="preserve">Disability service providers </w:t>
      </w:r>
      <w:r>
        <w:rPr>
          <w:rFonts w:cstheme="minorHAnsi"/>
          <w:szCs w:val="18"/>
        </w:rPr>
        <w:t>felt</w:t>
      </w:r>
      <w:r w:rsidRPr="001D0312">
        <w:rPr>
          <w:rFonts w:cstheme="minorHAnsi"/>
          <w:szCs w:val="18"/>
        </w:rPr>
        <w:t xml:space="preserve"> that people with disability and their families were not always aware of the types of support services that were available or appropriate. </w:t>
      </w:r>
      <w:r>
        <w:rPr>
          <w:rFonts w:cstheme="minorHAnsi"/>
          <w:szCs w:val="18"/>
        </w:rPr>
        <w:t>Consequently</w:t>
      </w:r>
      <w:r w:rsidRPr="001D0312">
        <w:rPr>
          <w:rFonts w:cstheme="minorHAnsi"/>
          <w:szCs w:val="18"/>
        </w:rPr>
        <w:t xml:space="preserve">, they did not know what </w:t>
      </w:r>
      <w:r>
        <w:rPr>
          <w:rFonts w:cstheme="minorHAnsi"/>
          <w:szCs w:val="18"/>
        </w:rPr>
        <w:t xml:space="preserve">supports </w:t>
      </w:r>
      <w:r w:rsidRPr="001D0312">
        <w:rPr>
          <w:rFonts w:cstheme="minorHAnsi"/>
          <w:szCs w:val="18"/>
        </w:rPr>
        <w:t>to ask for when attending planning meetings.</w:t>
      </w:r>
      <w:r>
        <w:rPr>
          <w:rFonts w:cstheme="minorHAnsi"/>
          <w:szCs w:val="18"/>
        </w:rPr>
        <w:t xml:space="preserve"> </w:t>
      </w:r>
      <w:r w:rsidRPr="001D0312">
        <w:rPr>
          <w:rFonts w:cstheme="minorHAnsi"/>
          <w:szCs w:val="18"/>
        </w:rPr>
        <w:t>Some providers argued that without knowledge of services relevant to their circumstances, the ability of people with disability to exerc</w:t>
      </w:r>
      <w:r>
        <w:rPr>
          <w:rFonts w:cstheme="minorHAnsi"/>
          <w:szCs w:val="18"/>
        </w:rPr>
        <w:t>ise choice was limited and “</w:t>
      </w:r>
      <w:r w:rsidRPr="00B61A7D">
        <w:rPr>
          <w:rFonts w:cstheme="minorHAnsi"/>
          <w:szCs w:val="18"/>
        </w:rPr>
        <w:t>people are just going to stick to what they know</w:t>
      </w:r>
      <w:r>
        <w:rPr>
          <w:rFonts w:cstheme="minorHAnsi"/>
          <w:szCs w:val="18"/>
        </w:rPr>
        <w:t>”</w:t>
      </w:r>
      <w:r w:rsidRPr="001D0312">
        <w:rPr>
          <w:rFonts w:cstheme="minorHAnsi"/>
          <w:szCs w:val="18"/>
        </w:rPr>
        <w:t xml:space="preserve"> (E02S).</w:t>
      </w:r>
      <w:r>
        <w:rPr>
          <w:rFonts w:cstheme="minorHAnsi"/>
          <w:szCs w:val="18"/>
        </w:rPr>
        <w:t xml:space="preserve"> </w:t>
      </w:r>
      <w:r w:rsidRPr="00B106BA">
        <w:rPr>
          <w:rFonts w:cstheme="minorHAnsi"/>
          <w:szCs w:val="18"/>
        </w:rPr>
        <w:t xml:space="preserve">Several providers </w:t>
      </w:r>
      <w:r w:rsidRPr="00B106BA">
        <w:rPr>
          <w:rFonts w:cstheme="minorHAnsi"/>
          <w:szCs w:val="18"/>
        </w:rPr>
        <w:lastRenderedPageBreak/>
        <w:t>cited the importance of NDIA staff in providing information about services to participants and their families, including workshops or pre-planning meetings.</w:t>
      </w:r>
      <w:r w:rsidRPr="001D0312">
        <w:rPr>
          <w:rFonts w:cstheme="minorHAnsi"/>
          <w:szCs w:val="18"/>
        </w:rPr>
        <w:t xml:space="preserve"> </w:t>
      </w:r>
    </w:p>
    <w:p w:rsidR="00D907AF" w:rsidRPr="00FA7DEF" w:rsidRDefault="00D907AF" w:rsidP="00D907AF">
      <w:pPr>
        <w:rPr>
          <w:rFonts w:cstheme="minorHAnsi"/>
          <w:szCs w:val="18"/>
        </w:rPr>
      </w:pPr>
    </w:p>
    <w:p w:rsidR="00D907AF" w:rsidRPr="00C77351" w:rsidRDefault="00D907AF" w:rsidP="003F1508">
      <w:pPr>
        <w:spacing w:after="240"/>
        <w:rPr>
          <w:rFonts w:cstheme="minorHAnsi"/>
          <w:szCs w:val="18"/>
        </w:rPr>
      </w:pPr>
      <w:r>
        <w:rPr>
          <w:rFonts w:cstheme="minorHAnsi"/>
          <w:szCs w:val="18"/>
        </w:rPr>
        <w:t xml:space="preserve">Providers saw little evidence of an </w:t>
      </w:r>
      <w:r w:rsidRPr="009E5EA5">
        <w:rPr>
          <w:rFonts w:cstheme="minorHAnsi"/>
          <w:szCs w:val="18"/>
        </w:rPr>
        <w:t>uptake of self-managed funding</w:t>
      </w:r>
      <w:r>
        <w:rPr>
          <w:rFonts w:cstheme="minorHAnsi"/>
          <w:szCs w:val="18"/>
        </w:rPr>
        <w:t xml:space="preserve"> among NDIS participants. Although they felt that </w:t>
      </w:r>
      <w:r w:rsidRPr="009E5EA5">
        <w:rPr>
          <w:rFonts w:cstheme="minorHAnsi"/>
          <w:szCs w:val="18"/>
        </w:rPr>
        <w:t xml:space="preserve">self-managing funding </w:t>
      </w:r>
      <w:r>
        <w:rPr>
          <w:rFonts w:cstheme="minorHAnsi"/>
          <w:szCs w:val="18"/>
        </w:rPr>
        <w:t xml:space="preserve">had the potential to </w:t>
      </w:r>
      <w:r w:rsidRPr="009E5EA5">
        <w:rPr>
          <w:rFonts w:cstheme="minorHAnsi"/>
          <w:szCs w:val="18"/>
        </w:rPr>
        <w:t>increase choice for NDIS participants</w:t>
      </w:r>
      <w:r>
        <w:rPr>
          <w:rFonts w:cstheme="minorHAnsi"/>
          <w:szCs w:val="18"/>
        </w:rPr>
        <w:t>, they were also</w:t>
      </w:r>
      <w:r w:rsidRPr="009E5EA5">
        <w:rPr>
          <w:rFonts w:cstheme="minorHAnsi"/>
          <w:szCs w:val="18"/>
        </w:rPr>
        <w:t xml:space="preserve"> concern</w:t>
      </w:r>
      <w:r>
        <w:rPr>
          <w:rFonts w:cstheme="minorHAnsi"/>
          <w:szCs w:val="18"/>
        </w:rPr>
        <w:t>ed</w:t>
      </w:r>
      <w:r w:rsidRPr="009E5EA5">
        <w:rPr>
          <w:rFonts w:cstheme="minorHAnsi"/>
          <w:szCs w:val="18"/>
        </w:rPr>
        <w:t xml:space="preserve"> </w:t>
      </w:r>
      <w:r>
        <w:rPr>
          <w:rFonts w:cstheme="minorHAnsi"/>
          <w:szCs w:val="18"/>
        </w:rPr>
        <w:t xml:space="preserve">about NDIS participants’ capacity to self-manage their funding effectively. In particular, providers pointed to the risk of NDIS participants using </w:t>
      </w:r>
      <w:r w:rsidRPr="009E5EA5">
        <w:rPr>
          <w:rFonts w:cstheme="minorHAnsi"/>
          <w:szCs w:val="18"/>
        </w:rPr>
        <w:t>unregistered providers</w:t>
      </w:r>
      <w:r>
        <w:rPr>
          <w:rFonts w:cstheme="minorHAnsi"/>
          <w:szCs w:val="18"/>
        </w:rPr>
        <w:t xml:space="preserve"> whose</w:t>
      </w:r>
      <w:r w:rsidRPr="009E5EA5">
        <w:rPr>
          <w:rFonts w:cstheme="minorHAnsi"/>
          <w:szCs w:val="18"/>
        </w:rPr>
        <w:t xml:space="preserve"> skills and quality of service</w:t>
      </w:r>
      <w:r>
        <w:rPr>
          <w:rFonts w:cstheme="minorHAnsi"/>
          <w:szCs w:val="18"/>
        </w:rPr>
        <w:t xml:space="preserve"> were questioned</w:t>
      </w:r>
      <w:r w:rsidRPr="009E5EA5">
        <w:rPr>
          <w:rFonts w:cstheme="minorHAnsi"/>
          <w:szCs w:val="18"/>
        </w:rPr>
        <w:t>.</w:t>
      </w:r>
      <w:r>
        <w:rPr>
          <w:rFonts w:cstheme="minorHAnsi"/>
          <w:szCs w:val="18"/>
        </w:rPr>
        <w:t xml:space="preserve"> Providers called for greater </w:t>
      </w:r>
      <w:r w:rsidRPr="008531DF">
        <w:rPr>
          <w:rFonts w:cstheme="minorHAnsi"/>
          <w:szCs w:val="18"/>
        </w:rPr>
        <w:t xml:space="preserve">safeguards </w:t>
      </w:r>
      <w:r>
        <w:rPr>
          <w:rFonts w:cstheme="minorHAnsi"/>
          <w:szCs w:val="18"/>
        </w:rPr>
        <w:t xml:space="preserve">including a clear quality assurance process </w:t>
      </w:r>
      <w:r w:rsidRPr="008531DF">
        <w:rPr>
          <w:rFonts w:cstheme="minorHAnsi"/>
          <w:szCs w:val="18"/>
        </w:rPr>
        <w:t>to ensure people with disability were not financially exploited by their family, service providers or others in the community.</w:t>
      </w:r>
    </w:p>
    <w:p w:rsidR="00D907AF" w:rsidRDefault="00D907AF" w:rsidP="00D907AF">
      <w:pPr>
        <w:rPr>
          <w:rFonts w:cstheme="minorHAnsi"/>
          <w:szCs w:val="18"/>
        </w:rPr>
      </w:pPr>
      <w:r w:rsidRPr="008531DF">
        <w:rPr>
          <w:rFonts w:cstheme="minorHAnsi"/>
          <w:szCs w:val="18"/>
        </w:rPr>
        <w:t xml:space="preserve">Service providers were more likely to report increased social participation amongst NDIS participants than increased economic participation. One provider attributed increased social participation among NDIS participants to the greater flexibility in the delivery of support services. For example, flexibility in service delivery hours </w:t>
      </w:r>
      <w:r>
        <w:rPr>
          <w:rFonts w:cstheme="minorHAnsi"/>
          <w:szCs w:val="18"/>
        </w:rPr>
        <w:t>gave</w:t>
      </w:r>
      <w:r w:rsidRPr="008531DF">
        <w:rPr>
          <w:rFonts w:cstheme="minorHAnsi"/>
          <w:szCs w:val="18"/>
        </w:rPr>
        <w:t xml:space="preserve"> people with disability the opportunity to become involved in social activities in the evenings and weekends. </w:t>
      </w:r>
    </w:p>
    <w:p w:rsidR="00D907AF" w:rsidRPr="008531DF" w:rsidRDefault="00D907AF" w:rsidP="00D907AF">
      <w:pPr>
        <w:rPr>
          <w:rFonts w:cstheme="minorHAnsi"/>
          <w:szCs w:val="18"/>
        </w:rPr>
      </w:pPr>
    </w:p>
    <w:p w:rsidR="00D907AF" w:rsidRPr="008531DF" w:rsidRDefault="00D907AF" w:rsidP="00D907AF">
      <w:pPr>
        <w:rPr>
          <w:rFonts w:cstheme="minorHAnsi"/>
          <w:i/>
          <w:szCs w:val="18"/>
        </w:rPr>
      </w:pPr>
      <w:r>
        <w:rPr>
          <w:rFonts w:cstheme="minorHAnsi"/>
          <w:szCs w:val="18"/>
        </w:rPr>
        <w:t xml:space="preserve">However, other providers argued that only very limited </w:t>
      </w:r>
      <w:r w:rsidRPr="008531DF">
        <w:rPr>
          <w:rFonts w:cstheme="minorHAnsi"/>
          <w:szCs w:val="18"/>
        </w:rPr>
        <w:t>supports were being provided in NDIS plans to facilitate social participation</w:t>
      </w:r>
      <w:r>
        <w:rPr>
          <w:rFonts w:cstheme="minorHAnsi"/>
          <w:szCs w:val="18"/>
        </w:rPr>
        <w:t>. As noted earlier, some also felt that the shift from group-based to individualised supports could, in fact, be counteracting efforts to increase social participation</w:t>
      </w:r>
      <w:r w:rsidRPr="008531DF">
        <w:rPr>
          <w:rFonts w:cstheme="minorHAnsi"/>
          <w:szCs w:val="18"/>
        </w:rPr>
        <w:t>.</w:t>
      </w:r>
      <w:r>
        <w:rPr>
          <w:rFonts w:cstheme="minorHAnsi"/>
          <w:szCs w:val="18"/>
        </w:rPr>
        <w:t xml:space="preserve"> </w:t>
      </w:r>
      <w:r w:rsidRPr="008531DF">
        <w:rPr>
          <w:rFonts w:cstheme="minorHAnsi"/>
          <w:szCs w:val="18"/>
        </w:rPr>
        <w:t xml:space="preserve">Service providers </w:t>
      </w:r>
      <w:r>
        <w:rPr>
          <w:rFonts w:cstheme="minorHAnsi"/>
          <w:szCs w:val="18"/>
        </w:rPr>
        <w:t>urged for more</w:t>
      </w:r>
      <w:r w:rsidRPr="008531DF">
        <w:rPr>
          <w:rFonts w:cstheme="minorHAnsi"/>
          <w:szCs w:val="18"/>
        </w:rPr>
        <w:t xml:space="preserve"> information about supports available to assist NDIS participants and their family members and carers to increase social participation</w:t>
      </w:r>
      <w:r>
        <w:rPr>
          <w:rFonts w:cstheme="minorHAnsi"/>
          <w:szCs w:val="18"/>
        </w:rPr>
        <w:t xml:space="preserve"> as, “</w:t>
      </w:r>
      <w:r w:rsidRPr="00B61A7D">
        <w:rPr>
          <w:rFonts w:cstheme="minorHAnsi"/>
          <w:szCs w:val="18"/>
        </w:rPr>
        <w:t>you’ve got to know it’s there to ask for it” (C04S)</w:t>
      </w:r>
      <w:r>
        <w:rPr>
          <w:rFonts w:cstheme="minorHAnsi"/>
          <w:i/>
          <w:szCs w:val="18"/>
        </w:rPr>
        <w:t>.</w:t>
      </w:r>
    </w:p>
    <w:p w:rsidR="00D907AF" w:rsidRPr="008531DF" w:rsidRDefault="00D907AF" w:rsidP="00D907AF">
      <w:pPr>
        <w:rPr>
          <w:rFonts w:cstheme="minorHAnsi"/>
          <w:szCs w:val="18"/>
        </w:rPr>
      </w:pPr>
    </w:p>
    <w:p w:rsidR="00D907AF" w:rsidRDefault="00D907AF" w:rsidP="00D907AF">
      <w:pPr>
        <w:rPr>
          <w:rFonts w:cstheme="minorHAnsi"/>
          <w:szCs w:val="18"/>
        </w:rPr>
      </w:pPr>
      <w:r w:rsidRPr="008531DF">
        <w:rPr>
          <w:rFonts w:cstheme="minorHAnsi"/>
          <w:szCs w:val="18"/>
        </w:rPr>
        <w:t xml:space="preserve">While </w:t>
      </w:r>
      <w:r>
        <w:rPr>
          <w:rFonts w:cstheme="minorHAnsi"/>
          <w:szCs w:val="18"/>
        </w:rPr>
        <w:t>few in numbers</w:t>
      </w:r>
      <w:r w:rsidRPr="008531DF">
        <w:rPr>
          <w:rFonts w:cstheme="minorHAnsi"/>
          <w:szCs w:val="18"/>
        </w:rPr>
        <w:t>, disability service providers did provide examples of how NDIS supports facilitated the economic participation of the NDIS participant and/or their family member or carer</w:t>
      </w:r>
      <w:r>
        <w:rPr>
          <w:rFonts w:cstheme="minorHAnsi"/>
          <w:szCs w:val="18"/>
        </w:rPr>
        <w:t>. O</w:t>
      </w:r>
      <w:r w:rsidRPr="008531DF">
        <w:rPr>
          <w:rFonts w:cstheme="minorHAnsi"/>
          <w:szCs w:val="18"/>
        </w:rPr>
        <w:t>ne disability service</w:t>
      </w:r>
      <w:r>
        <w:rPr>
          <w:rFonts w:cstheme="minorHAnsi"/>
          <w:szCs w:val="18"/>
        </w:rPr>
        <w:t xml:space="preserve"> provider cited the example of </w:t>
      </w:r>
      <w:r w:rsidRPr="008531DF">
        <w:rPr>
          <w:rFonts w:cstheme="minorHAnsi"/>
          <w:szCs w:val="18"/>
        </w:rPr>
        <w:t xml:space="preserve">an NDIS client that they were </w:t>
      </w:r>
      <w:r>
        <w:rPr>
          <w:rFonts w:cstheme="minorHAnsi"/>
          <w:szCs w:val="18"/>
        </w:rPr>
        <w:t>providing services to</w:t>
      </w:r>
      <w:r w:rsidRPr="008531DF">
        <w:rPr>
          <w:rFonts w:cstheme="minorHAnsi"/>
          <w:szCs w:val="18"/>
        </w:rPr>
        <w:t xml:space="preserve"> who had undertaken a TAFE course in Business Administration, and had subsequently started working two days a week</w:t>
      </w:r>
      <w:r>
        <w:rPr>
          <w:rFonts w:cstheme="minorHAnsi"/>
          <w:szCs w:val="18"/>
        </w:rPr>
        <w:t xml:space="preserve">. </w:t>
      </w:r>
      <w:r w:rsidRPr="008531DF">
        <w:rPr>
          <w:rFonts w:cstheme="minorHAnsi"/>
          <w:szCs w:val="18"/>
        </w:rPr>
        <w:t xml:space="preserve">Another provider advised that a mother of a NDIS participant had been able to return to full time work </w:t>
      </w:r>
      <w:r>
        <w:rPr>
          <w:rFonts w:cstheme="minorHAnsi"/>
          <w:szCs w:val="18"/>
        </w:rPr>
        <w:t xml:space="preserve">because </w:t>
      </w:r>
      <w:r w:rsidRPr="008531DF">
        <w:rPr>
          <w:rFonts w:cstheme="minorHAnsi"/>
          <w:szCs w:val="18"/>
        </w:rPr>
        <w:t xml:space="preserve">NDIS support </w:t>
      </w:r>
      <w:r>
        <w:rPr>
          <w:rFonts w:cstheme="minorHAnsi"/>
          <w:szCs w:val="18"/>
        </w:rPr>
        <w:t xml:space="preserve">helped her arrange </w:t>
      </w:r>
      <w:r w:rsidRPr="008531DF">
        <w:rPr>
          <w:rFonts w:cstheme="minorHAnsi"/>
          <w:szCs w:val="18"/>
        </w:rPr>
        <w:t xml:space="preserve">care </w:t>
      </w:r>
      <w:r>
        <w:rPr>
          <w:rFonts w:cstheme="minorHAnsi"/>
          <w:szCs w:val="18"/>
        </w:rPr>
        <w:t>for her daughter for</w:t>
      </w:r>
      <w:r w:rsidRPr="008531DF">
        <w:rPr>
          <w:rFonts w:cstheme="minorHAnsi"/>
          <w:szCs w:val="18"/>
        </w:rPr>
        <w:t xml:space="preserve"> the period </w:t>
      </w:r>
      <w:r>
        <w:rPr>
          <w:rFonts w:cstheme="minorHAnsi"/>
          <w:szCs w:val="18"/>
        </w:rPr>
        <w:t xml:space="preserve">after </w:t>
      </w:r>
      <w:r w:rsidRPr="008531DF">
        <w:rPr>
          <w:rFonts w:cstheme="minorHAnsi"/>
          <w:szCs w:val="18"/>
        </w:rPr>
        <w:t>the day support ended and the mother arrived home from work.</w:t>
      </w:r>
    </w:p>
    <w:p w:rsidR="00D907AF" w:rsidRDefault="00D907AF" w:rsidP="00D907AF">
      <w:pPr>
        <w:rPr>
          <w:rFonts w:cstheme="minorHAnsi"/>
          <w:szCs w:val="18"/>
        </w:rPr>
      </w:pPr>
    </w:p>
    <w:p w:rsidR="00D907AF" w:rsidRPr="008531DF" w:rsidRDefault="00D907AF" w:rsidP="00D907AF">
      <w:pPr>
        <w:rPr>
          <w:rFonts w:cstheme="minorHAnsi"/>
          <w:szCs w:val="18"/>
        </w:rPr>
      </w:pPr>
      <w:r w:rsidRPr="008531DF">
        <w:rPr>
          <w:rFonts w:cstheme="minorHAnsi"/>
          <w:szCs w:val="18"/>
        </w:rPr>
        <w:t xml:space="preserve">Others however, thought that the NDIS may actually reduce economic participation. </w:t>
      </w:r>
      <w:r>
        <w:rPr>
          <w:rFonts w:cstheme="minorHAnsi"/>
          <w:szCs w:val="18"/>
        </w:rPr>
        <w:t>O</w:t>
      </w:r>
      <w:r w:rsidRPr="008531DF">
        <w:rPr>
          <w:rFonts w:cstheme="minorHAnsi"/>
          <w:szCs w:val="18"/>
        </w:rPr>
        <w:t xml:space="preserve">ne disability service provider reported that families were worse off under the NDIS due to a </w:t>
      </w:r>
      <w:r w:rsidRPr="00B61A7D">
        <w:rPr>
          <w:rFonts w:cstheme="minorHAnsi"/>
          <w:i/>
          <w:szCs w:val="18"/>
        </w:rPr>
        <w:t>“</w:t>
      </w:r>
      <w:r w:rsidRPr="00B61A7D">
        <w:rPr>
          <w:rFonts w:cstheme="minorHAnsi"/>
          <w:szCs w:val="18"/>
        </w:rPr>
        <w:t>lack of overt support for parents’ respite</w:t>
      </w:r>
      <w:r w:rsidRPr="00A74DFB">
        <w:rPr>
          <w:rFonts w:cstheme="minorHAnsi"/>
          <w:szCs w:val="18"/>
        </w:rPr>
        <w:t>”</w:t>
      </w:r>
      <w:r>
        <w:rPr>
          <w:rFonts w:cstheme="minorHAnsi"/>
          <w:szCs w:val="18"/>
        </w:rPr>
        <w:t xml:space="preserve"> (A01S), </w:t>
      </w:r>
      <w:r w:rsidRPr="008531DF">
        <w:rPr>
          <w:rFonts w:cstheme="minorHAnsi"/>
          <w:szCs w:val="18"/>
        </w:rPr>
        <w:t>concern</w:t>
      </w:r>
      <w:r>
        <w:rPr>
          <w:rFonts w:cstheme="minorHAnsi"/>
          <w:szCs w:val="18"/>
        </w:rPr>
        <w:t>s</w:t>
      </w:r>
      <w:r w:rsidRPr="008531DF">
        <w:rPr>
          <w:rFonts w:cstheme="minorHAnsi"/>
          <w:szCs w:val="18"/>
        </w:rPr>
        <w:t xml:space="preserve"> about the ongoing viability of out of school hours care (OSHC) and the potential </w:t>
      </w:r>
      <w:r>
        <w:rPr>
          <w:rFonts w:cstheme="minorHAnsi"/>
          <w:szCs w:val="18"/>
        </w:rPr>
        <w:t xml:space="preserve">adverse effect on </w:t>
      </w:r>
      <w:r w:rsidRPr="008531DF">
        <w:rPr>
          <w:rFonts w:cstheme="minorHAnsi"/>
          <w:szCs w:val="18"/>
        </w:rPr>
        <w:t>parents</w:t>
      </w:r>
      <w:r>
        <w:rPr>
          <w:rFonts w:cstheme="minorHAnsi"/>
          <w:szCs w:val="18"/>
        </w:rPr>
        <w:t>’ employment</w:t>
      </w:r>
      <w:r w:rsidRPr="008531DF">
        <w:rPr>
          <w:rFonts w:cstheme="minorHAnsi"/>
          <w:szCs w:val="18"/>
        </w:rPr>
        <w:t xml:space="preserve"> if these services for children with disability were to close.</w:t>
      </w:r>
    </w:p>
    <w:p w:rsidR="00D907AF" w:rsidRPr="008531DF" w:rsidRDefault="00D907AF" w:rsidP="00D907AF">
      <w:pPr>
        <w:rPr>
          <w:rFonts w:cstheme="minorHAnsi"/>
          <w:szCs w:val="18"/>
        </w:rPr>
      </w:pPr>
    </w:p>
    <w:p w:rsidR="00D907AF" w:rsidRPr="00C77351" w:rsidRDefault="00D907AF" w:rsidP="00D907AF">
      <w:pPr>
        <w:rPr>
          <w:rFonts w:cstheme="minorHAnsi"/>
          <w:szCs w:val="18"/>
        </w:rPr>
      </w:pPr>
      <w:r w:rsidRPr="009E5EA5">
        <w:rPr>
          <w:rFonts w:cstheme="minorHAnsi"/>
          <w:szCs w:val="18"/>
        </w:rPr>
        <w:t>Particular concerns were raised about the capacity of the NDIS to meet the needs of people with psychosocial disability.</w:t>
      </w:r>
      <w:r>
        <w:rPr>
          <w:rFonts w:cstheme="minorHAnsi"/>
          <w:szCs w:val="18"/>
        </w:rPr>
        <w:t xml:space="preserve"> </w:t>
      </w:r>
      <w:r w:rsidRPr="008531DF">
        <w:rPr>
          <w:rFonts w:cstheme="minorHAnsi"/>
          <w:szCs w:val="18"/>
        </w:rPr>
        <w:t>Providers delivering mental health services identified several barriers to people with psychosocial disability engaging with the NDIS.</w:t>
      </w:r>
      <w:r>
        <w:rPr>
          <w:rFonts w:cstheme="minorHAnsi"/>
          <w:szCs w:val="18"/>
        </w:rPr>
        <w:t xml:space="preserve"> </w:t>
      </w:r>
      <w:r w:rsidRPr="008531DF">
        <w:rPr>
          <w:rFonts w:cstheme="minorHAnsi"/>
          <w:szCs w:val="18"/>
        </w:rPr>
        <w:t>Firstly, the language of permanent disability used in the NDIS</w:t>
      </w:r>
      <w:r>
        <w:rPr>
          <w:rFonts w:cstheme="minorHAnsi"/>
          <w:szCs w:val="18"/>
        </w:rPr>
        <w:t xml:space="preserve"> was felt to be in contradiction to the</w:t>
      </w:r>
      <w:r w:rsidRPr="008531DF">
        <w:rPr>
          <w:rFonts w:cstheme="minorHAnsi"/>
          <w:szCs w:val="18"/>
        </w:rPr>
        <w:t xml:space="preserve"> recovery model used in the mental health sector.</w:t>
      </w:r>
      <w:r>
        <w:rPr>
          <w:rFonts w:cstheme="minorHAnsi"/>
          <w:szCs w:val="18"/>
        </w:rPr>
        <w:t xml:space="preserve"> </w:t>
      </w:r>
      <w:r w:rsidRPr="008531DF">
        <w:rPr>
          <w:rFonts w:cstheme="minorHAnsi"/>
          <w:szCs w:val="18"/>
        </w:rPr>
        <w:t>Secondly, amongst people with psychosocial disability “</w:t>
      </w:r>
      <w:r w:rsidRPr="00B61A7D">
        <w:rPr>
          <w:rFonts w:cstheme="minorHAnsi"/>
          <w:szCs w:val="18"/>
        </w:rPr>
        <w:t>there’s a lot of clients who don’t even recognise they’ve got a mental illness. They’re not going to go to the NDIA</w:t>
      </w:r>
      <w:r w:rsidRPr="001151A5">
        <w:rPr>
          <w:rFonts w:cstheme="minorHAnsi"/>
          <w:szCs w:val="18"/>
        </w:rPr>
        <w:t>”</w:t>
      </w:r>
      <w:r w:rsidRPr="008531DF">
        <w:rPr>
          <w:rFonts w:cstheme="minorHAnsi"/>
          <w:szCs w:val="18"/>
        </w:rPr>
        <w:t xml:space="preserve"> (B04S).</w:t>
      </w:r>
      <w:r>
        <w:rPr>
          <w:rFonts w:cstheme="minorHAnsi"/>
          <w:szCs w:val="18"/>
        </w:rPr>
        <w:t xml:space="preserve"> </w:t>
      </w:r>
      <w:r w:rsidRPr="008531DF">
        <w:rPr>
          <w:rFonts w:cstheme="minorHAnsi"/>
          <w:szCs w:val="18"/>
        </w:rPr>
        <w:t>Thirdly, mental health service providers were concerned about the capacity of people with psychosocial disability to navigate the various NDIA processes effectively, particularly the plan development process</w:t>
      </w:r>
      <w:r>
        <w:rPr>
          <w:rFonts w:cstheme="minorHAnsi"/>
          <w:szCs w:val="18"/>
        </w:rPr>
        <w:t xml:space="preserve"> </w:t>
      </w:r>
      <w:r w:rsidRPr="008531DF">
        <w:rPr>
          <w:rFonts w:cstheme="minorHAnsi"/>
          <w:szCs w:val="18"/>
        </w:rPr>
        <w:t xml:space="preserve">and that </w:t>
      </w:r>
      <w:r w:rsidRPr="001151A5">
        <w:rPr>
          <w:rFonts w:cstheme="minorHAnsi"/>
          <w:szCs w:val="18"/>
        </w:rPr>
        <w:t>“</w:t>
      </w:r>
      <w:r w:rsidRPr="00B61A7D">
        <w:rPr>
          <w:rFonts w:cstheme="minorHAnsi"/>
          <w:szCs w:val="18"/>
        </w:rPr>
        <w:t>those that most need it will find the process extremely difficult”</w:t>
      </w:r>
      <w:r w:rsidRPr="008531DF">
        <w:rPr>
          <w:rFonts w:cstheme="minorHAnsi"/>
          <w:szCs w:val="18"/>
        </w:rPr>
        <w:t xml:space="preserve"> (E01S).</w:t>
      </w:r>
    </w:p>
    <w:p w:rsidR="00D907AF" w:rsidRPr="00C77351" w:rsidRDefault="00D907AF" w:rsidP="00C77351">
      <w:pPr>
        <w:rPr>
          <w:rFonts w:cstheme="minorHAnsi"/>
          <w:szCs w:val="18"/>
        </w:rPr>
      </w:pPr>
    </w:p>
    <w:p w:rsidR="00D907AF" w:rsidRDefault="00D907AF" w:rsidP="00D907AF">
      <w:pPr>
        <w:rPr>
          <w:rFonts w:asciiTheme="majorHAnsi" w:hAnsiTheme="majorHAnsi" w:cstheme="majorHAnsi"/>
          <w:b/>
          <w:szCs w:val="18"/>
        </w:rPr>
      </w:pPr>
      <w:r w:rsidRPr="00327AF5">
        <w:rPr>
          <w:rFonts w:cstheme="minorHAnsi"/>
          <w:szCs w:val="18"/>
        </w:rPr>
        <w:t xml:space="preserve">Most of the disability service providers </w:t>
      </w:r>
      <w:r>
        <w:rPr>
          <w:rFonts w:cstheme="minorHAnsi"/>
          <w:szCs w:val="18"/>
        </w:rPr>
        <w:t xml:space="preserve">worked with </w:t>
      </w:r>
      <w:r w:rsidRPr="00327AF5">
        <w:rPr>
          <w:rFonts w:cstheme="minorHAnsi"/>
          <w:szCs w:val="18"/>
        </w:rPr>
        <w:t xml:space="preserve">at least some clients who identified as </w:t>
      </w:r>
      <w:r>
        <w:rPr>
          <w:rFonts w:cstheme="minorHAnsi"/>
          <w:szCs w:val="18"/>
        </w:rPr>
        <w:t xml:space="preserve">Aboriginal or Torres Strait Islander people or were of </w:t>
      </w:r>
      <w:r w:rsidRPr="0063484A">
        <w:rPr>
          <w:rFonts w:cstheme="minorHAnsi"/>
          <w:szCs w:val="18"/>
        </w:rPr>
        <w:t>culturally and linguistically diverse</w:t>
      </w:r>
      <w:r>
        <w:rPr>
          <w:rFonts w:cstheme="minorHAnsi"/>
          <w:szCs w:val="18"/>
        </w:rPr>
        <w:t xml:space="preserve"> community background</w:t>
      </w:r>
      <w:r w:rsidRPr="00327AF5">
        <w:rPr>
          <w:rFonts w:cstheme="minorHAnsi"/>
          <w:szCs w:val="18"/>
        </w:rPr>
        <w:t xml:space="preserve">. In general providers described the introduction of the NDIS as having no </w:t>
      </w:r>
      <w:r>
        <w:rPr>
          <w:rFonts w:cstheme="minorHAnsi"/>
          <w:szCs w:val="18"/>
        </w:rPr>
        <w:t xml:space="preserve">notable </w:t>
      </w:r>
      <w:r w:rsidRPr="00327AF5">
        <w:rPr>
          <w:rFonts w:cstheme="minorHAnsi"/>
          <w:szCs w:val="18"/>
        </w:rPr>
        <w:t xml:space="preserve">impact </w:t>
      </w:r>
      <w:r w:rsidRPr="00327AF5">
        <w:rPr>
          <w:rFonts w:cstheme="minorHAnsi"/>
          <w:szCs w:val="18"/>
        </w:rPr>
        <w:lastRenderedPageBreak/>
        <w:t>upon the number of clients that they supported from different backgrounds</w:t>
      </w:r>
      <w:r>
        <w:rPr>
          <w:rFonts w:cstheme="minorHAnsi"/>
          <w:szCs w:val="18"/>
        </w:rPr>
        <w:t>.</w:t>
      </w:r>
      <w:r w:rsidRPr="00327AF5">
        <w:rPr>
          <w:rFonts w:cstheme="minorHAnsi"/>
          <w:szCs w:val="18"/>
        </w:rPr>
        <w:t xml:space="preserve"> A number of disability service providers specifically stated that whilst they had clients from different backgrounds, they did not provide any specific products or services for these clients. </w:t>
      </w:r>
    </w:p>
    <w:p w:rsidR="00D907AF" w:rsidRPr="00884C46" w:rsidRDefault="00D907AF" w:rsidP="00367B24">
      <w:pPr>
        <w:pStyle w:val="Heading40"/>
      </w:pPr>
      <w:bookmarkStart w:id="79" w:name="_Toc428271226"/>
      <w:bookmarkStart w:id="80" w:name="_Toc449954966"/>
      <w:r w:rsidRPr="003A6208">
        <w:t>2.3.3.</w:t>
      </w:r>
      <w:r>
        <w:t>6 Experiences w</w:t>
      </w:r>
      <w:r w:rsidRPr="00884C46">
        <w:t>orking with the NDIA</w:t>
      </w:r>
      <w:bookmarkEnd w:id="79"/>
      <w:bookmarkEnd w:id="80"/>
    </w:p>
    <w:p w:rsidR="00D907AF" w:rsidRPr="009764DF" w:rsidRDefault="00D907AF" w:rsidP="00D907AF">
      <w:pPr>
        <w:rPr>
          <w:rFonts w:cstheme="minorHAnsi"/>
          <w:szCs w:val="18"/>
        </w:rPr>
      </w:pPr>
      <w:r w:rsidRPr="009764DF">
        <w:rPr>
          <w:rFonts w:cstheme="minorHAnsi"/>
          <w:szCs w:val="18"/>
        </w:rPr>
        <w:t xml:space="preserve">Disability service providers, particularly large providers, expressed their desire to be </w:t>
      </w:r>
      <w:r>
        <w:rPr>
          <w:rFonts w:cstheme="minorHAnsi"/>
          <w:szCs w:val="18"/>
        </w:rPr>
        <w:t xml:space="preserve">more closely </w:t>
      </w:r>
      <w:r w:rsidRPr="009764DF">
        <w:rPr>
          <w:rFonts w:cstheme="minorHAnsi"/>
          <w:szCs w:val="18"/>
        </w:rPr>
        <w:t>involved in the design and implementation of the NDIS</w:t>
      </w:r>
      <w:r>
        <w:rPr>
          <w:rFonts w:cstheme="minorHAnsi"/>
          <w:szCs w:val="18"/>
        </w:rPr>
        <w:t>, and regretted that, in their view, this collaboration had not been facilitated</w:t>
      </w:r>
      <w:r w:rsidRPr="009764DF">
        <w:rPr>
          <w:rFonts w:cstheme="minorHAnsi"/>
          <w:szCs w:val="18"/>
        </w:rPr>
        <w:t xml:space="preserve"> </w:t>
      </w:r>
      <w:r>
        <w:rPr>
          <w:rFonts w:cstheme="minorHAnsi"/>
          <w:szCs w:val="18"/>
        </w:rPr>
        <w:t xml:space="preserve">from the scheme’s </w:t>
      </w:r>
      <w:r w:rsidRPr="009764DF">
        <w:rPr>
          <w:rFonts w:cstheme="minorHAnsi"/>
          <w:szCs w:val="18"/>
        </w:rPr>
        <w:t xml:space="preserve">inception. Many </w:t>
      </w:r>
      <w:r>
        <w:rPr>
          <w:rFonts w:cstheme="minorHAnsi"/>
          <w:szCs w:val="18"/>
        </w:rPr>
        <w:t>continued to seek</w:t>
      </w:r>
      <w:r w:rsidRPr="009764DF">
        <w:rPr>
          <w:rFonts w:cstheme="minorHAnsi"/>
          <w:szCs w:val="18"/>
        </w:rPr>
        <w:t xml:space="preserve"> opportunities to build relationships with the </w:t>
      </w:r>
      <w:r>
        <w:rPr>
          <w:rFonts w:cstheme="minorHAnsi"/>
          <w:szCs w:val="18"/>
        </w:rPr>
        <w:t xml:space="preserve">NDIA and those that had made the connection described their </w:t>
      </w:r>
      <w:r w:rsidRPr="009764DF">
        <w:rPr>
          <w:rFonts w:cstheme="minorHAnsi"/>
          <w:szCs w:val="18"/>
        </w:rPr>
        <w:t>relationships with the NDIA</w:t>
      </w:r>
      <w:r>
        <w:rPr>
          <w:rFonts w:cstheme="minorHAnsi"/>
          <w:szCs w:val="18"/>
        </w:rPr>
        <w:t xml:space="preserve"> in positive terms</w:t>
      </w:r>
      <w:r w:rsidRPr="009764DF">
        <w:rPr>
          <w:rFonts w:cstheme="minorHAnsi"/>
          <w:szCs w:val="18"/>
        </w:rPr>
        <w:t>:</w:t>
      </w:r>
    </w:p>
    <w:p w:rsidR="00D907AF" w:rsidRPr="009764DF" w:rsidRDefault="00D907AF" w:rsidP="00D907AF">
      <w:pPr>
        <w:rPr>
          <w:rFonts w:cstheme="minorHAnsi"/>
          <w:szCs w:val="18"/>
        </w:rPr>
      </w:pPr>
    </w:p>
    <w:p w:rsidR="00D907AF" w:rsidRPr="00B61A7D" w:rsidRDefault="00D907AF" w:rsidP="00D907AF">
      <w:pPr>
        <w:ind w:left="720" w:right="851"/>
        <w:rPr>
          <w:rFonts w:cstheme="minorHAnsi"/>
          <w:szCs w:val="18"/>
        </w:rPr>
      </w:pPr>
      <w:r w:rsidRPr="00B61A7D">
        <w:rPr>
          <w:rFonts w:cstheme="minorHAnsi"/>
          <w:szCs w:val="18"/>
        </w:rPr>
        <w:t>‘I think we've had a really good relationship with them. I think that we've been on their journey with them. We've certainly been a helper where required.’ (D01S)</w:t>
      </w:r>
    </w:p>
    <w:p w:rsidR="00D907AF" w:rsidRPr="009764DF" w:rsidRDefault="00D907AF" w:rsidP="00D907AF">
      <w:pPr>
        <w:rPr>
          <w:rFonts w:cstheme="minorHAnsi"/>
          <w:szCs w:val="18"/>
        </w:rPr>
      </w:pPr>
    </w:p>
    <w:p w:rsidR="00D907AF" w:rsidRPr="009764DF" w:rsidRDefault="00D907AF" w:rsidP="00D907AF">
      <w:pPr>
        <w:rPr>
          <w:rFonts w:cstheme="minorHAnsi"/>
          <w:szCs w:val="18"/>
        </w:rPr>
      </w:pPr>
      <w:r>
        <w:rPr>
          <w:rFonts w:cstheme="minorHAnsi"/>
          <w:szCs w:val="18"/>
        </w:rPr>
        <w:t>Several d</w:t>
      </w:r>
      <w:r w:rsidRPr="009764DF">
        <w:rPr>
          <w:rFonts w:cstheme="minorHAnsi"/>
          <w:szCs w:val="18"/>
        </w:rPr>
        <w:t xml:space="preserve">isability service providers reported attending quarterly meetings organised by the NDIA </w:t>
      </w:r>
      <w:r>
        <w:rPr>
          <w:rFonts w:cstheme="minorHAnsi"/>
          <w:szCs w:val="18"/>
        </w:rPr>
        <w:t xml:space="preserve">as well as </w:t>
      </w:r>
      <w:r w:rsidRPr="009764DF">
        <w:rPr>
          <w:rFonts w:cstheme="minorHAnsi"/>
          <w:szCs w:val="18"/>
        </w:rPr>
        <w:t>monthly forums facilitated by the National Disability Services (NDS).</w:t>
      </w:r>
      <w:r>
        <w:rPr>
          <w:rFonts w:cstheme="minorHAnsi"/>
          <w:szCs w:val="18"/>
        </w:rPr>
        <w:t xml:space="preserve"> </w:t>
      </w:r>
      <w:r w:rsidRPr="009764DF">
        <w:rPr>
          <w:rFonts w:cstheme="minorHAnsi"/>
          <w:szCs w:val="18"/>
        </w:rPr>
        <w:t xml:space="preserve">Providers valued the opportunity to have their staff attend information and training sessions conducted by the NDIA. </w:t>
      </w:r>
      <w:r>
        <w:rPr>
          <w:rFonts w:cstheme="minorHAnsi"/>
          <w:szCs w:val="18"/>
        </w:rPr>
        <w:t xml:space="preserve">These sessions were </w:t>
      </w:r>
      <w:r w:rsidRPr="009764DF">
        <w:rPr>
          <w:rFonts w:cstheme="minorHAnsi"/>
          <w:szCs w:val="18"/>
        </w:rPr>
        <w:t xml:space="preserve">viewed as an effective way for the NDIA to communicate information about changes to the scheme and NDIA processes. </w:t>
      </w:r>
    </w:p>
    <w:p w:rsidR="00D907AF" w:rsidRPr="009764DF" w:rsidRDefault="00D907AF" w:rsidP="00D907AF">
      <w:pPr>
        <w:rPr>
          <w:rFonts w:cstheme="minorHAnsi"/>
          <w:szCs w:val="18"/>
        </w:rPr>
      </w:pPr>
    </w:p>
    <w:p w:rsidR="00D907AF" w:rsidRPr="009764DF" w:rsidRDefault="00D907AF" w:rsidP="00D907AF">
      <w:pPr>
        <w:rPr>
          <w:rFonts w:cstheme="minorHAnsi"/>
          <w:szCs w:val="18"/>
        </w:rPr>
      </w:pPr>
      <w:r w:rsidRPr="009764DF">
        <w:rPr>
          <w:rFonts w:cstheme="minorHAnsi"/>
          <w:szCs w:val="18"/>
        </w:rPr>
        <w:t>Disability service providers appreciated opportunities to be involved in the planning process with individual clients</w:t>
      </w:r>
      <w:r>
        <w:rPr>
          <w:rFonts w:cstheme="minorHAnsi"/>
          <w:szCs w:val="18"/>
        </w:rPr>
        <w:t>,</w:t>
      </w:r>
      <w:r w:rsidRPr="009764DF">
        <w:rPr>
          <w:rFonts w:cstheme="minorHAnsi"/>
          <w:szCs w:val="18"/>
        </w:rPr>
        <w:t xml:space="preserve"> which allowed providers to offer their knowledge about services and the clients’ support needs. By being involved in the planning process, providers felt they were also able to advocate for their clients, particularly for those with less capacity to articulate their needs. </w:t>
      </w:r>
    </w:p>
    <w:p w:rsidR="00D907AF" w:rsidRPr="009764DF" w:rsidRDefault="00D907AF" w:rsidP="00D907AF">
      <w:pPr>
        <w:rPr>
          <w:rFonts w:cstheme="minorHAnsi"/>
          <w:szCs w:val="18"/>
        </w:rPr>
      </w:pPr>
    </w:p>
    <w:p w:rsidR="00D907AF" w:rsidRPr="009764DF" w:rsidRDefault="00D907AF" w:rsidP="00D907AF">
      <w:pPr>
        <w:rPr>
          <w:rFonts w:cstheme="minorHAnsi"/>
          <w:szCs w:val="18"/>
        </w:rPr>
      </w:pPr>
      <w:r w:rsidRPr="009764DF">
        <w:rPr>
          <w:rFonts w:cstheme="minorHAnsi"/>
          <w:szCs w:val="18"/>
        </w:rPr>
        <w:t xml:space="preserve">Disability service providers </w:t>
      </w:r>
      <w:r>
        <w:rPr>
          <w:rFonts w:cstheme="minorHAnsi"/>
          <w:szCs w:val="18"/>
        </w:rPr>
        <w:t xml:space="preserve">questioned </w:t>
      </w:r>
      <w:r w:rsidRPr="009764DF">
        <w:rPr>
          <w:rFonts w:cstheme="minorHAnsi"/>
          <w:szCs w:val="18"/>
        </w:rPr>
        <w:t xml:space="preserve">the level of bureaucracy apparent within the NDIS system and NDIA processes. </w:t>
      </w:r>
      <w:r>
        <w:rPr>
          <w:rFonts w:cstheme="minorHAnsi"/>
          <w:szCs w:val="18"/>
        </w:rPr>
        <w:t xml:space="preserve">Concerns were raised about </w:t>
      </w:r>
      <w:r w:rsidRPr="009764DF">
        <w:rPr>
          <w:rFonts w:cstheme="minorHAnsi"/>
          <w:szCs w:val="18"/>
        </w:rPr>
        <w:t xml:space="preserve">the responsiveness of the </w:t>
      </w:r>
      <w:r>
        <w:rPr>
          <w:rFonts w:cstheme="minorHAnsi"/>
          <w:szCs w:val="18"/>
        </w:rPr>
        <w:t xml:space="preserve">new </w:t>
      </w:r>
      <w:r w:rsidRPr="009764DF">
        <w:rPr>
          <w:rFonts w:cstheme="minorHAnsi"/>
          <w:szCs w:val="18"/>
        </w:rPr>
        <w:t xml:space="preserve">system and whether </w:t>
      </w:r>
      <w:r>
        <w:rPr>
          <w:rFonts w:cstheme="minorHAnsi"/>
          <w:szCs w:val="18"/>
        </w:rPr>
        <w:t xml:space="preserve">it in fact </w:t>
      </w:r>
      <w:r w:rsidRPr="009764DF">
        <w:rPr>
          <w:rFonts w:cstheme="minorHAnsi"/>
          <w:szCs w:val="18"/>
        </w:rPr>
        <w:t xml:space="preserve">added to the burden </w:t>
      </w:r>
      <w:r>
        <w:rPr>
          <w:rFonts w:cstheme="minorHAnsi"/>
          <w:szCs w:val="18"/>
        </w:rPr>
        <w:t>that people living with disability were already experiencing when navigating the disability supports environment</w:t>
      </w:r>
      <w:r w:rsidRPr="009764DF">
        <w:rPr>
          <w:rFonts w:cstheme="minorHAnsi"/>
          <w:szCs w:val="18"/>
        </w:rPr>
        <w:t xml:space="preserve">. There was also concern that NDIA processes created barriers to accessing the NDIS which could result in some people with disability </w:t>
      </w:r>
      <w:r>
        <w:rPr>
          <w:rFonts w:cstheme="minorHAnsi"/>
          <w:szCs w:val="18"/>
        </w:rPr>
        <w:t>being</w:t>
      </w:r>
      <w:r w:rsidRPr="009764DF">
        <w:rPr>
          <w:rFonts w:cstheme="minorHAnsi"/>
          <w:szCs w:val="18"/>
        </w:rPr>
        <w:t xml:space="preserve"> excluded from service provision. However, providers reported that the NDIA </w:t>
      </w:r>
      <w:r>
        <w:rPr>
          <w:rFonts w:cstheme="minorHAnsi"/>
          <w:szCs w:val="18"/>
        </w:rPr>
        <w:t>was</w:t>
      </w:r>
      <w:r w:rsidRPr="009764DF">
        <w:rPr>
          <w:rFonts w:cstheme="minorHAnsi"/>
          <w:szCs w:val="18"/>
        </w:rPr>
        <w:t xml:space="preserve"> open to provider feedback about the adverse impacts </w:t>
      </w:r>
      <w:r>
        <w:rPr>
          <w:rFonts w:cstheme="minorHAnsi"/>
          <w:szCs w:val="18"/>
        </w:rPr>
        <w:t>of bureaucracy and complexity, which gave them confidence that these matters would be addressed</w:t>
      </w:r>
      <w:r w:rsidRPr="009764DF">
        <w:rPr>
          <w:rFonts w:cstheme="minorHAnsi"/>
          <w:szCs w:val="18"/>
        </w:rPr>
        <w:t>.</w:t>
      </w:r>
    </w:p>
    <w:p w:rsidR="00D907AF" w:rsidRPr="009764DF" w:rsidRDefault="00D907AF" w:rsidP="00D907AF">
      <w:pPr>
        <w:rPr>
          <w:rFonts w:cstheme="minorHAnsi"/>
          <w:szCs w:val="18"/>
        </w:rPr>
      </w:pPr>
    </w:p>
    <w:p w:rsidR="00D907AF" w:rsidRDefault="00D907AF" w:rsidP="00D907AF">
      <w:pPr>
        <w:rPr>
          <w:rFonts w:cstheme="minorHAnsi"/>
          <w:szCs w:val="18"/>
        </w:rPr>
      </w:pPr>
      <w:r w:rsidRPr="009764DF">
        <w:rPr>
          <w:rFonts w:cstheme="minorHAnsi"/>
          <w:szCs w:val="18"/>
        </w:rPr>
        <w:t xml:space="preserve">Disability service providers indicated that the NDIA provider portal was a particular source of frustration. The system was described as difficult to </w:t>
      </w:r>
      <w:r>
        <w:rPr>
          <w:rFonts w:cstheme="minorHAnsi"/>
          <w:szCs w:val="18"/>
        </w:rPr>
        <w:t>use</w:t>
      </w:r>
      <w:r w:rsidRPr="009764DF">
        <w:rPr>
          <w:rFonts w:cstheme="minorHAnsi"/>
          <w:szCs w:val="18"/>
        </w:rPr>
        <w:t xml:space="preserve"> and plagued with operational difficulties. </w:t>
      </w:r>
      <w:r>
        <w:rPr>
          <w:rFonts w:cstheme="minorHAnsi"/>
          <w:szCs w:val="18"/>
        </w:rPr>
        <w:t xml:space="preserve">This said, </w:t>
      </w:r>
      <w:r w:rsidRPr="009764DF">
        <w:rPr>
          <w:rFonts w:cstheme="minorHAnsi"/>
          <w:szCs w:val="18"/>
        </w:rPr>
        <w:t xml:space="preserve">the </w:t>
      </w:r>
      <w:r>
        <w:rPr>
          <w:rFonts w:cstheme="minorHAnsi"/>
          <w:szCs w:val="18"/>
        </w:rPr>
        <w:t xml:space="preserve">same </w:t>
      </w:r>
      <w:r w:rsidRPr="009764DF">
        <w:rPr>
          <w:rFonts w:cstheme="minorHAnsi"/>
          <w:szCs w:val="18"/>
        </w:rPr>
        <w:t xml:space="preserve">providers </w:t>
      </w:r>
      <w:r>
        <w:rPr>
          <w:rFonts w:cstheme="minorHAnsi"/>
          <w:szCs w:val="18"/>
        </w:rPr>
        <w:t xml:space="preserve">also stressed </w:t>
      </w:r>
      <w:r w:rsidRPr="009764DF">
        <w:rPr>
          <w:rFonts w:cstheme="minorHAnsi"/>
          <w:szCs w:val="18"/>
        </w:rPr>
        <w:t xml:space="preserve">that, on the whole, NDIA helpdesk staff were </w:t>
      </w:r>
      <w:r>
        <w:rPr>
          <w:rFonts w:cstheme="minorHAnsi"/>
          <w:szCs w:val="18"/>
        </w:rPr>
        <w:t xml:space="preserve">responsive and </w:t>
      </w:r>
      <w:r w:rsidRPr="009764DF">
        <w:rPr>
          <w:rFonts w:cstheme="minorHAnsi"/>
          <w:szCs w:val="18"/>
        </w:rPr>
        <w:t xml:space="preserve">in most cases quick to resolve problems. </w:t>
      </w:r>
    </w:p>
    <w:p w:rsidR="00D907AF" w:rsidRPr="004848E5" w:rsidRDefault="00D907AF" w:rsidP="00367B24">
      <w:pPr>
        <w:pStyle w:val="Heading40"/>
      </w:pPr>
      <w:bookmarkStart w:id="81" w:name="_Toc428271227"/>
      <w:bookmarkStart w:id="82" w:name="_Toc449954967"/>
      <w:r w:rsidRPr="003A6208">
        <w:t>2.3.3.</w:t>
      </w:r>
      <w:r>
        <w:t xml:space="preserve">7 </w:t>
      </w:r>
      <w:r w:rsidRPr="004848E5">
        <w:t>Suggestions for changes and improvements</w:t>
      </w:r>
      <w:bookmarkEnd w:id="81"/>
      <w:bookmarkEnd w:id="82"/>
      <w:r w:rsidRPr="004848E5">
        <w:t xml:space="preserve"> </w:t>
      </w:r>
    </w:p>
    <w:p w:rsidR="00D907AF" w:rsidRPr="00D16999" w:rsidRDefault="00D907AF" w:rsidP="00D907AF">
      <w:pPr>
        <w:pStyle w:val="SecBody"/>
        <w:ind w:left="0"/>
        <w:rPr>
          <w:rFonts w:asciiTheme="minorHAnsi" w:hAnsiTheme="minorHAnsi" w:cstheme="minorHAnsi"/>
          <w:szCs w:val="18"/>
        </w:rPr>
      </w:pPr>
      <w:r w:rsidRPr="00D16999">
        <w:rPr>
          <w:rFonts w:asciiTheme="minorHAnsi" w:hAnsiTheme="minorHAnsi" w:cstheme="minorHAnsi"/>
          <w:szCs w:val="18"/>
        </w:rPr>
        <w:t>Disability service providers suggested several areas where</w:t>
      </w:r>
      <w:r>
        <w:rPr>
          <w:rFonts w:asciiTheme="minorHAnsi" w:hAnsiTheme="minorHAnsi" w:cstheme="minorHAnsi"/>
          <w:szCs w:val="18"/>
        </w:rPr>
        <w:t>, in their view,</w:t>
      </w:r>
      <w:r w:rsidRPr="00D16999">
        <w:rPr>
          <w:rFonts w:asciiTheme="minorHAnsi" w:hAnsiTheme="minorHAnsi" w:cstheme="minorHAnsi"/>
          <w:szCs w:val="18"/>
        </w:rPr>
        <w:t xml:space="preserve"> changes and improvements </w:t>
      </w:r>
      <w:r>
        <w:rPr>
          <w:rFonts w:asciiTheme="minorHAnsi" w:hAnsiTheme="minorHAnsi" w:cstheme="minorHAnsi"/>
          <w:szCs w:val="18"/>
        </w:rPr>
        <w:t>might</w:t>
      </w:r>
      <w:r w:rsidRPr="00D16999">
        <w:rPr>
          <w:rFonts w:asciiTheme="minorHAnsi" w:hAnsiTheme="minorHAnsi" w:cstheme="minorHAnsi"/>
          <w:szCs w:val="18"/>
        </w:rPr>
        <w:t xml:space="preserve"> </w:t>
      </w:r>
      <w:r>
        <w:rPr>
          <w:rFonts w:asciiTheme="minorHAnsi" w:hAnsiTheme="minorHAnsi" w:cstheme="minorHAnsi"/>
          <w:szCs w:val="18"/>
        </w:rPr>
        <w:t xml:space="preserve">improve the operations of </w:t>
      </w:r>
      <w:r w:rsidRPr="00D16999">
        <w:rPr>
          <w:rFonts w:asciiTheme="minorHAnsi" w:hAnsiTheme="minorHAnsi" w:cstheme="minorHAnsi"/>
          <w:szCs w:val="18"/>
        </w:rPr>
        <w:t xml:space="preserve">the NDIS. </w:t>
      </w:r>
    </w:p>
    <w:p w:rsidR="008D79BD" w:rsidRDefault="008D79BD">
      <w:pPr>
        <w:rPr>
          <w:b/>
        </w:rPr>
      </w:pPr>
      <w:r>
        <w:rPr>
          <w:b/>
        </w:rPr>
        <w:br w:type="page"/>
      </w:r>
    </w:p>
    <w:p w:rsidR="00D907AF" w:rsidRPr="00732724" w:rsidRDefault="00D907AF" w:rsidP="009862D9">
      <w:pPr>
        <w:spacing w:before="240" w:after="200"/>
        <w:rPr>
          <w:b/>
        </w:rPr>
      </w:pPr>
      <w:r w:rsidRPr="00732724">
        <w:rPr>
          <w:b/>
        </w:rPr>
        <w:lastRenderedPageBreak/>
        <w:t xml:space="preserve">Communication and collaboration </w:t>
      </w:r>
    </w:p>
    <w:p w:rsidR="00D907AF" w:rsidRDefault="00D907AF" w:rsidP="00D907AF">
      <w:pPr>
        <w:pStyle w:val="SecBody"/>
        <w:spacing w:before="0" w:after="0"/>
        <w:ind w:left="0"/>
        <w:jc w:val="left"/>
        <w:rPr>
          <w:rFonts w:asciiTheme="minorHAnsi" w:hAnsiTheme="minorHAnsi" w:cstheme="minorHAnsi"/>
          <w:szCs w:val="18"/>
        </w:rPr>
      </w:pPr>
      <w:r w:rsidRPr="00D16999">
        <w:rPr>
          <w:rFonts w:asciiTheme="minorHAnsi" w:hAnsiTheme="minorHAnsi" w:cstheme="minorHAnsi"/>
          <w:szCs w:val="18"/>
        </w:rPr>
        <w:t xml:space="preserve">Communication and collaboration between the NDIA and disability service providers were, in particular in the early months of the trial, problematic or </w:t>
      </w:r>
      <w:r>
        <w:rPr>
          <w:rFonts w:asciiTheme="minorHAnsi" w:hAnsiTheme="minorHAnsi" w:cstheme="minorHAnsi"/>
          <w:szCs w:val="18"/>
        </w:rPr>
        <w:t>indeed non-existent</w:t>
      </w:r>
      <w:r w:rsidRPr="00D16999">
        <w:rPr>
          <w:rFonts w:asciiTheme="minorHAnsi" w:hAnsiTheme="minorHAnsi" w:cstheme="minorHAnsi"/>
          <w:szCs w:val="18"/>
        </w:rPr>
        <w:t>.</w:t>
      </w:r>
      <w:r>
        <w:rPr>
          <w:rFonts w:asciiTheme="minorHAnsi" w:hAnsiTheme="minorHAnsi" w:cstheme="minorHAnsi"/>
          <w:szCs w:val="18"/>
        </w:rPr>
        <w:t xml:space="preserve"> While both had improved with time, p</w:t>
      </w:r>
      <w:r w:rsidRPr="00D16999">
        <w:rPr>
          <w:rFonts w:asciiTheme="minorHAnsi" w:hAnsiTheme="minorHAnsi" w:cstheme="minorHAnsi"/>
          <w:szCs w:val="18"/>
        </w:rPr>
        <w:t>roviders sought more opportunities for discussions and regular interaction between the NDIA and themselves</w:t>
      </w:r>
      <w:r>
        <w:rPr>
          <w:rFonts w:asciiTheme="minorHAnsi" w:hAnsiTheme="minorHAnsi" w:cstheme="minorHAnsi"/>
          <w:szCs w:val="18"/>
        </w:rPr>
        <w:t xml:space="preserve">. Providers felt their insights could be helpful to informing </w:t>
      </w:r>
      <w:r w:rsidRPr="00D16999">
        <w:rPr>
          <w:rFonts w:asciiTheme="minorHAnsi" w:hAnsiTheme="minorHAnsi" w:cstheme="minorHAnsi"/>
          <w:szCs w:val="18"/>
        </w:rPr>
        <w:t xml:space="preserve">the future design of the </w:t>
      </w:r>
      <w:r>
        <w:rPr>
          <w:rFonts w:asciiTheme="minorHAnsi" w:hAnsiTheme="minorHAnsi" w:cstheme="minorHAnsi"/>
          <w:szCs w:val="18"/>
        </w:rPr>
        <w:t>NDIS, whilst feedback from the NDIA could help providers</w:t>
      </w:r>
      <w:r w:rsidRPr="00D16999">
        <w:rPr>
          <w:rFonts w:asciiTheme="minorHAnsi" w:hAnsiTheme="minorHAnsi" w:cstheme="minorHAnsi"/>
          <w:szCs w:val="18"/>
        </w:rPr>
        <w:t xml:space="preserve"> </w:t>
      </w:r>
      <w:r>
        <w:rPr>
          <w:rFonts w:asciiTheme="minorHAnsi" w:hAnsiTheme="minorHAnsi" w:cstheme="minorHAnsi"/>
          <w:szCs w:val="18"/>
        </w:rPr>
        <w:t>improve supports for their clients</w:t>
      </w:r>
      <w:r w:rsidRPr="00D16999">
        <w:rPr>
          <w:rFonts w:asciiTheme="minorHAnsi" w:hAnsiTheme="minorHAnsi" w:cstheme="minorHAnsi"/>
          <w:szCs w:val="18"/>
        </w:rPr>
        <w:t xml:space="preserve">. </w:t>
      </w:r>
    </w:p>
    <w:p w:rsidR="00D907AF" w:rsidRPr="00D16999" w:rsidRDefault="00D907AF" w:rsidP="00D907AF">
      <w:pPr>
        <w:pStyle w:val="SecBody"/>
        <w:spacing w:before="0" w:after="0"/>
        <w:ind w:left="0"/>
        <w:rPr>
          <w:rFonts w:asciiTheme="minorHAnsi" w:hAnsiTheme="minorHAnsi" w:cstheme="minorHAnsi"/>
          <w:szCs w:val="18"/>
        </w:rPr>
      </w:pPr>
    </w:p>
    <w:p w:rsidR="00D907AF" w:rsidRDefault="00D907AF" w:rsidP="00D907AF">
      <w:pPr>
        <w:rPr>
          <w:rFonts w:cstheme="minorHAnsi"/>
          <w:szCs w:val="18"/>
        </w:rPr>
      </w:pPr>
      <w:r w:rsidRPr="00D16999">
        <w:rPr>
          <w:rFonts w:cstheme="minorHAnsi"/>
          <w:szCs w:val="18"/>
        </w:rPr>
        <w:t>Monthly NDIA forums were favoured over obt</w:t>
      </w:r>
      <w:r>
        <w:rPr>
          <w:rFonts w:cstheme="minorHAnsi"/>
          <w:szCs w:val="18"/>
        </w:rPr>
        <w:t>aining information from the NDIS</w:t>
      </w:r>
      <w:r w:rsidRPr="00D16999">
        <w:rPr>
          <w:rFonts w:cstheme="minorHAnsi"/>
          <w:szCs w:val="18"/>
        </w:rPr>
        <w:t xml:space="preserve"> website. Disability service providers considered the information included on the NDIS website to be too generic and reported that monitoring the </w:t>
      </w:r>
      <w:r>
        <w:rPr>
          <w:rFonts w:cstheme="minorHAnsi"/>
          <w:szCs w:val="18"/>
        </w:rPr>
        <w:t xml:space="preserve">NDIA </w:t>
      </w:r>
      <w:r w:rsidRPr="00D16999">
        <w:rPr>
          <w:rFonts w:cstheme="minorHAnsi"/>
          <w:szCs w:val="18"/>
        </w:rPr>
        <w:t xml:space="preserve">website for </w:t>
      </w:r>
      <w:r>
        <w:rPr>
          <w:rFonts w:cstheme="minorHAnsi"/>
          <w:szCs w:val="18"/>
        </w:rPr>
        <w:t xml:space="preserve">updates was unnecessarily </w:t>
      </w:r>
      <w:r w:rsidRPr="00D16999">
        <w:rPr>
          <w:rFonts w:cstheme="minorHAnsi"/>
          <w:szCs w:val="18"/>
        </w:rPr>
        <w:t xml:space="preserve">time consuming. Sole providers suggested </w:t>
      </w:r>
      <w:r>
        <w:rPr>
          <w:rFonts w:cstheme="minorHAnsi"/>
          <w:szCs w:val="18"/>
        </w:rPr>
        <w:t xml:space="preserve">that </w:t>
      </w:r>
      <w:r w:rsidRPr="00D16999">
        <w:rPr>
          <w:rFonts w:cstheme="minorHAnsi"/>
          <w:szCs w:val="18"/>
        </w:rPr>
        <w:t xml:space="preserve">the NDIA </w:t>
      </w:r>
      <w:r>
        <w:rPr>
          <w:rFonts w:cstheme="minorHAnsi"/>
          <w:szCs w:val="18"/>
        </w:rPr>
        <w:t xml:space="preserve">should </w:t>
      </w:r>
      <w:r w:rsidRPr="00D16999">
        <w:rPr>
          <w:rFonts w:cstheme="minorHAnsi"/>
          <w:szCs w:val="18"/>
        </w:rPr>
        <w:t xml:space="preserve">improve access to training and information sharing opportunities for them. </w:t>
      </w:r>
    </w:p>
    <w:p w:rsidR="00D907AF" w:rsidRPr="00732724" w:rsidRDefault="00D907AF" w:rsidP="009862D9">
      <w:pPr>
        <w:spacing w:before="240" w:after="200"/>
        <w:rPr>
          <w:b/>
        </w:rPr>
      </w:pPr>
      <w:r w:rsidRPr="00732724">
        <w:rPr>
          <w:b/>
        </w:rPr>
        <w:t>Less bureaucratic processes</w:t>
      </w:r>
    </w:p>
    <w:p w:rsidR="00D907AF" w:rsidRPr="00D16999" w:rsidRDefault="00D907AF" w:rsidP="00D907AF">
      <w:pPr>
        <w:pStyle w:val="SecBody"/>
        <w:ind w:left="0"/>
        <w:rPr>
          <w:rFonts w:asciiTheme="minorHAnsi" w:hAnsiTheme="minorHAnsi" w:cstheme="minorHAnsi"/>
          <w:szCs w:val="18"/>
        </w:rPr>
      </w:pPr>
      <w:r w:rsidRPr="00D16999">
        <w:rPr>
          <w:rFonts w:asciiTheme="minorHAnsi" w:hAnsiTheme="minorHAnsi" w:cstheme="minorHAnsi"/>
          <w:szCs w:val="18"/>
        </w:rPr>
        <w:t xml:space="preserve">Providers would have welcomed simpler and less bureaucratic processes. </w:t>
      </w:r>
      <w:r>
        <w:rPr>
          <w:rFonts w:asciiTheme="minorHAnsi" w:hAnsiTheme="minorHAnsi" w:cstheme="minorHAnsi"/>
          <w:szCs w:val="18"/>
        </w:rPr>
        <w:t>I</w:t>
      </w:r>
      <w:r w:rsidRPr="00D16999">
        <w:rPr>
          <w:rFonts w:asciiTheme="minorHAnsi" w:hAnsiTheme="minorHAnsi" w:cstheme="minorHAnsi"/>
          <w:szCs w:val="18"/>
        </w:rPr>
        <w:t>mprovements to the IT system</w:t>
      </w:r>
      <w:r>
        <w:rPr>
          <w:rFonts w:asciiTheme="minorHAnsi" w:hAnsiTheme="minorHAnsi" w:cstheme="minorHAnsi"/>
          <w:szCs w:val="18"/>
        </w:rPr>
        <w:t>,</w:t>
      </w:r>
      <w:r w:rsidRPr="00D16999">
        <w:rPr>
          <w:rFonts w:asciiTheme="minorHAnsi" w:hAnsiTheme="minorHAnsi" w:cstheme="minorHAnsi"/>
          <w:szCs w:val="18"/>
        </w:rPr>
        <w:t xml:space="preserve"> especially the provider portal</w:t>
      </w:r>
      <w:r>
        <w:rPr>
          <w:rFonts w:asciiTheme="minorHAnsi" w:hAnsiTheme="minorHAnsi" w:cstheme="minorHAnsi"/>
          <w:szCs w:val="18"/>
        </w:rPr>
        <w:t>,</w:t>
      </w:r>
      <w:r w:rsidRPr="00D16999">
        <w:rPr>
          <w:rFonts w:asciiTheme="minorHAnsi" w:hAnsiTheme="minorHAnsi" w:cstheme="minorHAnsi"/>
          <w:szCs w:val="18"/>
        </w:rPr>
        <w:t xml:space="preserve"> were seen as </w:t>
      </w:r>
      <w:r>
        <w:rPr>
          <w:rFonts w:asciiTheme="minorHAnsi" w:hAnsiTheme="minorHAnsi" w:cstheme="minorHAnsi"/>
          <w:szCs w:val="18"/>
        </w:rPr>
        <w:t>essential</w:t>
      </w:r>
      <w:r w:rsidRPr="00D16999">
        <w:rPr>
          <w:rFonts w:asciiTheme="minorHAnsi" w:hAnsiTheme="minorHAnsi" w:cstheme="minorHAnsi"/>
          <w:szCs w:val="18"/>
        </w:rPr>
        <w:t xml:space="preserve"> in order to alleviate the administrative burden the NDIS imposed on providers.</w:t>
      </w:r>
    </w:p>
    <w:p w:rsidR="00D907AF" w:rsidRPr="00732724" w:rsidRDefault="00D907AF" w:rsidP="009862D9">
      <w:pPr>
        <w:spacing w:before="240" w:after="200"/>
        <w:rPr>
          <w:b/>
        </w:rPr>
      </w:pPr>
      <w:r w:rsidRPr="00732724">
        <w:rPr>
          <w:b/>
        </w:rPr>
        <w:t>NDIS Funding</w:t>
      </w:r>
    </w:p>
    <w:p w:rsidR="00D907AF" w:rsidRPr="00D16999" w:rsidRDefault="00D907AF" w:rsidP="00D907AF">
      <w:pPr>
        <w:pStyle w:val="SecBody"/>
        <w:ind w:left="0"/>
        <w:jc w:val="left"/>
        <w:rPr>
          <w:rFonts w:asciiTheme="minorHAnsi" w:hAnsiTheme="minorHAnsi" w:cstheme="minorHAnsi"/>
          <w:szCs w:val="18"/>
        </w:rPr>
      </w:pPr>
      <w:r w:rsidRPr="00D16999">
        <w:rPr>
          <w:rFonts w:asciiTheme="minorHAnsi" w:hAnsiTheme="minorHAnsi" w:cstheme="minorHAnsi"/>
          <w:szCs w:val="18"/>
        </w:rPr>
        <w:t xml:space="preserve">Disability service providers </w:t>
      </w:r>
      <w:r>
        <w:rPr>
          <w:rFonts w:asciiTheme="minorHAnsi" w:hAnsiTheme="minorHAnsi" w:cstheme="minorHAnsi"/>
          <w:szCs w:val="18"/>
        </w:rPr>
        <w:t>would like</w:t>
      </w:r>
      <w:r w:rsidRPr="00D16999">
        <w:rPr>
          <w:rFonts w:asciiTheme="minorHAnsi" w:hAnsiTheme="minorHAnsi" w:cstheme="minorHAnsi"/>
          <w:szCs w:val="18"/>
        </w:rPr>
        <w:t xml:space="preserve"> the NDIS pricing system to reflect better the actual costs of staffing and service provision. They also recommended </w:t>
      </w:r>
      <w:r>
        <w:rPr>
          <w:rFonts w:asciiTheme="minorHAnsi" w:hAnsiTheme="minorHAnsi" w:cstheme="minorHAnsi"/>
          <w:szCs w:val="18"/>
        </w:rPr>
        <w:t>greater effort</w:t>
      </w:r>
      <w:r w:rsidRPr="00D16999">
        <w:rPr>
          <w:rFonts w:asciiTheme="minorHAnsi" w:hAnsiTheme="minorHAnsi" w:cstheme="minorHAnsi"/>
          <w:szCs w:val="18"/>
        </w:rPr>
        <w:t xml:space="preserve"> to increase understanding and better manage interactions between the NDIA</w:t>
      </w:r>
      <w:r>
        <w:rPr>
          <w:rFonts w:asciiTheme="minorHAnsi" w:hAnsiTheme="minorHAnsi" w:cstheme="minorHAnsi"/>
          <w:szCs w:val="18"/>
        </w:rPr>
        <w:t>,</w:t>
      </w:r>
      <w:r w:rsidRPr="00D16999">
        <w:rPr>
          <w:rFonts w:asciiTheme="minorHAnsi" w:hAnsiTheme="minorHAnsi" w:cstheme="minorHAnsi"/>
          <w:szCs w:val="18"/>
        </w:rPr>
        <w:t xml:space="preserve"> and different sectors and state-based systems. Such policies could address disability service providers</w:t>
      </w:r>
      <w:r>
        <w:rPr>
          <w:rFonts w:asciiTheme="minorHAnsi" w:hAnsiTheme="minorHAnsi" w:cstheme="minorHAnsi"/>
          <w:szCs w:val="18"/>
        </w:rPr>
        <w:t>’</w:t>
      </w:r>
      <w:r w:rsidRPr="00D16999">
        <w:rPr>
          <w:rFonts w:asciiTheme="minorHAnsi" w:hAnsiTheme="minorHAnsi" w:cstheme="minorHAnsi"/>
          <w:szCs w:val="18"/>
        </w:rPr>
        <w:t xml:space="preserve"> concerns about which </w:t>
      </w:r>
      <w:r>
        <w:rPr>
          <w:rFonts w:asciiTheme="minorHAnsi" w:hAnsiTheme="minorHAnsi" w:cstheme="minorHAnsi"/>
          <w:szCs w:val="18"/>
        </w:rPr>
        <w:t>bodies</w:t>
      </w:r>
      <w:r w:rsidRPr="00D16999">
        <w:rPr>
          <w:rFonts w:asciiTheme="minorHAnsi" w:hAnsiTheme="minorHAnsi" w:cstheme="minorHAnsi"/>
          <w:szCs w:val="18"/>
        </w:rPr>
        <w:t xml:space="preserve"> assumed responsibility for funding particular supports and potential service g</w:t>
      </w:r>
      <w:r>
        <w:rPr>
          <w:rFonts w:asciiTheme="minorHAnsi" w:hAnsiTheme="minorHAnsi" w:cstheme="minorHAnsi"/>
          <w:szCs w:val="18"/>
        </w:rPr>
        <w:t>aps for people with disability.</w:t>
      </w:r>
    </w:p>
    <w:p w:rsidR="00D907AF" w:rsidRPr="00732724" w:rsidRDefault="00D907AF" w:rsidP="009862D9">
      <w:pPr>
        <w:spacing w:before="240" w:after="200"/>
        <w:rPr>
          <w:b/>
        </w:rPr>
      </w:pPr>
      <w:r w:rsidRPr="00732724">
        <w:rPr>
          <w:b/>
        </w:rPr>
        <w:t xml:space="preserve">Support for people with disability </w:t>
      </w:r>
    </w:p>
    <w:p w:rsidR="00D907AF" w:rsidRPr="00D16999" w:rsidRDefault="00D907AF" w:rsidP="00D907AF">
      <w:pPr>
        <w:pStyle w:val="SecBody"/>
        <w:ind w:left="0"/>
        <w:rPr>
          <w:rFonts w:asciiTheme="minorHAnsi" w:hAnsiTheme="minorHAnsi" w:cstheme="minorHAnsi"/>
          <w:szCs w:val="18"/>
        </w:rPr>
      </w:pPr>
      <w:r w:rsidRPr="00D16999">
        <w:rPr>
          <w:rFonts w:asciiTheme="minorHAnsi" w:hAnsiTheme="minorHAnsi" w:cstheme="minorHAnsi"/>
          <w:szCs w:val="18"/>
        </w:rPr>
        <w:t>A number of improvements to assistance for people with disabilit</w:t>
      </w:r>
      <w:r>
        <w:rPr>
          <w:rFonts w:asciiTheme="minorHAnsi" w:hAnsiTheme="minorHAnsi" w:cstheme="minorHAnsi"/>
          <w:szCs w:val="18"/>
        </w:rPr>
        <w:t>y</w:t>
      </w:r>
      <w:r w:rsidRPr="00D16999">
        <w:rPr>
          <w:rFonts w:asciiTheme="minorHAnsi" w:hAnsiTheme="minorHAnsi" w:cstheme="minorHAnsi"/>
          <w:szCs w:val="18"/>
        </w:rPr>
        <w:t xml:space="preserve">, </w:t>
      </w:r>
      <w:r>
        <w:rPr>
          <w:rFonts w:asciiTheme="minorHAnsi" w:hAnsiTheme="minorHAnsi" w:cstheme="minorHAnsi"/>
          <w:szCs w:val="18"/>
        </w:rPr>
        <w:t xml:space="preserve">and </w:t>
      </w:r>
      <w:r w:rsidRPr="00D16999">
        <w:rPr>
          <w:rFonts w:asciiTheme="minorHAnsi" w:hAnsiTheme="minorHAnsi" w:cstheme="minorHAnsi"/>
          <w:szCs w:val="18"/>
        </w:rPr>
        <w:t>their families and carers were suggested. These include</w:t>
      </w:r>
      <w:r>
        <w:rPr>
          <w:rFonts w:asciiTheme="minorHAnsi" w:hAnsiTheme="minorHAnsi" w:cstheme="minorHAnsi"/>
          <w:szCs w:val="18"/>
        </w:rPr>
        <w:t>d</w:t>
      </w:r>
      <w:r w:rsidRPr="00D16999">
        <w:rPr>
          <w:rFonts w:asciiTheme="minorHAnsi" w:hAnsiTheme="minorHAnsi" w:cstheme="minorHAnsi"/>
          <w:szCs w:val="18"/>
        </w:rPr>
        <w:t xml:space="preserve"> more support for people with disability </w:t>
      </w:r>
      <w:r>
        <w:rPr>
          <w:rFonts w:asciiTheme="minorHAnsi" w:hAnsiTheme="minorHAnsi" w:cstheme="minorHAnsi"/>
          <w:szCs w:val="18"/>
        </w:rPr>
        <w:t xml:space="preserve">during the </w:t>
      </w:r>
      <w:r w:rsidRPr="00D16999">
        <w:rPr>
          <w:rFonts w:asciiTheme="minorHAnsi" w:hAnsiTheme="minorHAnsi" w:cstheme="minorHAnsi"/>
          <w:szCs w:val="18"/>
        </w:rPr>
        <w:t>transition into the NDIS</w:t>
      </w:r>
      <w:r>
        <w:rPr>
          <w:rFonts w:asciiTheme="minorHAnsi" w:hAnsiTheme="minorHAnsi" w:cstheme="minorHAnsi"/>
          <w:szCs w:val="18"/>
        </w:rPr>
        <w:t>,</w:t>
      </w:r>
      <w:r w:rsidRPr="00D16999">
        <w:rPr>
          <w:rFonts w:asciiTheme="minorHAnsi" w:hAnsiTheme="minorHAnsi" w:cstheme="minorHAnsi"/>
          <w:szCs w:val="18"/>
        </w:rPr>
        <w:t xml:space="preserve"> and more support coordination and stronger protections for the most vulnerable clients. </w:t>
      </w:r>
    </w:p>
    <w:p w:rsidR="00D907AF" w:rsidRPr="00732724" w:rsidRDefault="00D907AF" w:rsidP="009862D9">
      <w:pPr>
        <w:spacing w:before="240" w:after="200"/>
        <w:rPr>
          <w:b/>
        </w:rPr>
      </w:pPr>
      <w:r w:rsidRPr="00732724">
        <w:rPr>
          <w:b/>
        </w:rPr>
        <w:t xml:space="preserve">Specific improvements for psycho-social supports </w:t>
      </w:r>
    </w:p>
    <w:p w:rsidR="00D907AF" w:rsidRPr="00D16999" w:rsidRDefault="00D907AF" w:rsidP="00D907AF">
      <w:pPr>
        <w:pStyle w:val="SecBody"/>
        <w:ind w:left="0"/>
        <w:rPr>
          <w:rFonts w:asciiTheme="minorHAnsi" w:hAnsiTheme="minorHAnsi" w:cstheme="minorHAnsi"/>
          <w:szCs w:val="18"/>
        </w:rPr>
      </w:pPr>
      <w:r>
        <w:rPr>
          <w:rFonts w:asciiTheme="minorHAnsi" w:hAnsiTheme="minorHAnsi" w:cstheme="minorHAnsi"/>
          <w:szCs w:val="18"/>
        </w:rPr>
        <w:t>Providers also suggested i</w:t>
      </w:r>
      <w:r w:rsidRPr="00D16999">
        <w:rPr>
          <w:rFonts w:asciiTheme="minorHAnsi" w:hAnsiTheme="minorHAnsi" w:cstheme="minorHAnsi"/>
          <w:szCs w:val="18"/>
        </w:rPr>
        <w:t>mprovements to support services for people with psychosocial disability</w:t>
      </w:r>
      <w:r>
        <w:rPr>
          <w:rFonts w:asciiTheme="minorHAnsi" w:hAnsiTheme="minorHAnsi" w:cstheme="minorHAnsi"/>
          <w:szCs w:val="18"/>
        </w:rPr>
        <w:t>, including developing</w:t>
      </w:r>
      <w:r w:rsidRPr="00D16999">
        <w:rPr>
          <w:rFonts w:asciiTheme="minorHAnsi" w:hAnsiTheme="minorHAnsi" w:cstheme="minorHAnsi"/>
          <w:szCs w:val="18"/>
        </w:rPr>
        <w:t xml:space="preserve"> specialist support clusters</w:t>
      </w:r>
      <w:r>
        <w:rPr>
          <w:rFonts w:asciiTheme="minorHAnsi" w:hAnsiTheme="minorHAnsi" w:cstheme="minorHAnsi"/>
          <w:szCs w:val="18"/>
        </w:rPr>
        <w:t>,</w:t>
      </w:r>
      <w:r w:rsidRPr="00D16999">
        <w:rPr>
          <w:rFonts w:asciiTheme="minorHAnsi" w:hAnsiTheme="minorHAnsi" w:cstheme="minorHAnsi"/>
          <w:szCs w:val="18"/>
        </w:rPr>
        <w:t xml:space="preserve"> </w:t>
      </w:r>
      <w:r>
        <w:rPr>
          <w:rFonts w:asciiTheme="minorHAnsi" w:hAnsiTheme="minorHAnsi" w:cstheme="minorHAnsi"/>
          <w:szCs w:val="18"/>
        </w:rPr>
        <w:t xml:space="preserve">establishing </w:t>
      </w:r>
      <w:r w:rsidRPr="00D16999">
        <w:rPr>
          <w:rFonts w:asciiTheme="minorHAnsi" w:hAnsiTheme="minorHAnsi" w:cstheme="minorHAnsi"/>
          <w:szCs w:val="18"/>
        </w:rPr>
        <w:t>processes to accommodate participants who did not recognise that they had a psychosocial disability</w:t>
      </w:r>
      <w:r>
        <w:rPr>
          <w:rFonts w:asciiTheme="minorHAnsi" w:hAnsiTheme="minorHAnsi" w:cstheme="minorHAnsi"/>
          <w:szCs w:val="18"/>
        </w:rPr>
        <w:t>,</w:t>
      </w:r>
      <w:r w:rsidRPr="00D16999">
        <w:rPr>
          <w:rFonts w:asciiTheme="minorHAnsi" w:hAnsiTheme="minorHAnsi" w:cstheme="minorHAnsi"/>
          <w:szCs w:val="18"/>
        </w:rPr>
        <w:t xml:space="preserve"> and </w:t>
      </w:r>
      <w:r>
        <w:rPr>
          <w:rFonts w:asciiTheme="minorHAnsi" w:hAnsiTheme="minorHAnsi" w:cstheme="minorHAnsi"/>
          <w:szCs w:val="18"/>
        </w:rPr>
        <w:t xml:space="preserve">offering </w:t>
      </w:r>
      <w:r w:rsidRPr="00D16999">
        <w:rPr>
          <w:rFonts w:asciiTheme="minorHAnsi" w:hAnsiTheme="minorHAnsi" w:cstheme="minorHAnsi"/>
          <w:szCs w:val="18"/>
        </w:rPr>
        <w:t>dedicated support services for the families of people with psychosocial disability.</w:t>
      </w:r>
    </w:p>
    <w:p w:rsidR="008A7749" w:rsidRDefault="008A7749">
      <w:pPr>
        <w:rPr>
          <w:rFonts w:eastAsia="Times" w:cstheme="minorHAnsi"/>
          <w:b/>
          <w:kern w:val="32"/>
          <w:sz w:val="26"/>
          <w:szCs w:val="24"/>
          <w:lang w:val="en-AU" w:eastAsia="zh-CN"/>
        </w:rPr>
      </w:pPr>
      <w:bookmarkStart w:id="83" w:name="_Toc428271228"/>
      <w:r>
        <w:br w:type="page"/>
      </w:r>
    </w:p>
    <w:p w:rsidR="00D907AF" w:rsidRPr="0051564B" w:rsidRDefault="00D907AF" w:rsidP="00EC2C19">
      <w:pPr>
        <w:pStyle w:val="Heading2"/>
      </w:pPr>
      <w:bookmarkStart w:id="84" w:name="_Toc449954968"/>
      <w:r>
        <w:lastRenderedPageBreak/>
        <w:t>2.4 Interviews with d</w:t>
      </w:r>
      <w:r w:rsidRPr="0051564B">
        <w:t xml:space="preserve">isability </w:t>
      </w:r>
      <w:r>
        <w:t>w</w:t>
      </w:r>
      <w:r w:rsidRPr="0051564B">
        <w:t xml:space="preserve">orkforce </w:t>
      </w:r>
      <w:r>
        <w:t>s</w:t>
      </w:r>
      <w:r w:rsidRPr="0051564B">
        <w:t xml:space="preserve">takeholder </w:t>
      </w:r>
      <w:r>
        <w:t>o</w:t>
      </w:r>
      <w:r w:rsidRPr="0051564B">
        <w:t>rganisations</w:t>
      </w:r>
      <w:bookmarkEnd w:id="83"/>
      <w:bookmarkEnd w:id="84"/>
    </w:p>
    <w:p w:rsidR="00D907AF" w:rsidRPr="0051564B" w:rsidRDefault="00D907AF" w:rsidP="00EC2C19">
      <w:pPr>
        <w:pStyle w:val="Heading3"/>
      </w:pPr>
      <w:bookmarkStart w:id="85" w:name="_Toc428271229"/>
      <w:bookmarkStart w:id="86" w:name="_Toc449954969"/>
      <w:r>
        <w:t xml:space="preserve">2.4.1 </w:t>
      </w:r>
      <w:r w:rsidRPr="0051564B">
        <w:t>Specific aims and objectives</w:t>
      </w:r>
      <w:bookmarkEnd w:id="85"/>
      <w:bookmarkEnd w:id="86"/>
    </w:p>
    <w:p w:rsidR="00D907AF" w:rsidRPr="0051564B" w:rsidRDefault="00D907AF" w:rsidP="00D907AF">
      <w:r w:rsidRPr="0051564B">
        <w:t xml:space="preserve">This Chapter summarises the discussion points that arose from in-depth interviews with </w:t>
      </w:r>
      <w:r w:rsidR="00E7059D">
        <w:t>c</w:t>
      </w:r>
      <w:r w:rsidRPr="0051564B">
        <w:t xml:space="preserve">hief </w:t>
      </w:r>
      <w:r w:rsidR="00E7059D">
        <w:t>e</w:t>
      </w:r>
      <w:r w:rsidRPr="0051564B">
        <w:t>xecutives, senior managers and other employees of stakeholder organisations representing the interests and concerns of those working in the disability sector in Australia.</w:t>
      </w:r>
    </w:p>
    <w:p w:rsidR="00D907AF" w:rsidRPr="0051564B" w:rsidRDefault="00D907AF" w:rsidP="00D907AF"/>
    <w:p w:rsidR="00D907AF" w:rsidRDefault="00D907AF" w:rsidP="00D907AF">
      <w:r w:rsidRPr="0051564B">
        <w:t xml:space="preserve">The aim of these interviews was to add a sector and workforce perspective to the </w:t>
      </w:r>
      <w:r w:rsidR="00BD356D">
        <w:t>Evaluation</w:t>
      </w:r>
      <w:r w:rsidRPr="0051564B">
        <w:t xml:space="preserve"> of the trial of the NDIS. The specific objectives were to provide an understanding of the disability workforce perspective of:</w:t>
      </w:r>
    </w:p>
    <w:p w:rsidR="00D907AF" w:rsidRPr="0051564B" w:rsidRDefault="00D907AF" w:rsidP="00D907AF"/>
    <w:p w:rsidR="00D907AF" w:rsidRPr="0051564B" w:rsidRDefault="00D907AF" w:rsidP="00AF5E38">
      <w:pPr>
        <w:pStyle w:val="Bullets"/>
        <w:numPr>
          <w:ilvl w:val="0"/>
          <w:numId w:val="18"/>
        </w:numPr>
        <w:spacing w:before="0"/>
      </w:pPr>
      <w:r>
        <w:t>t</w:t>
      </w:r>
      <w:r w:rsidRPr="0051564B">
        <w:t>he impact of the NDIS on t</w:t>
      </w:r>
      <w:r>
        <w:t>he disability sector in general</w:t>
      </w:r>
    </w:p>
    <w:p w:rsidR="00D907AF" w:rsidRPr="0051564B" w:rsidRDefault="00D907AF" w:rsidP="00AF5E38">
      <w:pPr>
        <w:pStyle w:val="Bullets"/>
        <w:numPr>
          <w:ilvl w:val="0"/>
          <w:numId w:val="18"/>
        </w:numPr>
        <w:spacing w:before="0"/>
      </w:pPr>
      <w:r>
        <w:t>t</w:t>
      </w:r>
      <w:r w:rsidRPr="0051564B">
        <w:t xml:space="preserve">he impact of the NDIS on </w:t>
      </w:r>
      <w:r>
        <w:t>those working in the sector</w:t>
      </w:r>
    </w:p>
    <w:p w:rsidR="00D907AF" w:rsidRPr="0051564B" w:rsidRDefault="00D907AF" w:rsidP="00AF5E38">
      <w:pPr>
        <w:pStyle w:val="Bullets"/>
        <w:numPr>
          <w:ilvl w:val="0"/>
          <w:numId w:val="18"/>
        </w:numPr>
        <w:spacing w:before="0"/>
      </w:pPr>
      <w:r>
        <w:t>t</w:t>
      </w:r>
      <w:r w:rsidRPr="0051564B">
        <w:t>he disability sector’s responses to the NDIS, including any innovative practices adopted, changes in skills or training requirements, and leadership issues.</w:t>
      </w:r>
    </w:p>
    <w:p w:rsidR="00D907AF" w:rsidRPr="0051564B" w:rsidRDefault="00D907AF" w:rsidP="00D907AF"/>
    <w:p w:rsidR="00D907AF" w:rsidRPr="0051564B" w:rsidRDefault="00D907AF" w:rsidP="00D907AF">
      <w:r w:rsidRPr="0051564B">
        <w:t>In the first wave of interviews, respondents were invited to describe</w:t>
      </w:r>
      <w:r>
        <w:t>:</w:t>
      </w:r>
      <w:r w:rsidRPr="0051564B">
        <w:br/>
      </w:r>
    </w:p>
    <w:p w:rsidR="00D907AF" w:rsidRPr="0051564B" w:rsidRDefault="00D907AF" w:rsidP="00AF5E38">
      <w:pPr>
        <w:pStyle w:val="Bullets"/>
        <w:numPr>
          <w:ilvl w:val="0"/>
          <w:numId w:val="18"/>
        </w:numPr>
        <w:spacing w:before="0"/>
      </w:pPr>
      <w:r>
        <w:t>t</w:t>
      </w:r>
      <w:r w:rsidRPr="0051564B">
        <w:t xml:space="preserve">heir initial expectation of the NDIS with respect to their working environment, organisational matters </w:t>
      </w:r>
      <w:r>
        <w:t>and the wider disability sector</w:t>
      </w:r>
    </w:p>
    <w:p w:rsidR="00D907AF" w:rsidRPr="0051564B" w:rsidRDefault="00D907AF" w:rsidP="00AF5E38">
      <w:pPr>
        <w:pStyle w:val="Bullets"/>
        <w:numPr>
          <w:ilvl w:val="0"/>
          <w:numId w:val="18"/>
        </w:numPr>
        <w:spacing w:before="0"/>
      </w:pPr>
      <w:r>
        <w:t>t</w:t>
      </w:r>
      <w:r w:rsidRPr="0051564B">
        <w:t>he impact of the NDIS to</w:t>
      </w:r>
      <w:r>
        <w:t xml:space="preserve"> </w:t>
      </w:r>
      <w:r w:rsidRPr="0051564B">
        <w:t>date, in particular with respect to intra- and inter-organisational matters, and</w:t>
      </w:r>
      <w:r>
        <w:t xml:space="preserve"> how it related to expectations</w:t>
      </w:r>
    </w:p>
    <w:p w:rsidR="00D907AF" w:rsidRPr="0051564B" w:rsidRDefault="00D907AF" w:rsidP="00AF5E38">
      <w:pPr>
        <w:pStyle w:val="Bullets"/>
        <w:numPr>
          <w:ilvl w:val="0"/>
          <w:numId w:val="18"/>
        </w:numPr>
        <w:spacing w:before="0"/>
      </w:pPr>
      <w:r>
        <w:t>t</w:t>
      </w:r>
      <w:r w:rsidRPr="0051564B">
        <w:t>heir experience of working with the NDIA.</w:t>
      </w:r>
    </w:p>
    <w:p w:rsidR="00D907AF" w:rsidRPr="0051564B" w:rsidRDefault="00D907AF" w:rsidP="00D907AF"/>
    <w:p w:rsidR="00D907AF" w:rsidRPr="0051564B" w:rsidRDefault="00D907AF" w:rsidP="00D907AF">
      <w:r w:rsidRPr="0051564B">
        <w:t>The second wave of interviews is expected to explore in more detail how the disability sector has been changing from the view point of the workforce and its stakeholder organisations. Wave 2 will provide opportunities specifically to explore structural and operational changes in the sector.</w:t>
      </w:r>
    </w:p>
    <w:p w:rsidR="00D907AF" w:rsidRPr="0051564B" w:rsidRDefault="00D907AF" w:rsidP="00EC2C19">
      <w:pPr>
        <w:pStyle w:val="Heading3"/>
      </w:pPr>
      <w:bookmarkStart w:id="87" w:name="_Toc428271230"/>
      <w:bookmarkStart w:id="88" w:name="_Toc449954970"/>
      <w:r>
        <w:t xml:space="preserve">2.4.2 </w:t>
      </w:r>
      <w:r w:rsidRPr="0051564B">
        <w:t xml:space="preserve">Recruitment, </w:t>
      </w:r>
      <w:r>
        <w:t>s</w:t>
      </w:r>
      <w:r w:rsidRPr="0051564B">
        <w:t xml:space="preserve">ample and </w:t>
      </w:r>
      <w:r>
        <w:t>i</w:t>
      </w:r>
      <w:r w:rsidRPr="0051564B">
        <w:t>nterview</w:t>
      </w:r>
      <w:bookmarkEnd w:id="87"/>
      <w:bookmarkEnd w:id="88"/>
    </w:p>
    <w:p w:rsidR="00D907AF" w:rsidRPr="0051564B" w:rsidRDefault="00D907AF" w:rsidP="00D907AF">
      <w:r w:rsidRPr="0051564B">
        <w:t>Respondents to the disability workforce stakeholder sample were purposively sampled. Th</w:t>
      </w:r>
      <w:r>
        <w:t>e sampling</w:t>
      </w:r>
      <w:r w:rsidRPr="0051564B">
        <w:t xml:space="preserve"> sought to ensure an appropriate representation of organisations affected by the NDIS and representing </w:t>
      </w:r>
      <w:r>
        <w:t>people</w:t>
      </w:r>
      <w:r w:rsidRPr="0051564B">
        <w:t xml:space="preserve"> or organisations working in the disability sector.</w:t>
      </w:r>
      <w:r>
        <w:t xml:space="preserve"> The r</w:t>
      </w:r>
      <w:r w:rsidRPr="0051564B">
        <w:t>ecruitment also targeted occupation</w:t>
      </w:r>
      <w:r>
        <w:t>s</w:t>
      </w:r>
      <w:r w:rsidRPr="0051564B">
        <w:t xml:space="preserve"> and workforces supporting people with </w:t>
      </w:r>
      <w:r>
        <w:t>disability already represented in the NDIS or expected to be so in the future</w:t>
      </w:r>
      <w:r w:rsidRPr="0051564B">
        <w:t xml:space="preserve">. </w:t>
      </w:r>
    </w:p>
    <w:p w:rsidR="00D907AF" w:rsidRPr="0051564B" w:rsidRDefault="00D907AF" w:rsidP="00D907AF"/>
    <w:p w:rsidR="00D907AF" w:rsidRPr="0051564B" w:rsidRDefault="00D907AF" w:rsidP="00D907AF">
      <w:r w:rsidRPr="0051564B">
        <w:t>In total, interviews were conducted with 15 disability workforce stakeholder groups, including two separate interviews with senior national and regional personnel of one organisation</w:t>
      </w:r>
      <w:r w:rsidRPr="00732724">
        <w:t>.</w:t>
      </w:r>
      <w:r>
        <w:t xml:space="preserve"> </w:t>
      </w:r>
      <w:r w:rsidRPr="00732724">
        <w:t>In some</w:t>
      </w:r>
      <w:r w:rsidRPr="0051564B">
        <w:t xml:space="preserve"> instances, more than one representative from the stakeholder organisation participated in the interview. The interviews lasted between 1 and 1.5 hours, and were conducted between September and December 2014 using a common set of questions. Interviews were conducted </w:t>
      </w:r>
      <w:r>
        <w:t>by</w:t>
      </w:r>
      <w:r w:rsidRPr="0051564B">
        <w:t xml:space="preserve"> telephone at a date and time chosen by the respondents. With the consent of participants, interviews were recorded using an electronic recording device and transcribed verbatim using a professional transcription service.</w:t>
      </w:r>
      <w:r>
        <w:t xml:space="preserve"> </w:t>
      </w:r>
    </w:p>
    <w:p w:rsidR="00D907AF" w:rsidRPr="00CA0B0C" w:rsidRDefault="00D907AF" w:rsidP="00EC2C19">
      <w:pPr>
        <w:pStyle w:val="Heading3"/>
      </w:pPr>
      <w:bookmarkStart w:id="89" w:name="_Toc428271231"/>
      <w:bookmarkStart w:id="90" w:name="_Toc449954971"/>
      <w:r w:rsidRPr="00CA0B0C">
        <w:lastRenderedPageBreak/>
        <w:t>2.4.3</w:t>
      </w:r>
      <w:r>
        <w:t xml:space="preserve"> </w:t>
      </w:r>
      <w:r w:rsidRPr="00CA0B0C">
        <w:t>Findings</w:t>
      </w:r>
      <w:bookmarkEnd w:id="89"/>
      <w:bookmarkEnd w:id="90"/>
    </w:p>
    <w:p w:rsidR="00D907AF" w:rsidRPr="0051564B" w:rsidRDefault="00D907AF" w:rsidP="00D907AF">
      <w:r w:rsidRPr="0051564B">
        <w:t>The interviews with stakeholder organisations were designed to focus on expectations and current outcomes of the NDIS for the sector and its workforce.</w:t>
      </w:r>
      <w:r>
        <w:t xml:space="preserve"> </w:t>
      </w:r>
      <w:r w:rsidRPr="0051564B">
        <w:t xml:space="preserve">Although inadvertently covered in the conversations, stakeholders’ perceptions of the effects of the NDIS on people with disability were not at the core of the interviews and hence addressed only briefly. Initial impressions of the trial of the NDIS were that the scheme was having the expected positive effect on NDIS participants’ ability to enhance their choice and control over disability supports. </w:t>
      </w:r>
    </w:p>
    <w:p w:rsidR="00D907AF" w:rsidRPr="0051564B" w:rsidRDefault="00D907AF" w:rsidP="00D907AF"/>
    <w:p w:rsidR="00D907AF" w:rsidRPr="00B61A7D" w:rsidRDefault="00D907AF" w:rsidP="00D907AF">
      <w:pPr>
        <w:ind w:left="720"/>
      </w:pPr>
      <w:r w:rsidRPr="00B61A7D">
        <w:t>‘There is an overriding sense of optimism that the NDIS creates a situation where people can be more aspirational about their goals and are not constrained in terms of choosing to participate in certain programs which have been designed by bureaucrats, but can be more open in their thinking about their goals and aspirations and how they want to lead a normal life.’ (05R, Peak body)</w:t>
      </w:r>
    </w:p>
    <w:p w:rsidR="00D907AF" w:rsidRPr="0051564B" w:rsidRDefault="00D907AF" w:rsidP="00D907AF"/>
    <w:p w:rsidR="00D907AF" w:rsidRPr="0051564B" w:rsidRDefault="00D907AF" w:rsidP="00D907AF">
      <w:r w:rsidRPr="0051564B">
        <w:t>Stakeholders noted that NDIS participants appeared to be seeking new and different types of services, in particular to facilitate social and community participation, communication, as well as personal care. But some stakeholders also felt that not all NDIS participants, in particular those with complex and high support needs, appeared to be receiving all necessary supports, and in some instances previous levels of service provision were not being matched under NDIS funding.</w:t>
      </w:r>
      <w:r>
        <w:t xml:space="preserve"> </w:t>
      </w:r>
      <w:r w:rsidRPr="0051564B">
        <w:t>Service provision and funding across plans were observed as being variable and, at times, inconsistent. This was attributed to differences in the skills and expertise of NDIA planners within and between NDIA offices, but also the capacity of participa</w:t>
      </w:r>
      <w:r>
        <w:t xml:space="preserve">nts to advocate for services. </w:t>
      </w:r>
    </w:p>
    <w:p w:rsidR="00D907AF" w:rsidRPr="00CA0B0C" w:rsidRDefault="00D907AF" w:rsidP="00EC2C19">
      <w:pPr>
        <w:pStyle w:val="Heading40"/>
      </w:pPr>
      <w:bookmarkStart w:id="91" w:name="_Toc428271232"/>
      <w:bookmarkStart w:id="92" w:name="_Toc449954972"/>
      <w:r w:rsidRPr="004C5E09">
        <w:rPr>
          <w:rStyle w:val="Heading3Char"/>
          <w:b/>
        </w:rPr>
        <w:t>2.4.3.1</w:t>
      </w:r>
      <w:r>
        <w:rPr>
          <w:rStyle w:val="Heading3Char"/>
          <w:b/>
        </w:rPr>
        <w:t xml:space="preserve"> </w:t>
      </w:r>
      <w:r w:rsidRPr="00CA0B0C">
        <w:t xml:space="preserve">Initial </w:t>
      </w:r>
      <w:r>
        <w:t>e</w:t>
      </w:r>
      <w:r w:rsidRPr="00CA0B0C">
        <w:t>xpectation</w:t>
      </w:r>
      <w:r>
        <w:t>s</w:t>
      </w:r>
      <w:r w:rsidRPr="00CA0B0C">
        <w:t xml:space="preserve"> of the NDIS</w:t>
      </w:r>
      <w:bookmarkEnd w:id="91"/>
      <w:bookmarkEnd w:id="92"/>
    </w:p>
    <w:p w:rsidR="00D907AF" w:rsidRPr="0051564B" w:rsidRDefault="00D907AF" w:rsidP="00D907AF">
      <w:r w:rsidRPr="0051564B">
        <w:t xml:space="preserve">It is perhaps not surprising that, according to the stakeholder organisations interviewed for this </w:t>
      </w:r>
      <w:r w:rsidR="00190419">
        <w:t>e</w:t>
      </w:r>
      <w:r w:rsidRPr="0051564B">
        <w:t>valuation, the disability workforce shared many of the high expectations of the NDIS that have been reported in previous chapters for people with disability and disability support providers.</w:t>
      </w:r>
      <w:r>
        <w:t xml:space="preserve"> </w:t>
      </w:r>
      <w:r w:rsidRPr="0051564B">
        <w:t>A recurrent theme among participating organisations was the expectation that a federally coordinated disability insurance scheme would bring with it not only more equitable and, ultimately, reliable provisions of supports, but also enhanced and more appropriately distributed funding.</w:t>
      </w:r>
    </w:p>
    <w:p w:rsidR="00D907AF" w:rsidRPr="0051564B" w:rsidRDefault="00D907AF" w:rsidP="00D907AF"/>
    <w:p w:rsidR="00D907AF" w:rsidRPr="0051564B" w:rsidRDefault="00D907AF" w:rsidP="00D907AF">
      <w:r w:rsidRPr="0051564B">
        <w:t xml:space="preserve">This extra funding was not </w:t>
      </w:r>
      <w:r>
        <w:t>only</w:t>
      </w:r>
      <w:r w:rsidRPr="0051564B">
        <w:t xml:space="preserve"> seen directly to benefit support users, but the overall sector, which was expected to increase as demand for supports grew and got more diverse. It was anticipated that the NDIS would encourage</w:t>
      </w:r>
      <w:r>
        <w:t xml:space="preserve"> and</w:t>
      </w:r>
      <w:r w:rsidRPr="0051564B">
        <w:t xml:space="preserve"> even require the development of new forms of service delivery, typically through more diverse service options, the promotion of service flexibility and enhanced person-centred care.</w:t>
      </w:r>
    </w:p>
    <w:p w:rsidR="00D907AF" w:rsidRPr="0051564B" w:rsidRDefault="00D907AF" w:rsidP="00D907AF"/>
    <w:p w:rsidR="00D907AF" w:rsidRPr="00B61A7D" w:rsidRDefault="00D907AF" w:rsidP="00D907AF">
      <w:pPr>
        <w:ind w:left="720"/>
      </w:pPr>
      <w:r w:rsidRPr="00B61A7D">
        <w:t>‘I think it’s just an enormous opportunity to really think about some, to be innovative around service delivery. I just hope that that opportunity is actually met….So it takes away that, you know, moving from being a state based service provision model to being a national service provision model really does kind of change, really completely change the profile of how services can or could be, may or could be provided. So that’s really exciting and I think that, you know, so just the general idea of helping people, providing people choice and control, really changing that paradigm is really exciting, and know that people have found that really refreshing and exciting really.’ (13R, Allied health peak body)</w:t>
      </w:r>
    </w:p>
    <w:p w:rsidR="00D907AF" w:rsidRPr="002E2C13" w:rsidRDefault="00D907AF" w:rsidP="00D907AF"/>
    <w:p w:rsidR="00D907AF" w:rsidRPr="002E2C13" w:rsidRDefault="00D907AF" w:rsidP="00D907AF">
      <w:r w:rsidRPr="002E2C13">
        <w:t>A recurrent theme of our conversations with workforce stakeholders was their sustained worry that the NDIS might lack a pricing structure that offered to comprehensive</w:t>
      </w:r>
      <w:r>
        <w:t>ly</w:t>
      </w:r>
      <w:r w:rsidRPr="002E2C13">
        <w:t xml:space="preserve"> cover the costs of service provision.</w:t>
      </w:r>
      <w:r>
        <w:t xml:space="preserve"> </w:t>
      </w:r>
      <w:r w:rsidRPr="002E2C13">
        <w:t xml:space="preserve">Without this, it was argued, the sustainability of some service providers, in particular smaller ones, could be at risk. </w:t>
      </w:r>
    </w:p>
    <w:p w:rsidR="00D907AF" w:rsidRPr="002E2C13" w:rsidRDefault="00D907AF" w:rsidP="00D907AF"/>
    <w:p w:rsidR="00D907AF" w:rsidRPr="00B61A7D" w:rsidRDefault="00D907AF" w:rsidP="00D907AF">
      <w:pPr>
        <w:ind w:left="720"/>
      </w:pPr>
      <w:r w:rsidRPr="00B61A7D">
        <w:t xml:space="preserve">‘It's going to create great uncertainty for service providers, particularly where they are put in a position where they have to compete for participants with such low dollar value packages. It'll very much impact in the in-home support area. And it will impact where people are able to move around and to take their funding with them…And it's the problem with a market-driven philosophy that it creates this incredible pressure for services to do a lot more with a lot less.’ (10R, Trade union) </w:t>
      </w:r>
    </w:p>
    <w:p w:rsidR="00D907AF" w:rsidRPr="0051564B" w:rsidRDefault="00D907AF" w:rsidP="00D907AF"/>
    <w:p w:rsidR="00D907AF" w:rsidRPr="0051564B" w:rsidRDefault="00D907AF" w:rsidP="00D907AF">
      <w:r w:rsidRPr="0051564B">
        <w:t>Funding was not only seen to affect the range of support</w:t>
      </w:r>
      <w:r>
        <w:t>s</w:t>
      </w:r>
      <w:r w:rsidRPr="0051564B">
        <w:t xml:space="preserve"> that would be provided under the new scheme, but also their quality, in particular as delivered through a qualified and well trained workforce. Only with adequate funding in place, which would allow providers to cover their costs, did stakeholders see opportunities for developing and expanding the disability workforce. </w:t>
      </w:r>
    </w:p>
    <w:p w:rsidR="00D907AF" w:rsidRPr="0051564B" w:rsidRDefault="00D907AF" w:rsidP="00D907AF"/>
    <w:p w:rsidR="00D907AF" w:rsidRPr="002E2C13" w:rsidRDefault="00D907AF" w:rsidP="00D907AF">
      <w:r w:rsidRPr="0051564B">
        <w:t xml:space="preserve">Meeting any anticipated demand for a larger disability workforce was rarely seen as problematic. Labour supply was expected to </w:t>
      </w:r>
      <w:r w:rsidRPr="002E2C13">
        <w:t xml:space="preserve">increase as a result of the visibility of the disability sector and of </w:t>
      </w:r>
      <w:r w:rsidRPr="00DD6686">
        <w:t>“</w:t>
      </w:r>
      <w:r w:rsidRPr="00B61A7D">
        <w:t>employers…making the sector an attractive place to work</w:t>
      </w:r>
      <w:r w:rsidRPr="00DD6686">
        <w:t>”</w:t>
      </w:r>
      <w:r w:rsidRPr="002E2C13">
        <w:t xml:space="preserve"> (05R, Peak body), which would be accentuated by the trial and any subsequent roll out of the NDIS. This in turn was expected to encourage new workers to seek employment in the disability sector.</w:t>
      </w:r>
    </w:p>
    <w:p w:rsidR="00D907AF" w:rsidRPr="002E2C13" w:rsidRDefault="00D907AF" w:rsidP="00D907AF">
      <w:r w:rsidRPr="002E2C13">
        <w:t xml:space="preserve"> </w:t>
      </w:r>
    </w:p>
    <w:p w:rsidR="00D907AF" w:rsidRPr="002E2C13" w:rsidRDefault="00D907AF" w:rsidP="00D907AF">
      <w:r w:rsidRPr="002E2C13">
        <w:t>However, this optimism was somewhat tempered by more muted expectations as to the impact of the scheme on working conditions. Stakeholders were concerned that the competition between providers brought about by a new market-orientated disability support model might force disability service providers to reduce their operating costs. This would especially be the case if the individualised funding under the NDIS did not enable service providers to cover their fixed costs. It was repeatedly argued that providers might seek to achieve cost savings by lowering wages, increasingly us</w:t>
      </w:r>
      <w:r>
        <w:t>e of</w:t>
      </w:r>
      <w:r w:rsidRPr="002E2C13">
        <w:t xml:space="preserve"> temporary and casual workers and employees, or weakening career structures. Stakeholders were also concerned that the disability sector may cut back on staff training and professional development.</w:t>
      </w:r>
      <w:r>
        <w:t xml:space="preserve"> </w:t>
      </w:r>
    </w:p>
    <w:p w:rsidR="00D907AF" w:rsidRPr="002E2C13" w:rsidRDefault="00D907AF" w:rsidP="00D907AF"/>
    <w:p w:rsidR="00D907AF" w:rsidRPr="00B61A7D" w:rsidRDefault="00D907AF" w:rsidP="00D907AF">
      <w:pPr>
        <w:ind w:left="720"/>
      </w:pPr>
      <w:r w:rsidRPr="00B61A7D">
        <w:t>‘We are deeply concerned about employment standards and workforce qualification, skills and knowledge...Things like training and development, professional development and support for staff, the HR management functions and the like…I think that the funding model needed to be better balanced between some of the real costs of employment, which are fixed costs and the fixed costs around accommodation, support and the like, as well as individualised funding support to ensure that people are able to participate in the community and have social inclusion, and have lifelong development based on their individual needs.’ (10R, Trade union)</w:t>
      </w:r>
    </w:p>
    <w:p w:rsidR="00D907AF" w:rsidRPr="0051564B" w:rsidRDefault="00D907AF" w:rsidP="00D907AF">
      <w:pPr>
        <w:rPr>
          <w:i/>
        </w:rPr>
      </w:pPr>
    </w:p>
    <w:p w:rsidR="00D907AF" w:rsidRPr="0051564B" w:rsidRDefault="00D907AF" w:rsidP="00D907AF">
      <w:r w:rsidRPr="0051564B">
        <w:t>But there also were competing views that urged the disability sector in Australia to become more flexible so that it can provide its services in a manner that is more closely aligned with the needs of NDIS participants.</w:t>
      </w:r>
    </w:p>
    <w:p w:rsidR="00D907AF" w:rsidRPr="0051564B" w:rsidRDefault="00D907AF" w:rsidP="00D907AF">
      <w:pPr>
        <w:rPr>
          <w:i/>
        </w:rPr>
      </w:pPr>
    </w:p>
    <w:p w:rsidR="00D907AF" w:rsidRPr="00B61A7D" w:rsidRDefault="00D907AF" w:rsidP="00D907AF">
      <w:pPr>
        <w:ind w:left="720"/>
      </w:pPr>
      <w:r w:rsidRPr="00B61A7D">
        <w:t>‘At the moment we have a situation where the industrial relations settings, particularly the industrial relations instruments which are primarily used in the sector—in other words, the modern award—doesn’t provide sufficient flexibility, or doesn’t properly align to the social policy objectives and goals of the NDIS, and our view is that one should fall into line with the other and that the social policy goals should come first and that the industrial relations settings then should assist or support the achievement of those social policy goals.’ (05R, Peak body)</w:t>
      </w:r>
    </w:p>
    <w:p w:rsidR="00D907AF" w:rsidRPr="0051564B" w:rsidRDefault="00D907AF" w:rsidP="00367B24">
      <w:pPr>
        <w:pStyle w:val="Heading40"/>
      </w:pPr>
      <w:bookmarkStart w:id="93" w:name="_Toc428271233"/>
      <w:bookmarkStart w:id="94" w:name="_Toc449954973"/>
      <w:bookmarkStart w:id="95" w:name="_GoBack"/>
      <w:bookmarkEnd w:id="95"/>
      <w:r>
        <w:lastRenderedPageBreak/>
        <w:t xml:space="preserve">2.4.3.2 </w:t>
      </w:r>
      <w:r w:rsidRPr="0051564B">
        <w:t>Initial impact of the NDIS</w:t>
      </w:r>
      <w:bookmarkEnd w:id="93"/>
      <w:bookmarkEnd w:id="94"/>
    </w:p>
    <w:p w:rsidR="00D907AF" w:rsidRDefault="00D907AF" w:rsidP="00D907AF">
      <w:r w:rsidRPr="0051564B">
        <w:t xml:space="preserve">Stakeholders were observing changes in how the </w:t>
      </w:r>
      <w:r w:rsidRPr="0051564B">
        <w:rPr>
          <w:b/>
        </w:rPr>
        <w:t>disability sector</w:t>
      </w:r>
      <w:r w:rsidRPr="0051564B">
        <w:t xml:space="preserve"> was operating as a result of the trial of the NDIS, although most of these observations appeared anecdotal rather than based on any type of systematic monitoring. The reporting also suggested that the changes were varied, affecting different locations and initiated by different service providers. Some accounts pointed to disability providers proactively engaging with the new systems of service delivery, combining specialist disability services with other provisions, brokered in collaboration with mainstream and third sector organisations. </w:t>
      </w:r>
    </w:p>
    <w:p w:rsidR="00D907AF" w:rsidRDefault="00D907AF" w:rsidP="00D907AF"/>
    <w:p w:rsidR="00D907AF" w:rsidRPr="0051564B" w:rsidRDefault="00D907AF" w:rsidP="00D907AF">
      <w:r w:rsidRPr="0051564B">
        <w:t>Whereas stakeholders welcomed these changes, they also reported what in their eyes were less positive developments.</w:t>
      </w:r>
      <w:r>
        <w:t xml:space="preserve"> </w:t>
      </w:r>
      <w:r w:rsidRPr="0051564B">
        <w:t xml:space="preserve">In particular, stakeholders were concerned about state governments withdrawing from the provision of disability services before other providers had positioned themselves successfully to meet the increasing demand for their services. </w:t>
      </w:r>
    </w:p>
    <w:p w:rsidR="00D907AF" w:rsidRPr="0051564B" w:rsidRDefault="00D907AF" w:rsidP="00D907AF"/>
    <w:p w:rsidR="00D907AF" w:rsidRPr="00B61A7D" w:rsidRDefault="00D907AF" w:rsidP="00D907AF">
      <w:pPr>
        <w:ind w:left="720"/>
      </w:pPr>
      <w:r w:rsidRPr="00B61A7D">
        <w:t>‘Western Australia, New South Wales and Queensland already made the decision to outsource all of their public sector disability services to the not-for-profit sector, and there's a clear differentiation between the level of pay and terms and conditions between the two sectors. So clearly those governments have made a decision that in order to not have to pay more under the NDIS they have to outsource the services. And Victoria is heading down the same path….And effectively they are outsourcing the same job, the same hours, the same residents and clients, to simply a lower pay sector.’ (10R, Trade union)</w:t>
      </w:r>
      <w:r w:rsidR="004C521E">
        <w:rPr>
          <w:rStyle w:val="FootnoteReference"/>
        </w:rPr>
        <w:footnoteReference w:id="5"/>
      </w:r>
    </w:p>
    <w:p w:rsidR="00D907AF" w:rsidRPr="002E2C13" w:rsidRDefault="00D907AF" w:rsidP="00D907AF"/>
    <w:p w:rsidR="00D907AF" w:rsidRPr="002E2C13" w:rsidRDefault="00D907AF" w:rsidP="00D907AF">
      <w:r w:rsidRPr="002E2C13">
        <w:t>Commercial and third sector providers were still seen some time off from being able to step in and provide full service coverage.</w:t>
      </w:r>
      <w:r>
        <w:t xml:space="preserve"> </w:t>
      </w:r>
      <w:r w:rsidRPr="002E2C13">
        <w:t>Workforce stakeholders observed that providers were finding it difficult to transition from the old block funding system to the new individualised funding model of the NDIS.</w:t>
      </w:r>
      <w:r>
        <w:t xml:space="preserve"> </w:t>
      </w:r>
      <w:r w:rsidRPr="002E2C13">
        <w:t>They thus felt their initial concerns about the financial viability of smaller providers confirmed, since, in their view, the NDIA’s pricing structure was not matching the costs of service delivery.</w:t>
      </w:r>
      <w:r>
        <w:t xml:space="preserve"> </w:t>
      </w:r>
      <w:r w:rsidRPr="002E2C13">
        <w:t>In particular, the NDIA pricing was said not to cover the fixed costs of employment and the costs of administrative work not involving direct client contact. Allied health workers and their organisations also noted that the rates paid by the NDIA were lower than under other schemes, such as Medicare. For these reasons, some stakeholders expressed concern about the long-term sustainability of disability service providers, expecting larger disability organisations eventually to dominate the provider market.</w:t>
      </w:r>
      <w:r>
        <w:t xml:space="preserve"> </w:t>
      </w:r>
      <w:r w:rsidRPr="002E2C13">
        <w:t>This, in turn, would lead to reduced choice of supports that people with disability were just beginning to gain.</w:t>
      </w:r>
    </w:p>
    <w:p w:rsidR="00D907AF" w:rsidRPr="002E2C13" w:rsidRDefault="00D907AF" w:rsidP="00D907AF"/>
    <w:p w:rsidR="00D907AF" w:rsidRPr="00B61A7D" w:rsidRDefault="00D907AF" w:rsidP="00D907AF">
      <w:pPr>
        <w:ind w:left="720"/>
      </w:pPr>
      <w:r w:rsidRPr="00B61A7D">
        <w:t xml:space="preserve">‘We’re in transition from essentially block funded arrangements to individualised funding arrangements, and that the very process of transitioning and unwinding your services and unbundling those services and then responding to individual plans imposes a cost on service providers, which we feel that hasn’t adequately been taken account of, and then the pricing which was set a week before the trial sites started in July of last year, as soon as those prices came out we realised—or we took a view—that those prices were inadequate based on the feedback from our members and our own analysis, and that of subsequent reviews of those </w:t>
      </w:r>
      <w:r w:rsidRPr="00B61A7D">
        <w:lastRenderedPageBreak/>
        <w:t>prices. We have maintained that they don’t accurately reflect the true cost of delivering quality supports to people with disabilities.’ (05R, Peak body)</w:t>
      </w:r>
    </w:p>
    <w:p w:rsidR="00D907AF" w:rsidRPr="002E2C13" w:rsidRDefault="00D907AF" w:rsidP="00D907AF"/>
    <w:p w:rsidR="00D907AF" w:rsidRPr="002E2C13" w:rsidRDefault="00D907AF" w:rsidP="00D907AF">
      <w:r w:rsidRPr="002E2C13">
        <w:t xml:space="preserve">Some of the stakeholder organisations contributing to this component of the </w:t>
      </w:r>
      <w:r w:rsidR="00190419">
        <w:t>e</w:t>
      </w:r>
      <w:r w:rsidRPr="002E2C13">
        <w:t>valuation got themselves more actively involved with matters concerning the NDIS as a result of increasing demand from their membership, but also in recognition of opportunities to inform the future shape of the NDIS.</w:t>
      </w:r>
      <w:r>
        <w:t xml:space="preserve"> </w:t>
      </w:r>
      <w:r w:rsidRPr="002E2C13">
        <w:t>These organisations dedicated extra resources to respond to submissions, monitor developments, liaise with members, and lead workforce initiatives. Many had not felt part of earlier discussions and consultation that had taken place under the auspices of the NDIA and its predecessor body prior to the commencement of the trial of the NDIS; these organisations were now taking steps to becoming more engaged for their members, but also to improve linkages with the NDIA.</w:t>
      </w:r>
    </w:p>
    <w:p w:rsidR="00D907AF" w:rsidRPr="002E2C13" w:rsidRDefault="00D907AF" w:rsidP="00D907AF"/>
    <w:p w:rsidR="00D907AF" w:rsidRPr="00B61A7D" w:rsidRDefault="00D907AF" w:rsidP="00D907AF">
      <w:pPr>
        <w:ind w:left="720"/>
      </w:pPr>
      <w:r w:rsidRPr="00B61A7D">
        <w:t xml:space="preserve">‘There hadn’t been a lot of engagement either at the policy or a membership level and so I guess I set about really finding out where members were up to in terms of their knowledge and experience with the scheme. I did a survey for them, and then I’ve run education sessions…So I’ve done four sessions including some representatives from the NDIA in those sessions….I set up a community of practice for those people interested in talking about their engagement and ongoing concerns and, you know, the experience of the issues that were unfolding as people became more involved through the launch sites….There are regular bulletins both at the state and national level and so particular articles of relevance [on the NDIS] are included in those.’ (04R, Allied health peak body) </w:t>
      </w:r>
    </w:p>
    <w:p w:rsidR="00D907AF" w:rsidRPr="002E2C13" w:rsidRDefault="00D907AF" w:rsidP="00D907AF"/>
    <w:p w:rsidR="00D907AF" w:rsidRPr="002E2C13" w:rsidRDefault="00D907AF" w:rsidP="00D907AF">
      <w:r w:rsidRPr="002E2C13">
        <w:t>Some organisations ran training sessions for their members (and others), exploring practical approaches to implementing the NDIS principles of ‘choice and control’ and person-centred capacity building, and promoting “</w:t>
      </w:r>
      <w:r w:rsidRPr="00B61A7D">
        <w:t>an understanding of the tools and resources within the NDIS that support the insurance model framework, so the reasonable</w:t>
      </w:r>
      <w:r>
        <w:t>/</w:t>
      </w:r>
      <w:r w:rsidRPr="00B61A7D">
        <w:t>necessary decision-making, evidence-based practice, tools for measuring progress, key performance indicators that they need to work with</w:t>
      </w:r>
      <w:r w:rsidRPr="002E2C13">
        <w:t>” (16R, Allied health peak body).</w:t>
      </w:r>
      <w:r>
        <w:t xml:space="preserve"> </w:t>
      </w:r>
      <w:r w:rsidRPr="002E2C13">
        <w:t>At the same time, trade unions reported becoming more focused on members in the disability sector and their concerns about working conditions and job security.</w:t>
      </w:r>
    </w:p>
    <w:p w:rsidR="00D907AF" w:rsidRPr="002E2C13" w:rsidRDefault="00D907AF" w:rsidP="00D907AF"/>
    <w:p w:rsidR="00D907AF" w:rsidRPr="002E2C13" w:rsidRDefault="00D907AF" w:rsidP="00D907AF">
      <w:r w:rsidRPr="002E2C13">
        <w:t>The feelings of anxiety and uncertainty that characterised several workforce stakeholders’ assessment</w:t>
      </w:r>
      <w:r>
        <w:t>s</w:t>
      </w:r>
      <w:r w:rsidRPr="002E2C13">
        <w:t xml:space="preserve"> of the current and longer term impact of the NDIS on the disability sector extended to their perceptions of the future shape of the </w:t>
      </w:r>
      <w:r w:rsidRPr="002E2C13">
        <w:rPr>
          <w:b/>
        </w:rPr>
        <w:t>workforce</w:t>
      </w:r>
      <w:r w:rsidRPr="002E2C13">
        <w:t xml:space="preserve"> and its working conditions.</w:t>
      </w:r>
      <w:r>
        <w:t xml:space="preserve"> </w:t>
      </w:r>
      <w:r w:rsidRPr="002E2C13">
        <w:t xml:space="preserve">We were told that, in particular the employees of state-operated disability services felt vulnerable and their job prospects uncertain, a feeling that was accentuated by the early – and for some, premature – withdrawal of disability services provided by state governments, and associated job changes and losses. But the workforce stakeholders also acknowledged that there was at least anecdotal evidence of compensating increases in employment opportunities as a result of increasing service demand, which caused some providers to expand and others to enter the market. </w:t>
      </w:r>
    </w:p>
    <w:p w:rsidR="00D907AF" w:rsidRPr="002E2C13" w:rsidRDefault="00D907AF" w:rsidP="00D907AF"/>
    <w:p w:rsidR="00D907AF" w:rsidRPr="002E2C13" w:rsidRDefault="00D907AF" w:rsidP="00D907AF">
      <w:r w:rsidRPr="002E2C13">
        <w:t>Our interviews highlighted growing recognition of the potential for a professionalisation of disability support worker roles as a result of the NDIS and at the expense of a model that was previously built very much on allied health staff providing disability services.</w:t>
      </w:r>
      <w:r>
        <w:t xml:space="preserve"> </w:t>
      </w:r>
      <w:r w:rsidRPr="002E2C13">
        <w:t xml:space="preserve">Although no robust evidence of this happening as yet was presented, the prospect of professionalisation repeatedly led the workforce organisations to return the conversation to the importance of a coordinated approach to staff training and career development that was still largely absent. </w:t>
      </w:r>
    </w:p>
    <w:p w:rsidR="00D907AF" w:rsidRPr="002E2C13" w:rsidRDefault="00D907AF" w:rsidP="00D907AF"/>
    <w:p w:rsidR="00D907AF" w:rsidRPr="00B61A7D" w:rsidRDefault="00D907AF" w:rsidP="00D907AF">
      <w:pPr>
        <w:ind w:left="720"/>
      </w:pPr>
      <w:r w:rsidRPr="00B61A7D">
        <w:t xml:space="preserve">‘There is a shift towards…a higher expectation of qualification, particularly, but also, I mean most of that is happening in an ad hoc way. There’s not really any clear process about how this is developing, and it’s happening all across the sector…So there’s much more expectation now of things like case coordination and case management requiring tertiary education….There are no discussions around professionalisation; things are just happening. </w:t>
      </w:r>
      <w:r w:rsidRPr="00B61A7D">
        <w:lastRenderedPageBreak/>
        <w:t>So we’re kind of trying to intervene in those where we can and to form a coherent narrative around that direction that the industry’s moving in.’ (07R, Trade union)</w:t>
      </w:r>
    </w:p>
    <w:p w:rsidR="00D907AF" w:rsidRPr="002E2C13" w:rsidRDefault="00D907AF" w:rsidP="00D907AF"/>
    <w:p w:rsidR="00D907AF" w:rsidRPr="002E2C13" w:rsidRDefault="00D907AF" w:rsidP="00D907AF">
      <w:r w:rsidRPr="002E2C13">
        <w:t>The perceived need for formal training provisions to be set into place was frequently accompanied by urgent pleas to ensure that the NDIS funding system was structured so to allow specialist providers to invest in staff training and development.</w:t>
      </w:r>
    </w:p>
    <w:p w:rsidR="00D907AF" w:rsidRPr="002E2C13" w:rsidRDefault="00D907AF" w:rsidP="00D907AF"/>
    <w:p w:rsidR="00D907AF" w:rsidRPr="00B61A7D" w:rsidRDefault="00D907AF" w:rsidP="00D907AF">
      <w:pPr>
        <w:ind w:left="720"/>
      </w:pPr>
      <w:r w:rsidRPr="00B61A7D">
        <w:t>‘Initially there didn’t seem to be a</w:t>
      </w:r>
      <w:r w:rsidR="007A76F6">
        <w:t xml:space="preserve"> </w:t>
      </w:r>
      <w:r w:rsidRPr="00B61A7D">
        <w:t>recognition of the skill set involved in complex case management. Again the pricing around that was pretty low and again the sense that well maybe you don’t really need skilled people doing that whereas I think [our] profession would say frankly you need highly skilled people doing that.’ (04R, Allied health peak body)</w:t>
      </w:r>
    </w:p>
    <w:p w:rsidR="00D907AF" w:rsidRPr="002E2C13" w:rsidRDefault="00D907AF" w:rsidP="00367B24">
      <w:pPr>
        <w:pStyle w:val="Heading40"/>
      </w:pPr>
      <w:bookmarkStart w:id="96" w:name="_Toc428271234"/>
      <w:bookmarkStart w:id="97" w:name="_Toc449954974"/>
      <w:r>
        <w:t xml:space="preserve">2.4.3.3 </w:t>
      </w:r>
      <w:r w:rsidRPr="002E2C13">
        <w:t>Working with the NDIA</w:t>
      </w:r>
      <w:bookmarkEnd w:id="96"/>
      <w:bookmarkEnd w:id="97"/>
    </w:p>
    <w:p w:rsidR="00D907AF" w:rsidRPr="002E2C13" w:rsidRDefault="00D907AF" w:rsidP="00D907AF">
      <w:r w:rsidRPr="002E2C13">
        <w:t xml:space="preserve">Amongst all organisations contacted and interviewed as part of this </w:t>
      </w:r>
      <w:r w:rsidR="00190419">
        <w:t>e</w:t>
      </w:r>
      <w:r w:rsidRPr="002E2C13">
        <w:t>valuation, several workforce stakeholder organisations, in particular the trade unions and those aligned to allied health, felt most distant from the NDIA.</w:t>
      </w:r>
      <w:r>
        <w:t xml:space="preserve"> </w:t>
      </w:r>
      <w:r w:rsidRPr="002E2C13">
        <w:t xml:space="preserve">Few had been in direct contact with the NDIA, be it at </w:t>
      </w:r>
      <w:r>
        <w:t xml:space="preserve">a </w:t>
      </w:r>
      <w:r w:rsidRPr="002E2C13">
        <w:t>federal or state office level.</w:t>
      </w:r>
      <w:r>
        <w:t xml:space="preserve"> </w:t>
      </w:r>
      <w:r w:rsidRPr="002E2C13">
        <w:t>Moreover, the organisations typically reported contact with the NDIA only occurring after the start of the trial, and expressed disappointment about a lack of consultation and collaboration at the planning and early implementation stages of the NDIS trial.</w:t>
      </w:r>
      <w:r>
        <w:t xml:space="preserve"> </w:t>
      </w:r>
      <w:r w:rsidRPr="002E2C13">
        <w:t>Some felt very much excluded.</w:t>
      </w:r>
    </w:p>
    <w:p w:rsidR="00D907AF" w:rsidRPr="002E2C13" w:rsidRDefault="00D907AF" w:rsidP="00D907AF"/>
    <w:p w:rsidR="00D907AF" w:rsidRPr="00B61A7D" w:rsidRDefault="00D907AF" w:rsidP="00D907AF">
      <w:pPr>
        <w:ind w:left="720"/>
      </w:pPr>
      <w:r w:rsidRPr="00B61A7D">
        <w:t>‘It’s also a communication problem in the sense that all sorts of discussions happen inside the NDIA, inside the Department of Social Services, inside COAG, but us non-government folk on the outside aren’t privy to that, and so we don’t know where we’re at in the process of resolving these things.</w:t>
      </w:r>
      <w:r>
        <w:t xml:space="preserve"> </w:t>
      </w:r>
      <w:r w:rsidRPr="00B61A7D">
        <w:t xml:space="preserve">And meantime we’re at the frontline of having to answer questions about them.’ (08R, Peak body) </w:t>
      </w:r>
    </w:p>
    <w:p w:rsidR="00D907AF" w:rsidRPr="00C77351" w:rsidRDefault="00D907AF" w:rsidP="00D907AF"/>
    <w:p w:rsidR="00D907AF" w:rsidRPr="002E2C13" w:rsidRDefault="00D907AF" w:rsidP="00D907AF">
      <w:r w:rsidRPr="002E2C13">
        <w:t>A few, however, reported having being more closely involved in the original set up and planning of the NDIS:</w:t>
      </w:r>
    </w:p>
    <w:p w:rsidR="00D907AF" w:rsidRPr="002E2C13" w:rsidRDefault="00D907AF" w:rsidP="00D907AF"/>
    <w:p w:rsidR="00D907AF" w:rsidRPr="00B61A7D" w:rsidRDefault="00D907AF" w:rsidP="00D907AF">
      <w:pPr>
        <w:ind w:left="720"/>
      </w:pPr>
      <w:r w:rsidRPr="00B61A7D">
        <w:t xml:space="preserve">‘Well we work closely with the NDIA and so both in our formal role as an advisor to government at all levels of government - at the federal government and state governments -we you know, we respond to policy submissions and we advise them on matters relating to the NDIS.’ (05R, Peak body) </w:t>
      </w:r>
    </w:p>
    <w:p w:rsidR="00D907AF" w:rsidRPr="002E2C13" w:rsidRDefault="00D907AF" w:rsidP="00D907AF">
      <w:pPr>
        <w:rPr>
          <w:i/>
        </w:rPr>
      </w:pPr>
    </w:p>
    <w:p w:rsidR="00D907AF" w:rsidRPr="002E2C13" w:rsidRDefault="00D907AF" w:rsidP="00D907AF">
      <w:r w:rsidRPr="002E2C13">
        <w:t>The workforce organisations felt they would be a valuable source of information about, and important interface between, the disability and the mainstream sector, as their workforces were engaged in health, mental health, education and aged care, as well as disability services. Respondents spoke about the need for greater clarity about divisions of labour and responsibility between the mainstream and the disability sectors, in particular with respect to the inclusion or otherwise of psychosocial disability under the auspices of the NDIS. Respondents were aware of the risk of costs being shifted between the NDIS and mainstream sectors.</w:t>
      </w:r>
    </w:p>
    <w:p w:rsidR="00D907AF" w:rsidRPr="002E2C13" w:rsidRDefault="00D907AF" w:rsidP="00D907AF"/>
    <w:p w:rsidR="00D907AF" w:rsidRPr="00B61A7D" w:rsidRDefault="00D907AF" w:rsidP="00D907AF">
      <w:pPr>
        <w:ind w:left="720"/>
      </w:pPr>
      <w:r w:rsidRPr="00B61A7D">
        <w:t xml:space="preserve">‘How the interface occurs is really what’s going to be the impact. And I guess the largest area of concern…at the moment is how will that interface between health and disability and care and that transition because as I said, what we do is a lot of rehabilitation work in the hospital and at what point does it become NDIS or disabilities responsibility to take on those services and will there be attempts at cost shifting between the two areas are a concern to us.’ (12R, Allied health peak body) </w:t>
      </w:r>
    </w:p>
    <w:p w:rsidR="00D907AF" w:rsidRPr="002E2C13" w:rsidRDefault="00D907AF" w:rsidP="00367B24">
      <w:pPr>
        <w:pStyle w:val="Heading40"/>
      </w:pPr>
      <w:bookmarkStart w:id="98" w:name="_Toc428271235"/>
      <w:bookmarkStart w:id="99" w:name="_Toc449954975"/>
      <w:r>
        <w:lastRenderedPageBreak/>
        <w:t xml:space="preserve">2.4.3.4 </w:t>
      </w:r>
      <w:r w:rsidRPr="002E2C13">
        <w:t>Areas for improvement</w:t>
      </w:r>
      <w:bookmarkEnd w:id="98"/>
      <w:bookmarkEnd w:id="99"/>
      <w:r w:rsidRPr="002E2C13">
        <w:t xml:space="preserve"> </w:t>
      </w:r>
    </w:p>
    <w:p w:rsidR="00D907AF" w:rsidRPr="002E2C13" w:rsidRDefault="00D907AF" w:rsidP="00D907AF">
      <w:r w:rsidRPr="002E2C13">
        <w:t xml:space="preserve">Workforce stakeholder organisations strongly identified with the principles of the NDIS and its fundamental values of ‘choice and control’. The aim of the NDIS to centralise funding for disability services was perceived to bring equity to people with disability across the different states and territories in Australia. Overall, respondents were positive about the trial of the NDIS so far. The trial was deemed to be working well, especially in light of the obvious challenges involved in rolling </w:t>
      </w:r>
      <w:r>
        <w:t xml:space="preserve">out </w:t>
      </w:r>
      <w:r w:rsidRPr="002E2C13">
        <w:t>such a large scheme at such speed.</w:t>
      </w:r>
      <w:r>
        <w:t xml:space="preserve"> </w:t>
      </w:r>
    </w:p>
    <w:p w:rsidR="00D907AF" w:rsidRPr="002E2C13" w:rsidRDefault="00D907AF" w:rsidP="00D907AF"/>
    <w:p w:rsidR="008D79BD" w:rsidRDefault="008D79BD">
      <w:r>
        <w:br w:type="page"/>
      </w:r>
    </w:p>
    <w:p w:rsidR="00D907AF" w:rsidRPr="002E2C13" w:rsidRDefault="00D907AF" w:rsidP="00D907AF">
      <w:r w:rsidRPr="002E2C13">
        <w:lastRenderedPageBreak/>
        <w:t>Nonetheless, our informants highlighted some areas in which they would like to see changes, which could improve relationships between</w:t>
      </w:r>
      <w:r>
        <w:t xml:space="preserve"> the various parties engaged in or affected by the NDIS trial, </w:t>
      </w:r>
      <w:r w:rsidRPr="002E2C13">
        <w:t xml:space="preserve"> and ultimately the operations of the NDIS</w:t>
      </w:r>
      <w:r>
        <w:t xml:space="preserve"> itself</w:t>
      </w:r>
      <w:r w:rsidRPr="002E2C13">
        <w:t>.</w:t>
      </w:r>
      <w:r>
        <w:t xml:space="preserve"> </w:t>
      </w:r>
      <w:r w:rsidRPr="002E2C13">
        <w:t>Key recommendations to support or engage (i) workforce organisations, (ii) the workforce itself and (iii) people with disability included:</w:t>
      </w:r>
    </w:p>
    <w:p w:rsidR="00D907AF" w:rsidRPr="00620FA4" w:rsidRDefault="00D907AF" w:rsidP="00D907AF">
      <w:pPr>
        <w:spacing w:before="240" w:after="240"/>
        <w:rPr>
          <w:b/>
        </w:rPr>
      </w:pPr>
      <w:r w:rsidRPr="00620FA4">
        <w:rPr>
          <w:b/>
        </w:rPr>
        <w:t>Workforce organisations</w:t>
      </w:r>
    </w:p>
    <w:p w:rsidR="00D907AF" w:rsidRPr="002E2C13" w:rsidRDefault="00D907AF" w:rsidP="009862D9">
      <w:pPr>
        <w:pStyle w:val="Bullets"/>
        <w:ind w:left="426" w:hanging="426"/>
      </w:pPr>
      <w:r>
        <w:t>m</w:t>
      </w:r>
      <w:r w:rsidRPr="002E2C13">
        <w:t>ore consultation and more frequent communication opportunities for workforce organisations. The key stakeholders expressed a strong desire to contribute actively to the development of the NDIS, and would have liked more opportunities to do so. Better communication between them and the NDIA was recommended to facilitate enhanced sharing of information</w:t>
      </w:r>
      <w:r>
        <w:t xml:space="preserve"> </w:t>
      </w:r>
    </w:p>
    <w:p w:rsidR="00D907AF" w:rsidRPr="002E2C13" w:rsidRDefault="00D907AF" w:rsidP="009862D9">
      <w:pPr>
        <w:pStyle w:val="Bullets"/>
        <w:ind w:left="426" w:hanging="426"/>
      </w:pPr>
      <w:r>
        <w:t>a</w:t>
      </w:r>
      <w:r w:rsidRPr="002E2C13">
        <w:t xml:space="preserve"> national strategy to provide support to disability providers and </w:t>
      </w:r>
      <w:r>
        <w:t xml:space="preserve">to </w:t>
      </w:r>
      <w:r w:rsidRPr="002E2C13">
        <w:t>assist in the development of the supply of services.</w:t>
      </w:r>
      <w:r>
        <w:t xml:space="preserve"> </w:t>
      </w:r>
      <w:r w:rsidRPr="002E2C13">
        <w:t>Specifically, this included the suggestion to help smaller not-for-profit organisations to develop new business models in accordance with NDIS processes</w:t>
      </w:r>
    </w:p>
    <w:p w:rsidR="00D907AF" w:rsidRPr="002E2C13" w:rsidRDefault="00D907AF" w:rsidP="009862D9">
      <w:pPr>
        <w:pStyle w:val="Bullets"/>
        <w:ind w:left="426" w:hanging="426"/>
      </w:pPr>
      <w:r>
        <w:t>a</w:t>
      </w:r>
      <w:r w:rsidRPr="002E2C13">
        <w:t xml:space="preserve"> review of the NDIS pricing structure </w:t>
      </w:r>
      <w:r>
        <w:t xml:space="preserve">to cover </w:t>
      </w:r>
      <w:r w:rsidRPr="002E2C13">
        <w:t>the true costs of service provision.</w:t>
      </w:r>
      <w:r>
        <w:t xml:space="preserve"> </w:t>
      </w:r>
      <w:r w:rsidRPr="002E2C13">
        <w:t>This was seen to be critical for ensuring high quality disability supports and the financial viability of service providers. Related to this, the NDIA was urged to clarify the intersection with the mainstream sectors to address current confusion over support eligibility and the risk of cost shifting</w:t>
      </w:r>
    </w:p>
    <w:p w:rsidR="00D907AF" w:rsidRPr="00620FA4" w:rsidRDefault="00D907AF" w:rsidP="00D907AF">
      <w:pPr>
        <w:spacing w:before="240" w:after="240"/>
        <w:rPr>
          <w:b/>
        </w:rPr>
      </w:pPr>
      <w:r w:rsidRPr="00620FA4">
        <w:rPr>
          <w:b/>
        </w:rPr>
        <w:t>The workforce</w:t>
      </w:r>
    </w:p>
    <w:p w:rsidR="00D907AF" w:rsidRPr="0051564B" w:rsidRDefault="00D907AF" w:rsidP="009862D9">
      <w:pPr>
        <w:pStyle w:val="Bullets"/>
        <w:ind w:left="426" w:hanging="426"/>
      </w:pPr>
      <w:r>
        <w:t>p</w:t>
      </w:r>
      <w:r w:rsidRPr="002E2C13">
        <w:t>roviding or supporting a (f</w:t>
      </w:r>
      <w:r w:rsidRPr="0051564B">
        <w:t>unded) disability workforce training infrastructure. This was proposed alongside recommendations to review and nationally co-ordinate disability workforce training courses and their content in order to ensure their relevance to the principles and processes of the NDIS.</w:t>
      </w:r>
      <w:r>
        <w:t xml:space="preserve"> </w:t>
      </w:r>
      <w:r w:rsidRPr="0051564B">
        <w:t>It was also suggested that an accreditation process be set up under the NDIS to promote a skilled workforce and ensure quality services for participants</w:t>
      </w:r>
    </w:p>
    <w:p w:rsidR="00D907AF" w:rsidRPr="0051564B" w:rsidRDefault="00D907AF" w:rsidP="009862D9">
      <w:pPr>
        <w:pStyle w:val="Bullets"/>
        <w:ind w:left="426" w:hanging="426"/>
      </w:pPr>
      <w:r>
        <w:t>w</w:t>
      </w:r>
      <w:r w:rsidRPr="0051564B">
        <w:t>orkforce planning at a national level and by individual disability service providers.</w:t>
      </w:r>
      <w:r>
        <w:t xml:space="preserve"> </w:t>
      </w:r>
      <w:r w:rsidRPr="0051564B">
        <w:t>This was suggested as a means to attract and retain a skilled workforce and to promote good working conditions within the sector. Full cost recovery under the NDIS pricing structure was seen as a pre-condition that would allow investment in training and a good workplace</w:t>
      </w:r>
    </w:p>
    <w:p w:rsidR="00D907AF" w:rsidRPr="00620FA4" w:rsidRDefault="00D907AF" w:rsidP="00D907AF">
      <w:pPr>
        <w:spacing w:before="240" w:after="240"/>
        <w:rPr>
          <w:b/>
        </w:rPr>
      </w:pPr>
      <w:r w:rsidRPr="00620FA4">
        <w:rPr>
          <w:b/>
        </w:rPr>
        <w:t>People with disability</w:t>
      </w:r>
    </w:p>
    <w:p w:rsidR="00D907AF" w:rsidRPr="0051564B" w:rsidRDefault="00D907AF" w:rsidP="009862D9">
      <w:pPr>
        <w:pStyle w:val="Bullets"/>
        <w:ind w:left="426" w:hanging="426"/>
      </w:pPr>
      <w:r>
        <w:t>m</w:t>
      </w:r>
      <w:r w:rsidRPr="0051564B">
        <w:t>ore consistency in funding arrangements across trial sites. Current arrangements were not seen to fully achieve the objective of greater equity of service provision for people with disability</w:t>
      </w:r>
      <w:r>
        <w:t xml:space="preserve"> </w:t>
      </w:r>
    </w:p>
    <w:p w:rsidR="00D907AF" w:rsidRPr="0051564B" w:rsidRDefault="00D907AF" w:rsidP="009862D9">
      <w:pPr>
        <w:pStyle w:val="Bullets"/>
        <w:ind w:left="426" w:hanging="426"/>
      </w:pPr>
      <w:r>
        <w:t>i</w:t>
      </w:r>
      <w:r w:rsidRPr="0051564B">
        <w:t>mproved NDIA planning processes supported by training needs assessment</w:t>
      </w:r>
      <w:r>
        <w:t>s</w:t>
      </w:r>
      <w:r w:rsidRPr="0051564B">
        <w:t xml:space="preserve"> </w:t>
      </w:r>
      <w:r>
        <w:t>for</w:t>
      </w:r>
      <w:r w:rsidRPr="0051564B">
        <w:t xml:space="preserve"> NDIA planners. This was hoped to assist with overcoming variability in participant plans</w:t>
      </w:r>
      <w:r>
        <w:t xml:space="preserve"> </w:t>
      </w:r>
    </w:p>
    <w:p w:rsidR="00D907AF" w:rsidRPr="0051564B" w:rsidRDefault="00D907AF" w:rsidP="009862D9">
      <w:pPr>
        <w:pStyle w:val="Bullets"/>
        <w:ind w:left="426" w:hanging="426"/>
      </w:pPr>
      <w:r>
        <w:t>i</w:t>
      </w:r>
      <w:r w:rsidRPr="0051564B">
        <w:t>mproving the ability of people with disability to engage actively in the planning process.</w:t>
      </w:r>
      <w:r>
        <w:t xml:space="preserve"> </w:t>
      </w:r>
      <w:r w:rsidRPr="0051564B">
        <w:t>It was proposed that this be achieved by increasing the time permitted for planning meetings, improving resources available to NDIS participants and their families, and funding advocacy services to support participants and assist in building their capacity as consumers of services</w:t>
      </w:r>
    </w:p>
    <w:p w:rsidR="00D907AF" w:rsidRPr="0051564B" w:rsidRDefault="00D907AF" w:rsidP="009862D9">
      <w:pPr>
        <w:pStyle w:val="Bullets"/>
        <w:ind w:left="426" w:hanging="426"/>
      </w:pPr>
      <w:r>
        <w:t>p</w:t>
      </w:r>
      <w:r w:rsidRPr="0051564B">
        <w:t>athways for people with disability not eligible for the NDIS. Stakeholders were concerned about ensuring that provisions and funding remained in place and were clearly sign posted for all people with disability.</w:t>
      </w:r>
    </w:p>
    <w:p w:rsidR="00D907AF" w:rsidRPr="009F606B" w:rsidRDefault="00D907AF" w:rsidP="00367B24">
      <w:pPr>
        <w:pStyle w:val="Heading2"/>
      </w:pPr>
      <w:r>
        <w:br w:type="page"/>
      </w:r>
      <w:bookmarkStart w:id="100" w:name="_Toc428271236"/>
      <w:bookmarkStart w:id="101" w:name="_Toc449954976"/>
      <w:r>
        <w:lastRenderedPageBreak/>
        <w:t>2.5 Interviews with ND</w:t>
      </w:r>
      <w:r w:rsidRPr="00A91536">
        <w:rPr>
          <w:rStyle w:val="Heading2Char"/>
        </w:rPr>
        <w:t>I</w:t>
      </w:r>
      <w:r>
        <w:t>A managers and staff</w:t>
      </w:r>
      <w:bookmarkEnd w:id="100"/>
      <w:bookmarkEnd w:id="101"/>
    </w:p>
    <w:p w:rsidR="00D907AF" w:rsidRDefault="00D907AF" w:rsidP="00367B24">
      <w:pPr>
        <w:pStyle w:val="Heading3"/>
      </w:pPr>
      <w:bookmarkStart w:id="102" w:name="_Toc428271237"/>
      <w:bookmarkStart w:id="103" w:name="_Toc449954977"/>
      <w:r>
        <w:t>2.5.1 Specific aims and objectives</w:t>
      </w:r>
      <w:bookmarkEnd w:id="102"/>
      <w:bookmarkEnd w:id="103"/>
    </w:p>
    <w:p w:rsidR="00D907AF" w:rsidRDefault="00D907AF" w:rsidP="00D907AF">
      <w:r>
        <w:t>In this chapter, we report the principal findings from i</w:t>
      </w:r>
      <w:r w:rsidRPr="000D3CC5">
        <w:t xml:space="preserve">nterviews held with 46 NDIA staff </w:t>
      </w:r>
      <w:r>
        <w:t xml:space="preserve">across the initial four trial sites of the NDIS, and in the ACT. These interviews were conducted </w:t>
      </w:r>
      <w:r w:rsidRPr="000D3CC5">
        <w:t>between October 2014 and</w:t>
      </w:r>
      <w:r>
        <w:t xml:space="preserve"> April 2015. The objectives were to help the researchers to better understand: </w:t>
      </w:r>
    </w:p>
    <w:p w:rsidR="00D907AF" w:rsidRDefault="00D907AF" w:rsidP="00D907AF"/>
    <w:p w:rsidR="00D907AF" w:rsidRDefault="00D907AF" w:rsidP="00AF5E38">
      <w:pPr>
        <w:pStyle w:val="Bullets"/>
        <w:numPr>
          <w:ilvl w:val="0"/>
          <w:numId w:val="18"/>
        </w:numPr>
        <w:spacing w:before="0"/>
      </w:pPr>
      <w:r>
        <w:t>NDIA employees’ perceptions and experiences of implementing the NDIS to date</w:t>
      </w:r>
    </w:p>
    <w:p w:rsidR="00D907AF" w:rsidRDefault="00D907AF" w:rsidP="00AF5E38">
      <w:pPr>
        <w:pStyle w:val="Bullets"/>
        <w:numPr>
          <w:ilvl w:val="0"/>
          <w:numId w:val="18"/>
        </w:numPr>
        <w:spacing w:before="0"/>
      </w:pPr>
      <w:r>
        <w:t xml:space="preserve">assistance provided at the point of personal plan development to people with disability in setting and achieving goals, and in increasing social and economic participation </w:t>
      </w:r>
    </w:p>
    <w:p w:rsidR="00D907AF" w:rsidRDefault="00D907AF" w:rsidP="00AF5E38">
      <w:pPr>
        <w:pStyle w:val="Bullets"/>
        <w:numPr>
          <w:ilvl w:val="0"/>
          <w:numId w:val="18"/>
        </w:numPr>
        <w:spacing w:before="0" w:after="0"/>
      </w:pPr>
      <w:r>
        <w:t>relationships between NDIA employees and community and mainstream services.</w:t>
      </w:r>
    </w:p>
    <w:p w:rsidR="00A15D3E" w:rsidRPr="00A15D3E" w:rsidRDefault="00A15D3E" w:rsidP="00A15D3E"/>
    <w:p w:rsidR="00D907AF" w:rsidRDefault="00D907AF" w:rsidP="00D907AF">
      <w:r>
        <w:t>Our presentation of findings from the first wave of interviews that follows below will address these three objectives in turn.</w:t>
      </w:r>
    </w:p>
    <w:p w:rsidR="00D907AF" w:rsidRDefault="00D907AF" w:rsidP="00367B24">
      <w:pPr>
        <w:pStyle w:val="Heading3"/>
      </w:pPr>
      <w:bookmarkStart w:id="104" w:name="_Toc428271238"/>
      <w:bookmarkStart w:id="105" w:name="_Toc449954978"/>
      <w:r>
        <w:t>2.5.2 Recruitment, sample and interview</w:t>
      </w:r>
      <w:bookmarkEnd w:id="104"/>
      <w:bookmarkEnd w:id="105"/>
    </w:p>
    <w:p w:rsidR="00D907AF" w:rsidRDefault="00D907AF" w:rsidP="00D907AF">
      <w:r w:rsidRPr="009E25B2">
        <w:t xml:space="preserve">The interviews included managerial </w:t>
      </w:r>
      <w:r>
        <w:t xml:space="preserve">and operational staff, and practitioners at each of the NDIS trial sites. Practitioners included </w:t>
      </w:r>
      <w:r w:rsidRPr="009E25B2">
        <w:t>Local Area Coordinators, NDIA planner</w:t>
      </w:r>
      <w:r>
        <w:t>s</w:t>
      </w:r>
      <w:r w:rsidRPr="009E25B2">
        <w:t>, Business or Regional Support Officers, and Plan Support Officers.</w:t>
      </w:r>
      <w:r>
        <w:t xml:space="preserve"> </w:t>
      </w:r>
      <w:r w:rsidRPr="009E25B2">
        <w:t>A breakdown of the number of participants by the</w:t>
      </w:r>
      <w:r>
        <w:t>ir job roles is shown in Table 2.4</w:t>
      </w:r>
      <w:r w:rsidRPr="009E25B2">
        <w:t>.</w:t>
      </w:r>
    </w:p>
    <w:p w:rsidR="00D907AF" w:rsidRPr="009E25B2" w:rsidRDefault="00D907AF" w:rsidP="00D907AF"/>
    <w:p w:rsidR="00D907AF" w:rsidRDefault="00D907AF" w:rsidP="0044684E">
      <w:pPr>
        <w:pStyle w:val="NILSTableHeading"/>
        <w:rPr>
          <w:lang w:val="en-AU" w:eastAsia="zh-CN"/>
        </w:rPr>
      </w:pPr>
      <w:bookmarkStart w:id="106" w:name="_Toc423957186"/>
      <w:bookmarkStart w:id="107" w:name="_Toc428271192"/>
      <w:bookmarkStart w:id="108" w:name="_Toc449955261"/>
      <w:r>
        <w:rPr>
          <w:lang w:eastAsia="zh-CN"/>
        </w:rPr>
        <w:t>Table</w:t>
      </w:r>
      <w:r w:rsidRPr="00DD21F4">
        <w:rPr>
          <w:lang w:eastAsia="zh-CN"/>
        </w:rPr>
        <w:t xml:space="preserve"> </w:t>
      </w:r>
      <w:bookmarkEnd w:id="106"/>
      <w:r>
        <w:rPr>
          <w:lang w:eastAsia="zh-CN"/>
        </w:rPr>
        <w:t xml:space="preserve">2.4: </w:t>
      </w:r>
      <w:r w:rsidR="00E56E9A">
        <w:rPr>
          <w:lang w:val="en-AU" w:eastAsia="zh-CN"/>
        </w:rPr>
        <w:t>NDIA interviews</w:t>
      </w:r>
      <w:r>
        <w:rPr>
          <w:lang w:eastAsia="zh-CN"/>
        </w:rPr>
        <w:t xml:space="preserve"> by trial site and job role</w:t>
      </w:r>
      <w:bookmarkEnd w:id="107"/>
      <w:bookmarkEnd w:id="108"/>
    </w:p>
    <w:tbl>
      <w:tblPr>
        <w:tblStyle w:val="MediumGrid3-Accent11"/>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Caption w:val="Table 2.4 Recruitment by trial site and job role"/>
        <w:tblDescription w:val="Note: Column 2  Manager includes: Trial Site Managers, Directors and/or Assistant Directors; Column 4 Planner includes Planners and Senior Planners; Column 5 PSC is Plan Support Coordinator; Column 6 BSO is Business Support Officer, RSO is Regional Support Officer&#10;"/>
      </w:tblPr>
      <w:tblGrid>
        <w:gridCol w:w="2508"/>
        <w:gridCol w:w="1276"/>
        <w:gridCol w:w="818"/>
        <w:gridCol w:w="1318"/>
        <w:gridCol w:w="851"/>
        <w:gridCol w:w="1134"/>
        <w:gridCol w:w="992"/>
      </w:tblGrid>
      <w:tr w:rsidR="00D907AF" w:rsidRPr="00B81CAE" w:rsidTr="00E824A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508" w:type="dxa"/>
            <w:tcBorders>
              <w:top w:val="single" w:sz="4" w:space="0" w:color="auto"/>
              <w:left w:val="none" w:sz="0" w:space="0" w:color="auto"/>
              <w:bottom w:val="single" w:sz="4" w:space="0" w:color="auto"/>
              <w:right w:val="none" w:sz="0" w:space="0" w:color="auto"/>
            </w:tcBorders>
            <w:shd w:val="clear" w:color="auto" w:fill="auto"/>
          </w:tcPr>
          <w:p w:rsidR="00D907AF" w:rsidRPr="00B81CAE" w:rsidRDefault="00D907AF" w:rsidP="00D907AF">
            <w:pPr>
              <w:spacing w:before="20" w:after="20"/>
              <w:rPr>
                <w:rFonts w:eastAsia="Arial" w:cstheme="minorHAnsi"/>
                <w:b w:val="0"/>
                <w:color w:val="auto"/>
                <w:sz w:val="20"/>
                <w:szCs w:val="20"/>
              </w:rPr>
            </w:pPr>
            <w:bookmarkStart w:id="109" w:name="Title_2_4"/>
            <w:bookmarkEnd w:id="109"/>
            <w:r>
              <w:rPr>
                <w:rFonts w:eastAsia="Arial" w:cstheme="minorHAnsi"/>
                <w:b w:val="0"/>
                <w:color w:val="auto"/>
                <w:sz w:val="20"/>
                <w:szCs w:val="20"/>
              </w:rPr>
              <w:t>Trial Site</w:t>
            </w:r>
          </w:p>
        </w:tc>
        <w:tc>
          <w:tcPr>
            <w:tcW w:w="1276" w:type="dxa"/>
            <w:tcBorders>
              <w:top w:val="single" w:sz="4" w:space="0" w:color="auto"/>
              <w:left w:val="none" w:sz="0" w:space="0" w:color="auto"/>
              <w:bottom w:val="single" w:sz="4" w:space="0" w:color="auto"/>
              <w:right w:val="none" w:sz="0" w:space="0" w:color="auto"/>
            </w:tcBorders>
            <w:shd w:val="clear" w:color="auto" w:fill="auto"/>
          </w:tcPr>
          <w:p w:rsidR="00D907AF" w:rsidRPr="00B81CAE" w:rsidRDefault="00D907AF" w:rsidP="00D907AF">
            <w:pPr>
              <w:spacing w:before="20" w:after="20"/>
              <w:jc w:val="center"/>
              <w:cnfStyle w:val="100000000000" w:firstRow="1" w:lastRow="0" w:firstColumn="0" w:lastColumn="0" w:oddVBand="0" w:evenVBand="0" w:oddHBand="0" w:evenHBand="0" w:firstRowFirstColumn="0" w:firstRowLastColumn="0" w:lastRowFirstColumn="0" w:lastRowLastColumn="0"/>
              <w:rPr>
                <w:rFonts w:eastAsia="Arial" w:cstheme="minorHAnsi"/>
                <w:b w:val="0"/>
                <w:color w:val="auto"/>
                <w:sz w:val="20"/>
                <w:szCs w:val="20"/>
              </w:rPr>
            </w:pPr>
            <w:r w:rsidRPr="00B81CAE">
              <w:rPr>
                <w:rFonts w:eastAsia="Arial" w:cstheme="minorHAnsi"/>
                <w:b w:val="0"/>
                <w:color w:val="auto"/>
                <w:sz w:val="20"/>
                <w:szCs w:val="20"/>
              </w:rPr>
              <w:t>Manager*</w:t>
            </w:r>
          </w:p>
        </w:tc>
        <w:tc>
          <w:tcPr>
            <w:tcW w:w="818" w:type="dxa"/>
            <w:tcBorders>
              <w:top w:val="single" w:sz="4" w:space="0" w:color="auto"/>
              <w:left w:val="none" w:sz="0" w:space="0" w:color="auto"/>
              <w:bottom w:val="single" w:sz="4" w:space="0" w:color="auto"/>
              <w:right w:val="none" w:sz="0" w:space="0" w:color="auto"/>
            </w:tcBorders>
            <w:shd w:val="clear" w:color="auto" w:fill="auto"/>
          </w:tcPr>
          <w:p w:rsidR="00D907AF" w:rsidRPr="00B81CAE" w:rsidRDefault="00D907AF" w:rsidP="00D907AF">
            <w:pPr>
              <w:spacing w:before="20" w:after="20"/>
              <w:jc w:val="center"/>
              <w:cnfStyle w:val="100000000000" w:firstRow="1" w:lastRow="0" w:firstColumn="0" w:lastColumn="0" w:oddVBand="0" w:evenVBand="0" w:oddHBand="0" w:evenHBand="0" w:firstRowFirstColumn="0" w:firstRowLastColumn="0" w:lastRowFirstColumn="0" w:lastRowLastColumn="0"/>
              <w:rPr>
                <w:rFonts w:eastAsia="Arial" w:cstheme="minorHAnsi"/>
                <w:b w:val="0"/>
                <w:color w:val="auto"/>
                <w:sz w:val="20"/>
                <w:szCs w:val="20"/>
              </w:rPr>
            </w:pPr>
            <w:r w:rsidRPr="00B81CAE">
              <w:rPr>
                <w:rFonts w:eastAsia="Arial" w:cstheme="minorHAnsi"/>
                <w:b w:val="0"/>
                <w:color w:val="auto"/>
                <w:sz w:val="20"/>
                <w:szCs w:val="20"/>
              </w:rPr>
              <w:t>LAC</w:t>
            </w:r>
          </w:p>
        </w:tc>
        <w:tc>
          <w:tcPr>
            <w:tcW w:w="1318" w:type="dxa"/>
            <w:tcBorders>
              <w:top w:val="single" w:sz="4" w:space="0" w:color="auto"/>
              <w:left w:val="none" w:sz="0" w:space="0" w:color="auto"/>
              <w:bottom w:val="single" w:sz="4" w:space="0" w:color="auto"/>
              <w:right w:val="none" w:sz="0" w:space="0" w:color="auto"/>
            </w:tcBorders>
            <w:shd w:val="clear" w:color="auto" w:fill="auto"/>
          </w:tcPr>
          <w:p w:rsidR="00D907AF" w:rsidRPr="00B81CAE" w:rsidRDefault="00D907AF" w:rsidP="00D907AF">
            <w:pPr>
              <w:spacing w:before="20" w:after="20"/>
              <w:jc w:val="center"/>
              <w:cnfStyle w:val="100000000000" w:firstRow="1" w:lastRow="0" w:firstColumn="0" w:lastColumn="0" w:oddVBand="0" w:evenVBand="0" w:oddHBand="0" w:evenHBand="0" w:firstRowFirstColumn="0" w:firstRowLastColumn="0" w:lastRowFirstColumn="0" w:lastRowLastColumn="0"/>
              <w:rPr>
                <w:rFonts w:eastAsia="Arial" w:cstheme="minorHAnsi"/>
                <w:b w:val="0"/>
                <w:color w:val="auto"/>
                <w:sz w:val="20"/>
                <w:szCs w:val="20"/>
              </w:rPr>
            </w:pPr>
            <w:r w:rsidRPr="00B81CAE">
              <w:rPr>
                <w:rFonts w:eastAsia="Arial" w:cstheme="minorHAnsi"/>
                <w:b w:val="0"/>
                <w:color w:val="auto"/>
                <w:sz w:val="20"/>
                <w:szCs w:val="20"/>
              </w:rPr>
              <w:t>Planner</w:t>
            </w:r>
            <w:r w:rsidRPr="00B81CAE">
              <w:rPr>
                <w:rFonts w:eastAsia="Arial" w:cstheme="minorHAnsi"/>
                <w:b w:val="0"/>
                <w:color w:val="auto"/>
                <w:sz w:val="20"/>
                <w:szCs w:val="20"/>
                <w:vertAlign w:val="superscript"/>
              </w:rPr>
              <w:t>#</w:t>
            </w:r>
          </w:p>
        </w:tc>
        <w:tc>
          <w:tcPr>
            <w:tcW w:w="851" w:type="dxa"/>
            <w:tcBorders>
              <w:top w:val="single" w:sz="4" w:space="0" w:color="auto"/>
              <w:left w:val="none" w:sz="0" w:space="0" w:color="auto"/>
              <w:bottom w:val="single" w:sz="4" w:space="0" w:color="auto"/>
              <w:right w:val="none" w:sz="0" w:space="0" w:color="auto"/>
            </w:tcBorders>
            <w:shd w:val="clear" w:color="auto" w:fill="auto"/>
          </w:tcPr>
          <w:p w:rsidR="00D907AF" w:rsidRPr="00B81CAE" w:rsidRDefault="00D907AF" w:rsidP="00D907AF">
            <w:pPr>
              <w:spacing w:before="20" w:after="20"/>
              <w:jc w:val="center"/>
              <w:cnfStyle w:val="100000000000" w:firstRow="1" w:lastRow="0" w:firstColumn="0" w:lastColumn="0" w:oddVBand="0" w:evenVBand="0" w:oddHBand="0" w:evenHBand="0" w:firstRowFirstColumn="0" w:firstRowLastColumn="0" w:lastRowFirstColumn="0" w:lastRowLastColumn="0"/>
              <w:rPr>
                <w:rFonts w:eastAsia="Arial" w:cstheme="minorHAnsi"/>
                <w:b w:val="0"/>
                <w:color w:val="auto"/>
                <w:sz w:val="20"/>
                <w:szCs w:val="20"/>
              </w:rPr>
            </w:pPr>
            <w:r w:rsidRPr="00B81CAE">
              <w:rPr>
                <w:rFonts w:eastAsia="Arial" w:cstheme="minorHAnsi"/>
                <w:b w:val="0"/>
                <w:color w:val="auto"/>
                <w:sz w:val="20"/>
                <w:szCs w:val="20"/>
              </w:rPr>
              <w:t>PSC</w:t>
            </w:r>
            <w:r w:rsidRPr="00B81CAE">
              <w:rPr>
                <w:rFonts w:eastAsia="Arial" w:cstheme="minorHAnsi"/>
                <w:b w:val="0"/>
                <w:color w:val="auto"/>
                <w:sz w:val="20"/>
                <w:szCs w:val="20"/>
                <w:vertAlign w:val="superscript"/>
              </w:rPr>
              <w:t>+</w:t>
            </w:r>
          </w:p>
        </w:tc>
        <w:tc>
          <w:tcPr>
            <w:tcW w:w="1134" w:type="dxa"/>
            <w:tcBorders>
              <w:top w:val="single" w:sz="4" w:space="0" w:color="auto"/>
              <w:left w:val="none" w:sz="0" w:space="0" w:color="auto"/>
              <w:bottom w:val="single" w:sz="4" w:space="0" w:color="auto"/>
              <w:right w:val="none" w:sz="0" w:space="0" w:color="auto"/>
            </w:tcBorders>
            <w:shd w:val="clear" w:color="auto" w:fill="auto"/>
          </w:tcPr>
          <w:p w:rsidR="00D907AF" w:rsidRPr="00B81CAE" w:rsidRDefault="00D907AF" w:rsidP="00D907AF">
            <w:pPr>
              <w:spacing w:before="20" w:after="20"/>
              <w:jc w:val="center"/>
              <w:cnfStyle w:val="100000000000" w:firstRow="1" w:lastRow="0" w:firstColumn="0" w:lastColumn="0" w:oddVBand="0" w:evenVBand="0" w:oddHBand="0" w:evenHBand="0" w:firstRowFirstColumn="0" w:firstRowLastColumn="0" w:lastRowFirstColumn="0" w:lastRowLastColumn="0"/>
              <w:rPr>
                <w:rFonts w:eastAsia="Arial" w:cstheme="minorHAnsi"/>
                <w:b w:val="0"/>
                <w:color w:val="auto"/>
                <w:sz w:val="20"/>
                <w:szCs w:val="20"/>
              </w:rPr>
            </w:pPr>
            <w:r w:rsidRPr="00B81CAE">
              <w:rPr>
                <w:rFonts w:eastAsia="Arial" w:cstheme="minorHAnsi"/>
                <w:b w:val="0"/>
                <w:color w:val="auto"/>
                <w:sz w:val="20"/>
                <w:szCs w:val="20"/>
              </w:rPr>
              <w:t>BSO/RSO</w:t>
            </w:r>
            <w:r w:rsidRPr="00B81CAE">
              <w:rPr>
                <w:rFonts w:eastAsia="Arial" w:cstheme="minorHAnsi"/>
                <w:b w:val="0"/>
                <w:color w:val="auto"/>
                <w:sz w:val="20"/>
                <w:szCs w:val="20"/>
                <w:vertAlign w:val="superscript"/>
              </w:rPr>
              <w:t>++</w:t>
            </w:r>
          </w:p>
        </w:tc>
        <w:tc>
          <w:tcPr>
            <w:tcW w:w="992" w:type="dxa"/>
            <w:tcBorders>
              <w:top w:val="single" w:sz="4" w:space="0" w:color="auto"/>
              <w:left w:val="none" w:sz="0" w:space="0" w:color="auto"/>
              <w:bottom w:val="single" w:sz="4" w:space="0" w:color="auto"/>
              <w:right w:val="none" w:sz="0" w:space="0" w:color="auto"/>
            </w:tcBorders>
            <w:shd w:val="clear" w:color="auto" w:fill="auto"/>
          </w:tcPr>
          <w:p w:rsidR="00D907AF" w:rsidRPr="00B81CAE" w:rsidRDefault="00D907AF" w:rsidP="00540167">
            <w:pPr>
              <w:spacing w:before="20" w:after="20"/>
              <w:jc w:val="center"/>
              <w:cnfStyle w:val="100000000000" w:firstRow="1" w:lastRow="0" w:firstColumn="0" w:lastColumn="0" w:oddVBand="0" w:evenVBand="0" w:oddHBand="0" w:evenHBand="0" w:firstRowFirstColumn="0" w:firstRowLastColumn="0" w:lastRowFirstColumn="0" w:lastRowLastColumn="0"/>
              <w:rPr>
                <w:rFonts w:eastAsia="Arial" w:cstheme="minorHAnsi"/>
                <w:b w:val="0"/>
                <w:color w:val="auto"/>
                <w:sz w:val="20"/>
                <w:szCs w:val="20"/>
              </w:rPr>
            </w:pPr>
            <w:r>
              <w:rPr>
                <w:rFonts w:eastAsia="Arial" w:cstheme="minorHAnsi"/>
                <w:b w:val="0"/>
                <w:color w:val="auto"/>
                <w:sz w:val="20"/>
                <w:szCs w:val="20"/>
              </w:rPr>
              <w:t>Total</w:t>
            </w:r>
          </w:p>
        </w:tc>
      </w:tr>
      <w:tr w:rsidR="00D907AF" w:rsidRPr="00B81CAE" w:rsidTr="00E824A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08" w:type="dxa"/>
            <w:tcBorders>
              <w:top w:val="single" w:sz="4" w:space="0" w:color="auto"/>
              <w:left w:val="none" w:sz="0" w:space="0" w:color="auto"/>
              <w:bottom w:val="none" w:sz="0" w:space="0" w:color="auto"/>
              <w:right w:val="none" w:sz="0" w:space="0" w:color="auto"/>
            </w:tcBorders>
            <w:shd w:val="clear" w:color="auto" w:fill="auto"/>
          </w:tcPr>
          <w:p w:rsidR="00D907AF" w:rsidRPr="00B81CAE" w:rsidRDefault="00D907AF" w:rsidP="00D907AF">
            <w:pPr>
              <w:spacing w:before="20" w:after="20"/>
              <w:rPr>
                <w:rFonts w:eastAsia="Arial" w:cstheme="minorHAnsi"/>
                <w:b w:val="0"/>
                <w:color w:val="auto"/>
                <w:sz w:val="20"/>
                <w:szCs w:val="20"/>
              </w:rPr>
            </w:pPr>
            <w:r w:rsidRPr="00B81CAE">
              <w:rPr>
                <w:rFonts w:eastAsia="Arial" w:cstheme="minorHAnsi"/>
                <w:b w:val="0"/>
                <w:color w:val="auto"/>
                <w:sz w:val="20"/>
                <w:szCs w:val="20"/>
              </w:rPr>
              <w:t>New South Wales</w:t>
            </w:r>
          </w:p>
        </w:tc>
        <w:tc>
          <w:tcPr>
            <w:tcW w:w="1276" w:type="dxa"/>
            <w:tcBorders>
              <w:top w:val="single" w:sz="4" w:space="0" w:color="auto"/>
              <w:left w:val="none" w:sz="0" w:space="0" w:color="auto"/>
              <w:bottom w:val="none" w:sz="0" w:space="0" w:color="auto"/>
              <w:right w:val="none" w:sz="0" w:space="0" w:color="auto"/>
            </w:tcBorders>
            <w:shd w:val="clear" w:color="auto" w:fill="auto"/>
          </w:tcPr>
          <w:p w:rsidR="00D907AF" w:rsidRPr="00B81CAE" w:rsidRDefault="00D907AF" w:rsidP="00D907AF">
            <w:pPr>
              <w:spacing w:before="20" w:after="20"/>
              <w:jc w:val="center"/>
              <w:cnfStyle w:val="000000100000" w:firstRow="0" w:lastRow="0" w:firstColumn="0" w:lastColumn="0" w:oddVBand="0" w:evenVBand="0" w:oddHBand="1" w:evenHBand="0" w:firstRowFirstColumn="0" w:firstRowLastColumn="0" w:lastRowFirstColumn="0" w:lastRowLastColumn="0"/>
              <w:rPr>
                <w:rFonts w:eastAsia="Arial" w:cstheme="minorHAnsi"/>
                <w:sz w:val="20"/>
                <w:szCs w:val="20"/>
              </w:rPr>
            </w:pPr>
            <w:r w:rsidRPr="00B81CAE">
              <w:rPr>
                <w:rFonts w:eastAsia="Arial" w:cstheme="minorHAnsi"/>
                <w:sz w:val="20"/>
                <w:szCs w:val="20"/>
              </w:rPr>
              <w:t>1</w:t>
            </w:r>
          </w:p>
        </w:tc>
        <w:tc>
          <w:tcPr>
            <w:tcW w:w="818" w:type="dxa"/>
            <w:tcBorders>
              <w:top w:val="single" w:sz="4" w:space="0" w:color="auto"/>
              <w:left w:val="none" w:sz="0" w:space="0" w:color="auto"/>
              <w:bottom w:val="none" w:sz="0" w:space="0" w:color="auto"/>
              <w:right w:val="none" w:sz="0" w:space="0" w:color="auto"/>
            </w:tcBorders>
            <w:shd w:val="clear" w:color="auto" w:fill="auto"/>
          </w:tcPr>
          <w:p w:rsidR="00D907AF" w:rsidRPr="00B81CAE" w:rsidRDefault="00D907AF" w:rsidP="00D907AF">
            <w:pPr>
              <w:spacing w:before="20" w:after="20"/>
              <w:jc w:val="center"/>
              <w:cnfStyle w:val="000000100000" w:firstRow="0" w:lastRow="0" w:firstColumn="0" w:lastColumn="0" w:oddVBand="0" w:evenVBand="0" w:oddHBand="1" w:evenHBand="0" w:firstRowFirstColumn="0" w:firstRowLastColumn="0" w:lastRowFirstColumn="0" w:lastRowLastColumn="0"/>
              <w:rPr>
                <w:rFonts w:eastAsia="Arial" w:cstheme="minorHAnsi"/>
                <w:sz w:val="20"/>
                <w:szCs w:val="20"/>
              </w:rPr>
            </w:pPr>
            <w:r w:rsidRPr="00B81CAE">
              <w:rPr>
                <w:rFonts w:eastAsia="Arial" w:cstheme="minorHAnsi"/>
                <w:sz w:val="20"/>
                <w:szCs w:val="20"/>
              </w:rPr>
              <w:t>3</w:t>
            </w:r>
          </w:p>
        </w:tc>
        <w:tc>
          <w:tcPr>
            <w:tcW w:w="1318" w:type="dxa"/>
            <w:tcBorders>
              <w:top w:val="single" w:sz="4" w:space="0" w:color="auto"/>
              <w:left w:val="none" w:sz="0" w:space="0" w:color="auto"/>
              <w:bottom w:val="none" w:sz="0" w:space="0" w:color="auto"/>
              <w:right w:val="none" w:sz="0" w:space="0" w:color="auto"/>
            </w:tcBorders>
            <w:shd w:val="clear" w:color="auto" w:fill="auto"/>
          </w:tcPr>
          <w:p w:rsidR="00D907AF" w:rsidRPr="00B81CAE" w:rsidRDefault="00D907AF" w:rsidP="00D907AF">
            <w:pPr>
              <w:spacing w:before="20" w:after="20"/>
              <w:jc w:val="center"/>
              <w:cnfStyle w:val="000000100000" w:firstRow="0" w:lastRow="0" w:firstColumn="0" w:lastColumn="0" w:oddVBand="0" w:evenVBand="0" w:oddHBand="1" w:evenHBand="0" w:firstRowFirstColumn="0" w:firstRowLastColumn="0" w:lastRowFirstColumn="0" w:lastRowLastColumn="0"/>
              <w:rPr>
                <w:rFonts w:eastAsia="Arial" w:cstheme="minorHAnsi"/>
                <w:sz w:val="20"/>
                <w:szCs w:val="20"/>
              </w:rPr>
            </w:pPr>
            <w:r w:rsidRPr="00B81CAE">
              <w:rPr>
                <w:rFonts w:eastAsia="Arial" w:cstheme="minorHAnsi"/>
                <w:sz w:val="20"/>
                <w:szCs w:val="20"/>
              </w:rPr>
              <w:t>4</w:t>
            </w:r>
          </w:p>
        </w:tc>
        <w:tc>
          <w:tcPr>
            <w:tcW w:w="851" w:type="dxa"/>
            <w:tcBorders>
              <w:top w:val="single" w:sz="4" w:space="0" w:color="auto"/>
              <w:left w:val="none" w:sz="0" w:space="0" w:color="auto"/>
              <w:bottom w:val="none" w:sz="0" w:space="0" w:color="auto"/>
              <w:right w:val="none" w:sz="0" w:space="0" w:color="auto"/>
            </w:tcBorders>
            <w:shd w:val="clear" w:color="auto" w:fill="auto"/>
          </w:tcPr>
          <w:p w:rsidR="00D907AF" w:rsidRPr="008914CC" w:rsidRDefault="008914CC" w:rsidP="00D907AF">
            <w:pPr>
              <w:spacing w:before="20" w:after="20"/>
              <w:jc w:val="center"/>
              <w:cnfStyle w:val="000000100000" w:firstRow="0" w:lastRow="0" w:firstColumn="0" w:lastColumn="0" w:oddVBand="0" w:evenVBand="0" w:oddHBand="1" w:evenHBand="0" w:firstRowFirstColumn="0" w:firstRowLastColumn="0" w:lastRowFirstColumn="0" w:lastRowLastColumn="0"/>
              <w:rPr>
                <w:rFonts w:eastAsia="Arial" w:cstheme="minorHAnsi"/>
                <w:color w:val="FFFFFF" w:themeColor="background1"/>
                <w:sz w:val="20"/>
                <w:szCs w:val="20"/>
              </w:rPr>
            </w:pPr>
            <w:r w:rsidRPr="008914CC">
              <w:rPr>
                <w:rFonts w:eastAsia="Arial" w:cstheme="minorHAnsi"/>
                <w:color w:val="FFFFFF" w:themeColor="background1"/>
                <w:sz w:val="20"/>
                <w:szCs w:val="20"/>
              </w:rPr>
              <w:t>0</w:t>
            </w:r>
          </w:p>
        </w:tc>
        <w:tc>
          <w:tcPr>
            <w:tcW w:w="1134" w:type="dxa"/>
            <w:tcBorders>
              <w:top w:val="single" w:sz="4" w:space="0" w:color="auto"/>
              <w:left w:val="none" w:sz="0" w:space="0" w:color="auto"/>
              <w:bottom w:val="none" w:sz="0" w:space="0" w:color="auto"/>
              <w:right w:val="none" w:sz="0" w:space="0" w:color="auto"/>
            </w:tcBorders>
            <w:shd w:val="clear" w:color="auto" w:fill="auto"/>
          </w:tcPr>
          <w:p w:rsidR="00D907AF" w:rsidRPr="00B81CAE" w:rsidRDefault="008914CC" w:rsidP="00D907AF">
            <w:pPr>
              <w:spacing w:before="20" w:after="20"/>
              <w:jc w:val="center"/>
              <w:cnfStyle w:val="000000100000" w:firstRow="0" w:lastRow="0" w:firstColumn="0" w:lastColumn="0" w:oddVBand="0" w:evenVBand="0" w:oddHBand="1" w:evenHBand="0" w:firstRowFirstColumn="0" w:firstRowLastColumn="0" w:lastRowFirstColumn="0" w:lastRowLastColumn="0"/>
              <w:rPr>
                <w:rFonts w:eastAsia="Arial" w:cstheme="minorHAnsi"/>
                <w:sz w:val="20"/>
                <w:szCs w:val="20"/>
              </w:rPr>
            </w:pPr>
            <w:r w:rsidRPr="008914CC">
              <w:rPr>
                <w:rFonts w:eastAsia="Arial" w:cstheme="minorHAnsi"/>
                <w:color w:val="FFFFFF" w:themeColor="background1"/>
                <w:sz w:val="20"/>
                <w:szCs w:val="20"/>
              </w:rPr>
              <w:t>0</w:t>
            </w:r>
          </w:p>
        </w:tc>
        <w:tc>
          <w:tcPr>
            <w:tcW w:w="992" w:type="dxa"/>
            <w:tcBorders>
              <w:top w:val="single" w:sz="4" w:space="0" w:color="auto"/>
              <w:left w:val="none" w:sz="0" w:space="0" w:color="auto"/>
              <w:bottom w:val="none" w:sz="0" w:space="0" w:color="auto"/>
              <w:right w:val="none" w:sz="0" w:space="0" w:color="auto"/>
            </w:tcBorders>
            <w:shd w:val="clear" w:color="auto" w:fill="auto"/>
          </w:tcPr>
          <w:p w:rsidR="00D907AF" w:rsidRPr="00B81CAE" w:rsidRDefault="00D907AF" w:rsidP="00540167">
            <w:pPr>
              <w:spacing w:before="20" w:after="20"/>
              <w:ind w:right="176"/>
              <w:jc w:val="right"/>
              <w:cnfStyle w:val="000000100000" w:firstRow="0" w:lastRow="0" w:firstColumn="0" w:lastColumn="0" w:oddVBand="0" w:evenVBand="0" w:oddHBand="1" w:evenHBand="0" w:firstRowFirstColumn="0" w:firstRowLastColumn="0" w:lastRowFirstColumn="0" w:lastRowLastColumn="0"/>
              <w:rPr>
                <w:rFonts w:eastAsia="Arial" w:cstheme="minorHAnsi"/>
                <w:sz w:val="20"/>
                <w:szCs w:val="20"/>
              </w:rPr>
            </w:pPr>
            <w:r w:rsidRPr="00B81CAE">
              <w:rPr>
                <w:rFonts w:eastAsia="Arial" w:cstheme="minorHAnsi"/>
                <w:sz w:val="20"/>
                <w:szCs w:val="20"/>
              </w:rPr>
              <w:t>8</w:t>
            </w:r>
          </w:p>
        </w:tc>
      </w:tr>
      <w:tr w:rsidR="00D907AF" w:rsidRPr="00B81CAE" w:rsidTr="00E824A9">
        <w:trPr>
          <w:cantSplit/>
        </w:trPr>
        <w:tc>
          <w:tcPr>
            <w:cnfStyle w:val="001000000000" w:firstRow="0" w:lastRow="0" w:firstColumn="1" w:lastColumn="0" w:oddVBand="0" w:evenVBand="0" w:oddHBand="0" w:evenHBand="0" w:firstRowFirstColumn="0" w:firstRowLastColumn="0" w:lastRowFirstColumn="0" w:lastRowLastColumn="0"/>
            <w:tcW w:w="2508" w:type="dxa"/>
            <w:tcBorders>
              <w:left w:val="none" w:sz="0" w:space="0" w:color="auto"/>
              <w:bottom w:val="none" w:sz="0" w:space="0" w:color="auto"/>
              <w:right w:val="none" w:sz="0" w:space="0" w:color="auto"/>
            </w:tcBorders>
            <w:shd w:val="clear" w:color="auto" w:fill="auto"/>
          </w:tcPr>
          <w:p w:rsidR="00D907AF" w:rsidRPr="00B81CAE" w:rsidRDefault="00D907AF" w:rsidP="00D907AF">
            <w:pPr>
              <w:spacing w:before="20" w:after="20"/>
              <w:rPr>
                <w:rFonts w:eastAsia="Arial" w:cstheme="minorHAnsi"/>
                <w:b w:val="0"/>
                <w:color w:val="auto"/>
                <w:sz w:val="20"/>
                <w:szCs w:val="20"/>
              </w:rPr>
            </w:pPr>
            <w:r w:rsidRPr="00B81CAE">
              <w:rPr>
                <w:rFonts w:eastAsia="Arial" w:cstheme="minorHAnsi"/>
                <w:b w:val="0"/>
                <w:color w:val="auto"/>
                <w:sz w:val="20"/>
                <w:szCs w:val="20"/>
              </w:rPr>
              <w:t>South Australia</w:t>
            </w:r>
          </w:p>
        </w:tc>
        <w:tc>
          <w:tcPr>
            <w:tcW w:w="1276" w:type="dxa"/>
            <w:shd w:val="clear" w:color="auto" w:fill="auto"/>
          </w:tcPr>
          <w:p w:rsidR="00D907AF" w:rsidRPr="00B81CAE" w:rsidRDefault="00D907AF" w:rsidP="00D907AF">
            <w:pPr>
              <w:spacing w:before="20" w:after="20"/>
              <w:jc w:val="center"/>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B81CAE">
              <w:rPr>
                <w:rFonts w:eastAsia="Arial" w:cstheme="minorHAnsi"/>
                <w:sz w:val="20"/>
                <w:szCs w:val="20"/>
              </w:rPr>
              <w:t>1</w:t>
            </w:r>
          </w:p>
        </w:tc>
        <w:tc>
          <w:tcPr>
            <w:tcW w:w="818" w:type="dxa"/>
            <w:shd w:val="clear" w:color="auto" w:fill="auto"/>
          </w:tcPr>
          <w:p w:rsidR="00D907AF" w:rsidRPr="00B81CAE" w:rsidRDefault="00D907AF" w:rsidP="00D907AF">
            <w:pPr>
              <w:spacing w:before="20" w:after="20"/>
              <w:jc w:val="center"/>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B81CAE">
              <w:rPr>
                <w:rFonts w:eastAsia="Arial" w:cstheme="minorHAnsi"/>
                <w:sz w:val="20"/>
                <w:szCs w:val="20"/>
              </w:rPr>
              <w:t>4</w:t>
            </w:r>
          </w:p>
        </w:tc>
        <w:tc>
          <w:tcPr>
            <w:tcW w:w="1318" w:type="dxa"/>
            <w:shd w:val="clear" w:color="auto" w:fill="auto"/>
          </w:tcPr>
          <w:p w:rsidR="00D907AF" w:rsidRPr="00B81CAE" w:rsidRDefault="00D907AF" w:rsidP="00D907AF">
            <w:pPr>
              <w:spacing w:before="20" w:after="20"/>
              <w:jc w:val="center"/>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B81CAE">
              <w:rPr>
                <w:rFonts w:eastAsia="Arial" w:cstheme="minorHAnsi"/>
                <w:sz w:val="20"/>
                <w:szCs w:val="20"/>
              </w:rPr>
              <w:t>2</w:t>
            </w:r>
          </w:p>
        </w:tc>
        <w:tc>
          <w:tcPr>
            <w:tcW w:w="851" w:type="dxa"/>
            <w:shd w:val="clear" w:color="auto" w:fill="auto"/>
          </w:tcPr>
          <w:p w:rsidR="00D907AF" w:rsidRPr="008914CC" w:rsidRDefault="008914CC" w:rsidP="00D907AF">
            <w:pPr>
              <w:spacing w:before="20" w:after="20"/>
              <w:jc w:val="center"/>
              <w:cnfStyle w:val="000000000000" w:firstRow="0" w:lastRow="0" w:firstColumn="0" w:lastColumn="0" w:oddVBand="0" w:evenVBand="0" w:oddHBand="0" w:evenHBand="0" w:firstRowFirstColumn="0" w:firstRowLastColumn="0" w:lastRowFirstColumn="0" w:lastRowLastColumn="0"/>
              <w:rPr>
                <w:rFonts w:eastAsia="Arial" w:cstheme="minorHAnsi"/>
                <w:color w:val="FFFFFF" w:themeColor="background1"/>
                <w:sz w:val="20"/>
                <w:szCs w:val="20"/>
              </w:rPr>
            </w:pPr>
            <w:r w:rsidRPr="008914CC">
              <w:rPr>
                <w:rFonts w:eastAsia="Arial" w:cstheme="minorHAnsi"/>
                <w:color w:val="FFFFFF" w:themeColor="background1"/>
                <w:sz w:val="20"/>
                <w:szCs w:val="20"/>
              </w:rPr>
              <w:t>0</w:t>
            </w:r>
          </w:p>
        </w:tc>
        <w:tc>
          <w:tcPr>
            <w:tcW w:w="1134" w:type="dxa"/>
            <w:shd w:val="clear" w:color="auto" w:fill="auto"/>
          </w:tcPr>
          <w:p w:rsidR="00D907AF" w:rsidRPr="00B81CAE" w:rsidRDefault="00D907AF" w:rsidP="00D907AF">
            <w:pPr>
              <w:spacing w:before="20" w:after="20"/>
              <w:jc w:val="center"/>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B81CAE">
              <w:rPr>
                <w:rFonts w:eastAsia="Arial" w:cstheme="minorHAnsi"/>
                <w:sz w:val="20"/>
                <w:szCs w:val="20"/>
              </w:rPr>
              <w:t>1</w:t>
            </w:r>
          </w:p>
        </w:tc>
        <w:tc>
          <w:tcPr>
            <w:tcW w:w="992" w:type="dxa"/>
            <w:shd w:val="clear" w:color="auto" w:fill="auto"/>
          </w:tcPr>
          <w:p w:rsidR="00D907AF" w:rsidRPr="00B81CAE" w:rsidRDefault="00D907AF" w:rsidP="00540167">
            <w:pPr>
              <w:spacing w:before="20" w:after="20"/>
              <w:ind w:right="176"/>
              <w:jc w:val="right"/>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B81CAE">
              <w:rPr>
                <w:rFonts w:eastAsia="Arial" w:cstheme="minorHAnsi"/>
                <w:sz w:val="20"/>
                <w:szCs w:val="20"/>
              </w:rPr>
              <w:t>8</w:t>
            </w:r>
          </w:p>
        </w:tc>
      </w:tr>
      <w:tr w:rsidR="00D907AF" w:rsidRPr="00B81CAE" w:rsidTr="00E824A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08" w:type="dxa"/>
            <w:tcBorders>
              <w:top w:val="none" w:sz="0" w:space="0" w:color="auto"/>
              <w:left w:val="none" w:sz="0" w:space="0" w:color="auto"/>
              <w:bottom w:val="none" w:sz="0" w:space="0" w:color="auto"/>
              <w:right w:val="none" w:sz="0" w:space="0" w:color="auto"/>
            </w:tcBorders>
            <w:shd w:val="clear" w:color="auto" w:fill="auto"/>
          </w:tcPr>
          <w:p w:rsidR="00D907AF" w:rsidRPr="00B81CAE" w:rsidRDefault="00D907AF" w:rsidP="00D907AF">
            <w:pPr>
              <w:spacing w:before="20" w:after="20"/>
              <w:rPr>
                <w:rFonts w:eastAsia="Arial" w:cstheme="minorHAnsi"/>
                <w:b w:val="0"/>
                <w:color w:val="auto"/>
                <w:sz w:val="20"/>
                <w:szCs w:val="20"/>
              </w:rPr>
            </w:pPr>
            <w:r w:rsidRPr="00B81CAE">
              <w:rPr>
                <w:rFonts w:eastAsia="Arial" w:cstheme="minorHAnsi"/>
                <w:b w:val="0"/>
                <w:color w:val="auto"/>
                <w:sz w:val="20"/>
                <w:szCs w:val="20"/>
              </w:rPr>
              <w:t>Tasmania</w:t>
            </w:r>
          </w:p>
        </w:tc>
        <w:tc>
          <w:tcPr>
            <w:tcW w:w="1276" w:type="dxa"/>
            <w:tcBorders>
              <w:top w:val="none" w:sz="0" w:space="0" w:color="auto"/>
              <w:left w:val="none" w:sz="0" w:space="0" w:color="auto"/>
              <w:bottom w:val="none" w:sz="0" w:space="0" w:color="auto"/>
              <w:right w:val="none" w:sz="0" w:space="0" w:color="auto"/>
            </w:tcBorders>
            <w:shd w:val="clear" w:color="auto" w:fill="auto"/>
          </w:tcPr>
          <w:p w:rsidR="00D907AF" w:rsidRPr="00B81CAE" w:rsidRDefault="00D907AF" w:rsidP="00D907AF">
            <w:pPr>
              <w:spacing w:before="20" w:after="20"/>
              <w:jc w:val="center"/>
              <w:cnfStyle w:val="000000100000" w:firstRow="0" w:lastRow="0" w:firstColumn="0" w:lastColumn="0" w:oddVBand="0" w:evenVBand="0" w:oddHBand="1" w:evenHBand="0" w:firstRowFirstColumn="0" w:firstRowLastColumn="0" w:lastRowFirstColumn="0" w:lastRowLastColumn="0"/>
              <w:rPr>
                <w:rFonts w:eastAsia="Arial" w:cstheme="minorHAnsi"/>
                <w:sz w:val="20"/>
                <w:szCs w:val="20"/>
              </w:rPr>
            </w:pPr>
            <w:r w:rsidRPr="00B81CAE">
              <w:rPr>
                <w:rFonts w:eastAsia="Arial" w:cstheme="minorHAnsi"/>
                <w:sz w:val="20"/>
                <w:szCs w:val="20"/>
              </w:rPr>
              <w:t>2</w:t>
            </w:r>
          </w:p>
        </w:tc>
        <w:tc>
          <w:tcPr>
            <w:tcW w:w="818" w:type="dxa"/>
            <w:tcBorders>
              <w:top w:val="none" w:sz="0" w:space="0" w:color="auto"/>
              <w:left w:val="none" w:sz="0" w:space="0" w:color="auto"/>
              <w:bottom w:val="none" w:sz="0" w:space="0" w:color="auto"/>
              <w:right w:val="none" w:sz="0" w:space="0" w:color="auto"/>
            </w:tcBorders>
            <w:shd w:val="clear" w:color="auto" w:fill="auto"/>
          </w:tcPr>
          <w:p w:rsidR="00D907AF" w:rsidRPr="00B81CAE" w:rsidRDefault="00D907AF" w:rsidP="00D907AF">
            <w:pPr>
              <w:spacing w:before="20" w:after="20"/>
              <w:jc w:val="center"/>
              <w:cnfStyle w:val="000000100000" w:firstRow="0" w:lastRow="0" w:firstColumn="0" w:lastColumn="0" w:oddVBand="0" w:evenVBand="0" w:oddHBand="1" w:evenHBand="0" w:firstRowFirstColumn="0" w:firstRowLastColumn="0" w:lastRowFirstColumn="0" w:lastRowLastColumn="0"/>
              <w:rPr>
                <w:rFonts w:eastAsia="Arial" w:cstheme="minorHAnsi"/>
                <w:sz w:val="20"/>
                <w:szCs w:val="20"/>
              </w:rPr>
            </w:pPr>
            <w:r w:rsidRPr="00B81CAE">
              <w:rPr>
                <w:rFonts w:eastAsia="Arial" w:cstheme="minorHAnsi"/>
                <w:sz w:val="20"/>
                <w:szCs w:val="20"/>
              </w:rPr>
              <w:t>6</w:t>
            </w:r>
          </w:p>
        </w:tc>
        <w:tc>
          <w:tcPr>
            <w:tcW w:w="1318" w:type="dxa"/>
            <w:tcBorders>
              <w:top w:val="none" w:sz="0" w:space="0" w:color="auto"/>
              <w:left w:val="none" w:sz="0" w:space="0" w:color="auto"/>
              <w:bottom w:val="none" w:sz="0" w:space="0" w:color="auto"/>
              <w:right w:val="none" w:sz="0" w:space="0" w:color="auto"/>
            </w:tcBorders>
            <w:shd w:val="clear" w:color="auto" w:fill="auto"/>
          </w:tcPr>
          <w:p w:rsidR="00D907AF" w:rsidRPr="00B81CAE" w:rsidRDefault="00D907AF" w:rsidP="00D907AF">
            <w:pPr>
              <w:spacing w:before="20" w:after="20"/>
              <w:jc w:val="center"/>
              <w:cnfStyle w:val="000000100000" w:firstRow="0" w:lastRow="0" w:firstColumn="0" w:lastColumn="0" w:oddVBand="0" w:evenVBand="0" w:oddHBand="1" w:evenHBand="0" w:firstRowFirstColumn="0" w:firstRowLastColumn="0" w:lastRowFirstColumn="0" w:lastRowLastColumn="0"/>
              <w:rPr>
                <w:rFonts w:eastAsia="Arial" w:cstheme="minorHAnsi"/>
                <w:sz w:val="20"/>
                <w:szCs w:val="20"/>
              </w:rPr>
            </w:pPr>
            <w:r w:rsidRPr="00B81CAE">
              <w:rPr>
                <w:rFonts w:eastAsia="Arial" w:cstheme="minorHAnsi"/>
                <w:sz w:val="20"/>
                <w:szCs w:val="20"/>
              </w:rPr>
              <w:t>2</w:t>
            </w:r>
          </w:p>
        </w:tc>
        <w:tc>
          <w:tcPr>
            <w:tcW w:w="851" w:type="dxa"/>
            <w:tcBorders>
              <w:top w:val="none" w:sz="0" w:space="0" w:color="auto"/>
              <w:left w:val="none" w:sz="0" w:space="0" w:color="auto"/>
              <w:bottom w:val="none" w:sz="0" w:space="0" w:color="auto"/>
              <w:right w:val="none" w:sz="0" w:space="0" w:color="auto"/>
            </w:tcBorders>
            <w:shd w:val="clear" w:color="auto" w:fill="auto"/>
          </w:tcPr>
          <w:p w:rsidR="00D907AF" w:rsidRPr="008914CC" w:rsidRDefault="008914CC" w:rsidP="00D907AF">
            <w:pPr>
              <w:spacing w:before="20" w:after="20"/>
              <w:jc w:val="center"/>
              <w:cnfStyle w:val="000000100000" w:firstRow="0" w:lastRow="0" w:firstColumn="0" w:lastColumn="0" w:oddVBand="0" w:evenVBand="0" w:oddHBand="1" w:evenHBand="0" w:firstRowFirstColumn="0" w:firstRowLastColumn="0" w:lastRowFirstColumn="0" w:lastRowLastColumn="0"/>
              <w:rPr>
                <w:rFonts w:eastAsia="Arial" w:cstheme="minorHAnsi"/>
                <w:color w:val="FFFFFF" w:themeColor="background1"/>
                <w:sz w:val="20"/>
                <w:szCs w:val="20"/>
              </w:rPr>
            </w:pPr>
            <w:r w:rsidRPr="008914CC">
              <w:rPr>
                <w:rFonts w:eastAsia="Arial" w:cstheme="minorHAnsi"/>
                <w:color w:val="FFFFFF" w:themeColor="background1"/>
                <w:sz w:val="20"/>
                <w:szCs w:val="20"/>
              </w:rPr>
              <w:t>0</w:t>
            </w:r>
          </w:p>
        </w:tc>
        <w:tc>
          <w:tcPr>
            <w:tcW w:w="1134" w:type="dxa"/>
            <w:tcBorders>
              <w:top w:val="none" w:sz="0" w:space="0" w:color="auto"/>
              <w:left w:val="none" w:sz="0" w:space="0" w:color="auto"/>
              <w:bottom w:val="none" w:sz="0" w:space="0" w:color="auto"/>
              <w:right w:val="none" w:sz="0" w:space="0" w:color="auto"/>
            </w:tcBorders>
            <w:shd w:val="clear" w:color="auto" w:fill="auto"/>
          </w:tcPr>
          <w:p w:rsidR="00D907AF" w:rsidRPr="00B81CAE" w:rsidRDefault="008914CC" w:rsidP="00D907AF">
            <w:pPr>
              <w:spacing w:before="20" w:after="20"/>
              <w:jc w:val="center"/>
              <w:cnfStyle w:val="000000100000" w:firstRow="0" w:lastRow="0" w:firstColumn="0" w:lastColumn="0" w:oddVBand="0" w:evenVBand="0" w:oddHBand="1" w:evenHBand="0" w:firstRowFirstColumn="0" w:firstRowLastColumn="0" w:lastRowFirstColumn="0" w:lastRowLastColumn="0"/>
              <w:rPr>
                <w:rFonts w:eastAsia="Arial" w:cstheme="minorHAnsi"/>
                <w:sz w:val="20"/>
                <w:szCs w:val="20"/>
              </w:rPr>
            </w:pPr>
            <w:r w:rsidRPr="008914CC">
              <w:rPr>
                <w:rFonts w:eastAsia="Arial" w:cstheme="minorHAnsi"/>
                <w:color w:val="FFFFFF" w:themeColor="background1"/>
                <w:sz w:val="20"/>
                <w:szCs w:val="20"/>
              </w:rPr>
              <w:t>0</w:t>
            </w:r>
          </w:p>
        </w:tc>
        <w:tc>
          <w:tcPr>
            <w:tcW w:w="992" w:type="dxa"/>
            <w:tcBorders>
              <w:top w:val="none" w:sz="0" w:space="0" w:color="auto"/>
              <w:left w:val="none" w:sz="0" w:space="0" w:color="auto"/>
              <w:bottom w:val="none" w:sz="0" w:space="0" w:color="auto"/>
              <w:right w:val="none" w:sz="0" w:space="0" w:color="auto"/>
            </w:tcBorders>
            <w:shd w:val="clear" w:color="auto" w:fill="auto"/>
          </w:tcPr>
          <w:p w:rsidR="00D907AF" w:rsidRPr="00B81CAE" w:rsidRDefault="00D907AF" w:rsidP="00540167">
            <w:pPr>
              <w:spacing w:before="20" w:after="20"/>
              <w:ind w:right="176"/>
              <w:jc w:val="right"/>
              <w:cnfStyle w:val="000000100000" w:firstRow="0" w:lastRow="0" w:firstColumn="0" w:lastColumn="0" w:oddVBand="0" w:evenVBand="0" w:oddHBand="1" w:evenHBand="0" w:firstRowFirstColumn="0" w:firstRowLastColumn="0" w:lastRowFirstColumn="0" w:lastRowLastColumn="0"/>
              <w:rPr>
                <w:rFonts w:eastAsia="Arial" w:cstheme="minorHAnsi"/>
                <w:sz w:val="20"/>
                <w:szCs w:val="20"/>
              </w:rPr>
            </w:pPr>
            <w:r w:rsidRPr="00B81CAE">
              <w:rPr>
                <w:rFonts w:eastAsia="Arial" w:cstheme="minorHAnsi"/>
                <w:sz w:val="20"/>
                <w:szCs w:val="20"/>
              </w:rPr>
              <w:t>10</w:t>
            </w:r>
          </w:p>
        </w:tc>
      </w:tr>
      <w:tr w:rsidR="00D907AF" w:rsidRPr="00B81CAE" w:rsidTr="00E824A9">
        <w:trPr>
          <w:cantSplit/>
        </w:trPr>
        <w:tc>
          <w:tcPr>
            <w:cnfStyle w:val="001000000000" w:firstRow="0" w:lastRow="0" w:firstColumn="1" w:lastColumn="0" w:oddVBand="0" w:evenVBand="0" w:oddHBand="0" w:evenHBand="0" w:firstRowFirstColumn="0" w:firstRowLastColumn="0" w:lastRowFirstColumn="0" w:lastRowLastColumn="0"/>
            <w:tcW w:w="2508" w:type="dxa"/>
            <w:tcBorders>
              <w:left w:val="none" w:sz="0" w:space="0" w:color="auto"/>
              <w:bottom w:val="none" w:sz="0" w:space="0" w:color="auto"/>
              <w:right w:val="none" w:sz="0" w:space="0" w:color="auto"/>
            </w:tcBorders>
            <w:shd w:val="clear" w:color="auto" w:fill="auto"/>
          </w:tcPr>
          <w:p w:rsidR="00D907AF" w:rsidRPr="00B81CAE" w:rsidRDefault="00D907AF" w:rsidP="00D907AF">
            <w:pPr>
              <w:spacing w:before="20" w:after="20"/>
              <w:rPr>
                <w:rFonts w:eastAsia="Arial" w:cstheme="minorHAnsi"/>
                <w:b w:val="0"/>
                <w:color w:val="auto"/>
                <w:sz w:val="20"/>
                <w:szCs w:val="20"/>
              </w:rPr>
            </w:pPr>
            <w:r w:rsidRPr="00B81CAE">
              <w:rPr>
                <w:rFonts w:eastAsia="Arial" w:cstheme="minorHAnsi"/>
                <w:b w:val="0"/>
                <w:color w:val="auto"/>
                <w:sz w:val="20"/>
                <w:szCs w:val="20"/>
              </w:rPr>
              <w:t>Victoria</w:t>
            </w:r>
          </w:p>
        </w:tc>
        <w:tc>
          <w:tcPr>
            <w:tcW w:w="1276" w:type="dxa"/>
            <w:shd w:val="clear" w:color="auto" w:fill="auto"/>
          </w:tcPr>
          <w:p w:rsidR="00D907AF" w:rsidRPr="00B81CAE" w:rsidRDefault="00D907AF" w:rsidP="00D907AF">
            <w:pPr>
              <w:spacing w:before="20" w:after="20"/>
              <w:jc w:val="center"/>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B81CAE">
              <w:rPr>
                <w:rFonts w:eastAsia="Arial" w:cstheme="minorHAnsi"/>
                <w:sz w:val="20"/>
                <w:szCs w:val="20"/>
              </w:rPr>
              <w:t>3</w:t>
            </w:r>
          </w:p>
        </w:tc>
        <w:tc>
          <w:tcPr>
            <w:tcW w:w="818" w:type="dxa"/>
            <w:shd w:val="clear" w:color="auto" w:fill="auto"/>
          </w:tcPr>
          <w:p w:rsidR="00D907AF" w:rsidRPr="00B81CAE" w:rsidRDefault="00D907AF" w:rsidP="00D907AF">
            <w:pPr>
              <w:spacing w:before="20" w:after="20"/>
              <w:jc w:val="center"/>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B81CAE">
              <w:rPr>
                <w:rFonts w:eastAsia="Arial" w:cstheme="minorHAnsi"/>
                <w:sz w:val="20"/>
                <w:szCs w:val="20"/>
              </w:rPr>
              <w:t>6</w:t>
            </w:r>
          </w:p>
        </w:tc>
        <w:tc>
          <w:tcPr>
            <w:tcW w:w="1318" w:type="dxa"/>
            <w:shd w:val="clear" w:color="auto" w:fill="auto"/>
          </w:tcPr>
          <w:p w:rsidR="00D907AF" w:rsidRPr="00B81CAE" w:rsidRDefault="00D907AF" w:rsidP="00D907AF">
            <w:pPr>
              <w:spacing w:before="20" w:after="20"/>
              <w:jc w:val="center"/>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B81CAE">
              <w:rPr>
                <w:rFonts w:eastAsia="Arial" w:cstheme="minorHAnsi"/>
                <w:sz w:val="20"/>
                <w:szCs w:val="20"/>
              </w:rPr>
              <w:t>2</w:t>
            </w:r>
          </w:p>
        </w:tc>
        <w:tc>
          <w:tcPr>
            <w:tcW w:w="851" w:type="dxa"/>
            <w:shd w:val="clear" w:color="auto" w:fill="auto"/>
          </w:tcPr>
          <w:p w:rsidR="00D907AF" w:rsidRPr="008914CC" w:rsidRDefault="008914CC" w:rsidP="00D907AF">
            <w:pPr>
              <w:spacing w:before="20" w:after="20"/>
              <w:jc w:val="center"/>
              <w:cnfStyle w:val="000000000000" w:firstRow="0" w:lastRow="0" w:firstColumn="0" w:lastColumn="0" w:oddVBand="0" w:evenVBand="0" w:oddHBand="0" w:evenHBand="0" w:firstRowFirstColumn="0" w:firstRowLastColumn="0" w:lastRowFirstColumn="0" w:lastRowLastColumn="0"/>
              <w:rPr>
                <w:rFonts w:eastAsia="Arial" w:cstheme="minorHAnsi"/>
                <w:color w:val="FFFFFF" w:themeColor="background1"/>
                <w:sz w:val="20"/>
                <w:szCs w:val="20"/>
              </w:rPr>
            </w:pPr>
            <w:r w:rsidRPr="008914CC">
              <w:rPr>
                <w:rFonts w:eastAsia="Arial" w:cstheme="minorHAnsi"/>
                <w:color w:val="FFFFFF" w:themeColor="background1"/>
                <w:sz w:val="20"/>
                <w:szCs w:val="20"/>
              </w:rPr>
              <w:t>0</w:t>
            </w:r>
          </w:p>
        </w:tc>
        <w:tc>
          <w:tcPr>
            <w:tcW w:w="1134" w:type="dxa"/>
            <w:shd w:val="clear" w:color="auto" w:fill="auto"/>
          </w:tcPr>
          <w:p w:rsidR="00D907AF" w:rsidRPr="00B81CAE" w:rsidRDefault="00D907AF" w:rsidP="00D907AF">
            <w:pPr>
              <w:spacing w:before="20" w:after="20"/>
              <w:jc w:val="center"/>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B81CAE">
              <w:rPr>
                <w:rFonts w:eastAsia="Arial" w:cstheme="minorHAnsi"/>
                <w:sz w:val="20"/>
                <w:szCs w:val="20"/>
              </w:rPr>
              <w:t>1</w:t>
            </w:r>
          </w:p>
        </w:tc>
        <w:tc>
          <w:tcPr>
            <w:tcW w:w="992" w:type="dxa"/>
            <w:shd w:val="clear" w:color="auto" w:fill="auto"/>
          </w:tcPr>
          <w:p w:rsidR="00D907AF" w:rsidRPr="00B81CAE" w:rsidRDefault="00D907AF" w:rsidP="00540167">
            <w:pPr>
              <w:spacing w:before="20" w:after="20"/>
              <w:ind w:right="176"/>
              <w:jc w:val="right"/>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B81CAE">
              <w:rPr>
                <w:rFonts w:eastAsia="Arial" w:cstheme="minorHAnsi"/>
                <w:sz w:val="20"/>
                <w:szCs w:val="20"/>
              </w:rPr>
              <w:t>12</w:t>
            </w:r>
          </w:p>
        </w:tc>
      </w:tr>
      <w:tr w:rsidR="00D907AF" w:rsidRPr="00B81CAE" w:rsidTr="00E824A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08" w:type="dxa"/>
            <w:tcBorders>
              <w:top w:val="none" w:sz="0" w:space="0" w:color="auto"/>
              <w:left w:val="none" w:sz="0" w:space="0" w:color="auto"/>
              <w:bottom w:val="single" w:sz="4" w:space="0" w:color="auto"/>
              <w:right w:val="none" w:sz="0" w:space="0" w:color="auto"/>
            </w:tcBorders>
            <w:shd w:val="clear" w:color="auto" w:fill="auto"/>
          </w:tcPr>
          <w:p w:rsidR="00D907AF" w:rsidRPr="00B81CAE" w:rsidRDefault="00D907AF" w:rsidP="00D907AF">
            <w:pPr>
              <w:spacing w:before="20" w:after="20"/>
              <w:rPr>
                <w:rFonts w:eastAsia="Arial" w:cstheme="minorHAnsi"/>
                <w:b w:val="0"/>
                <w:color w:val="auto"/>
                <w:sz w:val="20"/>
                <w:szCs w:val="20"/>
              </w:rPr>
            </w:pPr>
            <w:r w:rsidRPr="00B81CAE">
              <w:rPr>
                <w:rFonts w:eastAsia="Arial" w:cstheme="minorHAnsi"/>
                <w:b w:val="0"/>
                <w:color w:val="auto"/>
                <w:sz w:val="20"/>
                <w:szCs w:val="20"/>
              </w:rPr>
              <w:t>Australian Capital Territory</w:t>
            </w:r>
          </w:p>
        </w:tc>
        <w:tc>
          <w:tcPr>
            <w:tcW w:w="1276" w:type="dxa"/>
            <w:tcBorders>
              <w:top w:val="none" w:sz="0" w:space="0" w:color="auto"/>
              <w:left w:val="none" w:sz="0" w:space="0" w:color="auto"/>
              <w:bottom w:val="single" w:sz="4" w:space="0" w:color="auto"/>
              <w:right w:val="none" w:sz="0" w:space="0" w:color="auto"/>
            </w:tcBorders>
            <w:shd w:val="clear" w:color="auto" w:fill="auto"/>
          </w:tcPr>
          <w:p w:rsidR="00D907AF" w:rsidRPr="00B81CAE" w:rsidRDefault="00D907AF" w:rsidP="00D907AF">
            <w:pPr>
              <w:spacing w:before="20" w:after="20"/>
              <w:jc w:val="center"/>
              <w:cnfStyle w:val="000000100000" w:firstRow="0" w:lastRow="0" w:firstColumn="0" w:lastColumn="0" w:oddVBand="0" w:evenVBand="0" w:oddHBand="1" w:evenHBand="0" w:firstRowFirstColumn="0" w:firstRowLastColumn="0" w:lastRowFirstColumn="0" w:lastRowLastColumn="0"/>
              <w:rPr>
                <w:rFonts w:eastAsia="Arial" w:cstheme="minorHAnsi"/>
                <w:sz w:val="20"/>
                <w:szCs w:val="20"/>
              </w:rPr>
            </w:pPr>
            <w:r w:rsidRPr="00B81CAE">
              <w:rPr>
                <w:rFonts w:eastAsia="Arial" w:cstheme="minorHAnsi"/>
                <w:sz w:val="20"/>
                <w:szCs w:val="20"/>
              </w:rPr>
              <w:t>3</w:t>
            </w:r>
          </w:p>
        </w:tc>
        <w:tc>
          <w:tcPr>
            <w:tcW w:w="818" w:type="dxa"/>
            <w:tcBorders>
              <w:top w:val="none" w:sz="0" w:space="0" w:color="auto"/>
              <w:left w:val="none" w:sz="0" w:space="0" w:color="auto"/>
              <w:bottom w:val="single" w:sz="4" w:space="0" w:color="auto"/>
              <w:right w:val="none" w:sz="0" w:space="0" w:color="auto"/>
            </w:tcBorders>
            <w:shd w:val="clear" w:color="auto" w:fill="auto"/>
          </w:tcPr>
          <w:p w:rsidR="00D907AF" w:rsidRPr="00B81CAE" w:rsidRDefault="008914CC" w:rsidP="00D907AF">
            <w:pPr>
              <w:spacing w:before="20" w:after="20"/>
              <w:jc w:val="center"/>
              <w:cnfStyle w:val="000000100000" w:firstRow="0" w:lastRow="0" w:firstColumn="0" w:lastColumn="0" w:oddVBand="0" w:evenVBand="0" w:oddHBand="1" w:evenHBand="0" w:firstRowFirstColumn="0" w:firstRowLastColumn="0" w:lastRowFirstColumn="0" w:lastRowLastColumn="0"/>
              <w:rPr>
                <w:rFonts w:eastAsia="Arial" w:cstheme="minorHAnsi"/>
                <w:sz w:val="20"/>
                <w:szCs w:val="20"/>
              </w:rPr>
            </w:pPr>
            <w:r w:rsidRPr="008914CC">
              <w:rPr>
                <w:rFonts w:eastAsia="Arial" w:cstheme="minorHAnsi"/>
                <w:color w:val="FFFFFF" w:themeColor="background1"/>
                <w:sz w:val="20"/>
                <w:szCs w:val="20"/>
              </w:rPr>
              <w:t>0</w:t>
            </w:r>
          </w:p>
        </w:tc>
        <w:tc>
          <w:tcPr>
            <w:tcW w:w="1318" w:type="dxa"/>
            <w:tcBorders>
              <w:top w:val="none" w:sz="0" w:space="0" w:color="auto"/>
              <w:left w:val="none" w:sz="0" w:space="0" w:color="auto"/>
              <w:bottom w:val="single" w:sz="4" w:space="0" w:color="auto"/>
              <w:right w:val="none" w:sz="0" w:space="0" w:color="auto"/>
            </w:tcBorders>
            <w:shd w:val="clear" w:color="auto" w:fill="auto"/>
          </w:tcPr>
          <w:p w:rsidR="00D907AF" w:rsidRPr="00B81CAE" w:rsidRDefault="008914CC" w:rsidP="00D907AF">
            <w:pPr>
              <w:spacing w:before="20" w:after="20"/>
              <w:jc w:val="center"/>
              <w:cnfStyle w:val="000000100000" w:firstRow="0" w:lastRow="0" w:firstColumn="0" w:lastColumn="0" w:oddVBand="0" w:evenVBand="0" w:oddHBand="1" w:evenHBand="0" w:firstRowFirstColumn="0" w:firstRowLastColumn="0" w:lastRowFirstColumn="0" w:lastRowLastColumn="0"/>
              <w:rPr>
                <w:rFonts w:eastAsia="Arial" w:cstheme="minorHAnsi"/>
                <w:sz w:val="20"/>
                <w:szCs w:val="20"/>
              </w:rPr>
            </w:pPr>
            <w:r w:rsidRPr="008914CC">
              <w:rPr>
                <w:rFonts w:eastAsia="Arial" w:cstheme="minorHAnsi"/>
                <w:color w:val="FFFFFF" w:themeColor="background1"/>
                <w:sz w:val="20"/>
                <w:szCs w:val="20"/>
              </w:rPr>
              <w:t>0</w:t>
            </w:r>
          </w:p>
        </w:tc>
        <w:tc>
          <w:tcPr>
            <w:tcW w:w="851" w:type="dxa"/>
            <w:tcBorders>
              <w:top w:val="none" w:sz="0" w:space="0" w:color="auto"/>
              <w:left w:val="none" w:sz="0" w:space="0" w:color="auto"/>
              <w:bottom w:val="single" w:sz="4" w:space="0" w:color="auto"/>
              <w:right w:val="none" w:sz="0" w:space="0" w:color="auto"/>
            </w:tcBorders>
            <w:shd w:val="clear" w:color="auto" w:fill="auto"/>
          </w:tcPr>
          <w:p w:rsidR="00D907AF" w:rsidRPr="00B81CAE" w:rsidRDefault="00D907AF" w:rsidP="00D907AF">
            <w:pPr>
              <w:spacing w:before="20" w:after="20"/>
              <w:jc w:val="center"/>
              <w:cnfStyle w:val="000000100000" w:firstRow="0" w:lastRow="0" w:firstColumn="0" w:lastColumn="0" w:oddVBand="0" w:evenVBand="0" w:oddHBand="1" w:evenHBand="0" w:firstRowFirstColumn="0" w:firstRowLastColumn="0" w:lastRowFirstColumn="0" w:lastRowLastColumn="0"/>
              <w:rPr>
                <w:rFonts w:eastAsia="Arial" w:cstheme="minorHAnsi"/>
                <w:sz w:val="20"/>
                <w:szCs w:val="20"/>
              </w:rPr>
            </w:pPr>
            <w:r w:rsidRPr="00B81CAE">
              <w:rPr>
                <w:rFonts w:eastAsia="Arial" w:cstheme="minorHAnsi"/>
                <w:sz w:val="20"/>
                <w:szCs w:val="20"/>
              </w:rPr>
              <w:t>5</w:t>
            </w:r>
          </w:p>
        </w:tc>
        <w:tc>
          <w:tcPr>
            <w:tcW w:w="1134" w:type="dxa"/>
            <w:tcBorders>
              <w:top w:val="none" w:sz="0" w:space="0" w:color="auto"/>
              <w:left w:val="none" w:sz="0" w:space="0" w:color="auto"/>
              <w:bottom w:val="single" w:sz="4" w:space="0" w:color="auto"/>
              <w:right w:val="none" w:sz="0" w:space="0" w:color="auto"/>
            </w:tcBorders>
            <w:shd w:val="clear" w:color="auto" w:fill="auto"/>
          </w:tcPr>
          <w:p w:rsidR="00D907AF" w:rsidRPr="00B81CAE" w:rsidRDefault="008914CC" w:rsidP="00D907AF">
            <w:pPr>
              <w:spacing w:before="20" w:after="20"/>
              <w:jc w:val="center"/>
              <w:cnfStyle w:val="000000100000" w:firstRow="0" w:lastRow="0" w:firstColumn="0" w:lastColumn="0" w:oddVBand="0" w:evenVBand="0" w:oddHBand="1" w:evenHBand="0" w:firstRowFirstColumn="0" w:firstRowLastColumn="0" w:lastRowFirstColumn="0" w:lastRowLastColumn="0"/>
              <w:rPr>
                <w:rFonts w:eastAsia="Arial" w:cstheme="minorHAnsi"/>
                <w:sz w:val="20"/>
                <w:szCs w:val="20"/>
              </w:rPr>
            </w:pPr>
            <w:r w:rsidRPr="008914CC">
              <w:rPr>
                <w:rFonts w:eastAsia="Arial" w:cstheme="minorHAnsi"/>
                <w:color w:val="FFFFFF" w:themeColor="background1"/>
                <w:sz w:val="20"/>
                <w:szCs w:val="20"/>
              </w:rPr>
              <w:t>0</w:t>
            </w:r>
          </w:p>
        </w:tc>
        <w:tc>
          <w:tcPr>
            <w:tcW w:w="992" w:type="dxa"/>
            <w:tcBorders>
              <w:top w:val="none" w:sz="0" w:space="0" w:color="auto"/>
              <w:left w:val="none" w:sz="0" w:space="0" w:color="auto"/>
              <w:bottom w:val="single" w:sz="4" w:space="0" w:color="auto"/>
              <w:right w:val="none" w:sz="0" w:space="0" w:color="auto"/>
            </w:tcBorders>
            <w:shd w:val="clear" w:color="auto" w:fill="auto"/>
          </w:tcPr>
          <w:p w:rsidR="00D907AF" w:rsidRPr="00B81CAE" w:rsidRDefault="00D907AF" w:rsidP="00540167">
            <w:pPr>
              <w:spacing w:before="20" w:after="20"/>
              <w:ind w:right="176"/>
              <w:jc w:val="right"/>
              <w:cnfStyle w:val="000000100000" w:firstRow="0" w:lastRow="0" w:firstColumn="0" w:lastColumn="0" w:oddVBand="0" w:evenVBand="0" w:oddHBand="1" w:evenHBand="0" w:firstRowFirstColumn="0" w:firstRowLastColumn="0" w:lastRowFirstColumn="0" w:lastRowLastColumn="0"/>
              <w:rPr>
                <w:rFonts w:eastAsia="Arial" w:cstheme="minorHAnsi"/>
                <w:sz w:val="20"/>
                <w:szCs w:val="20"/>
              </w:rPr>
            </w:pPr>
            <w:r w:rsidRPr="00B81CAE">
              <w:rPr>
                <w:rFonts w:eastAsia="Arial" w:cstheme="minorHAnsi"/>
                <w:sz w:val="20"/>
                <w:szCs w:val="20"/>
              </w:rPr>
              <w:t>8</w:t>
            </w:r>
          </w:p>
        </w:tc>
      </w:tr>
      <w:tr w:rsidR="00D907AF" w:rsidRPr="00B81CAE" w:rsidTr="00E824A9">
        <w:trPr>
          <w:cantSplit/>
        </w:trPr>
        <w:tc>
          <w:tcPr>
            <w:cnfStyle w:val="001000000000" w:firstRow="0" w:lastRow="0" w:firstColumn="1" w:lastColumn="0" w:oddVBand="0" w:evenVBand="0" w:oddHBand="0" w:evenHBand="0" w:firstRowFirstColumn="0" w:firstRowLastColumn="0" w:lastRowFirstColumn="0" w:lastRowLastColumn="0"/>
            <w:tcW w:w="2508" w:type="dxa"/>
            <w:tcBorders>
              <w:top w:val="single" w:sz="4" w:space="0" w:color="auto"/>
              <w:left w:val="none" w:sz="0" w:space="0" w:color="auto"/>
              <w:bottom w:val="single" w:sz="4" w:space="0" w:color="auto"/>
              <w:right w:val="none" w:sz="0" w:space="0" w:color="auto"/>
            </w:tcBorders>
            <w:shd w:val="clear" w:color="auto" w:fill="auto"/>
          </w:tcPr>
          <w:p w:rsidR="00D907AF" w:rsidRPr="00B81CAE" w:rsidRDefault="00D907AF" w:rsidP="00D907AF">
            <w:pPr>
              <w:spacing w:before="20" w:after="20"/>
              <w:rPr>
                <w:rFonts w:eastAsia="Arial" w:cstheme="minorHAnsi"/>
                <w:color w:val="auto"/>
                <w:sz w:val="20"/>
                <w:szCs w:val="20"/>
              </w:rPr>
            </w:pPr>
            <w:r w:rsidRPr="00B81CAE">
              <w:rPr>
                <w:rFonts w:eastAsia="Arial" w:cstheme="minorHAnsi"/>
                <w:color w:val="auto"/>
                <w:sz w:val="20"/>
                <w:szCs w:val="20"/>
              </w:rPr>
              <w:t>TOTAL</w:t>
            </w:r>
          </w:p>
        </w:tc>
        <w:tc>
          <w:tcPr>
            <w:tcW w:w="1276" w:type="dxa"/>
            <w:tcBorders>
              <w:top w:val="single" w:sz="4" w:space="0" w:color="auto"/>
              <w:bottom w:val="single" w:sz="4" w:space="0" w:color="auto"/>
            </w:tcBorders>
            <w:shd w:val="clear" w:color="auto" w:fill="auto"/>
          </w:tcPr>
          <w:p w:rsidR="00D907AF" w:rsidRPr="00530182" w:rsidRDefault="00D907AF" w:rsidP="00D907AF">
            <w:pPr>
              <w:spacing w:before="20" w:after="20"/>
              <w:jc w:val="center"/>
              <w:cnfStyle w:val="000000000000" w:firstRow="0" w:lastRow="0" w:firstColumn="0" w:lastColumn="0" w:oddVBand="0" w:evenVBand="0" w:oddHBand="0" w:evenHBand="0" w:firstRowFirstColumn="0" w:firstRowLastColumn="0" w:lastRowFirstColumn="0" w:lastRowLastColumn="0"/>
              <w:rPr>
                <w:rFonts w:eastAsia="Arial" w:cstheme="minorHAnsi"/>
                <w:b/>
                <w:sz w:val="20"/>
                <w:szCs w:val="20"/>
              </w:rPr>
            </w:pPr>
            <w:r w:rsidRPr="00530182">
              <w:rPr>
                <w:rFonts w:eastAsia="Arial" w:cstheme="minorHAnsi"/>
                <w:b/>
                <w:sz w:val="20"/>
                <w:szCs w:val="20"/>
              </w:rPr>
              <w:t>10</w:t>
            </w:r>
          </w:p>
        </w:tc>
        <w:tc>
          <w:tcPr>
            <w:tcW w:w="818" w:type="dxa"/>
            <w:tcBorders>
              <w:top w:val="single" w:sz="4" w:space="0" w:color="auto"/>
              <w:bottom w:val="single" w:sz="4" w:space="0" w:color="auto"/>
            </w:tcBorders>
            <w:shd w:val="clear" w:color="auto" w:fill="auto"/>
          </w:tcPr>
          <w:p w:rsidR="00D907AF" w:rsidRPr="00B81CAE" w:rsidRDefault="00D907AF" w:rsidP="00D907AF">
            <w:pPr>
              <w:spacing w:before="20" w:after="20"/>
              <w:jc w:val="center"/>
              <w:cnfStyle w:val="000000000000" w:firstRow="0" w:lastRow="0" w:firstColumn="0" w:lastColumn="0" w:oddVBand="0" w:evenVBand="0" w:oddHBand="0" w:evenHBand="0" w:firstRowFirstColumn="0" w:firstRowLastColumn="0" w:lastRowFirstColumn="0" w:lastRowLastColumn="0"/>
              <w:rPr>
                <w:rFonts w:eastAsia="Arial" w:cstheme="minorHAnsi"/>
                <w:b/>
                <w:sz w:val="20"/>
                <w:szCs w:val="20"/>
              </w:rPr>
            </w:pPr>
            <w:r w:rsidRPr="00B81CAE">
              <w:rPr>
                <w:rFonts w:eastAsia="Arial" w:cstheme="minorHAnsi"/>
                <w:b/>
                <w:sz w:val="20"/>
                <w:szCs w:val="20"/>
              </w:rPr>
              <w:t>19</w:t>
            </w:r>
          </w:p>
        </w:tc>
        <w:tc>
          <w:tcPr>
            <w:tcW w:w="1318" w:type="dxa"/>
            <w:tcBorders>
              <w:top w:val="single" w:sz="4" w:space="0" w:color="auto"/>
              <w:bottom w:val="single" w:sz="4" w:space="0" w:color="auto"/>
            </w:tcBorders>
            <w:shd w:val="clear" w:color="auto" w:fill="auto"/>
          </w:tcPr>
          <w:p w:rsidR="00D907AF" w:rsidRPr="00B81CAE" w:rsidRDefault="00D907AF" w:rsidP="00D907AF">
            <w:pPr>
              <w:spacing w:before="20" w:after="20"/>
              <w:jc w:val="center"/>
              <w:cnfStyle w:val="000000000000" w:firstRow="0" w:lastRow="0" w:firstColumn="0" w:lastColumn="0" w:oddVBand="0" w:evenVBand="0" w:oddHBand="0" w:evenHBand="0" w:firstRowFirstColumn="0" w:firstRowLastColumn="0" w:lastRowFirstColumn="0" w:lastRowLastColumn="0"/>
              <w:rPr>
                <w:rFonts w:eastAsia="Arial" w:cstheme="minorHAnsi"/>
                <w:b/>
                <w:sz w:val="20"/>
                <w:szCs w:val="20"/>
              </w:rPr>
            </w:pPr>
            <w:r w:rsidRPr="00B81CAE">
              <w:rPr>
                <w:rFonts w:eastAsia="Arial" w:cstheme="minorHAnsi"/>
                <w:b/>
                <w:sz w:val="20"/>
                <w:szCs w:val="20"/>
              </w:rPr>
              <w:t>10</w:t>
            </w:r>
          </w:p>
        </w:tc>
        <w:tc>
          <w:tcPr>
            <w:tcW w:w="851" w:type="dxa"/>
            <w:tcBorders>
              <w:top w:val="single" w:sz="4" w:space="0" w:color="auto"/>
              <w:bottom w:val="single" w:sz="4" w:space="0" w:color="auto"/>
            </w:tcBorders>
            <w:shd w:val="clear" w:color="auto" w:fill="auto"/>
          </w:tcPr>
          <w:p w:rsidR="00D907AF" w:rsidRPr="00B81CAE" w:rsidRDefault="00D907AF" w:rsidP="00D907AF">
            <w:pPr>
              <w:spacing w:before="20" w:after="20"/>
              <w:jc w:val="center"/>
              <w:cnfStyle w:val="000000000000" w:firstRow="0" w:lastRow="0" w:firstColumn="0" w:lastColumn="0" w:oddVBand="0" w:evenVBand="0" w:oddHBand="0" w:evenHBand="0" w:firstRowFirstColumn="0" w:firstRowLastColumn="0" w:lastRowFirstColumn="0" w:lastRowLastColumn="0"/>
              <w:rPr>
                <w:rFonts w:eastAsia="Arial" w:cstheme="minorHAnsi"/>
                <w:b/>
                <w:sz w:val="20"/>
                <w:szCs w:val="20"/>
              </w:rPr>
            </w:pPr>
            <w:r w:rsidRPr="00B81CAE">
              <w:rPr>
                <w:rFonts w:eastAsia="Arial" w:cstheme="minorHAnsi"/>
                <w:b/>
                <w:sz w:val="20"/>
                <w:szCs w:val="20"/>
              </w:rPr>
              <w:t>5</w:t>
            </w:r>
          </w:p>
        </w:tc>
        <w:tc>
          <w:tcPr>
            <w:tcW w:w="1134" w:type="dxa"/>
            <w:tcBorders>
              <w:top w:val="single" w:sz="4" w:space="0" w:color="auto"/>
              <w:bottom w:val="single" w:sz="4" w:space="0" w:color="auto"/>
            </w:tcBorders>
            <w:shd w:val="clear" w:color="auto" w:fill="auto"/>
          </w:tcPr>
          <w:p w:rsidR="00D907AF" w:rsidRPr="00B81CAE" w:rsidRDefault="00D907AF" w:rsidP="00D907AF">
            <w:pPr>
              <w:spacing w:before="20" w:after="20"/>
              <w:jc w:val="center"/>
              <w:cnfStyle w:val="000000000000" w:firstRow="0" w:lastRow="0" w:firstColumn="0" w:lastColumn="0" w:oddVBand="0" w:evenVBand="0" w:oddHBand="0" w:evenHBand="0" w:firstRowFirstColumn="0" w:firstRowLastColumn="0" w:lastRowFirstColumn="0" w:lastRowLastColumn="0"/>
              <w:rPr>
                <w:rFonts w:eastAsia="Arial" w:cstheme="minorHAnsi"/>
                <w:b/>
                <w:sz w:val="20"/>
                <w:szCs w:val="20"/>
              </w:rPr>
            </w:pPr>
            <w:r w:rsidRPr="00B81CAE">
              <w:rPr>
                <w:rFonts w:eastAsia="Arial" w:cstheme="minorHAnsi"/>
                <w:b/>
                <w:sz w:val="20"/>
                <w:szCs w:val="20"/>
              </w:rPr>
              <w:t>2</w:t>
            </w:r>
          </w:p>
        </w:tc>
        <w:tc>
          <w:tcPr>
            <w:tcW w:w="992" w:type="dxa"/>
            <w:tcBorders>
              <w:top w:val="single" w:sz="4" w:space="0" w:color="auto"/>
              <w:bottom w:val="single" w:sz="4" w:space="0" w:color="auto"/>
            </w:tcBorders>
            <w:shd w:val="clear" w:color="auto" w:fill="auto"/>
          </w:tcPr>
          <w:p w:rsidR="00D907AF" w:rsidRPr="00B81CAE" w:rsidRDefault="00D907AF" w:rsidP="00540167">
            <w:pPr>
              <w:spacing w:before="20" w:after="20"/>
              <w:ind w:right="176"/>
              <w:jc w:val="right"/>
              <w:cnfStyle w:val="000000000000" w:firstRow="0" w:lastRow="0" w:firstColumn="0" w:lastColumn="0" w:oddVBand="0" w:evenVBand="0" w:oddHBand="0" w:evenHBand="0" w:firstRowFirstColumn="0" w:firstRowLastColumn="0" w:lastRowFirstColumn="0" w:lastRowLastColumn="0"/>
              <w:rPr>
                <w:rFonts w:eastAsia="Arial" w:cstheme="minorHAnsi"/>
                <w:b/>
                <w:sz w:val="20"/>
                <w:szCs w:val="20"/>
              </w:rPr>
            </w:pPr>
            <w:r w:rsidRPr="00B81CAE">
              <w:rPr>
                <w:rFonts w:eastAsia="Arial" w:cstheme="minorHAnsi"/>
                <w:b/>
                <w:sz w:val="20"/>
                <w:szCs w:val="20"/>
              </w:rPr>
              <w:t>46</w:t>
            </w:r>
          </w:p>
        </w:tc>
      </w:tr>
    </w:tbl>
    <w:p w:rsidR="00D907AF" w:rsidRPr="009E25B2" w:rsidRDefault="00C77351" w:rsidP="00D53B5C">
      <w:pPr>
        <w:ind w:left="426" w:hanging="426"/>
        <w:rPr>
          <w:sz w:val="18"/>
          <w:szCs w:val="18"/>
        </w:rPr>
      </w:pPr>
      <w:r>
        <w:rPr>
          <w:sz w:val="18"/>
          <w:szCs w:val="18"/>
        </w:rPr>
        <w:t>Note</w:t>
      </w:r>
      <w:r w:rsidR="00D907AF">
        <w:rPr>
          <w:sz w:val="18"/>
          <w:szCs w:val="18"/>
        </w:rPr>
        <w:t xml:space="preserve">: </w:t>
      </w:r>
      <w:r w:rsidR="00D907AF" w:rsidRPr="009E25B2">
        <w:rPr>
          <w:sz w:val="18"/>
          <w:szCs w:val="18"/>
        </w:rPr>
        <w:t>*Inclusive: Trial Site Managers, Directors and/or Assistant Directors</w:t>
      </w:r>
    </w:p>
    <w:p w:rsidR="00D907AF" w:rsidRDefault="00D53B5C" w:rsidP="00D53B5C">
      <w:pPr>
        <w:ind w:left="426" w:hanging="426"/>
        <w:rPr>
          <w:sz w:val="18"/>
          <w:szCs w:val="18"/>
        </w:rPr>
      </w:pPr>
      <w:r>
        <w:rPr>
          <w:sz w:val="18"/>
          <w:szCs w:val="18"/>
        </w:rPr>
        <w:tab/>
      </w:r>
      <w:r w:rsidR="00D907AF" w:rsidRPr="009E25B2">
        <w:rPr>
          <w:sz w:val="18"/>
          <w:szCs w:val="18"/>
        </w:rPr>
        <w:t># Inclusive: Planners and Senior Planners</w:t>
      </w:r>
    </w:p>
    <w:p w:rsidR="00D907AF" w:rsidRPr="009E25B2" w:rsidRDefault="00D53B5C" w:rsidP="00D53B5C">
      <w:pPr>
        <w:ind w:left="426" w:hanging="426"/>
        <w:rPr>
          <w:sz w:val="18"/>
          <w:szCs w:val="18"/>
        </w:rPr>
      </w:pPr>
      <w:r>
        <w:rPr>
          <w:sz w:val="18"/>
          <w:szCs w:val="18"/>
        </w:rPr>
        <w:tab/>
      </w:r>
      <w:r w:rsidR="00D907AF">
        <w:rPr>
          <w:sz w:val="18"/>
          <w:szCs w:val="18"/>
        </w:rPr>
        <w:t>+PSC=Plan Support Coordinator</w:t>
      </w:r>
    </w:p>
    <w:p w:rsidR="00D907AF" w:rsidRPr="009E25B2" w:rsidRDefault="00D53B5C" w:rsidP="00D53B5C">
      <w:pPr>
        <w:ind w:left="426" w:hanging="426"/>
        <w:rPr>
          <w:sz w:val="18"/>
          <w:szCs w:val="18"/>
        </w:rPr>
      </w:pPr>
      <w:r>
        <w:rPr>
          <w:sz w:val="18"/>
          <w:szCs w:val="18"/>
        </w:rPr>
        <w:tab/>
      </w:r>
      <w:r w:rsidR="00D907AF" w:rsidRPr="009E25B2">
        <w:rPr>
          <w:sz w:val="18"/>
          <w:szCs w:val="18"/>
        </w:rPr>
        <w:t>++BSO=Business Support Officer</w:t>
      </w:r>
      <w:r w:rsidR="00D907AF">
        <w:rPr>
          <w:sz w:val="18"/>
          <w:szCs w:val="18"/>
        </w:rPr>
        <w:t>, RSO=Regional Support Officer</w:t>
      </w:r>
    </w:p>
    <w:p w:rsidR="00D907AF" w:rsidRDefault="00D907AF" w:rsidP="00D907AF">
      <w:pPr>
        <w:rPr>
          <w:rFonts w:ascii="Calibri" w:eastAsia="Calibri" w:hAnsi="Calibri" w:cs="Calibri"/>
          <w:lang w:eastAsia="zh-CN"/>
        </w:rPr>
      </w:pPr>
    </w:p>
    <w:p w:rsidR="00D907AF" w:rsidRDefault="00D907AF" w:rsidP="00D907AF">
      <w:r w:rsidRPr="00A27F5B">
        <w:rPr>
          <w:b/>
        </w:rPr>
        <w:t>M</w:t>
      </w:r>
      <w:r w:rsidRPr="009E25B2">
        <w:rPr>
          <w:b/>
        </w:rPr>
        <w:t>anagers</w:t>
      </w:r>
      <w:r w:rsidRPr="009E25B2">
        <w:t xml:space="preserve"> </w:t>
      </w:r>
      <w:r w:rsidRPr="00A27F5B">
        <w:t xml:space="preserve">interviewed in this study </w:t>
      </w:r>
      <w:r w:rsidRPr="009E25B2">
        <w:t>included Trial Site Managers and a number of Directors/Assistant Directors managing specialist teams</w:t>
      </w:r>
      <w:r>
        <w:t xml:space="preserve">. Some </w:t>
      </w:r>
      <w:r w:rsidRPr="00A27F5B">
        <w:t>of the Trial Site Managers report</w:t>
      </w:r>
      <w:r>
        <w:t>ed</w:t>
      </w:r>
      <w:r w:rsidRPr="009E25B2">
        <w:t xml:space="preserve"> dual responsibilities at the operational level in the trial site and at </w:t>
      </w:r>
      <w:r>
        <w:t>a strategic level at the NDIA Operations Branch in Geelong, Victoria</w:t>
      </w:r>
      <w:r w:rsidRPr="00A27F5B">
        <w:t xml:space="preserve">. </w:t>
      </w:r>
      <w:r w:rsidRPr="009E25B2">
        <w:t>At the operational level their responsibilities included staff management, supporting the leadership team, advising senior staff, leading recruitment processes, working with some</w:t>
      </w:r>
      <w:r>
        <w:t xml:space="preserve"> </w:t>
      </w:r>
      <w:r w:rsidRPr="009E25B2">
        <w:t xml:space="preserve">participants and families and approving plans over $150,000. At the Agency level they were part of the executive team involved </w:t>
      </w:r>
      <w:r>
        <w:t>in</w:t>
      </w:r>
      <w:r w:rsidRPr="009E25B2">
        <w:t xml:space="preserve"> strategic planning</w:t>
      </w:r>
      <w:r>
        <w:t xml:space="preserve"> and </w:t>
      </w:r>
      <w:r w:rsidRPr="009E25B2">
        <w:t>interactions with stakeholders</w:t>
      </w:r>
      <w:r>
        <w:t>,</w:t>
      </w:r>
      <w:r w:rsidRPr="009E25B2">
        <w:t xml:space="preserve"> including state government</w:t>
      </w:r>
      <w:r>
        <w:t xml:space="preserve">s and disability support </w:t>
      </w:r>
      <w:r w:rsidRPr="009E25B2">
        <w:t xml:space="preserve">providers. </w:t>
      </w:r>
    </w:p>
    <w:p w:rsidR="00D907AF" w:rsidRPr="009E25B2" w:rsidRDefault="00D907AF" w:rsidP="00D907AF"/>
    <w:p w:rsidR="00D907AF" w:rsidRDefault="00D907AF" w:rsidP="00D907AF">
      <w:r w:rsidRPr="00DB214B">
        <w:t>The roles of</w:t>
      </w:r>
      <w:r>
        <w:rPr>
          <w:b/>
        </w:rPr>
        <w:t xml:space="preserve"> </w:t>
      </w:r>
      <w:r w:rsidRPr="00DB214B">
        <w:rPr>
          <w:b/>
        </w:rPr>
        <w:t>Planners</w:t>
      </w:r>
      <w:r>
        <w:t xml:space="preserve"> </w:t>
      </w:r>
      <w:r w:rsidRPr="00DB214B">
        <w:t>included interviewing participants, establishing goals, aspirations and support needs, following up information needed to create plans from families, medical staff and providers, collating this information and generating a plan. They met with participants to discuss and handover the plan and conducted plan reviews including review meetings with participants.</w:t>
      </w:r>
      <w:r>
        <w:t xml:space="preserve"> </w:t>
      </w:r>
    </w:p>
    <w:p w:rsidR="00D907AF" w:rsidRDefault="00D907AF" w:rsidP="00D907AF">
      <w:r w:rsidRPr="00DB214B">
        <w:rPr>
          <w:b/>
        </w:rPr>
        <w:lastRenderedPageBreak/>
        <w:t xml:space="preserve">Local Area </w:t>
      </w:r>
      <w:r w:rsidRPr="00AB30FC">
        <w:rPr>
          <w:b/>
        </w:rPr>
        <w:t>Coordinators</w:t>
      </w:r>
      <w:r w:rsidRPr="00AB30FC">
        <w:t xml:space="preserve"> were charged</w:t>
      </w:r>
      <w:r w:rsidRPr="00DB214B">
        <w:t xml:space="preserve"> </w:t>
      </w:r>
      <w:r>
        <w:t xml:space="preserve">with </w:t>
      </w:r>
      <w:r w:rsidRPr="00D61C57">
        <w:t>undertak</w:t>
      </w:r>
      <w:r>
        <w:t>ing</w:t>
      </w:r>
      <w:r w:rsidRPr="00D61C57">
        <w:t xml:space="preserve"> community engagement activities</w:t>
      </w:r>
      <w:r>
        <w:t>,</w:t>
      </w:r>
      <w:r w:rsidRPr="00D61C57">
        <w:t xml:space="preserve"> promoting inclusiveness amongst community organisations and facilitating opportunities for </w:t>
      </w:r>
      <w:r>
        <w:t xml:space="preserve">NDIS </w:t>
      </w:r>
      <w:r w:rsidRPr="00D61C57">
        <w:t xml:space="preserve">participants to access unfunded community based services (with the aim of increasing social and economic participation). </w:t>
      </w:r>
      <w:r w:rsidRPr="00DB214B">
        <w:t xml:space="preserve">Many were </w:t>
      </w:r>
      <w:r>
        <w:t xml:space="preserve">also </w:t>
      </w:r>
      <w:r w:rsidRPr="00DB214B">
        <w:t>involved in plan implementation, including assisting participants and their families in finding disability service providers.</w:t>
      </w:r>
      <w:r>
        <w:t xml:space="preserve"> </w:t>
      </w:r>
    </w:p>
    <w:p w:rsidR="00D907AF" w:rsidRPr="00DB214B" w:rsidRDefault="00D907AF" w:rsidP="00D907AF"/>
    <w:p w:rsidR="00D907AF" w:rsidRDefault="00D907AF" w:rsidP="00D907AF">
      <w:bookmarkStart w:id="110" w:name="_Toc423590294"/>
      <w:bookmarkStart w:id="111" w:name="_Toc423590293"/>
      <w:r w:rsidRPr="00DB214B">
        <w:rPr>
          <w:b/>
        </w:rPr>
        <w:t>Plan Support Coordinators</w:t>
      </w:r>
      <w:r w:rsidRPr="00DB214B">
        <w:t xml:space="preserve"> are a new position the NDIA introduced in the ACT (and WA and NT). This role blends the functions of the Planner with that of the Local Area Coordinator. Finally, </w:t>
      </w:r>
      <w:r>
        <w:rPr>
          <w:b/>
        </w:rPr>
        <w:t>Business Support Officers/</w:t>
      </w:r>
      <w:r w:rsidRPr="00DB214B">
        <w:rPr>
          <w:b/>
        </w:rPr>
        <w:t>Regional Support Officers</w:t>
      </w:r>
      <w:bookmarkEnd w:id="110"/>
      <w:r w:rsidRPr="00DB214B">
        <w:t xml:space="preserve"> undertook primarily administrative work, including answering participant and provider queries, booking appointments and sending out correspondence. Some were also involved in supporting plan implementation</w:t>
      </w:r>
      <w:r w:rsidRPr="00D61C57">
        <w:t xml:space="preserve"> </w:t>
      </w:r>
      <w:r>
        <w:t xml:space="preserve">and </w:t>
      </w:r>
      <w:r w:rsidRPr="00D61C57">
        <w:t>gathering information for eligibility decisions</w:t>
      </w:r>
      <w:r w:rsidRPr="00DB214B">
        <w:t>.</w:t>
      </w:r>
    </w:p>
    <w:p w:rsidR="00D907AF" w:rsidRPr="00DB214B" w:rsidRDefault="00D907AF" w:rsidP="00D907AF"/>
    <w:bookmarkEnd w:id="111"/>
    <w:p w:rsidR="00D907AF" w:rsidRDefault="00D907AF" w:rsidP="00D907AF">
      <w:r>
        <w:t>Many NDIA staff interviewed had some type of professional/allied health or education background, or experience of working in the disability sector, and had previously worked in state or federal government or the not-for-profit sector. To protect the identity of respondents, we do not specify their roles or NDIA branch locations other than in a general and generic form.</w:t>
      </w:r>
    </w:p>
    <w:p w:rsidR="00D907AF" w:rsidRDefault="00D907AF" w:rsidP="00D907AF"/>
    <w:p w:rsidR="00D907AF" w:rsidRDefault="00D907AF" w:rsidP="00D907AF">
      <w:r>
        <w:t xml:space="preserve">In the following sections, quotes taken from interviews with NDIA Managers will be identified as such in recognition of the Managers’ strategic roles and responsibilities in the trial of the NDIA. Where a respondent is not identified as a Manager, he or she may be a Planner, Local Area Coordinator, Plan Support Coordinator, or </w:t>
      </w:r>
      <w:r w:rsidRPr="00EA31BA">
        <w:t>Business Support Officers/Regional Support Officer</w:t>
      </w:r>
      <w:r>
        <w:t>.</w:t>
      </w:r>
    </w:p>
    <w:p w:rsidR="00D907AF" w:rsidRDefault="00D907AF" w:rsidP="00367B24">
      <w:pPr>
        <w:pStyle w:val="Heading3"/>
      </w:pPr>
      <w:bookmarkStart w:id="112" w:name="_Toc428271239"/>
      <w:bookmarkStart w:id="113" w:name="_Toc449954979"/>
      <w:r>
        <w:t>2.5.3 Findings</w:t>
      </w:r>
      <w:bookmarkEnd w:id="112"/>
      <w:bookmarkEnd w:id="113"/>
    </w:p>
    <w:p w:rsidR="00D907AF" w:rsidRPr="00746DCB" w:rsidRDefault="00D907AF" w:rsidP="00367B24">
      <w:pPr>
        <w:pStyle w:val="Heading40"/>
      </w:pPr>
      <w:bookmarkStart w:id="114" w:name="_Toc428271240"/>
      <w:bookmarkStart w:id="115" w:name="_Toc449954980"/>
      <w:r>
        <w:t xml:space="preserve">2.5.3.1 </w:t>
      </w:r>
      <w:r w:rsidRPr="00746DCB">
        <w:t>NDIA employees’ perceptions and experiences of NDIS implementation to</w:t>
      </w:r>
      <w:r>
        <w:t xml:space="preserve"> </w:t>
      </w:r>
      <w:r w:rsidRPr="00746DCB">
        <w:t>date</w:t>
      </w:r>
      <w:bookmarkEnd w:id="114"/>
      <w:bookmarkEnd w:id="115"/>
    </w:p>
    <w:p w:rsidR="00D907AF" w:rsidRDefault="00D907AF" w:rsidP="00D907AF">
      <w:r w:rsidRPr="00C16678">
        <w:t xml:space="preserve">NDIA staff who participated in the </w:t>
      </w:r>
      <w:r w:rsidR="00190419">
        <w:t>e</w:t>
      </w:r>
      <w:r w:rsidRPr="00C16678">
        <w:t xml:space="preserve">valuation reflected positively </w:t>
      </w:r>
      <w:r>
        <w:t xml:space="preserve">on </w:t>
      </w:r>
      <w:r w:rsidRPr="00C16678">
        <w:t xml:space="preserve">the </w:t>
      </w:r>
      <w:r>
        <w:t xml:space="preserve">achievements of the </w:t>
      </w:r>
      <w:r w:rsidRPr="00C16678">
        <w:t>NDIS and the NDIA to</w:t>
      </w:r>
      <w:r>
        <w:t xml:space="preserve"> </w:t>
      </w:r>
      <w:r w:rsidRPr="00C16678">
        <w:t xml:space="preserve">date, in particular </w:t>
      </w:r>
      <w:r>
        <w:t xml:space="preserve">with respect to </w:t>
      </w:r>
      <w:r w:rsidRPr="00C16678">
        <w:t xml:space="preserve">delivering on establishing the trial sites and facilitating </w:t>
      </w:r>
      <w:r>
        <w:t xml:space="preserve">the </w:t>
      </w:r>
      <w:r w:rsidRPr="00C16678">
        <w:t>timely access of people with disabilit</w:t>
      </w:r>
      <w:r>
        <w:t>y</w:t>
      </w:r>
      <w:r w:rsidRPr="00C16678">
        <w:t xml:space="preserve"> to additional funding and supports. </w:t>
      </w:r>
      <w:r>
        <w:t>The initial set up, however, had proved difficult as outreach appeared insufficient or ineffective, attracting few early access requests.</w:t>
      </w:r>
    </w:p>
    <w:p w:rsidR="00D907AF" w:rsidRDefault="00D907AF" w:rsidP="00D907AF"/>
    <w:p w:rsidR="00D907AF" w:rsidRPr="004B6629" w:rsidRDefault="00D907AF" w:rsidP="00D907AF">
      <w:pPr>
        <w:ind w:left="720"/>
      </w:pPr>
      <w:r w:rsidRPr="00B61A7D">
        <w:t xml:space="preserve">‘Initially, probably our biggest problem was getting people in. We weren’t getting a lot of Access Request forms back… we were waiting around for participants to come to us. So we really had to refine a lot of things and do a lot more engagement than we thought we’d have to.’ </w:t>
      </w:r>
      <w:r w:rsidRPr="004B6629">
        <w:t>(E07N-Manager)</w:t>
      </w:r>
    </w:p>
    <w:p w:rsidR="00D907AF" w:rsidRDefault="00D907AF" w:rsidP="00D907AF">
      <w:pPr>
        <w:ind w:left="720"/>
        <w:rPr>
          <w:i/>
        </w:rPr>
      </w:pPr>
    </w:p>
    <w:p w:rsidR="00D907AF" w:rsidRPr="00B61A7D" w:rsidRDefault="00D907AF" w:rsidP="00D907AF">
      <w:pPr>
        <w:ind w:left="720"/>
      </w:pPr>
      <w:r w:rsidRPr="00B61A7D">
        <w:t>‘…for the first three months…I think we probably had 30 to 40</w:t>
      </w:r>
      <w:r>
        <w:t xml:space="preserve"> per cent</w:t>
      </w:r>
      <w:r w:rsidRPr="00B61A7D">
        <w:t xml:space="preserve"> of the consent forms in that we needed. And of those consent forms, we probably only got 10</w:t>
      </w:r>
      <w:r>
        <w:t xml:space="preserve"> per cent</w:t>
      </w:r>
      <w:r w:rsidRPr="00B61A7D">
        <w:t xml:space="preserve"> return on the access request forms.’ </w:t>
      </w:r>
      <w:r w:rsidRPr="004B6629">
        <w:t>(B13-Manager)</w:t>
      </w:r>
    </w:p>
    <w:p w:rsidR="00D907AF" w:rsidRDefault="00D907AF" w:rsidP="00D907AF">
      <w:pPr>
        <w:rPr>
          <w:i/>
        </w:rPr>
      </w:pPr>
    </w:p>
    <w:p w:rsidR="00D907AF" w:rsidRDefault="00D907AF" w:rsidP="00D907AF">
      <w:r>
        <w:t>Repeatedly, our respondents remarked that people with disability attempting to access the NDIS appeared to be assuming that completing the online Access Checker was sufficient not only to determine eligibility but also to be formally admitted to the scheme.</w:t>
      </w:r>
    </w:p>
    <w:p w:rsidR="00D907AF" w:rsidRPr="00765144" w:rsidRDefault="00D907AF" w:rsidP="00D907AF"/>
    <w:p w:rsidR="00D907AF" w:rsidRPr="004B6629" w:rsidRDefault="00D907AF" w:rsidP="00D907AF">
      <w:pPr>
        <w:ind w:left="720"/>
      </w:pPr>
      <w:r w:rsidRPr="00B61A7D">
        <w:t xml:space="preserve">‘(The) My Access Checker confused people because they thought they were registering with the Agency… they presumed the Agency would be contacting them.’ </w:t>
      </w:r>
      <w:r w:rsidRPr="004B6629">
        <w:t>(E05N-Manager)</w:t>
      </w:r>
    </w:p>
    <w:p w:rsidR="00D907AF" w:rsidRPr="00127595" w:rsidRDefault="00D907AF" w:rsidP="00D907AF">
      <w:pPr>
        <w:ind w:left="720"/>
      </w:pPr>
    </w:p>
    <w:p w:rsidR="00D907AF" w:rsidRPr="004B6629" w:rsidRDefault="00D907AF" w:rsidP="00D907AF">
      <w:pPr>
        <w:ind w:left="720"/>
      </w:pPr>
      <w:r w:rsidRPr="00B61A7D">
        <w:t xml:space="preserve">‘We’ll get them ringing us a month or two later going, ‘Look, I completed (the My Access Checker)… online and I’ve not heard anything. Yeah, so that bit doesn’t work at all.’ </w:t>
      </w:r>
      <w:r w:rsidRPr="004B6629">
        <w:t>(B12N).</w:t>
      </w:r>
    </w:p>
    <w:p w:rsidR="00D907AF" w:rsidRDefault="00D907AF" w:rsidP="00D907AF"/>
    <w:p w:rsidR="00D907AF" w:rsidRDefault="00D907AF" w:rsidP="00D907AF">
      <w:r>
        <w:lastRenderedPageBreak/>
        <w:t>As these and other early organisational challenges and ‘teething problems’ were being addressed (some of which will be described below), t</w:t>
      </w:r>
      <w:r w:rsidRPr="00C16678">
        <w:t xml:space="preserve">here was a general feeling </w:t>
      </w:r>
      <w:r>
        <w:t xml:space="preserve">among NDIA staff that </w:t>
      </w:r>
      <w:r w:rsidRPr="00C16678">
        <w:t xml:space="preserve">NDIS participants were </w:t>
      </w:r>
      <w:r>
        <w:t xml:space="preserve">now </w:t>
      </w:r>
      <w:r w:rsidRPr="00C16678">
        <w:t xml:space="preserve">in a better place than they were before the </w:t>
      </w:r>
      <w:r>
        <w:t>s</w:t>
      </w:r>
      <w:r w:rsidRPr="00C16678">
        <w:t>cheme was implemented</w:t>
      </w:r>
      <w:r>
        <w:t>. M</w:t>
      </w:r>
      <w:r w:rsidRPr="00C16678">
        <w:t xml:space="preserve">ost </w:t>
      </w:r>
      <w:r>
        <w:t xml:space="preserve">were </w:t>
      </w:r>
      <w:r w:rsidRPr="00C16678">
        <w:t>having more funding available to meet needs</w:t>
      </w:r>
      <w:r>
        <w:t>,</w:t>
      </w:r>
      <w:r w:rsidRPr="00C16678">
        <w:t xml:space="preserve"> </w:t>
      </w:r>
      <w:r>
        <w:t xml:space="preserve">had </w:t>
      </w:r>
      <w:r w:rsidRPr="00C16678">
        <w:t>improved choice and control over services and support</w:t>
      </w:r>
      <w:r>
        <w:t>,</w:t>
      </w:r>
      <w:r w:rsidRPr="00C16678">
        <w:t xml:space="preserve"> and </w:t>
      </w:r>
      <w:r>
        <w:t xml:space="preserve">there was also </w:t>
      </w:r>
      <w:r w:rsidRPr="00C16678">
        <w:t>evidence of improved social and economic participation.</w:t>
      </w:r>
    </w:p>
    <w:p w:rsidR="00D907AF" w:rsidRDefault="00D907AF" w:rsidP="00D907AF"/>
    <w:p w:rsidR="00D907AF" w:rsidRPr="004B6629" w:rsidRDefault="00D907AF" w:rsidP="00D907AF">
      <w:pPr>
        <w:ind w:left="720"/>
      </w:pPr>
      <w:r w:rsidRPr="00B61A7D">
        <w:t xml:space="preserve">‘If you talk to the participants the vast majority, the vast, vast majority of participants will say their life is better. And that's what all of this is all about.’ </w:t>
      </w:r>
      <w:r w:rsidRPr="004B6629">
        <w:t>(B01N-Manager)</w:t>
      </w:r>
    </w:p>
    <w:p w:rsidR="00D907AF" w:rsidRPr="00620FA4" w:rsidRDefault="00D907AF" w:rsidP="00D907AF">
      <w:pPr>
        <w:spacing w:before="240" w:after="240"/>
        <w:rPr>
          <w:b/>
        </w:rPr>
      </w:pPr>
      <w:r w:rsidRPr="00620FA4">
        <w:rPr>
          <w:b/>
        </w:rPr>
        <w:t>Staffing and workloads</w:t>
      </w:r>
    </w:p>
    <w:p w:rsidR="00D907AF" w:rsidRDefault="00D907AF" w:rsidP="00D907AF">
      <w:r>
        <w:t>The NDIA staff spoke highly about their colleagues and the fact that, in their view, the NDIA had managed to attract a high calibre of Managers, Planners, Local Area Coordinators and other staff.</w:t>
      </w:r>
    </w:p>
    <w:p w:rsidR="00D907AF" w:rsidRDefault="00D907AF" w:rsidP="00D907AF"/>
    <w:p w:rsidR="00D907AF" w:rsidRPr="004B6629" w:rsidRDefault="00D907AF" w:rsidP="00D907AF">
      <w:pPr>
        <w:ind w:left="720"/>
      </w:pPr>
      <w:r w:rsidRPr="00B61A7D">
        <w:t>‘It's just unprecedented to work in an environment where you have that level of skill and experience amongst the people that you're working with, I think, and the diversity that we had to draw on with each other</w:t>
      </w:r>
      <w:r w:rsidRPr="004B6629">
        <w:t>.’ (B14N)</w:t>
      </w:r>
    </w:p>
    <w:p w:rsidR="00D907AF" w:rsidRDefault="00D907AF" w:rsidP="00D907AF"/>
    <w:p w:rsidR="00D907AF" w:rsidRDefault="00D907AF" w:rsidP="00D907AF">
      <w:r>
        <w:t>Whilst the skills, goodwill and indeed enthusiasm of NDIA colleagues was perceived to have greatly facilitated the launching of the NDIS trial sites, s</w:t>
      </w:r>
      <w:r w:rsidRPr="009E0B6A">
        <w:t xml:space="preserve">everal NDIA staff </w:t>
      </w:r>
      <w:r>
        <w:t xml:space="preserve">also felt </w:t>
      </w:r>
      <w:r w:rsidRPr="009E0B6A">
        <w:t>that the NDIS had been rolled out ahead of time</w:t>
      </w:r>
      <w:r>
        <w:t xml:space="preserve">. This continued to pose challenges even for the most skilled and dedicated individuals and teams. </w:t>
      </w:r>
    </w:p>
    <w:p w:rsidR="00D907AF" w:rsidRDefault="00D907AF" w:rsidP="00D907AF">
      <w:pPr>
        <w:rPr>
          <w:i/>
        </w:rPr>
      </w:pPr>
    </w:p>
    <w:p w:rsidR="00D907AF" w:rsidRPr="004B6629" w:rsidRDefault="00D907AF" w:rsidP="00D907AF">
      <w:pPr>
        <w:ind w:left="720"/>
      </w:pPr>
      <w:r w:rsidRPr="00B61A7D">
        <w:t>‘We’ve been generally under resourced in terms of being able to do a really good job... I think when the original modelling was done it was all best guess stuff so the scheme’s still working out how long does it take to write a plan or a review plan and how many should people be doing a week and all those types of things are areas that need ongoing work.’</w:t>
      </w:r>
      <w:r w:rsidRPr="004B6629">
        <w:t xml:space="preserve"> (D07N)</w:t>
      </w:r>
    </w:p>
    <w:p w:rsidR="00D907AF" w:rsidRDefault="00D907AF" w:rsidP="00D907AF"/>
    <w:p w:rsidR="00D907AF" w:rsidRDefault="00D907AF" w:rsidP="00D907AF">
      <w:r w:rsidRPr="00ED1B11">
        <w:t xml:space="preserve">Acknowledging the need to start small, i.e. as a </w:t>
      </w:r>
      <w:r w:rsidRPr="00ED1B11">
        <w:rPr>
          <w:u w:val="single"/>
        </w:rPr>
        <w:t>trial</w:t>
      </w:r>
      <w:r w:rsidRPr="00ED1B11">
        <w:t xml:space="preserve">, ahead of any roll out of the NDIS across the country, the rushed launch meant that policies and procedures had not been in place to guide staff and to assist NDIS participants, and their families and carers in understanding the operations of the </w:t>
      </w:r>
      <w:r>
        <w:t>s</w:t>
      </w:r>
      <w:r w:rsidRPr="00ED1B11">
        <w:t>cheme. These circumstances were thought in some cases to have adversely impacted on the quality and consistency of the planning process for participants. High workloads were also said to have contributed to elevated stress levels among NDIA staff and, indeed, staff resignations.</w:t>
      </w:r>
      <w:r w:rsidRPr="009E0B6A">
        <w:t xml:space="preserve"> </w:t>
      </w:r>
    </w:p>
    <w:p w:rsidR="00D907AF" w:rsidRDefault="00D907AF" w:rsidP="00D907AF"/>
    <w:p w:rsidR="00D907AF" w:rsidRPr="004B6629" w:rsidRDefault="00D907AF" w:rsidP="00D907AF">
      <w:pPr>
        <w:ind w:left="720"/>
      </w:pPr>
      <w:r w:rsidRPr="00B61A7D">
        <w:t xml:space="preserve">‘I’m taking work home, I’m doing it on the weekends, my flex is up to a week,’ I had 38 hours, other people had more. And people were encouraged to come in on the weekend and they were tired during the week.’ </w:t>
      </w:r>
      <w:r w:rsidRPr="004B6629">
        <w:t>(E04N)</w:t>
      </w:r>
    </w:p>
    <w:p w:rsidR="00D907AF" w:rsidRPr="00DD7D23" w:rsidRDefault="00D907AF" w:rsidP="00D907AF"/>
    <w:p w:rsidR="00D907AF" w:rsidRPr="004B6629" w:rsidRDefault="00D907AF" w:rsidP="00D907AF">
      <w:pPr>
        <w:ind w:left="720"/>
      </w:pPr>
      <w:r w:rsidRPr="00B61A7D" w:rsidDel="00EE2803">
        <w:t xml:space="preserve"> </w:t>
      </w:r>
      <w:r w:rsidRPr="00B61A7D">
        <w:t>‘A lot of the original cohort are now looking for jobs, and also people who've recently come are looking for jobs elsewhere, because they just can't sustain the hours that they're working and the pressure that's on them…’</w:t>
      </w:r>
      <w:r w:rsidRPr="004B6629">
        <w:t xml:space="preserve"> (D02N)</w:t>
      </w:r>
    </w:p>
    <w:p w:rsidR="00D907AF" w:rsidRDefault="00D907AF" w:rsidP="00D907AF"/>
    <w:p w:rsidR="00D907AF" w:rsidRDefault="00D907AF" w:rsidP="00D907AF">
      <w:r>
        <w:t>C</w:t>
      </w:r>
      <w:r w:rsidRPr="00C16678">
        <w:t xml:space="preserve">onsiderable work and time </w:t>
      </w:r>
      <w:r>
        <w:t xml:space="preserve">was </w:t>
      </w:r>
      <w:r w:rsidRPr="00C16678">
        <w:t xml:space="preserve">invested into developing policies and procedures, </w:t>
      </w:r>
      <w:r>
        <w:t>which</w:t>
      </w:r>
      <w:r w:rsidRPr="00C16678">
        <w:t xml:space="preserve"> improved </w:t>
      </w:r>
      <w:r>
        <w:t xml:space="preserve">and became clearer </w:t>
      </w:r>
      <w:r w:rsidRPr="00C16678">
        <w:t xml:space="preserve">over time, leading to greater consistency within and between trial sites. </w:t>
      </w:r>
    </w:p>
    <w:p w:rsidR="00D907AF" w:rsidRDefault="00D907AF" w:rsidP="00D907AF"/>
    <w:p w:rsidR="00D907AF" w:rsidRDefault="00D907AF" w:rsidP="00D907AF">
      <w:r>
        <w:t>I</w:t>
      </w:r>
      <w:r w:rsidRPr="00606B10">
        <w:t xml:space="preserve">n </w:t>
      </w:r>
      <w:r>
        <w:t xml:space="preserve">particular in </w:t>
      </w:r>
      <w:r w:rsidRPr="00606B10">
        <w:t>the very early phases of the trial, NDIA staff were said to have been under pressure to achieve the participant numbers that had been specified in collaborative agreements between the state and federal governments, and were identified as Key Performance Indicators (KPI) to be met by NDIA staff.</w:t>
      </w:r>
      <w:r>
        <w:t xml:space="preserve"> </w:t>
      </w:r>
      <w:r w:rsidRPr="00606B10">
        <w:t xml:space="preserve">This resulted in resources in the first year being directed towards the rolling-in of participants, even if a support plan could not be prepared immediately. </w:t>
      </w:r>
      <w:r w:rsidRPr="00DD21F4">
        <w:t>While it appeared that</w:t>
      </w:r>
      <w:r>
        <w:t>, over time,</w:t>
      </w:r>
      <w:r w:rsidRPr="00DD21F4">
        <w:t xml:space="preserve"> the NDIA was able to </w:t>
      </w:r>
      <w:r>
        <w:t xml:space="preserve">progress </w:t>
      </w:r>
      <w:r w:rsidRPr="00DD21F4">
        <w:t>increas</w:t>
      </w:r>
      <w:r>
        <w:t xml:space="preserve">ingly more NDIS participants to the plan development </w:t>
      </w:r>
      <w:r>
        <w:lastRenderedPageBreak/>
        <w:t xml:space="preserve">and implementation stages, and provide more pre-planning </w:t>
      </w:r>
      <w:r w:rsidRPr="00DD21F4">
        <w:t>support, this was a</w:t>
      </w:r>
      <w:r>
        <w:t xml:space="preserve"> steady, sometimes slow process. Some tasks involved intricate</w:t>
      </w:r>
      <w:r w:rsidRPr="00DD21F4">
        <w:t xml:space="preserve">, </w:t>
      </w:r>
      <w:r>
        <w:t xml:space="preserve">yet critical improvements to processes and procedures, such </w:t>
      </w:r>
      <w:r w:rsidRPr="00DD21F4">
        <w:t xml:space="preserve">as making documents and tools more accessible </w:t>
      </w:r>
      <w:r>
        <w:t>to</w:t>
      </w:r>
      <w:r w:rsidRPr="00DD21F4">
        <w:t xml:space="preserve"> participants.</w:t>
      </w:r>
      <w:r>
        <w:t xml:space="preserve"> </w:t>
      </w:r>
    </w:p>
    <w:p w:rsidR="00D907AF" w:rsidRPr="004B6629" w:rsidRDefault="00D907AF" w:rsidP="00D907AF"/>
    <w:p w:rsidR="00D907AF" w:rsidRPr="004B6629" w:rsidRDefault="00D907AF" w:rsidP="00D907AF">
      <w:pPr>
        <w:ind w:left="720"/>
      </w:pPr>
      <w:r w:rsidRPr="00B61A7D">
        <w:t xml:space="preserve">‘… it’s clear that they [NDIA forms] haven’t been designed with people with disability. They’re unintuitive, hard to read, you know, they’re probably a bit long… I would struggle to complete, to be honest. They’re really government forms.’ </w:t>
      </w:r>
      <w:r w:rsidRPr="004B6629">
        <w:t>(B11N)</w:t>
      </w:r>
    </w:p>
    <w:p w:rsidR="00D907AF" w:rsidRPr="00620FA4" w:rsidRDefault="00D907AF" w:rsidP="00D907AF">
      <w:pPr>
        <w:spacing w:before="240" w:after="240"/>
        <w:rPr>
          <w:b/>
        </w:rPr>
      </w:pPr>
      <w:r w:rsidRPr="00620FA4">
        <w:rPr>
          <w:b/>
        </w:rPr>
        <w:t>Operational challenges</w:t>
      </w:r>
    </w:p>
    <w:p w:rsidR="00D907AF" w:rsidRPr="004B6629" w:rsidRDefault="00D907AF" w:rsidP="00D907AF">
      <w:r>
        <w:t>R</w:t>
      </w:r>
      <w:r w:rsidRPr="00746DCB">
        <w:t xml:space="preserve">ecruitment of participants </w:t>
      </w:r>
      <w:r>
        <w:t xml:space="preserve">into the NDIS </w:t>
      </w:r>
      <w:r w:rsidRPr="00746DCB">
        <w:t xml:space="preserve">in the early stages heavily </w:t>
      </w:r>
      <w:r>
        <w:t xml:space="preserve">relied </w:t>
      </w:r>
      <w:r w:rsidRPr="00746DCB">
        <w:t xml:space="preserve">on data relating to </w:t>
      </w:r>
      <w:r>
        <w:t xml:space="preserve">clients in </w:t>
      </w:r>
      <w:r w:rsidRPr="00746DCB">
        <w:t xml:space="preserve">existing state-based disability services (accessed under the Section 55 clause in the NDIS legislation). Respondents suggested this data was </w:t>
      </w:r>
      <w:r>
        <w:t>often of poor quality and unreliable</w:t>
      </w:r>
      <w:r w:rsidRPr="00746DCB">
        <w:t xml:space="preserve">. </w:t>
      </w:r>
      <w:r>
        <w:t>The additional effort then required to identify people with disability who might be eligible for joining the NDIS and resultant</w:t>
      </w:r>
      <w:r w:rsidRPr="00072A45">
        <w:t xml:space="preserve"> underestimates of the</w:t>
      </w:r>
      <w:r>
        <w:t>ir</w:t>
      </w:r>
      <w:r w:rsidRPr="00072A45">
        <w:t xml:space="preserve"> numbers</w:t>
      </w:r>
      <w:r>
        <w:t xml:space="preserve"> </w:t>
      </w:r>
      <w:r w:rsidRPr="00072A45">
        <w:t xml:space="preserve">were </w:t>
      </w:r>
      <w:r>
        <w:t xml:space="preserve">found to be </w:t>
      </w:r>
      <w:r w:rsidRPr="00B61A7D">
        <w:t>“a very significant challenge in putting extra workload on the Agency and extra strain on the Agency.” (A06N)</w:t>
      </w:r>
    </w:p>
    <w:p w:rsidR="00D907AF" w:rsidRDefault="00D907AF" w:rsidP="00D907AF"/>
    <w:p w:rsidR="00D907AF" w:rsidRDefault="00D907AF" w:rsidP="00D907AF">
      <w:r>
        <w:t xml:space="preserve">A contributing factor that was said to have added to, rather than alleviated the workload was the Information Technology (IT) systems used for documenting planning and plan implementation. It was repeatedly described as </w:t>
      </w:r>
      <w:r w:rsidRPr="004B6629">
        <w:t>“</w:t>
      </w:r>
      <w:r w:rsidRPr="00B61A7D">
        <w:t>unyielding, cumbersome and not fit for purpose</w:t>
      </w:r>
      <w:r w:rsidRPr="004B6629">
        <w:t>”</w:t>
      </w:r>
      <w:r>
        <w:t xml:space="preserve"> (E01N-Manager). Many staff raised concerns about the Siebel database, of which Managers were very aware. There were reports of improvements over time, but NDIA staff did not expect a new system to be available until full rollout. </w:t>
      </w:r>
    </w:p>
    <w:p w:rsidR="00D907AF" w:rsidRDefault="00D907AF" w:rsidP="00D907AF"/>
    <w:p w:rsidR="00D907AF" w:rsidRPr="00B61A7D" w:rsidRDefault="00D907AF" w:rsidP="00D907AF">
      <w:pPr>
        <w:ind w:left="720"/>
      </w:pPr>
      <w:r w:rsidRPr="00B61A7D">
        <w:t>‘So, while we’re bearing with the interim solution, it’s very, very heavy on data entry, it’s not user-friendly; it’s the best they could cobble together at the time and, but as such, yeah, that really has a significant impact on the day-to-day administrative duties that we do at the Agency.’ (B11N)</w:t>
      </w:r>
    </w:p>
    <w:p w:rsidR="00D907AF" w:rsidRDefault="00D907AF" w:rsidP="00D907AF"/>
    <w:p w:rsidR="00D907AF" w:rsidRDefault="00D907AF" w:rsidP="00D907AF">
      <w:r>
        <w:t>The result of inadequate IT in combination with the challenging task of needing to identify and then support NDIS participants meant that early projections of NDIA staff workloads and activity patterns had to be revised. This was especially the case for Planners:</w:t>
      </w:r>
    </w:p>
    <w:p w:rsidR="00D907AF" w:rsidRPr="00833D28" w:rsidRDefault="00D907AF" w:rsidP="00D907AF"/>
    <w:p w:rsidR="00D907AF" w:rsidRPr="00B61A7D" w:rsidRDefault="00D907AF" w:rsidP="00D907AF">
      <w:pPr>
        <w:ind w:left="720"/>
      </w:pPr>
      <w:r w:rsidRPr="00B61A7D">
        <w:t>‘We hired people on the basis that the modelling was that 60</w:t>
      </w:r>
      <w:r>
        <w:t xml:space="preserve"> per cent</w:t>
      </w:r>
      <w:r w:rsidRPr="00B61A7D">
        <w:t xml:space="preserve">... of </w:t>
      </w:r>
      <w:r>
        <w:t>Planner</w:t>
      </w:r>
      <w:r w:rsidRPr="00B61A7D">
        <w:t xml:space="preserve"> time would be working with families… That’s never been true from the beginning and hasn’t got a lot better, so that, it’s probably more 20, 30</w:t>
      </w:r>
      <w:r>
        <w:t xml:space="preserve"> per cent</w:t>
      </w:r>
      <w:r w:rsidRPr="00B61A7D">
        <w:t xml:space="preserve"> forward facing participant time; the rest is heavily stuck at a computer doing administration.’ (C03N)</w:t>
      </w:r>
    </w:p>
    <w:p w:rsidR="00D907AF" w:rsidRDefault="00D907AF" w:rsidP="00D907AF"/>
    <w:p w:rsidR="00D907AF" w:rsidRDefault="00D907AF" w:rsidP="00D907AF">
      <w:r>
        <w:t xml:space="preserve">The increased administrative burden that the Planners and </w:t>
      </w:r>
      <w:r w:rsidRPr="00052E49">
        <w:t>Plan Support Coordinators</w:t>
      </w:r>
      <w:r w:rsidRPr="00DB214B">
        <w:t xml:space="preserve"> </w:t>
      </w:r>
      <w:r>
        <w:t>experienced also affected Local Area Coordinators, who were increasingly drawn into supporting the former in the early stages of roll out. Consequently, several Local Area Coordinators felt they were spending more time in the office rather than in the community identifying and building opportunities for inclusion.</w:t>
      </w:r>
    </w:p>
    <w:p w:rsidR="00D907AF" w:rsidRDefault="00D907AF" w:rsidP="00D907AF"/>
    <w:p w:rsidR="00D907AF" w:rsidRPr="00B61A7D" w:rsidRDefault="00D907AF" w:rsidP="00D907AF">
      <w:pPr>
        <w:ind w:left="720"/>
      </w:pPr>
      <w:r w:rsidRPr="00B61A7D">
        <w:t>‘The LAC role… became very attached to the Planner role, and became all about plan implementation. And I got very quickly bored and frustrated with that and felt that my skills weren't really being used and I wasn't being stimulated or really building my expertise very much in that space.’ (D02N)</w:t>
      </w:r>
    </w:p>
    <w:p w:rsidR="00D907AF" w:rsidRDefault="00D907AF" w:rsidP="00D907AF"/>
    <w:p w:rsidR="00D907AF" w:rsidRDefault="00D907AF" w:rsidP="00D907AF">
      <w:r>
        <w:t xml:space="preserve">Some respondents described being asked to undertake planning activities and expressed concern that this would lead to the further “watering down” or potentially the removal of the Local Area Coordinator role, in favour of the Plan Support Coordinator model. </w:t>
      </w:r>
    </w:p>
    <w:p w:rsidR="00D907AF" w:rsidRDefault="00D907AF" w:rsidP="00D907AF"/>
    <w:p w:rsidR="00D907AF" w:rsidRPr="00B61A7D" w:rsidRDefault="00D907AF" w:rsidP="00D907AF">
      <w:pPr>
        <w:ind w:left="720"/>
      </w:pPr>
      <w:r w:rsidRPr="00B61A7D">
        <w:t>‘The Local Area Coordinator position could be lost then and I think that would be a real tragedy. I think these positions are extremely important in the country, they’re just as important as the planning process because really what you’re doing is you’re essentially building a foundation for people, you’re finding out what they can tap into, what they can’t, you’re working out whether things are working for them and you’re being proactive in whatever you do. If you’re doing pure planning you don’t do any of that. It’s a completely different model.’ (A02N)</w:t>
      </w:r>
    </w:p>
    <w:p w:rsidR="00D907AF" w:rsidRDefault="00D907AF" w:rsidP="00D907AF"/>
    <w:p w:rsidR="00D907AF" w:rsidRDefault="00D907AF" w:rsidP="00D907AF">
      <w:r>
        <w:rPr>
          <w:rFonts w:cstheme="minorHAnsi"/>
          <w:lang w:eastAsia="zh-CN"/>
        </w:rPr>
        <w:t xml:space="preserve">Early feedback was critical of the evolving </w:t>
      </w:r>
      <w:r>
        <w:t>Plan Support Coordinator model. It was seen to attempt to combine two very different sets of activities and responsibilities that were too complex and demanding to be fulfilled by one person.</w:t>
      </w:r>
    </w:p>
    <w:p w:rsidR="00D907AF" w:rsidRDefault="00D907AF" w:rsidP="00D907AF">
      <w:pPr>
        <w:rPr>
          <w:rFonts w:cstheme="minorHAnsi"/>
          <w:lang w:eastAsia="zh-CN"/>
        </w:rPr>
      </w:pPr>
    </w:p>
    <w:p w:rsidR="00D907AF" w:rsidRDefault="00D907AF" w:rsidP="00D907AF">
      <w:r w:rsidRPr="00A63DD4">
        <w:rPr>
          <w:rFonts w:cstheme="minorHAnsi"/>
          <w:lang w:eastAsia="zh-CN"/>
        </w:rPr>
        <w:t xml:space="preserve">In Tasmania, where the Local Area Coordination role had been outsourced to two large non-government agencies, views differed as to the merits of this approach. Local Area Coordinators saw advantages to being based in community settings, but acknowledged the challenge of </w:t>
      </w:r>
      <w:r w:rsidRPr="005E5363">
        <w:rPr>
          <w:rFonts w:cstheme="minorHAnsi"/>
          <w:lang w:eastAsia="zh-CN"/>
        </w:rPr>
        <w:t>“</w:t>
      </w:r>
      <w:r w:rsidRPr="00B61A7D">
        <w:rPr>
          <w:rFonts w:cstheme="minorHAnsi"/>
          <w:lang w:eastAsia="zh-CN"/>
        </w:rPr>
        <w:t>having two masters</w:t>
      </w:r>
      <w:r w:rsidRPr="00A63DD4">
        <w:rPr>
          <w:rFonts w:cstheme="minorHAnsi"/>
          <w:lang w:eastAsia="zh-CN"/>
        </w:rPr>
        <w:t xml:space="preserve">” </w:t>
      </w:r>
      <w:r w:rsidRPr="00AB30FC">
        <w:rPr>
          <w:rFonts w:cstheme="minorHAnsi"/>
          <w:lang w:eastAsia="zh-CN"/>
        </w:rPr>
        <w:t>(C11N)</w:t>
      </w:r>
      <w:r>
        <w:rPr>
          <w:rFonts w:cstheme="minorHAnsi"/>
          <w:lang w:eastAsia="zh-CN"/>
        </w:rPr>
        <w:t xml:space="preserve"> </w:t>
      </w:r>
      <w:r w:rsidRPr="00A63DD4">
        <w:rPr>
          <w:rFonts w:cstheme="minorHAnsi"/>
          <w:lang w:eastAsia="zh-CN"/>
        </w:rPr>
        <w:t>and</w:t>
      </w:r>
      <w:r w:rsidRPr="00A63DD4">
        <w:rPr>
          <w:rFonts w:cstheme="minorHAnsi"/>
          <w:i/>
          <w:lang w:eastAsia="zh-CN"/>
        </w:rPr>
        <w:t xml:space="preserve"> </w:t>
      </w:r>
      <w:r w:rsidRPr="00A63DD4">
        <w:rPr>
          <w:rFonts w:cstheme="minorHAnsi"/>
          <w:lang w:eastAsia="zh-CN"/>
        </w:rPr>
        <w:t>keeping in touch with the NDIA</w:t>
      </w:r>
      <w:r>
        <w:rPr>
          <w:rFonts w:cstheme="minorHAnsi"/>
          <w:lang w:eastAsia="zh-CN"/>
        </w:rPr>
        <w:t xml:space="preserve">, complicated </w:t>
      </w:r>
      <w:r w:rsidRPr="00A63DD4">
        <w:rPr>
          <w:rFonts w:cstheme="minorHAnsi"/>
          <w:lang w:eastAsia="zh-CN"/>
        </w:rPr>
        <w:t xml:space="preserve">by NDIA offices being spread across three different locations. This made it </w:t>
      </w:r>
      <w:r w:rsidRPr="005E5363">
        <w:rPr>
          <w:rFonts w:cstheme="minorHAnsi"/>
          <w:lang w:eastAsia="zh-CN"/>
        </w:rPr>
        <w:t>“</w:t>
      </w:r>
      <w:r w:rsidRPr="00B61A7D">
        <w:rPr>
          <w:rFonts w:cstheme="minorHAnsi"/>
          <w:lang w:eastAsia="zh-CN"/>
        </w:rPr>
        <w:t>difficult to access your management, difficult to get quick speedy replies, difficult to establish rapport and relationships with your colleagues</w:t>
      </w:r>
      <w:r w:rsidRPr="005E5363">
        <w:rPr>
          <w:rFonts w:cstheme="minorHAnsi"/>
          <w:lang w:eastAsia="zh-CN"/>
        </w:rPr>
        <w:t>“</w:t>
      </w:r>
      <w:r w:rsidRPr="00A63DD4">
        <w:rPr>
          <w:rFonts w:cstheme="minorHAnsi"/>
          <w:lang w:eastAsia="zh-CN"/>
        </w:rPr>
        <w:t xml:space="preserve">(C05N). Others felt that out-sourcing Local Area </w:t>
      </w:r>
      <w:r w:rsidRPr="00A63DD4">
        <w:t xml:space="preserve">Coordinators had deprived the NDIA of some of its flexibility and effectiveness, in particular, with respect to connecting and integrating plan support development with implementation. </w:t>
      </w:r>
    </w:p>
    <w:p w:rsidR="00D907AF" w:rsidRPr="00620FA4" w:rsidRDefault="00D907AF" w:rsidP="00D907AF">
      <w:pPr>
        <w:spacing w:before="240" w:after="240"/>
        <w:rPr>
          <w:b/>
        </w:rPr>
      </w:pPr>
      <w:r w:rsidRPr="00620FA4">
        <w:rPr>
          <w:b/>
        </w:rPr>
        <w:t>Community outreach and communication</w:t>
      </w:r>
    </w:p>
    <w:p w:rsidR="00D907AF" w:rsidRDefault="00D907AF" w:rsidP="00D907AF">
      <w:r>
        <w:t>Concurrently, NDIA staff felt there was a</w:t>
      </w:r>
      <w:r w:rsidRPr="00746DCB">
        <w:t xml:space="preserve"> general lack of knowledge </w:t>
      </w:r>
      <w:r>
        <w:t xml:space="preserve">in the community </w:t>
      </w:r>
      <w:r w:rsidRPr="00746DCB">
        <w:t xml:space="preserve">about the NDIS, </w:t>
      </w:r>
      <w:r>
        <w:t xml:space="preserve">which, in turn, resulted in the NDIS encountering </w:t>
      </w:r>
      <w:r w:rsidRPr="00746DCB">
        <w:t xml:space="preserve">problems </w:t>
      </w:r>
      <w:r>
        <w:t xml:space="preserve">in </w:t>
      </w:r>
      <w:r w:rsidRPr="00746DCB">
        <w:t xml:space="preserve">engaging </w:t>
      </w:r>
      <w:r>
        <w:t xml:space="preserve">specific </w:t>
      </w:r>
      <w:r w:rsidRPr="00746DCB">
        <w:t xml:space="preserve">population groups, </w:t>
      </w:r>
      <w:r>
        <w:t xml:space="preserve">notably </w:t>
      </w:r>
      <w:r w:rsidRPr="00746DCB">
        <w:t xml:space="preserve">people with mental health disabilities; and those from </w:t>
      </w:r>
      <w:r w:rsidR="00354555" w:rsidRPr="00354555">
        <w:t>culturally and linguistically diverse</w:t>
      </w:r>
      <w:r w:rsidRPr="00746DCB">
        <w:t xml:space="preserve"> backgrounds or </w:t>
      </w:r>
      <w:r>
        <w:t>Aboriginal or Torres Strait Islander people</w:t>
      </w:r>
      <w:r w:rsidRPr="00746DCB">
        <w:t xml:space="preserve">. </w:t>
      </w:r>
      <w:r>
        <w:t>Tying up Local Area Coordinators with operational matters reduced opportunities to engage in more proactive linkage activities in the early stages of the NDIS.</w:t>
      </w:r>
    </w:p>
    <w:p w:rsidR="00D907AF" w:rsidRDefault="00D907AF" w:rsidP="00D907AF"/>
    <w:p w:rsidR="00D907AF" w:rsidRDefault="00D907AF" w:rsidP="00D907AF">
      <w:r w:rsidRPr="00746DCB">
        <w:t xml:space="preserve">Although more resources were </w:t>
      </w:r>
      <w:r>
        <w:t xml:space="preserve">subsequently </w:t>
      </w:r>
      <w:r w:rsidRPr="00746DCB">
        <w:t xml:space="preserve">being directed towards exploring ways of improving recruitment of these groups, </w:t>
      </w:r>
      <w:r>
        <w:t xml:space="preserve">the interviews suggested that, even in late 2014, this process still </w:t>
      </w:r>
      <w:r w:rsidRPr="00746DCB">
        <w:t xml:space="preserve">seemed </w:t>
      </w:r>
      <w:r>
        <w:t>to be in its very early stage</w:t>
      </w:r>
      <w:r w:rsidRPr="00746DCB">
        <w:t>.</w:t>
      </w:r>
      <w:r>
        <w:t xml:space="preserve"> For instance, only </w:t>
      </w:r>
      <w:r w:rsidR="003652F8">
        <w:t>once</w:t>
      </w:r>
      <w:r>
        <w:t xml:space="preserve"> did a respondent note that their NDIA team included a staff member who was an Aboriginal or Torres Strait Islander, despite potential NDIS participants including significant proportions of Aboriginal or Torres Strait Islander people and despite an awareness within the organisation of the culturally specific needs and expectations of that population. When </w:t>
      </w:r>
      <w:r w:rsidRPr="00774FF9">
        <w:t>working with NDIA participants with disabilit</w:t>
      </w:r>
      <w:r>
        <w:t>y</w:t>
      </w:r>
      <w:r w:rsidRPr="00774FF9">
        <w:t xml:space="preserve"> from </w:t>
      </w:r>
      <w:r w:rsidR="00354555">
        <w:t>culturally and linguistically diverse</w:t>
      </w:r>
      <w:r w:rsidRPr="00774FF9">
        <w:t xml:space="preserve"> backgrounds</w:t>
      </w:r>
      <w:r>
        <w:t xml:space="preserve"> and in the absence of a set of diverse language skills available within a branch office, Planners reverted to using</w:t>
      </w:r>
      <w:r w:rsidRPr="00774FF9">
        <w:t xml:space="preserve"> interpreting services. This enabled </w:t>
      </w:r>
      <w:r>
        <w:t>them</w:t>
      </w:r>
      <w:r w:rsidRPr="00774FF9">
        <w:t xml:space="preserve"> </w:t>
      </w:r>
      <w:r w:rsidRPr="00B61A7D">
        <w:t>to make sure that “participants and their families are given a proper opportunity to tell their story and get their needs across</w:t>
      </w:r>
      <w:r w:rsidRPr="00DD7D23">
        <w:t>”</w:t>
      </w:r>
      <w:r w:rsidRPr="00774FF9">
        <w:t xml:space="preserve"> (A08N). </w:t>
      </w:r>
      <w:r>
        <w:t>However, n</w:t>
      </w:r>
      <w:r w:rsidRPr="00774FF9">
        <w:t xml:space="preserve">ot all respondents were aware </w:t>
      </w:r>
      <w:r>
        <w:t xml:space="preserve">that using </w:t>
      </w:r>
      <w:r w:rsidRPr="00C22F39">
        <w:t xml:space="preserve">translation services could be </w:t>
      </w:r>
      <w:r>
        <w:t xml:space="preserve">part of the </w:t>
      </w:r>
      <w:r w:rsidRPr="00C22F39">
        <w:t>plan</w:t>
      </w:r>
      <w:r>
        <w:t>ning process</w:t>
      </w:r>
      <w:r w:rsidRPr="00774FF9">
        <w:t xml:space="preserve">. </w:t>
      </w:r>
    </w:p>
    <w:p w:rsidR="00D907AF" w:rsidRDefault="00D907AF" w:rsidP="00D907AF"/>
    <w:p w:rsidR="00D907AF" w:rsidRDefault="00D907AF" w:rsidP="00D907AF">
      <w:r>
        <w:t>Specialist training that might have helped NDIA staff to connect with specific target populations was described as not yet adequate, too generic and too short, and hence lacking profundity. Staff typically relied on their own personal skill sets in order to master communications with NDIS participants.</w:t>
      </w:r>
    </w:p>
    <w:p w:rsidR="00D907AF" w:rsidRDefault="00D907AF" w:rsidP="00D907AF"/>
    <w:p w:rsidR="008A5CB8" w:rsidRDefault="008A5CB8">
      <w:r>
        <w:br w:type="page"/>
      </w:r>
    </w:p>
    <w:p w:rsidR="00D907AF" w:rsidRPr="00DD7D23" w:rsidRDefault="00D907AF" w:rsidP="00D907AF">
      <w:pPr>
        <w:ind w:left="720"/>
      </w:pPr>
      <w:r w:rsidRPr="00B61A7D">
        <w:lastRenderedPageBreak/>
        <w:t xml:space="preserve">‘I guess when you walk in to a family you’re sort of figuring out, when you’re talking to them, what stage they’re at, what their understanding is. You know, can they read, can they understand what they’re reading? You know, what sort of language do you use to help them to understand what they’re doing and what we’re trying to talk about. So you just adapt as you go, I think. And that’s a skill in itself as well.’ </w:t>
      </w:r>
      <w:r w:rsidRPr="00DD7D23">
        <w:t>(A05N)</w:t>
      </w:r>
    </w:p>
    <w:p w:rsidR="00D907AF" w:rsidRPr="00620FA4" w:rsidRDefault="00D907AF" w:rsidP="00D907AF">
      <w:pPr>
        <w:spacing w:before="240" w:after="240"/>
        <w:rPr>
          <w:b/>
        </w:rPr>
      </w:pPr>
      <w:r w:rsidRPr="00620FA4">
        <w:rPr>
          <w:b/>
        </w:rPr>
        <w:t>Eligibility and planning</w:t>
      </w:r>
    </w:p>
    <w:p w:rsidR="00D907AF" w:rsidRDefault="00D907AF" w:rsidP="00D907AF">
      <w:r>
        <w:t>After some early problems with determining eligibility in the absence of clear guidelines, p</w:t>
      </w:r>
      <w:r w:rsidRPr="008E2B7F">
        <w:t xml:space="preserve">rocesses around determining eligibility for the NDIS and designing the planning process </w:t>
      </w:r>
      <w:r>
        <w:t>were felt</w:t>
      </w:r>
      <w:r w:rsidRPr="008E2B7F">
        <w:t xml:space="preserve"> </w:t>
      </w:r>
      <w:r>
        <w:t>to have improved over time and to be now working reasonably well. Although we were told that it had been comparatively straight forward to determine the eligibility for the NDIS of people with severe disability, this was not necessarily the case for people with less severe impairments. In their cases, the need to collect evidence of the permanency of the disability often proved complex and time consuming, was frustrating to some people with disability, and diverted NDIA Planners from their planning tasks. Several NDIA offices subsequently set up teams dedicated to determining eligibility, which appeared to streamline the process, making it speedier and more resource efficient. R</w:t>
      </w:r>
      <w:r w:rsidRPr="00E379CB">
        <w:t xml:space="preserve">espondents </w:t>
      </w:r>
      <w:r>
        <w:t>felt that the feedback they had received from NDIS participants showed that processes had indeed</w:t>
      </w:r>
      <w:r w:rsidRPr="00E379CB">
        <w:t xml:space="preserve"> improved over time. </w:t>
      </w:r>
    </w:p>
    <w:p w:rsidR="00D907AF" w:rsidRPr="00E379CB" w:rsidRDefault="00D907AF" w:rsidP="00D907AF"/>
    <w:p w:rsidR="00D907AF" w:rsidRPr="00B61A7D" w:rsidRDefault="00D907AF" w:rsidP="00D907AF">
      <w:pPr>
        <w:ind w:left="720"/>
      </w:pPr>
      <w:r w:rsidRPr="00B61A7D">
        <w:t>‘The eligibility side of things has grown leaps and bounds and it’s a lot more clearer and concise… I think as an organisation that’s really improved.’</w:t>
      </w:r>
      <w:r w:rsidRPr="00DD7D23">
        <w:t xml:space="preserve"> (D03N)</w:t>
      </w:r>
    </w:p>
    <w:p w:rsidR="00D907AF" w:rsidRDefault="00D907AF" w:rsidP="00D907AF"/>
    <w:p w:rsidR="00D907AF" w:rsidRDefault="00D907AF" w:rsidP="00D907AF">
      <w:r w:rsidRPr="008E2B7F">
        <w:t>Respondents felt NDIS participants for the most part had plans that supported them appropriately, and that Planners had greater confidence in explaining and applying “reasonable and necessary” guidelines when making decisions about funding.</w:t>
      </w:r>
      <w:r>
        <w:t xml:space="preserve"> </w:t>
      </w:r>
      <w:r w:rsidRPr="008E2B7F">
        <w:t xml:space="preserve">There was agreement as to the value of pre-planning sessions with new participants, and community workshops or forums with potential participants. There was also consensus that plan implementation had not been as well resourced or carried out in the early days of the NDIS when the focus was on plan completion. </w:t>
      </w:r>
    </w:p>
    <w:p w:rsidR="00D907AF" w:rsidRPr="00620FA4" w:rsidRDefault="00D907AF" w:rsidP="00D907AF">
      <w:pPr>
        <w:spacing w:before="240" w:after="240"/>
        <w:rPr>
          <w:b/>
        </w:rPr>
      </w:pPr>
      <w:r w:rsidRPr="00620FA4">
        <w:rPr>
          <w:b/>
        </w:rPr>
        <w:t xml:space="preserve">Staff roles and their definition </w:t>
      </w:r>
    </w:p>
    <w:p w:rsidR="00D907AF" w:rsidRDefault="00D907AF" w:rsidP="00D907AF">
      <w:r w:rsidRPr="00072A45">
        <w:t xml:space="preserve">Several respondents highlighted a tension between the concurrent yet potentially conflicting roles as facilitators of service provision and their funding. This led some </w:t>
      </w:r>
      <w:r>
        <w:t>Planner</w:t>
      </w:r>
      <w:r w:rsidRPr="00072A45">
        <w:t xml:space="preserve">s feeling uncomfortable about their interactions with parents, unsure as to </w:t>
      </w:r>
      <w:r>
        <w:t xml:space="preserve">how far their support and guidance should go, and </w:t>
      </w:r>
      <w:r w:rsidRPr="00072A45">
        <w:t xml:space="preserve">whether they should promote take up of supports or monitor spending. </w:t>
      </w:r>
    </w:p>
    <w:p w:rsidR="00D907AF" w:rsidRPr="00072A45" w:rsidRDefault="00D907AF" w:rsidP="00D907AF"/>
    <w:p w:rsidR="00D907AF" w:rsidRPr="00B61A7D" w:rsidRDefault="00D907AF" w:rsidP="00D907AF">
      <w:pPr>
        <w:ind w:firstLine="720"/>
      </w:pPr>
      <w:r w:rsidRPr="00B61A7D">
        <w:t xml:space="preserve">‘Am I an advocate for the parents or am I the funding approver?’ (A04N). </w:t>
      </w:r>
    </w:p>
    <w:p w:rsidR="00D907AF" w:rsidRDefault="00D907AF" w:rsidP="00D907AF"/>
    <w:p w:rsidR="00D907AF" w:rsidRDefault="00D907AF" w:rsidP="00D907AF">
      <w:r w:rsidRPr="00072A45">
        <w:t>Others suggested this confusion also led to inconsistency of practice - especially for those who had come from welfare backgrounds (for example, having work</w:t>
      </w:r>
      <w:r>
        <w:t>ed</w:t>
      </w:r>
      <w:r w:rsidRPr="00072A45">
        <w:t xml:space="preserve"> as a social worker or in a child protection environment).</w:t>
      </w:r>
      <w:r>
        <w:t xml:space="preserve"> </w:t>
      </w:r>
      <w:r w:rsidRPr="00072A45">
        <w:t xml:space="preserve">In this latter instance there was a feeling that some staff struggled with a </w:t>
      </w:r>
      <w:r>
        <w:t>“</w:t>
      </w:r>
      <w:r w:rsidRPr="00072A45">
        <w:t xml:space="preserve">them or us” mentality. </w:t>
      </w:r>
    </w:p>
    <w:p w:rsidR="00D907AF" w:rsidRPr="00072A45" w:rsidRDefault="00D907AF" w:rsidP="00D907AF"/>
    <w:p w:rsidR="00D907AF" w:rsidRPr="00B61A7D" w:rsidRDefault="00D907AF" w:rsidP="00D907AF">
      <w:pPr>
        <w:ind w:left="720"/>
      </w:pPr>
      <w:r w:rsidRPr="00B61A7D">
        <w:t>‘We haven’t worked out what we are yet. Are we an insurance scheme? Are we a part of government? Are we a business? Are we a not-for-profit organisation? Are we a social support organisation... There’s not clarity on what is our clear priority. Most insurance Schemes, they have a philosophy they don’t want to meet the person that is insured with them.’ (B02N)</w:t>
      </w:r>
    </w:p>
    <w:p w:rsidR="00D907AF" w:rsidRDefault="00D907AF" w:rsidP="00D907AF"/>
    <w:p w:rsidR="00D907AF" w:rsidRDefault="00D907AF" w:rsidP="00D907AF">
      <w:r>
        <w:t xml:space="preserve">NDIA staff often felt challenged by the varying expectations of NDIS participants as to what the scheme might provide them with. Where expectations were deemed high or indeed excessive, perhaps turning into demands, NDIA Planners and Plan Support Coordinators referred back to </w:t>
      </w:r>
      <w:r>
        <w:lastRenderedPageBreak/>
        <w:t>general principles, notably, that supports (and their funding) needed to be “reasonable and necessary”. This was especially the case in the early days as internal guidelines for needs assessment and plan development were still being devised.</w:t>
      </w:r>
    </w:p>
    <w:p w:rsidR="00D907AF" w:rsidRDefault="00D907AF" w:rsidP="00D907AF"/>
    <w:p w:rsidR="00D907AF" w:rsidRPr="00B61A7D" w:rsidRDefault="00D907AF" w:rsidP="00D907AF">
      <w:pPr>
        <w:ind w:left="720"/>
      </w:pPr>
      <w:r w:rsidRPr="00B61A7D">
        <w:t xml:space="preserve">‘So many people come in and think that they can have choice of whatever they want and control whatever they want… the reality is that it has to be reasonable and necessary and… then you will have choice and control about how you implement it.’ (B06-Manager) </w:t>
      </w:r>
    </w:p>
    <w:p w:rsidR="00D907AF" w:rsidRPr="00E671DC" w:rsidRDefault="00D907AF" w:rsidP="00D907AF">
      <w:pPr>
        <w:ind w:left="720"/>
        <w:rPr>
          <w:i/>
        </w:rPr>
      </w:pPr>
    </w:p>
    <w:p w:rsidR="00D907AF" w:rsidRPr="00FB1073" w:rsidRDefault="00D907AF" w:rsidP="00D907AF">
      <w:r w:rsidRPr="00FB1073">
        <w:t>Response</w:t>
      </w:r>
      <w:r>
        <w:t>s</w:t>
      </w:r>
      <w:r w:rsidRPr="00FB1073">
        <w:t xml:space="preserve"> to such challenges were described as often strongly informed by staff members</w:t>
      </w:r>
      <w:r>
        <w:t>’</w:t>
      </w:r>
      <w:r w:rsidRPr="00FB1073">
        <w:t xml:space="preserve"> personal background and previous employment.</w:t>
      </w:r>
      <w:r>
        <w:t xml:space="preserve"> </w:t>
      </w:r>
      <w:r w:rsidRPr="00FB1073">
        <w:t>With that, they brought with them certain practices that, on reflection and with hindsight, were much more ‘conventional’ and less guided by principles of goal setting and the pursuit of aspiration than the philosophy of the NDIA had anticipated. As illustrated in th</w:t>
      </w:r>
      <w:r>
        <w:t>ese</w:t>
      </w:r>
      <w:r w:rsidRPr="00FB1073">
        <w:t xml:space="preserve"> instance</w:t>
      </w:r>
      <w:r>
        <w:t>s</w:t>
      </w:r>
      <w:r w:rsidRPr="00FB1073">
        <w:t>:</w:t>
      </w:r>
    </w:p>
    <w:p w:rsidR="00D907AF" w:rsidRPr="00FB1073" w:rsidRDefault="00D907AF" w:rsidP="00D907AF"/>
    <w:p w:rsidR="00D907AF" w:rsidRPr="00B61A7D" w:rsidRDefault="00D907AF" w:rsidP="00D907AF">
      <w:pPr>
        <w:ind w:left="720"/>
      </w:pPr>
      <w:r w:rsidRPr="00B61A7D">
        <w:t>‘(Staff) who've come across in to the scheme… from the Commonwealth Rehabilitation Service (CRS) or Centrelink… culturally they're so different in terms of how they work… kind of like “these are the rules” and they're not really flexible... thinkers. So what they go for is funded supports. So what you see in plans is a real emphasis on the funded supports, the disability specific supports. So they look at the person's disability without looking at the whole person or their context.’ (D02N)</w:t>
      </w:r>
    </w:p>
    <w:p w:rsidR="00D907AF" w:rsidRPr="00B61A7D" w:rsidRDefault="00D907AF" w:rsidP="00D907AF">
      <w:pPr>
        <w:ind w:left="720"/>
        <w:rPr>
          <w:highlight w:val="yellow"/>
        </w:rPr>
      </w:pPr>
    </w:p>
    <w:p w:rsidR="00D907AF" w:rsidRPr="00B61A7D" w:rsidRDefault="00D907AF" w:rsidP="00D907AF">
      <w:pPr>
        <w:ind w:left="720"/>
      </w:pPr>
      <w:r w:rsidRPr="00B61A7D">
        <w:t>‘My main background is… autism and mental health so if I was working with a teenager with autism I would have a very different idea about what would be reasonable and necessary than one of my co-workers who, you know, is a physiotherapist and works predominantly with people with cerebral palsy and spina bifida.’ (C04N-Manager)</w:t>
      </w:r>
    </w:p>
    <w:p w:rsidR="00D907AF" w:rsidRPr="00620FA4" w:rsidRDefault="00D907AF" w:rsidP="00D907AF">
      <w:pPr>
        <w:spacing w:before="240" w:after="240"/>
        <w:rPr>
          <w:b/>
        </w:rPr>
      </w:pPr>
      <w:r w:rsidRPr="00620FA4">
        <w:rPr>
          <w:b/>
        </w:rPr>
        <w:t>Promoting self-managed funding</w:t>
      </w:r>
    </w:p>
    <w:p w:rsidR="00D907AF" w:rsidRDefault="00D907AF" w:rsidP="00D907AF">
      <w:r w:rsidRPr="005660DB">
        <w:t xml:space="preserve">The take up of </w:t>
      </w:r>
      <w:r>
        <w:t xml:space="preserve">the </w:t>
      </w:r>
      <w:r w:rsidRPr="005660DB">
        <w:t xml:space="preserve">fully self-managed funding option among NDIS participants was reported to be low in all trial sites, as people tended to opt primarily for letting the Agency manage their funds. </w:t>
      </w:r>
    </w:p>
    <w:p w:rsidR="00D907AF" w:rsidRDefault="00D907AF" w:rsidP="00D907AF"/>
    <w:p w:rsidR="00D907AF" w:rsidRPr="00B61A7D" w:rsidRDefault="00D907AF" w:rsidP="00D907AF">
      <w:pPr>
        <w:ind w:left="720"/>
      </w:pPr>
      <w:r w:rsidRPr="00B61A7D">
        <w:t>‘Given that (participants have been)… told for decades “you get no choice, these are the supports that you have, shut up and don't complain, otherwise you get nothing” pretty much…they're basically shopping in a free market now. And that's just such a big cultural leap, even for highly educated middle class carers who can navigate and shop in any other context in their life. It's just conceptually it's difficult, it's really hard.’ (D02N)</w:t>
      </w:r>
    </w:p>
    <w:p w:rsidR="00D907AF" w:rsidRDefault="00D907AF" w:rsidP="00D907AF"/>
    <w:p w:rsidR="00D907AF" w:rsidRDefault="00D907AF" w:rsidP="00D907AF">
      <w:r w:rsidRPr="007327F9">
        <w:t xml:space="preserve">Some trial sites reported high numbers of participants who were self-managing a single line item in the plan – in most cases this was funding for transport </w:t>
      </w:r>
      <w:r>
        <w:t>and</w:t>
      </w:r>
      <w:r w:rsidRPr="007327F9">
        <w:t xml:space="preserve"> equipment. NDIA staff typically believed that self-managed funding </w:t>
      </w:r>
      <w:r>
        <w:t>had the greatest potential for providing</w:t>
      </w:r>
      <w:r w:rsidRPr="007327F9">
        <w:t xml:space="preserve"> participants with choice and </w:t>
      </w:r>
      <w:r>
        <w:t xml:space="preserve">control over </w:t>
      </w:r>
      <w:r w:rsidRPr="007327F9">
        <w:t>services and supports</w:t>
      </w:r>
      <w:r>
        <w:t>. However</w:t>
      </w:r>
      <w:r w:rsidRPr="007327F9">
        <w:t xml:space="preserve">, they also observed that </w:t>
      </w:r>
      <w:r>
        <w:t xml:space="preserve">some </w:t>
      </w:r>
      <w:r w:rsidRPr="007327F9">
        <w:t xml:space="preserve">NDIS participants </w:t>
      </w:r>
      <w:r>
        <w:t xml:space="preserve">or their carers </w:t>
      </w:r>
      <w:r w:rsidRPr="007327F9">
        <w:t xml:space="preserve">appeared to lack the confidence </w:t>
      </w:r>
      <w:r>
        <w:t xml:space="preserve">or emotional capacity </w:t>
      </w:r>
      <w:r w:rsidRPr="007327F9">
        <w:t>to take on the challenging task of self-management, cogni</w:t>
      </w:r>
      <w:r>
        <w:t>s</w:t>
      </w:r>
      <w:r w:rsidRPr="007327F9">
        <w:t>ant of the likely burden it would place on a person’s time</w:t>
      </w:r>
      <w:r>
        <w:t xml:space="preserve"> and negotiation skills when working with (new) service providers</w:t>
      </w:r>
      <w:r w:rsidRPr="007327F9">
        <w:t xml:space="preserve">. Moreover, some staff acknowledged </w:t>
      </w:r>
      <w:r>
        <w:t>their concerns for</w:t>
      </w:r>
      <w:r w:rsidRPr="007327F9">
        <w:t xml:space="preserve"> NDIS participant</w:t>
      </w:r>
      <w:r>
        <w:t>s’</w:t>
      </w:r>
      <w:r w:rsidRPr="007327F9">
        <w:t xml:space="preserve"> </w:t>
      </w:r>
      <w:r>
        <w:t>financial abilities to self-manage and potential exposure to</w:t>
      </w:r>
      <w:r w:rsidRPr="007327F9">
        <w:t xml:space="preserve"> risks, such as the use of unregistered providers</w:t>
      </w:r>
      <w:r>
        <w:t xml:space="preserve"> may entail</w:t>
      </w:r>
      <w:r w:rsidRPr="007327F9">
        <w:t>.</w:t>
      </w:r>
      <w:r>
        <w:t xml:space="preserve"> Critically, NDIA staff felt that the time pressure under which they were operating prevented them from dedicating more of their time and resources towards assisting people with (learning about and understanding) self-managed funding. </w:t>
      </w:r>
    </w:p>
    <w:p w:rsidR="00D907AF" w:rsidRDefault="00D907AF" w:rsidP="00D907AF"/>
    <w:p w:rsidR="00D907AF" w:rsidRPr="00B61A7D" w:rsidRDefault="00D907AF" w:rsidP="00D907AF">
      <w:pPr>
        <w:ind w:left="720"/>
      </w:pPr>
      <w:r w:rsidRPr="00B61A7D">
        <w:t>‘I do think the (NDIA) has a responsibility to be a little bit more assistive to make sure that people who are self-managing that type of funding are not being set up to fail, not being tempted to purchase things. It's not a welfare payment. It's a support payment.’ (C08N)</w:t>
      </w:r>
    </w:p>
    <w:p w:rsidR="00D907AF" w:rsidRPr="00B61A7D" w:rsidRDefault="00D907AF" w:rsidP="00D907AF">
      <w:pPr>
        <w:ind w:left="720"/>
      </w:pPr>
    </w:p>
    <w:p w:rsidR="00D907AF" w:rsidRPr="00B61A7D" w:rsidRDefault="00D907AF" w:rsidP="00D907AF">
      <w:pPr>
        <w:ind w:left="720"/>
      </w:pPr>
      <w:r w:rsidRPr="00B61A7D">
        <w:t>‘I can see that we’ll have some real issues, and in fact I believe we already have, of … misuse of funds. I think that we… have a duty of care to make sure that this person can actually do this, or at least have a case manager… who can actually help them with managing those funds, because a lot of them can’t do it.’ (B12N)</w:t>
      </w:r>
    </w:p>
    <w:p w:rsidR="00D907AF" w:rsidRPr="00620FA4" w:rsidRDefault="00D907AF" w:rsidP="00D907AF">
      <w:pPr>
        <w:spacing w:before="240" w:after="240"/>
        <w:rPr>
          <w:b/>
        </w:rPr>
      </w:pPr>
      <w:r w:rsidRPr="00620FA4">
        <w:rPr>
          <w:b/>
        </w:rPr>
        <w:t>Engagement with support providers</w:t>
      </w:r>
    </w:p>
    <w:p w:rsidR="00D907AF" w:rsidRDefault="00D907AF" w:rsidP="00D907AF">
      <w:r>
        <w:t>D</w:t>
      </w:r>
      <w:r w:rsidRPr="00410D9C">
        <w:t xml:space="preserve">isability service providers, it was felt, were also finding it hard to adapt to the </w:t>
      </w:r>
      <w:r>
        <w:t>changing</w:t>
      </w:r>
      <w:r w:rsidRPr="00410D9C">
        <w:t xml:space="preserve"> policy environment</w:t>
      </w:r>
      <w:r>
        <w:t>, although progress was said to be evident</w:t>
      </w:r>
      <w:r w:rsidRPr="00410D9C">
        <w:t xml:space="preserve">. Many NDIA staff described the sector as </w:t>
      </w:r>
      <w:r>
        <w:t>still in places</w:t>
      </w:r>
      <w:r w:rsidRPr="00410D9C">
        <w:t xml:space="preserve"> unprepared </w:t>
      </w:r>
      <w:r>
        <w:t>and slow to</w:t>
      </w:r>
      <w:r w:rsidRPr="00410D9C">
        <w:t xml:space="preserve"> move from block to individualised funding</w:t>
      </w:r>
      <w:r>
        <w:t xml:space="preserve">, sometimes </w:t>
      </w:r>
      <w:r w:rsidRPr="00410D9C">
        <w:t xml:space="preserve">resistant to changing business and practice models. </w:t>
      </w:r>
    </w:p>
    <w:p w:rsidR="00D907AF" w:rsidRDefault="00D907AF" w:rsidP="00D907AF"/>
    <w:p w:rsidR="00D907AF" w:rsidRPr="00430011" w:rsidRDefault="00D907AF" w:rsidP="00D907AF">
      <w:pPr>
        <w:ind w:left="720"/>
      </w:pPr>
      <w:r w:rsidRPr="00B61A7D">
        <w:t xml:space="preserve">‘It’s a challenge to reform the sector and to educate providers that… they no longer have a direct relationship with government. It’s been frustrating and a long learning curve, and sending lots of emails and conversations back and forth telling providers, ‘No, you can’t come to us asking for more money. You need to talk to the participant about what’s in their plan and how you can deliver on that. And if you can’t you need to tell that to the participant and they will decide whether they come back and ask for a review of their plan or not’.’ </w:t>
      </w:r>
      <w:r w:rsidRPr="00430011">
        <w:t>(C03N)</w:t>
      </w:r>
    </w:p>
    <w:p w:rsidR="00D907AF" w:rsidRDefault="00D907AF" w:rsidP="00D907AF"/>
    <w:p w:rsidR="00D907AF" w:rsidRDefault="00D907AF" w:rsidP="00D907AF">
      <w:r>
        <w:t>Some providers were said to lack some of the know-how and general capability that would be required to successfully adapt to and co-operate with new service and payment management systems of the NDIA.</w:t>
      </w:r>
    </w:p>
    <w:p w:rsidR="00D907AF" w:rsidRDefault="00D907AF" w:rsidP="00D907AF"/>
    <w:p w:rsidR="00D907AF" w:rsidRPr="00430011" w:rsidRDefault="00D907AF" w:rsidP="00D907AF">
      <w:pPr>
        <w:ind w:left="720"/>
      </w:pPr>
      <w:r w:rsidRPr="00B61A7D">
        <w:t xml:space="preserve">‘… you know (a service provider) has never had a funding agreement but they’ve just been approved… You know they are struggling to even answer an email… we want them to then come on and do their on-line claiming and work on service agreements and things…’ </w:t>
      </w:r>
      <w:r w:rsidRPr="00430011">
        <w:t>(E05-Manager)</w:t>
      </w:r>
    </w:p>
    <w:p w:rsidR="00D907AF" w:rsidRDefault="00D907AF" w:rsidP="00D907AF"/>
    <w:p w:rsidR="00D907AF" w:rsidRDefault="00D907AF" w:rsidP="00D907AF">
      <w:r w:rsidRPr="00410D9C">
        <w:t>Providers were thought to have been slow to register with the NDIA</w:t>
      </w:r>
      <w:r>
        <w:t>. Despite many publicity campaigns since and indeed before the start of the trial of the NDIS, NDIA staff continued to encounter a lack of knowledge and awareness of the NDIS and the NDIA itself in many local communities.</w:t>
      </w:r>
    </w:p>
    <w:p w:rsidR="00D907AF" w:rsidRDefault="00D907AF" w:rsidP="00D907AF"/>
    <w:p w:rsidR="00D907AF" w:rsidRPr="00B61A7D" w:rsidRDefault="00D907AF" w:rsidP="00D907AF">
      <w:pPr>
        <w:ind w:left="720"/>
      </w:pPr>
      <w:r w:rsidRPr="00B61A7D">
        <w:t>‘A lot of people still don't have a lot of knowledge about the NDIA…Recently one of my colleagues and I went to a bowls club and they thought that we were trying to sell them insurance.’ (C10N)</w:t>
      </w:r>
    </w:p>
    <w:p w:rsidR="00D907AF" w:rsidRDefault="00D907AF" w:rsidP="00D907AF"/>
    <w:p w:rsidR="00D907AF" w:rsidRDefault="00D907AF" w:rsidP="00D907AF">
      <w:r>
        <w:t xml:space="preserve">More recently, </w:t>
      </w:r>
      <w:r w:rsidRPr="00410D9C">
        <w:t xml:space="preserve">disputes about pricing structures </w:t>
      </w:r>
      <w:r>
        <w:t>were described to be complicating</w:t>
      </w:r>
      <w:r w:rsidRPr="00410D9C">
        <w:t xml:space="preserve"> </w:t>
      </w:r>
      <w:r>
        <w:t xml:space="preserve">NDIS plan development and </w:t>
      </w:r>
      <w:r w:rsidRPr="00410D9C">
        <w:t>plan implementation</w:t>
      </w:r>
      <w:r>
        <w:t>, whilst</w:t>
      </w:r>
      <w:r w:rsidRPr="00410D9C">
        <w:t xml:space="preserve"> in some trial sites</w:t>
      </w:r>
      <w:r>
        <w:t>, respondents</w:t>
      </w:r>
      <w:r w:rsidRPr="00410D9C">
        <w:t xml:space="preserve"> suggested services </w:t>
      </w:r>
      <w:r>
        <w:t xml:space="preserve">were </w:t>
      </w:r>
      <w:r w:rsidRPr="00410D9C">
        <w:t>reaching capacity</w:t>
      </w:r>
      <w:r>
        <w:t xml:space="preserve"> or remained </w:t>
      </w:r>
      <w:r w:rsidRPr="00410D9C">
        <w:t>limited</w:t>
      </w:r>
      <w:r>
        <w:t xml:space="preserve">, especially </w:t>
      </w:r>
      <w:r w:rsidRPr="00410D9C">
        <w:t xml:space="preserve">in regional and rural areas. </w:t>
      </w:r>
    </w:p>
    <w:p w:rsidR="00D907AF" w:rsidRPr="00746DCB" w:rsidRDefault="00D907AF" w:rsidP="00367B24">
      <w:pPr>
        <w:pStyle w:val="Heading40"/>
      </w:pPr>
      <w:bookmarkStart w:id="116" w:name="_Toc428271241"/>
      <w:bookmarkStart w:id="117" w:name="_Toc449954981"/>
      <w:r>
        <w:t xml:space="preserve">2.5.3.2 </w:t>
      </w:r>
      <w:r w:rsidRPr="00746DCB">
        <w:t>Assistance in setting and achieving goals, increasing economic participation</w:t>
      </w:r>
      <w:bookmarkEnd w:id="116"/>
      <w:bookmarkEnd w:id="117"/>
      <w:r w:rsidRPr="00746DCB">
        <w:t xml:space="preserve"> </w:t>
      </w:r>
    </w:p>
    <w:p w:rsidR="00D907AF" w:rsidRDefault="00D907AF" w:rsidP="00D907AF">
      <w:r>
        <w:t xml:space="preserve">NDIA staff were universally cognisant of the objective of the NDIS to </w:t>
      </w:r>
      <w:r w:rsidRPr="00263CEA">
        <w:t>support the independence, and social and economic participation, of people with disability</w:t>
      </w:r>
      <w:r>
        <w:t>, and the importance to be striving towards achieving this objective. However there were warnings not to expect too much too soon during the setting up of the NDIS, as participants and the NDIA were still learning to adjust to new ways of supporting living with disability.</w:t>
      </w:r>
    </w:p>
    <w:p w:rsidR="00D907AF" w:rsidRDefault="00D907AF" w:rsidP="00D907AF"/>
    <w:p w:rsidR="00D13584" w:rsidRDefault="00D13584">
      <w:r>
        <w:br w:type="page"/>
      </w:r>
    </w:p>
    <w:p w:rsidR="00D907AF" w:rsidRDefault="00D907AF" w:rsidP="00D907AF">
      <w:r>
        <w:lastRenderedPageBreak/>
        <w:t xml:space="preserve">In the first instance </w:t>
      </w:r>
      <w:r w:rsidRPr="00DD21F4">
        <w:t>NDIS participants</w:t>
      </w:r>
      <w:r>
        <w:t xml:space="preserve"> were facing very practical hurdles as they were asked to think about new and perhaps innovative ways to support and structure their lives. In the eyes of many NDIA staff, this revealed that the capacity of NDIS participants,</w:t>
      </w:r>
      <w:r w:rsidRPr="00DD21F4">
        <w:t xml:space="preserve"> </w:t>
      </w:r>
      <w:r>
        <w:t xml:space="preserve">and </w:t>
      </w:r>
      <w:r w:rsidRPr="00DD21F4">
        <w:t xml:space="preserve">their families and carers to negotiate access and to undertake planning and plan implementation </w:t>
      </w:r>
      <w:r>
        <w:t xml:space="preserve">might have </w:t>
      </w:r>
      <w:r w:rsidRPr="00DD21F4">
        <w:t xml:space="preserve">been over-estimated. </w:t>
      </w:r>
    </w:p>
    <w:p w:rsidR="00D907AF" w:rsidRPr="00430011" w:rsidRDefault="00D907AF" w:rsidP="00D907AF"/>
    <w:p w:rsidR="00D907AF" w:rsidRPr="00B61A7D" w:rsidRDefault="00D907AF" w:rsidP="00D907AF">
      <w:pPr>
        <w:ind w:left="720"/>
      </w:pPr>
      <w:r w:rsidRPr="00B61A7D">
        <w:t>‘Most people we’ve found have come in and they haven’t really filled out their participant statement and haven’t thought about it yet and you do have to actually take that extra time to just go back and talk to them and just try to find out basic things about them.’ (E02N)</w:t>
      </w:r>
    </w:p>
    <w:p w:rsidR="00D907AF" w:rsidRPr="00B61A7D" w:rsidRDefault="00D907AF" w:rsidP="00D907AF">
      <w:pPr>
        <w:ind w:left="720"/>
      </w:pPr>
    </w:p>
    <w:p w:rsidR="00D907AF" w:rsidRPr="00B61A7D" w:rsidRDefault="00D907AF" w:rsidP="00D907AF">
      <w:pPr>
        <w:ind w:left="720"/>
      </w:pPr>
      <w:r w:rsidRPr="00B61A7D">
        <w:t>‘(These) are really hard discussions to have with people, and particularly in a way that couches it in a really kind of empowering and supportive way. And that's quite skilled work…. sometimes it might be around things like us talking about a childcare or a playgroup option as opposed to a respite option. Now, that's really quite a sensitive conversation to have with… (a) parent who's coming in saying, "I need respite."</w:t>
      </w:r>
      <w:r>
        <w:t>’</w:t>
      </w:r>
      <w:r w:rsidRPr="00B61A7D">
        <w:t xml:space="preserve"> (A01N-Manager)</w:t>
      </w:r>
    </w:p>
    <w:p w:rsidR="00D907AF" w:rsidRPr="00430011" w:rsidRDefault="00D907AF" w:rsidP="00D907AF"/>
    <w:p w:rsidR="00D907AF" w:rsidRDefault="00D907AF" w:rsidP="00D907AF">
      <w:r w:rsidRPr="007B2EF3">
        <w:t>Some NDI</w:t>
      </w:r>
      <w:r>
        <w:t>A</w:t>
      </w:r>
      <w:r w:rsidRPr="007B2EF3">
        <w:t xml:space="preserve"> staff found that NDIS participants had difficulty adjusting the</w:t>
      </w:r>
      <w:r>
        <w:t>ir</w:t>
      </w:r>
      <w:r w:rsidRPr="007B2EF3">
        <w:t xml:space="preserve"> mind</w:t>
      </w:r>
      <w:r>
        <w:t xml:space="preserve"> </w:t>
      </w:r>
      <w:r w:rsidRPr="007B2EF3">
        <w:t xml:space="preserve">sets </w:t>
      </w:r>
      <w:r>
        <w:t xml:space="preserve">to the new concept </w:t>
      </w:r>
      <w:r w:rsidRPr="007B2EF3">
        <w:t>of ‘choice and control’, in particular around individualised funding. In some instances, NDIS participants were described to be attending planning meeting</w:t>
      </w:r>
      <w:r>
        <w:t>s</w:t>
      </w:r>
      <w:r w:rsidRPr="007B2EF3">
        <w:t xml:space="preserve"> with “a shopping list”, rather than readiness to explore needs</w:t>
      </w:r>
      <w:r>
        <w:t>,</w:t>
      </w:r>
      <w:r w:rsidRPr="007B2EF3">
        <w:t xml:space="preserve"> or expected the Planner to make </w:t>
      </w:r>
      <w:r w:rsidRPr="00BE1781">
        <w:t xml:space="preserve">decisions on their behalf. </w:t>
      </w:r>
    </w:p>
    <w:p w:rsidR="00D907AF" w:rsidRPr="00BE1781" w:rsidRDefault="00D907AF" w:rsidP="00D907AF"/>
    <w:p w:rsidR="00D907AF" w:rsidRPr="00323EF2" w:rsidRDefault="00D907AF" w:rsidP="00D907AF">
      <w:pPr>
        <w:ind w:left="720"/>
        <w:rPr>
          <w:rFonts w:cstheme="minorHAnsi"/>
        </w:rPr>
      </w:pPr>
      <w:r w:rsidRPr="00B61A7D">
        <w:t>‘That's the challenge, working with participants who aren't, who want you to do it for them. That's a real challenge. It's like, ‘Well, actually I'm not here to do it for you. I'm here to do it with you. And they are very, very different practices</w:t>
      </w:r>
      <w:r w:rsidRPr="00430011">
        <w:rPr>
          <w:rFonts w:cstheme="minorHAnsi"/>
        </w:rPr>
        <w:t xml:space="preserve">.’ </w:t>
      </w:r>
      <w:r w:rsidRPr="00323EF2">
        <w:rPr>
          <w:rFonts w:cstheme="minorHAnsi"/>
        </w:rPr>
        <w:t>(C08N)</w:t>
      </w:r>
    </w:p>
    <w:p w:rsidR="00D907AF" w:rsidRPr="007B2EF3" w:rsidRDefault="00D907AF" w:rsidP="00D907AF">
      <w:pPr>
        <w:ind w:left="720"/>
        <w:rPr>
          <w:rFonts w:cstheme="minorHAnsi"/>
        </w:rPr>
      </w:pPr>
    </w:p>
    <w:p w:rsidR="00D907AF" w:rsidRPr="00400145" w:rsidRDefault="00D907AF" w:rsidP="00D907AF">
      <w:r>
        <w:t xml:space="preserve">A </w:t>
      </w:r>
      <w:r w:rsidRPr="007B2EF3">
        <w:t xml:space="preserve">dominant theme though was the considerable level of anxiety and fear about the </w:t>
      </w:r>
      <w:r>
        <w:t>s</w:t>
      </w:r>
      <w:r w:rsidRPr="007B2EF3">
        <w:t>cheme on the part of participants and their families and carers, and resistance to change that had consequences for the outcomes of planning and plan content.</w:t>
      </w:r>
      <w:r w:rsidRPr="00400145">
        <w:t xml:space="preserve"> </w:t>
      </w:r>
      <w:r>
        <w:t xml:space="preserve">For many this reflected and was occasionally exacerbated by anxieties held by their existing service providers. </w:t>
      </w:r>
    </w:p>
    <w:p w:rsidR="00D907AF" w:rsidRDefault="00D907AF" w:rsidP="00D907AF"/>
    <w:p w:rsidR="00D907AF" w:rsidRPr="003E4A4A" w:rsidRDefault="00D907AF" w:rsidP="00D907AF">
      <w:r>
        <w:t xml:space="preserve">The role </w:t>
      </w:r>
      <w:r w:rsidRPr="003E4A4A">
        <w:t xml:space="preserve">of the NDIA in supporting social and community participation was seen to commence with the planning process. NDIA staff stressed the importance of individualising goals for participation, and not having pre-conceptions as to what participants wanted or ought to want: </w:t>
      </w:r>
    </w:p>
    <w:p w:rsidR="00D907AF" w:rsidRPr="003E4A4A" w:rsidRDefault="00D907AF" w:rsidP="00D907AF"/>
    <w:p w:rsidR="00D907AF" w:rsidRPr="00B61A7D" w:rsidRDefault="00D907AF" w:rsidP="00D907AF">
      <w:pPr>
        <w:ind w:left="720"/>
      </w:pPr>
      <w:r w:rsidRPr="00B61A7D">
        <w:t xml:space="preserve">‘Sometimes people don’t like being around other people so we have to be careful not to think everyone wants to go out to social things in groups…A lot of people just are so used to not being able to go anywhere they might say ‘I just want to go down the shops and get the newspaper’’ (E03N) </w:t>
      </w:r>
    </w:p>
    <w:p w:rsidR="00D907AF" w:rsidRDefault="00D907AF" w:rsidP="00D907AF">
      <w:pPr>
        <w:rPr>
          <w:rFonts w:ascii="Calibri" w:eastAsia="Calibri" w:hAnsi="Calibri" w:cs="Calibri"/>
        </w:rPr>
      </w:pPr>
    </w:p>
    <w:p w:rsidR="00D907AF" w:rsidRDefault="00D907AF" w:rsidP="00D907AF">
      <w:r w:rsidRPr="003E4A4A">
        <w:t xml:space="preserve">NDIS </w:t>
      </w:r>
      <w:r>
        <w:t>Planner</w:t>
      </w:r>
      <w:r w:rsidRPr="003E4A4A">
        <w:t>s typically described support plans as vehicles for providing opportunities and funding for skills assessment and training, designed to build capacity for independent living, and social and economic activity.</w:t>
      </w:r>
      <w:r>
        <w:t xml:space="preserve"> </w:t>
      </w:r>
      <w:r w:rsidRPr="003E4A4A">
        <w:t xml:space="preserve">Respondents were particularly concerned that plans clearly and realistically formulated expectations and objectives so to inform and tailor service provision. </w:t>
      </w:r>
    </w:p>
    <w:p w:rsidR="00D907AF" w:rsidRPr="003E4A4A" w:rsidRDefault="00D907AF" w:rsidP="00D907AF"/>
    <w:p w:rsidR="00D907AF" w:rsidRPr="00B61A7D" w:rsidRDefault="00D907AF" w:rsidP="00D907AF">
      <w:pPr>
        <w:ind w:left="720"/>
      </w:pPr>
      <w:r w:rsidRPr="00B61A7D">
        <w:t>‘Really the funding provides a scaffold and a platform for a participant that's been unable to explore community and participate economically, and all the things that the NDIS aspire to achieve for its participants. It provides that opportunity.’ (C08N)</w:t>
      </w:r>
    </w:p>
    <w:p w:rsidR="00D907AF" w:rsidRPr="003E4A4A" w:rsidRDefault="00D907AF" w:rsidP="00D907AF">
      <w:pPr>
        <w:ind w:left="720"/>
        <w:rPr>
          <w:i/>
        </w:rPr>
      </w:pPr>
    </w:p>
    <w:p w:rsidR="00D907AF" w:rsidRPr="00B61A7D" w:rsidRDefault="00D907AF" w:rsidP="00D907AF">
      <w:pPr>
        <w:ind w:left="720"/>
      </w:pPr>
      <w:r w:rsidRPr="00B61A7D">
        <w:t>‘So what we’re actually doing at the moment is we’re really articulating in our plans… “We’re funding you, one on one, to work with this person to enable them to join the Scout Group. Or enable them to go to Guides. Or enable them to go bowling or join the basketball team”.’ (B13-Manager)</w:t>
      </w:r>
    </w:p>
    <w:p w:rsidR="00D907AF" w:rsidRPr="003E4A4A" w:rsidRDefault="00D907AF" w:rsidP="00D907AF">
      <w:pPr>
        <w:ind w:left="720"/>
      </w:pPr>
    </w:p>
    <w:p w:rsidR="00D907AF" w:rsidRDefault="00D907AF" w:rsidP="00D907AF">
      <w:r>
        <w:t>Whilst encouraging NDIS participants to articulate such goals and aspiration, in the experience of NDIS staff, many NDIS participants found this challenging. Rather than assuming greatly ambitious projects, NDIS Planners conceived, with the NDIS participants, strategies consisting of small steps that were hoped to prepare the person for higher level goal setting in the future. This included breaking down goals and aspirations into prerequisite learning tasks, such as the need and opportunity to develop money handling skills, to develop or improve self-presentation and communication skills, or to connect to the wider social environment via volunteering.</w:t>
      </w:r>
    </w:p>
    <w:p w:rsidR="00D907AF" w:rsidRDefault="00D907AF" w:rsidP="00D907AF"/>
    <w:p w:rsidR="00D907AF" w:rsidRPr="00B61A7D" w:rsidRDefault="00D907AF" w:rsidP="00D907AF">
      <w:pPr>
        <w:ind w:left="720"/>
      </w:pPr>
      <w:r w:rsidRPr="00B61A7D">
        <w:t xml:space="preserve">‘We identified volunteering as a really valuable role for people, and a skill building role. So… we just signed off on a project funding where we’re going to have a number of participants working through </w:t>
      </w:r>
      <w:r>
        <w:t>[name of local scheme]</w:t>
      </w:r>
      <w:r w:rsidRPr="00373F7B">
        <w:t xml:space="preserve"> </w:t>
      </w:r>
      <w:r w:rsidRPr="00B61A7D">
        <w:t>to get them into volunteering roles within the community with volunteer mentors.’ (B13-Manager)</w:t>
      </w:r>
    </w:p>
    <w:p w:rsidR="00D907AF" w:rsidRDefault="00D907AF" w:rsidP="00D907AF"/>
    <w:p w:rsidR="00D907AF" w:rsidRPr="003E4A4A" w:rsidRDefault="00D907AF" w:rsidP="00D907AF">
      <w:r w:rsidRPr="003E4A4A">
        <w:t>Some respondents also felt that employment in a disability specific work place, i.e. an Australian Disability Enterprise (</w:t>
      </w:r>
      <w:r>
        <w:t xml:space="preserve">ADE) should be considered </w:t>
      </w:r>
      <w:r w:rsidRPr="003E4A4A">
        <w:t>a stepping stone to seeking mainstream employment, and that the role of the NDIA was to “</w:t>
      </w:r>
      <w:r w:rsidRPr="00B61A7D">
        <w:t>work with those ADEs in getting them to recognise that their service is a… skill building transition service to open employment</w:t>
      </w:r>
      <w:r>
        <w:t>”</w:t>
      </w:r>
      <w:r w:rsidRPr="003E4A4A">
        <w:t xml:space="preserve"> </w:t>
      </w:r>
      <w:r>
        <w:t>(B13-Manager)</w:t>
      </w:r>
      <w:r w:rsidRPr="003E4A4A">
        <w:t>.</w:t>
      </w:r>
    </w:p>
    <w:p w:rsidR="00D907AF" w:rsidRDefault="00D907AF" w:rsidP="00D907AF"/>
    <w:p w:rsidR="00D907AF" w:rsidRDefault="00D907AF" w:rsidP="00D907AF">
      <w:r>
        <w:t>Whilst all these considerations and reflections were taking place, the impression gained was that everyone still considered themselves and the NDIS in a learning phase, and that genuine progress towards enhancing the social and economic participation of NDIS participants was not expected to be made until after the first plan review meeting. It was then that NDIA staff could hear about the change that NDIS participants had or had not experienced and, based on these learnings, determine better informed plans for next steps.</w:t>
      </w:r>
    </w:p>
    <w:p w:rsidR="00D907AF" w:rsidRPr="00430011" w:rsidRDefault="00D907AF" w:rsidP="00D907AF"/>
    <w:p w:rsidR="00D907AF" w:rsidRPr="00B61A7D" w:rsidRDefault="00D907AF" w:rsidP="00D907AF">
      <w:pPr>
        <w:ind w:left="720"/>
      </w:pPr>
      <w:r w:rsidRPr="00B61A7D">
        <w:t>‘It’s only really in now, heading forward as we’re doing the plan reviews, that we have the opportunity to see those that have run with things we’ve put in like independent living skills assessments…. and have really embraced that, and are now looking out and beyond their world to see what else is out there, we see that.’ (B13-Manager)</w:t>
      </w:r>
    </w:p>
    <w:p w:rsidR="00D907AF" w:rsidRDefault="00D907AF" w:rsidP="00D907AF"/>
    <w:p w:rsidR="00D907AF" w:rsidRDefault="00D907AF" w:rsidP="00D907AF">
      <w:r w:rsidRPr="00B61A7D">
        <w:rPr>
          <w:b/>
        </w:rPr>
        <w:t>Assisting families and carers</w:t>
      </w:r>
    </w:p>
    <w:p w:rsidR="00D907AF" w:rsidRPr="00B61A7D" w:rsidRDefault="00D907AF" w:rsidP="00D907AF"/>
    <w:p w:rsidR="00D907AF" w:rsidRPr="00800EAC" w:rsidRDefault="00D907AF" w:rsidP="00D907AF">
      <w:r>
        <w:t>At present, planning meetings still focused almost exclusively on the needs and aspirations of people with disability, whereas those of family members and carers had yet to be more explicitly addressed. In the view of some NDIA staff, this lesser focus on family members’ and carers’ needs could be seen in the fact that few family members or carers had reported positive social or economic outcomes.</w:t>
      </w:r>
      <w:bookmarkStart w:id="118" w:name="_Toc424565573"/>
      <w:r>
        <w:t xml:space="preserve"> This said, NDIA staff were conscious of the impact their decisions on the acceptability of certain supports for NDIS participants may have on the life opportunities of their families and carers</w:t>
      </w:r>
      <w:r w:rsidRPr="00800EAC">
        <w:t>. This was most apparent with respect to funding for in-home support to assist with the care of young children, which was described as</w:t>
      </w:r>
      <w:r>
        <w:t xml:space="preserve"> </w:t>
      </w:r>
    </w:p>
    <w:p w:rsidR="00D907AF" w:rsidRPr="00800EAC" w:rsidRDefault="00D907AF" w:rsidP="00D907AF"/>
    <w:p w:rsidR="00D907AF" w:rsidRPr="00B61A7D" w:rsidRDefault="00D907AF" w:rsidP="00D907AF">
      <w:pPr>
        <w:ind w:left="720"/>
      </w:pPr>
      <w:r w:rsidRPr="00B61A7D">
        <w:t>‘to allow parents to study to think about their careers, think about job prospects, and that has worked in some cases’ (B02N).</w:t>
      </w:r>
    </w:p>
    <w:p w:rsidR="00D907AF" w:rsidRPr="008A5E1B" w:rsidRDefault="00D907AF" w:rsidP="00367B24">
      <w:pPr>
        <w:pStyle w:val="Heading40"/>
      </w:pPr>
      <w:bookmarkStart w:id="119" w:name="_Toc428271242"/>
      <w:bookmarkStart w:id="120" w:name="_Toc449954982"/>
      <w:r>
        <w:t xml:space="preserve">2.5.3.3 </w:t>
      </w:r>
      <w:r w:rsidRPr="008A5E1B">
        <w:t>Relationship between NDIA employees and community and mainstream services</w:t>
      </w:r>
      <w:bookmarkEnd w:id="119"/>
      <w:bookmarkEnd w:id="120"/>
    </w:p>
    <w:p w:rsidR="00D907AF" w:rsidRPr="000B5576" w:rsidRDefault="00D907AF" w:rsidP="00D907AF">
      <w:r w:rsidRPr="000B5576">
        <w:t xml:space="preserve">Our interviews highlighted </w:t>
      </w:r>
      <w:r>
        <w:t>desire</w:t>
      </w:r>
      <w:r w:rsidRPr="000B5576">
        <w:t xml:space="preserve"> and effort </w:t>
      </w:r>
      <w:r>
        <w:t xml:space="preserve">inside the NDIA </w:t>
      </w:r>
      <w:r w:rsidRPr="000B5576">
        <w:t>to work</w:t>
      </w:r>
      <w:r>
        <w:t xml:space="preserve"> with mainstream service providers, but also awareness of the need to clarify budgetary responsibilities and to determine the disability-specific and, hence, NDIS-eligible activities and cost items. NDIA staff at all levels were acutely aware that boundaries defining the financial and task-specific divisions between the NDIS and </w:t>
      </w:r>
      <w:r>
        <w:lastRenderedPageBreak/>
        <w:t>other state or federal services had yet to be agreed upon. In the meantime, interaction with the health, education, child welfare, housing and also justice sectors were described as often fraught with difficulty.</w:t>
      </w:r>
    </w:p>
    <w:p w:rsidR="00D907AF" w:rsidRDefault="00D907AF" w:rsidP="00D907AF">
      <w:pPr>
        <w:rPr>
          <w:rFonts w:ascii="Calibri" w:eastAsia="Calibri" w:hAnsi="Calibri" w:cs="Calibri"/>
        </w:rPr>
      </w:pPr>
    </w:p>
    <w:p w:rsidR="00D907AF" w:rsidRPr="00B61A7D" w:rsidRDefault="00D907AF" w:rsidP="00D907AF">
      <w:pPr>
        <w:ind w:left="720"/>
      </w:pPr>
      <w:r w:rsidRPr="00B61A7D">
        <w:t>‘The interface with other mainstream services (Health Department, Justice, Child Protection, other service systems) still needs a lot of work…. (the) service systems are saying yeah “No that’s not up to us, you have a disability so that’s up to the NDIS” whereas that’s not the case.’ (C05N)</w:t>
      </w:r>
    </w:p>
    <w:p w:rsidR="00D907AF" w:rsidRPr="00B61A7D" w:rsidRDefault="00D907AF" w:rsidP="00D907AF">
      <w:pPr>
        <w:ind w:left="720"/>
      </w:pPr>
    </w:p>
    <w:p w:rsidR="00D907AF" w:rsidRPr="00B61A7D" w:rsidRDefault="00D907AF" w:rsidP="00D907AF">
      <w:pPr>
        <w:ind w:left="720"/>
      </w:pPr>
      <w:r w:rsidRPr="00B61A7D">
        <w:t>‘There’s still so much confusion of who’s doing what, why, when and how… there’s no living document to say “Well here’s the agreement between how health interfaces with the NDIS and here’s a document about justice”. We’re developing them on the run.’ (B06-Manager)</w:t>
      </w:r>
    </w:p>
    <w:p w:rsidR="00D907AF" w:rsidRDefault="00D907AF" w:rsidP="00D907AF">
      <w:pPr>
        <w:rPr>
          <w:rFonts w:ascii="Calibri" w:eastAsia="Calibri" w:hAnsi="Calibri" w:cs="Calibri"/>
        </w:rPr>
      </w:pPr>
    </w:p>
    <w:p w:rsidR="00D907AF" w:rsidRDefault="00D907AF" w:rsidP="00D907AF">
      <w:r>
        <w:t>H</w:t>
      </w:r>
      <w:r w:rsidRPr="009D3754">
        <w:t xml:space="preserve">igher level policy matters </w:t>
      </w:r>
      <w:r>
        <w:t>were the principal domain of NDIA Managers, and subject to on-going negotiation. T</w:t>
      </w:r>
      <w:r w:rsidRPr="009D3754">
        <w:t xml:space="preserve">he daily practice of NDIA </w:t>
      </w:r>
      <w:r>
        <w:t>Planner</w:t>
      </w:r>
      <w:r w:rsidRPr="009D3754">
        <w:t>s, Plan Support Coordinators and Local Area Coordinators</w:t>
      </w:r>
      <w:r>
        <w:t xml:space="preserve">, however, </w:t>
      </w:r>
      <w:r w:rsidRPr="009D3754">
        <w:t xml:space="preserve">brought them into regular contact with mainstream providers, both in state and federal government services, and community services. Planners often encouraged NDIS participants to use mainstream instead of disability specific programmes where possible, and involved Local Area Coordinators to help participants to access community services during plan implementation. In part, the role of the Local Area Coordinator was thought to include mapping opportunities for inclusion in mainstream and community within the trial sites. Collaboration between the NDIA and mainstream providers appeared </w:t>
      </w:r>
      <w:r>
        <w:t xml:space="preserve">mostly </w:t>
      </w:r>
      <w:r w:rsidRPr="009D3754">
        <w:t>case-specific. In part, this seemed to reflect the strong initial focus of NDIA regional office activities on phasing in participants and (then) developing support plans, which was reducing opportunities for developing linkages with the community and the mainstream sector in a more systematic manner.</w:t>
      </w:r>
      <w:r>
        <w:t xml:space="preserve"> </w:t>
      </w:r>
    </w:p>
    <w:p w:rsidR="00D907AF" w:rsidRPr="009D3754" w:rsidRDefault="00D907AF" w:rsidP="00D907AF"/>
    <w:p w:rsidR="00D907AF" w:rsidRDefault="00D907AF" w:rsidP="00D907AF">
      <w:r w:rsidRPr="009D3754">
        <w:t xml:space="preserve">NDIA staff found </w:t>
      </w:r>
      <w:r>
        <w:t xml:space="preserve">some </w:t>
      </w:r>
      <w:r w:rsidRPr="009D3754">
        <w:t xml:space="preserve">community organisations and facilities prepared and </w:t>
      </w:r>
      <w:r>
        <w:t xml:space="preserve">sometimes </w:t>
      </w:r>
      <w:r w:rsidRPr="009D3754">
        <w:t>keen to provide services to NDIS participants.</w:t>
      </w:r>
      <w:r>
        <w:t xml:space="preserve"> </w:t>
      </w:r>
      <w:r w:rsidRPr="009D3754">
        <w:t xml:space="preserve">Existing and sometimes long established organisations </w:t>
      </w:r>
      <w:r>
        <w:t>were called upon</w:t>
      </w:r>
      <w:r w:rsidRPr="009D3754">
        <w:t xml:space="preserve"> to assist the NDI</w:t>
      </w:r>
      <w:r>
        <w:t>A</w:t>
      </w:r>
      <w:r w:rsidRPr="009D3754">
        <w:t xml:space="preserve"> with providing supports</w:t>
      </w:r>
      <w:r>
        <w:t>. P</w:t>
      </w:r>
      <w:r w:rsidRPr="009D3754">
        <w:t xml:space="preserve">erhaps unknowingly, </w:t>
      </w:r>
      <w:r>
        <w:t>they also helped</w:t>
      </w:r>
      <w:r w:rsidRPr="009D3754">
        <w:t xml:space="preserve"> the NDIA </w:t>
      </w:r>
      <w:r>
        <w:t xml:space="preserve">to </w:t>
      </w:r>
      <w:r w:rsidRPr="009D3754">
        <w:t>develop a better understanding of what works best in helping NDIS participants achieve their goals and aspirations, and better wellbeing.</w:t>
      </w:r>
      <w:r>
        <w:t xml:space="preserve"> </w:t>
      </w:r>
    </w:p>
    <w:p w:rsidR="00D907AF" w:rsidRPr="009D3754" w:rsidRDefault="00D907AF" w:rsidP="00D907AF"/>
    <w:p w:rsidR="00D907AF" w:rsidRPr="00B61A7D" w:rsidRDefault="00D907AF" w:rsidP="00D907AF">
      <w:pPr>
        <w:ind w:left="720"/>
      </w:pPr>
      <w:r w:rsidRPr="00B61A7D">
        <w:t>‘We have got young people into Men's Sheds, we've got them doing cooking classes in community houses who hadn't thought about offering that to a young person who wanted to learn to cook. So we've got those individual stories. It's building that up to give us evidence based…There are a growing number of stories that tell me that they're not the small exception.’ (C01N-Manager)</w:t>
      </w:r>
    </w:p>
    <w:p w:rsidR="00D907AF" w:rsidRDefault="00D907AF" w:rsidP="00D907AF">
      <w:pPr>
        <w:ind w:left="720"/>
        <w:rPr>
          <w:i/>
        </w:rPr>
      </w:pPr>
    </w:p>
    <w:p w:rsidR="00D907AF" w:rsidRDefault="00D907AF" w:rsidP="00D907AF">
      <w:r w:rsidRPr="009D3754">
        <w:t>However, the interactions between the NDIA and community services also brought to light some of the challenges that both partners may be facing if greater inclusion of people with disability in society is to be achieved.</w:t>
      </w:r>
      <w:r>
        <w:t xml:space="preserve"> </w:t>
      </w:r>
      <w:r w:rsidRPr="009D3754">
        <w:t xml:space="preserve">The most obvious challenge was for those offering or asked to provide services to NDIS participants </w:t>
      </w:r>
      <w:r>
        <w:t>being</w:t>
      </w:r>
      <w:r w:rsidRPr="009D3754">
        <w:t xml:space="preserve"> appropriately equipped.</w:t>
      </w:r>
      <w:r>
        <w:t xml:space="preserve"> </w:t>
      </w:r>
    </w:p>
    <w:p w:rsidR="00D907AF" w:rsidRPr="009D3754" w:rsidRDefault="00D907AF" w:rsidP="00D907AF"/>
    <w:p w:rsidR="00D907AF" w:rsidRPr="00B61A7D" w:rsidRDefault="00D907AF" w:rsidP="00D907AF">
      <w:pPr>
        <w:ind w:left="720"/>
      </w:pPr>
      <w:r w:rsidRPr="00B61A7D">
        <w:t>‘I think community centres are really wanting to be inclusive, for example, but often they're a little bit stuck because what they need is infrastructure… Same with a lot of the sports organisations. In community organisations they have little buses, so there's oodles of fantastic holiday programs that go on in the community, oodles of them. What do the buses not have? Accessible lifts. A lot of it is around big money stuff.’ (C05N)</w:t>
      </w:r>
    </w:p>
    <w:p w:rsidR="00D907AF" w:rsidRDefault="00D907AF" w:rsidP="00D907AF"/>
    <w:p w:rsidR="00D907AF" w:rsidRDefault="00D907AF" w:rsidP="00D907AF">
      <w:r w:rsidRPr="009D3754">
        <w:t xml:space="preserve">Moreover, NDIA </w:t>
      </w:r>
      <w:r>
        <w:t>Planners</w:t>
      </w:r>
      <w:r w:rsidRPr="009D3754">
        <w:t xml:space="preserve"> and coordinators also felt that many community organisations and General Practitioners did not have the personal resources and capabilities to work and communicate with NDIS participants, understanding how disability was affecting the latter’s lives and what needed </w:t>
      </w:r>
      <w:r w:rsidRPr="009D3754">
        <w:lastRenderedPageBreak/>
        <w:t xml:space="preserve">doing to facilitate inclusion. The greatest challenge </w:t>
      </w:r>
      <w:r>
        <w:t xml:space="preserve">for effective community inclusion </w:t>
      </w:r>
      <w:r w:rsidRPr="009D3754">
        <w:t>however was perceived to be not social, but economic integration.</w:t>
      </w:r>
      <w:r>
        <w:t xml:space="preserve"> </w:t>
      </w:r>
      <w:r w:rsidRPr="009D3754">
        <w:t>Although, as noted earlier, some NDIA staff felt employment at Australian Disability Enterprises could serve NDIS participants as a stepping stone into the mainstream economy, many doubted this was realistic and, if so, then only for people with less severe disability.</w:t>
      </w:r>
      <w:r>
        <w:t xml:space="preserve"> </w:t>
      </w:r>
      <w:r w:rsidRPr="009D3754">
        <w:t>Moreover, a few NDIA staff felt that Australian Disability Enterprises themselves did not always share this view or aspiration.</w:t>
      </w:r>
      <w:r>
        <w:t xml:space="preserve"> </w:t>
      </w:r>
      <w:r w:rsidRPr="009D3754">
        <w:t>Even if they did, given the sheer number of people with disability outside the labour market, the challenge, for many, was to convince the mainstream employer to employ people with disability.</w:t>
      </w:r>
    </w:p>
    <w:p w:rsidR="00D907AF" w:rsidRPr="009D3754" w:rsidRDefault="00D907AF" w:rsidP="00D907AF"/>
    <w:p w:rsidR="00D907AF" w:rsidRPr="00B61A7D" w:rsidRDefault="00D907AF" w:rsidP="00D907AF">
      <w:pPr>
        <w:ind w:left="720"/>
      </w:pPr>
      <w:r w:rsidRPr="00B61A7D">
        <w:t>‘So we've got a hell of a lot of work to do with mainstream employment providers and businesses around looking at the benefits of employing someone with a disability, and how you might support someone with a disability in work place and make reasonable adjustments, and all those sorts of things.’ (D02N)</w:t>
      </w:r>
    </w:p>
    <w:p w:rsidR="00D907AF" w:rsidRPr="008A5E1B" w:rsidRDefault="00D907AF" w:rsidP="00367B24">
      <w:pPr>
        <w:pStyle w:val="Heading40"/>
      </w:pPr>
      <w:bookmarkStart w:id="121" w:name="_Toc428271243"/>
      <w:bookmarkStart w:id="122" w:name="_Toc449954983"/>
      <w:r>
        <w:t xml:space="preserve">2.5.3.4 </w:t>
      </w:r>
      <w:r w:rsidRPr="008A5E1B">
        <w:t>Suggestions for improvement</w:t>
      </w:r>
      <w:bookmarkEnd w:id="118"/>
      <w:bookmarkEnd w:id="121"/>
      <w:bookmarkEnd w:id="122"/>
    </w:p>
    <w:p w:rsidR="00D907AF" w:rsidRDefault="00D907AF" w:rsidP="00D907AF">
      <w:r w:rsidRPr="00A6513E">
        <w:t xml:space="preserve">In sum, NDIA staff reported considerable and often fast-paced change in the early implementation phase of the </w:t>
      </w:r>
      <w:r>
        <w:t>s</w:t>
      </w:r>
      <w:r w:rsidRPr="00A6513E">
        <w:t>cheme.</w:t>
      </w:r>
      <w:r>
        <w:t xml:space="preserve"> </w:t>
      </w:r>
      <w:r w:rsidRPr="00A6513E">
        <w:t>As policies and procedures evolved, so did staff roles, sometimes resulting in high levels of reported staff stress and fears that the organisational culture was changing and becoming more bureaucratic. The rate of change was subsequently thought to have slowed, and workloads lessened in some tria</w:t>
      </w:r>
      <w:r>
        <w:t>l sites over time. This allowed</w:t>
      </w:r>
      <w:r w:rsidRPr="00A6513E">
        <w:t xml:space="preserve"> some NDIA staff to spend more time with NDIS participants or in the communities, and contributed to markedly improved working conditions. Changes to organisational structures, for example the setting up of specialist teams in some of the trial sites, were also thought beneficial. </w:t>
      </w:r>
    </w:p>
    <w:p w:rsidR="00D907AF" w:rsidRDefault="00D907AF" w:rsidP="00D907AF"/>
    <w:p w:rsidR="00D907AF" w:rsidRPr="009D3754" w:rsidRDefault="00D907AF" w:rsidP="00D907AF">
      <w:r>
        <w:t>Nonetheless</w:t>
      </w:r>
      <w:r w:rsidRPr="009D3754">
        <w:t xml:space="preserve">, respondents made a number of </w:t>
      </w:r>
      <w:r>
        <w:t xml:space="preserve">additional </w:t>
      </w:r>
      <w:r w:rsidRPr="009D3754">
        <w:t>recommendation</w:t>
      </w:r>
      <w:r>
        <w:t>s</w:t>
      </w:r>
      <w:r w:rsidRPr="009D3754">
        <w:t xml:space="preserve"> that they saw </w:t>
      </w:r>
      <w:r>
        <w:t>c</w:t>
      </w:r>
      <w:r w:rsidRPr="009D3754">
        <w:t xml:space="preserve">ould </w:t>
      </w:r>
      <w:r>
        <w:t xml:space="preserve">further </w:t>
      </w:r>
      <w:r w:rsidRPr="009D3754">
        <w:t>improve the operations of the NDIA and, ultimately, benefit N</w:t>
      </w:r>
      <w:r>
        <w:t>D</w:t>
      </w:r>
      <w:r w:rsidRPr="009D3754">
        <w:t>IS participants.</w:t>
      </w:r>
    </w:p>
    <w:p w:rsidR="00D907AF" w:rsidRDefault="00D907AF" w:rsidP="00D907AF">
      <w:pPr>
        <w:rPr>
          <w:rFonts w:ascii="Calibri" w:eastAsia="Calibri" w:hAnsi="Calibri" w:cs="Calibri"/>
        </w:rPr>
      </w:pPr>
    </w:p>
    <w:p w:rsidR="00D907AF" w:rsidRPr="00054E10" w:rsidRDefault="00D907AF" w:rsidP="00D907AF">
      <w:r w:rsidRPr="00054E10">
        <w:t>In order to assist their own work as NDIA employees, respondents wanted to see further improvements to the organisation’s IT systems, and revisions to the workforce and resource model that reflected recent experiences, in particular with respect to time spent doing administrative tasks as opposed to working with NDIS participants.</w:t>
      </w:r>
      <w:r>
        <w:t xml:space="preserve"> </w:t>
      </w:r>
      <w:r w:rsidRPr="00054E10">
        <w:t>Respondents also would like to see more investment in training, including specialist training working with specific disabilities, and professional development opportunities.</w:t>
      </w:r>
      <w:r>
        <w:t xml:space="preserve"> </w:t>
      </w:r>
    </w:p>
    <w:p w:rsidR="00D907AF" w:rsidRPr="00054E10" w:rsidRDefault="00D907AF" w:rsidP="00D907AF"/>
    <w:p w:rsidR="00D907AF" w:rsidRPr="00054E10" w:rsidRDefault="00D907AF" w:rsidP="00D907AF">
      <w:r w:rsidRPr="00054E10">
        <w:t>In order to provide better guidance and assistance to NDIS participants, staff suggested more resources be set aside to prepare participants for planning meeting</w:t>
      </w:r>
      <w:r>
        <w:t>s</w:t>
      </w:r>
      <w:r w:rsidRPr="00054E10">
        <w:t xml:space="preserve"> as well as for the planning meeting</w:t>
      </w:r>
      <w:r>
        <w:t>s</w:t>
      </w:r>
      <w:r w:rsidRPr="00054E10">
        <w:t xml:space="preserve"> themselves. It was also felt that further work was required to improve the transparency and consistency of NDIA procedures across the trial sites.</w:t>
      </w:r>
      <w:r>
        <w:t xml:space="preserve"> </w:t>
      </w:r>
    </w:p>
    <w:p w:rsidR="00D907AF" w:rsidRPr="00054E10" w:rsidRDefault="00D907AF" w:rsidP="00D907AF"/>
    <w:p w:rsidR="00D907AF" w:rsidRPr="00054E10" w:rsidRDefault="00D907AF" w:rsidP="00D907AF">
      <w:r w:rsidRPr="00054E10">
        <w:t xml:space="preserve">In relation to working with participants, NDIA staff thought more consideration should be given to the involvement of advocacy support during the support plan development. Several of our respondents also remarked that the information and documents prepared by the NDIA for NDIS participants </w:t>
      </w:r>
      <w:r>
        <w:t>were</w:t>
      </w:r>
      <w:r w:rsidRPr="00054E10">
        <w:t xml:space="preserve"> not always adequate and should be made more accessible to different audiences. </w:t>
      </w:r>
    </w:p>
    <w:p w:rsidR="00D907AF" w:rsidRPr="00054E10" w:rsidRDefault="00D907AF" w:rsidP="00D907AF"/>
    <w:p w:rsidR="00D907AF" w:rsidRPr="00054E10" w:rsidRDefault="00D907AF" w:rsidP="00D907AF">
      <w:r w:rsidRPr="00054E10">
        <w:t>Finally, respondents stressed the importance of increasing community awareness and understanding of the NDIS in the community, and amongst people with disability and service providers more specifically. It was suggested the NDIA offered more support and capacity building with disability service providers</w:t>
      </w:r>
      <w:r>
        <w:t>,</w:t>
      </w:r>
      <w:r w:rsidRPr="00054E10">
        <w:t xml:space="preserve"> and that it continued to build relationships with the community sector and encourage relationship building within that sector.</w:t>
      </w:r>
    </w:p>
    <w:p w:rsidR="00D907AF" w:rsidRDefault="00D907AF">
      <w:pPr>
        <w:rPr>
          <w:rFonts w:eastAsiaTheme="majorEastAsia" w:cstheme="majorBidi"/>
          <w:b/>
          <w:bCs/>
          <w:sz w:val="26"/>
          <w:szCs w:val="26"/>
        </w:rPr>
      </w:pPr>
      <w:r>
        <w:br w:type="page"/>
      </w:r>
    </w:p>
    <w:p w:rsidR="00D907AF" w:rsidRPr="00F4420D" w:rsidRDefault="00D907AF" w:rsidP="00367B24">
      <w:pPr>
        <w:pStyle w:val="Heading2"/>
      </w:pPr>
      <w:bookmarkStart w:id="123" w:name="_Toc428271244"/>
      <w:bookmarkStart w:id="124" w:name="_Toc449954984"/>
      <w:r>
        <w:lastRenderedPageBreak/>
        <w:t xml:space="preserve">2.6 </w:t>
      </w:r>
      <w:r w:rsidRPr="00F4420D">
        <w:t>Key Evaluation Questions addressed</w:t>
      </w:r>
      <w:bookmarkEnd w:id="123"/>
      <w:bookmarkEnd w:id="124"/>
    </w:p>
    <w:p w:rsidR="00D907AF" w:rsidRPr="00F4420D" w:rsidRDefault="00D907AF" w:rsidP="00D907AF">
      <w:pPr>
        <w:rPr>
          <w:bCs/>
        </w:rPr>
      </w:pPr>
      <w:r w:rsidRPr="00F4420D">
        <w:rPr>
          <w:bCs/>
        </w:rPr>
        <w:t>This chapter brings together evidence reported in the preceding chapters on the Qualitative Impact Evaluation (QIE) and relates it to Key Evaluation Questions (KEQs) that have been identified by the Department and that this study is asked to address.</w:t>
      </w:r>
      <w:r>
        <w:rPr>
          <w:bCs/>
        </w:rPr>
        <w:t xml:space="preserve"> </w:t>
      </w:r>
      <w:r w:rsidRPr="00F4420D">
        <w:rPr>
          <w:bCs/>
        </w:rPr>
        <w:t xml:space="preserve">The QIE has been designed to provide insights and answers to the KEQs over the two waves of </w:t>
      </w:r>
      <w:r w:rsidR="00190419">
        <w:rPr>
          <w:bCs/>
        </w:rPr>
        <w:t>e</w:t>
      </w:r>
      <w:r w:rsidRPr="00F4420D">
        <w:rPr>
          <w:bCs/>
        </w:rPr>
        <w:t>valuation fieldwork. In fact, some of the KEQ</w:t>
      </w:r>
      <w:r>
        <w:rPr>
          <w:bCs/>
        </w:rPr>
        <w:t>s</w:t>
      </w:r>
      <w:r w:rsidRPr="00F4420D">
        <w:rPr>
          <w:bCs/>
        </w:rPr>
        <w:t xml:space="preserve"> can only be answered over two (or indeed more) waves of interviewing as they seek to establish evidence of change, some of which can only be reasonably expected to become observable after some considerable time and may even be beyond the capacity of this </w:t>
      </w:r>
      <w:r w:rsidR="00190419">
        <w:rPr>
          <w:bCs/>
        </w:rPr>
        <w:t>e</w:t>
      </w:r>
      <w:r w:rsidRPr="00F4420D">
        <w:rPr>
          <w:bCs/>
        </w:rPr>
        <w:t>valuation to capture fully.</w:t>
      </w:r>
      <w:r>
        <w:rPr>
          <w:bCs/>
        </w:rPr>
        <w:t xml:space="preserve"> </w:t>
      </w:r>
      <w:r w:rsidRPr="00F4420D">
        <w:rPr>
          <w:bCs/>
        </w:rPr>
        <w:t xml:space="preserve">For this reason, in this Initial report on the </w:t>
      </w:r>
      <w:r w:rsidR="00190419">
        <w:rPr>
          <w:bCs/>
        </w:rPr>
        <w:t>e</w:t>
      </w:r>
      <w:r w:rsidRPr="00F4420D">
        <w:rPr>
          <w:bCs/>
        </w:rPr>
        <w:t xml:space="preserve">valuation, the reporting on KEQs will be limited to those questions for which the </w:t>
      </w:r>
      <w:r w:rsidR="00190419">
        <w:rPr>
          <w:bCs/>
        </w:rPr>
        <w:t>e</w:t>
      </w:r>
      <w:r w:rsidRPr="00F4420D">
        <w:rPr>
          <w:bCs/>
        </w:rPr>
        <w:t>valuation could be reasonably expected to obtain some early indications of change.</w:t>
      </w:r>
    </w:p>
    <w:p w:rsidR="00D907AF" w:rsidRPr="00F4420D" w:rsidRDefault="00D907AF" w:rsidP="00D907AF">
      <w:pPr>
        <w:rPr>
          <w:bCs/>
        </w:rPr>
      </w:pPr>
    </w:p>
    <w:p w:rsidR="00D907AF" w:rsidRPr="00F4420D" w:rsidRDefault="00D907AF" w:rsidP="00D907AF">
      <w:pPr>
        <w:rPr>
          <w:bCs/>
        </w:rPr>
      </w:pPr>
      <w:r w:rsidRPr="00F4420D">
        <w:rPr>
          <w:bCs/>
        </w:rPr>
        <w:t>In practice, this means, after this first round of interviews</w:t>
      </w:r>
      <w:r>
        <w:rPr>
          <w:bCs/>
        </w:rPr>
        <w:t>,</w:t>
      </w:r>
      <w:r w:rsidRPr="00F4420D">
        <w:rPr>
          <w:bCs/>
        </w:rPr>
        <w:t xml:space="preserve"> our reporting on the KEQs </w:t>
      </w:r>
      <w:r>
        <w:rPr>
          <w:bCs/>
        </w:rPr>
        <w:t xml:space="preserve">focuses </w:t>
      </w:r>
      <w:r w:rsidRPr="00F4420D">
        <w:rPr>
          <w:bCs/>
        </w:rPr>
        <w:t>on observations of early operational implementation and NDIS plan development processes, and much less on the wellbeing outcomes for NDIS participants. The assessment of such long term changes would also benefit from cross referencing with the large scale quantitative surveys, where, at least in the case of the NDIS Survey and the NDIS Survey of Families and carers, the inclusion of a comparison group allows for a more robust change assessment.</w:t>
      </w:r>
    </w:p>
    <w:p w:rsidR="00D907AF" w:rsidRPr="00F4420D" w:rsidRDefault="00D907AF" w:rsidP="00D907AF">
      <w:pPr>
        <w:rPr>
          <w:bCs/>
        </w:rPr>
      </w:pPr>
    </w:p>
    <w:p w:rsidR="00D907AF" w:rsidRPr="00F4420D" w:rsidRDefault="00D907AF" w:rsidP="00D907AF">
      <w:pPr>
        <w:rPr>
          <w:bCs/>
        </w:rPr>
        <w:sectPr w:rsidR="00D907AF" w:rsidRPr="00F4420D" w:rsidSect="00D907AF">
          <w:footerReference w:type="default" r:id="rId16"/>
          <w:footerReference w:type="first" r:id="rId17"/>
          <w:pgSz w:w="11906" w:h="16838" w:code="9"/>
          <w:pgMar w:top="1418" w:right="1418" w:bottom="1247" w:left="1418" w:header="709" w:footer="709" w:gutter="0"/>
          <w:pgNumType w:start="1"/>
          <w:cols w:space="709"/>
          <w:titlePg/>
          <w:docGrid w:linePitch="299"/>
        </w:sectPr>
      </w:pPr>
      <w:r w:rsidRPr="00F4420D">
        <w:rPr>
          <w:bCs/>
        </w:rPr>
        <w:t>In order to report on progress made with respect to the KEQs, this chapter breaks with the tradition of the previous ones to report findings not by population group, but by the KEQ supported by contributions from populat</w:t>
      </w:r>
      <w:r>
        <w:rPr>
          <w:bCs/>
        </w:rPr>
        <w:t>ion specific interviews. Table 2.5</w:t>
      </w:r>
      <w:r w:rsidRPr="00F4420D">
        <w:rPr>
          <w:bCs/>
        </w:rPr>
        <w:t xml:space="preserve"> below illustrates the range of KEQs upon which this chapter will comment drawing on fi</w:t>
      </w:r>
      <w:r>
        <w:rPr>
          <w:bCs/>
        </w:rPr>
        <w:t>ndings from</w:t>
      </w:r>
      <w:r w:rsidRPr="00F4420D">
        <w:rPr>
          <w:bCs/>
        </w:rPr>
        <w:t xml:space="preserve"> interviews with people with disability, disability service providers, workforce stakeholder organisations and the NDIA. </w:t>
      </w:r>
    </w:p>
    <w:p w:rsidR="00D907AF" w:rsidRPr="00F4420D" w:rsidRDefault="00D907AF" w:rsidP="0044684E">
      <w:pPr>
        <w:pStyle w:val="NILSTableHeading"/>
      </w:pPr>
      <w:bookmarkStart w:id="125" w:name="_Toc428271193"/>
      <w:bookmarkStart w:id="126" w:name="_Toc449955262"/>
      <w:r w:rsidRPr="008201D8">
        <w:lastRenderedPageBreak/>
        <w:t>Table 2.5: Key Evaluation Questions</w:t>
      </w:r>
      <w:bookmarkEnd w:id="125"/>
      <w:bookmarkEnd w:id="126"/>
    </w:p>
    <w:tbl>
      <w:tblPr>
        <w:tblStyle w:val="TableGrid"/>
        <w:tblW w:w="5026" w:type="pct"/>
        <w:tblLayout w:type="fixed"/>
        <w:tblLook w:val="04A0" w:firstRow="1" w:lastRow="0" w:firstColumn="1" w:lastColumn="0" w:noHBand="0" w:noVBand="1"/>
        <w:tblCaption w:val="Table 2.5 Key Evaluation Questions"/>
        <w:tblDescription w:val="A matrix of Key Evaluation Questions and the Qualitative Studies that inform the questions."/>
      </w:tblPr>
      <w:tblGrid>
        <w:gridCol w:w="947"/>
        <w:gridCol w:w="9101"/>
        <w:gridCol w:w="1409"/>
        <w:gridCol w:w="973"/>
        <w:gridCol w:w="1385"/>
        <w:gridCol w:w="1114"/>
      </w:tblGrid>
      <w:tr w:rsidR="000B6003" w:rsidRPr="00F26365" w:rsidTr="00D13584">
        <w:trPr>
          <w:cantSplit/>
          <w:trHeight w:val="20"/>
          <w:tblHeader/>
        </w:trPr>
        <w:tc>
          <w:tcPr>
            <w:tcW w:w="317" w:type="pct"/>
            <w:tcBorders>
              <w:top w:val="single" w:sz="4" w:space="0" w:color="auto"/>
              <w:bottom w:val="single" w:sz="4" w:space="0" w:color="auto"/>
            </w:tcBorders>
            <w:vAlign w:val="center"/>
            <w:hideMark/>
          </w:tcPr>
          <w:p w:rsidR="00D907AF" w:rsidRPr="00F26365" w:rsidRDefault="0089384F" w:rsidP="00D13584">
            <w:pPr>
              <w:spacing w:before="20" w:after="20"/>
              <w:rPr>
                <w:bCs/>
                <w:sz w:val="20"/>
                <w:szCs w:val="20"/>
              </w:rPr>
            </w:pPr>
            <w:bookmarkStart w:id="127" w:name="Title_2_5"/>
            <w:bookmarkEnd w:id="127"/>
            <w:r>
              <w:rPr>
                <w:bCs/>
                <w:sz w:val="20"/>
                <w:szCs w:val="20"/>
              </w:rPr>
              <w:t>KEQ Number</w:t>
            </w:r>
          </w:p>
        </w:tc>
        <w:tc>
          <w:tcPr>
            <w:tcW w:w="3047" w:type="pct"/>
            <w:tcBorders>
              <w:top w:val="single" w:sz="4" w:space="0" w:color="auto"/>
              <w:bottom w:val="single" w:sz="4" w:space="0" w:color="auto"/>
            </w:tcBorders>
            <w:vAlign w:val="center"/>
            <w:hideMark/>
          </w:tcPr>
          <w:p w:rsidR="0089384F" w:rsidRPr="00F26365" w:rsidRDefault="0089384F" w:rsidP="00D13584">
            <w:pPr>
              <w:spacing w:before="20" w:after="20"/>
              <w:ind w:right="272"/>
              <w:rPr>
                <w:bCs/>
                <w:sz w:val="20"/>
                <w:szCs w:val="20"/>
              </w:rPr>
            </w:pPr>
            <w:r>
              <w:rPr>
                <w:bCs/>
                <w:sz w:val="20"/>
                <w:szCs w:val="20"/>
              </w:rPr>
              <w:t>Key Evaluation Question</w:t>
            </w:r>
          </w:p>
        </w:tc>
        <w:tc>
          <w:tcPr>
            <w:tcW w:w="472" w:type="pct"/>
            <w:tcBorders>
              <w:top w:val="single" w:sz="4" w:space="0" w:color="auto"/>
              <w:bottom w:val="single" w:sz="4" w:space="0" w:color="auto"/>
            </w:tcBorders>
            <w:hideMark/>
          </w:tcPr>
          <w:p w:rsidR="00D907AF" w:rsidRPr="00F26365" w:rsidRDefault="00D907AF" w:rsidP="005735DB">
            <w:pPr>
              <w:spacing w:before="20" w:after="20"/>
              <w:jc w:val="center"/>
              <w:rPr>
                <w:bCs/>
                <w:sz w:val="20"/>
                <w:szCs w:val="20"/>
              </w:rPr>
            </w:pPr>
            <w:r w:rsidRPr="00F26365">
              <w:rPr>
                <w:bCs/>
                <w:sz w:val="20"/>
                <w:szCs w:val="20"/>
              </w:rPr>
              <w:t>People with disability, and their families and carers</w:t>
            </w:r>
          </w:p>
        </w:tc>
        <w:tc>
          <w:tcPr>
            <w:tcW w:w="326" w:type="pct"/>
            <w:tcBorders>
              <w:top w:val="single" w:sz="4" w:space="0" w:color="auto"/>
              <w:bottom w:val="single" w:sz="4" w:space="0" w:color="auto"/>
            </w:tcBorders>
            <w:hideMark/>
          </w:tcPr>
          <w:p w:rsidR="00D907AF" w:rsidRPr="00F26365" w:rsidRDefault="00D907AF" w:rsidP="005735DB">
            <w:pPr>
              <w:spacing w:before="20" w:after="20"/>
              <w:jc w:val="center"/>
              <w:rPr>
                <w:bCs/>
                <w:sz w:val="20"/>
                <w:szCs w:val="20"/>
              </w:rPr>
            </w:pPr>
            <w:r w:rsidRPr="00F26365">
              <w:rPr>
                <w:bCs/>
                <w:sz w:val="20"/>
                <w:szCs w:val="20"/>
              </w:rPr>
              <w:t>Disability Service Providers</w:t>
            </w:r>
          </w:p>
        </w:tc>
        <w:tc>
          <w:tcPr>
            <w:tcW w:w="464" w:type="pct"/>
            <w:tcBorders>
              <w:top w:val="single" w:sz="4" w:space="0" w:color="auto"/>
              <w:bottom w:val="single" w:sz="4" w:space="0" w:color="auto"/>
            </w:tcBorders>
          </w:tcPr>
          <w:p w:rsidR="00D907AF" w:rsidRPr="00F26365" w:rsidRDefault="00D907AF" w:rsidP="005735DB">
            <w:pPr>
              <w:spacing w:before="20" w:after="20"/>
              <w:jc w:val="center"/>
              <w:rPr>
                <w:bCs/>
                <w:sz w:val="20"/>
                <w:szCs w:val="20"/>
              </w:rPr>
            </w:pPr>
            <w:r w:rsidRPr="00F26365">
              <w:rPr>
                <w:bCs/>
                <w:sz w:val="20"/>
                <w:szCs w:val="20"/>
              </w:rPr>
              <w:t xml:space="preserve">Workforce </w:t>
            </w:r>
            <w:r w:rsidR="000B6003">
              <w:rPr>
                <w:bCs/>
                <w:sz w:val="20"/>
                <w:szCs w:val="20"/>
              </w:rPr>
              <w:t xml:space="preserve"> </w:t>
            </w:r>
            <w:r w:rsidRPr="00F26365">
              <w:rPr>
                <w:bCs/>
                <w:sz w:val="20"/>
                <w:szCs w:val="20"/>
              </w:rPr>
              <w:t>stakeholder organisation</w:t>
            </w:r>
            <w:r>
              <w:rPr>
                <w:bCs/>
                <w:sz w:val="20"/>
                <w:szCs w:val="20"/>
              </w:rPr>
              <w:t>s</w:t>
            </w:r>
          </w:p>
        </w:tc>
        <w:tc>
          <w:tcPr>
            <w:tcW w:w="373" w:type="pct"/>
            <w:tcBorders>
              <w:top w:val="single" w:sz="4" w:space="0" w:color="auto"/>
              <w:bottom w:val="single" w:sz="4" w:space="0" w:color="auto"/>
            </w:tcBorders>
            <w:vAlign w:val="center"/>
          </w:tcPr>
          <w:p w:rsidR="00D907AF" w:rsidRPr="00F26365" w:rsidRDefault="00D907AF" w:rsidP="00D13584">
            <w:pPr>
              <w:spacing w:before="20" w:after="20"/>
              <w:jc w:val="center"/>
              <w:rPr>
                <w:bCs/>
                <w:sz w:val="20"/>
                <w:szCs w:val="20"/>
              </w:rPr>
            </w:pPr>
            <w:r w:rsidRPr="00F26365">
              <w:rPr>
                <w:bCs/>
                <w:sz w:val="20"/>
                <w:szCs w:val="20"/>
              </w:rPr>
              <w:t>NDIA staff</w:t>
            </w:r>
          </w:p>
        </w:tc>
      </w:tr>
      <w:tr w:rsidR="000B6003" w:rsidRPr="00F26365" w:rsidTr="008841EE">
        <w:trPr>
          <w:cantSplit/>
          <w:trHeight w:val="20"/>
        </w:trPr>
        <w:tc>
          <w:tcPr>
            <w:tcW w:w="317" w:type="pct"/>
            <w:tcBorders>
              <w:top w:val="single" w:sz="4" w:space="0" w:color="auto"/>
              <w:bottom w:val="single" w:sz="4" w:space="0" w:color="A6A6A6" w:themeColor="background1" w:themeShade="A6"/>
            </w:tcBorders>
            <w:vAlign w:val="center"/>
            <w:hideMark/>
          </w:tcPr>
          <w:p w:rsidR="00D907AF" w:rsidRPr="00F26365" w:rsidRDefault="00D907AF" w:rsidP="00ED26FC">
            <w:pPr>
              <w:spacing w:before="20" w:after="20"/>
              <w:rPr>
                <w:bCs/>
                <w:sz w:val="20"/>
                <w:szCs w:val="20"/>
              </w:rPr>
            </w:pPr>
            <w:r w:rsidRPr="00F26365">
              <w:rPr>
                <w:bCs/>
                <w:sz w:val="20"/>
                <w:szCs w:val="20"/>
              </w:rPr>
              <w:t>2</w:t>
            </w:r>
          </w:p>
        </w:tc>
        <w:tc>
          <w:tcPr>
            <w:tcW w:w="3047" w:type="pct"/>
            <w:tcBorders>
              <w:top w:val="single" w:sz="4" w:space="0" w:color="auto"/>
              <w:bottom w:val="single" w:sz="4" w:space="0" w:color="A6A6A6" w:themeColor="background1" w:themeShade="A6"/>
            </w:tcBorders>
            <w:hideMark/>
          </w:tcPr>
          <w:p w:rsidR="00D907AF" w:rsidRPr="00F26365" w:rsidRDefault="00D907AF" w:rsidP="006C67C2">
            <w:pPr>
              <w:spacing w:before="20" w:after="20"/>
              <w:rPr>
                <w:bCs/>
                <w:sz w:val="20"/>
                <w:szCs w:val="20"/>
              </w:rPr>
            </w:pPr>
            <w:r w:rsidRPr="00F26365">
              <w:rPr>
                <w:bCs/>
                <w:sz w:val="20"/>
                <w:szCs w:val="20"/>
              </w:rPr>
              <w:t xml:space="preserve">To what extent has </w:t>
            </w:r>
            <w:r>
              <w:rPr>
                <w:bCs/>
                <w:sz w:val="20"/>
                <w:szCs w:val="20"/>
              </w:rPr>
              <w:t>the</w:t>
            </w:r>
            <w:r w:rsidRPr="00F26365">
              <w:rPr>
                <w:bCs/>
                <w:sz w:val="20"/>
                <w:szCs w:val="20"/>
              </w:rPr>
              <w:t xml:space="preserve"> NDIS contributed to changes in social and economic participation (including employment, education and the ability to express wishes and have them respected) for people with disability, their families and carers?</w:t>
            </w:r>
          </w:p>
        </w:tc>
        <w:tc>
          <w:tcPr>
            <w:tcW w:w="472" w:type="pct"/>
            <w:tcBorders>
              <w:top w:val="single" w:sz="4" w:space="0" w:color="auto"/>
              <w:bottom w:val="single" w:sz="4" w:space="0" w:color="A6A6A6" w:themeColor="background1" w:themeShade="A6"/>
            </w:tcBorders>
            <w:vAlign w:val="center"/>
            <w:hideMark/>
          </w:tcPr>
          <w:p w:rsidR="000B6003" w:rsidRPr="00E136D8" w:rsidRDefault="00E136D8" w:rsidP="00F1625C">
            <w:pPr>
              <w:spacing w:before="20" w:after="20"/>
              <w:jc w:val="center"/>
              <w:rPr>
                <w:bCs/>
                <w:sz w:val="20"/>
                <w:szCs w:val="20"/>
              </w:rPr>
            </w:pPr>
            <w:r>
              <w:rPr>
                <w:bCs/>
                <w:sz w:val="20"/>
                <w:szCs w:val="20"/>
              </w:rPr>
              <w:t>Yes</w:t>
            </w:r>
          </w:p>
        </w:tc>
        <w:tc>
          <w:tcPr>
            <w:tcW w:w="326" w:type="pct"/>
            <w:tcBorders>
              <w:top w:val="single" w:sz="4" w:space="0" w:color="auto"/>
              <w:bottom w:val="single" w:sz="4" w:space="0" w:color="A6A6A6" w:themeColor="background1" w:themeShade="A6"/>
            </w:tcBorders>
            <w:vAlign w:val="center"/>
            <w:hideMark/>
          </w:tcPr>
          <w:p w:rsidR="00D907AF" w:rsidRPr="00C41809" w:rsidRDefault="00C41809" w:rsidP="00F1625C">
            <w:pPr>
              <w:spacing w:before="20" w:after="20"/>
              <w:jc w:val="center"/>
              <w:rPr>
                <w:bCs/>
                <w:color w:val="FFFFFF" w:themeColor="background1"/>
                <w:sz w:val="20"/>
                <w:szCs w:val="20"/>
              </w:rPr>
            </w:pPr>
            <w:r w:rsidRPr="00C41809">
              <w:rPr>
                <w:bCs/>
                <w:color w:val="FFFFFF" w:themeColor="background1"/>
                <w:sz w:val="20"/>
                <w:szCs w:val="20"/>
              </w:rPr>
              <w:t>No</w:t>
            </w:r>
          </w:p>
        </w:tc>
        <w:tc>
          <w:tcPr>
            <w:tcW w:w="464" w:type="pct"/>
            <w:tcBorders>
              <w:top w:val="single" w:sz="4" w:space="0" w:color="auto"/>
              <w:bottom w:val="single" w:sz="4" w:space="0" w:color="A6A6A6" w:themeColor="background1" w:themeShade="A6"/>
            </w:tcBorders>
            <w:vAlign w:val="center"/>
          </w:tcPr>
          <w:p w:rsidR="00D907AF" w:rsidRPr="00C41809" w:rsidRDefault="00C41809" w:rsidP="00F1625C">
            <w:pPr>
              <w:spacing w:before="20" w:after="20"/>
              <w:jc w:val="center"/>
              <w:rPr>
                <w:bCs/>
                <w:color w:val="FFFFFF" w:themeColor="background1"/>
                <w:sz w:val="20"/>
                <w:szCs w:val="20"/>
              </w:rPr>
            </w:pPr>
            <w:r w:rsidRPr="00C41809">
              <w:rPr>
                <w:bCs/>
                <w:color w:val="FFFFFF" w:themeColor="background1"/>
                <w:sz w:val="20"/>
                <w:szCs w:val="20"/>
              </w:rPr>
              <w:t>No</w:t>
            </w:r>
          </w:p>
        </w:tc>
        <w:tc>
          <w:tcPr>
            <w:tcW w:w="373" w:type="pct"/>
            <w:tcBorders>
              <w:top w:val="single" w:sz="4" w:space="0" w:color="auto"/>
              <w:bottom w:val="single" w:sz="4" w:space="0" w:color="A6A6A6" w:themeColor="background1" w:themeShade="A6"/>
            </w:tcBorders>
            <w:vAlign w:val="center"/>
          </w:tcPr>
          <w:p w:rsidR="00D907AF" w:rsidRPr="00E136D8" w:rsidRDefault="00AD099A" w:rsidP="00F1625C">
            <w:pPr>
              <w:spacing w:before="20" w:after="20"/>
              <w:jc w:val="center"/>
              <w:rPr>
                <w:bCs/>
                <w:sz w:val="20"/>
                <w:szCs w:val="20"/>
              </w:rPr>
            </w:pPr>
            <w:r>
              <w:rPr>
                <w:bCs/>
                <w:sz w:val="20"/>
                <w:szCs w:val="20"/>
              </w:rPr>
              <w:t>Yes</w:t>
            </w:r>
          </w:p>
        </w:tc>
      </w:tr>
      <w:tr w:rsidR="00C41809" w:rsidRPr="00F26365" w:rsidTr="008841EE">
        <w:trPr>
          <w:cantSplit/>
          <w:trHeight w:val="20"/>
        </w:trPr>
        <w:tc>
          <w:tcPr>
            <w:tcW w:w="317" w:type="pct"/>
            <w:tcBorders>
              <w:top w:val="single" w:sz="4" w:space="0" w:color="A6A6A6" w:themeColor="background1" w:themeShade="A6"/>
              <w:bottom w:val="single" w:sz="4" w:space="0" w:color="A6A6A6" w:themeColor="background1" w:themeShade="A6"/>
            </w:tcBorders>
            <w:vAlign w:val="center"/>
            <w:hideMark/>
          </w:tcPr>
          <w:p w:rsidR="00C41809" w:rsidRPr="00F26365" w:rsidRDefault="00C41809" w:rsidP="00ED26FC">
            <w:pPr>
              <w:spacing w:before="20" w:after="20"/>
              <w:rPr>
                <w:bCs/>
                <w:sz w:val="20"/>
                <w:szCs w:val="20"/>
              </w:rPr>
            </w:pPr>
            <w:r w:rsidRPr="00F26365">
              <w:rPr>
                <w:bCs/>
                <w:sz w:val="20"/>
                <w:szCs w:val="20"/>
              </w:rPr>
              <w:t>4</w:t>
            </w:r>
          </w:p>
        </w:tc>
        <w:tc>
          <w:tcPr>
            <w:tcW w:w="3047" w:type="pct"/>
            <w:tcBorders>
              <w:top w:val="single" w:sz="4" w:space="0" w:color="A6A6A6" w:themeColor="background1" w:themeShade="A6"/>
              <w:bottom w:val="single" w:sz="4" w:space="0" w:color="A6A6A6" w:themeColor="background1" w:themeShade="A6"/>
            </w:tcBorders>
            <w:hideMark/>
          </w:tcPr>
          <w:p w:rsidR="00C41809" w:rsidRPr="00F26365" w:rsidRDefault="00C41809" w:rsidP="006C67C2">
            <w:pPr>
              <w:spacing w:before="20" w:after="20"/>
              <w:ind w:right="272"/>
              <w:rPr>
                <w:bCs/>
                <w:sz w:val="20"/>
                <w:szCs w:val="20"/>
              </w:rPr>
            </w:pPr>
            <w:r w:rsidRPr="00F26365">
              <w:rPr>
                <w:bCs/>
                <w:sz w:val="20"/>
                <w:szCs w:val="20"/>
              </w:rPr>
              <w:t>To what extent has an NDIS enabled people with disability, their families and carers to have increased choice and control over their supports?</w:t>
            </w:r>
          </w:p>
        </w:tc>
        <w:tc>
          <w:tcPr>
            <w:tcW w:w="472" w:type="pct"/>
            <w:tcBorders>
              <w:top w:val="single" w:sz="4" w:space="0" w:color="A6A6A6" w:themeColor="background1" w:themeShade="A6"/>
              <w:bottom w:val="single" w:sz="4" w:space="0" w:color="A6A6A6" w:themeColor="background1" w:themeShade="A6"/>
            </w:tcBorders>
            <w:vAlign w:val="center"/>
            <w:hideMark/>
          </w:tcPr>
          <w:p w:rsidR="00C41809" w:rsidRPr="00E136D8" w:rsidRDefault="00C41809" w:rsidP="00F1625C">
            <w:pPr>
              <w:spacing w:before="20" w:after="20"/>
              <w:jc w:val="center"/>
              <w:rPr>
                <w:bCs/>
                <w:sz w:val="20"/>
                <w:szCs w:val="20"/>
              </w:rPr>
            </w:pPr>
            <w:r>
              <w:rPr>
                <w:bCs/>
                <w:sz w:val="20"/>
                <w:szCs w:val="20"/>
              </w:rPr>
              <w:t>Yes</w:t>
            </w:r>
          </w:p>
        </w:tc>
        <w:tc>
          <w:tcPr>
            <w:tcW w:w="326" w:type="pct"/>
            <w:tcBorders>
              <w:top w:val="single" w:sz="4" w:space="0" w:color="A6A6A6" w:themeColor="background1" w:themeShade="A6"/>
              <w:bottom w:val="single" w:sz="4" w:space="0" w:color="A6A6A6" w:themeColor="background1" w:themeShade="A6"/>
            </w:tcBorders>
            <w:vAlign w:val="center"/>
            <w:hideMark/>
          </w:tcPr>
          <w:p w:rsidR="00C41809" w:rsidRPr="00C41809" w:rsidRDefault="00C41809" w:rsidP="00F1625C">
            <w:pPr>
              <w:spacing w:before="20" w:after="20"/>
              <w:jc w:val="center"/>
              <w:rPr>
                <w:bCs/>
                <w:color w:val="FFFFFF" w:themeColor="background1"/>
                <w:sz w:val="20"/>
                <w:szCs w:val="20"/>
              </w:rPr>
            </w:pPr>
            <w:r w:rsidRPr="00C41809">
              <w:rPr>
                <w:bCs/>
                <w:color w:val="FFFFFF" w:themeColor="background1"/>
                <w:sz w:val="20"/>
                <w:szCs w:val="20"/>
              </w:rPr>
              <w:t>No</w:t>
            </w:r>
          </w:p>
        </w:tc>
        <w:tc>
          <w:tcPr>
            <w:tcW w:w="464" w:type="pct"/>
            <w:tcBorders>
              <w:top w:val="single" w:sz="4" w:space="0" w:color="A6A6A6" w:themeColor="background1" w:themeShade="A6"/>
              <w:bottom w:val="single" w:sz="4" w:space="0" w:color="A6A6A6" w:themeColor="background1" w:themeShade="A6"/>
            </w:tcBorders>
            <w:vAlign w:val="center"/>
          </w:tcPr>
          <w:p w:rsidR="00C41809" w:rsidRPr="00C41809" w:rsidRDefault="00C41809" w:rsidP="00F1625C">
            <w:pPr>
              <w:spacing w:before="20" w:after="20"/>
              <w:jc w:val="center"/>
              <w:rPr>
                <w:bCs/>
                <w:color w:val="FFFFFF" w:themeColor="background1"/>
                <w:sz w:val="20"/>
                <w:szCs w:val="20"/>
              </w:rPr>
            </w:pPr>
            <w:r w:rsidRPr="00C41809">
              <w:rPr>
                <w:bCs/>
                <w:color w:val="FFFFFF" w:themeColor="background1"/>
                <w:sz w:val="20"/>
                <w:szCs w:val="20"/>
              </w:rPr>
              <w:t>No</w:t>
            </w:r>
          </w:p>
        </w:tc>
        <w:tc>
          <w:tcPr>
            <w:tcW w:w="373" w:type="pct"/>
            <w:tcBorders>
              <w:top w:val="single" w:sz="4" w:space="0" w:color="A6A6A6" w:themeColor="background1" w:themeShade="A6"/>
              <w:bottom w:val="single" w:sz="4" w:space="0" w:color="A6A6A6" w:themeColor="background1" w:themeShade="A6"/>
            </w:tcBorders>
            <w:vAlign w:val="center"/>
          </w:tcPr>
          <w:p w:rsidR="00C41809" w:rsidRPr="00E136D8" w:rsidRDefault="00C41809" w:rsidP="00F1625C">
            <w:pPr>
              <w:spacing w:before="20" w:after="20"/>
              <w:jc w:val="center"/>
              <w:rPr>
                <w:bCs/>
                <w:sz w:val="20"/>
                <w:szCs w:val="20"/>
              </w:rPr>
            </w:pPr>
            <w:r>
              <w:rPr>
                <w:bCs/>
                <w:sz w:val="20"/>
                <w:szCs w:val="20"/>
              </w:rPr>
              <w:t>Yes</w:t>
            </w:r>
          </w:p>
        </w:tc>
      </w:tr>
      <w:tr w:rsidR="000B6003" w:rsidRPr="00F26365" w:rsidTr="008841EE">
        <w:trPr>
          <w:cantSplit/>
          <w:trHeight w:val="20"/>
        </w:trPr>
        <w:tc>
          <w:tcPr>
            <w:tcW w:w="317" w:type="pct"/>
            <w:tcBorders>
              <w:top w:val="single" w:sz="4" w:space="0" w:color="A6A6A6" w:themeColor="background1" w:themeShade="A6"/>
              <w:bottom w:val="single" w:sz="4" w:space="0" w:color="A6A6A6" w:themeColor="background1" w:themeShade="A6"/>
            </w:tcBorders>
            <w:vAlign w:val="center"/>
            <w:hideMark/>
          </w:tcPr>
          <w:p w:rsidR="00D907AF" w:rsidRPr="00F26365" w:rsidRDefault="00D907AF" w:rsidP="00ED26FC">
            <w:pPr>
              <w:spacing w:before="20" w:after="20"/>
              <w:rPr>
                <w:bCs/>
                <w:sz w:val="20"/>
                <w:szCs w:val="20"/>
              </w:rPr>
            </w:pPr>
            <w:r w:rsidRPr="00F26365">
              <w:rPr>
                <w:bCs/>
                <w:sz w:val="20"/>
                <w:szCs w:val="20"/>
              </w:rPr>
              <w:t>5</w:t>
            </w:r>
          </w:p>
        </w:tc>
        <w:tc>
          <w:tcPr>
            <w:tcW w:w="3047" w:type="pct"/>
            <w:tcBorders>
              <w:top w:val="single" w:sz="4" w:space="0" w:color="A6A6A6" w:themeColor="background1" w:themeShade="A6"/>
              <w:bottom w:val="single" w:sz="4" w:space="0" w:color="A6A6A6" w:themeColor="background1" w:themeShade="A6"/>
            </w:tcBorders>
            <w:hideMark/>
          </w:tcPr>
          <w:p w:rsidR="00D907AF" w:rsidRPr="00F26365" w:rsidRDefault="00D907AF" w:rsidP="006C67C2">
            <w:pPr>
              <w:spacing w:before="20" w:after="20"/>
              <w:ind w:right="272"/>
              <w:rPr>
                <w:bCs/>
                <w:sz w:val="20"/>
                <w:szCs w:val="20"/>
              </w:rPr>
            </w:pPr>
            <w:r w:rsidRPr="00F26365">
              <w:rPr>
                <w:bCs/>
                <w:sz w:val="20"/>
                <w:szCs w:val="20"/>
              </w:rPr>
              <w:t>To what extent did people have increased choice and control over the development and implementation of their plan?</w:t>
            </w:r>
          </w:p>
        </w:tc>
        <w:tc>
          <w:tcPr>
            <w:tcW w:w="472" w:type="pct"/>
            <w:tcBorders>
              <w:top w:val="single" w:sz="4" w:space="0" w:color="A6A6A6" w:themeColor="background1" w:themeShade="A6"/>
              <w:bottom w:val="single" w:sz="4" w:space="0" w:color="A6A6A6" w:themeColor="background1" w:themeShade="A6"/>
            </w:tcBorders>
            <w:vAlign w:val="center"/>
            <w:hideMark/>
          </w:tcPr>
          <w:p w:rsidR="00D907AF" w:rsidRPr="00E136D8" w:rsidRDefault="00E136D8" w:rsidP="00F1625C">
            <w:pPr>
              <w:spacing w:before="20" w:after="20"/>
              <w:jc w:val="center"/>
              <w:rPr>
                <w:bCs/>
                <w:sz w:val="20"/>
                <w:szCs w:val="20"/>
              </w:rPr>
            </w:pPr>
            <w:r>
              <w:rPr>
                <w:bCs/>
                <w:sz w:val="20"/>
                <w:szCs w:val="20"/>
              </w:rPr>
              <w:t>Yes</w:t>
            </w:r>
          </w:p>
        </w:tc>
        <w:tc>
          <w:tcPr>
            <w:tcW w:w="326" w:type="pct"/>
            <w:tcBorders>
              <w:top w:val="single" w:sz="4" w:space="0" w:color="A6A6A6" w:themeColor="background1" w:themeShade="A6"/>
              <w:bottom w:val="single" w:sz="4" w:space="0" w:color="A6A6A6" w:themeColor="background1" w:themeShade="A6"/>
            </w:tcBorders>
            <w:vAlign w:val="center"/>
            <w:hideMark/>
          </w:tcPr>
          <w:p w:rsidR="00D907AF" w:rsidRPr="00C41809" w:rsidRDefault="00C41809" w:rsidP="00F1625C">
            <w:pPr>
              <w:spacing w:before="20" w:after="20"/>
              <w:jc w:val="center"/>
              <w:rPr>
                <w:bCs/>
                <w:color w:val="FFFFFF" w:themeColor="background1"/>
                <w:sz w:val="20"/>
                <w:szCs w:val="20"/>
              </w:rPr>
            </w:pPr>
            <w:r w:rsidRPr="00C41809">
              <w:rPr>
                <w:bCs/>
                <w:color w:val="FFFFFF" w:themeColor="background1"/>
                <w:sz w:val="20"/>
                <w:szCs w:val="20"/>
              </w:rPr>
              <w:t>No</w:t>
            </w:r>
          </w:p>
        </w:tc>
        <w:tc>
          <w:tcPr>
            <w:tcW w:w="464" w:type="pct"/>
            <w:tcBorders>
              <w:top w:val="single" w:sz="4" w:space="0" w:color="A6A6A6" w:themeColor="background1" w:themeShade="A6"/>
              <w:bottom w:val="single" w:sz="4" w:space="0" w:color="A6A6A6" w:themeColor="background1" w:themeShade="A6"/>
            </w:tcBorders>
            <w:vAlign w:val="center"/>
          </w:tcPr>
          <w:p w:rsidR="00D907AF" w:rsidRPr="00C41809" w:rsidRDefault="00C41809" w:rsidP="00F1625C">
            <w:pPr>
              <w:spacing w:before="20" w:after="20"/>
              <w:jc w:val="center"/>
              <w:rPr>
                <w:bCs/>
                <w:color w:val="FFFFFF" w:themeColor="background1"/>
                <w:sz w:val="20"/>
                <w:szCs w:val="20"/>
              </w:rPr>
            </w:pPr>
            <w:r w:rsidRPr="00C41809">
              <w:rPr>
                <w:bCs/>
                <w:color w:val="FFFFFF" w:themeColor="background1"/>
                <w:sz w:val="20"/>
                <w:szCs w:val="20"/>
              </w:rPr>
              <w:t>No</w:t>
            </w:r>
          </w:p>
        </w:tc>
        <w:tc>
          <w:tcPr>
            <w:tcW w:w="373" w:type="pct"/>
            <w:tcBorders>
              <w:top w:val="single" w:sz="4" w:space="0" w:color="A6A6A6" w:themeColor="background1" w:themeShade="A6"/>
              <w:bottom w:val="single" w:sz="4" w:space="0" w:color="A6A6A6" w:themeColor="background1" w:themeShade="A6"/>
            </w:tcBorders>
            <w:vAlign w:val="center"/>
          </w:tcPr>
          <w:p w:rsidR="00D907AF" w:rsidRPr="00E136D8" w:rsidRDefault="00AD099A" w:rsidP="00F1625C">
            <w:pPr>
              <w:spacing w:before="20" w:after="20"/>
              <w:jc w:val="center"/>
              <w:rPr>
                <w:bCs/>
                <w:sz w:val="20"/>
                <w:szCs w:val="20"/>
              </w:rPr>
            </w:pPr>
            <w:r>
              <w:rPr>
                <w:bCs/>
                <w:sz w:val="20"/>
                <w:szCs w:val="20"/>
              </w:rPr>
              <w:t>Yes</w:t>
            </w:r>
          </w:p>
        </w:tc>
      </w:tr>
      <w:tr w:rsidR="000B6003" w:rsidRPr="00F26365" w:rsidTr="008841EE">
        <w:trPr>
          <w:cantSplit/>
          <w:trHeight w:val="397"/>
        </w:trPr>
        <w:tc>
          <w:tcPr>
            <w:tcW w:w="317" w:type="pct"/>
            <w:tcBorders>
              <w:top w:val="single" w:sz="4" w:space="0" w:color="A6A6A6" w:themeColor="background1" w:themeShade="A6"/>
              <w:bottom w:val="single" w:sz="4" w:space="0" w:color="A6A6A6" w:themeColor="background1" w:themeShade="A6"/>
            </w:tcBorders>
            <w:noWrap/>
            <w:vAlign w:val="center"/>
            <w:hideMark/>
          </w:tcPr>
          <w:p w:rsidR="00D907AF" w:rsidRPr="00F26365" w:rsidRDefault="00D907AF" w:rsidP="00ED26FC">
            <w:pPr>
              <w:spacing w:before="20" w:after="20"/>
              <w:rPr>
                <w:bCs/>
                <w:sz w:val="20"/>
                <w:szCs w:val="20"/>
              </w:rPr>
            </w:pPr>
            <w:r w:rsidRPr="00F26365">
              <w:rPr>
                <w:bCs/>
                <w:sz w:val="20"/>
                <w:szCs w:val="20"/>
              </w:rPr>
              <w:t>8</w:t>
            </w:r>
          </w:p>
        </w:tc>
        <w:tc>
          <w:tcPr>
            <w:tcW w:w="3047" w:type="pct"/>
            <w:tcBorders>
              <w:top w:val="single" w:sz="4" w:space="0" w:color="A6A6A6" w:themeColor="background1" w:themeShade="A6"/>
              <w:bottom w:val="single" w:sz="4" w:space="0" w:color="A6A6A6" w:themeColor="background1" w:themeShade="A6"/>
            </w:tcBorders>
            <w:noWrap/>
            <w:vAlign w:val="center"/>
            <w:hideMark/>
          </w:tcPr>
          <w:p w:rsidR="00D907AF" w:rsidRPr="00977519" w:rsidRDefault="00D907AF" w:rsidP="00ED26FC">
            <w:pPr>
              <w:spacing w:before="20" w:after="20"/>
              <w:ind w:right="272"/>
              <w:rPr>
                <w:bCs/>
                <w:iCs/>
                <w:sz w:val="20"/>
                <w:szCs w:val="20"/>
              </w:rPr>
            </w:pPr>
            <w:r w:rsidRPr="00F26365">
              <w:rPr>
                <w:bCs/>
                <w:iCs/>
                <w:sz w:val="20"/>
                <w:szCs w:val="20"/>
              </w:rPr>
              <w:t>How have people responded to increased choice and control?</w:t>
            </w:r>
          </w:p>
        </w:tc>
        <w:tc>
          <w:tcPr>
            <w:tcW w:w="472" w:type="pct"/>
            <w:tcBorders>
              <w:top w:val="single" w:sz="4" w:space="0" w:color="A6A6A6" w:themeColor="background1" w:themeShade="A6"/>
              <w:bottom w:val="single" w:sz="4" w:space="0" w:color="A6A6A6" w:themeColor="background1" w:themeShade="A6"/>
            </w:tcBorders>
            <w:vAlign w:val="center"/>
            <w:hideMark/>
          </w:tcPr>
          <w:p w:rsidR="00D907AF" w:rsidRPr="00C41809" w:rsidRDefault="00C41809" w:rsidP="00F1625C">
            <w:pPr>
              <w:spacing w:before="20" w:after="20"/>
              <w:jc w:val="center"/>
              <w:rPr>
                <w:bCs/>
                <w:color w:val="FFFFFF" w:themeColor="background1"/>
                <w:sz w:val="20"/>
                <w:szCs w:val="20"/>
              </w:rPr>
            </w:pPr>
            <w:r w:rsidRPr="00C41809">
              <w:rPr>
                <w:bCs/>
                <w:color w:val="FFFFFF" w:themeColor="background1"/>
                <w:sz w:val="20"/>
                <w:szCs w:val="20"/>
              </w:rPr>
              <w:t>No</w:t>
            </w:r>
          </w:p>
        </w:tc>
        <w:tc>
          <w:tcPr>
            <w:tcW w:w="326" w:type="pct"/>
            <w:tcBorders>
              <w:top w:val="single" w:sz="4" w:space="0" w:color="A6A6A6" w:themeColor="background1" w:themeShade="A6"/>
              <w:bottom w:val="single" w:sz="4" w:space="0" w:color="A6A6A6" w:themeColor="background1" w:themeShade="A6"/>
            </w:tcBorders>
            <w:vAlign w:val="center"/>
            <w:hideMark/>
          </w:tcPr>
          <w:p w:rsidR="00D907AF" w:rsidRPr="00C41809" w:rsidRDefault="00C41809" w:rsidP="00F1625C">
            <w:pPr>
              <w:spacing w:before="20" w:after="20"/>
              <w:jc w:val="center"/>
              <w:rPr>
                <w:bCs/>
                <w:color w:val="FFFFFF" w:themeColor="background1"/>
                <w:sz w:val="20"/>
                <w:szCs w:val="20"/>
              </w:rPr>
            </w:pPr>
            <w:r w:rsidRPr="00C41809">
              <w:rPr>
                <w:bCs/>
                <w:color w:val="FFFFFF" w:themeColor="background1"/>
                <w:sz w:val="20"/>
                <w:szCs w:val="20"/>
              </w:rPr>
              <w:t>No</w:t>
            </w:r>
          </w:p>
        </w:tc>
        <w:tc>
          <w:tcPr>
            <w:tcW w:w="464" w:type="pct"/>
            <w:tcBorders>
              <w:top w:val="single" w:sz="4" w:space="0" w:color="A6A6A6" w:themeColor="background1" w:themeShade="A6"/>
              <w:bottom w:val="single" w:sz="4" w:space="0" w:color="A6A6A6" w:themeColor="background1" w:themeShade="A6"/>
            </w:tcBorders>
            <w:vAlign w:val="center"/>
          </w:tcPr>
          <w:p w:rsidR="00D907AF" w:rsidRPr="00C41809" w:rsidRDefault="00C41809" w:rsidP="00F1625C">
            <w:pPr>
              <w:spacing w:before="20" w:after="20"/>
              <w:jc w:val="center"/>
              <w:rPr>
                <w:bCs/>
                <w:color w:val="FFFFFF" w:themeColor="background1"/>
                <w:sz w:val="20"/>
                <w:szCs w:val="20"/>
              </w:rPr>
            </w:pPr>
            <w:r w:rsidRPr="00C41809">
              <w:rPr>
                <w:bCs/>
                <w:color w:val="FFFFFF" w:themeColor="background1"/>
                <w:sz w:val="20"/>
                <w:szCs w:val="20"/>
              </w:rPr>
              <w:t>No</w:t>
            </w:r>
          </w:p>
        </w:tc>
        <w:tc>
          <w:tcPr>
            <w:tcW w:w="373" w:type="pct"/>
            <w:tcBorders>
              <w:top w:val="single" w:sz="4" w:space="0" w:color="A6A6A6" w:themeColor="background1" w:themeShade="A6"/>
              <w:bottom w:val="single" w:sz="4" w:space="0" w:color="A6A6A6" w:themeColor="background1" w:themeShade="A6"/>
            </w:tcBorders>
            <w:vAlign w:val="center"/>
          </w:tcPr>
          <w:p w:rsidR="00D907AF" w:rsidRPr="00E136D8" w:rsidRDefault="00AD099A" w:rsidP="00F1625C">
            <w:pPr>
              <w:spacing w:before="20" w:after="20"/>
              <w:jc w:val="center"/>
              <w:rPr>
                <w:bCs/>
                <w:sz w:val="20"/>
                <w:szCs w:val="20"/>
              </w:rPr>
            </w:pPr>
            <w:r>
              <w:rPr>
                <w:bCs/>
                <w:sz w:val="20"/>
                <w:szCs w:val="20"/>
              </w:rPr>
              <w:t>Yes</w:t>
            </w:r>
          </w:p>
        </w:tc>
      </w:tr>
      <w:tr w:rsidR="000B6003" w:rsidRPr="00F26365" w:rsidTr="002C7E3B">
        <w:trPr>
          <w:cantSplit/>
          <w:trHeight w:val="20"/>
        </w:trPr>
        <w:tc>
          <w:tcPr>
            <w:tcW w:w="317" w:type="pct"/>
            <w:tcBorders>
              <w:top w:val="single" w:sz="4" w:space="0" w:color="A6A6A6" w:themeColor="background1" w:themeShade="A6"/>
              <w:bottom w:val="single" w:sz="4" w:space="0" w:color="A6A6A6" w:themeColor="background1" w:themeShade="A6"/>
            </w:tcBorders>
            <w:noWrap/>
            <w:vAlign w:val="center"/>
            <w:hideMark/>
          </w:tcPr>
          <w:p w:rsidR="00D907AF" w:rsidRPr="00F26365" w:rsidRDefault="00D907AF" w:rsidP="00ED26FC">
            <w:pPr>
              <w:spacing w:before="20" w:after="20"/>
              <w:rPr>
                <w:bCs/>
                <w:sz w:val="20"/>
                <w:szCs w:val="20"/>
              </w:rPr>
            </w:pPr>
            <w:r w:rsidRPr="00F26365">
              <w:rPr>
                <w:bCs/>
                <w:sz w:val="20"/>
                <w:szCs w:val="20"/>
              </w:rPr>
              <w:t>9</w:t>
            </w:r>
          </w:p>
        </w:tc>
        <w:tc>
          <w:tcPr>
            <w:tcW w:w="3047" w:type="pct"/>
            <w:tcBorders>
              <w:top w:val="single" w:sz="4" w:space="0" w:color="A6A6A6" w:themeColor="background1" w:themeShade="A6"/>
              <w:bottom w:val="single" w:sz="4" w:space="0" w:color="A6A6A6" w:themeColor="background1" w:themeShade="A6"/>
            </w:tcBorders>
            <w:hideMark/>
          </w:tcPr>
          <w:p w:rsidR="00D907AF" w:rsidRPr="00F26365" w:rsidRDefault="00D907AF" w:rsidP="006C67C2">
            <w:pPr>
              <w:spacing w:before="20" w:after="20"/>
              <w:ind w:right="272"/>
              <w:rPr>
                <w:bCs/>
                <w:sz w:val="20"/>
                <w:szCs w:val="20"/>
              </w:rPr>
            </w:pPr>
            <w:r w:rsidRPr="00F26365">
              <w:rPr>
                <w:bCs/>
                <w:sz w:val="20"/>
                <w:szCs w:val="20"/>
              </w:rPr>
              <w:t>To what extent has there been an appropriate balance between choice and control and safeguards for vulnerable people?</w:t>
            </w:r>
          </w:p>
        </w:tc>
        <w:tc>
          <w:tcPr>
            <w:tcW w:w="472" w:type="pct"/>
            <w:tcBorders>
              <w:top w:val="single" w:sz="4" w:space="0" w:color="A6A6A6" w:themeColor="background1" w:themeShade="A6"/>
              <w:bottom w:val="single" w:sz="4" w:space="0" w:color="A6A6A6" w:themeColor="background1" w:themeShade="A6"/>
            </w:tcBorders>
            <w:vAlign w:val="center"/>
            <w:hideMark/>
          </w:tcPr>
          <w:p w:rsidR="00D907AF" w:rsidRPr="00C41809" w:rsidRDefault="00C41809" w:rsidP="00F1625C">
            <w:pPr>
              <w:spacing w:before="20" w:after="20"/>
              <w:jc w:val="center"/>
              <w:rPr>
                <w:bCs/>
                <w:color w:val="FFFFFF" w:themeColor="background1"/>
                <w:sz w:val="20"/>
                <w:szCs w:val="20"/>
              </w:rPr>
            </w:pPr>
            <w:r w:rsidRPr="00C41809">
              <w:rPr>
                <w:bCs/>
                <w:color w:val="FFFFFF" w:themeColor="background1"/>
                <w:sz w:val="20"/>
                <w:szCs w:val="20"/>
              </w:rPr>
              <w:t>No</w:t>
            </w:r>
          </w:p>
        </w:tc>
        <w:tc>
          <w:tcPr>
            <w:tcW w:w="326" w:type="pct"/>
            <w:tcBorders>
              <w:top w:val="single" w:sz="4" w:space="0" w:color="A6A6A6" w:themeColor="background1" w:themeShade="A6"/>
              <w:bottom w:val="single" w:sz="4" w:space="0" w:color="A6A6A6" w:themeColor="background1" w:themeShade="A6"/>
            </w:tcBorders>
            <w:vAlign w:val="center"/>
            <w:hideMark/>
          </w:tcPr>
          <w:p w:rsidR="00D907AF" w:rsidRPr="00C41809" w:rsidRDefault="00C41809" w:rsidP="00F1625C">
            <w:pPr>
              <w:spacing w:before="20" w:after="20"/>
              <w:jc w:val="center"/>
              <w:rPr>
                <w:bCs/>
                <w:color w:val="FFFFFF" w:themeColor="background1"/>
                <w:sz w:val="20"/>
                <w:szCs w:val="20"/>
              </w:rPr>
            </w:pPr>
            <w:r w:rsidRPr="00C41809">
              <w:rPr>
                <w:bCs/>
                <w:color w:val="FFFFFF" w:themeColor="background1"/>
                <w:sz w:val="20"/>
                <w:szCs w:val="20"/>
              </w:rPr>
              <w:t>No</w:t>
            </w:r>
          </w:p>
        </w:tc>
        <w:tc>
          <w:tcPr>
            <w:tcW w:w="464" w:type="pct"/>
            <w:tcBorders>
              <w:top w:val="single" w:sz="4" w:space="0" w:color="A6A6A6" w:themeColor="background1" w:themeShade="A6"/>
              <w:bottom w:val="single" w:sz="4" w:space="0" w:color="A6A6A6" w:themeColor="background1" w:themeShade="A6"/>
            </w:tcBorders>
            <w:vAlign w:val="center"/>
          </w:tcPr>
          <w:p w:rsidR="00D907AF" w:rsidRPr="00C41809" w:rsidRDefault="00C41809" w:rsidP="00F1625C">
            <w:pPr>
              <w:spacing w:before="20" w:after="20"/>
              <w:jc w:val="center"/>
              <w:rPr>
                <w:bCs/>
                <w:color w:val="FFFFFF" w:themeColor="background1"/>
                <w:sz w:val="20"/>
                <w:szCs w:val="20"/>
              </w:rPr>
            </w:pPr>
            <w:r w:rsidRPr="00C41809">
              <w:rPr>
                <w:bCs/>
                <w:color w:val="FFFFFF" w:themeColor="background1"/>
                <w:sz w:val="20"/>
                <w:szCs w:val="20"/>
              </w:rPr>
              <w:t>No</w:t>
            </w:r>
          </w:p>
        </w:tc>
        <w:tc>
          <w:tcPr>
            <w:tcW w:w="373" w:type="pct"/>
            <w:tcBorders>
              <w:top w:val="single" w:sz="4" w:space="0" w:color="A6A6A6" w:themeColor="background1" w:themeShade="A6"/>
              <w:bottom w:val="single" w:sz="4" w:space="0" w:color="A6A6A6" w:themeColor="background1" w:themeShade="A6"/>
            </w:tcBorders>
            <w:vAlign w:val="center"/>
          </w:tcPr>
          <w:p w:rsidR="00D907AF" w:rsidRPr="00E136D8" w:rsidRDefault="00AD099A" w:rsidP="00F1625C">
            <w:pPr>
              <w:spacing w:before="20" w:after="20"/>
              <w:jc w:val="center"/>
              <w:rPr>
                <w:bCs/>
                <w:sz w:val="20"/>
                <w:szCs w:val="20"/>
              </w:rPr>
            </w:pPr>
            <w:r>
              <w:rPr>
                <w:bCs/>
                <w:sz w:val="20"/>
                <w:szCs w:val="20"/>
              </w:rPr>
              <w:t>Yes</w:t>
            </w:r>
          </w:p>
        </w:tc>
      </w:tr>
      <w:tr w:rsidR="000B6003" w:rsidRPr="00F26365" w:rsidTr="002C7E3B">
        <w:trPr>
          <w:cantSplit/>
          <w:trHeight w:val="20"/>
        </w:trPr>
        <w:tc>
          <w:tcPr>
            <w:tcW w:w="317" w:type="pct"/>
            <w:tcBorders>
              <w:top w:val="single" w:sz="4" w:space="0" w:color="A6A6A6" w:themeColor="background1" w:themeShade="A6"/>
              <w:bottom w:val="single" w:sz="4" w:space="0" w:color="A6A6A6" w:themeColor="background1" w:themeShade="A6"/>
            </w:tcBorders>
            <w:vAlign w:val="center"/>
            <w:hideMark/>
          </w:tcPr>
          <w:p w:rsidR="00D907AF" w:rsidRPr="00F26365" w:rsidRDefault="00D907AF" w:rsidP="00ED26FC">
            <w:pPr>
              <w:spacing w:before="20" w:after="20"/>
              <w:rPr>
                <w:bCs/>
                <w:sz w:val="20"/>
                <w:szCs w:val="20"/>
              </w:rPr>
            </w:pPr>
            <w:r w:rsidRPr="00F26365">
              <w:rPr>
                <w:bCs/>
                <w:sz w:val="20"/>
                <w:szCs w:val="20"/>
              </w:rPr>
              <w:t>11</w:t>
            </w:r>
          </w:p>
        </w:tc>
        <w:tc>
          <w:tcPr>
            <w:tcW w:w="3047" w:type="pct"/>
            <w:tcBorders>
              <w:top w:val="single" w:sz="4" w:space="0" w:color="A6A6A6" w:themeColor="background1" w:themeShade="A6"/>
              <w:bottom w:val="single" w:sz="4" w:space="0" w:color="A6A6A6" w:themeColor="background1" w:themeShade="A6"/>
            </w:tcBorders>
            <w:hideMark/>
          </w:tcPr>
          <w:p w:rsidR="00D907AF" w:rsidRPr="00F26365" w:rsidRDefault="00D907AF" w:rsidP="006C67C2">
            <w:pPr>
              <w:spacing w:before="20" w:after="20"/>
              <w:ind w:right="272"/>
              <w:rPr>
                <w:bCs/>
                <w:sz w:val="20"/>
                <w:szCs w:val="20"/>
              </w:rPr>
            </w:pPr>
            <w:r w:rsidRPr="00F26365">
              <w:rPr>
                <w:bCs/>
                <w:sz w:val="20"/>
                <w:szCs w:val="20"/>
              </w:rPr>
              <w:t>To what extent has an NDIS enabled people with disability to gain confidence that their ‘reasonable and necessary’ needs will be addressed?</w:t>
            </w:r>
          </w:p>
        </w:tc>
        <w:tc>
          <w:tcPr>
            <w:tcW w:w="472" w:type="pct"/>
            <w:tcBorders>
              <w:top w:val="single" w:sz="4" w:space="0" w:color="A6A6A6" w:themeColor="background1" w:themeShade="A6"/>
              <w:bottom w:val="single" w:sz="4" w:space="0" w:color="A6A6A6" w:themeColor="background1" w:themeShade="A6"/>
            </w:tcBorders>
            <w:vAlign w:val="center"/>
            <w:hideMark/>
          </w:tcPr>
          <w:p w:rsidR="00D907AF" w:rsidRPr="00E136D8" w:rsidRDefault="00E136D8" w:rsidP="00F1625C">
            <w:pPr>
              <w:spacing w:before="20" w:after="20"/>
              <w:jc w:val="center"/>
              <w:rPr>
                <w:bCs/>
                <w:sz w:val="20"/>
                <w:szCs w:val="20"/>
              </w:rPr>
            </w:pPr>
            <w:r>
              <w:rPr>
                <w:bCs/>
                <w:sz w:val="20"/>
                <w:szCs w:val="20"/>
              </w:rPr>
              <w:t>Yes</w:t>
            </w:r>
          </w:p>
        </w:tc>
        <w:tc>
          <w:tcPr>
            <w:tcW w:w="326" w:type="pct"/>
            <w:tcBorders>
              <w:top w:val="single" w:sz="4" w:space="0" w:color="A6A6A6" w:themeColor="background1" w:themeShade="A6"/>
              <w:bottom w:val="single" w:sz="4" w:space="0" w:color="A6A6A6" w:themeColor="background1" w:themeShade="A6"/>
            </w:tcBorders>
            <w:vAlign w:val="center"/>
            <w:hideMark/>
          </w:tcPr>
          <w:p w:rsidR="00D907AF" w:rsidRPr="00E136D8" w:rsidRDefault="00AD099A" w:rsidP="00F1625C">
            <w:pPr>
              <w:spacing w:before="20" w:after="20"/>
              <w:jc w:val="center"/>
              <w:rPr>
                <w:bCs/>
                <w:sz w:val="20"/>
                <w:szCs w:val="20"/>
              </w:rPr>
            </w:pPr>
            <w:r>
              <w:rPr>
                <w:bCs/>
                <w:sz w:val="20"/>
                <w:szCs w:val="20"/>
              </w:rPr>
              <w:t>Yes</w:t>
            </w:r>
          </w:p>
        </w:tc>
        <w:tc>
          <w:tcPr>
            <w:tcW w:w="464" w:type="pct"/>
            <w:tcBorders>
              <w:top w:val="single" w:sz="4" w:space="0" w:color="A6A6A6" w:themeColor="background1" w:themeShade="A6"/>
              <w:bottom w:val="single" w:sz="4" w:space="0" w:color="A6A6A6" w:themeColor="background1" w:themeShade="A6"/>
            </w:tcBorders>
            <w:vAlign w:val="center"/>
          </w:tcPr>
          <w:p w:rsidR="00D907AF" w:rsidRPr="00C41809" w:rsidRDefault="00C41809" w:rsidP="00F1625C">
            <w:pPr>
              <w:spacing w:before="20" w:after="20"/>
              <w:jc w:val="center"/>
              <w:rPr>
                <w:bCs/>
                <w:color w:val="FFFFFF" w:themeColor="background1"/>
                <w:sz w:val="20"/>
                <w:szCs w:val="20"/>
              </w:rPr>
            </w:pPr>
            <w:r w:rsidRPr="00C41809">
              <w:rPr>
                <w:bCs/>
                <w:color w:val="FFFFFF" w:themeColor="background1"/>
                <w:sz w:val="20"/>
                <w:szCs w:val="20"/>
              </w:rPr>
              <w:t>No</w:t>
            </w:r>
          </w:p>
        </w:tc>
        <w:tc>
          <w:tcPr>
            <w:tcW w:w="373" w:type="pct"/>
            <w:tcBorders>
              <w:top w:val="single" w:sz="4" w:space="0" w:color="A6A6A6" w:themeColor="background1" w:themeShade="A6"/>
              <w:bottom w:val="single" w:sz="4" w:space="0" w:color="A6A6A6" w:themeColor="background1" w:themeShade="A6"/>
            </w:tcBorders>
            <w:vAlign w:val="center"/>
          </w:tcPr>
          <w:p w:rsidR="00D907AF" w:rsidRPr="00C41809" w:rsidRDefault="00C41809" w:rsidP="00F1625C">
            <w:pPr>
              <w:spacing w:before="20" w:after="20"/>
              <w:jc w:val="center"/>
              <w:rPr>
                <w:bCs/>
                <w:color w:val="FFFFFF" w:themeColor="background1"/>
                <w:sz w:val="20"/>
                <w:szCs w:val="20"/>
              </w:rPr>
            </w:pPr>
            <w:r w:rsidRPr="00C41809">
              <w:rPr>
                <w:bCs/>
                <w:color w:val="FFFFFF" w:themeColor="background1"/>
                <w:sz w:val="20"/>
                <w:szCs w:val="20"/>
              </w:rPr>
              <w:t>No</w:t>
            </w:r>
          </w:p>
        </w:tc>
      </w:tr>
      <w:tr w:rsidR="000B6003" w:rsidRPr="00F26365" w:rsidTr="008841EE">
        <w:trPr>
          <w:cantSplit/>
          <w:trHeight w:val="20"/>
        </w:trPr>
        <w:tc>
          <w:tcPr>
            <w:tcW w:w="317" w:type="pct"/>
            <w:tcBorders>
              <w:top w:val="single" w:sz="4" w:space="0" w:color="A6A6A6" w:themeColor="background1" w:themeShade="A6"/>
              <w:bottom w:val="single" w:sz="4" w:space="0" w:color="A6A6A6" w:themeColor="background1" w:themeShade="A6"/>
            </w:tcBorders>
            <w:vAlign w:val="center"/>
            <w:hideMark/>
          </w:tcPr>
          <w:p w:rsidR="00D907AF" w:rsidRPr="00F26365" w:rsidRDefault="00D907AF" w:rsidP="00ED26FC">
            <w:pPr>
              <w:spacing w:before="20" w:after="20"/>
              <w:rPr>
                <w:bCs/>
                <w:sz w:val="20"/>
                <w:szCs w:val="20"/>
              </w:rPr>
            </w:pPr>
            <w:r w:rsidRPr="00F26365">
              <w:rPr>
                <w:bCs/>
                <w:sz w:val="20"/>
                <w:szCs w:val="20"/>
              </w:rPr>
              <w:t>14</w:t>
            </w:r>
          </w:p>
        </w:tc>
        <w:tc>
          <w:tcPr>
            <w:tcW w:w="3047" w:type="pct"/>
            <w:tcBorders>
              <w:top w:val="single" w:sz="4" w:space="0" w:color="A6A6A6" w:themeColor="background1" w:themeShade="A6"/>
              <w:bottom w:val="single" w:sz="4" w:space="0" w:color="A6A6A6" w:themeColor="background1" w:themeShade="A6"/>
            </w:tcBorders>
            <w:hideMark/>
          </w:tcPr>
          <w:p w:rsidR="00D907AF" w:rsidRPr="00F26365" w:rsidRDefault="00D907AF" w:rsidP="006C67C2">
            <w:pPr>
              <w:spacing w:before="20" w:after="20"/>
              <w:ind w:right="272"/>
              <w:rPr>
                <w:bCs/>
                <w:sz w:val="20"/>
                <w:szCs w:val="20"/>
              </w:rPr>
            </w:pPr>
            <w:r w:rsidRPr="00F26365">
              <w:rPr>
                <w:bCs/>
                <w:sz w:val="20"/>
                <w:szCs w:val="20"/>
              </w:rPr>
              <w:t>To what extent have people with disability, their families and carers seen NDIS review and dispute resolution processes as effective and fair?</w:t>
            </w:r>
          </w:p>
        </w:tc>
        <w:tc>
          <w:tcPr>
            <w:tcW w:w="472" w:type="pct"/>
            <w:tcBorders>
              <w:top w:val="single" w:sz="4" w:space="0" w:color="A6A6A6" w:themeColor="background1" w:themeShade="A6"/>
              <w:bottom w:val="single" w:sz="4" w:space="0" w:color="A6A6A6" w:themeColor="background1" w:themeShade="A6"/>
            </w:tcBorders>
            <w:vAlign w:val="center"/>
            <w:hideMark/>
          </w:tcPr>
          <w:p w:rsidR="00D907AF" w:rsidRPr="00E136D8" w:rsidRDefault="00E136D8" w:rsidP="00F1625C">
            <w:pPr>
              <w:spacing w:before="20" w:after="20"/>
              <w:jc w:val="center"/>
              <w:rPr>
                <w:bCs/>
                <w:sz w:val="20"/>
                <w:szCs w:val="20"/>
              </w:rPr>
            </w:pPr>
            <w:r>
              <w:rPr>
                <w:bCs/>
                <w:sz w:val="20"/>
                <w:szCs w:val="20"/>
              </w:rPr>
              <w:t>Yes</w:t>
            </w:r>
          </w:p>
        </w:tc>
        <w:tc>
          <w:tcPr>
            <w:tcW w:w="326" w:type="pct"/>
            <w:tcBorders>
              <w:top w:val="single" w:sz="4" w:space="0" w:color="A6A6A6" w:themeColor="background1" w:themeShade="A6"/>
              <w:bottom w:val="single" w:sz="4" w:space="0" w:color="A6A6A6" w:themeColor="background1" w:themeShade="A6"/>
            </w:tcBorders>
            <w:vAlign w:val="center"/>
            <w:hideMark/>
          </w:tcPr>
          <w:p w:rsidR="00D907AF" w:rsidRPr="00C41809" w:rsidRDefault="00C41809" w:rsidP="00F1625C">
            <w:pPr>
              <w:spacing w:before="20" w:after="20"/>
              <w:jc w:val="center"/>
              <w:rPr>
                <w:bCs/>
                <w:color w:val="FFFFFF" w:themeColor="background1"/>
                <w:sz w:val="20"/>
                <w:szCs w:val="20"/>
              </w:rPr>
            </w:pPr>
            <w:r w:rsidRPr="00C41809">
              <w:rPr>
                <w:bCs/>
                <w:color w:val="FFFFFF" w:themeColor="background1"/>
                <w:sz w:val="20"/>
                <w:szCs w:val="20"/>
              </w:rPr>
              <w:t>No</w:t>
            </w:r>
          </w:p>
        </w:tc>
        <w:tc>
          <w:tcPr>
            <w:tcW w:w="464" w:type="pct"/>
            <w:tcBorders>
              <w:top w:val="single" w:sz="4" w:space="0" w:color="A6A6A6" w:themeColor="background1" w:themeShade="A6"/>
              <w:bottom w:val="single" w:sz="4" w:space="0" w:color="A6A6A6" w:themeColor="background1" w:themeShade="A6"/>
            </w:tcBorders>
            <w:vAlign w:val="center"/>
          </w:tcPr>
          <w:p w:rsidR="00D907AF" w:rsidRPr="00C41809" w:rsidRDefault="00C41809" w:rsidP="00F1625C">
            <w:pPr>
              <w:spacing w:before="20" w:after="20"/>
              <w:jc w:val="center"/>
              <w:rPr>
                <w:bCs/>
                <w:color w:val="FFFFFF" w:themeColor="background1"/>
                <w:sz w:val="20"/>
                <w:szCs w:val="20"/>
              </w:rPr>
            </w:pPr>
            <w:r w:rsidRPr="00C41809">
              <w:rPr>
                <w:bCs/>
                <w:color w:val="FFFFFF" w:themeColor="background1"/>
                <w:sz w:val="20"/>
                <w:szCs w:val="20"/>
              </w:rPr>
              <w:t>No</w:t>
            </w:r>
          </w:p>
        </w:tc>
        <w:tc>
          <w:tcPr>
            <w:tcW w:w="373" w:type="pct"/>
            <w:tcBorders>
              <w:top w:val="single" w:sz="4" w:space="0" w:color="A6A6A6" w:themeColor="background1" w:themeShade="A6"/>
              <w:bottom w:val="single" w:sz="4" w:space="0" w:color="A6A6A6" w:themeColor="background1" w:themeShade="A6"/>
            </w:tcBorders>
            <w:vAlign w:val="center"/>
          </w:tcPr>
          <w:p w:rsidR="00D907AF" w:rsidRPr="00C41809" w:rsidRDefault="00C41809" w:rsidP="00F1625C">
            <w:pPr>
              <w:spacing w:before="20" w:after="20"/>
              <w:jc w:val="center"/>
              <w:rPr>
                <w:bCs/>
                <w:color w:val="FFFFFF" w:themeColor="background1"/>
                <w:sz w:val="20"/>
                <w:szCs w:val="20"/>
              </w:rPr>
            </w:pPr>
            <w:r w:rsidRPr="00C41809">
              <w:rPr>
                <w:bCs/>
                <w:color w:val="FFFFFF" w:themeColor="background1"/>
                <w:sz w:val="20"/>
                <w:szCs w:val="20"/>
              </w:rPr>
              <w:t>No</w:t>
            </w:r>
          </w:p>
        </w:tc>
      </w:tr>
      <w:tr w:rsidR="000B6003" w:rsidRPr="00F26365" w:rsidTr="008841EE">
        <w:trPr>
          <w:cantSplit/>
          <w:trHeight w:val="20"/>
        </w:trPr>
        <w:tc>
          <w:tcPr>
            <w:tcW w:w="317" w:type="pct"/>
            <w:tcBorders>
              <w:top w:val="single" w:sz="4" w:space="0" w:color="A6A6A6" w:themeColor="background1" w:themeShade="A6"/>
              <w:bottom w:val="single" w:sz="4" w:space="0" w:color="A6A6A6" w:themeColor="background1" w:themeShade="A6"/>
            </w:tcBorders>
            <w:vAlign w:val="center"/>
            <w:hideMark/>
          </w:tcPr>
          <w:p w:rsidR="00D907AF" w:rsidRPr="00F26365" w:rsidRDefault="00D907AF" w:rsidP="00ED26FC">
            <w:pPr>
              <w:spacing w:before="20" w:after="20"/>
              <w:rPr>
                <w:bCs/>
                <w:sz w:val="20"/>
                <w:szCs w:val="20"/>
              </w:rPr>
            </w:pPr>
            <w:r w:rsidRPr="00F26365">
              <w:rPr>
                <w:bCs/>
                <w:sz w:val="20"/>
                <w:szCs w:val="20"/>
              </w:rPr>
              <w:t>15</w:t>
            </w:r>
          </w:p>
        </w:tc>
        <w:tc>
          <w:tcPr>
            <w:tcW w:w="3047" w:type="pct"/>
            <w:tcBorders>
              <w:top w:val="single" w:sz="4" w:space="0" w:color="A6A6A6" w:themeColor="background1" w:themeShade="A6"/>
              <w:bottom w:val="single" w:sz="4" w:space="0" w:color="A6A6A6" w:themeColor="background1" w:themeShade="A6"/>
            </w:tcBorders>
            <w:hideMark/>
          </w:tcPr>
          <w:p w:rsidR="00D907AF" w:rsidRPr="00F26365" w:rsidRDefault="00D907AF" w:rsidP="006C67C2">
            <w:pPr>
              <w:spacing w:before="20" w:after="20"/>
              <w:ind w:right="272"/>
              <w:rPr>
                <w:bCs/>
                <w:sz w:val="20"/>
                <w:szCs w:val="20"/>
              </w:rPr>
            </w:pPr>
            <w:r w:rsidRPr="00F26365">
              <w:rPr>
                <w:bCs/>
                <w:sz w:val="20"/>
                <w:szCs w:val="20"/>
              </w:rPr>
              <w:t>To what extent have people with disability, their families and carers been able to manage their funding on their own, customise creative sets of options for themselves, or find suitable brokers, depending on their preferences?</w:t>
            </w:r>
          </w:p>
        </w:tc>
        <w:tc>
          <w:tcPr>
            <w:tcW w:w="472" w:type="pct"/>
            <w:tcBorders>
              <w:top w:val="single" w:sz="4" w:space="0" w:color="A6A6A6" w:themeColor="background1" w:themeShade="A6"/>
              <w:bottom w:val="single" w:sz="4" w:space="0" w:color="A6A6A6" w:themeColor="background1" w:themeShade="A6"/>
            </w:tcBorders>
            <w:vAlign w:val="center"/>
            <w:hideMark/>
          </w:tcPr>
          <w:p w:rsidR="00D907AF" w:rsidRPr="00E136D8" w:rsidRDefault="00AD099A" w:rsidP="00F1625C">
            <w:pPr>
              <w:spacing w:before="20" w:after="20"/>
              <w:jc w:val="center"/>
              <w:rPr>
                <w:bCs/>
                <w:sz w:val="20"/>
                <w:szCs w:val="20"/>
              </w:rPr>
            </w:pPr>
            <w:r>
              <w:rPr>
                <w:bCs/>
                <w:sz w:val="20"/>
                <w:szCs w:val="20"/>
              </w:rPr>
              <w:t>Yes</w:t>
            </w:r>
          </w:p>
        </w:tc>
        <w:tc>
          <w:tcPr>
            <w:tcW w:w="326" w:type="pct"/>
            <w:tcBorders>
              <w:top w:val="single" w:sz="4" w:space="0" w:color="A6A6A6" w:themeColor="background1" w:themeShade="A6"/>
              <w:bottom w:val="single" w:sz="4" w:space="0" w:color="A6A6A6" w:themeColor="background1" w:themeShade="A6"/>
            </w:tcBorders>
            <w:vAlign w:val="center"/>
            <w:hideMark/>
          </w:tcPr>
          <w:p w:rsidR="00D907AF" w:rsidRPr="00E136D8" w:rsidRDefault="00AD099A" w:rsidP="00F1625C">
            <w:pPr>
              <w:spacing w:before="20" w:after="20"/>
              <w:jc w:val="center"/>
              <w:rPr>
                <w:bCs/>
                <w:sz w:val="20"/>
                <w:szCs w:val="20"/>
              </w:rPr>
            </w:pPr>
            <w:r>
              <w:rPr>
                <w:bCs/>
                <w:sz w:val="20"/>
                <w:szCs w:val="20"/>
              </w:rPr>
              <w:t>Yes</w:t>
            </w:r>
          </w:p>
        </w:tc>
        <w:tc>
          <w:tcPr>
            <w:tcW w:w="464" w:type="pct"/>
            <w:tcBorders>
              <w:top w:val="single" w:sz="4" w:space="0" w:color="A6A6A6" w:themeColor="background1" w:themeShade="A6"/>
              <w:bottom w:val="single" w:sz="4" w:space="0" w:color="A6A6A6" w:themeColor="background1" w:themeShade="A6"/>
            </w:tcBorders>
            <w:vAlign w:val="center"/>
          </w:tcPr>
          <w:p w:rsidR="00D907AF" w:rsidRPr="00E136D8" w:rsidRDefault="00AD099A" w:rsidP="00F1625C">
            <w:pPr>
              <w:spacing w:before="20" w:after="20"/>
              <w:jc w:val="center"/>
              <w:rPr>
                <w:bCs/>
                <w:sz w:val="20"/>
                <w:szCs w:val="20"/>
              </w:rPr>
            </w:pPr>
            <w:r>
              <w:rPr>
                <w:bCs/>
                <w:sz w:val="20"/>
                <w:szCs w:val="20"/>
              </w:rPr>
              <w:t>Yes</w:t>
            </w:r>
          </w:p>
        </w:tc>
        <w:tc>
          <w:tcPr>
            <w:tcW w:w="373" w:type="pct"/>
            <w:tcBorders>
              <w:top w:val="single" w:sz="4" w:space="0" w:color="A6A6A6" w:themeColor="background1" w:themeShade="A6"/>
              <w:bottom w:val="single" w:sz="4" w:space="0" w:color="A6A6A6" w:themeColor="background1" w:themeShade="A6"/>
            </w:tcBorders>
            <w:vAlign w:val="center"/>
          </w:tcPr>
          <w:p w:rsidR="00D907AF" w:rsidRPr="00E136D8" w:rsidRDefault="00AD099A" w:rsidP="00F1625C">
            <w:pPr>
              <w:spacing w:before="20" w:after="20"/>
              <w:jc w:val="center"/>
              <w:rPr>
                <w:bCs/>
                <w:sz w:val="20"/>
                <w:szCs w:val="20"/>
              </w:rPr>
            </w:pPr>
            <w:r>
              <w:rPr>
                <w:bCs/>
                <w:sz w:val="20"/>
                <w:szCs w:val="20"/>
              </w:rPr>
              <w:t>Yes</w:t>
            </w:r>
          </w:p>
        </w:tc>
      </w:tr>
      <w:tr w:rsidR="000B6003" w:rsidRPr="00F26365" w:rsidTr="008841EE">
        <w:trPr>
          <w:cantSplit/>
          <w:trHeight w:val="20"/>
        </w:trPr>
        <w:tc>
          <w:tcPr>
            <w:tcW w:w="317" w:type="pct"/>
            <w:tcBorders>
              <w:top w:val="single" w:sz="4" w:space="0" w:color="A6A6A6" w:themeColor="background1" w:themeShade="A6"/>
              <w:bottom w:val="single" w:sz="4" w:space="0" w:color="A6A6A6" w:themeColor="background1" w:themeShade="A6"/>
            </w:tcBorders>
            <w:vAlign w:val="center"/>
            <w:hideMark/>
          </w:tcPr>
          <w:p w:rsidR="00D907AF" w:rsidRPr="00F26365" w:rsidRDefault="00D907AF" w:rsidP="00ED26FC">
            <w:pPr>
              <w:spacing w:before="20" w:after="20"/>
              <w:rPr>
                <w:bCs/>
                <w:sz w:val="20"/>
                <w:szCs w:val="20"/>
              </w:rPr>
            </w:pPr>
            <w:r w:rsidRPr="00F26365">
              <w:rPr>
                <w:bCs/>
                <w:sz w:val="20"/>
                <w:szCs w:val="20"/>
              </w:rPr>
              <w:t>17</w:t>
            </w:r>
          </w:p>
        </w:tc>
        <w:tc>
          <w:tcPr>
            <w:tcW w:w="3047" w:type="pct"/>
            <w:tcBorders>
              <w:top w:val="single" w:sz="4" w:space="0" w:color="A6A6A6" w:themeColor="background1" w:themeShade="A6"/>
              <w:bottom w:val="single" w:sz="4" w:space="0" w:color="A6A6A6" w:themeColor="background1" w:themeShade="A6"/>
            </w:tcBorders>
            <w:hideMark/>
          </w:tcPr>
          <w:p w:rsidR="00D907AF" w:rsidRPr="00F26365" w:rsidRDefault="00D907AF" w:rsidP="006C67C2">
            <w:pPr>
              <w:spacing w:before="20" w:after="20"/>
              <w:ind w:right="272"/>
              <w:rPr>
                <w:bCs/>
                <w:sz w:val="20"/>
                <w:szCs w:val="20"/>
              </w:rPr>
            </w:pPr>
            <w:r w:rsidRPr="00F26365">
              <w:rPr>
                <w:bCs/>
                <w:sz w:val="20"/>
                <w:szCs w:val="20"/>
              </w:rPr>
              <w:t>For people with disability who previously received supports, to what extent has an NDIS contributed to changes in their patterns and use of supports?</w:t>
            </w:r>
          </w:p>
        </w:tc>
        <w:tc>
          <w:tcPr>
            <w:tcW w:w="472" w:type="pct"/>
            <w:tcBorders>
              <w:top w:val="single" w:sz="4" w:space="0" w:color="A6A6A6" w:themeColor="background1" w:themeShade="A6"/>
              <w:bottom w:val="single" w:sz="4" w:space="0" w:color="A6A6A6" w:themeColor="background1" w:themeShade="A6"/>
            </w:tcBorders>
            <w:vAlign w:val="center"/>
            <w:hideMark/>
          </w:tcPr>
          <w:p w:rsidR="00D907AF" w:rsidRPr="00E136D8" w:rsidRDefault="00AD099A" w:rsidP="00F1625C">
            <w:pPr>
              <w:spacing w:before="20" w:after="20"/>
              <w:jc w:val="center"/>
              <w:rPr>
                <w:bCs/>
                <w:sz w:val="20"/>
                <w:szCs w:val="20"/>
              </w:rPr>
            </w:pPr>
            <w:r>
              <w:rPr>
                <w:bCs/>
                <w:sz w:val="20"/>
                <w:szCs w:val="20"/>
              </w:rPr>
              <w:t>Yes</w:t>
            </w:r>
          </w:p>
        </w:tc>
        <w:tc>
          <w:tcPr>
            <w:tcW w:w="326" w:type="pct"/>
            <w:tcBorders>
              <w:top w:val="single" w:sz="4" w:space="0" w:color="A6A6A6" w:themeColor="background1" w:themeShade="A6"/>
              <w:bottom w:val="single" w:sz="4" w:space="0" w:color="A6A6A6" w:themeColor="background1" w:themeShade="A6"/>
            </w:tcBorders>
            <w:vAlign w:val="center"/>
            <w:hideMark/>
          </w:tcPr>
          <w:p w:rsidR="00D907AF" w:rsidRPr="00E136D8" w:rsidRDefault="00AD099A" w:rsidP="00F1625C">
            <w:pPr>
              <w:spacing w:before="20" w:after="20"/>
              <w:jc w:val="center"/>
              <w:rPr>
                <w:bCs/>
                <w:sz w:val="20"/>
                <w:szCs w:val="20"/>
              </w:rPr>
            </w:pPr>
            <w:r>
              <w:rPr>
                <w:bCs/>
                <w:sz w:val="20"/>
                <w:szCs w:val="20"/>
              </w:rPr>
              <w:t>Yes</w:t>
            </w:r>
          </w:p>
        </w:tc>
        <w:tc>
          <w:tcPr>
            <w:tcW w:w="464" w:type="pct"/>
            <w:tcBorders>
              <w:top w:val="single" w:sz="4" w:space="0" w:color="A6A6A6" w:themeColor="background1" w:themeShade="A6"/>
              <w:bottom w:val="single" w:sz="4" w:space="0" w:color="A6A6A6" w:themeColor="background1" w:themeShade="A6"/>
            </w:tcBorders>
            <w:vAlign w:val="center"/>
          </w:tcPr>
          <w:p w:rsidR="00D907AF" w:rsidRPr="00E136D8" w:rsidRDefault="00AD099A" w:rsidP="00F1625C">
            <w:pPr>
              <w:spacing w:before="20" w:after="20"/>
              <w:jc w:val="center"/>
              <w:rPr>
                <w:bCs/>
                <w:sz w:val="20"/>
                <w:szCs w:val="20"/>
              </w:rPr>
            </w:pPr>
            <w:r>
              <w:rPr>
                <w:bCs/>
                <w:sz w:val="20"/>
                <w:szCs w:val="20"/>
              </w:rPr>
              <w:t>Yes</w:t>
            </w:r>
          </w:p>
        </w:tc>
        <w:tc>
          <w:tcPr>
            <w:tcW w:w="373" w:type="pct"/>
            <w:tcBorders>
              <w:top w:val="single" w:sz="4" w:space="0" w:color="A6A6A6" w:themeColor="background1" w:themeShade="A6"/>
              <w:bottom w:val="single" w:sz="4" w:space="0" w:color="A6A6A6" w:themeColor="background1" w:themeShade="A6"/>
            </w:tcBorders>
            <w:vAlign w:val="center"/>
          </w:tcPr>
          <w:p w:rsidR="00D907AF" w:rsidRPr="00E136D8" w:rsidRDefault="00C41809" w:rsidP="00F1625C">
            <w:pPr>
              <w:spacing w:before="20" w:after="20"/>
              <w:jc w:val="center"/>
              <w:rPr>
                <w:bCs/>
                <w:sz w:val="20"/>
                <w:szCs w:val="20"/>
              </w:rPr>
            </w:pPr>
            <w:r w:rsidRPr="00C41809">
              <w:rPr>
                <w:bCs/>
                <w:color w:val="FFFFFF" w:themeColor="background1"/>
                <w:sz w:val="20"/>
                <w:szCs w:val="20"/>
              </w:rPr>
              <w:t>No</w:t>
            </w:r>
          </w:p>
        </w:tc>
      </w:tr>
      <w:tr w:rsidR="000B6003" w:rsidRPr="00F26365" w:rsidTr="008841EE">
        <w:trPr>
          <w:cantSplit/>
          <w:trHeight w:val="20"/>
        </w:trPr>
        <w:tc>
          <w:tcPr>
            <w:tcW w:w="317" w:type="pct"/>
            <w:tcBorders>
              <w:top w:val="single" w:sz="4" w:space="0" w:color="A6A6A6" w:themeColor="background1" w:themeShade="A6"/>
              <w:bottom w:val="single" w:sz="4" w:space="0" w:color="A6A6A6" w:themeColor="background1" w:themeShade="A6"/>
            </w:tcBorders>
            <w:vAlign w:val="center"/>
            <w:hideMark/>
          </w:tcPr>
          <w:p w:rsidR="00D907AF" w:rsidRPr="00F26365" w:rsidRDefault="00D907AF" w:rsidP="00ED26FC">
            <w:pPr>
              <w:spacing w:before="20" w:after="20"/>
              <w:rPr>
                <w:bCs/>
                <w:sz w:val="20"/>
                <w:szCs w:val="20"/>
              </w:rPr>
            </w:pPr>
            <w:r w:rsidRPr="00F26365">
              <w:rPr>
                <w:bCs/>
                <w:sz w:val="20"/>
                <w:szCs w:val="20"/>
              </w:rPr>
              <w:t>19</w:t>
            </w:r>
          </w:p>
        </w:tc>
        <w:tc>
          <w:tcPr>
            <w:tcW w:w="3047" w:type="pct"/>
            <w:tcBorders>
              <w:top w:val="single" w:sz="4" w:space="0" w:color="A6A6A6" w:themeColor="background1" w:themeShade="A6"/>
              <w:bottom w:val="single" w:sz="4" w:space="0" w:color="A6A6A6" w:themeColor="background1" w:themeShade="A6"/>
            </w:tcBorders>
            <w:hideMark/>
          </w:tcPr>
          <w:p w:rsidR="00D907AF" w:rsidRPr="00F26365" w:rsidRDefault="00D907AF" w:rsidP="006C67C2">
            <w:pPr>
              <w:spacing w:before="20" w:after="20"/>
              <w:ind w:right="272"/>
              <w:rPr>
                <w:bCs/>
                <w:i/>
                <w:iCs/>
                <w:sz w:val="20"/>
                <w:szCs w:val="20"/>
              </w:rPr>
            </w:pPr>
            <w:r w:rsidRPr="00F26365">
              <w:rPr>
                <w:bCs/>
                <w:sz w:val="20"/>
                <w:szCs w:val="20"/>
              </w:rPr>
              <w:t xml:space="preserve">For whom has an NDIS worked well or less well? Where possible, consider: (20) </w:t>
            </w:r>
            <w:r w:rsidRPr="00F26365">
              <w:rPr>
                <w:bCs/>
                <w:i/>
                <w:iCs/>
                <w:sz w:val="20"/>
                <w:szCs w:val="20"/>
              </w:rPr>
              <w:t>Indigenous status, culturally and linguistically diverse status, socio-economic status, proximity to services, age, gender, disability type and functional capacity, and age at onset of disability.</w:t>
            </w:r>
          </w:p>
        </w:tc>
        <w:tc>
          <w:tcPr>
            <w:tcW w:w="472" w:type="pct"/>
            <w:tcBorders>
              <w:top w:val="single" w:sz="4" w:space="0" w:color="A6A6A6" w:themeColor="background1" w:themeShade="A6"/>
              <w:bottom w:val="single" w:sz="4" w:space="0" w:color="A6A6A6" w:themeColor="background1" w:themeShade="A6"/>
            </w:tcBorders>
            <w:noWrap/>
            <w:vAlign w:val="center"/>
            <w:hideMark/>
          </w:tcPr>
          <w:p w:rsidR="00D907AF" w:rsidRPr="00E136D8" w:rsidRDefault="00AD099A" w:rsidP="00F1625C">
            <w:pPr>
              <w:spacing w:before="20" w:after="20"/>
              <w:jc w:val="center"/>
              <w:rPr>
                <w:bCs/>
                <w:sz w:val="20"/>
                <w:szCs w:val="20"/>
              </w:rPr>
            </w:pPr>
            <w:r>
              <w:rPr>
                <w:bCs/>
                <w:sz w:val="20"/>
                <w:szCs w:val="20"/>
              </w:rPr>
              <w:t>Yes</w:t>
            </w:r>
          </w:p>
        </w:tc>
        <w:tc>
          <w:tcPr>
            <w:tcW w:w="326" w:type="pct"/>
            <w:tcBorders>
              <w:top w:val="single" w:sz="4" w:space="0" w:color="A6A6A6" w:themeColor="background1" w:themeShade="A6"/>
              <w:bottom w:val="single" w:sz="4" w:space="0" w:color="A6A6A6" w:themeColor="background1" w:themeShade="A6"/>
            </w:tcBorders>
            <w:noWrap/>
            <w:vAlign w:val="center"/>
            <w:hideMark/>
          </w:tcPr>
          <w:p w:rsidR="00D907AF" w:rsidRPr="00C41809" w:rsidRDefault="00C41809" w:rsidP="00F1625C">
            <w:pPr>
              <w:spacing w:before="20" w:after="20"/>
              <w:jc w:val="center"/>
              <w:rPr>
                <w:bCs/>
                <w:color w:val="FFFFFF" w:themeColor="background1"/>
                <w:sz w:val="20"/>
                <w:szCs w:val="20"/>
              </w:rPr>
            </w:pPr>
            <w:r w:rsidRPr="00C41809">
              <w:rPr>
                <w:bCs/>
                <w:color w:val="FFFFFF" w:themeColor="background1"/>
                <w:sz w:val="20"/>
                <w:szCs w:val="20"/>
              </w:rPr>
              <w:t>No</w:t>
            </w:r>
          </w:p>
        </w:tc>
        <w:tc>
          <w:tcPr>
            <w:tcW w:w="464" w:type="pct"/>
            <w:tcBorders>
              <w:top w:val="single" w:sz="4" w:space="0" w:color="A6A6A6" w:themeColor="background1" w:themeShade="A6"/>
              <w:bottom w:val="single" w:sz="4" w:space="0" w:color="A6A6A6" w:themeColor="background1" w:themeShade="A6"/>
            </w:tcBorders>
            <w:vAlign w:val="center"/>
          </w:tcPr>
          <w:p w:rsidR="00D907AF" w:rsidRPr="00C41809" w:rsidRDefault="00C41809" w:rsidP="00F1625C">
            <w:pPr>
              <w:spacing w:before="20" w:after="20"/>
              <w:jc w:val="center"/>
              <w:rPr>
                <w:bCs/>
                <w:color w:val="FFFFFF" w:themeColor="background1"/>
                <w:sz w:val="20"/>
                <w:szCs w:val="20"/>
              </w:rPr>
            </w:pPr>
            <w:r w:rsidRPr="00C41809">
              <w:rPr>
                <w:bCs/>
                <w:color w:val="FFFFFF" w:themeColor="background1"/>
                <w:sz w:val="20"/>
                <w:szCs w:val="20"/>
              </w:rPr>
              <w:t>No</w:t>
            </w:r>
          </w:p>
        </w:tc>
        <w:tc>
          <w:tcPr>
            <w:tcW w:w="373" w:type="pct"/>
            <w:tcBorders>
              <w:top w:val="single" w:sz="4" w:space="0" w:color="A6A6A6" w:themeColor="background1" w:themeShade="A6"/>
              <w:bottom w:val="single" w:sz="4" w:space="0" w:color="A6A6A6" w:themeColor="background1" w:themeShade="A6"/>
            </w:tcBorders>
            <w:vAlign w:val="center"/>
          </w:tcPr>
          <w:p w:rsidR="00D907AF" w:rsidRPr="00E136D8" w:rsidRDefault="00AD099A" w:rsidP="00F1625C">
            <w:pPr>
              <w:spacing w:before="20" w:after="20"/>
              <w:jc w:val="center"/>
              <w:rPr>
                <w:bCs/>
                <w:sz w:val="20"/>
                <w:szCs w:val="20"/>
              </w:rPr>
            </w:pPr>
            <w:r>
              <w:rPr>
                <w:bCs/>
                <w:sz w:val="20"/>
                <w:szCs w:val="20"/>
              </w:rPr>
              <w:t>Yes</w:t>
            </w:r>
          </w:p>
        </w:tc>
      </w:tr>
      <w:tr w:rsidR="000B6003" w:rsidRPr="00F26365" w:rsidTr="002C7E3B">
        <w:trPr>
          <w:cantSplit/>
          <w:trHeight w:val="20"/>
        </w:trPr>
        <w:tc>
          <w:tcPr>
            <w:tcW w:w="317" w:type="pct"/>
            <w:tcBorders>
              <w:top w:val="single" w:sz="4" w:space="0" w:color="A6A6A6" w:themeColor="background1" w:themeShade="A6"/>
              <w:bottom w:val="single" w:sz="4" w:space="0" w:color="A6A6A6" w:themeColor="background1" w:themeShade="A6"/>
            </w:tcBorders>
            <w:vAlign w:val="center"/>
            <w:hideMark/>
          </w:tcPr>
          <w:p w:rsidR="00D907AF" w:rsidRPr="00F26365" w:rsidRDefault="00D907AF" w:rsidP="00ED26FC">
            <w:pPr>
              <w:spacing w:before="20" w:after="20"/>
              <w:rPr>
                <w:bCs/>
                <w:sz w:val="20"/>
                <w:szCs w:val="20"/>
              </w:rPr>
            </w:pPr>
            <w:r w:rsidRPr="00F26365">
              <w:rPr>
                <w:bCs/>
                <w:sz w:val="20"/>
                <w:szCs w:val="20"/>
              </w:rPr>
              <w:t>22</w:t>
            </w:r>
          </w:p>
        </w:tc>
        <w:tc>
          <w:tcPr>
            <w:tcW w:w="3047" w:type="pct"/>
            <w:tcBorders>
              <w:top w:val="single" w:sz="4" w:space="0" w:color="A6A6A6" w:themeColor="background1" w:themeShade="A6"/>
              <w:bottom w:val="single" w:sz="4" w:space="0" w:color="A6A6A6" w:themeColor="background1" w:themeShade="A6"/>
            </w:tcBorders>
            <w:hideMark/>
          </w:tcPr>
          <w:p w:rsidR="00D907AF" w:rsidRPr="00F26365" w:rsidRDefault="00D907AF" w:rsidP="006C67C2">
            <w:pPr>
              <w:spacing w:before="20" w:after="20"/>
              <w:ind w:right="272"/>
              <w:rPr>
                <w:bCs/>
                <w:sz w:val="20"/>
                <w:szCs w:val="20"/>
              </w:rPr>
            </w:pPr>
            <w:r w:rsidRPr="00F26365">
              <w:rPr>
                <w:bCs/>
                <w:sz w:val="20"/>
                <w:szCs w:val="20"/>
              </w:rPr>
              <w:t>What sort of assistance do people with disability (or their families and carers, if they are managing the care) require to gain more control and navigate the system?</w:t>
            </w:r>
          </w:p>
        </w:tc>
        <w:tc>
          <w:tcPr>
            <w:tcW w:w="472" w:type="pct"/>
            <w:tcBorders>
              <w:top w:val="single" w:sz="4" w:space="0" w:color="A6A6A6" w:themeColor="background1" w:themeShade="A6"/>
              <w:bottom w:val="single" w:sz="4" w:space="0" w:color="A6A6A6" w:themeColor="background1" w:themeShade="A6"/>
            </w:tcBorders>
            <w:vAlign w:val="center"/>
            <w:hideMark/>
          </w:tcPr>
          <w:p w:rsidR="00D907AF" w:rsidRPr="00E136D8" w:rsidRDefault="00AD099A" w:rsidP="00F1625C">
            <w:pPr>
              <w:spacing w:before="20" w:after="20"/>
              <w:jc w:val="center"/>
              <w:rPr>
                <w:bCs/>
                <w:sz w:val="20"/>
                <w:szCs w:val="20"/>
              </w:rPr>
            </w:pPr>
            <w:r>
              <w:rPr>
                <w:bCs/>
                <w:sz w:val="20"/>
                <w:szCs w:val="20"/>
              </w:rPr>
              <w:t>Yes</w:t>
            </w:r>
          </w:p>
        </w:tc>
        <w:tc>
          <w:tcPr>
            <w:tcW w:w="326" w:type="pct"/>
            <w:tcBorders>
              <w:top w:val="single" w:sz="4" w:space="0" w:color="A6A6A6" w:themeColor="background1" w:themeShade="A6"/>
              <w:bottom w:val="single" w:sz="4" w:space="0" w:color="A6A6A6" w:themeColor="background1" w:themeShade="A6"/>
            </w:tcBorders>
            <w:vAlign w:val="center"/>
            <w:hideMark/>
          </w:tcPr>
          <w:p w:rsidR="00D907AF" w:rsidRPr="00C41809" w:rsidRDefault="00C41809" w:rsidP="00F1625C">
            <w:pPr>
              <w:spacing w:before="20" w:after="20"/>
              <w:jc w:val="center"/>
              <w:rPr>
                <w:bCs/>
                <w:color w:val="FFFFFF" w:themeColor="background1"/>
                <w:sz w:val="20"/>
                <w:szCs w:val="20"/>
              </w:rPr>
            </w:pPr>
            <w:r w:rsidRPr="00C41809">
              <w:rPr>
                <w:bCs/>
                <w:color w:val="FFFFFF" w:themeColor="background1"/>
                <w:sz w:val="20"/>
                <w:szCs w:val="20"/>
              </w:rPr>
              <w:t>No</w:t>
            </w:r>
          </w:p>
        </w:tc>
        <w:tc>
          <w:tcPr>
            <w:tcW w:w="464" w:type="pct"/>
            <w:tcBorders>
              <w:top w:val="single" w:sz="4" w:space="0" w:color="A6A6A6" w:themeColor="background1" w:themeShade="A6"/>
              <w:bottom w:val="single" w:sz="4" w:space="0" w:color="A6A6A6" w:themeColor="background1" w:themeShade="A6"/>
            </w:tcBorders>
            <w:vAlign w:val="center"/>
          </w:tcPr>
          <w:p w:rsidR="00D907AF" w:rsidRPr="00C41809" w:rsidRDefault="00C41809" w:rsidP="00F1625C">
            <w:pPr>
              <w:spacing w:before="20" w:after="20"/>
              <w:jc w:val="center"/>
              <w:rPr>
                <w:bCs/>
                <w:color w:val="FFFFFF" w:themeColor="background1"/>
                <w:sz w:val="20"/>
                <w:szCs w:val="20"/>
              </w:rPr>
            </w:pPr>
            <w:r w:rsidRPr="00C41809">
              <w:rPr>
                <w:bCs/>
                <w:color w:val="FFFFFF" w:themeColor="background1"/>
                <w:sz w:val="20"/>
                <w:szCs w:val="20"/>
              </w:rPr>
              <w:t>No</w:t>
            </w:r>
          </w:p>
        </w:tc>
        <w:tc>
          <w:tcPr>
            <w:tcW w:w="373" w:type="pct"/>
            <w:tcBorders>
              <w:top w:val="single" w:sz="4" w:space="0" w:color="A6A6A6" w:themeColor="background1" w:themeShade="A6"/>
              <w:bottom w:val="single" w:sz="4" w:space="0" w:color="A6A6A6" w:themeColor="background1" w:themeShade="A6"/>
            </w:tcBorders>
            <w:vAlign w:val="center"/>
          </w:tcPr>
          <w:p w:rsidR="00D907AF" w:rsidRPr="00C41809" w:rsidRDefault="00C41809" w:rsidP="00F1625C">
            <w:pPr>
              <w:spacing w:before="20" w:after="20"/>
              <w:jc w:val="center"/>
              <w:rPr>
                <w:bCs/>
                <w:color w:val="FFFFFF" w:themeColor="background1"/>
                <w:sz w:val="20"/>
                <w:szCs w:val="20"/>
              </w:rPr>
            </w:pPr>
            <w:r w:rsidRPr="00C41809">
              <w:rPr>
                <w:bCs/>
                <w:color w:val="FFFFFF" w:themeColor="background1"/>
                <w:sz w:val="20"/>
                <w:szCs w:val="20"/>
              </w:rPr>
              <w:t>No</w:t>
            </w:r>
          </w:p>
        </w:tc>
      </w:tr>
      <w:tr w:rsidR="000B6003" w:rsidRPr="00F26365" w:rsidTr="002C7E3B">
        <w:trPr>
          <w:cantSplit/>
          <w:trHeight w:val="20"/>
        </w:trPr>
        <w:tc>
          <w:tcPr>
            <w:tcW w:w="317" w:type="pct"/>
            <w:tcBorders>
              <w:top w:val="single" w:sz="4" w:space="0" w:color="A6A6A6" w:themeColor="background1" w:themeShade="A6"/>
              <w:bottom w:val="single" w:sz="4" w:space="0" w:color="auto"/>
            </w:tcBorders>
            <w:vAlign w:val="center"/>
            <w:hideMark/>
          </w:tcPr>
          <w:p w:rsidR="00D907AF" w:rsidRPr="00F26365" w:rsidRDefault="00D907AF" w:rsidP="00ED26FC">
            <w:pPr>
              <w:spacing w:before="20" w:after="20"/>
              <w:rPr>
                <w:bCs/>
                <w:sz w:val="20"/>
                <w:szCs w:val="20"/>
              </w:rPr>
            </w:pPr>
            <w:r w:rsidRPr="00F26365">
              <w:rPr>
                <w:bCs/>
                <w:sz w:val="20"/>
                <w:szCs w:val="20"/>
              </w:rPr>
              <w:t>24</w:t>
            </w:r>
          </w:p>
        </w:tc>
        <w:tc>
          <w:tcPr>
            <w:tcW w:w="3047" w:type="pct"/>
            <w:tcBorders>
              <w:top w:val="single" w:sz="4" w:space="0" w:color="A6A6A6" w:themeColor="background1" w:themeShade="A6"/>
              <w:bottom w:val="single" w:sz="4" w:space="0" w:color="auto"/>
            </w:tcBorders>
            <w:hideMark/>
          </w:tcPr>
          <w:p w:rsidR="00D907AF" w:rsidRPr="00F26365" w:rsidRDefault="00D907AF" w:rsidP="006C67C2">
            <w:pPr>
              <w:spacing w:before="20" w:after="20"/>
              <w:ind w:right="172"/>
              <w:rPr>
                <w:bCs/>
                <w:sz w:val="20"/>
                <w:szCs w:val="20"/>
              </w:rPr>
            </w:pPr>
            <w:r w:rsidRPr="00F26365">
              <w:rPr>
                <w:bCs/>
                <w:sz w:val="20"/>
                <w:szCs w:val="20"/>
              </w:rPr>
              <w:t>To what extent has an NDIS helped people with disability, their families and carers during major life transitions such as starting preschool or school, leaving school, starting tertiary education, starting work, leaving home, leaving state care, leaving the workforce, and entering the aged care system?</w:t>
            </w:r>
          </w:p>
        </w:tc>
        <w:tc>
          <w:tcPr>
            <w:tcW w:w="472" w:type="pct"/>
            <w:tcBorders>
              <w:top w:val="single" w:sz="4" w:space="0" w:color="A6A6A6" w:themeColor="background1" w:themeShade="A6"/>
              <w:bottom w:val="single" w:sz="4" w:space="0" w:color="auto"/>
            </w:tcBorders>
            <w:vAlign w:val="center"/>
            <w:hideMark/>
          </w:tcPr>
          <w:p w:rsidR="00D907AF" w:rsidRPr="00E136D8" w:rsidRDefault="00C41809" w:rsidP="00F1625C">
            <w:pPr>
              <w:spacing w:before="20" w:after="20"/>
              <w:jc w:val="center"/>
              <w:rPr>
                <w:bCs/>
                <w:sz w:val="20"/>
                <w:szCs w:val="20"/>
              </w:rPr>
            </w:pPr>
            <w:r w:rsidRPr="00C41809">
              <w:rPr>
                <w:bCs/>
                <w:color w:val="FFFFFF" w:themeColor="background1"/>
                <w:sz w:val="20"/>
                <w:szCs w:val="20"/>
              </w:rPr>
              <w:t>No</w:t>
            </w:r>
          </w:p>
        </w:tc>
        <w:tc>
          <w:tcPr>
            <w:tcW w:w="326" w:type="pct"/>
            <w:tcBorders>
              <w:top w:val="single" w:sz="4" w:space="0" w:color="A6A6A6" w:themeColor="background1" w:themeShade="A6"/>
              <w:bottom w:val="single" w:sz="4" w:space="0" w:color="auto"/>
            </w:tcBorders>
            <w:noWrap/>
            <w:vAlign w:val="center"/>
            <w:hideMark/>
          </w:tcPr>
          <w:p w:rsidR="00D907AF" w:rsidRPr="00E136D8" w:rsidRDefault="00AD099A" w:rsidP="00F1625C">
            <w:pPr>
              <w:spacing w:before="20" w:after="20"/>
              <w:jc w:val="center"/>
              <w:rPr>
                <w:bCs/>
                <w:sz w:val="20"/>
                <w:szCs w:val="20"/>
              </w:rPr>
            </w:pPr>
            <w:r>
              <w:rPr>
                <w:bCs/>
                <w:sz w:val="20"/>
                <w:szCs w:val="20"/>
              </w:rPr>
              <w:t>Yes</w:t>
            </w:r>
          </w:p>
        </w:tc>
        <w:tc>
          <w:tcPr>
            <w:tcW w:w="464" w:type="pct"/>
            <w:tcBorders>
              <w:top w:val="single" w:sz="4" w:space="0" w:color="A6A6A6" w:themeColor="background1" w:themeShade="A6"/>
              <w:bottom w:val="single" w:sz="4" w:space="0" w:color="auto"/>
            </w:tcBorders>
            <w:vAlign w:val="center"/>
          </w:tcPr>
          <w:p w:rsidR="00D907AF" w:rsidRPr="00E136D8" w:rsidRDefault="00AD099A" w:rsidP="00F1625C">
            <w:pPr>
              <w:spacing w:before="20" w:after="20"/>
              <w:jc w:val="center"/>
              <w:rPr>
                <w:bCs/>
                <w:sz w:val="20"/>
                <w:szCs w:val="20"/>
              </w:rPr>
            </w:pPr>
            <w:r>
              <w:rPr>
                <w:bCs/>
                <w:sz w:val="20"/>
                <w:szCs w:val="20"/>
              </w:rPr>
              <w:t>Yes</w:t>
            </w:r>
          </w:p>
        </w:tc>
        <w:tc>
          <w:tcPr>
            <w:tcW w:w="373" w:type="pct"/>
            <w:tcBorders>
              <w:top w:val="single" w:sz="4" w:space="0" w:color="A6A6A6" w:themeColor="background1" w:themeShade="A6"/>
              <w:bottom w:val="single" w:sz="4" w:space="0" w:color="auto"/>
            </w:tcBorders>
            <w:vAlign w:val="center"/>
          </w:tcPr>
          <w:p w:rsidR="00D907AF" w:rsidRPr="00E136D8" w:rsidRDefault="00C41809" w:rsidP="00F1625C">
            <w:pPr>
              <w:spacing w:before="20" w:after="20"/>
              <w:jc w:val="center"/>
              <w:rPr>
                <w:bCs/>
                <w:sz w:val="20"/>
                <w:szCs w:val="20"/>
              </w:rPr>
            </w:pPr>
            <w:r w:rsidRPr="00C41809">
              <w:rPr>
                <w:bCs/>
                <w:color w:val="FFFFFF" w:themeColor="background1"/>
                <w:sz w:val="20"/>
                <w:szCs w:val="20"/>
              </w:rPr>
              <w:t>No</w:t>
            </w:r>
          </w:p>
        </w:tc>
      </w:tr>
    </w:tbl>
    <w:p w:rsidR="00D907AF" w:rsidRDefault="00D907AF">
      <w:r>
        <w:br w:type="page"/>
      </w:r>
    </w:p>
    <w:tbl>
      <w:tblPr>
        <w:tblStyle w:val="TableGrid"/>
        <w:tblW w:w="15230" w:type="dxa"/>
        <w:tblLayout w:type="fixed"/>
        <w:tblLook w:val="04A0" w:firstRow="1" w:lastRow="0" w:firstColumn="1" w:lastColumn="0" w:noHBand="0" w:noVBand="1"/>
        <w:tblCaption w:val="Table 2.5 Key Evaluation Questions"/>
        <w:tblDescription w:val="A matrix of Key Evaluation Questions and the Qualitative Studies that inform the questions."/>
      </w:tblPr>
      <w:tblGrid>
        <w:gridCol w:w="885"/>
        <w:gridCol w:w="9567"/>
        <w:gridCol w:w="1422"/>
        <w:gridCol w:w="992"/>
        <w:gridCol w:w="1290"/>
        <w:gridCol w:w="1074"/>
      </w:tblGrid>
      <w:tr w:rsidR="00D907AF" w:rsidRPr="00A2036F" w:rsidTr="00D13584">
        <w:trPr>
          <w:trHeight w:val="20"/>
          <w:tblHeader/>
        </w:trPr>
        <w:tc>
          <w:tcPr>
            <w:tcW w:w="885" w:type="dxa"/>
            <w:tcBorders>
              <w:top w:val="single" w:sz="4" w:space="0" w:color="auto"/>
              <w:bottom w:val="single" w:sz="4" w:space="0" w:color="auto"/>
            </w:tcBorders>
            <w:vAlign w:val="center"/>
            <w:hideMark/>
          </w:tcPr>
          <w:p w:rsidR="00D907AF" w:rsidRPr="00A2036F" w:rsidRDefault="00D94801" w:rsidP="00D13584">
            <w:pPr>
              <w:spacing w:before="20" w:after="20"/>
              <w:rPr>
                <w:bCs/>
                <w:sz w:val="20"/>
                <w:szCs w:val="20"/>
              </w:rPr>
            </w:pPr>
            <w:r w:rsidRPr="00D94801">
              <w:rPr>
                <w:bCs/>
                <w:sz w:val="20"/>
                <w:szCs w:val="20"/>
              </w:rPr>
              <w:lastRenderedPageBreak/>
              <w:t>KEQ Number</w:t>
            </w:r>
          </w:p>
        </w:tc>
        <w:tc>
          <w:tcPr>
            <w:tcW w:w="9567" w:type="dxa"/>
            <w:tcBorders>
              <w:top w:val="single" w:sz="4" w:space="0" w:color="auto"/>
              <w:bottom w:val="single" w:sz="4" w:space="0" w:color="auto"/>
            </w:tcBorders>
            <w:vAlign w:val="center"/>
            <w:hideMark/>
          </w:tcPr>
          <w:p w:rsidR="00D907AF" w:rsidRPr="00A2036F" w:rsidRDefault="00D94801" w:rsidP="00D13584">
            <w:pPr>
              <w:spacing w:before="20" w:after="20"/>
              <w:rPr>
                <w:bCs/>
                <w:sz w:val="20"/>
                <w:szCs w:val="20"/>
              </w:rPr>
            </w:pPr>
            <w:r w:rsidRPr="00D94801">
              <w:rPr>
                <w:bCs/>
                <w:sz w:val="20"/>
                <w:szCs w:val="20"/>
              </w:rPr>
              <w:t>Key Evaluation Question</w:t>
            </w:r>
          </w:p>
        </w:tc>
        <w:tc>
          <w:tcPr>
            <w:tcW w:w="1422" w:type="dxa"/>
            <w:tcBorders>
              <w:top w:val="single" w:sz="4" w:space="0" w:color="auto"/>
              <w:bottom w:val="single" w:sz="4" w:space="0" w:color="auto"/>
            </w:tcBorders>
            <w:hideMark/>
          </w:tcPr>
          <w:p w:rsidR="00D907AF" w:rsidRPr="00A2036F" w:rsidRDefault="00D907AF" w:rsidP="00432B91">
            <w:pPr>
              <w:spacing w:before="20" w:after="20"/>
              <w:jc w:val="center"/>
              <w:rPr>
                <w:bCs/>
                <w:sz w:val="20"/>
                <w:szCs w:val="20"/>
              </w:rPr>
            </w:pPr>
            <w:r w:rsidRPr="00A2036F">
              <w:rPr>
                <w:bCs/>
                <w:sz w:val="20"/>
                <w:szCs w:val="20"/>
              </w:rPr>
              <w:t>People with disability, and their families and carers</w:t>
            </w:r>
          </w:p>
        </w:tc>
        <w:tc>
          <w:tcPr>
            <w:tcW w:w="992" w:type="dxa"/>
            <w:tcBorders>
              <w:top w:val="single" w:sz="4" w:space="0" w:color="auto"/>
              <w:bottom w:val="single" w:sz="4" w:space="0" w:color="auto"/>
            </w:tcBorders>
            <w:hideMark/>
          </w:tcPr>
          <w:p w:rsidR="00D907AF" w:rsidRPr="00A2036F" w:rsidRDefault="00D907AF" w:rsidP="00432B91">
            <w:pPr>
              <w:spacing w:before="20" w:after="20"/>
              <w:jc w:val="center"/>
              <w:rPr>
                <w:bCs/>
                <w:sz w:val="20"/>
                <w:szCs w:val="20"/>
              </w:rPr>
            </w:pPr>
            <w:r w:rsidRPr="00A2036F">
              <w:rPr>
                <w:bCs/>
                <w:sz w:val="20"/>
                <w:szCs w:val="20"/>
              </w:rPr>
              <w:t>Disability Service Providers</w:t>
            </w:r>
          </w:p>
        </w:tc>
        <w:tc>
          <w:tcPr>
            <w:tcW w:w="1290" w:type="dxa"/>
            <w:tcBorders>
              <w:top w:val="single" w:sz="4" w:space="0" w:color="auto"/>
              <w:bottom w:val="single" w:sz="4" w:space="0" w:color="auto"/>
            </w:tcBorders>
          </w:tcPr>
          <w:p w:rsidR="00D907AF" w:rsidRPr="00A2036F" w:rsidRDefault="00D907AF" w:rsidP="00432B91">
            <w:pPr>
              <w:spacing w:before="20" w:after="20"/>
              <w:jc w:val="center"/>
              <w:rPr>
                <w:bCs/>
                <w:sz w:val="20"/>
                <w:szCs w:val="20"/>
              </w:rPr>
            </w:pPr>
            <w:r w:rsidRPr="00A2036F">
              <w:rPr>
                <w:bCs/>
                <w:sz w:val="20"/>
                <w:szCs w:val="20"/>
              </w:rPr>
              <w:t>Workforce stakeholder organisation</w:t>
            </w:r>
          </w:p>
        </w:tc>
        <w:tc>
          <w:tcPr>
            <w:tcW w:w="1074" w:type="dxa"/>
            <w:tcBorders>
              <w:top w:val="single" w:sz="4" w:space="0" w:color="auto"/>
              <w:bottom w:val="single" w:sz="4" w:space="0" w:color="auto"/>
            </w:tcBorders>
            <w:vAlign w:val="center"/>
            <w:hideMark/>
          </w:tcPr>
          <w:p w:rsidR="00D907AF" w:rsidRPr="00A2036F" w:rsidRDefault="00D907AF" w:rsidP="00D13584">
            <w:pPr>
              <w:spacing w:before="20" w:after="20"/>
              <w:jc w:val="center"/>
              <w:rPr>
                <w:bCs/>
                <w:sz w:val="20"/>
                <w:szCs w:val="20"/>
              </w:rPr>
            </w:pPr>
            <w:r w:rsidRPr="00A2036F">
              <w:rPr>
                <w:bCs/>
                <w:sz w:val="20"/>
                <w:szCs w:val="20"/>
              </w:rPr>
              <w:t>NDIA staff</w:t>
            </w:r>
          </w:p>
        </w:tc>
      </w:tr>
      <w:tr w:rsidR="00D907AF" w:rsidRPr="00F26365" w:rsidTr="008841EE">
        <w:trPr>
          <w:trHeight w:val="20"/>
        </w:trPr>
        <w:tc>
          <w:tcPr>
            <w:tcW w:w="885" w:type="dxa"/>
            <w:tcBorders>
              <w:bottom w:val="single" w:sz="4" w:space="0" w:color="A6A6A6" w:themeColor="background1" w:themeShade="A6"/>
            </w:tcBorders>
            <w:vAlign w:val="center"/>
            <w:hideMark/>
          </w:tcPr>
          <w:p w:rsidR="00D907AF" w:rsidRPr="00F26365" w:rsidRDefault="00D907AF" w:rsidP="00ED26FC">
            <w:pPr>
              <w:spacing w:before="20" w:after="20"/>
              <w:rPr>
                <w:bCs/>
                <w:sz w:val="20"/>
                <w:szCs w:val="20"/>
              </w:rPr>
            </w:pPr>
            <w:r w:rsidRPr="00F26365">
              <w:rPr>
                <w:bCs/>
                <w:sz w:val="20"/>
                <w:szCs w:val="20"/>
              </w:rPr>
              <w:t>31</w:t>
            </w:r>
          </w:p>
        </w:tc>
        <w:tc>
          <w:tcPr>
            <w:tcW w:w="9567" w:type="dxa"/>
            <w:tcBorders>
              <w:bottom w:val="single" w:sz="4" w:space="0" w:color="A6A6A6" w:themeColor="background1" w:themeShade="A6"/>
            </w:tcBorders>
            <w:vAlign w:val="center"/>
            <w:hideMark/>
          </w:tcPr>
          <w:p w:rsidR="00D907AF" w:rsidRPr="00F26365" w:rsidRDefault="00D907AF" w:rsidP="00AA37FB">
            <w:pPr>
              <w:spacing w:before="20" w:after="20"/>
              <w:ind w:left="33" w:right="172"/>
              <w:rPr>
                <w:bCs/>
                <w:sz w:val="20"/>
                <w:szCs w:val="20"/>
              </w:rPr>
            </w:pPr>
            <w:r w:rsidRPr="00F26365">
              <w:rPr>
                <w:bCs/>
                <w:sz w:val="20"/>
                <w:szCs w:val="20"/>
              </w:rPr>
              <w:t>Have there been any other changes, including unintended changes (anticipated and unanticipated, positive and negative), in the experiences of people with disability, their families and carers as a result of the scheme?</w:t>
            </w:r>
          </w:p>
        </w:tc>
        <w:tc>
          <w:tcPr>
            <w:tcW w:w="1422" w:type="dxa"/>
            <w:tcBorders>
              <w:bottom w:val="single" w:sz="4" w:space="0" w:color="A6A6A6" w:themeColor="background1" w:themeShade="A6"/>
            </w:tcBorders>
            <w:vAlign w:val="center"/>
            <w:hideMark/>
          </w:tcPr>
          <w:p w:rsidR="00D907AF" w:rsidRPr="00AD099A" w:rsidRDefault="00AD099A" w:rsidP="00ED26FC">
            <w:pPr>
              <w:spacing w:before="20" w:after="20"/>
              <w:jc w:val="center"/>
              <w:rPr>
                <w:rFonts w:cstheme="minorHAnsi"/>
                <w:bCs/>
                <w:sz w:val="20"/>
                <w:szCs w:val="20"/>
              </w:rPr>
            </w:pPr>
            <w:r w:rsidRPr="00AD099A">
              <w:rPr>
                <w:rFonts w:cstheme="minorHAnsi"/>
                <w:bCs/>
                <w:sz w:val="20"/>
                <w:szCs w:val="20"/>
              </w:rPr>
              <w:t>Yes</w:t>
            </w:r>
          </w:p>
        </w:tc>
        <w:tc>
          <w:tcPr>
            <w:tcW w:w="992" w:type="dxa"/>
            <w:tcBorders>
              <w:bottom w:val="single" w:sz="4" w:space="0" w:color="A6A6A6" w:themeColor="background1" w:themeShade="A6"/>
            </w:tcBorders>
            <w:vAlign w:val="center"/>
            <w:hideMark/>
          </w:tcPr>
          <w:p w:rsidR="00D907AF" w:rsidRPr="00C41809" w:rsidRDefault="00C41809" w:rsidP="00ED26FC">
            <w:pPr>
              <w:spacing w:before="20" w:after="20"/>
              <w:jc w:val="center"/>
              <w:rPr>
                <w:rFonts w:cstheme="minorHAnsi"/>
                <w:bCs/>
                <w:color w:val="FFFFFF" w:themeColor="background1"/>
                <w:sz w:val="20"/>
                <w:szCs w:val="20"/>
              </w:rPr>
            </w:pPr>
            <w:r w:rsidRPr="00C41809">
              <w:rPr>
                <w:rFonts w:cstheme="minorHAnsi"/>
                <w:bCs/>
                <w:color w:val="FFFFFF" w:themeColor="background1"/>
                <w:sz w:val="20"/>
                <w:szCs w:val="20"/>
              </w:rPr>
              <w:t>No</w:t>
            </w:r>
          </w:p>
        </w:tc>
        <w:tc>
          <w:tcPr>
            <w:tcW w:w="1290" w:type="dxa"/>
            <w:tcBorders>
              <w:bottom w:val="single" w:sz="4" w:space="0" w:color="A6A6A6" w:themeColor="background1" w:themeShade="A6"/>
            </w:tcBorders>
            <w:vAlign w:val="center"/>
          </w:tcPr>
          <w:p w:rsidR="00D907AF" w:rsidRPr="00C41809" w:rsidRDefault="00C41809" w:rsidP="00ED26FC">
            <w:pPr>
              <w:spacing w:before="20" w:after="20"/>
              <w:jc w:val="center"/>
              <w:rPr>
                <w:rFonts w:cstheme="minorHAnsi"/>
                <w:bCs/>
                <w:color w:val="FFFFFF" w:themeColor="background1"/>
                <w:sz w:val="20"/>
                <w:szCs w:val="20"/>
              </w:rPr>
            </w:pPr>
            <w:r w:rsidRPr="00C41809">
              <w:rPr>
                <w:rFonts w:cstheme="minorHAnsi"/>
                <w:bCs/>
                <w:color w:val="FFFFFF" w:themeColor="background1"/>
                <w:sz w:val="20"/>
                <w:szCs w:val="20"/>
              </w:rPr>
              <w:t>No</w:t>
            </w:r>
          </w:p>
        </w:tc>
        <w:tc>
          <w:tcPr>
            <w:tcW w:w="1074" w:type="dxa"/>
            <w:tcBorders>
              <w:bottom w:val="single" w:sz="4" w:space="0" w:color="A6A6A6" w:themeColor="background1" w:themeShade="A6"/>
            </w:tcBorders>
            <w:noWrap/>
            <w:vAlign w:val="center"/>
            <w:hideMark/>
          </w:tcPr>
          <w:p w:rsidR="00D907AF" w:rsidRPr="00C41809" w:rsidRDefault="00C41809" w:rsidP="00ED26FC">
            <w:pPr>
              <w:spacing w:before="20" w:after="20"/>
              <w:jc w:val="center"/>
              <w:rPr>
                <w:rFonts w:cstheme="minorHAnsi"/>
                <w:bCs/>
                <w:color w:val="FFFFFF" w:themeColor="background1"/>
                <w:sz w:val="20"/>
                <w:szCs w:val="20"/>
              </w:rPr>
            </w:pPr>
            <w:r w:rsidRPr="00C41809">
              <w:rPr>
                <w:rFonts w:cstheme="minorHAnsi"/>
                <w:bCs/>
                <w:color w:val="FFFFFF" w:themeColor="background1"/>
                <w:sz w:val="20"/>
                <w:szCs w:val="20"/>
              </w:rPr>
              <w:t>No</w:t>
            </w:r>
          </w:p>
        </w:tc>
      </w:tr>
      <w:tr w:rsidR="00D907AF" w:rsidRPr="00F26365" w:rsidTr="008841EE">
        <w:trPr>
          <w:trHeight w:val="397"/>
        </w:trPr>
        <w:tc>
          <w:tcPr>
            <w:tcW w:w="885" w:type="dxa"/>
            <w:tcBorders>
              <w:top w:val="single" w:sz="4" w:space="0" w:color="A6A6A6" w:themeColor="background1" w:themeShade="A6"/>
              <w:bottom w:val="single" w:sz="4" w:space="0" w:color="A6A6A6" w:themeColor="background1" w:themeShade="A6"/>
            </w:tcBorders>
            <w:vAlign w:val="center"/>
            <w:hideMark/>
          </w:tcPr>
          <w:p w:rsidR="00D907AF" w:rsidRPr="00F26365" w:rsidRDefault="00D907AF" w:rsidP="00ED26FC">
            <w:pPr>
              <w:spacing w:before="20" w:after="20"/>
              <w:rPr>
                <w:bCs/>
                <w:sz w:val="20"/>
                <w:szCs w:val="20"/>
              </w:rPr>
            </w:pPr>
            <w:r w:rsidRPr="00F26365">
              <w:rPr>
                <w:bCs/>
                <w:sz w:val="20"/>
                <w:szCs w:val="20"/>
              </w:rPr>
              <w:t>32</w:t>
            </w:r>
          </w:p>
        </w:tc>
        <w:tc>
          <w:tcPr>
            <w:tcW w:w="9567" w:type="dxa"/>
            <w:tcBorders>
              <w:top w:val="single" w:sz="4" w:space="0" w:color="A6A6A6" w:themeColor="background1" w:themeShade="A6"/>
              <w:bottom w:val="single" w:sz="4" w:space="0" w:color="A6A6A6" w:themeColor="background1" w:themeShade="A6"/>
            </w:tcBorders>
            <w:vAlign w:val="center"/>
            <w:hideMark/>
          </w:tcPr>
          <w:p w:rsidR="00D907AF" w:rsidRPr="00F26365" w:rsidRDefault="00D907AF" w:rsidP="00AA37FB">
            <w:pPr>
              <w:spacing w:before="20" w:after="20"/>
              <w:ind w:left="33" w:right="172"/>
              <w:rPr>
                <w:bCs/>
                <w:sz w:val="20"/>
                <w:szCs w:val="20"/>
              </w:rPr>
            </w:pPr>
            <w:r w:rsidRPr="00F26365">
              <w:rPr>
                <w:bCs/>
                <w:sz w:val="20"/>
                <w:szCs w:val="20"/>
              </w:rPr>
              <w:t>What has been the impact of an NDIS on the overall provision and quality of disability services?</w:t>
            </w:r>
          </w:p>
        </w:tc>
        <w:tc>
          <w:tcPr>
            <w:tcW w:w="1422" w:type="dxa"/>
            <w:tcBorders>
              <w:top w:val="single" w:sz="4" w:space="0" w:color="A6A6A6" w:themeColor="background1" w:themeShade="A6"/>
              <w:bottom w:val="single" w:sz="4" w:space="0" w:color="A6A6A6" w:themeColor="background1" w:themeShade="A6"/>
            </w:tcBorders>
            <w:noWrap/>
            <w:vAlign w:val="center"/>
            <w:hideMark/>
          </w:tcPr>
          <w:p w:rsidR="00D907AF" w:rsidRPr="00C41809" w:rsidRDefault="00C41809" w:rsidP="00ED26FC">
            <w:pPr>
              <w:spacing w:before="20" w:after="20"/>
              <w:jc w:val="center"/>
              <w:rPr>
                <w:rFonts w:cstheme="minorHAnsi"/>
                <w:bCs/>
                <w:color w:val="FFFFFF" w:themeColor="background1"/>
                <w:sz w:val="20"/>
                <w:szCs w:val="20"/>
              </w:rPr>
            </w:pPr>
            <w:r w:rsidRPr="00C41809">
              <w:rPr>
                <w:rFonts w:cstheme="minorHAnsi"/>
                <w:bCs/>
                <w:color w:val="FFFFFF" w:themeColor="background1"/>
                <w:sz w:val="20"/>
                <w:szCs w:val="20"/>
              </w:rPr>
              <w:t>No</w:t>
            </w:r>
          </w:p>
        </w:tc>
        <w:tc>
          <w:tcPr>
            <w:tcW w:w="992" w:type="dxa"/>
            <w:tcBorders>
              <w:top w:val="single" w:sz="4" w:space="0" w:color="A6A6A6" w:themeColor="background1" w:themeShade="A6"/>
              <w:bottom w:val="single" w:sz="4" w:space="0" w:color="A6A6A6" w:themeColor="background1" w:themeShade="A6"/>
            </w:tcBorders>
            <w:noWrap/>
            <w:vAlign w:val="center"/>
            <w:hideMark/>
          </w:tcPr>
          <w:p w:rsidR="00D907AF" w:rsidRPr="00AD099A" w:rsidRDefault="00AD099A" w:rsidP="00ED26FC">
            <w:pPr>
              <w:spacing w:before="20" w:after="20"/>
              <w:jc w:val="center"/>
              <w:rPr>
                <w:rFonts w:cstheme="minorHAnsi"/>
                <w:bCs/>
                <w:sz w:val="20"/>
                <w:szCs w:val="20"/>
              </w:rPr>
            </w:pPr>
            <w:r w:rsidRPr="00AD099A">
              <w:rPr>
                <w:rFonts w:cstheme="minorHAnsi"/>
                <w:bCs/>
                <w:sz w:val="20"/>
                <w:szCs w:val="20"/>
              </w:rPr>
              <w:t>Yes</w:t>
            </w:r>
          </w:p>
        </w:tc>
        <w:tc>
          <w:tcPr>
            <w:tcW w:w="1290" w:type="dxa"/>
            <w:tcBorders>
              <w:top w:val="single" w:sz="4" w:space="0" w:color="A6A6A6" w:themeColor="background1" w:themeShade="A6"/>
              <w:bottom w:val="single" w:sz="4" w:space="0" w:color="A6A6A6" w:themeColor="background1" w:themeShade="A6"/>
            </w:tcBorders>
            <w:vAlign w:val="center"/>
          </w:tcPr>
          <w:p w:rsidR="00D907AF" w:rsidRPr="00AD099A" w:rsidRDefault="00AD099A" w:rsidP="00ED26FC">
            <w:pPr>
              <w:spacing w:before="20" w:after="20"/>
              <w:jc w:val="center"/>
              <w:rPr>
                <w:rFonts w:cstheme="minorHAnsi"/>
                <w:bCs/>
                <w:sz w:val="20"/>
                <w:szCs w:val="20"/>
              </w:rPr>
            </w:pPr>
            <w:r w:rsidRPr="00AD099A">
              <w:rPr>
                <w:rFonts w:cstheme="minorHAnsi"/>
                <w:bCs/>
                <w:sz w:val="20"/>
                <w:szCs w:val="20"/>
              </w:rPr>
              <w:t>Yes</w:t>
            </w:r>
          </w:p>
        </w:tc>
        <w:tc>
          <w:tcPr>
            <w:tcW w:w="1074" w:type="dxa"/>
            <w:tcBorders>
              <w:top w:val="single" w:sz="4" w:space="0" w:color="A6A6A6" w:themeColor="background1" w:themeShade="A6"/>
              <w:bottom w:val="single" w:sz="4" w:space="0" w:color="A6A6A6" w:themeColor="background1" w:themeShade="A6"/>
            </w:tcBorders>
            <w:noWrap/>
            <w:vAlign w:val="center"/>
            <w:hideMark/>
          </w:tcPr>
          <w:p w:rsidR="00D907AF" w:rsidRPr="00AD099A" w:rsidRDefault="00AD099A" w:rsidP="00ED26FC">
            <w:pPr>
              <w:spacing w:before="20" w:after="20"/>
              <w:jc w:val="center"/>
              <w:rPr>
                <w:rFonts w:cstheme="minorHAnsi"/>
                <w:bCs/>
                <w:sz w:val="20"/>
                <w:szCs w:val="20"/>
              </w:rPr>
            </w:pPr>
            <w:r w:rsidRPr="00AD099A">
              <w:rPr>
                <w:rFonts w:cstheme="minorHAnsi"/>
                <w:bCs/>
                <w:sz w:val="20"/>
                <w:szCs w:val="20"/>
              </w:rPr>
              <w:t>Yes</w:t>
            </w:r>
          </w:p>
        </w:tc>
      </w:tr>
      <w:tr w:rsidR="00D907AF" w:rsidRPr="00F26365" w:rsidTr="008841EE">
        <w:trPr>
          <w:trHeight w:val="397"/>
        </w:trPr>
        <w:tc>
          <w:tcPr>
            <w:tcW w:w="885" w:type="dxa"/>
            <w:tcBorders>
              <w:top w:val="single" w:sz="4" w:space="0" w:color="A6A6A6" w:themeColor="background1" w:themeShade="A6"/>
              <w:bottom w:val="single" w:sz="4" w:space="0" w:color="A6A6A6" w:themeColor="background1" w:themeShade="A6"/>
            </w:tcBorders>
            <w:vAlign w:val="center"/>
            <w:hideMark/>
          </w:tcPr>
          <w:p w:rsidR="00D907AF" w:rsidRPr="00F26365" w:rsidRDefault="00D907AF" w:rsidP="00ED26FC">
            <w:pPr>
              <w:spacing w:before="20" w:after="20"/>
              <w:rPr>
                <w:bCs/>
                <w:sz w:val="20"/>
                <w:szCs w:val="20"/>
              </w:rPr>
            </w:pPr>
            <w:r w:rsidRPr="00F26365">
              <w:rPr>
                <w:bCs/>
                <w:sz w:val="20"/>
                <w:szCs w:val="20"/>
              </w:rPr>
              <w:t>33</w:t>
            </w:r>
          </w:p>
        </w:tc>
        <w:tc>
          <w:tcPr>
            <w:tcW w:w="9567" w:type="dxa"/>
            <w:tcBorders>
              <w:top w:val="single" w:sz="4" w:space="0" w:color="A6A6A6" w:themeColor="background1" w:themeShade="A6"/>
              <w:bottom w:val="single" w:sz="4" w:space="0" w:color="A6A6A6" w:themeColor="background1" w:themeShade="A6"/>
            </w:tcBorders>
            <w:vAlign w:val="center"/>
            <w:hideMark/>
          </w:tcPr>
          <w:p w:rsidR="00D907AF" w:rsidRPr="00F26365" w:rsidRDefault="00D907AF" w:rsidP="00AA37FB">
            <w:pPr>
              <w:spacing w:before="20" w:after="20"/>
              <w:ind w:left="33" w:right="172"/>
              <w:rPr>
                <w:bCs/>
                <w:sz w:val="20"/>
                <w:szCs w:val="20"/>
              </w:rPr>
            </w:pPr>
            <w:r w:rsidRPr="00F26365">
              <w:rPr>
                <w:bCs/>
                <w:sz w:val="20"/>
                <w:szCs w:val="20"/>
              </w:rPr>
              <w:t>Are clients satisfied that their supports are tailored to their individual needs and well-coordinated?</w:t>
            </w:r>
          </w:p>
        </w:tc>
        <w:tc>
          <w:tcPr>
            <w:tcW w:w="1422" w:type="dxa"/>
            <w:tcBorders>
              <w:top w:val="single" w:sz="4" w:space="0" w:color="A6A6A6" w:themeColor="background1" w:themeShade="A6"/>
              <w:bottom w:val="single" w:sz="4" w:space="0" w:color="A6A6A6" w:themeColor="background1" w:themeShade="A6"/>
            </w:tcBorders>
            <w:noWrap/>
            <w:vAlign w:val="center"/>
            <w:hideMark/>
          </w:tcPr>
          <w:p w:rsidR="00D907AF" w:rsidRPr="00DD2370" w:rsidRDefault="00C41809" w:rsidP="00ED26FC">
            <w:pPr>
              <w:spacing w:before="20" w:after="20"/>
              <w:jc w:val="center"/>
              <w:rPr>
                <w:rFonts w:cstheme="minorHAnsi"/>
                <w:bCs/>
                <w:color w:val="FFFFFF" w:themeColor="background1"/>
                <w:sz w:val="20"/>
                <w:szCs w:val="20"/>
              </w:rPr>
            </w:pPr>
            <w:r w:rsidRPr="00DD2370">
              <w:rPr>
                <w:rFonts w:cstheme="minorHAnsi"/>
                <w:bCs/>
                <w:color w:val="FFFFFF" w:themeColor="background1"/>
                <w:sz w:val="20"/>
                <w:szCs w:val="20"/>
              </w:rPr>
              <w:t>No</w:t>
            </w:r>
          </w:p>
        </w:tc>
        <w:tc>
          <w:tcPr>
            <w:tcW w:w="992" w:type="dxa"/>
            <w:tcBorders>
              <w:top w:val="single" w:sz="4" w:space="0" w:color="A6A6A6" w:themeColor="background1" w:themeShade="A6"/>
              <w:bottom w:val="single" w:sz="4" w:space="0" w:color="A6A6A6" w:themeColor="background1" w:themeShade="A6"/>
            </w:tcBorders>
            <w:noWrap/>
            <w:vAlign w:val="center"/>
            <w:hideMark/>
          </w:tcPr>
          <w:p w:rsidR="00D907AF" w:rsidRPr="00DD2370" w:rsidRDefault="00DD2370" w:rsidP="00ED26FC">
            <w:pPr>
              <w:spacing w:before="20" w:after="20"/>
              <w:jc w:val="center"/>
              <w:rPr>
                <w:rFonts w:cstheme="minorHAnsi"/>
                <w:bCs/>
                <w:color w:val="FFFFFF" w:themeColor="background1"/>
                <w:sz w:val="20"/>
                <w:szCs w:val="20"/>
              </w:rPr>
            </w:pPr>
            <w:r w:rsidRPr="00DD2370">
              <w:rPr>
                <w:rFonts w:cstheme="minorHAnsi"/>
                <w:bCs/>
                <w:color w:val="FFFFFF" w:themeColor="background1"/>
                <w:sz w:val="20"/>
                <w:szCs w:val="20"/>
              </w:rPr>
              <w:t>No</w:t>
            </w:r>
          </w:p>
        </w:tc>
        <w:tc>
          <w:tcPr>
            <w:tcW w:w="1290" w:type="dxa"/>
            <w:tcBorders>
              <w:top w:val="single" w:sz="4" w:space="0" w:color="A6A6A6" w:themeColor="background1" w:themeShade="A6"/>
              <w:bottom w:val="single" w:sz="4" w:space="0" w:color="A6A6A6" w:themeColor="background1" w:themeShade="A6"/>
            </w:tcBorders>
            <w:shd w:val="clear" w:color="auto" w:fill="auto"/>
            <w:vAlign w:val="center"/>
          </w:tcPr>
          <w:p w:rsidR="00D907AF" w:rsidRPr="00DD2370" w:rsidRDefault="00C41809" w:rsidP="00ED26FC">
            <w:pPr>
              <w:spacing w:before="20" w:after="20"/>
              <w:jc w:val="center"/>
              <w:rPr>
                <w:rFonts w:cstheme="minorHAnsi"/>
                <w:bCs/>
                <w:color w:val="FFFFFF" w:themeColor="background1"/>
                <w:sz w:val="20"/>
                <w:szCs w:val="20"/>
              </w:rPr>
            </w:pPr>
            <w:r w:rsidRPr="00DD2370">
              <w:rPr>
                <w:rFonts w:cstheme="minorHAnsi"/>
                <w:bCs/>
                <w:color w:val="FFFFFF" w:themeColor="background1"/>
                <w:sz w:val="20"/>
                <w:szCs w:val="20"/>
              </w:rPr>
              <w:t>No</w:t>
            </w:r>
          </w:p>
        </w:tc>
        <w:tc>
          <w:tcPr>
            <w:tcW w:w="1074" w:type="dxa"/>
            <w:tcBorders>
              <w:top w:val="single" w:sz="4" w:space="0" w:color="A6A6A6" w:themeColor="background1" w:themeShade="A6"/>
              <w:bottom w:val="single" w:sz="4" w:space="0" w:color="A6A6A6" w:themeColor="background1" w:themeShade="A6"/>
            </w:tcBorders>
            <w:noWrap/>
            <w:vAlign w:val="center"/>
            <w:hideMark/>
          </w:tcPr>
          <w:p w:rsidR="00D907AF" w:rsidRPr="00DD2370" w:rsidRDefault="00C41809" w:rsidP="00ED26FC">
            <w:pPr>
              <w:spacing w:before="20" w:after="20"/>
              <w:jc w:val="center"/>
              <w:rPr>
                <w:rFonts w:cstheme="minorHAnsi"/>
                <w:bCs/>
                <w:color w:val="FFFFFF" w:themeColor="background1"/>
                <w:sz w:val="20"/>
                <w:szCs w:val="20"/>
              </w:rPr>
            </w:pPr>
            <w:r w:rsidRPr="00DD2370">
              <w:rPr>
                <w:rFonts w:cstheme="minorHAnsi"/>
                <w:bCs/>
                <w:color w:val="FFFFFF" w:themeColor="background1"/>
                <w:sz w:val="20"/>
                <w:szCs w:val="20"/>
              </w:rPr>
              <w:t>No</w:t>
            </w:r>
          </w:p>
        </w:tc>
      </w:tr>
      <w:tr w:rsidR="00D907AF" w:rsidRPr="00F26365" w:rsidTr="008841EE">
        <w:trPr>
          <w:trHeight w:val="20"/>
        </w:trPr>
        <w:tc>
          <w:tcPr>
            <w:tcW w:w="885" w:type="dxa"/>
            <w:tcBorders>
              <w:top w:val="single" w:sz="4" w:space="0" w:color="A6A6A6" w:themeColor="background1" w:themeShade="A6"/>
              <w:bottom w:val="single" w:sz="4" w:space="0" w:color="A6A6A6" w:themeColor="background1" w:themeShade="A6"/>
            </w:tcBorders>
            <w:vAlign w:val="center"/>
            <w:hideMark/>
          </w:tcPr>
          <w:p w:rsidR="00D907AF" w:rsidRPr="00F26365" w:rsidRDefault="00D907AF" w:rsidP="00ED26FC">
            <w:pPr>
              <w:spacing w:before="20" w:after="20"/>
              <w:rPr>
                <w:bCs/>
                <w:sz w:val="20"/>
                <w:szCs w:val="20"/>
              </w:rPr>
            </w:pPr>
            <w:r w:rsidRPr="00F26365">
              <w:rPr>
                <w:bCs/>
                <w:sz w:val="20"/>
                <w:szCs w:val="20"/>
              </w:rPr>
              <w:t>34</w:t>
            </w:r>
          </w:p>
        </w:tc>
        <w:tc>
          <w:tcPr>
            <w:tcW w:w="9567" w:type="dxa"/>
            <w:tcBorders>
              <w:top w:val="single" w:sz="4" w:space="0" w:color="A6A6A6" w:themeColor="background1" w:themeShade="A6"/>
              <w:bottom w:val="single" w:sz="4" w:space="0" w:color="A6A6A6" w:themeColor="background1" w:themeShade="A6"/>
            </w:tcBorders>
            <w:vAlign w:val="center"/>
            <w:hideMark/>
          </w:tcPr>
          <w:p w:rsidR="00D907AF" w:rsidRPr="00F26365" w:rsidRDefault="00D907AF" w:rsidP="00AA37FB">
            <w:pPr>
              <w:spacing w:before="20" w:after="20"/>
              <w:ind w:left="33" w:right="172"/>
              <w:rPr>
                <w:bCs/>
                <w:sz w:val="20"/>
                <w:szCs w:val="20"/>
              </w:rPr>
            </w:pPr>
            <w:r w:rsidRPr="00F26365">
              <w:rPr>
                <w:bCs/>
                <w:sz w:val="20"/>
                <w:szCs w:val="20"/>
              </w:rPr>
              <w:t>What has been the impact of an NDIS on the disability sector, including the relevant government agency in each jurisdiction and advocacy organisations?</w:t>
            </w:r>
          </w:p>
        </w:tc>
        <w:tc>
          <w:tcPr>
            <w:tcW w:w="1422" w:type="dxa"/>
            <w:tcBorders>
              <w:top w:val="single" w:sz="4" w:space="0" w:color="A6A6A6" w:themeColor="background1" w:themeShade="A6"/>
              <w:bottom w:val="single" w:sz="4" w:space="0" w:color="A6A6A6" w:themeColor="background1" w:themeShade="A6"/>
            </w:tcBorders>
            <w:noWrap/>
            <w:vAlign w:val="center"/>
            <w:hideMark/>
          </w:tcPr>
          <w:p w:rsidR="00D907AF" w:rsidRPr="00C41809" w:rsidRDefault="00C41809" w:rsidP="00ED26FC">
            <w:pPr>
              <w:spacing w:before="20" w:after="20"/>
              <w:jc w:val="center"/>
              <w:rPr>
                <w:rFonts w:cstheme="minorHAnsi"/>
                <w:bCs/>
                <w:color w:val="FFFFFF" w:themeColor="background1"/>
                <w:sz w:val="20"/>
                <w:szCs w:val="20"/>
              </w:rPr>
            </w:pPr>
            <w:r w:rsidRPr="00C41809">
              <w:rPr>
                <w:rFonts w:cstheme="minorHAnsi"/>
                <w:bCs/>
                <w:color w:val="FFFFFF" w:themeColor="background1"/>
                <w:sz w:val="20"/>
                <w:szCs w:val="20"/>
              </w:rPr>
              <w:t>No</w:t>
            </w:r>
          </w:p>
        </w:tc>
        <w:tc>
          <w:tcPr>
            <w:tcW w:w="992" w:type="dxa"/>
            <w:tcBorders>
              <w:top w:val="single" w:sz="4" w:space="0" w:color="A6A6A6" w:themeColor="background1" w:themeShade="A6"/>
              <w:bottom w:val="single" w:sz="4" w:space="0" w:color="A6A6A6" w:themeColor="background1" w:themeShade="A6"/>
            </w:tcBorders>
            <w:noWrap/>
            <w:vAlign w:val="center"/>
            <w:hideMark/>
          </w:tcPr>
          <w:p w:rsidR="00D907AF" w:rsidRPr="00AD099A" w:rsidRDefault="00AD099A" w:rsidP="00ED26FC">
            <w:pPr>
              <w:spacing w:before="20" w:after="20"/>
              <w:jc w:val="center"/>
              <w:rPr>
                <w:rFonts w:cstheme="minorHAnsi"/>
                <w:bCs/>
                <w:sz w:val="20"/>
                <w:szCs w:val="20"/>
              </w:rPr>
            </w:pPr>
            <w:r w:rsidRPr="00AD099A">
              <w:rPr>
                <w:rFonts w:cstheme="minorHAnsi"/>
                <w:bCs/>
                <w:sz w:val="20"/>
                <w:szCs w:val="20"/>
              </w:rPr>
              <w:t>Yes</w:t>
            </w:r>
          </w:p>
        </w:tc>
        <w:tc>
          <w:tcPr>
            <w:tcW w:w="1290" w:type="dxa"/>
            <w:tcBorders>
              <w:top w:val="single" w:sz="4" w:space="0" w:color="A6A6A6" w:themeColor="background1" w:themeShade="A6"/>
              <w:bottom w:val="single" w:sz="4" w:space="0" w:color="A6A6A6" w:themeColor="background1" w:themeShade="A6"/>
            </w:tcBorders>
            <w:vAlign w:val="center"/>
          </w:tcPr>
          <w:p w:rsidR="00D907AF" w:rsidRPr="00AD099A" w:rsidRDefault="00AD099A" w:rsidP="00ED26FC">
            <w:pPr>
              <w:spacing w:before="20" w:after="20"/>
              <w:jc w:val="center"/>
              <w:rPr>
                <w:rFonts w:cstheme="minorHAnsi"/>
                <w:bCs/>
                <w:sz w:val="20"/>
                <w:szCs w:val="20"/>
              </w:rPr>
            </w:pPr>
            <w:r w:rsidRPr="00AD099A">
              <w:rPr>
                <w:rFonts w:cstheme="minorHAnsi"/>
                <w:bCs/>
                <w:sz w:val="20"/>
                <w:szCs w:val="20"/>
              </w:rPr>
              <w:t>Yes</w:t>
            </w:r>
          </w:p>
        </w:tc>
        <w:tc>
          <w:tcPr>
            <w:tcW w:w="1074" w:type="dxa"/>
            <w:tcBorders>
              <w:top w:val="single" w:sz="4" w:space="0" w:color="A6A6A6" w:themeColor="background1" w:themeShade="A6"/>
              <w:bottom w:val="single" w:sz="4" w:space="0" w:color="A6A6A6" w:themeColor="background1" w:themeShade="A6"/>
            </w:tcBorders>
            <w:noWrap/>
            <w:vAlign w:val="center"/>
            <w:hideMark/>
          </w:tcPr>
          <w:p w:rsidR="00D907AF" w:rsidRPr="00C41809" w:rsidRDefault="00C41809" w:rsidP="00ED26FC">
            <w:pPr>
              <w:spacing w:before="20" w:after="20"/>
              <w:jc w:val="center"/>
              <w:rPr>
                <w:rFonts w:cstheme="minorHAnsi"/>
                <w:bCs/>
                <w:color w:val="FFFFFF" w:themeColor="background1"/>
                <w:sz w:val="20"/>
                <w:szCs w:val="20"/>
              </w:rPr>
            </w:pPr>
            <w:r w:rsidRPr="00C41809">
              <w:rPr>
                <w:rFonts w:cstheme="minorHAnsi"/>
                <w:bCs/>
                <w:color w:val="FFFFFF" w:themeColor="background1"/>
                <w:sz w:val="20"/>
                <w:szCs w:val="20"/>
              </w:rPr>
              <w:t>No</w:t>
            </w:r>
          </w:p>
        </w:tc>
      </w:tr>
      <w:tr w:rsidR="00D907AF" w:rsidRPr="00F26365" w:rsidTr="008841EE">
        <w:trPr>
          <w:trHeight w:val="20"/>
        </w:trPr>
        <w:tc>
          <w:tcPr>
            <w:tcW w:w="885" w:type="dxa"/>
            <w:tcBorders>
              <w:top w:val="single" w:sz="4" w:space="0" w:color="A6A6A6" w:themeColor="background1" w:themeShade="A6"/>
              <w:bottom w:val="single" w:sz="4" w:space="0" w:color="A6A6A6" w:themeColor="background1" w:themeShade="A6"/>
            </w:tcBorders>
            <w:vAlign w:val="center"/>
            <w:hideMark/>
          </w:tcPr>
          <w:p w:rsidR="00D907AF" w:rsidRPr="00F26365" w:rsidRDefault="00D907AF" w:rsidP="00ED26FC">
            <w:pPr>
              <w:spacing w:before="20" w:after="20"/>
              <w:rPr>
                <w:bCs/>
                <w:sz w:val="20"/>
                <w:szCs w:val="20"/>
              </w:rPr>
            </w:pPr>
            <w:r w:rsidRPr="00F26365">
              <w:rPr>
                <w:bCs/>
                <w:sz w:val="20"/>
                <w:szCs w:val="20"/>
              </w:rPr>
              <w:t>35</w:t>
            </w:r>
          </w:p>
        </w:tc>
        <w:tc>
          <w:tcPr>
            <w:tcW w:w="9567" w:type="dxa"/>
            <w:tcBorders>
              <w:top w:val="single" w:sz="4" w:space="0" w:color="A6A6A6" w:themeColor="background1" w:themeShade="A6"/>
              <w:bottom w:val="single" w:sz="4" w:space="0" w:color="A6A6A6" w:themeColor="background1" w:themeShade="A6"/>
            </w:tcBorders>
            <w:vAlign w:val="center"/>
            <w:hideMark/>
          </w:tcPr>
          <w:p w:rsidR="00D907AF" w:rsidRPr="00F26365" w:rsidRDefault="00D907AF" w:rsidP="00AA37FB">
            <w:pPr>
              <w:spacing w:before="20" w:after="20"/>
              <w:ind w:left="33" w:right="172"/>
              <w:rPr>
                <w:bCs/>
                <w:sz w:val="20"/>
                <w:szCs w:val="20"/>
              </w:rPr>
            </w:pPr>
            <w:r w:rsidRPr="00F26365">
              <w:rPr>
                <w:bCs/>
                <w:sz w:val="20"/>
                <w:szCs w:val="20"/>
              </w:rPr>
              <w:t xml:space="preserve">Consider impacts on workforce (skills, retention rates, capacity, satisfaction, workforce culture, composition and proportion of occupation types). </w:t>
            </w:r>
          </w:p>
        </w:tc>
        <w:tc>
          <w:tcPr>
            <w:tcW w:w="1422" w:type="dxa"/>
            <w:tcBorders>
              <w:top w:val="single" w:sz="4" w:space="0" w:color="A6A6A6" w:themeColor="background1" w:themeShade="A6"/>
              <w:bottom w:val="single" w:sz="4" w:space="0" w:color="A6A6A6" w:themeColor="background1" w:themeShade="A6"/>
            </w:tcBorders>
            <w:noWrap/>
            <w:vAlign w:val="center"/>
            <w:hideMark/>
          </w:tcPr>
          <w:p w:rsidR="00D907AF" w:rsidRPr="00C41809" w:rsidRDefault="00C41809" w:rsidP="00ED26FC">
            <w:pPr>
              <w:spacing w:before="20" w:after="20"/>
              <w:jc w:val="center"/>
              <w:rPr>
                <w:rFonts w:cstheme="minorHAnsi"/>
                <w:bCs/>
                <w:color w:val="FFFFFF" w:themeColor="background1"/>
                <w:sz w:val="20"/>
                <w:szCs w:val="20"/>
              </w:rPr>
            </w:pPr>
            <w:r w:rsidRPr="00C41809">
              <w:rPr>
                <w:rFonts w:cstheme="minorHAnsi"/>
                <w:bCs/>
                <w:color w:val="FFFFFF" w:themeColor="background1"/>
                <w:sz w:val="20"/>
                <w:szCs w:val="20"/>
              </w:rPr>
              <w:t>No</w:t>
            </w:r>
          </w:p>
        </w:tc>
        <w:tc>
          <w:tcPr>
            <w:tcW w:w="992" w:type="dxa"/>
            <w:tcBorders>
              <w:top w:val="single" w:sz="4" w:space="0" w:color="A6A6A6" w:themeColor="background1" w:themeShade="A6"/>
              <w:bottom w:val="single" w:sz="4" w:space="0" w:color="A6A6A6" w:themeColor="background1" w:themeShade="A6"/>
            </w:tcBorders>
            <w:noWrap/>
            <w:vAlign w:val="center"/>
            <w:hideMark/>
          </w:tcPr>
          <w:p w:rsidR="00D907AF" w:rsidRPr="00AD099A" w:rsidRDefault="00AD099A" w:rsidP="00ED26FC">
            <w:pPr>
              <w:spacing w:before="20" w:after="20"/>
              <w:jc w:val="center"/>
              <w:rPr>
                <w:rFonts w:cstheme="minorHAnsi"/>
                <w:bCs/>
                <w:sz w:val="20"/>
                <w:szCs w:val="20"/>
              </w:rPr>
            </w:pPr>
            <w:r w:rsidRPr="00AD099A">
              <w:rPr>
                <w:rFonts w:cstheme="minorHAnsi"/>
                <w:bCs/>
                <w:sz w:val="20"/>
                <w:szCs w:val="20"/>
              </w:rPr>
              <w:t>Yes</w:t>
            </w:r>
          </w:p>
        </w:tc>
        <w:tc>
          <w:tcPr>
            <w:tcW w:w="1290" w:type="dxa"/>
            <w:tcBorders>
              <w:top w:val="single" w:sz="4" w:space="0" w:color="A6A6A6" w:themeColor="background1" w:themeShade="A6"/>
              <w:bottom w:val="single" w:sz="4" w:space="0" w:color="A6A6A6" w:themeColor="background1" w:themeShade="A6"/>
            </w:tcBorders>
            <w:vAlign w:val="center"/>
          </w:tcPr>
          <w:p w:rsidR="00D907AF" w:rsidRPr="00AD099A" w:rsidRDefault="00AD099A" w:rsidP="00ED26FC">
            <w:pPr>
              <w:spacing w:before="20" w:after="20"/>
              <w:jc w:val="center"/>
              <w:rPr>
                <w:rFonts w:cstheme="minorHAnsi"/>
                <w:bCs/>
                <w:sz w:val="20"/>
                <w:szCs w:val="20"/>
              </w:rPr>
            </w:pPr>
            <w:r w:rsidRPr="00AD099A">
              <w:rPr>
                <w:rFonts w:cstheme="minorHAnsi"/>
                <w:bCs/>
                <w:sz w:val="20"/>
                <w:szCs w:val="20"/>
              </w:rPr>
              <w:t>Yes</w:t>
            </w:r>
          </w:p>
        </w:tc>
        <w:tc>
          <w:tcPr>
            <w:tcW w:w="1074" w:type="dxa"/>
            <w:tcBorders>
              <w:top w:val="single" w:sz="4" w:space="0" w:color="A6A6A6" w:themeColor="background1" w:themeShade="A6"/>
              <w:bottom w:val="single" w:sz="4" w:space="0" w:color="A6A6A6" w:themeColor="background1" w:themeShade="A6"/>
            </w:tcBorders>
            <w:noWrap/>
            <w:vAlign w:val="center"/>
            <w:hideMark/>
          </w:tcPr>
          <w:p w:rsidR="00D907AF" w:rsidRPr="00C41809" w:rsidRDefault="00C41809" w:rsidP="00ED26FC">
            <w:pPr>
              <w:spacing w:before="20" w:after="20"/>
              <w:jc w:val="center"/>
              <w:rPr>
                <w:rFonts w:cstheme="minorHAnsi"/>
                <w:bCs/>
                <w:color w:val="FFFFFF" w:themeColor="background1"/>
                <w:sz w:val="20"/>
                <w:szCs w:val="20"/>
              </w:rPr>
            </w:pPr>
            <w:r w:rsidRPr="00C41809">
              <w:rPr>
                <w:rFonts w:cstheme="minorHAnsi"/>
                <w:bCs/>
                <w:color w:val="FFFFFF" w:themeColor="background1"/>
                <w:sz w:val="20"/>
                <w:szCs w:val="20"/>
              </w:rPr>
              <w:t>No</w:t>
            </w:r>
          </w:p>
        </w:tc>
      </w:tr>
      <w:tr w:rsidR="00D907AF" w:rsidRPr="00F26365" w:rsidTr="008841EE">
        <w:trPr>
          <w:trHeight w:val="20"/>
        </w:trPr>
        <w:tc>
          <w:tcPr>
            <w:tcW w:w="885" w:type="dxa"/>
            <w:tcBorders>
              <w:top w:val="single" w:sz="4" w:space="0" w:color="A6A6A6" w:themeColor="background1" w:themeShade="A6"/>
              <w:bottom w:val="single" w:sz="4" w:space="0" w:color="A6A6A6" w:themeColor="background1" w:themeShade="A6"/>
            </w:tcBorders>
            <w:vAlign w:val="center"/>
            <w:hideMark/>
          </w:tcPr>
          <w:p w:rsidR="00D907AF" w:rsidRPr="00F26365" w:rsidRDefault="00D907AF" w:rsidP="00ED26FC">
            <w:pPr>
              <w:spacing w:before="20" w:after="20"/>
              <w:rPr>
                <w:bCs/>
                <w:sz w:val="20"/>
                <w:szCs w:val="20"/>
              </w:rPr>
            </w:pPr>
            <w:r w:rsidRPr="00F26365">
              <w:rPr>
                <w:bCs/>
                <w:sz w:val="20"/>
                <w:szCs w:val="20"/>
              </w:rPr>
              <w:t>36</w:t>
            </w:r>
          </w:p>
        </w:tc>
        <w:tc>
          <w:tcPr>
            <w:tcW w:w="9567" w:type="dxa"/>
            <w:tcBorders>
              <w:top w:val="single" w:sz="4" w:space="0" w:color="A6A6A6" w:themeColor="background1" w:themeShade="A6"/>
              <w:bottom w:val="single" w:sz="4" w:space="0" w:color="A6A6A6" w:themeColor="background1" w:themeShade="A6"/>
            </w:tcBorders>
            <w:vAlign w:val="center"/>
            <w:hideMark/>
          </w:tcPr>
          <w:p w:rsidR="00D907AF" w:rsidRPr="00F26365" w:rsidRDefault="00D907AF" w:rsidP="00AA37FB">
            <w:pPr>
              <w:spacing w:before="20" w:after="20"/>
              <w:ind w:left="33" w:right="172"/>
              <w:rPr>
                <w:bCs/>
                <w:sz w:val="20"/>
                <w:szCs w:val="20"/>
              </w:rPr>
            </w:pPr>
            <w:r w:rsidRPr="00F26365">
              <w:rPr>
                <w:bCs/>
                <w:sz w:val="20"/>
                <w:szCs w:val="20"/>
              </w:rPr>
              <w:t>Consider impacts on supply and diversity of disability supports (particularly sustainability, ability to respond to choice and control, and service capacity).</w:t>
            </w:r>
          </w:p>
        </w:tc>
        <w:tc>
          <w:tcPr>
            <w:tcW w:w="1422" w:type="dxa"/>
            <w:tcBorders>
              <w:top w:val="single" w:sz="4" w:space="0" w:color="A6A6A6" w:themeColor="background1" w:themeShade="A6"/>
              <w:bottom w:val="single" w:sz="4" w:space="0" w:color="A6A6A6" w:themeColor="background1" w:themeShade="A6"/>
            </w:tcBorders>
            <w:noWrap/>
            <w:vAlign w:val="center"/>
            <w:hideMark/>
          </w:tcPr>
          <w:p w:rsidR="00D907AF" w:rsidRPr="00C41809" w:rsidRDefault="00C41809" w:rsidP="00ED26FC">
            <w:pPr>
              <w:spacing w:before="20" w:after="20"/>
              <w:jc w:val="center"/>
              <w:rPr>
                <w:rFonts w:cstheme="minorHAnsi"/>
                <w:bCs/>
                <w:color w:val="FFFFFF" w:themeColor="background1"/>
                <w:sz w:val="20"/>
                <w:szCs w:val="20"/>
              </w:rPr>
            </w:pPr>
            <w:r w:rsidRPr="00C41809">
              <w:rPr>
                <w:rFonts w:cstheme="minorHAnsi"/>
                <w:bCs/>
                <w:color w:val="FFFFFF" w:themeColor="background1"/>
                <w:sz w:val="20"/>
                <w:szCs w:val="20"/>
              </w:rPr>
              <w:t>No</w:t>
            </w:r>
          </w:p>
        </w:tc>
        <w:tc>
          <w:tcPr>
            <w:tcW w:w="992" w:type="dxa"/>
            <w:tcBorders>
              <w:top w:val="single" w:sz="4" w:space="0" w:color="A6A6A6" w:themeColor="background1" w:themeShade="A6"/>
              <w:bottom w:val="single" w:sz="4" w:space="0" w:color="A6A6A6" w:themeColor="background1" w:themeShade="A6"/>
            </w:tcBorders>
            <w:noWrap/>
            <w:vAlign w:val="center"/>
            <w:hideMark/>
          </w:tcPr>
          <w:p w:rsidR="00D907AF" w:rsidRPr="00AD099A" w:rsidRDefault="00AD099A" w:rsidP="00ED26FC">
            <w:pPr>
              <w:spacing w:before="20" w:after="20"/>
              <w:jc w:val="center"/>
              <w:rPr>
                <w:rFonts w:cstheme="minorHAnsi"/>
                <w:bCs/>
                <w:sz w:val="20"/>
                <w:szCs w:val="20"/>
              </w:rPr>
            </w:pPr>
            <w:r w:rsidRPr="00AD099A">
              <w:rPr>
                <w:rFonts w:cstheme="minorHAnsi"/>
                <w:bCs/>
                <w:sz w:val="20"/>
                <w:szCs w:val="20"/>
              </w:rPr>
              <w:t>Yes</w:t>
            </w:r>
          </w:p>
        </w:tc>
        <w:tc>
          <w:tcPr>
            <w:tcW w:w="1290" w:type="dxa"/>
            <w:tcBorders>
              <w:top w:val="single" w:sz="4" w:space="0" w:color="A6A6A6" w:themeColor="background1" w:themeShade="A6"/>
              <w:bottom w:val="single" w:sz="4" w:space="0" w:color="A6A6A6" w:themeColor="background1" w:themeShade="A6"/>
            </w:tcBorders>
            <w:vAlign w:val="center"/>
          </w:tcPr>
          <w:p w:rsidR="00D907AF" w:rsidRPr="00AD099A" w:rsidRDefault="00AD099A" w:rsidP="00ED26FC">
            <w:pPr>
              <w:spacing w:before="20" w:after="20"/>
              <w:jc w:val="center"/>
              <w:rPr>
                <w:rFonts w:cstheme="minorHAnsi"/>
                <w:bCs/>
                <w:sz w:val="20"/>
                <w:szCs w:val="20"/>
              </w:rPr>
            </w:pPr>
            <w:r w:rsidRPr="00AD099A">
              <w:rPr>
                <w:rFonts w:cstheme="minorHAnsi"/>
                <w:bCs/>
                <w:sz w:val="20"/>
                <w:szCs w:val="20"/>
              </w:rPr>
              <w:t>Yes</w:t>
            </w:r>
          </w:p>
        </w:tc>
        <w:tc>
          <w:tcPr>
            <w:tcW w:w="1074" w:type="dxa"/>
            <w:tcBorders>
              <w:top w:val="single" w:sz="4" w:space="0" w:color="A6A6A6" w:themeColor="background1" w:themeShade="A6"/>
              <w:bottom w:val="single" w:sz="4" w:space="0" w:color="A6A6A6" w:themeColor="background1" w:themeShade="A6"/>
            </w:tcBorders>
            <w:noWrap/>
            <w:vAlign w:val="center"/>
            <w:hideMark/>
          </w:tcPr>
          <w:p w:rsidR="00D907AF" w:rsidRPr="00C41809" w:rsidRDefault="00C41809" w:rsidP="00ED26FC">
            <w:pPr>
              <w:spacing w:before="20" w:after="20"/>
              <w:jc w:val="center"/>
              <w:rPr>
                <w:rFonts w:cstheme="minorHAnsi"/>
                <w:bCs/>
                <w:color w:val="FFFFFF" w:themeColor="background1"/>
                <w:sz w:val="20"/>
                <w:szCs w:val="20"/>
              </w:rPr>
            </w:pPr>
            <w:r w:rsidRPr="00C41809">
              <w:rPr>
                <w:rFonts w:cstheme="minorHAnsi"/>
                <w:bCs/>
                <w:color w:val="FFFFFF" w:themeColor="background1"/>
                <w:sz w:val="20"/>
                <w:szCs w:val="20"/>
              </w:rPr>
              <w:t>No</w:t>
            </w:r>
          </w:p>
        </w:tc>
      </w:tr>
      <w:tr w:rsidR="00D907AF" w:rsidRPr="00F26365" w:rsidTr="008841EE">
        <w:trPr>
          <w:trHeight w:val="397"/>
        </w:trPr>
        <w:tc>
          <w:tcPr>
            <w:tcW w:w="885" w:type="dxa"/>
            <w:tcBorders>
              <w:top w:val="single" w:sz="4" w:space="0" w:color="A6A6A6" w:themeColor="background1" w:themeShade="A6"/>
              <w:bottom w:val="single" w:sz="4" w:space="0" w:color="A6A6A6" w:themeColor="background1" w:themeShade="A6"/>
            </w:tcBorders>
            <w:vAlign w:val="center"/>
            <w:hideMark/>
          </w:tcPr>
          <w:p w:rsidR="00D907AF" w:rsidRPr="00F26365" w:rsidRDefault="00D907AF" w:rsidP="00ED26FC">
            <w:pPr>
              <w:spacing w:before="20" w:after="20"/>
              <w:rPr>
                <w:bCs/>
                <w:sz w:val="20"/>
                <w:szCs w:val="20"/>
              </w:rPr>
            </w:pPr>
            <w:r w:rsidRPr="00F26365">
              <w:rPr>
                <w:bCs/>
                <w:sz w:val="20"/>
                <w:szCs w:val="20"/>
              </w:rPr>
              <w:t>37</w:t>
            </w:r>
          </w:p>
        </w:tc>
        <w:tc>
          <w:tcPr>
            <w:tcW w:w="9567" w:type="dxa"/>
            <w:tcBorders>
              <w:top w:val="single" w:sz="4" w:space="0" w:color="A6A6A6" w:themeColor="background1" w:themeShade="A6"/>
              <w:bottom w:val="single" w:sz="4" w:space="0" w:color="A6A6A6" w:themeColor="background1" w:themeShade="A6"/>
            </w:tcBorders>
            <w:vAlign w:val="center"/>
            <w:hideMark/>
          </w:tcPr>
          <w:p w:rsidR="00D907AF" w:rsidRPr="00F26365" w:rsidRDefault="00D907AF" w:rsidP="00AA37FB">
            <w:pPr>
              <w:spacing w:before="20" w:after="20"/>
              <w:ind w:left="33" w:right="172"/>
              <w:rPr>
                <w:bCs/>
                <w:sz w:val="20"/>
                <w:szCs w:val="20"/>
              </w:rPr>
            </w:pPr>
            <w:r w:rsidRPr="00F26365">
              <w:rPr>
                <w:bCs/>
                <w:sz w:val="20"/>
                <w:szCs w:val="20"/>
              </w:rPr>
              <w:t>To what extent has the supply of disability services responded to demand?</w:t>
            </w:r>
          </w:p>
        </w:tc>
        <w:tc>
          <w:tcPr>
            <w:tcW w:w="1422" w:type="dxa"/>
            <w:tcBorders>
              <w:top w:val="single" w:sz="4" w:space="0" w:color="A6A6A6" w:themeColor="background1" w:themeShade="A6"/>
              <w:bottom w:val="single" w:sz="4" w:space="0" w:color="A6A6A6" w:themeColor="background1" w:themeShade="A6"/>
            </w:tcBorders>
            <w:noWrap/>
            <w:vAlign w:val="center"/>
            <w:hideMark/>
          </w:tcPr>
          <w:p w:rsidR="00D907AF" w:rsidRPr="00C41809" w:rsidRDefault="00C41809" w:rsidP="00ED26FC">
            <w:pPr>
              <w:spacing w:before="20" w:after="20"/>
              <w:jc w:val="center"/>
              <w:rPr>
                <w:rFonts w:cstheme="minorHAnsi"/>
                <w:bCs/>
                <w:color w:val="FFFFFF" w:themeColor="background1"/>
                <w:sz w:val="20"/>
                <w:szCs w:val="20"/>
              </w:rPr>
            </w:pPr>
            <w:r w:rsidRPr="00C41809">
              <w:rPr>
                <w:rFonts w:cstheme="minorHAnsi"/>
                <w:bCs/>
                <w:color w:val="FFFFFF" w:themeColor="background1"/>
                <w:sz w:val="20"/>
                <w:szCs w:val="20"/>
              </w:rPr>
              <w:t>No</w:t>
            </w:r>
          </w:p>
        </w:tc>
        <w:tc>
          <w:tcPr>
            <w:tcW w:w="992" w:type="dxa"/>
            <w:tcBorders>
              <w:top w:val="single" w:sz="4" w:space="0" w:color="A6A6A6" w:themeColor="background1" w:themeShade="A6"/>
              <w:bottom w:val="single" w:sz="4" w:space="0" w:color="A6A6A6" w:themeColor="background1" w:themeShade="A6"/>
            </w:tcBorders>
            <w:noWrap/>
            <w:vAlign w:val="center"/>
            <w:hideMark/>
          </w:tcPr>
          <w:p w:rsidR="00D907AF" w:rsidRPr="00AD099A" w:rsidRDefault="00AD099A" w:rsidP="00ED26FC">
            <w:pPr>
              <w:spacing w:before="20" w:after="20"/>
              <w:jc w:val="center"/>
              <w:rPr>
                <w:rFonts w:cstheme="minorHAnsi"/>
                <w:bCs/>
                <w:sz w:val="20"/>
                <w:szCs w:val="20"/>
              </w:rPr>
            </w:pPr>
            <w:r w:rsidRPr="00AD099A">
              <w:rPr>
                <w:rFonts w:cstheme="minorHAnsi"/>
                <w:bCs/>
                <w:sz w:val="20"/>
                <w:szCs w:val="20"/>
              </w:rPr>
              <w:t>Yes</w:t>
            </w:r>
          </w:p>
        </w:tc>
        <w:tc>
          <w:tcPr>
            <w:tcW w:w="1290" w:type="dxa"/>
            <w:tcBorders>
              <w:top w:val="single" w:sz="4" w:space="0" w:color="A6A6A6" w:themeColor="background1" w:themeShade="A6"/>
              <w:bottom w:val="single" w:sz="4" w:space="0" w:color="A6A6A6" w:themeColor="background1" w:themeShade="A6"/>
            </w:tcBorders>
            <w:vAlign w:val="center"/>
          </w:tcPr>
          <w:p w:rsidR="00D907AF" w:rsidRPr="00AD099A" w:rsidRDefault="00AD099A" w:rsidP="00ED26FC">
            <w:pPr>
              <w:spacing w:before="20" w:after="20"/>
              <w:jc w:val="center"/>
              <w:rPr>
                <w:rFonts w:cstheme="minorHAnsi"/>
                <w:bCs/>
                <w:sz w:val="20"/>
                <w:szCs w:val="20"/>
              </w:rPr>
            </w:pPr>
            <w:r w:rsidRPr="00AD099A">
              <w:rPr>
                <w:rFonts w:cstheme="minorHAnsi"/>
                <w:bCs/>
                <w:sz w:val="20"/>
                <w:szCs w:val="20"/>
              </w:rPr>
              <w:t>Yes</w:t>
            </w:r>
          </w:p>
        </w:tc>
        <w:tc>
          <w:tcPr>
            <w:tcW w:w="1074" w:type="dxa"/>
            <w:tcBorders>
              <w:top w:val="single" w:sz="4" w:space="0" w:color="A6A6A6" w:themeColor="background1" w:themeShade="A6"/>
              <w:bottom w:val="single" w:sz="4" w:space="0" w:color="A6A6A6" w:themeColor="background1" w:themeShade="A6"/>
            </w:tcBorders>
            <w:noWrap/>
            <w:vAlign w:val="center"/>
            <w:hideMark/>
          </w:tcPr>
          <w:p w:rsidR="00D907AF" w:rsidRPr="00C41809" w:rsidRDefault="00C41809" w:rsidP="00ED26FC">
            <w:pPr>
              <w:spacing w:before="20" w:after="20"/>
              <w:jc w:val="center"/>
              <w:rPr>
                <w:rFonts w:cstheme="minorHAnsi"/>
                <w:bCs/>
                <w:color w:val="FFFFFF" w:themeColor="background1"/>
                <w:sz w:val="20"/>
                <w:szCs w:val="20"/>
              </w:rPr>
            </w:pPr>
            <w:r w:rsidRPr="00C41809">
              <w:rPr>
                <w:rFonts w:cstheme="minorHAnsi"/>
                <w:bCs/>
                <w:color w:val="FFFFFF" w:themeColor="background1"/>
                <w:sz w:val="20"/>
                <w:szCs w:val="20"/>
              </w:rPr>
              <w:t>No</w:t>
            </w:r>
          </w:p>
        </w:tc>
      </w:tr>
      <w:tr w:rsidR="00D907AF" w:rsidRPr="00F26365" w:rsidTr="008841EE">
        <w:trPr>
          <w:trHeight w:val="20"/>
        </w:trPr>
        <w:tc>
          <w:tcPr>
            <w:tcW w:w="885" w:type="dxa"/>
            <w:tcBorders>
              <w:top w:val="single" w:sz="4" w:space="0" w:color="A6A6A6" w:themeColor="background1" w:themeShade="A6"/>
              <w:bottom w:val="single" w:sz="4" w:space="0" w:color="A6A6A6" w:themeColor="background1" w:themeShade="A6"/>
            </w:tcBorders>
            <w:vAlign w:val="center"/>
            <w:hideMark/>
          </w:tcPr>
          <w:p w:rsidR="00D907AF" w:rsidRPr="00F26365" w:rsidRDefault="00D907AF" w:rsidP="00ED26FC">
            <w:pPr>
              <w:spacing w:before="20" w:after="20"/>
              <w:rPr>
                <w:bCs/>
                <w:sz w:val="20"/>
                <w:szCs w:val="20"/>
              </w:rPr>
            </w:pPr>
            <w:r w:rsidRPr="00F26365">
              <w:rPr>
                <w:bCs/>
                <w:sz w:val="20"/>
                <w:szCs w:val="20"/>
              </w:rPr>
              <w:t>38</w:t>
            </w:r>
          </w:p>
        </w:tc>
        <w:tc>
          <w:tcPr>
            <w:tcW w:w="9567" w:type="dxa"/>
            <w:tcBorders>
              <w:top w:val="single" w:sz="4" w:space="0" w:color="A6A6A6" w:themeColor="background1" w:themeShade="A6"/>
              <w:bottom w:val="single" w:sz="4" w:space="0" w:color="A6A6A6" w:themeColor="background1" w:themeShade="A6"/>
            </w:tcBorders>
            <w:vAlign w:val="center"/>
            <w:hideMark/>
          </w:tcPr>
          <w:p w:rsidR="00D907AF" w:rsidRPr="00F26365" w:rsidRDefault="00D907AF" w:rsidP="00AA37FB">
            <w:pPr>
              <w:spacing w:before="20" w:after="20"/>
              <w:ind w:left="33" w:right="172"/>
              <w:rPr>
                <w:bCs/>
                <w:sz w:val="20"/>
                <w:szCs w:val="20"/>
              </w:rPr>
            </w:pPr>
            <w:r w:rsidRPr="00F26365">
              <w:rPr>
                <w:bCs/>
                <w:sz w:val="20"/>
                <w:szCs w:val="20"/>
              </w:rPr>
              <w:t>To what extent has an NDIS contributed to an increase in the provision of early interventions from disability services?</w:t>
            </w:r>
          </w:p>
        </w:tc>
        <w:tc>
          <w:tcPr>
            <w:tcW w:w="1422" w:type="dxa"/>
            <w:tcBorders>
              <w:top w:val="single" w:sz="4" w:space="0" w:color="A6A6A6" w:themeColor="background1" w:themeShade="A6"/>
              <w:bottom w:val="single" w:sz="4" w:space="0" w:color="A6A6A6" w:themeColor="background1" w:themeShade="A6"/>
            </w:tcBorders>
            <w:noWrap/>
            <w:vAlign w:val="center"/>
            <w:hideMark/>
          </w:tcPr>
          <w:p w:rsidR="00D907AF" w:rsidRPr="00C41809" w:rsidRDefault="00C41809" w:rsidP="00ED26FC">
            <w:pPr>
              <w:spacing w:before="20" w:after="20"/>
              <w:jc w:val="center"/>
              <w:rPr>
                <w:rFonts w:cstheme="minorHAnsi"/>
                <w:bCs/>
                <w:color w:val="FFFFFF" w:themeColor="background1"/>
                <w:sz w:val="20"/>
                <w:szCs w:val="20"/>
              </w:rPr>
            </w:pPr>
            <w:r w:rsidRPr="00C41809">
              <w:rPr>
                <w:rFonts w:cstheme="minorHAnsi"/>
                <w:bCs/>
                <w:color w:val="FFFFFF" w:themeColor="background1"/>
                <w:sz w:val="20"/>
                <w:szCs w:val="20"/>
              </w:rPr>
              <w:t>No</w:t>
            </w:r>
          </w:p>
        </w:tc>
        <w:tc>
          <w:tcPr>
            <w:tcW w:w="992" w:type="dxa"/>
            <w:tcBorders>
              <w:top w:val="single" w:sz="4" w:space="0" w:color="A6A6A6" w:themeColor="background1" w:themeShade="A6"/>
              <w:bottom w:val="single" w:sz="4" w:space="0" w:color="A6A6A6" w:themeColor="background1" w:themeShade="A6"/>
            </w:tcBorders>
            <w:noWrap/>
            <w:vAlign w:val="center"/>
            <w:hideMark/>
          </w:tcPr>
          <w:p w:rsidR="00D907AF" w:rsidRPr="00AD099A" w:rsidRDefault="00AD099A" w:rsidP="00ED26FC">
            <w:pPr>
              <w:spacing w:before="20" w:after="20"/>
              <w:jc w:val="center"/>
              <w:rPr>
                <w:rFonts w:cstheme="minorHAnsi"/>
                <w:bCs/>
                <w:sz w:val="20"/>
                <w:szCs w:val="20"/>
              </w:rPr>
            </w:pPr>
            <w:r w:rsidRPr="00AD099A">
              <w:rPr>
                <w:rFonts w:cstheme="minorHAnsi"/>
                <w:bCs/>
                <w:sz w:val="20"/>
                <w:szCs w:val="20"/>
              </w:rPr>
              <w:t>Yes</w:t>
            </w:r>
          </w:p>
        </w:tc>
        <w:tc>
          <w:tcPr>
            <w:tcW w:w="1290" w:type="dxa"/>
            <w:tcBorders>
              <w:top w:val="single" w:sz="4" w:space="0" w:color="A6A6A6" w:themeColor="background1" w:themeShade="A6"/>
              <w:bottom w:val="single" w:sz="4" w:space="0" w:color="A6A6A6" w:themeColor="background1" w:themeShade="A6"/>
            </w:tcBorders>
            <w:vAlign w:val="center"/>
          </w:tcPr>
          <w:p w:rsidR="00D907AF" w:rsidRPr="00AD099A" w:rsidRDefault="00AD099A" w:rsidP="00ED26FC">
            <w:pPr>
              <w:spacing w:before="20" w:after="20"/>
              <w:jc w:val="center"/>
              <w:rPr>
                <w:rFonts w:cstheme="minorHAnsi"/>
                <w:bCs/>
                <w:sz w:val="20"/>
                <w:szCs w:val="20"/>
              </w:rPr>
            </w:pPr>
            <w:r w:rsidRPr="00AD099A">
              <w:rPr>
                <w:rFonts w:cstheme="minorHAnsi"/>
                <w:bCs/>
                <w:sz w:val="20"/>
                <w:szCs w:val="20"/>
              </w:rPr>
              <w:t>Yes</w:t>
            </w:r>
          </w:p>
        </w:tc>
        <w:tc>
          <w:tcPr>
            <w:tcW w:w="1074" w:type="dxa"/>
            <w:tcBorders>
              <w:top w:val="single" w:sz="4" w:space="0" w:color="A6A6A6" w:themeColor="background1" w:themeShade="A6"/>
              <w:bottom w:val="single" w:sz="4" w:space="0" w:color="A6A6A6" w:themeColor="background1" w:themeShade="A6"/>
            </w:tcBorders>
            <w:noWrap/>
            <w:vAlign w:val="center"/>
            <w:hideMark/>
          </w:tcPr>
          <w:p w:rsidR="00D907AF" w:rsidRPr="00C41809" w:rsidRDefault="00C41809" w:rsidP="00ED26FC">
            <w:pPr>
              <w:spacing w:before="20" w:after="20"/>
              <w:jc w:val="center"/>
              <w:rPr>
                <w:rFonts w:cstheme="minorHAnsi"/>
                <w:bCs/>
                <w:color w:val="FFFFFF" w:themeColor="background1"/>
                <w:sz w:val="20"/>
                <w:szCs w:val="20"/>
              </w:rPr>
            </w:pPr>
            <w:r w:rsidRPr="00C41809">
              <w:rPr>
                <w:rFonts w:cstheme="minorHAnsi"/>
                <w:bCs/>
                <w:color w:val="FFFFFF" w:themeColor="background1"/>
                <w:sz w:val="20"/>
                <w:szCs w:val="20"/>
              </w:rPr>
              <w:t>No</w:t>
            </w:r>
          </w:p>
        </w:tc>
      </w:tr>
      <w:tr w:rsidR="00D907AF" w:rsidRPr="00F26365" w:rsidTr="008841EE">
        <w:trPr>
          <w:trHeight w:val="20"/>
        </w:trPr>
        <w:tc>
          <w:tcPr>
            <w:tcW w:w="885" w:type="dxa"/>
            <w:tcBorders>
              <w:top w:val="single" w:sz="4" w:space="0" w:color="A6A6A6" w:themeColor="background1" w:themeShade="A6"/>
              <w:bottom w:val="single" w:sz="4" w:space="0" w:color="A6A6A6" w:themeColor="background1" w:themeShade="A6"/>
            </w:tcBorders>
            <w:vAlign w:val="center"/>
            <w:hideMark/>
          </w:tcPr>
          <w:p w:rsidR="00D907AF" w:rsidRPr="00F26365" w:rsidRDefault="00D907AF" w:rsidP="00ED26FC">
            <w:pPr>
              <w:spacing w:before="20" w:after="20"/>
              <w:rPr>
                <w:bCs/>
                <w:sz w:val="20"/>
                <w:szCs w:val="20"/>
              </w:rPr>
            </w:pPr>
            <w:r w:rsidRPr="00F26365">
              <w:rPr>
                <w:bCs/>
                <w:sz w:val="20"/>
                <w:szCs w:val="20"/>
              </w:rPr>
              <w:t>39</w:t>
            </w:r>
          </w:p>
        </w:tc>
        <w:tc>
          <w:tcPr>
            <w:tcW w:w="9567" w:type="dxa"/>
            <w:tcBorders>
              <w:top w:val="single" w:sz="4" w:space="0" w:color="A6A6A6" w:themeColor="background1" w:themeShade="A6"/>
              <w:bottom w:val="single" w:sz="4" w:space="0" w:color="A6A6A6" w:themeColor="background1" w:themeShade="A6"/>
            </w:tcBorders>
            <w:vAlign w:val="center"/>
            <w:hideMark/>
          </w:tcPr>
          <w:p w:rsidR="00D907AF" w:rsidRPr="00F26365" w:rsidRDefault="00D907AF" w:rsidP="00AA37FB">
            <w:pPr>
              <w:spacing w:before="20" w:after="20"/>
              <w:ind w:left="33" w:right="172"/>
              <w:rPr>
                <w:bCs/>
                <w:sz w:val="20"/>
                <w:szCs w:val="20"/>
              </w:rPr>
            </w:pPr>
            <w:r w:rsidRPr="00F26365">
              <w:rPr>
                <w:bCs/>
                <w:sz w:val="20"/>
                <w:szCs w:val="20"/>
              </w:rPr>
              <w:t>To what extent has an NDIS contributed to more effective interface with mainstream services for people with disability, at an individual and a systemic level?</w:t>
            </w:r>
          </w:p>
        </w:tc>
        <w:tc>
          <w:tcPr>
            <w:tcW w:w="1422" w:type="dxa"/>
            <w:tcBorders>
              <w:top w:val="single" w:sz="4" w:space="0" w:color="A6A6A6" w:themeColor="background1" w:themeShade="A6"/>
              <w:bottom w:val="single" w:sz="4" w:space="0" w:color="A6A6A6" w:themeColor="background1" w:themeShade="A6"/>
            </w:tcBorders>
            <w:noWrap/>
            <w:vAlign w:val="center"/>
            <w:hideMark/>
          </w:tcPr>
          <w:p w:rsidR="00D907AF" w:rsidRPr="00C41809" w:rsidRDefault="00C41809" w:rsidP="00ED26FC">
            <w:pPr>
              <w:spacing w:before="20" w:after="20"/>
              <w:jc w:val="center"/>
              <w:rPr>
                <w:rFonts w:cstheme="minorHAnsi"/>
                <w:bCs/>
                <w:color w:val="FFFFFF" w:themeColor="background1"/>
                <w:sz w:val="20"/>
                <w:szCs w:val="20"/>
              </w:rPr>
            </w:pPr>
            <w:r w:rsidRPr="00C41809">
              <w:rPr>
                <w:rFonts w:cstheme="minorHAnsi"/>
                <w:bCs/>
                <w:color w:val="FFFFFF" w:themeColor="background1"/>
                <w:sz w:val="20"/>
                <w:szCs w:val="20"/>
              </w:rPr>
              <w:t>No</w:t>
            </w:r>
          </w:p>
        </w:tc>
        <w:tc>
          <w:tcPr>
            <w:tcW w:w="992" w:type="dxa"/>
            <w:tcBorders>
              <w:top w:val="single" w:sz="4" w:space="0" w:color="A6A6A6" w:themeColor="background1" w:themeShade="A6"/>
              <w:bottom w:val="single" w:sz="4" w:space="0" w:color="A6A6A6" w:themeColor="background1" w:themeShade="A6"/>
            </w:tcBorders>
            <w:noWrap/>
            <w:vAlign w:val="center"/>
            <w:hideMark/>
          </w:tcPr>
          <w:p w:rsidR="00D907AF" w:rsidRPr="00C41809" w:rsidRDefault="00C41809" w:rsidP="00ED26FC">
            <w:pPr>
              <w:spacing w:before="20" w:after="20"/>
              <w:jc w:val="center"/>
              <w:rPr>
                <w:rFonts w:cstheme="minorHAnsi"/>
                <w:bCs/>
                <w:color w:val="FFFFFF" w:themeColor="background1"/>
                <w:sz w:val="20"/>
                <w:szCs w:val="20"/>
              </w:rPr>
            </w:pPr>
            <w:r w:rsidRPr="00C41809">
              <w:rPr>
                <w:rFonts w:cstheme="minorHAnsi"/>
                <w:bCs/>
                <w:color w:val="FFFFFF" w:themeColor="background1"/>
                <w:sz w:val="20"/>
                <w:szCs w:val="20"/>
              </w:rPr>
              <w:t>No</w:t>
            </w:r>
          </w:p>
        </w:tc>
        <w:tc>
          <w:tcPr>
            <w:tcW w:w="1290" w:type="dxa"/>
            <w:tcBorders>
              <w:top w:val="single" w:sz="4" w:space="0" w:color="A6A6A6" w:themeColor="background1" w:themeShade="A6"/>
              <w:bottom w:val="single" w:sz="4" w:space="0" w:color="A6A6A6" w:themeColor="background1" w:themeShade="A6"/>
            </w:tcBorders>
            <w:vAlign w:val="center"/>
          </w:tcPr>
          <w:p w:rsidR="00D907AF" w:rsidRPr="00C41809" w:rsidRDefault="00C41809" w:rsidP="00ED26FC">
            <w:pPr>
              <w:spacing w:before="20" w:after="20"/>
              <w:jc w:val="center"/>
              <w:rPr>
                <w:rFonts w:cstheme="minorHAnsi"/>
                <w:bCs/>
                <w:color w:val="FFFFFF" w:themeColor="background1"/>
                <w:sz w:val="20"/>
                <w:szCs w:val="20"/>
              </w:rPr>
            </w:pPr>
            <w:r w:rsidRPr="00C41809">
              <w:rPr>
                <w:rFonts w:cstheme="minorHAnsi"/>
                <w:bCs/>
                <w:color w:val="FFFFFF" w:themeColor="background1"/>
                <w:sz w:val="20"/>
                <w:szCs w:val="20"/>
              </w:rPr>
              <w:t>No</w:t>
            </w:r>
          </w:p>
        </w:tc>
        <w:tc>
          <w:tcPr>
            <w:tcW w:w="1074" w:type="dxa"/>
            <w:tcBorders>
              <w:top w:val="single" w:sz="4" w:space="0" w:color="A6A6A6" w:themeColor="background1" w:themeShade="A6"/>
              <w:bottom w:val="single" w:sz="4" w:space="0" w:color="A6A6A6" w:themeColor="background1" w:themeShade="A6"/>
            </w:tcBorders>
            <w:noWrap/>
            <w:vAlign w:val="center"/>
            <w:hideMark/>
          </w:tcPr>
          <w:p w:rsidR="00D907AF" w:rsidRPr="00AD099A" w:rsidRDefault="00AD099A" w:rsidP="00ED26FC">
            <w:pPr>
              <w:spacing w:before="20" w:after="20"/>
              <w:jc w:val="center"/>
              <w:rPr>
                <w:rFonts w:cstheme="minorHAnsi"/>
                <w:bCs/>
                <w:sz w:val="20"/>
                <w:szCs w:val="20"/>
              </w:rPr>
            </w:pPr>
            <w:r w:rsidRPr="00AD099A">
              <w:rPr>
                <w:rFonts w:cstheme="minorHAnsi"/>
                <w:bCs/>
                <w:sz w:val="20"/>
                <w:szCs w:val="20"/>
              </w:rPr>
              <w:t>Yes</w:t>
            </w:r>
          </w:p>
        </w:tc>
      </w:tr>
      <w:tr w:rsidR="00D907AF" w:rsidRPr="00F26365" w:rsidTr="00C232EE">
        <w:trPr>
          <w:trHeight w:val="20"/>
        </w:trPr>
        <w:tc>
          <w:tcPr>
            <w:tcW w:w="885" w:type="dxa"/>
            <w:tcBorders>
              <w:top w:val="single" w:sz="4" w:space="0" w:color="A6A6A6" w:themeColor="background1" w:themeShade="A6"/>
              <w:bottom w:val="single" w:sz="4" w:space="0" w:color="A6A6A6" w:themeColor="background1" w:themeShade="A6"/>
            </w:tcBorders>
            <w:vAlign w:val="center"/>
            <w:hideMark/>
          </w:tcPr>
          <w:p w:rsidR="00D907AF" w:rsidRPr="00F26365" w:rsidRDefault="00D907AF" w:rsidP="00ED26FC">
            <w:pPr>
              <w:spacing w:before="20" w:after="20"/>
              <w:rPr>
                <w:bCs/>
                <w:sz w:val="20"/>
                <w:szCs w:val="20"/>
              </w:rPr>
            </w:pPr>
            <w:r w:rsidRPr="00F26365">
              <w:rPr>
                <w:bCs/>
                <w:sz w:val="20"/>
                <w:szCs w:val="20"/>
              </w:rPr>
              <w:t>47</w:t>
            </w:r>
          </w:p>
        </w:tc>
        <w:tc>
          <w:tcPr>
            <w:tcW w:w="9567" w:type="dxa"/>
            <w:tcBorders>
              <w:top w:val="single" w:sz="4" w:space="0" w:color="A6A6A6" w:themeColor="background1" w:themeShade="A6"/>
              <w:bottom w:val="single" w:sz="4" w:space="0" w:color="A6A6A6" w:themeColor="background1" w:themeShade="A6"/>
            </w:tcBorders>
            <w:vAlign w:val="center"/>
            <w:hideMark/>
          </w:tcPr>
          <w:p w:rsidR="00D907AF" w:rsidRPr="00F26365" w:rsidRDefault="00D907AF" w:rsidP="00AA37FB">
            <w:pPr>
              <w:spacing w:before="20" w:after="20"/>
              <w:ind w:left="33" w:right="172"/>
              <w:rPr>
                <w:bCs/>
                <w:sz w:val="20"/>
                <w:szCs w:val="20"/>
              </w:rPr>
            </w:pPr>
            <w:r w:rsidRPr="00F26365">
              <w:rPr>
                <w:bCs/>
                <w:sz w:val="20"/>
                <w:szCs w:val="20"/>
              </w:rPr>
              <w:t>How well is an NDIS interfacing with education, health and public housing and how are these impacting on the capacity of an NDIS to deliver on its key goals?</w:t>
            </w:r>
          </w:p>
        </w:tc>
        <w:tc>
          <w:tcPr>
            <w:tcW w:w="1422" w:type="dxa"/>
            <w:tcBorders>
              <w:top w:val="single" w:sz="4" w:space="0" w:color="A6A6A6" w:themeColor="background1" w:themeShade="A6"/>
              <w:bottom w:val="single" w:sz="4" w:space="0" w:color="A6A6A6" w:themeColor="background1" w:themeShade="A6"/>
            </w:tcBorders>
            <w:noWrap/>
            <w:vAlign w:val="center"/>
            <w:hideMark/>
          </w:tcPr>
          <w:p w:rsidR="00D907AF" w:rsidRPr="00C41809" w:rsidRDefault="00C41809" w:rsidP="00ED26FC">
            <w:pPr>
              <w:spacing w:before="20" w:after="20"/>
              <w:jc w:val="center"/>
              <w:rPr>
                <w:rFonts w:cstheme="minorHAnsi"/>
                <w:bCs/>
                <w:color w:val="FFFFFF" w:themeColor="background1"/>
                <w:sz w:val="20"/>
                <w:szCs w:val="20"/>
              </w:rPr>
            </w:pPr>
            <w:r w:rsidRPr="00C41809">
              <w:rPr>
                <w:rFonts w:cstheme="minorHAnsi"/>
                <w:bCs/>
                <w:color w:val="FFFFFF" w:themeColor="background1"/>
                <w:sz w:val="20"/>
                <w:szCs w:val="20"/>
              </w:rPr>
              <w:t>No</w:t>
            </w:r>
          </w:p>
        </w:tc>
        <w:tc>
          <w:tcPr>
            <w:tcW w:w="992" w:type="dxa"/>
            <w:tcBorders>
              <w:top w:val="single" w:sz="4" w:space="0" w:color="A6A6A6" w:themeColor="background1" w:themeShade="A6"/>
              <w:bottom w:val="single" w:sz="4" w:space="0" w:color="A6A6A6" w:themeColor="background1" w:themeShade="A6"/>
            </w:tcBorders>
            <w:noWrap/>
            <w:vAlign w:val="center"/>
            <w:hideMark/>
          </w:tcPr>
          <w:p w:rsidR="00D907AF" w:rsidRPr="00C41809" w:rsidRDefault="00C41809" w:rsidP="00ED26FC">
            <w:pPr>
              <w:spacing w:before="20" w:after="20"/>
              <w:jc w:val="center"/>
              <w:rPr>
                <w:rFonts w:cstheme="minorHAnsi"/>
                <w:bCs/>
                <w:color w:val="FFFFFF" w:themeColor="background1"/>
                <w:sz w:val="20"/>
                <w:szCs w:val="20"/>
              </w:rPr>
            </w:pPr>
            <w:r w:rsidRPr="00C41809">
              <w:rPr>
                <w:rFonts w:cstheme="minorHAnsi"/>
                <w:bCs/>
                <w:color w:val="FFFFFF" w:themeColor="background1"/>
                <w:sz w:val="20"/>
                <w:szCs w:val="20"/>
              </w:rPr>
              <w:t>No</w:t>
            </w:r>
          </w:p>
        </w:tc>
        <w:tc>
          <w:tcPr>
            <w:tcW w:w="1290" w:type="dxa"/>
            <w:tcBorders>
              <w:top w:val="single" w:sz="4" w:space="0" w:color="A6A6A6" w:themeColor="background1" w:themeShade="A6"/>
              <w:bottom w:val="single" w:sz="4" w:space="0" w:color="A6A6A6" w:themeColor="background1" w:themeShade="A6"/>
            </w:tcBorders>
            <w:vAlign w:val="center"/>
          </w:tcPr>
          <w:p w:rsidR="00D907AF" w:rsidRPr="00C41809" w:rsidRDefault="00C41809" w:rsidP="00ED26FC">
            <w:pPr>
              <w:spacing w:before="20" w:after="20"/>
              <w:jc w:val="center"/>
              <w:rPr>
                <w:rFonts w:cstheme="minorHAnsi"/>
                <w:bCs/>
                <w:color w:val="FFFFFF" w:themeColor="background1"/>
                <w:sz w:val="20"/>
                <w:szCs w:val="20"/>
              </w:rPr>
            </w:pPr>
            <w:r w:rsidRPr="00C41809">
              <w:rPr>
                <w:rFonts w:cstheme="minorHAnsi"/>
                <w:bCs/>
                <w:color w:val="FFFFFF" w:themeColor="background1"/>
                <w:sz w:val="20"/>
                <w:szCs w:val="20"/>
              </w:rPr>
              <w:t>No</w:t>
            </w:r>
          </w:p>
        </w:tc>
        <w:tc>
          <w:tcPr>
            <w:tcW w:w="1074" w:type="dxa"/>
            <w:tcBorders>
              <w:top w:val="single" w:sz="4" w:space="0" w:color="A6A6A6" w:themeColor="background1" w:themeShade="A6"/>
              <w:bottom w:val="single" w:sz="4" w:space="0" w:color="A6A6A6" w:themeColor="background1" w:themeShade="A6"/>
            </w:tcBorders>
            <w:noWrap/>
            <w:vAlign w:val="center"/>
            <w:hideMark/>
          </w:tcPr>
          <w:p w:rsidR="00D907AF" w:rsidRPr="00AD099A" w:rsidRDefault="00AD099A" w:rsidP="00ED26FC">
            <w:pPr>
              <w:spacing w:before="20" w:after="20"/>
              <w:jc w:val="center"/>
              <w:rPr>
                <w:rFonts w:cstheme="minorHAnsi"/>
                <w:bCs/>
                <w:sz w:val="20"/>
                <w:szCs w:val="20"/>
              </w:rPr>
            </w:pPr>
            <w:r w:rsidRPr="00AD099A">
              <w:rPr>
                <w:rFonts w:cstheme="minorHAnsi"/>
                <w:bCs/>
                <w:sz w:val="20"/>
                <w:szCs w:val="20"/>
              </w:rPr>
              <w:t>Yes</w:t>
            </w:r>
          </w:p>
        </w:tc>
      </w:tr>
      <w:tr w:rsidR="00D907AF" w:rsidRPr="00F26365" w:rsidTr="00C232EE">
        <w:trPr>
          <w:trHeight w:val="20"/>
        </w:trPr>
        <w:tc>
          <w:tcPr>
            <w:tcW w:w="885" w:type="dxa"/>
            <w:tcBorders>
              <w:top w:val="single" w:sz="4" w:space="0" w:color="A6A6A6" w:themeColor="background1" w:themeShade="A6"/>
              <w:bottom w:val="single" w:sz="4" w:space="0" w:color="auto"/>
            </w:tcBorders>
            <w:vAlign w:val="center"/>
            <w:hideMark/>
          </w:tcPr>
          <w:p w:rsidR="00D907AF" w:rsidRPr="00F26365" w:rsidRDefault="00D907AF" w:rsidP="00ED26FC">
            <w:pPr>
              <w:spacing w:before="20" w:after="20"/>
              <w:rPr>
                <w:bCs/>
                <w:sz w:val="20"/>
                <w:szCs w:val="20"/>
              </w:rPr>
            </w:pPr>
            <w:r w:rsidRPr="00F26365">
              <w:rPr>
                <w:bCs/>
                <w:sz w:val="20"/>
                <w:szCs w:val="20"/>
              </w:rPr>
              <w:t>56</w:t>
            </w:r>
          </w:p>
        </w:tc>
        <w:tc>
          <w:tcPr>
            <w:tcW w:w="9567" w:type="dxa"/>
            <w:tcBorders>
              <w:top w:val="single" w:sz="4" w:space="0" w:color="A6A6A6" w:themeColor="background1" w:themeShade="A6"/>
              <w:bottom w:val="single" w:sz="4" w:space="0" w:color="auto"/>
            </w:tcBorders>
            <w:vAlign w:val="center"/>
            <w:hideMark/>
          </w:tcPr>
          <w:p w:rsidR="00D907AF" w:rsidRPr="00F26365" w:rsidRDefault="00D907AF" w:rsidP="00AA37FB">
            <w:pPr>
              <w:spacing w:before="20" w:after="20"/>
              <w:ind w:left="33" w:right="172"/>
              <w:rPr>
                <w:bCs/>
                <w:sz w:val="20"/>
                <w:szCs w:val="20"/>
              </w:rPr>
            </w:pPr>
            <w:r w:rsidRPr="00F26365">
              <w:rPr>
                <w:bCs/>
                <w:sz w:val="20"/>
                <w:szCs w:val="20"/>
              </w:rPr>
              <w:t>What were barriers to the success of an NDIS? (Consider emerging and potentially significant barriers as well as actual barriers.)</w:t>
            </w:r>
          </w:p>
        </w:tc>
        <w:tc>
          <w:tcPr>
            <w:tcW w:w="1422" w:type="dxa"/>
            <w:tcBorders>
              <w:top w:val="single" w:sz="4" w:space="0" w:color="A6A6A6" w:themeColor="background1" w:themeShade="A6"/>
              <w:bottom w:val="single" w:sz="4" w:space="0" w:color="auto"/>
            </w:tcBorders>
            <w:noWrap/>
            <w:vAlign w:val="center"/>
            <w:hideMark/>
          </w:tcPr>
          <w:p w:rsidR="00D907AF" w:rsidRPr="00C41809" w:rsidRDefault="00C41809" w:rsidP="00ED26FC">
            <w:pPr>
              <w:spacing w:before="20" w:after="20"/>
              <w:jc w:val="center"/>
              <w:rPr>
                <w:rFonts w:cstheme="minorHAnsi"/>
                <w:bCs/>
                <w:color w:val="FFFFFF" w:themeColor="background1"/>
                <w:sz w:val="20"/>
                <w:szCs w:val="20"/>
              </w:rPr>
            </w:pPr>
            <w:r w:rsidRPr="00C41809">
              <w:rPr>
                <w:rFonts w:cstheme="minorHAnsi"/>
                <w:bCs/>
                <w:color w:val="FFFFFF" w:themeColor="background1"/>
                <w:sz w:val="20"/>
                <w:szCs w:val="20"/>
              </w:rPr>
              <w:t>No</w:t>
            </w:r>
          </w:p>
        </w:tc>
        <w:tc>
          <w:tcPr>
            <w:tcW w:w="992" w:type="dxa"/>
            <w:tcBorders>
              <w:top w:val="single" w:sz="4" w:space="0" w:color="A6A6A6" w:themeColor="background1" w:themeShade="A6"/>
              <w:bottom w:val="single" w:sz="4" w:space="0" w:color="auto"/>
            </w:tcBorders>
            <w:noWrap/>
            <w:vAlign w:val="center"/>
            <w:hideMark/>
          </w:tcPr>
          <w:p w:rsidR="00D907AF" w:rsidRPr="00AD099A" w:rsidRDefault="00AD099A" w:rsidP="00ED26FC">
            <w:pPr>
              <w:spacing w:before="20" w:after="20"/>
              <w:jc w:val="center"/>
              <w:rPr>
                <w:rFonts w:cstheme="minorHAnsi"/>
                <w:bCs/>
                <w:sz w:val="20"/>
                <w:szCs w:val="20"/>
              </w:rPr>
            </w:pPr>
            <w:r w:rsidRPr="00AD099A">
              <w:rPr>
                <w:rFonts w:cstheme="minorHAnsi"/>
                <w:bCs/>
                <w:sz w:val="20"/>
                <w:szCs w:val="20"/>
              </w:rPr>
              <w:t>Yes</w:t>
            </w:r>
          </w:p>
        </w:tc>
        <w:tc>
          <w:tcPr>
            <w:tcW w:w="1290" w:type="dxa"/>
            <w:tcBorders>
              <w:top w:val="single" w:sz="4" w:space="0" w:color="A6A6A6" w:themeColor="background1" w:themeShade="A6"/>
              <w:bottom w:val="single" w:sz="4" w:space="0" w:color="auto"/>
            </w:tcBorders>
            <w:vAlign w:val="center"/>
          </w:tcPr>
          <w:p w:rsidR="00D907AF" w:rsidRPr="00AD099A" w:rsidRDefault="00AD099A" w:rsidP="00ED26FC">
            <w:pPr>
              <w:spacing w:before="20" w:after="20"/>
              <w:jc w:val="center"/>
              <w:rPr>
                <w:rFonts w:cstheme="minorHAnsi"/>
                <w:bCs/>
                <w:sz w:val="20"/>
                <w:szCs w:val="20"/>
              </w:rPr>
            </w:pPr>
            <w:r w:rsidRPr="00AD099A">
              <w:rPr>
                <w:rFonts w:cstheme="minorHAnsi"/>
                <w:bCs/>
                <w:sz w:val="20"/>
                <w:szCs w:val="20"/>
              </w:rPr>
              <w:t>Yes</w:t>
            </w:r>
          </w:p>
        </w:tc>
        <w:tc>
          <w:tcPr>
            <w:tcW w:w="1074" w:type="dxa"/>
            <w:tcBorders>
              <w:top w:val="single" w:sz="4" w:space="0" w:color="A6A6A6" w:themeColor="background1" w:themeShade="A6"/>
              <w:bottom w:val="single" w:sz="4" w:space="0" w:color="auto"/>
            </w:tcBorders>
            <w:noWrap/>
            <w:vAlign w:val="center"/>
            <w:hideMark/>
          </w:tcPr>
          <w:p w:rsidR="00D907AF" w:rsidRPr="00AD099A" w:rsidRDefault="00AD099A" w:rsidP="00ED26FC">
            <w:pPr>
              <w:spacing w:before="20" w:after="20"/>
              <w:jc w:val="center"/>
              <w:rPr>
                <w:rFonts w:cstheme="minorHAnsi"/>
                <w:bCs/>
                <w:sz w:val="20"/>
                <w:szCs w:val="20"/>
              </w:rPr>
            </w:pPr>
            <w:r w:rsidRPr="00AD099A">
              <w:rPr>
                <w:rFonts w:cstheme="minorHAnsi"/>
                <w:bCs/>
                <w:sz w:val="20"/>
                <w:szCs w:val="20"/>
              </w:rPr>
              <w:t>Yes</w:t>
            </w:r>
          </w:p>
        </w:tc>
      </w:tr>
    </w:tbl>
    <w:p w:rsidR="00D907AF" w:rsidRPr="00F4420D" w:rsidRDefault="00D907AF" w:rsidP="00D907AF">
      <w:pPr>
        <w:rPr>
          <w:b/>
          <w:bCs/>
        </w:rPr>
      </w:pPr>
    </w:p>
    <w:p w:rsidR="00D907AF" w:rsidRPr="00F4420D" w:rsidRDefault="00D907AF" w:rsidP="00D907AF">
      <w:pPr>
        <w:rPr>
          <w:b/>
          <w:bCs/>
        </w:rPr>
        <w:sectPr w:rsidR="00D907AF" w:rsidRPr="00F4420D" w:rsidSect="00D907AF">
          <w:pgSz w:w="16838" w:h="11906" w:orient="landscape" w:code="9"/>
          <w:pgMar w:top="1134" w:right="993" w:bottom="1134" w:left="993" w:header="284" w:footer="215" w:gutter="0"/>
          <w:cols w:space="708"/>
          <w:docGrid w:linePitch="360"/>
        </w:sectPr>
      </w:pPr>
    </w:p>
    <w:p w:rsidR="00D907AF" w:rsidRPr="00F4420D" w:rsidRDefault="00D907AF" w:rsidP="00367B24">
      <w:pPr>
        <w:pStyle w:val="Heading3"/>
      </w:pPr>
      <w:bookmarkStart w:id="128" w:name="_Toc428271245"/>
      <w:bookmarkStart w:id="129" w:name="_Toc449954985"/>
      <w:r>
        <w:lastRenderedPageBreak/>
        <w:t xml:space="preserve">2.6.1 </w:t>
      </w:r>
      <w:r w:rsidRPr="00F4420D">
        <w:t>Findings relating to Key Evaluation Questions</w:t>
      </w:r>
      <w:bookmarkEnd w:id="128"/>
      <w:bookmarkEnd w:id="129"/>
    </w:p>
    <w:p w:rsidR="00D907AF" w:rsidRPr="00F4420D" w:rsidRDefault="00D907AF" w:rsidP="00D907AF">
      <w:r w:rsidRPr="00F4420D">
        <w:t>This section presents the evidence relating to each KEQ in turn and in the order the questions were assembled by the Department of Social Services. As some KEQ are closely related, some overlap of evidence may be unavoidable.</w:t>
      </w:r>
    </w:p>
    <w:p w:rsidR="00D907AF" w:rsidRPr="00F4420D" w:rsidRDefault="00D907AF" w:rsidP="00D907AF">
      <w:pPr>
        <w:rPr>
          <w:b/>
          <w:bCs/>
        </w:rPr>
      </w:pPr>
    </w:p>
    <w:p w:rsidR="00D907AF" w:rsidRPr="00B61A7D" w:rsidRDefault="00D907AF" w:rsidP="00D907AF">
      <w:pPr>
        <w:rPr>
          <w:iCs/>
        </w:rPr>
      </w:pPr>
      <w:r w:rsidRPr="00B61A7D">
        <w:rPr>
          <w:b/>
          <w:bCs/>
          <w:iCs/>
        </w:rPr>
        <w:t>KEQ 2:</w:t>
      </w:r>
      <w:r w:rsidRPr="00B61A7D">
        <w:rPr>
          <w:bCs/>
          <w:iCs/>
        </w:rPr>
        <w:t xml:space="preserve"> </w:t>
      </w:r>
      <w:r w:rsidRPr="00B61A7D">
        <w:rPr>
          <w:iCs/>
        </w:rPr>
        <w:t>To what extent has the NDIS contributed to changes in social and economic participation (including employment, education and the ability to express wishes and have them respected) for people with disability, their families and carers?</w:t>
      </w:r>
    </w:p>
    <w:p w:rsidR="00D907AF" w:rsidRPr="00F4420D" w:rsidRDefault="00D907AF" w:rsidP="00D907AF">
      <w:pPr>
        <w:rPr>
          <w:b/>
          <w:bCs/>
          <w:i/>
          <w:iCs/>
        </w:rPr>
      </w:pPr>
    </w:p>
    <w:p w:rsidR="00D907AF" w:rsidRDefault="00D907AF" w:rsidP="00D907AF">
      <w:r w:rsidRPr="00F4420D">
        <w:t>The strongest indications that the NDIS was making some difference to social and economic participation came from people with disability, and their families and carers themselves.</w:t>
      </w:r>
      <w:r>
        <w:t xml:space="preserve"> </w:t>
      </w:r>
      <w:r w:rsidRPr="00F4420D">
        <w:t xml:space="preserve">Although qualitative evidence of this kind cannot be generalised per se, among those people with disability included in this qualitative study, most felt that their participation in social and everyday activities had indeed increased and that, as a result, many were learning new skills and enhancing existing capabilities. However, there were marked geographical variations in the extent to which these changes were reported to have been taking place, as particularly those living in regional areas felt opportunities to engage in social and economic activities were limited. For those in the metropolitan areas access to more diverse support arrangements helped to improve participation chances. </w:t>
      </w:r>
    </w:p>
    <w:p w:rsidR="00D907AF" w:rsidRPr="00F4420D" w:rsidRDefault="00D907AF" w:rsidP="00D907AF"/>
    <w:p w:rsidR="00D907AF" w:rsidRDefault="00D907AF" w:rsidP="00D907AF">
      <w:r w:rsidRPr="00F4420D">
        <w:t xml:space="preserve">The larger and more dependable funding that the NDIS provided to NDIS participants, in particular to those with no or little previous support planning, was described as a main contributor to greater independence, which in turn helped to enhance engaging in social activities. </w:t>
      </w:r>
    </w:p>
    <w:p w:rsidR="00D907AF" w:rsidRPr="00F4420D" w:rsidRDefault="00D907AF" w:rsidP="00D907AF"/>
    <w:p w:rsidR="00D907AF" w:rsidRDefault="00D907AF" w:rsidP="00D907AF">
      <w:r w:rsidRPr="00F4420D">
        <w:t xml:space="preserve">Unlike social participation, there were few instances </w:t>
      </w:r>
      <w:r>
        <w:t>of</w:t>
      </w:r>
      <w:r w:rsidRPr="00F4420D">
        <w:t xml:space="preserve"> reported increased participation in paid or unpaid work. NDIS participants and NDIA staff argued that more needed to be done to develop effective guidance, supports and linkages to employers in order to open up labour market opportunities for people with disability. The study also came across a few instances of family members and carers regaining a footing in the labour market (paid or unpaid) after having been freed from some of their caring responsibilities as a result of support financed through the NDIS.</w:t>
      </w:r>
    </w:p>
    <w:p w:rsidR="00D907AF" w:rsidRPr="00F4420D" w:rsidRDefault="00D907AF" w:rsidP="00D907AF"/>
    <w:p w:rsidR="00D907AF" w:rsidRPr="00B61A7D" w:rsidRDefault="00D907AF" w:rsidP="00D907AF">
      <w:pPr>
        <w:rPr>
          <w:iCs/>
        </w:rPr>
      </w:pPr>
      <w:r w:rsidRPr="00B61A7D">
        <w:rPr>
          <w:b/>
          <w:iCs/>
        </w:rPr>
        <w:t>KEQ 4:</w:t>
      </w:r>
      <w:r w:rsidRPr="00B61A7D">
        <w:rPr>
          <w:iCs/>
        </w:rPr>
        <w:t xml:space="preserve"> To what extent has the NDIS enabled people with disability, their families and carers to have increased choice and control over their supports?</w:t>
      </w:r>
    </w:p>
    <w:p w:rsidR="00D907AF" w:rsidRPr="00F4420D" w:rsidRDefault="00D907AF" w:rsidP="00D907AF">
      <w:pPr>
        <w:rPr>
          <w:i/>
          <w:iCs/>
        </w:rPr>
      </w:pPr>
    </w:p>
    <w:p w:rsidR="007B329F" w:rsidRDefault="00D907AF" w:rsidP="00D907AF">
      <w:r w:rsidRPr="00F4420D">
        <w:t xml:space="preserve">NDIS participants typically felt that the NDIS, through its plan development processes, was contributing to people with disability gaining more choice </w:t>
      </w:r>
      <w:r>
        <w:t xml:space="preserve">and </w:t>
      </w:r>
      <w:r w:rsidRPr="00F4420D">
        <w:t>control over their supports. Although NDIS participants often found it challenging to reflect on their support needs in terms of goals and aspirations, and thus also to take an active role in defining provisions, initial indications from the qualitative study was that NDIS participants felt positive about this change. The realisation of ‘choice and control’ in the provider market, however, continued to be problematic, in particular outside the main urban centres of the trial sites.</w:t>
      </w:r>
      <w:r>
        <w:t xml:space="preserve"> </w:t>
      </w:r>
      <w:r w:rsidRPr="00F4420D">
        <w:t>There, provisions and providers were less numerous and thus choice more restricted. Somewhat disconcerting for NDIS participants and the NDIA was that, in some areas, there were few signs of this undersupply being corrected as there was little evidence of new providers entering the market or existing providers expanding their services. Providers were still seen to be reluctant, or insufficiently prepared or informed to be able to adapt to the new, emerging service environment.</w:t>
      </w:r>
      <w:r>
        <w:t xml:space="preserve"> </w:t>
      </w:r>
      <w:r w:rsidRPr="00F4420D">
        <w:t>Some anecdotal evidence from NDIS participants, as well as assessments by disability s</w:t>
      </w:r>
      <w:r>
        <w:t>ervice</w:t>
      </w:r>
      <w:r w:rsidRPr="00F4420D">
        <w:t xml:space="preserve"> providers and workforce stakeholders suggested the NDIS funding mechanisms may constrain opportunities for new market developments.</w:t>
      </w:r>
    </w:p>
    <w:p w:rsidR="007B329F" w:rsidRDefault="007B329F">
      <w:r>
        <w:br w:type="page"/>
      </w:r>
    </w:p>
    <w:p w:rsidR="00D907AF" w:rsidRDefault="00D907AF" w:rsidP="00D907AF">
      <w:r w:rsidRPr="00F4420D">
        <w:lastRenderedPageBreak/>
        <w:t>The decision to self-manage was considered to provide widest access to service providers, including those who were not registered with the NDIA. So far, however, few of the respondents in this study had opted for self-management, being wary of the extra responsibilities and bureaucracy this may involve.</w:t>
      </w:r>
    </w:p>
    <w:p w:rsidR="00D907AF" w:rsidRPr="00F4420D" w:rsidRDefault="00D907AF" w:rsidP="00D907AF"/>
    <w:p w:rsidR="00D907AF" w:rsidRDefault="00D907AF" w:rsidP="00D907AF">
      <w:r w:rsidRPr="00F4420D">
        <w:t>The interviews also revealed that some NDIS participants did not feel they had sufficient information to choose their service providers confidently. In particular, these participants would have liked more information about services available from each provider, and help with defining factors on which to base their choice when quizzing providers.</w:t>
      </w:r>
    </w:p>
    <w:p w:rsidR="00D907AF" w:rsidRPr="00F4420D" w:rsidRDefault="00D907AF" w:rsidP="00D907AF"/>
    <w:p w:rsidR="00D907AF" w:rsidRPr="00B61A7D" w:rsidRDefault="00D907AF" w:rsidP="00D907AF">
      <w:pPr>
        <w:rPr>
          <w:iCs/>
        </w:rPr>
      </w:pPr>
      <w:r w:rsidRPr="00B61A7D">
        <w:rPr>
          <w:b/>
          <w:iCs/>
        </w:rPr>
        <w:t>KEQ5:</w:t>
      </w:r>
      <w:r w:rsidRPr="00B61A7D">
        <w:rPr>
          <w:iCs/>
        </w:rPr>
        <w:t xml:space="preserve"> To what extent did people have increased choice and control over the development and implementation of their plan?</w:t>
      </w:r>
    </w:p>
    <w:p w:rsidR="00D907AF" w:rsidRPr="00F4420D" w:rsidRDefault="00D907AF" w:rsidP="00D907AF">
      <w:pPr>
        <w:rPr>
          <w:i/>
          <w:iCs/>
        </w:rPr>
      </w:pPr>
    </w:p>
    <w:p w:rsidR="00D907AF" w:rsidRDefault="00D907AF" w:rsidP="00D907AF">
      <w:r w:rsidRPr="00F4420D">
        <w:t xml:space="preserve">As noted above, the plan development and also the plan implementation processes were novel to many NDIS participants and their families and hence challenging for some. Respondents reflected on the importance of having an understanding </w:t>
      </w:r>
      <w:r>
        <w:t>Planner</w:t>
      </w:r>
      <w:r w:rsidRPr="00F4420D">
        <w:t xml:space="preserve">, particularly someone who had experience with disability-specific needs. Respondents also indicated the importance of an advocate in this process. </w:t>
      </w:r>
    </w:p>
    <w:p w:rsidR="00D907AF" w:rsidRPr="00F4420D" w:rsidRDefault="00D907AF" w:rsidP="00D907AF"/>
    <w:p w:rsidR="00D907AF" w:rsidRDefault="00D907AF" w:rsidP="00D907AF">
      <w:r w:rsidRPr="00F4420D">
        <w:t xml:space="preserve">NDIS participants reported some instances where a support plan appeared not to have reflected their understanding of the conversation with an NDIA </w:t>
      </w:r>
      <w:r>
        <w:t>Planner</w:t>
      </w:r>
      <w:r w:rsidRPr="00F4420D">
        <w:t>. NDIS participants generally found the process of setting goals difficult, notably because, for them, this was a new way of approaching disability support planning and making informed choices was difficult when options were unclear to participants. Some found the resources supplied by the NDIA to help prepare for planning sessions useful, while others relied on social media and advocates for extra guidance. There thus appeared to be scope for increasing choice and control during the planning stages through the provision of more information, pre-planning learning sessions (which have now started and were being welcomed) and direct support, as offered by advocacy organisations.</w:t>
      </w:r>
    </w:p>
    <w:p w:rsidR="00D907AF" w:rsidRPr="00F4420D" w:rsidRDefault="00D907AF" w:rsidP="00D907AF"/>
    <w:p w:rsidR="00D907AF" w:rsidRDefault="00D907AF" w:rsidP="00D907AF">
      <w:r w:rsidRPr="00F4420D">
        <w:t xml:space="preserve">The implementation of the plan generally worked well where NDIS participants had been successful in obtaining funding to ensure continuity of services. Continuity of </w:t>
      </w:r>
      <w:r>
        <w:t>service</w:t>
      </w:r>
      <w:r w:rsidRPr="00F4420D">
        <w:t xml:space="preserve"> was often the choice of NDIS participants because they were content with provisions but also because some feared the uncertainty of change. In addition, work pressures inside the NDIA also meant that existing plans and provisions were retained because the development of new plans was delayed.</w:t>
      </w:r>
    </w:p>
    <w:p w:rsidR="00D907AF" w:rsidRPr="00F4420D" w:rsidRDefault="00D907AF" w:rsidP="00D907AF"/>
    <w:p w:rsidR="00D907AF" w:rsidRPr="00B61A7D" w:rsidRDefault="00D907AF" w:rsidP="00D907AF">
      <w:pPr>
        <w:rPr>
          <w:iCs/>
        </w:rPr>
      </w:pPr>
      <w:bookmarkStart w:id="130" w:name="_Toc421873506"/>
      <w:r w:rsidRPr="00B61A7D">
        <w:rPr>
          <w:b/>
          <w:bCs/>
          <w:iCs/>
        </w:rPr>
        <w:t xml:space="preserve">KEQ8: </w:t>
      </w:r>
      <w:r w:rsidRPr="00B61A7D">
        <w:rPr>
          <w:iCs/>
        </w:rPr>
        <w:t>How have people responded to increased choice and control?</w:t>
      </w:r>
    </w:p>
    <w:p w:rsidR="00D907AF" w:rsidRPr="00F4420D" w:rsidRDefault="00D907AF" w:rsidP="00D907AF">
      <w:pPr>
        <w:rPr>
          <w:i/>
          <w:iCs/>
        </w:rPr>
      </w:pPr>
    </w:p>
    <w:p w:rsidR="00D907AF" w:rsidRDefault="00D907AF" w:rsidP="00D907AF">
      <w:r w:rsidRPr="00F4420D">
        <w:t>Taking advantage of greater choice and control at the NDIS planning stage did not always translate into greater choice and control over support acquisition and utilisation as the provider market was only changing slowly. The qualitative evidence suggests that NDIS participants sought more frequent and more intensive support rather than necessarily cho</w:t>
      </w:r>
      <w:r>
        <w:t>o</w:t>
      </w:r>
      <w:r w:rsidRPr="00F4420D">
        <w:t>sing different types.</w:t>
      </w:r>
    </w:p>
    <w:p w:rsidR="00D907AF" w:rsidRPr="00F4420D" w:rsidRDefault="00D907AF" w:rsidP="00D907AF"/>
    <w:p w:rsidR="00D907AF" w:rsidRPr="00B61A7D" w:rsidRDefault="00D907AF" w:rsidP="00D907AF">
      <w:pPr>
        <w:rPr>
          <w:iCs/>
        </w:rPr>
      </w:pPr>
      <w:r w:rsidRPr="00B61A7D">
        <w:rPr>
          <w:b/>
          <w:bCs/>
          <w:iCs/>
        </w:rPr>
        <w:t>KEQ9:</w:t>
      </w:r>
      <w:r w:rsidRPr="00B61A7D">
        <w:rPr>
          <w:bCs/>
          <w:iCs/>
        </w:rPr>
        <w:t xml:space="preserve"> To what extent has there been an appropriate balance between choice and control and</w:t>
      </w:r>
      <w:r w:rsidRPr="00B61A7D">
        <w:rPr>
          <w:iCs/>
        </w:rPr>
        <w:t xml:space="preserve"> safeguards for vulnerable people?</w:t>
      </w:r>
    </w:p>
    <w:p w:rsidR="00D907AF" w:rsidRPr="00F4420D" w:rsidRDefault="00D907AF" w:rsidP="00D907AF">
      <w:pPr>
        <w:rPr>
          <w:i/>
          <w:iCs/>
        </w:rPr>
      </w:pPr>
    </w:p>
    <w:p w:rsidR="00D907AF" w:rsidRDefault="00D907AF" w:rsidP="00D907AF">
      <w:r w:rsidRPr="00F4420D">
        <w:t xml:space="preserve">The qualitative evidence did not encounter any great concerns about the balance between choice and control, and safeguards for vulnerable people from NDIS participants themselves. NDIA staff and disability service providers, however, expressed concern about safeguards in cases where NDIS participants </w:t>
      </w:r>
      <w:r>
        <w:t>had limited capacity to understand NDIA processes</w:t>
      </w:r>
      <w:r w:rsidRPr="00F4420D">
        <w:t xml:space="preserve"> </w:t>
      </w:r>
      <w:r>
        <w:t xml:space="preserve">or </w:t>
      </w:r>
      <w:r w:rsidRPr="00F4420D">
        <w:t>might be using support providers not registered with the NDIA.</w:t>
      </w:r>
      <w:r w:rsidR="00084790">
        <w:br w:type="page"/>
      </w:r>
    </w:p>
    <w:p w:rsidR="00D907AF" w:rsidRDefault="00D907AF" w:rsidP="00D907AF">
      <w:pPr>
        <w:rPr>
          <w:iCs/>
        </w:rPr>
      </w:pPr>
      <w:r w:rsidRPr="00B61A7D">
        <w:rPr>
          <w:b/>
          <w:bCs/>
          <w:iCs/>
        </w:rPr>
        <w:lastRenderedPageBreak/>
        <w:t>KEQ11:</w:t>
      </w:r>
      <w:r w:rsidRPr="00B61A7D">
        <w:rPr>
          <w:bCs/>
          <w:iCs/>
        </w:rPr>
        <w:t xml:space="preserve"> To what extent has the NDIS enabled people with disability to gain confidence that their</w:t>
      </w:r>
      <w:r w:rsidRPr="00B61A7D">
        <w:rPr>
          <w:iCs/>
        </w:rPr>
        <w:t xml:space="preserve"> ‘reasonable and nece</w:t>
      </w:r>
      <w:r w:rsidR="00AE4C3A">
        <w:rPr>
          <w:iCs/>
        </w:rPr>
        <w:t>ssary’ needs will be addressed?</w:t>
      </w:r>
    </w:p>
    <w:p w:rsidR="00D907AF" w:rsidRDefault="00D907AF" w:rsidP="00D907AF">
      <w:r w:rsidRPr="00F4420D">
        <w:t>The boundaries of what were ‘reasonable and necessary’ supports and what were not were often not clear and apparent to NDIS participants and thus became, for many, a cause of dissatisfaction with NDIS plans. Thus, some NDIS participants were dissatisfied with decisions about therapies and services that were not funded by the NDIA, although they had been allowed as part of pre-NDIS funding packages. The interviews with NDIS participants also suggested that the NDIA changed guidance as to what was eligible for NDIS funding and what was not in the course of the roll-out. This was seen to result in inconsistencies and indeed inequity in support provision across trial sites.</w:t>
      </w:r>
    </w:p>
    <w:p w:rsidR="00D907AF" w:rsidRPr="00F4420D" w:rsidRDefault="00D907AF" w:rsidP="00D907AF"/>
    <w:p w:rsidR="00D907AF" w:rsidRDefault="00D907AF" w:rsidP="00D907AF">
      <w:r w:rsidRPr="00F4420D">
        <w:t>There was also confusion among NDIS participants as to whether certain support needs were to be met by the NDIS or the mainstream health and education sectors. This confusion was echoed by NDIA staff and workforce stakeholder organisations, who stressed that the division of responsibility, in particular with respect to support funding, required further clarification.</w:t>
      </w:r>
    </w:p>
    <w:p w:rsidR="00D907AF" w:rsidRPr="00F4420D" w:rsidRDefault="00D907AF" w:rsidP="00D907AF"/>
    <w:p w:rsidR="00D907AF" w:rsidRPr="00B61A7D" w:rsidRDefault="00D907AF" w:rsidP="00D907AF">
      <w:pPr>
        <w:rPr>
          <w:iCs/>
        </w:rPr>
      </w:pPr>
      <w:r w:rsidRPr="00B61A7D">
        <w:rPr>
          <w:b/>
          <w:bCs/>
          <w:iCs/>
        </w:rPr>
        <w:t>KEQ14:</w:t>
      </w:r>
      <w:r w:rsidRPr="00B61A7D">
        <w:rPr>
          <w:bCs/>
          <w:iCs/>
        </w:rPr>
        <w:t xml:space="preserve"> To what extent have people with disability, their families and carers seen NDIS review and</w:t>
      </w:r>
      <w:r w:rsidRPr="00B61A7D">
        <w:rPr>
          <w:iCs/>
        </w:rPr>
        <w:t xml:space="preserve"> dispute resolution processes as effective and fair?</w:t>
      </w:r>
    </w:p>
    <w:p w:rsidR="00D907AF" w:rsidRPr="00F4420D" w:rsidRDefault="00D907AF" w:rsidP="00D907AF">
      <w:pPr>
        <w:rPr>
          <w:i/>
          <w:iCs/>
        </w:rPr>
      </w:pPr>
    </w:p>
    <w:p w:rsidR="00D907AF" w:rsidRDefault="00D907AF" w:rsidP="00D907AF">
      <w:r w:rsidRPr="00F4420D">
        <w:t>Only a few NDIS participants in our study had already gone through a plan review and yet fewer had disputed support plans. Plan reviews were described as helpful and beneficial, but also plagued by – what was perceived to be – unnecessary paperwork. NDIS participants and carers had contradicting understandings of the plan review process as some believed it to be a dynamic and ongoing process, whereas others believed plans could only be changed at annual or bi-annual review meetings. In reality, several participants reported having had plans changed outside the formal review process at their request.</w:t>
      </w:r>
      <w:r>
        <w:t xml:space="preserve"> </w:t>
      </w:r>
      <w:r w:rsidRPr="00F4420D">
        <w:t xml:space="preserve">This was particularly the case for young children whose needs for support were constantly changing. </w:t>
      </w:r>
    </w:p>
    <w:p w:rsidR="00D907AF" w:rsidRPr="00F4420D" w:rsidRDefault="00D907AF" w:rsidP="00D907AF"/>
    <w:p w:rsidR="00D907AF" w:rsidRPr="00B61A7D" w:rsidRDefault="00D907AF" w:rsidP="00D907AF">
      <w:pPr>
        <w:rPr>
          <w:iCs/>
        </w:rPr>
      </w:pPr>
      <w:r w:rsidRPr="00B61A7D">
        <w:rPr>
          <w:b/>
          <w:bCs/>
          <w:iCs/>
        </w:rPr>
        <w:t>KEQ15:</w:t>
      </w:r>
      <w:r w:rsidRPr="00B61A7D">
        <w:rPr>
          <w:bCs/>
          <w:iCs/>
        </w:rPr>
        <w:t xml:space="preserve"> To what extent have people with disability, their families and carers been able to manage</w:t>
      </w:r>
      <w:r w:rsidRPr="00B61A7D">
        <w:rPr>
          <w:iCs/>
        </w:rPr>
        <w:t xml:space="preserve"> </w:t>
      </w:r>
      <w:r w:rsidRPr="00B61A7D">
        <w:rPr>
          <w:bCs/>
          <w:iCs/>
        </w:rPr>
        <w:t>their funding on their own, customise creative sets of options for themselves, or find suitable brokers,</w:t>
      </w:r>
      <w:r w:rsidRPr="00B61A7D">
        <w:rPr>
          <w:iCs/>
        </w:rPr>
        <w:t xml:space="preserve"> depending on their preferences?</w:t>
      </w:r>
    </w:p>
    <w:p w:rsidR="00D907AF" w:rsidRPr="00F4420D" w:rsidRDefault="00D907AF" w:rsidP="00D907AF">
      <w:pPr>
        <w:rPr>
          <w:i/>
          <w:iCs/>
        </w:rPr>
      </w:pPr>
    </w:p>
    <w:p w:rsidR="00D907AF" w:rsidRDefault="00D907AF" w:rsidP="00D907AF">
      <w:r w:rsidRPr="00F4420D">
        <w:t xml:space="preserve">The option of self-managed funding was not always fully understood by NDIS participants; nor was it always discussed in the planning meetings. Most respondents chose not to self-manage, because they perceived it as complex and incurring a large administrative burden. Those who decided to self-manage funding were positive about the benefits of doing so, principally in relation to greater choice and flexibility in accessing non-NDIS service providers. </w:t>
      </w:r>
    </w:p>
    <w:p w:rsidR="00D907AF" w:rsidRPr="00F4420D" w:rsidRDefault="00D907AF" w:rsidP="00D907AF"/>
    <w:p w:rsidR="00084790" w:rsidRDefault="00D907AF">
      <w:pPr>
        <w:rPr>
          <w:b/>
          <w:bCs/>
          <w:iCs/>
        </w:rPr>
      </w:pPr>
      <w:r w:rsidRPr="00F4420D">
        <w:t>Disability service providers and workforce stakeholder organisations confirmed that they had come across few NDIS participants who were self-managing their funding. Providers believed that self-managing funding would eventually lead to increased choice for NDIS participants, but were concerned that providers not registered with the NDIA or otherwise accredited may not have the skills or provide the quality of service that NDIS participants expected and needed. For this reason, disability service providers called for quality assurance measures to be put into place alongside safeguards to protect NDIS participants from financial exploitation and substandard services.</w:t>
      </w:r>
      <w:r w:rsidR="00084790">
        <w:rPr>
          <w:b/>
          <w:bCs/>
          <w:iCs/>
        </w:rPr>
        <w:br w:type="page"/>
      </w:r>
    </w:p>
    <w:p w:rsidR="00D907AF" w:rsidRPr="00B61A7D" w:rsidRDefault="00D907AF" w:rsidP="00D907AF">
      <w:pPr>
        <w:rPr>
          <w:iCs/>
        </w:rPr>
      </w:pPr>
      <w:r w:rsidRPr="00B61A7D">
        <w:rPr>
          <w:b/>
          <w:bCs/>
          <w:iCs/>
        </w:rPr>
        <w:lastRenderedPageBreak/>
        <w:t>KEQ17:</w:t>
      </w:r>
      <w:r w:rsidRPr="00B61A7D">
        <w:rPr>
          <w:bCs/>
          <w:iCs/>
        </w:rPr>
        <w:t xml:space="preserve"> For people with disability who previously received supports, to what extent has the NDIS</w:t>
      </w:r>
      <w:r w:rsidRPr="00B61A7D">
        <w:rPr>
          <w:iCs/>
        </w:rPr>
        <w:t xml:space="preserve"> contributed to changes in their patterns and use of supports?</w:t>
      </w:r>
    </w:p>
    <w:p w:rsidR="00D907AF" w:rsidRPr="00F4420D" w:rsidRDefault="00D907AF" w:rsidP="00D907AF">
      <w:pPr>
        <w:rPr>
          <w:i/>
          <w:iCs/>
        </w:rPr>
      </w:pPr>
    </w:p>
    <w:bookmarkEnd w:id="130"/>
    <w:p w:rsidR="00D907AF" w:rsidRDefault="00D907AF" w:rsidP="00D907AF">
      <w:r w:rsidRPr="00F4420D">
        <w:t xml:space="preserve">NDIS participants who had previously already received disability supports typically continued to access existing providers and similar supports, because they had been content with previous provisions. In some instances, however the lack of market movement meant that, de facto, few alternative providers or provisions were becoming available. Exceptions were where </w:t>
      </w:r>
      <w:r w:rsidRPr="00B61A7D">
        <w:t>products</w:t>
      </w:r>
      <w:r w:rsidRPr="002E45A2">
        <w:t xml:space="preserve"> </w:t>
      </w:r>
      <w:r w:rsidRPr="00F4420D">
        <w:t>could be procured from outside the NDIS participant’</w:t>
      </w:r>
      <w:r>
        <w:t>s</w:t>
      </w:r>
      <w:r w:rsidRPr="00F4420D">
        <w:t xml:space="preserve"> area of residence or range of usual providers, facilitated by more flexible funding arrangements, notably self-management of funds.</w:t>
      </w:r>
    </w:p>
    <w:p w:rsidR="00D907AF" w:rsidRPr="00F4420D" w:rsidRDefault="00D907AF" w:rsidP="00D907AF"/>
    <w:p w:rsidR="00D907AF" w:rsidRDefault="00D907AF" w:rsidP="00D907AF">
      <w:r w:rsidRPr="00F4420D">
        <w:t xml:space="preserve">Thus NDIS participants in this study who changed supports had typically done so by adapting supply frequency or type rather than changing their source. This included increasing the hours of supports, their intensity and regularity, acquiring more appropriate equipment, or accessing a wider range of activities. </w:t>
      </w:r>
    </w:p>
    <w:p w:rsidR="00D907AF" w:rsidRPr="00F4420D" w:rsidRDefault="00D907AF" w:rsidP="00D907AF"/>
    <w:p w:rsidR="00D907AF" w:rsidRDefault="00D907AF" w:rsidP="00D907AF">
      <w:r w:rsidRPr="00F4420D">
        <w:t>Concurrent with the accounts of NDIS participants, disability support providers reported experiencing or observing only incremental changes in the use of disability supports amongst their clients and customers since the introduction of the NDIS.</w:t>
      </w:r>
      <w:r>
        <w:t xml:space="preserve"> </w:t>
      </w:r>
      <w:r w:rsidRPr="00F4420D">
        <w:t>Workforce stakeholder organisations argued that the types of services demanded by participants w</w:t>
      </w:r>
      <w:r>
        <w:t>ere</w:t>
      </w:r>
      <w:r w:rsidRPr="00F4420D">
        <w:t xml:space="preserve"> starting to change, with a greater emphasis on facilitating social and community participation, communication, and personal care, which lends support to our initial findings reported with respect to KEQ2.</w:t>
      </w:r>
      <w:r>
        <w:t xml:space="preserve"> </w:t>
      </w:r>
      <w:r w:rsidRPr="00F4420D">
        <w:t>However, providers and NDIS participants also reported occasions of the latter not receiving the supports that they had expected to receive which had been part of earlier support packages. This was also acknowledged by NDIA staff who pointed out that changing the itinerary of supports was sometimes seen as part and parcel of developing a more ambitious programme of supports that was aiming to lay the foundation for greater independence in the longer term. It was not clear that NDIS participants thus affected always understood and shared this perspective.</w:t>
      </w:r>
    </w:p>
    <w:p w:rsidR="00D907AF" w:rsidRPr="00F4420D" w:rsidRDefault="00D907AF" w:rsidP="00D907AF"/>
    <w:p w:rsidR="00D907AF" w:rsidRPr="00B61A7D" w:rsidRDefault="00D907AF" w:rsidP="00D907AF">
      <w:pPr>
        <w:rPr>
          <w:iCs/>
        </w:rPr>
      </w:pPr>
      <w:r w:rsidRPr="00B61A7D">
        <w:rPr>
          <w:b/>
          <w:iCs/>
        </w:rPr>
        <w:t>KEQ19:</w:t>
      </w:r>
      <w:r w:rsidRPr="00B61A7D">
        <w:rPr>
          <w:iCs/>
        </w:rPr>
        <w:t xml:space="preserve"> For whom has the NDIS worked well or less well? Where possible, consider: Indigenous status, culturally and linguistically diverse status, socio-economic status, proximity to services, age, gender, disability type and functional capacity, and age at onset of disability.</w:t>
      </w:r>
    </w:p>
    <w:p w:rsidR="00D907AF" w:rsidRPr="00F4420D" w:rsidRDefault="00D907AF" w:rsidP="00D907AF">
      <w:pPr>
        <w:rPr>
          <w:i/>
          <w:iCs/>
        </w:rPr>
      </w:pPr>
    </w:p>
    <w:p w:rsidR="00D907AF" w:rsidRDefault="00D907AF" w:rsidP="00D907AF">
      <w:r w:rsidRPr="00F4420D">
        <w:t xml:space="preserve">At this early stage, it was difficult to note more than some early impressions as to the socio-demographic equity of the NDIS, which, in any case, is better scrutinised using the </w:t>
      </w:r>
      <w:r>
        <w:t xml:space="preserve">(quantitative) </w:t>
      </w:r>
      <w:r w:rsidRPr="00F4420D">
        <w:t>NDIS Survey. This said, the evidence from the qualitative study does point to inequities emerging – or continuing to exist – with respect to the place of residence of NDIS participants, with those living outside metropolitan and regional centres continuing to encounter fewer service options than NDIS participants elsewhere.</w:t>
      </w:r>
      <w:r>
        <w:t xml:space="preserve"> </w:t>
      </w:r>
      <w:r w:rsidRPr="00F4420D">
        <w:t xml:space="preserve">Moreover, NDIS participants were faced with the potentially costly decision to travel to access supports in the service centres; generating additional costs, which participants found were not covered in their support plans. </w:t>
      </w:r>
    </w:p>
    <w:p w:rsidR="00D907AF" w:rsidRPr="00F4420D" w:rsidRDefault="00D907AF" w:rsidP="00D907AF"/>
    <w:p w:rsidR="00D907AF" w:rsidRDefault="00D907AF" w:rsidP="00D907AF">
      <w:r w:rsidRPr="00F4420D">
        <w:t>The evidence from interviews with NDIS participants and workforce stakeholder organisations also suggested that people with (often fluctuating) mental illness fared somewhat less well under the new system than those with physical support needs, who were typically better able to articulate their needs.</w:t>
      </w:r>
      <w:r>
        <w:t xml:space="preserve"> </w:t>
      </w:r>
      <w:r w:rsidRPr="00F4420D">
        <w:t>NDIA staff themselves noted the difficulty they faced with accommodating the needs of people with mental illness and translating those needs into planned supports.</w:t>
      </w:r>
    </w:p>
    <w:p w:rsidR="00D907AF" w:rsidRPr="00F4420D" w:rsidRDefault="00D907AF" w:rsidP="00D907AF"/>
    <w:p w:rsidR="00D907AF" w:rsidRPr="00F4420D" w:rsidRDefault="00D907AF" w:rsidP="00D907AF">
      <w:r w:rsidRPr="00F4420D">
        <w:t>Reduced literacy among some NDIS participants and a complex, bureaucratic language used in NDIA documentation, including access and processing forms, were also described as raising communication barriers between NDIS participants and NDIA staff, leading to inequitable outcomes.</w:t>
      </w:r>
    </w:p>
    <w:p w:rsidR="00D907AF" w:rsidRPr="00F4420D" w:rsidRDefault="00D907AF" w:rsidP="00D907AF">
      <w:r w:rsidRPr="00F4420D">
        <w:t xml:space="preserve">NDIA staff reported challenges with respect to engaging with people from culturally and linguistically diverse or Aboriginal </w:t>
      </w:r>
      <w:r>
        <w:t>or</w:t>
      </w:r>
      <w:r w:rsidRPr="00F4420D">
        <w:t xml:space="preserve"> Torres Strait Islander backgrounds.</w:t>
      </w:r>
    </w:p>
    <w:p w:rsidR="00D907AF" w:rsidRPr="00F4420D" w:rsidRDefault="00D907AF" w:rsidP="00D907AF"/>
    <w:p w:rsidR="00D907AF" w:rsidRPr="00B61A7D" w:rsidRDefault="00D907AF" w:rsidP="00D907AF">
      <w:pPr>
        <w:rPr>
          <w:iCs/>
        </w:rPr>
      </w:pPr>
      <w:r w:rsidRPr="00B61A7D">
        <w:rPr>
          <w:b/>
          <w:iCs/>
        </w:rPr>
        <w:t>KEQ22:</w:t>
      </w:r>
      <w:r w:rsidRPr="00B61A7D">
        <w:rPr>
          <w:iCs/>
        </w:rPr>
        <w:t xml:space="preserve"> What sort of assistance do people with disability (or their families and carers, if they are managing the care) require to gain more control and navigate the system?</w:t>
      </w:r>
    </w:p>
    <w:p w:rsidR="00D907AF" w:rsidRPr="00F4420D" w:rsidRDefault="00D907AF" w:rsidP="00D907AF">
      <w:pPr>
        <w:rPr>
          <w:i/>
          <w:iCs/>
        </w:rPr>
      </w:pPr>
    </w:p>
    <w:p w:rsidR="00D907AF" w:rsidRDefault="00D907AF" w:rsidP="00D907AF">
      <w:r w:rsidRPr="00F4420D">
        <w:t xml:space="preserve">NDIS participants criticised the often lengthy and complicated process of establishing NDIS eligibility, exacerbated by the initially unresponsive administration of the </w:t>
      </w:r>
      <w:r>
        <w:t>s</w:t>
      </w:r>
      <w:r w:rsidRPr="00F4420D">
        <w:t>cheme on the part of the NDIA. This was reported to have resulted in delays between first and subsequent contact, feedback on access enquiries and telephone enquiries remaining unanswered. These difficulties were acknowledged by NDIA staff who also reported about their high workload, which reduced contact with individual participants and a more customised service.</w:t>
      </w:r>
    </w:p>
    <w:p w:rsidR="00D907AF" w:rsidRPr="00F4420D" w:rsidRDefault="00D907AF" w:rsidP="00D907AF"/>
    <w:p w:rsidR="00D907AF" w:rsidRDefault="00D907AF" w:rsidP="00D907AF">
      <w:r w:rsidRPr="00F4420D">
        <w:t>NDIS participants argued that they would have welcomed more and better advice and assistance in preparation for planning meetings, including, for instance, sample copies of plans to illustrate goal setting, and lists of eligible and accessible services.</w:t>
      </w:r>
      <w:r>
        <w:t xml:space="preserve"> </w:t>
      </w:r>
      <w:r w:rsidRPr="00F4420D">
        <w:t xml:space="preserve">They also would have liked more help in understanding the plan and how it related to their needs. All respondent groups advised the use of advocates to facilitate planning meetings. </w:t>
      </w:r>
    </w:p>
    <w:p w:rsidR="00D907AF" w:rsidRPr="00F4420D" w:rsidRDefault="00D907AF" w:rsidP="00D907AF"/>
    <w:p w:rsidR="00D907AF" w:rsidRPr="00B61A7D" w:rsidRDefault="00D907AF" w:rsidP="00D907AF">
      <w:pPr>
        <w:rPr>
          <w:iCs/>
        </w:rPr>
      </w:pPr>
      <w:bookmarkStart w:id="131" w:name="_Toc421873512"/>
      <w:r w:rsidRPr="00B61A7D">
        <w:rPr>
          <w:b/>
          <w:iCs/>
        </w:rPr>
        <w:t>KEQ24:</w:t>
      </w:r>
      <w:r w:rsidRPr="00B61A7D">
        <w:rPr>
          <w:iCs/>
        </w:rPr>
        <w:t xml:space="preserve"> To what extent has the NDIS helped people with disability, their families and carers during major life transitions such as starting preschool or school, leaving school, starting tertiary education, starting work, leaving home, leaving state care, leaving the workforce, and entering the aged care system?</w:t>
      </w:r>
    </w:p>
    <w:p w:rsidR="00D907AF" w:rsidRPr="00F4420D" w:rsidRDefault="00D907AF" w:rsidP="00D907AF">
      <w:pPr>
        <w:rPr>
          <w:i/>
          <w:iCs/>
        </w:rPr>
      </w:pPr>
    </w:p>
    <w:bookmarkEnd w:id="131"/>
    <w:p w:rsidR="00D907AF" w:rsidRDefault="00D907AF" w:rsidP="00D907AF">
      <w:r w:rsidRPr="00F4420D">
        <w:t xml:space="preserve">Managing transitions into school, between school and work, </w:t>
      </w:r>
      <w:r>
        <w:t xml:space="preserve">and </w:t>
      </w:r>
      <w:r w:rsidRPr="00F4420D">
        <w:t>between home and independent living was a key concern for respondents from the Tasmania and South Australia trial sites. In Tasmania, almost all respondents felt that the NDIS was playing a significant part in facilitating these transitions by providing access to activities and individual support around life skills, practical skills, communication and self-confidence.</w:t>
      </w:r>
      <w:r>
        <w:t xml:space="preserve"> </w:t>
      </w:r>
      <w:r w:rsidRPr="00F4420D">
        <w:t>As a result, many families felt more optimistic about the prospect of their child living more independently and being more fulfilled through social and economic participation in the future.</w:t>
      </w:r>
    </w:p>
    <w:p w:rsidR="00D907AF" w:rsidRPr="00F4420D" w:rsidRDefault="00D907AF" w:rsidP="00D907AF"/>
    <w:p w:rsidR="00D907AF" w:rsidRDefault="00D907AF" w:rsidP="00D907AF">
      <w:r w:rsidRPr="00F4420D">
        <w:t>The key transition point for NDIS participants in SA was the transition to school, with fewer transitions to child care and kindergarten.</w:t>
      </w:r>
      <w:r>
        <w:t xml:space="preserve"> </w:t>
      </w:r>
      <w:r w:rsidRPr="00F4420D">
        <w:t xml:space="preserve">While educational goals were invited and included in a child’s plan, the NDIA did not fund learning and other supports that were considered to be in the domain of the Department of Education and Child Development (DECD). This separation of responsibilities was a source of frustration for parents/carers of older children who perceived their child’s educational needs were not being met and that the NDIA was not advocating on their child’s behalf with DECD. </w:t>
      </w:r>
    </w:p>
    <w:p w:rsidR="00D907AF" w:rsidRPr="00782287" w:rsidRDefault="00D907AF" w:rsidP="00D907AF"/>
    <w:p w:rsidR="00D907AF" w:rsidRPr="00B61A7D" w:rsidRDefault="00D907AF" w:rsidP="00D907AF">
      <w:pPr>
        <w:rPr>
          <w:iCs/>
        </w:rPr>
      </w:pPr>
      <w:r w:rsidRPr="00B61A7D">
        <w:rPr>
          <w:b/>
          <w:iCs/>
        </w:rPr>
        <w:t>KEQ31:</w:t>
      </w:r>
      <w:r w:rsidRPr="00B61A7D">
        <w:rPr>
          <w:iCs/>
        </w:rPr>
        <w:t xml:space="preserve"> Have there been any other changes, including unintended changes (anticipated and unanticipated, positive and negative), in the experiences of people with disability, their families and carers as a result of the scheme?</w:t>
      </w:r>
    </w:p>
    <w:p w:rsidR="00D907AF" w:rsidRPr="00F4420D" w:rsidRDefault="00D907AF" w:rsidP="00D907AF">
      <w:pPr>
        <w:rPr>
          <w:i/>
          <w:iCs/>
        </w:rPr>
      </w:pPr>
    </w:p>
    <w:p w:rsidR="0053296A" w:rsidRDefault="00D907AF" w:rsidP="00D907AF">
      <w:r w:rsidRPr="00F4420D">
        <w:t>NDIS participants did not observe any unintended changes that were attributed to the NDIS at the time of the first round of data collection. While the process of developing a plan and obtaining funding was not an easy one, and extra administrative work and time went into the process that may not have been anticipated at first, most of the changes to the participants’ and their family members and carers lives connected to the NDIS were as would have been intended and indeed foreseen.</w:t>
      </w:r>
    </w:p>
    <w:p w:rsidR="00D907AF" w:rsidRDefault="0053296A" w:rsidP="00D907AF">
      <w:r>
        <w:br w:type="page"/>
      </w:r>
      <w:r w:rsidR="00D907AF" w:rsidRPr="00F4420D">
        <w:lastRenderedPageBreak/>
        <w:t>The same could not necessarily be said about the wider disability support environment as our interviews identified two instance</w:t>
      </w:r>
      <w:r w:rsidR="00D907AF">
        <w:t>s</w:t>
      </w:r>
      <w:r w:rsidR="00D907AF" w:rsidRPr="00F4420D">
        <w:t xml:space="preserve"> of potentially unintended, adverse outcomes of the trial of the NDIS. First, respondents noted the cessation of support groups and community groups, which could not operate without block funding. Second, respondents in some trial sites also reflected on a decline in the quality and availability of government funded (therapy) service provision as large numbers of staff were leaving the service in anticipation of its closure following the roll out of the NDIS. </w:t>
      </w:r>
    </w:p>
    <w:p w:rsidR="00D907AF" w:rsidRPr="00F4420D" w:rsidRDefault="00D907AF" w:rsidP="00D907AF"/>
    <w:p w:rsidR="00D907AF" w:rsidRPr="00B61A7D" w:rsidRDefault="00D907AF" w:rsidP="00D907AF">
      <w:pPr>
        <w:rPr>
          <w:iCs/>
        </w:rPr>
      </w:pPr>
      <w:r w:rsidRPr="00B61A7D">
        <w:rPr>
          <w:b/>
          <w:iCs/>
          <w:lang w:val="en-US"/>
        </w:rPr>
        <w:t>KEQ32:</w:t>
      </w:r>
      <w:r w:rsidRPr="00B61A7D">
        <w:rPr>
          <w:iCs/>
          <w:lang w:val="en-US"/>
        </w:rPr>
        <w:t xml:space="preserve"> </w:t>
      </w:r>
      <w:r w:rsidRPr="00B61A7D">
        <w:rPr>
          <w:iCs/>
        </w:rPr>
        <w:t>What has been the impact of the NDIS on the overall provision and quality of disability services?</w:t>
      </w:r>
    </w:p>
    <w:p w:rsidR="00D907AF" w:rsidRPr="00B61A7D" w:rsidRDefault="00D907AF" w:rsidP="00D907AF">
      <w:pPr>
        <w:rPr>
          <w:iCs/>
        </w:rPr>
      </w:pPr>
    </w:p>
    <w:p w:rsidR="00D907AF" w:rsidRDefault="00D907AF" w:rsidP="00D907AF">
      <w:r w:rsidRPr="00F4420D">
        <w:t>NDIS participants were more likely to report changes in the overall provision than in the quality of disability services.</w:t>
      </w:r>
      <w:r>
        <w:t xml:space="preserve"> </w:t>
      </w:r>
      <w:r w:rsidRPr="00F4420D">
        <w:t>As most participants had decided to retain existing disability service providers, it was the frequency and intensity of supports that was most likely to have changed, not so much the quality or range of the individual provisions. Of course, the latter was typically reported to be reasonable and acceptable, which had encouraged NDIS participants to continue to stick with their current providers in the first place. Quality changes were mainly reported where the NDIS had enabled participants to source disability products more flexibly and from non-traditional sources (i.e. by shopping on the internet).</w:t>
      </w:r>
    </w:p>
    <w:p w:rsidR="00D907AF" w:rsidRPr="00F4420D" w:rsidRDefault="00D907AF" w:rsidP="00D907AF"/>
    <w:p w:rsidR="00D907AF" w:rsidRDefault="00D907AF" w:rsidP="00D907AF">
      <w:r w:rsidRPr="00F4420D">
        <w:t xml:space="preserve">Disability service providers felt that the NDIS had improved participants’ access to allied health supports and services as a result of better funding arrangements. Providers were conscious of the fact that, in order to compete successfully in the new disability services market, they would need to ensure high quality goods and services. However, along with the workforce stakeholder organisations they also felt that current NDIS pricing structures made this difficult as they did not cover the actual costs of providing support. Whereas larger providers may, at least initially, be able to address this by cross-subsidising activities, smaller organisations would not be able to do so and may be at risk of exiting the market. </w:t>
      </w:r>
    </w:p>
    <w:p w:rsidR="00D907AF" w:rsidRPr="00F4420D" w:rsidRDefault="00D907AF" w:rsidP="00D907AF"/>
    <w:p w:rsidR="00D907AF" w:rsidRDefault="00D907AF" w:rsidP="00D907AF">
      <w:r w:rsidRPr="00F4420D">
        <w:t>Aside from support changes, disability service providers observed changes to their relationship with clients. According to some NDIS participants, service providers had become more open with clients about the types and costs of the services that they offered. This openness had typically strengthened relationships with clients; however there was some concern that the focus on financial aspects of service provision interfered with the ability of disability service providers to establish a relationship of care with the client and their family.</w:t>
      </w:r>
    </w:p>
    <w:p w:rsidR="00D907AF" w:rsidRPr="00F4420D" w:rsidRDefault="00D907AF" w:rsidP="00D907AF"/>
    <w:p w:rsidR="00D907AF" w:rsidRPr="00B61A7D" w:rsidRDefault="00D907AF" w:rsidP="00D907AF">
      <w:pPr>
        <w:rPr>
          <w:iCs/>
        </w:rPr>
      </w:pPr>
      <w:r w:rsidRPr="00B61A7D">
        <w:rPr>
          <w:b/>
          <w:iCs/>
          <w:lang w:val="en-US"/>
        </w:rPr>
        <w:t>KEQ33:</w:t>
      </w:r>
      <w:r w:rsidRPr="00B61A7D">
        <w:rPr>
          <w:iCs/>
          <w:lang w:val="en-US"/>
        </w:rPr>
        <w:t xml:space="preserve"> </w:t>
      </w:r>
      <w:r w:rsidRPr="00B61A7D">
        <w:rPr>
          <w:iCs/>
        </w:rPr>
        <w:t>Are clients satisfied that their supports are tailored to their individual needs and well-coordinated?</w:t>
      </w:r>
    </w:p>
    <w:p w:rsidR="00D907AF" w:rsidRPr="00F4420D" w:rsidRDefault="00D907AF" w:rsidP="00D907AF">
      <w:pPr>
        <w:rPr>
          <w:i/>
          <w:iCs/>
        </w:rPr>
      </w:pPr>
    </w:p>
    <w:p w:rsidR="00D907AF" w:rsidRDefault="00D907AF" w:rsidP="00D907AF">
      <w:r w:rsidRPr="00F4420D">
        <w:t>NDIS participants did not report a change in their perceptions or assessment of the tailoring of supports other than noting that ‘choice and control’ remained limited as long as the provider market remained largely unchanged. The ability to increase the frequency of supports, especially in the home, was described as improving the lives and social participation opportunities of NDIS participants, and their families and carers.</w:t>
      </w:r>
    </w:p>
    <w:p w:rsidR="00D907AF" w:rsidRPr="00F4420D" w:rsidRDefault="00D907AF" w:rsidP="00D907AF"/>
    <w:p w:rsidR="00D907AF" w:rsidRPr="00B61A7D" w:rsidRDefault="00D907AF" w:rsidP="00D907AF">
      <w:pPr>
        <w:rPr>
          <w:iCs/>
        </w:rPr>
      </w:pPr>
      <w:r w:rsidRPr="00B61A7D">
        <w:rPr>
          <w:b/>
          <w:iCs/>
          <w:lang w:val="en-US"/>
        </w:rPr>
        <w:t>KEQ34:</w:t>
      </w:r>
      <w:r w:rsidRPr="00B61A7D">
        <w:rPr>
          <w:iCs/>
        </w:rPr>
        <w:t xml:space="preserve"> What has been the impact of the NDIS on the disability sector, including the relevant government agency in each jurisdiction and advocacy organisations?</w:t>
      </w:r>
    </w:p>
    <w:p w:rsidR="00D907AF" w:rsidRPr="00F4420D" w:rsidRDefault="00D907AF" w:rsidP="00D907AF">
      <w:pPr>
        <w:rPr>
          <w:i/>
          <w:iCs/>
        </w:rPr>
      </w:pPr>
    </w:p>
    <w:p w:rsidR="00D907AF" w:rsidRDefault="00D907AF" w:rsidP="00D907AF">
      <w:r w:rsidRPr="00F4420D">
        <w:t>Disability service providers and workforce stakeholder organisations reported a number of impacts the NDIS trial has had on the disability sector. These included reports of some new providers, changing relationships between existing providers, and sustained concerns about the financial viability of the sector under the new funding system.</w:t>
      </w:r>
      <w:r>
        <w:t xml:space="preserve"> </w:t>
      </w:r>
      <w:r w:rsidRPr="00F4420D">
        <w:t xml:space="preserve">NDIS staff, providers and stakeholders all confirmed the difficulty the sector was facing in switching from payment-in-advance under the old </w:t>
      </w:r>
      <w:r w:rsidRPr="00F4420D">
        <w:lastRenderedPageBreak/>
        <w:t>block-funding arrangement to payment-in-arrears under the new funding system. It was doubted that smaller organisations would have the financial capacity to obtain bridge funding for supports provided in advance. In rural parts, the volume of business that providers may legitimately expect to receive was also feared to be insufficient to sustain smaller providers without significant revisions to their individual business models in the long run.</w:t>
      </w:r>
    </w:p>
    <w:p w:rsidR="00D907AF" w:rsidRPr="00F4420D" w:rsidRDefault="00D907AF" w:rsidP="00D907AF"/>
    <w:p w:rsidR="00D907AF" w:rsidRDefault="00D907AF" w:rsidP="00D907AF">
      <w:r w:rsidRPr="00F4420D">
        <w:t>Whereas the anticipated influx of new providers to the sector had not eventuated, disability service providers did indicate that providers new to the local market were registering with the NDIA, although few were actively providing services in the trial sites. At the same time, there were no reports of disability service providers exiting the market in the trial sites.</w:t>
      </w:r>
    </w:p>
    <w:p w:rsidR="00D907AF" w:rsidRPr="00F4420D" w:rsidRDefault="00D907AF" w:rsidP="00D907AF"/>
    <w:p w:rsidR="00D907AF" w:rsidRDefault="00D907AF" w:rsidP="00D907AF">
      <w:r w:rsidRPr="00F4420D">
        <w:t>The move to a competitive market was suggested to have resulted in changes to the relationship between existing providers, with disability service providers now being more guarded in their interaction with other, competing providers. This said, as the trial progressed, there was also evidence of some disability service providers increasing collaborations in efforts to share learnings and experiences about operating under the NDIS.</w:t>
      </w:r>
      <w:r>
        <w:t xml:space="preserve"> </w:t>
      </w:r>
    </w:p>
    <w:p w:rsidR="00D907AF" w:rsidRPr="00F4420D" w:rsidRDefault="00D907AF" w:rsidP="00D907AF"/>
    <w:p w:rsidR="00D907AF" w:rsidRDefault="00D907AF" w:rsidP="00D907AF">
      <w:r w:rsidRPr="00F4420D">
        <w:t xml:space="preserve">Workforce stakeholders expressed concern about the withdrawal of state government provided disability services, which left the job situation and prospect of government workers uncertain. </w:t>
      </w:r>
    </w:p>
    <w:p w:rsidR="00D907AF" w:rsidRPr="00F4420D" w:rsidRDefault="00D907AF" w:rsidP="00D907AF">
      <w:pPr>
        <w:rPr>
          <w:lang w:val="en-US"/>
        </w:rPr>
      </w:pPr>
    </w:p>
    <w:p w:rsidR="00D907AF" w:rsidRPr="00B61A7D" w:rsidRDefault="00D907AF" w:rsidP="00D907AF">
      <w:pPr>
        <w:rPr>
          <w:iCs/>
        </w:rPr>
      </w:pPr>
      <w:r w:rsidRPr="00B61A7D">
        <w:rPr>
          <w:b/>
          <w:iCs/>
          <w:lang w:val="en-US"/>
        </w:rPr>
        <w:t>KEQ35:</w:t>
      </w:r>
      <w:r w:rsidRPr="00B61A7D">
        <w:rPr>
          <w:iCs/>
          <w:lang w:val="en-US"/>
        </w:rPr>
        <w:t xml:space="preserve"> </w:t>
      </w:r>
      <w:r w:rsidRPr="00B61A7D">
        <w:rPr>
          <w:iCs/>
        </w:rPr>
        <w:t xml:space="preserve">Consider impacts on workforce (skills, retention rates, capacity, satisfaction, workforce culture, composition and proportion of occupation types). </w:t>
      </w:r>
    </w:p>
    <w:p w:rsidR="00D907AF" w:rsidRPr="00F4420D" w:rsidRDefault="00D907AF" w:rsidP="00D907AF">
      <w:pPr>
        <w:rPr>
          <w:i/>
          <w:iCs/>
        </w:rPr>
      </w:pPr>
    </w:p>
    <w:p w:rsidR="00D907AF" w:rsidRDefault="00D907AF" w:rsidP="00D907AF">
      <w:r w:rsidRPr="00F4420D">
        <w:rPr>
          <w:lang w:val="en-US"/>
        </w:rPr>
        <w:t>Disability service providers</w:t>
      </w:r>
      <w:r w:rsidRPr="00F4420D">
        <w:t xml:space="preserve"> reported that the introduction of the NDIS model and its emphasis on transdisciplinary working and individualised service provision had resulted in changes to staff training and the skills sought by organisations. Some explained that they had changed their recruitment strategies and restructured the roles and functions of staff within the organisation early o</w:t>
      </w:r>
      <w:r>
        <w:t xml:space="preserve">n in anticipation of the NDIS. </w:t>
      </w:r>
    </w:p>
    <w:p w:rsidR="00D907AF" w:rsidRPr="00F4420D" w:rsidRDefault="00D907AF" w:rsidP="00D907AF"/>
    <w:p w:rsidR="00D907AF" w:rsidRDefault="00D907AF" w:rsidP="00D907AF">
      <w:r w:rsidRPr="00F4420D">
        <w:t>Providers reported seeking to develop a transdisciplinary skills base integrating in-home support provision, person-centred care and specialist recreation skills. Whilst articulating these ambitions, providers also reiterated their concerns about the NDIS funding model, whose reimbursement rates were deemed too low to cover auxiliary costs, such as staff training.</w:t>
      </w:r>
      <w:r>
        <w:t xml:space="preserve"> </w:t>
      </w:r>
    </w:p>
    <w:p w:rsidR="00D907AF" w:rsidRPr="00F4420D" w:rsidRDefault="00D907AF" w:rsidP="00D907AF"/>
    <w:p w:rsidR="00D907AF" w:rsidRDefault="00D907AF" w:rsidP="00D907AF">
      <w:r w:rsidRPr="00F4420D">
        <w:t>Low NDIS pricing was also feared to undermine providers’ ability to attract additional staff to the sector through more attractive remuneration packages and improved working and staff development conditions. Providers already felt they were competing with the NDIA for staff who could expect better pay in the public sector. At the same time, the move to a more commercial, business-like model of service provision had led some providers to lose staff who had felt uncomfortable with the implied change in ethos or felt less secure in their jobs.</w:t>
      </w:r>
    </w:p>
    <w:p w:rsidR="00D907AF" w:rsidRPr="00F4420D" w:rsidRDefault="00D907AF" w:rsidP="00D907AF"/>
    <w:p w:rsidR="00D907AF" w:rsidRDefault="00D907AF" w:rsidP="00D907AF">
      <w:r w:rsidRPr="00F4420D">
        <w:t>There remained considerable uncertainty and, in fact, scepticism amongst providers as to their capacity to break even on operational costs within the framework of the new funding regime. Several providers pointed out that they would not be able to honour conditions agreed with staff under current Enterprise Bargaining Agreements if full operating cost were not being met.</w:t>
      </w:r>
    </w:p>
    <w:p w:rsidR="00D907AF" w:rsidRPr="00F4420D" w:rsidRDefault="00D907AF" w:rsidP="00D907AF"/>
    <w:p w:rsidR="00D907AF" w:rsidRDefault="00D907AF" w:rsidP="00D907AF">
      <w:r w:rsidRPr="00F4420D">
        <w:t>Workforce stakeholders expressed similar feelings of anxiety and uncertainty regarding future employment and working conditions among members, in particular in state-operated disability services. They felt that individualised funding could adversely affect employment conditions as employees may have to respond to growing demands for working during atypical hours or being on call, thus changing existing relationships between clients and providers, and employees and employers.</w:t>
      </w:r>
      <w:r>
        <w:t xml:space="preserve"> </w:t>
      </w:r>
      <w:r w:rsidRPr="00F4420D">
        <w:t>Concerns were also raised by the workfo</w:t>
      </w:r>
      <w:r>
        <w:t>r</w:t>
      </w:r>
      <w:r w:rsidRPr="00F4420D">
        <w:t xml:space="preserve">ce stakeholder organisations regarding the </w:t>
      </w:r>
      <w:r w:rsidRPr="00F4420D">
        <w:lastRenderedPageBreak/>
        <w:t>impact of individualised funding arrangements of the NDIS on wages, employment contracts and career structures.</w:t>
      </w:r>
    </w:p>
    <w:p w:rsidR="00D907AF" w:rsidRPr="00F4420D" w:rsidRDefault="00D907AF" w:rsidP="00D907AF"/>
    <w:p w:rsidR="00D907AF" w:rsidRDefault="00D907AF" w:rsidP="00D907AF">
      <w:r w:rsidRPr="00F4420D">
        <w:t>In the NDIA, early recruitment of staff was generally thought to have resulted in a divers</w:t>
      </w:r>
      <w:r>
        <w:t>e</w:t>
      </w:r>
      <w:r w:rsidRPr="00F4420D">
        <w:t xml:space="preserve"> and committed workforce. </w:t>
      </w:r>
      <w:r>
        <w:t>However, t</w:t>
      </w:r>
      <w:r w:rsidRPr="00F4420D">
        <w:t>he pressures of high workloads and</w:t>
      </w:r>
      <w:r>
        <w:t xml:space="preserve"> </w:t>
      </w:r>
      <w:r w:rsidRPr="00F4420D">
        <w:t>changing role expectations w</w:t>
      </w:r>
      <w:r>
        <w:t>ere</w:t>
      </w:r>
      <w:r w:rsidRPr="00F4420D">
        <w:t xml:space="preserve"> reported to have taken a toll on staff morale</w:t>
      </w:r>
      <w:r>
        <w:t>,</w:t>
      </w:r>
      <w:r w:rsidRPr="00F4420D">
        <w:t xml:space="preserve"> leading to resignations in some trial sites during early trial phases.</w:t>
      </w:r>
    </w:p>
    <w:p w:rsidR="00D907AF" w:rsidRPr="00F4420D" w:rsidRDefault="00D907AF" w:rsidP="00D907AF"/>
    <w:p w:rsidR="00D907AF" w:rsidRDefault="00D907AF" w:rsidP="00D907AF">
      <w:pPr>
        <w:rPr>
          <w:iCs/>
        </w:rPr>
      </w:pPr>
      <w:r w:rsidRPr="00B61A7D">
        <w:rPr>
          <w:b/>
          <w:iCs/>
          <w:lang w:val="en-US"/>
        </w:rPr>
        <w:t>KEQ36:</w:t>
      </w:r>
      <w:r w:rsidRPr="00B61A7D">
        <w:rPr>
          <w:iCs/>
          <w:lang w:val="en-US"/>
        </w:rPr>
        <w:t xml:space="preserve"> </w:t>
      </w:r>
      <w:r w:rsidRPr="00B61A7D">
        <w:rPr>
          <w:iCs/>
        </w:rPr>
        <w:t>Consider impacts on supply and diversity of disability supports (particularly sustainability, ability to respond to choice and control, and service capacity).</w:t>
      </w:r>
    </w:p>
    <w:p w:rsidR="0069122C" w:rsidRPr="00B61A7D" w:rsidRDefault="0069122C" w:rsidP="00D907AF">
      <w:pPr>
        <w:rPr>
          <w:iCs/>
        </w:rPr>
      </w:pPr>
    </w:p>
    <w:p w:rsidR="00D907AF" w:rsidRDefault="00D907AF" w:rsidP="00D907AF">
      <w:pPr>
        <w:rPr>
          <w:lang w:val="en-US"/>
        </w:rPr>
      </w:pPr>
      <w:r w:rsidRPr="00F4420D">
        <w:rPr>
          <w:lang w:val="en-US"/>
        </w:rPr>
        <w:t>In this early phase of the NDIS trial, evidence of changes in the supply or diversity of disability supports were</w:t>
      </w:r>
      <w:r>
        <w:rPr>
          <w:lang w:val="en-US"/>
        </w:rPr>
        <w:t xml:space="preserve"> few and</w:t>
      </w:r>
      <w:r w:rsidRPr="00F4420D">
        <w:rPr>
          <w:lang w:val="en-US"/>
        </w:rPr>
        <w:t xml:space="preserve"> far between. As noted above, market changes were slow to materialise, both as a result of a slowly adapting or emerging provider sector, and as a result of NDIS participants often retaining existing provisions.</w:t>
      </w:r>
      <w:r>
        <w:rPr>
          <w:lang w:val="en-US"/>
        </w:rPr>
        <w:t xml:space="preserve"> </w:t>
      </w:r>
      <w:r w:rsidRPr="00F4420D">
        <w:rPr>
          <w:lang w:val="en-US"/>
        </w:rPr>
        <w:t>In a circularly reinforcing fashion, the two phenomena were, of course, intrinsically linked.</w:t>
      </w:r>
    </w:p>
    <w:p w:rsidR="00D907AF" w:rsidRPr="00F4420D" w:rsidRDefault="00D907AF" w:rsidP="00D907AF">
      <w:pPr>
        <w:rPr>
          <w:lang w:val="en-US"/>
        </w:rPr>
      </w:pPr>
    </w:p>
    <w:p w:rsidR="00D907AF" w:rsidRDefault="00D907AF" w:rsidP="00D907AF">
      <w:r w:rsidRPr="00F4420D">
        <w:t>Overall, the QIE encountered a variety of often contradictory views among</w:t>
      </w:r>
      <w:r>
        <w:t>st both</w:t>
      </w:r>
      <w:r w:rsidRPr="00F4420D">
        <w:t xml:space="preserve"> service providers and workforce stakeholders. In the twelve to eighteen months after the trial had begun, some respondents had observed a greater flexibility among service providers who were offering and delivering supports more closely aligned with users’ requirements. Others also reported new providers entering the market, such as aged care organisations in rural areas. At the same time and in part contradicting the above, providers and workforce stakeholders repeatedly stressed the constraints that the new funding regime was imposing on </w:t>
      </w:r>
      <w:r>
        <w:t>the former</w:t>
      </w:r>
      <w:r w:rsidRPr="00F4420D">
        <w:t xml:space="preserve"> as a result of which </w:t>
      </w:r>
      <w:r>
        <w:t>the provider market had not changed much</w:t>
      </w:r>
      <w:r w:rsidRPr="00F4420D">
        <w:t>. Overall, the impression gained from the interviews was that among both providers and workforce stakeholders, anecdotal insights prevailed over well informed knowledge.</w:t>
      </w:r>
    </w:p>
    <w:p w:rsidR="00D907AF" w:rsidRPr="00F4420D" w:rsidRDefault="00D907AF" w:rsidP="00D907AF"/>
    <w:p w:rsidR="00D907AF" w:rsidRPr="00B61A7D" w:rsidRDefault="00D907AF" w:rsidP="00D907AF">
      <w:pPr>
        <w:rPr>
          <w:iCs/>
        </w:rPr>
      </w:pPr>
      <w:r w:rsidRPr="00B61A7D">
        <w:rPr>
          <w:b/>
          <w:iCs/>
          <w:lang w:val="en-US"/>
        </w:rPr>
        <w:t>KEQ37:</w:t>
      </w:r>
      <w:r w:rsidRPr="00B61A7D">
        <w:rPr>
          <w:iCs/>
          <w:lang w:val="en-US"/>
        </w:rPr>
        <w:t xml:space="preserve"> </w:t>
      </w:r>
      <w:r w:rsidRPr="00B61A7D">
        <w:rPr>
          <w:iCs/>
        </w:rPr>
        <w:t>To what extent has the supply of disability services responded to demand?</w:t>
      </w:r>
    </w:p>
    <w:p w:rsidR="00D907AF" w:rsidRPr="00F4420D" w:rsidRDefault="00D907AF" w:rsidP="00D907AF">
      <w:pPr>
        <w:rPr>
          <w:i/>
          <w:iCs/>
        </w:rPr>
      </w:pPr>
    </w:p>
    <w:p w:rsidR="00D907AF" w:rsidRDefault="00D907AF" w:rsidP="00D907AF">
      <w:pPr>
        <w:rPr>
          <w:lang w:val="en-US"/>
        </w:rPr>
      </w:pPr>
      <w:r w:rsidRPr="00F4420D">
        <w:rPr>
          <w:lang w:val="en-US"/>
        </w:rPr>
        <w:t>The accounts offered by NDIS participants suggested demand for  more frequent provision of services rather than a fundamental change in their nature, although opportunities for the latter were curtailed by limited availability or limited knowledge of their availability, or both. The supply appeared to have responded positively to these changes in demand, albeit sometimes as a result of the determined initiative of NDIS participants, and their families and carers.</w:t>
      </w:r>
    </w:p>
    <w:p w:rsidR="00D907AF" w:rsidRPr="00F4420D" w:rsidRDefault="00D907AF" w:rsidP="00D907AF">
      <w:pPr>
        <w:rPr>
          <w:lang w:val="en-US"/>
        </w:rPr>
      </w:pPr>
    </w:p>
    <w:p w:rsidR="00D907AF" w:rsidRDefault="00D907AF" w:rsidP="00D907AF">
      <w:r w:rsidRPr="00F4420D">
        <w:rPr>
          <w:lang w:val="en-US"/>
        </w:rPr>
        <w:t xml:space="preserve">Both NDIA staff and disability service providers reported that </w:t>
      </w:r>
      <w:r>
        <w:rPr>
          <w:lang w:val="en-US"/>
        </w:rPr>
        <w:t>providers</w:t>
      </w:r>
      <w:r w:rsidR="00A06AE2">
        <w:rPr>
          <w:lang w:val="en-US"/>
        </w:rPr>
        <w:t xml:space="preserve"> </w:t>
      </w:r>
      <w:r w:rsidRPr="00F4420D">
        <w:rPr>
          <w:lang w:val="en-US"/>
        </w:rPr>
        <w:t>had initially been slow to register with the NDIA, but that</w:t>
      </w:r>
      <w:r>
        <w:rPr>
          <w:lang w:val="en-US"/>
        </w:rPr>
        <w:t xml:space="preserve"> registrations </w:t>
      </w:r>
      <w:r w:rsidRPr="00F4420D">
        <w:rPr>
          <w:lang w:val="en-US"/>
        </w:rPr>
        <w:t xml:space="preserve">had been picking up more recently, </w:t>
      </w:r>
      <w:r>
        <w:rPr>
          <w:lang w:val="en-US"/>
        </w:rPr>
        <w:t>giving</w:t>
      </w:r>
      <w:r w:rsidRPr="00F4420D">
        <w:rPr>
          <w:lang w:val="en-US"/>
        </w:rPr>
        <w:t xml:space="preserve"> NDIS participants access to a broader range of potential providers and provisions. Disability service providers explained that they had been adding to the </w:t>
      </w:r>
      <w:r w:rsidRPr="00F4420D">
        <w:t>number of services that they were registered to deliver under the NDIS. This increase was accredited to a greater familiarity with the range of supports that could be funded under the NDIS as well as to increased demand from clients.</w:t>
      </w:r>
      <w:r>
        <w:t xml:space="preserve"> </w:t>
      </w:r>
    </w:p>
    <w:p w:rsidR="00D907AF" w:rsidRPr="00F4420D" w:rsidRDefault="00D907AF" w:rsidP="00D907AF"/>
    <w:p w:rsidR="00D907AF" w:rsidRDefault="00D907AF" w:rsidP="00D907AF">
      <w:r w:rsidRPr="00F4420D">
        <w:t xml:space="preserve">According to providers and NDIA staff, demand had especially increased for services facilitating greater independence in the home and in the community, shifting from group-based services to individual and community-based services. Providers said they had responded to these </w:t>
      </w:r>
      <w:r>
        <w:t xml:space="preserve">demands </w:t>
      </w:r>
      <w:r w:rsidRPr="00F4420D">
        <w:t>by introducing more flexible arrangements around the types of services</w:t>
      </w:r>
      <w:r>
        <w:t xml:space="preserve"> they provide, </w:t>
      </w:r>
      <w:r w:rsidRPr="00F4420D">
        <w:t xml:space="preserve">and ensuring that the provision of those services were at times and locations that suited participants. </w:t>
      </w:r>
    </w:p>
    <w:p w:rsidR="00D907AF" w:rsidRPr="00F4420D" w:rsidRDefault="00D907AF" w:rsidP="00D907AF"/>
    <w:p w:rsidR="008A5CB8" w:rsidRDefault="008A5CB8">
      <w:r>
        <w:br w:type="page"/>
      </w:r>
    </w:p>
    <w:p w:rsidR="00D907AF" w:rsidRDefault="00D907AF" w:rsidP="00D907AF">
      <w:r w:rsidRPr="00F4420D">
        <w:lastRenderedPageBreak/>
        <w:t>Workforce stakeholders had not observed this change in demand affecting workforce levels or conditions in any significant manner.</w:t>
      </w:r>
    </w:p>
    <w:p w:rsidR="00D907AF" w:rsidRPr="00F4420D" w:rsidRDefault="00D907AF" w:rsidP="00D907AF"/>
    <w:p w:rsidR="00D907AF" w:rsidRPr="00B61A7D" w:rsidRDefault="00D907AF" w:rsidP="00D907AF">
      <w:pPr>
        <w:rPr>
          <w:iCs/>
        </w:rPr>
      </w:pPr>
      <w:r w:rsidRPr="00B61A7D">
        <w:rPr>
          <w:b/>
          <w:iCs/>
          <w:lang w:val="en-US"/>
        </w:rPr>
        <w:t>KEQ38:</w:t>
      </w:r>
      <w:r w:rsidRPr="00B61A7D">
        <w:rPr>
          <w:iCs/>
          <w:lang w:val="en-US"/>
        </w:rPr>
        <w:t xml:space="preserve"> </w:t>
      </w:r>
      <w:r w:rsidRPr="00B61A7D">
        <w:rPr>
          <w:iCs/>
        </w:rPr>
        <w:t>To what extent has the NDIS contributed to an increase in the provision of early interventions from disability services?</w:t>
      </w:r>
    </w:p>
    <w:p w:rsidR="00D907AF" w:rsidRPr="00F4420D" w:rsidRDefault="00D907AF" w:rsidP="00D907AF">
      <w:pPr>
        <w:rPr>
          <w:i/>
          <w:iCs/>
        </w:rPr>
      </w:pPr>
    </w:p>
    <w:p w:rsidR="00D907AF" w:rsidRDefault="00D907AF" w:rsidP="00D907AF">
      <w:r w:rsidRPr="00F4420D">
        <w:t>Disability service providers noted an increase in requests for, and supply of, early intervention measures, which</w:t>
      </w:r>
      <w:r>
        <w:t xml:space="preserve"> they thought might eventually help</w:t>
      </w:r>
      <w:r w:rsidRPr="00F4420D">
        <w:t xml:space="preserve"> to take pressure off other sectors, for example, the health sector by reducing </w:t>
      </w:r>
      <w:r>
        <w:t xml:space="preserve">the </w:t>
      </w:r>
      <w:r w:rsidRPr="00F4420D">
        <w:t xml:space="preserve">incidence of hospitalisation. Early interventions were also </w:t>
      </w:r>
      <w:r>
        <w:t xml:space="preserve">thought </w:t>
      </w:r>
      <w:r w:rsidRPr="00F4420D">
        <w:t xml:space="preserve">to </w:t>
      </w:r>
      <w:r>
        <w:t>reduce</w:t>
      </w:r>
      <w:r w:rsidRPr="00F4420D">
        <w:t xml:space="preserve"> waiting lists in mai</w:t>
      </w:r>
      <w:r>
        <w:t>nstream provisions and increase</w:t>
      </w:r>
      <w:r w:rsidRPr="00F4420D">
        <w:t xml:space="preserve"> support for families with young children.</w:t>
      </w:r>
    </w:p>
    <w:p w:rsidR="00D907AF" w:rsidRPr="00F4420D" w:rsidRDefault="00D907AF" w:rsidP="00D907AF"/>
    <w:p w:rsidR="00D907AF" w:rsidRPr="00B61A7D" w:rsidRDefault="00D907AF" w:rsidP="00D907AF">
      <w:pPr>
        <w:rPr>
          <w:iCs/>
        </w:rPr>
      </w:pPr>
      <w:r w:rsidRPr="00B61A7D">
        <w:rPr>
          <w:b/>
          <w:iCs/>
          <w:lang w:val="en-US"/>
        </w:rPr>
        <w:t>KEQ39:</w:t>
      </w:r>
      <w:r w:rsidRPr="00B61A7D">
        <w:rPr>
          <w:iCs/>
        </w:rPr>
        <w:t xml:space="preserve"> To what extent has the NDIS contributed to a more effective interface with mainstream services for people with disability, at an individual and a systemic level?</w:t>
      </w:r>
    </w:p>
    <w:p w:rsidR="00D907AF" w:rsidRPr="00F4420D" w:rsidRDefault="00D907AF" w:rsidP="00D907AF">
      <w:pPr>
        <w:rPr>
          <w:i/>
          <w:iCs/>
        </w:rPr>
      </w:pPr>
    </w:p>
    <w:p w:rsidR="00D907AF" w:rsidRPr="00F4420D" w:rsidRDefault="00D907AF" w:rsidP="00D907AF">
      <w:pPr>
        <w:rPr>
          <w:lang w:val="en-US"/>
        </w:rPr>
      </w:pPr>
      <w:r w:rsidRPr="00F4420D">
        <w:rPr>
          <w:lang w:val="en-US"/>
        </w:rPr>
        <w:t>Some NDIS participants reported disputes over the funding for disability support in a school setting, with NDIA and state education departments disagreeing over who should foot the bill.</w:t>
      </w:r>
    </w:p>
    <w:p w:rsidR="00D907AF" w:rsidRPr="00F4420D" w:rsidRDefault="00D907AF" w:rsidP="00D907AF">
      <w:pPr>
        <w:rPr>
          <w:lang w:val="en-US"/>
        </w:rPr>
      </w:pPr>
      <w:r w:rsidRPr="00F4420D">
        <w:rPr>
          <w:lang w:val="en-US"/>
        </w:rPr>
        <w:t>NDIA staff and workforce stakeholder organisations acknowledged that more needed doing to bridge</w:t>
      </w:r>
      <w:r>
        <w:rPr>
          <w:lang w:val="en-US"/>
        </w:rPr>
        <w:t xml:space="preserve"> the gap between</w:t>
      </w:r>
      <w:r w:rsidRPr="00F4420D">
        <w:rPr>
          <w:lang w:val="en-US"/>
        </w:rPr>
        <w:t xml:space="preserve"> mainstream services and the NDIS, including overcoming uncertainty with respect to supporting people with mental health problems.</w:t>
      </w:r>
    </w:p>
    <w:p w:rsidR="00D907AF" w:rsidRPr="00B61A7D" w:rsidRDefault="00D907AF" w:rsidP="00D907AF">
      <w:pPr>
        <w:rPr>
          <w:iCs/>
          <w:lang w:val="en-US"/>
        </w:rPr>
      </w:pPr>
    </w:p>
    <w:p w:rsidR="00D907AF" w:rsidRPr="00B61A7D" w:rsidRDefault="00D907AF" w:rsidP="00D907AF">
      <w:pPr>
        <w:rPr>
          <w:iCs/>
        </w:rPr>
      </w:pPr>
      <w:r w:rsidRPr="00B61A7D">
        <w:rPr>
          <w:b/>
          <w:iCs/>
          <w:lang w:val="en-US"/>
        </w:rPr>
        <w:t>KEQ47:</w:t>
      </w:r>
      <w:r w:rsidRPr="00B61A7D">
        <w:rPr>
          <w:iCs/>
          <w:lang w:val="en-US"/>
        </w:rPr>
        <w:t xml:space="preserve"> </w:t>
      </w:r>
      <w:r w:rsidRPr="00B61A7D">
        <w:rPr>
          <w:iCs/>
        </w:rPr>
        <w:t>How well is the NDIS interfacing with education, health and public housing and how are these impacting on the capacity of the NDIS to deliver on its key goals?</w:t>
      </w:r>
    </w:p>
    <w:p w:rsidR="00D907AF" w:rsidRPr="00F4420D" w:rsidRDefault="00D907AF" w:rsidP="00D907AF">
      <w:pPr>
        <w:rPr>
          <w:i/>
          <w:iCs/>
        </w:rPr>
      </w:pPr>
    </w:p>
    <w:p w:rsidR="00D907AF" w:rsidRDefault="00D907AF" w:rsidP="00D907AF">
      <w:pPr>
        <w:rPr>
          <w:lang w:val="en-US"/>
        </w:rPr>
      </w:pPr>
      <w:r w:rsidRPr="00F4420D">
        <w:rPr>
          <w:lang w:val="en-US"/>
        </w:rPr>
        <w:t>As noted above, there appeared to be evidence of unresolved issues with respect to the responsibility for funding disability supports in different institutional settings. However, the qualitative study was only able to record anecdotal and sporadic evidence.</w:t>
      </w:r>
    </w:p>
    <w:p w:rsidR="00D907AF" w:rsidRPr="00F4420D" w:rsidRDefault="00D907AF" w:rsidP="00D907AF">
      <w:pPr>
        <w:rPr>
          <w:lang w:val="en-US"/>
        </w:rPr>
      </w:pPr>
    </w:p>
    <w:p w:rsidR="00D907AF" w:rsidRPr="00B61A7D" w:rsidRDefault="00D907AF" w:rsidP="00D907AF">
      <w:pPr>
        <w:rPr>
          <w:iCs/>
          <w:lang w:val="en-US"/>
        </w:rPr>
      </w:pPr>
      <w:r w:rsidRPr="00B61A7D">
        <w:rPr>
          <w:b/>
          <w:iCs/>
          <w:lang w:val="en-US"/>
        </w:rPr>
        <w:t>KEQ56:</w:t>
      </w:r>
      <w:r w:rsidRPr="00B61A7D">
        <w:rPr>
          <w:iCs/>
          <w:lang w:val="en-US"/>
        </w:rPr>
        <w:t xml:space="preserve"> What were barriers to the success of the NDIS? (Consider emerging and potentially significant barriers as well as actual barriers.)</w:t>
      </w:r>
    </w:p>
    <w:p w:rsidR="00D907AF" w:rsidRPr="00F4420D" w:rsidRDefault="00D907AF" w:rsidP="00D907AF">
      <w:pPr>
        <w:rPr>
          <w:i/>
          <w:iCs/>
          <w:lang w:val="en-US"/>
        </w:rPr>
      </w:pPr>
    </w:p>
    <w:p w:rsidR="00D907AF" w:rsidRDefault="00D907AF" w:rsidP="00D907AF">
      <w:pPr>
        <w:rPr>
          <w:lang w:val="en-US"/>
        </w:rPr>
      </w:pPr>
      <w:r w:rsidRPr="00F4420D">
        <w:rPr>
          <w:lang w:val="en-US"/>
        </w:rPr>
        <w:t xml:space="preserve">The most significant current barrier to a fully successful NDIS is the </w:t>
      </w:r>
      <w:r>
        <w:rPr>
          <w:lang w:val="en-US"/>
        </w:rPr>
        <w:t xml:space="preserve">fast pace of the trial and anticipated roll-out, which NDIA staff found challenging. Disability </w:t>
      </w:r>
      <w:r w:rsidRPr="00F4420D">
        <w:rPr>
          <w:lang w:val="en-US"/>
        </w:rPr>
        <w:t>service provider</w:t>
      </w:r>
      <w:r>
        <w:rPr>
          <w:lang w:val="en-US"/>
        </w:rPr>
        <w:t xml:space="preserve">s also found it challenging to deal with </w:t>
      </w:r>
      <w:r w:rsidRPr="001D1B39">
        <w:rPr>
          <w:lang w:val="en-US"/>
        </w:rPr>
        <w:t xml:space="preserve">the amount of change required </w:t>
      </w:r>
      <w:r>
        <w:rPr>
          <w:lang w:val="en-US"/>
        </w:rPr>
        <w:t xml:space="preserve">in order </w:t>
      </w:r>
      <w:r w:rsidRPr="001D1B39">
        <w:rPr>
          <w:lang w:val="en-US"/>
        </w:rPr>
        <w:t>to adapt to NDIS requirements</w:t>
      </w:r>
      <w:r>
        <w:rPr>
          <w:lang w:val="en-US"/>
        </w:rPr>
        <w:t>. R</w:t>
      </w:r>
      <w:r w:rsidRPr="001D1B39">
        <w:rPr>
          <w:lang w:val="en-US"/>
        </w:rPr>
        <w:t>esulting administrative burden and costs in staff time</w:t>
      </w:r>
      <w:r>
        <w:rPr>
          <w:lang w:val="en-US"/>
        </w:rPr>
        <w:t xml:space="preserve"> were major concerns, in particular as changes to the funding of services were feared to impact adversely on staff training capacity and broader operational viability</w:t>
      </w:r>
      <w:r w:rsidRPr="001D1B39">
        <w:rPr>
          <w:lang w:val="en-US"/>
        </w:rPr>
        <w:t>.</w:t>
      </w:r>
    </w:p>
    <w:p w:rsidR="00D907AF" w:rsidRDefault="00D907AF" w:rsidP="00D907AF">
      <w:pPr>
        <w:rPr>
          <w:lang w:val="en-US"/>
        </w:rPr>
      </w:pPr>
    </w:p>
    <w:p w:rsidR="00D907AF" w:rsidRPr="00F4420D" w:rsidRDefault="00D907AF" w:rsidP="00D907AF">
      <w:pPr>
        <w:rPr>
          <w:lang w:val="en-US"/>
        </w:rPr>
      </w:pPr>
      <w:r w:rsidRPr="00F4420D">
        <w:rPr>
          <w:lang w:val="en-US"/>
        </w:rPr>
        <w:t xml:space="preserve">There appears to be scope for further improving communications between the NDIA and communities, including service providers, and providers of social activities or employment, to more actively promote the social and economic integration of people with disability, and their families and carers. </w:t>
      </w:r>
    </w:p>
    <w:p w:rsidR="00D907AF" w:rsidRDefault="00D907AF" w:rsidP="00367B24">
      <w:pPr>
        <w:pStyle w:val="Heading1"/>
      </w:pPr>
      <w:r>
        <w:br w:type="page"/>
      </w:r>
    </w:p>
    <w:p w:rsidR="00D907AF" w:rsidRPr="00AE4C3A" w:rsidRDefault="00D907AF" w:rsidP="00367B24">
      <w:pPr>
        <w:pStyle w:val="Heading1"/>
        <w:rPr>
          <w:rFonts w:eastAsiaTheme="minorHAnsi" w:cstheme="minorBidi"/>
          <w:sz w:val="22"/>
          <w:szCs w:val="22"/>
          <w:lang w:val="en-GB" w:eastAsia="en-US"/>
        </w:rPr>
      </w:pPr>
      <w:bookmarkStart w:id="132" w:name="_Toc428280614"/>
      <w:bookmarkStart w:id="133" w:name="_Toc449954986"/>
      <w:bookmarkStart w:id="134" w:name="_Toc410406830"/>
      <w:r w:rsidRPr="003E2395">
        <w:lastRenderedPageBreak/>
        <w:t>3. NDIS Survey</w:t>
      </w:r>
      <w:bookmarkEnd w:id="132"/>
      <w:r w:rsidR="00AE4C3A" w:rsidRPr="003E2395">
        <w:t xml:space="preserve"> of people with disability, and their families and carers</w:t>
      </w:r>
      <w:bookmarkEnd w:id="133"/>
    </w:p>
    <w:p w:rsidR="00D907AF" w:rsidRDefault="00D907AF" w:rsidP="00E87146">
      <w:pPr>
        <w:pStyle w:val="Heading2"/>
      </w:pPr>
      <w:bookmarkStart w:id="135" w:name="_Toc428280615"/>
      <w:bookmarkStart w:id="136" w:name="_Toc449954987"/>
      <w:r>
        <w:t xml:space="preserve">3.1 </w:t>
      </w:r>
      <w:r w:rsidRPr="004E62D8">
        <w:t>Introduction</w:t>
      </w:r>
      <w:bookmarkEnd w:id="135"/>
      <w:bookmarkEnd w:id="136"/>
    </w:p>
    <w:p w:rsidR="00D907AF" w:rsidRDefault="00D907AF" w:rsidP="00D907AF">
      <w:r>
        <w:t xml:space="preserve">This chapter presents large scale longitudinal data collections of people with disability, and their families and carers. This data will form part of the comprehensive evidence base we will use for the NDIS Evaluation. The data has several important attributes. First, the surveys are large data set collections with thousands of individuals sampled. The large sample size is necessary in order to ensure that the ensuing data set will be able to capture the full range of experiences the </w:t>
      </w:r>
      <w:r w:rsidR="00190419">
        <w:t>e</w:t>
      </w:r>
      <w:r w:rsidR="00BD356D">
        <w:t>valuation</w:t>
      </w:r>
      <w:r>
        <w:t xml:space="preserve"> needs to measure with sufficient statistical accuracy. This is necessary for dealing with a large scale and diverse national policy. Second, the surveys approach the same individuals twice over the period in which the NDIS is rolled out in the trial sites. The repeat sampling (called a ‘longitudinal’ or ‘panel’ survey) will allow the </w:t>
      </w:r>
      <w:r w:rsidR="00190419">
        <w:t>e</w:t>
      </w:r>
      <w:r w:rsidR="00BD356D">
        <w:t>valuation</w:t>
      </w:r>
      <w:r>
        <w:t xml:space="preserve"> to assess the impact of change by observing the same people over the period in which the policy change is happening. </w:t>
      </w:r>
    </w:p>
    <w:p w:rsidR="00FA139B" w:rsidRDefault="00FA139B" w:rsidP="00D907AF"/>
    <w:p w:rsidR="00D907AF" w:rsidRDefault="00D907AF" w:rsidP="00D907AF">
      <w:r>
        <w:t xml:space="preserve">The reader is advised to keep in mind that the </w:t>
      </w:r>
      <w:r w:rsidR="00190419">
        <w:t>e</w:t>
      </w:r>
      <w:r w:rsidR="00BD356D">
        <w:t>valuation</w:t>
      </w:r>
      <w:r>
        <w:t xml:space="preserve"> is also collecting extensive qualitative evidence, asking very similar questions of very similar people but with a very different emphasis and little duplication of effort. Whilst the quantitative methodology allows the performance of a formal evaluation measuring the impact of the NDIS, the qualitative methodology brings the depth and granularity of understanding and interpretation of individual people and circumstances needed for the interpretation of the relevant policy. The two methodologies have been built into the </w:t>
      </w:r>
      <w:r w:rsidR="00190419">
        <w:t>e</w:t>
      </w:r>
      <w:r w:rsidR="00BD356D">
        <w:t>valuation</w:t>
      </w:r>
      <w:r>
        <w:t xml:space="preserve"> design in a complementary way to help us measure accurately and interpret correctly the impact of the NDIS trial roll out on people with disability, and their families and carers.</w:t>
      </w:r>
    </w:p>
    <w:p w:rsidR="00FA139B" w:rsidRDefault="00FA139B" w:rsidP="00D907AF"/>
    <w:p w:rsidR="00D907AF" w:rsidRDefault="00D907AF" w:rsidP="00D907AF">
      <w:r>
        <w:t xml:space="preserve">Thus, the qualitative evidence collection focusses on depth of investigation, granularity of data, aiming at valuable insights that can only be gained through incisive interviewing. The quantitative evidence collection focusses on achieving as statistically robust as possible coverage of the relevant experiences and as long as possible coverage of the relevant time period when the policy change happens. The quantitative data collection has been designed to match the Difference-in-Difference </w:t>
      </w:r>
      <w:r w:rsidR="00BD356D">
        <w:t>e</w:t>
      </w:r>
      <w:r>
        <w:t xml:space="preserve">valuation methodology, as described in the Evaluation Framework (2014). </w:t>
      </w:r>
    </w:p>
    <w:p w:rsidR="00FA139B" w:rsidRPr="008355F1" w:rsidRDefault="00FA139B" w:rsidP="00D907AF"/>
    <w:p w:rsidR="00FA139B" w:rsidRDefault="00FA139B">
      <w:pPr>
        <w:rPr>
          <w:rFonts w:eastAsia="Times" w:cstheme="minorHAnsi"/>
          <w:b/>
          <w:kern w:val="32"/>
          <w:sz w:val="26"/>
          <w:szCs w:val="24"/>
          <w:lang w:val="en-AU" w:eastAsia="zh-CN"/>
        </w:rPr>
      </w:pPr>
      <w:bookmarkStart w:id="137" w:name="_Toc428280616"/>
      <w:r>
        <w:br w:type="page"/>
      </w:r>
    </w:p>
    <w:p w:rsidR="00D907AF" w:rsidRPr="004E62D8" w:rsidRDefault="00D907AF" w:rsidP="00EC2C19">
      <w:pPr>
        <w:pStyle w:val="Heading2"/>
      </w:pPr>
      <w:bookmarkStart w:id="138" w:name="_Toc449954988"/>
      <w:r>
        <w:lastRenderedPageBreak/>
        <w:t xml:space="preserve">3.2 </w:t>
      </w:r>
      <w:r w:rsidRPr="004E62D8">
        <w:t xml:space="preserve">Design and </w:t>
      </w:r>
      <w:r w:rsidRPr="00FA139B">
        <w:t>development</w:t>
      </w:r>
      <w:r w:rsidRPr="004E62D8">
        <w:t xml:space="preserve"> – the sampling process</w:t>
      </w:r>
      <w:bookmarkEnd w:id="137"/>
      <w:bookmarkEnd w:id="138"/>
    </w:p>
    <w:p w:rsidR="00D907AF" w:rsidRDefault="00D907AF" w:rsidP="00D907AF">
      <w:r w:rsidRPr="004E62D8">
        <w:t>This section provides background information to the design and development of the NDIS Survey</w:t>
      </w:r>
      <w:r>
        <w:t>,</w:t>
      </w:r>
      <w:r w:rsidRPr="004E62D8">
        <w:t xml:space="preserve"> which consists of the NDIS longitudinal survey of people with disability (</w:t>
      </w:r>
      <w:r>
        <w:t>NDIS Survey</w:t>
      </w:r>
      <w:r w:rsidRPr="004E62D8">
        <w:t>) and the NDIS longitudinal survey for Families and Carers (</w:t>
      </w:r>
      <w:r>
        <w:t xml:space="preserve">NDIS Survey </w:t>
      </w:r>
      <w:r w:rsidRPr="004E62D8">
        <w:t xml:space="preserve">for Families and Carers). The surveys are designed to collect two waves of data by interviewing the same people twice, with an intervening period of 10-12 months between the two interviews. The first data collection we call Wave 1 is designed to be as close as possible to the start of the NDIS and the second data collection we call Wave 2 </w:t>
      </w:r>
      <w:r>
        <w:t>relates to the point when</w:t>
      </w:r>
      <w:r w:rsidRPr="004E62D8">
        <w:t xml:space="preserve"> respondents have had at least one year’s experience of life with the NDIS. The main purpose </w:t>
      </w:r>
      <w:r>
        <w:t>of</w:t>
      </w:r>
      <w:r w:rsidRPr="004E62D8">
        <w:t xml:space="preserve"> interviewing the same people twice is in order to collect information on how things have changed </w:t>
      </w:r>
      <w:r>
        <w:t>following the introduction of the NDIS</w:t>
      </w:r>
      <w:r w:rsidRPr="004E62D8">
        <w:t xml:space="preserve">. As explained in the Evaluation Framework, in order to measure change due to the introduction of the NDIS, </w:t>
      </w:r>
      <w:r>
        <w:t xml:space="preserve">on top of the </w:t>
      </w:r>
      <w:r w:rsidRPr="004E62D8">
        <w:t xml:space="preserve">information we collect from the trial </w:t>
      </w:r>
      <w:r>
        <w:t>groups</w:t>
      </w:r>
      <w:r w:rsidRPr="004E62D8">
        <w:t xml:space="preserve"> (the trial sample)</w:t>
      </w:r>
      <w:r>
        <w:t>,</w:t>
      </w:r>
      <w:r w:rsidRPr="004E62D8">
        <w:t xml:space="preserve"> we also collect information from respondents </w:t>
      </w:r>
      <w:r>
        <w:t>not included in</w:t>
      </w:r>
      <w:r w:rsidRPr="004E62D8">
        <w:t xml:space="preserve"> the trial who have not been exposed to the NDIS (the comparison group).</w:t>
      </w:r>
      <w:r>
        <w:t xml:space="preserve"> The difference between the experiences of these two groups reflects the impact of the NDIS.</w:t>
      </w:r>
    </w:p>
    <w:p w:rsidR="00D907AF" w:rsidRPr="004E62D8" w:rsidRDefault="00D907AF" w:rsidP="00EC2C19">
      <w:pPr>
        <w:pStyle w:val="Heading3"/>
      </w:pPr>
      <w:bookmarkStart w:id="139" w:name="_Toc428280617"/>
      <w:bookmarkStart w:id="140" w:name="_Toc449954989"/>
      <w:r>
        <w:t xml:space="preserve">3.2.1 </w:t>
      </w:r>
      <w:r w:rsidRPr="004E62D8">
        <w:t xml:space="preserve">Sample design by location: trial and comparison </w:t>
      </w:r>
      <w:r>
        <w:t>groups</w:t>
      </w:r>
      <w:bookmarkEnd w:id="139"/>
      <w:bookmarkEnd w:id="140"/>
    </w:p>
    <w:p w:rsidR="00D907AF" w:rsidRDefault="00D907AF" w:rsidP="00D907AF">
      <w:r w:rsidRPr="004E62D8">
        <w:t xml:space="preserve">The trial sample of people with disability aims for a total of 3,110 people with disability participating in the NDIS to be interviewed over the two waves. The comparison group sample aims for a total of 1,770 corresponding interviews. Both trial and comparison samplings aim to interview the </w:t>
      </w:r>
      <w:r>
        <w:t>f</w:t>
      </w:r>
      <w:r w:rsidRPr="004E62D8">
        <w:t xml:space="preserve">amilies and </w:t>
      </w:r>
      <w:r>
        <w:t>c</w:t>
      </w:r>
      <w:r w:rsidRPr="004E62D8">
        <w:t xml:space="preserve">arers of the persons with disability. Since not every person with disability necessarily has a family or a carer, </w:t>
      </w:r>
      <w:r>
        <w:t xml:space="preserve">the number of </w:t>
      </w:r>
      <w:r w:rsidRPr="004E62D8">
        <w:t>respond</w:t>
      </w:r>
      <w:r>
        <w:t xml:space="preserve">ing </w:t>
      </w:r>
      <w:r w:rsidRPr="004E62D8">
        <w:t xml:space="preserve">families and </w:t>
      </w:r>
      <w:r>
        <w:t>c</w:t>
      </w:r>
      <w:r w:rsidRPr="004E62D8">
        <w:t>arers will be lower than the number of responding people with disability in both trial and comparison groups.</w:t>
      </w:r>
    </w:p>
    <w:p w:rsidR="00FA139B" w:rsidRPr="004E62D8" w:rsidRDefault="00FA139B" w:rsidP="00D907AF"/>
    <w:p w:rsidR="00D907AF" w:rsidRPr="004E62D8" w:rsidRDefault="00D907AF" w:rsidP="00D907AF">
      <w:r>
        <w:t>Table 3.1</w:t>
      </w:r>
      <w:r w:rsidRPr="004E62D8">
        <w:t xml:space="preserve"> summarises the targeted number of responses for each of the participating trial sites</w:t>
      </w:r>
      <w:r>
        <w:t xml:space="preserve"> in the original </w:t>
      </w:r>
      <w:r w:rsidR="00190419">
        <w:t>e</w:t>
      </w:r>
      <w:r w:rsidR="00A46B00">
        <w:t>valuation</w:t>
      </w:r>
      <w:r>
        <w:t xml:space="preserve"> design. This number</w:t>
      </w:r>
      <w:r w:rsidRPr="004E62D8">
        <w:t xml:space="preserve"> took into account differences in the number of NDIS participants to be rolled into the Scheme during the trial phase. The distribution of the sample sizes by trial site was decided in order to </w:t>
      </w:r>
      <w:r>
        <w:t>optimise</w:t>
      </w:r>
      <w:r w:rsidRPr="004E62D8">
        <w:t xml:space="preserve"> statistical robustness for the given total sample size. In order to achieve the (3,110 + 1,770 =) 4,880 responses in Wave 2, the starting sample needed to be considerably larger, in order to allow for attrition between waves and refusal or non-response at the vario</w:t>
      </w:r>
      <w:r>
        <w:t>us stages of the survey. Table 3.1</w:t>
      </w:r>
      <w:r w:rsidRPr="004E62D8">
        <w:t xml:space="preserve"> presents the relevant calculations based on the original assumption</w:t>
      </w:r>
      <w:r>
        <w:t>s</w:t>
      </w:r>
      <w:r w:rsidRPr="004E62D8">
        <w:t xml:space="preserve"> that</w:t>
      </w:r>
      <w:r>
        <w:t>:</w:t>
      </w:r>
    </w:p>
    <w:p w:rsidR="00D907AF" w:rsidRPr="004E62D8" w:rsidRDefault="00D907AF" w:rsidP="00545838">
      <w:pPr>
        <w:numPr>
          <w:ilvl w:val="0"/>
          <w:numId w:val="13"/>
        </w:numPr>
        <w:spacing w:before="240"/>
        <w:ind w:left="567" w:hanging="567"/>
      </w:pPr>
      <w:r w:rsidRPr="004E62D8">
        <w:t>about 65 per cent of NDIS participants and 45 percent of people with disability in the comparison group invited to take part</w:t>
      </w:r>
      <w:r>
        <w:t xml:space="preserve"> in the NDIS Survey would do so</w:t>
      </w:r>
      <w:r w:rsidRPr="004E62D8">
        <w:t xml:space="preserve">  </w:t>
      </w:r>
    </w:p>
    <w:p w:rsidR="00D907AF" w:rsidRPr="009D6106" w:rsidRDefault="00D907AF" w:rsidP="00545838">
      <w:pPr>
        <w:numPr>
          <w:ilvl w:val="0"/>
          <w:numId w:val="13"/>
        </w:numPr>
        <w:spacing w:after="120"/>
        <w:ind w:left="567" w:hanging="567"/>
      </w:pPr>
      <w:r w:rsidRPr="004E62D8">
        <w:t>about 85 per</w:t>
      </w:r>
      <w:r>
        <w:t xml:space="preserve"> </w:t>
      </w:r>
      <w:r w:rsidRPr="004E62D8">
        <w:t>cent of NDIS participants and 80 per</w:t>
      </w:r>
      <w:r>
        <w:t xml:space="preserve"> </w:t>
      </w:r>
      <w:r w:rsidRPr="004E62D8">
        <w:t xml:space="preserve">cent of comparison group respondents </w:t>
      </w:r>
      <w:r>
        <w:t xml:space="preserve">in </w:t>
      </w:r>
      <w:r w:rsidRPr="004E62D8">
        <w:t>the first wave of</w:t>
      </w:r>
      <w:r>
        <w:t xml:space="preserve"> interviews would also respond at</w:t>
      </w:r>
      <w:r w:rsidRPr="004E62D8">
        <w:t xml:space="preserve"> Wave 2.</w:t>
      </w:r>
    </w:p>
    <w:p w:rsidR="00D907AF" w:rsidRPr="004E62D8" w:rsidRDefault="00D907AF" w:rsidP="0044684E">
      <w:pPr>
        <w:pStyle w:val="NILSTableHeading"/>
      </w:pPr>
      <w:bookmarkStart w:id="141" w:name="_Toc428280651"/>
      <w:bookmarkStart w:id="142" w:name="_Toc449955263"/>
      <w:r w:rsidRPr="004E62D8">
        <w:t>Tab</w:t>
      </w:r>
      <w:r>
        <w:t>le 3.1:</w:t>
      </w:r>
      <w:r w:rsidRPr="004E62D8">
        <w:t xml:space="preserve"> Estimates of NDIS eligible populations and required sample sizes</w:t>
      </w:r>
      <w:bookmarkEnd w:id="141"/>
      <w:bookmarkEnd w:id="142"/>
    </w:p>
    <w:tbl>
      <w:tblPr>
        <w:tblW w:w="5172" w:type="pct"/>
        <w:tblLayout w:type="fixed"/>
        <w:tblLook w:val="04A0" w:firstRow="1" w:lastRow="0" w:firstColumn="1" w:lastColumn="0" w:noHBand="0" w:noVBand="1"/>
        <w:tblCaption w:val="Table 3.1 Estimates of NDIS eligible populations and required sample sizes"/>
        <w:tblDescription w:val="Estimates of NDIS eligible populations by trial site and required sample sizes from Wave 1 to Wave 2"/>
      </w:tblPr>
      <w:tblGrid>
        <w:gridCol w:w="1769"/>
        <w:gridCol w:w="1246"/>
        <w:gridCol w:w="1531"/>
        <w:gridCol w:w="1653"/>
        <w:gridCol w:w="1661"/>
        <w:gridCol w:w="1522"/>
      </w:tblGrid>
      <w:tr w:rsidR="00D907AF" w:rsidRPr="00D53B5C" w:rsidTr="00AF3C5C">
        <w:trPr>
          <w:cantSplit/>
          <w:tblHeader/>
        </w:trPr>
        <w:tc>
          <w:tcPr>
            <w:tcW w:w="943" w:type="pct"/>
            <w:tcBorders>
              <w:top w:val="single" w:sz="4" w:space="0" w:color="auto"/>
              <w:bottom w:val="single" w:sz="4" w:space="0" w:color="auto"/>
            </w:tcBorders>
            <w:shd w:val="clear" w:color="auto" w:fill="auto"/>
            <w:vAlign w:val="center"/>
          </w:tcPr>
          <w:p w:rsidR="00D907AF" w:rsidRPr="00D53B5C" w:rsidRDefault="00D907AF" w:rsidP="00AF3C5C">
            <w:pPr>
              <w:rPr>
                <w:sz w:val="20"/>
                <w:szCs w:val="20"/>
              </w:rPr>
            </w:pPr>
            <w:bookmarkStart w:id="143" w:name="Title_3_1"/>
            <w:bookmarkEnd w:id="143"/>
            <w:r w:rsidRPr="00D53B5C">
              <w:rPr>
                <w:sz w:val="20"/>
                <w:szCs w:val="20"/>
              </w:rPr>
              <w:t>Survey area</w:t>
            </w:r>
          </w:p>
        </w:tc>
        <w:tc>
          <w:tcPr>
            <w:tcW w:w="664" w:type="pct"/>
            <w:tcBorders>
              <w:top w:val="single" w:sz="4" w:space="0" w:color="auto"/>
              <w:bottom w:val="single" w:sz="4" w:space="0" w:color="auto"/>
            </w:tcBorders>
            <w:shd w:val="clear" w:color="auto" w:fill="auto"/>
            <w:vAlign w:val="center"/>
          </w:tcPr>
          <w:p w:rsidR="00D907AF" w:rsidRPr="00D53B5C" w:rsidRDefault="00D907AF" w:rsidP="00AF3C5C">
            <w:pPr>
              <w:jc w:val="center"/>
              <w:rPr>
                <w:sz w:val="20"/>
                <w:szCs w:val="20"/>
              </w:rPr>
            </w:pPr>
            <w:r w:rsidRPr="00D53B5C">
              <w:rPr>
                <w:sz w:val="20"/>
                <w:szCs w:val="20"/>
              </w:rPr>
              <w:t>Eligible Population</w:t>
            </w:r>
          </w:p>
          <w:p w:rsidR="00D907AF" w:rsidRPr="00D53B5C" w:rsidRDefault="00D907AF" w:rsidP="00AF3C5C">
            <w:pPr>
              <w:jc w:val="center"/>
              <w:rPr>
                <w:sz w:val="20"/>
                <w:szCs w:val="20"/>
              </w:rPr>
            </w:pPr>
            <w:r w:rsidRPr="00D53B5C">
              <w:rPr>
                <w:sz w:val="20"/>
                <w:szCs w:val="20"/>
              </w:rPr>
              <w:t>(age group)</w:t>
            </w:r>
          </w:p>
        </w:tc>
        <w:tc>
          <w:tcPr>
            <w:tcW w:w="816" w:type="pct"/>
            <w:tcBorders>
              <w:top w:val="single" w:sz="4" w:space="0" w:color="auto"/>
              <w:bottom w:val="single" w:sz="4" w:space="0" w:color="auto"/>
            </w:tcBorders>
            <w:shd w:val="clear" w:color="auto" w:fill="auto"/>
            <w:vAlign w:val="center"/>
          </w:tcPr>
          <w:p w:rsidR="00D907AF" w:rsidRPr="00D53B5C" w:rsidRDefault="00D907AF" w:rsidP="00AF3C5C">
            <w:pPr>
              <w:jc w:val="center"/>
              <w:rPr>
                <w:sz w:val="20"/>
                <w:szCs w:val="20"/>
              </w:rPr>
            </w:pPr>
            <w:r w:rsidRPr="00D53B5C">
              <w:rPr>
                <w:sz w:val="20"/>
                <w:szCs w:val="20"/>
              </w:rPr>
              <w:t>Estimated Eligible Cases</w:t>
            </w:r>
          </w:p>
          <w:p w:rsidR="00D907AF" w:rsidRPr="00D53B5C" w:rsidRDefault="00D907AF" w:rsidP="00AF3C5C">
            <w:pPr>
              <w:jc w:val="center"/>
              <w:rPr>
                <w:sz w:val="20"/>
                <w:szCs w:val="20"/>
              </w:rPr>
            </w:pPr>
            <w:r w:rsidRPr="00D53B5C">
              <w:rPr>
                <w:sz w:val="20"/>
                <w:szCs w:val="20"/>
              </w:rPr>
              <w:t>(by end of 2016)</w:t>
            </w:r>
          </w:p>
        </w:tc>
        <w:tc>
          <w:tcPr>
            <w:tcW w:w="881" w:type="pct"/>
            <w:tcBorders>
              <w:top w:val="single" w:sz="4" w:space="0" w:color="auto"/>
              <w:bottom w:val="single" w:sz="4" w:space="0" w:color="auto"/>
            </w:tcBorders>
            <w:shd w:val="clear" w:color="auto" w:fill="auto"/>
            <w:vAlign w:val="center"/>
          </w:tcPr>
          <w:p w:rsidR="00D907AF" w:rsidRPr="00D53B5C" w:rsidRDefault="00D907AF" w:rsidP="00AF3C5C">
            <w:pPr>
              <w:jc w:val="center"/>
              <w:rPr>
                <w:sz w:val="20"/>
                <w:szCs w:val="20"/>
              </w:rPr>
            </w:pPr>
            <w:r w:rsidRPr="00D53B5C">
              <w:rPr>
                <w:sz w:val="20"/>
                <w:szCs w:val="20"/>
              </w:rPr>
              <w:t>Estimated sample size required at Wave 1**</w:t>
            </w:r>
          </w:p>
        </w:tc>
        <w:tc>
          <w:tcPr>
            <w:tcW w:w="885" w:type="pct"/>
            <w:tcBorders>
              <w:top w:val="single" w:sz="4" w:space="0" w:color="auto"/>
              <w:bottom w:val="single" w:sz="4" w:space="0" w:color="auto"/>
            </w:tcBorders>
            <w:shd w:val="clear" w:color="auto" w:fill="auto"/>
            <w:vAlign w:val="center"/>
          </w:tcPr>
          <w:p w:rsidR="00D907AF" w:rsidRPr="00D53B5C" w:rsidRDefault="00D907AF" w:rsidP="00AF3C5C">
            <w:pPr>
              <w:ind w:right="-107"/>
              <w:jc w:val="center"/>
              <w:rPr>
                <w:sz w:val="20"/>
                <w:szCs w:val="20"/>
              </w:rPr>
            </w:pPr>
            <w:r w:rsidRPr="00D53B5C">
              <w:rPr>
                <w:sz w:val="20"/>
                <w:szCs w:val="20"/>
              </w:rPr>
              <w:t>Estimated response required at Wave 1*</w:t>
            </w:r>
          </w:p>
        </w:tc>
        <w:tc>
          <w:tcPr>
            <w:tcW w:w="812" w:type="pct"/>
            <w:tcBorders>
              <w:top w:val="single" w:sz="4" w:space="0" w:color="auto"/>
              <w:bottom w:val="single" w:sz="4" w:space="0" w:color="auto"/>
            </w:tcBorders>
            <w:shd w:val="clear" w:color="auto" w:fill="auto"/>
          </w:tcPr>
          <w:p w:rsidR="00D907AF" w:rsidRPr="00D53B5C" w:rsidRDefault="00D907AF" w:rsidP="00D53B5C">
            <w:pPr>
              <w:jc w:val="center"/>
              <w:rPr>
                <w:sz w:val="20"/>
                <w:szCs w:val="20"/>
              </w:rPr>
            </w:pPr>
            <w:r w:rsidRPr="00D53B5C">
              <w:rPr>
                <w:sz w:val="20"/>
                <w:szCs w:val="20"/>
              </w:rPr>
              <w:t>Responses after 2 waves of interviewing (target)</w:t>
            </w:r>
          </w:p>
        </w:tc>
      </w:tr>
      <w:tr w:rsidR="00D907AF" w:rsidRPr="00D53B5C" w:rsidTr="00545838">
        <w:trPr>
          <w:cantSplit/>
        </w:trPr>
        <w:tc>
          <w:tcPr>
            <w:tcW w:w="943" w:type="pct"/>
            <w:tcBorders>
              <w:top w:val="single" w:sz="4" w:space="0" w:color="auto"/>
            </w:tcBorders>
            <w:shd w:val="clear" w:color="auto" w:fill="auto"/>
          </w:tcPr>
          <w:p w:rsidR="00D907AF" w:rsidRPr="00D53B5C" w:rsidRDefault="00D907AF" w:rsidP="00D53B5C">
            <w:pPr>
              <w:rPr>
                <w:sz w:val="20"/>
                <w:szCs w:val="20"/>
              </w:rPr>
            </w:pPr>
            <w:r w:rsidRPr="00D53B5C">
              <w:rPr>
                <w:sz w:val="20"/>
                <w:szCs w:val="20"/>
              </w:rPr>
              <w:t>South Australia</w:t>
            </w:r>
          </w:p>
        </w:tc>
        <w:tc>
          <w:tcPr>
            <w:tcW w:w="664" w:type="pct"/>
            <w:tcBorders>
              <w:top w:val="single" w:sz="4" w:space="0" w:color="auto"/>
            </w:tcBorders>
            <w:shd w:val="clear" w:color="auto" w:fill="auto"/>
          </w:tcPr>
          <w:p w:rsidR="00D907AF" w:rsidRPr="00D53B5C" w:rsidRDefault="00D3095C" w:rsidP="00D53B5C">
            <w:pPr>
              <w:jc w:val="center"/>
              <w:rPr>
                <w:sz w:val="20"/>
                <w:szCs w:val="20"/>
              </w:rPr>
            </w:pPr>
            <w:r>
              <w:rPr>
                <w:sz w:val="20"/>
                <w:szCs w:val="20"/>
              </w:rPr>
              <w:t xml:space="preserve">0 to </w:t>
            </w:r>
            <w:r w:rsidR="00D907AF" w:rsidRPr="00D53B5C">
              <w:rPr>
                <w:sz w:val="20"/>
                <w:szCs w:val="20"/>
              </w:rPr>
              <w:t>14 years</w:t>
            </w:r>
          </w:p>
        </w:tc>
        <w:tc>
          <w:tcPr>
            <w:tcW w:w="816" w:type="pct"/>
            <w:tcBorders>
              <w:top w:val="single" w:sz="4" w:space="0" w:color="auto"/>
            </w:tcBorders>
            <w:shd w:val="clear" w:color="auto" w:fill="auto"/>
          </w:tcPr>
          <w:p w:rsidR="00D907AF" w:rsidRPr="00D53B5C" w:rsidRDefault="00D907AF" w:rsidP="00CE6A3A">
            <w:pPr>
              <w:ind w:right="397"/>
              <w:jc w:val="right"/>
              <w:rPr>
                <w:sz w:val="20"/>
                <w:szCs w:val="20"/>
              </w:rPr>
            </w:pPr>
            <w:r w:rsidRPr="00D53B5C">
              <w:rPr>
                <w:sz w:val="20"/>
                <w:szCs w:val="20"/>
              </w:rPr>
              <w:t>4,800</w:t>
            </w:r>
          </w:p>
        </w:tc>
        <w:tc>
          <w:tcPr>
            <w:tcW w:w="881" w:type="pct"/>
            <w:tcBorders>
              <w:top w:val="single" w:sz="4" w:space="0" w:color="auto"/>
            </w:tcBorders>
            <w:shd w:val="clear" w:color="auto" w:fill="auto"/>
          </w:tcPr>
          <w:p w:rsidR="00D907AF" w:rsidRPr="00D53B5C" w:rsidRDefault="00D907AF" w:rsidP="00BC69BF">
            <w:pPr>
              <w:ind w:right="439"/>
              <w:jc w:val="right"/>
              <w:rPr>
                <w:sz w:val="20"/>
                <w:szCs w:val="20"/>
              </w:rPr>
            </w:pPr>
            <w:r w:rsidRPr="00D53B5C">
              <w:rPr>
                <w:sz w:val="20"/>
                <w:szCs w:val="20"/>
              </w:rPr>
              <w:t>1,177</w:t>
            </w:r>
          </w:p>
        </w:tc>
        <w:tc>
          <w:tcPr>
            <w:tcW w:w="885" w:type="pct"/>
            <w:tcBorders>
              <w:top w:val="single" w:sz="4" w:space="0" w:color="auto"/>
            </w:tcBorders>
            <w:shd w:val="clear" w:color="auto" w:fill="auto"/>
          </w:tcPr>
          <w:p w:rsidR="00D907AF" w:rsidRPr="00D53B5C" w:rsidRDefault="00D907AF" w:rsidP="00545838">
            <w:pPr>
              <w:ind w:right="510"/>
              <w:jc w:val="right"/>
              <w:rPr>
                <w:sz w:val="20"/>
                <w:szCs w:val="20"/>
              </w:rPr>
            </w:pPr>
            <w:r w:rsidRPr="00D53B5C">
              <w:rPr>
                <w:sz w:val="20"/>
                <w:szCs w:val="20"/>
              </w:rPr>
              <w:t>765</w:t>
            </w:r>
          </w:p>
        </w:tc>
        <w:tc>
          <w:tcPr>
            <w:tcW w:w="812" w:type="pct"/>
            <w:tcBorders>
              <w:top w:val="single" w:sz="4" w:space="0" w:color="auto"/>
            </w:tcBorders>
            <w:shd w:val="clear" w:color="auto" w:fill="auto"/>
          </w:tcPr>
          <w:p w:rsidR="00D907AF" w:rsidRPr="00D53B5C" w:rsidRDefault="00D907AF" w:rsidP="005427DE">
            <w:pPr>
              <w:ind w:right="459"/>
              <w:jc w:val="right"/>
              <w:rPr>
                <w:sz w:val="20"/>
                <w:szCs w:val="20"/>
              </w:rPr>
            </w:pPr>
            <w:r w:rsidRPr="00D53B5C">
              <w:rPr>
                <w:sz w:val="20"/>
                <w:szCs w:val="20"/>
              </w:rPr>
              <w:t>650</w:t>
            </w:r>
          </w:p>
        </w:tc>
      </w:tr>
      <w:tr w:rsidR="00D907AF" w:rsidRPr="00D53B5C" w:rsidTr="00545838">
        <w:trPr>
          <w:cantSplit/>
        </w:trPr>
        <w:tc>
          <w:tcPr>
            <w:tcW w:w="943" w:type="pct"/>
            <w:shd w:val="clear" w:color="auto" w:fill="auto"/>
          </w:tcPr>
          <w:p w:rsidR="00D907AF" w:rsidRPr="00D53B5C" w:rsidRDefault="00D907AF" w:rsidP="00D53B5C">
            <w:pPr>
              <w:rPr>
                <w:sz w:val="20"/>
                <w:szCs w:val="20"/>
              </w:rPr>
            </w:pPr>
            <w:r w:rsidRPr="00D53B5C">
              <w:rPr>
                <w:sz w:val="20"/>
                <w:szCs w:val="20"/>
              </w:rPr>
              <w:t>Tasmania</w:t>
            </w:r>
          </w:p>
        </w:tc>
        <w:tc>
          <w:tcPr>
            <w:tcW w:w="664" w:type="pct"/>
            <w:shd w:val="clear" w:color="auto" w:fill="auto"/>
          </w:tcPr>
          <w:p w:rsidR="00D907AF" w:rsidRPr="00D53B5C" w:rsidRDefault="00D3095C" w:rsidP="00D3095C">
            <w:pPr>
              <w:ind w:right="-117"/>
              <w:rPr>
                <w:sz w:val="20"/>
                <w:szCs w:val="20"/>
              </w:rPr>
            </w:pPr>
            <w:r>
              <w:rPr>
                <w:sz w:val="20"/>
                <w:szCs w:val="20"/>
              </w:rPr>
              <w:t xml:space="preserve">15 to </w:t>
            </w:r>
            <w:r w:rsidR="00D907AF" w:rsidRPr="00D53B5C">
              <w:rPr>
                <w:sz w:val="20"/>
                <w:szCs w:val="20"/>
              </w:rPr>
              <w:t>24 years</w:t>
            </w:r>
          </w:p>
        </w:tc>
        <w:tc>
          <w:tcPr>
            <w:tcW w:w="816" w:type="pct"/>
            <w:shd w:val="clear" w:color="auto" w:fill="auto"/>
          </w:tcPr>
          <w:p w:rsidR="00D907AF" w:rsidRPr="00D53B5C" w:rsidRDefault="00D907AF" w:rsidP="00CE6A3A">
            <w:pPr>
              <w:ind w:right="397"/>
              <w:jc w:val="right"/>
              <w:rPr>
                <w:sz w:val="20"/>
                <w:szCs w:val="20"/>
              </w:rPr>
            </w:pPr>
            <w:r w:rsidRPr="00D53B5C">
              <w:rPr>
                <w:sz w:val="20"/>
                <w:szCs w:val="20"/>
              </w:rPr>
              <w:t>1,000</w:t>
            </w:r>
          </w:p>
        </w:tc>
        <w:tc>
          <w:tcPr>
            <w:tcW w:w="881" w:type="pct"/>
            <w:shd w:val="clear" w:color="auto" w:fill="auto"/>
          </w:tcPr>
          <w:p w:rsidR="00D907AF" w:rsidRPr="00D53B5C" w:rsidRDefault="00D907AF" w:rsidP="00BC69BF">
            <w:pPr>
              <w:ind w:right="439"/>
              <w:jc w:val="right"/>
              <w:rPr>
                <w:sz w:val="20"/>
                <w:szCs w:val="20"/>
              </w:rPr>
            </w:pPr>
            <w:r w:rsidRPr="00D53B5C">
              <w:rPr>
                <w:sz w:val="20"/>
                <w:szCs w:val="20"/>
              </w:rPr>
              <w:t>778</w:t>
            </w:r>
          </w:p>
        </w:tc>
        <w:tc>
          <w:tcPr>
            <w:tcW w:w="885" w:type="pct"/>
            <w:shd w:val="clear" w:color="auto" w:fill="auto"/>
          </w:tcPr>
          <w:p w:rsidR="00D907AF" w:rsidRPr="00D53B5C" w:rsidRDefault="00D907AF" w:rsidP="00545838">
            <w:pPr>
              <w:ind w:right="510"/>
              <w:jc w:val="right"/>
              <w:rPr>
                <w:sz w:val="20"/>
                <w:szCs w:val="20"/>
              </w:rPr>
            </w:pPr>
            <w:r w:rsidRPr="00D53B5C">
              <w:rPr>
                <w:sz w:val="20"/>
                <w:szCs w:val="20"/>
              </w:rPr>
              <w:t>506</w:t>
            </w:r>
          </w:p>
        </w:tc>
        <w:tc>
          <w:tcPr>
            <w:tcW w:w="812" w:type="pct"/>
            <w:shd w:val="clear" w:color="auto" w:fill="auto"/>
          </w:tcPr>
          <w:p w:rsidR="00D907AF" w:rsidRPr="00D53B5C" w:rsidRDefault="00D907AF" w:rsidP="005427DE">
            <w:pPr>
              <w:ind w:right="459"/>
              <w:jc w:val="right"/>
              <w:rPr>
                <w:sz w:val="20"/>
                <w:szCs w:val="20"/>
              </w:rPr>
            </w:pPr>
            <w:r w:rsidRPr="00D53B5C">
              <w:rPr>
                <w:sz w:val="20"/>
                <w:szCs w:val="20"/>
              </w:rPr>
              <w:t>430</w:t>
            </w:r>
          </w:p>
        </w:tc>
      </w:tr>
      <w:tr w:rsidR="00D907AF" w:rsidRPr="00D53B5C" w:rsidTr="00545838">
        <w:trPr>
          <w:cantSplit/>
        </w:trPr>
        <w:tc>
          <w:tcPr>
            <w:tcW w:w="943" w:type="pct"/>
            <w:shd w:val="clear" w:color="auto" w:fill="auto"/>
          </w:tcPr>
          <w:p w:rsidR="00D907AF" w:rsidRPr="00D53B5C" w:rsidRDefault="00D907AF" w:rsidP="00D53B5C">
            <w:pPr>
              <w:rPr>
                <w:sz w:val="20"/>
                <w:szCs w:val="20"/>
              </w:rPr>
            </w:pPr>
            <w:r w:rsidRPr="00D53B5C">
              <w:rPr>
                <w:sz w:val="20"/>
                <w:szCs w:val="20"/>
              </w:rPr>
              <w:t>NSW (Hunter)</w:t>
            </w:r>
          </w:p>
        </w:tc>
        <w:tc>
          <w:tcPr>
            <w:tcW w:w="664" w:type="pct"/>
            <w:shd w:val="clear" w:color="auto" w:fill="auto"/>
          </w:tcPr>
          <w:p w:rsidR="00D907AF" w:rsidRPr="00D53B5C" w:rsidRDefault="00D907AF" w:rsidP="00D3095C">
            <w:pPr>
              <w:jc w:val="center"/>
              <w:rPr>
                <w:sz w:val="20"/>
                <w:szCs w:val="20"/>
              </w:rPr>
            </w:pPr>
            <w:r w:rsidRPr="00D53B5C">
              <w:rPr>
                <w:sz w:val="20"/>
                <w:szCs w:val="20"/>
              </w:rPr>
              <w:t>0</w:t>
            </w:r>
            <w:r w:rsidR="00D3095C">
              <w:rPr>
                <w:sz w:val="20"/>
                <w:szCs w:val="20"/>
              </w:rPr>
              <w:t xml:space="preserve"> to </w:t>
            </w:r>
            <w:r w:rsidRPr="00D53B5C">
              <w:rPr>
                <w:sz w:val="20"/>
                <w:szCs w:val="20"/>
              </w:rPr>
              <w:t>64 years</w:t>
            </w:r>
          </w:p>
        </w:tc>
        <w:tc>
          <w:tcPr>
            <w:tcW w:w="816" w:type="pct"/>
            <w:shd w:val="clear" w:color="auto" w:fill="auto"/>
          </w:tcPr>
          <w:p w:rsidR="00D907AF" w:rsidRPr="00D53B5C" w:rsidRDefault="00D907AF" w:rsidP="00CE6A3A">
            <w:pPr>
              <w:ind w:right="397"/>
              <w:jc w:val="right"/>
              <w:rPr>
                <w:sz w:val="20"/>
                <w:szCs w:val="20"/>
              </w:rPr>
            </w:pPr>
            <w:r w:rsidRPr="00D53B5C">
              <w:rPr>
                <w:sz w:val="20"/>
                <w:szCs w:val="20"/>
              </w:rPr>
              <w:t>10,000</w:t>
            </w:r>
          </w:p>
        </w:tc>
        <w:tc>
          <w:tcPr>
            <w:tcW w:w="881" w:type="pct"/>
            <w:shd w:val="clear" w:color="auto" w:fill="auto"/>
          </w:tcPr>
          <w:p w:rsidR="00D907AF" w:rsidRPr="00D53B5C" w:rsidRDefault="00D907AF" w:rsidP="00BC69BF">
            <w:pPr>
              <w:ind w:right="439"/>
              <w:jc w:val="right"/>
              <w:rPr>
                <w:sz w:val="20"/>
                <w:szCs w:val="20"/>
              </w:rPr>
            </w:pPr>
            <w:r w:rsidRPr="00D53B5C">
              <w:rPr>
                <w:sz w:val="20"/>
                <w:szCs w:val="20"/>
              </w:rPr>
              <w:t>1,268</w:t>
            </w:r>
          </w:p>
        </w:tc>
        <w:tc>
          <w:tcPr>
            <w:tcW w:w="885" w:type="pct"/>
            <w:shd w:val="clear" w:color="auto" w:fill="auto"/>
          </w:tcPr>
          <w:p w:rsidR="00D907AF" w:rsidRPr="00D53B5C" w:rsidRDefault="00D907AF" w:rsidP="00545838">
            <w:pPr>
              <w:ind w:right="510"/>
              <w:jc w:val="right"/>
              <w:rPr>
                <w:sz w:val="20"/>
                <w:szCs w:val="20"/>
              </w:rPr>
            </w:pPr>
            <w:r w:rsidRPr="00D53B5C">
              <w:rPr>
                <w:sz w:val="20"/>
                <w:szCs w:val="20"/>
              </w:rPr>
              <w:t>824</w:t>
            </w:r>
          </w:p>
        </w:tc>
        <w:tc>
          <w:tcPr>
            <w:tcW w:w="812" w:type="pct"/>
            <w:shd w:val="clear" w:color="auto" w:fill="auto"/>
          </w:tcPr>
          <w:p w:rsidR="00D907AF" w:rsidRPr="00D53B5C" w:rsidRDefault="00D907AF" w:rsidP="005427DE">
            <w:pPr>
              <w:ind w:right="459"/>
              <w:jc w:val="right"/>
              <w:rPr>
                <w:sz w:val="20"/>
                <w:szCs w:val="20"/>
              </w:rPr>
            </w:pPr>
            <w:r w:rsidRPr="00D53B5C">
              <w:rPr>
                <w:sz w:val="20"/>
                <w:szCs w:val="20"/>
              </w:rPr>
              <w:t>700</w:t>
            </w:r>
          </w:p>
        </w:tc>
      </w:tr>
      <w:tr w:rsidR="00D907AF" w:rsidRPr="00D53B5C" w:rsidTr="00545838">
        <w:trPr>
          <w:cantSplit/>
        </w:trPr>
        <w:tc>
          <w:tcPr>
            <w:tcW w:w="943" w:type="pct"/>
            <w:shd w:val="clear" w:color="auto" w:fill="auto"/>
          </w:tcPr>
          <w:p w:rsidR="00D907AF" w:rsidRPr="00D53B5C" w:rsidRDefault="00D907AF" w:rsidP="00D53B5C">
            <w:pPr>
              <w:rPr>
                <w:sz w:val="20"/>
                <w:szCs w:val="20"/>
              </w:rPr>
            </w:pPr>
            <w:r w:rsidRPr="00D53B5C">
              <w:rPr>
                <w:sz w:val="20"/>
                <w:szCs w:val="20"/>
              </w:rPr>
              <w:t>Victoria (Barwon)</w:t>
            </w:r>
          </w:p>
        </w:tc>
        <w:tc>
          <w:tcPr>
            <w:tcW w:w="664" w:type="pct"/>
            <w:shd w:val="clear" w:color="auto" w:fill="auto"/>
          </w:tcPr>
          <w:p w:rsidR="00D907AF" w:rsidRPr="00D53B5C" w:rsidRDefault="00D3095C" w:rsidP="00D53B5C">
            <w:pPr>
              <w:jc w:val="center"/>
              <w:rPr>
                <w:sz w:val="20"/>
                <w:szCs w:val="20"/>
              </w:rPr>
            </w:pPr>
            <w:r>
              <w:rPr>
                <w:sz w:val="20"/>
                <w:szCs w:val="20"/>
              </w:rPr>
              <w:t xml:space="preserve">0 to </w:t>
            </w:r>
            <w:r w:rsidR="00D907AF" w:rsidRPr="00D53B5C">
              <w:rPr>
                <w:sz w:val="20"/>
                <w:szCs w:val="20"/>
              </w:rPr>
              <w:t>64 years</w:t>
            </w:r>
          </w:p>
        </w:tc>
        <w:tc>
          <w:tcPr>
            <w:tcW w:w="816" w:type="pct"/>
            <w:shd w:val="clear" w:color="auto" w:fill="auto"/>
          </w:tcPr>
          <w:p w:rsidR="00D907AF" w:rsidRPr="00D53B5C" w:rsidRDefault="00D907AF" w:rsidP="00CE6A3A">
            <w:pPr>
              <w:ind w:right="397"/>
              <w:jc w:val="right"/>
              <w:rPr>
                <w:sz w:val="20"/>
                <w:szCs w:val="20"/>
              </w:rPr>
            </w:pPr>
            <w:r w:rsidRPr="00D53B5C">
              <w:rPr>
                <w:sz w:val="20"/>
                <w:szCs w:val="20"/>
              </w:rPr>
              <w:t>5,000</w:t>
            </w:r>
          </w:p>
        </w:tc>
        <w:tc>
          <w:tcPr>
            <w:tcW w:w="881" w:type="pct"/>
            <w:shd w:val="clear" w:color="auto" w:fill="auto"/>
          </w:tcPr>
          <w:p w:rsidR="00D907AF" w:rsidRPr="00D53B5C" w:rsidRDefault="00D907AF" w:rsidP="00BC69BF">
            <w:pPr>
              <w:ind w:right="439"/>
              <w:jc w:val="right"/>
              <w:rPr>
                <w:sz w:val="20"/>
                <w:szCs w:val="20"/>
              </w:rPr>
            </w:pPr>
            <w:r w:rsidRPr="00D53B5C">
              <w:rPr>
                <w:sz w:val="20"/>
                <w:szCs w:val="20"/>
              </w:rPr>
              <w:t>1,194</w:t>
            </w:r>
          </w:p>
        </w:tc>
        <w:tc>
          <w:tcPr>
            <w:tcW w:w="885" w:type="pct"/>
            <w:shd w:val="clear" w:color="auto" w:fill="auto"/>
          </w:tcPr>
          <w:p w:rsidR="00D907AF" w:rsidRPr="00D53B5C" w:rsidRDefault="00D907AF" w:rsidP="00545838">
            <w:pPr>
              <w:ind w:right="510"/>
              <w:jc w:val="right"/>
              <w:rPr>
                <w:sz w:val="20"/>
                <w:szCs w:val="20"/>
              </w:rPr>
            </w:pPr>
            <w:r w:rsidRPr="00D53B5C">
              <w:rPr>
                <w:sz w:val="20"/>
                <w:szCs w:val="20"/>
              </w:rPr>
              <w:t>776</w:t>
            </w:r>
          </w:p>
        </w:tc>
        <w:tc>
          <w:tcPr>
            <w:tcW w:w="812" w:type="pct"/>
            <w:shd w:val="clear" w:color="auto" w:fill="auto"/>
          </w:tcPr>
          <w:p w:rsidR="00D907AF" w:rsidRPr="00D53B5C" w:rsidRDefault="00D907AF" w:rsidP="005427DE">
            <w:pPr>
              <w:ind w:right="459"/>
              <w:jc w:val="right"/>
              <w:rPr>
                <w:sz w:val="20"/>
                <w:szCs w:val="20"/>
              </w:rPr>
            </w:pPr>
            <w:r w:rsidRPr="00D53B5C">
              <w:rPr>
                <w:sz w:val="20"/>
                <w:szCs w:val="20"/>
              </w:rPr>
              <w:t>660</w:t>
            </w:r>
          </w:p>
        </w:tc>
      </w:tr>
      <w:tr w:rsidR="00D907AF" w:rsidRPr="00D53B5C" w:rsidTr="00545838">
        <w:trPr>
          <w:cantSplit/>
        </w:trPr>
        <w:tc>
          <w:tcPr>
            <w:tcW w:w="943" w:type="pct"/>
            <w:shd w:val="clear" w:color="auto" w:fill="auto"/>
          </w:tcPr>
          <w:p w:rsidR="00D907AF" w:rsidRPr="00D53B5C" w:rsidRDefault="00D907AF" w:rsidP="00D53B5C">
            <w:pPr>
              <w:rPr>
                <w:sz w:val="20"/>
                <w:szCs w:val="20"/>
              </w:rPr>
            </w:pPr>
            <w:r w:rsidRPr="00D53B5C">
              <w:rPr>
                <w:sz w:val="20"/>
                <w:szCs w:val="20"/>
              </w:rPr>
              <w:lastRenderedPageBreak/>
              <w:t>ACT</w:t>
            </w:r>
          </w:p>
        </w:tc>
        <w:tc>
          <w:tcPr>
            <w:tcW w:w="664" w:type="pct"/>
            <w:shd w:val="clear" w:color="auto" w:fill="auto"/>
          </w:tcPr>
          <w:p w:rsidR="00D907AF" w:rsidRPr="00D53B5C" w:rsidRDefault="00D3095C" w:rsidP="00D53B5C">
            <w:pPr>
              <w:jc w:val="center"/>
              <w:rPr>
                <w:sz w:val="20"/>
                <w:szCs w:val="20"/>
              </w:rPr>
            </w:pPr>
            <w:r>
              <w:rPr>
                <w:sz w:val="20"/>
                <w:szCs w:val="20"/>
              </w:rPr>
              <w:t xml:space="preserve">0 to </w:t>
            </w:r>
            <w:r w:rsidR="00D907AF" w:rsidRPr="00D53B5C">
              <w:rPr>
                <w:sz w:val="20"/>
                <w:szCs w:val="20"/>
              </w:rPr>
              <w:t>64 years</w:t>
            </w:r>
          </w:p>
        </w:tc>
        <w:tc>
          <w:tcPr>
            <w:tcW w:w="816" w:type="pct"/>
            <w:shd w:val="clear" w:color="auto" w:fill="auto"/>
          </w:tcPr>
          <w:p w:rsidR="00D907AF" w:rsidRPr="00D53B5C" w:rsidRDefault="00D907AF" w:rsidP="00CE6A3A">
            <w:pPr>
              <w:ind w:right="397"/>
              <w:jc w:val="right"/>
              <w:rPr>
                <w:sz w:val="20"/>
                <w:szCs w:val="20"/>
              </w:rPr>
            </w:pPr>
            <w:r w:rsidRPr="00D53B5C">
              <w:rPr>
                <w:sz w:val="20"/>
                <w:szCs w:val="20"/>
              </w:rPr>
              <w:t>6,000</w:t>
            </w:r>
          </w:p>
        </w:tc>
        <w:tc>
          <w:tcPr>
            <w:tcW w:w="881" w:type="pct"/>
            <w:shd w:val="clear" w:color="auto" w:fill="auto"/>
          </w:tcPr>
          <w:p w:rsidR="00D907AF" w:rsidRPr="00D53B5C" w:rsidRDefault="00D907AF" w:rsidP="00BC69BF">
            <w:pPr>
              <w:ind w:right="439"/>
              <w:jc w:val="right"/>
              <w:rPr>
                <w:sz w:val="20"/>
                <w:szCs w:val="20"/>
              </w:rPr>
            </w:pPr>
            <w:r w:rsidRPr="00D53B5C">
              <w:rPr>
                <w:sz w:val="20"/>
                <w:szCs w:val="20"/>
              </w:rPr>
              <w:t>1,212</w:t>
            </w:r>
          </w:p>
        </w:tc>
        <w:tc>
          <w:tcPr>
            <w:tcW w:w="885" w:type="pct"/>
            <w:shd w:val="clear" w:color="auto" w:fill="auto"/>
          </w:tcPr>
          <w:p w:rsidR="00D907AF" w:rsidRPr="00D53B5C" w:rsidRDefault="00D907AF" w:rsidP="00545838">
            <w:pPr>
              <w:ind w:right="510"/>
              <w:jc w:val="right"/>
              <w:rPr>
                <w:sz w:val="20"/>
                <w:szCs w:val="20"/>
              </w:rPr>
            </w:pPr>
            <w:r w:rsidRPr="00D53B5C">
              <w:rPr>
                <w:sz w:val="20"/>
                <w:szCs w:val="20"/>
              </w:rPr>
              <w:t>788</w:t>
            </w:r>
          </w:p>
        </w:tc>
        <w:tc>
          <w:tcPr>
            <w:tcW w:w="812" w:type="pct"/>
            <w:shd w:val="clear" w:color="auto" w:fill="auto"/>
          </w:tcPr>
          <w:p w:rsidR="00D907AF" w:rsidRPr="00D53B5C" w:rsidRDefault="00D907AF" w:rsidP="005427DE">
            <w:pPr>
              <w:ind w:right="459"/>
              <w:jc w:val="right"/>
              <w:rPr>
                <w:sz w:val="20"/>
                <w:szCs w:val="20"/>
              </w:rPr>
            </w:pPr>
            <w:r w:rsidRPr="00D53B5C">
              <w:rPr>
                <w:sz w:val="20"/>
                <w:szCs w:val="20"/>
              </w:rPr>
              <w:t>670</w:t>
            </w:r>
          </w:p>
        </w:tc>
      </w:tr>
      <w:tr w:rsidR="00D907AF" w:rsidRPr="00D53B5C" w:rsidTr="0051179C">
        <w:trPr>
          <w:cantSplit/>
        </w:trPr>
        <w:tc>
          <w:tcPr>
            <w:tcW w:w="943" w:type="pct"/>
            <w:tcBorders>
              <w:top w:val="single" w:sz="4" w:space="0" w:color="auto"/>
              <w:bottom w:val="single" w:sz="4" w:space="0" w:color="auto"/>
            </w:tcBorders>
            <w:shd w:val="clear" w:color="auto" w:fill="auto"/>
          </w:tcPr>
          <w:p w:rsidR="00D907AF" w:rsidRPr="00D53B5C" w:rsidRDefault="00D907AF" w:rsidP="00D53B5C">
            <w:pPr>
              <w:rPr>
                <w:sz w:val="20"/>
                <w:szCs w:val="20"/>
              </w:rPr>
            </w:pPr>
            <w:r w:rsidRPr="00D53B5C">
              <w:rPr>
                <w:sz w:val="20"/>
                <w:szCs w:val="20"/>
              </w:rPr>
              <w:t>TOTAL trial sites</w:t>
            </w:r>
          </w:p>
        </w:tc>
        <w:tc>
          <w:tcPr>
            <w:tcW w:w="664" w:type="pct"/>
            <w:tcBorders>
              <w:top w:val="single" w:sz="4" w:space="0" w:color="auto"/>
              <w:bottom w:val="single" w:sz="4" w:space="0" w:color="auto"/>
            </w:tcBorders>
            <w:shd w:val="clear" w:color="auto" w:fill="auto"/>
          </w:tcPr>
          <w:p w:rsidR="00D907AF" w:rsidRPr="0051179C" w:rsidRDefault="00D907AF" w:rsidP="00D53B5C">
            <w:pPr>
              <w:jc w:val="center"/>
              <w:rPr>
                <w:sz w:val="20"/>
                <w:szCs w:val="20"/>
              </w:rPr>
            </w:pPr>
          </w:p>
        </w:tc>
        <w:tc>
          <w:tcPr>
            <w:tcW w:w="816" w:type="pct"/>
            <w:tcBorders>
              <w:top w:val="single" w:sz="4" w:space="0" w:color="auto"/>
              <w:bottom w:val="single" w:sz="4" w:space="0" w:color="auto"/>
            </w:tcBorders>
            <w:shd w:val="clear" w:color="auto" w:fill="auto"/>
          </w:tcPr>
          <w:p w:rsidR="00D907AF" w:rsidRPr="0051179C" w:rsidRDefault="00D907AF" w:rsidP="00CE6A3A">
            <w:pPr>
              <w:ind w:right="397"/>
              <w:jc w:val="right"/>
              <w:rPr>
                <w:sz w:val="20"/>
                <w:szCs w:val="20"/>
              </w:rPr>
            </w:pPr>
            <w:r w:rsidRPr="0051179C">
              <w:rPr>
                <w:sz w:val="20"/>
                <w:szCs w:val="20"/>
              </w:rPr>
              <w:t>26,800</w:t>
            </w:r>
          </w:p>
        </w:tc>
        <w:tc>
          <w:tcPr>
            <w:tcW w:w="881" w:type="pct"/>
            <w:tcBorders>
              <w:top w:val="single" w:sz="4" w:space="0" w:color="auto"/>
              <w:bottom w:val="single" w:sz="4" w:space="0" w:color="auto"/>
            </w:tcBorders>
            <w:shd w:val="clear" w:color="auto" w:fill="auto"/>
          </w:tcPr>
          <w:p w:rsidR="00D907AF" w:rsidRPr="00D53B5C" w:rsidRDefault="00D907AF" w:rsidP="00BC69BF">
            <w:pPr>
              <w:ind w:right="439"/>
              <w:jc w:val="right"/>
              <w:rPr>
                <w:sz w:val="20"/>
                <w:szCs w:val="20"/>
              </w:rPr>
            </w:pPr>
            <w:r w:rsidRPr="00D53B5C">
              <w:rPr>
                <w:sz w:val="20"/>
                <w:szCs w:val="20"/>
              </w:rPr>
              <w:t>5,629</w:t>
            </w:r>
          </w:p>
        </w:tc>
        <w:tc>
          <w:tcPr>
            <w:tcW w:w="885" w:type="pct"/>
            <w:tcBorders>
              <w:top w:val="single" w:sz="4" w:space="0" w:color="auto"/>
              <w:bottom w:val="single" w:sz="4" w:space="0" w:color="auto"/>
            </w:tcBorders>
            <w:shd w:val="clear" w:color="auto" w:fill="auto"/>
          </w:tcPr>
          <w:p w:rsidR="00D907AF" w:rsidRPr="00D53B5C" w:rsidRDefault="00D907AF" w:rsidP="00545838">
            <w:pPr>
              <w:ind w:right="510"/>
              <w:jc w:val="right"/>
              <w:rPr>
                <w:sz w:val="20"/>
                <w:szCs w:val="20"/>
              </w:rPr>
            </w:pPr>
            <w:r w:rsidRPr="00D53B5C">
              <w:rPr>
                <w:sz w:val="20"/>
                <w:szCs w:val="20"/>
              </w:rPr>
              <w:t>3,659</w:t>
            </w:r>
          </w:p>
        </w:tc>
        <w:tc>
          <w:tcPr>
            <w:tcW w:w="812" w:type="pct"/>
            <w:tcBorders>
              <w:top w:val="single" w:sz="4" w:space="0" w:color="auto"/>
              <w:bottom w:val="single" w:sz="4" w:space="0" w:color="auto"/>
            </w:tcBorders>
            <w:shd w:val="clear" w:color="auto" w:fill="auto"/>
          </w:tcPr>
          <w:p w:rsidR="00D907AF" w:rsidRPr="00D53B5C" w:rsidRDefault="00D907AF" w:rsidP="005427DE">
            <w:pPr>
              <w:ind w:right="459"/>
              <w:jc w:val="right"/>
              <w:rPr>
                <w:sz w:val="20"/>
                <w:szCs w:val="20"/>
              </w:rPr>
            </w:pPr>
            <w:r w:rsidRPr="00D53B5C">
              <w:rPr>
                <w:sz w:val="20"/>
                <w:szCs w:val="20"/>
              </w:rPr>
              <w:t>3,110</w:t>
            </w:r>
          </w:p>
        </w:tc>
      </w:tr>
      <w:tr w:rsidR="00D907AF" w:rsidRPr="00D53B5C" w:rsidTr="00545838">
        <w:trPr>
          <w:cantSplit/>
          <w:trHeight w:val="260"/>
        </w:trPr>
        <w:tc>
          <w:tcPr>
            <w:tcW w:w="943" w:type="pct"/>
            <w:tcBorders>
              <w:bottom w:val="single" w:sz="4" w:space="0" w:color="auto"/>
            </w:tcBorders>
            <w:shd w:val="clear" w:color="auto" w:fill="auto"/>
          </w:tcPr>
          <w:p w:rsidR="00D907AF" w:rsidRPr="00D53B5C" w:rsidRDefault="00D907AF" w:rsidP="00D53B5C">
            <w:pPr>
              <w:rPr>
                <w:sz w:val="20"/>
                <w:szCs w:val="20"/>
              </w:rPr>
            </w:pPr>
            <w:r w:rsidRPr="00D53B5C">
              <w:rPr>
                <w:sz w:val="20"/>
                <w:szCs w:val="20"/>
              </w:rPr>
              <w:t>Comparison group</w:t>
            </w:r>
          </w:p>
        </w:tc>
        <w:tc>
          <w:tcPr>
            <w:tcW w:w="664" w:type="pct"/>
            <w:tcBorders>
              <w:bottom w:val="single" w:sz="4" w:space="0" w:color="auto"/>
            </w:tcBorders>
            <w:shd w:val="clear" w:color="auto" w:fill="auto"/>
          </w:tcPr>
          <w:p w:rsidR="00D907AF" w:rsidRPr="00D53B5C" w:rsidRDefault="00D907AF" w:rsidP="00D53B5C">
            <w:pPr>
              <w:jc w:val="center"/>
              <w:rPr>
                <w:sz w:val="20"/>
                <w:szCs w:val="20"/>
              </w:rPr>
            </w:pPr>
            <w:r w:rsidRPr="00D53B5C">
              <w:rPr>
                <w:sz w:val="20"/>
                <w:szCs w:val="20"/>
              </w:rPr>
              <w:t>n/a</w:t>
            </w:r>
          </w:p>
        </w:tc>
        <w:tc>
          <w:tcPr>
            <w:tcW w:w="816" w:type="pct"/>
            <w:tcBorders>
              <w:bottom w:val="single" w:sz="4" w:space="0" w:color="auto"/>
            </w:tcBorders>
            <w:shd w:val="clear" w:color="auto" w:fill="auto"/>
          </w:tcPr>
          <w:p w:rsidR="00D907AF" w:rsidRPr="00D53B5C" w:rsidRDefault="005427DE" w:rsidP="00CE6A3A">
            <w:pPr>
              <w:ind w:right="397"/>
              <w:jc w:val="right"/>
              <w:rPr>
                <w:sz w:val="20"/>
                <w:szCs w:val="20"/>
              </w:rPr>
            </w:pPr>
            <w:r>
              <w:rPr>
                <w:sz w:val="20"/>
                <w:szCs w:val="20"/>
              </w:rPr>
              <w:t xml:space="preserve">  </w:t>
            </w:r>
            <w:r w:rsidR="00D907AF" w:rsidRPr="00D53B5C">
              <w:rPr>
                <w:sz w:val="20"/>
                <w:szCs w:val="20"/>
              </w:rPr>
              <w:t>n/a</w:t>
            </w:r>
          </w:p>
        </w:tc>
        <w:tc>
          <w:tcPr>
            <w:tcW w:w="881" w:type="pct"/>
            <w:tcBorders>
              <w:bottom w:val="single" w:sz="4" w:space="0" w:color="auto"/>
            </w:tcBorders>
            <w:shd w:val="clear" w:color="auto" w:fill="auto"/>
          </w:tcPr>
          <w:p w:rsidR="00D907AF" w:rsidRPr="00D53B5C" w:rsidRDefault="00D907AF" w:rsidP="00BC69BF">
            <w:pPr>
              <w:ind w:right="439"/>
              <w:jc w:val="right"/>
              <w:rPr>
                <w:sz w:val="20"/>
                <w:szCs w:val="20"/>
              </w:rPr>
            </w:pPr>
            <w:r w:rsidRPr="00D53B5C">
              <w:rPr>
                <w:sz w:val="20"/>
                <w:szCs w:val="20"/>
              </w:rPr>
              <w:t>4,918</w:t>
            </w:r>
          </w:p>
        </w:tc>
        <w:tc>
          <w:tcPr>
            <w:tcW w:w="885" w:type="pct"/>
            <w:tcBorders>
              <w:bottom w:val="single" w:sz="4" w:space="0" w:color="auto"/>
            </w:tcBorders>
            <w:shd w:val="clear" w:color="auto" w:fill="auto"/>
          </w:tcPr>
          <w:p w:rsidR="00D907AF" w:rsidRPr="00D53B5C" w:rsidRDefault="00D907AF" w:rsidP="00545838">
            <w:pPr>
              <w:ind w:right="510"/>
              <w:jc w:val="right"/>
              <w:rPr>
                <w:sz w:val="20"/>
                <w:szCs w:val="20"/>
              </w:rPr>
            </w:pPr>
            <w:r w:rsidRPr="00D53B5C">
              <w:rPr>
                <w:sz w:val="20"/>
                <w:szCs w:val="20"/>
              </w:rPr>
              <w:t>2,213</w:t>
            </w:r>
          </w:p>
        </w:tc>
        <w:tc>
          <w:tcPr>
            <w:tcW w:w="812" w:type="pct"/>
            <w:tcBorders>
              <w:bottom w:val="single" w:sz="4" w:space="0" w:color="auto"/>
            </w:tcBorders>
            <w:shd w:val="clear" w:color="auto" w:fill="auto"/>
          </w:tcPr>
          <w:p w:rsidR="00D907AF" w:rsidRPr="00D53B5C" w:rsidRDefault="00D907AF" w:rsidP="005427DE">
            <w:pPr>
              <w:ind w:right="459"/>
              <w:jc w:val="right"/>
              <w:rPr>
                <w:sz w:val="20"/>
                <w:szCs w:val="20"/>
              </w:rPr>
            </w:pPr>
            <w:r w:rsidRPr="00D53B5C">
              <w:rPr>
                <w:sz w:val="20"/>
                <w:szCs w:val="20"/>
              </w:rPr>
              <w:t>1,770</w:t>
            </w:r>
          </w:p>
        </w:tc>
      </w:tr>
    </w:tbl>
    <w:p w:rsidR="00D907AF" w:rsidRPr="00532D03" w:rsidRDefault="00D907AF" w:rsidP="00D53B5C">
      <w:pPr>
        <w:pStyle w:val="NILSReference"/>
      </w:pPr>
      <w:r w:rsidRPr="00532D03">
        <w:t>Note: * assuming response yield of 65</w:t>
      </w:r>
      <w:r>
        <w:t xml:space="preserve"> per cent</w:t>
      </w:r>
      <w:r w:rsidRPr="00532D03">
        <w:t xml:space="preserve"> in trial and 45</w:t>
      </w:r>
      <w:r>
        <w:t xml:space="preserve"> per cent</w:t>
      </w:r>
      <w:r w:rsidRPr="00532D03">
        <w:t xml:space="preserve"> in comparison group. ** assuming 15</w:t>
      </w:r>
      <w:r>
        <w:t xml:space="preserve"> per cent</w:t>
      </w:r>
      <w:r w:rsidRPr="00532D03">
        <w:t xml:space="preserve"> attrition rate in trial and 20</w:t>
      </w:r>
      <w:r>
        <w:t xml:space="preserve"> per cent</w:t>
      </w:r>
      <w:r w:rsidRPr="00532D03">
        <w:t xml:space="preserve"> in comparison group</w:t>
      </w:r>
    </w:p>
    <w:p w:rsidR="00FA139B" w:rsidRDefault="00FA139B" w:rsidP="00D907AF"/>
    <w:p w:rsidR="00D907AF" w:rsidRDefault="00D907AF" w:rsidP="00D907AF">
      <w:r w:rsidRPr="004E62D8">
        <w:t>The comparison group pilot study indicated clearly that a much larger sample than the originally assumed 4,918 people with disability would be required for this group. The main reason</w:t>
      </w:r>
      <w:r>
        <w:t>s</w:t>
      </w:r>
      <w:r w:rsidRPr="004E62D8">
        <w:t xml:space="preserve"> w</w:t>
      </w:r>
      <w:r>
        <w:t>ere (i)</w:t>
      </w:r>
      <w:r w:rsidRPr="004E62D8">
        <w:t xml:space="preserve"> the high proportion of incorrect contact details, and </w:t>
      </w:r>
      <w:r>
        <w:t>(ii)</w:t>
      </w:r>
      <w:r w:rsidRPr="004E62D8">
        <w:t xml:space="preserve"> the high proportion of correct records that would be ineligible </w:t>
      </w:r>
      <w:r>
        <w:t>because</w:t>
      </w:r>
      <w:r w:rsidRPr="004E62D8">
        <w:t xml:space="preserve"> </w:t>
      </w:r>
      <w:r>
        <w:t xml:space="preserve">the relevant form did not contain appropriate consent information. </w:t>
      </w:r>
      <w:r w:rsidRPr="004E62D8">
        <w:t>Cases of incarcerated people and people with violent behaviour were also removed. The final sample size that needed to be drawn in order to aim for 1,770 Wave 2 responses in the comparison group was 14,049 records.</w:t>
      </w:r>
    </w:p>
    <w:p w:rsidR="00D907AF" w:rsidRDefault="00D907AF" w:rsidP="00367B24">
      <w:pPr>
        <w:pStyle w:val="Heading3"/>
      </w:pPr>
      <w:bookmarkStart w:id="144" w:name="_Toc428280618"/>
      <w:bookmarkStart w:id="145" w:name="_Toc449954990"/>
      <w:r>
        <w:t xml:space="preserve">3.2.2 </w:t>
      </w:r>
      <w:r w:rsidRPr="004E62D8">
        <w:t>Differences within trial sites and between trial sites</w:t>
      </w:r>
      <w:bookmarkEnd w:id="144"/>
      <w:bookmarkEnd w:id="145"/>
    </w:p>
    <w:p w:rsidR="00D907AF" w:rsidRDefault="00D907AF" w:rsidP="00D907AF">
      <w:r w:rsidRPr="004E62D8">
        <w:t xml:space="preserve">NDIS participant populations in the five trial sites were designed to be different from one another. In South Australia and Tasmania, only young people aged 0-14 and 15-24 respectively were to be transferred into the NDIS in the trial period of 2013 to 2016. In the other three sites all people aged up to 65 and living with a severe and permanent disability were deemed to be eligible to join the NDIS. </w:t>
      </w:r>
    </w:p>
    <w:p w:rsidR="00FA139B" w:rsidRPr="004E62D8" w:rsidRDefault="00FA139B" w:rsidP="00D907AF"/>
    <w:p w:rsidR="00D907AF" w:rsidRDefault="00D907AF" w:rsidP="00D907AF">
      <w:r w:rsidRPr="004E62D8">
        <w:t xml:space="preserve">Transfers into the NDIS are conducted in phases in all trial sites. For example, South Australia targeted those aged two years or younger for NDIS participation in the first trial year. The other trial sites </w:t>
      </w:r>
      <w:r>
        <w:t>appear to have used a combination of institution, provider, or program-based as well as age-differentiated approaches to</w:t>
      </w:r>
      <w:r w:rsidRPr="004E62D8">
        <w:t xml:space="preserve"> phas</w:t>
      </w:r>
      <w:r>
        <w:t>e-</w:t>
      </w:r>
      <w:r w:rsidRPr="004E62D8">
        <w:t>in participants in the first year of the trial</w:t>
      </w:r>
      <w:r>
        <w:t xml:space="preserve">. </w:t>
      </w:r>
      <w:r w:rsidRPr="004E62D8">
        <w:t xml:space="preserve">Trial site residents whose disability is diagnosed during the trial period or who move between trial sites may enter the </w:t>
      </w:r>
      <w:r>
        <w:t>NDI</w:t>
      </w:r>
      <w:r w:rsidRPr="004E62D8">
        <w:t>S regardless of any phasing-in rules that may apply at the time.</w:t>
      </w:r>
    </w:p>
    <w:p w:rsidR="00FA139B" w:rsidRPr="004E62D8" w:rsidRDefault="00FA139B" w:rsidP="00D907AF"/>
    <w:p w:rsidR="00D907AF" w:rsidRPr="004E62D8" w:rsidRDefault="00D907AF" w:rsidP="00D907AF">
      <w:r w:rsidRPr="004E62D8">
        <w:t xml:space="preserve">Data collected by the Australian Institute of Health and Welfare suggests that differences in terms of disability </w:t>
      </w:r>
      <w:r>
        <w:t xml:space="preserve">arising from </w:t>
      </w:r>
      <w:r w:rsidRPr="004E62D8">
        <w:t>the non-random phasing in</w:t>
      </w:r>
      <w:r>
        <w:t xml:space="preserve"> of the NDIS in the trial sites</w:t>
      </w:r>
      <w:r w:rsidRPr="004E62D8">
        <w:t>, may also result in marked differences in support needs and service use between the trial sites.</w:t>
      </w:r>
      <w:r>
        <w:t xml:space="preserve"> Although such differences would be expected to even out naturally as the number of NDIS participants increases, their impact in the beginning of the roll-out could influence the picture that emerges in our statistics.</w:t>
      </w:r>
    </w:p>
    <w:p w:rsidR="00D907AF" w:rsidRPr="004E62D8" w:rsidRDefault="00D907AF" w:rsidP="00367B24">
      <w:pPr>
        <w:pStyle w:val="Heading3"/>
      </w:pPr>
      <w:bookmarkStart w:id="146" w:name="_Toc428280619"/>
      <w:bookmarkStart w:id="147" w:name="_Toc449954991"/>
      <w:r>
        <w:t xml:space="preserve">3.2.3 </w:t>
      </w:r>
      <w:r w:rsidRPr="004E62D8">
        <w:t>Phasing in of the NDIS trial roll out and sampling timeline implications</w:t>
      </w:r>
      <w:bookmarkEnd w:id="146"/>
      <w:bookmarkEnd w:id="147"/>
    </w:p>
    <w:p w:rsidR="00D907AF" w:rsidRDefault="00D907AF" w:rsidP="00D907AF">
      <w:r w:rsidRPr="004E62D8">
        <w:t>The fact that the NDIS trial roll out ended up being both late and not random</w:t>
      </w:r>
      <w:r>
        <w:t>,</w:t>
      </w:r>
      <w:r w:rsidRPr="004E62D8">
        <w:t xml:space="preserve"> presented certain challenges to the survey design and implementation. The slow roll</w:t>
      </w:r>
      <w:r>
        <w:t>-</w:t>
      </w:r>
      <w:r w:rsidRPr="004E62D8">
        <w:t xml:space="preserve">out resulted in insufficient sample sizes in most trial sites for Wave 1 data collection. This problem is at its most acute in the </w:t>
      </w:r>
      <w:r>
        <w:t>Australian Capital Territory (</w:t>
      </w:r>
      <w:r w:rsidRPr="004E62D8">
        <w:t>ACT</w:t>
      </w:r>
      <w:r>
        <w:t>)</w:t>
      </w:r>
      <w:r w:rsidRPr="004E62D8">
        <w:t>, where the roll out started in July 2014 and the realised sample sizes are well below the target</w:t>
      </w:r>
      <w:r>
        <w:t>s</w:t>
      </w:r>
      <w:r w:rsidRPr="004E62D8">
        <w:t xml:space="preserve">. Our general strategy for responding to the </w:t>
      </w:r>
      <w:r>
        <w:t xml:space="preserve">overall slow roll-out and the </w:t>
      </w:r>
      <w:r w:rsidRPr="004E62D8">
        <w:t xml:space="preserve">late </w:t>
      </w:r>
      <w:r>
        <w:t>ACT trial start</w:t>
      </w:r>
      <w:r w:rsidRPr="004E62D8">
        <w:t xml:space="preserve"> has been the design of Waves 1a, 1b and 1c, with 1a almost complete and 1b in the field</w:t>
      </w:r>
      <w:r>
        <w:t xml:space="preserve"> in July 2015</w:t>
      </w:r>
      <w:r w:rsidRPr="004E62D8">
        <w:t xml:space="preserve">. These </w:t>
      </w:r>
      <w:r>
        <w:t>‘</w:t>
      </w:r>
      <w:r w:rsidRPr="004E62D8">
        <w:t>earlier</w:t>
      </w:r>
      <w:r>
        <w:t>’</w:t>
      </w:r>
      <w:r w:rsidRPr="004E62D8">
        <w:t xml:space="preserve"> waves are designed to include all NDIS participants</w:t>
      </w:r>
      <w:r>
        <w:t xml:space="preserve"> who consent to being approached for research purposes</w:t>
      </w:r>
      <w:r w:rsidRPr="004E62D8">
        <w:t xml:space="preserve">, thus forming a census at the time the samples are drawn. Waves 1c and </w:t>
      </w:r>
      <w:r>
        <w:t xml:space="preserve">sampling in the </w:t>
      </w:r>
      <w:r w:rsidRPr="004E62D8">
        <w:t>ACT are yet to be precisely defined and implemented.</w:t>
      </w:r>
    </w:p>
    <w:p w:rsidR="00FA139B" w:rsidRPr="004E62D8" w:rsidRDefault="00FA139B" w:rsidP="00D907AF"/>
    <w:p w:rsidR="00D907AF" w:rsidRPr="004E62D8" w:rsidRDefault="00D907AF" w:rsidP="00D907AF">
      <w:r w:rsidRPr="004E62D8">
        <w:lastRenderedPageBreak/>
        <w:t xml:space="preserve">The non-randomness of the NDIS trial also presents challenges to the survey design and the design of the subsequent analysis. Although some information about the planned phasing in of NDIS participants in each trial site has been publicly available, this was too approximate and provided little insight into the socio-demographics </w:t>
      </w:r>
      <w:r>
        <w:t xml:space="preserve">of participants </w:t>
      </w:r>
      <w:r w:rsidRPr="004E62D8">
        <w:t xml:space="preserve">to be of practical use </w:t>
      </w:r>
      <w:r>
        <w:t>t</w:t>
      </w:r>
      <w:r w:rsidRPr="004E62D8">
        <w:t xml:space="preserve">o the sampling. The main </w:t>
      </w:r>
      <w:r w:rsidRPr="008D1A78">
        <w:t>way in which this affected the survey has been the introduction of uncertainty as to the appropriate</w:t>
      </w:r>
      <w:r w:rsidRPr="004E62D8">
        <w:t xml:space="preserve"> composition of the comparison sample. We must remind the reader that a highly desirable feature of the comparison group would be t</w:t>
      </w:r>
      <w:r>
        <w:t>o</w:t>
      </w:r>
      <w:r w:rsidRPr="004E62D8">
        <w:t xml:space="preserve"> contain people with similar type and severity of disability and, to the degree that this is possible, people who resemble the NDIS participants in their socio-demographic</w:t>
      </w:r>
      <w:r>
        <w:t xml:space="preserve"> characteristic</w:t>
      </w:r>
      <w:r w:rsidRPr="004E62D8">
        <w:t>s as well. The non-random roll out coupled with lack of precise information about the characteristics of the NDIS participants in the trial sites has made this job harder. A strategy of mixed sample design has been employed to alleviate the consequences from this lack of information</w:t>
      </w:r>
      <w:r>
        <w:t xml:space="preserve"> in that half of the sample was based on our present knowledge on the NDIS participants and the other half on more general (population based) knowledge on how disability is distributed in Australia</w:t>
      </w:r>
      <w:r w:rsidRPr="004E62D8">
        <w:t>. We utilised the disability information in the D</w:t>
      </w:r>
      <w:r>
        <w:t>HS</w:t>
      </w:r>
      <w:r w:rsidRPr="004E62D8">
        <w:t xml:space="preserve"> data to construct equivalent scales and appropriately stratify part of the sample, applying a strict </w:t>
      </w:r>
      <w:r>
        <w:t xml:space="preserve">potential eligibility </w:t>
      </w:r>
      <w:r w:rsidRPr="004E62D8">
        <w:t>selection rule which, on the one hand requires a larger initial sample from the D</w:t>
      </w:r>
      <w:r>
        <w:t>HS</w:t>
      </w:r>
      <w:r w:rsidRPr="004E62D8">
        <w:t xml:space="preserve">, but on the other hand </w:t>
      </w:r>
      <w:r>
        <w:t xml:space="preserve">can be expected to </w:t>
      </w:r>
      <w:r w:rsidRPr="004E62D8">
        <w:t>produce a better quality comparison group</w:t>
      </w:r>
      <w:r>
        <w:t>. T</w:t>
      </w:r>
      <w:r w:rsidRPr="004E62D8">
        <w:t>he resulting data can be matched better with the NDIS sample.</w:t>
      </w:r>
    </w:p>
    <w:p w:rsidR="00D907AF" w:rsidRPr="004E62D8" w:rsidRDefault="00D907AF" w:rsidP="00367B24">
      <w:pPr>
        <w:pStyle w:val="Heading3"/>
      </w:pPr>
      <w:bookmarkStart w:id="148" w:name="_Toc428280620"/>
      <w:bookmarkStart w:id="149" w:name="_Toc449954992"/>
      <w:r>
        <w:t xml:space="preserve">3.2.4 </w:t>
      </w:r>
      <w:r w:rsidRPr="004E62D8">
        <w:t>Sampling for trial and for control samples</w:t>
      </w:r>
      <w:bookmarkEnd w:id="148"/>
      <w:bookmarkEnd w:id="149"/>
    </w:p>
    <w:p w:rsidR="00D907AF" w:rsidRDefault="00D907AF" w:rsidP="00D907AF">
      <w:r w:rsidRPr="004E62D8">
        <w:t xml:space="preserve">The </w:t>
      </w:r>
      <w:r>
        <w:t>e</w:t>
      </w:r>
      <w:r w:rsidRPr="004E62D8">
        <w:t>valuation of the impact of the trial of the NDIS using survey data is built on contrasting the experiences of NDIS participants with those of other people with similar disability</w:t>
      </w:r>
      <w:r>
        <w:t>. This comparison group comprises people with disability</w:t>
      </w:r>
      <w:r w:rsidRPr="004E62D8">
        <w:t xml:space="preserve"> who are not (currently) eligible </w:t>
      </w:r>
      <w:r>
        <w:t>to join</w:t>
      </w:r>
      <w:r w:rsidRPr="004E62D8">
        <w:t xml:space="preserve"> the NDIS because they do not live in a trial site or because they do not meet the age-based eligibility conditions of the NDIS trial. Therefore, the age, sex and disability of NDIS participants guided the </w:t>
      </w:r>
      <w:r w:rsidR="00190419">
        <w:t>e</w:t>
      </w:r>
      <w:r w:rsidR="00BD356D">
        <w:t>valuation</w:t>
      </w:r>
      <w:r w:rsidRPr="004E62D8">
        <w:t xml:space="preserve"> in the determination of the composition of the comparison group.</w:t>
      </w:r>
    </w:p>
    <w:p w:rsidR="00FA139B" w:rsidRPr="004E62D8" w:rsidRDefault="00FA139B" w:rsidP="00D907AF"/>
    <w:p w:rsidR="00D907AF" w:rsidRDefault="00D907AF" w:rsidP="00D907AF">
      <w:r w:rsidRPr="004E62D8">
        <w:t xml:space="preserve">Sampling for the NDIS Survey and the NDIS Survey for Families and Carers drew on four different administrative data sources. The sampling of NDIS participants, that is, for the trial </w:t>
      </w:r>
      <w:r>
        <w:t>group</w:t>
      </w:r>
      <w:r w:rsidRPr="004E62D8">
        <w:t xml:space="preserve">, relied on the participant data base prepared and made available by the </w:t>
      </w:r>
      <w:r>
        <w:t>National Disability Insurance Agency (</w:t>
      </w:r>
      <w:r w:rsidRPr="004E62D8">
        <w:t>NDIA</w:t>
      </w:r>
      <w:r>
        <w:t>)</w:t>
      </w:r>
      <w:r w:rsidRPr="004E62D8">
        <w:t xml:space="preserve">, </w:t>
      </w:r>
      <w:r>
        <w:t xml:space="preserve">to the survey company. The survey company kept all individual information confidential in a design that guaranteed that the </w:t>
      </w:r>
      <w:r w:rsidR="00190419">
        <w:t>e</w:t>
      </w:r>
      <w:r w:rsidR="00BD356D">
        <w:t>valuation</w:t>
      </w:r>
      <w:r>
        <w:t xml:space="preserve"> research team only handles records </w:t>
      </w:r>
      <w:r w:rsidRPr="004E62D8">
        <w:t xml:space="preserve">in </w:t>
      </w:r>
      <w:r>
        <w:t xml:space="preserve">an </w:t>
      </w:r>
      <w:r w:rsidRPr="004E62D8">
        <w:t>anonymised form. The sampling f</w:t>
      </w:r>
      <w:r>
        <w:t>rom</w:t>
      </w:r>
      <w:r w:rsidRPr="004E62D8">
        <w:t xml:space="preserve"> the comparison population relied on administrative data of recipients of Disability Support Pension (DSP), Carer Payment (CP) or Carer Allowance (CA), made available by the Department of Human Services (DHS)</w:t>
      </w:r>
      <w:r>
        <w:t xml:space="preserve"> to the survey company</w:t>
      </w:r>
      <w:r w:rsidRPr="004E62D8">
        <w:t>.</w:t>
      </w:r>
      <w:r>
        <w:t xml:space="preserve"> The same confidentiality and anonymisation rules applied to the comparison group.</w:t>
      </w:r>
    </w:p>
    <w:p w:rsidR="00FA139B" w:rsidRPr="004E62D8" w:rsidRDefault="00FA139B" w:rsidP="00D907AF"/>
    <w:p w:rsidR="00D907AF" w:rsidRDefault="00D907AF" w:rsidP="00D907AF">
      <w:r w:rsidRPr="004E62D8">
        <w:t xml:space="preserve">The NDIA administrative data identified the NDIS participant and, in some cases also a family member or carer. The NDIS Survey in the trial sites considered all NDIS participants </w:t>
      </w:r>
      <w:r>
        <w:t xml:space="preserve">who had agreed to participate in research, </w:t>
      </w:r>
      <w:r w:rsidRPr="004E62D8">
        <w:t>as eligible for the survey.</w:t>
      </w:r>
    </w:p>
    <w:p w:rsidR="00FA139B" w:rsidRPr="004E62D8" w:rsidRDefault="00FA139B" w:rsidP="00D907AF"/>
    <w:p w:rsidR="00D907AF" w:rsidRDefault="00D907AF" w:rsidP="00D907AF">
      <w:r w:rsidRPr="004E62D8">
        <w:t xml:space="preserve">A much larger pool of potential sample members was available for the comparison </w:t>
      </w:r>
      <w:r>
        <w:t>group</w:t>
      </w:r>
      <w:r w:rsidRPr="004E62D8">
        <w:t>, which was able to draw on several hundreds of thousands of DSP, CP and CA recipients. The comparison group sample was drawn from DSP, CP and CA recipients living within the trial states, but not being eligible for the NDIS</w:t>
      </w:r>
      <w:r>
        <w:t xml:space="preserve"> during the trial period</w:t>
      </w:r>
      <w:r w:rsidRPr="004E62D8">
        <w:t xml:space="preserve">. That is, they were either of a different age (in South Australia and Tasmania) or lived outside the actual trial site (in </w:t>
      </w:r>
      <w:r>
        <w:t xml:space="preserve">New South Wales and Victoria). </w:t>
      </w:r>
      <w:r w:rsidRPr="004E62D8">
        <w:t>Since all people with disability are potentially eligible for the NDIS in the ACT, no comparison sample was drawn from the ACT.</w:t>
      </w:r>
    </w:p>
    <w:p w:rsidR="00FA139B" w:rsidRPr="004E62D8" w:rsidRDefault="00FA139B" w:rsidP="00D907AF"/>
    <w:p w:rsidR="00D907AF" w:rsidRDefault="00D907AF" w:rsidP="00D907AF">
      <w:r w:rsidRPr="004E62D8">
        <w:t xml:space="preserve">The comparison sample was divided into two equal halves. The first half of the comparison sample was matched on age, gender and broad type of disability to current </w:t>
      </w:r>
      <w:r>
        <w:t xml:space="preserve">NDIS </w:t>
      </w:r>
      <w:r w:rsidRPr="004E62D8">
        <w:t xml:space="preserve">participants, and was drawn </w:t>
      </w:r>
      <w:r w:rsidRPr="004E62D8">
        <w:lastRenderedPageBreak/>
        <w:t xml:space="preserve">from a combination of DSP and CP/CA records. The latter records were used to capture young people with disability who </w:t>
      </w:r>
      <w:r>
        <w:t>did</w:t>
      </w:r>
      <w:r w:rsidRPr="004E62D8">
        <w:t xml:space="preserve"> not receive DSP but </w:t>
      </w:r>
      <w:r>
        <w:t xml:space="preserve">in all other respects </w:t>
      </w:r>
      <w:r w:rsidRPr="004E62D8">
        <w:t>match young NDIS participants.</w:t>
      </w:r>
    </w:p>
    <w:p w:rsidR="00FA139B" w:rsidRPr="004E62D8" w:rsidRDefault="00FA139B" w:rsidP="00D907AF"/>
    <w:p w:rsidR="00D907AF" w:rsidRDefault="00D907AF" w:rsidP="00D907AF">
      <w:r w:rsidRPr="004E62D8">
        <w:t xml:space="preserve">The second half was a random sample drawn from all DSP, CP and CA recipients whose disability was assumed to be sufficiently severe and long lasting to render the person potentially eligible for the NDIS if he or she </w:t>
      </w:r>
      <w:r>
        <w:t xml:space="preserve">had </w:t>
      </w:r>
      <w:r w:rsidRPr="004E62D8">
        <w:t>lived in a trial site and met its current conditions for eligibility. This judgement was based on information provided in the DHS sample about the person’s ‘impairment rating’ and duration of payment or allowance receipt.</w:t>
      </w:r>
    </w:p>
    <w:p w:rsidR="00FA139B" w:rsidRPr="004E62D8" w:rsidRDefault="00FA139B" w:rsidP="00D907AF"/>
    <w:p w:rsidR="00D907AF" w:rsidRPr="004E62D8" w:rsidRDefault="00D907AF" w:rsidP="00D907AF">
      <w:r w:rsidRPr="004E62D8">
        <w:t>Matching trial and comparison sample</w:t>
      </w:r>
      <w:r>
        <w:t>s</w:t>
      </w:r>
      <w:r w:rsidRPr="004E62D8">
        <w:t xml:space="preserve"> on disability proved challenging as the sampling frames used different disability categories and labels</w:t>
      </w:r>
      <w:r>
        <w:t>.</w:t>
      </w:r>
      <w:r w:rsidRPr="004E62D8">
        <w:t xml:space="preserve"> </w:t>
      </w:r>
      <w:r>
        <w:t>We</w:t>
      </w:r>
      <w:r w:rsidRPr="004E62D8">
        <w:t xml:space="preserve"> aggregated </w:t>
      </w:r>
      <w:r>
        <w:t xml:space="preserve">these </w:t>
      </w:r>
      <w:r w:rsidRPr="004E62D8">
        <w:t xml:space="preserve">up to a shared platform based on the World Health Organisation’s International Classification of Functioning, Disability and Health (ICF), version 10. Moreover, although the DHS sample included a claimant’s impairment rating, this information was not available for all and was generally considered unreliable. A more </w:t>
      </w:r>
      <w:r>
        <w:t>straightforward</w:t>
      </w:r>
      <w:r w:rsidRPr="004E62D8">
        <w:t xml:space="preserve"> approach to matching between trial and comparison groups had been envisaged </w:t>
      </w:r>
      <w:r>
        <w:t>by the design</w:t>
      </w:r>
      <w:r w:rsidRPr="004E62D8">
        <w:t xml:space="preserve"> of the project, based on </w:t>
      </w:r>
      <w:r>
        <w:t>obtaining information from</w:t>
      </w:r>
      <w:r w:rsidRPr="004E62D8">
        <w:t xml:space="preserve"> relevant administrative data sources</w:t>
      </w:r>
      <w:r>
        <w:t>. This approach was not pursued due to time and financial considerations.</w:t>
      </w:r>
      <w:r w:rsidRPr="004E62D8">
        <w:t xml:space="preserve"> </w:t>
      </w:r>
    </w:p>
    <w:p w:rsidR="00D907AF" w:rsidRPr="004E62D8" w:rsidRDefault="00D907AF" w:rsidP="00367B24">
      <w:pPr>
        <w:pStyle w:val="Heading3"/>
      </w:pPr>
      <w:bookmarkStart w:id="150" w:name="_Toc428280621"/>
      <w:bookmarkStart w:id="151" w:name="_Toc449954993"/>
      <w:r>
        <w:t xml:space="preserve">3.2.5 </w:t>
      </w:r>
      <w:r w:rsidRPr="004E62D8">
        <w:t>Sampling the Family and Carer</w:t>
      </w:r>
      <w:bookmarkEnd w:id="150"/>
      <w:bookmarkEnd w:id="151"/>
    </w:p>
    <w:p w:rsidR="00D907AF" w:rsidRDefault="00D907AF" w:rsidP="00D907AF">
      <w:r w:rsidRPr="004E62D8">
        <w:t>The DHS administrative datasets</w:t>
      </w:r>
      <w:r>
        <w:t xml:space="preserve"> used for the sampling of the comparison group,</w:t>
      </w:r>
      <w:r w:rsidRPr="004E62D8">
        <w:t xml:space="preserve"> identify family members or carers </w:t>
      </w:r>
      <w:r>
        <w:t>for a large proportion of</w:t>
      </w:r>
      <w:r w:rsidRPr="004E62D8">
        <w:t xml:space="preserve"> DSP recipients. </w:t>
      </w:r>
      <w:r>
        <w:t>The NDIA administrative data used for the sampling of NDIS participants contains a much smaller proportion of people with disability with information on their families and carers. To fill this gap in the sampling, a</w:t>
      </w:r>
      <w:r w:rsidRPr="004E62D8">
        <w:t xml:space="preserve">dditional searches and matching of NDIS participants with a family member, carer or nominee were undertaken by the NDIA on behalf of the </w:t>
      </w:r>
      <w:r w:rsidR="00190419">
        <w:t>e</w:t>
      </w:r>
      <w:r w:rsidR="00BD356D">
        <w:t>valuation</w:t>
      </w:r>
      <w:r w:rsidRPr="004E62D8">
        <w:t xml:space="preserve"> team for the initial trial sample.</w:t>
      </w:r>
      <w:r>
        <w:t xml:space="preserve"> </w:t>
      </w:r>
      <w:r w:rsidRPr="004E62D8">
        <w:t>Where a link to a family member, carer or nominee was established</w:t>
      </w:r>
      <w:r>
        <w:t xml:space="preserve"> in the administrative data</w:t>
      </w:r>
      <w:r w:rsidRPr="004E62D8">
        <w:t>, the</w:t>
      </w:r>
      <w:r>
        <w:t>se</w:t>
      </w:r>
      <w:r w:rsidRPr="004E62D8">
        <w:t xml:space="preserve"> family member</w:t>
      </w:r>
      <w:r>
        <w:t>s</w:t>
      </w:r>
      <w:r w:rsidRPr="004E62D8">
        <w:t>, carer</w:t>
      </w:r>
      <w:r>
        <w:t>s</w:t>
      </w:r>
      <w:r w:rsidRPr="004E62D8">
        <w:t xml:space="preserve"> or nominee</w:t>
      </w:r>
      <w:r>
        <w:t>s</w:t>
      </w:r>
      <w:r w:rsidRPr="004E62D8">
        <w:t xml:space="preserve"> were considered to be eligible for the NDIS Survey for Families and Carers, subject to their consenting to participat</w:t>
      </w:r>
      <w:r>
        <w:t>e</w:t>
      </w:r>
      <w:r w:rsidRPr="004E62D8">
        <w:t xml:space="preserve"> in research. In the case of NDIS participants under the age 18 for whom a family member, carer or nominee could </w:t>
      </w:r>
      <w:r>
        <w:t xml:space="preserve">not </w:t>
      </w:r>
      <w:r w:rsidRPr="004E62D8">
        <w:t>be identified</w:t>
      </w:r>
      <w:r>
        <w:t xml:space="preserve"> from the administrative data</w:t>
      </w:r>
      <w:r w:rsidRPr="004E62D8">
        <w:t>, it was assumed that this person could be contacted at the same address.</w:t>
      </w:r>
    </w:p>
    <w:p w:rsidR="00FA139B" w:rsidRPr="004E62D8" w:rsidRDefault="00FA139B" w:rsidP="00D907AF"/>
    <w:p w:rsidR="00D907AF" w:rsidRDefault="00D907AF" w:rsidP="00D907AF">
      <w:r w:rsidRPr="004E62D8">
        <w:t>Adult people with disability in the NDIS or in receipt of DSP, for whom no family member or carer was identified in the datasets, were asked to nominate a person who w</w:t>
      </w:r>
      <w:r>
        <w:t>as</w:t>
      </w:r>
      <w:r w:rsidRPr="004E62D8">
        <w:t xml:space="preserve"> then invited to participate in the NDIS Survey for Family and Carers. This lack of family and carer information </w:t>
      </w:r>
      <w:r>
        <w:t>is</w:t>
      </w:r>
      <w:r w:rsidRPr="004E62D8">
        <w:t xml:space="preserve"> one </w:t>
      </w:r>
      <w:r>
        <w:t>reason</w:t>
      </w:r>
      <w:r w:rsidRPr="004E62D8">
        <w:t xml:space="preserve"> </w:t>
      </w:r>
      <w:r>
        <w:t>a</w:t>
      </w:r>
      <w:r w:rsidRPr="004E62D8">
        <w:t xml:space="preserve"> survey registration process</w:t>
      </w:r>
      <w:r>
        <w:t xml:space="preserve"> was introduced</w:t>
      </w:r>
      <w:r w:rsidRPr="004E62D8">
        <w:t>.</w:t>
      </w:r>
    </w:p>
    <w:p w:rsidR="00FA139B" w:rsidRPr="004E62D8" w:rsidRDefault="00FA139B" w:rsidP="00D907AF"/>
    <w:p w:rsidR="00D907AF" w:rsidRDefault="00D907AF" w:rsidP="00D907AF">
      <w:r w:rsidRPr="004E62D8">
        <w:t>For the comparison sample, family members and carers were also identified directly from the CP/CA administrative datasets. The CP/CA datasets were used to sample young people with disability who would otherwise not be captured if sampling had solely relied on DSP records.</w:t>
      </w:r>
    </w:p>
    <w:p w:rsidR="00D907AF" w:rsidRPr="004E62D8" w:rsidRDefault="00D907AF" w:rsidP="00367B24">
      <w:pPr>
        <w:pStyle w:val="Heading3"/>
      </w:pPr>
      <w:bookmarkStart w:id="152" w:name="_Toc428280622"/>
      <w:bookmarkStart w:id="153" w:name="_Toc449954994"/>
      <w:r>
        <w:t xml:space="preserve">3.2.6 </w:t>
      </w:r>
      <w:r w:rsidRPr="004E62D8">
        <w:t>Initial</w:t>
      </w:r>
      <w:r>
        <w:t xml:space="preserve"> and later</w:t>
      </w:r>
      <w:r w:rsidRPr="004E62D8">
        <w:t xml:space="preserve"> sampling</w:t>
      </w:r>
      <w:bookmarkEnd w:id="152"/>
      <w:bookmarkEnd w:id="153"/>
    </w:p>
    <w:p w:rsidR="00FA139B" w:rsidRPr="004E62D8" w:rsidRDefault="00D907AF" w:rsidP="003F1508">
      <w:pPr>
        <w:spacing w:after="240"/>
      </w:pPr>
      <w:r w:rsidRPr="004E62D8">
        <w:t>The first sample of NDIS participants and what we expected to become the full comparison group sample for the main fieldwork were drawn in January and February 2014. In the case of the trial group, the sample included all NDIS participants who had consented, in principle, to take part in research related to the NDIS.</w:t>
      </w:r>
    </w:p>
    <w:p w:rsidR="00D907AF" w:rsidRDefault="00D907AF" w:rsidP="00D907AF">
      <w:r w:rsidRPr="004E62D8">
        <w:lastRenderedPageBreak/>
        <w:t>At the end of 2013, some 4,052 people with disability had transferred into the NDIS, including 2,586 who had already approved support plans.</w:t>
      </w:r>
      <w:r w:rsidRPr="004E62D8">
        <w:rPr>
          <w:vertAlign w:val="superscript"/>
        </w:rPr>
        <w:footnoteReference w:id="6"/>
      </w:r>
      <w:r w:rsidRPr="004E62D8">
        <w:t xml:space="preserve"> Approximately 2,300 NDIS participants indicated they would consider taking part in NDIS research. Since this number </w:t>
      </w:r>
      <w:r w:rsidRPr="004E62D8">
        <w:rPr>
          <w:bCs/>
        </w:rPr>
        <w:t xml:space="preserve">left the NDIS Survey well short of the minimum sample size of 5,629 </w:t>
      </w:r>
      <w:r>
        <w:rPr>
          <w:bCs/>
        </w:rPr>
        <w:t xml:space="preserve">in the original project design </w:t>
      </w:r>
      <w:r w:rsidRPr="004E62D8">
        <w:rPr>
          <w:bCs/>
        </w:rPr>
        <w:t xml:space="preserve">(see </w:t>
      </w:r>
      <w:r w:rsidRPr="00290799">
        <w:rPr>
          <w:bCs/>
        </w:rPr>
        <w:t>Table 3.1</w:t>
      </w:r>
      <w:r w:rsidRPr="000C63B5">
        <w:rPr>
          <w:bCs/>
        </w:rPr>
        <w:t>),</w:t>
      </w:r>
      <w:r w:rsidRPr="004E62D8">
        <w:rPr>
          <w:bCs/>
        </w:rPr>
        <w:t xml:space="preserve"> people with disability who joined the NDIS between January and May 2014 (and had consented to being contacted </w:t>
      </w:r>
      <w:r>
        <w:rPr>
          <w:bCs/>
        </w:rPr>
        <w:t>f</w:t>
      </w:r>
      <w:r w:rsidRPr="004E62D8">
        <w:rPr>
          <w:bCs/>
        </w:rPr>
        <w:t>or research) were added to the sampl</w:t>
      </w:r>
      <w:r>
        <w:rPr>
          <w:bCs/>
        </w:rPr>
        <w:t>ing</w:t>
      </w:r>
      <w:r w:rsidRPr="004E62D8">
        <w:rPr>
          <w:bCs/>
        </w:rPr>
        <w:t xml:space="preserve"> frame</w:t>
      </w:r>
      <w:r>
        <w:rPr>
          <w:bCs/>
        </w:rPr>
        <w:t>. This brought</w:t>
      </w:r>
      <w:r w:rsidRPr="004E62D8">
        <w:t xml:space="preserve"> the total number of potential participants to 5,860 NDIS participants</w:t>
      </w:r>
      <w:r>
        <w:t>.</w:t>
      </w:r>
      <w:r w:rsidRPr="004E62D8">
        <w:t xml:space="preserve"> This first sample is referred to as ‘Wave 1a’.</w:t>
      </w:r>
    </w:p>
    <w:p w:rsidR="00FA139B" w:rsidRPr="004E62D8" w:rsidRDefault="00FA139B" w:rsidP="00D907AF"/>
    <w:p w:rsidR="00D907AF" w:rsidRPr="004E62D8" w:rsidRDefault="00D907AF" w:rsidP="00D907AF">
      <w:r w:rsidRPr="004E62D8">
        <w:t xml:space="preserve">The sample of NDIS participants was further topped up with 5,313 NDIS participants who had joined the </w:t>
      </w:r>
      <w:r>
        <w:t>NDIS</w:t>
      </w:r>
      <w:r w:rsidRPr="004E62D8">
        <w:t xml:space="preserve"> between May 2014 and October 2014. Of these, 3,027 had consented to participating in </w:t>
      </w:r>
      <w:r>
        <w:t xml:space="preserve">NDIS </w:t>
      </w:r>
      <w:r w:rsidRPr="004E62D8">
        <w:t>research. The objective of this ‘top up’, referred to a</w:t>
      </w:r>
      <w:r>
        <w:t>s</w:t>
      </w:r>
      <w:r w:rsidRPr="004E62D8">
        <w:t xml:space="preserve"> ‘</w:t>
      </w:r>
      <w:r>
        <w:t>Wave</w:t>
      </w:r>
      <w:r w:rsidRPr="004E62D8">
        <w:t xml:space="preserve"> 1b’, was to include early entrants into the NDIS in the Australian Capital Territory (ACT) that had commenced in July 2014 and to increase the sample sizes elsewhere. Registration for the NDIS Survey (see below), which began in August 2014, proved to be slower than expected and led to the precaution of the additional top-up in the initial four trial sites.</w:t>
      </w:r>
    </w:p>
    <w:p w:rsidR="00D907AF" w:rsidRPr="004E62D8" w:rsidRDefault="00D907AF" w:rsidP="00367B24">
      <w:pPr>
        <w:pStyle w:val="Heading3"/>
      </w:pPr>
      <w:bookmarkStart w:id="154" w:name="_Toc428280623"/>
      <w:bookmarkStart w:id="155" w:name="_Toc449954995"/>
      <w:r>
        <w:t xml:space="preserve">3.2.7 </w:t>
      </w:r>
      <w:r w:rsidR="00D26992">
        <w:t>Opt-</w:t>
      </w:r>
      <w:r w:rsidRPr="004E62D8">
        <w:t>out/</w:t>
      </w:r>
      <w:r w:rsidRPr="00532D03">
        <w:rPr>
          <w:rStyle w:val="Heading3Char"/>
        </w:rPr>
        <w:t>i</w:t>
      </w:r>
      <w:r w:rsidRPr="004E62D8">
        <w:t>n</w:t>
      </w:r>
      <w:bookmarkEnd w:id="154"/>
      <w:bookmarkEnd w:id="155"/>
    </w:p>
    <w:p w:rsidR="00D907AF" w:rsidRDefault="00D907AF" w:rsidP="00D907AF">
      <w:r w:rsidRPr="004E62D8">
        <w:t xml:space="preserve">Before the </w:t>
      </w:r>
      <w:r>
        <w:t xml:space="preserve">fieldwork of the </w:t>
      </w:r>
      <w:r w:rsidRPr="004E62D8">
        <w:t xml:space="preserve">NDIS Survey or the NDIS Survey for Families and Carers could be </w:t>
      </w:r>
      <w:r>
        <w:t>conducted</w:t>
      </w:r>
      <w:r w:rsidRPr="004E62D8">
        <w:t>, two opt-in and opt-out procedures were applied. In the first instance, as already noted, only NDIS participants or DSP or CA/CP recipients</w:t>
      </w:r>
      <w:r>
        <w:t>,</w:t>
      </w:r>
      <w:r w:rsidRPr="004E62D8">
        <w:t xml:space="preserve"> who had previously indicated that they would be willing to be considered for research</w:t>
      </w:r>
      <w:r>
        <w:t>,</w:t>
      </w:r>
      <w:r w:rsidRPr="004E62D8">
        <w:t xml:space="preserve"> were included in the original sampl</w:t>
      </w:r>
      <w:r>
        <w:t>ing</w:t>
      </w:r>
      <w:r w:rsidRPr="004E62D8">
        <w:t xml:space="preserve"> frame. This led to a significant loss in sample numbers among NDIS participants</w:t>
      </w:r>
      <w:r>
        <w:t>, as can be seen from Table 3.2.</w:t>
      </w:r>
      <w:r>
        <w:rPr>
          <w:rStyle w:val="FootnoteReference"/>
        </w:rPr>
        <w:footnoteReference w:id="7"/>
      </w:r>
      <w:r w:rsidRPr="004E62D8">
        <w:t xml:space="preserve"> While several NDIS participants had refused consent to be part of research, others appeared to have neither given nor refused this consent. (The NDIA verified these records, re</w:t>
      </w:r>
      <w:r w:rsidR="003652F8">
        <w:t>-</w:t>
      </w:r>
      <w:r w:rsidRPr="004E62D8">
        <w:t>contacting participants to seek determination</w:t>
      </w:r>
      <w:r>
        <w:t xml:space="preserve">.) </w:t>
      </w:r>
    </w:p>
    <w:p w:rsidR="00FA139B" w:rsidRPr="008B70CD" w:rsidRDefault="00FA139B" w:rsidP="00D907AF"/>
    <w:p w:rsidR="00D907AF" w:rsidRPr="004E62D8" w:rsidRDefault="00D907AF" w:rsidP="0044684E">
      <w:pPr>
        <w:pStyle w:val="NILSTableHeading"/>
      </w:pPr>
      <w:bookmarkStart w:id="156" w:name="_Toc428280652"/>
      <w:bookmarkStart w:id="157" w:name="_Toc449955264"/>
      <w:r w:rsidRPr="004E62D8">
        <w:t xml:space="preserve">Table </w:t>
      </w:r>
      <w:r>
        <w:t xml:space="preserve">3.2: </w:t>
      </w:r>
      <w:r w:rsidRPr="004E62D8">
        <w:t>NDIS Survey study populations and samples</w:t>
      </w:r>
      <w:bookmarkEnd w:id="156"/>
      <w:bookmarkEnd w:id="157"/>
      <w:r w:rsidRPr="004E62D8">
        <w:t xml:space="preserve"> </w:t>
      </w:r>
    </w:p>
    <w:tbl>
      <w:tblPr>
        <w:tblStyle w:val="TableGrid"/>
        <w:tblW w:w="4943" w:type="pct"/>
        <w:tblLayout w:type="fixed"/>
        <w:tblLook w:val="04A0" w:firstRow="1" w:lastRow="0" w:firstColumn="1" w:lastColumn="0" w:noHBand="0" w:noVBand="1"/>
        <w:tblCaption w:val="Table 3.2 NDIS Survey study populations and samples "/>
      </w:tblPr>
      <w:tblGrid>
        <w:gridCol w:w="3160"/>
        <w:gridCol w:w="830"/>
        <w:gridCol w:w="945"/>
        <w:gridCol w:w="913"/>
        <w:gridCol w:w="913"/>
        <w:gridCol w:w="1085"/>
        <w:gridCol w:w="1121"/>
      </w:tblGrid>
      <w:tr w:rsidR="00493B36" w:rsidRPr="00871904" w:rsidTr="00F87D5D">
        <w:trPr>
          <w:cantSplit/>
          <w:tblHeader/>
        </w:trPr>
        <w:tc>
          <w:tcPr>
            <w:tcW w:w="1762" w:type="pct"/>
            <w:tcBorders>
              <w:top w:val="single" w:sz="4" w:space="0" w:color="auto"/>
            </w:tcBorders>
          </w:tcPr>
          <w:p w:rsidR="008737F1" w:rsidRPr="00E17DBD" w:rsidRDefault="008737F1" w:rsidP="00D907AF">
            <w:pPr>
              <w:spacing w:before="20" w:after="20"/>
              <w:rPr>
                <w:rFonts w:cstheme="minorHAnsi"/>
                <w:sz w:val="20"/>
                <w:szCs w:val="20"/>
              </w:rPr>
            </w:pPr>
            <w:bookmarkStart w:id="158" w:name="Title_3_2"/>
            <w:bookmarkEnd w:id="158"/>
          </w:p>
        </w:tc>
        <w:tc>
          <w:tcPr>
            <w:tcW w:w="463" w:type="pct"/>
            <w:tcBorders>
              <w:top w:val="single" w:sz="4" w:space="0" w:color="auto"/>
            </w:tcBorders>
          </w:tcPr>
          <w:p w:rsidR="008737F1" w:rsidRPr="00E17DBD" w:rsidRDefault="008737F1" w:rsidP="00493B36">
            <w:pPr>
              <w:spacing w:before="20" w:after="20"/>
              <w:ind w:left="-112" w:right="-106"/>
              <w:jc w:val="center"/>
              <w:rPr>
                <w:rFonts w:cstheme="minorHAnsi"/>
                <w:sz w:val="20"/>
                <w:szCs w:val="20"/>
              </w:rPr>
            </w:pPr>
            <w:r w:rsidRPr="00E17DBD">
              <w:rPr>
                <w:rFonts w:cstheme="minorHAnsi"/>
                <w:sz w:val="20"/>
                <w:szCs w:val="20"/>
              </w:rPr>
              <w:t>Trial</w:t>
            </w:r>
            <w:r w:rsidR="00493B36">
              <w:rPr>
                <w:rFonts w:cstheme="minorHAnsi"/>
                <w:sz w:val="20"/>
                <w:szCs w:val="20"/>
              </w:rPr>
              <w:t xml:space="preserve"> site</w:t>
            </w:r>
          </w:p>
          <w:p w:rsidR="008737F1" w:rsidRDefault="008737F1" w:rsidP="00EE40A6">
            <w:pPr>
              <w:spacing w:before="20" w:after="20"/>
              <w:ind w:left="-116" w:right="-100"/>
              <w:jc w:val="center"/>
              <w:rPr>
                <w:rFonts w:cstheme="minorHAnsi"/>
                <w:sz w:val="20"/>
                <w:szCs w:val="20"/>
              </w:rPr>
            </w:pPr>
            <w:r w:rsidRPr="00E17DBD">
              <w:rPr>
                <w:rFonts w:cstheme="minorHAnsi"/>
                <w:sz w:val="20"/>
                <w:szCs w:val="20"/>
              </w:rPr>
              <w:t>Sample Wave 1a</w:t>
            </w:r>
          </w:p>
          <w:p w:rsidR="00F12908" w:rsidRPr="00E17DBD" w:rsidRDefault="00F12908" w:rsidP="00EE40A6">
            <w:pPr>
              <w:spacing w:before="20" w:after="20"/>
              <w:ind w:left="-116" w:right="-100"/>
              <w:jc w:val="center"/>
              <w:rPr>
                <w:rFonts w:cstheme="minorHAnsi"/>
                <w:sz w:val="20"/>
                <w:szCs w:val="20"/>
              </w:rPr>
            </w:pPr>
            <w:r>
              <w:rPr>
                <w:rFonts w:cstheme="minorHAnsi"/>
                <w:sz w:val="20"/>
                <w:szCs w:val="20"/>
              </w:rPr>
              <w:t>N</w:t>
            </w:r>
          </w:p>
        </w:tc>
        <w:tc>
          <w:tcPr>
            <w:tcW w:w="527" w:type="pct"/>
            <w:tcBorders>
              <w:top w:val="single" w:sz="4" w:space="0" w:color="auto"/>
            </w:tcBorders>
          </w:tcPr>
          <w:p w:rsidR="008737F1" w:rsidRPr="00E17DBD" w:rsidRDefault="008737F1" w:rsidP="00823761">
            <w:pPr>
              <w:spacing w:before="20" w:after="20"/>
              <w:ind w:right="30"/>
              <w:jc w:val="center"/>
              <w:rPr>
                <w:rFonts w:cstheme="minorHAnsi"/>
                <w:sz w:val="20"/>
                <w:szCs w:val="20"/>
              </w:rPr>
            </w:pPr>
            <w:r w:rsidRPr="008737F1">
              <w:rPr>
                <w:rFonts w:cstheme="minorHAnsi"/>
                <w:sz w:val="20"/>
                <w:szCs w:val="20"/>
              </w:rPr>
              <w:t xml:space="preserve">Trial </w:t>
            </w:r>
            <w:r w:rsidR="00493B36">
              <w:rPr>
                <w:rFonts w:cstheme="minorHAnsi"/>
                <w:sz w:val="20"/>
                <w:szCs w:val="20"/>
              </w:rPr>
              <w:t xml:space="preserve">site </w:t>
            </w:r>
            <w:r w:rsidRPr="008737F1">
              <w:rPr>
                <w:rFonts w:cstheme="minorHAnsi"/>
                <w:sz w:val="20"/>
                <w:szCs w:val="20"/>
              </w:rPr>
              <w:t>Sample Wave 1a</w:t>
            </w:r>
            <w:r>
              <w:rPr>
                <w:rFonts w:cstheme="minorHAnsi"/>
                <w:sz w:val="20"/>
                <w:szCs w:val="20"/>
              </w:rPr>
              <w:t xml:space="preserve"> %</w:t>
            </w:r>
          </w:p>
        </w:tc>
        <w:tc>
          <w:tcPr>
            <w:tcW w:w="509" w:type="pct"/>
            <w:tcBorders>
              <w:top w:val="single" w:sz="4" w:space="0" w:color="auto"/>
            </w:tcBorders>
          </w:tcPr>
          <w:p w:rsidR="008737F1" w:rsidRPr="00E17DBD" w:rsidRDefault="008737F1" w:rsidP="00823761">
            <w:pPr>
              <w:spacing w:before="20" w:after="20"/>
              <w:jc w:val="center"/>
              <w:rPr>
                <w:rFonts w:cstheme="minorHAnsi"/>
                <w:sz w:val="20"/>
                <w:szCs w:val="20"/>
              </w:rPr>
            </w:pPr>
            <w:r w:rsidRPr="00E17DBD">
              <w:rPr>
                <w:rFonts w:cstheme="minorHAnsi"/>
                <w:sz w:val="20"/>
                <w:szCs w:val="20"/>
              </w:rPr>
              <w:t>Trial</w:t>
            </w:r>
            <w:r w:rsidR="00493B36">
              <w:rPr>
                <w:rFonts w:cstheme="minorHAnsi"/>
                <w:sz w:val="20"/>
                <w:szCs w:val="20"/>
              </w:rPr>
              <w:t xml:space="preserve"> site</w:t>
            </w:r>
          </w:p>
          <w:p w:rsidR="008737F1" w:rsidRPr="00E17DBD" w:rsidRDefault="008737F1" w:rsidP="00823761">
            <w:pPr>
              <w:spacing w:before="20" w:after="20"/>
              <w:jc w:val="center"/>
              <w:rPr>
                <w:rFonts w:cstheme="minorHAnsi"/>
                <w:sz w:val="20"/>
                <w:szCs w:val="20"/>
              </w:rPr>
            </w:pPr>
            <w:r>
              <w:rPr>
                <w:rFonts w:cstheme="minorHAnsi"/>
                <w:sz w:val="20"/>
                <w:szCs w:val="20"/>
              </w:rPr>
              <w:t>S</w:t>
            </w:r>
            <w:r w:rsidRPr="00E17DBD">
              <w:rPr>
                <w:rFonts w:cstheme="minorHAnsi"/>
                <w:sz w:val="20"/>
                <w:szCs w:val="20"/>
              </w:rPr>
              <w:t>ample Wave 1b</w:t>
            </w:r>
            <w:r w:rsidR="00F12908">
              <w:rPr>
                <w:rFonts w:cstheme="minorHAnsi"/>
                <w:sz w:val="20"/>
                <w:szCs w:val="20"/>
              </w:rPr>
              <w:t xml:space="preserve"> N</w:t>
            </w:r>
          </w:p>
        </w:tc>
        <w:tc>
          <w:tcPr>
            <w:tcW w:w="509" w:type="pct"/>
            <w:tcBorders>
              <w:top w:val="single" w:sz="4" w:space="0" w:color="auto"/>
            </w:tcBorders>
          </w:tcPr>
          <w:p w:rsidR="008737F1" w:rsidRPr="00E17DBD" w:rsidRDefault="008737F1" w:rsidP="00621655">
            <w:pPr>
              <w:spacing w:before="20" w:after="20"/>
              <w:jc w:val="center"/>
              <w:rPr>
                <w:rFonts w:cstheme="minorHAnsi"/>
                <w:sz w:val="20"/>
                <w:szCs w:val="20"/>
              </w:rPr>
            </w:pPr>
            <w:r w:rsidRPr="008737F1">
              <w:rPr>
                <w:rFonts w:cstheme="minorHAnsi"/>
                <w:sz w:val="20"/>
                <w:szCs w:val="20"/>
              </w:rPr>
              <w:t xml:space="preserve">Trial </w:t>
            </w:r>
            <w:r w:rsidR="00493B36">
              <w:rPr>
                <w:rFonts w:cstheme="minorHAnsi"/>
                <w:sz w:val="20"/>
                <w:szCs w:val="20"/>
              </w:rPr>
              <w:t xml:space="preserve">site </w:t>
            </w:r>
            <w:r w:rsidRPr="008737F1">
              <w:rPr>
                <w:rFonts w:cstheme="minorHAnsi"/>
                <w:sz w:val="20"/>
                <w:szCs w:val="20"/>
              </w:rPr>
              <w:t>Sample Wave 1b</w:t>
            </w:r>
            <w:r>
              <w:rPr>
                <w:rFonts w:cstheme="minorHAnsi"/>
                <w:sz w:val="20"/>
                <w:szCs w:val="20"/>
              </w:rPr>
              <w:t xml:space="preserve"> %</w:t>
            </w:r>
          </w:p>
        </w:tc>
        <w:tc>
          <w:tcPr>
            <w:tcW w:w="605" w:type="pct"/>
            <w:tcBorders>
              <w:top w:val="single" w:sz="4" w:space="0" w:color="auto"/>
            </w:tcBorders>
          </w:tcPr>
          <w:p w:rsidR="008737F1" w:rsidRPr="00E17DBD" w:rsidRDefault="008737F1" w:rsidP="00823761">
            <w:pPr>
              <w:spacing w:before="20" w:after="20"/>
              <w:ind w:left="-99" w:right="-107"/>
              <w:jc w:val="center"/>
              <w:rPr>
                <w:rFonts w:cstheme="minorHAnsi"/>
                <w:sz w:val="20"/>
                <w:szCs w:val="20"/>
              </w:rPr>
            </w:pPr>
            <w:r w:rsidRPr="00E17DBD">
              <w:rPr>
                <w:rFonts w:cstheme="minorHAnsi"/>
                <w:sz w:val="20"/>
                <w:szCs w:val="20"/>
              </w:rPr>
              <w:t>Comparison</w:t>
            </w:r>
          </w:p>
          <w:p w:rsidR="008737F1" w:rsidRDefault="008737F1" w:rsidP="00823761">
            <w:pPr>
              <w:spacing w:before="20" w:after="20"/>
              <w:jc w:val="center"/>
              <w:rPr>
                <w:rFonts w:cstheme="minorHAnsi"/>
                <w:sz w:val="20"/>
                <w:szCs w:val="20"/>
              </w:rPr>
            </w:pPr>
            <w:r w:rsidRPr="00E17DBD">
              <w:rPr>
                <w:rFonts w:cstheme="minorHAnsi"/>
                <w:sz w:val="20"/>
                <w:szCs w:val="20"/>
              </w:rPr>
              <w:t>Sample Wave 1</w:t>
            </w:r>
          </w:p>
          <w:p w:rsidR="00F12908" w:rsidRPr="00E17DBD" w:rsidRDefault="00F12908" w:rsidP="00823761">
            <w:pPr>
              <w:spacing w:before="20" w:after="20"/>
              <w:jc w:val="center"/>
              <w:rPr>
                <w:rFonts w:cstheme="minorHAnsi"/>
                <w:sz w:val="20"/>
                <w:szCs w:val="20"/>
              </w:rPr>
            </w:pPr>
            <w:r>
              <w:rPr>
                <w:rFonts w:cstheme="minorHAnsi"/>
                <w:sz w:val="20"/>
                <w:szCs w:val="20"/>
              </w:rPr>
              <w:t>N</w:t>
            </w:r>
          </w:p>
        </w:tc>
        <w:tc>
          <w:tcPr>
            <w:tcW w:w="625" w:type="pct"/>
            <w:tcBorders>
              <w:top w:val="single" w:sz="4" w:space="0" w:color="auto"/>
            </w:tcBorders>
          </w:tcPr>
          <w:p w:rsidR="008737F1" w:rsidRPr="00E17DBD" w:rsidRDefault="008737F1" w:rsidP="00823761">
            <w:pPr>
              <w:spacing w:before="20" w:after="20"/>
              <w:ind w:left="-109" w:right="-124"/>
              <w:jc w:val="center"/>
              <w:rPr>
                <w:rFonts w:cstheme="minorHAnsi"/>
                <w:sz w:val="20"/>
                <w:szCs w:val="20"/>
              </w:rPr>
            </w:pPr>
            <w:r w:rsidRPr="00E17DBD">
              <w:rPr>
                <w:rFonts w:cstheme="minorHAnsi"/>
                <w:sz w:val="20"/>
                <w:szCs w:val="20"/>
              </w:rPr>
              <w:t>Comparison</w:t>
            </w:r>
          </w:p>
          <w:p w:rsidR="0043142A" w:rsidRDefault="008737F1" w:rsidP="0043142A">
            <w:pPr>
              <w:spacing w:before="20" w:after="20"/>
              <w:ind w:right="81"/>
              <w:jc w:val="center"/>
              <w:rPr>
                <w:rFonts w:cstheme="minorHAnsi"/>
                <w:sz w:val="20"/>
                <w:szCs w:val="20"/>
              </w:rPr>
            </w:pPr>
            <w:r w:rsidRPr="00E17DBD">
              <w:rPr>
                <w:rFonts w:cstheme="minorHAnsi"/>
                <w:sz w:val="20"/>
                <w:szCs w:val="20"/>
              </w:rPr>
              <w:t>Sample Wave 1</w:t>
            </w:r>
            <w:r>
              <w:rPr>
                <w:rFonts w:cstheme="minorHAnsi"/>
                <w:sz w:val="20"/>
                <w:szCs w:val="20"/>
              </w:rPr>
              <w:t xml:space="preserve"> </w:t>
            </w:r>
          </w:p>
          <w:p w:rsidR="008737F1" w:rsidRPr="00E17DBD" w:rsidRDefault="008737F1" w:rsidP="0043142A">
            <w:pPr>
              <w:spacing w:before="20" w:after="20"/>
              <w:ind w:right="81"/>
              <w:jc w:val="center"/>
              <w:rPr>
                <w:rFonts w:cstheme="minorHAnsi"/>
                <w:sz w:val="20"/>
                <w:szCs w:val="20"/>
              </w:rPr>
            </w:pPr>
            <w:r>
              <w:rPr>
                <w:rFonts w:cstheme="minorHAnsi"/>
                <w:sz w:val="20"/>
                <w:szCs w:val="20"/>
              </w:rPr>
              <w:t>%</w:t>
            </w:r>
          </w:p>
        </w:tc>
      </w:tr>
      <w:tr w:rsidR="00621655" w:rsidRPr="00871904" w:rsidTr="003F61C9">
        <w:trPr>
          <w:cantSplit/>
          <w:trHeight w:val="283"/>
        </w:trPr>
        <w:tc>
          <w:tcPr>
            <w:tcW w:w="1762" w:type="pct"/>
            <w:tcBorders>
              <w:top w:val="single" w:sz="4" w:space="0" w:color="auto"/>
            </w:tcBorders>
            <w:vAlign w:val="center"/>
          </w:tcPr>
          <w:p w:rsidR="00D907AF" w:rsidRPr="00E17DBD" w:rsidRDefault="00D907AF" w:rsidP="00A655F6">
            <w:pPr>
              <w:spacing w:before="20" w:after="20"/>
              <w:rPr>
                <w:rFonts w:cstheme="minorHAnsi"/>
                <w:sz w:val="20"/>
                <w:szCs w:val="20"/>
              </w:rPr>
            </w:pPr>
            <w:r w:rsidRPr="00E17DBD">
              <w:rPr>
                <w:rFonts w:cstheme="minorHAnsi"/>
                <w:sz w:val="20"/>
                <w:szCs w:val="20"/>
              </w:rPr>
              <w:t>Study population</w:t>
            </w:r>
          </w:p>
        </w:tc>
        <w:tc>
          <w:tcPr>
            <w:tcW w:w="463" w:type="pct"/>
            <w:tcBorders>
              <w:top w:val="single" w:sz="4" w:space="0" w:color="auto"/>
            </w:tcBorders>
            <w:vAlign w:val="center"/>
          </w:tcPr>
          <w:p w:rsidR="00D907AF" w:rsidRPr="00E17DBD" w:rsidRDefault="00D907AF" w:rsidP="00A655F6">
            <w:pPr>
              <w:spacing w:before="20" w:after="20"/>
              <w:ind w:right="113"/>
              <w:jc w:val="right"/>
              <w:rPr>
                <w:rFonts w:cstheme="minorHAnsi"/>
                <w:sz w:val="20"/>
                <w:szCs w:val="20"/>
              </w:rPr>
            </w:pPr>
            <w:r w:rsidRPr="00E17DBD">
              <w:rPr>
                <w:rFonts w:cstheme="minorHAnsi"/>
                <w:sz w:val="20"/>
                <w:szCs w:val="20"/>
              </w:rPr>
              <w:t>5</w:t>
            </w:r>
            <w:r>
              <w:rPr>
                <w:rFonts w:cstheme="minorHAnsi"/>
                <w:sz w:val="20"/>
                <w:szCs w:val="20"/>
              </w:rPr>
              <w:t>,</w:t>
            </w:r>
            <w:r w:rsidRPr="00E17DBD">
              <w:rPr>
                <w:rFonts w:cstheme="minorHAnsi"/>
                <w:sz w:val="20"/>
                <w:szCs w:val="20"/>
              </w:rPr>
              <w:t>860</w:t>
            </w:r>
          </w:p>
        </w:tc>
        <w:tc>
          <w:tcPr>
            <w:tcW w:w="527" w:type="pct"/>
            <w:tcBorders>
              <w:top w:val="single" w:sz="4" w:space="0" w:color="auto"/>
            </w:tcBorders>
            <w:vAlign w:val="center"/>
          </w:tcPr>
          <w:p w:rsidR="00D907AF" w:rsidRPr="00E17DBD" w:rsidRDefault="00D907AF" w:rsidP="00A655F6">
            <w:pPr>
              <w:spacing w:before="20" w:after="20"/>
              <w:jc w:val="right"/>
              <w:rPr>
                <w:rFonts w:cstheme="minorHAnsi"/>
                <w:sz w:val="20"/>
                <w:szCs w:val="20"/>
              </w:rPr>
            </w:pPr>
          </w:p>
        </w:tc>
        <w:tc>
          <w:tcPr>
            <w:tcW w:w="509" w:type="pct"/>
            <w:tcBorders>
              <w:top w:val="single" w:sz="4" w:space="0" w:color="auto"/>
            </w:tcBorders>
            <w:vAlign w:val="center"/>
          </w:tcPr>
          <w:p w:rsidR="00D907AF" w:rsidRPr="00E17DBD" w:rsidRDefault="00D907AF" w:rsidP="00A655F6">
            <w:pPr>
              <w:spacing w:before="20" w:after="20"/>
              <w:ind w:right="113"/>
              <w:jc w:val="right"/>
              <w:rPr>
                <w:rFonts w:cstheme="minorHAnsi"/>
                <w:sz w:val="20"/>
                <w:szCs w:val="20"/>
              </w:rPr>
            </w:pPr>
            <w:r w:rsidRPr="00E17DBD">
              <w:rPr>
                <w:rFonts w:cstheme="minorHAnsi"/>
                <w:sz w:val="20"/>
                <w:szCs w:val="20"/>
              </w:rPr>
              <w:t>5</w:t>
            </w:r>
            <w:r>
              <w:rPr>
                <w:rFonts w:cstheme="minorHAnsi"/>
                <w:sz w:val="20"/>
                <w:szCs w:val="20"/>
              </w:rPr>
              <w:t>,</w:t>
            </w:r>
            <w:r w:rsidRPr="00E17DBD">
              <w:rPr>
                <w:rFonts w:cstheme="minorHAnsi"/>
                <w:sz w:val="20"/>
                <w:szCs w:val="20"/>
              </w:rPr>
              <w:t>313</w:t>
            </w:r>
          </w:p>
        </w:tc>
        <w:tc>
          <w:tcPr>
            <w:tcW w:w="509" w:type="pct"/>
            <w:tcBorders>
              <w:top w:val="single" w:sz="4" w:space="0" w:color="auto"/>
            </w:tcBorders>
            <w:vAlign w:val="center"/>
          </w:tcPr>
          <w:p w:rsidR="00D907AF" w:rsidRPr="00E17DBD" w:rsidRDefault="00D907AF" w:rsidP="00A655F6">
            <w:pPr>
              <w:spacing w:before="20" w:after="20"/>
              <w:ind w:right="170"/>
              <w:jc w:val="right"/>
              <w:rPr>
                <w:rFonts w:cstheme="minorHAnsi"/>
                <w:sz w:val="20"/>
                <w:szCs w:val="20"/>
              </w:rPr>
            </w:pPr>
          </w:p>
        </w:tc>
        <w:tc>
          <w:tcPr>
            <w:tcW w:w="605" w:type="pct"/>
            <w:tcBorders>
              <w:top w:val="single" w:sz="4" w:space="0" w:color="auto"/>
            </w:tcBorders>
            <w:vAlign w:val="center"/>
          </w:tcPr>
          <w:p w:rsidR="00D907AF" w:rsidRPr="00E17DBD" w:rsidRDefault="00D907AF" w:rsidP="00A655F6">
            <w:pPr>
              <w:spacing w:before="20" w:after="20"/>
              <w:ind w:right="113"/>
              <w:jc w:val="right"/>
              <w:rPr>
                <w:rFonts w:cstheme="minorHAnsi"/>
                <w:sz w:val="20"/>
                <w:szCs w:val="20"/>
              </w:rPr>
            </w:pPr>
            <w:r w:rsidRPr="00E17DBD">
              <w:rPr>
                <w:rFonts w:cstheme="minorHAnsi"/>
                <w:sz w:val="20"/>
                <w:szCs w:val="20"/>
              </w:rPr>
              <w:t>757,614</w:t>
            </w:r>
          </w:p>
        </w:tc>
        <w:tc>
          <w:tcPr>
            <w:tcW w:w="625" w:type="pct"/>
            <w:tcBorders>
              <w:top w:val="single" w:sz="4" w:space="0" w:color="auto"/>
            </w:tcBorders>
            <w:vAlign w:val="center"/>
          </w:tcPr>
          <w:p w:rsidR="00D907AF" w:rsidRPr="00E17DBD" w:rsidRDefault="00D907AF" w:rsidP="00A655F6">
            <w:pPr>
              <w:spacing w:before="20" w:after="20"/>
              <w:ind w:right="284"/>
              <w:jc w:val="right"/>
              <w:rPr>
                <w:rFonts w:cstheme="minorHAnsi"/>
                <w:sz w:val="20"/>
                <w:szCs w:val="20"/>
              </w:rPr>
            </w:pPr>
          </w:p>
        </w:tc>
      </w:tr>
      <w:tr w:rsidR="00621655" w:rsidRPr="00871904" w:rsidTr="003F61C9">
        <w:trPr>
          <w:cantSplit/>
          <w:trHeight w:val="283"/>
        </w:trPr>
        <w:tc>
          <w:tcPr>
            <w:tcW w:w="1762" w:type="pct"/>
            <w:vAlign w:val="center"/>
          </w:tcPr>
          <w:p w:rsidR="00D907AF" w:rsidRPr="00E17DBD" w:rsidRDefault="00D907AF" w:rsidP="00A655F6">
            <w:pPr>
              <w:spacing w:before="20" w:after="20"/>
              <w:rPr>
                <w:rFonts w:cstheme="minorHAnsi"/>
                <w:sz w:val="20"/>
                <w:szCs w:val="20"/>
              </w:rPr>
            </w:pPr>
            <w:r w:rsidRPr="00E17DBD">
              <w:rPr>
                <w:rFonts w:cstheme="minorHAnsi"/>
                <w:sz w:val="20"/>
                <w:szCs w:val="20"/>
              </w:rPr>
              <w:t>Original sample</w:t>
            </w:r>
          </w:p>
        </w:tc>
        <w:tc>
          <w:tcPr>
            <w:tcW w:w="463" w:type="pct"/>
            <w:vAlign w:val="center"/>
          </w:tcPr>
          <w:p w:rsidR="00D907AF" w:rsidRPr="00E17DBD" w:rsidRDefault="00D907AF" w:rsidP="00A655F6">
            <w:pPr>
              <w:spacing w:before="20" w:after="20"/>
              <w:ind w:right="113"/>
              <w:jc w:val="right"/>
              <w:rPr>
                <w:rFonts w:cstheme="minorHAnsi"/>
                <w:sz w:val="20"/>
                <w:szCs w:val="20"/>
              </w:rPr>
            </w:pPr>
            <w:r w:rsidRPr="00E17DBD">
              <w:rPr>
                <w:rFonts w:cstheme="minorHAnsi"/>
                <w:sz w:val="20"/>
                <w:szCs w:val="20"/>
              </w:rPr>
              <w:t>5</w:t>
            </w:r>
            <w:r>
              <w:rPr>
                <w:rFonts w:cstheme="minorHAnsi"/>
                <w:sz w:val="20"/>
                <w:szCs w:val="20"/>
              </w:rPr>
              <w:t>,</w:t>
            </w:r>
            <w:r w:rsidRPr="00E17DBD">
              <w:rPr>
                <w:rFonts w:cstheme="minorHAnsi"/>
                <w:sz w:val="20"/>
                <w:szCs w:val="20"/>
              </w:rPr>
              <w:t>860</w:t>
            </w:r>
          </w:p>
        </w:tc>
        <w:tc>
          <w:tcPr>
            <w:tcW w:w="527" w:type="pct"/>
            <w:vAlign w:val="center"/>
          </w:tcPr>
          <w:p w:rsidR="00D907AF" w:rsidRPr="00E17DBD" w:rsidRDefault="00D907AF" w:rsidP="00A655F6">
            <w:pPr>
              <w:spacing w:before="20" w:after="20"/>
              <w:jc w:val="center"/>
              <w:rPr>
                <w:rFonts w:cstheme="minorHAnsi"/>
                <w:sz w:val="20"/>
                <w:szCs w:val="20"/>
              </w:rPr>
            </w:pPr>
            <w:r w:rsidRPr="00E17DBD">
              <w:rPr>
                <w:rFonts w:cstheme="minorHAnsi"/>
                <w:sz w:val="20"/>
                <w:szCs w:val="20"/>
              </w:rPr>
              <w:t>100</w:t>
            </w:r>
          </w:p>
        </w:tc>
        <w:tc>
          <w:tcPr>
            <w:tcW w:w="509" w:type="pct"/>
            <w:vAlign w:val="center"/>
          </w:tcPr>
          <w:p w:rsidR="00D907AF" w:rsidRPr="00E17DBD" w:rsidRDefault="00D907AF" w:rsidP="00A655F6">
            <w:pPr>
              <w:spacing w:before="20" w:after="20"/>
              <w:ind w:right="113"/>
              <w:jc w:val="right"/>
              <w:rPr>
                <w:rFonts w:cstheme="minorHAnsi"/>
                <w:sz w:val="20"/>
                <w:szCs w:val="20"/>
              </w:rPr>
            </w:pPr>
            <w:r w:rsidRPr="00E17DBD">
              <w:rPr>
                <w:rFonts w:cstheme="minorHAnsi"/>
                <w:sz w:val="20"/>
                <w:szCs w:val="20"/>
              </w:rPr>
              <w:t>5</w:t>
            </w:r>
            <w:r>
              <w:rPr>
                <w:rFonts w:cstheme="minorHAnsi"/>
                <w:sz w:val="20"/>
                <w:szCs w:val="20"/>
              </w:rPr>
              <w:t>,</w:t>
            </w:r>
            <w:r w:rsidRPr="00E17DBD">
              <w:rPr>
                <w:rFonts w:cstheme="minorHAnsi"/>
                <w:sz w:val="20"/>
                <w:szCs w:val="20"/>
              </w:rPr>
              <w:t>313</w:t>
            </w:r>
          </w:p>
        </w:tc>
        <w:tc>
          <w:tcPr>
            <w:tcW w:w="509" w:type="pct"/>
            <w:vAlign w:val="center"/>
          </w:tcPr>
          <w:p w:rsidR="00D907AF" w:rsidRPr="00E17DBD" w:rsidRDefault="00D907AF" w:rsidP="00A655F6">
            <w:pPr>
              <w:spacing w:before="20" w:after="20"/>
              <w:ind w:right="170"/>
              <w:jc w:val="right"/>
              <w:rPr>
                <w:rFonts w:cstheme="minorHAnsi"/>
                <w:sz w:val="20"/>
                <w:szCs w:val="20"/>
              </w:rPr>
            </w:pPr>
            <w:r w:rsidRPr="00E17DBD">
              <w:rPr>
                <w:rFonts w:cstheme="minorHAnsi"/>
                <w:sz w:val="20"/>
                <w:szCs w:val="20"/>
              </w:rPr>
              <w:t>100</w:t>
            </w:r>
          </w:p>
        </w:tc>
        <w:tc>
          <w:tcPr>
            <w:tcW w:w="605" w:type="pct"/>
            <w:vAlign w:val="center"/>
          </w:tcPr>
          <w:p w:rsidR="00D907AF" w:rsidRPr="00E17DBD" w:rsidRDefault="00D907AF" w:rsidP="00A655F6">
            <w:pPr>
              <w:spacing w:before="20" w:after="20"/>
              <w:ind w:right="113"/>
              <w:jc w:val="right"/>
              <w:rPr>
                <w:rFonts w:cstheme="minorHAnsi"/>
                <w:sz w:val="20"/>
                <w:szCs w:val="20"/>
              </w:rPr>
            </w:pPr>
            <w:r w:rsidRPr="00E17DBD">
              <w:rPr>
                <w:rFonts w:cstheme="minorHAnsi"/>
                <w:sz w:val="20"/>
                <w:szCs w:val="20"/>
              </w:rPr>
              <w:t>14,049</w:t>
            </w:r>
          </w:p>
        </w:tc>
        <w:tc>
          <w:tcPr>
            <w:tcW w:w="625" w:type="pct"/>
            <w:vAlign w:val="center"/>
          </w:tcPr>
          <w:p w:rsidR="00D907AF" w:rsidRPr="00E17DBD" w:rsidRDefault="00D907AF" w:rsidP="00A655F6">
            <w:pPr>
              <w:spacing w:before="20" w:after="20"/>
              <w:ind w:right="284"/>
              <w:jc w:val="right"/>
              <w:rPr>
                <w:rFonts w:cstheme="minorHAnsi"/>
                <w:sz w:val="20"/>
                <w:szCs w:val="20"/>
              </w:rPr>
            </w:pPr>
            <w:r w:rsidRPr="00E17DBD">
              <w:rPr>
                <w:rFonts w:cstheme="minorHAnsi"/>
                <w:sz w:val="20"/>
                <w:szCs w:val="20"/>
              </w:rPr>
              <w:t>100</w:t>
            </w:r>
          </w:p>
        </w:tc>
      </w:tr>
      <w:tr w:rsidR="00621655" w:rsidRPr="00871904" w:rsidTr="003F61C9">
        <w:trPr>
          <w:cantSplit/>
          <w:trHeight w:val="283"/>
        </w:trPr>
        <w:tc>
          <w:tcPr>
            <w:tcW w:w="1762" w:type="pct"/>
            <w:vAlign w:val="center"/>
          </w:tcPr>
          <w:p w:rsidR="00D907AF" w:rsidRPr="00E17DBD" w:rsidRDefault="00D907AF" w:rsidP="00A655F6">
            <w:pPr>
              <w:spacing w:before="20" w:after="20"/>
              <w:ind w:right="-162"/>
              <w:rPr>
                <w:rFonts w:cstheme="minorHAnsi"/>
                <w:sz w:val="20"/>
                <w:szCs w:val="20"/>
              </w:rPr>
            </w:pPr>
            <w:r w:rsidRPr="00E17DBD">
              <w:rPr>
                <w:rFonts w:cstheme="minorHAnsi"/>
                <w:sz w:val="20"/>
                <w:szCs w:val="20"/>
              </w:rPr>
              <w:t>Sample after research consent check</w:t>
            </w:r>
          </w:p>
        </w:tc>
        <w:tc>
          <w:tcPr>
            <w:tcW w:w="463" w:type="pct"/>
            <w:vAlign w:val="center"/>
          </w:tcPr>
          <w:p w:rsidR="00D907AF" w:rsidRPr="00E17DBD" w:rsidRDefault="00D907AF" w:rsidP="00A655F6">
            <w:pPr>
              <w:spacing w:before="20" w:after="20"/>
              <w:ind w:right="113"/>
              <w:jc w:val="right"/>
              <w:rPr>
                <w:rFonts w:cstheme="minorHAnsi"/>
                <w:sz w:val="20"/>
                <w:szCs w:val="20"/>
              </w:rPr>
            </w:pPr>
            <w:r w:rsidRPr="00E17DBD">
              <w:rPr>
                <w:rFonts w:cstheme="minorHAnsi"/>
                <w:sz w:val="20"/>
                <w:szCs w:val="20"/>
              </w:rPr>
              <w:t>4</w:t>
            </w:r>
            <w:r>
              <w:rPr>
                <w:rFonts w:cstheme="minorHAnsi"/>
                <w:sz w:val="20"/>
                <w:szCs w:val="20"/>
              </w:rPr>
              <w:t>,</w:t>
            </w:r>
            <w:r w:rsidRPr="00E17DBD">
              <w:rPr>
                <w:rFonts w:cstheme="minorHAnsi"/>
                <w:sz w:val="20"/>
                <w:szCs w:val="20"/>
              </w:rPr>
              <w:t>448</w:t>
            </w:r>
          </w:p>
        </w:tc>
        <w:tc>
          <w:tcPr>
            <w:tcW w:w="527" w:type="pct"/>
            <w:vAlign w:val="center"/>
          </w:tcPr>
          <w:p w:rsidR="00D907AF" w:rsidRPr="00E17DBD" w:rsidRDefault="00D907AF" w:rsidP="00A655F6">
            <w:pPr>
              <w:spacing w:before="20" w:after="20"/>
              <w:jc w:val="center"/>
              <w:rPr>
                <w:rFonts w:cstheme="minorHAnsi"/>
                <w:sz w:val="20"/>
                <w:szCs w:val="20"/>
              </w:rPr>
            </w:pPr>
            <w:r w:rsidRPr="00E17DBD">
              <w:rPr>
                <w:rFonts w:cstheme="minorHAnsi"/>
                <w:sz w:val="20"/>
                <w:szCs w:val="20"/>
              </w:rPr>
              <w:t>75.9</w:t>
            </w:r>
          </w:p>
        </w:tc>
        <w:tc>
          <w:tcPr>
            <w:tcW w:w="509" w:type="pct"/>
            <w:vAlign w:val="center"/>
          </w:tcPr>
          <w:p w:rsidR="00D907AF" w:rsidRPr="00E17DBD" w:rsidRDefault="00D907AF" w:rsidP="00A655F6">
            <w:pPr>
              <w:spacing w:before="20" w:after="20"/>
              <w:ind w:right="113"/>
              <w:jc w:val="right"/>
              <w:rPr>
                <w:rFonts w:cstheme="minorHAnsi"/>
                <w:sz w:val="20"/>
                <w:szCs w:val="20"/>
              </w:rPr>
            </w:pPr>
            <w:r w:rsidRPr="00E17DBD">
              <w:rPr>
                <w:rFonts w:cstheme="minorHAnsi"/>
                <w:sz w:val="20"/>
                <w:szCs w:val="20"/>
              </w:rPr>
              <w:t>3</w:t>
            </w:r>
            <w:r>
              <w:rPr>
                <w:rFonts w:cstheme="minorHAnsi"/>
                <w:sz w:val="20"/>
                <w:szCs w:val="20"/>
              </w:rPr>
              <w:t>,</w:t>
            </w:r>
            <w:r w:rsidRPr="00E17DBD">
              <w:rPr>
                <w:rFonts w:cstheme="minorHAnsi"/>
                <w:sz w:val="20"/>
                <w:szCs w:val="20"/>
              </w:rPr>
              <w:t>027</w:t>
            </w:r>
          </w:p>
        </w:tc>
        <w:tc>
          <w:tcPr>
            <w:tcW w:w="509" w:type="pct"/>
            <w:vAlign w:val="center"/>
          </w:tcPr>
          <w:p w:rsidR="00D907AF" w:rsidRPr="00E17DBD" w:rsidRDefault="00D907AF" w:rsidP="00A655F6">
            <w:pPr>
              <w:spacing w:before="20" w:after="20"/>
              <w:ind w:right="170"/>
              <w:jc w:val="right"/>
              <w:rPr>
                <w:rFonts w:cstheme="minorHAnsi"/>
                <w:sz w:val="20"/>
                <w:szCs w:val="20"/>
              </w:rPr>
            </w:pPr>
            <w:r w:rsidRPr="00E17DBD">
              <w:rPr>
                <w:rFonts w:cstheme="minorHAnsi"/>
                <w:sz w:val="20"/>
                <w:szCs w:val="20"/>
              </w:rPr>
              <w:t>57.0</w:t>
            </w:r>
          </w:p>
        </w:tc>
        <w:tc>
          <w:tcPr>
            <w:tcW w:w="605" w:type="pct"/>
            <w:vAlign w:val="center"/>
          </w:tcPr>
          <w:p w:rsidR="00D907AF" w:rsidRPr="00E17DBD" w:rsidRDefault="00D907AF" w:rsidP="00A655F6">
            <w:pPr>
              <w:spacing w:before="20" w:after="20"/>
              <w:ind w:right="113"/>
              <w:jc w:val="right"/>
              <w:rPr>
                <w:rFonts w:cstheme="minorHAnsi"/>
                <w:sz w:val="20"/>
                <w:szCs w:val="20"/>
              </w:rPr>
            </w:pPr>
            <w:r w:rsidRPr="00E17DBD">
              <w:rPr>
                <w:rFonts w:cstheme="minorHAnsi"/>
                <w:sz w:val="20"/>
                <w:szCs w:val="20"/>
              </w:rPr>
              <w:t>n/a</w:t>
            </w:r>
          </w:p>
        </w:tc>
        <w:tc>
          <w:tcPr>
            <w:tcW w:w="625" w:type="pct"/>
            <w:vAlign w:val="center"/>
          </w:tcPr>
          <w:p w:rsidR="00D907AF" w:rsidRPr="00E17DBD" w:rsidRDefault="006C0CDC" w:rsidP="00A655F6">
            <w:pPr>
              <w:spacing w:before="20" w:after="20"/>
              <w:ind w:right="284"/>
              <w:jc w:val="right"/>
              <w:rPr>
                <w:rFonts w:cstheme="minorHAnsi"/>
                <w:sz w:val="20"/>
                <w:szCs w:val="20"/>
              </w:rPr>
            </w:pPr>
            <w:r w:rsidRPr="006C0CDC">
              <w:rPr>
                <w:rFonts w:cstheme="minorHAnsi"/>
                <w:sz w:val="20"/>
                <w:szCs w:val="20"/>
              </w:rPr>
              <w:t>n/a</w:t>
            </w:r>
          </w:p>
        </w:tc>
      </w:tr>
      <w:tr w:rsidR="00621655" w:rsidRPr="00871904" w:rsidTr="003F61C9">
        <w:trPr>
          <w:cantSplit/>
          <w:trHeight w:val="283"/>
        </w:trPr>
        <w:tc>
          <w:tcPr>
            <w:tcW w:w="1762" w:type="pct"/>
            <w:tcBorders>
              <w:bottom w:val="single" w:sz="4" w:space="0" w:color="auto"/>
            </w:tcBorders>
            <w:vAlign w:val="center"/>
          </w:tcPr>
          <w:p w:rsidR="00D907AF" w:rsidRPr="00E17DBD" w:rsidRDefault="00D907AF" w:rsidP="00A655F6">
            <w:pPr>
              <w:spacing w:before="20" w:after="20"/>
              <w:rPr>
                <w:rFonts w:cstheme="minorHAnsi"/>
                <w:sz w:val="20"/>
                <w:szCs w:val="20"/>
              </w:rPr>
            </w:pPr>
            <w:r w:rsidRPr="00E17DBD">
              <w:rPr>
                <w:rFonts w:cstheme="minorHAnsi"/>
                <w:sz w:val="20"/>
                <w:szCs w:val="20"/>
              </w:rPr>
              <w:t>Sample after opt-out*</w:t>
            </w:r>
          </w:p>
        </w:tc>
        <w:tc>
          <w:tcPr>
            <w:tcW w:w="463" w:type="pct"/>
            <w:tcBorders>
              <w:bottom w:val="single" w:sz="4" w:space="0" w:color="auto"/>
            </w:tcBorders>
            <w:vAlign w:val="center"/>
          </w:tcPr>
          <w:p w:rsidR="00D907AF" w:rsidRPr="00E17DBD" w:rsidRDefault="00D907AF" w:rsidP="00A655F6">
            <w:pPr>
              <w:spacing w:before="20" w:after="20"/>
              <w:ind w:right="113"/>
              <w:jc w:val="right"/>
              <w:rPr>
                <w:rFonts w:cstheme="minorHAnsi"/>
                <w:sz w:val="20"/>
                <w:szCs w:val="20"/>
              </w:rPr>
            </w:pPr>
            <w:r w:rsidRPr="00E17DBD">
              <w:rPr>
                <w:rFonts w:cstheme="minorHAnsi"/>
                <w:sz w:val="20"/>
                <w:szCs w:val="20"/>
              </w:rPr>
              <w:t>3</w:t>
            </w:r>
            <w:r>
              <w:rPr>
                <w:rFonts w:cstheme="minorHAnsi"/>
                <w:sz w:val="20"/>
                <w:szCs w:val="20"/>
              </w:rPr>
              <w:t>,</w:t>
            </w:r>
            <w:r w:rsidRPr="00E17DBD">
              <w:rPr>
                <w:rFonts w:cstheme="minorHAnsi"/>
                <w:sz w:val="20"/>
                <w:szCs w:val="20"/>
              </w:rPr>
              <w:t>948</w:t>
            </w:r>
          </w:p>
        </w:tc>
        <w:tc>
          <w:tcPr>
            <w:tcW w:w="527" w:type="pct"/>
            <w:tcBorders>
              <w:bottom w:val="single" w:sz="4" w:space="0" w:color="auto"/>
            </w:tcBorders>
            <w:vAlign w:val="center"/>
          </w:tcPr>
          <w:p w:rsidR="00D907AF" w:rsidRPr="00E17DBD" w:rsidRDefault="00D907AF" w:rsidP="00A655F6">
            <w:pPr>
              <w:spacing w:before="20" w:after="20"/>
              <w:jc w:val="center"/>
              <w:rPr>
                <w:rFonts w:cstheme="minorHAnsi"/>
                <w:sz w:val="20"/>
                <w:szCs w:val="20"/>
              </w:rPr>
            </w:pPr>
            <w:r w:rsidRPr="00E17DBD">
              <w:rPr>
                <w:rFonts w:cstheme="minorHAnsi"/>
                <w:sz w:val="20"/>
                <w:szCs w:val="20"/>
              </w:rPr>
              <w:t>67.4</w:t>
            </w:r>
          </w:p>
        </w:tc>
        <w:tc>
          <w:tcPr>
            <w:tcW w:w="509" w:type="pct"/>
            <w:tcBorders>
              <w:bottom w:val="single" w:sz="4" w:space="0" w:color="auto"/>
            </w:tcBorders>
            <w:vAlign w:val="center"/>
          </w:tcPr>
          <w:p w:rsidR="00D907AF" w:rsidRPr="00E17DBD" w:rsidRDefault="00D907AF" w:rsidP="00A655F6">
            <w:pPr>
              <w:spacing w:before="20" w:after="20"/>
              <w:ind w:right="113"/>
              <w:jc w:val="right"/>
              <w:rPr>
                <w:rFonts w:cstheme="minorHAnsi"/>
                <w:sz w:val="20"/>
                <w:szCs w:val="20"/>
              </w:rPr>
            </w:pPr>
            <w:r w:rsidRPr="00E17DBD">
              <w:rPr>
                <w:rFonts w:cstheme="minorHAnsi"/>
                <w:sz w:val="20"/>
                <w:szCs w:val="20"/>
              </w:rPr>
              <w:t>2</w:t>
            </w:r>
            <w:r>
              <w:rPr>
                <w:rFonts w:cstheme="minorHAnsi"/>
                <w:sz w:val="20"/>
                <w:szCs w:val="20"/>
              </w:rPr>
              <w:t>,</w:t>
            </w:r>
            <w:r w:rsidRPr="00E17DBD">
              <w:rPr>
                <w:rFonts w:cstheme="minorHAnsi"/>
                <w:sz w:val="20"/>
                <w:szCs w:val="20"/>
              </w:rPr>
              <w:t>724</w:t>
            </w:r>
          </w:p>
        </w:tc>
        <w:tc>
          <w:tcPr>
            <w:tcW w:w="509" w:type="pct"/>
            <w:tcBorders>
              <w:bottom w:val="single" w:sz="4" w:space="0" w:color="auto"/>
            </w:tcBorders>
            <w:vAlign w:val="center"/>
          </w:tcPr>
          <w:p w:rsidR="00D907AF" w:rsidRPr="00E17DBD" w:rsidRDefault="00D907AF" w:rsidP="00A655F6">
            <w:pPr>
              <w:spacing w:before="20" w:after="20"/>
              <w:ind w:right="170"/>
              <w:jc w:val="right"/>
              <w:rPr>
                <w:rFonts w:cstheme="minorHAnsi"/>
                <w:sz w:val="20"/>
                <w:szCs w:val="20"/>
              </w:rPr>
            </w:pPr>
            <w:r w:rsidRPr="00E17DBD">
              <w:rPr>
                <w:rFonts w:cstheme="minorHAnsi"/>
                <w:sz w:val="20"/>
                <w:szCs w:val="20"/>
              </w:rPr>
              <w:t>51.2</w:t>
            </w:r>
          </w:p>
        </w:tc>
        <w:tc>
          <w:tcPr>
            <w:tcW w:w="605" w:type="pct"/>
            <w:tcBorders>
              <w:bottom w:val="single" w:sz="4" w:space="0" w:color="auto"/>
            </w:tcBorders>
            <w:vAlign w:val="center"/>
          </w:tcPr>
          <w:p w:rsidR="00D907AF" w:rsidRPr="00E17DBD" w:rsidRDefault="00D907AF" w:rsidP="00A655F6">
            <w:pPr>
              <w:spacing w:before="20" w:after="20"/>
              <w:ind w:right="113"/>
              <w:jc w:val="right"/>
              <w:rPr>
                <w:rFonts w:cstheme="minorHAnsi"/>
                <w:sz w:val="20"/>
                <w:szCs w:val="20"/>
              </w:rPr>
            </w:pPr>
            <w:r w:rsidRPr="00E17DBD">
              <w:rPr>
                <w:rFonts w:cstheme="minorHAnsi"/>
                <w:sz w:val="20"/>
                <w:szCs w:val="20"/>
              </w:rPr>
              <w:t>7</w:t>
            </w:r>
            <w:r>
              <w:rPr>
                <w:rFonts w:cstheme="minorHAnsi"/>
                <w:sz w:val="20"/>
                <w:szCs w:val="20"/>
              </w:rPr>
              <w:t>,</w:t>
            </w:r>
            <w:r w:rsidRPr="00E17DBD">
              <w:rPr>
                <w:rFonts w:cstheme="minorHAnsi"/>
                <w:sz w:val="20"/>
                <w:szCs w:val="20"/>
              </w:rPr>
              <w:t>832</w:t>
            </w:r>
          </w:p>
        </w:tc>
        <w:tc>
          <w:tcPr>
            <w:tcW w:w="625" w:type="pct"/>
            <w:tcBorders>
              <w:bottom w:val="single" w:sz="4" w:space="0" w:color="auto"/>
            </w:tcBorders>
            <w:vAlign w:val="center"/>
          </w:tcPr>
          <w:p w:rsidR="00D907AF" w:rsidRPr="00E17DBD" w:rsidRDefault="00D907AF" w:rsidP="00A655F6">
            <w:pPr>
              <w:spacing w:before="20" w:after="20"/>
              <w:ind w:right="284"/>
              <w:jc w:val="right"/>
              <w:rPr>
                <w:rFonts w:cstheme="minorHAnsi"/>
                <w:sz w:val="20"/>
                <w:szCs w:val="20"/>
              </w:rPr>
            </w:pPr>
            <w:r w:rsidRPr="00E17DBD">
              <w:rPr>
                <w:rFonts w:cstheme="minorHAnsi"/>
                <w:sz w:val="20"/>
                <w:szCs w:val="20"/>
              </w:rPr>
              <w:t>55.7</w:t>
            </w:r>
          </w:p>
        </w:tc>
      </w:tr>
    </w:tbl>
    <w:p w:rsidR="00D907AF" w:rsidRPr="008B70CD" w:rsidRDefault="00D907AF" w:rsidP="00D53B5C">
      <w:pPr>
        <w:pStyle w:val="NILSReference"/>
      </w:pPr>
      <w:r w:rsidRPr="008B70CD">
        <w:t>Note: * with contact details confirmed useable by survey company</w:t>
      </w:r>
    </w:p>
    <w:p w:rsidR="00FA139B" w:rsidRDefault="00FA139B" w:rsidP="00D907AF"/>
    <w:p w:rsidR="00D907AF" w:rsidRDefault="00D907AF" w:rsidP="00D907AF">
      <w:r w:rsidRPr="004E62D8">
        <w:t xml:space="preserve">In the case of individuals in the DHS administrative datasets, consent was </w:t>
      </w:r>
      <w:r>
        <w:t>not recorded for everyone and in some instances the record was</w:t>
      </w:r>
      <w:r w:rsidRPr="004E62D8">
        <w:t xml:space="preserve"> deemed unreliable because </w:t>
      </w:r>
      <w:r>
        <w:t>the consent</w:t>
      </w:r>
      <w:r w:rsidRPr="004E62D8">
        <w:t xml:space="preserve"> had been given several months or years </w:t>
      </w:r>
      <w:r>
        <w:t>earlier</w:t>
      </w:r>
      <w:r w:rsidRPr="004E62D8">
        <w:t xml:space="preserve">. </w:t>
      </w:r>
      <w:r>
        <w:t>An</w:t>
      </w:r>
      <w:r w:rsidRPr="004E62D8">
        <w:t xml:space="preserve"> addition</w:t>
      </w:r>
      <w:r>
        <w:t>al complication came from the fact that</w:t>
      </w:r>
      <w:r w:rsidRPr="004E62D8">
        <w:t xml:space="preserve"> the wording of the consent question </w:t>
      </w:r>
      <w:r>
        <w:t xml:space="preserve">in the DHS forms </w:t>
      </w:r>
      <w:r w:rsidRPr="004E62D8">
        <w:t>ha</w:t>
      </w:r>
      <w:r>
        <w:t>s</w:t>
      </w:r>
      <w:r w:rsidRPr="004E62D8">
        <w:t xml:space="preserve"> </w:t>
      </w:r>
      <w:r>
        <w:t xml:space="preserve">been </w:t>
      </w:r>
      <w:r w:rsidRPr="004E62D8">
        <w:t>chang</w:t>
      </w:r>
      <w:r>
        <w:t>ing</w:t>
      </w:r>
      <w:r w:rsidRPr="004E62D8">
        <w:t xml:space="preserve"> over time. In order to safeguard the privacy of recipients of DHS payments and allowance</w:t>
      </w:r>
      <w:r>
        <w:t>s</w:t>
      </w:r>
      <w:r w:rsidRPr="004E62D8">
        <w:t xml:space="preserve">, a further opt-out procedure was introduced, in which every individual in the comparison sample was written to and informed about the study. Those who did not want to participate were </w:t>
      </w:r>
      <w:r>
        <w:t xml:space="preserve">given an opportunity to </w:t>
      </w:r>
      <w:r w:rsidR="00D26992">
        <w:t>opt-out</w:t>
      </w:r>
      <w:r w:rsidRPr="004E62D8">
        <w:t>.</w:t>
      </w:r>
    </w:p>
    <w:p w:rsidR="00FA139B" w:rsidRPr="004E62D8" w:rsidRDefault="00FA139B" w:rsidP="00D907AF"/>
    <w:p w:rsidR="00D907AF" w:rsidRPr="004E62D8" w:rsidRDefault="00D907AF" w:rsidP="00D907AF">
      <w:r>
        <w:t>F</w:t>
      </w:r>
      <w:r w:rsidRPr="004E62D8">
        <w:t xml:space="preserve">or reasons of methodological symmetry, the </w:t>
      </w:r>
      <w:r>
        <w:t xml:space="preserve">same </w:t>
      </w:r>
      <w:r w:rsidRPr="004E62D8">
        <w:t xml:space="preserve">opt-out process was </w:t>
      </w:r>
      <w:r>
        <w:t>used for</w:t>
      </w:r>
      <w:r w:rsidRPr="004E62D8">
        <w:t xml:space="preserve"> the trial sample. The opt-out meant that a further 12 per cent of cases were lost in the trial sites</w:t>
      </w:r>
      <w:r>
        <w:t>.</w:t>
      </w:r>
      <w:r>
        <w:rPr>
          <w:rStyle w:val="FootnoteReference"/>
        </w:rPr>
        <w:footnoteReference w:id="8"/>
      </w:r>
      <w:r w:rsidRPr="004E62D8">
        <w:t xml:space="preserve"> In the comparison sample, the loss included instances where contact and case details were found to be unusable by the survey company</w:t>
      </w:r>
      <w:r w:rsidR="00D26992">
        <w:t>, increasing the total post opt-</w:t>
      </w:r>
      <w:r w:rsidRPr="004E62D8">
        <w:t xml:space="preserve">out loss to 44 per cent of the comparison sample that had consented to being approached for research </w:t>
      </w:r>
      <w:r w:rsidRPr="000C63B5">
        <w:t xml:space="preserve">purposes (see </w:t>
      </w:r>
      <w:r w:rsidRPr="00290799">
        <w:t>Table 3.2</w:t>
      </w:r>
      <w:r w:rsidRPr="000C63B5">
        <w:t>).</w:t>
      </w:r>
      <w:r w:rsidRPr="004E62D8">
        <w:t xml:space="preserve"> A comprehensive account of attrition at all relevant points of the sampling process will be presented with the analysis of the full Wave 1 data in the Intermediate Report. More details of the various attrition points will be presented after all fieldwork has been completed in the Intermediate Report scheduled for </w:t>
      </w:r>
      <w:r w:rsidR="003D4CF6">
        <w:t>second half of 2016</w:t>
      </w:r>
      <w:r w:rsidRPr="004E62D8">
        <w:t>.</w:t>
      </w:r>
    </w:p>
    <w:p w:rsidR="00D907AF" w:rsidRPr="004E62D8" w:rsidRDefault="00D907AF" w:rsidP="00367B24">
      <w:pPr>
        <w:pStyle w:val="Heading3"/>
      </w:pPr>
      <w:bookmarkStart w:id="159" w:name="_Toc428280624"/>
      <w:bookmarkStart w:id="160" w:name="_Toc449954996"/>
      <w:r>
        <w:t xml:space="preserve">3.2.8 </w:t>
      </w:r>
      <w:r w:rsidRPr="004E62D8">
        <w:t>Registration</w:t>
      </w:r>
      <w:bookmarkEnd w:id="159"/>
      <w:bookmarkEnd w:id="160"/>
    </w:p>
    <w:p w:rsidR="00D907AF" w:rsidRDefault="00D907AF" w:rsidP="00D907AF">
      <w:r w:rsidRPr="004E62D8">
        <w:t xml:space="preserve">The original design of the project (July 2013) was based on the expectation that most of the </w:t>
      </w:r>
      <w:r>
        <w:t xml:space="preserve">pre-survey </w:t>
      </w:r>
      <w:r w:rsidRPr="004E62D8">
        <w:t>information would have been provided through the relevant administrative records</w:t>
      </w:r>
      <w:r w:rsidDel="00852092">
        <w:t xml:space="preserve"> </w:t>
      </w:r>
      <w:r w:rsidRPr="004E62D8">
        <w:t xml:space="preserve">(including detailed data about the communication and other support needs of people with disability), along with information that would inform later analysis of the survey data (e.g. disability service use, NDIS plan content or value, onset of disability). The fact that this information was </w:t>
      </w:r>
      <w:r>
        <w:t xml:space="preserve">still </w:t>
      </w:r>
      <w:r w:rsidRPr="004E62D8">
        <w:t>not available</w:t>
      </w:r>
      <w:r>
        <w:t xml:space="preserve"> by the time sampling had to commence</w:t>
      </w:r>
      <w:r w:rsidRPr="004E62D8">
        <w:t>, generated the need for the registration process</w:t>
      </w:r>
      <w:r>
        <w:t>, which</w:t>
      </w:r>
      <w:r w:rsidRPr="004E62D8">
        <w:t xml:space="preserve"> we present here. </w:t>
      </w:r>
      <w:r>
        <w:t>We also discuss some</w:t>
      </w:r>
      <w:r w:rsidRPr="004E62D8">
        <w:t xml:space="preserve"> gaps in the administrative data </w:t>
      </w:r>
      <w:r>
        <w:t xml:space="preserve">which </w:t>
      </w:r>
      <w:r w:rsidRPr="004E62D8">
        <w:t>were responsible for adding to the length of the survey questionnaire.</w:t>
      </w:r>
    </w:p>
    <w:p w:rsidR="00FA139B" w:rsidRDefault="00FA139B" w:rsidP="00D907AF"/>
    <w:p w:rsidR="00D907AF" w:rsidRDefault="00D907AF" w:rsidP="00D907AF">
      <w:r w:rsidRPr="004E62D8">
        <w:t xml:space="preserve">It is important to present the registration process in the broader context of the way the sample is constructed. The survey sample selection begins with </w:t>
      </w:r>
      <w:r w:rsidR="003D3078">
        <w:t>an</w:t>
      </w:r>
      <w:r w:rsidR="003D3078" w:rsidRPr="004E62D8">
        <w:t xml:space="preserve"> </w:t>
      </w:r>
      <w:r w:rsidRPr="004E62D8">
        <w:t>opt-in</w:t>
      </w:r>
      <w:r w:rsidR="00367B24">
        <w:t xml:space="preserve"> </w:t>
      </w:r>
      <w:r w:rsidR="003D3078">
        <w:t>at the point</w:t>
      </w:r>
      <w:r w:rsidR="00367B24">
        <w:t xml:space="preserve"> </w:t>
      </w:r>
      <w:r w:rsidR="003D3078" w:rsidRPr="004E62D8">
        <w:t>whe</w:t>
      </w:r>
      <w:r w:rsidR="003D3078">
        <w:t>n</w:t>
      </w:r>
      <w:r w:rsidR="003D3078" w:rsidRPr="004E62D8">
        <w:t xml:space="preserve"> </w:t>
      </w:r>
      <w:r w:rsidRPr="004E62D8">
        <w:t>new NDIS participant</w:t>
      </w:r>
      <w:r w:rsidR="003D3078">
        <w:t>s are</w:t>
      </w:r>
      <w:r w:rsidRPr="004E62D8">
        <w:t xml:space="preserve"> asked if they would agree </w:t>
      </w:r>
      <w:r>
        <w:t xml:space="preserve">to be </w:t>
      </w:r>
      <w:r w:rsidRPr="004E62D8">
        <w:t>contacted for research purposes. This question is not optimally placed</w:t>
      </w:r>
      <w:r>
        <w:t>:</w:t>
      </w:r>
      <w:r w:rsidRPr="004E62D8">
        <w:t xml:space="preserve"> it is at the end of a form that often takes </w:t>
      </w:r>
      <w:r>
        <w:t xml:space="preserve">a </w:t>
      </w:r>
      <w:r w:rsidRPr="004E62D8">
        <w:t xml:space="preserve">long </w:t>
      </w:r>
      <w:r>
        <w:t xml:space="preserve">time </w:t>
      </w:r>
      <w:r w:rsidRPr="004E62D8">
        <w:t xml:space="preserve">to complete. </w:t>
      </w:r>
      <w:r>
        <w:t>The longer it has taken for the form to be completed the more likely it will be</w:t>
      </w:r>
      <w:r w:rsidRPr="004E62D8">
        <w:t xml:space="preserve"> that this question may not be filled in as regularly as it would if it were positioned </w:t>
      </w:r>
      <w:r>
        <w:t xml:space="preserve">earlier and more prominently </w:t>
      </w:r>
      <w:r w:rsidRPr="004E62D8">
        <w:t>in the registration form. The selection continues with the opt-out administered by the Department of Social Services</w:t>
      </w:r>
      <w:r>
        <w:t xml:space="preserve"> (DSS)</w:t>
      </w:r>
      <w:r w:rsidRPr="004E62D8">
        <w:t xml:space="preserve">. </w:t>
      </w:r>
    </w:p>
    <w:p w:rsidR="00FA139B" w:rsidRDefault="00FA139B" w:rsidP="00D907AF"/>
    <w:p w:rsidR="00D907AF" w:rsidRDefault="00D907AF" w:rsidP="00D907AF">
      <w:r w:rsidRPr="004E62D8">
        <w:t>Following the opt-in and opt-out processes</w:t>
      </w:r>
      <w:r>
        <w:t xml:space="preserve"> comes the</w:t>
      </w:r>
      <w:r w:rsidRPr="004E62D8">
        <w:t xml:space="preserve"> survey registration process</w:t>
      </w:r>
      <w:r>
        <w:t xml:space="preserve">. The registration serves </w:t>
      </w:r>
      <w:r w:rsidRPr="004E62D8">
        <w:t xml:space="preserve">several </w:t>
      </w:r>
      <w:r>
        <w:t>purposes</w:t>
      </w:r>
      <w:r w:rsidRPr="004E62D8">
        <w:t xml:space="preserve">, including the need to determine the preferred mode of participation, that is, whether the sample members would like to participate in a telephone interview, receive a paper copy of the questionnaire, complete the survey online, or use some other method. The registration process also elicits the need for any language and translation services. Where there are gaps in the relevant </w:t>
      </w:r>
      <w:r>
        <w:t>administrative</w:t>
      </w:r>
      <w:r w:rsidRPr="004E62D8">
        <w:t xml:space="preserve"> data, the registration is used to identify family or carers for inclusion in the NDIS Survey of Families and Carer</w:t>
      </w:r>
      <w:r>
        <w:t>s</w:t>
      </w:r>
      <w:r w:rsidRPr="004E62D8">
        <w:t xml:space="preserve">. The registration also seeks to confirm and often improve the sample members’ contact information provided by the administrative data, after the pilot studies highlighted significant gaps and </w:t>
      </w:r>
      <w:r>
        <w:t xml:space="preserve">invalid </w:t>
      </w:r>
      <w:r w:rsidRPr="004E62D8">
        <w:t>information, including telephone numbers.</w:t>
      </w:r>
    </w:p>
    <w:p w:rsidR="00FA139B" w:rsidRPr="004E62D8" w:rsidRDefault="00FA139B" w:rsidP="00D907AF"/>
    <w:p w:rsidR="00D907AF" w:rsidRDefault="00D907AF" w:rsidP="00D907AF">
      <w:r w:rsidRPr="004E62D8">
        <w:t xml:space="preserve">The registration process has added to the length of the fieldwork, </w:t>
      </w:r>
      <w:r>
        <w:t>and equally</w:t>
      </w:r>
      <w:r w:rsidRPr="004E62D8">
        <w:t xml:space="preserve"> crucially it has delayed the time it takes for the </w:t>
      </w:r>
      <w:r>
        <w:t>NDIS Survey</w:t>
      </w:r>
      <w:r w:rsidRPr="004E62D8">
        <w:t xml:space="preserve"> to reach the potential respondent. As an additional step it </w:t>
      </w:r>
      <w:r>
        <w:t>has</w:t>
      </w:r>
      <w:r w:rsidRPr="004E62D8">
        <w:t xml:space="preserve"> reduc</w:t>
      </w:r>
      <w:r>
        <w:t>ed</w:t>
      </w:r>
      <w:r w:rsidRPr="004E62D8">
        <w:t xml:space="preserve"> the response rate of the surveys. Responses to June 2015 in Table </w:t>
      </w:r>
      <w:r>
        <w:t>3.3</w:t>
      </w:r>
      <w:r w:rsidRPr="004E62D8">
        <w:t xml:space="preserve"> indicate that the registration process only yielded 54</w:t>
      </w:r>
      <w:r>
        <w:t xml:space="preserve"> per cent</w:t>
      </w:r>
      <w:r w:rsidRPr="004E62D8">
        <w:t xml:space="preserve"> of the </w:t>
      </w:r>
      <w:r>
        <w:t xml:space="preserve">useable </w:t>
      </w:r>
      <w:r w:rsidRPr="004E62D8">
        <w:t>post-opt-out sample in the trial sites (</w:t>
      </w:r>
      <w:r>
        <w:t>Wave</w:t>
      </w:r>
      <w:r w:rsidRPr="004E62D8">
        <w:t xml:space="preserve"> 1a and 1b) and 65 percent in the comparison group. On the </w:t>
      </w:r>
      <w:r>
        <w:t>positive side,</w:t>
      </w:r>
      <w:r w:rsidRPr="004E62D8">
        <w:t xml:space="preserve"> the registration increased the number of families and carers signing up for the NDIS Survey for Families and Carers, and also indicating their preparedness to assist the person with disability in completing their survey, where necessary.</w:t>
      </w:r>
    </w:p>
    <w:p w:rsidR="00D907AF" w:rsidRPr="004E62D8" w:rsidRDefault="00D907AF" w:rsidP="0044684E">
      <w:pPr>
        <w:pStyle w:val="NILSTableHeading"/>
      </w:pPr>
      <w:bookmarkStart w:id="161" w:name="_Toc428280653"/>
      <w:bookmarkStart w:id="162" w:name="_Toc449955265"/>
      <w:r>
        <w:lastRenderedPageBreak/>
        <w:t>Table 3.3:</w:t>
      </w:r>
      <w:r w:rsidRPr="004E62D8">
        <w:t xml:space="preserve"> NDIS Survey sample and registrations (as at 15 July 2015)</w:t>
      </w:r>
      <w:bookmarkEnd w:id="161"/>
      <w:bookmarkEnd w:id="162"/>
    </w:p>
    <w:tbl>
      <w:tblPr>
        <w:tblStyle w:val="TableGrid"/>
        <w:tblW w:w="4961" w:type="pct"/>
        <w:tblInd w:w="108" w:type="dxa"/>
        <w:tblLayout w:type="fixed"/>
        <w:tblLook w:val="04A0" w:firstRow="1" w:lastRow="0" w:firstColumn="1" w:lastColumn="0" w:noHBand="0" w:noVBand="1"/>
        <w:tblCaption w:val="Table 3.3 NDIS Survey sample and registrations (as at 15 July 2015)"/>
        <w:tblDescription w:val="This table shows the number and percentage of sample, usable sample and registrations for trial 1a, trial 1b and the comparison sample."/>
      </w:tblPr>
      <w:tblGrid>
        <w:gridCol w:w="2720"/>
        <w:gridCol w:w="1023"/>
        <w:gridCol w:w="971"/>
        <w:gridCol w:w="969"/>
        <w:gridCol w:w="968"/>
        <w:gridCol w:w="1103"/>
        <w:gridCol w:w="1245"/>
      </w:tblGrid>
      <w:tr w:rsidR="00CB59B5" w:rsidRPr="00B506F6" w:rsidTr="00A167B6">
        <w:trPr>
          <w:cantSplit/>
          <w:tblHeader/>
        </w:trPr>
        <w:tc>
          <w:tcPr>
            <w:tcW w:w="1511" w:type="pct"/>
            <w:tcBorders>
              <w:top w:val="single" w:sz="4" w:space="0" w:color="auto"/>
            </w:tcBorders>
          </w:tcPr>
          <w:p w:rsidR="00982B73" w:rsidRPr="00FC28F4" w:rsidRDefault="00982B73" w:rsidP="00982B73">
            <w:pPr>
              <w:spacing w:before="20" w:after="20"/>
              <w:ind w:firstLine="142"/>
              <w:rPr>
                <w:sz w:val="20"/>
                <w:szCs w:val="20"/>
              </w:rPr>
            </w:pPr>
            <w:bookmarkStart w:id="163" w:name="Title_3_3"/>
            <w:bookmarkEnd w:id="163"/>
          </w:p>
        </w:tc>
        <w:tc>
          <w:tcPr>
            <w:tcW w:w="568" w:type="pct"/>
            <w:tcBorders>
              <w:top w:val="single" w:sz="4" w:space="0" w:color="auto"/>
            </w:tcBorders>
          </w:tcPr>
          <w:p w:rsidR="00982B73" w:rsidRPr="00982B73" w:rsidRDefault="00982B73" w:rsidP="009E6D64">
            <w:pPr>
              <w:spacing w:before="20" w:after="20"/>
              <w:jc w:val="center"/>
              <w:rPr>
                <w:sz w:val="20"/>
                <w:szCs w:val="20"/>
              </w:rPr>
            </w:pPr>
            <w:r w:rsidRPr="00982B73">
              <w:rPr>
                <w:sz w:val="20"/>
                <w:szCs w:val="20"/>
              </w:rPr>
              <w:t>Trial site</w:t>
            </w:r>
          </w:p>
          <w:p w:rsidR="00A0398D" w:rsidRDefault="006C1ED6" w:rsidP="009E6D64">
            <w:pPr>
              <w:spacing w:before="20" w:after="20"/>
              <w:ind w:left="-54" w:right="-138"/>
              <w:jc w:val="center"/>
              <w:rPr>
                <w:sz w:val="20"/>
                <w:szCs w:val="20"/>
              </w:rPr>
            </w:pPr>
            <w:r>
              <w:rPr>
                <w:sz w:val="20"/>
                <w:szCs w:val="20"/>
              </w:rPr>
              <w:t>s</w:t>
            </w:r>
            <w:r w:rsidR="00982B73" w:rsidRPr="00982B73">
              <w:rPr>
                <w:sz w:val="20"/>
                <w:szCs w:val="20"/>
              </w:rPr>
              <w:t>ample 1a</w:t>
            </w:r>
            <w:r w:rsidR="00A0398D">
              <w:rPr>
                <w:sz w:val="20"/>
                <w:szCs w:val="20"/>
              </w:rPr>
              <w:t xml:space="preserve"> </w:t>
            </w:r>
          </w:p>
          <w:p w:rsidR="00982B73" w:rsidRPr="00290799" w:rsidRDefault="00A0398D" w:rsidP="009E6D64">
            <w:pPr>
              <w:spacing w:before="20" w:after="20"/>
              <w:ind w:left="-54" w:right="-138"/>
              <w:jc w:val="center"/>
              <w:rPr>
                <w:sz w:val="20"/>
                <w:szCs w:val="20"/>
              </w:rPr>
            </w:pPr>
            <w:r>
              <w:rPr>
                <w:sz w:val="20"/>
                <w:szCs w:val="20"/>
              </w:rPr>
              <w:t>N</w:t>
            </w:r>
          </w:p>
        </w:tc>
        <w:tc>
          <w:tcPr>
            <w:tcW w:w="539" w:type="pct"/>
            <w:tcBorders>
              <w:top w:val="single" w:sz="4" w:space="0" w:color="auto"/>
            </w:tcBorders>
          </w:tcPr>
          <w:p w:rsidR="00982B73" w:rsidRPr="00982B73" w:rsidRDefault="00982B73" w:rsidP="009E6D64">
            <w:pPr>
              <w:tabs>
                <w:tab w:val="decimal" w:pos="316"/>
              </w:tabs>
              <w:spacing w:before="20" w:after="20"/>
              <w:jc w:val="center"/>
              <w:rPr>
                <w:sz w:val="20"/>
                <w:szCs w:val="20"/>
              </w:rPr>
            </w:pPr>
            <w:r w:rsidRPr="00982B73">
              <w:rPr>
                <w:sz w:val="20"/>
                <w:szCs w:val="20"/>
              </w:rPr>
              <w:t>Trial site</w:t>
            </w:r>
          </w:p>
          <w:p w:rsidR="009E6D64" w:rsidRDefault="006C1ED6" w:rsidP="009E6D64">
            <w:pPr>
              <w:tabs>
                <w:tab w:val="decimal" w:pos="316"/>
              </w:tabs>
              <w:spacing w:before="20" w:after="20"/>
              <w:ind w:left="-78" w:right="-116"/>
              <w:jc w:val="center"/>
              <w:rPr>
                <w:sz w:val="20"/>
                <w:szCs w:val="20"/>
              </w:rPr>
            </w:pPr>
            <w:r>
              <w:rPr>
                <w:sz w:val="20"/>
                <w:szCs w:val="20"/>
              </w:rPr>
              <w:t>s</w:t>
            </w:r>
            <w:r w:rsidR="00982B73" w:rsidRPr="00982B73">
              <w:rPr>
                <w:sz w:val="20"/>
                <w:szCs w:val="20"/>
              </w:rPr>
              <w:t>ample 1a</w:t>
            </w:r>
          </w:p>
          <w:p w:rsidR="00982B73" w:rsidRPr="00290799" w:rsidRDefault="00C8346A" w:rsidP="009E6D64">
            <w:pPr>
              <w:spacing w:before="20" w:after="20"/>
              <w:jc w:val="center"/>
              <w:rPr>
                <w:sz w:val="20"/>
                <w:szCs w:val="20"/>
              </w:rPr>
            </w:pPr>
            <w:r>
              <w:rPr>
                <w:sz w:val="20"/>
                <w:szCs w:val="20"/>
              </w:rPr>
              <w:t>%</w:t>
            </w:r>
          </w:p>
        </w:tc>
        <w:tc>
          <w:tcPr>
            <w:tcW w:w="538" w:type="pct"/>
            <w:tcBorders>
              <w:top w:val="single" w:sz="4" w:space="0" w:color="auto"/>
            </w:tcBorders>
          </w:tcPr>
          <w:p w:rsidR="00982B73" w:rsidRPr="00B506F6" w:rsidRDefault="00982B73" w:rsidP="009E6D64">
            <w:pPr>
              <w:spacing w:before="20" w:after="20"/>
              <w:jc w:val="center"/>
              <w:rPr>
                <w:sz w:val="20"/>
                <w:szCs w:val="20"/>
              </w:rPr>
            </w:pPr>
            <w:r w:rsidRPr="00B506F6">
              <w:rPr>
                <w:sz w:val="20"/>
                <w:szCs w:val="20"/>
              </w:rPr>
              <w:t>Trial site</w:t>
            </w:r>
          </w:p>
          <w:p w:rsidR="00982B73" w:rsidRDefault="006C1ED6" w:rsidP="009E6D64">
            <w:pPr>
              <w:spacing w:before="20" w:after="20"/>
              <w:ind w:left="-100" w:right="-94"/>
              <w:jc w:val="center"/>
              <w:rPr>
                <w:sz w:val="20"/>
                <w:szCs w:val="20"/>
              </w:rPr>
            </w:pPr>
            <w:r>
              <w:rPr>
                <w:sz w:val="20"/>
                <w:szCs w:val="20"/>
              </w:rPr>
              <w:t>s</w:t>
            </w:r>
            <w:r w:rsidR="00982B73" w:rsidRPr="00B506F6">
              <w:rPr>
                <w:sz w:val="20"/>
                <w:szCs w:val="20"/>
              </w:rPr>
              <w:t>ample 1b</w:t>
            </w:r>
          </w:p>
          <w:p w:rsidR="00A0398D" w:rsidRPr="00290799" w:rsidRDefault="00A0398D" w:rsidP="009E6D64">
            <w:pPr>
              <w:spacing w:before="20" w:after="20"/>
              <w:ind w:left="-100" w:right="-94"/>
              <w:jc w:val="center"/>
              <w:rPr>
                <w:sz w:val="20"/>
                <w:szCs w:val="20"/>
              </w:rPr>
            </w:pPr>
            <w:r>
              <w:rPr>
                <w:sz w:val="20"/>
                <w:szCs w:val="20"/>
              </w:rPr>
              <w:t>N</w:t>
            </w:r>
          </w:p>
        </w:tc>
        <w:tc>
          <w:tcPr>
            <w:tcW w:w="538" w:type="pct"/>
            <w:tcBorders>
              <w:top w:val="single" w:sz="4" w:space="0" w:color="auto"/>
            </w:tcBorders>
          </w:tcPr>
          <w:p w:rsidR="00982B73" w:rsidRPr="00982B73" w:rsidRDefault="00982B73" w:rsidP="009E6D64">
            <w:pPr>
              <w:spacing w:before="20" w:after="20"/>
              <w:jc w:val="center"/>
              <w:rPr>
                <w:sz w:val="20"/>
                <w:szCs w:val="20"/>
              </w:rPr>
            </w:pPr>
            <w:r w:rsidRPr="00982B73">
              <w:rPr>
                <w:sz w:val="20"/>
                <w:szCs w:val="20"/>
              </w:rPr>
              <w:t>Trial site</w:t>
            </w:r>
          </w:p>
          <w:p w:rsidR="009E6D64" w:rsidRDefault="006C1ED6" w:rsidP="009E6D64">
            <w:pPr>
              <w:spacing w:before="20" w:after="20"/>
              <w:ind w:left="-122" w:right="-72"/>
              <w:jc w:val="center"/>
              <w:rPr>
                <w:sz w:val="20"/>
                <w:szCs w:val="20"/>
              </w:rPr>
            </w:pPr>
            <w:r>
              <w:rPr>
                <w:sz w:val="20"/>
                <w:szCs w:val="20"/>
              </w:rPr>
              <w:t>s</w:t>
            </w:r>
            <w:r w:rsidR="00982B73" w:rsidRPr="00982B73">
              <w:rPr>
                <w:sz w:val="20"/>
                <w:szCs w:val="20"/>
              </w:rPr>
              <w:t>ample 1b</w:t>
            </w:r>
          </w:p>
          <w:p w:rsidR="00982B73" w:rsidRPr="00290799" w:rsidRDefault="00C8346A" w:rsidP="009E6D64">
            <w:pPr>
              <w:spacing w:before="20" w:after="20"/>
              <w:jc w:val="center"/>
              <w:rPr>
                <w:sz w:val="20"/>
                <w:szCs w:val="20"/>
              </w:rPr>
            </w:pPr>
            <w:r>
              <w:rPr>
                <w:sz w:val="20"/>
                <w:szCs w:val="20"/>
              </w:rPr>
              <w:t>%</w:t>
            </w:r>
          </w:p>
        </w:tc>
        <w:tc>
          <w:tcPr>
            <w:tcW w:w="613" w:type="pct"/>
            <w:tcBorders>
              <w:top w:val="single" w:sz="4" w:space="0" w:color="auto"/>
            </w:tcBorders>
          </w:tcPr>
          <w:p w:rsidR="00982B73" w:rsidRPr="00982B73" w:rsidRDefault="00982B73" w:rsidP="00A167B6">
            <w:pPr>
              <w:spacing w:before="20" w:after="20"/>
              <w:ind w:right="-70"/>
              <w:jc w:val="center"/>
              <w:rPr>
                <w:sz w:val="20"/>
                <w:szCs w:val="20"/>
              </w:rPr>
            </w:pPr>
            <w:r w:rsidRPr="00982B73">
              <w:rPr>
                <w:sz w:val="20"/>
                <w:szCs w:val="20"/>
              </w:rPr>
              <w:t xml:space="preserve">Comparison </w:t>
            </w:r>
          </w:p>
          <w:p w:rsidR="00982B73" w:rsidRDefault="00A0398D" w:rsidP="009E6D64">
            <w:pPr>
              <w:spacing w:before="20" w:after="20"/>
              <w:jc w:val="center"/>
              <w:rPr>
                <w:sz w:val="20"/>
                <w:szCs w:val="20"/>
              </w:rPr>
            </w:pPr>
            <w:r>
              <w:rPr>
                <w:sz w:val="20"/>
                <w:szCs w:val="20"/>
              </w:rPr>
              <w:t>S</w:t>
            </w:r>
            <w:r w:rsidR="00982B73" w:rsidRPr="00982B73">
              <w:rPr>
                <w:sz w:val="20"/>
                <w:szCs w:val="20"/>
              </w:rPr>
              <w:t>ample</w:t>
            </w:r>
          </w:p>
          <w:p w:rsidR="00A0398D" w:rsidRPr="00290799" w:rsidRDefault="00A0398D" w:rsidP="009E6D64">
            <w:pPr>
              <w:spacing w:before="20" w:after="20"/>
              <w:jc w:val="center"/>
              <w:rPr>
                <w:sz w:val="20"/>
                <w:szCs w:val="20"/>
              </w:rPr>
            </w:pPr>
            <w:r>
              <w:rPr>
                <w:sz w:val="20"/>
                <w:szCs w:val="20"/>
              </w:rPr>
              <w:t>N</w:t>
            </w:r>
          </w:p>
        </w:tc>
        <w:tc>
          <w:tcPr>
            <w:tcW w:w="692" w:type="pct"/>
            <w:tcBorders>
              <w:top w:val="single" w:sz="4" w:space="0" w:color="auto"/>
            </w:tcBorders>
          </w:tcPr>
          <w:p w:rsidR="00982B73" w:rsidRPr="00982B73" w:rsidRDefault="00982B73" w:rsidP="00D74C34">
            <w:pPr>
              <w:spacing w:before="20" w:after="20"/>
              <w:ind w:left="-33" w:right="-115"/>
              <w:jc w:val="center"/>
              <w:rPr>
                <w:sz w:val="20"/>
                <w:szCs w:val="20"/>
              </w:rPr>
            </w:pPr>
            <w:r w:rsidRPr="00982B73">
              <w:rPr>
                <w:sz w:val="20"/>
                <w:szCs w:val="20"/>
              </w:rPr>
              <w:t xml:space="preserve">Comparison </w:t>
            </w:r>
          </w:p>
          <w:p w:rsidR="009E6D64" w:rsidRDefault="00C8346A" w:rsidP="00D74C34">
            <w:pPr>
              <w:spacing w:before="20" w:after="20"/>
              <w:jc w:val="center"/>
              <w:rPr>
                <w:sz w:val="20"/>
                <w:szCs w:val="20"/>
              </w:rPr>
            </w:pPr>
            <w:r>
              <w:rPr>
                <w:sz w:val="20"/>
                <w:szCs w:val="20"/>
              </w:rPr>
              <w:t>s</w:t>
            </w:r>
            <w:r w:rsidR="00982B73" w:rsidRPr="00982B73">
              <w:rPr>
                <w:sz w:val="20"/>
                <w:szCs w:val="20"/>
              </w:rPr>
              <w:t>ample</w:t>
            </w:r>
          </w:p>
          <w:p w:rsidR="00982B73" w:rsidRPr="00290799" w:rsidRDefault="00C8346A" w:rsidP="009E6D64">
            <w:pPr>
              <w:spacing w:before="20" w:after="20"/>
              <w:jc w:val="center"/>
              <w:rPr>
                <w:sz w:val="20"/>
                <w:szCs w:val="20"/>
              </w:rPr>
            </w:pPr>
            <w:r>
              <w:rPr>
                <w:sz w:val="20"/>
                <w:szCs w:val="20"/>
              </w:rPr>
              <w:t>%</w:t>
            </w:r>
          </w:p>
        </w:tc>
      </w:tr>
      <w:tr w:rsidR="00CB59B5" w:rsidRPr="00B506F6" w:rsidTr="003F61C9">
        <w:trPr>
          <w:cantSplit/>
          <w:trHeight w:val="283"/>
        </w:trPr>
        <w:tc>
          <w:tcPr>
            <w:tcW w:w="1511" w:type="pct"/>
            <w:tcBorders>
              <w:top w:val="single" w:sz="4" w:space="0" w:color="auto"/>
            </w:tcBorders>
          </w:tcPr>
          <w:p w:rsidR="00982B73" w:rsidRPr="00FC28F4" w:rsidRDefault="00982B73" w:rsidP="00D907AF">
            <w:pPr>
              <w:spacing w:before="20" w:after="20"/>
              <w:rPr>
                <w:sz w:val="20"/>
                <w:szCs w:val="20"/>
              </w:rPr>
            </w:pPr>
            <w:r w:rsidRPr="00FC28F4">
              <w:rPr>
                <w:sz w:val="20"/>
                <w:szCs w:val="20"/>
              </w:rPr>
              <w:t>Survey sample provided by DSS</w:t>
            </w:r>
          </w:p>
        </w:tc>
        <w:tc>
          <w:tcPr>
            <w:tcW w:w="568" w:type="pct"/>
            <w:tcBorders>
              <w:top w:val="single" w:sz="4" w:space="0" w:color="auto"/>
            </w:tcBorders>
          </w:tcPr>
          <w:p w:rsidR="00982B73" w:rsidRPr="00290799" w:rsidRDefault="00982B73" w:rsidP="00CE6A3A">
            <w:pPr>
              <w:spacing w:before="20" w:after="20"/>
              <w:ind w:right="170"/>
              <w:jc w:val="right"/>
              <w:rPr>
                <w:sz w:val="20"/>
                <w:szCs w:val="20"/>
              </w:rPr>
            </w:pPr>
            <w:r w:rsidRPr="00290799">
              <w:rPr>
                <w:sz w:val="20"/>
                <w:szCs w:val="20"/>
              </w:rPr>
              <w:t>3,948</w:t>
            </w:r>
          </w:p>
        </w:tc>
        <w:tc>
          <w:tcPr>
            <w:tcW w:w="539" w:type="pct"/>
            <w:tcBorders>
              <w:top w:val="single" w:sz="4" w:space="0" w:color="auto"/>
            </w:tcBorders>
          </w:tcPr>
          <w:p w:rsidR="00982B73" w:rsidRPr="00290799" w:rsidRDefault="00982B73" w:rsidP="00CE6A3A">
            <w:pPr>
              <w:spacing w:before="20" w:after="20"/>
              <w:ind w:right="170"/>
              <w:jc w:val="right"/>
              <w:rPr>
                <w:sz w:val="20"/>
                <w:szCs w:val="20"/>
              </w:rPr>
            </w:pPr>
            <w:r w:rsidRPr="00290799">
              <w:rPr>
                <w:sz w:val="20"/>
                <w:szCs w:val="20"/>
              </w:rPr>
              <w:t>100</w:t>
            </w:r>
          </w:p>
        </w:tc>
        <w:tc>
          <w:tcPr>
            <w:tcW w:w="538" w:type="pct"/>
            <w:tcBorders>
              <w:top w:val="single" w:sz="4" w:space="0" w:color="auto"/>
            </w:tcBorders>
          </w:tcPr>
          <w:p w:rsidR="00982B73" w:rsidRPr="00290799" w:rsidRDefault="00982B73" w:rsidP="00CE6A3A">
            <w:pPr>
              <w:spacing w:before="20" w:after="20"/>
              <w:ind w:right="170"/>
              <w:jc w:val="right"/>
              <w:rPr>
                <w:sz w:val="20"/>
                <w:szCs w:val="20"/>
              </w:rPr>
            </w:pPr>
            <w:r w:rsidRPr="00290799">
              <w:rPr>
                <w:sz w:val="20"/>
                <w:szCs w:val="20"/>
              </w:rPr>
              <w:t>2,724</w:t>
            </w:r>
          </w:p>
        </w:tc>
        <w:tc>
          <w:tcPr>
            <w:tcW w:w="538" w:type="pct"/>
            <w:tcBorders>
              <w:top w:val="single" w:sz="4" w:space="0" w:color="auto"/>
            </w:tcBorders>
          </w:tcPr>
          <w:p w:rsidR="00982B73" w:rsidRPr="00290799" w:rsidRDefault="00982B73" w:rsidP="00CE6A3A">
            <w:pPr>
              <w:spacing w:before="20" w:after="20"/>
              <w:ind w:right="170"/>
              <w:jc w:val="right"/>
              <w:rPr>
                <w:sz w:val="20"/>
                <w:szCs w:val="20"/>
              </w:rPr>
            </w:pPr>
            <w:r w:rsidRPr="00290799">
              <w:rPr>
                <w:sz w:val="20"/>
                <w:szCs w:val="20"/>
              </w:rPr>
              <w:t>100</w:t>
            </w:r>
          </w:p>
        </w:tc>
        <w:tc>
          <w:tcPr>
            <w:tcW w:w="613" w:type="pct"/>
            <w:tcBorders>
              <w:top w:val="single" w:sz="4" w:space="0" w:color="auto"/>
            </w:tcBorders>
          </w:tcPr>
          <w:p w:rsidR="00982B73" w:rsidRPr="00290799" w:rsidRDefault="00982B73" w:rsidP="00CE6A3A">
            <w:pPr>
              <w:spacing w:before="20" w:after="20"/>
              <w:ind w:right="170"/>
              <w:jc w:val="right"/>
              <w:rPr>
                <w:sz w:val="20"/>
                <w:szCs w:val="20"/>
              </w:rPr>
            </w:pPr>
            <w:r w:rsidRPr="00290799">
              <w:rPr>
                <w:sz w:val="20"/>
                <w:szCs w:val="20"/>
              </w:rPr>
              <w:t>7,832</w:t>
            </w:r>
          </w:p>
        </w:tc>
        <w:tc>
          <w:tcPr>
            <w:tcW w:w="692" w:type="pct"/>
            <w:tcBorders>
              <w:top w:val="single" w:sz="4" w:space="0" w:color="auto"/>
            </w:tcBorders>
          </w:tcPr>
          <w:p w:rsidR="00982B73" w:rsidRPr="00290799" w:rsidRDefault="00982B73" w:rsidP="00CE6A3A">
            <w:pPr>
              <w:spacing w:before="20" w:after="20"/>
              <w:ind w:right="227"/>
              <w:jc w:val="right"/>
              <w:rPr>
                <w:sz w:val="20"/>
                <w:szCs w:val="20"/>
              </w:rPr>
            </w:pPr>
            <w:r w:rsidRPr="00290799">
              <w:rPr>
                <w:sz w:val="20"/>
                <w:szCs w:val="20"/>
              </w:rPr>
              <w:t>100</w:t>
            </w:r>
          </w:p>
        </w:tc>
      </w:tr>
      <w:tr w:rsidR="00CB59B5" w:rsidRPr="00B506F6" w:rsidTr="003F61C9">
        <w:trPr>
          <w:cantSplit/>
          <w:trHeight w:val="283"/>
        </w:trPr>
        <w:tc>
          <w:tcPr>
            <w:tcW w:w="1511" w:type="pct"/>
          </w:tcPr>
          <w:p w:rsidR="00982B73" w:rsidRPr="00FC28F4" w:rsidRDefault="00982B73" w:rsidP="00D907AF">
            <w:pPr>
              <w:spacing w:before="20" w:after="20"/>
              <w:rPr>
                <w:sz w:val="20"/>
                <w:szCs w:val="20"/>
              </w:rPr>
            </w:pPr>
            <w:r w:rsidRPr="00FC28F4">
              <w:rPr>
                <w:sz w:val="20"/>
                <w:szCs w:val="20"/>
              </w:rPr>
              <w:t>Useable sample</w:t>
            </w:r>
          </w:p>
        </w:tc>
        <w:tc>
          <w:tcPr>
            <w:tcW w:w="568" w:type="pct"/>
          </w:tcPr>
          <w:p w:rsidR="00982B73" w:rsidRPr="00290799" w:rsidRDefault="00982B73" w:rsidP="00CE6A3A">
            <w:pPr>
              <w:spacing w:before="20" w:after="20"/>
              <w:ind w:right="170"/>
              <w:jc w:val="right"/>
              <w:rPr>
                <w:sz w:val="20"/>
                <w:szCs w:val="20"/>
              </w:rPr>
            </w:pPr>
            <w:r w:rsidRPr="00290799">
              <w:rPr>
                <w:sz w:val="20"/>
                <w:szCs w:val="20"/>
              </w:rPr>
              <w:t>3,918</w:t>
            </w:r>
          </w:p>
        </w:tc>
        <w:tc>
          <w:tcPr>
            <w:tcW w:w="539" w:type="pct"/>
          </w:tcPr>
          <w:p w:rsidR="00982B73" w:rsidRPr="00290799" w:rsidRDefault="00982B73" w:rsidP="00CE6A3A">
            <w:pPr>
              <w:spacing w:before="20" w:after="20"/>
              <w:ind w:right="170"/>
              <w:jc w:val="right"/>
              <w:rPr>
                <w:sz w:val="20"/>
                <w:szCs w:val="20"/>
              </w:rPr>
            </w:pPr>
            <w:r w:rsidRPr="00290799">
              <w:rPr>
                <w:sz w:val="20"/>
                <w:szCs w:val="20"/>
              </w:rPr>
              <w:t>99.2</w:t>
            </w:r>
          </w:p>
        </w:tc>
        <w:tc>
          <w:tcPr>
            <w:tcW w:w="538" w:type="pct"/>
          </w:tcPr>
          <w:p w:rsidR="00982B73" w:rsidRPr="00290799" w:rsidRDefault="00982B73" w:rsidP="00CE6A3A">
            <w:pPr>
              <w:spacing w:before="20" w:after="20"/>
              <w:ind w:right="170"/>
              <w:jc w:val="right"/>
              <w:rPr>
                <w:sz w:val="20"/>
                <w:szCs w:val="20"/>
              </w:rPr>
            </w:pPr>
            <w:r w:rsidRPr="00290799">
              <w:rPr>
                <w:sz w:val="20"/>
                <w:szCs w:val="20"/>
              </w:rPr>
              <w:t>2,690</w:t>
            </w:r>
          </w:p>
        </w:tc>
        <w:tc>
          <w:tcPr>
            <w:tcW w:w="538" w:type="pct"/>
          </w:tcPr>
          <w:p w:rsidR="00982B73" w:rsidRPr="00290799" w:rsidRDefault="00982B73" w:rsidP="00CE6A3A">
            <w:pPr>
              <w:spacing w:before="20" w:after="20"/>
              <w:ind w:right="170"/>
              <w:jc w:val="right"/>
              <w:rPr>
                <w:sz w:val="20"/>
                <w:szCs w:val="20"/>
              </w:rPr>
            </w:pPr>
            <w:r w:rsidRPr="00290799">
              <w:rPr>
                <w:sz w:val="20"/>
                <w:szCs w:val="20"/>
              </w:rPr>
              <w:t>98.7</w:t>
            </w:r>
          </w:p>
        </w:tc>
        <w:tc>
          <w:tcPr>
            <w:tcW w:w="613" w:type="pct"/>
          </w:tcPr>
          <w:p w:rsidR="00982B73" w:rsidRPr="00290799" w:rsidRDefault="00982B73" w:rsidP="00CE6A3A">
            <w:pPr>
              <w:spacing w:before="20" w:after="20"/>
              <w:ind w:right="170"/>
              <w:jc w:val="right"/>
              <w:rPr>
                <w:sz w:val="20"/>
                <w:szCs w:val="20"/>
              </w:rPr>
            </w:pPr>
            <w:r w:rsidRPr="00290799">
              <w:rPr>
                <w:sz w:val="20"/>
                <w:szCs w:val="20"/>
              </w:rPr>
              <w:t>7,576</w:t>
            </w:r>
          </w:p>
        </w:tc>
        <w:tc>
          <w:tcPr>
            <w:tcW w:w="692" w:type="pct"/>
          </w:tcPr>
          <w:p w:rsidR="00982B73" w:rsidRPr="00290799" w:rsidRDefault="00982B73" w:rsidP="00CE6A3A">
            <w:pPr>
              <w:spacing w:before="20" w:after="20"/>
              <w:ind w:right="227"/>
              <w:jc w:val="right"/>
              <w:rPr>
                <w:sz w:val="20"/>
                <w:szCs w:val="20"/>
              </w:rPr>
            </w:pPr>
            <w:r w:rsidRPr="00290799">
              <w:rPr>
                <w:sz w:val="20"/>
                <w:szCs w:val="20"/>
              </w:rPr>
              <w:t>96.7</w:t>
            </w:r>
          </w:p>
        </w:tc>
      </w:tr>
      <w:tr w:rsidR="00CB59B5" w:rsidRPr="00B506F6" w:rsidTr="003F61C9">
        <w:trPr>
          <w:cantSplit/>
          <w:trHeight w:val="283"/>
        </w:trPr>
        <w:tc>
          <w:tcPr>
            <w:tcW w:w="1511" w:type="pct"/>
            <w:tcBorders>
              <w:bottom w:val="single" w:sz="4" w:space="0" w:color="auto"/>
            </w:tcBorders>
          </w:tcPr>
          <w:p w:rsidR="00982B73" w:rsidRPr="00FC28F4" w:rsidRDefault="00982B73" w:rsidP="00D907AF">
            <w:pPr>
              <w:spacing w:before="20" w:after="20"/>
              <w:rPr>
                <w:sz w:val="20"/>
                <w:szCs w:val="20"/>
              </w:rPr>
            </w:pPr>
            <w:r w:rsidRPr="00FC28F4">
              <w:rPr>
                <w:sz w:val="20"/>
                <w:szCs w:val="20"/>
              </w:rPr>
              <w:t>Registrations</w:t>
            </w:r>
          </w:p>
        </w:tc>
        <w:tc>
          <w:tcPr>
            <w:tcW w:w="568" w:type="pct"/>
            <w:tcBorders>
              <w:bottom w:val="single" w:sz="4" w:space="0" w:color="auto"/>
            </w:tcBorders>
          </w:tcPr>
          <w:p w:rsidR="00982B73" w:rsidRPr="00290799" w:rsidRDefault="00982B73" w:rsidP="00CE6A3A">
            <w:pPr>
              <w:spacing w:before="20" w:after="20"/>
              <w:ind w:right="170"/>
              <w:jc w:val="right"/>
              <w:rPr>
                <w:sz w:val="20"/>
                <w:szCs w:val="20"/>
              </w:rPr>
            </w:pPr>
            <w:r w:rsidRPr="00290799">
              <w:rPr>
                <w:sz w:val="20"/>
                <w:szCs w:val="20"/>
              </w:rPr>
              <w:t>2,047</w:t>
            </w:r>
          </w:p>
        </w:tc>
        <w:tc>
          <w:tcPr>
            <w:tcW w:w="539" w:type="pct"/>
            <w:tcBorders>
              <w:bottom w:val="single" w:sz="4" w:space="0" w:color="auto"/>
            </w:tcBorders>
          </w:tcPr>
          <w:p w:rsidR="00982B73" w:rsidRPr="00290799" w:rsidRDefault="00982B73" w:rsidP="00CE6A3A">
            <w:pPr>
              <w:spacing w:before="20" w:after="20"/>
              <w:ind w:right="170"/>
              <w:jc w:val="right"/>
              <w:rPr>
                <w:sz w:val="20"/>
                <w:szCs w:val="20"/>
              </w:rPr>
            </w:pPr>
            <w:r w:rsidRPr="00290799">
              <w:rPr>
                <w:sz w:val="20"/>
                <w:szCs w:val="20"/>
              </w:rPr>
              <w:t>51.8</w:t>
            </w:r>
          </w:p>
        </w:tc>
        <w:tc>
          <w:tcPr>
            <w:tcW w:w="538" w:type="pct"/>
            <w:tcBorders>
              <w:bottom w:val="single" w:sz="4" w:space="0" w:color="auto"/>
            </w:tcBorders>
          </w:tcPr>
          <w:p w:rsidR="00982B73" w:rsidRPr="00290799" w:rsidRDefault="00982B73" w:rsidP="00CE6A3A">
            <w:pPr>
              <w:spacing w:before="20" w:after="20"/>
              <w:ind w:right="170"/>
              <w:jc w:val="right"/>
              <w:rPr>
                <w:sz w:val="20"/>
                <w:szCs w:val="20"/>
              </w:rPr>
            </w:pPr>
            <w:r w:rsidRPr="00290799">
              <w:rPr>
                <w:sz w:val="20"/>
                <w:szCs w:val="20"/>
              </w:rPr>
              <w:t>985</w:t>
            </w:r>
          </w:p>
        </w:tc>
        <w:tc>
          <w:tcPr>
            <w:tcW w:w="538" w:type="pct"/>
            <w:tcBorders>
              <w:bottom w:val="single" w:sz="4" w:space="0" w:color="auto"/>
            </w:tcBorders>
          </w:tcPr>
          <w:p w:rsidR="00982B73" w:rsidRPr="00290799" w:rsidRDefault="00982B73" w:rsidP="00CE6A3A">
            <w:pPr>
              <w:spacing w:before="20" w:after="20"/>
              <w:ind w:right="170"/>
              <w:jc w:val="right"/>
              <w:rPr>
                <w:sz w:val="20"/>
                <w:szCs w:val="20"/>
              </w:rPr>
            </w:pPr>
            <w:r w:rsidRPr="00290799">
              <w:rPr>
                <w:sz w:val="20"/>
                <w:szCs w:val="20"/>
              </w:rPr>
              <w:t>36.2</w:t>
            </w:r>
          </w:p>
        </w:tc>
        <w:tc>
          <w:tcPr>
            <w:tcW w:w="613" w:type="pct"/>
            <w:tcBorders>
              <w:bottom w:val="single" w:sz="4" w:space="0" w:color="auto"/>
            </w:tcBorders>
          </w:tcPr>
          <w:p w:rsidR="00982B73" w:rsidRPr="00290799" w:rsidRDefault="00982B73" w:rsidP="00CE6A3A">
            <w:pPr>
              <w:spacing w:before="20" w:after="20"/>
              <w:ind w:right="170"/>
              <w:jc w:val="right"/>
              <w:rPr>
                <w:sz w:val="20"/>
                <w:szCs w:val="20"/>
              </w:rPr>
            </w:pPr>
            <w:r w:rsidRPr="00290799">
              <w:rPr>
                <w:sz w:val="20"/>
                <w:szCs w:val="20"/>
              </w:rPr>
              <w:t>2,632</w:t>
            </w:r>
          </w:p>
        </w:tc>
        <w:tc>
          <w:tcPr>
            <w:tcW w:w="692" w:type="pct"/>
            <w:tcBorders>
              <w:bottom w:val="single" w:sz="4" w:space="0" w:color="auto"/>
            </w:tcBorders>
          </w:tcPr>
          <w:p w:rsidR="00982B73" w:rsidRPr="00290799" w:rsidRDefault="00982B73" w:rsidP="00CE6A3A">
            <w:pPr>
              <w:spacing w:before="20" w:after="20"/>
              <w:ind w:right="227"/>
              <w:jc w:val="right"/>
              <w:rPr>
                <w:sz w:val="20"/>
                <w:szCs w:val="20"/>
              </w:rPr>
            </w:pPr>
            <w:r w:rsidRPr="00290799">
              <w:rPr>
                <w:sz w:val="20"/>
                <w:szCs w:val="20"/>
              </w:rPr>
              <w:t>33.5</w:t>
            </w:r>
          </w:p>
        </w:tc>
      </w:tr>
      <w:tr w:rsidR="00CB59B5" w:rsidRPr="004A5067" w:rsidTr="003C6519">
        <w:trPr>
          <w:cantSplit/>
          <w:trHeight w:val="283"/>
        </w:trPr>
        <w:tc>
          <w:tcPr>
            <w:tcW w:w="1511" w:type="pct"/>
            <w:tcBorders>
              <w:top w:val="single" w:sz="4" w:space="0" w:color="auto"/>
              <w:bottom w:val="single" w:sz="4" w:space="0" w:color="auto"/>
            </w:tcBorders>
          </w:tcPr>
          <w:p w:rsidR="0073485F" w:rsidRDefault="006F1E87" w:rsidP="0073485F">
            <w:pPr>
              <w:spacing w:before="20" w:after="20"/>
              <w:rPr>
                <w:b/>
                <w:sz w:val="20"/>
                <w:szCs w:val="20"/>
              </w:rPr>
            </w:pPr>
            <w:r>
              <w:rPr>
                <w:b/>
                <w:sz w:val="20"/>
                <w:szCs w:val="20"/>
              </w:rPr>
              <w:t xml:space="preserve">Registrations </w:t>
            </w:r>
          </w:p>
          <w:p w:rsidR="00982B73" w:rsidRPr="004A5067" w:rsidRDefault="0073485F" w:rsidP="0073485F">
            <w:pPr>
              <w:spacing w:before="20" w:after="20"/>
              <w:rPr>
                <w:b/>
                <w:sz w:val="20"/>
                <w:szCs w:val="20"/>
              </w:rPr>
            </w:pPr>
            <w:r>
              <w:rPr>
                <w:b/>
                <w:sz w:val="20"/>
                <w:szCs w:val="20"/>
              </w:rPr>
              <w:t xml:space="preserve">% </w:t>
            </w:r>
            <w:r>
              <w:rPr>
                <w:rFonts w:cstheme="minorHAnsi"/>
                <w:sz w:val="20"/>
                <w:szCs w:val="20"/>
              </w:rPr>
              <w:t>of useable sample</w:t>
            </w:r>
          </w:p>
        </w:tc>
        <w:tc>
          <w:tcPr>
            <w:tcW w:w="568" w:type="pct"/>
            <w:tcBorders>
              <w:top w:val="single" w:sz="4" w:space="0" w:color="auto"/>
              <w:bottom w:val="single" w:sz="4" w:space="0" w:color="auto"/>
            </w:tcBorders>
          </w:tcPr>
          <w:p w:rsidR="00982B73" w:rsidRPr="004A5067" w:rsidRDefault="00982B73" w:rsidP="00CE6A3A">
            <w:pPr>
              <w:spacing w:before="20" w:after="20"/>
              <w:ind w:right="170"/>
              <w:jc w:val="right"/>
              <w:rPr>
                <w:b/>
                <w:sz w:val="20"/>
                <w:szCs w:val="20"/>
              </w:rPr>
            </w:pPr>
          </w:p>
        </w:tc>
        <w:tc>
          <w:tcPr>
            <w:tcW w:w="539" w:type="pct"/>
            <w:tcBorders>
              <w:top w:val="single" w:sz="4" w:space="0" w:color="auto"/>
              <w:bottom w:val="single" w:sz="4" w:space="0" w:color="auto"/>
            </w:tcBorders>
            <w:vAlign w:val="center"/>
          </w:tcPr>
          <w:p w:rsidR="00982B73" w:rsidRPr="004A5067" w:rsidRDefault="00982B73" w:rsidP="003C6519">
            <w:pPr>
              <w:spacing w:before="20" w:after="20"/>
              <w:ind w:right="170"/>
              <w:jc w:val="right"/>
              <w:rPr>
                <w:b/>
                <w:sz w:val="20"/>
                <w:szCs w:val="20"/>
              </w:rPr>
            </w:pPr>
            <w:r w:rsidRPr="004A5067">
              <w:rPr>
                <w:b/>
                <w:sz w:val="20"/>
                <w:szCs w:val="20"/>
              </w:rPr>
              <w:t>52.2</w:t>
            </w:r>
          </w:p>
        </w:tc>
        <w:tc>
          <w:tcPr>
            <w:tcW w:w="538" w:type="pct"/>
            <w:tcBorders>
              <w:top w:val="single" w:sz="4" w:space="0" w:color="auto"/>
              <w:bottom w:val="single" w:sz="4" w:space="0" w:color="auto"/>
            </w:tcBorders>
          </w:tcPr>
          <w:p w:rsidR="00982B73" w:rsidRPr="004A5067" w:rsidRDefault="00982B73" w:rsidP="00CE6A3A">
            <w:pPr>
              <w:spacing w:before="20" w:after="20"/>
              <w:ind w:right="170"/>
              <w:jc w:val="right"/>
              <w:rPr>
                <w:b/>
                <w:sz w:val="20"/>
                <w:szCs w:val="20"/>
              </w:rPr>
            </w:pPr>
          </w:p>
        </w:tc>
        <w:tc>
          <w:tcPr>
            <w:tcW w:w="538" w:type="pct"/>
            <w:tcBorders>
              <w:top w:val="single" w:sz="4" w:space="0" w:color="auto"/>
              <w:bottom w:val="single" w:sz="4" w:space="0" w:color="auto"/>
            </w:tcBorders>
            <w:vAlign w:val="center"/>
          </w:tcPr>
          <w:p w:rsidR="00982B73" w:rsidRPr="004A5067" w:rsidRDefault="00982B73" w:rsidP="003C6519">
            <w:pPr>
              <w:spacing w:before="20" w:after="20"/>
              <w:ind w:right="170"/>
              <w:jc w:val="right"/>
              <w:rPr>
                <w:b/>
                <w:sz w:val="20"/>
                <w:szCs w:val="20"/>
              </w:rPr>
            </w:pPr>
            <w:r w:rsidRPr="004A5067">
              <w:rPr>
                <w:b/>
                <w:sz w:val="20"/>
                <w:szCs w:val="20"/>
              </w:rPr>
              <w:t>36.6</w:t>
            </w:r>
          </w:p>
        </w:tc>
        <w:tc>
          <w:tcPr>
            <w:tcW w:w="613" w:type="pct"/>
            <w:tcBorders>
              <w:top w:val="single" w:sz="4" w:space="0" w:color="auto"/>
              <w:bottom w:val="single" w:sz="4" w:space="0" w:color="auto"/>
            </w:tcBorders>
          </w:tcPr>
          <w:p w:rsidR="00982B73" w:rsidRPr="004A5067" w:rsidRDefault="00982B73" w:rsidP="00CE6A3A">
            <w:pPr>
              <w:spacing w:before="20" w:after="20"/>
              <w:ind w:right="170"/>
              <w:jc w:val="right"/>
              <w:rPr>
                <w:b/>
                <w:sz w:val="20"/>
                <w:szCs w:val="20"/>
              </w:rPr>
            </w:pPr>
          </w:p>
        </w:tc>
        <w:tc>
          <w:tcPr>
            <w:tcW w:w="692" w:type="pct"/>
            <w:tcBorders>
              <w:top w:val="single" w:sz="4" w:space="0" w:color="auto"/>
              <w:bottom w:val="single" w:sz="4" w:space="0" w:color="auto"/>
            </w:tcBorders>
            <w:vAlign w:val="center"/>
          </w:tcPr>
          <w:p w:rsidR="00982B73" w:rsidRPr="004A5067" w:rsidRDefault="00982B73" w:rsidP="003C6519">
            <w:pPr>
              <w:spacing w:before="20" w:after="20"/>
              <w:ind w:right="227"/>
              <w:jc w:val="right"/>
              <w:rPr>
                <w:b/>
                <w:sz w:val="20"/>
                <w:szCs w:val="20"/>
              </w:rPr>
            </w:pPr>
            <w:r w:rsidRPr="004A5067">
              <w:rPr>
                <w:b/>
                <w:sz w:val="20"/>
                <w:szCs w:val="20"/>
              </w:rPr>
              <w:t>34.7</w:t>
            </w:r>
          </w:p>
        </w:tc>
      </w:tr>
    </w:tbl>
    <w:p w:rsidR="00D907AF" w:rsidRPr="008B70CD" w:rsidRDefault="00D907AF" w:rsidP="00D53B5C">
      <w:pPr>
        <w:pStyle w:val="NILSReference"/>
      </w:pPr>
      <w:r w:rsidRPr="008B70CD">
        <w:t>Note: Updated 15 July 2015. Trial site sample 1b remains open for registrations.</w:t>
      </w:r>
    </w:p>
    <w:p w:rsidR="00FA139B" w:rsidRDefault="00FA139B" w:rsidP="00D907AF"/>
    <w:p w:rsidR="0073485F" w:rsidRDefault="0073485F">
      <w:r>
        <w:br w:type="page"/>
      </w:r>
    </w:p>
    <w:p w:rsidR="00D907AF" w:rsidRPr="004E62D8" w:rsidRDefault="00D907AF" w:rsidP="00D907AF">
      <w:r>
        <w:lastRenderedPageBreak/>
        <w:t>The</w:t>
      </w:r>
      <w:r w:rsidRPr="004E62D8">
        <w:t xml:space="preserve"> registration process </w:t>
      </w:r>
      <w:r>
        <w:t xml:space="preserve">also </w:t>
      </w:r>
      <w:r w:rsidRPr="004E62D8">
        <w:t xml:space="preserve">helped </w:t>
      </w:r>
      <w:r>
        <w:t xml:space="preserve">us to </w:t>
      </w:r>
      <w:r w:rsidRPr="004E62D8">
        <w:t xml:space="preserve">customise the NDIS Survey, ensuring </w:t>
      </w:r>
      <w:r>
        <w:t xml:space="preserve">that </w:t>
      </w:r>
      <w:r w:rsidRPr="004E62D8">
        <w:t xml:space="preserve">respondents were able to participate using their choice of survey mode, issued in standard or Easy English (see below: Accessibility and design); and that appropriate proxy interview questionnaires were used where this had been requested. All in all, we </w:t>
      </w:r>
      <w:r>
        <w:t xml:space="preserve">believe </w:t>
      </w:r>
      <w:r w:rsidRPr="004E62D8">
        <w:t>that the registration process is a useful tool for handling some of the complexity of the survey design and</w:t>
      </w:r>
      <w:r>
        <w:t xml:space="preserve"> that</w:t>
      </w:r>
      <w:r w:rsidRPr="004E62D8">
        <w:t xml:space="preserve"> it should be retained for this reason. </w:t>
      </w:r>
      <w:r>
        <w:t>It</w:t>
      </w:r>
      <w:r w:rsidRPr="004E62D8">
        <w:t xml:space="preserve"> can also serve as a powerful opt-in process, possibly making part of the initial opt-in and opt-out process redundant and subject t</w:t>
      </w:r>
      <w:r>
        <w:t>o</w:t>
      </w:r>
      <w:r w:rsidRPr="004E62D8">
        <w:t xml:space="preserve"> useful simplification.</w:t>
      </w:r>
    </w:p>
    <w:p w:rsidR="00D907AF" w:rsidRDefault="00D907AF" w:rsidP="00D907AF">
      <w:r w:rsidRPr="004E62D8">
        <w:t xml:space="preserve">Finally we note that introducing the registration process has not managed to fully close the data gap caused by the unavailability of NDIS and disability support data from more detailed administrative data sources. </w:t>
      </w:r>
      <w:r>
        <w:t xml:space="preserve">Despite the useful support provided to the </w:t>
      </w:r>
      <w:r w:rsidR="00190419">
        <w:t>e</w:t>
      </w:r>
      <w:r w:rsidR="00BD356D">
        <w:t>valuation</w:t>
      </w:r>
      <w:r>
        <w:t xml:space="preserve"> by administrative data, some data items are unavailable. </w:t>
      </w:r>
      <w:r w:rsidRPr="004E62D8">
        <w:t xml:space="preserve">Unless this shortcoming is addressed, it is likely to affect the extent to which the </w:t>
      </w:r>
      <w:r w:rsidR="00190419">
        <w:t>e</w:t>
      </w:r>
      <w:r w:rsidR="00BD356D">
        <w:t>valuation</w:t>
      </w:r>
      <w:r w:rsidRPr="004E62D8">
        <w:t xml:space="preserve"> will be able to answer some of the Key Evaluation Questions </w:t>
      </w:r>
      <w:r>
        <w:t xml:space="preserve">(KEQ) </w:t>
      </w:r>
      <w:r w:rsidRPr="004E62D8">
        <w:t>that depend on the administrative data, notably those that relate directly to NDIS funding and NDIS-funded supports, as this type of information can be reliably obtained only through administrative data.</w:t>
      </w:r>
    </w:p>
    <w:p w:rsidR="00D907AF" w:rsidRPr="004E62D8" w:rsidRDefault="00D907AF" w:rsidP="00367B24">
      <w:pPr>
        <w:pStyle w:val="Heading3"/>
      </w:pPr>
      <w:bookmarkStart w:id="164" w:name="_Toc428280625"/>
      <w:bookmarkStart w:id="165" w:name="_Toc449954997"/>
      <w:r>
        <w:t xml:space="preserve">3.2.9 </w:t>
      </w:r>
      <w:r w:rsidRPr="004E62D8">
        <w:t>Completing the first wave of interviews and commencing the second wave of interviews</w:t>
      </w:r>
      <w:bookmarkEnd w:id="164"/>
      <w:bookmarkEnd w:id="165"/>
    </w:p>
    <w:p w:rsidR="00D907AF" w:rsidRDefault="00D907AF" w:rsidP="00D907AF">
      <w:r w:rsidRPr="004E62D8">
        <w:t xml:space="preserve">The first wave of interviews is still under way. Waves 1a and 1b are expected to </w:t>
      </w:r>
      <w:r>
        <w:t xml:space="preserve">be </w:t>
      </w:r>
      <w:r w:rsidRPr="004E62D8">
        <w:t>complete</w:t>
      </w:r>
      <w:r>
        <w:t>d</w:t>
      </w:r>
      <w:r w:rsidRPr="004E62D8">
        <w:t xml:space="preserve"> in September</w:t>
      </w:r>
      <w:r>
        <w:t>/October</w:t>
      </w:r>
      <w:r w:rsidRPr="004E62D8">
        <w:t xml:space="preserve"> 2015. </w:t>
      </w:r>
      <w:r>
        <w:t xml:space="preserve">The exact timing of </w:t>
      </w:r>
      <w:r w:rsidRPr="004E62D8">
        <w:t>Wave 1c and the topping up of the ACT sample (Wave 1</w:t>
      </w:r>
      <w:r>
        <w:t xml:space="preserve"> </w:t>
      </w:r>
      <w:r w:rsidRPr="004E62D8">
        <w:t xml:space="preserve">ACT) are </w:t>
      </w:r>
      <w:r>
        <w:t>under discussion, the objective being</w:t>
      </w:r>
      <w:r w:rsidRPr="004E62D8">
        <w:t xml:space="preserve"> to commence in </w:t>
      </w:r>
      <w:r>
        <w:t>September</w:t>
      </w:r>
      <w:r w:rsidRPr="004E62D8">
        <w:t xml:space="preserve"> 2015 with the necessary opt-out and registration processes.</w:t>
      </w:r>
    </w:p>
    <w:p w:rsidR="00FA139B" w:rsidRPr="004E62D8" w:rsidRDefault="00FA139B" w:rsidP="00D907AF"/>
    <w:p w:rsidR="00D907AF" w:rsidRDefault="00D907AF" w:rsidP="00D907AF">
      <w:r w:rsidRPr="004E62D8">
        <w:t>The second wave of the NDIS Survey and the NDIS Survey of Families and Carers is currently scheduled to commence in late 2015. The majority of respondents will be re</w:t>
      </w:r>
      <w:r w:rsidR="003652F8">
        <w:t>-</w:t>
      </w:r>
      <w:r w:rsidRPr="004E62D8">
        <w:t xml:space="preserve">interviewed approximately 10 to 12 months after their first round of interviews. The possibility of streamlining the registration process for any top up sample (that is new sample members who will be interviewed for the first time in Wave 2) could be experimented with in Wave 2. Wave 2 will be largely identical in its questions to Wave 1, as this is necessary for questions to be used </w:t>
      </w:r>
      <w:r>
        <w:t>for</w:t>
      </w:r>
      <w:r w:rsidRPr="004E62D8">
        <w:t xml:space="preserve"> the evaluation </w:t>
      </w:r>
      <w:r>
        <w:t>of the NDIS</w:t>
      </w:r>
      <w:r w:rsidRPr="004E62D8">
        <w:t>. The fieldwork will be far more concentrated</w:t>
      </w:r>
      <w:r>
        <w:t xml:space="preserve"> in terms of time in the field</w:t>
      </w:r>
      <w:r w:rsidRPr="004E62D8">
        <w:t xml:space="preserve"> than in Wave 1, as there will not be any phasing in problems to delay the fieldwork.</w:t>
      </w:r>
    </w:p>
    <w:p w:rsidR="00FA139B" w:rsidRDefault="00FA139B" w:rsidP="00D907AF"/>
    <w:p w:rsidR="00FA139B" w:rsidRDefault="00FA139B">
      <w:pPr>
        <w:rPr>
          <w:rFonts w:eastAsia="Times" w:cstheme="minorHAnsi"/>
          <w:b/>
          <w:kern w:val="32"/>
          <w:sz w:val="26"/>
          <w:szCs w:val="24"/>
          <w:lang w:val="en-AU" w:eastAsia="zh-CN"/>
        </w:rPr>
      </w:pPr>
      <w:bookmarkStart w:id="166" w:name="_Toc428280626"/>
      <w:r>
        <w:br w:type="page"/>
      </w:r>
    </w:p>
    <w:p w:rsidR="00D907AF" w:rsidRPr="004E62D8" w:rsidRDefault="00D907AF" w:rsidP="00EC2C19">
      <w:pPr>
        <w:pStyle w:val="Heading2"/>
      </w:pPr>
      <w:bookmarkStart w:id="167" w:name="_Toc449954998"/>
      <w:r>
        <w:lastRenderedPageBreak/>
        <w:t xml:space="preserve">3.3 </w:t>
      </w:r>
      <w:r w:rsidRPr="004E62D8">
        <w:t>Accessibility and design – the survey instruments</w:t>
      </w:r>
      <w:bookmarkEnd w:id="166"/>
      <w:bookmarkEnd w:id="167"/>
    </w:p>
    <w:p w:rsidR="00D907AF" w:rsidRPr="004E62D8" w:rsidRDefault="00D907AF" w:rsidP="00D907AF">
      <w:r w:rsidRPr="004E62D8">
        <w:t xml:space="preserve">A core objective of the NDIS Survey is to be inclusive and </w:t>
      </w:r>
      <w:r>
        <w:t>make it easy for</w:t>
      </w:r>
      <w:r w:rsidRPr="004E62D8">
        <w:t xml:space="preserve"> NDIS participants and their counterparts in the comparison group to take part in the study. To achieve this objective, the surveys adopted a multi-modal approach</w:t>
      </w:r>
      <w:r>
        <w:t xml:space="preserve"> and</w:t>
      </w:r>
      <w:r w:rsidRPr="004E62D8">
        <w:t xml:space="preserve"> structured the questionnaire to allow an unprecedented level of user flexibility. This was achieved whilst drawing and building on validated survey questions to ensure greatest comparability of results. Allowing multiple modes of participation and designing the questionnaires to be accessible to people with various levels of disability were central to the survey and the </w:t>
      </w:r>
      <w:r w:rsidR="00190419">
        <w:t>e</w:t>
      </w:r>
      <w:r w:rsidR="00A46B00">
        <w:t>valuation</w:t>
      </w:r>
      <w:r w:rsidRPr="004E62D8">
        <w:t xml:space="preserve"> design.</w:t>
      </w:r>
    </w:p>
    <w:p w:rsidR="00D907AF" w:rsidRPr="004E62D8" w:rsidRDefault="00D907AF" w:rsidP="00EC2C19">
      <w:pPr>
        <w:pStyle w:val="Heading3"/>
      </w:pPr>
      <w:bookmarkStart w:id="168" w:name="_Toc428280627"/>
      <w:bookmarkStart w:id="169" w:name="_Toc449954999"/>
      <w:r>
        <w:t xml:space="preserve">3.3.1 </w:t>
      </w:r>
      <w:r w:rsidRPr="004E62D8">
        <w:t>Multi-mode delivery</w:t>
      </w:r>
      <w:bookmarkEnd w:id="168"/>
      <w:bookmarkEnd w:id="169"/>
    </w:p>
    <w:p w:rsidR="00D907AF" w:rsidRDefault="00D907AF" w:rsidP="00D907AF">
      <w:r w:rsidRPr="004E62D8">
        <w:t>Reflecting the respondents</w:t>
      </w:r>
      <w:r>
        <w:t>’</w:t>
      </w:r>
      <w:r w:rsidRPr="004E62D8">
        <w:t xml:space="preserve"> preferences recorded in the registration process, the NDIS Survey and the NDIS Survey for Families and Carers w</w:t>
      </w:r>
      <w:r w:rsidR="00834C91">
        <w:t>ere</w:t>
      </w:r>
      <w:r w:rsidRPr="004E62D8">
        <w:t xml:space="preserve"> designed and </w:t>
      </w:r>
      <w:r>
        <w:t>conducted</w:t>
      </w:r>
      <w:r w:rsidRPr="004E62D8">
        <w:t xml:space="preserve"> as</w:t>
      </w:r>
      <w:r>
        <w:t>:</w:t>
      </w:r>
    </w:p>
    <w:p w:rsidR="00A06AE2" w:rsidRPr="004E62D8" w:rsidRDefault="00A06AE2" w:rsidP="00D907AF"/>
    <w:p w:rsidR="00D907AF" w:rsidRPr="004E62D8" w:rsidRDefault="00D907AF" w:rsidP="00AF5E38">
      <w:pPr>
        <w:numPr>
          <w:ilvl w:val="0"/>
          <w:numId w:val="14"/>
        </w:numPr>
        <w:spacing w:after="120"/>
        <w:ind w:left="426" w:hanging="426"/>
      </w:pPr>
      <w:r w:rsidRPr="004E62D8">
        <w:t xml:space="preserve">a postal survey </w:t>
      </w:r>
      <w:r>
        <w:t>using paper copy questionnaires</w:t>
      </w:r>
      <w:r w:rsidRPr="004E62D8">
        <w:t xml:space="preserve"> </w:t>
      </w:r>
    </w:p>
    <w:p w:rsidR="00D907AF" w:rsidRPr="004E62D8" w:rsidRDefault="00D907AF" w:rsidP="00AF5E38">
      <w:pPr>
        <w:numPr>
          <w:ilvl w:val="0"/>
          <w:numId w:val="14"/>
        </w:numPr>
        <w:spacing w:after="120"/>
        <w:ind w:left="426" w:hanging="426"/>
      </w:pPr>
      <w:r w:rsidRPr="004E62D8">
        <w:t xml:space="preserve">a username and password-protected web survey for online completion </w:t>
      </w:r>
    </w:p>
    <w:p w:rsidR="00D907AF" w:rsidRDefault="00D907AF" w:rsidP="00AF5E38">
      <w:pPr>
        <w:numPr>
          <w:ilvl w:val="0"/>
          <w:numId w:val="14"/>
        </w:numPr>
        <w:ind w:left="426" w:hanging="426"/>
      </w:pPr>
      <w:r w:rsidRPr="004E62D8">
        <w:t xml:space="preserve">a computer assisted telephone interview. </w:t>
      </w:r>
    </w:p>
    <w:p w:rsidR="00A06AE2" w:rsidRPr="004E62D8" w:rsidRDefault="00A06AE2" w:rsidP="00A06AE2">
      <w:pPr>
        <w:ind w:left="426"/>
      </w:pPr>
    </w:p>
    <w:p w:rsidR="00D907AF" w:rsidRPr="004E62D8" w:rsidRDefault="00D907AF" w:rsidP="00D907AF">
      <w:r w:rsidRPr="004E62D8">
        <w:t xml:space="preserve">We describe below how the various modes were tested prior to implementation. Telephone interviews were conducted by experienced interviewers, including many with previous experience of interviewing people with disability. Telephone interviewers received specialist training from the Disability and </w:t>
      </w:r>
      <w:r>
        <w:t xml:space="preserve">Community </w:t>
      </w:r>
      <w:r w:rsidRPr="004E62D8">
        <w:t xml:space="preserve">Inclusion Unit </w:t>
      </w:r>
      <w:r>
        <w:t xml:space="preserve">(DCIU) </w:t>
      </w:r>
      <w:r w:rsidRPr="004E62D8">
        <w:t>at Flinders University.</w:t>
      </w:r>
    </w:p>
    <w:p w:rsidR="00D907AF" w:rsidRPr="004E62D8" w:rsidRDefault="00D907AF" w:rsidP="00D907AF">
      <w:r w:rsidRPr="004E62D8">
        <w:t>Survey respondents were free to choose their preferred mode of participation</w:t>
      </w:r>
      <w:r>
        <w:t xml:space="preserve"> (among hard copy, telephone or online)</w:t>
      </w:r>
      <w:r w:rsidRPr="004E62D8">
        <w:t xml:space="preserve">, and were also given the opportunity to </w:t>
      </w:r>
      <w:r>
        <w:t>request</w:t>
      </w:r>
      <w:r w:rsidRPr="004E62D8">
        <w:t xml:space="preserve"> </w:t>
      </w:r>
      <w:r>
        <w:t xml:space="preserve">the </w:t>
      </w:r>
      <w:r w:rsidRPr="004E62D8">
        <w:t>alternative</w:t>
      </w:r>
      <w:r>
        <w:t xml:space="preserve"> of a face to face interview</w:t>
      </w:r>
      <w:r w:rsidRPr="004E62D8">
        <w:t>.</w:t>
      </w:r>
    </w:p>
    <w:p w:rsidR="00D907AF" w:rsidRPr="004E62D8" w:rsidRDefault="00D907AF" w:rsidP="00367B24">
      <w:pPr>
        <w:pStyle w:val="Heading3"/>
      </w:pPr>
      <w:bookmarkStart w:id="170" w:name="_Toc428280628"/>
      <w:bookmarkStart w:id="171" w:name="_Toc449955000"/>
      <w:r>
        <w:t xml:space="preserve">3.3.2 </w:t>
      </w:r>
      <w:r w:rsidRPr="004E62D8">
        <w:t>Accessibility of questionnaires</w:t>
      </w:r>
      <w:bookmarkEnd w:id="170"/>
      <w:bookmarkEnd w:id="171"/>
    </w:p>
    <w:p w:rsidR="00D907AF" w:rsidRDefault="00D907AF" w:rsidP="00D907AF">
      <w:r w:rsidRPr="004E62D8">
        <w:t>To improve the accessibility of the NDIS Survey, the questionnaire was divided into two parts. Part A collected factual information about the person; Part B collected opinions, data on subjective well</w:t>
      </w:r>
      <w:r>
        <w:t>-</w:t>
      </w:r>
      <w:r w:rsidRPr="004E62D8">
        <w:t>being, social and economic activity, and personal aspirations. Part B was also provided in Easy English format with pictorial aids. Dividing the survey into two distinct halves was</w:t>
      </w:r>
      <w:r>
        <w:t xml:space="preserve"> intended</w:t>
      </w:r>
      <w:r w:rsidRPr="004E62D8">
        <w:t xml:space="preserve"> to increase the participation of people with disability who might not be able to participate in the entire survey, but were encouraged to express their personal views in Part B, whilst potentially letting their proxy answer Part A.</w:t>
      </w:r>
    </w:p>
    <w:p w:rsidR="00FA139B" w:rsidRPr="004E62D8" w:rsidRDefault="00FA139B" w:rsidP="00D907AF"/>
    <w:p w:rsidR="00D907AF" w:rsidRDefault="00D907AF" w:rsidP="00D907AF">
      <w:r w:rsidRPr="004E62D8">
        <w:t xml:space="preserve">NDIS </w:t>
      </w:r>
      <w:r>
        <w:t>Survey</w:t>
      </w:r>
      <w:r w:rsidRPr="004E62D8">
        <w:t xml:space="preserve"> respondents who chose to participate in a telephone interview using the Easy English format were first mailed that questionnaire and were subsequently guided through it by the telephone interviewer.</w:t>
      </w:r>
      <w:r w:rsidR="003B2D73">
        <w:t xml:space="preserve"> </w:t>
      </w:r>
      <w:r w:rsidR="00E87146">
        <w:t>The Easy English version of Part B was also available to complete online.</w:t>
      </w:r>
    </w:p>
    <w:p w:rsidR="00FA139B" w:rsidRPr="004E62D8" w:rsidRDefault="00FA139B" w:rsidP="00D907AF"/>
    <w:p w:rsidR="00D907AF" w:rsidRDefault="00D907AF" w:rsidP="00D907AF">
      <w:r w:rsidRPr="004E62D8">
        <w:t>The surveys were also designed to reflect the completion needs for different age groups. For young people with disability under the age of 8, a proxy questionnaire was provided for completion by the responsible adult who would typically be the parent or guardian. For young people with disability aged 8 to 15, Part A of the survey was designed to be completed by the responsible adult. Respondents were given the choice for the young person to complete Part B of the survey, or for the responsible adult to do so on behalf of the young person.</w:t>
      </w:r>
    </w:p>
    <w:p w:rsidR="00FA139B" w:rsidRPr="004E62D8" w:rsidRDefault="00FA139B" w:rsidP="00D907AF"/>
    <w:p w:rsidR="00D907AF" w:rsidRDefault="00D907AF" w:rsidP="00D907AF">
      <w:r w:rsidRPr="004E62D8">
        <w:t>Adults and young adults with disability (aged 16 and over) or, where known, their Person Responsible, were asked to indicate who was going to complete their Part A and Part B. Full proxy interviewing was also offered if a person with disability was not able to participate himself or herself</w:t>
      </w:r>
      <w:r>
        <w:t xml:space="preserve">. </w:t>
      </w:r>
      <w:r>
        <w:lastRenderedPageBreak/>
        <w:t>A</w:t>
      </w:r>
      <w:r w:rsidRPr="004E62D8">
        <w:t>ssisted interviewing was encouraged where this was deemed helpful or necessary. All survey participants were asked at registration to indicate if they preferred Part B to be supplied in standard or Easy English. Finally, provisions were in place at interview time to allow the survey respondents to change the mode of participation originally requested at registration.</w:t>
      </w:r>
    </w:p>
    <w:p w:rsidR="00FA139B" w:rsidRPr="004E62D8" w:rsidRDefault="00FA139B" w:rsidP="00D907AF"/>
    <w:p w:rsidR="00D907AF" w:rsidRPr="004E62D8" w:rsidRDefault="00D907AF" w:rsidP="00D907AF">
      <w:r>
        <w:t>Table 3.4</w:t>
      </w:r>
      <w:r w:rsidRPr="004E62D8">
        <w:t xml:space="preserve"> summarises the various combinations of questionnaires that were offered. Key </w:t>
      </w:r>
      <w:r>
        <w:t>variations were:</w:t>
      </w:r>
    </w:p>
    <w:p w:rsidR="00D907AF" w:rsidRPr="004E62D8" w:rsidRDefault="00D907AF" w:rsidP="00A06AE2">
      <w:pPr>
        <w:pStyle w:val="Bullets"/>
        <w:ind w:left="426" w:hanging="426"/>
      </w:pPr>
      <w:r w:rsidRPr="004E62D8">
        <w:t>Education and employment questions were asked in an age-appropriate context</w:t>
      </w:r>
      <w:r>
        <w:t>.</w:t>
      </w:r>
      <w:r w:rsidRPr="004E62D8">
        <w:t xml:space="preserve"> </w:t>
      </w:r>
      <w:r>
        <w:t>F</w:t>
      </w:r>
      <w:r w:rsidRPr="004E62D8">
        <w:t xml:space="preserve">or instance, people with disability </w:t>
      </w:r>
      <w:r w:rsidRPr="00724E2A">
        <w:rPr>
          <w:b/>
        </w:rPr>
        <w:t>under the age of 16</w:t>
      </w:r>
      <w:r w:rsidRPr="00913340">
        <w:t xml:space="preserve"> </w:t>
      </w:r>
      <w:r w:rsidRPr="004E62D8">
        <w:t>were not asked about employment, thus reducing the survey length and burden on the interviewee.</w:t>
      </w:r>
    </w:p>
    <w:p w:rsidR="00D907AF" w:rsidRPr="004E62D8" w:rsidRDefault="00D907AF" w:rsidP="00A06AE2">
      <w:pPr>
        <w:pStyle w:val="Bullets"/>
        <w:ind w:left="426" w:hanging="426"/>
      </w:pPr>
      <w:r w:rsidRPr="004E62D8">
        <w:t>No part B was offered where the NDIS participant or person in the comparison group was</w:t>
      </w:r>
      <w:r w:rsidRPr="004E62D8">
        <w:rPr>
          <w:u w:val="single"/>
        </w:rPr>
        <w:t xml:space="preserve"> </w:t>
      </w:r>
      <w:r w:rsidRPr="00724E2A">
        <w:rPr>
          <w:b/>
        </w:rPr>
        <w:t>under the age of 8</w:t>
      </w:r>
      <w:r w:rsidRPr="00913340">
        <w:t>.</w:t>
      </w:r>
      <w:r w:rsidRPr="004E62D8">
        <w:t xml:space="preserve"> In that case, the parent, guardian or Person Responsible was asked to complete Part A only; questions </w:t>
      </w:r>
      <w:r w:rsidRPr="00290799">
        <w:t>concerning the social participation of the NDIS participants</w:t>
      </w:r>
      <w:r w:rsidRPr="004E62D8">
        <w:t xml:space="preserve"> were included in the matched NDIS Survey for Families and Carers to provide the relevant information. Respondents who were acting on behalf of an NDIS participant under the age of 8 were also asked to skip sections in the questionnaire that were concerned with daily support needs, many of which would be deemed generic for this age group. This further reduced the burden on the interviewee.</w:t>
      </w:r>
    </w:p>
    <w:p w:rsidR="00D907AF" w:rsidRPr="004E62D8" w:rsidRDefault="00D907AF" w:rsidP="00A06AE2">
      <w:pPr>
        <w:pStyle w:val="Bullets"/>
        <w:ind w:left="426" w:hanging="426"/>
      </w:pPr>
      <w:r w:rsidRPr="004E62D8">
        <w:t>The Easy English versions of questionnaires included pictorial aids, and simplified wording and responses, including scales. These were developed with the assistance of specialists.</w:t>
      </w:r>
    </w:p>
    <w:p w:rsidR="00D907AF" w:rsidRPr="004E62D8" w:rsidRDefault="00D907AF" w:rsidP="00A06AE2">
      <w:pPr>
        <w:pStyle w:val="Bullets"/>
        <w:ind w:left="426" w:hanging="426"/>
      </w:pPr>
      <w:r w:rsidRPr="004E62D8">
        <w:t>Whereas self-completion questionnaires addressed the respondent directly, the proxy interview questionnaires were modified to refer to the person with disability by his or her name. Naming the main respondent and including an introductory note in the questionnaire, the online script and the telephone interviews served to remind proxy respondents that the answers to Part B should be from the NDIS participant</w:t>
      </w:r>
      <w:r>
        <w:t>’</w:t>
      </w:r>
      <w:r w:rsidRPr="004E62D8">
        <w:t>s or named comparison group person’s perspective.</w:t>
      </w:r>
    </w:p>
    <w:p w:rsidR="00D907AF" w:rsidRPr="00290799" w:rsidRDefault="00D907AF" w:rsidP="00A06AE2">
      <w:pPr>
        <w:pStyle w:val="Bullets"/>
        <w:ind w:left="426" w:hanging="426"/>
      </w:pPr>
      <w:r w:rsidRPr="00FC28F4">
        <w:t xml:space="preserve">Proxy interviewers who did not wish to complete Part B on behalf of the main respondent were invited to complete Part A only (and the NDIS Survey of Families and Carers, where appropriate). This resulted in the creation of </w:t>
      </w:r>
      <w:r w:rsidRPr="00290799">
        <w:t xml:space="preserve">two versions of </w:t>
      </w:r>
      <w:r w:rsidRPr="00290799">
        <w:rPr>
          <w:b/>
        </w:rPr>
        <w:t>Proxy Part A</w:t>
      </w:r>
      <w:r w:rsidRPr="00290799">
        <w:t xml:space="preserve"> questionnaires as listed in </w:t>
      </w:r>
      <w:r w:rsidRPr="00FC28F4">
        <w:t>Table 3.4</w:t>
      </w:r>
      <w:r>
        <w:t xml:space="preserve"> (one for the trial and one for the comparison group)</w:t>
      </w:r>
      <w:r w:rsidRPr="00FC28F4">
        <w:t>.</w:t>
      </w:r>
    </w:p>
    <w:p w:rsidR="00D907AF" w:rsidRDefault="00D907AF" w:rsidP="00EA2B57">
      <w:pPr>
        <w:pStyle w:val="Bullets"/>
        <w:spacing w:after="0"/>
        <w:ind w:left="426" w:hanging="426"/>
      </w:pPr>
      <w:r w:rsidRPr="004E62D8">
        <w:t>The questionnaire for NDIS participants included questions on supports received before the NDIS in Part A. It also invited a comparison of several aspects of receiving supports pre-NDIS and within the NDIS in Part B. The NDIS support sections were omitted from the comparison group questionnaires. This exclusion reduced the length of the interview for the comparison group.</w:t>
      </w:r>
    </w:p>
    <w:p w:rsidR="00EA2B57" w:rsidRPr="00EA2B57" w:rsidRDefault="00EA2B57" w:rsidP="00EA2B57"/>
    <w:p w:rsidR="00D907AF" w:rsidRDefault="00D907AF" w:rsidP="00D907AF">
      <w:r w:rsidRPr="004E62D8">
        <w:t xml:space="preserve">The 14 different combinations and types of survey Parts A and B </w:t>
      </w:r>
      <w:r>
        <w:t>meant there were</w:t>
      </w:r>
      <w:r w:rsidRPr="004E62D8">
        <w:t xml:space="preserve"> seven distinct hardcopy questionnaires (including two Easy English versions) each for the trial and comparison groups of people with disability. The Full (standard or Easy English) and Assisted (standard or Easy English) questionnaire listed in the first four rows of Table </w:t>
      </w:r>
      <w:r>
        <w:t>3.4</w:t>
      </w:r>
      <w:r w:rsidRPr="004E62D8">
        <w:t xml:space="preserve"> did not substantially differ in their content</w:t>
      </w:r>
      <w:r>
        <w:t>. There are two</w:t>
      </w:r>
      <w:r w:rsidRPr="004E62D8">
        <w:t xml:space="preserve"> </w:t>
      </w:r>
      <w:r>
        <w:t xml:space="preserve">very distinct </w:t>
      </w:r>
      <w:r w:rsidRPr="004E62D8">
        <w:t>question</w:t>
      </w:r>
      <w:r>
        <w:t>s at the end of Part B. The first asks</w:t>
      </w:r>
      <w:r w:rsidRPr="004E62D8">
        <w:t xml:space="preserve"> the extent of assistance</w:t>
      </w:r>
      <w:r>
        <w:t xml:space="preserve"> the person with disability had in completing the questionnaire</w:t>
      </w:r>
      <w:r w:rsidRPr="004E62D8">
        <w:t xml:space="preserve"> and the </w:t>
      </w:r>
      <w:r>
        <w:t xml:space="preserve">second asks the </w:t>
      </w:r>
      <w:r w:rsidRPr="004E62D8">
        <w:t>significance of the</w:t>
      </w:r>
      <w:r>
        <w:t xml:space="preserve"> person assisting</w:t>
      </w:r>
      <w:r w:rsidRPr="004E62D8">
        <w:t xml:space="preserve"> </w:t>
      </w:r>
      <w:r>
        <w:t>in making decisions in the life of</w:t>
      </w:r>
      <w:r w:rsidRPr="00906C09">
        <w:t xml:space="preserve"> </w:t>
      </w:r>
      <w:r>
        <w:t>the person with disability</w:t>
      </w:r>
      <w:r w:rsidRPr="004E62D8">
        <w:t xml:space="preserve">. The </w:t>
      </w:r>
      <w:r>
        <w:t xml:space="preserve">nature of the </w:t>
      </w:r>
      <w:r w:rsidRPr="004E62D8">
        <w:t xml:space="preserve">two </w:t>
      </w:r>
      <w:r>
        <w:t>questions</w:t>
      </w:r>
      <w:r w:rsidRPr="004E62D8">
        <w:t xml:space="preserve"> required different programming in the online and CATI </w:t>
      </w:r>
      <w:r>
        <w:t xml:space="preserve">delivery </w:t>
      </w:r>
      <w:r w:rsidRPr="004E62D8">
        <w:t xml:space="preserve">modes in order to </w:t>
      </w:r>
      <w:r>
        <w:t>handle</w:t>
      </w:r>
      <w:r w:rsidRPr="004E62D8">
        <w:t xml:space="preserve"> appropriate</w:t>
      </w:r>
      <w:r>
        <w:t>ly the</w:t>
      </w:r>
      <w:r w:rsidRPr="004E62D8">
        <w:t xml:space="preserve"> hand-over and continuation instructions between Parts A and B</w:t>
      </w:r>
      <w:r>
        <w:t>. It is for this reason these questions are</w:t>
      </w:r>
      <w:r w:rsidRPr="004E62D8">
        <w:t xml:space="preserve"> listed separately.</w:t>
      </w:r>
    </w:p>
    <w:p w:rsidR="00FA139B" w:rsidRPr="004E62D8" w:rsidRDefault="00FA139B" w:rsidP="00D907AF"/>
    <w:p w:rsidR="00FA139B" w:rsidRDefault="00FA139B">
      <w:pPr>
        <w:rPr>
          <w:b/>
          <w:sz w:val="20"/>
        </w:rPr>
      </w:pPr>
      <w:bookmarkStart w:id="172" w:name="_Toc428280654"/>
      <w:r>
        <w:br w:type="page"/>
      </w:r>
    </w:p>
    <w:p w:rsidR="00D907AF" w:rsidRPr="004E62D8" w:rsidRDefault="00D907AF" w:rsidP="0044684E">
      <w:pPr>
        <w:pStyle w:val="NILSTableHeading"/>
      </w:pPr>
      <w:bookmarkStart w:id="173" w:name="_Toc449955266"/>
      <w:r w:rsidRPr="004E62D8">
        <w:lastRenderedPageBreak/>
        <w:t xml:space="preserve">Table </w:t>
      </w:r>
      <w:r>
        <w:t>3.4</w:t>
      </w:r>
      <w:r w:rsidR="007B296F">
        <w:rPr>
          <w:lang w:val="en-AU"/>
        </w:rPr>
        <w:t>:</w:t>
      </w:r>
      <w:r w:rsidRPr="004E62D8">
        <w:t xml:space="preserve"> Types of questionnaires</w:t>
      </w:r>
      <w:bookmarkEnd w:id="172"/>
      <w:bookmarkEnd w:id="173"/>
      <w:r w:rsidRPr="004E62D8">
        <w:t xml:space="preserve"> </w:t>
      </w:r>
    </w:p>
    <w:tbl>
      <w:tblPr>
        <w:tblStyle w:val="TableGrid"/>
        <w:tblW w:w="8896" w:type="dxa"/>
        <w:tblLook w:val="04A0" w:firstRow="1" w:lastRow="0" w:firstColumn="1" w:lastColumn="0" w:noHBand="0" w:noVBand="1"/>
        <w:tblCaption w:val="Table 3.4 Types of questionnaires "/>
        <w:tblDescription w:val="Table of questionnaire types, age group of respondents, Part A and Part B variants."/>
      </w:tblPr>
      <w:tblGrid>
        <w:gridCol w:w="675"/>
        <w:gridCol w:w="2694"/>
        <w:gridCol w:w="1842"/>
        <w:gridCol w:w="2198"/>
        <w:gridCol w:w="1487"/>
      </w:tblGrid>
      <w:tr w:rsidR="00D907AF" w:rsidRPr="00BF42C0" w:rsidTr="00294B91">
        <w:trPr>
          <w:cantSplit/>
          <w:tblHeader/>
        </w:trPr>
        <w:tc>
          <w:tcPr>
            <w:tcW w:w="675" w:type="dxa"/>
            <w:tcBorders>
              <w:top w:val="single" w:sz="4" w:space="0" w:color="auto"/>
              <w:bottom w:val="single" w:sz="4" w:space="0" w:color="auto"/>
            </w:tcBorders>
          </w:tcPr>
          <w:p w:rsidR="00D907AF" w:rsidRPr="00BF42C0" w:rsidRDefault="00D907AF" w:rsidP="00D907AF">
            <w:pPr>
              <w:spacing w:before="20" w:after="20"/>
              <w:rPr>
                <w:rFonts w:cstheme="minorHAnsi"/>
                <w:sz w:val="20"/>
                <w:szCs w:val="20"/>
              </w:rPr>
            </w:pPr>
            <w:bookmarkStart w:id="174" w:name="ColumnTitle_3_4"/>
            <w:bookmarkEnd w:id="174"/>
            <w:r w:rsidRPr="00BF42C0">
              <w:rPr>
                <w:rFonts w:cstheme="minorHAnsi"/>
                <w:sz w:val="20"/>
                <w:szCs w:val="20"/>
              </w:rPr>
              <w:t>DV1</w:t>
            </w:r>
          </w:p>
        </w:tc>
        <w:tc>
          <w:tcPr>
            <w:tcW w:w="2694" w:type="dxa"/>
            <w:tcBorders>
              <w:top w:val="single" w:sz="4" w:space="0" w:color="auto"/>
              <w:bottom w:val="single" w:sz="4" w:space="0" w:color="auto"/>
            </w:tcBorders>
          </w:tcPr>
          <w:p w:rsidR="00D907AF" w:rsidRPr="00BF42C0" w:rsidRDefault="00D907AF" w:rsidP="00D907AF">
            <w:pPr>
              <w:spacing w:before="20" w:after="20"/>
              <w:rPr>
                <w:rFonts w:cstheme="minorHAnsi"/>
                <w:sz w:val="20"/>
                <w:szCs w:val="20"/>
              </w:rPr>
            </w:pPr>
            <w:r w:rsidRPr="00BF42C0">
              <w:rPr>
                <w:rFonts w:cstheme="minorHAnsi"/>
                <w:sz w:val="20"/>
                <w:szCs w:val="20"/>
              </w:rPr>
              <w:t>Questionnaire Title</w:t>
            </w:r>
          </w:p>
        </w:tc>
        <w:tc>
          <w:tcPr>
            <w:tcW w:w="1842" w:type="dxa"/>
            <w:tcBorders>
              <w:top w:val="single" w:sz="4" w:space="0" w:color="auto"/>
              <w:bottom w:val="single" w:sz="4" w:space="0" w:color="auto"/>
            </w:tcBorders>
          </w:tcPr>
          <w:p w:rsidR="00D907AF" w:rsidRPr="00BF42C0" w:rsidRDefault="00D907AF" w:rsidP="00D907AF">
            <w:pPr>
              <w:spacing w:before="20" w:after="20"/>
              <w:rPr>
                <w:rFonts w:cstheme="minorHAnsi"/>
                <w:sz w:val="20"/>
                <w:szCs w:val="20"/>
              </w:rPr>
            </w:pPr>
            <w:r w:rsidRPr="00BF42C0">
              <w:rPr>
                <w:rFonts w:cstheme="minorHAnsi"/>
                <w:sz w:val="20"/>
                <w:szCs w:val="20"/>
              </w:rPr>
              <w:t>Respondent Age</w:t>
            </w:r>
          </w:p>
        </w:tc>
        <w:tc>
          <w:tcPr>
            <w:tcW w:w="2198" w:type="dxa"/>
            <w:tcBorders>
              <w:top w:val="single" w:sz="4" w:space="0" w:color="auto"/>
              <w:bottom w:val="single" w:sz="4" w:space="0" w:color="auto"/>
            </w:tcBorders>
          </w:tcPr>
          <w:p w:rsidR="00D907AF" w:rsidRPr="00BF42C0" w:rsidRDefault="00D907AF" w:rsidP="00D907AF">
            <w:pPr>
              <w:spacing w:before="20" w:after="20"/>
              <w:rPr>
                <w:rFonts w:cstheme="minorHAnsi"/>
                <w:sz w:val="20"/>
                <w:szCs w:val="20"/>
              </w:rPr>
            </w:pPr>
            <w:r w:rsidRPr="00BF42C0">
              <w:rPr>
                <w:rFonts w:cstheme="minorHAnsi"/>
                <w:sz w:val="20"/>
                <w:szCs w:val="20"/>
              </w:rPr>
              <w:t>Type of Completion</w:t>
            </w:r>
          </w:p>
        </w:tc>
        <w:tc>
          <w:tcPr>
            <w:tcW w:w="1487" w:type="dxa"/>
            <w:tcBorders>
              <w:top w:val="single" w:sz="4" w:space="0" w:color="auto"/>
              <w:bottom w:val="single" w:sz="4" w:space="0" w:color="auto"/>
            </w:tcBorders>
          </w:tcPr>
          <w:p w:rsidR="00D907AF" w:rsidRPr="00BF42C0" w:rsidRDefault="00D907AF" w:rsidP="00D907AF">
            <w:pPr>
              <w:spacing w:before="20" w:after="20"/>
              <w:rPr>
                <w:rFonts w:cstheme="minorHAnsi"/>
                <w:sz w:val="20"/>
                <w:szCs w:val="20"/>
              </w:rPr>
            </w:pPr>
            <w:r w:rsidRPr="00BF42C0">
              <w:rPr>
                <w:rFonts w:cstheme="minorHAnsi"/>
                <w:sz w:val="20"/>
                <w:szCs w:val="20"/>
              </w:rPr>
              <w:t>Type of Part B</w:t>
            </w:r>
          </w:p>
        </w:tc>
      </w:tr>
      <w:tr w:rsidR="00D907AF" w:rsidRPr="00BF42C0" w:rsidTr="00294B91">
        <w:trPr>
          <w:cantSplit/>
        </w:trPr>
        <w:tc>
          <w:tcPr>
            <w:tcW w:w="675" w:type="dxa"/>
            <w:tcBorders>
              <w:top w:val="single" w:sz="4" w:space="0" w:color="auto"/>
            </w:tcBorders>
          </w:tcPr>
          <w:p w:rsidR="00D907AF" w:rsidRPr="00BF42C0" w:rsidRDefault="00D907AF" w:rsidP="00D907AF">
            <w:pPr>
              <w:spacing w:before="20" w:after="20"/>
              <w:rPr>
                <w:rFonts w:cstheme="minorHAnsi"/>
                <w:sz w:val="20"/>
                <w:szCs w:val="20"/>
              </w:rPr>
            </w:pPr>
            <w:r w:rsidRPr="00BF42C0">
              <w:rPr>
                <w:rFonts w:cstheme="minorHAnsi"/>
                <w:sz w:val="20"/>
                <w:szCs w:val="20"/>
              </w:rPr>
              <w:t>1</w:t>
            </w:r>
          </w:p>
        </w:tc>
        <w:tc>
          <w:tcPr>
            <w:tcW w:w="2694" w:type="dxa"/>
            <w:tcBorders>
              <w:top w:val="single" w:sz="4" w:space="0" w:color="auto"/>
            </w:tcBorders>
          </w:tcPr>
          <w:p w:rsidR="00D907AF" w:rsidRPr="00BF42C0" w:rsidRDefault="00D907AF" w:rsidP="00D907AF">
            <w:pPr>
              <w:spacing w:before="20" w:after="20"/>
              <w:rPr>
                <w:rFonts w:cstheme="minorHAnsi"/>
                <w:sz w:val="20"/>
                <w:szCs w:val="20"/>
              </w:rPr>
            </w:pPr>
            <w:r w:rsidRPr="00BF42C0">
              <w:rPr>
                <w:rFonts w:cstheme="minorHAnsi"/>
                <w:sz w:val="20"/>
                <w:szCs w:val="20"/>
              </w:rPr>
              <w:t>Full standard survey</w:t>
            </w:r>
          </w:p>
        </w:tc>
        <w:tc>
          <w:tcPr>
            <w:tcW w:w="1842" w:type="dxa"/>
            <w:tcBorders>
              <w:top w:val="single" w:sz="4" w:space="0" w:color="auto"/>
            </w:tcBorders>
          </w:tcPr>
          <w:p w:rsidR="00D907AF" w:rsidRPr="00BF42C0" w:rsidRDefault="00D907AF" w:rsidP="00D907AF">
            <w:pPr>
              <w:spacing w:before="20" w:after="20"/>
              <w:rPr>
                <w:rFonts w:cstheme="minorHAnsi"/>
                <w:sz w:val="20"/>
                <w:szCs w:val="20"/>
              </w:rPr>
            </w:pPr>
            <w:r w:rsidRPr="00BF42C0">
              <w:rPr>
                <w:rFonts w:cstheme="minorHAnsi"/>
                <w:sz w:val="20"/>
                <w:szCs w:val="20"/>
              </w:rPr>
              <w:t>16+</w:t>
            </w:r>
            <w:r w:rsidR="00CD7722">
              <w:rPr>
                <w:rFonts w:cstheme="minorHAnsi"/>
                <w:sz w:val="20"/>
                <w:szCs w:val="20"/>
              </w:rPr>
              <w:t xml:space="preserve"> </w:t>
            </w:r>
            <w:r w:rsidR="00CD7722" w:rsidRPr="00D82D40">
              <w:rPr>
                <w:rFonts w:cstheme="minorHAnsi"/>
                <w:color w:val="FFFFFF" w:themeColor="background1"/>
                <w:sz w:val="20"/>
                <w:szCs w:val="20"/>
              </w:rPr>
              <w:t>years</w:t>
            </w:r>
          </w:p>
        </w:tc>
        <w:tc>
          <w:tcPr>
            <w:tcW w:w="2198" w:type="dxa"/>
            <w:tcBorders>
              <w:top w:val="single" w:sz="4" w:space="0" w:color="auto"/>
            </w:tcBorders>
          </w:tcPr>
          <w:p w:rsidR="00D907AF" w:rsidRPr="00BF42C0" w:rsidRDefault="00D907AF" w:rsidP="00D907AF">
            <w:pPr>
              <w:spacing w:before="20" w:after="20"/>
              <w:rPr>
                <w:rFonts w:cstheme="minorHAnsi"/>
                <w:sz w:val="20"/>
                <w:szCs w:val="20"/>
              </w:rPr>
            </w:pPr>
            <w:r w:rsidRPr="00BF42C0">
              <w:rPr>
                <w:rFonts w:cstheme="minorHAnsi"/>
                <w:sz w:val="20"/>
                <w:szCs w:val="20"/>
              </w:rPr>
              <w:t>Self-Completion</w:t>
            </w:r>
          </w:p>
        </w:tc>
        <w:tc>
          <w:tcPr>
            <w:tcW w:w="1487" w:type="dxa"/>
            <w:tcBorders>
              <w:top w:val="single" w:sz="4" w:space="0" w:color="auto"/>
            </w:tcBorders>
          </w:tcPr>
          <w:p w:rsidR="00D907AF" w:rsidRPr="00BF42C0" w:rsidRDefault="00D907AF" w:rsidP="00D907AF">
            <w:pPr>
              <w:spacing w:before="20" w:after="20"/>
              <w:rPr>
                <w:rFonts w:cstheme="minorHAnsi"/>
                <w:sz w:val="20"/>
                <w:szCs w:val="20"/>
              </w:rPr>
            </w:pPr>
            <w:r w:rsidRPr="00BF42C0">
              <w:rPr>
                <w:rFonts w:cstheme="minorHAnsi"/>
                <w:sz w:val="20"/>
                <w:szCs w:val="20"/>
              </w:rPr>
              <w:t>Standard</w:t>
            </w:r>
          </w:p>
        </w:tc>
      </w:tr>
      <w:tr w:rsidR="00D907AF" w:rsidRPr="00BF42C0" w:rsidTr="00294B91">
        <w:trPr>
          <w:cantSplit/>
        </w:trPr>
        <w:tc>
          <w:tcPr>
            <w:tcW w:w="675" w:type="dxa"/>
          </w:tcPr>
          <w:p w:rsidR="00D907AF" w:rsidRPr="00BF42C0" w:rsidRDefault="00D907AF" w:rsidP="00D907AF">
            <w:pPr>
              <w:spacing w:before="20" w:after="20"/>
              <w:rPr>
                <w:rFonts w:cstheme="minorHAnsi"/>
                <w:sz w:val="20"/>
                <w:szCs w:val="20"/>
              </w:rPr>
            </w:pPr>
            <w:r w:rsidRPr="00BF42C0">
              <w:rPr>
                <w:rFonts w:cstheme="minorHAnsi"/>
                <w:sz w:val="20"/>
                <w:szCs w:val="20"/>
              </w:rPr>
              <w:t>2</w:t>
            </w:r>
          </w:p>
        </w:tc>
        <w:tc>
          <w:tcPr>
            <w:tcW w:w="2694" w:type="dxa"/>
          </w:tcPr>
          <w:p w:rsidR="00D907AF" w:rsidRPr="00BF42C0" w:rsidRDefault="00D907AF" w:rsidP="00D907AF">
            <w:pPr>
              <w:spacing w:before="20" w:after="20"/>
              <w:rPr>
                <w:rFonts w:cstheme="minorHAnsi"/>
                <w:sz w:val="20"/>
                <w:szCs w:val="20"/>
              </w:rPr>
            </w:pPr>
            <w:r w:rsidRPr="00BF42C0">
              <w:rPr>
                <w:rFonts w:cstheme="minorHAnsi"/>
                <w:sz w:val="20"/>
                <w:szCs w:val="20"/>
              </w:rPr>
              <w:t>Full EE Survey</w:t>
            </w:r>
          </w:p>
        </w:tc>
        <w:tc>
          <w:tcPr>
            <w:tcW w:w="1842" w:type="dxa"/>
          </w:tcPr>
          <w:p w:rsidR="00D907AF" w:rsidRPr="00BF42C0" w:rsidRDefault="00D907AF" w:rsidP="00D907AF">
            <w:pPr>
              <w:spacing w:before="20" w:after="20"/>
              <w:rPr>
                <w:rFonts w:cstheme="minorHAnsi"/>
                <w:sz w:val="20"/>
                <w:szCs w:val="20"/>
              </w:rPr>
            </w:pPr>
            <w:r w:rsidRPr="00BF42C0">
              <w:rPr>
                <w:rFonts w:cstheme="minorHAnsi"/>
                <w:sz w:val="20"/>
                <w:szCs w:val="20"/>
              </w:rPr>
              <w:t>16+</w:t>
            </w:r>
            <w:r w:rsidR="00CD7722">
              <w:rPr>
                <w:rFonts w:cstheme="minorHAnsi"/>
                <w:sz w:val="20"/>
                <w:szCs w:val="20"/>
              </w:rPr>
              <w:t xml:space="preserve"> </w:t>
            </w:r>
            <w:r w:rsidR="00CD7722" w:rsidRPr="00D82D40">
              <w:rPr>
                <w:rFonts w:cstheme="minorHAnsi"/>
                <w:color w:val="FFFFFF" w:themeColor="background1"/>
                <w:sz w:val="20"/>
                <w:szCs w:val="20"/>
              </w:rPr>
              <w:t>years</w:t>
            </w:r>
          </w:p>
        </w:tc>
        <w:tc>
          <w:tcPr>
            <w:tcW w:w="2198" w:type="dxa"/>
          </w:tcPr>
          <w:p w:rsidR="00D907AF" w:rsidRPr="00BF42C0" w:rsidRDefault="00D907AF" w:rsidP="00D907AF">
            <w:pPr>
              <w:spacing w:before="20" w:after="20"/>
              <w:rPr>
                <w:rFonts w:cstheme="minorHAnsi"/>
                <w:sz w:val="20"/>
                <w:szCs w:val="20"/>
              </w:rPr>
            </w:pPr>
            <w:r w:rsidRPr="00BF42C0">
              <w:rPr>
                <w:rFonts w:cstheme="minorHAnsi"/>
                <w:sz w:val="20"/>
                <w:szCs w:val="20"/>
              </w:rPr>
              <w:t>Self-Completion</w:t>
            </w:r>
          </w:p>
        </w:tc>
        <w:tc>
          <w:tcPr>
            <w:tcW w:w="1487" w:type="dxa"/>
          </w:tcPr>
          <w:p w:rsidR="00D907AF" w:rsidRPr="00BF42C0" w:rsidRDefault="00D907AF" w:rsidP="00D907AF">
            <w:pPr>
              <w:spacing w:before="20" w:after="20"/>
              <w:rPr>
                <w:rFonts w:cstheme="minorHAnsi"/>
                <w:sz w:val="20"/>
                <w:szCs w:val="20"/>
              </w:rPr>
            </w:pPr>
            <w:r w:rsidRPr="00BF42C0">
              <w:rPr>
                <w:rFonts w:cstheme="minorHAnsi"/>
                <w:sz w:val="20"/>
                <w:szCs w:val="20"/>
              </w:rPr>
              <w:t>Easy English</w:t>
            </w:r>
          </w:p>
        </w:tc>
      </w:tr>
      <w:tr w:rsidR="00D907AF" w:rsidRPr="00BF42C0" w:rsidTr="00294B91">
        <w:trPr>
          <w:cantSplit/>
        </w:trPr>
        <w:tc>
          <w:tcPr>
            <w:tcW w:w="675" w:type="dxa"/>
          </w:tcPr>
          <w:p w:rsidR="00D907AF" w:rsidRPr="00BF42C0" w:rsidRDefault="00D907AF" w:rsidP="00D907AF">
            <w:pPr>
              <w:spacing w:before="20" w:after="20"/>
              <w:rPr>
                <w:rFonts w:cstheme="minorHAnsi"/>
                <w:sz w:val="20"/>
                <w:szCs w:val="20"/>
              </w:rPr>
            </w:pPr>
            <w:r w:rsidRPr="00BF42C0">
              <w:rPr>
                <w:rFonts w:cstheme="minorHAnsi"/>
                <w:sz w:val="20"/>
                <w:szCs w:val="20"/>
              </w:rPr>
              <w:t>3</w:t>
            </w:r>
          </w:p>
        </w:tc>
        <w:tc>
          <w:tcPr>
            <w:tcW w:w="2694" w:type="dxa"/>
          </w:tcPr>
          <w:p w:rsidR="00D907AF" w:rsidRPr="00BF42C0" w:rsidRDefault="00D907AF" w:rsidP="00D907AF">
            <w:pPr>
              <w:spacing w:before="20" w:after="20"/>
              <w:rPr>
                <w:rFonts w:cstheme="minorHAnsi"/>
                <w:sz w:val="20"/>
                <w:szCs w:val="20"/>
              </w:rPr>
            </w:pPr>
            <w:r w:rsidRPr="00BF42C0">
              <w:rPr>
                <w:rFonts w:cstheme="minorHAnsi"/>
                <w:sz w:val="20"/>
                <w:szCs w:val="20"/>
              </w:rPr>
              <w:t>Assisted Standard</w:t>
            </w:r>
          </w:p>
        </w:tc>
        <w:tc>
          <w:tcPr>
            <w:tcW w:w="1842" w:type="dxa"/>
          </w:tcPr>
          <w:p w:rsidR="00D907AF" w:rsidRPr="00BF42C0" w:rsidRDefault="00D907AF" w:rsidP="00D907AF">
            <w:pPr>
              <w:spacing w:before="20" w:after="20"/>
              <w:rPr>
                <w:rFonts w:cstheme="minorHAnsi"/>
                <w:sz w:val="20"/>
                <w:szCs w:val="20"/>
              </w:rPr>
            </w:pPr>
            <w:r w:rsidRPr="00BF42C0">
              <w:rPr>
                <w:rFonts w:cstheme="minorHAnsi"/>
                <w:sz w:val="20"/>
                <w:szCs w:val="20"/>
              </w:rPr>
              <w:t>16+</w:t>
            </w:r>
            <w:r w:rsidR="00CD7722">
              <w:rPr>
                <w:rFonts w:cstheme="minorHAnsi"/>
                <w:sz w:val="20"/>
                <w:szCs w:val="20"/>
              </w:rPr>
              <w:t xml:space="preserve"> </w:t>
            </w:r>
            <w:r w:rsidR="00CD7722" w:rsidRPr="00D82D40">
              <w:rPr>
                <w:rFonts w:cstheme="minorHAnsi"/>
                <w:color w:val="FFFFFF" w:themeColor="background1"/>
                <w:sz w:val="20"/>
                <w:szCs w:val="20"/>
              </w:rPr>
              <w:t>years</w:t>
            </w:r>
          </w:p>
        </w:tc>
        <w:tc>
          <w:tcPr>
            <w:tcW w:w="2198" w:type="dxa"/>
          </w:tcPr>
          <w:p w:rsidR="00D907AF" w:rsidRPr="00BF42C0" w:rsidRDefault="00D907AF" w:rsidP="00D907AF">
            <w:pPr>
              <w:spacing w:before="20" w:after="20"/>
              <w:rPr>
                <w:rFonts w:cstheme="minorHAnsi"/>
                <w:sz w:val="20"/>
                <w:szCs w:val="20"/>
              </w:rPr>
            </w:pPr>
            <w:r w:rsidRPr="00BF42C0">
              <w:rPr>
                <w:rFonts w:cstheme="minorHAnsi"/>
                <w:sz w:val="20"/>
                <w:szCs w:val="20"/>
              </w:rPr>
              <w:t>Assisted Part A</w:t>
            </w:r>
          </w:p>
        </w:tc>
        <w:tc>
          <w:tcPr>
            <w:tcW w:w="1487" w:type="dxa"/>
          </w:tcPr>
          <w:p w:rsidR="00D907AF" w:rsidRPr="00BF42C0" w:rsidRDefault="00D907AF" w:rsidP="00D907AF">
            <w:pPr>
              <w:spacing w:before="20" w:after="20"/>
              <w:rPr>
                <w:rFonts w:cstheme="minorHAnsi"/>
                <w:sz w:val="20"/>
                <w:szCs w:val="20"/>
              </w:rPr>
            </w:pPr>
            <w:r w:rsidRPr="00BF42C0">
              <w:rPr>
                <w:rFonts w:cstheme="minorHAnsi"/>
                <w:sz w:val="20"/>
                <w:szCs w:val="20"/>
              </w:rPr>
              <w:t>Standard</w:t>
            </w:r>
          </w:p>
        </w:tc>
      </w:tr>
      <w:tr w:rsidR="00D907AF" w:rsidRPr="00BF42C0" w:rsidTr="00294B91">
        <w:trPr>
          <w:cantSplit/>
        </w:trPr>
        <w:tc>
          <w:tcPr>
            <w:tcW w:w="675" w:type="dxa"/>
          </w:tcPr>
          <w:p w:rsidR="00D907AF" w:rsidRPr="00BF42C0" w:rsidRDefault="00D907AF" w:rsidP="00D907AF">
            <w:pPr>
              <w:spacing w:before="20" w:after="20"/>
              <w:rPr>
                <w:rFonts w:cstheme="minorHAnsi"/>
                <w:sz w:val="20"/>
                <w:szCs w:val="20"/>
              </w:rPr>
            </w:pPr>
            <w:r w:rsidRPr="00BF42C0">
              <w:rPr>
                <w:rFonts w:cstheme="minorHAnsi"/>
                <w:sz w:val="20"/>
                <w:szCs w:val="20"/>
              </w:rPr>
              <w:t>4</w:t>
            </w:r>
          </w:p>
        </w:tc>
        <w:tc>
          <w:tcPr>
            <w:tcW w:w="2694" w:type="dxa"/>
          </w:tcPr>
          <w:p w:rsidR="00D907AF" w:rsidRPr="00BF42C0" w:rsidRDefault="00D907AF" w:rsidP="00D907AF">
            <w:pPr>
              <w:spacing w:before="20" w:after="20"/>
              <w:rPr>
                <w:rFonts w:cstheme="minorHAnsi"/>
                <w:sz w:val="20"/>
                <w:szCs w:val="20"/>
              </w:rPr>
            </w:pPr>
            <w:r w:rsidRPr="00BF42C0">
              <w:rPr>
                <w:rFonts w:cstheme="minorHAnsi"/>
                <w:sz w:val="20"/>
                <w:szCs w:val="20"/>
              </w:rPr>
              <w:t>Assisted Easy English</w:t>
            </w:r>
          </w:p>
        </w:tc>
        <w:tc>
          <w:tcPr>
            <w:tcW w:w="1842" w:type="dxa"/>
          </w:tcPr>
          <w:p w:rsidR="00D907AF" w:rsidRPr="00BF42C0" w:rsidRDefault="00D907AF" w:rsidP="00D907AF">
            <w:pPr>
              <w:spacing w:before="20" w:after="20"/>
              <w:rPr>
                <w:rFonts w:cstheme="minorHAnsi"/>
                <w:sz w:val="20"/>
                <w:szCs w:val="20"/>
              </w:rPr>
            </w:pPr>
            <w:r w:rsidRPr="00BF42C0">
              <w:rPr>
                <w:rFonts w:cstheme="minorHAnsi"/>
                <w:sz w:val="20"/>
                <w:szCs w:val="20"/>
              </w:rPr>
              <w:t>16+</w:t>
            </w:r>
            <w:r w:rsidR="00CD7722" w:rsidRPr="00D82D40">
              <w:rPr>
                <w:rFonts w:cstheme="minorHAnsi"/>
                <w:color w:val="FFFFFF" w:themeColor="background1"/>
                <w:sz w:val="20"/>
                <w:szCs w:val="20"/>
              </w:rPr>
              <w:t xml:space="preserve"> years </w:t>
            </w:r>
          </w:p>
        </w:tc>
        <w:tc>
          <w:tcPr>
            <w:tcW w:w="2198" w:type="dxa"/>
          </w:tcPr>
          <w:p w:rsidR="00D907AF" w:rsidRPr="00BF42C0" w:rsidRDefault="00D907AF" w:rsidP="00D907AF">
            <w:pPr>
              <w:spacing w:before="20" w:after="20"/>
              <w:rPr>
                <w:rFonts w:cstheme="minorHAnsi"/>
                <w:sz w:val="20"/>
                <w:szCs w:val="20"/>
              </w:rPr>
            </w:pPr>
            <w:r w:rsidRPr="00BF42C0">
              <w:rPr>
                <w:rFonts w:cstheme="minorHAnsi"/>
                <w:sz w:val="20"/>
                <w:szCs w:val="20"/>
              </w:rPr>
              <w:t>Assisted Part A</w:t>
            </w:r>
          </w:p>
        </w:tc>
        <w:tc>
          <w:tcPr>
            <w:tcW w:w="1487" w:type="dxa"/>
          </w:tcPr>
          <w:p w:rsidR="00D907AF" w:rsidRPr="00BF42C0" w:rsidRDefault="00D907AF" w:rsidP="00D907AF">
            <w:pPr>
              <w:spacing w:before="20" w:after="20"/>
              <w:rPr>
                <w:rFonts w:cstheme="minorHAnsi"/>
                <w:sz w:val="20"/>
                <w:szCs w:val="20"/>
              </w:rPr>
            </w:pPr>
            <w:r w:rsidRPr="00BF42C0">
              <w:rPr>
                <w:rFonts w:cstheme="minorHAnsi"/>
                <w:sz w:val="20"/>
                <w:szCs w:val="20"/>
              </w:rPr>
              <w:t>Easy English</w:t>
            </w:r>
          </w:p>
        </w:tc>
      </w:tr>
      <w:tr w:rsidR="00D907AF" w:rsidRPr="00BF42C0" w:rsidTr="0051682C">
        <w:trPr>
          <w:cantSplit/>
          <w:trHeight w:val="454"/>
        </w:trPr>
        <w:tc>
          <w:tcPr>
            <w:tcW w:w="675" w:type="dxa"/>
            <w:vAlign w:val="bottom"/>
          </w:tcPr>
          <w:p w:rsidR="00D907AF" w:rsidRPr="00BF42C0" w:rsidRDefault="00D907AF" w:rsidP="00EB4B04">
            <w:pPr>
              <w:spacing w:before="20" w:after="20"/>
              <w:rPr>
                <w:rFonts w:cstheme="minorHAnsi"/>
                <w:sz w:val="20"/>
                <w:szCs w:val="20"/>
              </w:rPr>
            </w:pPr>
            <w:r w:rsidRPr="00BF42C0">
              <w:rPr>
                <w:rFonts w:cstheme="minorHAnsi"/>
                <w:sz w:val="20"/>
                <w:szCs w:val="20"/>
              </w:rPr>
              <w:t>5</w:t>
            </w:r>
          </w:p>
        </w:tc>
        <w:tc>
          <w:tcPr>
            <w:tcW w:w="2694" w:type="dxa"/>
            <w:vAlign w:val="bottom"/>
          </w:tcPr>
          <w:p w:rsidR="00D907AF" w:rsidRPr="00BF42C0" w:rsidRDefault="00D907AF" w:rsidP="00EB4B04">
            <w:pPr>
              <w:spacing w:before="20" w:after="20"/>
              <w:rPr>
                <w:rFonts w:cstheme="minorHAnsi"/>
                <w:sz w:val="20"/>
                <w:szCs w:val="20"/>
              </w:rPr>
            </w:pPr>
            <w:r w:rsidRPr="00BF42C0">
              <w:rPr>
                <w:rFonts w:cstheme="minorHAnsi"/>
                <w:sz w:val="20"/>
                <w:szCs w:val="20"/>
              </w:rPr>
              <w:t>Partial Proxy</w:t>
            </w:r>
          </w:p>
        </w:tc>
        <w:tc>
          <w:tcPr>
            <w:tcW w:w="1842" w:type="dxa"/>
            <w:vAlign w:val="bottom"/>
          </w:tcPr>
          <w:p w:rsidR="00D907AF" w:rsidRPr="00BF42C0" w:rsidRDefault="00D907AF" w:rsidP="00EB4B04">
            <w:pPr>
              <w:spacing w:before="20" w:after="20"/>
              <w:rPr>
                <w:rFonts w:cstheme="minorHAnsi"/>
                <w:sz w:val="20"/>
                <w:szCs w:val="20"/>
              </w:rPr>
            </w:pPr>
            <w:r w:rsidRPr="00BF42C0">
              <w:rPr>
                <w:rFonts w:cstheme="minorHAnsi"/>
                <w:sz w:val="20"/>
                <w:szCs w:val="20"/>
              </w:rPr>
              <w:t>16+</w:t>
            </w:r>
            <w:r w:rsidR="00CD7722">
              <w:rPr>
                <w:rFonts w:cstheme="minorHAnsi"/>
                <w:sz w:val="20"/>
                <w:szCs w:val="20"/>
              </w:rPr>
              <w:t xml:space="preserve"> </w:t>
            </w:r>
            <w:r w:rsidR="00CD7722" w:rsidRPr="00D82D40">
              <w:rPr>
                <w:rFonts w:cstheme="minorHAnsi"/>
                <w:color w:val="FFFFFF" w:themeColor="background1"/>
                <w:sz w:val="20"/>
                <w:szCs w:val="20"/>
              </w:rPr>
              <w:t>years</w:t>
            </w:r>
          </w:p>
        </w:tc>
        <w:tc>
          <w:tcPr>
            <w:tcW w:w="2198" w:type="dxa"/>
            <w:vAlign w:val="bottom"/>
          </w:tcPr>
          <w:p w:rsidR="00D907AF" w:rsidRPr="00BF42C0" w:rsidRDefault="00D907AF" w:rsidP="00EB4B04">
            <w:pPr>
              <w:spacing w:before="20" w:after="20"/>
              <w:rPr>
                <w:rFonts w:cstheme="minorHAnsi"/>
                <w:sz w:val="20"/>
                <w:szCs w:val="20"/>
              </w:rPr>
            </w:pPr>
            <w:r w:rsidRPr="00BF42C0">
              <w:rPr>
                <w:rFonts w:cstheme="minorHAnsi"/>
                <w:sz w:val="20"/>
                <w:szCs w:val="20"/>
              </w:rPr>
              <w:t>Proxy Part A</w:t>
            </w:r>
          </w:p>
        </w:tc>
        <w:tc>
          <w:tcPr>
            <w:tcW w:w="1487" w:type="dxa"/>
            <w:vAlign w:val="bottom"/>
          </w:tcPr>
          <w:p w:rsidR="00D907AF" w:rsidRPr="00BF42C0" w:rsidRDefault="00D907AF" w:rsidP="00EB4B04">
            <w:pPr>
              <w:spacing w:before="20" w:after="20"/>
              <w:rPr>
                <w:rFonts w:cstheme="minorHAnsi"/>
                <w:sz w:val="20"/>
                <w:szCs w:val="20"/>
              </w:rPr>
            </w:pPr>
            <w:r w:rsidRPr="00BF42C0">
              <w:rPr>
                <w:rFonts w:cstheme="minorHAnsi"/>
                <w:sz w:val="20"/>
                <w:szCs w:val="20"/>
              </w:rPr>
              <w:t>Standard</w:t>
            </w:r>
          </w:p>
        </w:tc>
      </w:tr>
      <w:tr w:rsidR="00D907AF" w:rsidRPr="00BF42C0" w:rsidTr="00294B91">
        <w:trPr>
          <w:cantSplit/>
        </w:trPr>
        <w:tc>
          <w:tcPr>
            <w:tcW w:w="675" w:type="dxa"/>
          </w:tcPr>
          <w:p w:rsidR="00D907AF" w:rsidRPr="00BF42C0" w:rsidRDefault="00D907AF" w:rsidP="00D907AF">
            <w:pPr>
              <w:spacing w:before="20" w:after="20"/>
              <w:rPr>
                <w:rFonts w:cstheme="minorHAnsi"/>
                <w:sz w:val="20"/>
                <w:szCs w:val="20"/>
              </w:rPr>
            </w:pPr>
            <w:r w:rsidRPr="00BF42C0">
              <w:rPr>
                <w:rFonts w:cstheme="minorHAnsi"/>
                <w:sz w:val="20"/>
                <w:szCs w:val="20"/>
              </w:rPr>
              <w:t>6</w:t>
            </w:r>
          </w:p>
        </w:tc>
        <w:tc>
          <w:tcPr>
            <w:tcW w:w="2694" w:type="dxa"/>
          </w:tcPr>
          <w:p w:rsidR="00D907AF" w:rsidRPr="00BF42C0" w:rsidRDefault="00D907AF" w:rsidP="00D907AF">
            <w:pPr>
              <w:spacing w:before="20" w:after="20"/>
              <w:rPr>
                <w:rFonts w:cstheme="minorHAnsi"/>
                <w:sz w:val="20"/>
                <w:szCs w:val="20"/>
              </w:rPr>
            </w:pPr>
            <w:r w:rsidRPr="00BF42C0">
              <w:rPr>
                <w:rFonts w:cstheme="minorHAnsi"/>
                <w:sz w:val="20"/>
                <w:szCs w:val="20"/>
              </w:rPr>
              <w:t>Partial Proxy Easy English</w:t>
            </w:r>
          </w:p>
        </w:tc>
        <w:tc>
          <w:tcPr>
            <w:tcW w:w="1842" w:type="dxa"/>
          </w:tcPr>
          <w:p w:rsidR="00D907AF" w:rsidRPr="00BF42C0" w:rsidRDefault="00D907AF" w:rsidP="00D907AF">
            <w:pPr>
              <w:spacing w:before="20" w:after="20"/>
              <w:rPr>
                <w:rFonts w:cstheme="minorHAnsi"/>
                <w:sz w:val="20"/>
                <w:szCs w:val="20"/>
              </w:rPr>
            </w:pPr>
            <w:r w:rsidRPr="00BF42C0">
              <w:rPr>
                <w:rFonts w:cstheme="minorHAnsi"/>
                <w:sz w:val="20"/>
                <w:szCs w:val="20"/>
              </w:rPr>
              <w:t>16+</w:t>
            </w:r>
            <w:r w:rsidR="00CD7722">
              <w:rPr>
                <w:rFonts w:cstheme="minorHAnsi"/>
                <w:sz w:val="20"/>
                <w:szCs w:val="20"/>
              </w:rPr>
              <w:t xml:space="preserve"> </w:t>
            </w:r>
            <w:r w:rsidR="00CD7722" w:rsidRPr="00D82D40">
              <w:rPr>
                <w:rFonts w:cstheme="minorHAnsi"/>
                <w:color w:val="FFFFFF" w:themeColor="background1"/>
                <w:sz w:val="20"/>
                <w:szCs w:val="20"/>
              </w:rPr>
              <w:t>years</w:t>
            </w:r>
          </w:p>
        </w:tc>
        <w:tc>
          <w:tcPr>
            <w:tcW w:w="2198" w:type="dxa"/>
          </w:tcPr>
          <w:p w:rsidR="00D907AF" w:rsidRPr="00BF42C0" w:rsidRDefault="00D907AF" w:rsidP="00D907AF">
            <w:pPr>
              <w:spacing w:before="20" w:after="20"/>
              <w:rPr>
                <w:rFonts w:cstheme="minorHAnsi"/>
                <w:sz w:val="20"/>
                <w:szCs w:val="20"/>
              </w:rPr>
            </w:pPr>
            <w:r w:rsidRPr="00BF42C0">
              <w:rPr>
                <w:rFonts w:cstheme="minorHAnsi"/>
                <w:sz w:val="20"/>
                <w:szCs w:val="20"/>
              </w:rPr>
              <w:t>Proxy Part A</w:t>
            </w:r>
          </w:p>
        </w:tc>
        <w:tc>
          <w:tcPr>
            <w:tcW w:w="1487" w:type="dxa"/>
          </w:tcPr>
          <w:p w:rsidR="00D907AF" w:rsidRPr="00BF42C0" w:rsidRDefault="00D907AF" w:rsidP="00D907AF">
            <w:pPr>
              <w:spacing w:before="20" w:after="20"/>
              <w:rPr>
                <w:rFonts w:cstheme="minorHAnsi"/>
                <w:sz w:val="20"/>
                <w:szCs w:val="20"/>
              </w:rPr>
            </w:pPr>
            <w:r w:rsidRPr="00BF42C0">
              <w:rPr>
                <w:rFonts w:cstheme="minorHAnsi"/>
                <w:sz w:val="20"/>
                <w:szCs w:val="20"/>
              </w:rPr>
              <w:t>Easy English</w:t>
            </w:r>
          </w:p>
        </w:tc>
      </w:tr>
      <w:tr w:rsidR="00D907AF" w:rsidRPr="00BF42C0" w:rsidTr="00294B91">
        <w:trPr>
          <w:cantSplit/>
        </w:trPr>
        <w:tc>
          <w:tcPr>
            <w:tcW w:w="675" w:type="dxa"/>
          </w:tcPr>
          <w:p w:rsidR="00D907AF" w:rsidRPr="00BF42C0" w:rsidRDefault="00D907AF" w:rsidP="00D907AF">
            <w:pPr>
              <w:spacing w:before="20" w:after="20"/>
              <w:rPr>
                <w:rFonts w:cstheme="minorHAnsi"/>
                <w:sz w:val="20"/>
                <w:szCs w:val="20"/>
              </w:rPr>
            </w:pPr>
            <w:r w:rsidRPr="00BF42C0">
              <w:rPr>
                <w:rFonts w:cstheme="minorHAnsi"/>
                <w:sz w:val="20"/>
                <w:szCs w:val="20"/>
              </w:rPr>
              <w:t>7</w:t>
            </w:r>
          </w:p>
        </w:tc>
        <w:tc>
          <w:tcPr>
            <w:tcW w:w="2694" w:type="dxa"/>
          </w:tcPr>
          <w:p w:rsidR="00D907AF" w:rsidRPr="00BF42C0" w:rsidRDefault="00D907AF" w:rsidP="00D907AF">
            <w:pPr>
              <w:spacing w:before="20" w:after="20"/>
              <w:rPr>
                <w:rFonts w:cstheme="minorHAnsi"/>
                <w:sz w:val="20"/>
                <w:szCs w:val="20"/>
              </w:rPr>
            </w:pPr>
            <w:r w:rsidRPr="00BF42C0">
              <w:rPr>
                <w:rFonts w:cstheme="minorHAnsi"/>
                <w:sz w:val="20"/>
                <w:szCs w:val="20"/>
              </w:rPr>
              <w:t>Standard Child Proxy</w:t>
            </w:r>
          </w:p>
        </w:tc>
        <w:tc>
          <w:tcPr>
            <w:tcW w:w="1842" w:type="dxa"/>
          </w:tcPr>
          <w:p w:rsidR="00D907AF" w:rsidRPr="00BF42C0" w:rsidRDefault="00CD7722" w:rsidP="00D907AF">
            <w:pPr>
              <w:spacing w:before="20" w:after="20"/>
              <w:rPr>
                <w:rFonts w:cstheme="minorHAnsi"/>
                <w:sz w:val="20"/>
                <w:szCs w:val="20"/>
              </w:rPr>
            </w:pPr>
            <w:r>
              <w:rPr>
                <w:rFonts w:cstheme="minorHAnsi"/>
                <w:sz w:val="20"/>
                <w:szCs w:val="20"/>
              </w:rPr>
              <w:t>8 to</w:t>
            </w:r>
            <w:r w:rsidR="00A80B56">
              <w:rPr>
                <w:rFonts w:cstheme="minorHAnsi"/>
                <w:sz w:val="20"/>
                <w:szCs w:val="20"/>
              </w:rPr>
              <w:t xml:space="preserve"> </w:t>
            </w:r>
            <w:r w:rsidR="00D907AF" w:rsidRPr="00BF42C0">
              <w:rPr>
                <w:rFonts w:cstheme="minorHAnsi"/>
                <w:sz w:val="20"/>
                <w:szCs w:val="20"/>
              </w:rPr>
              <w:t>15</w:t>
            </w:r>
            <w:r>
              <w:rPr>
                <w:rFonts w:cstheme="minorHAnsi"/>
                <w:sz w:val="20"/>
                <w:szCs w:val="20"/>
              </w:rPr>
              <w:t xml:space="preserve"> </w:t>
            </w:r>
            <w:r w:rsidRPr="00D82D40">
              <w:rPr>
                <w:rFonts w:cstheme="minorHAnsi"/>
                <w:color w:val="FFFFFF" w:themeColor="background1"/>
                <w:sz w:val="20"/>
                <w:szCs w:val="20"/>
              </w:rPr>
              <w:t>years</w:t>
            </w:r>
          </w:p>
        </w:tc>
        <w:tc>
          <w:tcPr>
            <w:tcW w:w="2198" w:type="dxa"/>
          </w:tcPr>
          <w:p w:rsidR="00D907AF" w:rsidRPr="00BF42C0" w:rsidRDefault="00D907AF" w:rsidP="00D907AF">
            <w:pPr>
              <w:spacing w:before="20" w:after="20"/>
              <w:rPr>
                <w:rFonts w:cstheme="minorHAnsi"/>
                <w:sz w:val="20"/>
                <w:szCs w:val="20"/>
              </w:rPr>
            </w:pPr>
            <w:r w:rsidRPr="00BF42C0">
              <w:rPr>
                <w:rFonts w:cstheme="minorHAnsi"/>
                <w:sz w:val="20"/>
                <w:szCs w:val="20"/>
              </w:rPr>
              <w:t>Proxy Part A</w:t>
            </w:r>
          </w:p>
        </w:tc>
        <w:tc>
          <w:tcPr>
            <w:tcW w:w="1487" w:type="dxa"/>
          </w:tcPr>
          <w:p w:rsidR="00D907AF" w:rsidRPr="00BF42C0" w:rsidRDefault="00D907AF" w:rsidP="00D907AF">
            <w:pPr>
              <w:spacing w:before="20" w:after="20"/>
              <w:rPr>
                <w:rFonts w:cstheme="minorHAnsi"/>
                <w:sz w:val="20"/>
                <w:szCs w:val="20"/>
              </w:rPr>
            </w:pPr>
            <w:r w:rsidRPr="00BF42C0">
              <w:rPr>
                <w:rFonts w:cstheme="minorHAnsi"/>
                <w:sz w:val="20"/>
                <w:szCs w:val="20"/>
              </w:rPr>
              <w:t>Standard</w:t>
            </w:r>
          </w:p>
        </w:tc>
      </w:tr>
      <w:tr w:rsidR="00D907AF" w:rsidRPr="00BF42C0" w:rsidTr="00294B91">
        <w:trPr>
          <w:cantSplit/>
        </w:trPr>
        <w:tc>
          <w:tcPr>
            <w:tcW w:w="675" w:type="dxa"/>
          </w:tcPr>
          <w:p w:rsidR="00D907AF" w:rsidRPr="00BF42C0" w:rsidRDefault="00D907AF" w:rsidP="00D907AF">
            <w:pPr>
              <w:spacing w:before="20" w:after="20"/>
              <w:rPr>
                <w:rFonts w:cstheme="minorHAnsi"/>
                <w:sz w:val="20"/>
                <w:szCs w:val="20"/>
              </w:rPr>
            </w:pPr>
            <w:r w:rsidRPr="00BF42C0">
              <w:rPr>
                <w:rFonts w:cstheme="minorHAnsi"/>
                <w:sz w:val="20"/>
                <w:szCs w:val="20"/>
              </w:rPr>
              <w:t>8</w:t>
            </w:r>
          </w:p>
        </w:tc>
        <w:tc>
          <w:tcPr>
            <w:tcW w:w="2694" w:type="dxa"/>
          </w:tcPr>
          <w:p w:rsidR="00D907AF" w:rsidRPr="00BF42C0" w:rsidRDefault="00D907AF" w:rsidP="00D907AF">
            <w:pPr>
              <w:spacing w:before="20" w:after="20"/>
              <w:rPr>
                <w:rFonts w:cstheme="minorHAnsi"/>
                <w:sz w:val="20"/>
                <w:szCs w:val="20"/>
              </w:rPr>
            </w:pPr>
            <w:r w:rsidRPr="00BF42C0">
              <w:rPr>
                <w:rFonts w:cstheme="minorHAnsi"/>
                <w:sz w:val="20"/>
                <w:szCs w:val="20"/>
              </w:rPr>
              <w:t>Easy English Child Proxy</w:t>
            </w:r>
          </w:p>
        </w:tc>
        <w:tc>
          <w:tcPr>
            <w:tcW w:w="1842" w:type="dxa"/>
          </w:tcPr>
          <w:p w:rsidR="00D907AF" w:rsidRPr="00BF42C0" w:rsidRDefault="00CD7722" w:rsidP="00D907AF">
            <w:pPr>
              <w:spacing w:before="20" w:after="20"/>
              <w:rPr>
                <w:rFonts w:cstheme="minorHAnsi"/>
                <w:sz w:val="20"/>
                <w:szCs w:val="20"/>
              </w:rPr>
            </w:pPr>
            <w:r>
              <w:rPr>
                <w:rFonts w:cstheme="minorHAnsi"/>
                <w:sz w:val="20"/>
                <w:szCs w:val="20"/>
              </w:rPr>
              <w:t xml:space="preserve">8 to </w:t>
            </w:r>
            <w:r w:rsidR="00D907AF" w:rsidRPr="00BF42C0">
              <w:rPr>
                <w:rFonts w:cstheme="minorHAnsi"/>
                <w:sz w:val="20"/>
                <w:szCs w:val="20"/>
              </w:rPr>
              <w:t>15</w:t>
            </w:r>
            <w:r>
              <w:rPr>
                <w:rFonts w:cstheme="minorHAnsi"/>
                <w:sz w:val="20"/>
                <w:szCs w:val="20"/>
              </w:rPr>
              <w:t xml:space="preserve"> </w:t>
            </w:r>
            <w:r w:rsidRPr="00D82D40">
              <w:rPr>
                <w:rFonts w:cstheme="minorHAnsi"/>
                <w:color w:val="FFFFFF" w:themeColor="background1"/>
                <w:sz w:val="20"/>
                <w:szCs w:val="20"/>
              </w:rPr>
              <w:t>years</w:t>
            </w:r>
          </w:p>
        </w:tc>
        <w:tc>
          <w:tcPr>
            <w:tcW w:w="2198" w:type="dxa"/>
          </w:tcPr>
          <w:p w:rsidR="00D907AF" w:rsidRPr="00BF42C0" w:rsidRDefault="00D907AF" w:rsidP="00D907AF">
            <w:pPr>
              <w:spacing w:before="20" w:after="20"/>
              <w:rPr>
                <w:rFonts w:cstheme="minorHAnsi"/>
                <w:sz w:val="20"/>
                <w:szCs w:val="20"/>
              </w:rPr>
            </w:pPr>
            <w:r w:rsidRPr="00BF42C0">
              <w:rPr>
                <w:rFonts w:cstheme="minorHAnsi"/>
                <w:sz w:val="20"/>
                <w:szCs w:val="20"/>
              </w:rPr>
              <w:t>Proxy Part A</w:t>
            </w:r>
          </w:p>
        </w:tc>
        <w:tc>
          <w:tcPr>
            <w:tcW w:w="1487" w:type="dxa"/>
          </w:tcPr>
          <w:p w:rsidR="00D907AF" w:rsidRPr="00BF42C0" w:rsidRDefault="00D907AF" w:rsidP="00D907AF">
            <w:pPr>
              <w:spacing w:before="20" w:after="20"/>
              <w:rPr>
                <w:rFonts w:cstheme="minorHAnsi"/>
                <w:sz w:val="20"/>
                <w:szCs w:val="20"/>
              </w:rPr>
            </w:pPr>
            <w:r w:rsidRPr="00BF42C0">
              <w:rPr>
                <w:rFonts w:cstheme="minorHAnsi"/>
                <w:sz w:val="20"/>
                <w:szCs w:val="20"/>
              </w:rPr>
              <w:t>Easy English</w:t>
            </w:r>
          </w:p>
        </w:tc>
      </w:tr>
      <w:tr w:rsidR="00D907AF" w:rsidRPr="00BF42C0" w:rsidTr="0051682C">
        <w:trPr>
          <w:cantSplit/>
          <w:trHeight w:val="454"/>
        </w:trPr>
        <w:tc>
          <w:tcPr>
            <w:tcW w:w="675" w:type="dxa"/>
            <w:vAlign w:val="bottom"/>
          </w:tcPr>
          <w:p w:rsidR="00D907AF" w:rsidRPr="00BF42C0" w:rsidRDefault="00D907AF" w:rsidP="00EB4B04">
            <w:pPr>
              <w:spacing w:before="20" w:after="20"/>
              <w:rPr>
                <w:rFonts w:cstheme="minorHAnsi"/>
                <w:sz w:val="20"/>
                <w:szCs w:val="20"/>
              </w:rPr>
            </w:pPr>
            <w:r w:rsidRPr="00BF42C0">
              <w:rPr>
                <w:rFonts w:cstheme="minorHAnsi"/>
                <w:sz w:val="20"/>
                <w:szCs w:val="20"/>
              </w:rPr>
              <w:t>10</w:t>
            </w:r>
          </w:p>
        </w:tc>
        <w:tc>
          <w:tcPr>
            <w:tcW w:w="2694" w:type="dxa"/>
            <w:vAlign w:val="bottom"/>
          </w:tcPr>
          <w:p w:rsidR="00D907AF" w:rsidRPr="00BF42C0" w:rsidRDefault="00D907AF" w:rsidP="00EB4B04">
            <w:pPr>
              <w:spacing w:before="20" w:after="20"/>
              <w:rPr>
                <w:rFonts w:cstheme="minorHAnsi"/>
                <w:sz w:val="20"/>
                <w:szCs w:val="20"/>
              </w:rPr>
            </w:pPr>
            <w:r w:rsidRPr="00BF42C0">
              <w:rPr>
                <w:rFonts w:cstheme="minorHAnsi"/>
                <w:sz w:val="20"/>
                <w:szCs w:val="20"/>
              </w:rPr>
              <w:t>Proxy Part A</w:t>
            </w:r>
          </w:p>
        </w:tc>
        <w:tc>
          <w:tcPr>
            <w:tcW w:w="1842" w:type="dxa"/>
            <w:vAlign w:val="bottom"/>
          </w:tcPr>
          <w:p w:rsidR="00D907AF" w:rsidRPr="00BF42C0" w:rsidRDefault="00CD7722" w:rsidP="00EB4B04">
            <w:pPr>
              <w:spacing w:before="20" w:after="20"/>
              <w:rPr>
                <w:rFonts w:cstheme="minorHAnsi"/>
                <w:sz w:val="20"/>
                <w:szCs w:val="20"/>
              </w:rPr>
            </w:pPr>
            <w:r>
              <w:rPr>
                <w:rFonts w:cstheme="minorHAnsi"/>
                <w:sz w:val="20"/>
                <w:szCs w:val="20"/>
              </w:rPr>
              <w:t>8 to</w:t>
            </w:r>
            <w:r w:rsidR="002D46C2">
              <w:rPr>
                <w:rFonts w:cstheme="minorHAnsi"/>
                <w:sz w:val="20"/>
                <w:szCs w:val="20"/>
              </w:rPr>
              <w:t xml:space="preserve"> </w:t>
            </w:r>
            <w:r w:rsidR="00D907AF" w:rsidRPr="00BF42C0">
              <w:rPr>
                <w:rFonts w:cstheme="minorHAnsi"/>
                <w:sz w:val="20"/>
                <w:szCs w:val="20"/>
              </w:rPr>
              <w:t>15</w:t>
            </w:r>
            <w:r w:rsidRPr="00D82D40">
              <w:rPr>
                <w:rFonts w:cstheme="minorHAnsi"/>
                <w:color w:val="FFFFFF" w:themeColor="background1"/>
                <w:sz w:val="20"/>
                <w:szCs w:val="20"/>
              </w:rPr>
              <w:t xml:space="preserve"> years</w:t>
            </w:r>
          </w:p>
        </w:tc>
        <w:tc>
          <w:tcPr>
            <w:tcW w:w="2198" w:type="dxa"/>
            <w:vAlign w:val="bottom"/>
          </w:tcPr>
          <w:p w:rsidR="00D907AF" w:rsidRPr="00BF42C0" w:rsidRDefault="00D907AF" w:rsidP="00EB4B04">
            <w:pPr>
              <w:spacing w:before="20" w:after="20"/>
              <w:rPr>
                <w:rFonts w:cstheme="minorHAnsi"/>
                <w:sz w:val="20"/>
                <w:szCs w:val="20"/>
              </w:rPr>
            </w:pPr>
            <w:r w:rsidRPr="00BF42C0">
              <w:rPr>
                <w:rFonts w:cstheme="minorHAnsi"/>
                <w:sz w:val="20"/>
                <w:szCs w:val="20"/>
              </w:rPr>
              <w:t>Proxy Part A</w:t>
            </w:r>
          </w:p>
        </w:tc>
        <w:tc>
          <w:tcPr>
            <w:tcW w:w="1487" w:type="dxa"/>
            <w:vAlign w:val="bottom"/>
          </w:tcPr>
          <w:p w:rsidR="00D907AF" w:rsidRPr="00BF42C0" w:rsidRDefault="00D907AF" w:rsidP="00EB4B04">
            <w:pPr>
              <w:spacing w:before="20" w:after="20"/>
              <w:rPr>
                <w:rFonts w:cstheme="minorHAnsi"/>
                <w:sz w:val="20"/>
                <w:szCs w:val="20"/>
              </w:rPr>
            </w:pPr>
            <w:r w:rsidRPr="00BF42C0">
              <w:rPr>
                <w:rFonts w:cstheme="minorHAnsi"/>
                <w:sz w:val="20"/>
                <w:szCs w:val="20"/>
              </w:rPr>
              <w:t>None*</w:t>
            </w:r>
          </w:p>
        </w:tc>
      </w:tr>
      <w:tr w:rsidR="00D907AF" w:rsidRPr="00BF42C0" w:rsidTr="00294B91">
        <w:trPr>
          <w:cantSplit/>
        </w:trPr>
        <w:tc>
          <w:tcPr>
            <w:tcW w:w="675" w:type="dxa"/>
          </w:tcPr>
          <w:p w:rsidR="00D907AF" w:rsidRPr="00BF42C0" w:rsidRDefault="00D907AF" w:rsidP="00D907AF">
            <w:pPr>
              <w:spacing w:before="20" w:after="20"/>
              <w:rPr>
                <w:rFonts w:cstheme="minorHAnsi"/>
                <w:sz w:val="20"/>
                <w:szCs w:val="20"/>
              </w:rPr>
            </w:pPr>
            <w:r w:rsidRPr="00BF42C0">
              <w:rPr>
                <w:rFonts w:cstheme="minorHAnsi"/>
                <w:sz w:val="20"/>
                <w:szCs w:val="20"/>
              </w:rPr>
              <w:t>11</w:t>
            </w:r>
          </w:p>
        </w:tc>
        <w:tc>
          <w:tcPr>
            <w:tcW w:w="2694" w:type="dxa"/>
          </w:tcPr>
          <w:p w:rsidR="00D907AF" w:rsidRPr="00BF42C0" w:rsidRDefault="00D907AF" w:rsidP="00D907AF">
            <w:pPr>
              <w:spacing w:before="20" w:after="20"/>
              <w:rPr>
                <w:rFonts w:cstheme="minorHAnsi"/>
                <w:sz w:val="20"/>
                <w:szCs w:val="20"/>
              </w:rPr>
            </w:pPr>
            <w:r w:rsidRPr="00BF42C0">
              <w:rPr>
                <w:rFonts w:cstheme="minorHAnsi"/>
                <w:sz w:val="20"/>
                <w:szCs w:val="20"/>
              </w:rPr>
              <w:t>Proxy Part A</w:t>
            </w:r>
          </w:p>
        </w:tc>
        <w:tc>
          <w:tcPr>
            <w:tcW w:w="1842" w:type="dxa"/>
          </w:tcPr>
          <w:p w:rsidR="00D907AF" w:rsidRPr="00BF42C0" w:rsidRDefault="00CD7722" w:rsidP="00D907AF">
            <w:pPr>
              <w:spacing w:before="20" w:after="20"/>
              <w:rPr>
                <w:rFonts w:cstheme="minorHAnsi"/>
                <w:sz w:val="20"/>
                <w:szCs w:val="20"/>
              </w:rPr>
            </w:pPr>
            <w:r>
              <w:rPr>
                <w:rFonts w:cstheme="minorHAnsi"/>
                <w:sz w:val="20"/>
                <w:szCs w:val="20"/>
              </w:rPr>
              <w:t>16 to</w:t>
            </w:r>
            <w:r w:rsidR="002D46C2">
              <w:rPr>
                <w:rFonts w:cstheme="minorHAnsi"/>
                <w:sz w:val="20"/>
                <w:szCs w:val="20"/>
              </w:rPr>
              <w:t xml:space="preserve"> </w:t>
            </w:r>
            <w:r w:rsidR="00D907AF" w:rsidRPr="00BF42C0">
              <w:rPr>
                <w:rFonts w:cstheme="minorHAnsi"/>
                <w:sz w:val="20"/>
                <w:szCs w:val="20"/>
              </w:rPr>
              <w:t>17</w:t>
            </w:r>
            <w:r>
              <w:rPr>
                <w:rFonts w:cstheme="minorHAnsi"/>
                <w:sz w:val="20"/>
                <w:szCs w:val="20"/>
              </w:rPr>
              <w:t xml:space="preserve"> </w:t>
            </w:r>
            <w:r w:rsidRPr="00D82D40">
              <w:rPr>
                <w:rFonts w:cstheme="minorHAnsi"/>
                <w:color w:val="FFFFFF" w:themeColor="background1"/>
                <w:sz w:val="20"/>
                <w:szCs w:val="20"/>
              </w:rPr>
              <w:t>years</w:t>
            </w:r>
          </w:p>
        </w:tc>
        <w:tc>
          <w:tcPr>
            <w:tcW w:w="2198" w:type="dxa"/>
          </w:tcPr>
          <w:p w:rsidR="00D907AF" w:rsidRPr="00BF42C0" w:rsidRDefault="00D907AF" w:rsidP="00D907AF">
            <w:pPr>
              <w:spacing w:before="20" w:after="20"/>
              <w:rPr>
                <w:rFonts w:cstheme="minorHAnsi"/>
                <w:sz w:val="20"/>
                <w:szCs w:val="20"/>
              </w:rPr>
            </w:pPr>
            <w:r w:rsidRPr="00BF42C0">
              <w:rPr>
                <w:rFonts w:cstheme="minorHAnsi"/>
                <w:sz w:val="20"/>
                <w:szCs w:val="20"/>
              </w:rPr>
              <w:t>Proxy Part A</w:t>
            </w:r>
          </w:p>
        </w:tc>
        <w:tc>
          <w:tcPr>
            <w:tcW w:w="1487" w:type="dxa"/>
          </w:tcPr>
          <w:p w:rsidR="00D907AF" w:rsidRPr="00BF42C0" w:rsidRDefault="00D907AF" w:rsidP="00D907AF">
            <w:pPr>
              <w:spacing w:before="20" w:after="20"/>
              <w:rPr>
                <w:rFonts w:cstheme="minorHAnsi"/>
                <w:sz w:val="20"/>
                <w:szCs w:val="20"/>
              </w:rPr>
            </w:pPr>
            <w:r w:rsidRPr="00BF42C0">
              <w:rPr>
                <w:rFonts w:cstheme="minorHAnsi"/>
                <w:sz w:val="20"/>
                <w:szCs w:val="20"/>
              </w:rPr>
              <w:t>None*</w:t>
            </w:r>
          </w:p>
        </w:tc>
      </w:tr>
      <w:tr w:rsidR="00D907AF" w:rsidRPr="00BF42C0" w:rsidTr="0051682C">
        <w:trPr>
          <w:cantSplit/>
          <w:trHeight w:val="454"/>
        </w:trPr>
        <w:tc>
          <w:tcPr>
            <w:tcW w:w="675" w:type="dxa"/>
            <w:vAlign w:val="bottom"/>
          </w:tcPr>
          <w:p w:rsidR="00D907AF" w:rsidRPr="00BF42C0" w:rsidRDefault="00D907AF" w:rsidP="00EB4B04">
            <w:pPr>
              <w:spacing w:before="20" w:after="20"/>
              <w:rPr>
                <w:rFonts w:cstheme="minorHAnsi"/>
                <w:sz w:val="20"/>
                <w:szCs w:val="20"/>
              </w:rPr>
            </w:pPr>
            <w:r w:rsidRPr="00BF42C0">
              <w:rPr>
                <w:rFonts w:cstheme="minorHAnsi"/>
                <w:sz w:val="20"/>
                <w:szCs w:val="20"/>
              </w:rPr>
              <w:t>9</w:t>
            </w:r>
          </w:p>
        </w:tc>
        <w:tc>
          <w:tcPr>
            <w:tcW w:w="2694" w:type="dxa"/>
            <w:vAlign w:val="bottom"/>
          </w:tcPr>
          <w:p w:rsidR="00D907AF" w:rsidRPr="00BF42C0" w:rsidRDefault="00D907AF" w:rsidP="00EB4B04">
            <w:pPr>
              <w:spacing w:before="20" w:after="20"/>
              <w:rPr>
                <w:rFonts w:cstheme="minorHAnsi"/>
                <w:sz w:val="20"/>
                <w:szCs w:val="20"/>
              </w:rPr>
            </w:pPr>
            <w:r w:rsidRPr="00BF42C0">
              <w:rPr>
                <w:rFonts w:cstheme="minorHAnsi"/>
                <w:sz w:val="20"/>
                <w:szCs w:val="20"/>
              </w:rPr>
              <w:t>Full Child Proxy</w:t>
            </w:r>
          </w:p>
        </w:tc>
        <w:tc>
          <w:tcPr>
            <w:tcW w:w="1842" w:type="dxa"/>
            <w:vAlign w:val="bottom"/>
          </w:tcPr>
          <w:p w:rsidR="00D907AF" w:rsidRPr="00BF42C0" w:rsidRDefault="00D907AF" w:rsidP="00EB4B04">
            <w:pPr>
              <w:spacing w:before="20" w:after="20"/>
              <w:rPr>
                <w:rFonts w:cstheme="minorHAnsi"/>
                <w:sz w:val="20"/>
                <w:szCs w:val="20"/>
              </w:rPr>
            </w:pPr>
            <w:r w:rsidRPr="00BF42C0">
              <w:rPr>
                <w:rFonts w:cstheme="minorHAnsi"/>
                <w:sz w:val="20"/>
                <w:szCs w:val="20"/>
              </w:rPr>
              <w:t>&lt;8</w:t>
            </w:r>
            <w:r w:rsidR="00CD7722">
              <w:rPr>
                <w:rFonts w:cstheme="minorHAnsi"/>
                <w:sz w:val="20"/>
                <w:szCs w:val="20"/>
              </w:rPr>
              <w:t xml:space="preserve"> </w:t>
            </w:r>
            <w:r w:rsidR="00CD7722" w:rsidRPr="00D82D40">
              <w:rPr>
                <w:rFonts w:cstheme="minorHAnsi"/>
                <w:color w:val="FFFFFF" w:themeColor="background1"/>
                <w:sz w:val="20"/>
                <w:szCs w:val="20"/>
              </w:rPr>
              <w:t>years</w:t>
            </w:r>
          </w:p>
        </w:tc>
        <w:tc>
          <w:tcPr>
            <w:tcW w:w="2198" w:type="dxa"/>
            <w:vAlign w:val="bottom"/>
          </w:tcPr>
          <w:p w:rsidR="00D907AF" w:rsidRPr="00BF42C0" w:rsidRDefault="00D907AF" w:rsidP="00EB4B04">
            <w:pPr>
              <w:spacing w:before="20" w:after="20"/>
              <w:rPr>
                <w:rFonts w:cstheme="minorHAnsi"/>
                <w:sz w:val="20"/>
                <w:szCs w:val="20"/>
              </w:rPr>
            </w:pPr>
            <w:r w:rsidRPr="00BF42C0">
              <w:rPr>
                <w:rFonts w:cstheme="minorHAnsi"/>
                <w:sz w:val="20"/>
                <w:szCs w:val="20"/>
              </w:rPr>
              <w:t>Proxy Part A</w:t>
            </w:r>
          </w:p>
        </w:tc>
        <w:tc>
          <w:tcPr>
            <w:tcW w:w="1487" w:type="dxa"/>
            <w:vAlign w:val="bottom"/>
          </w:tcPr>
          <w:p w:rsidR="00D907AF" w:rsidRPr="00BF42C0" w:rsidRDefault="00D907AF" w:rsidP="00EB4B04">
            <w:pPr>
              <w:spacing w:before="20" w:after="20"/>
              <w:rPr>
                <w:rFonts w:cstheme="minorHAnsi"/>
                <w:sz w:val="20"/>
                <w:szCs w:val="20"/>
              </w:rPr>
            </w:pPr>
            <w:r w:rsidRPr="00BF42C0">
              <w:rPr>
                <w:rFonts w:cstheme="minorHAnsi"/>
                <w:sz w:val="20"/>
                <w:szCs w:val="20"/>
              </w:rPr>
              <w:t>None</w:t>
            </w:r>
          </w:p>
        </w:tc>
      </w:tr>
      <w:tr w:rsidR="00D907AF" w:rsidRPr="00BF42C0" w:rsidTr="00294B91">
        <w:trPr>
          <w:cantSplit/>
        </w:trPr>
        <w:tc>
          <w:tcPr>
            <w:tcW w:w="675" w:type="dxa"/>
          </w:tcPr>
          <w:p w:rsidR="00D907AF" w:rsidRPr="00BF42C0" w:rsidRDefault="00D907AF" w:rsidP="00D907AF">
            <w:pPr>
              <w:spacing w:before="20" w:after="20"/>
              <w:rPr>
                <w:rFonts w:cstheme="minorHAnsi"/>
                <w:sz w:val="20"/>
                <w:szCs w:val="20"/>
              </w:rPr>
            </w:pPr>
            <w:r w:rsidRPr="00BF42C0">
              <w:rPr>
                <w:rFonts w:cstheme="minorHAnsi"/>
                <w:sz w:val="20"/>
                <w:szCs w:val="20"/>
              </w:rPr>
              <w:t>14</w:t>
            </w:r>
          </w:p>
        </w:tc>
        <w:tc>
          <w:tcPr>
            <w:tcW w:w="2694" w:type="dxa"/>
          </w:tcPr>
          <w:p w:rsidR="00D907AF" w:rsidRPr="00BF42C0" w:rsidRDefault="00D907AF" w:rsidP="00D907AF">
            <w:pPr>
              <w:spacing w:before="20" w:after="20"/>
              <w:rPr>
                <w:rFonts w:cstheme="minorHAnsi"/>
                <w:sz w:val="20"/>
                <w:szCs w:val="20"/>
              </w:rPr>
            </w:pPr>
            <w:r w:rsidRPr="00BF42C0">
              <w:rPr>
                <w:rFonts w:cstheme="minorHAnsi"/>
                <w:sz w:val="20"/>
                <w:szCs w:val="20"/>
              </w:rPr>
              <w:t>Full Proxy</w:t>
            </w:r>
          </w:p>
        </w:tc>
        <w:tc>
          <w:tcPr>
            <w:tcW w:w="1842" w:type="dxa"/>
          </w:tcPr>
          <w:p w:rsidR="00D907AF" w:rsidRPr="00BF42C0" w:rsidRDefault="00CD7722" w:rsidP="00D907AF">
            <w:pPr>
              <w:spacing w:before="20" w:after="20"/>
              <w:rPr>
                <w:rFonts w:cstheme="minorHAnsi"/>
                <w:sz w:val="20"/>
                <w:szCs w:val="20"/>
              </w:rPr>
            </w:pPr>
            <w:r>
              <w:rPr>
                <w:rFonts w:cstheme="minorHAnsi"/>
                <w:sz w:val="20"/>
                <w:szCs w:val="20"/>
              </w:rPr>
              <w:t>8 to</w:t>
            </w:r>
            <w:r w:rsidR="002D46C2">
              <w:rPr>
                <w:rFonts w:cstheme="minorHAnsi"/>
                <w:sz w:val="20"/>
                <w:szCs w:val="20"/>
              </w:rPr>
              <w:t xml:space="preserve"> </w:t>
            </w:r>
            <w:r w:rsidR="00D907AF" w:rsidRPr="00BF42C0">
              <w:rPr>
                <w:rFonts w:cstheme="minorHAnsi"/>
                <w:sz w:val="20"/>
                <w:szCs w:val="20"/>
              </w:rPr>
              <w:t>15</w:t>
            </w:r>
            <w:r>
              <w:rPr>
                <w:rFonts w:cstheme="minorHAnsi"/>
                <w:sz w:val="20"/>
                <w:szCs w:val="20"/>
              </w:rPr>
              <w:t xml:space="preserve"> </w:t>
            </w:r>
            <w:r w:rsidRPr="00D82D40">
              <w:rPr>
                <w:rFonts w:cstheme="minorHAnsi"/>
                <w:color w:val="FFFFFF" w:themeColor="background1"/>
                <w:sz w:val="20"/>
                <w:szCs w:val="20"/>
              </w:rPr>
              <w:t>years</w:t>
            </w:r>
          </w:p>
        </w:tc>
        <w:tc>
          <w:tcPr>
            <w:tcW w:w="2198" w:type="dxa"/>
          </w:tcPr>
          <w:p w:rsidR="00D907AF" w:rsidRPr="00BF42C0" w:rsidRDefault="00D907AF" w:rsidP="00D907AF">
            <w:pPr>
              <w:spacing w:before="20" w:after="20"/>
              <w:rPr>
                <w:rFonts w:cstheme="minorHAnsi"/>
                <w:sz w:val="20"/>
                <w:szCs w:val="20"/>
              </w:rPr>
            </w:pPr>
            <w:r w:rsidRPr="00BF42C0">
              <w:rPr>
                <w:rFonts w:cstheme="minorHAnsi"/>
                <w:sz w:val="20"/>
                <w:szCs w:val="20"/>
              </w:rPr>
              <w:t>Proxy Part A</w:t>
            </w:r>
          </w:p>
        </w:tc>
        <w:tc>
          <w:tcPr>
            <w:tcW w:w="1487" w:type="dxa"/>
          </w:tcPr>
          <w:p w:rsidR="00D907AF" w:rsidRPr="00BF42C0" w:rsidRDefault="00D907AF" w:rsidP="00D907AF">
            <w:pPr>
              <w:spacing w:before="20" w:after="20"/>
              <w:rPr>
                <w:rFonts w:cstheme="minorHAnsi"/>
                <w:sz w:val="20"/>
                <w:szCs w:val="20"/>
              </w:rPr>
            </w:pPr>
            <w:r w:rsidRPr="00BF42C0">
              <w:rPr>
                <w:rFonts w:cstheme="minorHAnsi"/>
                <w:sz w:val="20"/>
                <w:szCs w:val="20"/>
              </w:rPr>
              <w:t>Proxy/Standard</w:t>
            </w:r>
          </w:p>
        </w:tc>
      </w:tr>
      <w:tr w:rsidR="00D907AF" w:rsidRPr="00BF42C0" w:rsidTr="00294B91">
        <w:trPr>
          <w:cantSplit/>
        </w:trPr>
        <w:tc>
          <w:tcPr>
            <w:tcW w:w="675" w:type="dxa"/>
          </w:tcPr>
          <w:p w:rsidR="00D907AF" w:rsidRPr="00BF42C0" w:rsidRDefault="00D907AF" w:rsidP="00D907AF">
            <w:pPr>
              <w:spacing w:before="20" w:after="20"/>
              <w:rPr>
                <w:rFonts w:cstheme="minorHAnsi"/>
                <w:sz w:val="20"/>
                <w:szCs w:val="20"/>
              </w:rPr>
            </w:pPr>
            <w:r w:rsidRPr="00BF42C0">
              <w:rPr>
                <w:rFonts w:cstheme="minorHAnsi"/>
                <w:sz w:val="20"/>
                <w:szCs w:val="20"/>
              </w:rPr>
              <w:t>15</w:t>
            </w:r>
          </w:p>
        </w:tc>
        <w:tc>
          <w:tcPr>
            <w:tcW w:w="2694" w:type="dxa"/>
          </w:tcPr>
          <w:p w:rsidR="00D907AF" w:rsidRPr="00BF42C0" w:rsidRDefault="00D907AF" w:rsidP="00D907AF">
            <w:pPr>
              <w:spacing w:before="20" w:after="20"/>
              <w:rPr>
                <w:rFonts w:cstheme="minorHAnsi"/>
                <w:sz w:val="20"/>
                <w:szCs w:val="20"/>
              </w:rPr>
            </w:pPr>
            <w:r w:rsidRPr="00BF42C0">
              <w:rPr>
                <w:rFonts w:cstheme="minorHAnsi"/>
                <w:sz w:val="20"/>
                <w:szCs w:val="20"/>
              </w:rPr>
              <w:t>Full Proxy</w:t>
            </w:r>
          </w:p>
        </w:tc>
        <w:tc>
          <w:tcPr>
            <w:tcW w:w="1842" w:type="dxa"/>
          </w:tcPr>
          <w:p w:rsidR="00D907AF" w:rsidRPr="00BF42C0" w:rsidRDefault="002D46C2" w:rsidP="00D907AF">
            <w:pPr>
              <w:spacing w:before="20" w:after="20"/>
              <w:rPr>
                <w:rFonts w:cstheme="minorHAnsi"/>
                <w:sz w:val="20"/>
                <w:szCs w:val="20"/>
              </w:rPr>
            </w:pPr>
            <w:r>
              <w:rPr>
                <w:rFonts w:cstheme="minorHAnsi"/>
                <w:sz w:val="20"/>
                <w:szCs w:val="20"/>
              </w:rPr>
              <w:t xml:space="preserve">16 to </w:t>
            </w:r>
            <w:r w:rsidR="00D907AF" w:rsidRPr="00BF42C0">
              <w:rPr>
                <w:rFonts w:cstheme="minorHAnsi"/>
                <w:sz w:val="20"/>
                <w:szCs w:val="20"/>
              </w:rPr>
              <w:t>17</w:t>
            </w:r>
            <w:r w:rsidR="00CD7722">
              <w:rPr>
                <w:rFonts w:cstheme="minorHAnsi"/>
                <w:sz w:val="20"/>
                <w:szCs w:val="20"/>
              </w:rPr>
              <w:t xml:space="preserve"> </w:t>
            </w:r>
            <w:r w:rsidR="00CD7722" w:rsidRPr="00D82D40">
              <w:rPr>
                <w:rFonts w:cstheme="minorHAnsi"/>
                <w:color w:val="FFFFFF" w:themeColor="background1"/>
                <w:sz w:val="20"/>
                <w:szCs w:val="20"/>
              </w:rPr>
              <w:t>years</w:t>
            </w:r>
          </w:p>
        </w:tc>
        <w:tc>
          <w:tcPr>
            <w:tcW w:w="2198" w:type="dxa"/>
          </w:tcPr>
          <w:p w:rsidR="00D907AF" w:rsidRPr="00BF42C0" w:rsidRDefault="00D907AF" w:rsidP="00D907AF">
            <w:pPr>
              <w:spacing w:before="20" w:after="20"/>
              <w:rPr>
                <w:rFonts w:cstheme="minorHAnsi"/>
                <w:sz w:val="20"/>
                <w:szCs w:val="20"/>
              </w:rPr>
            </w:pPr>
            <w:r w:rsidRPr="00BF42C0">
              <w:rPr>
                <w:rFonts w:cstheme="minorHAnsi"/>
                <w:sz w:val="20"/>
                <w:szCs w:val="20"/>
              </w:rPr>
              <w:t>Proxy Part A</w:t>
            </w:r>
          </w:p>
        </w:tc>
        <w:tc>
          <w:tcPr>
            <w:tcW w:w="1487" w:type="dxa"/>
          </w:tcPr>
          <w:p w:rsidR="00D907AF" w:rsidRPr="00BF42C0" w:rsidRDefault="00D907AF" w:rsidP="00D907AF">
            <w:pPr>
              <w:spacing w:before="20" w:after="20"/>
              <w:rPr>
                <w:rFonts w:cstheme="minorHAnsi"/>
                <w:sz w:val="20"/>
                <w:szCs w:val="20"/>
              </w:rPr>
            </w:pPr>
            <w:r w:rsidRPr="00BF42C0">
              <w:rPr>
                <w:rFonts w:cstheme="minorHAnsi"/>
                <w:sz w:val="20"/>
                <w:szCs w:val="20"/>
              </w:rPr>
              <w:t>Proxy/Standard</w:t>
            </w:r>
          </w:p>
        </w:tc>
      </w:tr>
      <w:tr w:rsidR="00D907AF" w:rsidRPr="00BF42C0" w:rsidTr="00294B91">
        <w:trPr>
          <w:cantSplit/>
        </w:trPr>
        <w:tc>
          <w:tcPr>
            <w:tcW w:w="675" w:type="dxa"/>
            <w:tcBorders>
              <w:bottom w:val="single" w:sz="4" w:space="0" w:color="auto"/>
            </w:tcBorders>
          </w:tcPr>
          <w:p w:rsidR="00D907AF" w:rsidRPr="00BF42C0" w:rsidRDefault="00D907AF" w:rsidP="00D907AF">
            <w:pPr>
              <w:spacing w:before="20" w:after="20"/>
              <w:rPr>
                <w:rFonts w:cstheme="minorHAnsi"/>
                <w:sz w:val="20"/>
                <w:szCs w:val="20"/>
              </w:rPr>
            </w:pPr>
            <w:r w:rsidRPr="00BF42C0">
              <w:rPr>
                <w:rFonts w:cstheme="minorHAnsi"/>
                <w:sz w:val="20"/>
                <w:szCs w:val="20"/>
              </w:rPr>
              <w:t>16</w:t>
            </w:r>
          </w:p>
        </w:tc>
        <w:tc>
          <w:tcPr>
            <w:tcW w:w="2694" w:type="dxa"/>
            <w:tcBorders>
              <w:bottom w:val="single" w:sz="4" w:space="0" w:color="auto"/>
            </w:tcBorders>
          </w:tcPr>
          <w:p w:rsidR="00D907AF" w:rsidRPr="00BF42C0" w:rsidRDefault="00D907AF" w:rsidP="00D907AF">
            <w:pPr>
              <w:spacing w:before="20" w:after="20"/>
              <w:rPr>
                <w:rFonts w:cstheme="minorHAnsi"/>
                <w:sz w:val="20"/>
                <w:szCs w:val="20"/>
              </w:rPr>
            </w:pPr>
            <w:r w:rsidRPr="00BF42C0">
              <w:rPr>
                <w:rFonts w:cstheme="minorHAnsi"/>
                <w:sz w:val="20"/>
                <w:szCs w:val="20"/>
              </w:rPr>
              <w:t>Full Proxy</w:t>
            </w:r>
          </w:p>
        </w:tc>
        <w:tc>
          <w:tcPr>
            <w:tcW w:w="1842" w:type="dxa"/>
            <w:tcBorders>
              <w:bottom w:val="single" w:sz="4" w:space="0" w:color="auto"/>
            </w:tcBorders>
          </w:tcPr>
          <w:p w:rsidR="00D907AF" w:rsidRPr="00BF42C0" w:rsidRDefault="00D907AF" w:rsidP="00D907AF">
            <w:pPr>
              <w:spacing w:before="20" w:after="20"/>
              <w:rPr>
                <w:rFonts w:cstheme="minorHAnsi"/>
                <w:sz w:val="20"/>
                <w:szCs w:val="20"/>
              </w:rPr>
            </w:pPr>
            <w:r w:rsidRPr="00BF42C0">
              <w:rPr>
                <w:rFonts w:cstheme="minorHAnsi"/>
                <w:sz w:val="20"/>
                <w:szCs w:val="20"/>
              </w:rPr>
              <w:t>18+</w:t>
            </w:r>
            <w:r w:rsidR="00CD7722">
              <w:rPr>
                <w:rFonts w:cstheme="minorHAnsi"/>
                <w:sz w:val="20"/>
                <w:szCs w:val="20"/>
              </w:rPr>
              <w:t xml:space="preserve"> </w:t>
            </w:r>
            <w:r w:rsidR="00CD7722" w:rsidRPr="00D82D40">
              <w:rPr>
                <w:rFonts w:cstheme="minorHAnsi"/>
                <w:color w:val="FFFFFF" w:themeColor="background1"/>
                <w:sz w:val="20"/>
                <w:szCs w:val="20"/>
              </w:rPr>
              <w:t>years</w:t>
            </w:r>
          </w:p>
        </w:tc>
        <w:tc>
          <w:tcPr>
            <w:tcW w:w="2198" w:type="dxa"/>
            <w:tcBorders>
              <w:bottom w:val="single" w:sz="4" w:space="0" w:color="auto"/>
            </w:tcBorders>
          </w:tcPr>
          <w:p w:rsidR="00D907AF" w:rsidRPr="00BF42C0" w:rsidRDefault="00D907AF" w:rsidP="00D907AF">
            <w:pPr>
              <w:spacing w:before="20" w:after="20"/>
              <w:rPr>
                <w:rFonts w:cstheme="minorHAnsi"/>
                <w:sz w:val="20"/>
                <w:szCs w:val="20"/>
              </w:rPr>
            </w:pPr>
            <w:r w:rsidRPr="00BF42C0">
              <w:rPr>
                <w:rFonts w:cstheme="minorHAnsi"/>
                <w:sz w:val="20"/>
                <w:szCs w:val="20"/>
              </w:rPr>
              <w:t>Proxy Part A</w:t>
            </w:r>
          </w:p>
        </w:tc>
        <w:tc>
          <w:tcPr>
            <w:tcW w:w="1487" w:type="dxa"/>
            <w:tcBorders>
              <w:bottom w:val="single" w:sz="4" w:space="0" w:color="auto"/>
            </w:tcBorders>
          </w:tcPr>
          <w:p w:rsidR="00D907AF" w:rsidRPr="00BF42C0" w:rsidRDefault="00D907AF" w:rsidP="00D907AF">
            <w:pPr>
              <w:spacing w:before="20" w:after="20"/>
              <w:rPr>
                <w:rFonts w:cstheme="minorHAnsi"/>
                <w:sz w:val="20"/>
                <w:szCs w:val="20"/>
              </w:rPr>
            </w:pPr>
            <w:r w:rsidRPr="00BF42C0">
              <w:rPr>
                <w:rFonts w:cstheme="minorHAnsi"/>
                <w:sz w:val="20"/>
                <w:szCs w:val="20"/>
              </w:rPr>
              <w:t>Proxy/Standard</w:t>
            </w:r>
          </w:p>
        </w:tc>
      </w:tr>
    </w:tbl>
    <w:p w:rsidR="00BC69BF" w:rsidRDefault="00BC69BF" w:rsidP="00BC69BF">
      <w:pPr>
        <w:pStyle w:val="NILSReference"/>
      </w:pPr>
      <w:bookmarkStart w:id="175" w:name="_Toc428280629"/>
      <w:r w:rsidRPr="00BF42C0">
        <w:t>*At registration, the Parent, Guardian or Person Responsible agreed to participate in the Survey on behalf of the child but did not give consent for the child to be interviewed.</w:t>
      </w:r>
    </w:p>
    <w:p w:rsidR="00D907AF" w:rsidRPr="004E62D8" w:rsidRDefault="00D907AF" w:rsidP="00367B24">
      <w:pPr>
        <w:pStyle w:val="Heading3"/>
      </w:pPr>
      <w:bookmarkStart w:id="176" w:name="_Toc449955001"/>
      <w:r>
        <w:t xml:space="preserve">3.3.3 </w:t>
      </w:r>
      <w:r w:rsidRPr="004E62D8">
        <w:t>Designing the questionnaires and the questions</w:t>
      </w:r>
      <w:bookmarkEnd w:id="175"/>
      <w:bookmarkEnd w:id="176"/>
    </w:p>
    <w:p w:rsidR="00D907AF" w:rsidRDefault="00D907AF" w:rsidP="00D907AF">
      <w:r w:rsidRPr="004E62D8">
        <w:t>The design of the questionnaire drew on a number of pre-tested and validated survey questions in order to measure social participation and well</w:t>
      </w:r>
      <w:r>
        <w:t>-</w:t>
      </w:r>
      <w:r w:rsidRPr="004E62D8">
        <w:t>being. It also replicated conventional survey questions relating to socio-demographics notably, the NDIS Survey included the Deakin Personal Wellbeing Index</w:t>
      </w:r>
      <w:r w:rsidRPr="004E62D8">
        <w:rPr>
          <w:vertAlign w:val="superscript"/>
        </w:rPr>
        <w:footnoteReference w:id="9"/>
      </w:r>
      <w:r>
        <w:t xml:space="preserve"> </w:t>
      </w:r>
      <w:r w:rsidRPr="004E62D8">
        <w:t>and questions recommended in the OECD Guidelines on Measuring Subjective Well-Being</w:t>
      </w:r>
      <w:r w:rsidRPr="004E62D8">
        <w:rPr>
          <w:vertAlign w:val="superscript"/>
        </w:rPr>
        <w:footnoteReference w:id="10"/>
      </w:r>
      <w:r w:rsidRPr="004E62D8">
        <w:t>. The questionnaire design also benefited from the UK Life Opportunities Survey</w:t>
      </w:r>
      <w:r>
        <w:rPr>
          <w:rStyle w:val="FootnoteReference"/>
        </w:rPr>
        <w:footnoteReference w:id="11"/>
      </w:r>
      <w:r w:rsidRPr="004E62D8">
        <w:t xml:space="preserve"> which provided useful examples of how to ask about </w:t>
      </w:r>
      <w:r>
        <w:t>‘</w:t>
      </w:r>
      <w:r w:rsidRPr="004E62D8">
        <w:t>choice and control</w:t>
      </w:r>
      <w:r>
        <w:t>’</w:t>
      </w:r>
      <w:r w:rsidRPr="004E62D8">
        <w:t>.</w:t>
      </w:r>
    </w:p>
    <w:p w:rsidR="00EA2B57" w:rsidRPr="004E62D8" w:rsidRDefault="00EA2B57" w:rsidP="00D907AF"/>
    <w:p w:rsidR="00D907AF" w:rsidRDefault="00D907AF" w:rsidP="00D907AF">
      <w:r w:rsidRPr="00346DAB">
        <w:t>The NDIS Survey for Families and Carers includes a set of questions designed to measure the well</w:t>
      </w:r>
      <w:r>
        <w:t>-</w:t>
      </w:r>
      <w:r w:rsidRPr="00346DAB">
        <w:t>being of the family of persons with disability. The questions were adopted from the Family Quality of Life Survey</w:t>
      </w:r>
      <w:r w:rsidRPr="00346DAB">
        <w:rPr>
          <w:rStyle w:val="FootnoteReference"/>
        </w:rPr>
        <w:footnoteReference w:id="12"/>
      </w:r>
      <w:r w:rsidRPr="00346DAB">
        <w:t xml:space="preserve"> developed at the University of Kansas, USA. Also included in the NDIS Survey for Families and Carers is a module, designed to elicit the current social participation of NDIS participants under the age of 8 (who were not asked to complete Part B of the NDIS Survey) and the hopes of their families and carers for </w:t>
      </w:r>
      <w:r>
        <w:t xml:space="preserve">their </w:t>
      </w:r>
      <w:r w:rsidRPr="00346DAB">
        <w:t>future social participation.</w:t>
      </w:r>
    </w:p>
    <w:p w:rsidR="00EA2B57" w:rsidRPr="004E62D8" w:rsidRDefault="00EA2B57" w:rsidP="00D907AF"/>
    <w:p w:rsidR="00D907AF" w:rsidRPr="004E62D8" w:rsidRDefault="00D907AF" w:rsidP="00D907AF">
      <w:r w:rsidRPr="004E62D8">
        <w:t xml:space="preserve">The </w:t>
      </w:r>
      <w:r w:rsidR="006953C6">
        <w:t>wellbeing</w:t>
      </w:r>
      <w:r w:rsidRPr="004E62D8">
        <w:t xml:space="preserve"> measures used Likert-type scales</w:t>
      </w:r>
      <w:r w:rsidRPr="004E62D8">
        <w:rPr>
          <w:vertAlign w:val="superscript"/>
        </w:rPr>
        <w:footnoteReference w:id="13"/>
      </w:r>
      <w:r w:rsidRPr="004E62D8">
        <w:t xml:space="preserve"> for measuring agreement with sets of statements. The inclusion of pre-tested survey questions not only strengthens the validity of the survey instrument, but also increases the potential for comparative analyses.</w:t>
      </w:r>
    </w:p>
    <w:p w:rsidR="00D907AF" w:rsidRPr="004E62D8" w:rsidRDefault="00D907AF" w:rsidP="00367B24">
      <w:pPr>
        <w:pStyle w:val="Heading3"/>
      </w:pPr>
      <w:bookmarkStart w:id="177" w:name="_Toc428280630"/>
      <w:bookmarkStart w:id="178" w:name="_Toc449955002"/>
      <w:r>
        <w:lastRenderedPageBreak/>
        <w:t xml:space="preserve">3.3.4 </w:t>
      </w:r>
      <w:r w:rsidRPr="004E62D8">
        <w:t>Cognitive testing</w:t>
      </w:r>
      <w:bookmarkEnd w:id="177"/>
      <w:bookmarkEnd w:id="178"/>
      <w:r w:rsidRPr="004E62D8">
        <w:t xml:space="preserve"> </w:t>
      </w:r>
    </w:p>
    <w:p w:rsidR="00D907AF" w:rsidRPr="004E62D8" w:rsidRDefault="00D907AF" w:rsidP="00D907AF">
      <w:r w:rsidRPr="004E62D8">
        <w:t>Whilst drawing to a degree on pre-tested, validated questions, the NDIS Survey was also subjected to extensive cognitive testing. Th</w:t>
      </w:r>
      <w:r>
        <w:t xml:space="preserve">e </w:t>
      </w:r>
      <w:r w:rsidR="00190419">
        <w:t>e</w:t>
      </w:r>
      <w:r w:rsidR="00BD356D">
        <w:t>valuation</w:t>
      </w:r>
      <w:r w:rsidRPr="004E62D8">
        <w:t xml:space="preserve"> team tested the survey questions, individually and as part of larger modules, for their capacity to be understood and in order to make sure that the surveys asked the correct and desired questions of the right people. In preparation for the testing, disability support providers were consulted for their advice on wording questions on opinions, judgements and aspirations in a way that would be most meaningful to the survey participants. The cognitive testing was facilitated by people with disability and their support workers who volunteered to take part in this exercise. Volunteer participants included adults with intellectual or physical disability, and young people living with disability. Experts in the </w:t>
      </w:r>
      <w:r w:rsidR="00190419">
        <w:t>e</w:t>
      </w:r>
      <w:r w:rsidR="00BD356D">
        <w:t>valuation</w:t>
      </w:r>
      <w:r w:rsidRPr="004E62D8">
        <w:t xml:space="preserve"> team also tested and refined the survey instruments in consultation with people with disability of Indigenous background. Additional </w:t>
      </w:r>
      <w:r>
        <w:t>preliminary fieldwork (</w:t>
      </w:r>
      <w:r w:rsidRPr="004E62D8">
        <w:t>skirmishing</w:t>
      </w:r>
      <w:r>
        <w:t>)</w:t>
      </w:r>
      <w:r w:rsidRPr="004E62D8">
        <w:t xml:space="preserve"> was undertaken by researchers and evaluators, who also included people with disability.</w:t>
      </w:r>
    </w:p>
    <w:p w:rsidR="00D907AF" w:rsidRPr="004E62D8" w:rsidRDefault="00D907AF" w:rsidP="00367B24">
      <w:pPr>
        <w:pStyle w:val="Heading3"/>
      </w:pPr>
      <w:bookmarkStart w:id="179" w:name="_Toc428280631"/>
      <w:bookmarkStart w:id="180" w:name="_Toc449955003"/>
      <w:r>
        <w:t xml:space="preserve">3.3.5 </w:t>
      </w:r>
      <w:r w:rsidRPr="004E62D8">
        <w:t>Easy English</w:t>
      </w:r>
      <w:bookmarkEnd w:id="179"/>
      <w:bookmarkEnd w:id="180"/>
    </w:p>
    <w:p w:rsidR="00D907AF" w:rsidRDefault="00D907AF" w:rsidP="00D907AF">
      <w:r w:rsidRPr="004E62D8">
        <w:t>Professional assessment and cognitive testing conducted by an expert in accessible communication led to amendments to some of the original survey questions</w:t>
      </w:r>
      <w:r>
        <w:t xml:space="preserve"> in the Easy English version.</w:t>
      </w:r>
      <w:r w:rsidRPr="004E62D8">
        <w:t xml:space="preserve"> </w:t>
      </w:r>
      <w:r>
        <w:t>This</w:t>
      </w:r>
      <w:r w:rsidRPr="004E62D8">
        <w:t xml:space="preserve"> simplified the language and structure of the questionnaire. Various drafts of the Easy English questionnaires were produced and tested in individual and focus group </w:t>
      </w:r>
      <w:r>
        <w:t>settings</w:t>
      </w:r>
      <w:r w:rsidRPr="004E62D8">
        <w:t xml:space="preserve"> with people with disability.</w:t>
      </w:r>
    </w:p>
    <w:p w:rsidR="00FA139B" w:rsidRDefault="00FA139B">
      <w:pPr>
        <w:rPr>
          <w:rFonts w:eastAsia="Times" w:cstheme="minorHAnsi"/>
          <w:b/>
          <w:kern w:val="32"/>
          <w:sz w:val="26"/>
          <w:szCs w:val="24"/>
          <w:lang w:val="en-AU" w:eastAsia="zh-CN"/>
        </w:rPr>
      </w:pPr>
      <w:bookmarkStart w:id="181" w:name="_Toc428280632"/>
    </w:p>
    <w:p w:rsidR="00D907AF" w:rsidRPr="004E62D8" w:rsidRDefault="00D907AF" w:rsidP="00367B24">
      <w:pPr>
        <w:pStyle w:val="Heading2"/>
      </w:pPr>
      <w:bookmarkStart w:id="182" w:name="_Toc449955004"/>
      <w:r>
        <w:t xml:space="preserve">3.4 </w:t>
      </w:r>
      <w:r w:rsidRPr="004E62D8">
        <w:t>Pilot study</w:t>
      </w:r>
      <w:bookmarkEnd w:id="181"/>
      <w:bookmarkEnd w:id="182"/>
    </w:p>
    <w:p w:rsidR="00D907AF" w:rsidRDefault="00D907AF" w:rsidP="00D907AF">
      <w:r w:rsidRPr="004E62D8">
        <w:t xml:space="preserve">The NDIS Survey and the NDIS Survey for Families and Carers were piloted in April 2014. The initial pilot samples were intended to include 20 NDIS participants and another 10 individuals who were not participating in the NDIS, as well as matching numbers of families and carers. The Computer Assisted Telephone Interviewing (CATI) versions of the questionnaires were fully piloted, while their hard copy versions were tested in individual and small group sessions prior to the CATI pilot as part of a programme of cognitive tests. </w:t>
      </w:r>
    </w:p>
    <w:p w:rsidR="00FA139B" w:rsidRPr="004E62D8" w:rsidRDefault="00FA139B" w:rsidP="00D907AF"/>
    <w:p w:rsidR="00D907AF" w:rsidRDefault="00D907AF" w:rsidP="00D907AF">
      <w:r w:rsidRPr="004E62D8">
        <w:t>The CATI pilot sample was drawn purposively so to include people living with different types of disability, including physical, developmental or intellectual disability, mental health problems, sensory impairment, and neurological or brain conditions. In addition, the pilot sample included young people under the age of 17 without a known proxy as well as with a proxy who would undertake the interview on the young person’s behalf. Individuals drawn in the pilot sample were first offered the opportunity to opt-out. In the end, 31 people with disability and 24 family and carers of people with disability in trial sites, alongside 15 people with disability and 21 family and carers in comparison areas remained in the pilot sample (Total: 91).</w:t>
      </w:r>
    </w:p>
    <w:p w:rsidR="00FA139B" w:rsidRPr="004E62D8" w:rsidRDefault="00FA139B" w:rsidP="00D907AF"/>
    <w:p w:rsidR="00D907AF" w:rsidRDefault="00D907AF" w:rsidP="00D907AF">
      <w:r w:rsidRPr="004E62D8">
        <w:t>The pilot succeeded in conducting 24 interviews with people with disability, including 19 in trial sites and another 5 with people in the comparison group. Four interviews were conducted with people with disability, 17 with a guardian or parent of a person with disability, one with a carer; and in two instances, interviews were conducted with a proxy who was not a family member or carer, but offered to participate on behalf of the person with disability. In addition, 18 pilot interviews were conducted for the NDIS Survey for Families and Carers, resulting in a total of 42 interviews.</w:t>
      </w:r>
    </w:p>
    <w:p w:rsidR="005B2D5F" w:rsidRPr="004E62D8" w:rsidRDefault="005B2D5F" w:rsidP="00D907AF"/>
    <w:p w:rsidR="005B32E8" w:rsidRDefault="005B32E8">
      <w:r>
        <w:br w:type="page"/>
      </w:r>
    </w:p>
    <w:p w:rsidR="00D907AF" w:rsidRDefault="00D907AF" w:rsidP="00D907AF">
      <w:r w:rsidRPr="004E62D8">
        <w:lastRenderedPageBreak/>
        <w:t xml:space="preserve">Sixteen of the persons with disability were aged 16 or over, two were aged between 8 and 15 years, and the remaining 6 were less than 8 years of age. Participants in the pilot were living with a range of disabilities, including physical disability (3), developmental condition (5), intellectual disability (4), mental health problems (1), sensory impairment (4), neurological or brain condition, including acquired brain injury (5), and other not specified (2). </w:t>
      </w:r>
    </w:p>
    <w:p w:rsidR="00FA139B" w:rsidRPr="004E62D8" w:rsidRDefault="00FA139B" w:rsidP="00D907AF"/>
    <w:p w:rsidR="00D907AF" w:rsidRDefault="00D907AF" w:rsidP="00D907AF">
      <w:r w:rsidRPr="004E62D8">
        <w:t>Interviews with people with disability in the trial group lasted an average of 44 minutes, compared with 30 minutes in the comparison group. Likewise, interviews with family members or carers in the trial group lasted an average of 35 minutes to complete, compared with 28 minutes in the comparison group. The difference in interview length between the two groups was primarily a reflection of the shorter comparison group questionnaire which does not include any questions on NDIS-specific experiences.</w:t>
      </w:r>
    </w:p>
    <w:p w:rsidR="00FA139B" w:rsidRPr="004E62D8" w:rsidRDefault="00FA139B" w:rsidP="00D907AF"/>
    <w:p w:rsidR="00D907AF" w:rsidRPr="004E62D8" w:rsidRDefault="00D907AF" w:rsidP="00D907AF">
      <w:r w:rsidRPr="004E62D8">
        <w:t>Wh</w:t>
      </w:r>
      <w:r>
        <w:t>ile</w:t>
      </w:r>
      <w:r w:rsidRPr="004E62D8">
        <w:t xml:space="preserve"> the pilot survey was conducted with fewer than the originally anticipated number of respondents, it nonetheless achieved its objective of covering different age groups and people with different disabilities. The pilot was also able to test the survey instrument with carers, family members and proxy interviewees as well as people with disability.</w:t>
      </w:r>
    </w:p>
    <w:p w:rsidR="00D907AF" w:rsidRPr="004E62D8" w:rsidRDefault="00D907AF" w:rsidP="00D907AF">
      <w:r w:rsidRPr="004E62D8">
        <w:t>The pilot highlighted a number of challenges and issues with the survey instrument that had to be addressed prior to</w:t>
      </w:r>
      <w:r>
        <w:t xml:space="preserve"> the launch of the main survey:</w:t>
      </w:r>
    </w:p>
    <w:p w:rsidR="00D907AF" w:rsidRPr="00D349A9" w:rsidRDefault="00D907AF" w:rsidP="00D907AF">
      <w:pPr>
        <w:pStyle w:val="Bullets"/>
        <w:ind w:left="426" w:hanging="426"/>
      </w:pPr>
      <w:r w:rsidRPr="004E62D8">
        <w:t>At the point of sampling, the pilot revealed gaps in the administrative data, including missing links between people with disability and their carers (or nominees) that are typically recorded with the source data. Interviews were intended to be conducted with family members and carers matched to people with disability also participating in the survey</w:t>
      </w:r>
      <w:r>
        <w:t xml:space="preserve">. </w:t>
      </w:r>
      <w:r w:rsidRPr="004E62D8">
        <w:t xml:space="preserve">Since people with disability and their family members or carers were not automatically linked in the administrative dataset that was provided to the researchers, additional data cleaning and manual linking of records was undertaken. </w:t>
      </w:r>
      <w:r>
        <w:t>Some carer</w:t>
      </w:r>
      <w:r w:rsidR="0076004D">
        <w:t>s without a caree and some care</w:t>
      </w:r>
      <w:r w:rsidR="00816150">
        <w:t>e</w:t>
      </w:r>
      <w:r>
        <w:t>s without a carer were also included in the pilot to explore these possibilities.</w:t>
      </w:r>
      <w:r w:rsidRPr="004E62D8" w:rsidDel="004873CB">
        <w:t xml:space="preserve"> </w:t>
      </w:r>
    </w:p>
    <w:p w:rsidR="00D907AF" w:rsidRPr="00D349A9" w:rsidRDefault="00D907AF" w:rsidP="00D907AF">
      <w:pPr>
        <w:pStyle w:val="Bullets"/>
        <w:ind w:left="426" w:hanging="426"/>
      </w:pPr>
      <w:r w:rsidRPr="004E62D8">
        <w:t>The pilot calls subsequently encountered a large number of invalid telephone numbers for sample members, while other call attempts remained unanswered and a few sample members were not available during the pilot period. In total, 31 out of 91 cases in the sample were thus affected and could not be included in the actual pilot. These problems were particularly prominent among the comparison sample. Concern about the validity of contact details was an important factor in our subsequent decision to conduct a registration process prior to the main survey fieldwork.</w:t>
      </w:r>
    </w:p>
    <w:p w:rsidR="00D907AF" w:rsidRPr="004E62D8" w:rsidRDefault="00D907AF" w:rsidP="00D907AF">
      <w:pPr>
        <w:pStyle w:val="Bullets"/>
        <w:ind w:left="426" w:hanging="426"/>
      </w:pPr>
      <w:r w:rsidRPr="004E62D8">
        <w:t xml:space="preserve">The pilot showed that interviews were taking longer to complete than had been anticipated and that the survey was becoming burdensome for some participants, in particular those living with disability. In total, 15 interviews were terminated prematurely (this was in addition to the 42 fully completed interviews); three more interviews were refused. This discovery informed our subsequent decision to divide the NDIS Survey into two parts, distinguishing between a part </w:t>
      </w:r>
      <w:r>
        <w:t>collecting factual information (Part A)</w:t>
      </w:r>
      <w:r w:rsidRPr="004E62D8">
        <w:t xml:space="preserve"> and anoth</w:t>
      </w:r>
      <w:r>
        <w:t>er part focused on perceptions (</w:t>
      </w:r>
      <w:r w:rsidRPr="004E62D8">
        <w:t>Part B</w:t>
      </w:r>
      <w:r>
        <w:t>)</w:t>
      </w:r>
      <w:r w:rsidRPr="004E62D8">
        <w:t xml:space="preserve">. </w:t>
      </w:r>
    </w:p>
    <w:p w:rsidR="004B4923" w:rsidRDefault="004B4923">
      <w:pPr>
        <w:rPr>
          <w:rFonts w:eastAsia="Times" w:cstheme="minorHAnsi"/>
          <w:b/>
          <w:kern w:val="32"/>
          <w:sz w:val="26"/>
          <w:szCs w:val="28"/>
          <w:lang w:val="en-AU" w:eastAsia="zh-CN"/>
        </w:rPr>
      </w:pPr>
      <w:bookmarkStart w:id="183" w:name="_Toc428280633"/>
      <w:r>
        <w:br w:type="page"/>
      </w:r>
    </w:p>
    <w:p w:rsidR="00D907AF" w:rsidRPr="004E62D8" w:rsidRDefault="00D907AF" w:rsidP="005B32E8">
      <w:pPr>
        <w:pStyle w:val="Heading2"/>
        <w:spacing w:before="240"/>
      </w:pPr>
      <w:bookmarkStart w:id="184" w:name="_Toc449955005"/>
      <w:r>
        <w:lastRenderedPageBreak/>
        <w:t xml:space="preserve">3.5 </w:t>
      </w:r>
      <w:r w:rsidRPr="004E62D8">
        <w:t>Fieldwork</w:t>
      </w:r>
      <w:r>
        <w:t xml:space="preserve"> (Wave 1)</w:t>
      </w:r>
      <w:bookmarkEnd w:id="183"/>
      <w:bookmarkEnd w:id="184"/>
    </w:p>
    <w:p w:rsidR="00D907AF" w:rsidRPr="004E62D8" w:rsidRDefault="00D907AF" w:rsidP="00D907AF">
      <w:r w:rsidRPr="004E62D8">
        <w:t>Fieldwork for the NDIS Survey and the NDIS Survey for Families and Carers finally commenced in August 2014 with the mail-out of the registration forms to NDIS participants in Wave 1a, soon after the Department of Social Services had closed the opt-out period and released the sample of people with disability in the trial and comparison groups to the survey company (in July and June 2014 respectively). Registration requests were sent out in batches commencing with adults aged 18 or older, before continuing from the youngest age group onwards. The registration mail was sent to all in the trial and th</w:t>
      </w:r>
      <w:r>
        <w:t>e comparison samples containing:</w:t>
      </w:r>
    </w:p>
    <w:p w:rsidR="00D907AF" w:rsidRPr="004E62D8" w:rsidRDefault="00D907AF" w:rsidP="00AF5E38">
      <w:pPr>
        <w:numPr>
          <w:ilvl w:val="0"/>
          <w:numId w:val="12"/>
        </w:numPr>
        <w:spacing w:before="240" w:after="120"/>
      </w:pPr>
      <w:r>
        <w:t>a</w:t>
      </w:r>
      <w:r w:rsidRPr="004E62D8">
        <w:t xml:space="preserve"> covering letter, briefly explaining the purpose of the survey, ways to register (by return of post</w:t>
      </w:r>
      <w:r w:rsidR="00951F51">
        <w:t>,</w:t>
      </w:r>
      <w:r w:rsidRPr="004E62D8">
        <w:t xml:space="preserve"> online</w:t>
      </w:r>
      <w:r w:rsidR="00CD4BF6">
        <w:t xml:space="preserve"> or by telephone</w:t>
      </w:r>
      <w:r w:rsidRPr="004E62D8">
        <w:t xml:space="preserve">) and to obtain additional information (via a dedicated telephone </w:t>
      </w:r>
      <w:r>
        <w:t>helpline</w:t>
      </w:r>
      <w:r w:rsidRPr="004E62D8">
        <w:t>), and stressing the importance of in</w:t>
      </w:r>
      <w:r>
        <w:t>formed consent to participation</w:t>
      </w:r>
    </w:p>
    <w:p w:rsidR="00D907AF" w:rsidRPr="004E62D8" w:rsidRDefault="00D907AF" w:rsidP="00AF5E38">
      <w:pPr>
        <w:numPr>
          <w:ilvl w:val="0"/>
          <w:numId w:val="12"/>
        </w:numPr>
        <w:spacing w:before="240" w:after="120"/>
      </w:pPr>
      <w:r>
        <w:t>a</w:t>
      </w:r>
      <w:r w:rsidRPr="004E62D8">
        <w:t>n Information Sheet, providing additional detail about the survey, the intended use of the data, confidentiality and anonymity of responses, consent</w:t>
      </w:r>
      <w:r>
        <w:t>, and participation options</w:t>
      </w:r>
      <w:r w:rsidRPr="004E62D8">
        <w:t xml:space="preserve"> </w:t>
      </w:r>
    </w:p>
    <w:p w:rsidR="00D907AF" w:rsidRPr="004E62D8" w:rsidRDefault="00D907AF" w:rsidP="00AF5E38">
      <w:pPr>
        <w:numPr>
          <w:ilvl w:val="0"/>
          <w:numId w:val="12"/>
        </w:numPr>
        <w:spacing w:before="240" w:after="240"/>
      </w:pPr>
      <w:r>
        <w:t>t</w:t>
      </w:r>
      <w:r w:rsidRPr="004E62D8">
        <w:t>he registration form</w:t>
      </w:r>
      <w:r>
        <w:t>.</w:t>
      </w:r>
    </w:p>
    <w:p w:rsidR="00D907AF" w:rsidRDefault="00D907AF" w:rsidP="00D907AF">
      <w:r w:rsidRPr="004E62D8">
        <w:t xml:space="preserve">Follow-up activities, which included telephone and email reminders where contact details were known, started in late August. Registration of the comparison sample commenced in September 2014, as the sample was released later than the trial. Registration of NDIS participants </w:t>
      </w:r>
      <w:r>
        <w:t>included</w:t>
      </w:r>
      <w:r w:rsidRPr="004E62D8">
        <w:t xml:space="preserve"> </w:t>
      </w:r>
      <w:r>
        <w:t>in</w:t>
      </w:r>
      <w:r w:rsidRPr="004E62D8">
        <w:t xml:space="preserve"> the second round of sampling (</w:t>
      </w:r>
      <w:r>
        <w:t>Wave</w:t>
      </w:r>
      <w:r w:rsidRPr="004E62D8">
        <w:t xml:space="preserve"> 1b) commenced in January 2015.</w:t>
      </w:r>
    </w:p>
    <w:p w:rsidR="005B2D5F" w:rsidRPr="004E62D8" w:rsidRDefault="005B2D5F" w:rsidP="00D907AF"/>
    <w:p w:rsidR="00D907AF" w:rsidRDefault="00D907AF" w:rsidP="00D907AF">
      <w:r w:rsidRPr="004E62D8">
        <w:t xml:space="preserve">In November 2014, the first hard copy versions of the NDIS Survey and the NDIS Survey for Families and Carers were mailed out to those in the trial and comparison group who had registered for this survey mode. Following final tests, the online and CATI instruments were opened up in batches in March 2015, reaching all registrants by the following month. Table </w:t>
      </w:r>
      <w:r>
        <w:t>3.5</w:t>
      </w:r>
      <w:r w:rsidRPr="004E62D8">
        <w:t xml:space="preserve"> presents the NDIS Survey response rates a</w:t>
      </w:r>
      <w:r>
        <w:t>s</w:t>
      </w:r>
      <w:r w:rsidRPr="004E62D8">
        <w:t xml:space="preserve"> a</w:t>
      </w:r>
      <w:r>
        <w:t>t</w:t>
      </w:r>
      <w:r w:rsidRPr="004E62D8">
        <w:t xml:space="preserve"> 15 July 2015, broken down by trial state and by sample wave. Note that the comparison sample was not drawn aiming to ensure any specific representation of individual trial states; this breakdown is only included for presentational reasons.</w:t>
      </w:r>
    </w:p>
    <w:p w:rsidR="005B2D5F" w:rsidRPr="004E62D8" w:rsidRDefault="005B2D5F" w:rsidP="00D907AF"/>
    <w:p w:rsidR="00D907AF" w:rsidRPr="004E62D8" w:rsidRDefault="00D907AF" w:rsidP="00D907AF">
      <w:r w:rsidRPr="004E62D8">
        <w:t xml:space="preserve">Response rates measured as the percentage of NDIS Survey completion from amongst all NDIS participants and individuals in the comparison group who had registered by that date, is somewhat lower for the </w:t>
      </w:r>
      <w:r>
        <w:t>t</w:t>
      </w:r>
      <w:r w:rsidRPr="004E62D8">
        <w:t>rial Wave 1b sample (19</w:t>
      </w:r>
      <w:r>
        <w:t>.4 per cent</w:t>
      </w:r>
      <w:r w:rsidRPr="004E62D8">
        <w:t xml:space="preserve">) than the </w:t>
      </w:r>
      <w:r>
        <w:t>t</w:t>
      </w:r>
      <w:r w:rsidRPr="004E62D8">
        <w:t>rial Wave 1a (37</w:t>
      </w:r>
      <w:r>
        <w:t>.2 per cent</w:t>
      </w:r>
      <w:r w:rsidRPr="004E62D8">
        <w:t xml:space="preserve">) or the </w:t>
      </w:r>
      <w:r>
        <w:t>c</w:t>
      </w:r>
      <w:r w:rsidRPr="004E62D8">
        <w:t>omparison sample (35</w:t>
      </w:r>
      <w:r>
        <w:t>.1 per cent</w:t>
      </w:r>
      <w:r w:rsidRPr="004E62D8">
        <w:t xml:space="preserve">). This is unsurprising given the more recent start of fieldwork for the Wave 1b sample. Overall, response rates are remarkably similar between trial and comparison states. Deviations from general patterns typically may appear due to smaller case numbers or due to non-random phasing in by the NDIA. </w:t>
      </w:r>
    </w:p>
    <w:p w:rsidR="00D907AF" w:rsidRDefault="00D907AF">
      <w:pPr>
        <w:rPr>
          <w:rFonts w:cstheme="minorHAnsi"/>
          <w:b/>
          <w:sz w:val="20"/>
          <w:szCs w:val="20"/>
        </w:rPr>
      </w:pPr>
    </w:p>
    <w:p w:rsidR="004B4923" w:rsidRDefault="004B4923">
      <w:pPr>
        <w:rPr>
          <w:b/>
          <w:sz w:val="20"/>
          <w:lang w:val="x-none"/>
        </w:rPr>
      </w:pPr>
      <w:bookmarkStart w:id="185" w:name="_Toc428280655"/>
      <w:r>
        <w:br w:type="page"/>
      </w:r>
    </w:p>
    <w:p w:rsidR="00D907AF" w:rsidRPr="004E62D8" w:rsidRDefault="00D907AF" w:rsidP="0044684E">
      <w:pPr>
        <w:pStyle w:val="NILSTableHeading"/>
      </w:pPr>
      <w:bookmarkStart w:id="186" w:name="_Toc449955267"/>
      <w:r w:rsidRPr="004E62D8">
        <w:lastRenderedPageBreak/>
        <w:t xml:space="preserve">Table </w:t>
      </w:r>
      <w:r>
        <w:t xml:space="preserve">3.5: </w:t>
      </w:r>
      <w:r w:rsidR="005A5F27">
        <w:t>Wave</w:t>
      </w:r>
      <w:r w:rsidR="005A5F27" w:rsidRPr="004E62D8">
        <w:t xml:space="preserve"> 1</w:t>
      </w:r>
      <w:r w:rsidR="005A5F27">
        <w:rPr>
          <w:lang w:val="en-AU"/>
        </w:rPr>
        <w:t xml:space="preserve"> </w:t>
      </w:r>
      <w:r w:rsidRPr="004E62D8">
        <w:t>NDIS Survey return</w:t>
      </w:r>
      <w:r w:rsidR="005A5F27">
        <w:t>s, by state, and response rate</w:t>
      </w:r>
      <w:r w:rsidRPr="004E62D8">
        <w:t xml:space="preserve"> (as at 15 July 2015)</w:t>
      </w:r>
      <w:bookmarkEnd w:id="185"/>
      <w:bookmarkEnd w:id="186"/>
    </w:p>
    <w:tbl>
      <w:tblPr>
        <w:tblStyle w:val="TableGrid"/>
        <w:tblW w:w="4332" w:type="pct"/>
        <w:tblLook w:val="04A0" w:firstRow="1" w:lastRow="0" w:firstColumn="1" w:lastColumn="0" w:noHBand="0" w:noVBand="1"/>
        <w:tblCaption w:val="Table 3.5 NDIS Survey returns, by state, and response rate (Wave 1) (as at 15 July 2015)"/>
        <w:tblDescription w:val=" "/>
      </w:tblPr>
      <w:tblGrid>
        <w:gridCol w:w="2357"/>
        <w:gridCol w:w="1490"/>
        <w:gridCol w:w="1523"/>
        <w:gridCol w:w="2488"/>
      </w:tblGrid>
      <w:tr w:rsidR="00D907AF" w:rsidRPr="004573EF" w:rsidTr="001332EF">
        <w:trPr>
          <w:cantSplit/>
          <w:tblHeader/>
        </w:trPr>
        <w:tc>
          <w:tcPr>
            <w:tcW w:w="1500" w:type="pct"/>
            <w:tcBorders>
              <w:top w:val="single" w:sz="4" w:space="0" w:color="auto"/>
              <w:bottom w:val="single" w:sz="4" w:space="0" w:color="auto"/>
            </w:tcBorders>
            <w:vAlign w:val="center"/>
          </w:tcPr>
          <w:p w:rsidR="00D907AF" w:rsidRPr="004573EF" w:rsidRDefault="00D907AF" w:rsidP="0093231F">
            <w:pPr>
              <w:spacing w:before="20" w:after="20"/>
              <w:rPr>
                <w:rFonts w:cstheme="minorHAnsi"/>
                <w:b/>
                <w:sz w:val="20"/>
                <w:szCs w:val="20"/>
              </w:rPr>
            </w:pPr>
            <w:bookmarkStart w:id="187" w:name="Title_3_5"/>
            <w:bookmarkEnd w:id="187"/>
            <w:r w:rsidRPr="004573EF">
              <w:rPr>
                <w:rFonts w:cstheme="minorHAnsi"/>
                <w:b/>
                <w:sz w:val="20"/>
                <w:szCs w:val="20"/>
              </w:rPr>
              <w:t>TRIAL Wave 1a</w:t>
            </w:r>
          </w:p>
        </w:tc>
        <w:tc>
          <w:tcPr>
            <w:tcW w:w="948" w:type="pct"/>
            <w:tcBorders>
              <w:top w:val="single" w:sz="4" w:space="0" w:color="auto"/>
              <w:bottom w:val="single" w:sz="4" w:space="0" w:color="auto"/>
            </w:tcBorders>
            <w:vAlign w:val="bottom"/>
          </w:tcPr>
          <w:p w:rsidR="00D907AF" w:rsidRPr="004573EF" w:rsidRDefault="00913167" w:rsidP="00913167">
            <w:pPr>
              <w:spacing w:before="20" w:after="20"/>
              <w:jc w:val="center"/>
              <w:rPr>
                <w:rFonts w:cstheme="minorHAnsi"/>
                <w:b/>
                <w:sz w:val="20"/>
                <w:szCs w:val="20"/>
              </w:rPr>
            </w:pPr>
            <w:r w:rsidRPr="004573EF">
              <w:rPr>
                <w:rFonts w:cstheme="minorHAnsi"/>
                <w:sz w:val="20"/>
                <w:szCs w:val="20"/>
              </w:rPr>
              <w:t>NDIS Survey registrants</w:t>
            </w:r>
          </w:p>
        </w:tc>
        <w:tc>
          <w:tcPr>
            <w:tcW w:w="969" w:type="pct"/>
            <w:tcBorders>
              <w:top w:val="single" w:sz="4" w:space="0" w:color="auto"/>
              <w:bottom w:val="single" w:sz="4" w:space="0" w:color="auto"/>
            </w:tcBorders>
            <w:vAlign w:val="bottom"/>
          </w:tcPr>
          <w:p w:rsidR="00D907AF" w:rsidRPr="004573EF" w:rsidRDefault="00913167" w:rsidP="00913167">
            <w:pPr>
              <w:spacing w:before="20" w:after="20"/>
              <w:jc w:val="center"/>
              <w:rPr>
                <w:rFonts w:cstheme="minorHAnsi"/>
                <w:b/>
                <w:sz w:val="20"/>
                <w:szCs w:val="20"/>
              </w:rPr>
            </w:pPr>
            <w:r w:rsidRPr="004573EF">
              <w:rPr>
                <w:rFonts w:cstheme="minorHAnsi"/>
                <w:sz w:val="20"/>
                <w:szCs w:val="20"/>
              </w:rPr>
              <w:t>NDIS Survey completions</w:t>
            </w:r>
          </w:p>
        </w:tc>
        <w:tc>
          <w:tcPr>
            <w:tcW w:w="1583" w:type="pct"/>
            <w:tcBorders>
              <w:top w:val="single" w:sz="4" w:space="0" w:color="auto"/>
              <w:bottom w:val="single" w:sz="4" w:space="0" w:color="auto"/>
            </w:tcBorders>
            <w:vAlign w:val="bottom"/>
          </w:tcPr>
          <w:p w:rsidR="00913167" w:rsidRPr="004573EF" w:rsidRDefault="00913167" w:rsidP="00913167">
            <w:pPr>
              <w:spacing w:before="20" w:after="20"/>
              <w:jc w:val="center"/>
              <w:rPr>
                <w:rFonts w:cstheme="minorHAnsi"/>
                <w:sz w:val="20"/>
                <w:szCs w:val="20"/>
              </w:rPr>
            </w:pPr>
            <w:r w:rsidRPr="004573EF">
              <w:rPr>
                <w:rFonts w:cstheme="minorHAnsi"/>
                <w:sz w:val="20"/>
                <w:szCs w:val="20"/>
              </w:rPr>
              <w:t>Response rate</w:t>
            </w:r>
            <w:r>
              <w:rPr>
                <w:rFonts w:cstheme="minorHAnsi"/>
                <w:sz w:val="20"/>
                <w:szCs w:val="20"/>
              </w:rPr>
              <w:t xml:space="preserve"> </w:t>
            </w:r>
            <w:r w:rsidRPr="004573EF">
              <w:rPr>
                <w:rFonts w:cstheme="minorHAnsi"/>
                <w:sz w:val="20"/>
                <w:szCs w:val="20"/>
              </w:rPr>
              <w:t>%</w:t>
            </w:r>
          </w:p>
          <w:p w:rsidR="00D907AF" w:rsidRPr="004573EF" w:rsidRDefault="00913167" w:rsidP="00913167">
            <w:pPr>
              <w:spacing w:before="20" w:after="20"/>
              <w:jc w:val="center"/>
              <w:rPr>
                <w:rFonts w:cstheme="minorHAnsi"/>
                <w:b/>
                <w:sz w:val="20"/>
                <w:szCs w:val="20"/>
              </w:rPr>
            </w:pPr>
            <w:r w:rsidRPr="004573EF">
              <w:rPr>
                <w:rFonts w:cstheme="minorHAnsi"/>
                <w:sz w:val="20"/>
                <w:szCs w:val="20"/>
              </w:rPr>
              <w:t>completions/registrations</w:t>
            </w:r>
          </w:p>
        </w:tc>
      </w:tr>
      <w:tr w:rsidR="00D907AF" w:rsidRPr="004573EF" w:rsidTr="001332EF">
        <w:trPr>
          <w:cantSplit/>
        </w:trPr>
        <w:tc>
          <w:tcPr>
            <w:tcW w:w="1500" w:type="pct"/>
            <w:tcBorders>
              <w:top w:val="single" w:sz="4" w:space="0" w:color="auto"/>
            </w:tcBorders>
            <w:hideMark/>
          </w:tcPr>
          <w:p w:rsidR="00D907AF" w:rsidRPr="004573EF" w:rsidRDefault="00D907AF" w:rsidP="00D907AF">
            <w:pPr>
              <w:spacing w:before="20" w:after="20"/>
              <w:rPr>
                <w:rFonts w:cstheme="minorHAnsi"/>
                <w:sz w:val="20"/>
                <w:szCs w:val="20"/>
              </w:rPr>
            </w:pPr>
            <w:r w:rsidRPr="004573EF">
              <w:rPr>
                <w:rFonts w:cstheme="minorHAnsi"/>
                <w:sz w:val="20"/>
                <w:szCs w:val="20"/>
              </w:rPr>
              <w:t>ACT</w:t>
            </w:r>
          </w:p>
        </w:tc>
        <w:tc>
          <w:tcPr>
            <w:tcW w:w="948" w:type="pct"/>
            <w:tcBorders>
              <w:top w:val="single" w:sz="4" w:space="0" w:color="auto"/>
            </w:tcBorders>
            <w:vAlign w:val="center"/>
          </w:tcPr>
          <w:p w:rsidR="00D907AF" w:rsidRPr="004573EF" w:rsidRDefault="00EE7692" w:rsidP="00530182">
            <w:pPr>
              <w:spacing w:before="20" w:after="20"/>
              <w:ind w:right="397"/>
              <w:jc w:val="right"/>
              <w:rPr>
                <w:rFonts w:cstheme="minorHAnsi"/>
                <w:sz w:val="20"/>
                <w:szCs w:val="20"/>
              </w:rPr>
            </w:pPr>
            <w:r>
              <w:rPr>
                <w:rFonts w:cstheme="minorHAnsi"/>
                <w:sz w:val="20"/>
                <w:szCs w:val="20"/>
              </w:rPr>
              <w:t>0</w:t>
            </w:r>
          </w:p>
        </w:tc>
        <w:tc>
          <w:tcPr>
            <w:tcW w:w="969" w:type="pct"/>
            <w:tcBorders>
              <w:top w:val="single" w:sz="4" w:space="0" w:color="auto"/>
            </w:tcBorders>
            <w:vAlign w:val="center"/>
          </w:tcPr>
          <w:p w:rsidR="00D907AF" w:rsidRPr="004573EF" w:rsidRDefault="00EE7692" w:rsidP="00F1113C">
            <w:pPr>
              <w:spacing w:before="20" w:after="20"/>
              <w:ind w:right="478"/>
              <w:jc w:val="right"/>
              <w:rPr>
                <w:rFonts w:cstheme="minorHAnsi"/>
                <w:sz w:val="20"/>
                <w:szCs w:val="20"/>
              </w:rPr>
            </w:pPr>
            <w:r>
              <w:rPr>
                <w:rFonts w:cstheme="minorHAnsi"/>
                <w:sz w:val="20"/>
                <w:szCs w:val="20"/>
              </w:rPr>
              <w:t>0</w:t>
            </w:r>
          </w:p>
        </w:tc>
        <w:tc>
          <w:tcPr>
            <w:tcW w:w="1583" w:type="pct"/>
            <w:tcBorders>
              <w:top w:val="single" w:sz="4" w:space="0" w:color="auto"/>
            </w:tcBorders>
            <w:vAlign w:val="center"/>
          </w:tcPr>
          <w:p w:rsidR="00D907AF" w:rsidRPr="004573EF" w:rsidRDefault="00EE7692" w:rsidP="00F1113C">
            <w:pPr>
              <w:spacing w:before="20" w:after="20"/>
              <w:ind w:right="1168"/>
              <w:jc w:val="right"/>
              <w:rPr>
                <w:rFonts w:cstheme="minorHAnsi"/>
                <w:sz w:val="20"/>
                <w:szCs w:val="20"/>
              </w:rPr>
            </w:pPr>
            <w:r>
              <w:rPr>
                <w:rFonts w:cstheme="minorHAnsi"/>
                <w:sz w:val="20"/>
                <w:szCs w:val="20"/>
              </w:rPr>
              <w:t>0</w:t>
            </w:r>
          </w:p>
        </w:tc>
      </w:tr>
      <w:tr w:rsidR="00D907AF" w:rsidRPr="004573EF" w:rsidTr="001332EF">
        <w:trPr>
          <w:cantSplit/>
        </w:trPr>
        <w:tc>
          <w:tcPr>
            <w:tcW w:w="1500" w:type="pct"/>
            <w:hideMark/>
          </w:tcPr>
          <w:p w:rsidR="00D907AF" w:rsidRPr="004573EF" w:rsidRDefault="00D907AF" w:rsidP="00D907AF">
            <w:pPr>
              <w:spacing w:before="20" w:after="20"/>
              <w:rPr>
                <w:rFonts w:cstheme="minorHAnsi"/>
                <w:sz w:val="20"/>
                <w:szCs w:val="20"/>
              </w:rPr>
            </w:pPr>
            <w:r w:rsidRPr="004573EF">
              <w:rPr>
                <w:rFonts w:cstheme="minorHAnsi"/>
                <w:sz w:val="20"/>
                <w:szCs w:val="20"/>
              </w:rPr>
              <w:t>NSW (Hunter region)</w:t>
            </w:r>
          </w:p>
        </w:tc>
        <w:tc>
          <w:tcPr>
            <w:tcW w:w="948" w:type="pct"/>
          </w:tcPr>
          <w:p w:rsidR="00D907AF" w:rsidRPr="004573EF" w:rsidRDefault="00D907AF" w:rsidP="00530182">
            <w:pPr>
              <w:spacing w:before="20" w:after="20"/>
              <w:ind w:right="397"/>
              <w:jc w:val="right"/>
              <w:rPr>
                <w:rFonts w:cstheme="minorHAnsi"/>
                <w:sz w:val="20"/>
                <w:szCs w:val="20"/>
              </w:rPr>
            </w:pPr>
            <w:r w:rsidRPr="004573EF">
              <w:rPr>
                <w:rFonts w:cstheme="minorHAnsi"/>
                <w:sz w:val="20"/>
                <w:szCs w:val="20"/>
              </w:rPr>
              <w:t>484</w:t>
            </w:r>
          </w:p>
        </w:tc>
        <w:tc>
          <w:tcPr>
            <w:tcW w:w="969" w:type="pct"/>
          </w:tcPr>
          <w:p w:rsidR="00D907AF" w:rsidRPr="004573EF" w:rsidRDefault="00D907AF" w:rsidP="00D907AF">
            <w:pPr>
              <w:spacing w:before="20" w:after="20"/>
              <w:ind w:right="478"/>
              <w:jc w:val="right"/>
              <w:rPr>
                <w:rFonts w:cstheme="minorHAnsi"/>
                <w:sz w:val="20"/>
                <w:szCs w:val="20"/>
              </w:rPr>
            </w:pPr>
            <w:r w:rsidRPr="004573EF">
              <w:rPr>
                <w:rFonts w:cstheme="minorHAnsi"/>
                <w:sz w:val="20"/>
                <w:szCs w:val="20"/>
              </w:rPr>
              <w:t>192</w:t>
            </w:r>
          </w:p>
        </w:tc>
        <w:tc>
          <w:tcPr>
            <w:tcW w:w="1583" w:type="pct"/>
          </w:tcPr>
          <w:p w:rsidR="00D907AF" w:rsidRPr="004573EF" w:rsidRDefault="00D907AF" w:rsidP="00D907AF">
            <w:pPr>
              <w:spacing w:before="20" w:after="20"/>
              <w:ind w:right="1169"/>
              <w:jc w:val="right"/>
              <w:rPr>
                <w:rFonts w:cstheme="minorHAnsi"/>
                <w:sz w:val="20"/>
                <w:szCs w:val="20"/>
              </w:rPr>
            </w:pPr>
            <w:r w:rsidRPr="004573EF">
              <w:rPr>
                <w:rFonts w:cstheme="minorHAnsi"/>
                <w:sz w:val="20"/>
                <w:szCs w:val="20"/>
              </w:rPr>
              <w:t>39.7</w:t>
            </w:r>
          </w:p>
        </w:tc>
      </w:tr>
      <w:tr w:rsidR="00D907AF" w:rsidRPr="004573EF" w:rsidTr="001332EF">
        <w:trPr>
          <w:cantSplit/>
        </w:trPr>
        <w:tc>
          <w:tcPr>
            <w:tcW w:w="1500" w:type="pct"/>
            <w:hideMark/>
          </w:tcPr>
          <w:p w:rsidR="00D907AF" w:rsidRPr="004573EF" w:rsidRDefault="00D907AF" w:rsidP="00D907AF">
            <w:pPr>
              <w:spacing w:before="20" w:after="20"/>
              <w:rPr>
                <w:rFonts w:cstheme="minorHAnsi"/>
                <w:sz w:val="20"/>
                <w:szCs w:val="20"/>
              </w:rPr>
            </w:pPr>
            <w:r w:rsidRPr="004573EF">
              <w:rPr>
                <w:rFonts w:cstheme="minorHAnsi"/>
                <w:sz w:val="20"/>
                <w:szCs w:val="20"/>
              </w:rPr>
              <w:t>SA</w:t>
            </w:r>
          </w:p>
        </w:tc>
        <w:tc>
          <w:tcPr>
            <w:tcW w:w="948" w:type="pct"/>
          </w:tcPr>
          <w:p w:rsidR="00D907AF" w:rsidRPr="004573EF" w:rsidRDefault="00D907AF" w:rsidP="00530182">
            <w:pPr>
              <w:spacing w:before="20" w:after="20"/>
              <w:ind w:right="397"/>
              <w:jc w:val="right"/>
              <w:rPr>
                <w:rFonts w:cstheme="minorHAnsi"/>
                <w:sz w:val="20"/>
                <w:szCs w:val="20"/>
              </w:rPr>
            </w:pPr>
            <w:r w:rsidRPr="004573EF">
              <w:rPr>
                <w:rFonts w:cstheme="minorHAnsi"/>
                <w:sz w:val="20"/>
                <w:szCs w:val="20"/>
              </w:rPr>
              <w:t>418</w:t>
            </w:r>
          </w:p>
        </w:tc>
        <w:tc>
          <w:tcPr>
            <w:tcW w:w="969" w:type="pct"/>
          </w:tcPr>
          <w:p w:rsidR="00D907AF" w:rsidRPr="004573EF" w:rsidRDefault="00D907AF" w:rsidP="00D907AF">
            <w:pPr>
              <w:spacing w:before="20" w:after="20"/>
              <w:ind w:right="478"/>
              <w:jc w:val="right"/>
              <w:rPr>
                <w:rFonts w:cstheme="minorHAnsi"/>
                <w:sz w:val="20"/>
                <w:szCs w:val="20"/>
              </w:rPr>
            </w:pPr>
            <w:r w:rsidRPr="004573EF">
              <w:rPr>
                <w:rFonts w:cstheme="minorHAnsi"/>
                <w:sz w:val="20"/>
                <w:szCs w:val="20"/>
              </w:rPr>
              <w:t>167</w:t>
            </w:r>
          </w:p>
        </w:tc>
        <w:tc>
          <w:tcPr>
            <w:tcW w:w="1583" w:type="pct"/>
          </w:tcPr>
          <w:p w:rsidR="00D907AF" w:rsidRPr="004573EF" w:rsidRDefault="00D907AF" w:rsidP="00D907AF">
            <w:pPr>
              <w:spacing w:before="20" w:after="20"/>
              <w:ind w:right="1169"/>
              <w:jc w:val="right"/>
              <w:rPr>
                <w:rFonts w:cstheme="minorHAnsi"/>
                <w:sz w:val="20"/>
                <w:szCs w:val="20"/>
              </w:rPr>
            </w:pPr>
            <w:r w:rsidRPr="004573EF">
              <w:rPr>
                <w:rFonts w:cstheme="minorHAnsi"/>
                <w:sz w:val="20"/>
                <w:szCs w:val="20"/>
              </w:rPr>
              <w:t>40.0</w:t>
            </w:r>
          </w:p>
        </w:tc>
      </w:tr>
      <w:tr w:rsidR="00D907AF" w:rsidRPr="004573EF" w:rsidTr="001332EF">
        <w:trPr>
          <w:cantSplit/>
        </w:trPr>
        <w:tc>
          <w:tcPr>
            <w:tcW w:w="1500" w:type="pct"/>
            <w:hideMark/>
          </w:tcPr>
          <w:p w:rsidR="00D907AF" w:rsidRPr="004573EF" w:rsidRDefault="00D907AF" w:rsidP="00D907AF">
            <w:pPr>
              <w:spacing w:before="20" w:after="20"/>
              <w:rPr>
                <w:rFonts w:cstheme="minorHAnsi"/>
                <w:sz w:val="20"/>
                <w:szCs w:val="20"/>
              </w:rPr>
            </w:pPr>
            <w:r w:rsidRPr="004573EF">
              <w:rPr>
                <w:rFonts w:cstheme="minorHAnsi"/>
                <w:sz w:val="20"/>
                <w:szCs w:val="20"/>
              </w:rPr>
              <w:t>TAS</w:t>
            </w:r>
          </w:p>
        </w:tc>
        <w:tc>
          <w:tcPr>
            <w:tcW w:w="948" w:type="pct"/>
          </w:tcPr>
          <w:p w:rsidR="00D907AF" w:rsidRPr="004573EF" w:rsidRDefault="00D907AF" w:rsidP="00530182">
            <w:pPr>
              <w:spacing w:before="20" w:after="20"/>
              <w:ind w:right="397"/>
              <w:jc w:val="right"/>
              <w:rPr>
                <w:rFonts w:cstheme="minorHAnsi"/>
                <w:sz w:val="20"/>
                <w:szCs w:val="20"/>
              </w:rPr>
            </w:pPr>
            <w:r w:rsidRPr="004573EF">
              <w:rPr>
                <w:rFonts w:cstheme="minorHAnsi"/>
                <w:sz w:val="20"/>
                <w:szCs w:val="20"/>
              </w:rPr>
              <w:t>211</w:t>
            </w:r>
          </w:p>
        </w:tc>
        <w:tc>
          <w:tcPr>
            <w:tcW w:w="969" w:type="pct"/>
          </w:tcPr>
          <w:p w:rsidR="00D907AF" w:rsidRPr="004573EF" w:rsidRDefault="00D907AF" w:rsidP="00D907AF">
            <w:pPr>
              <w:spacing w:before="20" w:after="20"/>
              <w:ind w:right="478"/>
              <w:jc w:val="right"/>
              <w:rPr>
                <w:rFonts w:cstheme="minorHAnsi"/>
                <w:sz w:val="20"/>
                <w:szCs w:val="20"/>
              </w:rPr>
            </w:pPr>
            <w:r w:rsidRPr="004573EF">
              <w:rPr>
                <w:rFonts w:cstheme="minorHAnsi"/>
                <w:sz w:val="20"/>
                <w:szCs w:val="20"/>
              </w:rPr>
              <w:t>76</w:t>
            </w:r>
          </w:p>
        </w:tc>
        <w:tc>
          <w:tcPr>
            <w:tcW w:w="1583" w:type="pct"/>
          </w:tcPr>
          <w:p w:rsidR="00D907AF" w:rsidRPr="004573EF" w:rsidRDefault="00D907AF" w:rsidP="00D907AF">
            <w:pPr>
              <w:spacing w:before="20" w:after="20"/>
              <w:ind w:right="1169"/>
              <w:jc w:val="right"/>
              <w:rPr>
                <w:rFonts w:cstheme="minorHAnsi"/>
                <w:sz w:val="20"/>
                <w:szCs w:val="20"/>
              </w:rPr>
            </w:pPr>
            <w:r w:rsidRPr="004573EF">
              <w:rPr>
                <w:rFonts w:cstheme="minorHAnsi"/>
                <w:sz w:val="20"/>
                <w:szCs w:val="20"/>
              </w:rPr>
              <w:t>36.0</w:t>
            </w:r>
          </w:p>
        </w:tc>
      </w:tr>
      <w:tr w:rsidR="00D907AF" w:rsidRPr="004573EF" w:rsidTr="001332EF">
        <w:trPr>
          <w:cantSplit/>
        </w:trPr>
        <w:tc>
          <w:tcPr>
            <w:tcW w:w="1500" w:type="pct"/>
            <w:hideMark/>
          </w:tcPr>
          <w:p w:rsidR="00D907AF" w:rsidRPr="004573EF" w:rsidRDefault="00D907AF" w:rsidP="00D907AF">
            <w:pPr>
              <w:spacing w:before="20" w:after="20"/>
              <w:rPr>
                <w:rFonts w:cstheme="minorHAnsi"/>
                <w:sz w:val="20"/>
                <w:szCs w:val="20"/>
              </w:rPr>
            </w:pPr>
            <w:r w:rsidRPr="004573EF">
              <w:rPr>
                <w:rFonts w:cstheme="minorHAnsi"/>
                <w:sz w:val="20"/>
                <w:szCs w:val="20"/>
              </w:rPr>
              <w:t>VIC (Barwon area)</w:t>
            </w:r>
          </w:p>
        </w:tc>
        <w:tc>
          <w:tcPr>
            <w:tcW w:w="948" w:type="pct"/>
          </w:tcPr>
          <w:p w:rsidR="00D907AF" w:rsidRPr="004573EF" w:rsidRDefault="00D907AF" w:rsidP="00530182">
            <w:pPr>
              <w:spacing w:before="20" w:after="20"/>
              <w:ind w:right="397"/>
              <w:jc w:val="right"/>
              <w:rPr>
                <w:rFonts w:cstheme="minorHAnsi"/>
                <w:sz w:val="20"/>
                <w:szCs w:val="20"/>
              </w:rPr>
            </w:pPr>
            <w:r w:rsidRPr="004573EF">
              <w:rPr>
                <w:rFonts w:cstheme="minorHAnsi"/>
                <w:sz w:val="20"/>
                <w:szCs w:val="20"/>
              </w:rPr>
              <w:t>931</w:t>
            </w:r>
          </w:p>
        </w:tc>
        <w:tc>
          <w:tcPr>
            <w:tcW w:w="969" w:type="pct"/>
          </w:tcPr>
          <w:p w:rsidR="00D907AF" w:rsidRPr="004573EF" w:rsidRDefault="00D907AF" w:rsidP="00D907AF">
            <w:pPr>
              <w:spacing w:before="20" w:after="20"/>
              <w:ind w:right="478"/>
              <w:jc w:val="right"/>
              <w:rPr>
                <w:rFonts w:cstheme="minorHAnsi"/>
                <w:sz w:val="20"/>
                <w:szCs w:val="20"/>
              </w:rPr>
            </w:pPr>
            <w:r w:rsidRPr="004573EF">
              <w:rPr>
                <w:rFonts w:cstheme="minorHAnsi"/>
                <w:sz w:val="20"/>
                <w:szCs w:val="20"/>
              </w:rPr>
              <w:t>326</w:t>
            </w:r>
          </w:p>
        </w:tc>
        <w:tc>
          <w:tcPr>
            <w:tcW w:w="1583" w:type="pct"/>
          </w:tcPr>
          <w:p w:rsidR="00D907AF" w:rsidRPr="004573EF" w:rsidRDefault="00D907AF" w:rsidP="00D907AF">
            <w:pPr>
              <w:spacing w:before="20" w:after="20"/>
              <w:ind w:right="1169"/>
              <w:jc w:val="right"/>
              <w:rPr>
                <w:rFonts w:cstheme="minorHAnsi"/>
                <w:sz w:val="20"/>
                <w:szCs w:val="20"/>
              </w:rPr>
            </w:pPr>
            <w:r w:rsidRPr="004573EF">
              <w:rPr>
                <w:rFonts w:cstheme="minorHAnsi"/>
                <w:sz w:val="20"/>
                <w:szCs w:val="20"/>
              </w:rPr>
              <w:t>35.0</w:t>
            </w:r>
          </w:p>
        </w:tc>
      </w:tr>
      <w:tr w:rsidR="00D907AF" w:rsidRPr="004573EF" w:rsidTr="001332EF">
        <w:trPr>
          <w:cantSplit/>
        </w:trPr>
        <w:tc>
          <w:tcPr>
            <w:tcW w:w="1500" w:type="pct"/>
            <w:tcBorders>
              <w:bottom w:val="single" w:sz="4" w:space="0" w:color="auto"/>
            </w:tcBorders>
          </w:tcPr>
          <w:p w:rsidR="00D907AF" w:rsidRPr="004573EF" w:rsidRDefault="00D907AF" w:rsidP="00D907AF">
            <w:pPr>
              <w:spacing w:before="20" w:after="20"/>
              <w:rPr>
                <w:rFonts w:cstheme="minorHAnsi"/>
                <w:sz w:val="20"/>
                <w:szCs w:val="20"/>
              </w:rPr>
            </w:pPr>
            <w:r w:rsidRPr="004573EF">
              <w:rPr>
                <w:rFonts w:cstheme="minorHAnsi"/>
                <w:sz w:val="20"/>
                <w:szCs w:val="20"/>
              </w:rPr>
              <w:t>Other states</w:t>
            </w:r>
          </w:p>
        </w:tc>
        <w:tc>
          <w:tcPr>
            <w:tcW w:w="948" w:type="pct"/>
            <w:tcBorders>
              <w:bottom w:val="single" w:sz="4" w:space="0" w:color="auto"/>
            </w:tcBorders>
          </w:tcPr>
          <w:p w:rsidR="00D907AF" w:rsidRPr="004573EF" w:rsidRDefault="00D907AF" w:rsidP="00530182">
            <w:pPr>
              <w:spacing w:before="20" w:after="20"/>
              <w:ind w:right="397"/>
              <w:jc w:val="right"/>
              <w:rPr>
                <w:rFonts w:cstheme="minorHAnsi"/>
                <w:sz w:val="20"/>
                <w:szCs w:val="20"/>
              </w:rPr>
            </w:pPr>
            <w:r w:rsidRPr="004573EF">
              <w:rPr>
                <w:rFonts w:cstheme="minorHAnsi"/>
                <w:sz w:val="20"/>
                <w:szCs w:val="20"/>
              </w:rPr>
              <w:t>3</w:t>
            </w:r>
          </w:p>
        </w:tc>
        <w:tc>
          <w:tcPr>
            <w:tcW w:w="969" w:type="pct"/>
            <w:tcBorders>
              <w:bottom w:val="single" w:sz="4" w:space="0" w:color="auto"/>
            </w:tcBorders>
          </w:tcPr>
          <w:p w:rsidR="00D907AF" w:rsidRPr="004573EF" w:rsidRDefault="00D907AF" w:rsidP="00D907AF">
            <w:pPr>
              <w:spacing w:before="20" w:after="20"/>
              <w:ind w:right="478"/>
              <w:jc w:val="right"/>
              <w:rPr>
                <w:rFonts w:cstheme="minorHAnsi"/>
                <w:sz w:val="20"/>
                <w:szCs w:val="20"/>
              </w:rPr>
            </w:pPr>
            <w:r w:rsidRPr="004573EF">
              <w:rPr>
                <w:rFonts w:cstheme="minorHAnsi"/>
                <w:sz w:val="20"/>
                <w:szCs w:val="20"/>
              </w:rPr>
              <w:t>1</w:t>
            </w:r>
          </w:p>
        </w:tc>
        <w:tc>
          <w:tcPr>
            <w:tcW w:w="1583" w:type="pct"/>
            <w:tcBorders>
              <w:bottom w:val="single" w:sz="4" w:space="0" w:color="auto"/>
            </w:tcBorders>
          </w:tcPr>
          <w:p w:rsidR="00D907AF" w:rsidRPr="004573EF" w:rsidRDefault="00D907AF" w:rsidP="00D907AF">
            <w:pPr>
              <w:spacing w:before="20" w:after="20"/>
              <w:ind w:right="1169"/>
              <w:jc w:val="right"/>
              <w:rPr>
                <w:rFonts w:cstheme="minorHAnsi"/>
                <w:sz w:val="20"/>
                <w:szCs w:val="20"/>
              </w:rPr>
            </w:pPr>
            <w:r w:rsidRPr="004573EF">
              <w:rPr>
                <w:rFonts w:cstheme="minorHAnsi"/>
                <w:sz w:val="20"/>
                <w:szCs w:val="20"/>
              </w:rPr>
              <w:t>33.3</w:t>
            </w:r>
          </w:p>
        </w:tc>
      </w:tr>
      <w:tr w:rsidR="00D907AF" w:rsidRPr="004573EF" w:rsidTr="001332EF">
        <w:trPr>
          <w:cantSplit/>
        </w:trPr>
        <w:tc>
          <w:tcPr>
            <w:tcW w:w="1500" w:type="pct"/>
            <w:tcBorders>
              <w:top w:val="single" w:sz="4" w:space="0" w:color="auto"/>
              <w:bottom w:val="single" w:sz="4" w:space="0" w:color="auto"/>
            </w:tcBorders>
          </w:tcPr>
          <w:p w:rsidR="00D907AF" w:rsidRPr="004573EF" w:rsidRDefault="00D907AF" w:rsidP="00D907AF">
            <w:pPr>
              <w:spacing w:before="20" w:after="20"/>
              <w:rPr>
                <w:rFonts w:cstheme="minorHAnsi"/>
                <w:b/>
                <w:sz w:val="20"/>
                <w:szCs w:val="20"/>
              </w:rPr>
            </w:pPr>
            <w:r w:rsidRPr="004573EF">
              <w:rPr>
                <w:rFonts w:cstheme="minorHAnsi"/>
                <w:b/>
                <w:sz w:val="20"/>
                <w:szCs w:val="20"/>
              </w:rPr>
              <w:t>Total</w:t>
            </w:r>
          </w:p>
        </w:tc>
        <w:tc>
          <w:tcPr>
            <w:tcW w:w="948" w:type="pct"/>
            <w:tcBorders>
              <w:top w:val="single" w:sz="4" w:space="0" w:color="auto"/>
              <w:bottom w:val="single" w:sz="4" w:space="0" w:color="auto"/>
            </w:tcBorders>
          </w:tcPr>
          <w:p w:rsidR="00D907AF" w:rsidRPr="004573EF" w:rsidRDefault="00D907AF" w:rsidP="00530182">
            <w:pPr>
              <w:spacing w:before="20" w:after="20"/>
              <w:ind w:right="397"/>
              <w:jc w:val="right"/>
              <w:rPr>
                <w:rFonts w:cstheme="minorHAnsi"/>
                <w:b/>
                <w:sz w:val="20"/>
                <w:szCs w:val="20"/>
              </w:rPr>
            </w:pPr>
            <w:r w:rsidRPr="004573EF">
              <w:rPr>
                <w:rFonts w:cstheme="minorHAnsi"/>
                <w:b/>
                <w:sz w:val="20"/>
                <w:szCs w:val="20"/>
              </w:rPr>
              <w:t>2</w:t>
            </w:r>
            <w:r>
              <w:rPr>
                <w:rFonts w:cstheme="minorHAnsi"/>
                <w:b/>
                <w:sz w:val="20"/>
                <w:szCs w:val="20"/>
              </w:rPr>
              <w:t>,</w:t>
            </w:r>
            <w:r w:rsidRPr="004573EF">
              <w:rPr>
                <w:rFonts w:cstheme="minorHAnsi"/>
                <w:b/>
                <w:sz w:val="20"/>
                <w:szCs w:val="20"/>
              </w:rPr>
              <w:t>047</w:t>
            </w:r>
          </w:p>
        </w:tc>
        <w:tc>
          <w:tcPr>
            <w:tcW w:w="969" w:type="pct"/>
            <w:tcBorders>
              <w:top w:val="single" w:sz="4" w:space="0" w:color="auto"/>
              <w:bottom w:val="single" w:sz="4" w:space="0" w:color="auto"/>
            </w:tcBorders>
          </w:tcPr>
          <w:p w:rsidR="00D907AF" w:rsidRPr="004573EF" w:rsidRDefault="00D907AF" w:rsidP="00D907AF">
            <w:pPr>
              <w:spacing w:before="20" w:after="20"/>
              <w:ind w:right="478"/>
              <w:jc w:val="right"/>
              <w:rPr>
                <w:rFonts w:cstheme="minorHAnsi"/>
                <w:b/>
                <w:sz w:val="20"/>
                <w:szCs w:val="20"/>
              </w:rPr>
            </w:pPr>
            <w:r w:rsidRPr="004573EF">
              <w:rPr>
                <w:rFonts w:cstheme="minorHAnsi"/>
                <w:b/>
                <w:sz w:val="20"/>
                <w:szCs w:val="20"/>
              </w:rPr>
              <w:t>762</w:t>
            </w:r>
          </w:p>
        </w:tc>
        <w:tc>
          <w:tcPr>
            <w:tcW w:w="1583" w:type="pct"/>
            <w:tcBorders>
              <w:top w:val="single" w:sz="4" w:space="0" w:color="auto"/>
              <w:bottom w:val="single" w:sz="4" w:space="0" w:color="auto"/>
            </w:tcBorders>
          </w:tcPr>
          <w:p w:rsidR="00D907AF" w:rsidRPr="004573EF" w:rsidRDefault="00D907AF" w:rsidP="00D907AF">
            <w:pPr>
              <w:spacing w:before="20" w:after="20"/>
              <w:ind w:right="1169"/>
              <w:jc w:val="right"/>
              <w:rPr>
                <w:rFonts w:cstheme="minorHAnsi"/>
                <w:b/>
                <w:sz w:val="20"/>
                <w:szCs w:val="20"/>
              </w:rPr>
            </w:pPr>
            <w:r w:rsidRPr="004573EF">
              <w:rPr>
                <w:rFonts w:cstheme="minorHAnsi"/>
                <w:b/>
                <w:sz w:val="20"/>
                <w:szCs w:val="20"/>
              </w:rPr>
              <w:t>37.2</w:t>
            </w:r>
          </w:p>
        </w:tc>
      </w:tr>
    </w:tbl>
    <w:p w:rsidR="00BB58A1" w:rsidRPr="00BB58A1" w:rsidRDefault="00BB58A1">
      <w:pPr>
        <w:rPr>
          <w:sz w:val="2"/>
          <w:szCs w:val="2"/>
        </w:rPr>
      </w:pPr>
    </w:p>
    <w:tbl>
      <w:tblPr>
        <w:tblStyle w:val="TableGrid"/>
        <w:tblW w:w="4332" w:type="pct"/>
        <w:tblLook w:val="04A0" w:firstRow="1" w:lastRow="0" w:firstColumn="1" w:lastColumn="0" w:noHBand="0" w:noVBand="1"/>
        <w:tblCaption w:val="Table 3.5 continued Trial wave1b registrations and completions by state"/>
        <w:tblDescription w:val=" "/>
      </w:tblPr>
      <w:tblGrid>
        <w:gridCol w:w="2357"/>
        <w:gridCol w:w="1490"/>
        <w:gridCol w:w="1523"/>
        <w:gridCol w:w="2488"/>
      </w:tblGrid>
      <w:tr w:rsidR="005225DE" w:rsidRPr="004573EF" w:rsidTr="001332EF">
        <w:trPr>
          <w:cantSplit/>
          <w:tblHeader/>
        </w:trPr>
        <w:tc>
          <w:tcPr>
            <w:tcW w:w="1500" w:type="pct"/>
            <w:tcBorders>
              <w:bottom w:val="single" w:sz="4" w:space="0" w:color="auto"/>
            </w:tcBorders>
            <w:vAlign w:val="center"/>
          </w:tcPr>
          <w:p w:rsidR="005225DE" w:rsidRPr="004573EF" w:rsidRDefault="005225DE" w:rsidP="0093231F">
            <w:pPr>
              <w:spacing w:before="20" w:after="20"/>
              <w:rPr>
                <w:rFonts w:cstheme="minorHAnsi"/>
                <w:b/>
                <w:sz w:val="20"/>
                <w:szCs w:val="20"/>
              </w:rPr>
            </w:pPr>
            <w:bookmarkStart w:id="188" w:name="Title_3_5Wave1b"/>
            <w:bookmarkEnd w:id="188"/>
            <w:r w:rsidRPr="004573EF">
              <w:rPr>
                <w:rFonts w:cstheme="minorHAnsi"/>
                <w:b/>
                <w:sz w:val="20"/>
                <w:szCs w:val="20"/>
              </w:rPr>
              <w:t>TRIAL Wave 1b</w:t>
            </w:r>
          </w:p>
        </w:tc>
        <w:tc>
          <w:tcPr>
            <w:tcW w:w="948" w:type="pct"/>
            <w:tcBorders>
              <w:bottom w:val="single" w:sz="4" w:space="0" w:color="auto"/>
            </w:tcBorders>
            <w:vAlign w:val="bottom"/>
          </w:tcPr>
          <w:p w:rsidR="005225DE" w:rsidRPr="006F7728" w:rsidRDefault="005225DE" w:rsidP="000167FD">
            <w:pPr>
              <w:spacing w:before="20" w:after="20"/>
              <w:jc w:val="center"/>
              <w:rPr>
                <w:rFonts w:cstheme="minorHAnsi"/>
                <w:b/>
                <w:color w:val="FFFFFF" w:themeColor="background1"/>
                <w:sz w:val="16"/>
                <w:szCs w:val="16"/>
              </w:rPr>
            </w:pPr>
            <w:r w:rsidRPr="006F7728">
              <w:rPr>
                <w:rFonts w:cstheme="minorHAnsi"/>
                <w:color w:val="FFFFFF" w:themeColor="background1"/>
                <w:sz w:val="16"/>
                <w:szCs w:val="16"/>
              </w:rPr>
              <w:t>NDIS Survey registrants</w:t>
            </w:r>
          </w:p>
        </w:tc>
        <w:tc>
          <w:tcPr>
            <w:tcW w:w="969" w:type="pct"/>
            <w:tcBorders>
              <w:bottom w:val="single" w:sz="4" w:space="0" w:color="auto"/>
            </w:tcBorders>
            <w:vAlign w:val="bottom"/>
          </w:tcPr>
          <w:p w:rsidR="005225DE" w:rsidRPr="006F7728" w:rsidRDefault="005225DE" w:rsidP="000167FD">
            <w:pPr>
              <w:spacing w:before="20" w:after="20"/>
              <w:jc w:val="center"/>
              <w:rPr>
                <w:rFonts w:cstheme="minorHAnsi"/>
                <w:b/>
                <w:color w:val="FFFFFF" w:themeColor="background1"/>
                <w:sz w:val="16"/>
                <w:szCs w:val="16"/>
              </w:rPr>
            </w:pPr>
            <w:r w:rsidRPr="006F7728">
              <w:rPr>
                <w:rFonts w:cstheme="minorHAnsi"/>
                <w:color w:val="FFFFFF" w:themeColor="background1"/>
                <w:sz w:val="16"/>
                <w:szCs w:val="16"/>
              </w:rPr>
              <w:t>NDIS Survey completions</w:t>
            </w:r>
          </w:p>
        </w:tc>
        <w:tc>
          <w:tcPr>
            <w:tcW w:w="1583" w:type="pct"/>
            <w:tcBorders>
              <w:bottom w:val="single" w:sz="4" w:space="0" w:color="auto"/>
            </w:tcBorders>
            <w:vAlign w:val="bottom"/>
          </w:tcPr>
          <w:p w:rsidR="005225DE" w:rsidRPr="006F7728" w:rsidRDefault="005225DE" w:rsidP="000167FD">
            <w:pPr>
              <w:spacing w:before="20" w:after="20"/>
              <w:jc w:val="center"/>
              <w:rPr>
                <w:rFonts w:cstheme="minorHAnsi"/>
                <w:color w:val="FFFFFF" w:themeColor="background1"/>
                <w:sz w:val="16"/>
                <w:szCs w:val="16"/>
              </w:rPr>
            </w:pPr>
            <w:r w:rsidRPr="006F7728">
              <w:rPr>
                <w:rFonts w:cstheme="minorHAnsi"/>
                <w:color w:val="FFFFFF" w:themeColor="background1"/>
                <w:sz w:val="16"/>
                <w:szCs w:val="16"/>
              </w:rPr>
              <w:t>Response rate %</w:t>
            </w:r>
          </w:p>
          <w:p w:rsidR="005225DE" w:rsidRPr="006F7728" w:rsidRDefault="005225DE" w:rsidP="000167FD">
            <w:pPr>
              <w:spacing w:before="20" w:after="20"/>
              <w:jc w:val="center"/>
              <w:rPr>
                <w:rFonts w:cstheme="minorHAnsi"/>
                <w:b/>
                <w:color w:val="FFFFFF" w:themeColor="background1"/>
                <w:sz w:val="16"/>
                <w:szCs w:val="16"/>
              </w:rPr>
            </w:pPr>
            <w:r w:rsidRPr="006F7728">
              <w:rPr>
                <w:rFonts w:cstheme="minorHAnsi"/>
                <w:color w:val="FFFFFF" w:themeColor="background1"/>
                <w:sz w:val="16"/>
                <w:szCs w:val="16"/>
              </w:rPr>
              <w:t>completions/registrations</w:t>
            </w:r>
          </w:p>
        </w:tc>
      </w:tr>
      <w:tr w:rsidR="005225DE" w:rsidRPr="004573EF" w:rsidTr="001332EF">
        <w:trPr>
          <w:cantSplit/>
        </w:trPr>
        <w:tc>
          <w:tcPr>
            <w:tcW w:w="1500" w:type="pct"/>
            <w:tcBorders>
              <w:top w:val="single" w:sz="4" w:space="0" w:color="auto"/>
            </w:tcBorders>
          </w:tcPr>
          <w:p w:rsidR="005225DE" w:rsidRPr="004573EF" w:rsidRDefault="005225DE" w:rsidP="00D907AF">
            <w:pPr>
              <w:spacing w:before="20" w:after="20"/>
              <w:rPr>
                <w:rFonts w:cstheme="minorHAnsi"/>
                <w:sz w:val="20"/>
                <w:szCs w:val="20"/>
              </w:rPr>
            </w:pPr>
            <w:r w:rsidRPr="004573EF">
              <w:rPr>
                <w:rFonts w:cstheme="minorHAnsi"/>
                <w:sz w:val="20"/>
                <w:szCs w:val="20"/>
              </w:rPr>
              <w:t>ACT</w:t>
            </w:r>
          </w:p>
        </w:tc>
        <w:tc>
          <w:tcPr>
            <w:tcW w:w="948" w:type="pct"/>
            <w:tcBorders>
              <w:top w:val="single" w:sz="4" w:space="0" w:color="auto"/>
            </w:tcBorders>
          </w:tcPr>
          <w:p w:rsidR="005225DE" w:rsidRPr="004573EF" w:rsidRDefault="005225DE" w:rsidP="00530182">
            <w:pPr>
              <w:spacing w:before="20" w:after="20"/>
              <w:ind w:right="397"/>
              <w:jc w:val="right"/>
              <w:rPr>
                <w:rFonts w:cstheme="minorHAnsi"/>
                <w:sz w:val="20"/>
                <w:szCs w:val="20"/>
              </w:rPr>
            </w:pPr>
            <w:r w:rsidRPr="004573EF">
              <w:rPr>
                <w:rFonts w:cstheme="minorHAnsi"/>
                <w:sz w:val="20"/>
                <w:szCs w:val="20"/>
              </w:rPr>
              <w:t>98</w:t>
            </w:r>
          </w:p>
        </w:tc>
        <w:tc>
          <w:tcPr>
            <w:tcW w:w="969" w:type="pct"/>
            <w:tcBorders>
              <w:top w:val="single" w:sz="4" w:space="0" w:color="auto"/>
            </w:tcBorders>
          </w:tcPr>
          <w:p w:rsidR="005225DE" w:rsidRPr="004573EF" w:rsidRDefault="005225DE" w:rsidP="00D907AF">
            <w:pPr>
              <w:spacing w:before="20" w:after="20"/>
              <w:ind w:right="478"/>
              <w:jc w:val="right"/>
              <w:rPr>
                <w:rFonts w:cstheme="minorHAnsi"/>
                <w:sz w:val="20"/>
                <w:szCs w:val="20"/>
              </w:rPr>
            </w:pPr>
            <w:r w:rsidRPr="004573EF">
              <w:rPr>
                <w:rFonts w:cstheme="minorHAnsi"/>
                <w:sz w:val="20"/>
                <w:szCs w:val="20"/>
              </w:rPr>
              <w:t>36</w:t>
            </w:r>
          </w:p>
        </w:tc>
        <w:tc>
          <w:tcPr>
            <w:tcW w:w="1583" w:type="pct"/>
            <w:tcBorders>
              <w:top w:val="single" w:sz="4" w:space="0" w:color="auto"/>
            </w:tcBorders>
          </w:tcPr>
          <w:p w:rsidR="005225DE" w:rsidRPr="004573EF" w:rsidRDefault="005225DE" w:rsidP="00D907AF">
            <w:pPr>
              <w:spacing w:before="20" w:after="20"/>
              <w:ind w:right="1169"/>
              <w:jc w:val="right"/>
              <w:rPr>
                <w:rFonts w:cstheme="minorHAnsi"/>
                <w:sz w:val="20"/>
                <w:szCs w:val="20"/>
              </w:rPr>
            </w:pPr>
            <w:r w:rsidRPr="004573EF">
              <w:rPr>
                <w:rFonts w:cstheme="minorHAnsi"/>
                <w:sz w:val="20"/>
                <w:szCs w:val="20"/>
              </w:rPr>
              <w:t>36.7</w:t>
            </w:r>
          </w:p>
        </w:tc>
      </w:tr>
      <w:tr w:rsidR="005225DE" w:rsidRPr="004573EF" w:rsidTr="001332EF">
        <w:trPr>
          <w:cantSplit/>
        </w:trPr>
        <w:tc>
          <w:tcPr>
            <w:tcW w:w="1500" w:type="pct"/>
          </w:tcPr>
          <w:p w:rsidR="005225DE" w:rsidRPr="004573EF" w:rsidRDefault="005225DE" w:rsidP="00D907AF">
            <w:pPr>
              <w:spacing w:before="20" w:after="20"/>
              <w:rPr>
                <w:rFonts w:cstheme="minorHAnsi"/>
                <w:sz w:val="20"/>
                <w:szCs w:val="20"/>
              </w:rPr>
            </w:pPr>
            <w:r w:rsidRPr="004573EF">
              <w:rPr>
                <w:rFonts w:cstheme="minorHAnsi"/>
                <w:sz w:val="20"/>
                <w:szCs w:val="20"/>
              </w:rPr>
              <w:t>NSW (Hunter region)</w:t>
            </w:r>
          </w:p>
        </w:tc>
        <w:tc>
          <w:tcPr>
            <w:tcW w:w="948" w:type="pct"/>
          </w:tcPr>
          <w:p w:rsidR="005225DE" w:rsidRPr="004573EF" w:rsidRDefault="005225DE" w:rsidP="00530182">
            <w:pPr>
              <w:spacing w:before="20" w:after="20"/>
              <w:ind w:right="397"/>
              <w:jc w:val="right"/>
              <w:rPr>
                <w:rFonts w:cstheme="minorHAnsi"/>
                <w:sz w:val="20"/>
                <w:szCs w:val="20"/>
              </w:rPr>
            </w:pPr>
            <w:r w:rsidRPr="004573EF">
              <w:rPr>
                <w:rFonts w:cstheme="minorHAnsi"/>
                <w:sz w:val="20"/>
                <w:szCs w:val="20"/>
              </w:rPr>
              <w:t>209</w:t>
            </w:r>
          </w:p>
        </w:tc>
        <w:tc>
          <w:tcPr>
            <w:tcW w:w="969" w:type="pct"/>
          </w:tcPr>
          <w:p w:rsidR="005225DE" w:rsidRPr="004573EF" w:rsidRDefault="005225DE" w:rsidP="00D907AF">
            <w:pPr>
              <w:spacing w:before="20" w:after="20"/>
              <w:ind w:right="478"/>
              <w:jc w:val="right"/>
              <w:rPr>
                <w:rFonts w:cstheme="minorHAnsi"/>
                <w:sz w:val="20"/>
                <w:szCs w:val="20"/>
              </w:rPr>
            </w:pPr>
            <w:r w:rsidRPr="004573EF">
              <w:rPr>
                <w:rFonts w:cstheme="minorHAnsi"/>
                <w:sz w:val="20"/>
                <w:szCs w:val="20"/>
              </w:rPr>
              <w:t>49</w:t>
            </w:r>
          </w:p>
        </w:tc>
        <w:tc>
          <w:tcPr>
            <w:tcW w:w="1583" w:type="pct"/>
          </w:tcPr>
          <w:p w:rsidR="005225DE" w:rsidRPr="004573EF" w:rsidRDefault="005225DE" w:rsidP="00D907AF">
            <w:pPr>
              <w:spacing w:before="20" w:after="20"/>
              <w:ind w:right="1169"/>
              <w:jc w:val="right"/>
              <w:rPr>
                <w:rFonts w:cstheme="minorHAnsi"/>
                <w:sz w:val="20"/>
                <w:szCs w:val="20"/>
              </w:rPr>
            </w:pPr>
            <w:r w:rsidRPr="004573EF">
              <w:rPr>
                <w:rFonts w:cstheme="minorHAnsi"/>
                <w:sz w:val="20"/>
                <w:szCs w:val="20"/>
              </w:rPr>
              <w:t>23.4</w:t>
            </w:r>
          </w:p>
        </w:tc>
      </w:tr>
      <w:tr w:rsidR="005225DE" w:rsidRPr="004573EF" w:rsidTr="001332EF">
        <w:trPr>
          <w:cantSplit/>
        </w:trPr>
        <w:tc>
          <w:tcPr>
            <w:tcW w:w="1500" w:type="pct"/>
          </w:tcPr>
          <w:p w:rsidR="005225DE" w:rsidRPr="004573EF" w:rsidRDefault="005225DE" w:rsidP="00D907AF">
            <w:pPr>
              <w:spacing w:before="20" w:after="20"/>
              <w:rPr>
                <w:rFonts w:cstheme="minorHAnsi"/>
                <w:sz w:val="20"/>
                <w:szCs w:val="20"/>
              </w:rPr>
            </w:pPr>
            <w:r w:rsidRPr="004573EF">
              <w:rPr>
                <w:rFonts w:cstheme="minorHAnsi"/>
                <w:sz w:val="20"/>
                <w:szCs w:val="20"/>
              </w:rPr>
              <w:t>SA</w:t>
            </w:r>
          </w:p>
        </w:tc>
        <w:tc>
          <w:tcPr>
            <w:tcW w:w="948" w:type="pct"/>
          </w:tcPr>
          <w:p w:rsidR="005225DE" w:rsidRPr="004573EF" w:rsidRDefault="005225DE" w:rsidP="00530182">
            <w:pPr>
              <w:spacing w:before="20" w:after="20"/>
              <w:ind w:right="397"/>
              <w:jc w:val="right"/>
              <w:rPr>
                <w:rFonts w:cstheme="minorHAnsi"/>
                <w:sz w:val="20"/>
                <w:szCs w:val="20"/>
              </w:rPr>
            </w:pPr>
            <w:r w:rsidRPr="004573EF">
              <w:rPr>
                <w:rFonts w:cstheme="minorHAnsi"/>
                <w:sz w:val="20"/>
                <w:szCs w:val="20"/>
              </w:rPr>
              <w:t>386</w:t>
            </w:r>
          </w:p>
        </w:tc>
        <w:tc>
          <w:tcPr>
            <w:tcW w:w="969" w:type="pct"/>
          </w:tcPr>
          <w:p w:rsidR="005225DE" w:rsidRPr="004573EF" w:rsidRDefault="005225DE" w:rsidP="00D907AF">
            <w:pPr>
              <w:spacing w:before="20" w:after="20"/>
              <w:ind w:right="478"/>
              <w:jc w:val="right"/>
              <w:rPr>
                <w:rFonts w:cstheme="minorHAnsi"/>
                <w:sz w:val="20"/>
                <w:szCs w:val="20"/>
              </w:rPr>
            </w:pPr>
            <w:r w:rsidRPr="004573EF">
              <w:rPr>
                <w:rFonts w:cstheme="minorHAnsi"/>
                <w:sz w:val="20"/>
                <w:szCs w:val="20"/>
              </w:rPr>
              <w:t>84</w:t>
            </w:r>
          </w:p>
        </w:tc>
        <w:tc>
          <w:tcPr>
            <w:tcW w:w="1583" w:type="pct"/>
          </w:tcPr>
          <w:p w:rsidR="005225DE" w:rsidRPr="004573EF" w:rsidRDefault="005225DE" w:rsidP="00D907AF">
            <w:pPr>
              <w:spacing w:before="20" w:after="20"/>
              <w:ind w:right="1169"/>
              <w:jc w:val="right"/>
              <w:rPr>
                <w:rFonts w:cstheme="minorHAnsi"/>
                <w:sz w:val="20"/>
                <w:szCs w:val="20"/>
              </w:rPr>
            </w:pPr>
            <w:r w:rsidRPr="004573EF">
              <w:rPr>
                <w:rFonts w:cstheme="minorHAnsi"/>
                <w:sz w:val="20"/>
                <w:szCs w:val="20"/>
              </w:rPr>
              <w:t>21.8</w:t>
            </w:r>
          </w:p>
        </w:tc>
      </w:tr>
      <w:tr w:rsidR="005225DE" w:rsidRPr="004573EF" w:rsidTr="001332EF">
        <w:trPr>
          <w:cantSplit/>
        </w:trPr>
        <w:tc>
          <w:tcPr>
            <w:tcW w:w="1500" w:type="pct"/>
          </w:tcPr>
          <w:p w:rsidR="005225DE" w:rsidRPr="004573EF" w:rsidRDefault="005225DE" w:rsidP="00D907AF">
            <w:pPr>
              <w:spacing w:before="20" w:after="20"/>
              <w:rPr>
                <w:rFonts w:cstheme="minorHAnsi"/>
                <w:sz w:val="20"/>
                <w:szCs w:val="20"/>
              </w:rPr>
            </w:pPr>
            <w:r w:rsidRPr="004573EF">
              <w:rPr>
                <w:rFonts w:cstheme="minorHAnsi"/>
                <w:sz w:val="20"/>
                <w:szCs w:val="20"/>
              </w:rPr>
              <w:t>TAS</w:t>
            </w:r>
          </w:p>
        </w:tc>
        <w:tc>
          <w:tcPr>
            <w:tcW w:w="948" w:type="pct"/>
          </w:tcPr>
          <w:p w:rsidR="005225DE" w:rsidRPr="004573EF" w:rsidRDefault="005225DE" w:rsidP="00530182">
            <w:pPr>
              <w:spacing w:before="20" w:after="20"/>
              <w:ind w:right="397"/>
              <w:jc w:val="right"/>
              <w:rPr>
                <w:rFonts w:cstheme="minorHAnsi"/>
                <w:sz w:val="20"/>
                <w:szCs w:val="20"/>
              </w:rPr>
            </w:pPr>
            <w:r w:rsidRPr="004573EF">
              <w:rPr>
                <w:rFonts w:cstheme="minorHAnsi"/>
                <w:sz w:val="20"/>
                <w:szCs w:val="20"/>
              </w:rPr>
              <w:t>47</w:t>
            </w:r>
          </w:p>
        </w:tc>
        <w:tc>
          <w:tcPr>
            <w:tcW w:w="969" w:type="pct"/>
          </w:tcPr>
          <w:p w:rsidR="005225DE" w:rsidRPr="004573EF" w:rsidRDefault="005225DE" w:rsidP="00D907AF">
            <w:pPr>
              <w:spacing w:before="20" w:after="20"/>
              <w:ind w:right="478"/>
              <w:jc w:val="right"/>
              <w:rPr>
                <w:rFonts w:cstheme="minorHAnsi"/>
                <w:sz w:val="20"/>
                <w:szCs w:val="20"/>
              </w:rPr>
            </w:pPr>
            <w:r w:rsidRPr="004573EF">
              <w:rPr>
                <w:rFonts w:cstheme="minorHAnsi"/>
                <w:sz w:val="20"/>
                <w:szCs w:val="20"/>
              </w:rPr>
              <w:t>9</w:t>
            </w:r>
          </w:p>
        </w:tc>
        <w:tc>
          <w:tcPr>
            <w:tcW w:w="1583" w:type="pct"/>
          </w:tcPr>
          <w:p w:rsidR="005225DE" w:rsidRPr="004573EF" w:rsidRDefault="005225DE" w:rsidP="00D907AF">
            <w:pPr>
              <w:spacing w:before="20" w:after="20"/>
              <w:ind w:right="1169"/>
              <w:jc w:val="right"/>
              <w:rPr>
                <w:rFonts w:cstheme="minorHAnsi"/>
                <w:sz w:val="20"/>
                <w:szCs w:val="20"/>
              </w:rPr>
            </w:pPr>
            <w:r w:rsidRPr="004573EF">
              <w:rPr>
                <w:rFonts w:cstheme="minorHAnsi"/>
                <w:sz w:val="20"/>
                <w:szCs w:val="20"/>
              </w:rPr>
              <w:t>19.1</w:t>
            </w:r>
          </w:p>
        </w:tc>
      </w:tr>
      <w:tr w:rsidR="005225DE" w:rsidRPr="004573EF" w:rsidTr="001332EF">
        <w:trPr>
          <w:cantSplit/>
        </w:trPr>
        <w:tc>
          <w:tcPr>
            <w:tcW w:w="1500" w:type="pct"/>
          </w:tcPr>
          <w:p w:rsidR="005225DE" w:rsidRPr="004573EF" w:rsidRDefault="005225DE" w:rsidP="00D907AF">
            <w:pPr>
              <w:spacing w:before="20" w:after="20"/>
              <w:rPr>
                <w:rFonts w:cstheme="minorHAnsi"/>
                <w:sz w:val="20"/>
                <w:szCs w:val="20"/>
              </w:rPr>
            </w:pPr>
            <w:r w:rsidRPr="004573EF">
              <w:rPr>
                <w:rFonts w:cstheme="minorHAnsi"/>
                <w:sz w:val="20"/>
                <w:szCs w:val="20"/>
              </w:rPr>
              <w:t>VIC (Barwon area)</w:t>
            </w:r>
          </w:p>
        </w:tc>
        <w:tc>
          <w:tcPr>
            <w:tcW w:w="948" w:type="pct"/>
          </w:tcPr>
          <w:p w:rsidR="005225DE" w:rsidRPr="004573EF" w:rsidRDefault="005225DE" w:rsidP="00530182">
            <w:pPr>
              <w:spacing w:before="20" w:after="20"/>
              <w:ind w:right="397"/>
              <w:jc w:val="right"/>
              <w:rPr>
                <w:rFonts w:cstheme="minorHAnsi"/>
                <w:sz w:val="20"/>
                <w:szCs w:val="20"/>
              </w:rPr>
            </w:pPr>
            <w:r w:rsidRPr="004573EF">
              <w:rPr>
                <w:rFonts w:cstheme="minorHAnsi"/>
                <w:sz w:val="20"/>
                <w:szCs w:val="20"/>
              </w:rPr>
              <w:t>245</w:t>
            </w:r>
          </w:p>
        </w:tc>
        <w:tc>
          <w:tcPr>
            <w:tcW w:w="969" w:type="pct"/>
          </w:tcPr>
          <w:p w:rsidR="005225DE" w:rsidRPr="004573EF" w:rsidRDefault="005225DE" w:rsidP="00D907AF">
            <w:pPr>
              <w:spacing w:before="20" w:after="20"/>
              <w:ind w:right="478"/>
              <w:jc w:val="right"/>
              <w:rPr>
                <w:rFonts w:cstheme="minorHAnsi"/>
                <w:sz w:val="20"/>
                <w:szCs w:val="20"/>
              </w:rPr>
            </w:pPr>
            <w:r w:rsidRPr="004573EF">
              <w:rPr>
                <w:rFonts w:cstheme="minorHAnsi"/>
                <w:sz w:val="20"/>
                <w:szCs w:val="20"/>
              </w:rPr>
              <w:t>49</w:t>
            </w:r>
          </w:p>
        </w:tc>
        <w:tc>
          <w:tcPr>
            <w:tcW w:w="1583" w:type="pct"/>
          </w:tcPr>
          <w:p w:rsidR="005225DE" w:rsidRPr="004573EF" w:rsidRDefault="005225DE" w:rsidP="00D907AF">
            <w:pPr>
              <w:spacing w:before="20" w:after="20"/>
              <w:ind w:right="1169"/>
              <w:jc w:val="right"/>
              <w:rPr>
                <w:rFonts w:cstheme="minorHAnsi"/>
                <w:sz w:val="20"/>
                <w:szCs w:val="20"/>
              </w:rPr>
            </w:pPr>
            <w:r w:rsidRPr="004573EF">
              <w:rPr>
                <w:rFonts w:cstheme="minorHAnsi"/>
                <w:sz w:val="20"/>
                <w:szCs w:val="20"/>
              </w:rPr>
              <w:t>20.0</w:t>
            </w:r>
          </w:p>
        </w:tc>
      </w:tr>
      <w:tr w:rsidR="005225DE" w:rsidRPr="004573EF" w:rsidTr="001332EF">
        <w:trPr>
          <w:cantSplit/>
        </w:trPr>
        <w:tc>
          <w:tcPr>
            <w:tcW w:w="1500" w:type="pct"/>
            <w:tcBorders>
              <w:bottom w:val="single" w:sz="4" w:space="0" w:color="auto"/>
            </w:tcBorders>
          </w:tcPr>
          <w:p w:rsidR="005225DE" w:rsidRPr="004573EF" w:rsidRDefault="005225DE" w:rsidP="00D907AF">
            <w:pPr>
              <w:spacing w:before="20" w:after="20"/>
              <w:rPr>
                <w:rFonts w:cstheme="minorHAnsi"/>
                <w:sz w:val="20"/>
                <w:szCs w:val="20"/>
              </w:rPr>
            </w:pPr>
            <w:r w:rsidRPr="004573EF">
              <w:rPr>
                <w:rFonts w:cstheme="minorHAnsi"/>
                <w:sz w:val="20"/>
                <w:szCs w:val="20"/>
              </w:rPr>
              <w:t>Other states</w:t>
            </w:r>
          </w:p>
        </w:tc>
        <w:tc>
          <w:tcPr>
            <w:tcW w:w="948" w:type="pct"/>
            <w:tcBorders>
              <w:bottom w:val="single" w:sz="4" w:space="0" w:color="auto"/>
            </w:tcBorders>
          </w:tcPr>
          <w:p w:rsidR="005225DE" w:rsidRPr="004573EF" w:rsidRDefault="005225DE" w:rsidP="00530182">
            <w:pPr>
              <w:spacing w:before="20" w:after="20"/>
              <w:ind w:right="397"/>
              <w:jc w:val="right"/>
              <w:rPr>
                <w:rFonts w:cstheme="minorHAnsi"/>
                <w:sz w:val="20"/>
                <w:szCs w:val="20"/>
              </w:rPr>
            </w:pPr>
            <w:r w:rsidRPr="004573EF">
              <w:rPr>
                <w:rFonts w:cstheme="minorHAnsi"/>
                <w:sz w:val="20"/>
                <w:szCs w:val="20"/>
              </w:rPr>
              <w:t>0</w:t>
            </w:r>
          </w:p>
        </w:tc>
        <w:tc>
          <w:tcPr>
            <w:tcW w:w="969" w:type="pct"/>
            <w:tcBorders>
              <w:bottom w:val="single" w:sz="4" w:space="0" w:color="auto"/>
            </w:tcBorders>
          </w:tcPr>
          <w:p w:rsidR="005225DE" w:rsidRPr="004573EF" w:rsidRDefault="005225DE" w:rsidP="00D907AF">
            <w:pPr>
              <w:spacing w:before="20" w:after="20"/>
              <w:ind w:right="478"/>
              <w:jc w:val="right"/>
              <w:rPr>
                <w:rFonts w:cstheme="minorHAnsi"/>
                <w:sz w:val="20"/>
                <w:szCs w:val="20"/>
              </w:rPr>
            </w:pPr>
            <w:r w:rsidRPr="004573EF">
              <w:rPr>
                <w:rFonts w:cstheme="minorHAnsi"/>
                <w:sz w:val="20"/>
                <w:szCs w:val="20"/>
              </w:rPr>
              <w:t>0</w:t>
            </w:r>
          </w:p>
        </w:tc>
        <w:tc>
          <w:tcPr>
            <w:tcW w:w="1583" w:type="pct"/>
            <w:tcBorders>
              <w:bottom w:val="single" w:sz="4" w:space="0" w:color="auto"/>
            </w:tcBorders>
          </w:tcPr>
          <w:p w:rsidR="005225DE" w:rsidRPr="004573EF" w:rsidRDefault="00A167B6" w:rsidP="00D907AF">
            <w:pPr>
              <w:spacing w:before="20" w:after="20"/>
              <w:ind w:right="1169"/>
              <w:jc w:val="right"/>
              <w:rPr>
                <w:rFonts w:cstheme="minorHAnsi"/>
                <w:sz w:val="20"/>
                <w:szCs w:val="20"/>
              </w:rPr>
            </w:pPr>
            <w:r>
              <w:rPr>
                <w:rFonts w:cstheme="minorHAnsi"/>
                <w:sz w:val="20"/>
                <w:szCs w:val="20"/>
              </w:rPr>
              <w:t>0</w:t>
            </w:r>
          </w:p>
        </w:tc>
      </w:tr>
      <w:tr w:rsidR="005225DE" w:rsidRPr="004573EF" w:rsidTr="001332EF">
        <w:trPr>
          <w:cantSplit/>
        </w:trPr>
        <w:tc>
          <w:tcPr>
            <w:tcW w:w="1500" w:type="pct"/>
            <w:tcBorders>
              <w:top w:val="single" w:sz="4" w:space="0" w:color="auto"/>
              <w:bottom w:val="single" w:sz="4" w:space="0" w:color="auto"/>
            </w:tcBorders>
          </w:tcPr>
          <w:p w:rsidR="005225DE" w:rsidRPr="004573EF" w:rsidRDefault="005225DE" w:rsidP="00D907AF">
            <w:pPr>
              <w:spacing w:before="20" w:after="20"/>
              <w:rPr>
                <w:rFonts w:cstheme="minorHAnsi"/>
                <w:b/>
                <w:sz w:val="20"/>
                <w:szCs w:val="20"/>
              </w:rPr>
            </w:pPr>
            <w:r w:rsidRPr="004573EF">
              <w:rPr>
                <w:rFonts w:cstheme="minorHAnsi"/>
                <w:b/>
                <w:sz w:val="20"/>
                <w:szCs w:val="20"/>
              </w:rPr>
              <w:t>Total</w:t>
            </w:r>
          </w:p>
        </w:tc>
        <w:tc>
          <w:tcPr>
            <w:tcW w:w="948" w:type="pct"/>
            <w:tcBorders>
              <w:top w:val="single" w:sz="4" w:space="0" w:color="auto"/>
              <w:bottom w:val="single" w:sz="4" w:space="0" w:color="auto"/>
            </w:tcBorders>
          </w:tcPr>
          <w:p w:rsidR="005225DE" w:rsidRPr="00530182" w:rsidRDefault="005225DE" w:rsidP="00530182">
            <w:pPr>
              <w:spacing w:before="20" w:after="20"/>
              <w:ind w:right="397"/>
              <w:jc w:val="right"/>
              <w:rPr>
                <w:rFonts w:cstheme="minorHAnsi"/>
                <w:b/>
                <w:sz w:val="20"/>
                <w:szCs w:val="20"/>
              </w:rPr>
            </w:pPr>
            <w:r w:rsidRPr="00530182">
              <w:rPr>
                <w:rFonts w:cstheme="minorHAnsi"/>
                <w:b/>
                <w:sz w:val="20"/>
                <w:szCs w:val="20"/>
              </w:rPr>
              <w:t>985</w:t>
            </w:r>
          </w:p>
        </w:tc>
        <w:tc>
          <w:tcPr>
            <w:tcW w:w="969" w:type="pct"/>
            <w:tcBorders>
              <w:top w:val="single" w:sz="4" w:space="0" w:color="auto"/>
              <w:bottom w:val="single" w:sz="4" w:space="0" w:color="auto"/>
            </w:tcBorders>
          </w:tcPr>
          <w:p w:rsidR="005225DE" w:rsidRPr="004573EF" w:rsidRDefault="005225DE" w:rsidP="00D907AF">
            <w:pPr>
              <w:spacing w:before="20" w:after="20"/>
              <w:ind w:right="478"/>
              <w:jc w:val="right"/>
              <w:rPr>
                <w:rFonts w:cstheme="minorHAnsi"/>
                <w:b/>
                <w:sz w:val="20"/>
                <w:szCs w:val="20"/>
              </w:rPr>
            </w:pPr>
            <w:r w:rsidRPr="004573EF">
              <w:rPr>
                <w:rFonts w:cstheme="minorHAnsi"/>
                <w:b/>
                <w:sz w:val="20"/>
                <w:szCs w:val="20"/>
              </w:rPr>
              <w:t>191</w:t>
            </w:r>
          </w:p>
        </w:tc>
        <w:tc>
          <w:tcPr>
            <w:tcW w:w="1583" w:type="pct"/>
            <w:tcBorders>
              <w:top w:val="single" w:sz="4" w:space="0" w:color="auto"/>
              <w:bottom w:val="single" w:sz="4" w:space="0" w:color="auto"/>
            </w:tcBorders>
          </w:tcPr>
          <w:p w:rsidR="005225DE" w:rsidRPr="004573EF" w:rsidRDefault="005225DE" w:rsidP="00D907AF">
            <w:pPr>
              <w:spacing w:before="20" w:after="20"/>
              <w:ind w:right="1169"/>
              <w:jc w:val="right"/>
              <w:rPr>
                <w:rFonts w:cstheme="minorHAnsi"/>
                <w:b/>
                <w:sz w:val="20"/>
                <w:szCs w:val="20"/>
              </w:rPr>
            </w:pPr>
            <w:r w:rsidRPr="004573EF">
              <w:rPr>
                <w:rFonts w:cstheme="minorHAnsi"/>
                <w:b/>
                <w:sz w:val="20"/>
                <w:szCs w:val="20"/>
              </w:rPr>
              <w:t>19.4</w:t>
            </w:r>
          </w:p>
        </w:tc>
      </w:tr>
    </w:tbl>
    <w:p w:rsidR="00A64CBF" w:rsidRPr="00A64CBF" w:rsidRDefault="00A64CBF">
      <w:pPr>
        <w:rPr>
          <w:sz w:val="2"/>
          <w:szCs w:val="2"/>
        </w:rPr>
      </w:pPr>
    </w:p>
    <w:tbl>
      <w:tblPr>
        <w:tblStyle w:val="TableGrid"/>
        <w:tblW w:w="4332" w:type="pct"/>
        <w:tblLook w:val="04A0" w:firstRow="1" w:lastRow="0" w:firstColumn="1" w:lastColumn="0" w:noHBand="0" w:noVBand="1"/>
        <w:tblCaption w:val="Table 3.5 continued Comparison group registrations and completions by state"/>
        <w:tblDescription w:val=" "/>
      </w:tblPr>
      <w:tblGrid>
        <w:gridCol w:w="2357"/>
        <w:gridCol w:w="1490"/>
        <w:gridCol w:w="1523"/>
        <w:gridCol w:w="2488"/>
      </w:tblGrid>
      <w:tr w:rsidR="005225DE" w:rsidRPr="004573EF" w:rsidTr="001332EF">
        <w:trPr>
          <w:cantSplit/>
          <w:tblHeader/>
        </w:trPr>
        <w:tc>
          <w:tcPr>
            <w:tcW w:w="1500" w:type="pct"/>
            <w:tcBorders>
              <w:bottom w:val="single" w:sz="4" w:space="0" w:color="auto"/>
            </w:tcBorders>
            <w:vAlign w:val="center"/>
            <w:hideMark/>
          </w:tcPr>
          <w:p w:rsidR="005225DE" w:rsidRPr="004573EF" w:rsidRDefault="005225DE" w:rsidP="0093231F">
            <w:pPr>
              <w:spacing w:before="20" w:after="20"/>
              <w:rPr>
                <w:rFonts w:cstheme="minorHAnsi"/>
                <w:b/>
                <w:sz w:val="20"/>
                <w:szCs w:val="20"/>
              </w:rPr>
            </w:pPr>
            <w:bookmarkStart w:id="189" w:name="Title_3_5Comparison"/>
            <w:bookmarkEnd w:id="189"/>
            <w:r w:rsidRPr="004573EF">
              <w:rPr>
                <w:rFonts w:cstheme="minorHAnsi"/>
                <w:b/>
                <w:sz w:val="20"/>
                <w:szCs w:val="20"/>
              </w:rPr>
              <w:t>Comparison</w:t>
            </w:r>
          </w:p>
        </w:tc>
        <w:tc>
          <w:tcPr>
            <w:tcW w:w="948" w:type="pct"/>
            <w:tcBorders>
              <w:bottom w:val="single" w:sz="4" w:space="0" w:color="auto"/>
            </w:tcBorders>
            <w:vAlign w:val="bottom"/>
          </w:tcPr>
          <w:p w:rsidR="005225DE" w:rsidRPr="001674EB" w:rsidRDefault="005225DE" w:rsidP="000167FD">
            <w:pPr>
              <w:spacing w:before="20" w:after="20"/>
              <w:jc w:val="center"/>
              <w:rPr>
                <w:rFonts w:cstheme="minorHAnsi"/>
                <w:b/>
                <w:color w:val="FFFFFF" w:themeColor="background1"/>
                <w:sz w:val="16"/>
                <w:szCs w:val="16"/>
              </w:rPr>
            </w:pPr>
            <w:r w:rsidRPr="001674EB">
              <w:rPr>
                <w:rFonts w:cstheme="minorHAnsi"/>
                <w:color w:val="FFFFFF" w:themeColor="background1"/>
                <w:sz w:val="16"/>
                <w:szCs w:val="16"/>
              </w:rPr>
              <w:t>NDIS Survey registrants</w:t>
            </w:r>
          </w:p>
        </w:tc>
        <w:tc>
          <w:tcPr>
            <w:tcW w:w="969" w:type="pct"/>
            <w:tcBorders>
              <w:bottom w:val="single" w:sz="4" w:space="0" w:color="auto"/>
            </w:tcBorders>
            <w:vAlign w:val="bottom"/>
          </w:tcPr>
          <w:p w:rsidR="005225DE" w:rsidRPr="001674EB" w:rsidRDefault="005225DE" w:rsidP="000167FD">
            <w:pPr>
              <w:spacing w:before="20" w:after="20"/>
              <w:jc w:val="center"/>
              <w:rPr>
                <w:rFonts w:cstheme="minorHAnsi"/>
                <w:b/>
                <w:color w:val="FFFFFF" w:themeColor="background1"/>
                <w:sz w:val="16"/>
                <w:szCs w:val="16"/>
              </w:rPr>
            </w:pPr>
            <w:r w:rsidRPr="001674EB">
              <w:rPr>
                <w:rFonts w:cstheme="minorHAnsi"/>
                <w:color w:val="FFFFFF" w:themeColor="background1"/>
                <w:sz w:val="16"/>
                <w:szCs w:val="16"/>
              </w:rPr>
              <w:t>NDIS Survey completions</w:t>
            </w:r>
          </w:p>
        </w:tc>
        <w:tc>
          <w:tcPr>
            <w:tcW w:w="1583" w:type="pct"/>
            <w:tcBorders>
              <w:bottom w:val="single" w:sz="4" w:space="0" w:color="auto"/>
            </w:tcBorders>
            <w:vAlign w:val="bottom"/>
          </w:tcPr>
          <w:p w:rsidR="005225DE" w:rsidRPr="001674EB" w:rsidRDefault="005225DE" w:rsidP="000167FD">
            <w:pPr>
              <w:spacing w:before="20" w:after="20"/>
              <w:jc w:val="center"/>
              <w:rPr>
                <w:rFonts w:cstheme="minorHAnsi"/>
                <w:color w:val="FFFFFF" w:themeColor="background1"/>
                <w:sz w:val="16"/>
                <w:szCs w:val="16"/>
              </w:rPr>
            </w:pPr>
            <w:r w:rsidRPr="001674EB">
              <w:rPr>
                <w:rFonts w:cstheme="minorHAnsi"/>
                <w:color w:val="FFFFFF" w:themeColor="background1"/>
                <w:sz w:val="16"/>
                <w:szCs w:val="16"/>
              </w:rPr>
              <w:t>Response rate %</w:t>
            </w:r>
          </w:p>
          <w:p w:rsidR="005225DE" w:rsidRPr="001674EB" w:rsidRDefault="005225DE" w:rsidP="000167FD">
            <w:pPr>
              <w:spacing w:before="20" w:after="20"/>
              <w:jc w:val="center"/>
              <w:rPr>
                <w:rFonts w:cstheme="minorHAnsi"/>
                <w:b/>
                <w:color w:val="FFFFFF" w:themeColor="background1"/>
                <w:sz w:val="16"/>
                <w:szCs w:val="16"/>
              </w:rPr>
            </w:pPr>
            <w:r w:rsidRPr="001674EB">
              <w:rPr>
                <w:rFonts w:cstheme="minorHAnsi"/>
                <w:color w:val="FFFFFF" w:themeColor="background1"/>
                <w:sz w:val="16"/>
                <w:szCs w:val="16"/>
              </w:rPr>
              <w:t>completions/registrations</w:t>
            </w:r>
          </w:p>
        </w:tc>
      </w:tr>
      <w:tr w:rsidR="005225DE" w:rsidRPr="004573EF" w:rsidTr="001332EF">
        <w:trPr>
          <w:cantSplit/>
        </w:trPr>
        <w:tc>
          <w:tcPr>
            <w:tcW w:w="1500" w:type="pct"/>
            <w:tcBorders>
              <w:top w:val="single" w:sz="4" w:space="0" w:color="auto"/>
            </w:tcBorders>
            <w:hideMark/>
          </w:tcPr>
          <w:p w:rsidR="005225DE" w:rsidRPr="004573EF" w:rsidRDefault="005225DE" w:rsidP="00D907AF">
            <w:pPr>
              <w:spacing w:before="20" w:after="20"/>
              <w:rPr>
                <w:rFonts w:cstheme="minorHAnsi"/>
                <w:sz w:val="20"/>
                <w:szCs w:val="20"/>
              </w:rPr>
            </w:pPr>
            <w:r w:rsidRPr="004573EF">
              <w:rPr>
                <w:rFonts w:cstheme="minorHAnsi"/>
                <w:sz w:val="20"/>
                <w:szCs w:val="20"/>
              </w:rPr>
              <w:t>ACT</w:t>
            </w:r>
          </w:p>
        </w:tc>
        <w:tc>
          <w:tcPr>
            <w:tcW w:w="948" w:type="pct"/>
            <w:tcBorders>
              <w:top w:val="single" w:sz="4" w:space="0" w:color="auto"/>
            </w:tcBorders>
          </w:tcPr>
          <w:p w:rsidR="005225DE" w:rsidRPr="004573EF" w:rsidRDefault="005225DE" w:rsidP="00530182">
            <w:pPr>
              <w:spacing w:before="20" w:after="20"/>
              <w:ind w:right="397"/>
              <w:jc w:val="right"/>
              <w:rPr>
                <w:rFonts w:cstheme="minorHAnsi"/>
                <w:sz w:val="20"/>
                <w:szCs w:val="20"/>
              </w:rPr>
            </w:pPr>
            <w:r w:rsidRPr="004573EF">
              <w:rPr>
                <w:rFonts w:cstheme="minorHAnsi"/>
                <w:sz w:val="20"/>
                <w:szCs w:val="20"/>
              </w:rPr>
              <w:t>21</w:t>
            </w:r>
          </w:p>
        </w:tc>
        <w:tc>
          <w:tcPr>
            <w:tcW w:w="969" w:type="pct"/>
            <w:tcBorders>
              <w:top w:val="single" w:sz="4" w:space="0" w:color="auto"/>
            </w:tcBorders>
          </w:tcPr>
          <w:p w:rsidR="005225DE" w:rsidRPr="004573EF" w:rsidRDefault="005225DE" w:rsidP="00D907AF">
            <w:pPr>
              <w:spacing w:before="20" w:after="20"/>
              <w:ind w:right="478"/>
              <w:jc w:val="right"/>
              <w:rPr>
                <w:rFonts w:cstheme="minorHAnsi"/>
                <w:sz w:val="20"/>
                <w:szCs w:val="20"/>
              </w:rPr>
            </w:pPr>
            <w:r w:rsidRPr="004573EF">
              <w:rPr>
                <w:rFonts w:cstheme="minorHAnsi"/>
                <w:sz w:val="20"/>
                <w:szCs w:val="20"/>
              </w:rPr>
              <w:t>4</w:t>
            </w:r>
          </w:p>
        </w:tc>
        <w:tc>
          <w:tcPr>
            <w:tcW w:w="1583" w:type="pct"/>
            <w:tcBorders>
              <w:top w:val="single" w:sz="4" w:space="0" w:color="auto"/>
            </w:tcBorders>
          </w:tcPr>
          <w:p w:rsidR="005225DE" w:rsidRPr="004573EF" w:rsidRDefault="005225DE" w:rsidP="00D907AF">
            <w:pPr>
              <w:spacing w:before="20" w:after="20"/>
              <w:ind w:right="1169"/>
              <w:jc w:val="right"/>
              <w:rPr>
                <w:rFonts w:cstheme="minorHAnsi"/>
                <w:sz w:val="20"/>
                <w:szCs w:val="20"/>
              </w:rPr>
            </w:pPr>
            <w:r w:rsidRPr="004573EF">
              <w:rPr>
                <w:rFonts w:cstheme="minorHAnsi"/>
                <w:sz w:val="20"/>
                <w:szCs w:val="20"/>
              </w:rPr>
              <w:t>19.0</w:t>
            </w:r>
          </w:p>
        </w:tc>
      </w:tr>
      <w:tr w:rsidR="005225DE" w:rsidRPr="004573EF" w:rsidTr="001332EF">
        <w:trPr>
          <w:cantSplit/>
        </w:trPr>
        <w:tc>
          <w:tcPr>
            <w:tcW w:w="1500" w:type="pct"/>
            <w:hideMark/>
          </w:tcPr>
          <w:p w:rsidR="005225DE" w:rsidRPr="004573EF" w:rsidRDefault="005225DE" w:rsidP="00D907AF">
            <w:pPr>
              <w:spacing w:before="20" w:after="20"/>
              <w:rPr>
                <w:rFonts w:cstheme="minorHAnsi"/>
                <w:sz w:val="20"/>
                <w:szCs w:val="20"/>
              </w:rPr>
            </w:pPr>
            <w:r w:rsidRPr="004573EF">
              <w:rPr>
                <w:rFonts w:cstheme="minorHAnsi"/>
                <w:sz w:val="20"/>
                <w:szCs w:val="20"/>
              </w:rPr>
              <w:t xml:space="preserve">NSW </w:t>
            </w:r>
          </w:p>
        </w:tc>
        <w:tc>
          <w:tcPr>
            <w:tcW w:w="948" w:type="pct"/>
          </w:tcPr>
          <w:p w:rsidR="005225DE" w:rsidRPr="004573EF" w:rsidRDefault="005225DE" w:rsidP="00530182">
            <w:pPr>
              <w:spacing w:before="20" w:after="20"/>
              <w:ind w:right="397"/>
              <w:jc w:val="right"/>
              <w:rPr>
                <w:rFonts w:cstheme="minorHAnsi"/>
                <w:sz w:val="20"/>
                <w:szCs w:val="20"/>
              </w:rPr>
            </w:pPr>
            <w:r w:rsidRPr="004573EF">
              <w:rPr>
                <w:rFonts w:cstheme="minorHAnsi"/>
                <w:sz w:val="20"/>
                <w:szCs w:val="20"/>
              </w:rPr>
              <w:t>1,120</w:t>
            </w:r>
          </w:p>
        </w:tc>
        <w:tc>
          <w:tcPr>
            <w:tcW w:w="969" w:type="pct"/>
          </w:tcPr>
          <w:p w:rsidR="005225DE" w:rsidRPr="004573EF" w:rsidRDefault="005225DE" w:rsidP="00D907AF">
            <w:pPr>
              <w:spacing w:before="20" w:after="20"/>
              <w:ind w:right="478"/>
              <w:jc w:val="right"/>
              <w:rPr>
                <w:rFonts w:cstheme="minorHAnsi"/>
                <w:sz w:val="20"/>
                <w:szCs w:val="20"/>
              </w:rPr>
            </w:pPr>
            <w:r w:rsidRPr="004573EF">
              <w:rPr>
                <w:rFonts w:cstheme="minorHAnsi"/>
                <w:sz w:val="20"/>
                <w:szCs w:val="20"/>
              </w:rPr>
              <w:t>370</w:t>
            </w:r>
          </w:p>
        </w:tc>
        <w:tc>
          <w:tcPr>
            <w:tcW w:w="1583" w:type="pct"/>
          </w:tcPr>
          <w:p w:rsidR="005225DE" w:rsidRPr="004573EF" w:rsidRDefault="005225DE" w:rsidP="00D907AF">
            <w:pPr>
              <w:spacing w:before="20" w:after="20"/>
              <w:ind w:right="1169"/>
              <w:jc w:val="right"/>
              <w:rPr>
                <w:rFonts w:cstheme="minorHAnsi"/>
                <w:sz w:val="20"/>
                <w:szCs w:val="20"/>
              </w:rPr>
            </w:pPr>
            <w:r w:rsidRPr="004573EF">
              <w:rPr>
                <w:rFonts w:cstheme="minorHAnsi"/>
                <w:sz w:val="20"/>
                <w:szCs w:val="20"/>
              </w:rPr>
              <w:t>33.0</w:t>
            </w:r>
          </w:p>
        </w:tc>
      </w:tr>
      <w:tr w:rsidR="005225DE" w:rsidRPr="004573EF" w:rsidTr="001332EF">
        <w:trPr>
          <w:cantSplit/>
        </w:trPr>
        <w:tc>
          <w:tcPr>
            <w:tcW w:w="1500" w:type="pct"/>
            <w:hideMark/>
          </w:tcPr>
          <w:p w:rsidR="005225DE" w:rsidRPr="004573EF" w:rsidRDefault="005225DE" w:rsidP="00D907AF">
            <w:pPr>
              <w:spacing w:before="20" w:after="20"/>
              <w:rPr>
                <w:rFonts w:cstheme="minorHAnsi"/>
                <w:sz w:val="20"/>
                <w:szCs w:val="20"/>
              </w:rPr>
            </w:pPr>
            <w:r w:rsidRPr="004573EF">
              <w:rPr>
                <w:rFonts w:cstheme="minorHAnsi"/>
                <w:sz w:val="20"/>
                <w:szCs w:val="20"/>
              </w:rPr>
              <w:t>SA</w:t>
            </w:r>
          </w:p>
        </w:tc>
        <w:tc>
          <w:tcPr>
            <w:tcW w:w="948" w:type="pct"/>
          </w:tcPr>
          <w:p w:rsidR="005225DE" w:rsidRPr="004573EF" w:rsidRDefault="005225DE" w:rsidP="00530182">
            <w:pPr>
              <w:spacing w:before="20" w:after="20"/>
              <w:ind w:right="397"/>
              <w:jc w:val="right"/>
              <w:rPr>
                <w:rFonts w:cstheme="minorHAnsi"/>
                <w:sz w:val="20"/>
                <w:szCs w:val="20"/>
              </w:rPr>
            </w:pPr>
            <w:r w:rsidRPr="004573EF">
              <w:rPr>
                <w:rFonts w:cstheme="minorHAnsi"/>
                <w:sz w:val="20"/>
                <w:szCs w:val="20"/>
              </w:rPr>
              <w:t>311</w:t>
            </w:r>
          </w:p>
        </w:tc>
        <w:tc>
          <w:tcPr>
            <w:tcW w:w="969" w:type="pct"/>
          </w:tcPr>
          <w:p w:rsidR="005225DE" w:rsidRPr="004573EF" w:rsidRDefault="005225DE" w:rsidP="00D907AF">
            <w:pPr>
              <w:spacing w:before="20" w:after="20"/>
              <w:ind w:right="478"/>
              <w:jc w:val="right"/>
              <w:rPr>
                <w:rFonts w:cstheme="minorHAnsi"/>
                <w:sz w:val="20"/>
                <w:szCs w:val="20"/>
              </w:rPr>
            </w:pPr>
            <w:r w:rsidRPr="004573EF">
              <w:rPr>
                <w:rFonts w:cstheme="minorHAnsi"/>
                <w:sz w:val="20"/>
                <w:szCs w:val="20"/>
              </w:rPr>
              <w:t>107</w:t>
            </w:r>
          </w:p>
        </w:tc>
        <w:tc>
          <w:tcPr>
            <w:tcW w:w="1583" w:type="pct"/>
          </w:tcPr>
          <w:p w:rsidR="005225DE" w:rsidRPr="004573EF" w:rsidRDefault="005225DE" w:rsidP="00D907AF">
            <w:pPr>
              <w:spacing w:before="20" w:after="20"/>
              <w:ind w:right="1169"/>
              <w:jc w:val="right"/>
              <w:rPr>
                <w:rFonts w:cstheme="minorHAnsi"/>
                <w:sz w:val="20"/>
                <w:szCs w:val="20"/>
              </w:rPr>
            </w:pPr>
            <w:r w:rsidRPr="004573EF">
              <w:rPr>
                <w:rFonts w:cstheme="minorHAnsi"/>
                <w:sz w:val="20"/>
                <w:szCs w:val="20"/>
              </w:rPr>
              <w:t>34.4</w:t>
            </w:r>
          </w:p>
        </w:tc>
      </w:tr>
      <w:tr w:rsidR="005225DE" w:rsidRPr="004573EF" w:rsidTr="001332EF">
        <w:trPr>
          <w:cantSplit/>
        </w:trPr>
        <w:tc>
          <w:tcPr>
            <w:tcW w:w="1500" w:type="pct"/>
            <w:hideMark/>
          </w:tcPr>
          <w:p w:rsidR="005225DE" w:rsidRPr="004573EF" w:rsidRDefault="005225DE" w:rsidP="00D907AF">
            <w:pPr>
              <w:spacing w:before="20" w:after="20"/>
              <w:rPr>
                <w:rFonts w:cstheme="minorHAnsi"/>
                <w:sz w:val="20"/>
                <w:szCs w:val="20"/>
              </w:rPr>
            </w:pPr>
            <w:r w:rsidRPr="004573EF">
              <w:rPr>
                <w:rFonts w:cstheme="minorHAnsi"/>
                <w:sz w:val="20"/>
                <w:szCs w:val="20"/>
              </w:rPr>
              <w:t>TAS</w:t>
            </w:r>
          </w:p>
        </w:tc>
        <w:tc>
          <w:tcPr>
            <w:tcW w:w="948" w:type="pct"/>
          </w:tcPr>
          <w:p w:rsidR="005225DE" w:rsidRPr="004573EF" w:rsidRDefault="005225DE" w:rsidP="00530182">
            <w:pPr>
              <w:spacing w:before="20" w:after="20"/>
              <w:ind w:right="397"/>
              <w:jc w:val="right"/>
              <w:rPr>
                <w:rFonts w:cstheme="minorHAnsi"/>
                <w:sz w:val="20"/>
                <w:szCs w:val="20"/>
              </w:rPr>
            </w:pPr>
            <w:r w:rsidRPr="004573EF">
              <w:rPr>
                <w:rFonts w:cstheme="minorHAnsi"/>
                <w:sz w:val="20"/>
                <w:szCs w:val="20"/>
              </w:rPr>
              <w:t>96</w:t>
            </w:r>
          </w:p>
        </w:tc>
        <w:tc>
          <w:tcPr>
            <w:tcW w:w="969" w:type="pct"/>
          </w:tcPr>
          <w:p w:rsidR="005225DE" w:rsidRPr="004573EF" w:rsidRDefault="005225DE" w:rsidP="00D907AF">
            <w:pPr>
              <w:spacing w:before="20" w:after="20"/>
              <w:ind w:right="478"/>
              <w:jc w:val="right"/>
              <w:rPr>
                <w:rFonts w:cstheme="minorHAnsi"/>
                <w:sz w:val="20"/>
                <w:szCs w:val="20"/>
              </w:rPr>
            </w:pPr>
            <w:r w:rsidRPr="004573EF">
              <w:rPr>
                <w:rFonts w:cstheme="minorHAnsi"/>
                <w:sz w:val="20"/>
                <w:szCs w:val="20"/>
              </w:rPr>
              <w:t>42</w:t>
            </w:r>
          </w:p>
        </w:tc>
        <w:tc>
          <w:tcPr>
            <w:tcW w:w="1583" w:type="pct"/>
          </w:tcPr>
          <w:p w:rsidR="005225DE" w:rsidRPr="004573EF" w:rsidRDefault="005225DE" w:rsidP="00D907AF">
            <w:pPr>
              <w:spacing w:before="20" w:after="20"/>
              <w:ind w:right="1169"/>
              <w:jc w:val="right"/>
              <w:rPr>
                <w:rFonts w:cstheme="minorHAnsi"/>
                <w:sz w:val="20"/>
                <w:szCs w:val="20"/>
              </w:rPr>
            </w:pPr>
            <w:r w:rsidRPr="004573EF">
              <w:rPr>
                <w:rFonts w:cstheme="minorHAnsi"/>
                <w:sz w:val="20"/>
                <w:szCs w:val="20"/>
              </w:rPr>
              <w:t>43.8</w:t>
            </w:r>
          </w:p>
        </w:tc>
      </w:tr>
      <w:tr w:rsidR="005225DE" w:rsidRPr="004573EF" w:rsidTr="001332EF">
        <w:trPr>
          <w:cantSplit/>
        </w:trPr>
        <w:tc>
          <w:tcPr>
            <w:tcW w:w="1500" w:type="pct"/>
            <w:hideMark/>
          </w:tcPr>
          <w:p w:rsidR="005225DE" w:rsidRPr="004573EF" w:rsidRDefault="005225DE" w:rsidP="00D907AF">
            <w:pPr>
              <w:spacing w:before="20" w:after="20"/>
              <w:rPr>
                <w:rFonts w:cstheme="minorHAnsi"/>
                <w:sz w:val="20"/>
                <w:szCs w:val="20"/>
              </w:rPr>
            </w:pPr>
            <w:r w:rsidRPr="004573EF">
              <w:rPr>
                <w:rFonts w:cstheme="minorHAnsi"/>
                <w:sz w:val="20"/>
                <w:szCs w:val="20"/>
              </w:rPr>
              <w:t>VIC</w:t>
            </w:r>
          </w:p>
        </w:tc>
        <w:tc>
          <w:tcPr>
            <w:tcW w:w="948" w:type="pct"/>
          </w:tcPr>
          <w:p w:rsidR="005225DE" w:rsidRPr="004573EF" w:rsidRDefault="005225DE" w:rsidP="00530182">
            <w:pPr>
              <w:spacing w:before="20" w:after="20"/>
              <w:ind w:right="397"/>
              <w:jc w:val="right"/>
              <w:rPr>
                <w:rFonts w:cstheme="minorHAnsi"/>
                <w:sz w:val="20"/>
                <w:szCs w:val="20"/>
              </w:rPr>
            </w:pPr>
            <w:r w:rsidRPr="004573EF">
              <w:rPr>
                <w:rFonts w:cstheme="minorHAnsi"/>
                <w:sz w:val="20"/>
                <w:szCs w:val="20"/>
              </w:rPr>
              <w:t>810</w:t>
            </w:r>
          </w:p>
        </w:tc>
        <w:tc>
          <w:tcPr>
            <w:tcW w:w="969" w:type="pct"/>
          </w:tcPr>
          <w:p w:rsidR="005225DE" w:rsidRPr="004573EF" w:rsidRDefault="005225DE" w:rsidP="00D907AF">
            <w:pPr>
              <w:spacing w:before="20" w:after="20"/>
              <w:ind w:right="478"/>
              <w:jc w:val="right"/>
              <w:rPr>
                <w:rFonts w:cstheme="minorHAnsi"/>
                <w:sz w:val="20"/>
                <w:szCs w:val="20"/>
              </w:rPr>
            </w:pPr>
            <w:r w:rsidRPr="004573EF">
              <w:rPr>
                <w:rFonts w:cstheme="minorHAnsi"/>
                <w:sz w:val="20"/>
                <w:szCs w:val="20"/>
              </w:rPr>
              <w:t>312</w:t>
            </w:r>
          </w:p>
        </w:tc>
        <w:tc>
          <w:tcPr>
            <w:tcW w:w="1583" w:type="pct"/>
          </w:tcPr>
          <w:p w:rsidR="005225DE" w:rsidRPr="004573EF" w:rsidRDefault="005225DE" w:rsidP="00D907AF">
            <w:pPr>
              <w:spacing w:before="20" w:after="20"/>
              <w:ind w:right="1169"/>
              <w:jc w:val="right"/>
              <w:rPr>
                <w:rFonts w:cstheme="minorHAnsi"/>
                <w:sz w:val="20"/>
                <w:szCs w:val="20"/>
              </w:rPr>
            </w:pPr>
            <w:r w:rsidRPr="004573EF">
              <w:rPr>
                <w:rFonts w:cstheme="minorHAnsi"/>
                <w:sz w:val="20"/>
                <w:szCs w:val="20"/>
              </w:rPr>
              <w:t>38.5</w:t>
            </w:r>
          </w:p>
        </w:tc>
      </w:tr>
      <w:tr w:rsidR="005225DE" w:rsidRPr="004573EF" w:rsidTr="001332EF">
        <w:trPr>
          <w:cantSplit/>
        </w:trPr>
        <w:tc>
          <w:tcPr>
            <w:tcW w:w="1500" w:type="pct"/>
            <w:tcBorders>
              <w:bottom w:val="single" w:sz="4" w:space="0" w:color="auto"/>
            </w:tcBorders>
          </w:tcPr>
          <w:p w:rsidR="005225DE" w:rsidRPr="004573EF" w:rsidRDefault="005225DE" w:rsidP="00D907AF">
            <w:pPr>
              <w:spacing w:before="20" w:after="20"/>
              <w:rPr>
                <w:rFonts w:cstheme="minorHAnsi"/>
                <w:sz w:val="20"/>
                <w:szCs w:val="20"/>
              </w:rPr>
            </w:pPr>
            <w:r w:rsidRPr="004573EF">
              <w:rPr>
                <w:rFonts w:cstheme="minorHAnsi"/>
                <w:sz w:val="20"/>
                <w:szCs w:val="20"/>
              </w:rPr>
              <w:t>Other states</w:t>
            </w:r>
          </w:p>
        </w:tc>
        <w:tc>
          <w:tcPr>
            <w:tcW w:w="948" w:type="pct"/>
            <w:tcBorders>
              <w:bottom w:val="single" w:sz="4" w:space="0" w:color="auto"/>
            </w:tcBorders>
          </w:tcPr>
          <w:p w:rsidR="005225DE" w:rsidRPr="004573EF" w:rsidRDefault="005225DE" w:rsidP="00530182">
            <w:pPr>
              <w:spacing w:before="20" w:after="20"/>
              <w:ind w:right="397"/>
              <w:jc w:val="right"/>
              <w:rPr>
                <w:rFonts w:cstheme="minorHAnsi"/>
                <w:sz w:val="20"/>
                <w:szCs w:val="20"/>
              </w:rPr>
            </w:pPr>
            <w:r w:rsidRPr="004573EF">
              <w:rPr>
                <w:rFonts w:cstheme="minorHAnsi"/>
                <w:sz w:val="20"/>
                <w:szCs w:val="20"/>
              </w:rPr>
              <w:t>274</w:t>
            </w:r>
          </w:p>
        </w:tc>
        <w:tc>
          <w:tcPr>
            <w:tcW w:w="969" w:type="pct"/>
            <w:tcBorders>
              <w:bottom w:val="single" w:sz="4" w:space="0" w:color="auto"/>
            </w:tcBorders>
          </w:tcPr>
          <w:p w:rsidR="005225DE" w:rsidRPr="004573EF" w:rsidRDefault="005225DE" w:rsidP="00D907AF">
            <w:pPr>
              <w:spacing w:before="20" w:after="20"/>
              <w:ind w:right="478"/>
              <w:jc w:val="right"/>
              <w:rPr>
                <w:rFonts w:cstheme="minorHAnsi"/>
                <w:sz w:val="20"/>
                <w:szCs w:val="20"/>
              </w:rPr>
            </w:pPr>
            <w:r w:rsidRPr="004573EF">
              <w:rPr>
                <w:rFonts w:cstheme="minorHAnsi"/>
                <w:sz w:val="20"/>
                <w:szCs w:val="20"/>
              </w:rPr>
              <w:t>89</w:t>
            </w:r>
          </w:p>
        </w:tc>
        <w:tc>
          <w:tcPr>
            <w:tcW w:w="1583" w:type="pct"/>
            <w:tcBorders>
              <w:bottom w:val="single" w:sz="4" w:space="0" w:color="auto"/>
            </w:tcBorders>
          </w:tcPr>
          <w:p w:rsidR="005225DE" w:rsidRPr="004573EF" w:rsidRDefault="005225DE" w:rsidP="00D907AF">
            <w:pPr>
              <w:spacing w:before="20" w:after="20"/>
              <w:ind w:right="1169"/>
              <w:jc w:val="right"/>
              <w:rPr>
                <w:rFonts w:cstheme="minorHAnsi"/>
                <w:sz w:val="20"/>
                <w:szCs w:val="20"/>
              </w:rPr>
            </w:pPr>
            <w:r w:rsidRPr="004573EF">
              <w:rPr>
                <w:rFonts w:cstheme="minorHAnsi"/>
                <w:sz w:val="20"/>
                <w:szCs w:val="20"/>
              </w:rPr>
              <w:t>32.5</w:t>
            </w:r>
          </w:p>
        </w:tc>
      </w:tr>
      <w:tr w:rsidR="005225DE" w:rsidRPr="004573EF" w:rsidTr="001332EF">
        <w:trPr>
          <w:cantSplit/>
        </w:trPr>
        <w:tc>
          <w:tcPr>
            <w:tcW w:w="1500" w:type="pct"/>
            <w:tcBorders>
              <w:top w:val="single" w:sz="4" w:space="0" w:color="auto"/>
              <w:bottom w:val="single" w:sz="4" w:space="0" w:color="auto"/>
            </w:tcBorders>
          </w:tcPr>
          <w:p w:rsidR="005225DE" w:rsidRPr="004573EF" w:rsidRDefault="005225DE" w:rsidP="00D907AF">
            <w:pPr>
              <w:spacing w:before="20" w:after="20"/>
              <w:rPr>
                <w:rFonts w:cstheme="minorHAnsi"/>
                <w:b/>
                <w:sz w:val="20"/>
                <w:szCs w:val="20"/>
              </w:rPr>
            </w:pPr>
            <w:r w:rsidRPr="004573EF">
              <w:rPr>
                <w:rFonts w:cstheme="minorHAnsi"/>
                <w:b/>
                <w:sz w:val="20"/>
                <w:szCs w:val="20"/>
              </w:rPr>
              <w:t>Total</w:t>
            </w:r>
          </w:p>
        </w:tc>
        <w:tc>
          <w:tcPr>
            <w:tcW w:w="948" w:type="pct"/>
            <w:tcBorders>
              <w:top w:val="single" w:sz="4" w:space="0" w:color="auto"/>
              <w:bottom w:val="single" w:sz="4" w:space="0" w:color="auto"/>
            </w:tcBorders>
          </w:tcPr>
          <w:p w:rsidR="005225DE" w:rsidRPr="00530182" w:rsidRDefault="005225DE" w:rsidP="00530182">
            <w:pPr>
              <w:spacing w:before="20" w:after="20"/>
              <w:ind w:right="397"/>
              <w:jc w:val="right"/>
              <w:rPr>
                <w:rFonts w:cstheme="minorHAnsi"/>
                <w:b/>
                <w:sz w:val="20"/>
                <w:szCs w:val="20"/>
              </w:rPr>
            </w:pPr>
            <w:r w:rsidRPr="00530182">
              <w:rPr>
                <w:rFonts w:cstheme="minorHAnsi"/>
                <w:b/>
                <w:sz w:val="20"/>
                <w:szCs w:val="20"/>
              </w:rPr>
              <w:t>2,632</w:t>
            </w:r>
          </w:p>
        </w:tc>
        <w:tc>
          <w:tcPr>
            <w:tcW w:w="969" w:type="pct"/>
            <w:tcBorders>
              <w:top w:val="single" w:sz="4" w:space="0" w:color="auto"/>
              <w:bottom w:val="single" w:sz="4" w:space="0" w:color="auto"/>
            </w:tcBorders>
          </w:tcPr>
          <w:p w:rsidR="005225DE" w:rsidRPr="004573EF" w:rsidRDefault="005225DE" w:rsidP="00D907AF">
            <w:pPr>
              <w:spacing w:before="20" w:after="20"/>
              <w:ind w:right="478"/>
              <w:jc w:val="right"/>
              <w:rPr>
                <w:rFonts w:cstheme="minorHAnsi"/>
                <w:b/>
                <w:sz w:val="20"/>
                <w:szCs w:val="20"/>
              </w:rPr>
            </w:pPr>
            <w:r w:rsidRPr="004573EF">
              <w:rPr>
                <w:rFonts w:cstheme="minorHAnsi"/>
                <w:b/>
                <w:sz w:val="20"/>
                <w:szCs w:val="20"/>
              </w:rPr>
              <w:t>924</w:t>
            </w:r>
          </w:p>
        </w:tc>
        <w:tc>
          <w:tcPr>
            <w:tcW w:w="1583" w:type="pct"/>
            <w:tcBorders>
              <w:top w:val="single" w:sz="4" w:space="0" w:color="auto"/>
              <w:bottom w:val="single" w:sz="4" w:space="0" w:color="auto"/>
            </w:tcBorders>
          </w:tcPr>
          <w:p w:rsidR="005225DE" w:rsidRPr="004573EF" w:rsidRDefault="005225DE" w:rsidP="00D907AF">
            <w:pPr>
              <w:spacing w:before="20" w:after="20"/>
              <w:ind w:right="1169"/>
              <w:jc w:val="right"/>
              <w:rPr>
                <w:rFonts w:cstheme="minorHAnsi"/>
                <w:b/>
                <w:sz w:val="20"/>
                <w:szCs w:val="20"/>
              </w:rPr>
            </w:pPr>
            <w:r w:rsidRPr="004573EF">
              <w:rPr>
                <w:rFonts w:cstheme="minorHAnsi"/>
                <w:b/>
                <w:sz w:val="20"/>
                <w:szCs w:val="20"/>
              </w:rPr>
              <w:t>35.1</w:t>
            </w:r>
          </w:p>
        </w:tc>
      </w:tr>
    </w:tbl>
    <w:p w:rsidR="00D907AF" w:rsidRPr="004573EF" w:rsidRDefault="00D907AF" w:rsidP="00BC69BF">
      <w:pPr>
        <w:pStyle w:val="NILSReference"/>
      </w:pPr>
      <w:r w:rsidRPr="004573EF">
        <w:t>Note: Wave 1a and 1b excludes 42 cases originally assigned to the comparison sample, but since reassigned to the trial sample. The total number of completed surveys (1877) is higher than reported in analysis statistics as not all responses, e.g. hardcopy returns, had been scanned (where necessary), cleaned and transferred into the data file.</w:t>
      </w:r>
    </w:p>
    <w:p w:rsidR="005B2D5F" w:rsidRDefault="005B2D5F" w:rsidP="00D907AF"/>
    <w:p w:rsidR="00D907AF" w:rsidRPr="004E62D8" w:rsidRDefault="00D907AF" w:rsidP="004B4923">
      <w:pPr>
        <w:spacing w:after="240"/>
      </w:pPr>
      <w:r w:rsidRPr="004E62D8">
        <w:t>To</w:t>
      </w:r>
      <w:r>
        <w:t xml:space="preserve"> </w:t>
      </w:r>
      <w:r w:rsidRPr="004E62D8">
        <w:t>date, the majority of NDIS Survey respondents have opted to complete the survey online (38.5</w:t>
      </w:r>
      <w:r>
        <w:t xml:space="preserve"> per cent</w:t>
      </w:r>
      <w:r w:rsidRPr="004E62D8">
        <w:t>) or by phone (23.2</w:t>
      </w:r>
      <w:r>
        <w:t xml:space="preserve"> per cent) (Table 3.6</w:t>
      </w:r>
      <w:r w:rsidRPr="004E62D8">
        <w:t>). Almost 4 in 10 respondents preferred to fill out the paper questionnaire (38.3</w:t>
      </w:r>
      <w:r>
        <w:t xml:space="preserve"> per cent</w:t>
      </w:r>
      <w:r w:rsidRPr="004E62D8">
        <w:t>). Parent</w:t>
      </w:r>
      <w:r>
        <w:t>s</w:t>
      </w:r>
      <w:r w:rsidRPr="004E62D8">
        <w:t>, guardians or other Persons Responsible completing only Part A of the NDIS Survey on behalf of a person with disability under the age of 8 were disproportionately likely to opt for telephone interviewing (38.8</w:t>
      </w:r>
      <w:r>
        <w:t xml:space="preserve"> per cent</w:t>
      </w:r>
      <w:r w:rsidRPr="004E62D8">
        <w:t xml:space="preserve"> versus an average of 20.6</w:t>
      </w:r>
      <w:r>
        <w:t xml:space="preserve"> per cent</w:t>
      </w:r>
      <w:r w:rsidRPr="004E62D8">
        <w:t>); whereas CATI was more likely to be the choice of adult self-completers (41.3</w:t>
      </w:r>
      <w:r>
        <w:t xml:space="preserve"> per cent</w:t>
      </w:r>
      <w:r w:rsidRPr="004E62D8">
        <w:t xml:space="preserve"> versus 26.3</w:t>
      </w:r>
      <w:r>
        <w:t xml:space="preserve"> per cent</w:t>
      </w:r>
      <w:r w:rsidRPr="004E62D8">
        <w:t xml:space="preserve"> overall). Hardcopy (paper questionnaire) completion, by contrast, was disproportionately chosen when a proxy completed Part A of the survey, but Part B was intended for completion by the person with disability</w:t>
      </w:r>
      <w:r>
        <w:t>.</w:t>
      </w:r>
    </w:p>
    <w:p w:rsidR="00F204E0" w:rsidRDefault="00F204E0">
      <w:pPr>
        <w:rPr>
          <w:b/>
          <w:sz w:val="20"/>
          <w:lang w:val="x-none"/>
        </w:rPr>
      </w:pPr>
      <w:bookmarkStart w:id="190" w:name="_Toc428280656"/>
      <w:r>
        <w:br w:type="page"/>
      </w:r>
    </w:p>
    <w:p w:rsidR="00D907AF" w:rsidRPr="004E62D8" w:rsidRDefault="00D907AF" w:rsidP="0044684E">
      <w:pPr>
        <w:pStyle w:val="NILSTableHeading"/>
      </w:pPr>
      <w:bookmarkStart w:id="191" w:name="_Toc449955268"/>
      <w:r>
        <w:lastRenderedPageBreak/>
        <w:t>Table 3.6: NDIS Survey r</w:t>
      </w:r>
      <w:r w:rsidRPr="004E62D8">
        <w:t>esponses by mode and types of questionnaire (as at end May 2015)</w:t>
      </w:r>
      <w:bookmarkEnd w:id="191"/>
      <w:r w:rsidRPr="004E62D8">
        <w:t xml:space="preserve"> </w:t>
      </w:r>
      <w:bookmarkEnd w:id="190"/>
    </w:p>
    <w:tbl>
      <w:tblPr>
        <w:tblStyle w:val="TableGrid"/>
        <w:tblW w:w="0" w:type="auto"/>
        <w:tblLook w:val="04A0" w:firstRow="1" w:lastRow="0" w:firstColumn="1" w:lastColumn="0" w:noHBand="0" w:noVBand="1"/>
        <w:tblCaption w:val="Table 3.6 NDIS Survey responses by mode and types of questionnaire (as at end May 2015) (col %)"/>
      </w:tblPr>
      <w:tblGrid>
        <w:gridCol w:w="671"/>
        <w:gridCol w:w="5122"/>
        <w:gridCol w:w="763"/>
        <w:gridCol w:w="757"/>
        <w:gridCol w:w="997"/>
        <w:gridCol w:w="760"/>
      </w:tblGrid>
      <w:tr w:rsidR="00D907AF" w:rsidRPr="004573EF" w:rsidTr="00E40DA9">
        <w:trPr>
          <w:cantSplit/>
          <w:tblHeader/>
        </w:trPr>
        <w:tc>
          <w:tcPr>
            <w:tcW w:w="675" w:type="dxa"/>
            <w:tcBorders>
              <w:top w:val="single" w:sz="4" w:space="0" w:color="auto"/>
              <w:bottom w:val="single" w:sz="4" w:space="0" w:color="auto"/>
            </w:tcBorders>
            <w:vAlign w:val="center"/>
          </w:tcPr>
          <w:p w:rsidR="00D907AF" w:rsidRPr="004573EF" w:rsidRDefault="00D907AF" w:rsidP="00E40DA9">
            <w:pPr>
              <w:spacing w:before="20" w:after="20"/>
              <w:rPr>
                <w:rFonts w:cstheme="minorHAnsi"/>
                <w:sz w:val="20"/>
                <w:szCs w:val="20"/>
              </w:rPr>
            </w:pPr>
            <w:bookmarkStart w:id="192" w:name="ColumnTitle_3_6"/>
            <w:bookmarkEnd w:id="192"/>
            <w:r w:rsidRPr="004573EF">
              <w:rPr>
                <w:rFonts w:cstheme="minorHAnsi"/>
                <w:sz w:val="20"/>
                <w:szCs w:val="20"/>
              </w:rPr>
              <w:t>DV1</w:t>
            </w:r>
          </w:p>
        </w:tc>
        <w:tc>
          <w:tcPr>
            <w:tcW w:w="5278" w:type="dxa"/>
            <w:tcBorders>
              <w:top w:val="single" w:sz="4" w:space="0" w:color="auto"/>
              <w:bottom w:val="single" w:sz="4" w:space="0" w:color="auto"/>
            </w:tcBorders>
            <w:vAlign w:val="center"/>
          </w:tcPr>
          <w:p w:rsidR="00D907AF" w:rsidRPr="004573EF" w:rsidRDefault="00D907AF" w:rsidP="00E40DA9">
            <w:pPr>
              <w:spacing w:before="20" w:after="20"/>
              <w:rPr>
                <w:rFonts w:cstheme="minorHAnsi"/>
                <w:sz w:val="20"/>
                <w:szCs w:val="20"/>
              </w:rPr>
            </w:pPr>
            <w:r w:rsidRPr="004573EF">
              <w:rPr>
                <w:rFonts w:cstheme="minorHAnsi"/>
                <w:sz w:val="20"/>
                <w:szCs w:val="20"/>
              </w:rPr>
              <w:t xml:space="preserve">Questionnaire Type </w:t>
            </w:r>
          </w:p>
        </w:tc>
        <w:tc>
          <w:tcPr>
            <w:tcW w:w="764" w:type="dxa"/>
            <w:tcBorders>
              <w:top w:val="single" w:sz="4" w:space="0" w:color="auto"/>
              <w:bottom w:val="single" w:sz="4" w:space="0" w:color="auto"/>
            </w:tcBorders>
          </w:tcPr>
          <w:p w:rsidR="00D907AF" w:rsidRDefault="00D907AF" w:rsidP="00D907AF">
            <w:pPr>
              <w:spacing w:before="20" w:after="20"/>
              <w:jc w:val="center"/>
              <w:rPr>
                <w:rFonts w:cstheme="minorHAnsi"/>
                <w:sz w:val="20"/>
                <w:szCs w:val="20"/>
              </w:rPr>
            </w:pPr>
            <w:r w:rsidRPr="004573EF">
              <w:rPr>
                <w:rFonts w:cstheme="minorHAnsi"/>
                <w:sz w:val="20"/>
                <w:szCs w:val="20"/>
              </w:rPr>
              <w:t>Online</w:t>
            </w:r>
          </w:p>
          <w:p w:rsidR="003276FC" w:rsidRPr="004573EF" w:rsidRDefault="003276FC" w:rsidP="00D907AF">
            <w:pPr>
              <w:spacing w:before="20" w:after="20"/>
              <w:jc w:val="center"/>
              <w:rPr>
                <w:rFonts w:cstheme="minorHAnsi"/>
                <w:sz w:val="20"/>
                <w:szCs w:val="20"/>
              </w:rPr>
            </w:pPr>
            <w:r>
              <w:rPr>
                <w:rFonts w:cstheme="minorHAnsi"/>
                <w:sz w:val="20"/>
                <w:szCs w:val="20"/>
              </w:rPr>
              <w:t>%</w:t>
            </w:r>
          </w:p>
        </w:tc>
        <w:tc>
          <w:tcPr>
            <w:tcW w:w="764" w:type="dxa"/>
            <w:tcBorders>
              <w:top w:val="single" w:sz="4" w:space="0" w:color="auto"/>
              <w:bottom w:val="single" w:sz="4" w:space="0" w:color="auto"/>
            </w:tcBorders>
          </w:tcPr>
          <w:p w:rsidR="00D907AF" w:rsidRDefault="00D907AF" w:rsidP="00D907AF">
            <w:pPr>
              <w:spacing w:before="20" w:after="20"/>
              <w:jc w:val="center"/>
              <w:rPr>
                <w:rFonts w:cstheme="minorHAnsi"/>
                <w:sz w:val="20"/>
                <w:szCs w:val="20"/>
              </w:rPr>
            </w:pPr>
            <w:r w:rsidRPr="004573EF">
              <w:rPr>
                <w:rFonts w:cstheme="minorHAnsi"/>
                <w:sz w:val="20"/>
                <w:szCs w:val="20"/>
              </w:rPr>
              <w:t>CATI</w:t>
            </w:r>
          </w:p>
          <w:p w:rsidR="003276FC" w:rsidRPr="004573EF" w:rsidRDefault="003276FC" w:rsidP="00D907AF">
            <w:pPr>
              <w:spacing w:before="20" w:after="20"/>
              <w:jc w:val="center"/>
              <w:rPr>
                <w:rFonts w:cstheme="minorHAnsi"/>
                <w:sz w:val="20"/>
                <w:szCs w:val="20"/>
              </w:rPr>
            </w:pPr>
            <w:r>
              <w:rPr>
                <w:rFonts w:cstheme="minorHAnsi"/>
                <w:sz w:val="20"/>
                <w:szCs w:val="20"/>
              </w:rPr>
              <w:t>%</w:t>
            </w:r>
          </w:p>
        </w:tc>
        <w:tc>
          <w:tcPr>
            <w:tcW w:w="997" w:type="dxa"/>
            <w:tcBorders>
              <w:top w:val="single" w:sz="4" w:space="0" w:color="auto"/>
              <w:bottom w:val="single" w:sz="4" w:space="0" w:color="auto"/>
            </w:tcBorders>
          </w:tcPr>
          <w:p w:rsidR="00D907AF" w:rsidRDefault="00D907AF" w:rsidP="00D907AF">
            <w:pPr>
              <w:spacing w:before="20" w:after="20"/>
              <w:jc w:val="center"/>
              <w:rPr>
                <w:rFonts w:cstheme="minorHAnsi"/>
                <w:sz w:val="20"/>
                <w:szCs w:val="20"/>
              </w:rPr>
            </w:pPr>
            <w:r w:rsidRPr="004573EF">
              <w:rPr>
                <w:rFonts w:cstheme="minorHAnsi"/>
                <w:sz w:val="20"/>
                <w:szCs w:val="20"/>
              </w:rPr>
              <w:t>Hardcopy</w:t>
            </w:r>
          </w:p>
          <w:p w:rsidR="003276FC" w:rsidRPr="004573EF" w:rsidRDefault="003276FC" w:rsidP="00D907AF">
            <w:pPr>
              <w:spacing w:before="20" w:after="20"/>
              <w:jc w:val="center"/>
              <w:rPr>
                <w:rFonts w:cstheme="minorHAnsi"/>
                <w:sz w:val="20"/>
                <w:szCs w:val="20"/>
              </w:rPr>
            </w:pPr>
            <w:r>
              <w:rPr>
                <w:rFonts w:cstheme="minorHAnsi"/>
                <w:sz w:val="20"/>
                <w:szCs w:val="20"/>
              </w:rPr>
              <w:t>%</w:t>
            </w:r>
          </w:p>
        </w:tc>
        <w:tc>
          <w:tcPr>
            <w:tcW w:w="764" w:type="dxa"/>
            <w:tcBorders>
              <w:top w:val="single" w:sz="4" w:space="0" w:color="auto"/>
              <w:bottom w:val="single" w:sz="4" w:space="0" w:color="auto"/>
            </w:tcBorders>
          </w:tcPr>
          <w:p w:rsidR="00D907AF" w:rsidRDefault="00D907AF" w:rsidP="00D907AF">
            <w:pPr>
              <w:spacing w:before="20" w:after="20"/>
              <w:jc w:val="center"/>
              <w:rPr>
                <w:rFonts w:cstheme="minorHAnsi"/>
                <w:sz w:val="20"/>
                <w:szCs w:val="20"/>
              </w:rPr>
            </w:pPr>
            <w:r w:rsidRPr="004573EF">
              <w:rPr>
                <w:rFonts w:cstheme="minorHAnsi"/>
                <w:sz w:val="20"/>
                <w:szCs w:val="20"/>
              </w:rPr>
              <w:t>All</w:t>
            </w:r>
          </w:p>
          <w:p w:rsidR="003276FC" w:rsidRPr="004573EF" w:rsidRDefault="003276FC" w:rsidP="00D907AF">
            <w:pPr>
              <w:spacing w:before="20" w:after="20"/>
              <w:jc w:val="center"/>
              <w:rPr>
                <w:rFonts w:cstheme="minorHAnsi"/>
                <w:sz w:val="20"/>
                <w:szCs w:val="20"/>
              </w:rPr>
            </w:pPr>
            <w:r>
              <w:rPr>
                <w:rFonts w:cstheme="minorHAnsi"/>
                <w:sz w:val="20"/>
                <w:szCs w:val="20"/>
              </w:rPr>
              <w:t>%</w:t>
            </w:r>
          </w:p>
        </w:tc>
      </w:tr>
      <w:tr w:rsidR="00D907AF" w:rsidRPr="004573EF" w:rsidTr="009258B7">
        <w:trPr>
          <w:cantSplit/>
        </w:trPr>
        <w:tc>
          <w:tcPr>
            <w:tcW w:w="675" w:type="dxa"/>
          </w:tcPr>
          <w:p w:rsidR="00D907AF" w:rsidRPr="004573EF" w:rsidRDefault="00D907AF" w:rsidP="00D907AF">
            <w:pPr>
              <w:spacing w:after="20"/>
              <w:rPr>
                <w:rFonts w:cstheme="minorHAnsi"/>
                <w:sz w:val="20"/>
                <w:szCs w:val="20"/>
              </w:rPr>
            </w:pPr>
            <w:r w:rsidRPr="004573EF">
              <w:rPr>
                <w:rFonts w:cstheme="minorHAnsi"/>
                <w:sz w:val="20"/>
                <w:szCs w:val="20"/>
              </w:rPr>
              <w:t>1</w:t>
            </w:r>
          </w:p>
        </w:tc>
        <w:tc>
          <w:tcPr>
            <w:tcW w:w="5278" w:type="dxa"/>
          </w:tcPr>
          <w:p w:rsidR="00D907AF" w:rsidRPr="004573EF" w:rsidRDefault="00D907AF" w:rsidP="00D907AF">
            <w:pPr>
              <w:spacing w:after="20"/>
              <w:rPr>
                <w:rFonts w:cstheme="minorHAnsi"/>
                <w:sz w:val="20"/>
                <w:szCs w:val="20"/>
              </w:rPr>
            </w:pPr>
            <w:r w:rsidRPr="004573EF">
              <w:rPr>
                <w:rFonts w:cstheme="minorHAnsi"/>
                <w:sz w:val="20"/>
                <w:szCs w:val="20"/>
              </w:rPr>
              <w:t>Full standard survey 16+ Self-Completion - Standard</w:t>
            </w:r>
          </w:p>
        </w:tc>
        <w:tc>
          <w:tcPr>
            <w:tcW w:w="764" w:type="dxa"/>
            <w:vAlign w:val="bottom"/>
          </w:tcPr>
          <w:p w:rsidR="00D907AF" w:rsidRPr="004573EF" w:rsidRDefault="00D907AF" w:rsidP="00D907AF">
            <w:pPr>
              <w:spacing w:after="20"/>
              <w:jc w:val="right"/>
              <w:rPr>
                <w:rFonts w:cstheme="minorHAnsi"/>
                <w:sz w:val="20"/>
                <w:szCs w:val="20"/>
              </w:rPr>
            </w:pPr>
            <w:r w:rsidRPr="004573EF">
              <w:rPr>
                <w:rFonts w:cstheme="minorHAnsi"/>
                <w:sz w:val="20"/>
                <w:szCs w:val="20"/>
              </w:rPr>
              <w:t>16.9</w:t>
            </w:r>
          </w:p>
        </w:tc>
        <w:tc>
          <w:tcPr>
            <w:tcW w:w="764" w:type="dxa"/>
            <w:vAlign w:val="bottom"/>
          </w:tcPr>
          <w:p w:rsidR="00D907AF" w:rsidRPr="004573EF" w:rsidRDefault="00D907AF" w:rsidP="00D907AF">
            <w:pPr>
              <w:spacing w:after="20"/>
              <w:jc w:val="right"/>
              <w:rPr>
                <w:rFonts w:cstheme="minorHAnsi"/>
                <w:sz w:val="20"/>
                <w:szCs w:val="20"/>
              </w:rPr>
            </w:pPr>
            <w:r w:rsidRPr="004573EF">
              <w:rPr>
                <w:rFonts w:cstheme="minorHAnsi"/>
                <w:sz w:val="20"/>
                <w:szCs w:val="20"/>
              </w:rPr>
              <w:t>41.3</w:t>
            </w:r>
          </w:p>
        </w:tc>
        <w:tc>
          <w:tcPr>
            <w:tcW w:w="997" w:type="dxa"/>
            <w:vAlign w:val="bottom"/>
          </w:tcPr>
          <w:p w:rsidR="00D907AF" w:rsidRPr="004573EF" w:rsidRDefault="00D907AF" w:rsidP="00045422">
            <w:pPr>
              <w:spacing w:after="20"/>
              <w:ind w:right="142"/>
              <w:jc w:val="right"/>
              <w:rPr>
                <w:rFonts w:cstheme="minorHAnsi"/>
                <w:sz w:val="20"/>
                <w:szCs w:val="20"/>
              </w:rPr>
            </w:pPr>
            <w:r w:rsidRPr="004573EF">
              <w:rPr>
                <w:rFonts w:cstheme="minorHAnsi"/>
                <w:sz w:val="20"/>
                <w:szCs w:val="20"/>
              </w:rPr>
              <w:t>26.6</w:t>
            </w:r>
          </w:p>
        </w:tc>
        <w:tc>
          <w:tcPr>
            <w:tcW w:w="764" w:type="dxa"/>
            <w:vAlign w:val="bottom"/>
          </w:tcPr>
          <w:p w:rsidR="00D907AF" w:rsidRPr="004573EF" w:rsidRDefault="00D907AF" w:rsidP="00D907AF">
            <w:pPr>
              <w:spacing w:after="20"/>
              <w:jc w:val="right"/>
              <w:rPr>
                <w:rFonts w:cstheme="minorHAnsi"/>
                <w:sz w:val="20"/>
                <w:szCs w:val="20"/>
              </w:rPr>
            </w:pPr>
            <w:r w:rsidRPr="004573EF">
              <w:rPr>
                <w:rFonts w:cstheme="minorHAnsi"/>
                <w:sz w:val="20"/>
                <w:szCs w:val="20"/>
              </w:rPr>
              <w:t>26.3</w:t>
            </w:r>
          </w:p>
        </w:tc>
      </w:tr>
      <w:tr w:rsidR="00D907AF" w:rsidRPr="004573EF" w:rsidTr="009258B7">
        <w:trPr>
          <w:cantSplit/>
        </w:trPr>
        <w:tc>
          <w:tcPr>
            <w:tcW w:w="675" w:type="dxa"/>
          </w:tcPr>
          <w:p w:rsidR="00D907AF" w:rsidRPr="004573EF" w:rsidRDefault="00D907AF" w:rsidP="00D907AF">
            <w:pPr>
              <w:spacing w:before="20" w:after="20"/>
              <w:rPr>
                <w:rFonts w:cstheme="minorHAnsi"/>
                <w:sz w:val="20"/>
                <w:szCs w:val="20"/>
              </w:rPr>
            </w:pPr>
            <w:r w:rsidRPr="004573EF">
              <w:rPr>
                <w:rFonts w:cstheme="minorHAnsi"/>
                <w:sz w:val="20"/>
                <w:szCs w:val="20"/>
              </w:rPr>
              <w:t>2</w:t>
            </w:r>
          </w:p>
        </w:tc>
        <w:tc>
          <w:tcPr>
            <w:tcW w:w="5278" w:type="dxa"/>
          </w:tcPr>
          <w:p w:rsidR="00D907AF" w:rsidRPr="004573EF" w:rsidRDefault="00D907AF" w:rsidP="00D907AF">
            <w:pPr>
              <w:spacing w:before="20" w:after="20"/>
              <w:rPr>
                <w:rFonts w:cstheme="minorHAnsi"/>
                <w:sz w:val="20"/>
                <w:szCs w:val="20"/>
              </w:rPr>
            </w:pPr>
            <w:r w:rsidRPr="004573EF">
              <w:rPr>
                <w:rFonts w:cstheme="minorHAnsi"/>
                <w:sz w:val="20"/>
                <w:szCs w:val="20"/>
              </w:rPr>
              <w:t>Full EE Survey 16+ Self-Completion - Easy English</w:t>
            </w:r>
          </w:p>
        </w:tc>
        <w:tc>
          <w:tcPr>
            <w:tcW w:w="764" w:type="dxa"/>
            <w:vAlign w:val="bottom"/>
          </w:tcPr>
          <w:p w:rsidR="00D907AF" w:rsidRPr="004573EF" w:rsidRDefault="00D907AF" w:rsidP="00D907AF">
            <w:pPr>
              <w:spacing w:before="20" w:after="20"/>
              <w:jc w:val="right"/>
              <w:rPr>
                <w:rFonts w:cstheme="minorHAnsi"/>
                <w:sz w:val="20"/>
                <w:szCs w:val="20"/>
              </w:rPr>
            </w:pPr>
            <w:r w:rsidRPr="004573EF">
              <w:rPr>
                <w:rFonts w:cstheme="minorHAnsi"/>
                <w:sz w:val="20"/>
                <w:szCs w:val="20"/>
              </w:rPr>
              <w:t>1.0</w:t>
            </w:r>
          </w:p>
        </w:tc>
        <w:tc>
          <w:tcPr>
            <w:tcW w:w="764" w:type="dxa"/>
            <w:vAlign w:val="bottom"/>
          </w:tcPr>
          <w:p w:rsidR="00D907AF" w:rsidRPr="004573EF" w:rsidRDefault="00D907AF" w:rsidP="00D907AF">
            <w:pPr>
              <w:spacing w:before="20" w:after="20"/>
              <w:jc w:val="right"/>
              <w:rPr>
                <w:rFonts w:cstheme="minorHAnsi"/>
                <w:sz w:val="20"/>
                <w:szCs w:val="20"/>
              </w:rPr>
            </w:pPr>
            <w:r w:rsidRPr="004573EF">
              <w:rPr>
                <w:rFonts w:cstheme="minorHAnsi"/>
                <w:sz w:val="20"/>
                <w:szCs w:val="20"/>
              </w:rPr>
              <w:t>3.2</w:t>
            </w:r>
          </w:p>
        </w:tc>
        <w:tc>
          <w:tcPr>
            <w:tcW w:w="997" w:type="dxa"/>
            <w:vAlign w:val="bottom"/>
          </w:tcPr>
          <w:p w:rsidR="00D907AF" w:rsidRPr="004573EF" w:rsidRDefault="00D907AF" w:rsidP="00045422">
            <w:pPr>
              <w:spacing w:before="20" w:after="20"/>
              <w:ind w:right="142"/>
              <w:jc w:val="right"/>
              <w:rPr>
                <w:rFonts w:cstheme="minorHAnsi"/>
                <w:sz w:val="20"/>
                <w:szCs w:val="20"/>
              </w:rPr>
            </w:pPr>
            <w:r w:rsidRPr="004573EF">
              <w:rPr>
                <w:rFonts w:cstheme="minorHAnsi"/>
                <w:sz w:val="20"/>
                <w:szCs w:val="20"/>
              </w:rPr>
              <w:t>5.2</w:t>
            </w:r>
          </w:p>
        </w:tc>
        <w:tc>
          <w:tcPr>
            <w:tcW w:w="764" w:type="dxa"/>
            <w:vAlign w:val="bottom"/>
          </w:tcPr>
          <w:p w:rsidR="00D907AF" w:rsidRPr="004573EF" w:rsidRDefault="00D907AF" w:rsidP="00D907AF">
            <w:pPr>
              <w:spacing w:before="20" w:after="20"/>
              <w:jc w:val="right"/>
              <w:rPr>
                <w:rFonts w:cstheme="minorHAnsi"/>
                <w:sz w:val="20"/>
                <w:szCs w:val="20"/>
              </w:rPr>
            </w:pPr>
            <w:r w:rsidRPr="004573EF">
              <w:rPr>
                <w:rFonts w:cstheme="minorHAnsi"/>
                <w:sz w:val="20"/>
                <w:szCs w:val="20"/>
              </w:rPr>
              <w:t>3.1</w:t>
            </w:r>
          </w:p>
        </w:tc>
      </w:tr>
      <w:tr w:rsidR="00D907AF" w:rsidRPr="004573EF" w:rsidTr="009258B7">
        <w:trPr>
          <w:cantSplit/>
        </w:trPr>
        <w:tc>
          <w:tcPr>
            <w:tcW w:w="675" w:type="dxa"/>
          </w:tcPr>
          <w:p w:rsidR="00D907AF" w:rsidRPr="004573EF" w:rsidRDefault="00D907AF" w:rsidP="00D907AF">
            <w:pPr>
              <w:spacing w:before="20" w:after="20"/>
              <w:rPr>
                <w:rFonts w:cstheme="minorHAnsi"/>
                <w:sz w:val="20"/>
                <w:szCs w:val="20"/>
              </w:rPr>
            </w:pPr>
            <w:r w:rsidRPr="004573EF">
              <w:rPr>
                <w:rFonts w:cstheme="minorHAnsi"/>
                <w:sz w:val="20"/>
                <w:szCs w:val="20"/>
              </w:rPr>
              <w:t>3</w:t>
            </w:r>
          </w:p>
        </w:tc>
        <w:tc>
          <w:tcPr>
            <w:tcW w:w="5278" w:type="dxa"/>
          </w:tcPr>
          <w:p w:rsidR="00D907AF" w:rsidRPr="004573EF" w:rsidRDefault="00D907AF" w:rsidP="00D907AF">
            <w:pPr>
              <w:spacing w:before="20" w:after="20"/>
              <w:rPr>
                <w:rFonts w:cstheme="minorHAnsi"/>
                <w:sz w:val="20"/>
                <w:szCs w:val="20"/>
              </w:rPr>
            </w:pPr>
            <w:r w:rsidRPr="004573EF">
              <w:rPr>
                <w:rFonts w:cstheme="minorHAnsi"/>
                <w:sz w:val="20"/>
                <w:szCs w:val="20"/>
              </w:rPr>
              <w:t>Assisted Standard 16+ Assisted Part A - Standard</w:t>
            </w:r>
          </w:p>
        </w:tc>
        <w:tc>
          <w:tcPr>
            <w:tcW w:w="764" w:type="dxa"/>
            <w:vAlign w:val="bottom"/>
          </w:tcPr>
          <w:p w:rsidR="00D907AF" w:rsidRPr="004573EF" w:rsidRDefault="00D907AF" w:rsidP="00D907AF">
            <w:pPr>
              <w:spacing w:before="20" w:after="20"/>
              <w:jc w:val="right"/>
              <w:rPr>
                <w:rFonts w:cstheme="minorHAnsi"/>
                <w:sz w:val="20"/>
                <w:szCs w:val="20"/>
              </w:rPr>
            </w:pPr>
            <w:r w:rsidRPr="004573EF">
              <w:rPr>
                <w:rFonts w:cstheme="minorHAnsi"/>
                <w:sz w:val="20"/>
                <w:szCs w:val="20"/>
              </w:rPr>
              <w:t>5.3</w:t>
            </w:r>
          </w:p>
        </w:tc>
        <w:tc>
          <w:tcPr>
            <w:tcW w:w="764" w:type="dxa"/>
            <w:vAlign w:val="bottom"/>
          </w:tcPr>
          <w:p w:rsidR="00D907AF" w:rsidRPr="004573EF" w:rsidRDefault="00D907AF" w:rsidP="00D907AF">
            <w:pPr>
              <w:spacing w:before="20" w:after="20"/>
              <w:jc w:val="right"/>
              <w:rPr>
                <w:rFonts w:cstheme="minorHAnsi"/>
                <w:sz w:val="20"/>
                <w:szCs w:val="20"/>
              </w:rPr>
            </w:pPr>
            <w:r w:rsidRPr="004573EF">
              <w:rPr>
                <w:rFonts w:cstheme="minorHAnsi"/>
                <w:sz w:val="20"/>
                <w:szCs w:val="20"/>
              </w:rPr>
              <w:t>0.7</w:t>
            </w:r>
          </w:p>
        </w:tc>
        <w:tc>
          <w:tcPr>
            <w:tcW w:w="997" w:type="dxa"/>
            <w:vAlign w:val="bottom"/>
          </w:tcPr>
          <w:p w:rsidR="00D907AF" w:rsidRPr="004573EF" w:rsidRDefault="00D907AF" w:rsidP="00045422">
            <w:pPr>
              <w:spacing w:before="20" w:after="20"/>
              <w:ind w:right="142"/>
              <w:jc w:val="right"/>
              <w:rPr>
                <w:rFonts w:cstheme="minorHAnsi"/>
                <w:sz w:val="20"/>
                <w:szCs w:val="20"/>
              </w:rPr>
            </w:pPr>
            <w:r w:rsidRPr="004573EF">
              <w:rPr>
                <w:rFonts w:cstheme="minorHAnsi"/>
                <w:sz w:val="20"/>
                <w:szCs w:val="20"/>
              </w:rPr>
              <w:t>13.1</w:t>
            </w:r>
          </w:p>
        </w:tc>
        <w:tc>
          <w:tcPr>
            <w:tcW w:w="764" w:type="dxa"/>
            <w:vAlign w:val="bottom"/>
          </w:tcPr>
          <w:p w:rsidR="00D907AF" w:rsidRPr="004573EF" w:rsidRDefault="00D907AF" w:rsidP="00D907AF">
            <w:pPr>
              <w:spacing w:before="20" w:after="20"/>
              <w:jc w:val="right"/>
              <w:rPr>
                <w:rFonts w:cstheme="minorHAnsi"/>
                <w:sz w:val="20"/>
                <w:szCs w:val="20"/>
              </w:rPr>
            </w:pPr>
            <w:r w:rsidRPr="004573EF">
              <w:rPr>
                <w:rFonts w:cstheme="minorHAnsi"/>
                <w:sz w:val="20"/>
                <w:szCs w:val="20"/>
              </w:rPr>
              <w:t>7.2</w:t>
            </w:r>
          </w:p>
        </w:tc>
      </w:tr>
      <w:tr w:rsidR="00D907AF" w:rsidRPr="004573EF" w:rsidTr="009258B7">
        <w:trPr>
          <w:cantSplit/>
        </w:trPr>
        <w:tc>
          <w:tcPr>
            <w:tcW w:w="675" w:type="dxa"/>
          </w:tcPr>
          <w:p w:rsidR="00D907AF" w:rsidRPr="004573EF" w:rsidRDefault="00D907AF" w:rsidP="00D907AF">
            <w:pPr>
              <w:spacing w:before="20" w:after="20"/>
              <w:rPr>
                <w:rFonts w:cstheme="minorHAnsi"/>
                <w:sz w:val="20"/>
                <w:szCs w:val="20"/>
              </w:rPr>
            </w:pPr>
            <w:r w:rsidRPr="004573EF">
              <w:rPr>
                <w:rFonts w:cstheme="minorHAnsi"/>
                <w:sz w:val="20"/>
                <w:szCs w:val="20"/>
              </w:rPr>
              <w:t>4</w:t>
            </w:r>
          </w:p>
        </w:tc>
        <w:tc>
          <w:tcPr>
            <w:tcW w:w="5278" w:type="dxa"/>
          </w:tcPr>
          <w:p w:rsidR="00D907AF" w:rsidRPr="004573EF" w:rsidRDefault="00D907AF" w:rsidP="00D907AF">
            <w:pPr>
              <w:spacing w:before="20" w:after="20"/>
              <w:rPr>
                <w:rFonts w:cstheme="minorHAnsi"/>
                <w:sz w:val="20"/>
                <w:szCs w:val="20"/>
              </w:rPr>
            </w:pPr>
            <w:r w:rsidRPr="004573EF">
              <w:rPr>
                <w:rFonts w:cstheme="minorHAnsi"/>
                <w:sz w:val="20"/>
                <w:szCs w:val="20"/>
              </w:rPr>
              <w:t>Assisted Easy English 16+ Assisted Part A - Easy English</w:t>
            </w:r>
          </w:p>
        </w:tc>
        <w:tc>
          <w:tcPr>
            <w:tcW w:w="764" w:type="dxa"/>
            <w:vAlign w:val="bottom"/>
          </w:tcPr>
          <w:p w:rsidR="00D907AF" w:rsidRPr="004573EF" w:rsidRDefault="00D907AF" w:rsidP="00D907AF">
            <w:pPr>
              <w:spacing w:before="20" w:after="20"/>
              <w:jc w:val="right"/>
              <w:rPr>
                <w:rFonts w:cstheme="minorHAnsi"/>
                <w:sz w:val="20"/>
                <w:szCs w:val="20"/>
              </w:rPr>
            </w:pPr>
            <w:r w:rsidRPr="004573EF">
              <w:rPr>
                <w:rFonts w:cstheme="minorHAnsi"/>
                <w:sz w:val="20"/>
                <w:szCs w:val="20"/>
              </w:rPr>
              <w:t>2.1</w:t>
            </w:r>
          </w:p>
        </w:tc>
        <w:tc>
          <w:tcPr>
            <w:tcW w:w="764" w:type="dxa"/>
            <w:vAlign w:val="bottom"/>
          </w:tcPr>
          <w:p w:rsidR="00D907AF" w:rsidRPr="004573EF" w:rsidRDefault="00D907AF" w:rsidP="00D907AF">
            <w:pPr>
              <w:spacing w:before="20" w:after="20"/>
              <w:jc w:val="right"/>
              <w:rPr>
                <w:rFonts w:cstheme="minorHAnsi"/>
                <w:sz w:val="20"/>
                <w:szCs w:val="20"/>
              </w:rPr>
            </w:pPr>
            <w:r w:rsidRPr="004573EF">
              <w:rPr>
                <w:rFonts w:cstheme="minorHAnsi"/>
                <w:sz w:val="20"/>
                <w:szCs w:val="20"/>
              </w:rPr>
              <w:t>0.0</w:t>
            </w:r>
          </w:p>
        </w:tc>
        <w:tc>
          <w:tcPr>
            <w:tcW w:w="997" w:type="dxa"/>
            <w:vAlign w:val="bottom"/>
          </w:tcPr>
          <w:p w:rsidR="00D907AF" w:rsidRPr="004573EF" w:rsidRDefault="00D907AF" w:rsidP="00045422">
            <w:pPr>
              <w:spacing w:before="20" w:after="20"/>
              <w:ind w:right="142"/>
              <w:jc w:val="right"/>
              <w:rPr>
                <w:rFonts w:cstheme="minorHAnsi"/>
                <w:sz w:val="20"/>
                <w:szCs w:val="20"/>
              </w:rPr>
            </w:pPr>
            <w:r w:rsidRPr="004573EF">
              <w:rPr>
                <w:rFonts w:cstheme="minorHAnsi"/>
                <w:sz w:val="20"/>
                <w:szCs w:val="20"/>
              </w:rPr>
              <w:t>12.1</w:t>
            </w:r>
          </w:p>
        </w:tc>
        <w:tc>
          <w:tcPr>
            <w:tcW w:w="764" w:type="dxa"/>
            <w:vAlign w:val="bottom"/>
          </w:tcPr>
          <w:p w:rsidR="00D907AF" w:rsidRPr="004573EF" w:rsidRDefault="00D907AF" w:rsidP="00D907AF">
            <w:pPr>
              <w:spacing w:before="20" w:after="20"/>
              <w:jc w:val="right"/>
              <w:rPr>
                <w:rFonts w:cstheme="minorHAnsi"/>
                <w:sz w:val="20"/>
                <w:szCs w:val="20"/>
              </w:rPr>
            </w:pPr>
            <w:r w:rsidRPr="004573EF">
              <w:rPr>
                <w:rFonts w:cstheme="minorHAnsi"/>
                <w:sz w:val="20"/>
                <w:szCs w:val="20"/>
              </w:rPr>
              <w:t>5.4</w:t>
            </w:r>
          </w:p>
        </w:tc>
      </w:tr>
      <w:tr w:rsidR="00D907AF" w:rsidRPr="004573EF" w:rsidTr="00981333">
        <w:trPr>
          <w:cantSplit/>
          <w:trHeight w:val="454"/>
        </w:trPr>
        <w:tc>
          <w:tcPr>
            <w:tcW w:w="675" w:type="dxa"/>
            <w:vAlign w:val="bottom"/>
          </w:tcPr>
          <w:p w:rsidR="00D907AF" w:rsidRPr="004573EF" w:rsidRDefault="00D907AF" w:rsidP="00981333">
            <w:pPr>
              <w:spacing w:before="20" w:after="20"/>
              <w:rPr>
                <w:rFonts w:cstheme="minorHAnsi"/>
                <w:sz w:val="20"/>
                <w:szCs w:val="20"/>
              </w:rPr>
            </w:pPr>
            <w:r w:rsidRPr="004573EF">
              <w:rPr>
                <w:rFonts w:cstheme="minorHAnsi"/>
                <w:sz w:val="20"/>
                <w:szCs w:val="20"/>
              </w:rPr>
              <w:t>5</w:t>
            </w:r>
          </w:p>
        </w:tc>
        <w:tc>
          <w:tcPr>
            <w:tcW w:w="5278" w:type="dxa"/>
            <w:vAlign w:val="bottom"/>
          </w:tcPr>
          <w:p w:rsidR="00D907AF" w:rsidRPr="004573EF" w:rsidRDefault="00D907AF" w:rsidP="00981333">
            <w:pPr>
              <w:spacing w:before="20" w:after="20"/>
              <w:rPr>
                <w:rFonts w:cstheme="minorHAnsi"/>
                <w:sz w:val="20"/>
                <w:szCs w:val="20"/>
              </w:rPr>
            </w:pPr>
            <w:r w:rsidRPr="004573EF">
              <w:rPr>
                <w:rFonts w:cstheme="minorHAnsi"/>
                <w:sz w:val="20"/>
                <w:szCs w:val="20"/>
              </w:rPr>
              <w:t>Partial Proxy 16+ Proxy Part A - Standard</w:t>
            </w:r>
          </w:p>
        </w:tc>
        <w:tc>
          <w:tcPr>
            <w:tcW w:w="764" w:type="dxa"/>
            <w:vAlign w:val="bottom"/>
          </w:tcPr>
          <w:p w:rsidR="00D907AF" w:rsidRPr="004573EF" w:rsidRDefault="00D907AF" w:rsidP="00F40A72">
            <w:pPr>
              <w:spacing w:before="20" w:after="20"/>
              <w:jc w:val="right"/>
              <w:rPr>
                <w:rFonts w:cstheme="minorHAnsi"/>
                <w:sz w:val="20"/>
                <w:szCs w:val="20"/>
              </w:rPr>
            </w:pPr>
            <w:r w:rsidRPr="004573EF">
              <w:rPr>
                <w:rFonts w:cstheme="minorHAnsi"/>
                <w:sz w:val="20"/>
                <w:szCs w:val="20"/>
              </w:rPr>
              <w:t>1.3</w:t>
            </w:r>
          </w:p>
        </w:tc>
        <w:tc>
          <w:tcPr>
            <w:tcW w:w="764" w:type="dxa"/>
            <w:vAlign w:val="bottom"/>
          </w:tcPr>
          <w:p w:rsidR="00D907AF" w:rsidRPr="004573EF" w:rsidRDefault="00D907AF" w:rsidP="00F40A72">
            <w:pPr>
              <w:spacing w:before="20" w:after="20"/>
              <w:jc w:val="right"/>
              <w:rPr>
                <w:rFonts w:cstheme="minorHAnsi"/>
                <w:sz w:val="20"/>
                <w:szCs w:val="20"/>
              </w:rPr>
            </w:pPr>
            <w:r w:rsidRPr="004573EF">
              <w:rPr>
                <w:rFonts w:cstheme="minorHAnsi"/>
                <w:sz w:val="20"/>
                <w:szCs w:val="20"/>
              </w:rPr>
              <w:t>0.7</w:t>
            </w:r>
          </w:p>
        </w:tc>
        <w:tc>
          <w:tcPr>
            <w:tcW w:w="997" w:type="dxa"/>
            <w:vAlign w:val="bottom"/>
          </w:tcPr>
          <w:p w:rsidR="00D907AF" w:rsidRPr="004573EF" w:rsidRDefault="00D907AF" w:rsidP="00045422">
            <w:pPr>
              <w:spacing w:before="20" w:after="20"/>
              <w:ind w:right="142"/>
              <w:jc w:val="right"/>
              <w:rPr>
                <w:rFonts w:cstheme="minorHAnsi"/>
                <w:sz w:val="20"/>
                <w:szCs w:val="20"/>
              </w:rPr>
            </w:pPr>
            <w:r w:rsidRPr="004573EF">
              <w:rPr>
                <w:rFonts w:cstheme="minorHAnsi"/>
                <w:sz w:val="20"/>
                <w:szCs w:val="20"/>
              </w:rPr>
              <w:t>13.5</w:t>
            </w:r>
          </w:p>
        </w:tc>
        <w:tc>
          <w:tcPr>
            <w:tcW w:w="764" w:type="dxa"/>
            <w:vAlign w:val="bottom"/>
          </w:tcPr>
          <w:p w:rsidR="00D907AF" w:rsidRPr="004573EF" w:rsidRDefault="00D907AF" w:rsidP="00F40A72">
            <w:pPr>
              <w:spacing w:before="20" w:after="20"/>
              <w:jc w:val="right"/>
              <w:rPr>
                <w:rFonts w:cstheme="minorHAnsi"/>
                <w:sz w:val="20"/>
                <w:szCs w:val="20"/>
              </w:rPr>
            </w:pPr>
            <w:r w:rsidRPr="004573EF">
              <w:rPr>
                <w:rFonts w:cstheme="minorHAnsi"/>
                <w:sz w:val="20"/>
                <w:szCs w:val="20"/>
              </w:rPr>
              <w:t>5.9</w:t>
            </w:r>
          </w:p>
        </w:tc>
      </w:tr>
      <w:tr w:rsidR="00D907AF" w:rsidRPr="004573EF" w:rsidTr="009258B7">
        <w:trPr>
          <w:cantSplit/>
        </w:trPr>
        <w:tc>
          <w:tcPr>
            <w:tcW w:w="675" w:type="dxa"/>
          </w:tcPr>
          <w:p w:rsidR="00D907AF" w:rsidRPr="004573EF" w:rsidRDefault="00D907AF" w:rsidP="00D907AF">
            <w:pPr>
              <w:spacing w:before="20" w:after="20"/>
              <w:rPr>
                <w:rFonts w:cstheme="minorHAnsi"/>
                <w:sz w:val="20"/>
                <w:szCs w:val="20"/>
              </w:rPr>
            </w:pPr>
            <w:r w:rsidRPr="004573EF">
              <w:rPr>
                <w:rFonts w:cstheme="minorHAnsi"/>
                <w:sz w:val="20"/>
                <w:szCs w:val="20"/>
              </w:rPr>
              <w:t>6</w:t>
            </w:r>
          </w:p>
        </w:tc>
        <w:tc>
          <w:tcPr>
            <w:tcW w:w="5278" w:type="dxa"/>
          </w:tcPr>
          <w:p w:rsidR="00D907AF" w:rsidRPr="004573EF" w:rsidRDefault="00D907AF" w:rsidP="00D907AF">
            <w:pPr>
              <w:spacing w:before="20" w:after="20"/>
              <w:rPr>
                <w:rFonts w:cstheme="minorHAnsi"/>
                <w:sz w:val="20"/>
                <w:szCs w:val="20"/>
              </w:rPr>
            </w:pPr>
            <w:r w:rsidRPr="004573EF">
              <w:rPr>
                <w:rFonts w:cstheme="minorHAnsi"/>
                <w:sz w:val="20"/>
                <w:szCs w:val="20"/>
              </w:rPr>
              <w:t>Partial Proxy Easy English 16+ Proxy Part A - Easy English</w:t>
            </w:r>
          </w:p>
        </w:tc>
        <w:tc>
          <w:tcPr>
            <w:tcW w:w="764" w:type="dxa"/>
            <w:vAlign w:val="bottom"/>
          </w:tcPr>
          <w:p w:rsidR="00D907AF" w:rsidRPr="004573EF" w:rsidRDefault="00D907AF" w:rsidP="00D907AF">
            <w:pPr>
              <w:spacing w:before="20" w:after="20"/>
              <w:jc w:val="right"/>
              <w:rPr>
                <w:rFonts w:cstheme="minorHAnsi"/>
                <w:sz w:val="20"/>
                <w:szCs w:val="20"/>
              </w:rPr>
            </w:pPr>
            <w:r w:rsidRPr="004573EF">
              <w:rPr>
                <w:rFonts w:cstheme="minorHAnsi"/>
                <w:sz w:val="20"/>
                <w:szCs w:val="20"/>
              </w:rPr>
              <w:t>0.9</w:t>
            </w:r>
          </w:p>
        </w:tc>
        <w:tc>
          <w:tcPr>
            <w:tcW w:w="764" w:type="dxa"/>
            <w:vAlign w:val="bottom"/>
          </w:tcPr>
          <w:p w:rsidR="00D907AF" w:rsidRPr="004573EF" w:rsidRDefault="00D907AF" w:rsidP="00D907AF">
            <w:pPr>
              <w:spacing w:before="20" w:after="20"/>
              <w:jc w:val="right"/>
              <w:rPr>
                <w:rFonts w:cstheme="minorHAnsi"/>
                <w:sz w:val="20"/>
                <w:szCs w:val="20"/>
              </w:rPr>
            </w:pPr>
            <w:r w:rsidRPr="004573EF">
              <w:rPr>
                <w:rFonts w:cstheme="minorHAnsi"/>
                <w:sz w:val="20"/>
                <w:szCs w:val="20"/>
              </w:rPr>
              <w:t>0.0</w:t>
            </w:r>
          </w:p>
        </w:tc>
        <w:tc>
          <w:tcPr>
            <w:tcW w:w="997" w:type="dxa"/>
            <w:vAlign w:val="bottom"/>
          </w:tcPr>
          <w:p w:rsidR="00D907AF" w:rsidRPr="004573EF" w:rsidRDefault="00D907AF" w:rsidP="00045422">
            <w:pPr>
              <w:spacing w:before="20" w:after="20"/>
              <w:ind w:right="142"/>
              <w:jc w:val="right"/>
              <w:rPr>
                <w:rFonts w:cstheme="minorHAnsi"/>
                <w:sz w:val="20"/>
                <w:szCs w:val="20"/>
              </w:rPr>
            </w:pPr>
            <w:r w:rsidRPr="004573EF">
              <w:rPr>
                <w:rFonts w:cstheme="minorHAnsi"/>
                <w:sz w:val="20"/>
                <w:szCs w:val="20"/>
              </w:rPr>
              <w:t>4.8</w:t>
            </w:r>
          </w:p>
        </w:tc>
        <w:tc>
          <w:tcPr>
            <w:tcW w:w="764" w:type="dxa"/>
            <w:vAlign w:val="bottom"/>
          </w:tcPr>
          <w:p w:rsidR="00D907AF" w:rsidRPr="004573EF" w:rsidRDefault="00D907AF" w:rsidP="00D907AF">
            <w:pPr>
              <w:spacing w:before="20" w:after="20"/>
              <w:jc w:val="right"/>
              <w:rPr>
                <w:rFonts w:cstheme="minorHAnsi"/>
                <w:sz w:val="20"/>
                <w:szCs w:val="20"/>
              </w:rPr>
            </w:pPr>
            <w:r w:rsidRPr="004573EF">
              <w:rPr>
                <w:rFonts w:cstheme="minorHAnsi"/>
                <w:sz w:val="20"/>
                <w:szCs w:val="20"/>
              </w:rPr>
              <w:t>2.2</w:t>
            </w:r>
          </w:p>
        </w:tc>
      </w:tr>
      <w:tr w:rsidR="00D907AF" w:rsidRPr="004573EF" w:rsidTr="009258B7">
        <w:trPr>
          <w:cantSplit/>
        </w:trPr>
        <w:tc>
          <w:tcPr>
            <w:tcW w:w="675" w:type="dxa"/>
          </w:tcPr>
          <w:p w:rsidR="00D907AF" w:rsidRPr="004573EF" w:rsidRDefault="00D907AF" w:rsidP="00D907AF">
            <w:pPr>
              <w:spacing w:before="20" w:after="20"/>
              <w:rPr>
                <w:rFonts w:cstheme="minorHAnsi"/>
                <w:sz w:val="20"/>
                <w:szCs w:val="20"/>
              </w:rPr>
            </w:pPr>
            <w:r w:rsidRPr="004573EF">
              <w:rPr>
                <w:rFonts w:cstheme="minorHAnsi"/>
                <w:sz w:val="20"/>
                <w:szCs w:val="20"/>
              </w:rPr>
              <w:t>7</w:t>
            </w:r>
          </w:p>
        </w:tc>
        <w:tc>
          <w:tcPr>
            <w:tcW w:w="5278" w:type="dxa"/>
          </w:tcPr>
          <w:p w:rsidR="00D907AF" w:rsidRPr="004573EF" w:rsidRDefault="00D907AF" w:rsidP="009258B7">
            <w:pPr>
              <w:spacing w:before="20" w:after="20"/>
              <w:rPr>
                <w:rFonts w:cstheme="minorHAnsi"/>
                <w:sz w:val="20"/>
                <w:szCs w:val="20"/>
              </w:rPr>
            </w:pPr>
            <w:r w:rsidRPr="004573EF">
              <w:rPr>
                <w:rFonts w:cstheme="minorHAnsi"/>
                <w:sz w:val="20"/>
                <w:szCs w:val="20"/>
              </w:rPr>
              <w:t>Standard Child Proxy 8</w:t>
            </w:r>
            <w:r w:rsidR="009258B7">
              <w:rPr>
                <w:rFonts w:cstheme="minorHAnsi"/>
                <w:sz w:val="20"/>
                <w:szCs w:val="20"/>
              </w:rPr>
              <w:t xml:space="preserve"> to</w:t>
            </w:r>
            <w:r w:rsidRPr="004573EF">
              <w:rPr>
                <w:rFonts w:cstheme="minorHAnsi"/>
                <w:sz w:val="20"/>
                <w:szCs w:val="20"/>
              </w:rPr>
              <w:t>15 Proxy Part A - Standard</w:t>
            </w:r>
          </w:p>
        </w:tc>
        <w:tc>
          <w:tcPr>
            <w:tcW w:w="764" w:type="dxa"/>
            <w:vAlign w:val="bottom"/>
          </w:tcPr>
          <w:p w:rsidR="00D907AF" w:rsidRPr="004573EF" w:rsidRDefault="00D907AF" w:rsidP="00D907AF">
            <w:pPr>
              <w:spacing w:before="20" w:after="20"/>
              <w:jc w:val="right"/>
              <w:rPr>
                <w:rFonts w:cstheme="minorHAnsi"/>
                <w:sz w:val="20"/>
                <w:szCs w:val="20"/>
              </w:rPr>
            </w:pPr>
            <w:r w:rsidRPr="004573EF">
              <w:rPr>
                <w:rFonts w:cstheme="minorHAnsi"/>
                <w:sz w:val="20"/>
                <w:szCs w:val="20"/>
              </w:rPr>
              <w:t>2.8</w:t>
            </w:r>
          </w:p>
        </w:tc>
        <w:tc>
          <w:tcPr>
            <w:tcW w:w="764" w:type="dxa"/>
            <w:vAlign w:val="bottom"/>
          </w:tcPr>
          <w:p w:rsidR="00D907AF" w:rsidRPr="004573EF" w:rsidRDefault="00D907AF" w:rsidP="00D907AF">
            <w:pPr>
              <w:spacing w:before="20" w:after="20"/>
              <w:jc w:val="right"/>
              <w:rPr>
                <w:rFonts w:cstheme="minorHAnsi"/>
                <w:sz w:val="20"/>
                <w:szCs w:val="20"/>
              </w:rPr>
            </w:pPr>
            <w:r w:rsidRPr="004573EF">
              <w:rPr>
                <w:rFonts w:cstheme="minorHAnsi"/>
                <w:sz w:val="20"/>
                <w:szCs w:val="20"/>
              </w:rPr>
              <w:t>0.7</w:t>
            </w:r>
          </w:p>
        </w:tc>
        <w:tc>
          <w:tcPr>
            <w:tcW w:w="997" w:type="dxa"/>
            <w:vAlign w:val="bottom"/>
          </w:tcPr>
          <w:p w:rsidR="00D907AF" w:rsidRPr="004573EF" w:rsidRDefault="00D907AF" w:rsidP="00045422">
            <w:pPr>
              <w:spacing w:before="20" w:after="20"/>
              <w:ind w:right="142"/>
              <w:jc w:val="right"/>
              <w:rPr>
                <w:rFonts w:cstheme="minorHAnsi"/>
                <w:sz w:val="20"/>
                <w:szCs w:val="20"/>
              </w:rPr>
            </w:pPr>
            <w:r w:rsidRPr="004573EF">
              <w:rPr>
                <w:rFonts w:cstheme="minorHAnsi"/>
                <w:sz w:val="20"/>
                <w:szCs w:val="20"/>
              </w:rPr>
              <w:t>6.3</w:t>
            </w:r>
          </w:p>
        </w:tc>
        <w:tc>
          <w:tcPr>
            <w:tcW w:w="764" w:type="dxa"/>
            <w:vAlign w:val="bottom"/>
          </w:tcPr>
          <w:p w:rsidR="00D907AF" w:rsidRPr="004573EF" w:rsidRDefault="00D907AF" w:rsidP="00D907AF">
            <w:pPr>
              <w:spacing w:before="20" w:after="20"/>
              <w:jc w:val="right"/>
              <w:rPr>
                <w:rFonts w:cstheme="minorHAnsi"/>
                <w:sz w:val="20"/>
                <w:szCs w:val="20"/>
              </w:rPr>
            </w:pPr>
            <w:r w:rsidRPr="004573EF">
              <w:rPr>
                <w:rFonts w:cstheme="minorHAnsi"/>
                <w:sz w:val="20"/>
                <w:szCs w:val="20"/>
              </w:rPr>
              <w:t>3.6</w:t>
            </w:r>
          </w:p>
        </w:tc>
      </w:tr>
      <w:tr w:rsidR="00D907AF" w:rsidRPr="004573EF" w:rsidTr="009258B7">
        <w:trPr>
          <w:cantSplit/>
        </w:trPr>
        <w:tc>
          <w:tcPr>
            <w:tcW w:w="675" w:type="dxa"/>
          </w:tcPr>
          <w:p w:rsidR="00D907AF" w:rsidRPr="004573EF" w:rsidRDefault="00D907AF" w:rsidP="00D907AF">
            <w:pPr>
              <w:spacing w:before="20" w:after="20"/>
              <w:rPr>
                <w:rFonts w:cstheme="minorHAnsi"/>
                <w:sz w:val="20"/>
                <w:szCs w:val="20"/>
              </w:rPr>
            </w:pPr>
            <w:r w:rsidRPr="004573EF">
              <w:rPr>
                <w:rFonts w:cstheme="minorHAnsi"/>
                <w:sz w:val="20"/>
                <w:szCs w:val="20"/>
              </w:rPr>
              <w:t>8</w:t>
            </w:r>
          </w:p>
        </w:tc>
        <w:tc>
          <w:tcPr>
            <w:tcW w:w="5278" w:type="dxa"/>
          </w:tcPr>
          <w:p w:rsidR="00D907AF" w:rsidRPr="004573EF" w:rsidRDefault="009258B7" w:rsidP="00D907AF">
            <w:pPr>
              <w:spacing w:before="20" w:after="20"/>
              <w:rPr>
                <w:rFonts w:cstheme="minorHAnsi"/>
                <w:sz w:val="20"/>
                <w:szCs w:val="20"/>
              </w:rPr>
            </w:pPr>
            <w:r>
              <w:rPr>
                <w:rFonts w:cstheme="minorHAnsi"/>
                <w:sz w:val="20"/>
                <w:szCs w:val="20"/>
              </w:rPr>
              <w:t xml:space="preserve">Easy English Child Proxy 8 to </w:t>
            </w:r>
            <w:r w:rsidR="00D907AF" w:rsidRPr="004573EF">
              <w:rPr>
                <w:rFonts w:cstheme="minorHAnsi"/>
                <w:sz w:val="20"/>
                <w:szCs w:val="20"/>
              </w:rPr>
              <w:t>15 Proxy Part A - Easy English</w:t>
            </w:r>
          </w:p>
        </w:tc>
        <w:tc>
          <w:tcPr>
            <w:tcW w:w="764" w:type="dxa"/>
            <w:vAlign w:val="bottom"/>
          </w:tcPr>
          <w:p w:rsidR="00D907AF" w:rsidRPr="004573EF" w:rsidRDefault="00D907AF" w:rsidP="00D907AF">
            <w:pPr>
              <w:spacing w:before="20" w:after="20"/>
              <w:jc w:val="right"/>
              <w:rPr>
                <w:rFonts w:cstheme="minorHAnsi"/>
                <w:sz w:val="20"/>
                <w:szCs w:val="20"/>
              </w:rPr>
            </w:pPr>
            <w:r w:rsidRPr="004573EF">
              <w:rPr>
                <w:rFonts w:cstheme="minorHAnsi"/>
                <w:sz w:val="20"/>
                <w:szCs w:val="20"/>
              </w:rPr>
              <w:t>3.3</w:t>
            </w:r>
          </w:p>
        </w:tc>
        <w:tc>
          <w:tcPr>
            <w:tcW w:w="764" w:type="dxa"/>
            <w:vAlign w:val="bottom"/>
          </w:tcPr>
          <w:p w:rsidR="00D907AF" w:rsidRPr="004573EF" w:rsidRDefault="00D907AF" w:rsidP="00D907AF">
            <w:pPr>
              <w:spacing w:before="20" w:after="20"/>
              <w:jc w:val="right"/>
              <w:rPr>
                <w:rFonts w:cstheme="minorHAnsi"/>
                <w:sz w:val="20"/>
                <w:szCs w:val="20"/>
              </w:rPr>
            </w:pPr>
            <w:r w:rsidRPr="004573EF">
              <w:rPr>
                <w:rFonts w:cstheme="minorHAnsi"/>
                <w:sz w:val="20"/>
                <w:szCs w:val="20"/>
              </w:rPr>
              <w:t>0.7</w:t>
            </w:r>
          </w:p>
        </w:tc>
        <w:tc>
          <w:tcPr>
            <w:tcW w:w="997" w:type="dxa"/>
            <w:vAlign w:val="bottom"/>
          </w:tcPr>
          <w:p w:rsidR="00D907AF" w:rsidRPr="004573EF" w:rsidRDefault="00D907AF" w:rsidP="00045422">
            <w:pPr>
              <w:spacing w:before="20" w:after="20"/>
              <w:ind w:right="142"/>
              <w:jc w:val="right"/>
              <w:rPr>
                <w:rFonts w:cstheme="minorHAnsi"/>
                <w:sz w:val="20"/>
                <w:szCs w:val="20"/>
              </w:rPr>
            </w:pPr>
            <w:r w:rsidRPr="004573EF">
              <w:rPr>
                <w:rFonts w:cstheme="minorHAnsi"/>
                <w:sz w:val="20"/>
                <w:szCs w:val="20"/>
              </w:rPr>
              <w:t>10.1</w:t>
            </w:r>
          </w:p>
        </w:tc>
        <w:tc>
          <w:tcPr>
            <w:tcW w:w="764" w:type="dxa"/>
            <w:vAlign w:val="bottom"/>
          </w:tcPr>
          <w:p w:rsidR="00D907AF" w:rsidRPr="004573EF" w:rsidRDefault="00D907AF" w:rsidP="00D907AF">
            <w:pPr>
              <w:spacing w:before="20" w:after="20"/>
              <w:jc w:val="right"/>
              <w:rPr>
                <w:rFonts w:cstheme="minorHAnsi"/>
                <w:sz w:val="20"/>
                <w:szCs w:val="20"/>
              </w:rPr>
            </w:pPr>
            <w:r w:rsidRPr="004573EF">
              <w:rPr>
                <w:rFonts w:cstheme="minorHAnsi"/>
                <w:sz w:val="20"/>
                <w:szCs w:val="20"/>
              </w:rPr>
              <w:t>5.3</w:t>
            </w:r>
          </w:p>
        </w:tc>
      </w:tr>
      <w:tr w:rsidR="00D907AF" w:rsidRPr="004573EF" w:rsidTr="00981333">
        <w:trPr>
          <w:cantSplit/>
          <w:trHeight w:val="454"/>
        </w:trPr>
        <w:tc>
          <w:tcPr>
            <w:tcW w:w="675" w:type="dxa"/>
            <w:vAlign w:val="bottom"/>
          </w:tcPr>
          <w:p w:rsidR="00D907AF" w:rsidRPr="004573EF" w:rsidRDefault="00D907AF" w:rsidP="00981333">
            <w:pPr>
              <w:spacing w:before="20" w:after="20"/>
              <w:rPr>
                <w:rFonts w:cstheme="minorHAnsi"/>
                <w:sz w:val="20"/>
                <w:szCs w:val="20"/>
              </w:rPr>
            </w:pPr>
            <w:r w:rsidRPr="004573EF">
              <w:rPr>
                <w:rFonts w:cstheme="minorHAnsi"/>
                <w:sz w:val="20"/>
                <w:szCs w:val="20"/>
              </w:rPr>
              <w:t>10</w:t>
            </w:r>
          </w:p>
        </w:tc>
        <w:tc>
          <w:tcPr>
            <w:tcW w:w="5278" w:type="dxa"/>
            <w:vAlign w:val="bottom"/>
          </w:tcPr>
          <w:p w:rsidR="00D907AF" w:rsidRPr="004573EF" w:rsidRDefault="009258B7" w:rsidP="00981333">
            <w:pPr>
              <w:spacing w:before="20" w:after="20"/>
              <w:rPr>
                <w:rFonts w:cstheme="minorHAnsi"/>
                <w:sz w:val="20"/>
                <w:szCs w:val="20"/>
              </w:rPr>
            </w:pPr>
            <w:r>
              <w:rPr>
                <w:rFonts w:cstheme="minorHAnsi"/>
                <w:sz w:val="20"/>
                <w:szCs w:val="20"/>
              </w:rPr>
              <w:t>Proxy Part A 8 to</w:t>
            </w:r>
            <w:r w:rsidR="00D907AF" w:rsidRPr="004573EF">
              <w:rPr>
                <w:rFonts w:cstheme="minorHAnsi"/>
                <w:sz w:val="20"/>
                <w:szCs w:val="20"/>
              </w:rPr>
              <w:t xml:space="preserve">15 Proxy Part A </w:t>
            </w:r>
            <w:r w:rsidR="0017118B">
              <w:rPr>
                <w:rFonts w:cstheme="minorHAnsi"/>
                <w:sz w:val="20"/>
                <w:szCs w:val="20"/>
              </w:rPr>
              <w:t>-</w:t>
            </w:r>
            <w:r w:rsidR="00D907AF" w:rsidRPr="004573EF">
              <w:rPr>
                <w:rFonts w:cstheme="minorHAnsi"/>
                <w:sz w:val="20"/>
                <w:szCs w:val="20"/>
              </w:rPr>
              <w:t xml:space="preserve"> No Part B</w:t>
            </w:r>
          </w:p>
        </w:tc>
        <w:tc>
          <w:tcPr>
            <w:tcW w:w="764" w:type="dxa"/>
            <w:vAlign w:val="bottom"/>
          </w:tcPr>
          <w:p w:rsidR="00D907AF" w:rsidRPr="004573EF" w:rsidRDefault="00D907AF" w:rsidP="00143E40">
            <w:pPr>
              <w:spacing w:before="20" w:after="20"/>
              <w:jc w:val="right"/>
              <w:rPr>
                <w:rFonts w:cstheme="minorHAnsi"/>
                <w:sz w:val="20"/>
                <w:szCs w:val="20"/>
              </w:rPr>
            </w:pPr>
            <w:r w:rsidRPr="004573EF">
              <w:rPr>
                <w:rFonts w:cstheme="minorHAnsi"/>
                <w:sz w:val="20"/>
                <w:szCs w:val="20"/>
              </w:rPr>
              <w:t>0.3</w:t>
            </w:r>
          </w:p>
        </w:tc>
        <w:tc>
          <w:tcPr>
            <w:tcW w:w="764" w:type="dxa"/>
            <w:vAlign w:val="bottom"/>
          </w:tcPr>
          <w:p w:rsidR="00D907AF" w:rsidRPr="004573EF" w:rsidRDefault="00D907AF" w:rsidP="00143E40">
            <w:pPr>
              <w:spacing w:before="20" w:after="20"/>
              <w:jc w:val="right"/>
              <w:rPr>
                <w:rFonts w:cstheme="minorHAnsi"/>
                <w:sz w:val="20"/>
                <w:szCs w:val="20"/>
              </w:rPr>
            </w:pPr>
            <w:r w:rsidRPr="004573EF">
              <w:rPr>
                <w:rFonts w:cstheme="minorHAnsi"/>
                <w:sz w:val="20"/>
                <w:szCs w:val="20"/>
              </w:rPr>
              <w:t>0.0</w:t>
            </w:r>
          </w:p>
        </w:tc>
        <w:tc>
          <w:tcPr>
            <w:tcW w:w="997" w:type="dxa"/>
            <w:vAlign w:val="bottom"/>
          </w:tcPr>
          <w:p w:rsidR="00D907AF" w:rsidRPr="004573EF" w:rsidRDefault="00D907AF" w:rsidP="00045422">
            <w:pPr>
              <w:spacing w:before="20" w:after="20"/>
              <w:ind w:right="142"/>
              <w:jc w:val="right"/>
              <w:rPr>
                <w:rFonts w:cstheme="minorHAnsi"/>
                <w:sz w:val="20"/>
                <w:szCs w:val="20"/>
              </w:rPr>
            </w:pPr>
            <w:r w:rsidRPr="004573EF">
              <w:rPr>
                <w:rFonts w:cstheme="minorHAnsi"/>
                <w:sz w:val="20"/>
                <w:szCs w:val="20"/>
              </w:rPr>
              <w:t>0.6</w:t>
            </w:r>
          </w:p>
        </w:tc>
        <w:tc>
          <w:tcPr>
            <w:tcW w:w="764" w:type="dxa"/>
            <w:vAlign w:val="bottom"/>
          </w:tcPr>
          <w:p w:rsidR="00D907AF" w:rsidRPr="004573EF" w:rsidRDefault="00D907AF" w:rsidP="00143E40">
            <w:pPr>
              <w:spacing w:before="20" w:after="20"/>
              <w:jc w:val="right"/>
              <w:rPr>
                <w:rFonts w:cstheme="minorHAnsi"/>
                <w:sz w:val="20"/>
                <w:szCs w:val="20"/>
              </w:rPr>
            </w:pPr>
            <w:r w:rsidRPr="004573EF">
              <w:rPr>
                <w:rFonts w:cstheme="minorHAnsi"/>
                <w:sz w:val="20"/>
                <w:szCs w:val="20"/>
              </w:rPr>
              <w:t>0.3</w:t>
            </w:r>
          </w:p>
        </w:tc>
      </w:tr>
      <w:tr w:rsidR="00D907AF" w:rsidRPr="004573EF" w:rsidTr="009258B7">
        <w:trPr>
          <w:cantSplit/>
        </w:trPr>
        <w:tc>
          <w:tcPr>
            <w:tcW w:w="675" w:type="dxa"/>
          </w:tcPr>
          <w:p w:rsidR="00D907AF" w:rsidRPr="004573EF" w:rsidRDefault="00D907AF" w:rsidP="00D907AF">
            <w:pPr>
              <w:spacing w:before="20" w:after="20"/>
              <w:rPr>
                <w:rFonts w:cstheme="minorHAnsi"/>
                <w:sz w:val="20"/>
                <w:szCs w:val="20"/>
              </w:rPr>
            </w:pPr>
            <w:r w:rsidRPr="004573EF">
              <w:rPr>
                <w:rFonts w:cstheme="minorHAnsi"/>
                <w:sz w:val="20"/>
                <w:szCs w:val="20"/>
              </w:rPr>
              <w:t>11</w:t>
            </w:r>
          </w:p>
        </w:tc>
        <w:tc>
          <w:tcPr>
            <w:tcW w:w="5278" w:type="dxa"/>
          </w:tcPr>
          <w:p w:rsidR="00D907AF" w:rsidRPr="004573EF" w:rsidRDefault="009258B7" w:rsidP="0017118B">
            <w:pPr>
              <w:spacing w:before="20" w:after="20"/>
              <w:rPr>
                <w:rFonts w:cstheme="minorHAnsi"/>
                <w:sz w:val="20"/>
                <w:szCs w:val="20"/>
              </w:rPr>
            </w:pPr>
            <w:r>
              <w:rPr>
                <w:rFonts w:cstheme="minorHAnsi"/>
                <w:sz w:val="20"/>
                <w:szCs w:val="20"/>
              </w:rPr>
              <w:t>Proxy Part A 16 to</w:t>
            </w:r>
            <w:r w:rsidR="00D907AF" w:rsidRPr="004573EF">
              <w:rPr>
                <w:rFonts w:cstheme="minorHAnsi"/>
                <w:sz w:val="20"/>
                <w:szCs w:val="20"/>
              </w:rPr>
              <w:t xml:space="preserve">17 Proxy Part A </w:t>
            </w:r>
            <w:r w:rsidR="0017118B">
              <w:rPr>
                <w:rFonts w:cstheme="minorHAnsi"/>
                <w:sz w:val="20"/>
                <w:szCs w:val="20"/>
              </w:rPr>
              <w:t>-</w:t>
            </w:r>
            <w:r w:rsidR="00D907AF" w:rsidRPr="004573EF">
              <w:rPr>
                <w:rFonts w:cstheme="minorHAnsi"/>
                <w:sz w:val="20"/>
                <w:szCs w:val="20"/>
              </w:rPr>
              <w:t xml:space="preserve"> No Part B</w:t>
            </w:r>
          </w:p>
        </w:tc>
        <w:tc>
          <w:tcPr>
            <w:tcW w:w="764" w:type="dxa"/>
            <w:vAlign w:val="bottom"/>
          </w:tcPr>
          <w:p w:rsidR="00D907AF" w:rsidRPr="004573EF" w:rsidRDefault="00D907AF" w:rsidP="00D907AF">
            <w:pPr>
              <w:spacing w:before="20" w:after="20"/>
              <w:jc w:val="right"/>
              <w:rPr>
                <w:rFonts w:cstheme="minorHAnsi"/>
                <w:sz w:val="20"/>
                <w:szCs w:val="20"/>
              </w:rPr>
            </w:pPr>
            <w:r w:rsidRPr="004573EF">
              <w:rPr>
                <w:rFonts w:cstheme="minorHAnsi"/>
                <w:sz w:val="20"/>
                <w:szCs w:val="20"/>
              </w:rPr>
              <w:t>0.1</w:t>
            </w:r>
          </w:p>
        </w:tc>
        <w:tc>
          <w:tcPr>
            <w:tcW w:w="764" w:type="dxa"/>
            <w:vAlign w:val="bottom"/>
          </w:tcPr>
          <w:p w:rsidR="00D907AF" w:rsidRPr="004573EF" w:rsidRDefault="00D907AF" w:rsidP="00D907AF">
            <w:pPr>
              <w:spacing w:before="20" w:after="20"/>
              <w:jc w:val="right"/>
              <w:rPr>
                <w:rFonts w:cstheme="minorHAnsi"/>
                <w:sz w:val="20"/>
                <w:szCs w:val="20"/>
              </w:rPr>
            </w:pPr>
            <w:r w:rsidRPr="004573EF">
              <w:rPr>
                <w:rFonts w:cstheme="minorHAnsi"/>
                <w:sz w:val="20"/>
                <w:szCs w:val="20"/>
              </w:rPr>
              <w:t>0.2</w:t>
            </w:r>
          </w:p>
        </w:tc>
        <w:tc>
          <w:tcPr>
            <w:tcW w:w="997" w:type="dxa"/>
            <w:vAlign w:val="bottom"/>
          </w:tcPr>
          <w:p w:rsidR="00D907AF" w:rsidRPr="004573EF" w:rsidRDefault="00D907AF" w:rsidP="00045422">
            <w:pPr>
              <w:spacing w:before="20" w:after="20"/>
              <w:ind w:right="142"/>
              <w:jc w:val="right"/>
              <w:rPr>
                <w:rFonts w:cstheme="minorHAnsi"/>
                <w:sz w:val="20"/>
                <w:szCs w:val="20"/>
              </w:rPr>
            </w:pPr>
            <w:r w:rsidRPr="004573EF">
              <w:rPr>
                <w:rFonts w:cstheme="minorHAnsi"/>
                <w:sz w:val="20"/>
                <w:szCs w:val="20"/>
              </w:rPr>
              <w:t>0.0</w:t>
            </w:r>
          </w:p>
        </w:tc>
        <w:tc>
          <w:tcPr>
            <w:tcW w:w="764" w:type="dxa"/>
            <w:vAlign w:val="bottom"/>
          </w:tcPr>
          <w:p w:rsidR="00D907AF" w:rsidRPr="004573EF" w:rsidRDefault="00D907AF" w:rsidP="00D907AF">
            <w:pPr>
              <w:spacing w:before="20" w:after="20"/>
              <w:jc w:val="right"/>
              <w:rPr>
                <w:rFonts w:cstheme="minorHAnsi"/>
                <w:sz w:val="20"/>
                <w:szCs w:val="20"/>
              </w:rPr>
            </w:pPr>
            <w:r w:rsidRPr="004573EF">
              <w:rPr>
                <w:rFonts w:cstheme="minorHAnsi"/>
                <w:sz w:val="20"/>
                <w:szCs w:val="20"/>
              </w:rPr>
              <w:t>0.1</w:t>
            </w:r>
          </w:p>
        </w:tc>
      </w:tr>
      <w:tr w:rsidR="00D907AF" w:rsidRPr="004573EF" w:rsidTr="00981333">
        <w:trPr>
          <w:cantSplit/>
          <w:trHeight w:val="454"/>
        </w:trPr>
        <w:tc>
          <w:tcPr>
            <w:tcW w:w="675" w:type="dxa"/>
            <w:vAlign w:val="bottom"/>
          </w:tcPr>
          <w:p w:rsidR="00D907AF" w:rsidRPr="004573EF" w:rsidRDefault="00D907AF" w:rsidP="00981333">
            <w:pPr>
              <w:spacing w:before="20" w:after="20"/>
              <w:rPr>
                <w:rFonts w:cstheme="minorHAnsi"/>
                <w:sz w:val="20"/>
                <w:szCs w:val="20"/>
              </w:rPr>
            </w:pPr>
            <w:r w:rsidRPr="004573EF">
              <w:rPr>
                <w:rFonts w:cstheme="minorHAnsi"/>
                <w:sz w:val="20"/>
                <w:szCs w:val="20"/>
              </w:rPr>
              <w:t>9</w:t>
            </w:r>
          </w:p>
        </w:tc>
        <w:tc>
          <w:tcPr>
            <w:tcW w:w="5278" w:type="dxa"/>
            <w:vAlign w:val="bottom"/>
          </w:tcPr>
          <w:p w:rsidR="00D907AF" w:rsidRPr="004573EF" w:rsidRDefault="00D907AF" w:rsidP="00981333">
            <w:pPr>
              <w:spacing w:before="20" w:after="20"/>
              <w:rPr>
                <w:rFonts w:cstheme="minorHAnsi"/>
                <w:sz w:val="20"/>
                <w:szCs w:val="20"/>
              </w:rPr>
            </w:pPr>
            <w:r w:rsidRPr="004573EF">
              <w:rPr>
                <w:rFonts w:cstheme="minorHAnsi"/>
                <w:sz w:val="20"/>
                <w:szCs w:val="20"/>
              </w:rPr>
              <w:t xml:space="preserve">Full Child Proxy &lt;8 Proxy Part A </w:t>
            </w:r>
            <w:r w:rsidR="0017118B">
              <w:rPr>
                <w:rFonts w:cstheme="minorHAnsi"/>
                <w:sz w:val="20"/>
                <w:szCs w:val="20"/>
              </w:rPr>
              <w:t xml:space="preserve">- </w:t>
            </w:r>
            <w:r w:rsidR="006B41D4">
              <w:rPr>
                <w:rFonts w:cstheme="minorHAnsi"/>
                <w:sz w:val="20"/>
                <w:szCs w:val="20"/>
              </w:rPr>
              <w:t>Part A only</w:t>
            </w:r>
          </w:p>
        </w:tc>
        <w:tc>
          <w:tcPr>
            <w:tcW w:w="764" w:type="dxa"/>
            <w:vAlign w:val="bottom"/>
          </w:tcPr>
          <w:p w:rsidR="00D907AF" w:rsidRPr="004573EF" w:rsidRDefault="00D907AF" w:rsidP="00143E40">
            <w:pPr>
              <w:spacing w:before="20" w:after="20"/>
              <w:jc w:val="right"/>
              <w:rPr>
                <w:rFonts w:cstheme="minorHAnsi"/>
                <w:sz w:val="20"/>
                <w:szCs w:val="20"/>
              </w:rPr>
            </w:pPr>
            <w:r w:rsidRPr="004573EF">
              <w:rPr>
                <w:rFonts w:cstheme="minorHAnsi"/>
                <w:sz w:val="20"/>
                <w:szCs w:val="20"/>
              </w:rPr>
              <w:t>38.8</w:t>
            </w:r>
          </w:p>
        </w:tc>
        <w:tc>
          <w:tcPr>
            <w:tcW w:w="764" w:type="dxa"/>
            <w:vAlign w:val="bottom"/>
          </w:tcPr>
          <w:p w:rsidR="00D907AF" w:rsidRPr="004573EF" w:rsidRDefault="00D907AF" w:rsidP="00143E40">
            <w:pPr>
              <w:spacing w:before="20" w:after="20"/>
              <w:jc w:val="right"/>
              <w:rPr>
                <w:rFonts w:cstheme="minorHAnsi"/>
                <w:sz w:val="20"/>
                <w:szCs w:val="20"/>
              </w:rPr>
            </w:pPr>
            <w:r w:rsidRPr="004573EF">
              <w:rPr>
                <w:rFonts w:cstheme="minorHAnsi"/>
                <w:sz w:val="20"/>
                <w:szCs w:val="20"/>
              </w:rPr>
              <w:t>24.3</w:t>
            </w:r>
          </w:p>
        </w:tc>
        <w:tc>
          <w:tcPr>
            <w:tcW w:w="997" w:type="dxa"/>
            <w:vAlign w:val="bottom"/>
          </w:tcPr>
          <w:p w:rsidR="00D907AF" w:rsidRPr="004573EF" w:rsidRDefault="00D907AF" w:rsidP="00045422">
            <w:pPr>
              <w:spacing w:before="20" w:after="20"/>
              <w:ind w:right="142"/>
              <w:jc w:val="right"/>
              <w:rPr>
                <w:rFonts w:cstheme="minorHAnsi"/>
                <w:sz w:val="20"/>
                <w:szCs w:val="20"/>
              </w:rPr>
            </w:pPr>
            <w:r w:rsidRPr="004573EF">
              <w:rPr>
                <w:rFonts w:cstheme="minorHAnsi"/>
                <w:sz w:val="20"/>
                <w:szCs w:val="20"/>
              </w:rPr>
              <w:t>0.0</w:t>
            </w:r>
          </w:p>
        </w:tc>
        <w:tc>
          <w:tcPr>
            <w:tcW w:w="764" w:type="dxa"/>
            <w:vAlign w:val="bottom"/>
          </w:tcPr>
          <w:p w:rsidR="00D907AF" w:rsidRPr="004573EF" w:rsidRDefault="00D907AF" w:rsidP="00143E40">
            <w:pPr>
              <w:spacing w:before="20" w:after="20"/>
              <w:jc w:val="right"/>
              <w:rPr>
                <w:rFonts w:cstheme="minorHAnsi"/>
                <w:sz w:val="20"/>
                <w:szCs w:val="20"/>
              </w:rPr>
            </w:pPr>
            <w:r w:rsidRPr="004573EF">
              <w:rPr>
                <w:rFonts w:cstheme="minorHAnsi"/>
                <w:sz w:val="20"/>
                <w:szCs w:val="20"/>
              </w:rPr>
              <w:t>20.6</w:t>
            </w:r>
          </w:p>
        </w:tc>
      </w:tr>
      <w:tr w:rsidR="00D907AF" w:rsidRPr="004573EF" w:rsidTr="009258B7">
        <w:trPr>
          <w:cantSplit/>
        </w:trPr>
        <w:tc>
          <w:tcPr>
            <w:tcW w:w="675" w:type="dxa"/>
          </w:tcPr>
          <w:p w:rsidR="00D907AF" w:rsidRPr="004573EF" w:rsidRDefault="00D907AF" w:rsidP="00D907AF">
            <w:pPr>
              <w:spacing w:before="20" w:after="20"/>
              <w:rPr>
                <w:rFonts w:cstheme="minorHAnsi"/>
                <w:sz w:val="20"/>
                <w:szCs w:val="20"/>
              </w:rPr>
            </w:pPr>
            <w:r w:rsidRPr="004573EF">
              <w:rPr>
                <w:rFonts w:cstheme="minorHAnsi"/>
                <w:sz w:val="20"/>
                <w:szCs w:val="20"/>
              </w:rPr>
              <w:t>14</w:t>
            </w:r>
          </w:p>
        </w:tc>
        <w:tc>
          <w:tcPr>
            <w:tcW w:w="5278" w:type="dxa"/>
          </w:tcPr>
          <w:p w:rsidR="00D907AF" w:rsidRPr="004573EF" w:rsidRDefault="009258B7" w:rsidP="00D907AF">
            <w:pPr>
              <w:spacing w:before="20" w:after="20"/>
              <w:rPr>
                <w:rFonts w:cstheme="minorHAnsi"/>
                <w:sz w:val="20"/>
                <w:szCs w:val="20"/>
              </w:rPr>
            </w:pPr>
            <w:r>
              <w:rPr>
                <w:rFonts w:cstheme="minorHAnsi"/>
                <w:sz w:val="20"/>
                <w:szCs w:val="20"/>
              </w:rPr>
              <w:t>Full Proxy 8 to</w:t>
            </w:r>
            <w:r w:rsidR="00D907AF" w:rsidRPr="004573EF">
              <w:rPr>
                <w:rFonts w:cstheme="minorHAnsi"/>
                <w:sz w:val="20"/>
                <w:szCs w:val="20"/>
              </w:rPr>
              <w:t>15 Proxy Part A - Proxy/Standard</w:t>
            </w:r>
          </w:p>
        </w:tc>
        <w:tc>
          <w:tcPr>
            <w:tcW w:w="764" w:type="dxa"/>
            <w:vAlign w:val="bottom"/>
          </w:tcPr>
          <w:p w:rsidR="00D907AF" w:rsidRPr="004573EF" w:rsidRDefault="00D907AF" w:rsidP="00D907AF">
            <w:pPr>
              <w:spacing w:before="20" w:after="20"/>
              <w:jc w:val="right"/>
              <w:rPr>
                <w:rFonts w:cstheme="minorHAnsi"/>
                <w:sz w:val="20"/>
                <w:szCs w:val="20"/>
              </w:rPr>
            </w:pPr>
            <w:r w:rsidRPr="004573EF">
              <w:rPr>
                <w:rFonts w:cstheme="minorHAnsi"/>
                <w:sz w:val="20"/>
                <w:szCs w:val="20"/>
              </w:rPr>
              <w:t>11.1</w:t>
            </w:r>
          </w:p>
        </w:tc>
        <w:tc>
          <w:tcPr>
            <w:tcW w:w="764" w:type="dxa"/>
            <w:vAlign w:val="bottom"/>
          </w:tcPr>
          <w:p w:rsidR="00D907AF" w:rsidRPr="004573EF" w:rsidRDefault="00D907AF" w:rsidP="00D907AF">
            <w:pPr>
              <w:spacing w:before="20" w:after="20"/>
              <w:jc w:val="right"/>
              <w:rPr>
                <w:rFonts w:cstheme="minorHAnsi"/>
                <w:sz w:val="20"/>
                <w:szCs w:val="20"/>
              </w:rPr>
            </w:pPr>
            <w:r w:rsidRPr="004573EF">
              <w:rPr>
                <w:rFonts w:cstheme="minorHAnsi"/>
                <w:sz w:val="20"/>
                <w:szCs w:val="20"/>
              </w:rPr>
              <w:t>8.4</w:t>
            </w:r>
          </w:p>
        </w:tc>
        <w:tc>
          <w:tcPr>
            <w:tcW w:w="997" w:type="dxa"/>
            <w:vAlign w:val="bottom"/>
          </w:tcPr>
          <w:p w:rsidR="00D907AF" w:rsidRPr="004573EF" w:rsidRDefault="00D907AF" w:rsidP="00045422">
            <w:pPr>
              <w:spacing w:before="20" w:after="20"/>
              <w:ind w:right="142"/>
              <w:jc w:val="right"/>
              <w:rPr>
                <w:rFonts w:cstheme="minorHAnsi"/>
                <w:sz w:val="20"/>
                <w:szCs w:val="20"/>
              </w:rPr>
            </w:pPr>
            <w:r w:rsidRPr="004573EF">
              <w:rPr>
                <w:rFonts w:cstheme="minorHAnsi"/>
                <w:sz w:val="20"/>
                <w:szCs w:val="20"/>
              </w:rPr>
              <w:t>2.1</w:t>
            </w:r>
          </w:p>
        </w:tc>
        <w:tc>
          <w:tcPr>
            <w:tcW w:w="764" w:type="dxa"/>
            <w:vAlign w:val="bottom"/>
          </w:tcPr>
          <w:p w:rsidR="00D907AF" w:rsidRPr="004573EF" w:rsidRDefault="00D907AF" w:rsidP="00D907AF">
            <w:pPr>
              <w:spacing w:before="20" w:after="20"/>
              <w:jc w:val="right"/>
              <w:rPr>
                <w:rFonts w:cstheme="minorHAnsi"/>
                <w:sz w:val="20"/>
                <w:szCs w:val="20"/>
              </w:rPr>
            </w:pPr>
            <w:r w:rsidRPr="004573EF">
              <w:rPr>
                <w:rFonts w:cstheme="minorHAnsi"/>
                <w:sz w:val="20"/>
                <w:szCs w:val="20"/>
              </w:rPr>
              <w:t>7.0</w:t>
            </w:r>
          </w:p>
        </w:tc>
      </w:tr>
      <w:tr w:rsidR="00D907AF" w:rsidRPr="004573EF" w:rsidTr="009258B7">
        <w:trPr>
          <w:cantSplit/>
        </w:trPr>
        <w:tc>
          <w:tcPr>
            <w:tcW w:w="675" w:type="dxa"/>
          </w:tcPr>
          <w:p w:rsidR="00D907AF" w:rsidRPr="004573EF" w:rsidRDefault="00D907AF" w:rsidP="00D907AF">
            <w:pPr>
              <w:spacing w:before="20" w:after="20"/>
              <w:rPr>
                <w:rFonts w:cstheme="minorHAnsi"/>
                <w:sz w:val="20"/>
                <w:szCs w:val="20"/>
              </w:rPr>
            </w:pPr>
            <w:r w:rsidRPr="004573EF">
              <w:rPr>
                <w:rFonts w:cstheme="minorHAnsi"/>
                <w:sz w:val="20"/>
                <w:szCs w:val="20"/>
              </w:rPr>
              <w:t>15</w:t>
            </w:r>
          </w:p>
        </w:tc>
        <w:tc>
          <w:tcPr>
            <w:tcW w:w="5278" w:type="dxa"/>
          </w:tcPr>
          <w:p w:rsidR="00D907AF" w:rsidRPr="004573EF" w:rsidRDefault="00D907AF" w:rsidP="00D907AF">
            <w:pPr>
              <w:spacing w:before="20" w:after="20"/>
              <w:rPr>
                <w:rFonts w:cstheme="minorHAnsi"/>
                <w:sz w:val="20"/>
                <w:szCs w:val="20"/>
              </w:rPr>
            </w:pPr>
            <w:r w:rsidRPr="004573EF">
              <w:rPr>
                <w:rFonts w:cstheme="minorHAnsi"/>
                <w:sz w:val="20"/>
                <w:szCs w:val="20"/>
              </w:rPr>
              <w:t xml:space="preserve">Full Proxy </w:t>
            </w:r>
            <w:r w:rsidR="009258B7">
              <w:rPr>
                <w:rFonts w:cstheme="minorHAnsi"/>
                <w:sz w:val="20"/>
                <w:szCs w:val="20"/>
              </w:rPr>
              <w:t>16 to</w:t>
            </w:r>
            <w:r w:rsidRPr="004573EF">
              <w:rPr>
                <w:rFonts w:cstheme="minorHAnsi"/>
                <w:sz w:val="20"/>
                <w:szCs w:val="20"/>
              </w:rPr>
              <w:t>17 Proxy Part A - Proxy/Standard</w:t>
            </w:r>
          </w:p>
        </w:tc>
        <w:tc>
          <w:tcPr>
            <w:tcW w:w="764" w:type="dxa"/>
            <w:vAlign w:val="bottom"/>
          </w:tcPr>
          <w:p w:rsidR="00D907AF" w:rsidRPr="004573EF" w:rsidRDefault="00D907AF" w:rsidP="00D907AF">
            <w:pPr>
              <w:spacing w:before="20" w:after="20"/>
              <w:jc w:val="right"/>
              <w:rPr>
                <w:rFonts w:cstheme="minorHAnsi"/>
                <w:sz w:val="20"/>
                <w:szCs w:val="20"/>
              </w:rPr>
            </w:pPr>
            <w:r w:rsidRPr="004573EF">
              <w:rPr>
                <w:rFonts w:cstheme="minorHAnsi"/>
                <w:sz w:val="20"/>
                <w:szCs w:val="20"/>
              </w:rPr>
              <w:t>2.5</w:t>
            </w:r>
          </w:p>
        </w:tc>
        <w:tc>
          <w:tcPr>
            <w:tcW w:w="764" w:type="dxa"/>
            <w:vAlign w:val="bottom"/>
          </w:tcPr>
          <w:p w:rsidR="00D907AF" w:rsidRPr="004573EF" w:rsidRDefault="00D907AF" w:rsidP="00D907AF">
            <w:pPr>
              <w:spacing w:before="20" w:after="20"/>
              <w:jc w:val="right"/>
              <w:rPr>
                <w:rFonts w:cstheme="minorHAnsi"/>
                <w:sz w:val="20"/>
                <w:szCs w:val="20"/>
              </w:rPr>
            </w:pPr>
            <w:r w:rsidRPr="004573EF">
              <w:rPr>
                <w:rFonts w:cstheme="minorHAnsi"/>
                <w:sz w:val="20"/>
                <w:szCs w:val="20"/>
              </w:rPr>
              <w:t>1.7</w:t>
            </w:r>
          </w:p>
        </w:tc>
        <w:tc>
          <w:tcPr>
            <w:tcW w:w="997" w:type="dxa"/>
            <w:vAlign w:val="bottom"/>
          </w:tcPr>
          <w:p w:rsidR="00D907AF" w:rsidRPr="004573EF" w:rsidRDefault="00D907AF" w:rsidP="00045422">
            <w:pPr>
              <w:spacing w:before="20" w:after="20"/>
              <w:ind w:right="142"/>
              <w:jc w:val="right"/>
              <w:rPr>
                <w:rFonts w:cstheme="minorHAnsi"/>
                <w:sz w:val="20"/>
                <w:szCs w:val="20"/>
              </w:rPr>
            </w:pPr>
            <w:r w:rsidRPr="004573EF">
              <w:rPr>
                <w:rFonts w:cstheme="minorHAnsi"/>
                <w:sz w:val="20"/>
                <w:szCs w:val="20"/>
              </w:rPr>
              <w:t>0.6</w:t>
            </w:r>
          </w:p>
        </w:tc>
        <w:tc>
          <w:tcPr>
            <w:tcW w:w="764" w:type="dxa"/>
            <w:vAlign w:val="bottom"/>
          </w:tcPr>
          <w:p w:rsidR="00D907AF" w:rsidRPr="004573EF" w:rsidRDefault="00D907AF" w:rsidP="00D907AF">
            <w:pPr>
              <w:spacing w:before="20" w:after="20"/>
              <w:jc w:val="right"/>
              <w:rPr>
                <w:rFonts w:cstheme="minorHAnsi"/>
                <w:sz w:val="20"/>
                <w:szCs w:val="20"/>
              </w:rPr>
            </w:pPr>
            <w:r w:rsidRPr="004573EF">
              <w:rPr>
                <w:rFonts w:cstheme="minorHAnsi"/>
                <w:sz w:val="20"/>
                <w:szCs w:val="20"/>
              </w:rPr>
              <w:t>1.6</w:t>
            </w:r>
          </w:p>
        </w:tc>
      </w:tr>
      <w:tr w:rsidR="00D907AF" w:rsidRPr="004573EF" w:rsidTr="009258B7">
        <w:trPr>
          <w:cantSplit/>
        </w:trPr>
        <w:tc>
          <w:tcPr>
            <w:tcW w:w="675" w:type="dxa"/>
            <w:tcBorders>
              <w:bottom w:val="single" w:sz="4" w:space="0" w:color="auto"/>
            </w:tcBorders>
          </w:tcPr>
          <w:p w:rsidR="00D907AF" w:rsidRPr="004573EF" w:rsidRDefault="00D907AF" w:rsidP="00D907AF">
            <w:pPr>
              <w:spacing w:before="20" w:after="20"/>
              <w:rPr>
                <w:rFonts w:cstheme="minorHAnsi"/>
                <w:sz w:val="20"/>
                <w:szCs w:val="20"/>
              </w:rPr>
            </w:pPr>
            <w:r w:rsidRPr="004573EF">
              <w:rPr>
                <w:rFonts w:cstheme="minorHAnsi"/>
                <w:sz w:val="20"/>
                <w:szCs w:val="20"/>
              </w:rPr>
              <w:t>16</w:t>
            </w:r>
          </w:p>
        </w:tc>
        <w:tc>
          <w:tcPr>
            <w:tcW w:w="5278" w:type="dxa"/>
            <w:tcBorders>
              <w:bottom w:val="single" w:sz="4" w:space="0" w:color="auto"/>
            </w:tcBorders>
          </w:tcPr>
          <w:p w:rsidR="00D907AF" w:rsidRPr="004573EF" w:rsidRDefault="00D907AF" w:rsidP="00D907AF">
            <w:pPr>
              <w:spacing w:before="20" w:after="20"/>
              <w:rPr>
                <w:rFonts w:cstheme="minorHAnsi"/>
                <w:sz w:val="20"/>
                <w:szCs w:val="20"/>
              </w:rPr>
            </w:pPr>
            <w:r w:rsidRPr="004573EF">
              <w:rPr>
                <w:rFonts w:cstheme="minorHAnsi"/>
                <w:sz w:val="20"/>
                <w:szCs w:val="20"/>
              </w:rPr>
              <w:t>Full Proxy 18+ Proxy Part A - Proxy/Standard</w:t>
            </w:r>
          </w:p>
        </w:tc>
        <w:tc>
          <w:tcPr>
            <w:tcW w:w="764" w:type="dxa"/>
            <w:tcBorders>
              <w:bottom w:val="single" w:sz="4" w:space="0" w:color="auto"/>
            </w:tcBorders>
            <w:vAlign w:val="bottom"/>
          </w:tcPr>
          <w:p w:rsidR="00D907AF" w:rsidRPr="004573EF" w:rsidRDefault="00D907AF" w:rsidP="00D907AF">
            <w:pPr>
              <w:spacing w:before="20" w:after="20"/>
              <w:jc w:val="right"/>
              <w:rPr>
                <w:rFonts w:cstheme="minorHAnsi"/>
                <w:sz w:val="20"/>
                <w:szCs w:val="20"/>
              </w:rPr>
            </w:pPr>
            <w:r w:rsidRPr="004573EF">
              <w:rPr>
                <w:rFonts w:cstheme="minorHAnsi"/>
                <w:sz w:val="20"/>
                <w:szCs w:val="20"/>
              </w:rPr>
              <w:t>13.5</w:t>
            </w:r>
          </w:p>
        </w:tc>
        <w:tc>
          <w:tcPr>
            <w:tcW w:w="764" w:type="dxa"/>
            <w:tcBorders>
              <w:bottom w:val="single" w:sz="4" w:space="0" w:color="auto"/>
            </w:tcBorders>
            <w:vAlign w:val="bottom"/>
          </w:tcPr>
          <w:p w:rsidR="00D907AF" w:rsidRPr="004573EF" w:rsidRDefault="00D907AF" w:rsidP="00D907AF">
            <w:pPr>
              <w:spacing w:before="20" w:after="20"/>
              <w:jc w:val="right"/>
              <w:rPr>
                <w:rFonts w:cstheme="minorHAnsi"/>
                <w:sz w:val="20"/>
                <w:szCs w:val="20"/>
              </w:rPr>
            </w:pPr>
            <w:r w:rsidRPr="004573EF">
              <w:rPr>
                <w:rFonts w:cstheme="minorHAnsi"/>
                <w:sz w:val="20"/>
                <w:szCs w:val="20"/>
              </w:rPr>
              <w:t>17.9</w:t>
            </w:r>
          </w:p>
        </w:tc>
        <w:tc>
          <w:tcPr>
            <w:tcW w:w="997" w:type="dxa"/>
            <w:tcBorders>
              <w:bottom w:val="single" w:sz="4" w:space="0" w:color="auto"/>
            </w:tcBorders>
            <w:vAlign w:val="bottom"/>
          </w:tcPr>
          <w:p w:rsidR="00D907AF" w:rsidRPr="004573EF" w:rsidRDefault="00D907AF" w:rsidP="00045422">
            <w:pPr>
              <w:spacing w:before="20" w:after="20"/>
              <w:ind w:right="142"/>
              <w:jc w:val="right"/>
              <w:rPr>
                <w:rFonts w:cstheme="minorHAnsi"/>
                <w:sz w:val="20"/>
                <w:szCs w:val="20"/>
              </w:rPr>
            </w:pPr>
            <w:r w:rsidRPr="004573EF">
              <w:rPr>
                <w:rFonts w:cstheme="minorHAnsi"/>
                <w:sz w:val="20"/>
                <w:szCs w:val="20"/>
              </w:rPr>
              <w:t>5.1</w:t>
            </w:r>
          </w:p>
        </w:tc>
        <w:tc>
          <w:tcPr>
            <w:tcW w:w="764" w:type="dxa"/>
            <w:tcBorders>
              <w:bottom w:val="single" w:sz="4" w:space="0" w:color="auto"/>
            </w:tcBorders>
            <w:vAlign w:val="bottom"/>
          </w:tcPr>
          <w:p w:rsidR="00D907AF" w:rsidRPr="004573EF" w:rsidRDefault="00D907AF" w:rsidP="00D907AF">
            <w:pPr>
              <w:spacing w:before="20" w:after="20"/>
              <w:jc w:val="right"/>
              <w:rPr>
                <w:rFonts w:cstheme="minorHAnsi"/>
                <w:sz w:val="20"/>
                <w:szCs w:val="20"/>
              </w:rPr>
            </w:pPr>
            <w:r w:rsidRPr="004573EF">
              <w:rPr>
                <w:rFonts w:cstheme="minorHAnsi"/>
                <w:sz w:val="20"/>
                <w:szCs w:val="20"/>
              </w:rPr>
              <w:t>11.3</w:t>
            </w:r>
          </w:p>
        </w:tc>
      </w:tr>
      <w:tr w:rsidR="00D907AF" w:rsidRPr="004573EF" w:rsidTr="000666FB">
        <w:trPr>
          <w:cantSplit/>
          <w:trHeight w:val="209"/>
        </w:trPr>
        <w:tc>
          <w:tcPr>
            <w:tcW w:w="675" w:type="dxa"/>
            <w:tcBorders>
              <w:top w:val="single" w:sz="4" w:space="0" w:color="auto"/>
            </w:tcBorders>
          </w:tcPr>
          <w:p w:rsidR="00D907AF" w:rsidRPr="000666FB" w:rsidRDefault="00D907AF" w:rsidP="000666FB">
            <w:pPr>
              <w:spacing w:before="20" w:after="20"/>
              <w:rPr>
                <w:rFonts w:cstheme="minorHAnsi"/>
                <w:b/>
                <w:sz w:val="20"/>
                <w:szCs w:val="20"/>
              </w:rPr>
            </w:pPr>
            <w:r w:rsidRPr="000666FB">
              <w:rPr>
                <w:rFonts w:cstheme="minorHAnsi"/>
                <w:b/>
                <w:sz w:val="20"/>
                <w:szCs w:val="20"/>
              </w:rPr>
              <w:t>N</w:t>
            </w:r>
          </w:p>
        </w:tc>
        <w:tc>
          <w:tcPr>
            <w:tcW w:w="5278" w:type="dxa"/>
            <w:tcBorders>
              <w:top w:val="single" w:sz="4" w:space="0" w:color="auto"/>
            </w:tcBorders>
          </w:tcPr>
          <w:p w:rsidR="00D907AF" w:rsidRPr="000666FB" w:rsidRDefault="00D907AF" w:rsidP="000666FB">
            <w:pPr>
              <w:spacing w:before="20" w:after="20"/>
              <w:rPr>
                <w:rFonts w:cstheme="minorHAnsi"/>
                <w:b/>
                <w:sz w:val="20"/>
                <w:szCs w:val="20"/>
              </w:rPr>
            </w:pPr>
          </w:p>
        </w:tc>
        <w:tc>
          <w:tcPr>
            <w:tcW w:w="764" w:type="dxa"/>
            <w:tcBorders>
              <w:top w:val="single" w:sz="4" w:space="0" w:color="auto"/>
            </w:tcBorders>
            <w:vAlign w:val="bottom"/>
          </w:tcPr>
          <w:p w:rsidR="00D907AF" w:rsidRPr="000666FB" w:rsidRDefault="00D907AF" w:rsidP="000666FB">
            <w:pPr>
              <w:spacing w:before="20" w:after="20"/>
              <w:jc w:val="right"/>
              <w:rPr>
                <w:rFonts w:cstheme="minorHAnsi"/>
                <w:b/>
                <w:sz w:val="20"/>
                <w:szCs w:val="20"/>
              </w:rPr>
            </w:pPr>
            <w:r w:rsidRPr="000666FB">
              <w:rPr>
                <w:rFonts w:cstheme="minorHAnsi"/>
                <w:b/>
                <w:sz w:val="20"/>
                <w:szCs w:val="20"/>
              </w:rPr>
              <w:t>675</w:t>
            </w:r>
          </w:p>
        </w:tc>
        <w:tc>
          <w:tcPr>
            <w:tcW w:w="764" w:type="dxa"/>
            <w:tcBorders>
              <w:top w:val="single" w:sz="4" w:space="0" w:color="auto"/>
            </w:tcBorders>
            <w:vAlign w:val="bottom"/>
          </w:tcPr>
          <w:p w:rsidR="00D907AF" w:rsidRPr="000666FB" w:rsidRDefault="00D907AF" w:rsidP="000666FB">
            <w:pPr>
              <w:spacing w:before="20" w:after="20"/>
              <w:jc w:val="right"/>
              <w:rPr>
                <w:rFonts w:cstheme="minorHAnsi"/>
                <w:b/>
                <w:sz w:val="20"/>
                <w:szCs w:val="20"/>
              </w:rPr>
            </w:pPr>
            <w:r w:rsidRPr="000666FB">
              <w:rPr>
                <w:rFonts w:cstheme="minorHAnsi"/>
                <w:b/>
                <w:sz w:val="20"/>
                <w:szCs w:val="20"/>
              </w:rPr>
              <w:t>407</w:t>
            </w:r>
          </w:p>
        </w:tc>
        <w:tc>
          <w:tcPr>
            <w:tcW w:w="997" w:type="dxa"/>
            <w:tcBorders>
              <w:top w:val="single" w:sz="4" w:space="0" w:color="auto"/>
            </w:tcBorders>
            <w:vAlign w:val="bottom"/>
          </w:tcPr>
          <w:p w:rsidR="00D907AF" w:rsidRPr="000666FB" w:rsidRDefault="00D907AF" w:rsidP="000666FB">
            <w:pPr>
              <w:spacing w:before="20" w:after="20"/>
              <w:ind w:right="142"/>
              <w:jc w:val="right"/>
              <w:rPr>
                <w:rFonts w:cstheme="minorHAnsi"/>
                <w:b/>
                <w:sz w:val="20"/>
                <w:szCs w:val="20"/>
              </w:rPr>
            </w:pPr>
            <w:r w:rsidRPr="000666FB">
              <w:rPr>
                <w:rFonts w:cstheme="minorHAnsi"/>
                <w:b/>
                <w:sz w:val="20"/>
                <w:szCs w:val="20"/>
              </w:rPr>
              <w:t>672</w:t>
            </w:r>
          </w:p>
        </w:tc>
        <w:tc>
          <w:tcPr>
            <w:tcW w:w="764" w:type="dxa"/>
            <w:tcBorders>
              <w:top w:val="single" w:sz="4" w:space="0" w:color="auto"/>
            </w:tcBorders>
            <w:vAlign w:val="bottom"/>
          </w:tcPr>
          <w:p w:rsidR="00D907AF" w:rsidRPr="000666FB" w:rsidRDefault="00D907AF" w:rsidP="000666FB">
            <w:pPr>
              <w:spacing w:before="20" w:after="20"/>
              <w:jc w:val="right"/>
              <w:rPr>
                <w:rFonts w:cstheme="minorHAnsi"/>
                <w:b/>
                <w:sz w:val="20"/>
                <w:szCs w:val="20"/>
              </w:rPr>
            </w:pPr>
            <w:r w:rsidRPr="000666FB">
              <w:rPr>
                <w:rFonts w:cstheme="minorHAnsi"/>
                <w:b/>
                <w:sz w:val="20"/>
                <w:szCs w:val="20"/>
              </w:rPr>
              <w:t>1,754</w:t>
            </w:r>
          </w:p>
        </w:tc>
      </w:tr>
      <w:tr w:rsidR="00D907AF" w:rsidRPr="004573EF" w:rsidTr="000666FB">
        <w:trPr>
          <w:cantSplit/>
          <w:trHeight w:val="113"/>
        </w:trPr>
        <w:tc>
          <w:tcPr>
            <w:tcW w:w="675" w:type="dxa"/>
            <w:tcBorders>
              <w:bottom w:val="single" w:sz="4" w:space="0" w:color="auto"/>
            </w:tcBorders>
          </w:tcPr>
          <w:p w:rsidR="00D907AF" w:rsidRPr="00A80B56" w:rsidRDefault="00D907AF" w:rsidP="003276FC">
            <w:pPr>
              <w:spacing w:before="20" w:after="20"/>
              <w:ind w:right="-108"/>
              <w:rPr>
                <w:rFonts w:cstheme="minorHAnsi"/>
                <w:b/>
                <w:sz w:val="20"/>
                <w:szCs w:val="20"/>
              </w:rPr>
            </w:pPr>
            <w:r w:rsidRPr="00A80B56">
              <w:rPr>
                <w:rFonts w:cstheme="minorHAnsi"/>
                <w:b/>
                <w:sz w:val="20"/>
                <w:szCs w:val="20"/>
              </w:rPr>
              <w:t>% row</w:t>
            </w:r>
          </w:p>
        </w:tc>
        <w:tc>
          <w:tcPr>
            <w:tcW w:w="5278" w:type="dxa"/>
            <w:tcBorders>
              <w:bottom w:val="single" w:sz="4" w:space="0" w:color="auto"/>
            </w:tcBorders>
          </w:tcPr>
          <w:p w:rsidR="00D907AF" w:rsidRPr="00A80B56" w:rsidRDefault="00D907AF" w:rsidP="00D907AF">
            <w:pPr>
              <w:spacing w:before="20" w:after="20"/>
              <w:rPr>
                <w:rFonts w:cstheme="minorHAnsi"/>
                <w:b/>
                <w:sz w:val="20"/>
                <w:szCs w:val="20"/>
              </w:rPr>
            </w:pPr>
          </w:p>
        </w:tc>
        <w:tc>
          <w:tcPr>
            <w:tcW w:w="764" w:type="dxa"/>
            <w:tcBorders>
              <w:bottom w:val="single" w:sz="4" w:space="0" w:color="auto"/>
            </w:tcBorders>
            <w:vAlign w:val="bottom"/>
          </w:tcPr>
          <w:p w:rsidR="00D907AF" w:rsidRPr="000666FB" w:rsidRDefault="00D907AF" w:rsidP="00D907AF">
            <w:pPr>
              <w:spacing w:before="20" w:after="20"/>
              <w:jc w:val="right"/>
              <w:rPr>
                <w:rFonts w:cstheme="minorHAnsi"/>
                <w:b/>
                <w:sz w:val="20"/>
                <w:szCs w:val="20"/>
              </w:rPr>
            </w:pPr>
            <w:r w:rsidRPr="000666FB">
              <w:rPr>
                <w:rFonts w:cstheme="minorHAnsi"/>
                <w:b/>
                <w:sz w:val="20"/>
                <w:szCs w:val="20"/>
              </w:rPr>
              <w:t>38.5</w:t>
            </w:r>
          </w:p>
        </w:tc>
        <w:tc>
          <w:tcPr>
            <w:tcW w:w="764" w:type="dxa"/>
            <w:tcBorders>
              <w:bottom w:val="single" w:sz="4" w:space="0" w:color="auto"/>
            </w:tcBorders>
            <w:vAlign w:val="bottom"/>
          </w:tcPr>
          <w:p w:rsidR="00D907AF" w:rsidRPr="000666FB" w:rsidRDefault="00D907AF" w:rsidP="00D907AF">
            <w:pPr>
              <w:spacing w:before="20" w:after="20"/>
              <w:jc w:val="right"/>
              <w:rPr>
                <w:rFonts w:cstheme="minorHAnsi"/>
                <w:b/>
                <w:sz w:val="20"/>
                <w:szCs w:val="20"/>
              </w:rPr>
            </w:pPr>
            <w:r w:rsidRPr="000666FB">
              <w:rPr>
                <w:rFonts w:cstheme="minorHAnsi"/>
                <w:b/>
                <w:sz w:val="20"/>
                <w:szCs w:val="20"/>
              </w:rPr>
              <w:t>23.2</w:t>
            </w:r>
          </w:p>
        </w:tc>
        <w:tc>
          <w:tcPr>
            <w:tcW w:w="997" w:type="dxa"/>
            <w:tcBorders>
              <w:bottom w:val="single" w:sz="4" w:space="0" w:color="auto"/>
            </w:tcBorders>
            <w:vAlign w:val="bottom"/>
          </w:tcPr>
          <w:p w:rsidR="00D907AF" w:rsidRPr="000666FB" w:rsidRDefault="00D907AF" w:rsidP="00045422">
            <w:pPr>
              <w:spacing w:before="20" w:after="20"/>
              <w:ind w:right="142"/>
              <w:jc w:val="right"/>
              <w:rPr>
                <w:rFonts w:cstheme="minorHAnsi"/>
                <w:b/>
                <w:sz w:val="20"/>
                <w:szCs w:val="20"/>
              </w:rPr>
            </w:pPr>
            <w:r w:rsidRPr="000666FB">
              <w:rPr>
                <w:rFonts w:cstheme="minorHAnsi"/>
                <w:b/>
                <w:sz w:val="20"/>
                <w:szCs w:val="20"/>
              </w:rPr>
              <w:t>38.3</w:t>
            </w:r>
          </w:p>
        </w:tc>
        <w:tc>
          <w:tcPr>
            <w:tcW w:w="764" w:type="dxa"/>
            <w:tcBorders>
              <w:bottom w:val="single" w:sz="4" w:space="0" w:color="auto"/>
            </w:tcBorders>
            <w:vAlign w:val="bottom"/>
          </w:tcPr>
          <w:p w:rsidR="00D907AF" w:rsidRPr="000666FB" w:rsidRDefault="00D907AF" w:rsidP="00D907AF">
            <w:pPr>
              <w:spacing w:before="20" w:after="20"/>
              <w:jc w:val="right"/>
              <w:rPr>
                <w:rFonts w:cstheme="minorHAnsi"/>
                <w:b/>
                <w:sz w:val="20"/>
                <w:szCs w:val="20"/>
              </w:rPr>
            </w:pPr>
            <w:r w:rsidRPr="000666FB">
              <w:rPr>
                <w:rFonts w:cstheme="minorHAnsi"/>
                <w:b/>
                <w:sz w:val="20"/>
                <w:szCs w:val="20"/>
              </w:rPr>
              <w:t>100</w:t>
            </w:r>
          </w:p>
        </w:tc>
      </w:tr>
      <w:bookmarkEnd w:id="134"/>
    </w:tbl>
    <w:p w:rsidR="005B2D5F" w:rsidRDefault="005B2D5F" w:rsidP="00D907AF"/>
    <w:p w:rsidR="00D907AF" w:rsidRDefault="00D907AF" w:rsidP="00D907AF">
      <w:r w:rsidRPr="004E62D8">
        <w:t xml:space="preserve">We turn briefly to the NDIS Survey for Families and Carers, which was the last of the surveys to </w:t>
      </w:r>
      <w:r>
        <w:t xml:space="preserve">go into the </w:t>
      </w:r>
      <w:r w:rsidRPr="004E62D8">
        <w:t>field</w:t>
      </w:r>
      <w:r>
        <w:t>.</w:t>
      </w:r>
      <w:r w:rsidRPr="004E62D8">
        <w:t xml:space="preserve"> </w:t>
      </w:r>
      <w:r>
        <w:t>We are</w:t>
      </w:r>
      <w:r w:rsidRPr="004E62D8">
        <w:t xml:space="preserve"> still collect</w:t>
      </w:r>
      <w:r>
        <w:t>ing</w:t>
      </w:r>
      <w:r w:rsidRPr="004E62D8">
        <w:t xml:space="preserve"> nominations from persons with disability participating in the NDIS Survey</w:t>
      </w:r>
      <w:r>
        <w:t xml:space="preserve"> about their families and carers</w:t>
      </w:r>
      <w:r w:rsidRPr="004E62D8">
        <w:t xml:space="preserve">. Table </w:t>
      </w:r>
      <w:r>
        <w:t>3.7</w:t>
      </w:r>
      <w:r w:rsidRPr="004E62D8">
        <w:t xml:space="preserve"> summarises some basic statistics. Once again we see a loss in cases as a result of unusable address information, </w:t>
      </w:r>
      <w:r>
        <w:t>and we also note losses</w:t>
      </w:r>
      <w:r w:rsidRPr="004E62D8">
        <w:t xml:space="preserve"> </w:t>
      </w:r>
      <w:r>
        <w:t>due to</w:t>
      </w:r>
      <w:r w:rsidRPr="004E62D8">
        <w:t xml:space="preserve"> duplicate records.</w:t>
      </w:r>
    </w:p>
    <w:p w:rsidR="005B2D5F" w:rsidRPr="004E62D8" w:rsidRDefault="005B2D5F" w:rsidP="00D907AF"/>
    <w:p w:rsidR="00D907AF" w:rsidRDefault="00D907AF" w:rsidP="00D907AF">
      <w:r w:rsidRPr="004E62D8">
        <w:t xml:space="preserve">Registrations from </w:t>
      </w:r>
      <w:r>
        <w:t>t</w:t>
      </w:r>
      <w:r w:rsidRPr="004E62D8">
        <w:t>rial site Wave 1a (44.6</w:t>
      </w:r>
      <w:r>
        <w:t xml:space="preserve"> per cent</w:t>
      </w:r>
      <w:r w:rsidRPr="004E62D8">
        <w:t xml:space="preserve"> of the usable sample) has been close to that for the NDIS Survey in that sample. The rates of registration from the trial site sample for </w:t>
      </w:r>
      <w:r>
        <w:t>Wave</w:t>
      </w:r>
      <w:r w:rsidRPr="004E62D8">
        <w:t xml:space="preserve"> 1b and for the comparison </w:t>
      </w:r>
      <w:r>
        <w:t>sample</w:t>
      </w:r>
      <w:r w:rsidRPr="004E62D8">
        <w:t xml:space="preserve"> have been considerably lower; approaching the 30 per cent mark. Completion rates </w:t>
      </w:r>
      <w:r>
        <w:t>shown in Table 3.7 are still</w:t>
      </w:r>
      <w:r w:rsidRPr="004E62D8">
        <w:t xml:space="preserve"> low as many families and carers await the completion of the NDIS Survey. </w:t>
      </w:r>
      <w:r>
        <w:t>O</w:t>
      </w:r>
      <w:r w:rsidRPr="004E62D8">
        <w:t xml:space="preserve">nly after registrations are completed </w:t>
      </w:r>
      <w:r>
        <w:t xml:space="preserve">will </w:t>
      </w:r>
      <w:r w:rsidRPr="004E62D8">
        <w:t>CAT</w:t>
      </w:r>
      <w:r>
        <w:t>I</w:t>
      </w:r>
      <w:r w:rsidRPr="004E62D8">
        <w:t xml:space="preserve"> interviews or reminder calls commence, which is expected to boost response rates quickly.</w:t>
      </w:r>
    </w:p>
    <w:p w:rsidR="00D907AF" w:rsidRPr="004E62D8" w:rsidRDefault="00D907AF" w:rsidP="0044684E">
      <w:pPr>
        <w:pStyle w:val="NILSTableHeading"/>
      </w:pPr>
      <w:bookmarkStart w:id="193" w:name="_Toc428280657"/>
      <w:bookmarkStart w:id="194" w:name="_Toc449955269"/>
      <w:r w:rsidRPr="004E62D8">
        <w:t xml:space="preserve">Table </w:t>
      </w:r>
      <w:r>
        <w:t xml:space="preserve">3.7: </w:t>
      </w:r>
      <w:r w:rsidRPr="004E62D8">
        <w:t>NDIS Survey for Families and Carers: registrations and completions (as at 15 July 2015)</w:t>
      </w:r>
      <w:bookmarkEnd w:id="193"/>
      <w:bookmarkEnd w:id="194"/>
    </w:p>
    <w:tbl>
      <w:tblPr>
        <w:tblStyle w:val="TableGrid"/>
        <w:tblW w:w="4638" w:type="pct"/>
        <w:tblLook w:val="04A0" w:firstRow="1" w:lastRow="0" w:firstColumn="1" w:lastColumn="0" w:noHBand="0" w:noVBand="1"/>
        <w:tblCaption w:val="Table 3.7 NDIS Survey for Families and Carers: registrations and completions (as at 15 July 2015)"/>
      </w:tblPr>
      <w:tblGrid>
        <w:gridCol w:w="2326"/>
        <w:gridCol w:w="979"/>
        <w:gridCol w:w="978"/>
        <w:gridCol w:w="978"/>
        <w:gridCol w:w="979"/>
        <w:gridCol w:w="1087"/>
        <w:gridCol w:w="1086"/>
      </w:tblGrid>
      <w:tr w:rsidR="009546A9" w:rsidRPr="004573EF" w:rsidTr="00B80E5C">
        <w:trPr>
          <w:cantSplit/>
          <w:tblHeader/>
        </w:trPr>
        <w:tc>
          <w:tcPr>
            <w:tcW w:w="1395" w:type="pct"/>
            <w:tcBorders>
              <w:top w:val="single" w:sz="4" w:space="0" w:color="auto"/>
              <w:bottom w:val="single" w:sz="4" w:space="0" w:color="auto"/>
            </w:tcBorders>
          </w:tcPr>
          <w:p w:rsidR="00AF5479" w:rsidRPr="004573EF" w:rsidRDefault="00AF5479" w:rsidP="00AF5479">
            <w:pPr>
              <w:spacing w:before="20" w:after="20"/>
              <w:rPr>
                <w:rFonts w:cstheme="minorHAnsi"/>
                <w:sz w:val="20"/>
                <w:szCs w:val="20"/>
              </w:rPr>
            </w:pPr>
            <w:bookmarkStart w:id="195" w:name="Title_3_7"/>
            <w:bookmarkEnd w:id="195"/>
          </w:p>
        </w:tc>
        <w:tc>
          <w:tcPr>
            <w:tcW w:w="594" w:type="pct"/>
            <w:tcBorders>
              <w:top w:val="single" w:sz="4" w:space="0" w:color="auto"/>
              <w:bottom w:val="single" w:sz="4" w:space="0" w:color="auto"/>
            </w:tcBorders>
          </w:tcPr>
          <w:p w:rsidR="002C3974" w:rsidRPr="004573EF" w:rsidRDefault="00AF5479" w:rsidP="00DF6B93">
            <w:pPr>
              <w:spacing w:before="20" w:after="20"/>
              <w:jc w:val="center"/>
              <w:rPr>
                <w:rFonts w:cstheme="minorHAnsi"/>
                <w:sz w:val="20"/>
                <w:szCs w:val="20"/>
              </w:rPr>
            </w:pPr>
            <w:r>
              <w:rPr>
                <w:rFonts w:cstheme="minorHAnsi"/>
                <w:sz w:val="20"/>
                <w:szCs w:val="20"/>
              </w:rPr>
              <w:t>Trial site sample Wave 1a</w:t>
            </w:r>
            <w:r w:rsidR="00B80E5C">
              <w:rPr>
                <w:rFonts w:cstheme="minorHAnsi"/>
                <w:sz w:val="20"/>
                <w:szCs w:val="20"/>
              </w:rPr>
              <w:t xml:space="preserve"> </w:t>
            </w:r>
            <w:r w:rsidR="00DF6B93">
              <w:rPr>
                <w:rFonts w:cstheme="minorHAnsi"/>
                <w:sz w:val="20"/>
                <w:szCs w:val="20"/>
              </w:rPr>
              <w:t>N</w:t>
            </w:r>
          </w:p>
        </w:tc>
        <w:tc>
          <w:tcPr>
            <w:tcW w:w="593" w:type="pct"/>
            <w:tcBorders>
              <w:top w:val="single" w:sz="4" w:space="0" w:color="auto"/>
              <w:bottom w:val="single" w:sz="4" w:space="0" w:color="auto"/>
            </w:tcBorders>
          </w:tcPr>
          <w:p w:rsidR="00AF5479" w:rsidRPr="004573EF" w:rsidRDefault="00AF5479" w:rsidP="00BC40C5">
            <w:pPr>
              <w:spacing w:before="20" w:after="20"/>
              <w:jc w:val="center"/>
              <w:rPr>
                <w:rFonts w:cstheme="minorHAnsi"/>
                <w:sz w:val="20"/>
                <w:szCs w:val="20"/>
              </w:rPr>
            </w:pPr>
            <w:r w:rsidRPr="00AF5479">
              <w:rPr>
                <w:rFonts w:cstheme="minorHAnsi"/>
                <w:sz w:val="20"/>
                <w:szCs w:val="20"/>
              </w:rPr>
              <w:t xml:space="preserve">Trial </w:t>
            </w:r>
            <w:r>
              <w:rPr>
                <w:rFonts w:cstheme="minorHAnsi"/>
                <w:sz w:val="20"/>
                <w:szCs w:val="20"/>
              </w:rPr>
              <w:t xml:space="preserve">site sample </w:t>
            </w:r>
            <w:r w:rsidRPr="00AF5479">
              <w:rPr>
                <w:rFonts w:cstheme="minorHAnsi"/>
                <w:sz w:val="20"/>
                <w:szCs w:val="20"/>
              </w:rPr>
              <w:t xml:space="preserve">Wave 1a </w:t>
            </w:r>
            <w:r w:rsidRPr="004573EF">
              <w:rPr>
                <w:rFonts w:cstheme="minorHAnsi"/>
                <w:sz w:val="20"/>
                <w:szCs w:val="20"/>
              </w:rPr>
              <w:t>%</w:t>
            </w:r>
          </w:p>
        </w:tc>
        <w:tc>
          <w:tcPr>
            <w:tcW w:w="593" w:type="pct"/>
            <w:tcBorders>
              <w:top w:val="single" w:sz="4" w:space="0" w:color="auto"/>
              <w:bottom w:val="single" w:sz="4" w:space="0" w:color="auto"/>
            </w:tcBorders>
          </w:tcPr>
          <w:p w:rsidR="00AF5479" w:rsidRPr="004573EF" w:rsidRDefault="00AF5479" w:rsidP="00BC40C5">
            <w:pPr>
              <w:spacing w:before="20" w:after="20"/>
              <w:jc w:val="center"/>
              <w:rPr>
                <w:rFonts w:cstheme="minorHAnsi"/>
                <w:sz w:val="20"/>
                <w:szCs w:val="20"/>
              </w:rPr>
            </w:pPr>
            <w:r w:rsidRPr="004573EF">
              <w:rPr>
                <w:rFonts w:cstheme="minorHAnsi"/>
                <w:sz w:val="20"/>
                <w:szCs w:val="20"/>
              </w:rPr>
              <w:t>Trial site</w:t>
            </w:r>
          </w:p>
          <w:p w:rsidR="00AF5479" w:rsidRPr="004573EF" w:rsidRDefault="00AF5479" w:rsidP="00DF6B93">
            <w:pPr>
              <w:spacing w:before="20" w:after="20"/>
              <w:jc w:val="center"/>
              <w:rPr>
                <w:rFonts w:cstheme="minorHAnsi"/>
                <w:sz w:val="20"/>
                <w:szCs w:val="20"/>
              </w:rPr>
            </w:pPr>
            <w:r w:rsidRPr="004573EF">
              <w:rPr>
                <w:rFonts w:cstheme="minorHAnsi"/>
                <w:sz w:val="20"/>
                <w:szCs w:val="20"/>
              </w:rPr>
              <w:t>sample Wave 1b</w:t>
            </w:r>
            <w:r w:rsidR="00B80E5C">
              <w:rPr>
                <w:rFonts w:cstheme="minorHAnsi"/>
                <w:sz w:val="20"/>
                <w:szCs w:val="20"/>
              </w:rPr>
              <w:t xml:space="preserve"> </w:t>
            </w:r>
            <w:r w:rsidR="00DF6B93">
              <w:rPr>
                <w:rFonts w:cstheme="minorHAnsi"/>
                <w:sz w:val="20"/>
                <w:szCs w:val="20"/>
              </w:rPr>
              <w:t>N</w:t>
            </w:r>
          </w:p>
        </w:tc>
        <w:tc>
          <w:tcPr>
            <w:tcW w:w="594" w:type="pct"/>
            <w:tcBorders>
              <w:top w:val="single" w:sz="4" w:space="0" w:color="auto"/>
              <w:bottom w:val="single" w:sz="4" w:space="0" w:color="auto"/>
            </w:tcBorders>
          </w:tcPr>
          <w:p w:rsidR="00AF5479" w:rsidRPr="00AF5479" w:rsidRDefault="00AF5479" w:rsidP="00BC40C5">
            <w:pPr>
              <w:spacing w:before="20" w:after="20"/>
              <w:jc w:val="center"/>
              <w:rPr>
                <w:rFonts w:cstheme="minorHAnsi"/>
                <w:sz w:val="20"/>
                <w:szCs w:val="20"/>
              </w:rPr>
            </w:pPr>
            <w:r w:rsidRPr="00AF5479">
              <w:rPr>
                <w:rFonts w:cstheme="minorHAnsi"/>
                <w:sz w:val="20"/>
                <w:szCs w:val="20"/>
              </w:rPr>
              <w:t>Trial site</w:t>
            </w:r>
          </w:p>
          <w:p w:rsidR="00AF5479" w:rsidRPr="004573EF" w:rsidRDefault="00AF5479" w:rsidP="00BC40C5">
            <w:pPr>
              <w:spacing w:before="20" w:after="20"/>
              <w:jc w:val="center"/>
              <w:rPr>
                <w:rFonts w:cstheme="minorHAnsi"/>
                <w:sz w:val="20"/>
                <w:szCs w:val="20"/>
              </w:rPr>
            </w:pPr>
            <w:r w:rsidRPr="00AF5479">
              <w:rPr>
                <w:rFonts w:cstheme="minorHAnsi"/>
                <w:sz w:val="20"/>
                <w:szCs w:val="20"/>
              </w:rPr>
              <w:t xml:space="preserve">sample Wave 1b </w:t>
            </w:r>
            <w:r w:rsidRPr="004573EF">
              <w:rPr>
                <w:rFonts w:cstheme="minorHAnsi"/>
                <w:sz w:val="20"/>
                <w:szCs w:val="20"/>
              </w:rPr>
              <w:t>%</w:t>
            </w:r>
          </w:p>
        </w:tc>
        <w:tc>
          <w:tcPr>
            <w:tcW w:w="657" w:type="pct"/>
            <w:tcBorders>
              <w:top w:val="single" w:sz="4" w:space="0" w:color="auto"/>
              <w:bottom w:val="single" w:sz="4" w:space="0" w:color="auto"/>
            </w:tcBorders>
            <w:vAlign w:val="bottom"/>
          </w:tcPr>
          <w:p w:rsidR="00AF5479" w:rsidRPr="004573EF" w:rsidRDefault="00AF5479" w:rsidP="00B80E5C">
            <w:pPr>
              <w:spacing w:before="20" w:after="20"/>
              <w:ind w:left="-107" w:right="-108"/>
              <w:jc w:val="center"/>
              <w:rPr>
                <w:rFonts w:cstheme="minorHAnsi"/>
                <w:sz w:val="20"/>
                <w:szCs w:val="20"/>
              </w:rPr>
            </w:pPr>
            <w:r w:rsidRPr="004573EF">
              <w:rPr>
                <w:rFonts w:cstheme="minorHAnsi"/>
                <w:sz w:val="20"/>
                <w:szCs w:val="20"/>
              </w:rPr>
              <w:t>Comparison</w:t>
            </w:r>
          </w:p>
          <w:p w:rsidR="00DF6B93" w:rsidRDefault="00B80E5C" w:rsidP="00DF6B93">
            <w:pPr>
              <w:spacing w:before="20" w:after="20"/>
              <w:jc w:val="center"/>
              <w:rPr>
                <w:rFonts w:cstheme="minorHAnsi"/>
                <w:sz w:val="20"/>
                <w:szCs w:val="20"/>
              </w:rPr>
            </w:pPr>
            <w:r w:rsidRPr="004573EF">
              <w:rPr>
                <w:rFonts w:cstheme="minorHAnsi"/>
                <w:sz w:val="20"/>
                <w:szCs w:val="20"/>
              </w:rPr>
              <w:t>S</w:t>
            </w:r>
            <w:r w:rsidR="00AF5479" w:rsidRPr="004573EF">
              <w:rPr>
                <w:rFonts w:cstheme="minorHAnsi"/>
                <w:sz w:val="20"/>
                <w:szCs w:val="20"/>
              </w:rPr>
              <w:t>ample</w:t>
            </w:r>
            <w:r>
              <w:rPr>
                <w:rFonts w:cstheme="minorHAnsi"/>
                <w:sz w:val="20"/>
                <w:szCs w:val="20"/>
              </w:rPr>
              <w:t xml:space="preserve"> </w:t>
            </w:r>
          </w:p>
          <w:p w:rsidR="00AF5479" w:rsidRPr="004573EF" w:rsidRDefault="00DF6B93" w:rsidP="00DF6B93">
            <w:pPr>
              <w:spacing w:before="20" w:after="20"/>
              <w:jc w:val="center"/>
              <w:rPr>
                <w:rFonts w:cstheme="minorHAnsi"/>
                <w:sz w:val="20"/>
                <w:szCs w:val="20"/>
              </w:rPr>
            </w:pPr>
            <w:r>
              <w:rPr>
                <w:rFonts w:cstheme="minorHAnsi"/>
                <w:sz w:val="20"/>
                <w:szCs w:val="20"/>
              </w:rPr>
              <w:t>N</w:t>
            </w:r>
          </w:p>
        </w:tc>
        <w:tc>
          <w:tcPr>
            <w:tcW w:w="575" w:type="pct"/>
            <w:tcBorders>
              <w:top w:val="single" w:sz="4" w:space="0" w:color="auto"/>
              <w:bottom w:val="single" w:sz="4" w:space="0" w:color="auto"/>
            </w:tcBorders>
            <w:vAlign w:val="bottom"/>
          </w:tcPr>
          <w:p w:rsidR="00AF5479" w:rsidRPr="004573EF" w:rsidRDefault="00AF5479" w:rsidP="00277DB1">
            <w:pPr>
              <w:spacing w:before="20" w:after="20"/>
              <w:ind w:left="-108" w:right="-107"/>
              <w:jc w:val="center"/>
              <w:rPr>
                <w:rFonts w:cstheme="minorHAnsi"/>
                <w:sz w:val="20"/>
                <w:szCs w:val="20"/>
              </w:rPr>
            </w:pPr>
            <w:r w:rsidRPr="004573EF">
              <w:rPr>
                <w:rFonts w:cstheme="minorHAnsi"/>
                <w:sz w:val="20"/>
                <w:szCs w:val="20"/>
              </w:rPr>
              <w:t>Comparison</w:t>
            </w:r>
          </w:p>
          <w:p w:rsidR="00AF5479" w:rsidRPr="004573EF" w:rsidRDefault="00AF5479" w:rsidP="00277DB1">
            <w:pPr>
              <w:spacing w:before="20" w:after="20"/>
              <w:ind w:right="35"/>
              <w:jc w:val="center"/>
              <w:rPr>
                <w:rFonts w:cstheme="minorHAnsi"/>
                <w:sz w:val="20"/>
                <w:szCs w:val="20"/>
              </w:rPr>
            </w:pPr>
            <w:r w:rsidRPr="004573EF">
              <w:rPr>
                <w:rFonts w:cstheme="minorHAnsi"/>
                <w:sz w:val="20"/>
                <w:szCs w:val="20"/>
              </w:rPr>
              <w:t>sample %</w:t>
            </w:r>
          </w:p>
        </w:tc>
      </w:tr>
      <w:tr w:rsidR="000C2B7A" w:rsidRPr="004573EF" w:rsidTr="00803C84">
        <w:trPr>
          <w:cantSplit/>
          <w:trHeight w:val="397"/>
        </w:trPr>
        <w:tc>
          <w:tcPr>
            <w:tcW w:w="1395" w:type="pct"/>
            <w:tcBorders>
              <w:top w:val="single" w:sz="4" w:space="0" w:color="auto"/>
            </w:tcBorders>
            <w:vAlign w:val="center"/>
          </w:tcPr>
          <w:p w:rsidR="00AF5479" w:rsidRPr="004573EF" w:rsidRDefault="00AF5479" w:rsidP="00D907AF">
            <w:pPr>
              <w:spacing w:before="20" w:after="20"/>
              <w:rPr>
                <w:rFonts w:cstheme="minorHAnsi"/>
                <w:sz w:val="20"/>
                <w:szCs w:val="20"/>
              </w:rPr>
            </w:pPr>
            <w:r w:rsidRPr="004573EF">
              <w:rPr>
                <w:rFonts w:cstheme="minorHAnsi"/>
                <w:sz w:val="20"/>
                <w:szCs w:val="20"/>
              </w:rPr>
              <w:t>Survey sample provided by DSS</w:t>
            </w:r>
          </w:p>
        </w:tc>
        <w:tc>
          <w:tcPr>
            <w:tcW w:w="594" w:type="pct"/>
            <w:tcBorders>
              <w:top w:val="single" w:sz="4" w:space="0" w:color="auto"/>
            </w:tcBorders>
            <w:vAlign w:val="center"/>
          </w:tcPr>
          <w:p w:rsidR="00AF5479" w:rsidRPr="004573EF" w:rsidRDefault="00AF5479" w:rsidP="00CE6A3A">
            <w:pPr>
              <w:spacing w:before="20" w:after="20"/>
              <w:ind w:right="113"/>
              <w:jc w:val="right"/>
              <w:rPr>
                <w:rFonts w:cstheme="minorHAnsi"/>
                <w:sz w:val="20"/>
                <w:szCs w:val="20"/>
              </w:rPr>
            </w:pPr>
            <w:r w:rsidRPr="004573EF">
              <w:rPr>
                <w:rFonts w:cstheme="minorHAnsi"/>
                <w:sz w:val="20"/>
                <w:szCs w:val="20"/>
              </w:rPr>
              <w:t>3</w:t>
            </w:r>
            <w:r>
              <w:rPr>
                <w:rFonts w:cstheme="minorHAnsi"/>
                <w:sz w:val="20"/>
                <w:szCs w:val="20"/>
              </w:rPr>
              <w:t>,</w:t>
            </w:r>
            <w:r w:rsidRPr="004573EF">
              <w:rPr>
                <w:rFonts w:cstheme="minorHAnsi"/>
                <w:sz w:val="20"/>
                <w:szCs w:val="20"/>
              </w:rPr>
              <w:t>730</w:t>
            </w:r>
          </w:p>
        </w:tc>
        <w:tc>
          <w:tcPr>
            <w:tcW w:w="593" w:type="pct"/>
            <w:tcBorders>
              <w:top w:val="single" w:sz="4" w:space="0" w:color="auto"/>
            </w:tcBorders>
            <w:vAlign w:val="center"/>
          </w:tcPr>
          <w:p w:rsidR="00AF5479" w:rsidRPr="004573EF" w:rsidRDefault="00AF5479" w:rsidP="00045422">
            <w:pPr>
              <w:spacing w:before="20" w:after="20"/>
              <w:ind w:right="170"/>
              <w:jc w:val="right"/>
              <w:rPr>
                <w:rFonts w:cstheme="minorHAnsi"/>
                <w:sz w:val="20"/>
                <w:szCs w:val="20"/>
              </w:rPr>
            </w:pPr>
            <w:r w:rsidRPr="004573EF">
              <w:rPr>
                <w:rFonts w:cstheme="minorHAnsi"/>
                <w:sz w:val="20"/>
                <w:szCs w:val="20"/>
              </w:rPr>
              <w:t>100</w:t>
            </w:r>
          </w:p>
        </w:tc>
        <w:tc>
          <w:tcPr>
            <w:tcW w:w="593" w:type="pct"/>
            <w:tcBorders>
              <w:top w:val="single" w:sz="4" w:space="0" w:color="auto"/>
            </w:tcBorders>
            <w:vAlign w:val="center"/>
          </w:tcPr>
          <w:p w:rsidR="00AF5479" w:rsidRPr="004573EF" w:rsidRDefault="00AF5479" w:rsidP="00CE6A3A">
            <w:pPr>
              <w:spacing w:before="20" w:after="20"/>
              <w:ind w:right="113"/>
              <w:jc w:val="right"/>
              <w:rPr>
                <w:rFonts w:cstheme="minorHAnsi"/>
                <w:sz w:val="20"/>
                <w:szCs w:val="20"/>
              </w:rPr>
            </w:pPr>
            <w:r w:rsidRPr="004573EF">
              <w:rPr>
                <w:rFonts w:cstheme="minorHAnsi"/>
                <w:sz w:val="20"/>
                <w:szCs w:val="20"/>
              </w:rPr>
              <w:t>2</w:t>
            </w:r>
            <w:r>
              <w:rPr>
                <w:rFonts w:cstheme="minorHAnsi"/>
                <w:sz w:val="20"/>
                <w:szCs w:val="20"/>
              </w:rPr>
              <w:t>,</w:t>
            </w:r>
            <w:r w:rsidRPr="004573EF">
              <w:rPr>
                <w:rFonts w:cstheme="minorHAnsi"/>
                <w:sz w:val="20"/>
                <w:szCs w:val="20"/>
              </w:rPr>
              <w:t>107</w:t>
            </w:r>
          </w:p>
        </w:tc>
        <w:tc>
          <w:tcPr>
            <w:tcW w:w="594" w:type="pct"/>
            <w:tcBorders>
              <w:top w:val="single" w:sz="4" w:space="0" w:color="auto"/>
            </w:tcBorders>
            <w:vAlign w:val="center"/>
          </w:tcPr>
          <w:p w:rsidR="00AF5479" w:rsidRPr="004573EF" w:rsidRDefault="00AF5479" w:rsidP="00CE6A3A">
            <w:pPr>
              <w:spacing w:before="20" w:after="20"/>
              <w:ind w:right="113"/>
              <w:jc w:val="right"/>
              <w:rPr>
                <w:rFonts w:cstheme="minorHAnsi"/>
                <w:sz w:val="20"/>
                <w:szCs w:val="20"/>
              </w:rPr>
            </w:pPr>
            <w:r w:rsidRPr="004573EF">
              <w:rPr>
                <w:rFonts w:cstheme="minorHAnsi"/>
                <w:sz w:val="20"/>
                <w:szCs w:val="20"/>
              </w:rPr>
              <w:t>100</w:t>
            </w:r>
          </w:p>
        </w:tc>
        <w:tc>
          <w:tcPr>
            <w:tcW w:w="657" w:type="pct"/>
            <w:tcBorders>
              <w:top w:val="single" w:sz="4" w:space="0" w:color="auto"/>
            </w:tcBorders>
            <w:vAlign w:val="center"/>
          </w:tcPr>
          <w:p w:rsidR="00AF5479" w:rsidRPr="004573EF" w:rsidRDefault="00AF5479" w:rsidP="00CE6A3A">
            <w:pPr>
              <w:spacing w:before="20" w:after="20"/>
              <w:ind w:right="113"/>
              <w:jc w:val="right"/>
              <w:rPr>
                <w:rFonts w:cstheme="minorHAnsi"/>
                <w:sz w:val="20"/>
                <w:szCs w:val="20"/>
              </w:rPr>
            </w:pPr>
            <w:r w:rsidRPr="004573EF">
              <w:rPr>
                <w:rFonts w:cstheme="minorHAnsi"/>
                <w:sz w:val="20"/>
                <w:szCs w:val="20"/>
              </w:rPr>
              <w:t>6</w:t>
            </w:r>
            <w:r>
              <w:rPr>
                <w:rFonts w:cstheme="minorHAnsi"/>
                <w:sz w:val="20"/>
                <w:szCs w:val="20"/>
              </w:rPr>
              <w:t>,</w:t>
            </w:r>
            <w:r w:rsidRPr="004573EF">
              <w:rPr>
                <w:rFonts w:cstheme="minorHAnsi"/>
                <w:sz w:val="20"/>
                <w:szCs w:val="20"/>
              </w:rPr>
              <w:t>579</w:t>
            </w:r>
          </w:p>
        </w:tc>
        <w:tc>
          <w:tcPr>
            <w:tcW w:w="575" w:type="pct"/>
            <w:tcBorders>
              <w:top w:val="single" w:sz="4" w:space="0" w:color="auto"/>
            </w:tcBorders>
            <w:vAlign w:val="center"/>
          </w:tcPr>
          <w:p w:rsidR="00AF5479" w:rsidRPr="004573EF" w:rsidRDefault="00AF5479" w:rsidP="00CE6A3A">
            <w:pPr>
              <w:spacing w:before="20" w:after="20"/>
              <w:ind w:right="113"/>
              <w:jc w:val="right"/>
              <w:rPr>
                <w:rFonts w:cstheme="minorHAnsi"/>
                <w:sz w:val="20"/>
                <w:szCs w:val="20"/>
              </w:rPr>
            </w:pPr>
            <w:r w:rsidRPr="004573EF">
              <w:rPr>
                <w:rFonts w:cstheme="minorHAnsi"/>
                <w:sz w:val="20"/>
                <w:szCs w:val="20"/>
              </w:rPr>
              <w:t>100</w:t>
            </w:r>
          </w:p>
        </w:tc>
      </w:tr>
      <w:tr w:rsidR="00AF5479" w:rsidRPr="004573EF" w:rsidTr="00803C84">
        <w:trPr>
          <w:trHeight w:val="397"/>
        </w:trPr>
        <w:tc>
          <w:tcPr>
            <w:tcW w:w="1395" w:type="pct"/>
            <w:vAlign w:val="center"/>
          </w:tcPr>
          <w:p w:rsidR="00AF5479" w:rsidRPr="004573EF" w:rsidRDefault="00AF5479" w:rsidP="00D907AF">
            <w:pPr>
              <w:spacing w:before="20" w:after="20"/>
              <w:rPr>
                <w:rFonts w:cstheme="minorHAnsi"/>
                <w:sz w:val="20"/>
                <w:szCs w:val="20"/>
              </w:rPr>
            </w:pPr>
            <w:r w:rsidRPr="004573EF">
              <w:rPr>
                <w:rFonts w:cstheme="minorHAnsi"/>
                <w:sz w:val="20"/>
                <w:szCs w:val="20"/>
              </w:rPr>
              <w:t>Useable sample</w:t>
            </w:r>
          </w:p>
        </w:tc>
        <w:tc>
          <w:tcPr>
            <w:tcW w:w="594" w:type="pct"/>
            <w:vAlign w:val="center"/>
          </w:tcPr>
          <w:p w:rsidR="00AF5479" w:rsidRPr="004573EF" w:rsidRDefault="00AF5479" w:rsidP="00CE6A3A">
            <w:pPr>
              <w:spacing w:before="20" w:after="20"/>
              <w:ind w:right="113"/>
              <w:jc w:val="right"/>
              <w:rPr>
                <w:rFonts w:cstheme="minorHAnsi"/>
                <w:sz w:val="20"/>
                <w:szCs w:val="20"/>
              </w:rPr>
            </w:pPr>
            <w:r w:rsidRPr="004573EF">
              <w:rPr>
                <w:rFonts w:cstheme="minorHAnsi"/>
                <w:sz w:val="20"/>
                <w:szCs w:val="20"/>
              </w:rPr>
              <w:t>2</w:t>
            </w:r>
            <w:r>
              <w:rPr>
                <w:rFonts w:cstheme="minorHAnsi"/>
                <w:sz w:val="20"/>
                <w:szCs w:val="20"/>
              </w:rPr>
              <w:t>,</w:t>
            </w:r>
            <w:r w:rsidRPr="004573EF">
              <w:rPr>
                <w:rFonts w:cstheme="minorHAnsi"/>
                <w:sz w:val="20"/>
                <w:szCs w:val="20"/>
              </w:rPr>
              <w:t>894</w:t>
            </w:r>
          </w:p>
        </w:tc>
        <w:tc>
          <w:tcPr>
            <w:tcW w:w="593" w:type="pct"/>
            <w:vAlign w:val="center"/>
          </w:tcPr>
          <w:p w:rsidR="00AF5479" w:rsidRPr="004573EF" w:rsidRDefault="00AF5479" w:rsidP="00045422">
            <w:pPr>
              <w:spacing w:before="20" w:after="20"/>
              <w:ind w:right="170"/>
              <w:jc w:val="right"/>
              <w:rPr>
                <w:rFonts w:cstheme="minorHAnsi"/>
                <w:sz w:val="20"/>
                <w:szCs w:val="20"/>
              </w:rPr>
            </w:pPr>
            <w:r w:rsidRPr="004573EF">
              <w:rPr>
                <w:rFonts w:cstheme="minorHAnsi"/>
                <w:sz w:val="20"/>
                <w:szCs w:val="20"/>
              </w:rPr>
              <w:t>77.6</w:t>
            </w:r>
          </w:p>
        </w:tc>
        <w:tc>
          <w:tcPr>
            <w:tcW w:w="593" w:type="pct"/>
            <w:vAlign w:val="center"/>
          </w:tcPr>
          <w:p w:rsidR="00AF5479" w:rsidRPr="004573EF" w:rsidRDefault="00AF5479" w:rsidP="00CE6A3A">
            <w:pPr>
              <w:spacing w:before="20" w:after="20"/>
              <w:ind w:right="113"/>
              <w:jc w:val="right"/>
              <w:rPr>
                <w:rFonts w:cstheme="minorHAnsi"/>
                <w:sz w:val="20"/>
                <w:szCs w:val="20"/>
              </w:rPr>
            </w:pPr>
            <w:r w:rsidRPr="004573EF">
              <w:rPr>
                <w:rFonts w:cstheme="minorHAnsi"/>
                <w:sz w:val="20"/>
                <w:szCs w:val="20"/>
              </w:rPr>
              <w:t>2</w:t>
            </w:r>
            <w:r>
              <w:rPr>
                <w:rFonts w:cstheme="minorHAnsi"/>
                <w:sz w:val="20"/>
                <w:szCs w:val="20"/>
              </w:rPr>
              <w:t>,</w:t>
            </w:r>
            <w:r w:rsidRPr="004573EF">
              <w:rPr>
                <w:rFonts w:cstheme="minorHAnsi"/>
                <w:sz w:val="20"/>
                <w:szCs w:val="20"/>
              </w:rPr>
              <w:t>025</w:t>
            </w:r>
          </w:p>
        </w:tc>
        <w:tc>
          <w:tcPr>
            <w:tcW w:w="594" w:type="pct"/>
            <w:vAlign w:val="center"/>
          </w:tcPr>
          <w:p w:rsidR="00AF5479" w:rsidRPr="004573EF" w:rsidRDefault="00AF5479" w:rsidP="00CE6A3A">
            <w:pPr>
              <w:spacing w:before="20" w:after="20"/>
              <w:ind w:right="113"/>
              <w:jc w:val="right"/>
              <w:rPr>
                <w:rFonts w:cstheme="minorHAnsi"/>
                <w:sz w:val="20"/>
                <w:szCs w:val="20"/>
              </w:rPr>
            </w:pPr>
            <w:r w:rsidRPr="004573EF">
              <w:rPr>
                <w:rFonts w:cstheme="minorHAnsi"/>
                <w:sz w:val="20"/>
                <w:szCs w:val="20"/>
              </w:rPr>
              <w:t>96.1</w:t>
            </w:r>
          </w:p>
        </w:tc>
        <w:tc>
          <w:tcPr>
            <w:tcW w:w="657" w:type="pct"/>
            <w:vAlign w:val="center"/>
          </w:tcPr>
          <w:p w:rsidR="00AF5479" w:rsidRPr="004573EF" w:rsidRDefault="00AF5479" w:rsidP="00CE6A3A">
            <w:pPr>
              <w:spacing w:before="20" w:after="20"/>
              <w:ind w:right="113"/>
              <w:jc w:val="right"/>
              <w:rPr>
                <w:rFonts w:cstheme="minorHAnsi"/>
                <w:sz w:val="20"/>
                <w:szCs w:val="20"/>
              </w:rPr>
            </w:pPr>
            <w:r w:rsidRPr="004573EF">
              <w:rPr>
                <w:rFonts w:cstheme="minorHAnsi"/>
                <w:sz w:val="20"/>
                <w:szCs w:val="20"/>
              </w:rPr>
              <w:t>5</w:t>
            </w:r>
            <w:r>
              <w:rPr>
                <w:rFonts w:cstheme="minorHAnsi"/>
                <w:sz w:val="20"/>
                <w:szCs w:val="20"/>
              </w:rPr>
              <w:t>,</w:t>
            </w:r>
            <w:r w:rsidRPr="004573EF">
              <w:rPr>
                <w:rFonts w:cstheme="minorHAnsi"/>
                <w:sz w:val="20"/>
                <w:szCs w:val="20"/>
              </w:rPr>
              <w:t>730</w:t>
            </w:r>
          </w:p>
        </w:tc>
        <w:tc>
          <w:tcPr>
            <w:tcW w:w="575" w:type="pct"/>
            <w:vAlign w:val="center"/>
          </w:tcPr>
          <w:p w:rsidR="00AF5479" w:rsidRPr="004573EF" w:rsidRDefault="00AF5479" w:rsidP="00CE6A3A">
            <w:pPr>
              <w:spacing w:before="20" w:after="20"/>
              <w:ind w:right="113"/>
              <w:jc w:val="right"/>
              <w:rPr>
                <w:rFonts w:cstheme="minorHAnsi"/>
                <w:sz w:val="20"/>
                <w:szCs w:val="20"/>
              </w:rPr>
            </w:pPr>
            <w:r w:rsidRPr="004573EF">
              <w:rPr>
                <w:rFonts w:cstheme="minorHAnsi"/>
                <w:sz w:val="20"/>
                <w:szCs w:val="20"/>
              </w:rPr>
              <w:t>87.1</w:t>
            </w:r>
          </w:p>
        </w:tc>
      </w:tr>
      <w:tr w:rsidR="00AF5479" w:rsidRPr="004573EF" w:rsidTr="00803C84">
        <w:trPr>
          <w:trHeight w:val="397"/>
        </w:trPr>
        <w:tc>
          <w:tcPr>
            <w:tcW w:w="1395" w:type="pct"/>
            <w:vAlign w:val="center"/>
          </w:tcPr>
          <w:p w:rsidR="00AF5479" w:rsidRPr="004573EF" w:rsidRDefault="00AF5479" w:rsidP="00D907AF">
            <w:pPr>
              <w:spacing w:before="20" w:after="20"/>
              <w:rPr>
                <w:rFonts w:cstheme="minorHAnsi"/>
                <w:sz w:val="20"/>
                <w:szCs w:val="20"/>
              </w:rPr>
            </w:pPr>
            <w:r w:rsidRPr="004573EF">
              <w:rPr>
                <w:rFonts w:cstheme="minorHAnsi"/>
                <w:sz w:val="20"/>
                <w:szCs w:val="20"/>
              </w:rPr>
              <w:t>Registrations</w:t>
            </w:r>
          </w:p>
        </w:tc>
        <w:tc>
          <w:tcPr>
            <w:tcW w:w="594" w:type="pct"/>
            <w:vAlign w:val="center"/>
          </w:tcPr>
          <w:p w:rsidR="00AF5479" w:rsidRPr="004573EF" w:rsidRDefault="00AF5479" w:rsidP="00CE6A3A">
            <w:pPr>
              <w:spacing w:before="20" w:after="20"/>
              <w:ind w:right="113"/>
              <w:jc w:val="right"/>
              <w:rPr>
                <w:rFonts w:cstheme="minorHAnsi"/>
                <w:sz w:val="20"/>
                <w:szCs w:val="20"/>
              </w:rPr>
            </w:pPr>
            <w:r w:rsidRPr="004573EF">
              <w:rPr>
                <w:rFonts w:cstheme="minorHAnsi"/>
                <w:sz w:val="20"/>
                <w:szCs w:val="20"/>
              </w:rPr>
              <w:t>1</w:t>
            </w:r>
            <w:r>
              <w:rPr>
                <w:rFonts w:cstheme="minorHAnsi"/>
                <w:sz w:val="20"/>
                <w:szCs w:val="20"/>
              </w:rPr>
              <w:t>,</w:t>
            </w:r>
            <w:r w:rsidRPr="004573EF">
              <w:rPr>
                <w:rFonts w:cstheme="minorHAnsi"/>
                <w:sz w:val="20"/>
                <w:szCs w:val="20"/>
              </w:rPr>
              <w:t>291</w:t>
            </w:r>
          </w:p>
        </w:tc>
        <w:tc>
          <w:tcPr>
            <w:tcW w:w="593" w:type="pct"/>
            <w:vAlign w:val="center"/>
          </w:tcPr>
          <w:p w:rsidR="00AF5479" w:rsidRPr="004573EF" w:rsidRDefault="00AF5479" w:rsidP="00045422">
            <w:pPr>
              <w:spacing w:before="20" w:after="20"/>
              <w:ind w:right="170"/>
              <w:jc w:val="right"/>
              <w:rPr>
                <w:rFonts w:cstheme="minorHAnsi"/>
                <w:sz w:val="20"/>
                <w:szCs w:val="20"/>
              </w:rPr>
            </w:pPr>
            <w:r w:rsidRPr="004573EF">
              <w:rPr>
                <w:rFonts w:cstheme="minorHAnsi"/>
                <w:sz w:val="20"/>
                <w:szCs w:val="20"/>
              </w:rPr>
              <w:t>34.6</w:t>
            </w:r>
          </w:p>
        </w:tc>
        <w:tc>
          <w:tcPr>
            <w:tcW w:w="593" w:type="pct"/>
            <w:vAlign w:val="center"/>
          </w:tcPr>
          <w:p w:rsidR="00AF5479" w:rsidRPr="004573EF" w:rsidRDefault="00AF5479" w:rsidP="00CE6A3A">
            <w:pPr>
              <w:spacing w:before="20" w:after="20"/>
              <w:ind w:right="113"/>
              <w:jc w:val="right"/>
              <w:rPr>
                <w:rFonts w:cstheme="minorHAnsi"/>
                <w:sz w:val="20"/>
                <w:szCs w:val="20"/>
              </w:rPr>
            </w:pPr>
            <w:r w:rsidRPr="004573EF">
              <w:rPr>
                <w:rFonts w:cstheme="minorHAnsi"/>
                <w:sz w:val="20"/>
                <w:szCs w:val="20"/>
              </w:rPr>
              <w:t>590</w:t>
            </w:r>
          </w:p>
        </w:tc>
        <w:tc>
          <w:tcPr>
            <w:tcW w:w="594" w:type="pct"/>
            <w:vAlign w:val="center"/>
          </w:tcPr>
          <w:p w:rsidR="00AF5479" w:rsidRPr="004573EF" w:rsidRDefault="00AF5479" w:rsidP="00CE6A3A">
            <w:pPr>
              <w:spacing w:before="20" w:after="20"/>
              <w:ind w:right="113"/>
              <w:jc w:val="right"/>
              <w:rPr>
                <w:rFonts w:cstheme="minorHAnsi"/>
                <w:sz w:val="20"/>
                <w:szCs w:val="20"/>
              </w:rPr>
            </w:pPr>
            <w:r w:rsidRPr="004573EF">
              <w:rPr>
                <w:rFonts w:cstheme="minorHAnsi"/>
                <w:sz w:val="20"/>
                <w:szCs w:val="20"/>
              </w:rPr>
              <w:t>28.0</w:t>
            </w:r>
          </w:p>
        </w:tc>
        <w:tc>
          <w:tcPr>
            <w:tcW w:w="657" w:type="pct"/>
            <w:vAlign w:val="center"/>
          </w:tcPr>
          <w:p w:rsidR="00AF5479" w:rsidRPr="004573EF" w:rsidRDefault="00AF5479" w:rsidP="00CE6A3A">
            <w:pPr>
              <w:spacing w:before="20" w:after="20"/>
              <w:ind w:right="113"/>
              <w:jc w:val="right"/>
              <w:rPr>
                <w:rFonts w:cstheme="minorHAnsi"/>
                <w:sz w:val="20"/>
                <w:szCs w:val="20"/>
              </w:rPr>
            </w:pPr>
            <w:r w:rsidRPr="004573EF">
              <w:rPr>
                <w:rFonts w:cstheme="minorHAnsi"/>
                <w:sz w:val="20"/>
                <w:szCs w:val="20"/>
              </w:rPr>
              <w:t>1600</w:t>
            </w:r>
          </w:p>
        </w:tc>
        <w:tc>
          <w:tcPr>
            <w:tcW w:w="575" w:type="pct"/>
            <w:vAlign w:val="center"/>
          </w:tcPr>
          <w:p w:rsidR="00AF5479" w:rsidRPr="004573EF" w:rsidRDefault="00AF5479" w:rsidP="00CE6A3A">
            <w:pPr>
              <w:spacing w:before="20" w:after="20"/>
              <w:ind w:right="113"/>
              <w:jc w:val="right"/>
              <w:rPr>
                <w:rFonts w:cstheme="minorHAnsi"/>
                <w:sz w:val="20"/>
                <w:szCs w:val="20"/>
              </w:rPr>
            </w:pPr>
            <w:r w:rsidRPr="004573EF">
              <w:rPr>
                <w:rFonts w:cstheme="minorHAnsi"/>
                <w:sz w:val="20"/>
                <w:szCs w:val="20"/>
              </w:rPr>
              <w:t>24.3</w:t>
            </w:r>
          </w:p>
        </w:tc>
      </w:tr>
      <w:tr w:rsidR="00AF5479" w:rsidRPr="004573EF" w:rsidTr="00803C84">
        <w:trPr>
          <w:trHeight w:val="397"/>
        </w:trPr>
        <w:tc>
          <w:tcPr>
            <w:tcW w:w="1395" w:type="pct"/>
            <w:tcBorders>
              <w:bottom w:val="single" w:sz="4" w:space="0" w:color="auto"/>
            </w:tcBorders>
            <w:vAlign w:val="center"/>
          </w:tcPr>
          <w:p w:rsidR="00AF5479" w:rsidRPr="004573EF" w:rsidRDefault="00AF5479" w:rsidP="00D907AF">
            <w:pPr>
              <w:spacing w:before="20" w:after="20"/>
              <w:rPr>
                <w:rFonts w:cstheme="minorHAnsi"/>
                <w:sz w:val="20"/>
                <w:szCs w:val="20"/>
              </w:rPr>
            </w:pPr>
            <w:r w:rsidRPr="004573EF">
              <w:rPr>
                <w:rFonts w:cstheme="minorHAnsi"/>
                <w:sz w:val="20"/>
                <w:szCs w:val="20"/>
              </w:rPr>
              <w:t>Completions</w:t>
            </w:r>
          </w:p>
        </w:tc>
        <w:tc>
          <w:tcPr>
            <w:tcW w:w="594" w:type="pct"/>
            <w:tcBorders>
              <w:bottom w:val="single" w:sz="4" w:space="0" w:color="auto"/>
            </w:tcBorders>
            <w:vAlign w:val="center"/>
          </w:tcPr>
          <w:p w:rsidR="00AF5479" w:rsidRPr="004573EF" w:rsidRDefault="00AF5479" w:rsidP="00CE6A3A">
            <w:pPr>
              <w:spacing w:before="20" w:after="20"/>
              <w:ind w:right="113"/>
              <w:jc w:val="right"/>
              <w:rPr>
                <w:rFonts w:cstheme="minorHAnsi"/>
                <w:sz w:val="20"/>
                <w:szCs w:val="20"/>
              </w:rPr>
            </w:pPr>
            <w:r w:rsidRPr="004573EF">
              <w:rPr>
                <w:rFonts w:cstheme="minorHAnsi"/>
                <w:sz w:val="20"/>
                <w:szCs w:val="20"/>
              </w:rPr>
              <w:t>211</w:t>
            </w:r>
          </w:p>
        </w:tc>
        <w:tc>
          <w:tcPr>
            <w:tcW w:w="593" w:type="pct"/>
            <w:tcBorders>
              <w:bottom w:val="single" w:sz="4" w:space="0" w:color="auto"/>
            </w:tcBorders>
            <w:vAlign w:val="center"/>
          </w:tcPr>
          <w:p w:rsidR="00AF5479" w:rsidRPr="004573EF" w:rsidRDefault="00AF5479" w:rsidP="00045422">
            <w:pPr>
              <w:spacing w:before="20" w:after="20"/>
              <w:ind w:right="170"/>
              <w:jc w:val="right"/>
              <w:rPr>
                <w:rFonts w:cstheme="minorHAnsi"/>
                <w:sz w:val="20"/>
                <w:szCs w:val="20"/>
              </w:rPr>
            </w:pPr>
            <w:r w:rsidRPr="004573EF">
              <w:rPr>
                <w:rFonts w:cstheme="minorHAnsi"/>
                <w:sz w:val="20"/>
                <w:szCs w:val="20"/>
              </w:rPr>
              <w:t>5.7</w:t>
            </w:r>
          </w:p>
        </w:tc>
        <w:tc>
          <w:tcPr>
            <w:tcW w:w="593" w:type="pct"/>
            <w:tcBorders>
              <w:bottom w:val="single" w:sz="4" w:space="0" w:color="auto"/>
            </w:tcBorders>
            <w:vAlign w:val="center"/>
          </w:tcPr>
          <w:p w:rsidR="00AF5479" w:rsidRPr="004573EF" w:rsidRDefault="00AF5479" w:rsidP="00CE6A3A">
            <w:pPr>
              <w:spacing w:before="20" w:after="20"/>
              <w:ind w:right="113"/>
              <w:jc w:val="right"/>
              <w:rPr>
                <w:rFonts w:cstheme="minorHAnsi"/>
                <w:sz w:val="20"/>
                <w:szCs w:val="20"/>
              </w:rPr>
            </w:pPr>
            <w:r w:rsidRPr="004573EF">
              <w:rPr>
                <w:rFonts w:cstheme="minorHAnsi"/>
                <w:sz w:val="20"/>
                <w:szCs w:val="20"/>
              </w:rPr>
              <w:t>18</w:t>
            </w:r>
          </w:p>
        </w:tc>
        <w:tc>
          <w:tcPr>
            <w:tcW w:w="594" w:type="pct"/>
            <w:tcBorders>
              <w:bottom w:val="single" w:sz="4" w:space="0" w:color="auto"/>
            </w:tcBorders>
            <w:vAlign w:val="center"/>
          </w:tcPr>
          <w:p w:rsidR="00AF5479" w:rsidRPr="004573EF" w:rsidRDefault="00AF5479" w:rsidP="00CE6A3A">
            <w:pPr>
              <w:spacing w:before="20" w:after="20"/>
              <w:ind w:right="113"/>
              <w:jc w:val="right"/>
              <w:rPr>
                <w:rFonts w:cstheme="minorHAnsi"/>
                <w:sz w:val="20"/>
                <w:szCs w:val="20"/>
              </w:rPr>
            </w:pPr>
            <w:r w:rsidRPr="004573EF">
              <w:rPr>
                <w:rFonts w:cstheme="minorHAnsi"/>
                <w:sz w:val="20"/>
                <w:szCs w:val="20"/>
              </w:rPr>
              <w:t>0.9</w:t>
            </w:r>
          </w:p>
        </w:tc>
        <w:tc>
          <w:tcPr>
            <w:tcW w:w="657" w:type="pct"/>
            <w:tcBorders>
              <w:bottom w:val="single" w:sz="4" w:space="0" w:color="auto"/>
            </w:tcBorders>
            <w:vAlign w:val="center"/>
          </w:tcPr>
          <w:p w:rsidR="00AF5479" w:rsidRPr="004573EF" w:rsidRDefault="00AF5479" w:rsidP="00CE6A3A">
            <w:pPr>
              <w:spacing w:before="20" w:after="20"/>
              <w:ind w:right="113"/>
              <w:jc w:val="right"/>
              <w:rPr>
                <w:rFonts w:cstheme="minorHAnsi"/>
                <w:sz w:val="20"/>
                <w:szCs w:val="20"/>
              </w:rPr>
            </w:pPr>
            <w:r w:rsidRPr="004573EF">
              <w:rPr>
                <w:rFonts w:cstheme="minorHAnsi"/>
                <w:sz w:val="20"/>
                <w:szCs w:val="20"/>
              </w:rPr>
              <w:t>313</w:t>
            </w:r>
          </w:p>
        </w:tc>
        <w:tc>
          <w:tcPr>
            <w:tcW w:w="575" w:type="pct"/>
            <w:tcBorders>
              <w:bottom w:val="single" w:sz="4" w:space="0" w:color="auto"/>
            </w:tcBorders>
            <w:vAlign w:val="center"/>
          </w:tcPr>
          <w:p w:rsidR="00AF5479" w:rsidRPr="004573EF" w:rsidRDefault="00AF5479" w:rsidP="00CE6A3A">
            <w:pPr>
              <w:spacing w:before="20" w:after="20"/>
              <w:ind w:right="113"/>
              <w:jc w:val="right"/>
              <w:rPr>
                <w:rFonts w:cstheme="minorHAnsi"/>
                <w:sz w:val="20"/>
                <w:szCs w:val="20"/>
              </w:rPr>
            </w:pPr>
            <w:r w:rsidRPr="004573EF">
              <w:rPr>
                <w:rFonts w:cstheme="minorHAnsi"/>
                <w:sz w:val="20"/>
                <w:szCs w:val="20"/>
              </w:rPr>
              <w:t>4.8</w:t>
            </w:r>
          </w:p>
        </w:tc>
      </w:tr>
      <w:tr w:rsidR="00AF5479" w:rsidRPr="004573EF" w:rsidTr="00803C84">
        <w:trPr>
          <w:trHeight w:val="397"/>
        </w:trPr>
        <w:tc>
          <w:tcPr>
            <w:tcW w:w="1395" w:type="pct"/>
            <w:tcBorders>
              <w:top w:val="single" w:sz="4" w:space="0" w:color="auto"/>
            </w:tcBorders>
            <w:vAlign w:val="center"/>
          </w:tcPr>
          <w:p w:rsidR="00897E3F" w:rsidRPr="00316F85" w:rsidRDefault="00AF5479" w:rsidP="00D907AF">
            <w:pPr>
              <w:spacing w:before="20" w:after="20"/>
              <w:rPr>
                <w:rFonts w:cstheme="minorHAnsi"/>
                <w:b/>
                <w:sz w:val="20"/>
                <w:szCs w:val="20"/>
              </w:rPr>
            </w:pPr>
            <w:r w:rsidRPr="00316F85">
              <w:rPr>
                <w:rFonts w:cstheme="minorHAnsi"/>
                <w:b/>
                <w:sz w:val="20"/>
                <w:szCs w:val="20"/>
              </w:rPr>
              <w:t>Registrations</w:t>
            </w:r>
            <w:r w:rsidR="00BB7FF2" w:rsidRPr="00316F85">
              <w:rPr>
                <w:rFonts w:cstheme="minorHAnsi"/>
                <w:b/>
                <w:sz w:val="20"/>
                <w:szCs w:val="20"/>
              </w:rPr>
              <w:t xml:space="preserve"> </w:t>
            </w:r>
          </w:p>
          <w:p w:rsidR="00AF5479" w:rsidRPr="004573EF" w:rsidRDefault="00BB7FF2" w:rsidP="00D907AF">
            <w:pPr>
              <w:spacing w:before="20" w:after="20"/>
              <w:rPr>
                <w:rFonts w:cstheme="minorHAnsi"/>
                <w:sz w:val="20"/>
                <w:szCs w:val="20"/>
              </w:rPr>
            </w:pPr>
            <w:r>
              <w:rPr>
                <w:rFonts w:cstheme="minorHAnsi"/>
                <w:sz w:val="20"/>
                <w:szCs w:val="20"/>
              </w:rPr>
              <w:t>%</w:t>
            </w:r>
            <w:r w:rsidR="00897E3F">
              <w:rPr>
                <w:rFonts w:cstheme="minorHAnsi"/>
                <w:sz w:val="20"/>
                <w:szCs w:val="20"/>
              </w:rPr>
              <w:t xml:space="preserve"> of useable sample</w:t>
            </w:r>
          </w:p>
        </w:tc>
        <w:tc>
          <w:tcPr>
            <w:tcW w:w="594" w:type="pct"/>
            <w:tcBorders>
              <w:top w:val="single" w:sz="4" w:space="0" w:color="auto"/>
            </w:tcBorders>
            <w:vAlign w:val="center"/>
          </w:tcPr>
          <w:p w:rsidR="00AF5479" w:rsidRPr="004573EF" w:rsidRDefault="00AF5479" w:rsidP="00D907AF">
            <w:pPr>
              <w:spacing w:before="20" w:after="20"/>
              <w:jc w:val="right"/>
              <w:rPr>
                <w:rFonts w:cstheme="minorHAnsi"/>
                <w:sz w:val="20"/>
                <w:szCs w:val="20"/>
              </w:rPr>
            </w:pPr>
          </w:p>
        </w:tc>
        <w:tc>
          <w:tcPr>
            <w:tcW w:w="593" w:type="pct"/>
            <w:tcBorders>
              <w:top w:val="single" w:sz="4" w:space="0" w:color="auto"/>
            </w:tcBorders>
            <w:vAlign w:val="center"/>
          </w:tcPr>
          <w:p w:rsidR="00AF5479" w:rsidRPr="00316F85" w:rsidRDefault="00AF5479" w:rsidP="00045422">
            <w:pPr>
              <w:spacing w:before="20" w:after="20"/>
              <w:ind w:right="170"/>
              <w:jc w:val="right"/>
              <w:rPr>
                <w:rFonts w:cstheme="minorHAnsi"/>
                <w:b/>
                <w:sz w:val="20"/>
                <w:szCs w:val="20"/>
              </w:rPr>
            </w:pPr>
            <w:r w:rsidRPr="00316F85">
              <w:rPr>
                <w:rFonts w:cstheme="minorHAnsi"/>
                <w:b/>
                <w:sz w:val="20"/>
                <w:szCs w:val="20"/>
              </w:rPr>
              <w:t>44.6</w:t>
            </w:r>
          </w:p>
        </w:tc>
        <w:tc>
          <w:tcPr>
            <w:tcW w:w="593" w:type="pct"/>
            <w:tcBorders>
              <w:top w:val="single" w:sz="4" w:space="0" w:color="auto"/>
            </w:tcBorders>
            <w:vAlign w:val="center"/>
          </w:tcPr>
          <w:p w:rsidR="00AF5479" w:rsidRPr="00316F85" w:rsidRDefault="00AF5479" w:rsidP="00CE6A3A">
            <w:pPr>
              <w:spacing w:before="20" w:after="20"/>
              <w:ind w:right="113"/>
              <w:jc w:val="right"/>
              <w:rPr>
                <w:rFonts w:cstheme="minorHAnsi"/>
                <w:b/>
                <w:sz w:val="20"/>
                <w:szCs w:val="20"/>
              </w:rPr>
            </w:pPr>
          </w:p>
        </w:tc>
        <w:tc>
          <w:tcPr>
            <w:tcW w:w="594" w:type="pct"/>
            <w:tcBorders>
              <w:top w:val="single" w:sz="4" w:space="0" w:color="auto"/>
            </w:tcBorders>
            <w:vAlign w:val="center"/>
          </w:tcPr>
          <w:p w:rsidR="00AF5479" w:rsidRPr="00316F85" w:rsidRDefault="00AF5479" w:rsidP="00CE6A3A">
            <w:pPr>
              <w:spacing w:before="20" w:after="20"/>
              <w:ind w:right="113"/>
              <w:jc w:val="right"/>
              <w:rPr>
                <w:rFonts w:cstheme="minorHAnsi"/>
                <w:b/>
                <w:sz w:val="20"/>
                <w:szCs w:val="20"/>
              </w:rPr>
            </w:pPr>
            <w:r w:rsidRPr="00316F85">
              <w:rPr>
                <w:rFonts w:cstheme="minorHAnsi"/>
                <w:b/>
                <w:sz w:val="20"/>
                <w:szCs w:val="20"/>
              </w:rPr>
              <w:t>29.1</w:t>
            </w:r>
          </w:p>
        </w:tc>
        <w:tc>
          <w:tcPr>
            <w:tcW w:w="657" w:type="pct"/>
            <w:tcBorders>
              <w:top w:val="single" w:sz="4" w:space="0" w:color="auto"/>
            </w:tcBorders>
            <w:vAlign w:val="center"/>
          </w:tcPr>
          <w:p w:rsidR="00AF5479" w:rsidRPr="00316F85" w:rsidRDefault="00AF5479" w:rsidP="00CE6A3A">
            <w:pPr>
              <w:spacing w:before="20" w:after="20"/>
              <w:ind w:right="113"/>
              <w:jc w:val="right"/>
              <w:rPr>
                <w:rFonts w:cstheme="minorHAnsi"/>
                <w:b/>
                <w:sz w:val="20"/>
                <w:szCs w:val="20"/>
              </w:rPr>
            </w:pPr>
          </w:p>
        </w:tc>
        <w:tc>
          <w:tcPr>
            <w:tcW w:w="575" w:type="pct"/>
            <w:tcBorders>
              <w:top w:val="single" w:sz="4" w:space="0" w:color="auto"/>
            </w:tcBorders>
            <w:vAlign w:val="center"/>
          </w:tcPr>
          <w:p w:rsidR="00AF5479" w:rsidRPr="00316F85" w:rsidRDefault="00AF5479" w:rsidP="00CE6A3A">
            <w:pPr>
              <w:spacing w:before="20" w:after="20"/>
              <w:ind w:right="113"/>
              <w:jc w:val="right"/>
              <w:rPr>
                <w:rFonts w:cstheme="minorHAnsi"/>
                <w:b/>
                <w:sz w:val="20"/>
                <w:szCs w:val="20"/>
              </w:rPr>
            </w:pPr>
            <w:r w:rsidRPr="00316F85">
              <w:rPr>
                <w:rFonts w:cstheme="minorHAnsi"/>
                <w:b/>
                <w:sz w:val="20"/>
                <w:szCs w:val="20"/>
              </w:rPr>
              <w:t>27.9</w:t>
            </w:r>
          </w:p>
        </w:tc>
      </w:tr>
      <w:tr w:rsidR="00AF5479" w:rsidRPr="004573EF" w:rsidTr="00803C84">
        <w:trPr>
          <w:trHeight w:val="397"/>
        </w:trPr>
        <w:tc>
          <w:tcPr>
            <w:tcW w:w="1395" w:type="pct"/>
            <w:tcBorders>
              <w:bottom w:val="single" w:sz="4" w:space="0" w:color="auto"/>
            </w:tcBorders>
            <w:vAlign w:val="center"/>
          </w:tcPr>
          <w:p w:rsidR="00897E3F" w:rsidRPr="00316F85" w:rsidRDefault="00AF5479" w:rsidP="00D907AF">
            <w:pPr>
              <w:spacing w:before="20" w:after="20"/>
              <w:rPr>
                <w:rFonts w:cstheme="minorHAnsi"/>
                <w:b/>
                <w:sz w:val="20"/>
                <w:szCs w:val="20"/>
              </w:rPr>
            </w:pPr>
            <w:r w:rsidRPr="00316F85">
              <w:rPr>
                <w:rFonts w:cstheme="minorHAnsi"/>
                <w:b/>
                <w:sz w:val="20"/>
                <w:szCs w:val="20"/>
              </w:rPr>
              <w:t>Completions</w:t>
            </w:r>
            <w:r w:rsidR="00BB7FF2" w:rsidRPr="00316F85">
              <w:rPr>
                <w:rFonts w:cstheme="minorHAnsi"/>
                <w:b/>
                <w:sz w:val="20"/>
                <w:szCs w:val="20"/>
              </w:rPr>
              <w:t xml:space="preserve"> </w:t>
            </w:r>
          </w:p>
          <w:p w:rsidR="00AF5479" w:rsidRPr="004573EF" w:rsidRDefault="00897E3F" w:rsidP="00D907AF">
            <w:pPr>
              <w:spacing w:before="20" w:after="20"/>
              <w:rPr>
                <w:rFonts w:cstheme="minorHAnsi"/>
                <w:sz w:val="20"/>
                <w:szCs w:val="20"/>
              </w:rPr>
            </w:pPr>
            <w:r>
              <w:rPr>
                <w:rFonts w:cstheme="minorHAnsi"/>
                <w:sz w:val="20"/>
                <w:szCs w:val="20"/>
              </w:rPr>
              <w:t>% of useable sample</w:t>
            </w:r>
          </w:p>
        </w:tc>
        <w:tc>
          <w:tcPr>
            <w:tcW w:w="594" w:type="pct"/>
            <w:tcBorders>
              <w:bottom w:val="single" w:sz="4" w:space="0" w:color="auto"/>
            </w:tcBorders>
            <w:vAlign w:val="center"/>
          </w:tcPr>
          <w:p w:rsidR="00AF5479" w:rsidRPr="004573EF" w:rsidRDefault="00AF5479" w:rsidP="00D907AF">
            <w:pPr>
              <w:spacing w:before="20" w:after="20"/>
              <w:jc w:val="right"/>
              <w:rPr>
                <w:rFonts w:cstheme="minorHAnsi"/>
                <w:sz w:val="20"/>
                <w:szCs w:val="20"/>
              </w:rPr>
            </w:pPr>
          </w:p>
        </w:tc>
        <w:tc>
          <w:tcPr>
            <w:tcW w:w="593" w:type="pct"/>
            <w:tcBorders>
              <w:bottom w:val="single" w:sz="4" w:space="0" w:color="auto"/>
            </w:tcBorders>
            <w:vAlign w:val="center"/>
          </w:tcPr>
          <w:p w:rsidR="00AF5479" w:rsidRPr="00316F85" w:rsidRDefault="00AF5479" w:rsidP="00045422">
            <w:pPr>
              <w:spacing w:before="20" w:after="20"/>
              <w:ind w:right="170"/>
              <w:jc w:val="right"/>
              <w:rPr>
                <w:rFonts w:cstheme="minorHAnsi"/>
                <w:b/>
                <w:sz w:val="20"/>
                <w:szCs w:val="20"/>
              </w:rPr>
            </w:pPr>
            <w:r w:rsidRPr="00316F85">
              <w:rPr>
                <w:rFonts w:cstheme="minorHAnsi"/>
                <w:b/>
                <w:sz w:val="20"/>
                <w:szCs w:val="20"/>
              </w:rPr>
              <w:t>7.3</w:t>
            </w:r>
          </w:p>
        </w:tc>
        <w:tc>
          <w:tcPr>
            <w:tcW w:w="593" w:type="pct"/>
            <w:tcBorders>
              <w:bottom w:val="single" w:sz="4" w:space="0" w:color="auto"/>
            </w:tcBorders>
            <w:vAlign w:val="center"/>
          </w:tcPr>
          <w:p w:rsidR="00AF5479" w:rsidRPr="00316F85" w:rsidRDefault="00AF5479" w:rsidP="00CE6A3A">
            <w:pPr>
              <w:spacing w:before="20" w:after="20"/>
              <w:ind w:right="113"/>
              <w:jc w:val="right"/>
              <w:rPr>
                <w:rFonts w:cstheme="minorHAnsi"/>
                <w:b/>
                <w:sz w:val="20"/>
                <w:szCs w:val="20"/>
              </w:rPr>
            </w:pPr>
          </w:p>
        </w:tc>
        <w:tc>
          <w:tcPr>
            <w:tcW w:w="594" w:type="pct"/>
            <w:tcBorders>
              <w:bottom w:val="single" w:sz="4" w:space="0" w:color="auto"/>
            </w:tcBorders>
            <w:vAlign w:val="center"/>
          </w:tcPr>
          <w:p w:rsidR="00AF5479" w:rsidRPr="00316F85" w:rsidRDefault="00AF5479" w:rsidP="00CE6A3A">
            <w:pPr>
              <w:spacing w:before="20" w:after="20"/>
              <w:ind w:right="113"/>
              <w:jc w:val="right"/>
              <w:rPr>
                <w:rFonts w:cstheme="minorHAnsi"/>
                <w:b/>
                <w:sz w:val="20"/>
                <w:szCs w:val="20"/>
              </w:rPr>
            </w:pPr>
            <w:r w:rsidRPr="00316F85">
              <w:rPr>
                <w:rFonts w:cstheme="minorHAnsi"/>
                <w:b/>
                <w:sz w:val="20"/>
                <w:szCs w:val="20"/>
              </w:rPr>
              <w:t>0.9</w:t>
            </w:r>
          </w:p>
        </w:tc>
        <w:tc>
          <w:tcPr>
            <w:tcW w:w="657" w:type="pct"/>
            <w:tcBorders>
              <w:bottom w:val="single" w:sz="4" w:space="0" w:color="auto"/>
            </w:tcBorders>
            <w:vAlign w:val="center"/>
          </w:tcPr>
          <w:p w:rsidR="00AF5479" w:rsidRPr="00316F85" w:rsidRDefault="00AF5479" w:rsidP="00CE6A3A">
            <w:pPr>
              <w:spacing w:before="20" w:after="20"/>
              <w:ind w:right="113"/>
              <w:jc w:val="right"/>
              <w:rPr>
                <w:rFonts w:cstheme="minorHAnsi"/>
                <w:b/>
                <w:sz w:val="20"/>
                <w:szCs w:val="20"/>
              </w:rPr>
            </w:pPr>
          </w:p>
        </w:tc>
        <w:tc>
          <w:tcPr>
            <w:tcW w:w="575" w:type="pct"/>
            <w:tcBorders>
              <w:bottom w:val="single" w:sz="4" w:space="0" w:color="auto"/>
            </w:tcBorders>
            <w:vAlign w:val="center"/>
          </w:tcPr>
          <w:p w:rsidR="00AF5479" w:rsidRPr="00316F85" w:rsidRDefault="00AF5479" w:rsidP="00CE6A3A">
            <w:pPr>
              <w:spacing w:before="20" w:after="20"/>
              <w:ind w:right="113"/>
              <w:jc w:val="right"/>
              <w:rPr>
                <w:rFonts w:cstheme="minorHAnsi"/>
                <w:b/>
                <w:sz w:val="20"/>
                <w:szCs w:val="20"/>
              </w:rPr>
            </w:pPr>
            <w:r w:rsidRPr="00316F85">
              <w:rPr>
                <w:rFonts w:cstheme="minorHAnsi"/>
                <w:b/>
                <w:sz w:val="20"/>
                <w:szCs w:val="20"/>
              </w:rPr>
              <w:t>5.5</w:t>
            </w:r>
          </w:p>
        </w:tc>
      </w:tr>
    </w:tbl>
    <w:p w:rsidR="00D907AF" w:rsidRDefault="00D907AF" w:rsidP="00D907AF"/>
    <w:p w:rsidR="00D907AF" w:rsidRPr="005277F5" w:rsidRDefault="00D907AF" w:rsidP="00EC2C19">
      <w:pPr>
        <w:pStyle w:val="Heading2"/>
      </w:pPr>
      <w:bookmarkStart w:id="196" w:name="_Toc428280634"/>
      <w:bookmarkStart w:id="197" w:name="_Toc449955006"/>
      <w:r w:rsidRPr="005277F5">
        <w:t>3.</w:t>
      </w:r>
      <w:r>
        <w:t>6</w:t>
      </w:r>
      <w:r w:rsidRPr="005277F5">
        <w:t xml:space="preserve"> Initial Findings</w:t>
      </w:r>
      <w:bookmarkEnd w:id="196"/>
      <w:bookmarkEnd w:id="197"/>
    </w:p>
    <w:p w:rsidR="00D907AF" w:rsidRDefault="00D907AF" w:rsidP="00D907AF">
      <w:r w:rsidRPr="004D098E">
        <w:t xml:space="preserve">This section presents the initial findings from the </w:t>
      </w:r>
      <w:r>
        <w:t xml:space="preserve">first half of the trial sites data collection as it was on 15 July 2015. Wave 1a is presently in the field and is almost complete. Wave 1b has started more recently and will remain in the field until September/October 2015. In several instances the numbers we present are too low to be useful. This shortcoming is temporary and will be corrected as the sample size increases with the completion of the first part of Wave 1 and the completion of the whole second part of Wave 1 following the timelines set out in the previous section. In many instances we also report the corresponding evidence on the comparison group, noting that comparing these two samples needs considerable statistical preparation for the results to be sufficiently precise. This caveat applies to all such comparisons in this report. </w:t>
      </w:r>
    </w:p>
    <w:p w:rsidR="005B2D5F" w:rsidRDefault="005B2D5F" w:rsidP="00D907AF"/>
    <w:p w:rsidR="00D907AF" w:rsidRPr="004D098E" w:rsidRDefault="00D907AF" w:rsidP="00D907AF">
      <w:pPr>
        <w:rPr>
          <w:rFonts w:ascii="Calibri" w:hAnsi="Calibri" w:cs="Calibri"/>
        </w:rPr>
      </w:pPr>
      <w:r>
        <w:rPr>
          <w:rFonts w:ascii="Calibri" w:hAnsi="Calibri" w:cs="Calibri"/>
        </w:rPr>
        <w:t>The presentation of the main findings follows the layout of the questionnaires. We begin with the first part of the questionnaires, which contains primarily factual information (referred to as Part A). Then we move to the second part of the questionnaires, which contains all information on opinions, perceptions and aspirations (referred to as Part B). Children under the age of 8 are not asked to complete Part B. All respondents are given the option of answering a pictorial Part B (referred to as Easy English – EE – Part B). We begin with Part A.</w:t>
      </w:r>
    </w:p>
    <w:p w:rsidR="00D907AF" w:rsidRPr="004D098E" w:rsidRDefault="00D907AF" w:rsidP="00EC2C19">
      <w:pPr>
        <w:pStyle w:val="Heading3"/>
      </w:pPr>
      <w:bookmarkStart w:id="198" w:name="_Toc428280635"/>
      <w:bookmarkStart w:id="199" w:name="_Toc449955007"/>
      <w:r>
        <w:t>3.6</w:t>
      </w:r>
      <w:r w:rsidRPr="004D098E">
        <w:t xml:space="preserve">.1 </w:t>
      </w:r>
      <w:r>
        <w:t xml:space="preserve">Part A – </w:t>
      </w:r>
      <w:r w:rsidRPr="004D098E">
        <w:t>Socio</w:t>
      </w:r>
      <w:r>
        <w:t>-</w:t>
      </w:r>
      <w:r w:rsidRPr="004D098E">
        <w:t>demographics</w:t>
      </w:r>
      <w:bookmarkEnd w:id="198"/>
      <w:bookmarkEnd w:id="199"/>
    </w:p>
    <w:p w:rsidR="00D907AF" w:rsidRDefault="00D907AF" w:rsidP="00D907AF">
      <w:r>
        <w:t>The surveys collect information on</w:t>
      </w:r>
      <w:r w:rsidRPr="004D098E">
        <w:t xml:space="preserve"> </w:t>
      </w:r>
      <w:r>
        <w:t>age, gender, country of birth, Aboriginal or Torres Strait Islander status, first language (asking for more information for those who are not native English speakers), marital status and location of residence. We distinguish mainly by age.</w:t>
      </w:r>
    </w:p>
    <w:p w:rsidR="005B2D5F" w:rsidRPr="004D098E" w:rsidRDefault="005B2D5F" w:rsidP="00D907AF"/>
    <w:p w:rsidR="00D907AF" w:rsidRDefault="00D907AF" w:rsidP="00D907AF">
      <w:r>
        <w:t xml:space="preserve">Trial respondents were approximately evenly split between people with disability aged 17 and younger </w:t>
      </w:r>
      <w:r w:rsidRPr="004D06CC">
        <w:t>(51 per cent), or 18 and older (49 per</w:t>
      </w:r>
      <w:r w:rsidR="00761DFC">
        <w:t xml:space="preserve"> </w:t>
      </w:r>
      <w:r w:rsidRPr="004D06CC">
        <w:t>cent) (Table 3.8a). In the comparison group, more respondents</w:t>
      </w:r>
      <w:r>
        <w:t xml:space="preserve"> were aged 18 and over (57.9 per cent). Both respondent groups included a majority of male persons with disability (58.2 per cent and 61.4 percent respectively), although trial </w:t>
      </w:r>
      <w:r w:rsidRPr="00E312BA">
        <w:t>respondents</w:t>
      </w:r>
      <w:r>
        <w:t xml:space="preserve"> aged 18 and over were somewhat more likely to include women rather than men.</w:t>
      </w:r>
    </w:p>
    <w:p w:rsidR="00D907AF" w:rsidRDefault="00D907AF" w:rsidP="0044684E">
      <w:pPr>
        <w:pStyle w:val="NILSTableHeading"/>
      </w:pPr>
      <w:bookmarkStart w:id="200" w:name="_Toc449955270"/>
      <w:bookmarkStart w:id="201" w:name="_Toc428280658"/>
      <w:r>
        <w:t>Table 3.8a</w:t>
      </w:r>
      <w:r w:rsidRPr="00074126">
        <w:t xml:space="preserve">: </w:t>
      </w:r>
      <w:r w:rsidRPr="00843FDC">
        <w:t>Demographic</w:t>
      </w:r>
      <w:r w:rsidRPr="00074126">
        <w:t xml:space="preserve"> composition of </w:t>
      </w:r>
      <w:r>
        <w:t>t</w:t>
      </w:r>
      <w:r w:rsidRPr="00074126">
        <w:t xml:space="preserve">rial and </w:t>
      </w:r>
      <w:r>
        <w:t>c</w:t>
      </w:r>
      <w:r w:rsidRPr="00074126">
        <w:t>omparison samples</w:t>
      </w:r>
      <w:bookmarkEnd w:id="200"/>
      <w:r>
        <w:t xml:space="preserve"> </w:t>
      </w:r>
      <w:bookmarkEnd w:id="201"/>
    </w:p>
    <w:tbl>
      <w:tblPr>
        <w:tblStyle w:val="TableGrid10"/>
        <w:tblW w:w="7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3.8a Demographic composition of trial and comparison samples"/>
      </w:tblPr>
      <w:tblGrid>
        <w:gridCol w:w="1101"/>
        <w:gridCol w:w="1134"/>
        <w:gridCol w:w="1248"/>
        <w:gridCol w:w="1191"/>
        <w:gridCol w:w="1388"/>
        <w:gridCol w:w="995"/>
      </w:tblGrid>
      <w:tr w:rsidR="001733E4" w:rsidRPr="00FA6A0F" w:rsidTr="00AA6DB6">
        <w:trPr>
          <w:tblHeader/>
        </w:trPr>
        <w:tc>
          <w:tcPr>
            <w:tcW w:w="1101" w:type="dxa"/>
            <w:tcBorders>
              <w:top w:val="single" w:sz="4" w:space="0" w:color="auto"/>
              <w:bottom w:val="single" w:sz="4" w:space="0" w:color="auto"/>
            </w:tcBorders>
          </w:tcPr>
          <w:p w:rsidR="001733E4" w:rsidRDefault="001733E4" w:rsidP="00584C94">
            <w:pPr>
              <w:spacing w:before="20" w:after="20"/>
              <w:rPr>
                <w:sz w:val="20"/>
                <w:szCs w:val="20"/>
              </w:rPr>
            </w:pPr>
            <w:bookmarkStart w:id="202" w:name="Title_3_8a"/>
            <w:bookmarkEnd w:id="202"/>
            <w:r w:rsidRPr="00FA6A0F">
              <w:rPr>
                <w:sz w:val="20"/>
                <w:szCs w:val="20"/>
              </w:rPr>
              <w:t>Age</w:t>
            </w:r>
            <w:r>
              <w:rPr>
                <w:sz w:val="20"/>
                <w:szCs w:val="20"/>
              </w:rPr>
              <w:t xml:space="preserve"> </w:t>
            </w:r>
          </w:p>
          <w:p w:rsidR="001733E4" w:rsidRPr="00FA6A0F" w:rsidRDefault="001733E4" w:rsidP="00584C94">
            <w:pPr>
              <w:spacing w:before="20" w:after="20"/>
              <w:rPr>
                <w:sz w:val="20"/>
                <w:szCs w:val="20"/>
              </w:rPr>
            </w:pPr>
            <w:r>
              <w:rPr>
                <w:sz w:val="20"/>
                <w:szCs w:val="20"/>
              </w:rPr>
              <w:t>(years)</w:t>
            </w:r>
          </w:p>
        </w:tc>
        <w:tc>
          <w:tcPr>
            <w:tcW w:w="1134" w:type="dxa"/>
            <w:tcBorders>
              <w:top w:val="single" w:sz="4" w:space="0" w:color="auto"/>
              <w:bottom w:val="single" w:sz="4" w:space="0" w:color="auto"/>
            </w:tcBorders>
            <w:vAlign w:val="bottom"/>
          </w:tcPr>
          <w:p w:rsidR="001733E4" w:rsidRDefault="001733E4" w:rsidP="00584C94">
            <w:pPr>
              <w:spacing w:before="20" w:after="20"/>
              <w:jc w:val="center"/>
              <w:rPr>
                <w:sz w:val="20"/>
                <w:szCs w:val="20"/>
              </w:rPr>
            </w:pPr>
            <w:r w:rsidRPr="00FA6A0F">
              <w:rPr>
                <w:sz w:val="20"/>
                <w:szCs w:val="20"/>
              </w:rPr>
              <w:t>Trial</w:t>
            </w:r>
          </w:p>
          <w:p w:rsidR="001733E4" w:rsidRPr="00FA6A0F" w:rsidRDefault="001733E4" w:rsidP="00584C94">
            <w:pPr>
              <w:spacing w:before="20" w:after="20"/>
              <w:jc w:val="center"/>
              <w:rPr>
                <w:sz w:val="20"/>
                <w:szCs w:val="20"/>
              </w:rPr>
            </w:pPr>
            <w:r>
              <w:rPr>
                <w:sz w:val="20"/>
                <w:szCs w:val="20"/>
              </w:rPr>
              <w:t>Cases</w:t>
            </w:r>
          </w:p>
        </w:tc>
        <w:tc>
          <w:tcPr>
            <w:tcW w:w="1248" w:type="dxa"/>
            <w:tcBorders>
              <w:top w:val="single" w:sz="4" w:space="0" w:color="auto"/>
              <w:bottom w:val="single" w:sz="4" w:space="0" w:color="auto"/>
            </w:tcBorders>
            <w:vAlign w:val="bottom"/>
          </w:tcPr>
          <w:p w:rsidR="001E2DDD" w:rsidRDefault="001733E4" w:rsidP="00584C94">
            <w:pPr>
              <w:spacing w:before="20" w:after="20"/>
              <w:ind w:left="-136" w:right="-108"/>
              <w:jc w:val="center"/>
              <w:rPr>
                <w:sz w:val="20"/>
                <w:szCs w:val="20"/>
              </w:rPr>
            </w:pPr>
            <w:r>
              <w:rPr>
                <w:sz w:val="20"/>
                <w:szCs w:val="20"/>
              </w:rPr>
              <w:t xml:space="preserve">Trial </w:t>
            </w:r>
          </w:p>
          <w:p w:rsidR="001733E4" w:rsidRPr="00FA6A0F" w:rsidRDefault="001E2DDD" w:rsidP="001E2DDD">
            <w:pPr>
              <w:spacing w:before="20" w:after="20"/>
              <w:ind w:left="-136" w:right="-108"/>
              <w:jc w:val="center"/>
              <w:rPr>
                <w:sz w:val="20"/>
                <w:szCs w:val="20"/>
              </w:rPr>
            </w:pPr>
            <w:r>
              <w:rPr>
                <w:sz w:val="20"/>
                <w:szCs w:val="20"/>
              </w:rPr>
              <w:t>M</w:t>
            </w:r>
            <w:r w:rsidR="001733E4" w:rsidRPr="00FA6A0F">
              <w:rPr>
                <w:sz w:val="20"/>
                <w:szCs w:val="20"/>
              </w:rPr>
              <w:t>ale</w:t>
            </w:r>
            <w:r>
              <w:rPr>
                <w:sz w:val="20"/>
                <w:szCs w:val="20"/>
              </w:rPr>
              <w:t>s</w:t>
            </w:r>
          </w:p>
        </w:tc>
        <w:tc>
          <w:tcPr>
            <w:tcW w:w="1191" w:type="dxa"/>
            <w:tcBorders>
              <w:top w:val="single" w:sz="4" w:space="0" w:color="auto"/>
              <w:bottom w:val="single" w:sz="4" w:space="0" w:color="auto"/>
            </w:tcBorders>
          </w:tcPr>
          <w:p w:rsidR="001733E4" w:rsidRPr="00FA6A0F" w:rsidRDefault="001733E4" w:rsidP="0029283F">
            <w:pPr>
              <w:spacing w:before="20" w:after="20"/>
              <w:ind w:left="-108" w:right="-108"/>
              <w:jc w:val="center"/>
              <w:rPr>
                <w:sz w:val="20"/>
                <w:szCs w:val="20"/>
              </w:rPr>
            </w:pPr>
            <w:r w:rsidRPr="00FA6A0F">
              <w:rPr>
                <w:sz w:val="20"/>
                <w:szCs w:val="20"/>
              </w:rPr>
              <w:t>Compariso</w:t>
            </w:r>
            <w:r>
              <w:rPr>
                <w:sz w:val="20"/>
                <w:szCs w:val="20"/>
              </w:rPr>
              <w:t>n Cases</w:t>
            </w:r>
          </w:p>
        </w:tc>
        <w:tc>
          <w:tcPr>
            <w:tcW w:w="1388" w:type="dxa"/>
            <w:tcBorders>
              <w:top w:val="single" w:sz="4" w:space="0" w:color="auto"/>
              <w:bottom w:val="single" w:sz="4" w:space="0" w:color="auto"/>
            </w:tcBorders>
          </w:tcPr>
          <w:p w:rsidR="001E2DDD" w:rsidRDefault="001733E4" w:rsidP="00D14F98">
            <w:pPr>
              <w:spacing w:before="20" w:after="20"/>
              <w:ind w:left="-108" w:right="-108"/>
              <w:jc w:val="center"/>
              <w:rPr>
                <w:sz w:val="20"/>
                <w:szCs w:val="20"/>
              </w:rPr>
            </w:pPr>
            <w:r>
              <w:rPr>
                <w:sz w:val="20"/>
                <w:szCs w:val="20"/>
              </w:rPr>
              <w:t xml:space="preserve">Comparison </w:t>
            </w:r>
          </w:p>
          <w:p w:rsidR="001733E4" w:rsidRPr="00FA6A0F" w:rsidRDefault="001E2DDD" w:rsidP="001E2DDD">
            <w:pPr>
              <w:spacing w:before="20" w:after="20"/>
              <w:ind w:left="-108" w:right="-108"/>
              <w:jc w:val="center"/>
              <w:rPr>
                <w:sz w:val="20"/>
                <w:szCs w:val="20"/>
              </w:rPr>
            </w:pPr>
            <w:r>
              <w:rPr>
                <w:sz w:val="20"/>
                <w:szCs w:val="20"/>
              </w:rPr>
              <w:t>Males</w:t>
            </w:r>
          </w:p>
        </w:tc>
        <w:tc>
          <w:tcPr>
            <w:tcW w:w="995" w:type="dxa"/>
            <w:tcBorders>
              <w:top w:val="single" w:sz="4" w:space="0" w:color="auto"/>
              <w:bottom w:val="single" w:sz="4" w:space="0" w:color="auto"/>
            </w:tcBorders>
          </w:tcPr>
          <w:p w:rsidR="001733E4" w:rsidRDefault="001733E4" w:rsidP="00D14F98">
            <w:pPr>
              <w:spacing w:before="20" w:after="20"/>
              <w:jc w:val="center"/>
              <w:rPr>
                <w:sz w:val="20"/>
                <w:szCs w:val="20"/>
              </w:rPr>
            </w:pPr>
            <w:r>
              <w:rPr>
                <w:sz w:val="20"/>
                <w:szCs w:val="20"/>
              </w:rPr>
              <w:t xml:space="preserve">Total </w:t>
            </w:r>
          </w:p>
          <w:p w:rsidR="001733E4" w:rsidRPr="00FA6A0F" w:rsidRDefault="001733E4" w:rsidP="00D14F98">
            <w:pPr>
              <w:spacing w:before="20" w:after="20"/>
              <w:jc w:val="center"/>
              <w:rPr>
                <w:sz w:val="20"/>
                <w:szCs w:val="20"/>
              </w:rPr>
            </w:pPr>
            <w:r>
              <w:rPr>
                <w:sz w:val="20"/>
                <w:szCs w:val="20"/>
              </w:rPr>
              <w:t>Ca</w:t>
            </w:r>
            <w:r w:rsidRPr="00FA6A0F">
              <w:rPr>
                <w:sz w:val="20"/>
                <w:szCs w:val="20"/>
              </w:rPr>
              <w:t>ses</w:t>
            </w:r>
          </w:p>
        </w:tc>
      </w:tr>
      <w:tr w:rsidR="001733E4" w:rsidRPr="00FA6A0F" w:rsidTr="00AA6DB6">
        <w:tc>
          <w:tcPr>
            <w:tcW w:w="1101" w:type="dxa"/>
            <w:tcBorders>
              <w:top w:val="single" w:sz="4" w:space="0" w:color="auto"/>
            </w:tcBorders>
          </w:tcPr>
          <w:p w:rsidR="001733E4" w:rsidRPr="00FA6A0F" w:rsidRDefault="001733E4" w:rsidP="0080243B">
            <w:pPr>
              <w:spacing w:before="20" w:after="20"/>
              <w:rPr>
                <w:sz w:val="20"/>
                <w:szCs w:val="20"/>
              </w:rPr>
            </w:pPr>
            <w:r>
              <w:rPr>
                <w:sz w:val="20"/>
                <w:szCs w:val="20"/>
              </w:rPr>
              <w:t xml:space="preserve">0 to </w:t>
            </w:r>
            <w:r w:rsidRPr="00FA6A0F">
              <w:rPr>
                <w:sz w:val="20"/>
                <w:szCs w:val="20"/>
              </w:rPr>
              <w:t xml:space="preserve">7 </w:t>
            </w:r>
          </w:p>
        </w:tc>
        <w:tc>
          <w:tcPr>
            <w:tcW w:w="1134" w:type="dxa"/>
            <w:tcBorders>
              <w:top w:val="single" w:sz="4" w:space="0" w:color="auto"/>
            </w:tcBorders>
            <w:vAlign w:val="center"/>
          </w:tcPr>
          <w:p w:rsidR="001733E4" w:rsidRPr="00FA6A0F" w:rsidRDefault="001733E4" w:rsidP="000A410C">
            <w:pPr>
              <w:spacing w:before="20" w:after="20"/>
              <w:ind w:right="113"/>
              <w:jc w:val="right"/>
              <w:rPr>
                <w:sz w:val="20"/>
                <w:szCs w:val="20"/>
              </w:rPr>
            </w:pPr>
            <w:r w:rsidRPr="00FA6A0F">
              <w:rPr>
                <w:sz w:val="20"/>
                <w:szCs w:val="20"/>
              </w:rPr>
              <w:t>333</w:t>
            </w:r>
          </w:p>
        </w:tc>
        <w:tc>
          <w:tcPr>
            <w:tcW w:w="1248" w:type="dxa"/>
            <w:tcBorders>
              <w:top w:val="single" w:sz="4" w:space="0" w:color="auto"/>
            </w:tcBorders>
            <w:shd w:val="clear" w:color="auto" w:fill="E2E2E2"/>
            <w:vAlign w:val="center"/>
          </w:tcPr>
          <w:p w:rsidR="001733E4" w:rsidRPr="00FA6A0F" w:rsidRDefault="001733E4" w:rsidP="000A410C">
            <w:pPr>
              <w:spacing w:before="20" w:after="20"/>
              <w:ind w:right="57"/>
              <w:jc w:val="right"/>
              <w:rPr>
                <w:sz w:val="20"/>
                <w:szCs w:val="20"/>
              </w:rPr>
            </w:pPr>
            <w:r w:rsidRPr="00FA6A0F">
              <w:rPr>
                <w:sz w:val="20"/>
                <w:szCs w:val="20"/>
              </w:rPr>
              <w:t>234</w:t>
            </w:r>
          </w:p>
        </w:tc>
        <w:tc>
          <w:tcPr>
            <w:tcW w:w="1191" w:type="dxa"/>
            <w:tcBorders>
              <w:top w:val="single" w:sz="4" w:space="0" w:color="auto"/>
            </w:tcBorders>
            <w:vAlign w:val="center"/>
          </w:tcPr>
          <w:p w:rsidR="001733E4" w:rsidRPr="00FA6A0F" w:rsidRDefault="001733E4" w:rsidP="00CE6A3A">
            <w:pPr>
              <w:spacing w:before="20" w:after="20"/>
              <w:ind w:right="113"/>
              <w:jc w:val="right"/>
              <w:rPr>
                <w:sz w:val="20"/>
                <w:szCs w:val="20"/>
              </w:rPr>
            </w:pPr>
            <w:r w:rsidRPr="00FA6A0F">
              <w:rPr>
                <w:sz w:val="20"/>
                <w:szCs w:val="20"/>
              </w:rPr>
              <w:t>169</w:t>
            </w:r>
          </w:p>
        </w:tc>
        <w:tc>
          <w:tcPr>
            <w:tcW w:w="1388" w:type="dxa"/>
            <w:tcBorders>
              <w:top w:val="single" w:sz="4" w:space="0" w:color="auto"/>
            </w:tcBorders>
            <w:shd w:val="clear" w:color="auto" w:fill="E2E2E2"/>
            <w:vAlign w:val="center"/>
          </w:tcPr>
          <w:p w:rsidR="001733E4" w:rsidRPr="00FA6A0F" w:rsidRDefault="001733E4" w:rsidP="001E1DF1">
            <w:pPr>
              <w:spacing w:before="20" w:after="20"/>
              <w:ind w:right="227"/>
              <w:jc w:val="right"/>
              <w:rPr>
                <w:sz w:val="20"/>
                <w:szCs w:val="20"/>
              </w:rPr>
            </w:pPr>
            <w:r w:rsidRPr="00FA6A0F">
              <w:rPr>
                <w:sz w:val="20"/>
                <w:szCs w:val="20"/>
              </w:rPr>
              <w:t>115</w:t>
            </w:r>
          </w:p>
        </w:tc>
        <w:tc>
          <w:tcPr>
            <w:tcW w:w="995" w:type="dxa"/>
            <w:tcBorders>
              <w:top w:val="single" w:sz="4" w:space="0" w:color="auto"/>
            </w:tcBorders>
            <w:vAlign w:val="center"/>
          </w:tcPr>
          <w:p w:rsidR="001733E4" w:rsidRPr="00FA6A0F" w:rsidRDefault="001733E4" w:rsidP="000A410C">
            <w:pPr>
              <w:spacing w:before="20" w:after="20"/>
              <w:ind w:right="176"/>
              <w:jc w:val="right"/>
              <w:rPr>
                <w:b/>
                <w:sz w:val="20"/>
                <w:szCs w:val="20"/>
              </w:rPr>
            </w:pPr>
            <w:r w:rsidRPr="00FA6A0F">
              <w:rPr>
                <w:b/>
                <w:sz w:val="20"/>
                <w:szCs w:val="20"/>
              </w:rPr>
              <w:t>502</w:t>
            </w:r>
          </w:p>
        </w:tc>
      </w:tr>
      <w:tr w:rsidR="001733E4" w:rsidRPr="00FA6A0F" w:rsidTr="00AA6DB6">
        <w:tc>
          <w:tcPr>
            <w:tcW w:w="1101" w:type="dxa"/>
          </w:tcPr>
          <w:p w:rsidR="001733E4" w:rsidRDefault="001733E4" w:rsidP="001733E4">
            <w:pPr>
              <w:spacing w:before="20" w:after="20"/>
              <w:rPr>
                <w:sz w:val="20"/>
                <w:szCs w:val="20"/>
              </w:rPr>
            </w:pPr>
            <w:r w:rsidRPr="000A410C">
              <w:rPr>
                <w:color w:val="FFFFFF" w:themeColor="background1"/>
                <w:sz w:val="20"/>
                <w:szCs w:val="20"/>
              </w:rPr>
              <w:t xml:space="preserve">0 to 7 </w:t>
            </w:r>
          </w:p>
        </w:tc>
        <w:tc>
          <w:tcPr>
            <w:tcW w:w="1134" w:type="dxa"/>
            <w:vAlign w:val="center"/>
          </w:tcPr>
          <w:p w:rsidR="001733E4" w:rsidRPr="00FA6A0F" w:rsidRDefault="001733E4" w:rsidP="000A410C">
            <w:pPr>
              <w:spacing w:before="20" w:after="20"/>
              <w:ind w:right="113"/>
              <w:jc w:val="right"/>
              <w:rPr>
                <w:sz w:val="20"/>
                <w:szCs w:val="20"/>
              </w:rPr>
            </w:pPr>
            <w:r>
              <w:rPr>
                <w:sz w:val="20"/>
                <w:szCs w:val="20"/>
              </w:rPr>
              <w:t>37.4%</w:t>
            </w:r>
          </w:p>
        </w:tc>
        <w:tc>
          <w:tcPr>
            <w:tcW w:w="1248" w:type="dxa"/>
            <w:shd w:val="clear" w:color="auto" w:fill="E2E2E2"/>
            <w:vAlign w:val="center"/>
          </w:tcPr>
          <w:p w:rsidR="001733E4" w:rsidRPr="00FA6A0F" w:rsidRDefault="001733E4" w:rsidP="000A410C">
            <w:pPr>
              <w:spacing w:before="20" w:after="20"/>
              <w:ind w:right="57"/>
              <w:jc w:val="right"/>
              <w:rPr>
                <w:sz w:val="20"/>
                <w:szCs w:val="20"/>
              </w:rPr>
            </w:pPr>
            <w:r>
              <w:rPr>
                <w:sz w:val="20"/>
                <w:szCs w:val="20"/>
              </w:rPr>
              <w:t>70.3%</w:t>
            </w:r>
          </w:p>
        </w:tc>
        <w:tc>
          <w:tcPr>
            <w:tcW w:w="1191" w:type="dxa"/>
            <w:vAlign w:val="center"/>
          </w:tcPr>
          <w:p w:rsidR="001733E4" w:rsidRPr="00FA6A0F" w:rsidRDefault="001733E4" w:rsidP="00CE6A3A">
            <w:pPr>
              <w:spacing w:before="20" w:after="20"/>
              <w:ind w:right="113"/>
              <w:jc w:val="right"/>
              <w:rPr>
                <w:sz w:val="20"/>
                <w:szCs w:val="20"/>
              </w:rPr>
            </w:pPr>
            <w:r>
              <w:rPr>
                <w:sz w:val="20"/>
                <w:szCs w:val="20"/>
              </w:rPr>
              <w:t>16.8%</w:t>
            </w:r>
          </w:p>
        </w:tc>
        <w:tc>
          <w:tcPr>
            <w:tcW w:w="1388" w:type="dxa"/>
            <w:shd w:val="clear" w:color="auto" w:fill="E2E2E2"/>
          </w:tcPr>
          <w:p w:rsidR="001733E4" w:rsidRDefault="001733E4" w:rsidP="001E1DF1">
            <w:pPr>
              <w:spacing w:before="20" w:after="20"/>
              <w:ind w:right="227"/>
              <w:jc w:val="right"/>
              <w:rPr>
                <w:sz w:val="20"/>
                <w:szCs w:val="20"/>
              </w:rPr>
            </w:pPr>
            <w:r>
              <w:rPr>
                <w:sz w:val="20"/>
                <w:szCs w:val="20"/>
              </w:rPr>
              <w:t>68.0%</w:t>
            </w:r>
          </w:p>
        </w:tc>
        <w:tc>
          <w:tcPr>
            <w:tcW w:w="995" w:type="dxa"/>
            <w:vAlign w:val="center"/>
          </w:tcPr>
          <w:p w:rsidR="001733E4" w:rsidRPr="00FA6A0F" w:rsidRDefault="001733E4" w:rsidP="000A410C">
            <w:pPr>
              <w:spacing w:before="20" w:after="20"/>
              <w:ind w:right="176"/>
              <w:jc w:val="right"/>
              <w:rPr>
                <w:b/>
                <w:sz w:val="20"/>
                <w:szCs w:val="20"/>
              </w:rPr>
            </w:pPr>
            <w:r>
              <w:rPr>
                <w:b/>
                <w:sz w:val="20"/>
                <w:szCs w:val="20"/>
              </w:rPr>
              <w:t>26.5%</w:t>
            </w:r>
          </w:p>
        </w:tc>
      </w:tr>
      <w:tr w:rsidR="001733E4" w:rsidRPr="00FA6A0F" w:rsidTr="00AA6DB6">
        <w:tc>
          <w:tcPr>
            <w:tcW w:w="1101" w:type="dxa"/>
          </w:tcPr>
          <w:p w:rsidR="001733E4" w:rsidRPr="00FA6A0F" w:rsidRDefault="001733E4" w:rsidP="00D907AF">
            <w:pPr>
              <w:spacing w:before="20" w:after="20"/>
              <w:rPr>
                <w:sz w:val="20"/>
                <w:szCs w:val="20"/>
              </w:rPr>
            </w:pPr>
            <w:r>
              <w:rPr>
                <w:sz w:val="20"/>
                <w:szCs w:val="20"/>
              </w:rPr>
              <w:t xml:space="preserve">8 to </w:t>
            </w:r>
            <w:r w:rsidRPr="00FA6A0F">
              <w:rPr>
                <w:sz w:val="20"/>
                <w:szCs w:val="20"/>
              </w:rPr>
              <w:t>17</w:t>
            </w:r>
          </w:p>
        </w:tc>
        <w:tc>
          <w:tcPr>
            <w:tcW w:w="1134" w:type="dxa"/>
            <w:vAlign w:val="center"/>
          </w:tcPr>
          <w:p w:rsidR="001733E4" w:rsidRPr="00FA6A0F" w:rsidRDefault="001733E4" w:rsidP="000A410C">
            <w:pPr>
              <w:spacing w:before="20" w:after="20"/>
              <w:ind w:right="113"/>
              <w:jc w:val="right"/>
              <w:rPr>
                <w:sz w:val="20"/>
                <w:szCs w:val="20"/>
              </w:rPr>
            </w:pPr>
            <w:r w:rsidRPr="00FA6A0F">
              <w:rPr>
                <w:sz w:val="20"/>
                <w:szCs w:val="20"/>
              </w:rPr>
              <w:t>121</w:t>
            </w:r>
          </w:p>
        </w:tc>
        <w:tc>
          <w:tcPr>
            <w:tcW w:w="1248" w:type="dxa"/>
            <w:shd w:val="clear" w:color="auto" w:fill="E2E2E2"/>
            <w:vAlign w:val="center"/>
          </w:tcPr>
          <w:p w:rsidR="001733E4" w:rsidRPr="00FA6A0F" w:rsidRDefault="001733E4" w:rsidP="000A410C">
            <w:pPr>
              <w:spacing w:before="20" w:after="20"/>
              <w:ind w:right="57"/>
              <w:jc w:val="right"/>
              <w:rPr>
                <w:sz w:val="20"/>
                <w:szCs w:val="20"/>
              </w:rPr>
            </w:pPr>
            <w:r w:rsidRPr="00FA6A0F">
              <w:rPr>
                <w:sz w:val="20"/>
                <w:szCs w:val="20"/>
              </w:rPr>
              <w:t>73</w:t>
            </w:r>
          </w:p>
        </w:tc>
        <w:tc>
          <w:tcPr>
            <w:tcW w:w="1191" w:type="dxa"/>
            <w:vAlign w:val="center"/>
          </w:tcPr>
          <w:p w:rsidR="001733E4" w:rsidRPr="00FA6A0F" w:rsidRDefault="001733E4" w:rsidP="00CE6A3A">
            <w:pPr>
              <w:spacing w:before="20" w:after="20"/>
              <w:ind w:right="113"/>
              <w:jc w:val="right"/>
              <w:rPr>
                <w:sz w:val="20"/>
                <w:szCs w:val="20"/>
              </w:rPr>
            </w:pPr>
            <w:r w:rsidRPr="00FA6A0F">
              <w:rPr>
                <w:sz w:val="20"/>
                <w:szCs w:val="20"/>
              </w:rPr>
              <w:t>254</w:t>
            </w:r>
          </w:p>
        </w:tc>
        <w:tc>
          <w:tcPr>
            <w:tcW w:w="1388" w:type="dxa"/>
            <w:shd w:val="clear" w:color="auto" w:fill="E2E2E2"/>
          </w:tcPr>
          <w:p w:rsidR="001733E4" w:rsidRPr="00FA6A0F" w:rsidRDefault="001733E4" w:rsidP="001E1DF1">
            <w:pPr>
              <w:spacing w:before="20" w:after="20"/>
              <w:ind w:right="227"/>
              <w:jc w:val="right"/>
              <w:rPr>
                <w:sz w:val="20"/>
                <w:szCs w:val="20"/>
              </w:rPr>
            </w:pPr>
            <w:r>
              <w:rPr>
                <w:sz w:val="20"/>
                <w:szCs w:val="20"/>
              </w:rPr>
              <w:t>169</w:t>
            </w:r>
          </w:p>
        </w:tc>
        <w:tc>
          <w:tcPr>
            <w:tcW w:w="995" w:type="dxa"/>
            <w:vAlign w:val="center"/>
          </w:tcPr>
          <w:p w:rsidR="001733E4" w:rsidRPr="00FA6A0F" w:rsidRDefault="001733E4" w:rsidP="000A410C">
            <w:pPr>
              <w:spacing w:before="20" w:after="20"/>
              <w:ind w:right="176"/>
              <w:jc w:val="right"/>
              <w:rPr>
                <w:b/>
                <w:sz w:val="20"/>
                <w:szCs w:val="20"/>
              </w:rPr>
            </w:pPr>
            <w:r w:rsidRPr="00FA6A0F">
              <w:rPr>
                <w:b/>
                <w:sz w:val="20"/>
                <w:szCs w:val="20"/>
              </w:rPr>
              <w:t>375</w:t>
            </w:r>
          </w:p>
        </w:tc>
      </w:tr>
      <w:tr w:rsidR="001733E4" w:rsidRPr="00FA6A0F" w:rsidTr="00AA6DB6">
        <w:tc>
          <w:tcPr>
            <w:tcW w:w="1101" w:type="dxa"/>
          </w:tcPr>
          <w:p w:rsidR="001733E4" w:rsidRPr="00FA6A0F" w:rsidRDefault="001733E4" w:rsidP="001733E4">
            <w:pPr>
              <w:spacing w:before="20" w:after="20"/>
              <w:rPr>
                <w:sz w:val="20"/>
                <w:szCs w:val="20"/>
              </w:rPr>
            </w:pPr>
            <w:r w:rsidRPr="000A410C">
              <w:rPr>
                <w:color w:val="FFFFFF" w:themeColor="background1"/>
                <w:sz w:val="20"/>
                <w:szCs w:val="20"/>
              </w:rPr>
              <w:t>8 to 17</w:t>
            </w:r>
            <w:r>
              <w:rPr>
                <w:sz w:val="20"/>
                <w:szCs w:val="20"/>
              </w:rPr>
              <w:t xml:space="preserve"> </w:t>
            </w:r>
          </w:p>
        </w:tc>
        <w:tc>
          <w:tcPr>
            <w:tcW w:w="1134" w:type="dxa"/>
            <w:vAlign w:val="center"/>
          </w:tcPr>
          <w:p w:rsidR="001733E4" w:rsidRPr="00FA6A0F" w:rsidRDefault="001733E4" w:rsidP="000A410C">
            <w:pPr>
              <w:spacing w:before="20" w:after="20"/>
              <w:ind w:right="113"/>
              <w:jc w:val="right"/>
              <w:rPr>
                <w:sz w:val="20"/>
                <w:szCs w:val="20"/>
              </w:rPr>
            </w:pPr>
            <w:r>
              <w:rPr>
                <w:sz w:val="20"/>
                <w:szCs w:val="20"/>
              </w:rPr>
              <w:t>13.6%</w:t>
            </w:r>
          </w:p>
        </w:tc>
        <w:tc>
          <w:tcPr>
            <w:tcW w:w="1248" w:type="dxa"/>
            <w:shd w:val="clear" w:color="auto" w:fill="E2E2E2"/>
            <w:vAlign w:val="center"/>
          </w:tcPr>
          <w:p w:rsidR="001733E4" w:rsidRPr="00FA6A0F" w:rsidRDefault="001733E4" w:rsidP="000A410C">
            <w:pPr>
              <w:spacing w:before="20" w:after="20"/>
              <w:ind w:right="57"/>
              <w:jc w:val="right"/>
              <w:rPr>
                <w:sz w:val="20"/>
                <w:szCs w:val="20"/>
              </w:rPr>
            </w:pPr>
            <w:r>
              <w:rPr>
                <w:sz w:val="20"/>
                <w:szCs w:val="20"/>
              </w:rPr>
              <w:t>60.3%</w:t>
            </w:r>
          </w:p>
        </w:tc>
        <w:tc>
          <w:tcPr>
            <w:tcW w:w="1191" w:type="dxa"/>
            <w:vAlign w:val="center"/>
          </w:tcPr>
          <w:p w:rsidR="001733E4" w:rsidRPr="00FA6A0F" w:rsidRDefault="001733E4" w:rsidP="00CE6A3A">
            <w:pPr>
              <w:spacing w:before="20" w:after="20"/>
              <w:ind w:right="113"/>
              <w:jc w:val="right"/>
              <w:rPr>
                <w:sz w:val="20"/>
                <w:szCs w:val="20"/>
              </w:rPr>
            </w:pPr>
            <w:r>
              <w:rPr>
                <w:sz w:val="20"/>
                <w:szCs w:val="20"/>
              </w:rPr>
              <w:t>25.3%</w:t>
            </w:r>
          </w:p>
        </w:tc>
        <w:tc>
          <w:tcPr>
            <w:tcW w:w="1388" w:type="dxa"/>
            <w:shd w:val="clear" w:color="auto" w:fill="E2E2E2"/>
            <w:vAlign w:val="center"/>
          </w:tcPr>
          <w:p w:rsidR="001733E4" w:rsidRPr="00FA6A0F" w:rsidRDefault="001733E4" w:rsidP="001E1DF1">
            <w:pPr>
              <w:spacing w:before="20" w:after="20"/>
              <w:ind w:right="227"/>
              <w:jc w:val="right"/>
              <w:rPr>
                <w:sz w:val="20"/>
                <w:szCs w:val="20"/>
              </w:rPr>
            </w:pPr>
            <w:r>
              <w:rPr>
                <w:sz w:val="20"/>
                <w:szCs w:val="20"/>
              </w:rPr>
              <w:t>66.5%</w:t>
            </w:r>
          </w:p>
        </w:tc>
        <w:tc>
          <w:tcPr>
            <w:tcW w:w="995" w:type="dxa"/>
            <w:vAlign w:val="center"/>
          </w:tcPr>
          <w:p w:rsidR="001733E4" w:rsidRPr="00FA6A0F" w:rsidRDefault="001733E4" w:rsidP="000A410C">
            <w:pPr>
              <w:spacing w:before="20" w:after="20"/>
              <w:ind w:right="176"/>
              <w:jc w:val="right"/>
              <w:rPr>
                <w:b/>
                <w:sz w:val="20"/>
                <w:szCs w:val="20"/>
              </w:rPr>
            </w:pPr>
            <w:r>
              <w:rPr>
                <w:b/>
                <w:sz w:val="20"/>
                <w:szCs w:val="20"/>
              </w:rPr>
              <w:t>19.8%</w:t>
            </w:r>
          </w:p>
        </w:tc>
      </w:tr>
      <w:tr w:rsidR="001733E4" w:rsidRPr="00FA6A0F" w:rsidTr="00AA6DB6">
        <w:tc>
          <w:tcPr>
            <w:tcW w:w="1101" w:type="dxa"/>
          </w:tcPr>
          <w:p w:rsidR="001733E4" w:rsidRPr="00FA6A0F" w:rsidRDefault="001733E4" w:rsidP="00D907AF">
            <w:pPr>
              <w:spacing w:before="20" w:after="20"/>
              <w:rPr>
                <w:sz w:val="20"/>
                <w:szCs w:val="20"/>
              </w:rPr>
            </w:pPr>
            <w:r w:rsidRPr="00FA6A0F">
              <w:rPr>
                <w:sz w:val="20"/>
                <w:szCs w:val="20"/>
              </w:rPr>
              <w:t>18+</w:t>
            </w:r>
          </w:p>
        </w:tc>
        <w:tc>
          <w:tcPr>
            <w:tcW w:w="1134" w:type="dxa"/>
            <w:vAlign w:val="center"/>
          </w:tcPr>
          <w:p w:rsidR="001733E4" w:rsidRPr="00FA6A0F" w:rsidRDefault="001733E4" w:rsidP="000A410C">
            <w:pPr>
              <w:spacing w:before="20" w:after="20"/>
              <w:ind w:right="113"/>
              <w:jc w:val="right"/>
              <w:rPr>
                <w:sz w:val="20"/>
                <w:szCs w:val="20"/>
              </w:rPr>
            </w:pPr>
            <w:r w:rsidRPr="00FA6A0F">
              <w:rPr>
                <w:sz w:val="20"/>
                <w:szCs w:val="20"/>
              </w:rPr>
              <w:t>437</w:t>
            </w:r>
          </w:p>
        </w:tc>
        <w:tc>
          <w:tcPr>
            <w:tcW w:w="1248" w:type="dxa"/>
            <w:shd w:val="clear" w:color="auto" w:fill="E2E2E2"/>
            <w:vAlign w:val="center"/>
          </w:tcPr>
          <w:p w:rsidR="001733E4" w:rsidRPr="00FA6A0F" w:rsidRDefault="001733E4" w:rsidP="000A410C">
            <w:pPr>
              <w:spacing w:before="20" w:after="20"/>
              <w:ind w:right="57"/>
              <w:jc w:val="right"/>
              <w:rPr>
                <w:sz w:val="20"/>
                <w:szCs w:val="20"/>
              </w:rPr>
            </w:pPr>
            <w:r w:rsidRPr="00FA6A0F">
              <w:rPr>
                <w:sz w:val="20"/>
                <w:szCs w:val="20"/>
              </w:rPr>
              <w:t>212</w:t>
            </w:r>
          </w:p>
        </w:tc>
        <w:tc>
          <w:tcPr>
            <w:tcW w:w="1191" w:type="dxa"/>
            <w:vAlign w:val="center"/>
          </w:tcPr>
          <w:p w:rsidR="001733E4" w:rsidRPr="00FA6A0F" w:rsidRDefault="001733E4" w:rsidP="0029283F">
            <w:pPr>
              <w:spacing w:before="20" w:after="20"/>
              <w:ind w:right="113"/>
              <w:jc w:val="right"/>
              <w:rPr>
                <w:sz w:val="20"/>
                <w:szCs w:val="20"/>
              </w:rPr>
            </w:pPr>
            <w:r w:rsidRPr="00FA6A0F">
              <w:rPr>
                <w:sz w:val="20"/>
                <w:szCs w:val="20"/>
              </w:rPr>
              <w:t>581</w:t>
            </w:r>
          </w:p>
        </w:tc>
        <w:tc>
          <w:tcPr>
            <w:tcW w:w="1388" w:type="dxa"/>
            <w:shd w:val="clear" w:color="auto" w:fill="E2E2E2"/>
            <w:vAlign w:val="center"/>
          </w:tcPr>
          <w:p w:rsidR="001733E4" w:rsidRPr="00FA6A0F" w:rsidRDefault="001733E4" w:rsidP="001E1DF1">
            <w:pPr>
              <w:spacing w:before="20" w:after="20"/>
              <w:ind w:right="227"/>
              <w:jc w:val="right"/>
              <w:rPr>
                <w:sz w:val="20"/>
                <w:szCs w:val="20"/>
              </w:rPr>
            </w:pPr>
            <w:r w:rsidRPr="00FA6A0F">
              <w:rPr>
                <w:sz w:val="20"/>
                <w:szCs w:val="20"/>
              </w:rPr>
              <w:t>332</w:t>
            </w:r>
          </w:p>
        </w:tc>
        <w:tc>
          <w:tcPr>
            <w:tcW w:w="995" w:type="dxa"/>
            <w:vAlign w:val="center"/>
          </w:tcPr>
          <w:p w:rsidR="001733E4" w:rsidRPr="00FA6A0F" w:rsidRDefault="001733E4" w:rsidP="000A410C">
            <w:pPr>
              <w:spacing w:before="20" w:after="20"/>
              <w:ind w:right="176"/>
              <w:jc w:val="right"/>
              <w:rPr>
                <w:b/>
                <w:sz w:val="20"/>
                <w:szCs w:val="20"/>
              </w:rPr>
            </w:pPr>
            <w:r w:rsidRPr="00FA6A0F">
              <w:rPr>
                <w:b/>
                <w:sz w:val="20"/>
                <w:szCs w:val="20"/>
              </w:rPr>
              <w:t>1</w:t>
            </w:r>
            <w:r>
              <w:rPr>
                <w:b/>
                <w:sz w:val="20"/>
                <w:szCs w:val="20"/>
              </w:rPr>
              <w:t>,</w:t>
            </w:r>
            <w:r w:rsidRPr="00FA6A0F">
              <w:rPr>
                <w:b/>
                <w:sz w:val="20"/>
                <w:szCs w:val="20"/>
              </w:rPr>
              <w:t>018</w:t>
            </w:r>
          </w:p>
        </w:tc>
      </w:tr>
      <w:tr w:rsidR="001733E4" w:rsidRPr="00FA6A0F" w:rsidTr="00AA6DB6">
        <w:tc>
          <w:tcPr>
            <w:tcW w:w="1101" w:type="dxa"/>
          </w:tcPr>
          <w:p w:rsidR="001733E4" w:rsidRPr="00FA6A0F" w:rsidRDefault="001733E4" w:rsidP="00D907AF">
            <w:pPr>
              <w:spacing w:before="20" w:after="20"/>
              <w:rPr>
                <w:sz w:val="20"/>
                <w:szCs w:val="20"/>
              </w:rPr>
            </w:pPr>
            <w:r w:rsidRPr="000A410C">
              <w:rPr>
                <w:color w:val="FFFFFF" w:themeColor="background1"/>
                <w:sz w:val="20"/>
                <w:szCs w:val="20"/>
              </w:rPr>
              <w:t>18+</w:t>
            </w:r>
          </w:p>
        </w:tc>
        <w:tc>
          <w:tcPr>
            <w:tcW w:w="1134" w:type="dxa"/>
            <w:vAlign w:val="center"/>
          </w:tcPr>
          <w:p w:rsidR="001733E4" w:rsidRPr="00FA6A0F" w:rsidRDefault="001733E4" w:rsidP="000A410C">
            <w:pPr>
              <w:spacing w:before="20" w:after="20"/>
              <w:ind w:right="113"/>
              <w:jc w:val="right"/>
              <w:rPr>
                <w:sz w:val="20"/>
                <w:szCs w:val="20"/>
              </w:rPr>
            </w:pPr>
            <w:r>
              <w:rPr>
                <w:sz w:val="20"/>
                <w:szCs w:val="20"/>
              </w:rPr>
              <w:t>49.0%</w:t>
            </w:r>
          </w:p>
        </w:tc>
        <w:tc>
          <w:tcPr>
            <w:tcW w:w="1248" w:type="dxa"/>
            <w:shd w:val="clear" w:color="auto" w:fill="E2E2E2"/>
            <w:vAlign w:val="center"/>
          </w:tcPr>
          <w:p w:rsidR="001733E4" w:rsidRPr="00FA6A0F" w:rsidRDefault="001733E4" w:rsidP="000A410C">
            <w:pPr>
              <w:spacing w:before="20" w:after="20"/>
              <w:ind w:right="57"/>
              <w:jc w:val="right"/>
              <w:rPr>
                <w:sz w:val="20"/>
                <w:szCs w:val="20"/>
              </w:rPr>
            </w:pPr>
            <w:r w:rsidRPr="00FA6A0F">
              <w:rPr>
                <w:sz w:val="20"/>
                <w:szCs w:val="20"/>
              </w:rPr>
              <w:t>48.5</w:t>
            </w:r>
            <w:r>
              <w:rPr>
                <w:sz w:val="20"/>
                <w:szCs w:val="20"/>
              </w:rPr>
              <w:t>%</w:t>
            </w:r>
          </w:p>
        </w:tc>
        <w:tc>
          <w:tcPr>
            <w:tcW w:w="1191" w:type="dxa"/>
            <w:vAlign w:val="center"/>
          </w:tcPr>
          <w:p w:rsidR="001733E4" w:rsidRPr="00FA6A0F" w:rsidRDefault="001733E4" w:rsidP="00CE6A3A">
            <w:pPr>
              <w:spacing w:before="20" w:after="20"/>
              <w:ind w:right="113"/>
              <w:jc w:val="right"/>
              <w:rPr>
                <w:sz w:val="20"/>
                <w:szCs w:val="20"/>
              </w:rPr>
            </w:pPr>
            <w:r>
              <w:rPr>
                <w:sz w:val="20"/>
                <w:szCs w:val="20"/>
              </w:rPr>
              <w:t>57.9%</w:t>
            </w:r>
          </w:p>
        </w:tc>
        <w:tc>
          <w:tcPr>
            <w:tcW w:w="1388" w:type="dxa"/>
            <w:shd w:val="clear" w:color="auto" w:fill="E2E2E2"/>
            <w:vAlign w:val="center"/>
          </w:tcPr>
          <w:p w:rsidR="001733E4" w:rsidRPr="00FA6A0F" w:rsidRDefault="001733E4" w:rsidP="001E1DF1">
            <w:pPr>
              <w:spacing w:before="20" w:after="20"/>
              <w:ind w:right="227"/>
              <w:jc w:val="right"/>
              <w:rPr>
                <w:sz w:val="20"/>
                <w:szCs w:val="20"/>
              </w:rPr>
            </w:pPr>
            <w:r>
              <w:rPr>
                <w:sz w:val="20"/>
                <w:szCs w:val="20"/>
              </w:rPr>
              <w:t>57.1%</w:t>
            </w:r>
          </w:p>
        </w:tc>
        <w:tc>
          <w:tcPr>
            <w:tcW w:w="995" w:type="dxa"/>
            <w:vAlign w:val="center"/>
          </w:tcPr>
          <w:p w:rsidR="001733E4" w:rsidRPr="00FA6A0F" w:rsidRDefault="001733E4" w:rsidP="000A410C">
            <w:pPr>
              <w:spacing w:before="20" w:after="20"/>
              <w:ind w:right="176"/>
              <w:jc w:val="right"/>
              <w:rPr>
                <w:b/>
                <w:sz w:val="20"/>
                <w:szCs w:val="20"/>
              </w:rPr>
            </w:pPr>
            <w:r>
              <w:rPr>
                <w:b/>
                <w:sz w:val="20"/>
                <w:szCs w:val="20"/>
              </w:rPr>
              <w:t>53.7%</w:t>
            </w:r>
          </w:p>
        </w:tc>
      </w:tr>
      <w:tr w:rsidR="001733E4" w:rsidRPr="00FA6A0F" w:rsidTr="00AA6DB6">
        <w:trPr>
          <w:trHeight w:val="261"/>
        </w:trPr>
        <w:tc>
          <w:tcPr>
            <w:tcW w:w="1101" w:type="dxa"/>
            <w:tcBorders>
              <w:top w:val="single" w:sz="4" w:space="0" w:color="auto"/>
            </w:tcBorders>
            <w:vAlign w:val="center"/>
          </w:tcPr>
          <w:p w:rsidR="001733E4" w:rsidRPr="00FA6A0F" w:rsidRDefault="001733E4" w:rsidP="00D907AF">
            <w:pPr>
              <w:spacing w:before="20" w:after="20"/>
              <w:rPr>
                <w:b/>
                <w:sz w:val="20"/>
                <w:szCs w:val="20"/>
              </w:rPr>
            </w:pPr>
            <w:r w:rsidRPr="00FA6A0F">
              <w:rPr>
                <w:b/>
                <w:sz w:val="20"/>
                <w:szCs w:val="20"/>
              </w:rPr>
              <w:t>Total</w:t>
            </w:r>
          </w:p>
        </w:tc>
        <w:tc>
          <w:tcPr>
            <w:tcW w:w="1134" w:type="dxa"/>
            <w:tcBorders>
              <w:top w:val="single" w:sz="4" w:space="0" w:color="auto"/>
            </w:tcBorders>
            <w:vAlign w:val="center"/>
          </w:tcPr>
          <w:p w:rsidR="001733E4" w:rsidRPr="00CE6A3A" w:rsidRDefault="001733E4" w:rsidP="000A410C">
            <w:pPr>
              <w:spacing w:before="20" w:after="20"/>
              <w:ind w:right="113"/>
              <w:jc w:val="right"/>
              <w:rPr>
                <w:b/>
                <w:sz w:val="20"/>
                <w:szCs w:val="20"/>
              </w:rPr>
            </w:pPr>
            <w:r w:rsidRPr="00CE6A3A">
              <w:rPr>
                <w:b/>
                <w:sz w:val="20"/>
                <w:szCs w:val="20"/>
              </w:rPr>
              <w:t>891</w:t>
            </w:r>
          </w:p>
        </w:tc>
        <w:tc>
          <w:tcPr>
            <w:tcW w:w="1248" w:type="dxa"/>
            <w:tcBorders>
              <w:top w:val="single" w:sz="4" w:space="0" w:color="auto"/>
            </w:tcBorders>
            <w:shd w:val="clear" w:color="auto" w:fill="E2E2E2"/>
            <w:vAlign w:val="center"/>
          </w:tcPr>
          <w:p w:rsidR="001733E4" w:rsidRPr="00FA6A0F" w:rsidRDefault="001733E4" w:rsidP="000A410C">
            <w:pPr>
              <w:spacing w:before="20" w:after="20"/>
              <w:ind w:right="57"/>
              <w:jc w:val="right"/>
              <w:rPr>
                <w:b/>
                <w:sz w:val="20"/>
                <w:szCs w:val="20"/>
              </w:rPr>
            </w:pPr>
            <w:r w:rsidRPr="00FA6A0F">
              <w:rPr>
                <w:b/>
                <w:sz w:val="20"/>
                <w:szCs w:val="20"/>
              </w:rPr>
              <w:t>519</w:t>
            </w:r>
          </w:p>
        </w:tc>
        <w:tc>
          <w:tcPr>
            <w:tcW w:w="1191" w:type="dxa"/>
            <w:tcBorders>
              <w:top w:val="single" w:sz="4" w:space="0" w:color="auto"/>
            </w:tcBorders>
            <w:vAlign w:val="center"/>
          </w:tcPr>
          <w:p w:rsidR="001733E4" w:rsidRPr="00FA6A0F" w:rsidRDefault="001733E4" w:rsidP="00CE6A3A">
            <w:pPr>
              <w:spacing w:before="20" w:after="20"/>
              <w:ind w:right="113"/>
              <w:jc w:val="right"/>
              <w:rPr>
                <w:b/>
                <w:sz w:val="20"/>
                <w:szCs w:val="20"/>
              </w:rPr>
            </w:pPr>
            <w:r w:rsidRPr="00FA6A0F">
              <w:rPr>
                <w:b/>
                <w:sz w:val="20"/>
                <w:szCs w:val="20"/>
              </w:rPr>
              <w:t>1</w:t>
            </w:r>
            <w:r>
              <w:rPr>
                <w:b/>
                <w:sz w:val="20"/>
                <w:szCs w:val="20"/>
              </w:rPr>
              <w:t>,</w:t>
            </w:r>
            <w:r w:rsidRPr="00FA6A0F">
              <w:rPr>
                <w:b/>
                <w:sz w:val="20"/>
                <w:szCs w:val="20"/>
              </w:rPr>
              <w:t>004</w:t>
            </w:r>
          </w:p>
        </w:tc>
        <w:tc>
          <w:tcPr>
            <w:tcW w:w="1388" w:type="dxa"/>
            <w:tcBorders>
              <w:top w:val="single" w:sz="4" w:space="0" w:color="auto"/>
            </w:tcBorders>
            <w:shd w:val="clear" w:color="auto" w:fill="E2E2E2"/>
            <w:vAlign w:val="center"/>
          </w:tcPr>
          <w:p w:rsidR="001733E4" w:rsidRPr="001E1DF1" w:rsidRDefault="001733E4" w:rsidP="001E1DF1">
            <w:pPr>
              <w:spacing w:before="20" w:after="20"/>
              <w:ind w:right="227"/>
              <w:jc w:val="right"/>
              <w:rPr>
                <w:b/>
                <w:sz w:val="20"/>
                <w:szCs w:val="20"/>
              </w:rPr>
            </w:pPr>
            <w:r w:rsidRPr="001E1DF1">
              <w:rPr>
                <w:b/>
                <w:sz w:val="20"/>
                <w:szCs w:val="20"/>
              </w:rPr>
              <w:t>616</w:t>
            </w:r>
          </w:p>
        </w:tc>
        <w:tc>
          <w:tcPr>
            <w:tcW w:w="995" w:type="dxa"/>
            <w:tcBorders>
              <w:top w:val="single" w:sz="4" w:space="0" w:color="auto"/>
            </w:tcBorders>
            <w:vAlign w:val="center"/>
          </w:tcPr>
          <w:p w:rsidR="001733E4" w:rsidRPr="00FA6A0F" w:rsidRDefault="001733E4" w:rsidP="000A410C">
            <w:pPr>
              <w:spacing w:before="20" w:after="20"/>
              <w:ind w:right="176"/>
              <w:jc w:val="right"/>
              <w:rPr>
                <w:b/>
                <w:sz w:val="20"/>
                <w:szCs w:val="20"/>
              </w:rPr>
            </w:pPr>
            <w:r w:rsidRPr="00FA6A0F">
              <w:rPr>
                <w:b/>
                <w:sz w:val="20"/>
                <w:szCs w:val="20"/>
              </w:rPr>
              <w:t>1</w:t>
            </w:r>
            <w:r>
              <w:rPr>
                <w:b/>
                <w:sz w:val="20"/>
                <w:szCs w:val="20"/>
              </w:rPr>
              <w:t>,</w:t>
            </w:r>
            <w:r w:rsidRPr="00FA6A0F">
              <w:rPr>
                <w:b/>
                <w:sz w:val="20"/>
                <w:szCs w:val="20"/>
              </w:rPr>
              <w:t>895</w:t>
            </w:r>
          </w:p>
        </w:tc>
      </w:tr>
      <w:tr w:rsidR="001733E4" w:rsidRPr="00FA6A0F" w:rsidTr="00AA6DB6">
        <w:trPr>
          <w:trHeight w:val="236"/>
        </w:trPr>
        <w:tc>
          <w:tcPr>
            <w:tcW w:w="1101" w:type="dxa"/>
            <w:tcBorders>
              <w:bottom w:val="single" w:sz="4" w:space="0" w:color="auto"/>
            </w:tcBorders>
            <w:vAlign w:val="center"/>
          </w:tcPr>
          <w:p w:rsidR="001733E4" w:rsidRPr="00FA6A0F" w:rsidRDefault="001733E4" w:rsidP="0080243B">
            <w:pPr>
              <w:spacing w:before="20" w:after="20"/>
              <w:ind w:right="-108"/>
              <w:rPr>
                <w:b/>
                <w:sz w:val="20"/>
                <w:szCs w:val="20"/>
              </w:rPr>
            </w:pPr>
          </w:p>
        </w:tc>
        <w:tc>
          <w:tcPr>
            <w:tcW w:w="1134" w:type="dxa"/>
            <w:tcBorders>
              <w:bottom w:val="single" w:sz="4" w:space="0" w:color="auto"/>
            </w:tcBorders>
            <w:vAlign w:val="center"/>
          </w:tcPr>
          <w:p w:rsidR="001733E4" w:rsidRPr="00FA6A0F" w:rsidRDefault="001733E4" w:rsidP="000A410C">
            <w:pPr>
              <w:spacing w:before="20" w:after="20"/>
              <w:ind w:right="113"/>
              <w:jc w:val="right"/>
              <w:rPr>
                <w:b/>
                <w:sz w:val="20"/>
                <w:szCs w:val="20"/>
              </w:rPr>
            </w:pPr>
          </w:p>
        </w:tc>
        <w:tc>
          <w:tcPr>
            <w:tcW w:w="1248" w:type="dxa"/>
            <w:tcBorders>
              <w:bottom w:val="single" w:sz="4" w:space="0" w:color="auto"/>
            </w:tcBorders>
            <w:shd w:val="clear" w:color="auto" w:fill="E2E2E2"/>
            <w:vAlign w:val="center"/>
          </w:tcPr>
          <w:p w:rsidR="001733E4" w:rsidRPr="00FA6A0F" w:rsidRDefault="001733E4" w:rsidP="000A410C">
            <w:pPr>
              <w:spacing w:before="20" w:after="20"/>
              <w:jc w:val="right"/>
              <w:rPr>
                <w:b/>
                <w:sz w:val="20"/>
                <w:szCs w:val="20"/>
              </w:rPr>
            </w:pPr>
            <w:r w:rsidRPr="00EC3184">
              <w:rPr>
                <w:b/>
                <w:sz w:val="20"/>
                <w:szCs w:val="20"/>
              </w:rPr>
              <w:t>58.2</w:t>
            </w:r>
            <w:r>
              <w:rPr>
                <w:b/>
                <w:sz w:val="20"/>
                <w:szCs w:val="20"/>
              </w:rPr>
              <w:t>%</w:t>
            </w:r>
          </w:p>
        </w:tc>
        <w:tc>
          <w:tcPr>
            <w:tcW w:w="1191" w:type="dxa"/>
            <w:tcBorders>
              <w:bottom w:val="single" w:sz="4" w:space="0" w:color="auto"/>
            </w:tcBorders>
            <w:vAlign w:val="center"/>
          </w:tcPr>
          <w:p w:rsidR="001733E4" w:rsidRPr="00EC3184" w:rsidRDefault="001733E4" w:rsidP="00CE6A3A">
            <w:pPr>
              <w:spacing w:before="20" w:after="20"/>
              <w:jc w:val="right"/>
              <w:rPr>
                <w:b/>
                <w:sz w:val="20"/>
                <w:szCs w:val="20"/>
              </w:rPr>
            </w:pPr>
          </w:p>
        </w:tc>
        <w:tc>
          <w:tcPr>
            <w:tcW w:w="1388" w:type="dxa"/>
            <w:tcBorders>
              <w:bottom w:val="single" w:sz="4" w:space="0" w:color="auto"/>
            </w:tcBorders>
            <w:shd w:val="clear" w:color="auto" w:fill="E2E2E2"/>
            <w:vAlign w:val="center"/>
          </w:tcPr>
          <w:p w:rsidR="001733E4" w:rsidRPr="00EC3184" w:rsidRDefault="001733E4" w:rsidP="001E1DF1">
            <w:pPr>
              <w:spacing w:before="20" w:after="20"/>
              <w:ind w:right="170"/>
              <w:jc w:val="right"/>
              <w:rPr>
                <w:b/>
                <w:sz w:val="20"/>
                <w:szCs w:val="20"/>
              </w:rPr>
            </w:pPr>
            <w:r w:rsidRPr="00EC3184">
              <w:rPr>
                <w:b/>
                <w:sz w:val="20"/>
                <w:szCs w:val="20"/>
              </w:rPr>
              <w:t>61.4</w:t>
            </w:r>
            <w:r>
              <w:rPr>
                <w:b/>
                <w:sz w:val="20"/>
                <w:szCs w:val="20"/>
              </w:rPr>
              <w:t>%</w:t>
            </w:r>
          </w:p>
        </w:tc>
        <w:tc>
          <w:tcPr>
            <w:tcW w:w="995" w:type="dxa"/>
            <w:tcBorders>
              <w:bottom w:val="single" w:sz="4" w:space="0" w:color="auto"/>
            </w:tcBorders>
            <w:vAlign w:val="center"/>
          </w:tcPr>
          <w:p w:rsidR="001733E4" w:rsidRPr="00FA6A0F" w:rsidRDefault="001733E4" w:rsidP="000A410C">
            <w:pPr>
              <w:spacing w:before="20" w:after="20"/>
              <w:ind w:right="176"/>
              <w:jc w:val="right"/>
              <w:rPr>
                <w:b/>
                <w:sz w:val="20"/>
                <w:szCs w:val="20"/>
              </w:rPr>
            </w:pPr>
          </w:p>
        </w:tc>
      </w:tr>
    </w:tbl>
    <w:p w:rsidR="00D907AF" w:rsidRPr="00AC2B30" w:rsidRDefault="00D907AF" w:rsidP="006C7BE7">
      <w:pPr>
        <w:pStyle w:val="NILSTabletext"/>
      </w:pPr>
      <w:r w:rsidRPr="00AC2B30">
        <w:t xml:space="preserve">Note: </w:t>
      </w:r>
      <w:r>
        <w:t>t</w:t>
      </w:r>
      <w:r w:rsidRPr="00AC2B30">
        <w:t xml:space="preserve">rial and </w:t>
      </w:r>
      <w:r>
        <w:t>c</w:t>
      </w:r>
      <w:r w:rsidRPr="00AC2B30">
        <w:t xml:space="preserve">omparison </w:t>
      </w:r>
      <w:r>
        <w:t xml:space="preserve">samples at </w:t>
      </w:r>
      <w:r w:rsidRPr="00AC2B30">
        <w:t>all ages</w:t>
      </w:r>
    </w:p>
    <w:p w:rsidR="00D907AF" w:rsidRDefault="00D907AF"/>
    <w:p w:rsidR="00CB4B07" w:rsidRDefault="00D907AF" w:rsidP="00D907AF">
      <w:r>
        <w:t>Table 3.8b shows that the vast majority of survey respondents were born in Australia (93 per cent); ; spoke English as their first language (85 per cent) and, three per cent reported being of Aboriginal or Torres Strait Islander background. Fifty-eight per cent reported living in metropolitan areas, compared with just 39 per cent living in remote or rural parts of Australia. Twenty-seven percent reported being married or in a de facto relationship.</w:t>
      </w:r>
    </w:p>
    <w:p w:rsidR="00D907AF" w:rsidRDefault="00CB4B07" w:rsidP="00221526">
      <w:r>
        <w:br w:type="page"/>
      </w:r>
      <w:bookmarkStart w:id="203" w:name="_Toc428280659"/>
      <w:r w:rsidR="00D907AF" w:rsidRPr="00074126">
        <w:lastRenderedPageBreak/>
        <w:t>Table 3</w:t>
      </w:r>
      <w:r w:rsidR="00D907AF">
        <w:t>.8b</w:t>
      </w:r>
      <w:r w:rsidR="00D907AF" w:rsidRPr="00074126">
        <w:t xml:space="preserve">: </w:t>
      </w:r>
      <w:r w:rsidR="00D907AF" w:rsidRPr="00843FDC">
        <w:t>Demographic</w:t>
      </w:r>
      <w:r w:rsidR="00D907AF" w:rsidRPr="00074126">
        <w:t xml:space="preserve"> composition of </w:t>
      </w:r>
      <w:r w:rsidR="00D907AF">
        <w:t>t</w:t>
      </w:r>
      <w:r w:rsidR="00D907AF" w:rsidRPr="00074126">
        <w:t xml:space="preserve">rial and </w:t>
      </w:r>
      <w:r w:rsidR="00D907AF">
        <w:t>c</w:t>
      </w:r>
      <w:r w:rsidR="00D907AF" w:rsidRPr="00074126">
        <w:t>omparison samples</w:t>
      </w:r>
      <w:bookmarkEnd w:id="203"/>
    </w:p>
    <w:tbl>
      <w:tblPr>
        <w:tblStyle w:val="TableGrid10"/>
        <w:tblW w:w="9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3.8b Demographic composition of trial and comparison samples (% in brackets)"/>
      </w:tblPr>
      <w:tblGrid>
        <w:gridCol w:w="3085"/>
        <w:gridCol w:w="992"/>
        <w:gridCol w:w="1087"/>
        <w:gridCol w:w="1087"/>
        <w:gridCol w:w="1087"/>
        <w:gridCol w:w="1087"/>
        <w:gridCol w:w="1087"/>
      </w:tblGrid>
      <w:tr w:rsidR="00A4209C" w:rsidRPr="00FA6A0F" w:rsidTr="00DA6183">
        <w:trPr>
          <w:cantSplit/>
          <w:trHeight w:val="20"/>
          <w:tblHeader/>
        </w:trPr>
        <w:tc>
          <w:tcPr>
            <w:tcW w:w="3085" w:type="dxa"/>
            <w:tcBorders>
              <w:top w:val="single" w:sz="4" w:space="0" w:color="auto"/>
              <w:bottom w:val="single" w:sz="4" w:space="0" w:color="auto"/>
            </w:tcBorders>
          </w:tcPr>
          <w:p w:rsidR="00A4209C" w:rsidRPr="00FA6A0F" w:rsidRDefault="00A4209C" w:rsidP="00F45D79">
            <w:pPr>
              <w:spacing w:before="20" w:after="20"/>
              <w:rPr>
                <w:sz w:val="20"/>
                <w:szCs w:val="20"/>
              </w:rPr>
            </w:pPr>
            <w:bookmarkStart w:id="204" w:name="Title_3_8b"/>
            <w:bookmarkEnd w:id="204"/>
          </w:p>
        </w:tc>
        <w:tc>
          <w:tcPr>
            <w:tcW w:w="992" w:type="dxa"/>
            <w:tcBorders>
              <w:top w:val="single" w:sz="4" w:space="0" w:color="auto"/>
              <w:bottom w:val="single" w:sz="4" w:space="0" w:color="auto"/>
            </w:tcBorders>
          </w:tcPr>
          <w:p w:rsidR="00A4209C" w:rsidRPr="00FA6A0F" w:rsidRDefault="00A4209C" w:rsidP="00CB4B07">
            <w:pPr>
              <w:spacing w:before="20" w:after="20"/>
              <w:jc w:val="center"/>
              <w:rPr>
                <w:sz w:val="20"/>
                <w:szCs w:val="20"/>
              </w:rPr>
            </w:pPr>
            <w:r w:rsidRPr="00FA6A0F">
              <w:rPr>
                <w:sz w:val="20"/>
                <w:szCs w:val="20"/>
              </w:rPr>
              <w:t>Trial</w:t>
            </w:r>
            <w:r>
              <w:rPr>
                <w:sz w:val="20"/>
                <w:szCs w:val="20"/>
              </w:rPr>
              <w:t xml:space="preserve"> Cases</w:t>
            </w:r>
          </w:p>
        </w:tc>
        <w:tc>
          <w:tcPr>
            <w:tcW w:w="1087" w:type="dxa"/>
            <w:tcBorders>
              <w:top w:val="single" w:sz="4" w:space="0" w:color="auto"/>
              <w:bottom w:val="single" w:sz="4" w:space="0" w:color="auto"/>
            </w:tcBorders>
          </w:tcPr>
          <w:p w:rsidR="001F052F" w:rsidRDefault="00A4209C" w:rsidP="001F052F">
            <w:pPr>
              <w:spacing w:before="20" w:after="20"/>
              <w:ind w:right="51"/>
              <w:jc w:val="center"/>
              <w:rPr>
                <w:sz w:val="20"/>
                <w:szCs w:val="20"/>
              </w:rPr>
            </w:pPr>
            <w:r>
              <w:rPr>
                <w:sz w:val="20"/>
                <w:szCs w:val="20"/>
              </w:rPr>
              <w:t xml:space="preserve">Trial </w:t>
            </w:r>
          </w:p>
          <w:p w:rsidR="00A4209C" w:rsidRPr="00FA6A0F" w:rsidRDefault="00A4209C" w:rsidP="001F052F">
            <w:pPr>
              <w:spacing w:before="20" w:after="20"/>
              <w:ind w:right="51"/>
              <w:jc w:val="center"/>
              <w:rPr>
                <w:sz w:val="20"/>
                <w:szCs w:val="20"/>
              </w:rPr>
            </w:pPr>
            <w:r>
              <w:rPr>
                <w:sz w:val="20"/>
                <w:szCs w:val="20"/>
              </w:rPr>
              <w:t>%</w:t>
            </w:r>
          </w:p>
        </w:tc>
        <w:tc>
          <w:tcPr>
            <w:tcW w:w="1087" w:type="dxa"/>
            <w:tcBorders>
              <w:top w:val="single" w:sz="4" w:space="0" w:color="auto"/>
              <w:bottom w:val="single" w:sz="4" w:space="0" w:color="auto"/>
            </w:tcBorders>
          </w:tcPr>
          <w:p w:rsidR="00A4209C" w:rsidRPr="00FA6A0F" w:rsidRDefault="00A4209C" w:rsidP="00CB4B07">
            <w:pPr>
              <w:spacing w:before="20" w:after="20"/>
              <w:ind w:left="-155" w:right="-108"/>
              <w:jc w:val="center"/>
              <w:rPr>
                <w:sz w:val="20"/>
                <w:szCs w:val="20"/>
              </w:rPr>
            </w:pPr>
            <w:r w:rsidRPr="00FA6A0F">
              <w:rPr>
                <w:sz w:val="20"/>
                <w:szCs w:val="20"/>
              </w:rPr>
              <w:t>Comparison Cases</w:t>
            </w:r>
          </w:p>
        </w:tc>
        <w:tc>
          <w:tcPr>
            <w:tcW w:w="1087" w:type="dxa"/>
            <w:tcBorders>
              <w:top w:val="single" w:sz="4" w:space="0" w:color="auto"/>
              <w:bottom w:val="single" w:sz="4" w:space="0" w:color="auto"/>
            </w:tcBorders>
          </w:tcPr>
          <w:p w:rsidR="00A4209C" w:rsidRPr="00FA6A0F" w:rsidRDefault="00A4209C" w:rsidP="00CB4B07">
            <w:pPr>
              <w:spacing w:before="20" w:after="20"/>
              <w:ind w:left="-108" w:right="-155"/>
              <w:jc w:val="center"/>
              <w:rPr>
                <w:sz w:val="20"/>
                <w:szCs w:val="20"/>
              </w:rPr>
            </w:pPr>
            <w:r>
              <w:rPr>
                <w:sz w:val="20"/>
                <w:szCs w:val="20"/>
              </w:rPr>
              <w:t>Comparison %</w:t>
            </w:r>
          </w:p>
        </w:tc>
        <w:tc>
          <w:tcPr>
            <w:tcW w:w="1087" w:type="dxa"/>
            <w:tcBorders>
              <w:top w:val="single" w:sz="4" w:space="0" w:color="auto"/>
              <w:bottom w:val="single" w:sz="4" w:space="0" w:color="auto"/>
            </w:tcBorders>
          </w:tcPr>
          <w:p w:rsidR="00A4209C" w:rsidRPr="00FA6A0F" w:rsidRDefault="00CB4B07" w:rsidP="00CB4B07">
            <w:pPr>
              <w:spacing w:before="20" w:after="20"/>
              <w:jc w:val="center"/>
              <w:rPr>
                <w:sz w:val="20"/>
                <w:szCs w:val="20"/>
              </w:rPr>
            </w:pPr>
            <w:r w:rsidRPr="00FA6A0F">
              <w:rPr>
                <w:sz w:val="20"/>
                <w:szCs w:val="20"/>
              </w:rPr>
              <w:t xml:space="preserve">Total </w:t>
            </w:r>
            <w:r w:rsidR="00A4209C" w:rsidRPr="00FA6A0F">
              <w:rPr>
                <w:sz w:val="20"/>
                <w:szCs w:val="20"/>
              </w:rPr>
              <w:t>Cases</w:t>
            </w:r>
          </w:p>
        </w:tc>
        <w:tc>
          <w:tcPr>
            <w:tcW w:w="1087" w:type="dxa"/>
            <w:tcBorders>
              <w:top w:val="single" w:sz="4" w:space="0" w:color="auto"/>
              <w:bottom w:val="single" w:sz="4" w:space="0" w:color="auto"/>
            </w:tcBorders>
          </w:tcPr>
          <w:p w:rsidR="001F052F" w:rsidRDefault="00CB4B07" w:rsidP="00CB4B07">
            <w:pPr>
              <w:spacing w:before="20" w:after="20"/>
              <w:jc w:val="center"/>
              <w:rPr>
                <w:sz w:val="20"/>
                <w:szCs w:val="20"/>
              </w:rPr>
            </w:pPr>
            <w:r>
              <w:rPr>
                <w:sz w:val="20"/>
                <w:szCs w:val="20"/>
              </w:rPr>
              <w:t xml:space="preserve">Total </w:t>
            </w:r>
          </w:p>
          <w:p w:rsidR="00A4209C" w:rsidRPr="00FA6A0F" w:rsidRDefault="00CB4B07" w:rsidP="00CB4B07">
            <w:pPr>
              <w:spacing w:before="20" w:after="20"/>
              <w:jc w:val="center"/>
              <w:rPr>
                <w:sz w:val="20"/>
                <w:szCs w:val="20"/>
              </w:rPr>
            </w:pPr>
            <w:r>
              <w:rPr>
                <w:sz w:val="20"/>
                <w:szCs w:val="20"/>
              </w:rPr>
              <w:t>%</w:t>
            </w:r>
          </w:p>
        </w:tc>
      </w:tr>
      <w:tr w:rsidR="00A4209C" w:rsidRPr="00FA6A0F" w:rsidTr="00DA6183">
        <w:trPr>
          <w:cantSplit/>
          <w:trHeight w:val="20"/>
        </w:trPr>
        <w:tc>
          <w:tcPr>
            <w:tcW w:w="3085" w:type="dxa"/>
            <w:tcBorders>
              <w:top w:val="single" w:sz="4" w:space="0" w:color="auto"/>
            </w:tcBorders>
          </w:tcPr>
          <w:p w:rsidR="00A4209C" w:rsidRPr="00FA6A0F" w:rsidRDefault="00A4209C" w:rsidP="00D907AF">
            <w:pPr>
              <w:spacing w:before="20" w:after="20"/>
              <w:rPr>
                <w:sz w:val="20"/>
                <w:szCs w:val="20"/>
              </w:rPr>
            </w:pPr>
            <w:r>
              <w:rPr>
                <w:rFonts w:cstheme="minorHAnsi"/>
                <w:bCs/>
                <w:sz w:val="20"/>
                <w:szCs w:val="20"/>
              </w:rPr>
              <w:t>Aboriginal or Torres Strait Islander</w:t>
            </w:r>
          </w:p>
        </w:tc>
        <w:tc>
          <w:tcPr>
            <w:tcW w:w="992" w:type="dxa"/>
            <w:tcBorders>
              <w:top w:val="single" w:sz="4" w:space="0" w:color="auto"/>
            </w:tcBorders>
          </w:tcPr>
          <w:p w:rsidR="00A4209C" w:rsidRPr="00FA6A0F" w:rsidRDefault="00A4209C" w:rsidP="00CE6A3A">
            <w:pPr>
              <w:spacing w:before="20" w:after="20"/>
              <w:ind w:right="127"/>
              <w:jc w:val="right"/>
              <w:rPr>
                <w:sz w:val="20"/>
                <w:szCs w:val="20"/>
              </w:rPr>
            </w:pPr>
            <w:r w:rsidRPr="00FA6A0F">
              <w:rPr>
                <w:sz w:val="20"/>
                <w:szCs w:val="20"/>
              </w:rPr>
              <w:t>23</w:t>
            </w:r>
          </w:p>
        </w:tc>
        <w:tc>
          <w:tcPr>
            <w:tcW w:w="1087" w:type="dxa"/>
            <w:tcBorders>
              <w:top w:val="single" w:sz="4" w:space="0" w:color="auto"/>
            </w:tcBorders>
          </w:tcPr>
          <w:p w:rsidR="00A4209C" w:rsidRPr="00FA6A0F" w:rsidRDefault="00A4209C" w:rsidP="00260C38">
            <w:pPr>
              <w:spacing w:before="20" w:after="20"/>
              <w:ind w:right="284"/>
              <w:jc w:val="right"/>
              <w:rPr>
                <w:sz w:val="20"/>
                <w:szCs w:val="20"/>
              </w:rPr>
            </w:pPr>
            <w:r>
              <w:rPr>
                <w:sz w:val="20"/>
                <w:szCs w:val="20"/>
              </w:rPr>
              <w:t>3</w:t>
            </w:r>
          </w:p>
        </w:tc>
        <w:tc>
          <w:tcPr>
            <w:tcW w:w="1087" w:type="dxa"/>
            <w:tcBorders>
              <w:top w:val="single" w:sz="4" w:space="0" w:color="auto"/>
            </w:tcBorders>
          </w:tcPr>
          <w:p w:rsidR="00A4209C" w:rsidRPr="00FA6A0F" w:rsidRDefault="00A4209C" w:rsidP="00CE6A3A">
            <w:pPr>
              <w:spacing w:before="20" w:after="20"/>
              <w:ind w:right="227"/>
              <w:jc w:val="right"/>
              <w:rPr>
                <w:sz w:val="20"/>
                <w:szCs w:val="20"/>
              </w:rPr>
            </w:pPr>
            <w:r w:rsidRPr="00FA6A0F">
              <w:rPr>
                <w:sz w:val="20"/>
                <w:szCs w:val="20"/>
              </w:rPr>
              <w:t>41</w:t>
            </w:r>
          </w:p>
        </w:tc>
        <w:tc>
          <w:tcPr>
            <w:tcW w:w="1087" w:type="dxa"/>
            <w:tcBorders>
              <w:top w:val="single" w:sz="4" w:space="0" w:color="auto"/>
            </w:tcBorders>
          </w:tcPr>
          <w:p w:rsidR="00A4209C" w:rsidRPr="00CE6A3A" w:rsidRDefault="00A4209C" w:rsidP="00260C38">
            <w:pPr>
              <w:spacing w:before="20" w:after="20"/>
              <w:ind w:right="284"/>
              <w:jc w:val="right"/>
              <w:rPr>
                <w:sz w:val="20"/>
                <w:szCs w:val="20"/>
              </w:rPr>
            </w:pPr>
            <w:r>
              <w:rPr>
                <w:sz w:val="20"/>
                <w:szCs w:val="20"/>
              </w:rPr>
              <w:t>4</w:t>
            </w:r>
          </w:p>
        </w:tc>
        <w:tc>
          <w:tcPr>
            <w:tcW w:w="1087" w:type="dxa"/>
            <w:tcBorders>
              <w:top w:val="single" w:sz="4" w:space="0" w:color="auto"/>
            </w:tcBorders>
          </w:tcPr>
          <w:p w:rsidR="00A4209C" w:rsidRPr="00CE6A3A" w:rsidRDefault="00A4209C" w:rsidP="00CE6A3A">
            <w:pPr>
              <w:spacing w:before="20" w:after="20"/>
              <w:ind w:right="227"/>
              <w:jc w:val="right"/>
              <w:rPr>
                <w:b/>
                <w:sz w:val="20"/>
                <w:szCs w:val="20"/>
              </w:rPr>
            </w:pPr>
            <w:r w:rsidRPr="00CE6A3A">
              <w:rPr>
                <w:b/>
                <w:sz w:val="20"/>
                <w:szCs w:val="20"/>
              </w:rPr>
              <w:t>64</w:t>
            </w:r>
          </w:p>
        </w:tc>
        <w:tc>
          <w:tcPr>
            <w:tcW w:w="1087" w:type="dxa"/>
            <w:tcBorders>
              <w:top w:val="single" w:sz="4" w:space="0" w:color="auto"/>
            </w:tcBorders>
          </w:tcPr>
          <w:p w:rsidR="00A4209C" w:rsidRPr="00CE6A3A" w:rsidRDefault="00A4209C" w:rsidP="00CE6A3A">
            <w:pPr>
              <w:spacing w:before="20" w:after="20"/>
              <w:ind w:right="340"/>
              <w:jc w:val="right"/>
              <w:rPr>
                <w:b/>
                <w:sz w:val="20"/>
                <w:szCs w:val="20"/>
              </w:rPr>
            </w:pPr>
            <w:r w:rsidRPr="00CE6A3A">
              <w:rPr>
                <w:b/>
                <w:sz w:val="20"/>
                <w:szCs w:val="20"/>
              </w:rPr>
              <w:t>3</w:t>
            </w:r>
          </w:p>
        </w:tc>
      </w:tr>
      <w:tr w:rsidR="00A4209C" w:rsidRPr="00FA6A0F" w:rsidTr="00DA6183">
        <w:trPr>
          <w:cantSplit/>
          <w:trHeight w:val="20"/>
        </w:trPr>
        <w:tc>
          <w:tcPr>
            <w:tcW w:w="3085" w:type="dxa"/>
          </w:tcPr>
          <w:p w:rsidR="00A4209C" w:rsidRPr="00FA6A0F" w:rsidRDefault="00A4209C" w:rsidP="00D907AF">
            <w:pPr>
              <w:spacing w:before="20" w:after="20"/>
              <w:rPr>
                <w:sz w:val="20"/>
                <w:szCs w:val="20"/>
              </w:rPr>
            </w:pPr>
            <w:r w:rsidRPr="00FA6A0F">
              <w:rPr>
                <w:rFonts w:cstheme="minorHAnsi"/>
                <w:bCs/>
                <w:sz w:val="20"/>
                <w:szCs w:val="20"/>
              </w:rPr>
              <w:t>Country of birth: Australia</w:t>
            </w:r>
          </w:p>
        </w:tc>
        <w:tc>
          <w:tcPr>
            <w:tcW w:w="992" w:type="dxa"/>
          </w:tcPr>
          <w:p w:rsidR="00A4209C" w:rsidRPr="00FA6A0F" w:rsidRDefault="00A4209C" w:rsidP="00CE6A3A">
            <w:pPr>
              <w:spacing w:before="20" w:after="20"/>
              <w:ind w:right="127"/>
              <w:jc w:val="right"/>
              <w:rPr>
                <w:sz w:val="20"/>
                <w:szCs w:val="20"/>
              </w:rPr>
            </w:pPr>
            <w:r w:rsidRPr="00FA6A0F">
              <w:rPr>
                <w:sz w:val="20"/>
                <w:szCs w:val="20"/>
              </w:rPr>
              <w:t>842</w:t>
            </w:r>
          </w:p>
        </w:tc>
        <w:tc>
          <w:tcPr>
            <w:tcW w:w="1087" w:type="dxa"/>
          </w:tcPr>
          <w:p w:rsidR="00A4209C" w:rsidRPr="00FA6A0F" w:rsidRDefault="00A4209C" w:rsidP="00260C38">
            <w:pPr>
              <w:spacing w:before="20" w:after="20"/>
              <w:ind w:right="284"/>
              <w:jc w:val="right"/>
              <w:rPr>
                <w:sz w:val="20"/>
                <w:szCs w:val="20"/>
              </w:rPr>
            </w:pPr>
            <w:r>
              <w:rPr>
                <w:sz w:val="20"/>
                <w:szCs w:val="20"/>
              </w:rPr>
              <w:t>95</w:t>
            </w:r>
          </w:p>
        </w:tc>
        <w:tc>
          <w:tcPr>
            <w:tcW w:w="1087" w:type="dxa"/>
          </w:tcPr>
          <w:p w:rsidR="00A4209C" w:rsidRPr="00FA6A0F" w:rsidRDefault="00A4209C" w:rsidP="00CE6A3A">
            <w:pPr>
              <w:spacing w:before="20" w:after="20"/>
              <w:ind w:right="227"/>
              <w:jc w:val="right"/>
              <w:rPr>
                <w:sz w:val="20"/>
                <w:szCs w:val="20"/>
              </w:rPr>
            </w:pPr>
            <w:r w:rsidRPr="00FA6A0F">
              <w:rPr>
                <w:sz w:val="20"/>
                <w:szCs w:val="20"/>
              </w:rPr>
              <w:t>912</w:t>
            </w:r>
          </w:p>
        </w:tc>
        <w:tc>
          <w:tcPr>
            <w:tcW w:w="1087" w:type="dxa"/>
          </w:tcPr>
          <w:p w:rsidR="00A4209C" w:rsidRPr="00CE6A3A" w:rsidRDefault="00A4209C" w:rsidP="00260C38">
            <w:pPr>
              <w:spacing w:before="20" w:after="20"/>
              <w:ind w:right="284"/>
              <w:jc w:val="right"/>
              <w:rPr>
                <w:sz w:val="20"/>
                <w:szCs w:val="20"/>
              </w:rPr>
            </w:pPr>
            <w:r>
              <w:rPr>
                <w:sz w:val="20"/>
                <w:szCs w:val="20"/>
              </w:rPr>
              <w:t>91</w:t>
            </w:r>
          </w:p>
        </w:tc>
        <w:tc>
          <w:tcPr>
            <w:tcW w:w="1087" w:type="dxa"/>
          </w:tcPr>
          <w:p w:rsidR="00A4209C" w:rsidRPr="00CE6A3A" w:rsidRDefault="00A4209C" w:rsidP="00CE6A3A">
            <w:pPr>
              <w:spacing w:before="20" w:after="20"/>
              <w:ind w:right="227"/>
              <w:jc w:val="right"/>
              <w:rPr>
                <w:b/>
                <w:sz w:val="20"/>
                <w:szCs w:val="20"/>
              </w:rPr>
            </w:pPr>
            <w:r w:rsidRPr="00CE6A3A">
              <w:rPr>
                <w:b/>
                <w:sz w:val="20"/>
                <w:szCs w:val="20"/>
              </w:rPr>
              <w:t>1754</w:t>
            </w:r>
          </w:p>
        </w:tc>
        <w:tc>
          <w:tcPr>
            <w:tcW w:w="1087" w:type="dxa"/>
          </w:tcPr>
          <w:p w:rsidR="00A4209C" w:rsidRPr="00CE6A3A" w:rsidRDefault="00A4209C" w:rsidP="00CE6A3A">
            <w:pPr>
              <w:spacing w:before="20" w:after="20"/>
              <w:ind w:right="340"/>
              <w:jc w:val="right"/>
              <w:rPr>
                <w:b/>
                <w:sz w:val="20"/>
                <w:szCs w:val="20"/>
              </w:rPr>
            </w:pPr>
            <w:r w:rsidRPr="00CE6A3A">
              <w:rPr>
                <w:b/>
                <w:sz w:val="20"/>
                <w:szCs w:val="20"/>
              </w:rPr>
              <w:t>93</w:t>
            </w:r>
          </w:p>
        </w:tc>
      </w:tr>
      <w:tr w:rsidR="00A4209C" w:rsidRPr="00FA6A0F" w:rsidTr="00DA6183">
        <w:trPr>
          <w:cantSplit/>
          <w:trHeight w:val="20"/>
        </w:trPr>
        <w:tc>
          <w:tcPr>
            <w:tcW w:w="3085" w:type="dxa"/>
          </w:tcPr>
          <w:p w:rsidR="00A4209C" w:rsidRPr="00FA6A0F" w:rsidRDefault="00A4209C" w:rsidP="00D907AF">
            <w:pPr>
              <w:spacing w:before="20" w:after="20"/>
              <w:rPr>
                <w:sz w:val="20"/>
                <w:szCs w:val="20"/>
              </w:rPr>
            </w:pPr>
            <w:r w:rsidRPr="00FA6A0F">
              <w:rPr>
                <w:rFonts w:cstheme="minorHAnsi"/>
                <w:bCs/>
                <w:sz w:val="20"/>
                <w:szCs w:val="20"/>
              </w:rPr>
              <w:t>First language is English</w:t>
            </w:r>
          </w:p>
        </w:tc>
        <w:tc>
          <w:tcPr>
            <w:tcW w:w="992" w:type="dxa"/>
          </w:tcPr>
          <w:p w:rsidR="00A4209C" w:rsidRPr="00FA6A0F" w:rsidRDefault="00A4209C" w:rsidP="00CE6A3A">
            <w:pPr>
              <w:spacing w:before="20" w:after="20"/>
              <w:ind w:right="127"/>
              <w:jc w:val="right"/>
              <w:rPr>
                <w:sz w:val="20"/>
                <w:szCs w:val="20"/>
              </w:rPr>
            </w:pPr>
            <w:r w:rsidRPr="00FA6A0F">
              <w:rPr>
                <w:sz w:val="20"/>
                <w:szCs w:val="20"/>
              </w:rPr>
              <w:t>735</w:t>
            </w:r>
          </w:p>
        </w:tc>
        <w:tc>
          <w:tcPr>
            <w:tcW w:w="1087" w:type="dxa"/>
          </w:tcPr>
          <w:p w:rsidR="00A4209C" w:rsidRPr="00FA6A0F" w:rsidRDefault="00A4209C" w:rsidP="00260C38">
            <w:pPr>
              <w:spacing w:before="20" w:after="20"/>
              <w:ind w:right="284"/>
              <w:jc w:val="right"/>
              <w:rPr>
                <w:sz w:val="20"/>
                <w:szCs w:val="20"/>
              </w:rPr>
            </w:pPr>
            <w:r>
              <w:rPr>
                <w:sz w:val="20"/>
                <w:szCs w:val="20"/>
              </w:rPr>
              <w:t>82</w:t>
            </w:r>
          </w:p>
        </w:tc>
        <w:tc>
          <w:tcPr>
            <w:tcW w:w="1087" w:type="dxa"/>
          </w:tcPr>
          <w:p w:rsidR="00A4209C" w:rsidRPr="00FA6A0F" w:rsidRDefault="00A4209C" w:rsidP="00CE6A3A">
            <w:pPr>
              <w:spacing w:before="20" w:after="20"/>
              <w:ind w:right="227"/>
              <w:jc w:val="right"/>
              <w:rPr>
                <w:sz w:val="20"/>
                <w:szCs w:val="20"/>
              </w:rPr>
            </w:pPr>
            <w:r w:rsidRPr="00FA6A0F">
              <w:rPr>
                <w:sz w:val="20"/>
                <w:szCs w:val="20"/>
              </w:rPr>
              <w:t>870</w:t>
            </w:r>
          </w:p>
        </w:tc>
        <w:tc>
          <w:tcPr>
            <w:tcW w:w="1087" w:type="dxa"/>
          </w:tcPr>
          <w:p w:rsidR="00A4209C" w:rsidRPr="00CE6A3A" w:rsidRDefault="00A4209C" w:rsidP="00260C38">
            <w:pPr>
              <w:spacing w:before="20" w:after="20"/>
              <w:ind w:right="284"/>
              <w:jc w:val="right"/>
              <w:rPr>
                <w:sz w:val="20"/>
                <w:szCs w:val="20"/>
              </w:rPr>
            </w:pPr>
            <w:r>
              <w:rPr>
                <w:sz w:val="20"/>
                <w:szCs w:val="20"/>
              </w:rPr>
              <w:t>87</w:t>
            </w:r>
          </w:p>
        </w:tc>
        <w:tc>
          <w:tcPr>
            <w:tcW w:w="1087" w:type="dxa"/>
          </w:tcPr>
          <w:p w:rsidR="00A4209C" w:rsidRPr="00CE6A3A" w:rsidRDefault="00A4209C" w:rsidP="00CE6A3A">
            <w:pPr>
              <w:spacing w:before="20" w:after="20"/>
              <w:ind w:right="227"/>
              <w:jc w:val="right"/>
              <w:rPr>
                <w:b/>
                <w:sz w:val="20"/>
                <w:szCs w:val="20"/>
              </w:rPr>
            </w:pPr>
            <w:r w:rsidRPr="00CE6A3A">
              <w:rPr>
                <w:b/>
                <w:sz w:val="20"/>
                <w:szCs w:val="20"/>
              </w:rPr>
              <w:t>1605</w:t>
            </w:r>
          </w:p>
        </w:tc>
        <w:tc>
          <w:tcPr>
            <w:tcW w:w="1087" w:type="dxa"/>
          </w:tcPr>
          <w:p w:rsidR="00A4209C" w:rsidRPr="00CE6A3A" w:rsidRDefault="00A4209C" w:rsidP="00CE6A3A">
            <w:pPr>
              <w:spacing w:before="20" w:after="20"/>
              <w:ind w:right="340"/>
              <w:jc w:val="right"/>
              <w:rPr>
                <w:b/>
                <w:sz w:val="20"/>
                <w:szCs w:val="20"/>
              </w:rPr>
            </w:pPr>
            <w:r w:rsidRPr="00CE6A3A">
              <w:rPr>
                <w:b/>
                <w:sz w:val="20"/>
                <w:szCs w:val="20"/>
              </w:rPr>
              <w:t>85</w:t>
            </w:r>
          </w:p>
        </w:tc>
      </w:tr>
      <w:tr w:rsidR="00A4209C" w:rsidRPr="00FA6A0F" w:rsidTr="00DA6183">
        <w:trPr>
          <w:cantSplit/>
          <w:trHeight w:val="20"/>
        </w:trPr>
        <w:tc>
          <w:tcPr>
            <w:tcW w:w="3085" w:type="dxa"/>
          </w:tcPr>
          <w:p w:rsidR="00A4209C" w:rsidRPr="00FA6A0F" w:rsidRDefault="00A4209C" w:rsidP="00D907AF">
            <w:pPr>
              <w:spacing w:before="20" w:after="20"/>
              <w:rPr>
                <w:b/>
                <w:sz w:val="20"/>
                <w:szCs w:val="20"/>
              </w:rPr>
            </w:pPr>
            <w:r w:rsidRPr="00FA6A0F">
              <w:rPr>
                <w:rFonts w:cstheme="minorHAnsi"/>
                <w:bCs/>
                <w:sz w:val="20"/>
                <w:szCs w:val="20"/>
              </w:rPr>
              <w:t>Metro/Urban</w:t>
            </w:r>
          </w:p>
        </w:tc>
        <w:tc>
          <w:tcPr>
            <w:tcW w:w="992" w:type="dxa"/>
          </w:tcPr>
          <w:p w:rsidR="00A4209C" w:rsidRPr="00FA6A0F" w:rsidRDefault="00A4209C" w:rsidP="00CE6A3A">
            <w:pPr>
              <w:spacing w:before="20" w:after="20"/>
              <w:ind w:right="127"/>
              <w:jc w:val="right"/>
              <w:rPr>
                <w:sz w:val="20"/>
                <w:szCs w:val="20"/>
              </w:rPr>
            </w:pPr>
            <w:r w:rsidRPr="00FA6A0F">
              <w:rPr>
                <w:sz w:val="20"/>
                <w:szCs w:val="20"/>
              </w:rPr>
              <w:t>561</w:t>
            </w:r>
          </w:p>
        </w:tc>
        <w:tc>
          <w:tcPr>
            <w:tcW w:w="1087" w:type="dxa"/>
          </w:tcPr>
          <w:p w:rsidR="00A4209C" w:rsidRPr="00FA6A0F" w:rsidRDefault="00A4209C" w:rsidP="00260C38">
            <w:pPr>
              <w:spacing w:before="20" w:after="20"/>
              <w:ind w:right="284"/>
              <w:jc w:val="right"/>
              <w:rPr>
                <w:sz w:val="20"/>
                <w:szCs w:val="20"/>
              </w:rPr>
            </w:pPr>
            <w:r>
              <w:rPr>
                <w:sz w:val="20"/>
                <w:szCs w:val="20"/>
              </w:rPr>
              <w:t>63</w:t>
            </w:r>
          </w:p>
        </w:tc>
        <w:tc>
          <w:tcPr>
            <w:tcW w:w="1087" w:type="dxa"/>
          </w:tcPr>
          <w:p w:rsidR="00A4209C" w:rsidRPr="00FA6A0F" w:rsidRDefault="00A4209C" w:rsidP="00CE6A3A">
            <w:pPr>
              <w:spacing w:before="20" w:after="20"/>
              <w:ind w:right="227"/>
              <w:jc w:val="right"/>
              <w:rPr>
                <w:sz w:val="20"/>
                <w:szCs w:val="20"/>
              </w:rPr>
            </w:pPr>
            <w:r w:rsidRPr="00FA6A0F">
              <w:rPr>
                <w:sz w:val="20"/>
                <w:szCs w:val="20"/>
              </w:rPr>
              <w:t>536</w:t>
            </w:r>
          </w:p>
        </w:tc>
        <w:tc>
          <w:tcPr>
            <w:tcW w:w="1087" w:type="dxa"/>
          </w:tcPr>
          <w:p w:rsidR="00A4209C" w:rsidRPr="00CE6A3A" w:rsidRDefault="00A4209C" w:rsidP="00260C38">
            <w:pPr>
              <w:spacing w:before="20" w:after="20"/>
              <w:ind w:right="284"/>
              <w:jc w:val="right"/>
              <w:rPr>
                <w:sz w:val="20"/>
                <w:szCs w:val="20"/>
              </w:rPr>
            </w:pPr>
            <w:r>
              <w:rPr>
                <w:sz w:val="20"/>
                <w:szCs w:val="20"/>
              </w:rPr>
              <w:t>53</w:t>
            </w:r>
          </w:p>
        </w:tc>
        <w:tc>
          <w:tcPr>
            <w:tcW w:w="1087" w:type="dxa"/>
          </w:tcPr>
          <w:p w:rsidR="00A4209C" w:rsidRPr="00CE6A3A" w:rsidRDefault="00A4209C" w:rsidP="00CE6A3A">
            <w:pPr>
              <w:spacing w:before="20" w:after="20"/>
              <w:ind w:right="227"/>
              <w:jc w:val="right"/>
              <w:rPr>
                <w:b/>
                <w:sz w:val="20"/>
                <w:szCs w:val="20"/>
              </w:rPr>
            </w:pPr>
            <w:r w:rsidRPr="00CE6A3A">
              <w:rPr>
                <w:b/>
                <w:sz w:val="20"/>
                <w:szCs w:val="20"/>
              </w:rPr>
              <w:t>1097</w:t>
            </w:r>
          </w:p>
        </w:tc>
        <w:tc>
          <w:tcPr>
            <w:tcW w:w="1087" w:type="dxa"/>
          </w:tcPr>
          <w:p w:rsidR="00A4209C" w:rsidRPr="00CE6A3A" w:rsidRDefault="00A4209C" w:rsidP="00CE6A3A">
            <w:pPr>
              <w:spacing w:before="20" w:after="20"/>
              <w:ind w:right="340"/>
              <w:jc w:val="right"/>
              <w:rPr>
                <w:b/>
                <w:sz w:val="20"/>
                <w:szCs w:val="20"/>
              </w:rPr>
            </w:pPr>
            <w:r w:rsidRPr="00CE6A3A">
              <w:rPr>
                <w:b/>
                <w:sz w:val="20"/>
                <w:szCs w:val="20"/>
              </w:rPr>
              <w:t>58</w:t>
            </w:r>
          </w:p>
        </w:tc>
      </w:tr>
      <w:tr w:rsidR="00A4209C" w:rsidRPr="00FA6A0F" w:rsidTr="00DA6183">
        <w:trPr>
          <w:cantSplit/>
          <w:trHeight w:val="20"/>
        </w:trPr>
        <w:tc>
          <w:tcPr>
            <w:tcW w:w="3085" w:type="dxa"/>
          </w:tcPr>
          <w:p w:rsidR="00A4209C" w:rsidRPr="00FA6A0F" w:rsidRDefault="00A4209C" w:rsidP="00D907AF">
            <w:pPr>
              <w:spacing w:before="20" w:after="20"/>
              <w:rPr>
                <w:b/>
                <w:sz w:val="20"/>
                <w:szCs w:val="20"/>
              </w:rPr>
            </w:pPr>
            <w:r w:rsidRPr="00FA6A0F">
              <w:rPr>
                <w:rFonts w:cstheme="minorHAnsi"/>
                <w:bCs/>
                <w:sz w:val="20"/>
                <w:szCs w:val="20"/>
              </w:rPr>
              <w:t>Rural/Remote</w:t>
            </w:r>
          </w:p>
        </w:tc>
        <w:tc>
          <w:tcPr>
            <w:tcW w:w="992" w:type="dxa"/>
          </w:tcPr>
          <w:p w:rsidR="00A4209C" w:rsidRPr="00FA6A0F" w:rsidRDefault="00A4209C" w:rsidP="00CE6A3A">
            <w:pPr>
              <w:spacing w:before="20" w:after="20"/>
              <w:ind w:right="127"/>
              <w:jc w:val="right"/>
              <w:rPr>
                <w:sz w:val="20"/>
                <w:szCs w:val="20"/>
              </w:rPr>
            </w:pPr>
            <w:r w:rsidRPr="00FA6A0F">
              <w:rPr>
                <w:sz w:val="20"/>
                <w:szCs w:val="20"/>
              </w:rPr>
              <w:t>311</w:t>
            </w:r>
          </w:p>
        </w:tc>
        <w:tc>
          <w:tcPr>
            <w:tcW w:w="1087" w:type="dxa"/>
          </w:tcPr>
          <w:p w:rsidR="00A4209C" w:rsidRPr="00FA6A0F" w:rsidRDefault="00A4209C" w:rsidP="00260C38">
            <w:pPr>
              <w:spacing w:before="20" w:after="20"/>
              <w:ind w:right="284"/>
              <w:jc w:val="right"/>
              <w:rPr>
                <w:sz w:val="20"/>
                <w:szCs w:val="20"/>
              </w:rPr>
            </w:pPr>
            <w:r>
              <w:rPr>
                <w:sz w:val="20"/>
                <w:szCs w:val="20"/>
              </w:rPr>
              <w:t>35</w:t>
            </w:r>
          </w:p>
        </w:tc>
        <w:tc>
          <w:tcPr>
            <w:tcW w:w="1087" w:type="dxa"/>
          </w:tcPr>
          <w:p w:rsidR="00A4209C" w:rsidRPr="00FA6A0F" w:rsidRDefault="00A4209C" w:rsidP="00CE6A3A">
            <w:pPr>
              <w:spacing w:before="20" w:after="20"/>
              <w:ind w:right="227"/>
              <w:jc w:val="right"/>
              <w:rPr>
                <w:sz w:val="20"/>
                <w:szCs w:val="20"/>
              </w:rPr>
            </w:pPr>
            <w:r w:rsidRPr="00FA6A0F">
              <w:rPr>
                <w:sz w:val="20"/>
                <w:szCs w:val="20"/>
              </w:rPr>
              <w:t>437</w:t>
            </w:r>
          </w:p>
        </w:tc>
        <w:tc>
          <w:tcPr>
            <w:tcW w:w="1087" w:type="dxa"/>
          </w:tcPr>
          <w:p w:rsidR="00A4209C" w:rsidRPr="00CE6A3A" w:rsidRDefault="00A4209C" w:rsidP="00260C38">
            <w:pPr>
              <w:spacing w:before="20" w:after="20"/>
              <w:ind w:right="284"/>
              <w:jc w:val="right"/>
              <w:rPr>
                <w:sz w:val="20"/>
                <w:szCs w:val="20"/>
              </w:rPr>
            </w:pPr>
            <w:r>
              <w:rPr>
                <w:sz w:val="20"/>
                <w:szCs w:val="20"/>
              </w:rPr>
              <w:t>44</w:t>
            </w:r>
          </w:p>
        </w:tc>
        <w:tc>
          <w:tcPr>
            <w:tcW w:w="1087" w:type="dxa"/>
          </w:tcPr>
          <w:p w:rsidR="00A4209C" w:rsidRPr="00CE6A3A" w:rsidRDefault="00A4209C" w:rsidP="00CE6A3A">
            <w:pPr>
              <w:spacing w:before="20" w:after="20"/>
              <w:ind w:right="227"/>
              <w:jc w:val="right"/>
              <w:rPr>
                <w:b/>
                <w:sz w:val="20"/>
                <w:szCs w:val="20"/>
              </w:rPr>
            </w:pPr>
            <w:r w:rsidRPr="00CE6A3A">
              <w:rPr>
                <w:b/>
                <w:sz w:val="20"/>
                <w:szCs w:val="20"/>
              </w:rPr>
              <w:t>748</w:t>
            </w:r>
          </w:p>
        </w:tc>
        <w:tc>
          <w:tcPr>
            <w:tcW w:w="1087" w:type="dxa"/>
          </w:tcPr>
          <w:p w:rsidR="00A4209C" w:rsidRPr="00CE6A3A" w:rsidRDefault="00A4209C" w:rsidP="00CE6A3A">
            <w:pPr>
              <w:spacing w:before="20" w:after="20"/>
              <w:ind w:right="340"/>
              <w:jc w:val="right"/>
              <w:rPr>
                <w:b/>
                <w:sz w:val="20"/>
                <w:szCs w:val="20"/>
              </w:rPr>
            </w:pPr>
            <w:r w:rsidRPr="00CE6A3A">
              <w:rPr>
                <w:b/>
                <w:sz w:val="20"/>
                <w:szCs w:val="20"/>
              </w:rPr>
              <w:t>39</w:t>
            </w:r>
          </w:p>
        </w:tc>
      </w:tr>
      <w:tr w:rsidR="00A4209C" w:rsidRPr="00FA6A0F" w:rsidTr="00DA6183">
        <w:trPr>
          <w:cantSplit/>
          <w:trHeight w:val="20"/>
        </w:trPr>
        <w:tc>
          <w:tcPr>
            <w:tcW w:w="3085" w:type="dxa"/>
          </w:tcPr>
          <w:p w:rsidR="00A4209C" w:rsidRPr="00FA6A0F" w:rsidRDefault="00A4209C" w:rsidP="00D907AF">
            <w:pPr>
              <w:spacing w:before="20" w:after="20"/>
              <w:rPr>
                <w:rFonts w:cstheme="minorHAnsi"/>
                <w:bCs/>
                <w:sz w:val="20"/>
                <w:szCs w:val="20"/>
              </w:rPr>
            </w:pPr>
            <w:r w:rsidRPr="00FA6A0F">
              <w:rPr>
                <w:rFonts w:cstheme="minorHAnsi"/>
                <w:bCs/>
                <w:sz w:val="20"/>
                <w:szCs w:val="20"/>
              </w:rPr>
              <w:t xml:space="preserve">Married/de facto </w:t>
            </w:r>
          </w:p>
        </w:tc>
        <w:tc>
          <w:tcPr>
            <w:tcW w:w="992" w:type="dxa"/>
          </w:tcPr>
          <w:p w:rsidR="00A4209C" w:rsidRPr="00FA6A0F" w:rsidRDefault="00A4209C" w:rsidP="00CE6A3A">
            <w:pPr>
              <w:spacing w:before="20" w:after="20"/>
              <w:ind w:right="127"/>
              <w:jc w:val="right"/>
              <w:rPr>
                <w:sz w:val="20"/>
                <w:szCs w:val="20"/>
              </w:rPr>
            </w:pPr>
            <w:r w:rsidRPr="00FA6A0F">
              <w:rPr>
                <w:sz w:val="20"/>
                <w:szCs w:val="20"/>
              </w:rPr>
              <w:t>105</w:t>
            </w:r>
          </w:p>
        </w:tc>
        <w:tc>
          <w:tcPr>
            <w:tcW w:w="1087" w:type="dxa"/>
          </w:tcPr>
          <w:p w:rsidR="00A4209C" w:rsidRPr="00FA6A0F" w:rsidRDefault="00A4209C" w:rsidP="00260C38">
            <w:pPr>
              <w:spacing w:before="20" w:after="20"/>
              <w:ind w:right="284"/>
              <w:jc w:val="right"/>
              <w:rPr>
                <w:sz w:val="20"/>
                <w:szCs w:val="20"/>
              </w:rPr>
            </w:pPr>
            <w:r>
              <w:rPr>
                <w:sz w:val="20"/>
                <w:szCs w:val="20"/>
              </w:rPr>
              <w:t>22</w:t>
            </w:r>
          </w:p>
        </w:tc>
        <w:tc>
          <w:tcPr>
            <w:tcW w:w="1087" w:type="dxa"/>
          </w:tcPr>
          <w:p w:rsidR="00A4209C" w:rsidRPr="00FA6A0F" w:rsidRDefault="00A4209C" w:rsidP="00CE6A3A">
            <w:pPr>
              <w:spacing w:before="20" w:after="20"/>
              <w:ind w:right="227"/>
              <w:jc w:val="right"/>
              <w:rPr>
                <w:sz w:val="20"/>
                <w:szCs w:val="20"/>
              </w:rPr>
            </w:pPr>
            <w:r w:rsidRPr="00FA6A0F">
              <w:rPr>
                <w:sz w:val="20"/>
                <w:szCs w:val="20"/>
              </w:rPr>
              <w:t>191</w:t>
            </w:r>
          </w:p>
        </w:tc>
        <w:tc>
          <w:tcPr>
            <w:tcW w:w="1087" w:type="dxa"/>
          </w:tcPr>
          <w:p w:rsidR="00A4209C" w:rsidRPr="00CE6A3A" w:rsidRDefault="00A4209C" w:rsidP="00260C38">
            <w:pPr>
              <w:spacing w:before="20" w:after="20"/>
              <w:ind w:right="284"/>
              <w:jc w:val="right"/>
              <w:rPr>
                <w:sz w:val="20"/>
                <w:szCs w:val="20"/>
              </w:rPr>
            </w:pPr>
            <w:r>
              <w:rPr>
                <w:sz w:val="20"/>
                <w:szCs w:val="20"/>
              </w:rPr>
              <w:t>30</w:t>
            </w:r>
          </w:p>
        </w:tc>
        <w:tc>
          <w:tcPr>
            <w:tcW w:w="1087" w:type="dxa"/>
          </w:tcPr>
          <w:p w:rsidR="00A4209C" w:rsidRPr="00CE6A3A" w:rsidRDefault="00A4209C" w:rsidP="00CE6A3A">
            <w:pPr>
              <w:spacing w:before="20" w:after="20"/>
              <w:ind w:right="227"/>
              <w:jc w:val="right"/>
              <w:rPr>
                <w:b/>
                <w:sz w:val="20"/>
                <w:szCs w:val="20"/>
              </w:rPr>
            </w:pPr>
            <w:r w:rsidRPr="00CE6A3A">
              <w:rPr>
                <w:b/>
                <w:sz w:val="20"/>
                <w:szCs w:val="20"/>
              </w:rPr>
              <w:t>296</w:t>
            </w:r>
          </w:p>
        </w:tc>
        <w:tc>
          <w:tcPr>
            <w:tcW w:w="1087" w:type="dxa"/>
          </w:tcPr>
          <w:p w:rsidR="00A4209C" w:rsidRPr="00CE6A3A" w:rsidRDefault="00A4209C" w:rsidP="00CE6A3A">
            <w:pPr>
              <w:spacing w:before="20" w:after="20"/>
              <w:ind w:right="340"/>
              <w:jc w:val="right"/>
              <w:rPr>
                <w:b/>
                <w:sz w:val="20"/>
                <w:szCs w:val="20"/>
              </w:rPr>
            </w:pPr>
            <w:r w:rsidRPr="00CE6A3A">
              <w:rPr>
                <w:b/>
                <w:sz w:val="20"/>
                <w:szCs w:val="20"/>
              </w:rPr>
              <w:t>27</w:t>
            </w:r>
          </w:p>
        </w:tc>
      </w:tr>
      <w:tr w:rsidR="00A4209C" w:rsidRPr="00FA6A0F" w:rsidTr="00DA6183">
        <w:trPr>
          <w:cantSplit/>
          <w:trHeight w:val="20"/>
        </w:trPr>
        <w:tc>
          <w:tcPr>
            <w:tcW w:w="3085" w:type="dxa"/>
            <w:tcBorders>
              <w:top w:val="single" w:sz="4" w:space="0" w:color="auto"/>
              <w:bottom w:val="single" w:sz="4" w:space="0" w:color="auto"/>
            </w:tcBorders>
          </w:tcPr>
          <w:p w:rsidR="00A4209C" w:rsidRPr="00FA6A0F" w:rsidRDefault="00A4209C" w:rsidP="00D907AF">
            <w:pPr>
              <w:spacing w:before="20" w:after="20"/>
              <w:rPr>
                <w:b/>
                <w:sz w:val="20"/>
                <w:szCs w:val="20"/>
              </w:rPr>
            </w:pPr>
            <w:r w:rsidRPr="00FA6A0F">
              <w:rPr>
                <w:b/>
                <w:sz w:val="20"/>
                <w:szCs w:val="20"/>
              </w:rPr>
              <w:t>Total</w:t>
            </w:r>
          </w:p>
        </w:tc>
        <w:tc>
          <w:tcPr>
            <w:tcW w:w="992" w:type="dxa"/>
            <w:tcBorders>
              <w:top w:val="single" w:sz="4" w:space="0" w:color="auto"/>
              <w:bottom w:val="single" w:sz="4" w:space="0" w:color="auto"/>
            </w:tcBorders>
          </w:tcPr>
          <w:p w:rsidR="00A4209C" w:rsidRPr="00FA6A0F" w:rsidRDefault="00A4209C" w:rsidP="00CE6A3A">
            <w:pPr>
              <w:spacing w:before="20" w:after="20"/>
              <w:ind w:right="127"/>
              <w:jc w:val="right"/>
              <w:rPr>
                <w:b/>
                <w:sz w:val="20"/>
                <w:szCs w:val="20"/>
              </w:rPr>
            </w:pPr>
            <w:r w:rsidRPr="00FA6A0F">
              <w:rPr>
                <w:b/>
                <w:sz w:val="20"/>
                <w:szCs w:val="20"/>
              </w:rPr>
              <w:t>891</w:t>
            </w:r>
          </w:p>
        </w:tc>
        <w:tc>
          <w:tcPr>
            <w:tcW w:w="1087" w:type="dxa"/>
            <w:tcBorders>
              <w:top w:val="single" w:sz="4" w:space="0" w:color="auto"/>
              <w:bottom w:val="single" w:sz="4" w:space="0" w:color="auto"/>
            </w:tcBorders>
          </w:tcPr>
          <w:p w:rsidR="00A4209C" w:rsidRPr="00677EA3" w:rsidRDefault="00A4209C" w:rsidP="00260C38">
            <w:pPr>
              <w:spacing w:before="20" w:after="20"/>
              <w:ind w:right="284"/>
              <w:jc w:val="right"/>
              <w:rPr>
                <w:b/>
                <w:sz w:val="20"/>
                <w:szCs w:val="20"/>
              </w:rPr>
            </w:pPr>
          </w:p>
        </w:tc>
        <w:tc>
          <w:tcPr>
            <w:tcW w:w="1087" w:type="dxa"/>
            <w:tcBorders>
              <w:top w:val="single" w:sz="4" w:space="0" w:color="auto"/>
              <w:bottom w:val="single" w:sz="4" w:space="0" w:color="auto"/>
            </w:tcBorders>
          </w:tcPr>
          <w:p w:rsidR="00A4209C" w:rsidRPr="00677EA3" w:rsidRDefault="00A4209C" w:rsidP="00CE6A3A">
            <w:pPr>
              <w:spacing w:before="20" w:after="20"/>
              <w:ind w:right="227"/>
              <w:jc w:val="right"/>
              <w:rPr>
                <w:b/>
                <w:sz w:val="20"/>
                <w:szCs w:val="20"/>
              </w:rPr>
            </w:pPr>
            <w:r w:rsidRPr="00677EA3">
              <w:rPr>
                <w:b/>
                <w:sz w:val="20"/>
                <w:szCs w:val="20"/>
              </w:rPr>
              <w:t>1,004</w:t>
            </w:r>
          </w:p>
        </w:tc>
        <w:tc>
          <w:tcPr>
            <w:tcW w:w="1087" w:type="dxa"/>
            <w:tcBorders>
              <w:top w:val="single" w:sz="4" w:space="0" w:color="auto"/>
              <w:bottom w:val="single" w:sz="4" w:space="0" w:color="auto"/>
            </w:tcBorders>
          </w:tcPr>
          <w:p w:rsidR="00A4209C" w:rsidRPr="00CE6A3A" w:rsidRDefault="00A4209C" w:rsidP="00260C38">
            <w:pPr>
              <w:spacing w:before="20" w:after="20"/>
              <w:ind w:right="284"/>
              <w:jc w:val="right"/>
              <w:rPr>
                <w:sz w:val="20"/>
                <w:szCs w:val="20"/>
              </w:rPr>
            </w:pPr>
          </w:p>
        </w:tc>
        <w:tc>
          <w:tcPr>
            <w:tcW w:w="1087" w:type="dxa"/>
            <w:tcBorders>
              <w:top w:val="single" w:sz="4" w:space="0" w:color="auto"/>
              <w:bottom w:val="single" w:sz="4" w:space="0" w:color="auto"/>
            </w:tcBorders>
          </w:tcPr>
          <w:p w:rsidR="00A4209C" w:rsidRPr="00CE6A3A" w:rsidRDefault="00A4209C" w:rsidP="00CE6A3A">
            <w:pPr>
              <w:spacing w:before="20" w:after="20"/>
              <w:ind w:right="227"/>
              <w:jc w:val="right"/>
              <w:rPr>
                <w:b/>
                <w:sz w:val="20"/>
                <w:szCs w:val="20"/>
              </w:rPr>
            </w:pPr>
            <w:r w:rsidRPr="00CE6A3A">
              <w:rPr>
                <w:b/>
                <w:sz w:val="20"/>
                <w:szCs w:val="20"/>
              </w:rPr>
              <w:t>1,895</w:t>
            </w:r>
          </w:p>
        </w:tc>
        <w:tc>
          <w:tcPr>
            <w:tcW w:w="1087" w:type="dxa"/>
            <w:tcBorders>
              <w:top w:val="single" w:sz="4" w:space="0" w:color="auto"/>
              <w:bottom w:val="single" w:sz="4" w:space="0" w:color="auto"/>
            </w:tcBorders>
          </w:tcPr>
          <w:p w:rsidR="00A4209C" w:rsidRPr="00CE6A3A" w:rsidRDefault="00A4209C" w:rsidP="00CE6A3A">
            <w:pPr>
              <w:spacing w:before="20" w:after="20"/>
              <w:ind w:right="227"/>
              <w:jc w:val="right"/>
              <w:rPr>
                <w:b/>
                <w:sz w:val="20"/>
                <w:szCs w:val="20"/>
              </w:rPr>
            </w:pPr>
          </w:p>
        </w:tc>
      </w:tr>
    </w:tbl>
    <w:p w:rsidR="00D907AF" w:rsidRDefault="00D907AF" w:rsidP="00BC69BF">
      <w:pPr>
        <w:pStyle w:val="NILSReference"/>
      </w:pPr>
      <w:r w:rsidRPr="00B01305">
        <w:t>Note:</w:t>
      </w:r>
      <w:r>
        <w:t xml:space="preserve"> t</w:t>
      </w:r>
      <w:r w:rsidRPr="00B01305">
        <w:t xml:space="preserve">rial and </w:t>
      </w:r>
      <w:r>
        <w:t>c</w:t>
      </w:r>
      <w:r w:rsidRPr="00B01305">
        <w:t>omparison</w:t>
      </w:r>
      <w:r>
        <w:t xml:space="preserve"> at </w:t>
      </w:r>
      <w:r w:rsidRPr="00B01305">
        <w:t>all ages</w:t>
      </w:r>
      <w:r>
        <w:t xml:space="preserve"> except</w:t>
      </w:r>
      <w:r w:rsidRPr="00B01305">
        <w:t xml:space="preserve"> </w:t>
      </w:r>
      <w:r w:rsidR="00260C38">
        <w:t>M</w:t>
      </w:r>
      <w:r w:rsidRPr="00B01305">
        <w:t>arried/de facto</w:t>
      </w:r>
      <w:r>
        <w:t xml:space="preserve"> where it is only those aged </w:t>
      </w:r>
      <w:r w:rsidRPr="00B01305">
        <w:t xml:space="preserve">16 years </w:t>
      </w:r>
      <w:r>
        <w:t>and above</w:t>
      </w:r>
    </w:p>
    <w:p w:rsidR="00D907AF" w:rsidRPr="004D098E" w:rsidRDefault="00D907AF" w:rsidP="00367B24">
      <w:pPr>
        <w:pStyle w:val="Heading3"/>
      </w:pPr>
      <w:bookmarkStart w:id="205" w:name="_Toc428280636"/>
      <w:bookmarkStart w:id="206" w:name="_Toc449955008"/>
      <w:r>
        <w:t xml:space="preserve">3.6.2 Part A – </w:t>
      </w:r>
      <w:r w:rsidRPr="004D098E">
        <w:t>Disability and living arrangements</w:t>
      </w:r>
      <w:bookmarkEnd w:id="205"/>
      <w:bookmarkEnd w:id="206"/>
    </w:p>
    <w:p w:rsidR="00D907AF" w:rsidRDefault="00D907AF" w:rsidP="00D907AF">
      <w:r>
        <w:t xml:space="preserve">This section begins with asking for ‘the name of the </w:t>
      </w:r>
      <w:r w:rsidRPr="00290799">
        <w:rPr>
          <w:b/>
        </w:rPr>
        <w:t xml:space="preserve">main </w:t>
      </w:r>
      <w:r>
        <w:t>physical or mental health condition, impairment or disability’. Respondents are free to write the precise description of their main disability. The answers are converted into the closest ICD10 code</w:t>
      </w:r>
      <w:r>
        <w:rPr>
          <w:rStyle w:val="FootnoteReference"/>
        </w:rPr>
        <w:footnoteReference w:id="14"/>
      </w:r>
      <w:r>
        <w:t xml:space="preserve"> and are used as a guide to categorise the main disability of the respondent. There are some instances where the response cannot be clearly mapped into an ICD10 code and these cases are isolated, examined on a case by case basis and allocated the closest code possible. It is recognised that in some instances the respondents will feel either that they are not sure or that they do not know the name of their disability. For these cases the survey offers a more guided and simpler set of disability categories which have been designed to be both comprehensive and sufficiently brief and clear. Table 3.9 presents the information for the trial and the comparison groups separately and then both combined. Given the detail that is contained in this table, the number of both responses is very small within some of the individual cells, but we report them nevertheless, on the understanding that the full sample will provide a more precise picture.</w:t>
      </w:r>
    </w:p>
    <w:p w:rsidR="005B2D5F" w:rsidRDefault="005B2D5F" w:rsidP="00D907AF"/>
    <w:p w:rsidR="00DB10D4" w:rsidRDefault="00DB10D4">
      <w:r>
        <w:br w:type="page"/>
      </w:r>
    </w:p>
    <w:p w:rsidR="00D907AF" w:rsidRDefault="00D907AF" w:rsidP="00D907AF">
      <w:r>
        <w:lastRenderedPageBreak/>
        <w:t>Table 3.9 suggests a clustering of people with intellectual disability, developmental or neurological conditions in both trial and comparison groups. There is also a suggestion of a sizeable minority of people with a primary physical disability.</w:t>
      </w:r>
    </w:p>
    <w:p w:rsidR="00D907AF" w:rsidRPr="00444427" w:rsidRDefault="00D907AF" w:rsidP="0044684E">
      <w:pPr>
        <w:pStyle w:val="NILSTableHeading"/>
      </w:pPr>
      <w:bookmarkStart w:id="207" w:name="_Toc428280660"/>
      <w:bookmarkStart w:id="208" w:name="_Toc449955271"/>
      <w:r>
        <w:t xml:space="preserve">Table 3.9: Main </w:t>
      </w:r>
      <w:r w:rsidRPr="009B27DD">
        <w:t>disability</w:t>
      </w:r>
      <w:bookmarkEnd w:id="207"/>
      <w:bookmarkEnd w:id="208"/>
      <w:r>
        <w:t xml:space="preserve"> </w:t>
      </w:r>
    </w:p>
    <w:tbl>
      <w:tblPr>
        <w:tblStyle w:val="TableGrid"/>
        <w:tblW w:w="9356" w:type="dxa"/>
        <w:tblInd w:w="-34" w:type="dxa"/>
        <w:tblLayout w:type="fixed"/>
        <w:tblLook w:val="04A0" w:firstRow="1" w:lastRow="0" w:firstColumn="1" w:lastColumn="0" w:noHBand="0" w:noVBand="1"/>
        <w:tblCaption w:val="Table 3.9 Main disability "/>
      </w:tblPr>
      <w:tblGrid>
        <w:gridCol w:w="4111"/>
        <w:gridCol w:w="709"/>
        <w:gridCol w:w="794"/>
        <w:gridCol w:w="1077"/>
        <w:gridCol w:w="1020"/>
        <w:gridCol w:w="795"/>
        <w:gridCol w:w="850"/>
      </w:tblGrid>
      <w:tr w:rsidR="00D907AF" w:rsidRPr="0021788B" w:rsidTr="00843B24">
        <w:trPr>
          <w:cantSplit/>
          <w:tblHeader/>
        </w:trPr>
        <w:tc>
          <w:tcPr>
            <w:tcW w:w="4111" w:type="dxa"/>
            <w:tcBorders>
              <w:top w:val="single" w:sz="4" w:space="0" w:color="auto"/>
              <w:bottom w:val="single" w:sz="4" w:space="0" w:color="auto"/>
            </w:tcBorders>
            <w:shd w:val="clear" w:color="auto" w:fill="auto"/>
          </w:tcPr>
          <w:p w:rsidR="00D907AF" w:rsidRPr="0021788B" w:rsidRDefault="00D907AF" w:rsidP="00D907AF">
            <w:pPr>
              <w:spacing w:before="20" w:after="20"/>
              <w:rPr>
                <w:rFonts w:cstheme="minorHAnsi"/>
                <w:sz w:val="20"/>
                <w:szCs w:val="20"/>
              </w:rPr>
            </w:pPr>
            <w:bookmarkStart w:id="209" w:name="Title_3_9"/>
            <w:bookmarkEnd w:id="209"/>
          </w:p>
        </w:tc>
        <w:tc>
          <w:tcPr>
            <w:tcW w:w="709" w:type="dxa"/>
            <w:tcBorders>
              <w:top w:val="single" w:sz="4" w:space="0" w:color="auto"/>
              <w:bottom w:val="single" w:sz="4" w:space="0" w:color="auto"/>
            </w:tcBorders>
            <w:shd w:val="clear" w:color="auto" w:fill="auto"/>
            <w:vAlign w:val="bottom"/>
          </w:tcPr>
          <w:p w:rsidR="00D907AF" w:rsidRPr="0021788B" w:rsidRDefault="007674EA" w:rsidP="007674EA">
            <w:pPr>
              <w:spacing w:before="20" w:after="20"/>
              <w:jc w:val="center"/>
              <w:rPr>
                <w:rFonts w:cstheme="minorHAnsi"/>
                <w:sz w:val="20"/>
                <w:szCs w:val="20"/>
              </w:rPr>
            </w:pPr>
            <w:r w:rsidRPr="0021788B">
              <w:rPr>
                <w:rFonts w:cstheme="minorHAnsi"/>
                <w:sz w:val="20"/>
                <w:szCs w:val="20"/>
              </w:rPr>
              <w:t xml:space="preserve">Trial </w:t>
            </w:r>
            <w:r w:rsidR="00D907AF" w:rsidRPr="0021788B">
              <w:rPr>
                <w:rFonts w:cstheme="minorHAnsi"/>
                <w:sz w:val="20"/>
                <w:szCs w:val="20"/>
              </w:rPr>
              <w:t>Cases</w:t>
            </w:r>
          </w:p>
        </w:tc>
        <w:tc>
          <w:tcPr>
            <w:tcW w:w="794" w:type="dxa"/>
            <w:tcBorders>
              <w:top w:val="single" w:sz="4" w:space="0" w:color="auto"/>
              <w:bottom w:val="single" w:sz="4" w:space="0" w:color="auto"/>
            </w:tcBorders>
            <w:shd w:val="clear" w:color="auto" w:fill="auto"/>
            <w:vAlign w:val="bottom"/>
          </w:tcPr>
          <w:p w:rsidR="00703189" w:rsidRDefault="007674EA" w:rsidP="007674EA">
            <w:pPr>
              <w:spacing w:before="20" w:after="20"/>
              <w:jc w:val="center"/>
              <w:rPr>
                <w:rFonts w:cstheme="minorHAnsi"/>
                <w:sz w:val="20"/>
                <w:szCs w:val="20"/>
              </w:rPr>
            </w:pPr>
            <w:r>
              <w:rPr>
                <w:rFonts w:cstheme="minorHAnsi"/>
                <w:sz w:val="20"/>
                <w:szCs w:val="20"/>
              </w:rPr>
              <w:t>Trial</w:t>
            </w:r>
          </w:p>
          <w:p w:rsidR="00D907AF" w:rsidRPr="0021788B" w:rsidRDefault="007674EA" w:rsidP="007674EA">
            <w:pPr>
              <w:spacing w:before="20" w:after="20"/>
              <w:jc w:val="center"/>
              <w:rPr>
                <w:rFonts w:cstheme="minorHAnsi"/>
                <w:sz w:val="20"/>
                <w:szCs w:val="20"/>
              </w:rPr>
            </w:pPr>
            <w:r>
              <w:rPr>
                <w:rFonts w:cstheme="minorHAnsi"/>
                <w:sz w:val="20"/>
                <w:szCs w:val="20"/>
              </w:rPr>
              <w:t xml:space="preserve"> </w:t>
            </w:r>
            <w:r w:rsidR="00D907AF" w:rsidRPr="0021788B">
              <w:rPr>
                <w:rFonts w:cstheme="minorHAnsi"/>
                <w:sz w:val="20"/>
                <w:szCs w:val="20"/>
              </w:rPr>
              <w:t>%</w:t>
            </w:r>
          </w:p>
        </w:tc>
        <w:tc>
          <w:tcPr>
            <w:tcW w:w="1077" w:type="dxa"/>
            <w:tcBorders>
              <w:top w:val="single" w:sz="4" w:space="0" w:color="auto"/>
              <w:bottom w:val="single" w:sz="4" w:space="0" w:color="auto"/>
            </w:tcBorders>
            <w:shd w:val="clear" w:color="auto" w:fill="auto"/>
            <w:vAlign w:val="bottom"/>
          </w:tcPr>
          <w:p w:rsidR="00D907AF" w:rsidRPr="0021788B" w:rsidRDefault="007674EA" w:rsidP="007674EA">
            <w:pPr>
              <w:spacing w:before="20" w:after="20"/>
              <w:ind w:left="-108" w:right="-108"/>
              <w:jc w:val="center"/>
              <w:rPr>
                <w:rFonts w:cstheme="minorHAnsi"/>
                <w:sz w:val="20"/>
                <w:szCs w:val="20"/>
              </w:rPr>
            </w:pPr>
            <w:r w:rsidRPr="0021788B">
              <w:rPr>
                <w:rFonts w:cstheme="minorHAnsi"/>
                <w:sz w:val="20"/>
                <w:szCs w:val="20"/>
              </w:rPr>
              <w:t xml:space="preserve">Comparison </w:t>
            </w:r>
            <w:r w:rsidR="00D907AF" w:rsidRPr="0021788B">
              <w:rPr>
                <w:rFonts w:cstheme="minorHAnsi"/>
                <w:sz w:val="20"/>
                <w:szCs w:val="20"/>
              </w:rPr>
              <w:t>Cases</w:t>
            </w:r>
          </w:p>
        </w:tc>
        <w:tc>
          <w:tcPr>
            <w:tcW w:w="1020" w:type="dxa"/>
            <w:tcBorders>
              <w:top w:val="single" w:sz="4" w:space="0" w:color="auto"/>
              <w:bottom w:val="single" w:sz="4" w:space="0" w:color="auto"/>
            </w:tcBorders>
            <w:shd w:val="clear" w:color="auto" w:fill="auto"/>
            <w:vAlign w:val="bottom"/>
          </w:tcPr>
          <w:p w:rsidR="00D907AF" w:rsidRPr="0021788B" w:rsidRDefault="007674EA" w:rsidP="007674EA">
            <w:pPr>
              <w:spacing w:before="20" w:after="20"/>
              <w:ind w:left="-108" w:right="-108"/>
              <w:jc w:val="center"/>
              <w:rPr>
                <w:rFonts w:cstheme="minorHAnsi"/>
                <w:sz w:val="20"/>
                <w:szCs w:val="20"/>
              </w:rPr>
            </w:pPr>
            <w:r>
              <w:rPr>
                <w:rFonts w:cstheme="minorHAnsi"/>
                <w:sz w:val="20"/>
                <w:szCs w:val="20"/>
              </w:rPr>
              <w:t xml:space="preserve">Comparison </w:t>
            </w:r>
            <w:r w:rsidR="00D907AF" w:rsidRPr="0021788B">
              <w:rPr>
                <w:rFonts w:cstheme="minorHAnsi"/>
                <w:sz w:val="20"/>
                <w:szCs w:val="20"/>
              </w:rPr>
              <w:t>%</w:t>
            </w:r>
          </w:p>
        </w:tc>
        <w:tc>
          <w:tcPr>
            <w:tcW w:w="795" w:type="dxa"/>
            <w:tcBorders>
              <w:top w:val="single" w:sz="4" w:space="0" w:color="auto"/>
              <w:bottom w:val="single" w:sz="4" w:space="0" w:color="auto"/>
            </w:tcBorders>
            <w:shd w:val="clear" w:color="auto" w:fill="auto"/>
            <w:vAlign w:val="bottom"/>
          </w:tcPr>
          <w:p w:rsidR="00D907AF" w:rsidRPr="0021788B" w:rsidRDefault="007674EA" w:rsidP="007674EA">
            <w:pPr>
              <w:spacing w:before="20" w:after="20"/>
              <w:jc w:val="center"/>
              <w:rPr>
                <w:rFonts w:cstheme="minorHAnsi"/>
                <w:sz w:val="20"/>
                <w:szCs w:val="20"/>
              </w:rPr>
            </w:pPr>
            <w:r>
              <w:rPr>
                <w:rFonts w:cstheme="minorHAnsi"/>
                <w:sz w:val="20"/>
                <w:szCs w:val="20"/>
              </w:rPr>
              <w:t xml:space="preserve">Total </w:t>
            </w:r>
            <w:r w:rsidR="00D907AF" w:rsidRPr="0021788B">
              <w:rPr>
                <w:rFonts w:cstheme="minorHAnsi"/>
                <w:sz w:val="20"/>
                <w:szCs w:val="20"/>
              </w:rPr>
              <w:t>Cases</w:t>
            </w:r>
          </w:p>
        </w:tc>
        <w:tc>
          <w:tcPr>
            <w:tcW w:w="850" w:type="dxa"/>
            <w:tcBorders>
              <w:top w:val="single" w:sz="4" w:space="0" w:color="auto"/>
              <w:bottom w:val="single" w:sz="4" w:space="0" w:color="auto"/>
            </w:tcBorders>
            <w:shd w:val="clear" w:color="auto" w:fill="auto"/>
            <w:vAlign w:val="bottom"/>
          </w:tcPr>
          <w:p w:rsidR="00843B24" w:rsidRDefault="007674EA" w:rsidP="007674EA">
            <w:pPr>
              <w:spacing w:before="20" w:after="20"/>
              <w:jc w:val="center"/>
              <w:rPr>
                <w:rFonts w:cstheme="minorHAnsi"/>
                <w:sz w:val="20"/>
                <w:szCs w:val="20"/>
              </w:rPr>
            </w:pPr>
            <w:r>
              <w:rPr>
                <w:rFonts w:cstheme="minorHAnsi"/>
                <w:sz w:val="20"/>
                <w:szCs w:val="20"/>
              </w:rPr>
              <w:t>Total</w:t>
            </w:r>
          </w:p>
          <w:p w:rsidR="00D907AF" w:rsidRPr="0021788B" w:rsidRDefault="007674EA" w:rsidP="007674EA">
            <w:pPr>
              <w:spacing w:before="20" w:after="20"/>
              <w:jc w:val="center"/>
              <w:rPr>
                <w:rFonts w:cstheme="minorHAnsi"/>
                <w:sz w:val="20"/>
                <w:szCs w:val="20"/>
              </w:rPr>
            </w:pPr>
            <w:r>
              <w:rPr>
                <w:rFonts w:cstheme="minorHAnsi"/>
                <w:sz w:val="20"/>
                <w:szCs w:val="20"/>
              </w:rPr>
              <w:t xml:space="preserve"> </w:t>
            </w:r>
            <w:r w:rsidR="00D907AF" w:rsidRPr="0021788B">
              <w:rPr>
                <w:rFonts w:cstheme="minorHAnsi"/>
                <w:sz w:val="20"/>
                <w:szCs w:val="20"/>
              </w:rPr>
              <w:t>%</w:t>
            </w:r>
          </w:p>
        </w:tc>
      </w:tr>
      <w:tr w:rsidR="00D907AF" w:rsidRPr="0021788B" w:rsidTr="00843B24">
        <w:trPr>
          <w:trHeight w:val="340"/>
        </w:trPr>
        <w:tc>
          <w:tcPr>
            <w:tcW w:w="4111" w:type="dxa"/>
            <w:shd w:val="clear" w:color="auto" w:fill="auto"/>
          </w:tcPr>
          <w:p w:rsidR="00D907AF" w:rsidRPr="0021788B" w:rsidRDefault="00D907AF" w:rsidP="00D907AF">
            <w:pPr>
              <w:spacing w:before="20" w:after="20"/>
              <w:rPr>
                <w:rFonts w:cstheme="minorHAnsi"/>
                <w:sz w:val="20"/>
                <w:szCs w:val="20"/>
              </w:rPr>
            </w:pPr>
            <w:r w:rsidRPr="0021788B">
              <w:rPr>
                <w:rFonts w:cstheme="minorHAnsi"/>
                <w:sz w:val="20"/>
                <w:szCs w:val="20"/>
              </w:rPr>
              <w:t>Physical condition</w:t>
            </w:r>
          </w:p>
        </w:tc>
        <w:tc>
          <w:tcPr>
            <w:tcW w:w="709" w:type="dxa"/>
            <w:shd w:val="clear" w:color="auto" w:fill="auto"/>
            <w:vAlign w:val="center"/>
          </w:tcPr>
          <w:p w:rsidR="00D907AF" w:rsidRPr="0021788B" w:rsidRDefault="00D907AF" w:rsidP="001E1DF1">
            <w:pPr>
              <w:spacing w:before="20" w:after="20"/>
              <w:ind w:right="57"/>
              <w:jc w:val="right"/>
              <w:rPr>
                <w:rFonts w:cstheme="minorHAnsi"/>
                <w:color w:val="000000"/>
                <w:sz w:val="20"/>
                <w:szCs w:val="20"/>
              </w:rPr>
            </w:pPr>
            <w:r w:rsidRPr="0021788B">
              <w:rPr>
                <w:rFonts w:cstheme="minorHAnsi"/>
                <w:color w:val="000000"/>
                <w:sz w:val="20"/>
                <w:szCs w:val="20"/>
              </w:rPr>
              <w:t>66</w:t>
            </w:r>
          </w:p>
        </w:tc>
        <w:tc>
          <w:tcPr>
            <w:tcW w:w="794" w:type="dxa"/>
            <w:shd w:val="clear" w:color="auto" w:fill="auto"/>
            <w:vAlign w:val="center"/>
          </w:tcPr>
          <w:p w:rsidR="00D907AF" w:rsidRPr="0021788B" w:rsidRDefault="00D907AF" w:rsidP="00D907AF">
            <w:pPr>
              <w:spacing w:before="20" w:after="20"/>
              <w:jc w:val="right"/>
              <w:rPr>
                <w:rFonts w:cstheme="minorHAnsi"/>
                <w:color w:val="000000"/>
                <w:sz w:val="20"/>
                <w:szCs w:val="20"/>
              </w:rPr>
            </w:pPr>
            <w:r w:rsidRPr="0021788B">
              <w:rPr>
                <w:rFonts w:cstheme="minorHAnsi"/>
                <w:color w:val="000000"/>
                <w:sz w:val="20"/>
                <w:szCs w:val="20"/>
              </w:rPr>
              <w:t>7.4</w:t>
            </w:r>
          </w:p>
        </w:tc>
        <w:tc>
          <w:tcPr>
            <w:tcW w:w="1077" w:type="dxa"/>
            <w:shd w:val="clear" w:color="auto" w:fill="auto"/>
            <w:vAlign w:val="center"/>
          </w:tcPr>
          <w:p w:rsidR="00D907AF" w:rsidRPr="0021788B" w:rsidRDefault="00D907AF" w:rsidP="00E056E0">
            <w:pPr>
              <w:spacing w:before="20" w:after="20"/>
              <w:ind w:right="227"/>
              <w:jc w:val="right"/>
              <w:rPr>
                <w:rFonts w:cstheme="minorHAnsi"/>
                <w:color w:val="000000"/>
                <w:sz w:val="20"/>
                <w:szCs w:val="20"/>
              </w:rPr>
            </w:pPr>
            <w:r w:rsidRPr="0021788B">
              <w:rPr>
                <w:rFonts w:cstheme="minorHAnsi"/>
                <w:color w:val="000000"/>
                <w:sz w:val="20"/>
                <w:szCs w:val="20"/>
              </w:rPr>
              <w:t>141</w:t>
            </w:r>
          </w:p>
        </w:tc>
        <w:tc>
          <w:tcPr>
            <w:tcW w:w="1020" w:type="dxa"/>
            <w:shd w:val="clear" w:color="auto" w:fill="auto"/>
            <w:vAlign w:val="center"/>
          </w:tcPr>
          <w:p w:rsidR="00D907AF" w:rsidRPr="0021788B" w:rsidRDefault="00D907AF" w:rsidP="00CF7BC8">
            <w:pPr>
              <w:spacing w:before="20" w:after="20"/>
              <w:ind w:right="227"/>
              <w:jc w:val="right"/>
              <w:rPr>
                <w:rFonts w:cstheme="minorHAnsi"/>
                <w:color w:val="000000"/>
                <w:sz w:val="20"/>
                <w:szCs w:val="20"/>
              </w:rPr>
            </w:pPr>
            <w:r w:rsidRPr="0021788B">
              <w:rPr>
                <w:rFonts w:cstheme="minorHAnsi"/>
                <w:color w:val="000000"/>
                <w:sz w:val="20"/>
                <w:szCs w:val="20"/>
              </w:rPr>
              <w:t>14.0</w:t>
            </w:r>
          </w:p>
        </w:tc>
        <w:tc>
          <w:tcPr>
            <w:tcW w:w="795" w:type="dxa"/>
            <w:shd w:val="clear" w:color="auto" w:fill="auto"/>
            <w:vAlign w:val="center"/>
          </w:tcPr>
          <w:p w:rsidR="00D907AF" w:rsidRPr="0021788B" w:rsidRDefault="00D907AF" w:rsidP="00CF7BC8">
            <w:pPr>
              <w:spacing w:before="20" w:after="20"/>
              <w:ind w:right="57"/>
              <w:jc w:val="right"/>
              <w:rPr>
                <w:rFonts w:cstheme="minorHAnsi"/>
                <w:color w:val="000000"/>
                <w:sz w:val="20"/>
                <w:szCs w:val="20"/>
              </w:rPr>
            </w:pPr>
            <w:r w:rsidRPr="0021788B">
              <w:rPr>
                <w:rFonts w:cstheme="minorHAnsi"/>
                <w:color w:val="000000"/>
                <w:sz w:val="20"/>
                <w:szCs w:val="20"/>
              </w:rPr>
              <w:t>207</w:t>
            </w:r>
          </w:p>
        </w:tc>
        <w:tc>
          <w:tcPr>
            <w:tcW w:w="850" w:type="dxa"/>
            <w:shd w:val="clear" w:color="auto" w:fill="auto"/>
            <w:vAlign w:val="center"/>
          </w:tcPr>
          <w:p w:rsidR="00D907AF" w:rsidRPr="0021788B" w:rsidRDefault="00D907AF" w:rsidP="00D907AF">
            <w:pPr>
              <w:spacing w:before="20" w:after="20"/>
              <w:jc w:val="right"/>
              <w:rPr>
                <w:rFonts w:cstheme="minorHAnsi"/>
                <w:color w:val="000000"/>
                <w:sz w:val="20"/>
                <w:szCs w:val="20"/>
              </w:rPr>
            </w:pPr>
            <w:r w:rsidRPr="0021788B">
              <w:rPr>
                <w:rFonts w:cstheme="minorHAnsi"/>
                <w:color w:val="000000"/>
                <w:sz w:val="20"/>
                <w:szCs w:val="20"/>
              </w:rPr>
              <w:t>10.9</w:t>
            </w:r>
          </w:p>
        </w:tc>
      </w:tr>
      <w:tr w:rsidR="00D907AF" w:rsidRPr="0021788B" w:rsidTr="00843B24">
        <w:trPr>
          <w:trHeight w:val="340"/>
        </w:trPr>
        <w:tc>
          <w:tcPr>
            <w:tcW w:w="4111" w:type="dxa"/>
            <w:shd w:val="clear" w:color="auto" w:fill="auto"/>
          </w:tcPr>
          <w:p w:rsidR="00D907AF" w:rsidRPr="0021788B" w:rsidRDefault="00D907AF" w:rsidP="007674EA">
            <w:pPr>
              <w:spacing w:before="20" w:after="20"/>
              <w:ind w:right="-108"/>
              <w:rPr>
                <w:rFonts w:cstheme="minorHAnsi"/>
                <w:sz w:val="20"/>
                <w:szCs w:val="20"/>
              </w:rPr>
            </w:pPr>
            <w:r w:rsidRPr="0021788B">
              <w:rPr>
                <w:rFonts w:cstheme="minorHAnsi"/>
                <w:sz w:val="20"/>
                <w:szCs w:val="20"/>
              </w:rPr>
              <w:t>Mental health condition/psychosocial disability</w:t>
            </w:r>
          </w:p>
        </w:tc>
        <w:tc>
          <w:tcPr>
            <w:tcW w:w="709" w:type="dxa"/>
            <w:shd w:val="clear" w:color="auto" w:fill="auto"/>
            <w:vAlign w:val="center"/>
          </w:tcPr>
          <w:p w:rsidR="00D907AF" w:rsidRPr="0021788B" w:rsidRDefault="00D907AF" w:rsidP="001E1DF1">
            <w:pPr>
              <w:spacing w:before="20" w:after="20"/>
              <w:ind w:right="57"/>
              <w:jc w:val="right"/>
              <w:rPr>
                <w:rFonts w:cstheme="minorHAnsi"/>
                <w:color w:val="000000"/>
                <w:sz w:val="20"/>
                <w:szCs w:val="20"/>
              </w:rPr>
            </w:pPr>
            <w:r w:rsidRPr="0021788B">
              <w:rPr>
                <w:rFonts w:cstheme="minorHAnsi"/>
                <w:color w:val="000000"/>
                <w:sz w:val="20"/>
                <w:szCs w:val="20"/>
              </w:rPr>
              <w:t>17</w:t>
            </w:r>
          </w:p>
        </w:tc>
        <w:tc>
          <w:tcPr>
            <w:tcW w:w="794" w:type="dxa"/>
            <w:shd w:val="clear" w:color="auto" w:fill="auto"/>
            <w:vAlign w:val="center"/>
          </w:tcPr>
          <w:p w:rsidR="00D907AF" w:rsidRPr="0021788B" w:rsidRDefault="00D907AF" w:rsidP="00D907AF">
            <w:pPr>
              <w:spacing w:before="20" w:after="20"/>
              <w:jc w:val="right"/>
              <w:rPr>
                <w:rFonts w:cstheme="minorHAnsi"/>
                <w:color w:val="000000"/>
                <w:sz w:val="20"/>
                <w:szCs w:val="20"/>
              </w:rPr>
            </w:pPr>
            <w:r w:rsidRPr="0021788B">
              <w:rPr>
                <w:rFonts w:cstheme="minorHAnsi"/>
                <w:color w:val="000000"/>
                <w:sz w:val="20"/>
                <w:szCs w:val="20"/>
              </w:rPr>
              <w:t>1.9</w:t>
            </w:r>
          </w:p>
        </w:tc>
        <w:tc>
          <w:tcPr>
            <w:tcW w:w="1077" w:type="dxa"/>
            <w:shd w:val="clear" w:color="auto" w:fill="auto"/>
            <w:vAlign w:val="center"/>
          </w:tcPr>
          <w:p w:rsidR="00D907AF" w:rsidRPr="0021788B" w:rsidRDefault="00D907AF" w:rsidP="00E056E0">
            <w:pPr>
              <w:spacing w:before="20" w:after="20"/>
              <w:ind w:right="227"/>
              <w:jc w:val="right"/>
              <w:rPr>
                <w:rFonts w:cstheme="minorHAnsi"/>
                <w:color w:val="000000"/>
                <w:sz w:val="20"/>
                <w:szCs w:val="20"/>
              </w:rPr>
            </w:pPr>
            <w:r w:rsidRPr="0021788B">
              <w:rPr>
                <w:rFonts w:cstheme="minorHAnsi"/>
                <w:color w:val="000000"/>
                <w:sz w:val="20"/>
                <w:szCs w:val="20"/>
              </w:rPr>
              <w:t>64</w:t>
            </w:r>
          </w:p>
        </w:tc>
        <w:tc>
          <w:tcPr>
            <w:tcW w:w="1020" w:type="dxa"/>
            <w:shd w:val="clear" w:color="auto" w:fill="auto"/>
            <w:vAlign w:val="center"/>
          </w:tcPr>
          <w:p w:rsidR="00D907AF" w:rsidRPr="0021788B" w:rsidRDefault="00D907AF" w:rsidP="00CF7BC8">
            <w:pPr>
              <w:spacing w:before="20" w:after="20"/>
              <w:ind w:right="227"/>
              <w:jc w:val="right"/>
              <w:rPr>
                <w:rFonts w:cstheme="minorHAnsi"/>
                <w:color w:val="000000"/>
                <w:sz w:val="20"/>
                <w:szCs w:val="20"/>
              </w:rPr>
            </w:pPr>
            <w:r w:rsidRPr="0021788B">
              <w:rPr>
                <w:rFonts w:cstheme="minorHAnsi"/>
                <w:color w:val="000000"/>
                <w:sz w:val="20"/>
                <w:szCs w:val="20"/>
              </w:rPr>
              <w:t>6.4</w:t>
            </w:r>
          </w:p>
        </w:tc>
        <w:tc>
          <w:tcPr>
            <w:tcW w:w="795" w:type="dxa"/>
            <w:shd w:val="clear" w:color="auto" w:fill="auto"/>
            <w:vAlign w:val="center"/>
          </w:tcPr>
          <w:p w:rsidR="00D907AF" w:rsidRPr="0021788B" w:rsidRDefault="00D907AF" w:rsidP="00CF7BC8">
            <w:pPr>
              <w:spacing w:before="20" w:after="20"/>
              <w:ind w:right="57"/>
              <w:jc w:val="right"/>
              <w:rPr>
                <w:rFonts w:cstheme="minorHAnsi"/>
                <w:color w:val="000000"/>
                <w:sz w:val="20"/>
                <w:szCs w:val="20"/>
              </w:rPr>
            </w:pPr>
            <w:r w:rsidRPr="0021788B">
              <w:rPr>
                <w:rFonts w:cstheme="minorHAnsi"/>
                <w:color w:val="000000"/>
                <w:sz w:val="20"/>
                <w:szCs w:val="20"/>
              </w:rPr>
              <w:t>81</w:t>
            </w:r>
          </w:p>
        </w:tc>
        <w:tc>
          <w:tcPr>
            <w:tcW w:w="850" w:type="dxa"/>
            <w:shd w:val="clear" w:color="auto" w:fill="auto"/>
            <w:vAlign w:val="center"/>
          </w:tcPr>
          <w:p w:rsidR="00D907AF" w:rsidRPr="0021788B" w:rsidRDefault="00D907AF" w:rsidP="00D907AF">
            <w:pPr>
              <w:spacing w:before="20" w:after="20"/>
              <w:jc w:val="right"/>
              <w:rPr>
                <w:rFonts w:cstheme="minorHAnsi"/>
                <w:color w:val="000000"/>
                <w:sz w:val="20"/>
                <w:szCs w:val="20"/>
              </w:rPr>
            </w:pPr>
            <w:r w:rsidRPr="0021788B">
              <w:rPr>
                <w:rFonts w:cstheme="minorHAnsi"/>
                <w:color w:val="000000"/>
                <w:sz w:val="20"/>
                <w:szCs w:val="20"/>
              </w:rPr>
              <w:t>4.3</w:t>
            </w:r>
          </w:p>
        </w:tc>
      </w:tr>
      <w:tr w:rsidR="00D907AF" w:rsidRPr="0021788B" w:rsidTr="00843B24">
        <w:trPr>
          <w:trHeight w:val="340"/>
        </w:trPr>
        <w:tc>
          <w:tcPr>
            <w:tcW w:w="4111" w:type="dxa"/>
            <w:shd w:val="clear" w:color="auto" w:fill="auto"/>
          </w:tcPr>
          <w:p w:rsidR="00D907AF" w:rsidRPr="0021788B" w:rsidRDefault="00D907AF" w:rsidP="00D907AF">
            <w:pPr>
              <w:spacing w:before="20" w:after="20"/>
              <w:rPr>
                <w:rFonts w:cstheme="minorHAnsi"/>
                <w:sz w:val="20"/>
                <w:szCs w:val="20"/>
              </w:rPr>
            </w:pPr>
            <w:r w:rsidRPr="0021788B">
              <w:rPr>
                <w:rFonts w:cstheme="minorHAnsi"/>
                <w:sz w:val="20"/>
                <w:szCs w:val="20"/>
              </w:rPr>
              <w:t>Hearing condition</w:t>
            </w:r>
          </w:p>
        </w:tc>
        <w:tc>
          <w:tcPr>
            <w:tcW w:w="709" w:type="dxa"/>
            <w:shd w:val="clear" w:color="auto" w:fill="auto"/>
            <w:vAlign w:val="center"/>
          </w:tcPr>
          <w:p w:rsidR="00D907AF" w:rsidRPr="0021788B" w:rsidRDefault="00D907AF" w:rsidP="001E1DF1">
            <w:pPr>
              <w:spacing w:before="20" w:after="20"/>
              <w:ind w:right="57"/>
              <w:jc w:val="right"/>
              <w:rPr>
                <w:rFonts w:cstheme="minorHAnsi"/>
                <w:color w:val="000000"/>
                <w:sz w:val="20"/>
                <w:szCs w:val="20"/>
              </w:rPr>
            </w:pPr>
            <w:r w:rsidRPr="0021788B">
              <w:rPr>
                <w:rFonts w:cstheme="minorHAnsi"/>
                <w:color w:val="000000"/>
                <w:sz w:val="20"/>
                <w:szCs w:val="20"/>
              </w:rPr>
              <w:t>20</w:t>
            </w:r>
          </w:p>
        </w:tc>
        <w:tc>
          <w:tcPr>
            <w:tcW w:w="794" w:type="dxa"/>
            <w:shd w:val="clear" w:color="auto" w:fill="auto"/>
            <w:vAlign w:val="center"/>
          </w:tcPr>
          <w:p w:rsidR="00D907AF" w:rsidRPr="0021788B" w:rsidRDefault="00D907AF" w:rsidP="00D907AF">
            <w:pPr>
              <w:spacing w:before="20" w:after="20"/>
              <w:jc w:val="right"/>
              <w:rPr>
                <w:rFonts w:cstheme="minorHAnsi"/>
                <w:color w:val="000000"/>
                <w:sz w:val="20"/>
                <w:szCs w:val="20"/>
              </w:rPr>
            </w:pPr>
            <w:r w:rsidRPr="0021788B">
              <w:rPr>
                <w:rFonts w:cstheme="minorHAnsi"/>
                <w:color w:val="000000"/>
                <w:sz w:val="20"/>
                <w:szCs w:val="20"/>
              </w:rPr>
              <w:t>2.2</w:t>
            </w:r>
          </w:p>
        </w:tc>
        <w:tc>
          <w:tcPr>
            <w:tcW w:w="1077" w:type="dxa"/>
            <w:shd w:val="clear" w:color="auto" w:fill="auto"/>
            <w:vAlign w:val="center"/>
          </w:tcPr>
          <w:p w:rsidR="00D907AF" w:rsidRPr="0021788B" w:rsidRDefault="00D907AF" w:rsidP="00E056E0">
            <w:pPr>
              <w:spacing w:before="20" w:after="20"/>
              <w:ind w:right="227"/>
              <w:jc w:val="right"/>
              <w:rPr>
                <w:rFonts w:cstheme="minorHAnsi"/>
                <w:color w:val="000000"/>
                <w:sz w:val="20"/>
                <w:szCs w:val="20"/>
              </w:rPr>
            </w:pPr>
            <w:r w:rsidRPr="0021788B">
              <w:rPr>
                <w:rFonts w:cstheme="minorHAnsi"/>
                <w:color w:val="000000"/>
                <w:sz w:val="20"/>
                <w:szCs w:val="20"/>
              </w:rPr>
              <w:t>12</w:t>
            </w:r>
          </w:p>
        </w:tc>
        <w:tc>
          <w:tcPr>
            <w:tcW w:w="1020" w:type="dxa"/>
            <w:shd w:val="clear" w:color="auto" w:fill="auto"/>
            <w:vAlign w:val="center"/>
          </w:tcPr>
          <w:p w:rsidR="00D907AF" w:rsidRPr="0021788B" w:rsidRDefault="00D907AF" w:rsidP="00CF7BC8">
            <w:pPr>
              <w:spacing w:before="20" w:after="20"/>
              <w:ind w:right="227"/>
              <w:jc w:val="right"/>
              <w:rPr>
                <w:rFonts w:cstheme="minorHAnsi"/>
                <w:color w:val="000000"/>
                <w:sz w:val="20"/>
                <w:szCs w:val="20"/>
              </w:rPr>
            </w:pPr>
            <w:r w:rsidRPr="0021788B">
              <w:rPr>
                <w:rFonts w:cstheme="minorHAnsi"/>
                <w:color w:val="000000"/>
                <w:sz w:val="20"/>
                <w:szCs w:val="20"/>
              </w:rPr>
              <w:t>1.2</w:t>
            </w:r>
          </w:p>
        </w:tc>
        <w:tc>
          <w:tcPr>
            <w:tcW w:w="795" w:type="dxa"/>
            <w:shd w:val="clear" w:color="auto" w:fill="auto"/>
            <w:vAlign w:val="center"/>
          </w:tcPr>
          <w:p w:rsidR="00D907AF" w:rsidRPr="0021788B" w:rsidRDefault="00D907AF" w:rsidP="00CF7BC8">
            <w:pPr>
              <w:spacing w:before="20" w:after="20"/>
              <w:ind w:right="57"/>
              <w:jc w:val="right"/>
              <w:rPr>
                <w:rFonts w:cstheme="minorHAnsi"/>
                <w:color w:val="000000"/>
                <w:sz w:val="20"/>
                <w:szCs w:val="20"/>
              </w:rPr>
            </w:pPr>
            <w:r w:rsidRPr="0021788B">
              <w:rPr>
                <w:rFonts w:cstheme="minorHAnsi"/>
                <w:color w:val="000000"/>
                <w:sz w:val="20"/>
                <w:szCs w:val="20"/>
              </w:rPr>
              <w:t>32</w:t>
            </w:r>
          </w:p>
        </w:tc>
        <w:tc>
          <w:tcPr>
            <w:tcW w:w="850" w:type="dxa"/>
            <w:shd w:val="clear" w:color="auto" w:fill="auto"/>
            <w:vAlign w:val="center"/>
          </w:tcPr>
          <w:p w:rsidR="00D907AF" w:rsidRPr="0021788B" w:rsidRDefault="00D907AF" w:rsidP="00D907AF">
            <w:pPr>
              <w:spacing w:before="20" w:after="20"/>
              <w:jc w:val="right"/>
              <w:rPr>
                <w:rFonts w:cstheme="minorHAnsi"/>
                <w:color w:val="000000"/>
                <w:sz w:val="20"/>
                <w:szCs w:val="20"/>
              </w:rPr>
            </w:pPr>
            <w:r w:rsidRPr="0021788B">
              <w:rPr>
                <w:rFonts w:cstheme="minorHAnsi"/>
                <w:color w:val="000000"/>
                <w:sz w:val="20"/>
                <w:szCs w:val="20"/>
              </w:rPr>
              <w:t>1.7</w:t>
            </w:r>
          </w:p>
        </w:tc>
      </w:tr>
      <w:tr w:rsidR="00D907AF" w:rsidRPr="0021788B" w:rsidTr="00843B24">
        <w:trPr>
          <w:trHeight w:val="340"/>
        </w:trPr>
        <w:tc>
          <w:tcPr>
            <w:tcW w:w="4111" w:type="dxa"/>
            <w:shd w:val="clear" w:color="auto" w:fill="auto"/>
          </w:tcPr>
          <w:p w:rsidR="00D907AF" w:rsidRPr="0021788B" w:rsidRDefault="00D907AF" w:rsidP="00D907AF">
            <w:pPr>
              <w:spacing w:before="20" w:after="20"/>
              <w:rPr>
                <w:rFonts w:cstheme="minorHAnsi"/>
                <w:sz w:val="20"/>
                <w:szCs w:val="20"/>
              </w:rPr>
            </w:pPr>
            <w:r w:rsidRPr="0021788B">
              <w:rPr>
                <w:rFonts w:cstheme="minorHAnsi"/>
                <w:sz w:val="20"/>
                <w:szCs w:val="20"/>
              </w:rPr>
              <w:t>Speech condition</w:t>
            </w:r>
          </w:p>
        </w:tc>
        <w:tc>
          <w:tcPr>
            <w:tcW w:w="709" w:type="dxa"/>
            <w:shd w:val="clear" w:color="auto" w:fill="auto"/>
            <w:vAlign w:val="center"/>
          </w:tcPr>
          <w:p w:rsidR="00D907AF" w:rsidRPr="0021788B" w:rsidRDefault="00D907AF" w:rsidP="001E1DF1">
            <w:pPr>
              <w:spacing w:before="20" w:after="20"/>
              <w:ind w:right="57"/>
              <w:jc w:val="right"/>
              <w:rPr>
                <w:rFonts w:cstheme="minorHAnsi"/>
                <w:color w:val="000000"/>
                <w:sz w:val="20"/>
                <w:szCs w:val="20"/>
              </w:rPr>
            </w:pPr>
            <w:r w:rsidRPr="0021788B">
              <w:rPr>
                <w:rFonts w:cstheme="minorHAnsi"/>
                <w:color w:val="000000"/>
                <w:sz w:val="20"/>
                <w:szCs w:val="20"/>
              </w:rPr>
              <w:t>15</w:t>
            </w:r>
          </w:p>
        </w:tc>
        <w:tc>
          <w:tcPr>
            <w:tcW w:w="794" w:type="dxa"/>
            <w:shd w:val="clear" w:color="auto" w:fill="auto"/>
            <w:vAlign w:val="center"/>
          </w:tcPr>
          <w:p w:rsidR="00D907AF" w:rsidRPr="0021788B" w:rsidRDefault="00D907AF" w:rsidP="00D907AF">
            <w:pPr>
              <w:spacing w:before="20" w:after="20"/>
              <w:jc w:val="right"/>
              <w:rPr>
                <w:rFonts w:cstheme="minorHAnsi"/>
                <w:color w:val="000000"/>
                <w:sz w:val="20"/>
                <w:szCs w:val="20"/>
              </w:rPr>
            </w:pPr>
            <w:r w:rsidRPr="0021788B">
              <w:rPr>
                <w:rFonts w:cstheme="minorHAnsi"/>
                <w:color w:val="000000"/>
                <w:sz w:val="20"/>
                <w:szCs w:val="20"/>
              </w:rPr>
              <w:t>1.7</w:t>
            </w:r>
          </w:p>
        </w:tc>
        <w:tc>
          <w:tcPr>
            <w:tcW w:w="1077" w:type="dxa"/>
            <w:shd w:val="clear" w:color="auto" w:fill="auto"/>
            <w:vAlign w:val="center"/>
          </w:tcPr>
          <w:p w:rsidR="00D907AF" w:rsidRPr="0021788B" w:rsidRDefault="00D907AF" w:rsidP="00E056E0">
            <w:pPr>
              <w:spacing w:before="20" w:after="20"/>
              <w:ind w:right="227"/>
              <w:jc w:val="right"/>
              <w:rPr>
                <w:rFonts w:cstheme="minorHAnsi"/>
                <w:color w:val="000000"/>
                <w:sz w:val="20"/>
                <w:szCs w:val="20"/>
              </w:rPr>
            </w:pPr>
            <w:r w:rsidRPr="0021788B">
              <w:rPr>
                <w:rFonts w:cstheme="minorHAnsi"/>
                <w:color w:val="000000"/>
                <w:sz w:val="20"/>
                <w:szCs w:val="20"/>
              </w:rPr>
              <w:t>9</w:t>
            </w:r>
          </w:p>
        </w:tc>
        <w:tc>
          <w:tcPr>
            <w:tcW w:w="1020" w:type="dxa"/>
            <w:shd w:val="clear" w:color="auto" w:fill="auto"/>
            <w:vAlign w:val="center"/>
          </w:tcPr>
          <w:p w:rsidR="00D907AF" w:rsidRPr="0021788B" w:rsidRDefault="00D907AF" w:rsidP="00CF7BC8">
            <w:pPr>
              <w:spacing w:before="20" w:after="20"/>
              <w:ind w:right="227"/>
              <w:jc w:val="right"/>
              <w:rPr>
                <w:rFonts w:cstheme="minorHAnsi"/>
                <w:color w:val="000000"/>
                <w:sz w:val="20"/>
                <w:szCs w:val="20"/>
              </w:rPr>
            </w:pPr>
            <w:r w:rsidRPr="0021788B">
              <w:rPr>
                <w:rFonts w:cstheme="minorHAnsi"/>
                <w:color w:val="000000"/>
                <w:sz w:val="20"/>
                <w:szCs w:val="20"/>
              </w:rPr>
              <w:t>0.9</w:t>
            </w:r>
          </w:p>
        </w:tc>
        <w:tc>
          <w:tcPr>
            <w:tcW w:w="795" w:type="dxa"/>
            <w:shd w:val="clear" w:color="auto" w:fill="auto"/>
            <w:vAlign w:val="center"/>
          </w:tcPr>
          <w:p w:rsidR="00D907AF" w:rsidRPr="0021788B" w:rsidRDefault="00D907AF" w:rsidP="00CF7BC8">
            <w:pPr>
              <w:spacing w:before="20" w:after="20"/>
              <w:ind w:right="57"/>
              <w:jc w:val="right"/>
              <w:rPr>
                <w:rFonts w:cstheme="minorHAnsi"/>
                <w:color w:val="000000"/>
                <w:sz w:val="20"/>
                <w:szCs w:val="20"/>
              </w:rPr>
            </w:pPr>
            <w:r w:rsidRPr="0021788B">
              <w:rPr>
                <w:rFonts w:cstheme="minorHAnsi"/>
                <w:color w:val="000000"/>
                <w:sz w:val="20"/>
                <w:szCs w:val="20"/>
              </w:rPr>
              <w:t>24</w:t>
            </w:r>
          </w:p>
        </w:tc>
        <w:tc>
          <w:tcPr>
            <w:tcW w:w="850" w:type="dxa"/>
            <w:shd w:val="clear" w:color="auto" w:fill="auto"/>
            <w:vAlign w:val="center"/>
          </w:tcPr>
          <w:p w:rsidR="00D907AF" w:rsidRPr="0021788B" w:rsidRDefault="00D907AF" w:rsidP="00D907AF">
            <w:pPr>
              <w:spacing w:before="20" w:after="20"/>
              <w:jc w:val="right"/>
              <w:rPr>
                <w:rFonts w:cstheme="minorHAnsi"/>
                <w:color w:val="000000"/>
                <w:sz w:val="20"/>
                <w:szCs w:val="20"/>
              </w:rPr>
            </w:pPr>
            <w:r w:rsidRPr="0021788B">
              <w:rPr>
                <w:rFonts w:cstheme="minorHAnsi"/>
                <w:color w:val="000000"/>
                <w:sz w:val="20"/>
                <w:szCs w:val="20"/>
              </w:rPr>
              <w:t>1.3</w:t>
            </w:r>
          </w:p>
        </w:tc>
      </w:tr>
      <w:tr w:rsidR="00D907AF" w:rsidRPr="0021788B" w:rsidTr="00843B24">
        <w:trPr>
          <w:trHeight w:val="340"/>
        </w:trPr>
        <w:tc>
          <w:tcPr>
            <w:tcW w:w="4111" w:type="dxa"/>
            <w:shd w:val="clear" w:color="auto" w:fill="auto"/>
          </w:tcPr>
          <w:p w:rsidR="00D907AF" w:rsidRPr="0021788B" w:rsidRDefault="00D907AF" w:rsidP="00D907AF">
            <w:pPr>
              <w:spacing w:before="20" w:after="20"/>
              <w:rPr>
                <w:rFonts w:cstheme="minorHAnsi"/>
                <w:sz w:val="20"/>
                <w:szCs w:val="20"/>
              </w:rPr>
            </w:pPr>
            <w:r w:rsidRPr="0021788B">
              <w:rPr>
                <w:rFonts w:cstheme="minorHAnsi"/>
                <w:sz w:val="20"/>
                <w:szCs w:val="20"/>
              </w:rPr>
              <w:t>Vision condition</w:t>
            </w:r>
          </w:p>
        </w:tc>
        <w:tc>
          <w:tcPr>
            <w:tcW w:w="709" w:type="dxa"/>
            <w:shd w:val="clear" w:color="auto" w:fill="auto"/>
            <w:vAlign w:val="center"/>
          </w:tcPr>
          <w:p w:rsidR="00D907AF" w:rsidRPr="0021788B" w:rsidRDefault="00D907AF" w:rsidP="001E1DF1">
            <w:pPr>
              <w:spacing w:before="20" w:after="20"/>
              <w:ind w:right="57"/>
              <w:jc w:val="right"/>
              <w:rPr>
                <w:rFonts w:cstheme="minorHAnsi"/>
                <w:color w:val="000000"/>
                <w:sz w:val="20"/>
                <w:szCs w:val="20"/>
              </w:rPr>
            </w:pPr>
            <w:r w:rsidRPr="0021788B">
              <w:rPr>
                <w:rFonts w:cstheme="minorHAnsi"/>
                <w:color w:val="000000"/>
                <w:sz w:val="20"/>
                <w:szCs w:val="20"/>
              </w:rPr>
              <w:t>22</w:t>
            </w:r>
          </w:p>
        </w:tc>
        <w:tc>
          <w:tcPr>
            <w:tcW w:w="794" w:type="dxa"/>
            <w:shd w:val="clear" w:color="auto" w:fill="auto"/>
            <w:vAlign w:val="center"/>
          </w:tcPr>
          <w:p w:rsidR="00D907AF" w:rsidRPr="0021788B" w:rsidRDefault="00D907AF" w:rsidP="00D907AF">
            <w:pPr>
              <w:spacing w:before="20" w:after="20"/>
              <w:jc w:val="right"/>
              <w:rPr>
                <w:rFonts w:cstheme="minorHAnsi"/>
                <w:color w:val="000000"/>
                <w:sz w:val="20"/>
                <w:szCs w:val="20"/>
              </w:rPr>
            </w:pPr>
            <w:r w:rsidRPr="0021788B">
              <w:rPr>
                <w:rFonts w:cstheme="minorHAnsi"/>
                <w:color w:val="000000"/>
                <w:sz w:val="20"/>
                <w:szCs w:val="20"/>
              </w:rPr>
              <w:t>2.5</w:t>
            </w:r>
          </w:p>
        </w:tc>
        <w:tc>
          <w:tcPr>
            <w:tcW w:w="1077" w:type="dxa"/>
            <w:shd w:val="clear" w:color="auto" w:fill="auto"/>
            <w:vAlign w:val="center"/>
          </w:tcPr>
          <w:p w:rsidR="00D907AF" w:rsidRPr="0021788B" w:rsidRDefault="00D907AF" w:rsidP="00E056E0">
            <w:pPr>
              <w:spacing w:before="20" w:after="20"/>
              <w:ind w:right="227"/>
              <w:jc w:val="right"/>
              <w:rPr>
                <w:rFonts w:cstheme="minorHAnsi"/>
                <w:color w:val="000000"/>
                <w:sz w:val="20"/>
                <w:szCs w:val="20"/>
              </w:rPr>
            </w:pPr>
            <w:r w:rsidRPr="0021788B">
              <w:rPr>
                <w:rFonts w:cstheme="minorHAnsi"/>
                <w:color w:val="000000"/>
                <w:sz w:val="20"/>
                <w:szCs w:val="20"/>
              </w:rPr>
              <w:t>44</w:t>
            </w:r>
          </w:p>
        </w:tc>
        <w:tc>
          <w:tcPr>
            <w:tcW w:w="1020" w:type="dxa"/>
            <w:shd w:val="clear" w:color="auto" w:fill="auto"/>
            <w:vAlign w:val="center"/>
          </w:tcPr>
          <w:p w:rsidR="00D907AF" w:rsidRPr="0021788B" w:rsidRDefault="00D907AF" w:rsidP="00CF7BC8">
            <w:pPr>
              <w:spacing w:before="20" w:after="20"/>
              <w:ind w:right="227"/>
              <w:jc w:val="right"/>
              <w:rPr>
                <w:rFonts w:cstheme="minorHAnsi"/>
                <w:color w:val="000000"/>
                <w:sz w:val="20"/>
                <w:szCs w:val="20"/>
              </w:rPr>
            </w:pPr>
            <w:r w:rsidRPr="0021788B">
              <w:rPr>
                <w:rFonts w:cstheme="minorHAnsi"/>
                <w:color w:val="000000"/>
                <w:sz w:val="20"/>
                <w:szCs w:val="20"/>
              </w:rPr>
              <w:t>4.4</w:t>
            </w:r>
          </w:p>
        </w:tc>
        <w:tc>
          <w:tcPr>
            <w:tcW w:w="795" w:type="dxa"/>
            <w:shd w:val="clear" w:color="auto" w:fill="auto"/>
            <w:vAlign w:val="center"/>
          </w:tcPr>
          <w:p w:rsidR="00D907AF" w:rsidRPr="0021788B" w:rsidRDefault="00D907AF" w:rsidP="00CF7BC8">
            <w:pPr>
              <w:spacing w:before="20" w:after="20"/>
              <w:ind w:right="57"/>
              <w:jc w:val="right"/>
              <w:rPr>
                <w:rFonts w:cstheme="minorHAnsi"/>
                <w:color w:val="000000"/>
                <w:sz w:val="20"/>
                <w:szCs w:val="20"/>
              </w:rPr>
            </w:pPr>
            <w:r w:rsidRPr="0021788B">
              <w:rPr>
                <w:rFonts w:cstheme="minorHAnsi"/>
                <w:color w:val="000000"/>
                <w:sz w:val="20"/>
                <w:szCs w:val="20"/>
              </w:rPr>
              <w:t>66</w:t>
            </w:r>
          </w:p>
        </w:tc>
        <w:tc>
          <w:tcPr>
            <w:tcW w:w="850" w:type="dxa"/>
            <w:shd w:val="clear" w:color="auto" w:fill="auto"/>
            <w:vAlign w:val="center"/>
          </w:tcPr>
          <w:p w:rsidR="00D907AF" w:rsidRPr="0021788B" w:rsidRDefault="00D907AF" w:rsidP="00D907AF">
            <w:pPr>
              <w:spacing w:before="20" w:after="20"/>
              <w:jc w:val="right"/>
              <w:rPr>
                <w:rFonts w:cstheme="minorHAnsi"/>
                <w:color w:val="000000"/>
                <w:sz w:val="20"/>
                <w:szCs w:val="20"/>
              </w:rPr>
            </w:pPr>
            <w:r w:rsidRPr="0021788B">
              <w:rPr>
                <w:rFonts w:cstheme="minorHAnsi"/>
                <w:color w:val="000000"/>
                <w:sz w:val="20"/>
                <w:szCs w:val="20"/>
              </w:rPr>
              <w:t>3.5</w:t>
            </w:r>
          </w:p>
        </w:tc>
      </w:tr>
      <w:tr w:rsidR="00D907AF" w:rsidRPr="0021788B" w:rsidTr="00843B24">
        <w:trPr>
          <w:trHeight w:val="340"/>
        </w:trPr>
        <w:tc>
          <w:tcPr>
            <w:tcW w:w="4111" w:type="dxa"/>
            <w:shd w:val="clear" w:color="auto" w:fill="auto"/>
          </w:tcPr>
          <w:p w:rsidR="00D907AF" w:rsidRPr="0021788B" w:rsidRDefault="00D907AF" w:rsidP="00D907AF">
            <w:pPr>
              <w:spacing w:before="20" w:after="20"/>
              <w:rPr>
                <w:rFonts w:cstheme="minorHAnsi"/>
                <w:sz w:val="20"/>
                <w:szCs w:val="20"/>
              </w:rPr>
            </w:pPr>
            <w:r w:rsidRPr="0021788B">
              <w:rPr>
                <w:rFonts w:cstheme="minorHAnsi"/>
                <w:sz w:val="20"/>
                <w:szCs w:val="20"/>
              </w:rPr>
              <w:t>Intellectual disability</w:t>
            </w:r>
          </w:p>
        </w:tc>
        <w:tc>
          <w:tcPr>
            <w:tcW w:w="709" w:type="dxa"/>
            <w:shd w:val="clear" w:color="auto" w:fill="auto"/>
            <w:vAlign w:val="center"/>
          </w:tcPr>
          <w:p w:rsidR="00D907AF" w:rsidRPr="0021788B" w:rsidRDefault="00D907AF" w:rsidP="001E1DF1">
            <w:pPr>
              <w:spacing w:before="20" w:after="20"/>
              <w:ind w:right="57"/>
              <w:jc w:val="right"/>
              <w:rPr>
                <w:rFonts w:cstheme="minorHAnsi"/>
                <w:color w:val="000000"/>
                <w:sz w:val="20"/>
                <w:szCs w:val="20"/>
              </w:rPr>
            </w:pPr>
            <w:r w:rsidRPr="0021788B">
              <w:rPr>
                <w:rFonts w:cstheme="minorHAnsi"/>
                <w:color w:val="000000"/>
                <w:sz w:val="20"/>
                <w:szCs w:val="20"/>
              </w:rPr>
              <w:t>172</w:t>
            </w:r>
          </w:p>
        </w:tc>
        <w:tc>
          <w:tcPr>
            <w:tcW w:w="794" w:type="dxa"/>
            <w:shd w:val="clear" w:color="auto" w:fill="auto"/>
            <w:vAlign w:val="center"/>
          </w:tcPr>
          <w:p w:rsidR="00D907AF" w:rsidRPr="0021788B" w:rsidRDefault="00D907AF" w:rsidP="00D907AF">
            <w:pPr>
              <w:spacing w:before="20" w:after="20"/>
              <w:jc w:val="right"/>
              <w:rPr>
                <w:rFonts w:cstheme="minorHAnsi"/>
                <w:color w:val="000000"/>
                <w:sz w:val="20"/>
                <w:szCs w:val="20"/>
              </w:rPr>
            </w:pPr>
            <w:r w:rsidRPr="0021788B">
              <w:rPr>
                <w:rFonts w:cstheme="minorHAnsi"/>
                <w:color w:val="000000"/>
                <w:sz w:val="20"/>
                <w:szCs w:val="20"/>
              </w:rPr>
              <w:t>19.3</w:t>
            </w:r>
          </w:p>
        </w:tc>
        <w:tc>
          <w:tcPr>
            <w:tcW w:w="1077" w:type="dxa"/>
            <w:shd w:val="clear" w:color="auto" w:fill="auto"/>
            <w:vAlign w:val="center"/>
          </w:tcPr>
          <w:p w:rsidR="00D907AF" w:rsidRPr="0021788B" w:rsidRDefault="00D907AF" w:rsidP="00E056E0">
            <w:pPr>
              <w:spacing w:before="20" w:after="20"/>
              <w:ind w:right="227"/>
              <w:jc w:val="right"/>
              <w:rPr>
                <w:rFonts w:cstheme="minorHAnsi"/>
                <w:color w:val="000000"/>
                <w:sz w:val="20"/>
                <w:szCs w:val="20"/>
              </w:rPr>
            </w:pPr>
            <w:r w:rsidRPr="0021788B">
              <w:rPr>
                <w:rFonts w:cstheme="minorHAnsi"/>
                <w:color w:val="000000"/>
                <w:sz w:val="20"/>
                <w:szCs w:val="20"/>
              </w:rPr>
              <w:t>123</w:t>
            </w:r>
          </w:p>
        </w:tc>
        <w:tc>
          <w:tcPr>
            <w:tcW w:w="1020" w:type="dxa"/>
            <w:shd w:val="clear" w:color="auto" w:fill="auto"/>
            <w:vAlign w:val="center"/>
          </w:tcPr>
          <w:p w:rsidR="00D907AF" w:rsidRPr="0021788B" w:rsidRDefault="00D907AF" w:rsidP="00CF7BC8">
            <w:pPr>
              <w:spacing w:before="20" w:after="20"/>
              <w:ind w:right="227"/>
              <w:jc w:val="right"/>
              <w:rPr>
                <w:rFonts w:cstheme="minorHAnsi"/>
                <w:color w:val="000000"/>
                <w:sz w:val="20"/>
                <w:szCs w:val="20"/>
              </w:rPr>
            </w:pPr>
            <w:r w:rsidRPr="0021788B">
              <w:rPr>
                <w:rFonts w:cstheme="minorHAnsi"/>
                <w:color w:val="000000"/>
                <w:sz w:val="20"/>
                <w:szCs w:val="20"/>
              </w:rPr>
              <w:t>12.3</w:t>
            </w:r>
          </w:p>
        </w:tc>
        <w:tc>
          <w:tcPr>
            <w:tcW w:w="795" w:type="dxa"/>
            <w:shd w:val="clear" w:color="auto" w:fill="auto"/>
            <w:vAlign w:val="center"/>
          </w:tcPr>
          <w:p w:rsidR="00D907AF" w:rsidRPr="0021788B" w:rsidRDefault="00D907AF" w:rsidP="00CF7BC8">
            <w:pPr>
              <w:spacing w:before="20" w:after="20"/>
              <w:ind w:right="57"/>
              <w:jc w:val="right"/>
              <w:rPr>
                <w:rFonts w:cstheme="minorHAnsi"/>
                <w:color w:val="000000"/>
                <w:sz w:val="20"/>
                <w:szCs w:val="20"/>
              </w:rPr>
            </w:pPr>
            <w:r w:rsidRPr="0021788B">
              <w:rPr>
                <w:rFonts w:cstheme="minorHAnsi"/>
                <w:color w:val="000000"/>
                <w:sz w:val="20"/>
                <w:szCs w:val="20"/>
              </w:rPr>
              <w:t>295</w:t>
            </w:r>
          </w:p>
        </w:tc>
        <w:tc>
          <w:tcPr>
            <w:tcW w:w="850" w:type="dxa"/>
            <w:shd w:val="clear" w:color="auto" w:fill="auto"/>
            <w:vAlign w:val="center"/>
          </w:tcPr>
          <w:p w:rsidR="00D907AF" w:rsidRPr="0021788B" w:rsidRDefault="00D907AF" w:rsidP="00D907AF">
            <w:pPr>
              <w:spacing w:before="20" w:after="20"/>
              <w:jc w:val="right"/>
              <w:rPr>
                <w:rFonts w:cstheme="minorHAnsi"/>
                <w:color w:val="000000"/>
                <w:sz w:val="20"/>
                <w:szCs w:val="20"/>
              </w:rPr>
            </w:pPr>
            <w:r w:rsidRPr="0021788B">
              <w:rPr>
                <w:rFonts w:cstheme="minorHAnsi"/>
                <w:color w:val="000000"/>
                <w:sz w:val="20"/>
                <w:szCs w:val="20"/>
              </w:rPr>
              <w:t>15.6</w:t>
            </w:r>
          </w:p>
        </w:tc>
      </w:tr>
      <w:tr w:rsidR="00D907AF" w:rsidRPr="0021788B" w:rsidTr="00843B24">
        <w:trPr>
          <w:trHeight w:val="340"/>
        </w:trPr>
        <w:tc>
          <w:tcPr>
            <w:tcW w:w="4111" w:type="dxa"/>
            <w:shd w:val="clear" w:color="auto" w:fill="auto"/>
          </w:tcPr>
          <w:p w:rsidR="00D907AF" w:rsidRPr="0021788B" w:rsidRDefault="00D907AF" w:rsidP="00D907AF">
            <w:pPr>
              <w:spacing w:before="20" w:after="20"/>
              <w:rPr>
                <w:rFonts w:cstheme="minorHAnsi"/>
                <w:sz w:val="20"/>
                <w:szCs w:val="20"/>
              </w:rPr>
            </w:pPr>
            <w:r w:rsidRPr="0021788B">
              <w:rPr>
                <w:rFonts w:cstheme="minorHAnsi"/>
                <w:sz w:val="20"/>
                <w:szCs w:val="20"/>
              </w:rPr>
              <w:t>Developmental condition</w:t>
            </w:r>
          </w:p>
        </w:tc>
        <w:tc>
          <w:tcPr>
            <w:tcW w:w="709" w:type="dxa"/>
            <w:shd w:val="clear" w:color="auto" w:fill="auto"/>
            <w:vAlign w:val="center"/>
          </w:tcPr>
          <w:p w:rsidR="00D907AF" w:rsidRPr="0021788B" w:rsidRDefault="00D907AF" w:rsidP="001E1DF1">
            <w:pPr>
              <w:spacing w:before="20" w:after="20"/>
              <w:ind w:right="57"/>
              <w:jc w:val="right"/>
              <w:rPr>
                <w:rFonts w:cstheme="minorHAnsi"/>
                <w:color w:val="000000"/>
                <w:sz w:val="20"/>
                <w:szCs w:val="20"/>
              </w:rPr>
            </w:pPr>
            <w:r w:rsidRPr="0021788B">
              <w:rPr>
                <w:rFonts w:cstheme="minorHAnsi"/>
                <w:color w:val="000000"/>
                <w:sz w:val="20"/>
                <w:szCs w:val="20"/>
              </w:rPr>
              <w:t>228</w:t>
            </w:r>
          </w:p>
        </w:tc>
        <w:tc>
          <w:tcPr>
            <w:tcW w:w="794" w:type="dxa"/>
            <w:shd w:val="clear" w:color="auto" w:fill="auto"/>
            <w:vAlign w:val="center"/>
          </w:tcPr>
          <w:p w:rsidR="00D907AF" w:rsidRPr="0021788B" w:rsidRDefault="00D907AF" w:rsidP="00D907AF">
            <w:pPr>
              <w:spacing w:before="20" w:after="20"/>
              <w:jc w:val="right"/>
              <w:rPr>
                <w:rFonts w:cstheme="minorHAnsi"/>
                <w:color w:val="000000"/>
                <w:sz w:val="20"/>
                <w:szCs w:val="20"/>
              </w:rPr>
            </w:pPr>
            <w:r w:rsidRPr="0021788B">
              <w:rPr>
                <w:rFonts w:cstheme="minorHAnsi"/>
                <w:color w:val="000000"/>
                <w:sz w:val="20"/>
                <w:szCs w:val="20"/>
              </w:rPr>
              <w:t>25.6</w:t>
            </w:r>
          </w:p>
        </w:tc>
        <w:tc>
          <w:tcPr>
            <w:tcW w:w="1077" w:type="dxa"/>
            <w:shd w:val="clear" w:color="auto" w:fill="auto"/>
            <w:vAlign w:val="center"/>
          </w:tcPr>
          <w:p w:rsidR="00D907AF" w:rsidRPr="0021788B" w:rsidRDefault="00D907AF" w:rsidP="00E056E0">
            <w:pPr>
              <w:spacing w:before="20" w:after="20"/>
              <w:ind w:right="227"/>
              <w:jc w:val="right"/>
              <w:rPr>
                <w:rFonts w:cstheme="minorHAnsi"/>
                <w:color w:val="000000"/>
                <w:sz w:val="20"/>
                <w:szCs w:val="20"/>
              </w:rPr>
            </w:pPr>
            <w:r w:rsidRPr="0021788B">
              <w:rPr>
                <w:rFonts w:cstheme="minorHAnsi"/>
                <w:color w:val="000000"/>
                <w:sz w:val="20"/>
                <w:szCs w:val="20"/>
              </w:rPr>
              <w:t>240</w:t>
            </w:r>
          </w:p>
        </w:tc>
        <w:tc>
          <w:tcPr>
            <w:tcW w:w="1020" w:type="dxa"/>
            <w:shd w:val="clear" w:color="auto" w:fill="auto"/>
            <w:vAlign w:val="center"/>
          </w:tcPr>
          <w:p w:rsidR="00D907AF" w:rsidRPr="0021788B" w:rsidRDefault="00D907AF" w:rsidP="00CF7BC8">
            <w:pPr>
              <w:spacing w:before="20" w:after="20"/>
              <w:ind w:right="227"/>
              <w:jc w:val="right"/>
              <w:rPr>
                <w:rFonts w:cstheme="minorHAnsi"/>
                <w:color w:val="000000"/>
                <w:sz w:val="20"/>
                <w:szCs w:val="20"/>
              </w:rPr>
            </w:pPr>
            <w:r w:rsidRPr="0021788B">
              <w:rPr>
                <w:rFonts w:cstheme="minorHAnsi"/>
                <w:color w:val="000000"/>
                <w:sz w:val="20"/>
                <w:szCs w:val="20"/>
              </w:rPr>
              <w:t>23.9</w:t>
            </w:r>
          </w:p>
        </w:tc>
        <w:tc>
          <w:tcPr>
            <w:tcW w:w="795" w:type="dxa"/>
            <w:shd w:val="clear" w:color="auto" w:fill="auto"/>
            <w:vAlign w:val="center"/>
          </w:tcPr>
          <w:p w:rsidR="00D907AF" w:rsidRPr="0021788B" w:rsidRDefault="00D907AF" w:rsidP="00CF7BC8">
            <w:pPr>
              <w:spacing w:before="20" w:after="20"/>
              <w:ind w:right="57"/>
              <w:jc w:val="right"/>
              <w:rPr>
                <w:rFonts w:cstheme="minorHAnsi"/>
                <w:color w:val="000000"/>
                <w:sz w:val="20"/>
                <w:szCs w:val="20"/>
              </w:rPr>
            </w:pPr>
            <w:r w:rsidRPr="0021788B">
              <w:rPr>
                <w:rFonts w:cstheme="minorHAnsi"/>
                <w:color w:val="000000"/>
                <w:sz w:val="20"/>
                <w:szCs w:val="20"/>
              </w:rPr>
              <w:t>468</w:t>
            </w:r>
          </w:p>
        </w:tc>
        <w:tc>
          <w:tcPr>
            <w:tcW w:w="850" w:type="dxa"/>
            <w:shd w:val="clear" w:color="auto" w:fill="auto"/>
            <w:vAlign w:val="center"/>
          </w:tcPr>
          <w:p w:rsidR="00D907AF" w:rsidRPr="0021788B" w:rsidRDefault="00D907AF" w:rsidP="00D907AF">
            <w:pPr>
              <w:spacing w:before="20" w:after="20"/>
              <w:jc w:val="right"/>
              <w:rPr>
                <w:rFonts w:cstheme="minorHAnsi"/>
                <w:color w:val="000000"/>
                <w:sz w:val="20"/>
                <w:szCs w:val="20"/>
              </w:rPr>
            </w:pPr>
            <w:r w:rsidRPr="0021788B">
              <w:rPr>
                <w:rFonts w:cstheme="minorHAnsi"/>
                <w:color w:val="000000"/>
                <w:sz w:val="20"/>
                <w:szCs w:val="20"/>
              </w:rPr>
              <w:t>24.7</w:t>
            </w:r>
          </w:p>
        </w:tc>
      </w:tr>
      <w:tr w:rsidR="00D907AF" w:rsidRPr="0021788B" w:rsidTr="00843B24">
        <w:trPr>
          <w:trHeight w:val="340"/>
        </w:trPr>
        <w:tc>
          <w:tcPr>
            <w:tcW w:w="4111" w:type="dxa"/>
            <w:shd w:val="clear" w:color="auto" w:fill="auto"/>
          </w:tcPr>
          <w:p w:rsidR="00D907AF" w:rsidRPr="0021788B" w:rsidRDefault="00D907AF" w:rsidP="00D907AF">
            <w:pPr>
              <w:spacing w:before="20" w:after="20"/>
              <w:rPr>
                <w:rFonts w:cstheme="minorHAnsi"/>
                <w:sz w:val="20"/>
                <w:szCs w:val="20"/>
              </w:rPr>
            </w:pPr>
            <w:r w:rsidRPr="0021788B">
              <w:rPr>
                <w:rFonts w:cstheme="minorHAnsi"/>
                <w:sz w:val="20"/>
                <w:szCs w:val="20"/>
              </w:rPr>
              <w:t>Neurological condition</w:t>
            </w:r>
          </w:p>
        </w:tc>
        <w:tc>
          <w:tcPr>
            <w:tcW w:w="709" w:type="dxa"/>
            <w:shd w:val="clear" w:color="auto" w:fill="auto"/>
            <w:vAlign w:val="center"/>
          </w:tcPr>
          <w:p w:rsidR="00D907AF" w:rsidRPr="0021788B" w:rsidRDefault="00D907AF" w:rsidP="001E1DF1">
            <w:pPr>
              <w:spacing w:before="20" w:after="20"/>
              <w:ind w:right="57"/>
              <w:jc w:val="right"/>
              <w:rPr>
                <w:rFonts w:cstheme="minorHAnsi"/>
                <w:color w:val="000000"/>
                <w:sz w:val="20"/>
                <w:szCs w:val="20"/>
              </w:rPr>
            </w:pPr>
            <w:r w:rsidRPr="0021788B">
              <w:rPr>
                <w:rFonts w:cstheme="minorHAnsi"/>
                <w:color w:val="000000"/>
                <w:sz w:val="20"/>
                <w:szCs w:val="20"/>
              </w:rPr>
              <w:t>151</w:t>
            </w:r>
          </w:p>
        </w:tc>
        <w:tc>
          <w:tcPr>
            <w:tcW w:w="794" w:type="dxa"/>
            <w:shd w:val="clear" w:color="auto" w:fill="auto"/>
            <w:vAlign w:val="center"/>
          </w:tcPr>
          <w:p w:rsidR="00D907AF" w:rsidRPr="0021788B" w:rsidRDefault="00D907AF" w:rsidP="00D907AF">
            <w:pPr>
              <w:spacing w:before="20" w:after="20"/>
              <w:jc w:val="right"/>
              <w:rPr>
                <w:rFonts w:cstheme="minorHAnsi"/>
                <w:color w:val="000000"/>
                <w:sz w:val="20"/>
                <w:szCs w:val="20"/>
              </w:rPr>
            </w:pPr>
            <w:r w:rsidRPr="0021788B">
              <w:rPr>
                <w:rFonts w:cstheme="minorHAnsi"/>
                <w:color w:val="000000"/>
                <w:sz w:val="20"/>
                <w:szCs w:val="20"/>
              </w:rPr>
              <w:t>17.0</w:t>
            </w:r>
          </w:p>
        </w:tc>
        <w:tc>
          <w:tcPr>
            <w:tcW w:w="1077" w:type="dxa"/>
            <w:shd w:val="clear" w:color="auto" w:fill="auto"/>
            <w:vAlign w:val="center"/>
          </w:tcPr>
          <w:p w:rsidR="00D907AF" w:rsidRPr="0021788B" w:rsidRDefault="00D907AF" w:rsidP="00E056E0">
            <w:pPr>
              <w:spacing w:before="20" w:after="20"/>
              <w:ind w:right="227"/>
              <w:jc w:val="right"/>
              <w:rPr>
                <w:rFonts w:cstheme="minorHAnsi"/>
                <w:color w:val="000000"/>
                <w:sz w:val="20"/>
                <w:szCs w:val="20"/>
              </w:rPr>
            </w:pPr>
            <w:r w:rsidRPr="0021788B">
              <w:rPr>
                <w:rFonts w:cstheme="minorHAnsi"/>
                <w:color w:val="000000"/>
                <w:sz w:val="20"/>
                <w:szCs w:val="20"/>
              </w:rPr>
              <w:t>99</w:t>
            </w:r>
          </w:p>
        </w:tc>
        <w:tc>
          <w:tcPr>
            <w:tcW w:w="1020" w:type="dxa"/>
            <w:shd w:val="clear" w:color="auto" w:fill="auto"/>
            <w:vAlign w:val="center"/>
          </w:tcPr>
          <w:p w:rsidR="00D907AF" w:rsidRPr="0021788B" w:rsidRDefault="00D907AF" w:rsidP="00CF7BC8">
            <w:pPr>
              <w:spacing w:before="20" w:after="20"/>
              <w:ind w:right="227"/>
              <w:jc w:val="right"/>
              <w:rPr>
                <w:rFonts w:cstheme="minorHAnsi"/>
                <w:color w:val="000000"/>
                <w:sz w:val="20"/>
                <w:szCs w:val="20"/>
              </w:rPr>
            </w:pPr>
            <w:r w:rsidRPr="0021788B">
              <w:rPr>
                <w:rFonts w:cstheme="minorHAnsi"/>
                <w:color w:val="000000"/>
                <w:sz w:val="20"/>
                <w:szCs w:val="20"/>
              </w:rPr>
              <w:t>9.9</w:t>
            </w:r>
          </w:p>
        </w:tc>
        <w:tc>
          <w:tcPr>
            <w:tcW w:w="795" w:type="dxa"/>
            <w:shd w:val="clear" w:color="auto" w:fill="auto"/>
            <w:vAlign w:val="center"/>
          </w:tcPr>
          <w:p w:rsidR="00D907AF" w:rsidRPr="0021788B" w:rsidRDefault="00D907AF" w:rsidP="00CF7BC8">
            <w:pPr>
              <w:spacing w:before="20" w:after="20"/>
              <w:ind w:right="57"/>
              <w:jc w:val="right"/>
              <w:rPr>
                <w:rFonts w:cstheme="minorHAnsi"/>
                <w:color w:val="000000"/>
                <w:sz w:val="20"/>
                <w:szCs w:val="20"/>
              </w:rPr>
            </w:pPr>
            <w:r w:rsidRPr="0021788B">
              <w:rPr>
                <w:rFonts w:cstheme="minorHAnsi"/>
                <w:color w:val="000000"/>
                <w:sz w:val="20"/>
                <w:szCs w:val="20"/>
              </w:rPr>
              <w:t>250</w:t>
            </w:r>
          </w:p>
        </w:tc>
        <w:tc>
          <w:tcPr>
            <w:tcW w:w="850" w:type="dxa"/>
            <w:shd w:val="clear" w:color="auto" w:fill="auto"/>
            <w:vAlign w:val="center"/>
          </w:tcPr>
          <w:p w:rsidR="00D907AF" w:rsidRPr="0021788B" w:rsidRDefault="00D907AF" w:rsidP="00D907AF">
            <w:pPr>
              <w:spacing w:before="20" w:after="20"/>
              <w:jc w:val="right"/>
              <w:rPr>
                <w:rFonts w:cstheme="minorHAnsi"/>
                <w:color w:val="000000"/>
                <w:sz w:val="20"/>
                <w:szCs w:val="20"/>
              </w:rPr>
            </w:pPr>
            <w:r w:rsidRPr="0021788B">
              <w:rPr>
                <w:rFonts w:cstheme="minorHAnsi"/>
                <w:color w:val="000000"/>
                <w:sz w:val="20"/>
                <w:szCs w:val="20"/>
              </w:rPr>
              <w:t>13.2</w:t>
            </w:r>
          </w:p>
        </w:tc>
      </w:tr>
      <w:tr w:rsidR="00D907AF" w:rsidRPr="0021788B" w:rsidTr="00843B24">
        <w:trPr>
          <w:trHeight w:val="340"/>
        </w:trPr>
        <w:tc>
          <w:tcPr>
            <w:tcW w:w="4111" w:type="dxa"/>
            <w:shd w:val="clear" w:color="auto" w:fill="auto"/>
          </w:tcPr>
          <w:p w:rsidR="00D907AF" w:rsidRPr="0021788B" w:rsidRDefault="00D907AF" w:rsidP="00D907AF">
            <w:pPr>
              <w:spacing w:before="20" w:after="20"/>
              <w:rPr>
                <w:rFonts w:cstheme="minorHAnsi"/>
                <w:sz w:val="20"/>
                <w:szCs w:val="20"/>
              </w:rPr>
            </w:pPr>
            <w:r w:rsidRPr="0021788B">
              <w:rPr>
                <w:rFonts w:cstheme="minorHAnsi"/>
                <w:sz w:val="20"/>
                <w:szCs w:val="20"/>
              </w:rPr>
              <w:t>Congenital or inherited condition</w:t>
            </w:r>
          </w:p>
        </w:tc>
        <w:tc>
          <w:tcPr>
            <w:tcW w:w="709" w:type="dxa"/>
            <w:shd w:val="clear" w:color="auto" w:fill="auto"/>
            <w:vAlign w:val="center"/>
          </w:tcPr>
          <w:p w:rsidR="00D907AF" w:rsidRPr="0021788B" w:rsidRDefault="00D907AF" w:rsidP="001E1DF1">
            <w:pPr>
              <w:spacing w:before="20" w:after="20"/>
              <w:ind w:right="57"/>
              <w:jc w:val="right"/>
              <w:rPr>
                <w:rFonts w:cstheme="minorHAnsi"/>
                <w:color w:val="000000"/>
                <w:sz w:val="20"/>
                <w:szCs w:val="20"/>
              </w:rPr>
            </w:pPr>
            <w:r w:rsidRPr="0021788B">
              <w:rPr>
                <w:rFonts w:cstheme="minorHAnsi"/>
                <w:color w:val="000000"/>
                <w:sz w:val="20"/>
                <w:szCs w:val="20"/>
              </w:rPr>
              <w:t>37</w:t>
            </w:r>
          </w:p>
        </w:tc>
        <w:tc>
          <w:tcPr>
            <w:tcW w:w="794" w:type="dxa"/>
            <w:shd w:val="clear" w:color="auto" w:fill="auto"/>
            <w:vAlign w:val="center"/>
          </w:tcPr>
          <w:p w:rsidR="00D907AF" w:rsidRPr="0021788B" w:rsidRDefault="00D907AF" w:rsidP="00D907AF">
            <w:pPr>
              <w:spacing w:before="20" w:after="20"/>
              <w:jc w:val="right"/>
              <w:rPr>
                <w:rFonts w:cstheme="minorHAnsi"/>
                <w:color w:val="000000"/>
                <w:sz w:val="20"/>
                <w:szCs w:val="20"/>
              </w:rPr>
            </w:pPr>
            <w:r w:rsidRPr="0021788B">
              <w:rPr>
                <w:rFonts w:cstheme="minorHAnsi"/>
                <w:color w:val="000000"/>
                <w:sz w:val="20"/>
                <w:szCs w:val="20"/>
              </w:rPr>
              <w:t>4.2</w:t>
            </w:r>
          </w:p>
        </w:tc>
        <w:tc>
          <w:tcPr>
            <w:tcW w:w="1077" w:type="dxa"/>
            <w:shd w:val="clear" w:color="auto" w:fill="auto"/>
            <w:vAlign w:val="center"/>
          </w:tcPr>
          <w:p w:rsidR="00D907AF" w:rsidRPr="0021788B" w:rsidRDefault="00D907AF" w:rsidP="00E056E0">
            <w:pPr>
              <w:spacing w:before="20" w:after="20"/>
              <w:ind w:right="227"/>
              <w:jc w:val="right"/>
              <w:rPr>
                <w:rFonts w:cstheme="minorHAnsi"/>
                <w:color w:val="000000"/>
                <w:sz w:val="20"/>
                <w:szCs w:val="20"/>
              </w:rPr>
            </w:pPr>
            <w:r w:rsidRPr="0021788B">
              <w:rPr>
                <w:rFonts w:cstheme="minorHAnsi"/>
                <w:color w:val="000000"/>
                <w:sz w:val="20"/>
                <w:szCs w:val="20"/>
              </w:rPr>
              <w:t>21</w:t>
            </w:r>
          </w:p>
        </w:tc>
        <w:tc>
          <w:tcPr>
            <w:tcW w:w="1020" w:type="dxa"/>
            <w:shd w:val="clear" w:color="auto" w:fill="auto"/>
            <w:vAlign w:val="center"/>
          </w:tcPr>
          <w:p w:rsidR="00D907AF" w:rsidRPr="0021788B" w:rsidRDefault="00D907AF" w:rsidP="00CF7BC8">
            <w:pPr>
              <w:spacing w:before="20" w:after="20"/>
              <w:ind w:right="227"/>
              <w:jc w:val="right"/>
              <w:rPr>
                <w:rFonts w:cstheme="minorHAnsi"/>
                <w:color w:val="000000"/>
                <w:sz w:val="20"/>
                <w:szCs w:val="20"/>
              </w:rPr>
            </w:pPr>
            <w:r w:rsidRPr="0021788B">
              <w:rPr>
                <w:rFonts w:cstheme="minorHAnsi"/>
                <w:color w:val="000000"/>
                <w:sz w:val="20"/>
                <w:szCs w:val="20"/>
              </w:rPr>
              <w:t>2.1</w:t>
            </w:r>
          </w:p>
        </w:tc>
        <w:tc>
          <w:tcPr>
            <w:tcW w:w="795" w:type="dxa"/>
            <w:shd w:val="clear" w:color="auto" w:fill="auto"/>
            <w:vAlign w:val="center"/>
          </w:tcPr>
          <w:p w:rsidR="00D907AF" w:rsidRPr="0021788B" w:rsidRDefault="00D907AF" w:rsidP="00CF7BC8">
            <w:pPr>
              <w:spacing w:before="20" w:after="20"/>
              <w:ind w:right="57"/>
              <w:jc w:val="right"/>
              <w:rPr>
                <w:rFonts w:cstheme="minorHAnsi"/>
                <w:color w:val="000000"/>
                <w:sz w:val="20"/>
                <w:szCs w:val="20"/>
              </w:rPr>
            </w:pPr>
            <w:r w:rsidRPr="0021788B">
              <w:rPr>
                <w:rFonts w:cstheme="minorHAnsi"/>
                <w:color w:val="000000"/>
                <w:sz w:val="20"/>
                <w:szCs w:val="20"/>
              </w:rPr>
              <w:t>58</w:t>
            </w:r>
          </w:p>
        </w:tc>
        <w:tc>
          <w:tcPr>
            <w:tcW w:w="850" w:type="dxa"/>
            <w:shd w:val="clear" w:color="auto" w:fill="auto"/>
            <w:vAlign w:val="center"/>
          </w:tcPr>
          <w:p w:rsidR="00D907AF" w:rsidRPr="0021788B" w:rsidRDefault="00D907AF" w:rsidP="00D907AF">
            <w:pPr>
              <w:spacing w:before="20" w:after="20"/>
              <w:jc w:val="right"/>
              <w:rPr>
                <w:rFonts w:cstheme="minorHAnsi"/>
                <w:color w:val="000000"/>
                <w:sz w:val="20"/>
                <w:szCs w:val="20"/>
              </w:rPr>
            </w:pPr>
            <w:r w:rsidRPr="0021788B">
              <w:rPr>
                <w:rFonts w:cstheme="minorHAnsi"/>
                <w:color w:val="000000"/>
                <w:sz w:val="20"/>
                <w:szCs w:val="20"/>
              </w:rPr>
              <w:t>3.1</w:t>
            </w:r>
          </w:p>
        </w:tc>
      </w:tr>
      <w:tr w:rsidR="00D907AF" w:rsidRPr="0021788B" w:rsidTr="00843B24">
        <w:trPr>
          <w:trHeight w:val="340"/>
        </w:trPr>
        <w:tc>
          <w:tcPr>
            <w:tcW w:w="4111" w:type="dxa"/>
            <w:shd w:val="clear" w:color="auto" w:fill="auto"/>
          </w:tcPr>
          <w:p w:rsidR="00D907AF" w:rsidRPr="0021788B" w:rsidRDefault="00D907AF" w:rsidP="00D907AF">
            <w:pPr>
              <w:spacing w:before="20" w:after="20"/>
              <w:rPr>
                <w:rFonts w:cstheme="minorHAnsi"/>
                <w:sz w:val="20"/>
                <w:szCs w:val="20"/>
              </w:rPr>
            </w:pPr>
            <w:r w:rsidRPr="0021788B">
              <w:rPr>
                <w:rFonts w:cstheme="minorHAnsi"/>
                <w:sz w:val="20"/>
                <w:szCs w:val="20"/>
              </w:rPr>
              <w:t>Other main condition</w:t>
            </w:r>
          </w:p>
        </w:tc>
        <w:tc>
          <w:tcPr>
            <w:tcW w:w="709" w:type="dxa"/>
            <w:shd w:val="clear" w:color="auto" w:fill="auto"/>
            <w:vAlign w:val="center"/>
          </w:tcPr>
          <w:p w:rsidR="00D907AF" w:rsidRPr="0021788B" w:rsidRDefault="00D907AF" w:rsidP="001E1DF1">
            <w:pPr>
              <w:spacing w:before="20" w:after="20"/>
              <w:ind w:right="57"/>
              <w:jc w:val="right"/>
              <w:rPr>
                <w:rFonts w:cstheme="minorHAnsi"/>
                <w:color w:val="000000"/>
                <w:sz w:val="20"/>
                <w:szCs w:val="20"/>
              </w:rPr>
            </w:pPr>
            <w:r w:rsidRPr="0021788B">
              <w:rPr>
                <w:rFonts w:cstheme="minorHAnsi"/>
                <w:color w:val="000000"/>
                <w:sz w:val="20"/>
                <w:szCs w:val="20"/>
              </w:rPr>
              <w:t>8</w:t>
            </w:r>
          </w:p>
        </w:tc>
        <w:tc>
          <w:tcPr>
            <w:tcW w:w="794" w:type="dxa"/>
            <w:shd w:val="clear" w:color="auto" w:fill="auto"/>
            <w:vAlign w:val="center"/>
          </w:tcPr>
          <w:p w:rsidR="00D907AF" w:rsidRPr="0021788B" w:rsidRDefault="00D907AF" w:rsidP="00D907AF">
            <w:pPr>
              <w:spacing w:before="20" w:after="20"/>
              <w:jc w:val="right"/>
              <w:rPr>
                <w:rFonts w:cstheme="minorHAnsi"/>
                <w:color w:val="000000"/>
                <w:sz w:val="20"/>
                <w:szCs w:val="20"/>
              </w:rPr>
            </w:pPr>
            <w:r w:rsidRPr="0021788B">
              <w:rPr>
                <w:rFonts w:cstheme="minorHAnsi"/>
                <w:color w:val="000000"/>
                <w:sz w:val="20"/>
                <w:szCs w:val="20"/>
              </w:rPr>
              <w:t>0.9</w:t>
            </w:r>
          </w:p>
        </w:tc>
        <w:tc>
          <w:tcPr>
            <w:tcW w:w="1077" w:type="dxa"/>
            <w:shd w:val="clear" w:color="auto" w:fill="auto"/>
            <w:vAlign w:val="center"/>
          </w:tcPr>
          <w:p w:rsidR="00D907AF" w:rsidRPr="0021788B" w:rsidRDefault="00D907AF" w:rsidP="00E056E0">
            <w:pPr>
              <w:spacing w:before="20" w:after="20"/>
              <w:ind w:right="227"/>
              <w:jc w:val="right"/>
              <w:rPr>
                <w:rFonts w:cstheme="minorHAnsi"/>
                <w:color w:val="000000"/>
                <w:sz w:val="20"/>
                <w:szCs w:val="20"/>
              </w:rPr>
            </w:pPr>
            <w:r w:rsidRPr="0021788B">
              <w:rPr>
                <w:rFonts w:cstheme="minorHAnsi"/>
                <w:color w:val="000000"/>
                <w:sz w:val="20"/>
                <w:szCs w:val="20"/>
              </w:rPr>
              <w:t>8</w:t>
            </w:r>
          </w:p>
        </w:tc>
        <w:tc>
          <w:tcPr>
            <w:tcW w:w="1020" w:type="dxa"/>
            <w:shd w:val="clear" w:color="auto" w:fill="auto"/>
            <w:vAlign w:val="center"/>
          </w:tcPr>
          <w:p w:rsidR="00D907AF" w:rsidRPr="0021788B" w:rsidRDefault="00D907AF" w:rsidP="00CF7BC8">
            <w:pPr>
              <w:spacing w:before="20" w:after="20"/>
              <w:ind w:right="227"/>
              <w:jc w:val="right"/>
              <w:rPr>
                <w:rFonts w:cstheme="minorHAnsi"/>
                <w:color w:val="000000"/>
                <w:sz w:val="20"/>
                <w:szCs w:val="20"/>
              </w:rPr>
            </w:pPr>
            <w:r w:rsidRPr="0021788B">
              <w:rPr>
                <w:rFonts w:cstheme="minorHAnsi"/>
                <w:color w:val="000000"/>
                <w:sz w:val="20"/>
                <w:szCs w:val="20"/>
              </w:rPr>
              <w:t>0.8</w:t>
            </w:r>
          </w:p>
        </w:tc>
        <w:tc>
          <w:tcPr>
            <w:tcW w:w="795" w:type="dxa"/>
            <w:shd w:val="clear" w:color="auto" w:fill="auto"/>
            <w:vAlign w:val="center"/>
          </w:tcPr>
          <w:p w:rsidR="00D907AF" w:rsidRPr="0021788B" w:rsidRDefault="00D907AF" w:rsidP="00CF7BC8">
            <w:pPr>
              <w:spacing w:before="20" w:after="20"/>
              <w:ind w:right="57"/>
              <w:jc w:val="right"/>
              <w:rPr>
                <w:rFonts w:cstheme="minorHAnsi"/>
                <w:color w:val="000000"/>
                <w:sz w:val="20"/>
                <w:szCs w:val="20"/>
              </w:rPr>
            </w:pPr>
            <w:r w:rsidRPr="0021788B">
              <w:rPr>
                <w:rFonts w:cstheme="minorHAnsi"/>
                <w:color w:val="000000"/>
                <w:sz w:val="20"/>
                <w:szCs w:val="20"/>
              </w:rPr>
              <w:t>16</w:t>
            </w:r>
          </w:p>
        </w:tc>
        <w:tc>
          <w:tcPr>
            <w:tcW w:w="850" w:type="dxa"/>
            <w:shd w:val="clear" w:color="auto" w:fill="auto"/>
            <w:vAlign w:val="center"/>
          </w:tcPr>
          <w:p w:rsidR="00D907AF" w:rsidRPr="0021788B" w:rsidRDefault="00D907AF" w:rsidP="00D907AF">
            <w:pPr>
              <w:spacing w:before="20" w:after="20"/>
              <w:jc w:val="right"/>
              <w:rPr>
                <w:rFonts w:cstheme="minorHAnsi"/>
                <w:color w:val="000000"/>
                <w:sz w:val="20"/>
                <w:szCs w:val="20"/>
              </w:rPr>
            </w:pPr>
            <w:r w:rsidRPr="0021788B">
              <w:rPr>
                <w:rFonts w:cstheme="minorHAnsi"/>
                <w:color w:val="000000"/>
                <w:sz w:val="20"/>
                <w:szCs w:val="20"/>
              </w:rPr>
              <w:t>0.8</w:t>
            </w:r>
          </w:p>
        </w:tc>
      </w:tr>
      <w:tr w:rsidR="00D907AF" w:rsidRPr="0021788B" w:rsidTr="00843B24">
        <w:trPr>
          <w:trHeight w:val="340"/>
        </w:trPr>
        <w:tc>
          <w:tcPr>
            <w:tcW w:w="4111" w:type="dxa"/>
            <w:shd w:val="clear" w:color="auto" w:fill="auto"/>
          </w:tcPr>
          <w:p w:rsidR="00D907AF" w:rsidRPr="0021788B" w:rsidRDefault="00D907AF" w:rsidP="00D907AF">
            <w:pPr>
              <w:spacing w:before="20" w:after="20"/>
              <w:rPr>
                <w:rFonts w:cstheme="minorHAnsi"/>
                <w:sz w:val="20"/>
                <w:szCs w:val="20"/>
              </w:rPr>
            </w:pPr>
            <w:r w:rsidRPr="0021788B">
              <w:rPr>
                <w:rFonts w:cstheme="minorHAnsi"/>
                <w:sz w:val="20"/>
                <w:szCs w:val="20"/>
              </w:rPr>
              <w:t>Condition not otherwise defined</w:t>
            </w:r>
          </w:p>
        </w:tc>
        <w:tc>
          <w:tcPr>
            <w:tcW w:w="709" w:type="dxa"/>
            <w:shd w:val="clear" w:color="auto" w:fill="auto"/>
            <w:vAlign w:val="center"/>
          </w:tcPr>
          <w:p w:rsidR="00D907AF" w:rsidRPr="0021788B" w:rsidRDefault="00D907AF" w:rsidP="001E1DF1">
            <w:pPr>
              <w:spacing w:before="20" w:after="20"/>
              <w:ind w:right="57"/>
              <w:jc w:val="right"/>
              <w:rPr>
                <w:rFonts w:cstheme="minorHAnsi"/>
                <w:color w:val="000000"/>
                <w:sz w:val="20"/>
                <w:szCs w:val="20"/>
              </w:rPr>
            </w:pPr>
            <w:r w:rsidRPr="0021788B">
              <w:rPr>
                <w:rFonts w:cstheme="minorHAnsi"/>
                <w:color w:val="000000"/>
                <w:sz w:val="20"/>
                <w:szCs w:val="20"/>
              </w:rPr>
              <w:t>5</w:t>
            </w:r>
          </w:p>
        </w:tc>
        <w:tc>
          <w:tcPr>
            <w:tcW w:w="794" w:type="dxa"/>
            <w:shd w:val="clear" w:color="auto" w:fill="auto"/>
            <w:vAlign w:val="center"/>
          </w:tcPr>
          <w:p w:rsidR="00D907AF" w:rsidRPr="0021788B" w:rsidRDefault="00D907AF" w:rsidP="00D907AF">
            <w:pPr>
              <w:spacing w:before="20" w:after="20"/>
              <w:jc w:val="right"/>
              <w:rPr>
                <w:rFonts w:cstheme="minorHAnsi"/>
                <w:color w:val="000000"/>
                <w:sz w:val="20"/>
                <w:szCs w:val="20"/>
              </w:rPr>
            </w:pPr>
            <w:r w:rsidRPr="0021788B">
              <w:rPr>
                <w:rFonts w:cstheme="minorHAnsi"/>
                <w:color w:val="000000"/>
                <w:sz w:val="20"/>
                <w:szCs w:val="20"/>
              </w:rPr>
              <w:t>0.6</w:t>
            </w:r>
          </w:p>
        </w:tc>
        <w:tc>
          <w:tcPr>
            <w:tcW w:w="1077" w:type="dxa"/>
            <w:shd w:val="clear" w:color="auto" w:fill="auto"/>
            <w:vAlign w:val="center"/>
          </w:tcPr>
          <w:p w:rsidR="00D907AF" w:rsidRPr="0021788B" w:rsidRDefault="00D907AF" w:rsidP="00E056E0">
            <w:pPr>
              <w:spacing w:before="20" w:after="20"/>
              <w:ind w:right="227"/>
              <w:jc w:val="right"/>
              <w:rPr>
                <w:rFonts w:cstheme="minorHAnsi"/>
                <w:color w:val="000000"/>
                <w:sz w:val="20"/>
                <w:szCs w:val="20"/>
              </w:rPr>
            </w:pPr>
            <w:r w:rsidRPr="0021788B">
              <w:rPr>
                <w:rFonts w:cstheme="minorHAnsi"/>
                <w:color w:val="000000"/>
                <w:sz w:val="20"/>
                <w:szCs w:val="20"/>
              </w:rPr>
              <w:t>23</w:t>
            </w:r>
          </w:p>
        </w:tc>
        <w:tc>
          <w:tcPr>
            <w:tcW w:w="1020" w:type="dxa"/>
            <w:shd w:val="clear" w:color="auto" w:fill="auto"/>
            <w:vAlign w:val="center"/>
          </w:tcPr>
          <w:p w:rsidR="00D907AF" w:rsidRPr="0021788B" w:rsidRDefault="00D907AF" w:rsidP="00CF7BC8">
            <w:pPr>
              <w:spacing w:before="20" w:after="20"/>
              <w:ind w:right="227"/>
              <w:jc w:val="right"/>
              <w:rPr>
                <w:rFonts w:cstheme="minorHAnsi"/>
                <w:color w:val="000000"/>
                <w:sz w:val="20"/>
                <w:szCs w:val="20"/>
              </w:rPr>
            </w:pPr>
            <w:r w:rsidRPr="0021788B">
              <w:rPr>
                <w:rFonts w:cstheme="minorHAnsi"/>
                <w:color w:val="000000"/>
                <w:sz w:val="20"/>
                <w:szCs w:val="20"/>
              </w:rPr>
              <w:t>2.3</w:t>
            </w:r>
          </w:p>
        </w:tc>
        <w:tc>
          <w:tcPr>
            <w:tcW w:w="795" w:type="dxa"/>
            <w:shd w:val="clear" w:color="auto" w:fill="auto"/>
            <w:vAlign w:val="center"/>
          </w:tcPr>
          <w:p w:rsidR="00D907AF" w:rsidRPr="0021788B" w:rsidRDefault="00D907AF" w:rsidP="00CF7BC8">
            <w:pPr>
              <w:spacing w:before="20" w:after="20"/>
              <w:ind w:right="57"/>
              <w:jc w:val="right"/>
              <w:rPr>
                <w:rFonts w:cstheme="minorHAnsi"/>
                <w:color w:val="000000"/>
                <w:sz w:val="20"/>
                <w:szCs w:val="20"/>
              </w:rPr>
            </w:pPr>
            <w:r w:rsidRPr="0021788B">
              <w:rPr>
                <w:rFonts w:cstheme="minorHAnsi"/>
                <w:color w:val="000000"/>
                <w:sz w:val="20"/>
                <w:szCs w:val="20"/>
              </w:rPr>
              <w:t>28</w:t>
            </w:r>
          </w:p>
        </w:tc>
        <w:tc>
          <w:tcPr>
            <w:tcW w:w="850" w:type="dxa"/>
            <w:shd w:val="clear" w:color="auto" w:fill="auto"/>
            <w:vAlign w:val="center"/>
          </w:tcPr>
          <w:p w:rsidR="00D907AF" w:rsidRPr="0021788B" w:rsidRDefault="00D907AF" w:rsidP="00D907AF">
            <w:pPr>
              <w:spacing w:before="20" w:after="20"/>
              <w:jc w:val="right"/>
              <w:rPr>
                <w:rFonts w:cstheme="minorHAnsi"/>
                <w:color w:val="000000"/>
                <w:sz w:val="20"/>
                <w:szCs w:val="20"/>
              </w:rPr>
            </w:pPr>
            <w:r w:rsidRPr="0021788B">
              <w:rPr>
                <w:rFonts w:cstheme="minorHAnsi"/>
                <w:color w:val="000000"/>
                <w:sz w:val="20"/>
                <w:szCs w:val="20"/>
              </w:rPr>
              <w:t>1.5</w:t>
            </w:r>
          </w:p>
        </w:tc>
      </w:tr>
      <w:tr w:rsidR="00D907AF" w:rsidRPr="0021788B" w:rsidTr="00843B24">
        <w:trPr>
          <w:trHeight w:val="340"/>
        </w:trPr>
        <w:tc>
          <w:tcPr>
            <w:tcW w:w="4111" w:type="dxa"/>
          </w:tcPr>
          <w:p w:rsidR="00D907AF" w:rsidRPr="0021788B" w:rsidRDefault="00D907AF" w:rsidP="00D907AF">
            <w:pPr>
              <w:spacing w:before="20" w:after="20"/>
              <w:rPr>
                <w:rFonts w:cstheme="minorHAnsi"/>
                <w:sz w:val="20"/>
                <w:szCs w:val="20"/>
              </w:rPr>
            </w:pPr>
            <w:r w:rsidRPr="0021788B">
              <w:rPr>
                <w:rFonts w:cstheme="minorHAnsi"/>
                <w:sz w:val="20"/>
                <w:szCs w:val="20"/>
              </w:rPr>
              <w:t>Don’t know</w:t>
            </w:r>
          </w:p>
        </w:tc>
        <w:tc>
          <w:tcPr>
            <w:tcW w:w="709" w:type="dxa"/>
          </w:tcPr>
          <w:p w:rsidR="00D907AF" w:rsidRPr="0021788B" w:rsidRDefault="00D907AF" w:rsidP="001E1DF1">
            <w:pPr>
              <w:spacing w:before="20" w:after="20"/>
              <w:ind w:right="57"/>
              <w:jc w:val="right"/>
              <w:rPr>
                <w:rFonts w:cstheme="minorHAnsi"/>
                <w:color w:val="000000"/>
                <w:sz w:val="20"/>
                <w:szCs w:val="20"/>
              </w:rPr>
            </w:pPr>
            <w:r w:rsidRPr="0021788B">
              <w:rPr>
                <w:rFonts w:cstheme="minorHAnsi"/>
                <w:color w:val="000000"/>
                <w:sz w:val="20"/>
                <w:szCs w:val="20"/>
              </w:rPr>
              <w:t>2</w:t>
            </w:r>
          </w:p>
        </w:tc>
        <w:tc>
          <w:tcPr>
            <w:tcW w:w="794" w:type="dxa"/>
          </w:tcPr>
          <w:p w:rsidR="00D907AF" w:rsidRPr="0021788B" w:rsidRDefault="00D907AF" w:rsidP="00D907AF">
            <w:pPr>
              <w:spacing w:before="20" w:after="20"/>
              <w:jc w:val="right"/>
              <w:rPr>
                <w:rFonts w:cstheme="minorHAnsi"/>
                <w:color w:val="000000"/>
                <w:sz w:val="20"/>
                <w:szCs w:val="20"/>
              </w:rPr>
            </w:pPr>
            <w:r w:rsidRPr="0021788B">
              <w:rPr>
                <w:rFonts w:cstheme="minorHAnsi"/>
                <w:color w:val="000000"/>
                <w:sz w:val="20"/>
                <w:szCs w:val="20"/>
              </w:rPr>
              <w:t>0.2</w:t>
            </w:r>
          </w:p>
        </w:tc>
        <w:tc>
          <w:tcPr>
            <w:tcW w:w="1077" w:type="dxa"/>
          </w:tcPr>
          <w:p w:rsidR="00D907AF" w:rsidRPr="0021788B" w:rsidRDefault="00D907AF" w:rsidP="00E056E0">
            <w:pPr>
              <w:spacing w:before="20" w:after="20"/>
              <w:ind w:right="227"/>
              <w:jc w:val="right"/>
              <w:rPr>
                <w:rFonts w:cstheme="minorHAnsi"/>
                <w:color w:val="000000"/>
                <w:sz w:val="20"/>
                <w:szCs w:val="20"/>
              </w:rPr>
            </w:pPr>
            <w:r w:rsidRPr="0021788B">
              <w:rPr>
                <w:rFonts w:cstheme="minorHAnsi"/>
                <w:color w:val="000000"/>
                <w:sz w:val="20"/>
                <w:szCs w:val="20"/>
              </w:rPr>
              <w:t>7</w:t>
            </w:r>
          </w:p>
        </w:tc>
        <w:tc>
          <w:tcPr>
            <w:tcW w:w="1020" w:type="dxa"/>
          </w:tcPr>
          <w:p w:rsidR="00D907AF" w:rsidRPr="0021788B" w:rsidRDefault="00D907AF" w:rsidP="00CF7BC8">
            <w:pPr>
              <w:spacing w:before="20" w:after="20"/>
              <w:ind w:right="227"/>
              <w:jc w:val="right"/>
              <w:rPr>
                <w:rFonts w:cstheme="minorHAnsi"/>
                <w:color w:val="000000"/>
                <w:sz w:val="20"/>
                <w:szCs w:val="20"/>
              </w:rPr>
            </w:pPr>
            <w:r w:rsidRPr="0021788B">
              <w:rPr>
                <w:rFonts w:cstheme="minorHAnsi"/>
                <w:color w:val="000000"/>
                <w:sz w:val="20"/>
                <w:szCs w:val="20"/>
              </w:rPr>
              <w:t>0.7</w:t>
            </w:r>
          </w:p>
        </w:tc>
        <w:tc>
          <w:tcPr>
            <w:tcW w:w="795" w:type="dxa"/>
          </w:tcPr>
          <w:p w:rsidR="00D907AF" w:rsidRPr="0021788B" w:rsidRDefault="00D907AF" w:rsidP="00CF7BC8">
            <w:pPr>
              <w:spacing w:before="20" w:after="20"/>
              <w:ind w:right="57"/>
              <w:jc w:val="right"/>
              <w:rPr>
                <w:rFonts w:cstheme="minorHAnsi"/>
                <w:color w:val="000000"/>
                <w:sz w:val="20"/>
                <w:szCs w:val="20"/>
              </w:rPr>
            </w:pPr>
            <w:r w:rsidRPr="0021788B">
              <w:rPr>
                <w:rFonts w:cstheme="minorHAnsi"/>
                <w:color w:val="000000"/>
                <w:sz w:val="20"/>
                <w:szCs w:val="20"/>
              </w:rPr>
              <w:t>9</w:t>
            </w:r>
          </w:p>
        </w:tc>
        <w:tc>
          <w:tcPr>
            <w:tcW w:w="850" w:type="dxa"/>
          </w:tcPr>
          <w:p w:rsidR="00D907AF" w:rsidRPr="0021788B" w:rsidRDefault="00D907AF" w:rsidP="00D907AF">
            <w:pPr>
              <w:spacing w:before="20" w:after="20"/>
              <w:jc w:val="right"/>
              <w:rPr>
                <w:rFonts w:cstheme="minorHAnsi"/>
                <w:color w:val="000000"/>
                <w:sz w:val="20"/>
                <w:szCs w:val="20"/>
              </w:rPr>
            </w:pPr>
            <w:r w:rsidRPr="0021788B">
              <w:rPr>
                <w:rFonts w:cstheme="minorHAnsi"/>
                <w:color w:val="000000"/>
                <w:sz w:val="20"/>
                <w:szCs w:val="20"/>
              </w:rPr>
              <w:t>0.5</w:t>
            </w:r>
          </w:p>
        </w:tc>
      </w:tr>
      <w:tr w:rsidR="00D907AF" w:rsidRPr="0021788B" w:rsidTr="00843B24">
        <w:trPr>
          <w:trHeight w:val="340"/>
        </w:trPr>
        <w:tc>
          <w:tcPr>
            <w:tcW w:w="4111" w:type="dxa"/>
          </w:tcPr>
          <w:p w:rsidR="00D907AF" w:rsidRPr="0021788B" w:rsidRDefault="00D907AF" w:rsidP="00D907AF">
            <w:pPr>
              <w:spacing w:before="20" w:after="20"/>
              <w:rPr>
                <w:rFonts w:cstheme="minorHAnsi"/>
                <w:sz w:val="20"/>
                <w:szCs w:val="20"/>
              </w:rPr>
            </w:pPr>
            <w:r w:rsidRPr="0021788B">
              <w:rPr>
                <w:rFonts w:cstheme="minorHAnsi"/>
                <w:sz w:val="20"/>
                <w:szCs w:val="20"/>
              </w:rPr>
              <w:t>Skip Question</w:t>
            </w:r>
          </w:p>
        </w:tc>
        <w:tc>
          <w:tcPr>
            <w:tcW w:w="709" w:type="dxa"/>
          </w:tcPr>
          <w:p w:rsidR="00D907AF" w:rsidRPr="0021788B" w:rsidRDefault="00D907AF" w:rsidP="001E1DF1">
            <w:pPr>
              <w:spacing w:before="20" w:after="20"/>
              <w:ind w:right="57"/>
              <w:jc w:val="right"/>
              <w:rPr>
                <w:rFonts w:cstheme="minorHAnsi"/>
                <w:color w:val="000000"/>
                <w:sz w:val="20"/>
                <w:szCs w:val="20"/>
              </w:rPr>
            </w:pPr>
            <w:r w:rsidRPr="0021788B">
              <w:rPr>
                <w:rFonts w:cstheme="minorHAnsi"/>
                <w:color w:val="000000"/>
                <w:sz w:val="20"/>
                <w:szCs w:val="20"/>
              </w:rPr>
              <w:t>28</w:t>
            </w:r>
          </w:p>
        </w:tc>
        <w:tc>
          <w:tcPr>
            <w:tcW w:w="794" w:type="dxa"/>
          </w:tcPr>
          <w:p w:rsidR="00D907AF" w:rsidRPr="0021788B" w:rsidRDefault="00D907AF" w:rsidP="00D907AF">
            <w:pPr>
              <w:spacing w:before="20" w:after="20"/>
              <w:jc w:val="right"/>
              <w:rPr>
                <w:rFonts w:cstheme="minorHAnsi"/>
                <w:color w:val="000000"/>
                <w:sz w:val="20"/>
                <w:szCs w:val="20"/>
              </w:rPr>
            </w:pPr>
            <w:r w:rsidRPr="0021788B">
              <w:rPr>
                <w:rFonts w:cstheme="minorHAnsi"/>
                <w:color w:val="000000"/>
                <w:sz w:val="20"/>
                <w:szCs w:val="20"/>
              </w:rPr>
              <w:t>3.1</w:t>
            </w:r>
          </w:p>
        </w:tc>
        <w:tc>
          <w:tcPr>
            <w:tcW w:w="1077" w:type="dxa"/>
          </w:tcPr>
          <w:p w:rsidR="00D907AF" w:rsidRPr="0021788B" w:rsidRDefault="00D907AF" w:rsidP="00E056E0">
            <w:pPr>
              <w:spacing w:before="20" w:after="20"/>
              <w:ind w:right="227"/>
              <w:jc w:val="right"/>
              <w:rPr>
                <w:rFonts w:cstheme="minorHAnsi"/>
                <w:color w:val="000000"/>
                <w:sz w:val="20"/>
                <w:szCs w:val="20"/>
              </w:rPr>
            </w:pPr>
            <w:r w:rsidRPr="0021788B">
              <w:rPr>
                <w:rFonts w:cstheme="minorHAnsi"/>
                <w:color w:val="000000"/>
                <w:sz w:val="20"/>
                <w:szCs w:val="20"/>
              </w:rPr>
              <w:t>66</w:t>
            </w:r>
          </w:p>
        </w:tc>
        <w:tc>
          <w:tcPr>
            <w:tcW w:w="1020" w:type="dxa"/>
          </w:tcPr>
          <w:p w:rsidR="00D907AF" w:rsidRPr="0021788B" w:rsidRDefault="00D907AF" w:rsidP="00CF7BC8">
            <w:pPr>
              <w:spacing w:before="20" w:after="20"/>
              <w:ind w:right="227"/>
              <w:jc w:val="right"/>
              <w:rPr>
                <w:rFonts w:cstheme="minorHAnsi"/>
                <w:color w:val="000000"/>
                <w:sz w:val="20"/>
                <w:szCs w:val="20"/>
              </w:rPr>
            </w:pPr>
            <w:r w:rsidRPr="0021788B">
              <w:rPr>
                <w:rFonts w:cstheme="minorHAnsi"/>
                <w:color w:val="000000"/>
                <w:sz w:val="20"/>
                <w:szCs w:val="20"/>
              </w:rPr>
              <w:t>6.6</w:t>
            </w:r>
          </w:p>
        </w:tc>
        <w:tc>
          <w:tcPr>
            <w:tcW w:w="795" w:type="dxa"/>
          </w:tcPr>
          <w:p w:rsidR="00D907AF" w:rsidRPr="0021788B" w:rsidRDefault="00D907AF" w:rsidP="00CF7BC8">
            <w:pPr>
              <w:spacing w:before="20" w:after="20"/>
              <w:ind w:right="57"/>
              <w:jc w:val="right"/>
              <w:rPr>
                <w:rFonts w:cstheme="minorHAnsi"/>
                <w:color w:val="000000"/>
                <w:sz w:val="20"/>
                <w:szCs w:val="20"/>
              </w:rPr>
            </w:pPr>
            <w:r w:rsidRPr="0021788B">
              <w:rPr>
                <w:rFonts w:cstheme="minorHAnsi"/>
                <w:color w:val="000000"/>
                <w:sz w:val="20"/>
                <w:szCs w:val="20"/>
              </w:rPr>
              <w:t>94</w:t>
            </w:r>
          </w:p>
        </w:tc>
        <w:tc>
          <w:tcPr>
            <w:tcW w:w="850" w:type="dxa"/>
          </w:tcPr>
          <w:p w:rsidR="00D907AF" w:rsidRPr="0021788B" w:rsidRDefault="00D907AF" w:rsidP="00D907AF">
            <w:pPr>
              <w:spacing w:before="20" w:after="20"/>
              <w:jc w:val="right"/>
              <w:rPr>
                <w:rFonts w:cstheme="minorHAnsi"/>
                <w:color w:val="000000"/>
                <w:sz w:val="20"/>
                <w:szCs w:val="20"/>
              </w:rPr>
            </w:pPr>
            <w:r w:rsidRPr="0021788B">
              <w:rPr>
                <w:rFonts w:cstheme="minorHAnsi"/>
                <w:color w:val="000000"/>
                <w:sz w:val="20"/>
                <w:szCs w:val="20"/>
              </w:rPr>
              <w:t>5.0</w:t>
            </w:r>
          </w:p>
        </w:tc>
      </w:tr>
      <w:tr w:rsidR="00D907AF" w:rsidRPr="0021788B" w:rsidTr="00843B24">
        <w:trPr>
          <w:trHeight w:val="340"/>
        </w:trPr>
        <w:tc>
          <w:tcPr>
            <w:tcW w:w="4111" w:type="dxa"/>
            <w:tcBorders>
              <w:bottom w:val="single" w:sz="4" w:space="0" w:color="auto"/>
            </w:tcBorders>
            <w:shd w:val="clear" w:color="auto" w:fill="auto"/>
          </w:tcPr>
          <w:p w:rsidR="00D907AF" w:rsidRPr="0021788B" w:rsidRDefault="00D907AF" w:rsidP="00D907AF">
            <w:pPr>
              <w:spacing w:before="20" w:after="20"/>
              <w:rPr>
                <w:rFonts w:cstheme="minorHAnsi"/>
                <w:sz w:val="20"/>
                <w:szCs w:val="20"/>
              </w:rPr>
            </w:pPr>
            <w:r w:rsidRPr="0021788B">
              <w:rPr>
                <w:rFonts w:cstheme="minorHAnsi"/>
                <w:sz w:val="20"/>
                <w:szCs w:val="20"/>
              </w:rPr>
              <w:t>Missing</w:t>
            </w:r>
          </w:p>
        </w:tc>
        <w:tc>
          <w:tcPr>
            <w:tcW w:w="709" w:type="dxa"/>
            <w:tcBorders>
              <w:bottom w:val="single" w:sz="4" w:space="0" w:color="auto"/>
            </w:tcBorders>
            <w:shd w:val="clear" w:color="auto" w:fill="auto"/>
            <w:vAlign w:val="center"/>
          </w:tcPr>
          <w:p w:rsidR="00D907AF" w:rsidRPr="0021788B" w:rsidRDefault="00D907AF" w:rsidP="001E1DF1">
            <w:pPr>
              <w:spacing w:before="20" w:after="20"/>
              <w:ind w:right="57"/>
              <w:jc w:val="right"/>
              <w:rPr>
                <w:rFonts w:cstheme="minorHAnsi"/>
                <w:color w:val="000000"/>
                <w:sz w:val="20"/>
                <w:szCs w:val="20"/>
              </w:rPr>
            </w:pPr>
            <w:r w:rsidRPr="0021788B">
              <w:rPr>
                <w:rFonts w:cstheme="minorHAnsi"/>
                <w:color w:val="000000"/>
                <w:sz w:val="20"/>
                <w:szCs w:val="20"/>
              </w:rPr>
              <w:t>120</w:t>
            </w:r>
          </w:p>
        </w:tc>
        <w:tc>
          <w:tcPr>
            <w:tcW w:w="794" w:type="dxa"/>
            <w:tcBorders>
              <w:bottom w:val="single" w:sz="4" w:space="0" w:color="auto"/>
            </w:tcBorders>
            <w:shd w:val="clear" w:color="auto" w:fill="auto"/>
            <w:vAlign w:val="center"/>
          </w:tcPr>
          <w:p w:rsidR="00D907AF" w:rsidRPr="0021788B" w:rsidRDefault="00D907AF" w:rsidP="00D907AF">
            <w:pPr>
              <w:spacing w:before="20" w:after="20"/>
              <w:jc w:val="right"/>
              <w:rPr>
                <w:rFonts w:cstheme="minorHAnsi"/>
                <w:color w:val="000000"/>
                <w:sz w:val="20"/>
                <w:szCs w:val="20"/>
              </w:rPr>
            </w:pPr>
            <w:r w:rsidRPr="0021788B">
              <w:rPr>
                <w:rFonts w:cstheme="minorHAnsi"/>
                <w:color w:val="000000"/>
                <w:sz w:val="20"/>
                <w:szCs w:val="20"/>
              </w:rPr>
              <w:t>13.5</w:t>
            </w:r>
          </w:p>
        </w:tc>
        <w:tc>
          <w:tcPr>
            <w:tcW w:w="1077" w:type="dxa"/>
            <w:tcBorders>
              <w:bottom w:val="single" w:sz="4" w:space="0" w:color="auto"/>
            </w:tcBorders>
            <w:shd w:val="clear" w:color="auto" w:fill="auto"/>
            <w:vAlign w:val="center"/>
          </w:tcPr>
          <w:p w:rsidR="00D907AF" w:rsidRPr="0021788B" w:rsidRDefault="00D907AF" w:rsidP="00E056E0">
            <w:pPr>
              <w:spacing w:before="20" w:after="20"/>
              <w:ind w:right="227"/>
              <w:jc w:val="right"/>
              <w:rPr>
                <w:rFonts w:cstheme="minorHAnsi"/>
                <w:color w:val="000000"/>
                <w:sz w:val="20"/>
                <w:szCs w:val="20"/>
              </w:rPr>
            </w:pPr>
            <w:r w:rsidRPr="0021788B">
              <w:rPr>
                <w:rFonts w:cstheme="minorHAnsi"/>
                <w:color w:val="000000"/>
                <w:sz w:val="20"/>
                <w:szCs w:val="20"/>
              </w:rPr>
              <w:t>147</w:t>
            </w:r>
          </w:p>
        </w:tc>
        <w:tc>
          <w:tcPr>
            <w:tcW w:w="1020" w:type="dxa"/>
            <w:tcBorders>
              <w:bottom w:val="single" w:sz="4" w:space="0" w:color="auto"/>
            </w:tcBorders>
            <w:shd w:val="clear" w:color="auto" w:fill="auto"/>
            <w:vAlign w:val="center"/>
          </w:tcPr>
          <w:p w:rsidR="00D907AF" w:rsidRPr="0021788B" w:rsidRDefault="00D907AF" w:rsidP="00CF7BC8">
            <w:pPr>
              <w:spacing w:before="20" w:after="20"/>
              <w:ind w:right="227"/>
              <w:jc w:val="right"/>
              <w:rPr>
                <w:rFonts w:cstheme="minorHAnsi"/>
                <w:color w:val="000000"/>
                <w:sz w:val="20"/>
                <w:szCs w:val="20"/>
              </w:rPr>
            </w:pPr>
            <w:r w:rsidRPr="0021788B">
              <w:rPr>
                <w:rFonts w:cstheme="minorHAnsi"/>
                <w:color w:val="000000"/>
                <w:sz w:val="20"/>
                <w:szCs w:val="20"/>
              </w:rPr>
              <w:t>14.6</w:t>
            </w:r>
          </w:p>
        </w:tc>
        <w:tc>
          <w:tcPr>
            <w:tcW w:w="795" w:type="dxa"/>
            <w:tcBorders>
              <w:bottom w:val="single" w:sz="4" w:space="0" w:color="auto"/>
            </w:tcBorders>
            <w:shd w:val="clear" w:color="auto" w:fill="auto"/>
            <w:vAlign w:val="center"/>
          </w:tcPr>
          <w:p w:rsidR="00D907AF" w:rsidRPr="0021788B" w:rsidRDefault="00D907AF" w:rsidP="00CF7BC8">
            <w:pPr>
              <w:spacing w:before="20" w:after="20"/>
              <w:ind w:right="57"/>
              <w:jc w:val="right"/>
              <w:rPr>
                <w:rFonts w:cstheme="minorHAnsi"/>
                <w:color w:val="000000"/>
                <w:sz w:val="20"/>
                <w:szCs w:val="20"/>
              </w:rPr>
            </w:pPr>
            <w:r w:rsidRPr="0021788B">
              <w:rPr>
                <w:rFonts w:cstheme="minorHAnsi"/>
                <w:color w:val="000000"/>
                <w:sz w:val="20"/>
                <w:szCs w:val="20"/>
              </w:rPr>
              <w:t>267</w:t>
            </w:r>
          </w:p>
        </w:tc>
        <w:tc>
          <w:tcPr>
            <w:tcW w:w="850" w:type="dxa"/>
            <w:tcBorders>
              <w:bottom w:val="single" w:sz="4" w:space="0" w:color="auto"/>
            </w:tcBorders>
            <w:shd w:val="clear" w:color="auto" w:fill="auto"/>
            <w:vAlign w:val="center"/>
          </w:tcPr>
          <w:p w:rsidR="00D907AF" w:rsidRPr="0021788B" w:rsidRDefault="00D907AF" w:rsidP="00D907AF">
            <w:pPr>
              <w:spacing w:before="20" w:after="20"/>
              <w:jc w:val="right"/>
              <w:rPr>
                <w:rFonts w:cstheme="minorHAnsi"/>
                <w:color w:val="000000"/>
                <w:sz w:val="20"/>
                <w:szCs w:val="20"/>
              </w:rPr>
            </w:pPr>
            <w:r w:rsidRPr="0021788B">
              <w:rPr>
                <w:rFonts w:cstheme="minorHAnsi"/>
                <w:color w:val="000000"/>
                <w:sz w:val="20"/>
                <w:szCs w:val="20"/>
              </w:rPr>
              <w:t>14.1</w:t>
            </w:r>
          </w:p>
        </w:tc>
      </w:tr>
      <w:tr w:rsidR="00D907AF" w:rsidRPr="0021788B" w:rsidTr="00843B24">
        <w:trPr>
          <w:trHeight w:val="340"/>
        </w:trPr>
        <w:tc>
          <w:tcPr>
            <w:tcW w:w="4111" w:type="dxa"/>
            <w:tcBorders>
              <w:top w:val="single" w:sz="4" w:space="0" w:color="auto"/>
              <w:bottom w:val="single" w:sz="4" w:space="0" w:color="auto"/>
            </w:tcBorders>
            <w:shd w:val="clear" w:color="auto" w:fill="auto"/>
          </w:tcPr>
          <w:p w:rsidR="00D907AF" w:rsidRPr="0021788B" w:rsidRDefault="00D907AF" w:rsidP="00D907AF">
            <w:pPr>
              <w:spacing w:before="20" w:after="20"/>
              <w:rPr>
                <w:rFonts w:cstheme="minorHAnsi"/>
                <w:b/>
                <w:sz w:val="20"/>
                <w:szCs w:val="20"/>
              </w:rPr>
            </w:pPr>
            <w:r w:rsidRPr="0021788B">
              <w:rPr>
                <w:rFonts w:cstheme="minorHAnsi"/>
                <w:b/>
                <w:sz w:val="20"/>
                <w:szCs w:val="20"/>
              </w:rPr>
              <w:t>Total</w:t>
            </w:r>
          </w:p>
        </w:tc>
        <w:tc>
          <w:tcPr>
            <w:tcW w:w="709" w:type="dxa"/>
            <w:tcBorders>
              <w:top w:val="single" w:sz="4" w:space="0" w:color="auto"/>
              <w:bottom w:val="single" w:sz="4" w:space="0" w:color="auto"/>
            </w:tcBorders>
            <w:shd w:val="clear" w:color="auto" w:fill="auto"/>
          </w:tcPr>
          <w:p w:rsidR="00D907AF" w:rsidRPr="0021788B" w:rsidRDefault="00D907AF" w:rsidP="001E1DF1">
            <w:pPr>
              <w:spacing w:before="20" w:after="20"/>
              <w:ind w:right="57"/>
              <w:jc w:val="right"/>
              <w:rPr>
                <w:rFonts w:cstheme="minorHAnsi"/>
                <w:b/>
                <w:sz w:val="20"/>
                <w:szCs w:val="20"/>
              </w:rPr>
            </w:pPr>
            <w:r w:rsidRPr="0021788B">
              <w:rPr>
                <w:rFonts w:cstheme="minorHAnsi"/>
                <w:b/>
                <w:sz w:val="20"/>
                <w:szCs w:val="20"/>
              </w:rPr>
              <w:t>891</w:t>
            </w:r>
          </w:p>
        </w:tc>
        <w:tc>
          <w:tcPr>
            <w:tcW w:w="794" w:type="dxa"/>
            <w:tcBorders>
              <w:top w:val="single" w:sz="4" w:space="0" w:color="auto"/>
              <w:bottom w:val="single" w:sz="4" w:space="0" w:color="auto"/>
            </w:tcBorders>
            <w:shd w:val="clear" w:color="auto" w:fill="auto"/>
          </w:tcPr>
          <w:p w:rsidR="00D907AF" w:rsidRPr="0021788B" w:rsidRDefault="00D907AF" w:rsidP="00D907AF">
            <w:pPr>
              <w:spacing w:before="20" w:after="20"/>
              <w:jc w:val="right"/>
              <w:rPr>
                <w:rFonts w:cstheme="minorHAnsi"/>
                <w:b/>
                <w:sz w:val="20"/>
                <w:szCs w:val="20"/>
              </w:rPr>
            </w:pPr>
          </w:p>
        </w:tc>
        <w:tc>
          <w:tcPr>
            <w:tcW w:w="1077" w:type="dxa"/>
            <w:tcBorders>
              <w:top w:val="single" w:sz="4" w:space="0" w:color="auto"/>
              <w:bottom w:val="single" w:sz="4" w:space="0" w:color="auto"/>
            </w:tcBorders>
            <w:shd w:val="clear" w:color="auto" w:fill="auto"/>
          </w:tcPr>
          <w:p w:rsidR="00D907AF" w:rsidRPr="0021788B" w:rsidRDefault="00D907AF" w:rsidP="00E056E0">
            <w:pPr>
              <w:spacing w:before="20" w:after="20"/>
              <w:ind w:right="227"/>
              <w:jc w:val="right"/>
              <w:rPr>
                <w:rFonts w:cstheme="minorHAnsi"/>
                <w:b/>
                <w:sz w:val="20"/>
                <w:szCs w:val="20"/>
              </w:rPr>
            </w:pPr>
            <w:r w:rsidRPr="0021788B">
              <w:rPr>
                <w:rFonts w:cstheme="minorHAnsi"/>
                <w:b/>
                <w:sz w:val="20"/>
                <w:szCs w:val="20"/>
              </w:rPr>
              <w:t>1</w:t>
            </w:r>
            <w:r>
              <w:rPr>
                <w:rFonts w:cstheme="minorHAnsi"/>
                <w:b/>
                <w:sz w:val="20"/>
                <w:szCs w:val="20"/>
              </w:rPr>
              <w:t>,</w:t>
            </w:r>
            <w:r w:rsidRPr="0021788B">
              <w:rPr>
                <w:rFonts w:cstheme="minorHAnsi"/>
                <w:b/>
                <w:sz w:val="20"/>
                <w:szCs w:val="20"/>
              </w:rPr>
              <w:t>004</w:t>
            </w:r>
          </w:p>
        </w:tc>
        <w:tc>
          <w:tcPr>
            <w:tcW w:w="1020" w:type="dxa"/>
            <w:tcBorders>
              <w:top w:val="single" w:sz="4" w:space="0" w:color="auto"/>
              <w:bottom w:val="single" w:sz="4" w:space="0" w:color="auto"/>
            </w:tcBorders>
            <w:shd w:val="clear" w:color="auto" w:fill="auto"/>
          </w:tcPr>
          <w:p w:rsidR="00D907AF" w:rsidRPr="0021788B" w:rsidRDefault="00D907AF" w:rsidP="00D907AF">
            <w:pPr>
              <w:spacing w:before="20" w:after="20"/>
              <w:jc w:val="right"/>
              <w:rPr>
                <w:rFonts w:cstheme="minorHAnsi"/>
                <w:b/>
                <w:sz w:val="20"/>
                <w:szCs w:val="20"/>
              </w:rPr>
            </w:pPr>
          </w:p>
        </w:tc>
        <w:tc>
          <w:tcPr>
            <w:tcW w:w="795" w:type="dxa"/>
            <w:tcBorders>
              <w:top w:val="single" w:sz="4" w:space="0" w:color="auto"/>
              <w:bottom w:val="single" w:sz="4" w:space="0" w:color="auto"/>
            </w:tcBorders>
            <w:shd w:val="clear" w:color="auto" w:fill="auto"/>
          </w:tcPr>
          <w:p w:rsidR="00D907AF" w:rsidRPr="00843B24" w:rsidRDefault="00D907AF" w:rsidP="00843B24">
            <w:pPr>
              <w:spacing w:before="20" w:after="20"/>
              <w:ind w:right="57"/>
              <w:jc w:val="right"/>
              <w:rPr>
                <w:rFonts w:cstheme="minorHAnsi"/>
                <w:b/>
                <w:color w:val="000000"/>
                <w:sz w:val="20"/>
                <w:szCs w:val="20"/>
              </w:rPr>
            </w:pPr>
            <w:r w:rsidRPr="00843B24">
              <w:rPr>
                <w:rFonts w:cstheme="minorHAnsi"/>
                <w:b/>
                <w:color w:val="000000"/>
                <w:sz w:val="20"/>
                <w:szCs w:val="20"/>
              </w:rPr>
              <w:t>1,895</w:t>
            </w:r>
          </w:p>
        </w:tc>
        <w:tc>
          <w:tcPr>
            <w:tcW w:w="850" w:type="dxa"/>
            <w:tcBorders>
              <w:top w:val="single" w:sz="4" w:space="0" w:color="auto"/>
              <w:bottom w:val="single" w:sz="4" w:space="0" w:color="auto"/>
            </w:tcBorders>
            <w:shd w:val="clear" w:color="auto" w:fill="auto"/>
          </w:tcPr>
          <w:p w:rsidR="00D907AF" w:rsidRPr="00843B24" w:rsidRDefault="00D907AF" w:rsidP="00843B24">
            <w:pPr>
              <w:spacing w:before="20" w:after="20"/>
              <w:ind w:right="57"/>
              <w:jc w:val="right"/>
              <w:rPr>
                <w:rFonts w:cstheme="minorHAnsi"/>
                <w:color w:val="000000"/>
                <w:sz w:val="20"/>
                <w:szCs w:val="20"/>
              </w:rPr>
            </w:pPr>
          </w:p>
        </w:tc>
      </w:tr>
    </w:tbl>
    <w:p w:rsidR="00D907AF" w:rsidRPr="00B01305" w:rsidRDefault="00D907AF" w:rsidP="00BC69BF">
      <w:pPr>
        <w:pStyle w:val="NILSReference"/>
      </w:pPr>
      <w:r>
        <w:t>Note: trial and comparison all</w:t>
      </w:r>
      <w:r w:rsidRPr="00B01305">
        <w:t xml:space="preserve"> ages</w:t>
      </w:r>
    </w:p>
    <w:p w:rsidR="005B2D5F" w:rsidRDefault="005B2D5F" w:rsidP="00D907AF">
      <w:pPr>
        <w:rPr>
          <w:rFonts w:ascii="Calibri" w:hAnsi="Calibri" w:cs="Calibri"/>
        </w:rPr>
      </w:pPr>
    </w:p>
    <w:p w:rsidR="00D907AF" w:rsidRDefault="00D907AF" w:rsidP="00D907AF">
      <w:pPr>
        <w:rPr>
          <w:rFonts w:ascii="Calibri" w:hAnsi="Calibri" w:cs="Calibri"/>
        </w:rPr>
      </w:pPr>
      <w:r w:rsidRPr="00E972BD">
        <w:rPr>
          <w:rFonts w:ascii="Calibri" w:hAnsi="Calibri" w:cs="Calibri"/>
        </w:rPr>
        <w:t>The survey also records whether respondents reported having more than one disability</w:t>
      </w:r>
      <w:r>
        <w:rPr>
          <w:rFonts w:ascii="Calibri" w:hAnsi="Calibri" w:cs="Calibri"/>
        </w:rPr>
        <w:t xml:space="preserve"> (question: do you have ‘any other long-term physical or mental health condition, impairment or disability’)</w:t>
      </w:r>
      <w:r w:rsidRPr="00E972BD">
        <w:rPr>
          <w:rFonts w:ascii="Calibri" w:hAnsi="Calibri" w:cs="Calibri"/>
        </w:rPr>
        <w:t xml:space="preserve">, with approximately half of </w:t>
      </w:r>
      <w:r>
        <w:rPr>
          <w:rFonts w:ascii="Calibri" w:hAnsi="Calibri" w:cs="Calibri"/>
        </w:rPr>
        <w:t>respondents</w:t>
      </w:r>
      <w:r w:rsidRPr="00E972BD">
        <w:rPr>
          <w:rFonts w:ascii="Calibri" w:hAnsi="Calibri" w:cs="Calibri"/>
        </w:rPr>
        <w:t xml:space="preserve"> (47</w:t>
      </w:r>
      <w:r>
        <w:rPr>
          <w:rFonts w:ascii="Calibri" w:hAnsi="Calibri" w:cs="Calibri"/>
        </w:rPr>
        <w:t xml:space="preserve"> per cent</w:t>
      </w:r>
      <w:r w:rsidRPr="00B21086">
        <w:rPr>
          <w:rFonts w:ascii="Calibri" w:hAnsi="Calibri" w:cs="Calibri"/>
        </w:rPr>
        <w:t>)</w:t>
      </w:r>
      <w:r w:rsidRPr="00E972BD">
        <w:rPr>
          <w:rFonts w:ascii="Calibri" w:hAnsi="Calibri" w:cs="Calibri"/>
          <w:color w:val="FF0000"/>
        </w:rPr>
        <w:t xml:space="preserve"> </w:t>
      </w:r>
      <w:r w:rsidRPr="00E972BD">
        <w:rPr>
          <w:rFonts w:ascii="Calibri" w:hAnsi="Calibri" w:cs="Calibri"/>
        </w:rPr>
        <w:t xml:space="preserve">reporting </w:t>
      </w:r>
      <w:r>
        <w:rPr>
          <w:rFonts w:ascii="Calibri" w:hAnsi="Calibri" w:cs="Calibri"/>
        </w:rPr>
        <w:t>that they did</w:t>
      </w:r>
      <w:r w:rsidRPr="00E972BD">
        <w:rPr>
          <w:rFonts w:ascii="Calibri" w:hAnsi="Calibri" w:cs="Calibri"/>
        </w:rPr>
        <w:t>. Only a small minority report</w:t>
      </w:r>
      <w:r>
        <w:rPr>
          <w:rFonts w:ascii="Calibri" w:hAnsi="Calibri" w:cs="Calibri"/>
        </w:rPr>
        <w:t>ed</w:t>
      </w:r>
      <w:r w:rsidRPr="00E972BD">
        <w:rPr>
          <w:rFonts w:ascii="Calibri" w:hAnsi="Calibri" w:cs="Calibri"/>
        </w:rPr>
        <w:t xml:space="preserve"> more than </w:t>
      </w:r>
      <w:r>
        <w:rPr>
          <w:rFonts w:ascii="Calibri" w:hAnsi="Calibri" w:cs="Calibri"/>
        </w:rPr>
        <w:t>two</w:t>
      </w:r>
      <w:r w:rsidRPr="00E972BD">
        <w:rPr>
          <w:rFonts w:ascii="Calibri" w:hAnsi="Calibri" w:cs="Calibri"/>
        </w:rPr>
        <w:t xml:space="preserve"> additional disabilities (7-8</w:t>
      </w:r>
      <w:r>
        <w:rPr>
          <w:rFonts w:ascii="Calibri" w:hAnsi="Calibri" w:cs="Calibri"/>
        </w:rPr>
        <w:t xml:space="preserve"> per cent</w:t>
      </w:r>
      <w:r w:rsidRPr="00E972BD">
        <w:rPr>
          <w:rFonts w:ascii="Calibri" w:hAnsi="Calibri" w:cs="Calibri"/>
        </w:rPr>
        <w:t>)</w:t>
      </w:r>
      <w:r>
        <w:rPr>
          <w:rStyle w:val="FootnoteReference"/>
          <w:rFonts w:ascii="Calibri" w:hAnsi="Calibri" w:cs="Calibri"/>
        </w:rPr>
        <w:footnoteReference w:id="15"/>
      </w:r>
      <w:r w:rsidR="00430338">
        <w:rPr>
          <w:rFonts w:ascii="Calibri" w:hAnsi="Calibri" w:cs="Calibri"/>
        </w:rPr>
        <w:t xml:space="preserve">. </w:t>
      </w:r>
      <w:r>
        <w:rPr>
          <w:rFonts w:ascii="Calibri" w:hAnsi="Calibri" w:cs="Calibri"/>
        </w:rPr>
        <w:t xml:space="preserve"> </w:t>
      </w:r>
      <w:r w:rsidRPr="00E972BD">
        <w:rPr>
          <w:rFonts w:ascii="Calibri" w:hAnsi="Calibri" w:cs="Calibri"/>
        </w:rPr>
        <w:t>About 30</w:t>
      </w:r>
      <w:r>
        <w:rPr>
          <w:rFonts w:ascii="Calibri" w:hAnsi="Calibri" w:cs="Calibri"/>
        </w:rPr>
        <w:t xml:space="preserve"> per cent</w:t>
      </w:r>
      <w:r w:rsidRPr="00E972BD">
        <w:rPr>
          <w:rFonts w:ascii="Calibri" w:hAnsi="Calibri" w:cs="Calibri"/>
        </w:rPr>
        <w:t xml:space="preserve"> of the respondents reported they were born with their disability, close to 36</w:t>
      </w:r>
      <w:r>
        <w:rPr>
          <w:rFonts w:ascii="Calibri" w:hAnsi="Calibri" w:cs="Calibri"/>
        </w:rPr>
        <w:t xml:space="preserve"> per cent</w:t>
      </w:r>
      <w:r w:rsidRPr="00E972BD">
        <w:rPr>
          <w:rFonts w:ascii="Calibri" w:hAnsi="Calibri" w:cs="Calibri"/>
        </w:rPr>
        <w:t xml:space="preserve"> reported that the onset of their disability happened in the first seven years of their lives and the remaining 34</w:t>
      </w:r>
      <w:r>
        <w:rPr>
          <w:rFonts w:ascii="Calibri" w:hAnsi="Calibri" w:cs="Calibri"/>
        </w:rPr>
        <w:t xml:space="preserve"> per cent</w:t>
      </w:r>
      <w:r w:rsidRPr="00E972BD">
        <w:rPr>
          <w:rFonts w:ascii="Calibri" w:hAnsi="Calibri" w:cs="Calibri"/>
        </w:rPr>
        <w:t xml:space="preserve"> reported a later onset.</w:t>
      </w:r>
    </w:p>
    <w:p w:rsidR="005B2D5F" w:rsidRPr="003E2EEC" w:rsidRDefault="005B2D5F" w:rsidP="00D907AF">
      <w:pPr>
        <w:rPr>
          <w:rFonts w:ascii="Calibri" w:hAnsi="Calibri" w:cs="Calibri"/>
        </w:rPr>
      </w:pPr>
    </w:p>
    <w:p w:rsidR="00262ABE" w:rsidRDefault="00D907AF">
      <w:pPr>
        <w:rPr>
          <w:b/>
          <w:sz w:val="20"/>
          <w:lang w:val="x-none"/>
        </w:rPr>
      </w:pPr>
      <w:r>
        <w:t>T</w:t>
      </w:r>
      <w:r w:rsidRPr="00F94EFB">
        <w:t xml:space="preserve">he survey collects detailed information on the need for assistance by respondents in different contexts of their lives. The relevant questions were not asked of children </w:t>
      </w:r>
      <w:r w:rsidRPr="00FB5385">
        <w:t xml:space="preserve">below the age of </w:t>
      </w:r>
      <w:r>
        <w:t>8 as young children have not yet developed full autonomy</w:t>
      </w:r>
      <w:r w:rsidRPr="00FB5385">
        <w:t>.</w:t>
      </w:r>
      <w:r>
        <w:t xml:space="preserve"> </w:t>
      </w:r>
      <w:r w:rsidRPr="00FB5385">
        <w:t>Of the 1</w:t>
      </w:r>
      <w:r>
        <w:t>,</w:t>
      </w:r>
      <w:r w:rsidRPr="00FB5385">
        <w:t>393 respondents</w:t>
      </w:r>
      <w:r>
        <w:t xml:space="preserve"> aged</w:t>
      </w:r>
      <w:r w:rsidRPr="00FB5385">
        <w:t xml:space="preserve"> </w:t>
      </w:r>
      <w:r>
        <w:t xml:space="preserve">8 years or </w:t>
      </w:r>
      <w:r w:rsidRPr="00FB5385">
        <w:t xml:space="preserve">over, </w:t>
      </w:r>
      <w:r w:rsidRPr="00FB5385">
        <w:rPr>
          <w:rFonts w:hint="eastAsia"/>
        </w:rPr>
        <w:t>1</w:t>
      </w:r>
      <w:r>
        <w:t>,</w:t>
      </w:r>
      <w:r w:rsidRPr="00FB5385">
        <w:rPr>
          <w:rFonts w:hint="eastAsia"/>
        </w:rPr>
        <w:t>089</w:t>
      </w:r>
      <w:r w:rsidRPr="00FB5385">
        <w:t xml:space="preserve"> reported that they needed </w:t>
      </w:r>
      <w:r>
        <w:t xml:space="preserve">assistance of one type or another and 304 that they did not. The type of assistance is presented in Table 3.10. It must be noted that more than one type of assistance can be sought so respondents were explicitly asked to report as many types as were relevant to them. The fact that only </w:t>
      </w:r>
      <w:r w:rsidRPr="00FB5385">
        <w:rPr>
          <w:rFonts w:hint="eastAsia"/>
        </w:rPr>
        <w:t>16.6</w:t>
      </w:r>
      <w:r>
        <w:t xml:space="preserve"> per cent</w:t>
      </w:r>
      <w:r w:rsidRPr="00FB5385">
        <w:t xml:space="preserve"> </w:t>
      </w:r>
      <w:r>
        <w:t>of all respondents (</w:t>
      </w:r>
      <w:r w:rsidRPr="00FB5385">
        <w:rPr>
          <w:rFonts w:hint="eastAsia"/>
        </w:rPr>
        <w:t>181</w:t>
      </w:r>
      <w:r>
        <w:t xml:space="preserve"> out of 1,089) reported that they needed assistance with a type of help not listed in the question ‘help with something else’ suggests that the survey covers the most frequently needed supports adequately. </w:t>
      </w:r>
      <w:bookmarkStart w:id="210" w:name="_Toc428280661"/>
      <w:r w:rsidR="00262ABE">
        <w:br w:type="page"/>
      </w:r>
    </w:p>
    <w:p w:rsidR="00D907AF" w:rsidRPr="005277F5" w:rsidRDefault="00D907AF" w:rsidP="0044684E">
      <w:pPr>
        <w:pStyle w:val="NILSTableHeading"/>
      </w:pPr>
      <w:bookmarkStart w:id="211" w:name="_Toc449955272"/>
      <w:r w:rsidRPr="005277F5">
        <w:lastRenderedPageBreak/>
        <w:t>Table 3.</w:t>
      </w:r>
      <w:r>
        <w:t>10:</w:t>
      </w:r>
      <w:r w:rsidRPr="005277F5">
        <w:t xml:space="preserve"> </w:t>
      </w:r>
      <w:r>
        <w:t>Daily activities where assistance is needed</w:t>
      </w:r>
      <w:bookmarkEnd w:id="210"/>
      <w:bookmarkEnd w:id="211"/>
    </w:p>
    <w:tbl>
      <w:tblPr>
        <w:tblStyle w:val="TableGrid"/>
        <w:tblW w:w="8903" w:type="dxa"/>
        <w:tblInd w:w="-34" w:type="dxa"/>
        <w:tblLayout w:type="fixed"/>
        <w:tblLook w:val="04A0" w:firstRow="1" w:lastRow="0" w:firstColumn="1" w:lastColumn="0" w:noHBand="0" w:noVBand="1"/>
        <w:tblCaption w:val="Table 3.10 Daily activities where assistance is needed"/>
        <w:tblDescription w:val="This table shows both the number of cases and percentage in the trial and comparison groups reporting that assistance is needed for daily activities."/>
      </w:tblPr>
      <w:tblGrid>
        <w:gridCol w:w="3403"/>
        <w:gridCol w:w="850"/>
        <w:gridCol w:w="851"/>
        <w:gridCol w:w="1134"/>
        <w:gridCol w:w="1134"/>
        <w:gridCol w:w="794"/>
        <w:gridCol w:w="737"/>
      </w:tblGrid>
      <w:tr w:rsidR="00677EA3" w:rsidRPr="00177572" w:rsidTr="003612DC">
        <w:trPr>
          <w:tblHeader/>
        </w:trPr>
        <w:tc>
          <w:tcPr>
            <w:tcW w:w="3403" w:type="dxa"/>
            <w:tcBorders>
              <w:top w:val="single" w:sz="4" w:space="0" w:color="auto"/>
              <w:bottom w:val="single" w:sz="4" w:space="0" w:color="auto"/>
            </w:tcBorders>
            <w:shd w:val="clear" w:color="auto" w:fill="auto"/>
          </w:tcPr>
          <w:p w:rsidR="00D907AF" w:rsidRPr="00177572" w:rsidRDefault="00D907AF" w:rsidP="00AD1747">
            <w:pPr>
              <w:spacing w:before="20" w:after="20"/>
              <w:rPr>
                <w:rFonts w:cstheme="minorHAnsi"/>
                <w:sz w:val="20"/>
                <w:szCs w:val="20"/>
              </w:rPr>
            </w:pPr>
            <w:bookmarkStart w:id="212" w:name="Title_3_10"/>
            <w:bookmarkEnd w:id="212"/>
          </w:p>
        </w:tc>
        <w:tc>
          <w:tcPr>
            <w:tcW w:w="850" w:type="dxa"/>
            <w:tcBorders>
              <w:top w:val="single" w:sz="4" w:space="0" w:color="auto"/>
              <w:bottom w:val="single" w:sz="4" w:space="0" w:color="auto"/>
            </w:tcBorders>
            <w:shd w:val="clear" w:color="auto" w:fill="auto"/>
            <w:vAlign w:val="bottom"/>
          </w:tcPr>
          <w:p w:rsidR="00D907AF" w:rsidRPr="00177572" w:rsidRDefault="009443D9" w:rsidP="00AD1747">
            <w:pPr>
              <w:spacing w:before="20" w:after="20"/>
              <w:jc w:val="center"/>
              <w:rPr>
                <w:rFonts w:cstheme="minorHAnsi"/>
                <w:sz w:val="20"/>
                <w:szCs w:val="20"/>
              </w:rPr>
            </w:pPr>
            <w:r>
              <w:rPr>
                <w:rFonts w:cstheme="minorHAnsi"/>
                <w:sz w:val="20"/>
                <w:szCs w:val="20"/>
              </w:rPr>
              <w:t xml:space="preserve">Trial </w:t>
            </w:r>
            <w:r w:rsidR="00D907AF" w:rsidRPr="00177572">
              <w:rPr>
                <w:rFonts w:cstheme="minorHAnsi"/>
                <w:sz w:val="20"/>
                <w:szCs w:val="20"/>
              </w:rPr>
              <w:t>Cases</w:t>
            </w:r>
          </w:p>
        </w:tc>
        <w:tc>
          <w:tcPr>
            <w:tcW w:w="851" w:type="dxa"/>
            <w:tcBorders>
              <w:top w:val="single" w:sz="4" w:space="0" w:color="auto"/>
              <w:bottom w:val="single" w:sz="4" w:space="0" w:color="auto"/>
            </w:tcBorders>
            <w:shd w:val="clear" w:color="auto" w:fill="auto"/>
            <w:vAlign w:val="bottom"/>
          </w:tcPr>
          <w:p w:rsidR="00A66E61" w:rsidRDefault="009443D9" w:rsidP="00AD1747">
            <w:pPr>
              <w:spacing w:before="20" w:after="20"/>
              <w:jc w:val="center"/>
              <w:rPr>
                <w:rFonts w:cstheme="minorHAnsi"/>
                <w:sz w:val="20"/>
                <w:szCs w:val="20"/>
              </w:rPr>
            </w:pPr>
            <w:r>
              <w:rPr>
                <w:rFonts w:cstheme="minorHAnsi"/>
                <w:sz w:val="20"/>
                <w:szCs w:val="20"/>
              </w:rPr>
              <w:t xml:space="preserve">Trial </w:t>
            </w:r>
          </w:p>
          <w:p w:rsidR="00D907AF" w:rsidRPr="00177572" w:rsidRDefault="00D907AF" w:rsidP="00AD1747">
            <w:pPr>
              <w:spacing w:before="20" w:after="20"/>
              <w:jc w:val="center"/>
              <w:rPr>
                <w:rFonts w:cstheme="minorHAnsi"/>
                <w:sz w:val="20"/>
                <w:szCs w:val="20"/>
              </w:rPr>
            </w:pPr>
            <w:r w:rsidRPr="00177572">
              <w:rPr>
                <w:rFonts w:cstheme="minorHAnsi"/>
                <w:sz w:val="20"/>
                <w:szCs w:val="20"/>
              </w:rPr>
              <w:t>%</w:t>
            </w:r>
          </w:p>
        </w:tc>
        <w:tc>
          <w:tcPr>
            <w:tcW w:w="1134" w:type="dxa"/>
            <w:tcBorders>
              <w:top w:val="single" w:sz="4" w:space="0" w:color="auto"/>
              <w:bottom w:val="single" w:sz="4" w:space="0" w:color="auto"/>
            </w:tcBorders>
            <w:shd w:val="clear" w:color="auto" w:fill="auto"/>
            <w:vAlign w:val="bottom"/>
          </w:tcPr>
          <w:p w:rsidR="00D907AF" w:rsidRPr="00177572" w:rsidRDefault="009443D9" w:rsidP="0020716E">
            <w:pPr>
              <w:spacing w:before="20" w:after="20"/>
              <w:ind w:left="-108" w:right="-136"/>
              <w:jc w:val="center"/>
              <w:rPr>
                <w:rFonts w:cstheme="minorHAnsi"/>
                <w:sz w:val="20"/>
                <w:szCs w:val="20"/>
              </w:rPr>
            </w:pPr>
            <w:r>
              <w:rPr>
                <w:rFonts w:cstheme="minorHAnsi"/>
                <w:sz w:val="20"/>
                <w:szCs w:val="20"/>
              </w:rPr>
              <w:t xml:space="preserve">Comparison </w:t>
            </w:r>
            <w:r w:rsidR="00D907AF" w:rsidRPr="00177572">
              <w:rPr>
                <w:rFonts w:cstheme="minorHAnsi"/>
                <w:sz w:val="20"/>
                <w:szCs w:val="20"/>
              </w:rPr>
              <w:t>Cases</w:t>
            </w:r>
          </w:p>
        </w:tc>
        <w:tc>
          <w:tcPr>
            <w:tcW w:w="1134" w:type="dxa"/>
            <w:tcBorders>
              <w:top w:val="single" w:sz="4" w:space="0" w:color="auto"/>
              <w:bottom w:val="single" w:sz="4" w:space="0" w:color="auto"/>
            </w:tcBorders>
            <w:shd w:val="clear" w:color="auto" w:fill="auto"/>
            <w:vAlign w:val="bottom"/>
          </w:tcPr>
          <w:p w:rsidR="00D907AF" w:rsidRPr="00177572" w:rsidRDefault="009443D9" w:rsidP="0020716E">
            <w:pPr>
              <w:spacing w:before="20" w:after="20"/>
              <w:ind w:left="-108" w:right="-108"/>
              <w:jc w:val="center"/>
              <w:rPr>
                <w:rFonts w:cstheme="minorHAnsi"/>
                <w:sz w:val="20"/>
                <w:szCs w:val="20"/>
              </w:rPr>
            </w:pPr>
            <w:r w:rsidRPr="00177572">
              <w:rPr>
                <w:rFonts w:cstheme="minorHAnsi"/>
                <w:sz w:val="20"/>
                <w:szCs w:val="20"/>
              </w:rPr>
              <w:t xml:space="preserve">Comparison </w:t>
            </w:r>
            <w:r w:rsidR="00D907AF" w:rsidRPr="00177572">
              <w:rPr>
                <w:rFonts w:cstheme="minorHAnsi"/>
                <w:sz w:val="20"/>
                <w:szCs w:val="20"/>
              </w:rPr>
              <w:t>%</w:t>
            </w:r>
          </w:p>
        </w:tc>
        <w:tc>
          <w:tcPr>
            <w:tcW w:w="794" w:type="dxa"/>
            <w:tcBorders>
              <w:top w:val="single" w:sz="4" w:space="0" w:color="auto"/>
              <w:bottom w:val="single" w:sz="4" w:space="0" w:color="auto"/>
            </w:tcBorders>
            <w:shd w:val="clear" w:color="auto" w:fill="auto"/>
            <w:vAlign w:val="bottom"/>
          </w:tcPr>
          <w:p w:rsidR="00D907AF" w:rsidRPr="00177572" w:rsidRDefault="009443D9" w:rsidP="00AD1747">
            <w:pPr>
              <w:spacing w:before="20" w:after="20"/>
              <w:jc w:val="center"/>
              <w:rPr>
                <w:rFonts w:cstheme="minorHAnsi"/>
                <w:sz w:val="20"/>
                <w:szCs w:val="20"/>
              </w:rPr>
            </w:pPr>
            <w:r>
              <w:rPr>
                <w:rFonts w:cstheme="minorHAnsi"/>
                <w:sz w:val="20"/>
                <w:szCs w:val="20"/>
              </w:rPr>
              <w:t xml:space="preserve">Total </w:t>
            </w:r>
            <w:r w:rsidR="00D907AF" w:rsidRPr="00177572">
              <w:rPr>
                <w:rFonts w:cstheme="minorHAnsi"/>
                <w:sz w:val="20"/>
                <w:szCs w:val="20"/>
              </w:rPr>
              <w:t>Cases</w:t>
            </w:r>
          </w:p>
        </w:tc>
        <w:tc>
          <w:tcPr>
            <w:tcW w:w="737" w:type="dxa"/>
            <w:tcBorders>
              <w:top w:val="single" w:sz="4" w:space="0" w:color="auto"/>
              <w:bottom w:val="single" w:sz="4" w:space="0" w:color="auto"/>
            </w:tcBorders>
            <w:shd w:val="clear" w:color="auto" w:fill="auto"/>
            <w:vAlign w:val="bottom"/>
          </w:tcPr>
          <w:p w:rsidR="00D907AF" w:rsidRPr="00177572" w:rsidRDefault="009443D9" w:rsidP="00AD1747">
            <w:pPr>
              <w:spacing w:before="20" w:after="20"/>
              <w:jc w:val="center"/>
              <w:rPr>
                <w:rFonts w:cstheme="minorHAnsi"/>
                <w:sz w:val="20"/>
                <w:szCs w:val="20"/>
              </w:rPr>
            </w:pPr>
            <w:r>
              <w:rPr>
                <w:rFonts w:cstheme="minorHAnsi"/>
                <w:sz w:val="20"/>
                <w:szCs w:val="20"/>
              </w:rPr>
              <w:t xml:space="preserve">Total </w:t>
            </w:r>
            <w:r w:rsidR="00D907AF" w:rsidRPr="00177572">
              <w:rPr>
                <w:rFonts w:cstheme="minorHAnsi"/>
                <w:sz w:val="20"/>
                <w:szCs w:val="20"/>
              </w:rPr>
              <w:t>%</w:t>
            </w:r>
          </w:p>
        </w:tc>
      </w:tr>
      <w:tr w:rsidR="00677EA3" w:rsidRPr="00177572" w:rsidTr="003612DC">
        <w:trPr>
          <w:trHeight w:val="482"/>
        </w:trPr>
        <w:tc>
          <w:tcPr>
            <w:tcW w:w="3403" w:type="dxa"/>
            <w:tcBorders>
              <w:top w:val="single" w:sz="4" w:space="0" w:color="auto"/>
            </w:tcBorders>
            <w:shd w:val="clear" w:color="auto" w:fill="auto"/>
            <w:vAlign w:val="center"/>
          </w:tcPr>
          <w:p w:rsidR="00D907AF" w:rsidRPr="00177572" w:rsidRDefault="00D907AF" w:rsidP="00AD1747">
            <w:pPr>
              <w:spacing w:before="20" w:after="20"/>
              <w:rPr>
                <w:rFonts w:cstheme="minorHAnsi"/>
                <w:sz w:val="20"/>
                <w:szCs w:val="20"/>
              </w:rPr>
            </w:pPr>
            <w:r w:rsidRPr="00177572">
              <w:rPr>
                <w:rFonts w:cstheme="minorHAnsi"/>
                <w:sz w:val="20"/>
                <w:szCs w:val="20"/>
              </w:rPr>
              <w:t>Help with preparing food and eating meals</w:t>
            </w:r>
          </w:p>
        </w:tc>
        <w:tc>
          <w:tcPr>
            <w:tcW w:w="850" w:type="dxa"/>
            <w:tcBorders>
              <w:top w:val="single" w:sz="4" w:space="0" w:color="auto"/>
            </w:tcBorders>
            <w:shd w:val="clear" w:color="auto" w:fill="auto"/>
            <w:vAlign w:val="center"/>
          </w:tcPr>
          <w:p w:rsidR="00D907AF" w:rsidRPr="00177572" w:rsidRDefault="00D907AF" w:rsidP="001E1DF1">
            <w:pPr>
              <w:spacing w:before="20" w:after="20"/>
              <w:ind w:right="113"/>
              <w:jc w:val="right"/>
              <w:rPr>
                <w:rFonts w:cstheme="minorHAnsi"/>
                <w:color w:val="000000"/>
                <w:sz w:val="20"/>
                <w:szCs w:val="20"/>
              </w:rPr>
            </w:pPr>
            <w:r w:rsidRPr="00177572">
              <w:rPr>
                <w:rFonts w:cstheme="minorHAnsi"/>
                <w:color w:val="000000"/>
                <w:sz w:val="20"/>
                <w:szCs w:val="20"/>
              </w:rPr>
              <w:t>380</w:t>
            </w:r>
          </w:p>
        </w:tc>
        <w:tc>
          <w:tcPr>
            <w:tcW w:w="851" w:type="dxa"/>
            <w:tcBorders>
              <w:top w:val="single" w:sz="4" w:space="0" w:color="auto"/>
            </w:tcBorders>
            <w:shd w:val="clear" w:color="auto" w:fill="auto"/>
            <w:vAlign w:val="center"/>
          </w:tcPr>
          <w:p w:rsidR="00D907AF" w:rsidRPr="00177572" w:rsidRDefault="00D907AF" w:rsidP="001E1DF1">
            <w:pPr>
              <w:spacing w:before="20" w:after="20"/>
              <w:ind w:right="113"/>
              <w:jc w:val="right"/>
              <w:rPr>
                <w:rFonts w:cstheme="minorHAnsi"/>
                <w:color w:val="000000"/>
                <w:sz w:val="20"/>
                <w:szCs w:val="20"/>
              </w:rPr>
            </w:pPr>
            <w:r w:rsidRPr="00177572">
              <w:rPr>
                <w:rFonts w:cstheme="minorHAnsi"/>
                <w:color w:val="000000"/>
                <w:sz w:val="20"/>
                <w:szCs w:val="20"/>
              </w:rPr>
              <w:t>76.9</w:t>
            </w:r>
          </w:p>
        </w:tc>
        <w:tc>
          <w:tcPr>
            <w:tcW w:w="1134" w:type="dxa"/>
            <w:tcBorders>
              <w:top w:val="single" w:sz="4" w:space="0" w:color="auto"/>
            </w:tcBorders>
            <w:shd w:val="clear" w:color="auto" w:fill="auto"/>
            <w:vAlign w:val="center"/>
          </w:tcPr>
          <w:p w:rsidR="00D907AF" w:rsidRPr="00177572" w:rsidRDefault="00D907AF" w:rsidP="0020716E">
            <w:pPr>
              <w:spacing w:before="20" w:after="20"/>
              <w:ind w:right="284"/>
              <w:jc w:val="right"/>
              <w:rPr>
                <w:rFonts w:cstheme="minorHAnsi"/>
                <w:color w:val="000000"/>
                <w:sz w:val="20"/>
                <w:szCs w:val="20"/>
              </w:rPr>
            </w:pPr>
            <w:r w:rsidRPr="00177572">
              <w:rPr>
                <w:rFonts w:cstheme="minorHAnsi"/>
                <w:color w:val="000000"/>
                <w:sz w:val="20"/>
                <w:szCs w:val="20"/>
              </w:rPr>
              <w:t>365</w:t>
            </w:r>
          </w:p>
        </w:tc>
        <w:tc>
          <w:tcPr>
            <w:tcW w:w="1134" w:type="dxa"/>
            <w:tcBorders>
              <w:top w:val="single" w:sz="4" w:space="0" w:color="auto"/>
            </w:tcBorders>
            <w:shd w:val="clear" w:color="auto" w:fill="auto"/>
            <w:vAlign w:val="center"/>
          </w:tcPr>
          <w:p w:rsidR="00D907AF" w:rsidRPr="00177572" w:rsidRDefault="00D907AF" w:rsidP="001E1DF1">
            <w:pPr>
              <w:spacing w:before="20" w:after="20"/>
              <w:ind w:right="284"/>
              <w:jc w:val="right"/>
              <w:rPr>
                <w:rFonts w:cstheme="minorHAnsi"/>
                <w:color w:val="000000"/>
                <w:sz w:val="20"/>
                <w:szCs w:val="20"/>
              </w:rPr>
            </w:pPr>
            <w:r w:rsidRPr="00177572">
              <w:rPr>
                <w:rFonts w:cstheme="minorHAnsi"/>
                <w:color w:val="000000"/>
                <w:sz w:val="20"/>
                <w:szCs w:val="20"/>
              </w:rPr>
              <w:t>61.3</w:t>
            </w:r>
          </w:p>
        </w:tc>
        <w:tc>
          <w:tcPr>
            <w:tcW w:w="794" w:type="dxa"/>
            <w:tcBorders>
              <w:top w:val="single" w:sz="4" w:space="0" w:color="auto"/>
            </w:tcBorders>
            <w:shd w:val="clear" w:color="auto" w:fill="auto"/>
            <w:vAlign w:val="center"/>
          </w:tcPr>
          <w:p w:rsidR="00D907AF" w:rsidRPr="00177572" w:rsidRDefault="00D907AF" w:rsidP="001E1DF1">
            <w:pPr>
              <w:spacing w:before="20" w:after="20"/>
              <w:ind w:right="113"/>
              <w:jc w:val="right"/>
              <w:rPr>
                <w:rFonts w:cstheme="minorHAnsi"/>
                <w:color w:val="000000"/>
                <w:sz w:val="20"/>
                <w:szCs w:val="20"/>
              </w:rPr>
            </w:pPr>
            <w:r w:rsidRPr="00177572">
              <w:rPr>
                <w:rFonts w:cstheme="minorHAnsi"/>
                <w:color w:val="000000"/>
                <w:sz w:val="20"/>
                <w:szCs w:val="20"/>
              </w:rPr>
              <w:t>745</w:t>
            </w:r>
          </w:p>
        </w:tc>
        <w:tc>
          <w:tcPr>
            <w:tcW w:w="737" w:type="dxa"/>
            <w:tcBorders>
              <w:top w:val="single" w:sz="4" w:space="0" w:color="auto"/>
            </w:tcBorders>
            <w:shd w:val="clear" w:color="auto" w:fill="auto"/>
            <w:vAlign w:val="center"/>
          </w:tcPr>
          <w:p w:rsidR="00D907AF" w:rsidRPr="00177572" w:rsidRDefault="00D907AF" w:rsidP="001E1DF1">
            <w:pPr>
              <w:spacing w:before="20" w:after="20"/>
              <w:jc w:val="right"/>
              <w:rPr>
                <w:rFonts w:cstheme="minorHAnsi"/>
                <w:color w:val="000000"/>
                <w:sz w:val="20"/>
                <w:szCs w:val="20"/>
              </w:rPr>
            </w:pPr>
            <w:r w:rsidRPr="00177572">
              <w:rPr>
                <w:rFonts w:cstheme="minorHAnsi"/>
                <w:color w:val="000000"/>
                <w:sz w:val="20"/>
                <w:szCs w:val="20"/>
              </w:rPr>
              <w:t>68.4</w:t>
            </w:r>
          </w:p>
        </w:tc>
      </w:tr>
      <w:tr w:rsidR="00677EA3" w:rsidRPr="00177572" w:rsidTr="003612DC">
        <w:trPr>
          <w:trHeight w:val="482"/>
        </w:trPr>
        <w:tc>
          <w:tcPr>
            <w:tcW w:w="3403" w:type="dxa"/>
            <w:shd w:val="clear" w:color="auto" w:fill="auto"/>
            <w:vAlign w:val="center"/>
          </w:tcPr>
          <w:p w:rsidR="00D907AF" w:rsidRPr="00177572" w:rsidRDefault="00D907AF" w:rsidP="00AD1747">
            <w:pPr>
              <w:spacing w:before="20" w:after="20"/>
              <w:rPr>
                <w:rFonts w:cstheme="minorHAnsi"/>
                <w:sz w:val="20"/>
                <w:szCs w:val="20"/>
              </w:rPr>
            </w:pPr>
            <w:r w:rsidRPr="00177572">
              <w:rPr>
                <w:rFonts w:cstheme="minorHAnsi"/>
                <w:sz w:val="20"/>
                <w:szCs w:val="20"/>
              </w:rPr>
              <w:t>Help with doing things in household</w:t>
            </w:r>
          </w:p>
        </w:tc>
        <w:tc>
          <w:tcPr>
            <w:tcW w:w="850" w:type="dxa"/>
            <w:shd w:val="clear" w:color="auto" w:fill="auto"/>
            <w:vAlign w:val="center"/>
          </w:tcPr>
          <w:p w:rsidR="00D907AF" w:rsidRPr="00177572" w:rsidRDefault="00D907AF" w:rsidP="001E1DF1">
            <w:pPr>
              <w:spacing w:before="20" w:after="20"/>
              <w:ind w:right="113"/>
              <w:jc w:val="right"/>
              <w:rPr>
                <w:rFonts w:cstheme="minorHAnsi"/>
                <w:color w:val="000000"/>
                <w:sz w:val="20"/>
                <w:szCs w:val="20"/>
              </w:rPr>
            </w:pPr>
            <w:r w:rsidRPr="00177572">
              <w:rPr>
                <w:rFonts w:cstheme="minorHAnsi"/>
                <w:color w:val="000000"/>
                <w:sz w:val="20"/>
                <w:szCs w:val="20"/>
              </w:rPr>
              <w:t>438</w:t>
            </w:r>
          </w:p>
        </w:tc>
        <w:tc>
          <w:tcPr>
            <w:tcW w:w="851" w:type="dxa"/>
            <w:shd w:val="clear" w:color="auto" w:fill="auto"/>
            <w:vAlign w:val="center"/>
          </w:tcPr>
          <w:p w:rsidR="00D907AF" w:rsidRPr="00177572" w:rsidRDefault="00D907AF" w:rsidP="001E1DF1">
            <w:pPr>
              <w:spacing w:before="20" w:after="20"/>
              <w:ind w:right="113"/>
              <w:jc w:val="right"/>
              <w:rPr>
                <w:rFonts w:cstheme="minorHAnsi"/>
                <w:color w:val="000000"/>
                <w:sz w:val="20"/>
                <w:szCs w:val="20"/>
              </w:rPr>
            </w:pPr>
            <w:r w:rsidRPr="00177572">
              <w:rPr>
                <w:rFonts w:cstheme="minorHAnsi"/>
                <w:color w:val="000000"/>
                <w:sz w:val="20"/>
                <w:szCs w:val="20"/>
              </w:rPr>
              <w:t>88.7</w:t>
            </w:r>
          </w:p>
        </w:tc>
        <w:tc>
          <w:tcPr>
            <w:tcW w:w="1134" w:type="dxa"/>
            <w:shd w:val="clear" w:color="auto" w:fill="auto"/>
            <w:vAlign w:val="center"/>
          </w:tcPr>
          <w:p w:rsidR="00D907AF" w:rsidRPr="00177572" w:rsidRDefault="00D907AF" w:rsidP="0020716E">
            <w:pPr>
              <w:spacing w:before="20" w:after="20"/>
              <w:ind w:right="284"/>
              <w:jc w:val="right"/>
              <w:rPr>
                <w:rFonts w:cstheme="minorHAnsi"/>
                <w:color w:val="000000"/>
                <w:sz w:val="20"/>
                <w:szCs w:val="20"/>
              </w:rPr>
            </w:pPr>
            <w:r w:rsidRPr="00177572">
              <w:rPr>
                <w:rFonts w:cstheme="minorHAnsi"/>
                <w:color w:val="000000"/>
                <w:sz w:val="20"/>
                <w:szCs w:val="20"/>
              </w:rPr>
              <w:t>473</w:t>
            </w:r>
          </w:p>
        </w:tc>
        <w:tc>
          <w:tcPr>
            <w:tcW w:w="1134" w:type="dxa"/>
            <w:shd w:val="clear" w:color="auto" w:fill="auto"/>
            <w:vAlign w:val="center"/>
          </w:tcPr>
          <w:p w:rsidR="00D907AF" w:rsidRPr="00177572" w:rsidRDefault="00D907AF" w:rsidP="001E1DF1">
            <w:pPr>
              <w:spacing w:before="20" w:after="20"/>
              <w:ind w:right="284"/>
              <w:jc w:val="right"/>
              <w:rPr>
                <w:rFonts w:cstheme="minorHAnsi"/>
                <w:color w:val="000000"/>
                <w:sz w:val="20"/>
                <w:szCs w:val="20"/>
              </w:rPr>
            </w:pPr>
            <w:r w:rsidRPr="00177572">
              <w:rPr>
                <w:rFonts w:cstheme="minorHAnsi"/>
                <w:color w:val="000000"/>
                <w:sz w:val="20"/>
                <w:szCs w:val="20"/>
              </w:rPr>
              <w:t>79.5</w:t>
            </w:r>
          </w:p>
        </w:tc>
        <w:tc>
          <w:tcPr>
            <w:tcW w:w="794" w:type="dxa"/>
            <w:shd w:val="clear" w:color="auto" w:fill="auto"/>
            <w:vAlign w:val="center"/>
          </w:tcPr>
          <w:p w:rsidR="00D907AF" w:rsidRPr="00177572" w:rsidRDefault="00D907AF" w:rsidP="001E1DF1">
            <w:pPr>
              <w:spacing w:before="20" w:after="20"/>
              <w:ind w:right="113"/>
              <w:jc w:val="right"/>
              <w:rPr>
                <w:rFonts w:cstheme="minorHAnsi"/>
                <w:color w:val="000000"/>
                <w:sz w:val="20"/>
                <w:szCs w:val="20"/>
              </w:rPr>
            </w:pPr>
            <w:r w:rsidRPr="00177572">
              <w:rPr>
                <w:rFonts w:cstheme="minorHAnsi"/>
                <w:color w:val="000000"/>
                <w:sz w:val="20"/>
                <w:szCs w:val="20"/>
              </w:rPr>
              <w:t>911</w:t>
            </w:r>
          </w:p>
        </w:tc>
        <w:tc>
          <w:tcPr>
            <w:tcW w:w="737" w:type="dxa"/>
            <w:shd w:val="clear" w:color="auto" w:fill="auto"/>
            <w:vAlign w:val="center"/>
          </w:tcPr>
          <w:p w:rsidR="00D907AF" w:rsidRPr="00177572" w:rsidRDefault="00D907AF" w:rsidP="001E1DF1">
            <w:pPr>
              <w:spacing w:before="20" w:after="20"/>
              <w:jc w:val="right"/>
              <w:rPr>
                <w:rFonts w:cstheme="minorHAnsi"/>
                <w:color w:val="000000"/>
                <w:sz w:val="20"/>
                <w:szCs w:val="20"/>
              </w:rPr>
            </w:pPr>
            <w:r w:rsidRPr="00177572">
              <w:rPr>
                <w:rFonts w:cstheme="minorHAnsi"/>
                <w:color w:val="000000"/>
                <w:sz w:val="20"/>
                <w:szCs w:val="20"/>
              </w:rPr>
              <w:t>83.7</w:t>
            </w:r>
          </w:p>
        </w:tc>
      </w:tr>
      <w:tr w:rsidR="00677EA3" w:rsidRPr="00177572" w:rsidTr="003612DC">
        <w:trPr>
          <w:trHeight w:val="482"/>
        </w:trPr>
        <w:tc>
          <w:tcPr>
            <w:tcW w:w="3403" w:type="dxa"/>
            <w:shd w:val="clear" w:color="auto" w:fill="auto"/>
            <w:vAlign w:val="center"/>
          </w:tcPr>
          <w:p w:rsidR="00D907AF" w:rsidRPr="00177572" w:rsidRDefault="00D907AF" w:rsidP="00AD1747">
            <w:pPr>
              <w:spacing w:before="20" w:after="20"/>
              <w:rPr>
                <w:rFonts w:cstheme="minorHAnsi"/>
                <w:sz w:val="20"/>
                <w:szCs w:val="20"/>
              </w:rPr>
            </w:pPr>
            <w:r w:rsidRPr="00177572">
              <w:rPr>
                <w:rFonts w:cstheme="minorHAnsi"/>
                <w:sz w:val="20"/>
                <w:szCs w:val="20"/>
              </w:rPr>
              <w:t>Help with daily personal activities</w:t>
            </w:r>
          </w:p>
        </w:tc>
        <w:tc>
          <w:tcPr>
            <w:tcW w:w="850" w:type="dxa"/>
            <w:shd w:val="clear" w:color="auto" w:fill="auto"/>
            <w:vAlign w:val="center"/>
          </w:tcPr>
          <w:p w:rsidR="00D907AF" w:rsidRPr="00177572" w:rsidRDefault="00D907AF" w:rsidP="001E1DF1">
            <w:pPr>
              <w:spacing w:before="20" w:after="20"/>
              <w:ind w:right="113"/>
              <w:jc w:val="right"/>
              <w:rPr>
                <w:rFonts w:cstheme="minorHAnsi"/>
                <w:color w:val="000000"/>
                <w:sz w:val="20"/>
                <w:szCs w:val="20"/>
              </w:rPr>
            </w:pPr>
            <w:r w:rsidRPr="00177572">
              <w:rPr>
                <w:rFonts w:cstheme="minorHAnsi"/>
                <w:color w:val="000000"/>
                <w:sz w:val="20"/>
                <w:szCs w:val="20"/>
              </w:rPr>
              <w:t>305</w:t>
            </w:r>
          </w:p>
        </w:tc>
        <w:tc>
          <w:tcPr>
            <w:tcW w:w="851" w:type="dxa"/>
            <w:shd w:val="clear" w:color="auto" w:fill="auto"/>
            <w:vAlign w:val="center"/>
          </w:tcPr>
          <w:p w:rsidR="00D907AF" w:rsidRPr="00177572" w:rsidRDefault="00D907AF" w:rsidP="001E1DF1">
            <w:pPr>
              <w:spacing w:before="20" w:after="20"/>
              <w:ind w:right="113"/>
              <w:jc w:val="right"/>
              <w:rPr>
                <w:rFonts w:cstheme="minorHAnsi"/>
                <w:color w:val="000000"/>
                <w:sz w:val="20"/>
                <w:szCs w:val="20"/>
              </w:rPr>
            </w:pPr>
            <w:r w:rsidRPr="00177572">
              <w:rPr>
                <w:rFonts w:cstheme="minorHAnsi"/>
                <w:color w:val="000000"/>
                <w:sz w:val="20"/>
                <w:szCs w:val="20"/>
              </w:rPr>
              <w:t>61.7</w:t>
            </w:r>
          </w:p>
        </w:tc>
        <w:tc>
          <w:tcPr>
            <w:tcW w:w="1134" w:type="dxa"/>
            <w:shd w:val="clear" w:color="auto" w:fill="auto"/>
            <w:vAlign w:val="center"/>
          </w:tcPr>
          <w:p w:rsidR="00D907AF" w:rsidRPr="00177572" w:rsidRDefault="00D907AF" w:rsidP="0020716E">
            <w:pPr>
              <w:spacing w:before="20" w:after="20"/>
              <w:ind w:right="284"/>
              <w:jc w:val="right"/>
              <w:rPr>
                <w:rFonts w:cstheme="minorHAnsi"/>
                <w:color w:val="000000"/>
                <w:sz w:val="20"/>
                <w:szCs w:val="20"/>
              </w:rPr>
            </w:pPr>
            <w:r w:rsidRPr="00177572">
              <w:rPr>
                <w:rFonts w:cstheme="minorHAnsi"/>
                <w:color w:val="000000"/>
                <w:sz w:val="20"/>
                <w:szCs w:val="20"/>
              </w:rPr>
              <w:t>292</w:t>
            </w:r>
          </w:p>
        </w:tc>
        <w:tc>
          <w:tcPr>
            <w:tcW w:w="1134" w:type="dxa"/>
            <w:shd w:val="clear" w:color="auto" w:fill="auto"/>
            <w:vAlign w:val="center"/>
          </w:tcPr>
          <w:p w:rsidR="00D907AF" w:rsidRPr="00177572" w:rsidRDefault="00D907AF" w:rsidP="001E1DF1">
            <w:pPr>
              <w:spacing w:before="20" w:after="20"/>
              <w:ind w:right="284"/>
              <w:jc w:val="right"/>
              <w:rPr>
                <w:rFonts w:cstheme="minorHAnsi"/>
                <w:color w:val="000000"/>
                <w:sz w:val="20"/>
                <w:szCs w:val="20"/>
              </w:rPr>
            </w:pPr>
            <w:r w:rsidRPr="00177572">
              <w:rPr>
                <w:rFonts w:cstheme="minorHAnsi"/>
                <w:color w:val="000000"/>
                <w:sz w:val="20"/>
                <w:szCs w:val="20"/>
              </w:rPr>
              <w:t>49.1</w:t>
            </w:r>
          </w:p>
        </w:tc>
        <w:tc>
          <w:tcPr>
            <w:tcW w:w="794" w:type="dxa"/>
            <w:shd w:val="clear" w:color="auto" w:fill="auto"/>
            <w:vAlign w:val="center"/>
          </w:tcPr>
          <w:p w:rsidR="00D907AF" w:rsidRPr="00177572" w:rsidRDefault="00D907AF" w:rsidP="001E1DF1">
            <w:pPr>
              <w:spacing w:before="20" w:after="20"/>
              <w:ind w:right="113"/>
              <w:jc w:val="right"/>
              <w:rPr>
                <w:rFonts w:cstheme="minorHAnsi"/>
                <w:color w:val="000000"/>
                <w:sz w:val="20"/>
                <w:szCs w:val="20"/>
              </w:rPr>
            </w:pPr>
            <w:r w:rsidRPr="00177572">
              <w:rPr>
                <w:rFonts w:cstheme="minorHAnsi"/>
                <w:color w:val="000000"/>
                <w:sz w:val="20"/>
                <w:szCs w:val="20"/>
              </w:rPr>
              <w:t>597</w:t>
            </w:r>
          </w:p>
        </w:tc>
        <w:tc>
          <w:tcPr>
            <w:tcW w:w="737" w:type="dxa"/>
            <w:shd w:val="clear" w:color="auto" w:fill="auto"/>
            <w:vAlign w:val="center"/>
          </w:tcPr>
          <w:p w:rsidR="00D907AF" w:rsidRPr="00177572" w:rsidRDefault="00D907AF" w:rsidP="001E1DF1">
            <w:pPr>
              <w:spacing w:before="20" w:after="20"/>
              <w:jc w:val="right"/>
              <w:rPr>
                <w:rFonts w:cstheme="minorHAnsi"/>
                <w:color w:val="000000"/>
                <w:sz w:val="20"/>
                <w:szCs w:val="20"/>
              </w:rPr>
            </w:pPr>
            <w:r w:rsidRPr="00177572">
              <w:rPr>
                <w:rFonts w:cstheme="minorHAnsi"/>
                <w:color w:val="000000"/>
                <w:sz w:val="20"/>
                <w:szCs w:val="20"/>
              </w:rPr>
              <w:t>54.8</w:t>
            </w:r>
          </w:p>
        </w:tc>
      </w:tr>
      <w:tr w:rsidR="00677EA3" w:rsidRPr="00177572" w:rsidTr="003612DC">
        <w:trPr>
          <w:trHeight w:val="482"/>
        </w:trPr>
        <w:tc>
          <w:tcPr>
            <w:tcW w:w="3403" w:type="dxa"/>
            <w:shd w:val="clear" w:color="auto" w:fill="auto"/>
            <w:vAlign w:val="center"/>
          </w:tcPr>
          <w:p w:rsidR="00D907AF" w:rsidRPr="00177572" w:rsidRDefault="00D907AF" w:rsidP="00AD1747">
            <w:pPr>
              <w:spacing w:before="20" w:after="20"/>
              <w:rPr>
                <w:rFonts w:cstheme="minorHAnsi"/>
                <w:sz w:val="20"/>
                <w:szCs w:val="20"/>
              </w:rPr>
            </w:pPr>
            <w:r w:rsidRPr="00177572">
              <w:rPr>
                <w:rFonts w:cstheme="minorHAnsi"/>
                <w:sz w:val="20"/>
                <w:szCs w:val="20"/>
              </w:rPr>
              <w:t>Help with accessing or entering buildings and using facilities</w:t>
            </w:r>
          </w:p>
        </w:tc>
        <w:tc>
          <w:tcPr>
            <w:tcW w:w="850" w:type="dxa"/>
            <w:shd w:val="clear" w:color="auto" w:fill="auto"/>
            <w:vAlign w:val="center"/>
          </w:tcPr>
          <w:p w:rsidR="00D907AF" w:rsidRPr="00177572" w:rsidRDefault="00D907AF" w:rsidP="001E1DF1">
            <w:pPr>
              <w:spacing w:before="20" w:after="20"/>
              <w:ind w:right="113"/>
              <w:jc w:val="right"/>
              <w:rPr>
                <w:rFonts w:cstheme="minorHAnsi"/>
                <w:color w:val="000000"/>
                <w:sz w:val="20"/>
                <w:szCs w:val="20"/>
              </w:rPr>
            </w:pPr>
            <w:r w:rsidRPr="00177572">
              <w:rPr>
                <w:rFonts w:cstheme="minorHAnsi"/>
                <w:color w:val="000000"/>
                <w:sz w:val="20"/>
                <w:szCs w:val="20"/>
              </w:rPr>
              <w:t>249</w:t>
            </w:r>
          </w:p>
        </w:tc>
        <w:tc>
          <w:tcPr>
            <w:tcW w:w="851" w:type="dxa"/>
            <w:shd w:val="clear" w:color="auto" w:fill="auto"/>
            <w:vAlign w:val="center"/>
          </w:tcPr>
          <w:p w:rsidR="00D907AF" w:rsidRPr="00177572" w:rsidRDefault="00D907AF" w:rsidP="001E1DF1">
            <w:pPr>
              <w:spacing w:before="20" w:after="20"/>
              <w:ind w:right="113"/>
              <w:jc w:val="right"/>
              <w:rPr>
                <w:rFonts w:cstheme="minorHAnsi"/>
                <w:color w:val="000000"/>
                <w:sz w:val="20"/>
                <w:szCs w:val="20"/>
              </w:rPr>
            </w:pPr>
            <w:r w:rsidRPr="00177572">
              <w:rPr>
                <w:rFonts w:cstheme="minorHAnsi"/>
                <w:color w:val="000000"/>
                <w:sz w:val="20"/>
                <w:szCs w:val="20"/>
              </w:rPr>
              <w:t>50.4</w:t>
            </w:r>
          </w:p>
        </w:tc>
        <w:tc>
          <w:tcPr>
            <w:tcW w:w="1134" w:type="dxa"/>
            <w:shd w:val="clear" w:color="auto" w:fill="auto"/>
            <w:vAlign w:val="center"/>
          </w:tcPr>
          <w:p w:rsidR="00D907AF" w:rsidRPr="00177572" w:rsidRDefault="00D907AF" w:rsidP="0020716E">
            <w:pPr>
              <w:spacing w:before="20" w:after="20"/>
              <w:ind w:right="284"/>
              <w:jc w:val="right"/>
              <w:rPr>
                <w:rFonts w:cstheme="minorHAnsi"/>
                <w:color w:val="000000"/>
                <w:sz w:val="20"/>
                <w:szCs w:val="20"/>
              </w:rPr>
            </w:pPr>
            <w:r w:rsidRPr="00177572">
              <w:rPr>
                <w:rFonts w:cstheme="minorHAnsi"/>
                <w:color w:val="000000"/>
                <w:sz w:val="20"/>
                <w:szCs w:val="20"/>
              </w:rPr>
              <w:t>226</w:t>
            </w:r>
          </w:p>
        </w:tc>
        <w:tc>
          <w:tcPr>
            <w:tcW w:w="1134" w:type="dxa"/>
            <w:shd w:val="clear" w:color="auto" w:fill="auto"/>
            <w:vAlign w:val="center"/>
          </w:tcPr>
          <w:p w:rsidR="00D907AF" w:rsidRPr="00177572" w:rsidRDefault="00D907AF" w:rsidP="001E1DF1">
            <w:pPr>
              <w:spacing w:before="20" w:after="20"/>
              <w:ind w:right="284"/>
              <w:jc w:val="right"/>
              <w:rPr>
                <w:rFonts w:cstheme="minorHAnsi"/>
                <w:color w:val="000000"/>
                <w:sz w:val="20"/>
                <w:szCs w:val="20"/>
              </w:rPr>
            </w:pPr>
            <w:r w:rsidRPr="00177572">
              <w:rPr>
                <w:rFonts w:cstheme="minorHAnsi"/>
                <w:color w:val="000000"/>
                <w:sz w:val="20"/>
                <w:szCs w:val="20"/>
              </w:rPr>
              <w:t>38.0</w:t>
            </w:r>
          </w:p>
        </w:tc>
        <w:tc>
          <w:tcPr>
            <w:tcW w:w="794" w:type="dxa"/>
            <w:shd w:val="clear" w:color="auto" w:fill="auto"/>
            <w:vAlign w:val="center"/>
          </w:tcPr>
          <w:p w:rsidR="00D907AF" w:rsidRPr="00177572" w:rsidRDefault="00D907AF" w:rsidP="001E1DF1">
            <w:pPr>
              <w:spacing w:before="20" w:after="20"/>
              <w:ind w:right="113"/>
              <w:jc w:val="right"/>
              <w:rPr>
                <w:rFonts w:cstheme="minorHAnsi"/>
                <w:color w:val="000000"/>
                <w:sz w:val="20"/>
                <w:szCs w:val="20"/>
              </w:rPr>
            </w:pPr>
            <w:r w:rsidRPr="00177572">
              <w:rPr>
                <w:rFonts w:cstheme="minorHAnsi"/>
                <w:color w:val="000000"/>
                <w:sz w:val="20"/>
                <w:szCs w:val="20"/>
              </w:rPr>
              <w:t>475</w:t>
            </w:r>
          </w:p>
        </w:tc>
        <w:tc>
          <w:tcPr>
            <w:tcW w:w="737" w:type="dxa"/>
            <w:shd w:val="clear" w:color="auto" w:fill="auto"/>
            <w:vAlign w:val="center"/>
          </w:tcPr>
          <w:p w:rsidR="00D907AF" w:rsidRPr="00177572" w:rsidRDefault="00D907AF" w:rsidP="001E1DF1">
            <w:pPr>
              <w:spacing w:before="20" w:after="20"/>
              <w:jc w:val="right"/>
              <w:rPr>
                <w:rFonts w:cstheme="minorHAnsi"/>
                <w:color w:val="000000"/>
                <w:sz w:val="20"/>
                <w:szCs w:val="20"/>
              </w:rPr>
            </w:pPr>
            <w:r w:rsidRPr="00177572">
              <w:rPr>
                <w:rFonts w:cstheme="minorHAnsi"/>
                <w:color w:val="000000"/>
                <w:sz w:val="20"/>
                <w:szCs w:val="20"/>
              </w:rPr>
              <w:t>43.6</w:t>
            </w:r>
          </w:p>
        </w:tc>
      </w:tr>
      <w:tr w:rsidR="00677EA3" w:rsidRPr="00177572" w:rsidTr="003612DC">
        <w:trPr>
          <w:trHeight w:val="482"/>
        </w:trPr>
        <w:tc>
          <w:tcPr>
            <w:tcW w:w="3403" w:type="dxa"/>
            <w:shd w:val="clear" w:color="auto" w:fill="auto"/>
            <w:vAlign w:val="center"/>
          </w:tcPr>
          <w:p w:rsidR="00D907AF" w:rsidRPr="00177572" w:rsidRDefault="00D907AF" w:rsidP="00AD1747">
            <w:pPr>
              <w:spacing w:before="20" w:after="20"/>
              <w:rPr>
                <w:rFonts w:cstheme="minorHAnsi"/>
                <w:sz w:val="20"/>
                <w:szCs w:val="20"/>
              </w:rPr>
            </w:pPr>
            <w:r w:rsidRPr="00177572">
              <w:rPr>
                <w:rFonts w:cstheme="minorHAnsi"/>
                <w:sz w:val="20"/>
                <w:szCs w:val="20"/>
              </w:rPr>
              <w:t>Help with using public transport or other types of transport</w:t>
            </w:r>
          </w:p>
        </w:tc>
        <w:tc>
          <w:tcPr>
            <w:tcW w:w="850" w:type="dxa"/>
            <w:shd w:val="clear" w:color="auto" w:fill="auto"/>
            <w:vAlign w:val="center"/>
          </w:tcPr>
          <w:p w:rsidR="00D907AF" w:rsidRPr="00177572" w:rsidRDefault="00D907AF" w:rsidP="001E1DF1">
            <w:pPr>
              <w:spacing w:before="20" w:after="20"/>
              <w:ind w:right="113"/>
              <w:jc w:val="right"/>
              <w:rPr>
                <w:rFonts w:cstheme="minorHAnsi"/>
                <w:color w:val="000000"/>
                <w:sz w:val="20"/>
                <w:szCs w:val="20"/>
              </w:rPr>
            </w:pPr>
            <w:r w:rsidRPr="00177572">
              <w:rPr>
                <w:rFonts w:cstheme="minorHAnsi"/>
                <w:color w:val="000000"/>
                <w:sz w:val="20"/>
                <w:szCs w:val="20"/>
              </w:rPr>
              <w:t>366</w:t>
            </w:r>
          </w:p>
        </w:tc>
        <w:tc>
          <w:tcPr>
            <w:tcW w:w="851" w:type="dxa"/>
            <w:shd w:val="clear" w:color="auto" w:fill="auto"/>
            <w:vAlign w:val="center"/>
          </w:tcPr>
          <w:p w:rsidR="00D907AF" w:rsidRPr="00177572" w:rsidRDefault="00D907AF" w:rsidP="001E1DF1">
            <w:pPr>
              <w:spacing w:before="20" w:after="20"/>
              <w:ind w:right="113"/>
              <w:jc w:val="right"/>
              <w:rPr>
                <w:rFonts w:cstheme="minorHAnsi"/>
                <w:color w:val="000000"/>
                <w:sz w:val="20"/>
                <w:szCs w:val="20"/>
              </w:rPr>
            </w:pPr>
            <w:r w:rsidRPr="00177572">
              <w:rPr>
                <w:rFonts w:cstheme="minorHAnsi"/>
                <w:color w:val="000000"/>
                <w:sz w:val="20"/>
                <w:szCs w:val="20"/>
              </w:rPr>
              <w:t>74.1</w:t>
            </w:r>
          </w:p>
        </w:tc>
        <w:tc>
          <w:tcPr>
            <w:tcW w:w="1134" w:type="dxa"/>
            <w:shd w:val="clear" w:color="auto" w:fill="auto"/>
            <w:vAlign w:val="center"/>
          </w:tcPr>
          <w:p w:rsidR="00D907AF" w:rsidRPr="00177572" w:rsidRDefault="00D907AF" w:rsidP="0020716E">
            <w:pPr>
              <w:spacing w:before="20" w:after="20"/>
              <w:ind w:right="284"/>
              <w:jc w:val="right"/>
              <w:rPr>
                <w:rFonts w:cstheme="minorHAnsi"/>
                <w:color w:val="000000"/>
                <w:sz w:val="20"/>
                <w:szCs w:val="20"/>
              </w:rPr>
            </w:pPr>
            <w:r w:rsidRPr="00177572">
              <w:rPr>
                <w:rFonts w:cstheme="minorHAnsi"/>
                <w:color w:val="000000"/>
                <w:sz w:val="20"/>
                <w:szCs w:val="20"/>
              </w:rPr>
              <w:t>376</w:t>
            </w:r>
          </w:p>
        </w:tc>
        <w:tc>
          <w:tcPr>
            <w:tcW w:w="1134" w:type="dxa"/>
            <w:shd w:val="clear" w:color="auto" w:fill="auto"/>
            <w:vAlign w:val="center"/>
          </w:tcPr>
          <w:p w:rsidR="00D907AF" w:rsidRPr="00177572" w:rsidRDefault="00D907AF" w:rsidP="001E1DF1">
            <w:pPr>
              <w:spacing w:before="20" w:after="20"/>
              <w:ind w:right="284"/>
              <w:jc w:val="right"/>
              <w:rPr>
                <w:rFonts w:cstheme="minorHAnsi"/>
                <w:color w:val="000000"/>
                <w:sz w:val="20"/>
                <w:szCs w:val="20"/>
              </w:rPr>
            </w:pPr>
            <w:r w:rsidRPr="00177572">
              <w:rPr>
                <w:rFonts w:cstheme="minorHAnsi"/>
                <w:color w:val="000000"/>
                <w:sz w:val="20"/>
                <w:szCs w:val="20"/>
              </w:rPr>
              <w:t>63.2</w:t>
            </w:r>
          </w:p>
        </w:tc>
        <w:tc>
          <w:tcPr>
            <w:tcW w:w="794" w:type="dxa"/>
            <w:shd w:val="clear" w:color="auto" w:fill="auto"/>
            <w:vAlign w:val="center"/>
          </w:tcPr>
          <w:p w:rsidR="00D907AF" w:rsidRPr="00177572" w:rsidRDefault="00D907AF" w:rsidP="001E1DF1">
            <w:pPr>
              <w:spacing w:before="20" w:after="20"/>
              <w:ind w:right="113"/>
              <w:jc w:val="right"/>
              <w:rPr>
                <w:rFonts w:cstheme="minorHAnsi"/>
                <w:color w:val="000000"/>
                <w:sz w:val="20"/>
                <w:szCs w:val="20"/>
              </w:rPr>
            </w:pPr>
            <w:r w:rsidRPr="00177572">
              <w:rPr>
                <w:rFonts w:cstheme="minorHAnsi"/>
                <w:color w:val="000000"/>
                <w:sz w:val="20"/>
                <w:szCs w:val="20"/>
              </w:rPr>
              <w:t>742</w:t>
            </w:r>
          </w:p>
        </w:tc>
        <w:tc>
          <w:tcPr>
            <w:tcW w:w="737" w:type="dxa"/>
            <w:shd w:val="clear" w:color="auto" w:fill="auto"/>
            <w:vAlign w:val="center"/>
          </w:tcPr>
          <w:p w:rsidR="00D907AF" w:rsidRPr="00177572" w:rsidRDefault="00D907AF" w:rsidP="001E1DF1">
            <w:pPr>
              <w:spacing w:before="20" w:after="20"/>
              <w:jc w:val="right"/>
              <w:rPr>
                <w:rFonts w:cstheme="minorHAnsi"/>
                <w:color w:val="000000"/>
                <w:sz w:val="20"/>
                <w:szCs w:val="20"/>
              </w:rPr>
            </w:pPr>
            <w:r w:rsidRPr="00177572">
              <w:rPr>
                <w:rFonts w:cstheme="minorHAnsi"/>
                <w:color w:val="000000"/>
                <w:sz w:val="20"/>
                <w:szCs w:val="20"/>
              </w:rPr>
              <w:t>68.1</w:t>
            </w:r>
          </w:p>
        </w:tc>
      </w:tr>
      <w:tr w:rsidR="00677EA3" w:rsidRPr="00177572" w:rsidTr="003612DC">
        <w:trPr>
          <w:trHeight w:val="482"/>
        </w:trPr>
        <w:tc>
          <w:tcPr>
            <w:tcW w:w="3403" w:type="dxa"/>
            <w:shd w:val="clear" w:color="auto" w:fill="auto"/>
            <w:vAlign w:val="center"/>
          </w:tcPr>
          <w:p w:rsidR="00D907AF" w:rsidRPr="00177572" w:rsidRDefault="00D907AF" w:rsidP="00AD1747">
            <w:pPr>
              <w:spacing w:before="20" w:after="20"/>
              <w:rPr>
                <w:rFonts w:cstheme="minorHAnsi"/>
                <w:sz w:val="20"/>
                <w:szCs w:val="20"/>
              </w:rPr>
            </w:pPr>
            <w:r w:rsidRPr="00177572">
              <w:rPr>
                <w:rFonts w:cstheme="minorHAnsi"/>
                <w:sz w:val="20"/>
                <w:szCs w:val="20"/>
              </w:rPr>
              <w:t>Help with talking with being around others</w:t>
            </w:r>
          </w:p>
        </w:tc>
        <w:tc>
          <w:tcPr>
            <w:tcW w:w="850" w:type="dxa"/>
            <w:shd w:val="clear" w:color="auto" w:fill="auto"/>
            <w:vAlign w:val="center"/>
          </w:tcPr>
          <w:p w:rsidR="00D907AF" w:rsidRPr="00177572" w:rsidRDefault="00D907AF" w:rsidP="001E1DF1">
            <w:pPr>
              <w:spacing w:before="20" w:after="20"/>
              <w:ind w:right="113"/>
              <w:jc w:val="right"/>
              <w:rPr>
                <w:rFonts w:cstheme="minorHAnsi"/>
                <w:color w:val="000000"/>
                <w:sz w:val="20"/>
                <w:szCs w:val="20"/>
              </w:rPr>
            </w:pPr>
            <w:r w:rsidRPr="00177572">
              <w:rPr>
                <w:rFonts w:cstheme="minorHAnsi"/>
                <w:color w:val="000000"/>
                <w:sz w:val="20"/>
                <w:szCs w:val="20"/>
              </w:rPr>
              <w:t>258</w:t>
            </w:r>
          </w:p>
        </w:tc>
        <w:tc>
          <w:tcPr>
            <w:tcW w:w="851" w:type="dxa"/>
            <w:shd w:val="clear" w:color="auto" w:fill="auto"/>
            <w:vAlign w:val="center"/>
          </w:tcPr>
          <w:p w:rsidR="00D907AF" w:rsidRPr="00177572" w:rsidRDefault="00D907AF" w:rsidP="001E1DF1">
            <w:pPr>
              <w:spacing w:before="20" w:after="20"/>
              <w:ind w:right="113"/>
              <w:jc w:val="right"/>
              <w:rPr>
                <w:rFonts w:cstheme="minorHAnsi"/>
                <w:color w:val="000000"/>
                <w:sz w:val="20"/>
                <w:szCs w:val="20"/>
              </w:rPr>
            </w:pPr>
            <w:r w:rsidRPr="00177572">
              <w:rPr>
                <w:rFonts w:cstheme="minorHAnsi"/>
                <w:color w:val="000000"/>
                <w:sz w:val="20"/>
                <w:szCs w:val="20"/>
              </w:rPr>
              <w:t>52.2</w:t>
            </w:r>
          </w:p>
        </w:tc>
        <w:tc>
          <w:tcPr>
            <w:tcW w:w="1134" w:type="dxa"/>
            <w:shd w:val="clear" w:color="auto" w:fill="auto"/>
            <w:vAlign w:val="center"/>
          </w:tcPr>
          <w:p w:rsidR="00D907AF" w:rsidRPr="00177572" w:rsidRDefault="00D907AF" w:rsidP="0020716E">
            <w:pPr>
              <w:spacing w:before="20" w:after="20"/>
              <w:ind w:right="284"/>
              <w:jc w:val="right"/>
              <w:rPr>
                <w:rFonts w:cstheme="minorHAnsi"/>
                <w:color w:val="000000"/>
                <w:sz w:val="20"/>
                <w:szCs w:val="20"/>
              </w:rPr>
            </w:pPr>
            <w:r w:rsidRPr="00177572">
              <w:rPr>
                <w:rFonts w:cstheme="minorHAnsi"/>
                <w:color w:val="000000"/>
                <w:sz w:val="20"/>
                <w:szCs w:val="20"/>
              </w:rPr>
              <w:t>269</w:t>
            </w:r>
          </w:p>
        </w:tc>
        <w:tc>
          <w:tcPr>
            <w:tcW w:w="1134" w:type="dxa"/>
            <w:shd w:val="clear" w:color="auto" w:fill="auto"/>
            <w:vAlign w:val="center"/>
          </w:tcPr>
          <w:p w:rsidR="00D907AF" w:rsidRPr="00177572" w:rsidRDefault="00D907AF" w:rsidP="001E1DF1">
            <w:pPr>
              <w:spacing w:before="20" w:after="20"/>
              <w:ind w:right="284"/>
              <w:jc w:val="right"/>
              <w:rPr>
                <w:rFonts w:cstheme="minorHAnsi"/>
                <w:color w:val="000000"/>
                <w:sz w:val="20"/>
                <w:szCs w:val="20"/>
              </w:rPr>
            </w:pPr>
            <w:r w:rsidRPr="00177572">
              <w:rPr>
                <w:rFonts w:cstheme="minorHAnsi"/>
                <w:color w:val="000000"/>
                <w:sz w:val="20"/>
                <w:szCs w:val="20"/>
              </w:rPr>
              <w:t>45.2</w:t>
            </w:r>
          </w:p>
        </w:tc>
        <w:tc>
          <w:tcPr>
            <w:tcW w:w="794" w:type="dxa"/>
            <w:shd w:val="clear" w:color="auto" w:fill="auto"/>
            <w:vAlign w:val="center"/>
          </w:tcPr>
          <w:p w:rsidR="00D907AF" w:rsidRPr="00177572" w:rsidRDefault="00D907AF" w:rsidP="001E1DF1">
            <w:pPr>
              <w:spacing w:before="20" w:after="20"/>
              <w:ind w:right="113"/>
              <w:jc w:val="right"/>
              <w:rPr>
                <w:rFonts w:cstheme="minorHAnsi"/>
                <w:color w:val="000000"/>
                <w:sz w:val="20"/>
                <w:szCs w:val="20"/>
              </w:rPr>
            </w:pPr>
            <w:r w:rsidRPr="00177572">
              <w:rPr>
                <w:rFonts w:cstheme="minorHAnsi"/>
                <w:color w:val="000000"/>
                <w:sz w:val="20"/>
                <w:szCs w:val="20"/>
              </w:rPr>
              <w:t>527</w:t>
            </w:r>
          </w:p>
        </w:tc>
        <w:tc>
          <w:tcPr>
            <w:tcW w:w="737" w:type="dxa"/>
            <w:shd w:val="clear" w:color="auto" w:fill="auto"/>
            <w:vAlign w:val="center"/>
          </w:tcPr>
          <w:p w:rsidR="00D907AF" w:rsidRPr="00177572" w:rsidRDefault="00D907AF" w:rsidP="001E1DF1">
            <w:pPr>
              <w:spacing w:before="20" w:after="20"/>
              <w:jc w:val="right"/>
              <w:rPr>
                <w:rFonts w:cstheme="minorHAnsi"/>
                <w:color w:val="000000"/>
                <w:sz w:val="20"/>
                <w:szCs w:val="20"/>
              </w:rPr>
            </w:pPr>
            <w:r w:rsidRPr="00177572">
              <w:rPr>
                <w:rFonts w:cstheme="minorHAnsi"/>
                <w:color w:val="000000"/>
                <w:sz w:val="20"/>
                <w:szCs w:val="20"/>
              </w:rPr>
              <w:t>48.4</w:t>
            </w:r>
          </w:p>
        </w:tc>
      </w:tr>
      <w:tr w:rsidR="00677EA3" w:rsidRPr="00177572" w:rsidTr="003612DC">
        <w:trPr>
          <w:trHeight w:val="482"/>
        </w:trPr>
        <w:tc>
          <w:tcPr>
            <w:tcW w:w="3403" w:type="dxa"/>
            <w:shd w:val="clear" w:color="auto" w:fill="auto"/>
            <w:vAlign w:val="center"/>
          </w:tcPr>
          <w:p w:rsidR="00D907AF" w:rsidRPr="00177572" w:rsidRDefault="00D907AF" w:rsidP="00AD1747">
            <w:pPr>
              <w:spacing w:before="20" w:after="20"/>
              <w:rPr>
                <w:rFonts w:cstheme="minorHAnsi"/>
                <w:sz w:val="20"/>
                <w:szCs w:val="20"/>
              </w:rPr>
            </w:pPr>
            <w:r w:rsidRPr="00177572">
              <w:rPr>
                <w:rFonts w:cstheme="minorHAnsi"/>
                <w:sz w:val="20"/>
                <w:szCs w:val="20"/>
              </w:rPr>
              <w:t>Help with managing feelings, emotions or behaviour</w:t>
            </w:r>
          </w:p>
        </w:tc>
        <w:tc>
          <w:tcPr>
            <w:tcW w:w="850" w:type="dxa"/>
            <w:shd w:val="clear" w:color="auto" w:fill="auto"/>
            <w:vAlign w:val="center"/>
          </w:tcPr>
          <w:p w:rsidR="00D907AF" w:rsidRPr="00177572" w:rsidRDefault="00D907AF" w:rsidP="001E1DF1">
            <w:pPr>
              <w:spacing w:before="20" w:after="20"/>
              <w:ind w:right="113"/>
              <w:jc w:val="right"/>
              <w:rPr>
                <w:rFonts w:cstheme="minorHAnsi"/>
                <w:color w:val="000000"/>
                <w:sz w:val="20"/>
                <w:szCs w:val="20"/>
              </w:rPr>
            </w:pPr>
            <w:r w:rsidRPr="00177572">
              <w:rPr>
                <w:rFonts w:cstheme="minorHAnsi"/>
                <w:color w:val="000000"/>
                <w:sz w:val="20"/>
                <w:szCs w:val="20"/>
              </w:rPr>
              <w:t>289</w:t>
            </w:r>
          </w:p>
        </w:tc>
        <w:tc>
          <w:tcPr>
            <w:tcW w:w="851" w:type="dxa"/>
            <w:shd w:val="clear" w:color="auto" w:fill="auto"/>
            <w:vAlign w:val="center"/>
          </w:tcPr>
          <w:p w:rsidR="00D907AF" w:rsidRPr="00177572" w:rsidRDefault="00D907AF" w:rsidP="001E1DF1">
            <w:pPr>
              <w:spacing w:before="20" w:after="20"/>
              <w:ind w:right="113"/>
              <w:jc w:val="right"/>
              <w:rPr>
                <w:rFonts w:cstheme="minorHAnsi"/>
                <w:color w:val="000000"/>
                <w:sz w:val="20"/>
                <w:szCs w:val="20"/>
              </w:rPr>
            </w:pPr>
            <w:r w:rsidRPr="00177572">
              <w:rPr>
                <w:rFonts w:cstheme="minorHAnsi"/>
                <w:color w:val="000000"/>
                <w:sz w:val="20"/>
                <w:szCs w:val="20"/>
              </w:rPr>
              <w:t>58.5</w:t>
            </w:r>
          </w:p>
        </w:tc>
        <w:tc>
          <w:tcPr>
            <w:tcW w:w="1134" w:type="dxa"/>
            <w:shd w:val="clear" w:color="auto" w:fill="auto"/>
            <w:vAlign w:val="center"/>
          </w:tcPr>
          <w:p w:rsidR="00D907AF" w:rsidRPr="00177572" w:rsidRDefault="00D907AF" w:rsidP="0020716E">
            <w:pPr>
              <w:spacing w:before="20" w:after="20"/>
              <w:ind w:right="284"/>
              <w:jc w:val="right"/>
              <w:rPr>
                <w:rFonts w:cstheme="minorHAnsi"/>
                <w:color w:val="000000"/>
                <w:sz w:val="20"/>
                <w:szCs w:val="20"/>
              </w:rPr>
            </w:pPr>
            <w:r w:rsidRPr="00177572">
              <w:rPr>
                <w:rFonts w:cstheme="minorHAnsi"/>
                <w:color w:val="000000"/>
                <w:sz w:val="20"/>
                <w:szCs w:val="20"/>
              </w:rPr>
              <w:t>360</w:t>
            </w:r>
          </w:p>
        </w:tc>
        <w:tc>
          <w:tcPr>
            <w:tcW w:w="1134" w:type="dxa"/>
            <w:shd w:val="clear" w:color="auto" w:fill="auto"/>
            <w:vAlign w:val="center"/>
          </w:tcPr>
          <w:p w:rsidR="00D907AF" w:rsidRPr="00177572" w:rsidRDefault="00D907AF" w:rsidP="001E1DF1">
            <w:pPr>
              <w:spacing w:before="20" w:after="20"/>
              <w:ind w:right="284"/>
              <w:jc w:val="right"/>
              <w:rPr>
                <w:rFonts w:cstheme="minorHAnsi"/>
                <w:color w:val="000000"/>
                <w:sz w:val="20"/>
                <w:szCs w:val="20"/>
              </w:rPr>
            </w:pPr>
            <w:r w:rsidRPr="00177572">
              <w:rPr>
                <w:rFonts w:cstheme="minorHAnsi"/>
                <w:color w:val="000000"/>
                <w:sz w:val="20"/>
                <w:szCs w:val="20"/>
              </w:rPr>
              <w:t>60.5</w:t>
            </w:r>
          </w:p>
        </w:tc>
        <w:tc>
          <w:tcPr>
            <w:tcW w:w="794" w:type="dxa"/>
            <w:shd w:val="clear" w:color="auto" w:fill="auto"/>
            <w:vAlign w:val="center"/>
          </w:tcPr>
          <w:p w:rsidR="00D907AF" w:rsidRPr="00177572" w:rsidRDefault="00D907AF" w:rsidP="001E1DF1">
            <w:pPr>
              <w:spacing w:before="20" w:after="20"/>
              <w:ind w:right="113"/>
              <w:jc w:val="right"/>
              <w:rPr>
                <w:rFonts w:cstheme="minorHAnsi"/>
                <w:color w:val="000000"/>
                <w:sz w:val="20"/>
                <w:szCs w:val="20"/>
              </w:rPr>
            </w:pPr>
            <w:r w:rsidRPr="00177572">
              <w:rPr>
                <w:rFonts w:cstheme="minorHAnsi"/>
                <w:color w:val="000000"/>
                <w:sz w:val="20"/>
                <w:szCs w:val="20"/>
              </w:rPr>
              <w:t>649</w:t>
            </w:r>
          </w:p>
        </w:tc>
        <w:tc>
          <w:tcPr>
            <w:tcW w:w="737" w:type="dxa"/>
            <w:shd w:val="clear" w:color="auto" w:fill="auto"/>
            <w:vAlign w:val="center"/>
          </w:tcPr>
          <w:p w:rsidR="00D907AF" w:rsidRPr="00177572" w:rsidRDefault="00D907AF" w:rsidP="001E1DF1">
            <w:pPr>
              <w:spacing w:before="20" w:after="20"/>
              <w:jc w:val="right"/>
              <w:rPr>
                <w:rFonts w:cstheme="minorHAnsi"/>
                <w:color w:val="000000"/>
                <w:sz w:val="20"/>
                <w:szCs w:val="20"/>
              </w:rPr>
            </w:pPr>
            <w:r w:rsidRPr="00177572">
              <w:rPr>
                <w:rFonts w:cstheme="minorHAnsi"/>
                <w:color w:val="000000"/>
                <w:sz w:val="20"/>
                <w:szCs w:val="20"/>
              </w:rPr>
              <w:t>59.6</w:t>
            </w:r>
          </w:p>
        </w:tc>
      </w:tr>
      <w:tr w:rsidR="00677EA3" w:rsidRPr="00177572" w:rsidTr="003612DC">
        <w:trPr>
          <w:trHeight w:val="482"/>
        </w:trPr>
        <w:tc>
          <w:tcPr>
            <w:tcW w:w="3403" w:type="dxa"/>
            <w:shd w:val="clear" w:color="auto" w:fill="auto"/>
            <w:vAlign w:val="center"/>
          </w:tcPr>
          <w:p w:rsidR="00D907AF" w:rsidRPr="00177572" w:rsidRDefault="00D907AF" w:rsidP="00AD1747">
            <w:pPr>
              <w:spacing w:before="20" w:after="20"/>
              <w:rPr>
                <w:rFonts w:cstheme="minorHAnsi"/>
                <w:sz w:val="20"/>
                <w:szCs w:val="20"/>
              </w:rPr>
            </w:pPr>
            <w:r w:rsidRPr="00177572">
              <w:rPr>
                <w:rFonts w:cstheme="minorHAnsi"/>
                <w:sz w:val="20"/>
                <w:szCs w:val="20"/>
              </w:rPr>
              <w:t>Help with reading or writing tasks</w:t>
            </w:r>
          </w:p>
        </w:tc>
        <w:tc>
          <w:tcPr>
            <w:tcW w:w="850" w:type="dxa"/>
            <w:shd w:val="clear" w:color="auto" w:fill="auto"/>
            <w:vAlign w:val="center"/>
          </w:tcPr>
          <w:p w:rsidR="00D907AF" w:rsidRPr="00177572" w:rsidRDefault="00D907AF" w:rsidP="001E1DF1">
            <w:pPr>
              <w:spacing w:before="20" w:after="20"/>
              <w:ind w:right="113"/>
              <w:jc w:val="right"/>
              <w:rPr>
                <w:rFonts w:cstheme="minorHAnsi"/>
                <w:color w:val="000000"/>
                <w:sz w:val="20"/>
                <w:szCs w:val="20"/>
              </w:rPr>
            </w:pPr>
            <w:r w:rsidRPr="00177572">
              <w:rPr>
                <w:rFonts w:cstheme="minorHAnsi"/>
                <w:color w:val="000000"/>
                <w:sz w:val="20"/>
                <w:szCs w:val="20"/>
              </w:rPr>
              <w:t>365</w:t>
            </w:r>
          </w:p>
        </w:tc>
        <w:tc>
          <w:tcPr>
            <w:tcW w:w="851" w:type="dxa"/>
            <w:shd w:val="clear" w:color="auto" w:fill="auto"/>
            <w:vAlign w:val="center"/>
          </w:tcPr>
          <w:p w:rsidR="00D907AF" w:rsidRPr="00177572" w:rsidRDefault="00D907AF" w:rsidP="001E1DF1">
            <w:pPr>
              <w:spacing w:before="20" w:after="20"/>
              <w:ind w:right="113"/>
              <w:jc w:val="right"/>
              <w:rPr>
                <w:rFonts w:cstheme="minorHAnsi"/>
                <w:color w:val="000000"/>
                <w:sz w:val="20"/>
                <w:szCs w:val="20"/>
              </w:rPr>
            </w:pPr>
            <w:r w:rsidRPr="00177572">
              <w:rPr>
                <w:rFonts w:cstheme="minorHAnsi"/>
                <w:color w:val="000000"/>
                <w:sz w:val="20"/>
                <w:szCs w:val="20"/>
              </w:rPr>
              <w:t>73.9</w:t>
            </w:r>
          </w:p>
        </w:tc>
        <w:tc>
          <w:tcPr>
            <w:tcW w:w="1134" w:type="dxa"/>
            <w:shd w:val="clear" w:color="auto" w:fill="auto"/>
            <w:vAlign w:val="center"/>
          </w:tcPr>
          <w:p w:rsidR="00D907AF" w:rsidRPr="00177572" w:rsidRDefault="00D907AF" w:rsidP="0020716E">
            <w:pPr>
              <w:spacing w:before="20" w:after="20"/>
              <w:ind w:right="284"/>
              <w:jc w:val="right"/>
              <w:rPr>
                <w:rFonts w:cstheme="minorHAnsi"/>
                <w:color w:val="000000"/>
                <w:sz w:val="20"/>
                <w:szCs w:val="20"/>
              </w:rPr>
            </w:pPr>
            <w:r w:rsidRPr="00177572">
              <w:rPr>
                <w:rFonts w:cstheme="minorHAnsi"/>
                <w:color w:val="000000"/>
                <w:sz w:val="20"/>
                <w:szCs w:val="20"/>
              </w:rPr>
              <w:t>383</w:t>
            </w:r>
          </w:p>
        </w:tc>
        <w:tc>
          <w:tcPr>
            <w:tcW w:w="1134" w:type="dxa"/>
            <w:shd w:val="clear" w:color="auto" w:fill="auto"/>
            <w:vAlign w:val="center"/>
          </w:tcPr>
          <w:p w:rsidR="00D907AF" w:rsidRPr="00177572" w:rsidRDefault="00D907AF" w:rsidP="001E1DF1">
            <w:pPr>
              <w:spacing w:before="20" w:after="20"/>
              <w:ind w:right="284"/>
              <w:jc w:val="right"/>
              <w:rPr>
                <w:rFonts w:cstheme="minorHAnsi"/>
                <w:color w:val="000000"/>
                <w:sz w:val="20"/>
                <w:szCs w:val="20"/>
              </w:rPr>
            </w:pPr>
            <w:r w:rsidRPr="00177572">
              <w:rPr>
                <w:rFonts w:cstheme="minorHAnsi"/>
                <w:color w:val="000000"/>
                <w:sz w:val="20"/>
                <w:szCs w:val="20"/>
              </w:rPr>
              <w:t>64.4</w:t>
            </w:r>
          </w:p>
        </w:tc>
        <w:tc>
          <w:tcPr>
            <w:tcW w:w="794" w:type="dxa"/>
            <w:shd w:val="clear" w:color="auto" w:fill="auto"/>
            <w:vAlign w:val="center"/>
          </w:tcPr>
          <w:p w:rsidR="00D907AF" w:rsidRPr="00177572" w:rsidRDefault="00D907AF" w:rsidP="001E1DF1">
            <w:pPr>
              <w:spacing w:before="20" w:after="20"/>
              <w:ind w:right="113"/>
              <w:jc w:val="right"/>
              <w:rPr>
                <w:rFonts w:cstheme="minorHAnsi"/>
                <w:color w:val="000000"/>
                <w:sz w:val="20"/>
                <w:szCs w:val="20"/>
              </w:rPr>
            </w:pPr>
            <w:r w:rsidRPr="00177572">
              <w:rPr>
                <w:rFonts w:cstheme="minorHAnsi"/>
                <w:color w:val="000000"/>
                <w:sz w:val="20"/>
                <w:szCs w:val="20"/>
              </w:rPr>
              <w:t>748</w:t>
            </w:r>
          </w:p>
        </w:tc>
        <w:tc>
          <w:tcPr>
            <w:tcW w:w="737" w:type="dxa"/>
            <w:shd w:val="clear" w:color="auto" w:fill="auto"/>
            <w:vAlign w:val="center"/>
          </w:tcPr>
          <w:p w:rsidR="00D907AF" w:rsidRPr="00177572" w:rsidRDefault="00D907AF" w:rsidP="001E1DF1">
            <w:pPr>
              <w:spacing w:before="20" w:after="20"/>
              <w:jc w:val="right"/>
              <w:rPr>
                <w:rFonts w:cstheme="minorHAnsi"/>
                <w:color w:val="000000"/>
                <w:sz w:val="20"/>
                <w:szCs w:val="20"/>
              </w:rPr>
            </w:pPr>
            <w:r w:rsidRPr="00177572">
              <w:rPr>
                <w:rFonts w:cstheme="minorHAnsi"/>
                <w:color w:val="000000"/>
                <w:sz w:val="20"/>
                <w:szCs w:val="20"/>
              </w:rPr>
              <w:t>68.7</w:t>
            </w:r>
          </w:p>
        </w:tc>
      </w:tr>
      <w:tr w:rsidR="00677EA3" w:rsidRPr="00177572" w:rsidTr="003612DC">
        <w:trPr>
          <w:trHeight w:val="482"/>
        </w:trPr>
        <w:tc>
          <w:tcPr>
            <w:tcW w:w="3403" w:type="dxa"/>
            <w:shd w:val="clear" w:color="auto" w:fill="auto"/>
            <w:vAlign w:val="center"/>
          </w:tcPr>
          <w:p w:rsidR="00D907AF" w:rsidRPr="00177572" w:rsidRDefault="00D907AF" w:rsidP="00AD1747">
            <w:pPr>
              <w:spacing w:before="20" w:after="20"/>
              <w:rPr>
                <w:rFonts w:cstheme="minorHAnsi"/>
                <w:sz w:val="20"/>
                <w:szCs w:val="20"/>
              </w:rPr>
            </w:pPr>
            <w:r w:rsidRPr="00177572">
              <w:rPr>
                <w:rFonts w:cstheme="minorHAnsi"/>
                <w:sz w:val="20"/>
                <w:szCs w:val="20"/>
              </w:rPr>
              <w:t>Help with making appointments</w:t>
            </w:r>
            <w:r>
              <w:rPr>
                <w:rFonts w:cstheme="minorHAnsi"/>
                <w:sz w:val="20"/>
                <w:szCs w:val="20"/>
              </w:rPr>
              <w:t>/</w:t>
            </w:r>
            <w:r w:rsidRPr="00177572">
              <w:rPr>
                <w:rFonts w:cstheme="minorHAnsi"/>
                <w:sz w:val="20"/>
                <w:szCs w:val="20"/>
              </w:rPr>
              <w:t xml:space="preserve">arranging supports </w:t>
            </w:r>
          </w:p>
        </w:tc>
        <w:tc>
          <w:tcPr>
            <w:tcW w:w="850" w:type="dxa"/>
            <w:shd w:val="clear" w:color="auto" w:fill="auto"/>
            <w:vAlign w:val="center"/>
          </w:tcPr>
          <w:p w:rsidR="00D907AF" w:rsidRPr="00177572" w:rsidRDefault="00D907AF" w:rsidP="001E1DF1">
            <w:pPr>
              <w:spacing w:before="20" w:after="20"/>
              <w:ind w:right="113"/>
              <w:jc w:val="right"/>
              <w:rPr>
                <w:rFonts w:cstheme="minorHAnsi"/>
                <w:color w:val="000000"/>
                <w:sz w:val="20"/>
                <w:szCs w:val="20"/>
              </w:rPr>
            </w:pPr>
            <w:r w:rsidRPr="00177572">
              <w:rPr>
                <w:rFonts w:cstheme="minorHAnsi"/>
                <w:color w:val="000000"/>
                <w:sz w:val="20"/>
                <w:szCs w:val="20"/>
              </w:rPr>
              <w:t>368</w:t>
            </w:r>
          </w:p>
        </w:tc>
        <w:tc>
          <w:tcPr>
            <w:tcW w:w="851" w:type="dxa"/>
            <w:shd w:val="clear" w:color="auto" w:fill="auto"/>
            <w:vAlign w:val="center"/>
          </w:tcPr>
          <w:p w:rsidR="00D907AF" w:rsidRPr="00177572" w:rsidRDefault="00D907AF" w:rsidP="001E1DF1">
            <w:pPr>
              <w:spacing w:before="20" w:after="20"/>
              <w:ind w:right="113"/>
              <w:jc w:val="right"/>
              <w:rPr>
                <w:rFonts w:cstheme="minorHAnsi"/>
                <w:color w:val="000000"/>
                <w:sz w:val="20"/>
                <w:szCs w:val="20"/>
              </w:rPr>
            </w:pPr>
            <w:r w:rsidRPr="00177572">
              <w:rPr>
                <w:rFonts w:cstheme="minorHAnsi"/>
                <w:color w:val="000000"/>
                <w:sz w:val="20"/>
                <w:szCs w:val="20"/>
              </w:rPr>
              <w:t>74.5</w:t>
            </w:r>
          </w:p>
        </w:tc>
        <w:tc>
          <w:tcPr>
            <w:tcW w:w="1134" w:type="dxa"/>
            <w:shd w:val="clear" w:color="auto" w:fill="auto"/>
            <w:vAlign w:val="center"/>
          </w:tcPr>
          <w:p w:rsidR="00D907AF" w:rsidRPr="00177572" w:rsidRDefault="00D907AF" w:rsidP="0020716E">
            <w:pPr>
              <w:spacing w:before="20" w:after="20"/>
              <w:ind w:right="284"/>
              <w:jc w:val="right"/>
              <w:rPr>
                <w:rFonts w:cstheme="minorHAnsi"/>
                <w:color w:val="000000"/>
                <w:sz w:val="20"/>
                <w:szCs w:val="20"/>
              </w:rPr>
            </w:pPr>
            <w:r w:rsidRPr="00177572">
              <w:rPr>
                <w:rFonts w:cstheme="minorHAnsi"/>
                <w:color w:val="000000"/>
                <w:sz w:val="20"/>
                <w:szCs w:val="20"/>
              </w:rPr>
              <w:t>410</w:t>
            </w:r>
          </w:p>
        </w:tc>
        <w:tc>
          <w:tcPr>
            <w:tcW w:w="1134" w:type="dxa"/>
            <w:shd w:val="clear" w:color="auto" w:fill="auto"/>
            <w:vAlign w:val="center"/>
          </w:tcPr>
          <w:p w:rsidR="00D907AF" w:rsidRPr="00177572" w:rsidRDefault="00D907AF" w:rsidP="001E1DF1">
            <w:pPr>
              <w:spacing w:before="20" w:after="20"/>
              <w:ind w:right="284"/>
              <w:jc w:val="right"/>
              <w:rPr>
                <w:rFonts w:cstheme="minorHAnsi"/>
                <w:color w:val="000000"/>
                <w:sz w:val="20"/>
                <w:szCs w:val="20"/>
              </w:rPr>
            </w:pPr>
            <w:r w:rsidRPr="00177572">
              <w:rPr>
                <w:rFonts w:cstheme="minorHAnsi"/>
                <w:color w:val="000000"/>
                <w:sz w:val="20"/>
                <w:szCs w:val="20"/>
              </w:rPr>
              <w:t>68.9</w:t>
            </w:r>
          </w:p>
        </w:tc>
        <w:tc>
          <w:tcPr>
            <w:tcW w:w="794" w:type="dxa"/>
            <w:shd w:val="clear" w:color="auto" w:fill="auto"/>
            <w:vAlign w:val="center"/>
          </w:tcPr>
          <w:p w:rsidR="00D907AF" w:rsidRPr="00177572" w:rsidRDefault="00D907AF" w:rsidP="001E1DF1">
            <w:pPr>
              <w:spacing w:before="20" w:after="20"/>
              <w:ind w:right="113"/>
              <w:jc w:val="right"/>
              <w:rPr>
                <w:rFonts w:cstheme="minorHAnsi"/>
                <w:color w:val="000000"/>
                <w:sz w:val="20"/>
                <w:szCs w:val="20"/>
              </w:rPr>
            </w:pPr>
            <w:r w:rsidRPr="00177572">
              <w:rPr>
                <w:rFonts w:cstheme="minorHAnsi"/>
                <w:color w:val="000000"/>
                <w:sz w:val="20"/>
                <w:szCs w:val="20"/>
              </w:rPr>
              <w:t>778</w:t>
            </w:r>
          </w:p>
        </w:tc>
        <w:tc>
          <w:tcPr>
            <w:tcW w:w="737" w:type="dxa"/>
            <w:shd w:val="clear" w:color="auto" w:fill="auto"/>
            <w:vAlign w:val="center"/>
          </w:tcPr>
          <w:p w:rsidR="00D907AF" w:rsidRPr="00177572" w:rsidRDefault="00D907AF" w:rsidP="001E1DF1">
            <w:pPr>
              <w:spacing w:before="20" w:after="20"/>
              <w:jc w:val="right"/>
              <w:rPr>
                <w:rFonts w:cstheme="minorHAnsi"/>
                <w:color w:val="000000"/>
                <w:sz w:val="20"/>
                <w:szCs w:val="20"/>
              </w:rPr>
            </w:pPr>
            <w:r w:rsidRPr="00177572">
              <w:rPr>
                <w:rFonts w:cstheme="minorHAnsi"/>
                <w:color w:val="000000"/>
                <w:sz w:val="20"/>
                <w:szCs w:val="20"/>
              </w:rPr>
              <w:t>71.4</w:t>
            </w:r>
          </w:p>
        </w:tc>
      </w:tr>
      <w:tr w:rsidR="00677EA3" w:rsidRPr="00177572" w:rsidTr="003612DC">
        <w:trPr>
          <w:trHeight w:val="482"/>
        </w:trPr>
        <w:tc>
          <w:tcPr>
            <w:tcW w:w="3403" w:type="dxa"/>
            <w:tcBorders>
              <w:bottom w:val="single" w:sz="4" w:space="0" w:color="auto"/>
            </w:tcBorders>
            <w:shd w:val="clear" w:color="auto" w:fill="auto"/>
            <w:vAlign w:val="center"/>
          </w:tcPr>
          <w:p w:rsidR="00D907AF" w:rsidRPr="00177572" w:rsidRDefault="00D907AF" w:rsidP="00AD1747">
            <w:pPr>
              <w:spacing w:before="20" w:after="20"/>
              <w:rPr>
                <w:rFonts w:cstheme="minorHAnsi"/>
                <w:sz w:val="20"/>
                <w:szCs w:val="20"/>
              </w:rPr>
            </w:pPr>
            <w:r w:rsidRPr="00177572">
              <w:rPr>
                <w:rFonts w:cstheme="minorHAnsi"/>
                <w:sz w:val="20"/>
                <w:szCs w:val="20"/>
              </w:rPr>
              <w:t>Help with something else (CATI, Online only)</w:t>
            </w:r>
          </w:p>
        </w:tc>
        <w:tc>
          <w:tcPr>
            <w:tcW w:w="850" w:type="dxa"/>
            <w:tcBorders>
              <w:bottom w:val="single" w:sz="4" w:space="0" w:color="auto"/>
            </w:tcBorders>
            <w:shd w:val="clear" w:color="auto" w:fill="auto"/>
            <w:vAlign w:val="center"/>
          </w:tcPr>
          <w:p w:rsidR="00D907AF" w:rsidRPr="00177572" w:rsidRDefault="00D907AF" w:rsidP="001E1DF1">
            <w:pPr>
              <w:spacing w:before="20" w:after="20"/>
              <w:ind w:right="113"/>
              <w:jc w:val="right"/>
              <w:rPr>
                <w:rFonts w:cstheme="minorHAnsi"/>
                <w:color w:val="000000"/>
                <w:sz w:val="20"/>
                <w:szCs w:val="20"/>
              </w:rPr>
            </w:pPr>
            <w:r w:rsidRPr="00177572">
              <w:rPr>
                <w:rFonts w:cstheme="minorHAnsi"/>
                <w:color w:val="000000"/>
                <w:sz w:val="20"/>
                <w:szCs w:val="20"/>
              </w:rPr>
              <w:t>77</w:t>
            </w:r>
          </w:p>
        </w:tc>
        <w:tc>
          <w:tcPr>
            <w:tcW w:w="851" w:type="dxa"/>
            <w:tcBorders>
              <w:bottom w:val="single" w:sz="4" w:space="0" w:color="auto"/>
            </w:tcBorders>
            <w:shd w:val="clear" w:color="auto" w:fill="auto"/>
            <w:vAlign w:val="center"/>
          </w:tcPr>
          <w:p w:rsidR="00D907AF" w:rsidRPr="00177572" w:rsidRDefault="00D907AF" w:rsidP="001E1DF1">
            <w:pPr>
              <w:spacing w:before="20" w:after="20"/>
              <w:ind w:right="113"/>
              <w:jc w:val="right"/>
              <w:rPr>
                <w:rFonts w:cstheme="minorHAnsi"/>
                <w:color w:val="000000"/>
                <w:sz w:val="20"/>
                <w:szCs w:val="20"/>
              </w:rPr>
            </w:pPr>
            <w:r w:rsidRPr="00177572">
              <w:rPr>
                <w:rFonts w:cstheme="minorHAnsi"/>
                <w:color w:val="000000"/>
                <w:sz w:val="20"/>
                <w:szCs w:val="20"/>
              </w:rPr>
              <w:t>15.6</w:t>
            </w:r>
          </w:p>
        </w:tc>
        <w:tc>
          <w:tcPr>
            <w:tcW w:w="1134" w:type="dxa"/>
            <w:tcBorders>
              <w:bottom w:val="single" w:sz="4" w:space="0" w:color="auto"/>
            </w:tcBorders>
            <w:shd w:val="clear" w:color="auto" w:fill="auto"/>
            <w:vAlign w:val="center"/>
          </w:tcPr>
          <w:p w:rsidR="00D907AF" w:rsidRPr="00177572" w:rsidRDefault="00D907AF" w:rsidP="0020716E">
            <w:pPr>
              <w:spacing w:before="20" w:after="20"/>
              <w:ind w:right="284"/>
              <w:jc w:val="right"/>
              <w:rPr>
                <w:rFonts w:cstheme="minorHAnsi"/>
                <w:color w:val="000000"/>
                <w:sz w:val="20"/>
                <w:szCs w:val="20"/>
              </w:rPr>
            </w:pPr>
            <w:r w:rsidRPr="00177572">
              <w:rPr>
                <w:rFonts w:cstheme="minorHAnsi"/>
                <w:color w:val="000000"/>
                <w:sz w:val="20"/>
                <w:szCs w:val="20"/>
              </w:rPr>
              <w:t>104</w:t>
            </w:r>
          </w:p>
        </w:tc>
        <w:tc>
          <w:tcPr>
            <w:tcW w:w="1134" w:type="dxa"/>
            <w:tcBorders>
              <w:bottom w:val="single" w:sz="4" w:space="0" w:color="auto"/>
            </w:tcBorders>
            <w:shd w:val="clear" w:color="auto" w:fill="auto"/>
            <w:vAlign w:val="center"/>
          </w:tcPr>
          <w:p w:rsidR="00D907AF" w:rsidRPr="00177572" w:rsidRDefault="00D907AF" w:rsidP="001E1DF1">
            <w:pPr>
              <w:spacing w:before="20" w:after="20"/>
              <w:ind w:right="284"/>
              <w:jc w:val="right"/>
              <w:rPr>
                <w:rFonts w:cstheme="minorHAnsi"/>
                <w:color w:val="000000"/>
                <w:sz w:val="20"/>
                <w:szCs w:val="20"/>
              </w:rPr>
            </w:pPr>
            <w:r w:rsidRPr="00177572">
              <w:rPr>
                <w:rFonts w:cstheme="minorHAnsi"/>
                <w:color w:val="000000"/>
                <w:sz w:val="20"/>
                <w:szCs w:val="20"/>
              </w:rPr>
              <w:t>17.5</w:t>
            </w:r>
          </w:p>
        </w:tc>
        <w:tc>
          <w:tcPr>
            <w:tcW w:w="794" w:type="dxa"/>
            <w:tcBorders>
              <w:bottom w:val="single" w:sz="4" w:space="0" w:color="auto"/>
            </w:tcBorders>
            <w:shd w:val="clear" w:color="auto" w:fill="auto"/>
            <w:vAlign w:val="center"/>
          </w:tcPr>
          <w:p w:rsidR="00D907AF" w:rsidRPr="00177572" w:rsidRDefault="00D907AF" w:rsidP="001E1DF1">
            <w:pPr>
              <w:spacing w:before="20" w:after="20"/>
              <w:ind w:right="113"/>
              <w:jc w:val="right"/>
              <w:rPr>
                <w:rFonts w:cstheme="minorHAnsi"/>
                <w:color w:val="000000"/>
                <w:sz w:val="20"/>
                <w:szCs w:val="20"/>
              </w:rPr>
            </w:pPr>
            <w:r w:rsidRPr="00177572">
              <w:rPr>
                <w:rFonts w:cstheme="minorHAnsi"/>
                <w:color w:val="000000"/>
                <w:sz w:val="20"/>
                <w:szCs w:val="20"/>
              </w:rPr>
              <w:t>181</w:t>
            </w:r>
          </w:p>
        </w:tc>
        <w:tc>
          <w:tcPr>
            <w:tcW w:w="737" w:type="dxa"/>
            <w:tcBorders>
              <w:bottom w:val="single" w:sz="4" w:space="0" w:color="auto"/>
            </w:tcBorders>
            <w:shd w:val="clear" w:color="auto" w:fill="auto"/>
            <w:vAlign w:val="center"/>
          </w:tcPr>
          <w:p w:rsidR="00D907AF" w:rsidRPr="00177572" w:rsidRDefault="00D907AF" w:rsidP="001E1DF1">
            <w:pPr>
              <w:spacing w:before="20" w:after="20"/>
              <w:jc w:val="right"/>
              <w:rPr>
                <w:rFonts w:cstheme="minorHAnsi"/>
                <w:color w:val="000000"/>
                <w:sz w:val="20"/>
                <w:szCs w:val="20"/>
              </w:rPr>
            </w:pPr>
            <w:r w:rsidRPr="00177572">
              <w:rPr>
                <w:rFonts w:cstheme="minorHAnsi"/>
                <w:color w:val="000000"/>
                <w:sz w:val="20"/>
                <w:szCs w:val="20"/>
              </w:rPr>
              <w:t>16.6</w:t>
            </w:r>
          </w:p>
        </w:tc>
      </w:tr>
      <w:tr w:rsidR="00677EA3" w:rsidRPr="001E1DF1" w:rsidTr="003612DC">
        <w:trPr>
          <w:trHeight w:val="482"/>
        </w:trPr>
        <w:tc>
          <w:tcPr>
            <w:tcW w:w="3403" w:type="dxa"/>
            <w:tcBorders>
              <w:top w:val="single" w:sz="4" w:space="0" w:color="auto"/>
              <w:bottom w:val="single" w:sz="4" w:space="0" w:color="auto"/>
            </w:tcBorders>
            <w:shd w:val="clear" w:color="auto" w:fill="auto"/>
            <w:vAlign w:val="center"/>
          </w:tcPr>
          <w:p w:rsidR="00D907AF" w:rsidRPr="001E1DF1" w:rsidRDefault="00D907AF" w:rsidP="00E11E4A">
            <w:pPr>
              <w:spacing w:before="20" w:after="20"/>
              <w:ind w:right="113"/>
              <w:rPr>
                <w:rFonts w:cstheme="minorHAnsi"/>
                <w:b/>
                <w:color w:val="000000"/>
                <w:sz w:val="20"/>
                <w:szCs w:val="20"/>
              </w:rPr>
            </w:pPr>
            <w:r w:rsidRPr="001E1DF1">
              <w:rPr>
                <w:rFonts w:cstheme="minorHAnsi"/>
                <w:b/>
                <w:color w:val="000000"/>
                <w:sz w:val="20"/>
                <w:szCs w:val="20"/>
              </w:rPr>
              <w:t>Total</w:t>
            </w:r>
          </w:p>
        </w:tc>
        <w:tc>
          <w:tcPr>
            <w:tcW w:w="850" w:type="dxa"/>
            <w:tcBorders>
              <w:top w:val="single" w:sz="4" w:space="0" w:color="auto"/>
              <w:bottom w:val="single" w:sz="4" w:space="0" w:color="auto"/>
            </w:tcBorders>
            <w:shd w:val="clear" w:color="auto" w:fill="auto"/>
            <w:vAlign w:val="center"/>
          </w:tcPr>
          <w:p w:rsidR="00D907AF" w:rsidRPr="001E1DF1" w:rsidRDefault="00D907AF" w:rsidP="001E1DF1">
            <w:pPr>
              <w:spacing w:before="20" w:after="20"/>
              <w:ind w:right="113"/>
              <w:jc w:val="right"/>
              <w:rPr>
                <w:rFonts w:cstheme="minorHAnsi"/>
                <w:b/>
                <w:color w:val="000000"/>
                <w:sz w:val="20"/>
                <w:szCs w:val="20"/>
              </w:rPr>
            </w:pPr>
            <w:r w:rsidRPr="001E1DF1">
              <w:rPr>
                <w:rFonts w:cstheme="minorHAnsi"/>
                <w:b/>
                <w:color w:val="000000"/>
                <w:sz w:val="20"/>
                <w:szCs w:val="20"/>
              </w:rPr>
              <w:t>494</w:t>
            </w:r>
          </w:p>
        </w:tc>
        <w:tc>
          <w:tcPr>
            <w:tcW w:w="851" w:type="dxa"/>
            <w:tcBorders>
              <w:top w:val="single" w:sz="4" w:space="0" w:color="auto"/>
              <w:bottom w:val="single" w:sz="4" w:space="0" w:color="auto"/>
            </w:tcBorders>
            <w:shd w:val="clear" w:color="auto" w:fill="auto"/>
            <w:vAlign w:val="center"/>
          </w:tcPr>
          <w:p w:rsidR="00D907AF" w:rsidRPr="001E1DF1" w:rsidRDefault="00D907AF" w:rsidP="001E1DF1">
            <w:pPr>
              <w:spacing w:before="20" w:after="20"/>
              <w:ind w:right="113"/>
              <w:jc w:val="right"/>
              <w:rPr>
                <w:rFonts w:cstheme="minorHAnsi"/>
                <w:b/>
                <w:color w:val="000000"/>
                <w:sz w:val="20"/>
                <w:szCs w:val="20"/>
              </w:rPr>
            </w:pPr>
          </w:p>
        </w:tc>
        <w:tc>
          <w:tcPr>
            <w:tcW w:w="1134" w:type="dxa"/>
            <w:tcBorders>
              <w:top w:val="single" w:sz="4" w:space="0" w:color="auto"/>
              <w:bottom w:val="single" w:sz="4" w:space="0" w:color="auto"/>
            </w:tcBorders>
            <w:shd w:val="clear" w:color="auto" w:fill="auto"/>
            <w:vAlign w:val="center"/>
          </w:tcPr>
          <w:p w:rsidR="00D907AF" w:rsidRPr="001E1DF1" w:rsidRDefault="00D907AF" w:rsidP="0020716E">
            <w:pPr>
              <w:spacing w:before="20" w:after="20"/>
              <w:ind w:right="284"/>
              <w:jc w:val="right"/>
              <w:rPr>
                <w:rFonts w:cstheme="minorHAnsi"/>
                <w:b/>
                <w:color w:val="000000"/>
                <w:sz w:val="20"/>
                <w:szCs w:val="20"/>
              </w:rPr>
            </w:pPr>
            <w:r w:rsidRPr="001E1DF1">
              <w:rPr>
                <w:rFonts w:cstheme="minorHAnsi"/>
                <w:b/>
                <w:color w:val="000000"/>
                <w:sz w:val="20"/>
                <w:szCs w:val="20"/>
              </w:rPr>
              <w:t>595</w:t>
            </w:r>
          </w:p>
        </w:tc>
        <w:tc>
          <w:tcPr>
            <w:tcW w:w="1134" w:type="dxa"/>
            <w:tcBorders>
              <w:top w:val="single" w:sz="4" w:space="0" w:color="auto"/>
              <w:bottom w:val="single" w:sz="4" w:space="0" w:color="auto"/>
            </w:tcBorders>
            <w:shd w:val="clear" w:color="auto" w:fill="auto"/>
            <w:vAlign w:val="center"/>
          </w:tcPr>
          <w:p w:rsidR="00D907AF" w:rsidRPr="001E1DF1" w:rsidRDefault="00D907AF" w:rsidP="001E1DF1">
            <w:pPr>
              <w:spacing w:before="20" w:after="20"/>
              <w:ind w:right="113"/>
              <w:jc w:val="right"/>
              <w:rPr>
                <w:rFonts w:cstheme="minorHAnsi"/>
                <w:b/>
                <w:color w:val="000000"/>
                <w:sz w:val="20"/>
                <w:szCs w:val="20"/>
              </w:rPr>
            </w:pPr>
          </w:p>
        </w:tc>
        <w:tc>
          <w:tcPr>
            <w:tcW w:w="794" w:type="dxa"/>
            <w:tcBorders>
              <w:top w:val="single" w:sz="4" w:space="0" w:color="auto"/>
              <w:bottom w:val="single" w:sz="4" w:space="0" w:color="auto"/>
            </w:tcBorders>
            <w:shd w:val="clear" w:color="auto" w:fill="auto"/>
            <w:vAlign w:val="center"/>
          </w:tcPr>
          <w:p w:rsidR="00D907AF" w:rsidRPr="001E1DF1" w:rsidRDefault="00D907AF" w:rsidP="001E1DF1">
            <w:pPr>
              <w:spacing w:before="20" w:after="20"/>
              <w:ind w:right="113"/>
              <w:jc w:val="right"/>
              <w:rPr>
                <w:rFonts w:cstheme="minorHAnsi"/>
                <w:b/>
                <w:color w:val="000000"/>
                <w:sz w:val="20"/>
                <w:szCs w:val="20"/>
              </w:rPr>
            </w:pPr>
            <w:r w:rsidRPr="001E1DF1">
              <w:rPr>
                <w:rFonts w:cstheme="minorHAnsi"/>
                <w:b/>
                <w:color w:val="000000"/>
                <w:sz w:val="20"/>
                <w:szCs w:val="20"/>
              </w:rPr>
              <w:t>1,089</w:t>
            </w:r>
          </w:p>
        </w:tc>
        <w:tc>
          <w:tcPr>
            <w:tcW w:w="737" w:type="dxa"/>
            <w:tcBorders>
              <w:top w:val="single" w:sz="4" w:space="0" w:color="auto"/>
              <w:bottom w:val="single" w:sz="4" w:space="0" w:color="auto"/>
            </w:tcBorders>
            <w:shd w:val="clear" w:color="auto" w:fill="auto"/>
          </w:tcPr>
          <w:p w:rsidR="00D907AF" w:rsidRPr="001E1DF1" w:rsidRDefault="00D907AF" w:rsidP="001E1DF1">
            <w:pPr>
              <w:spacing w:before="20" w:after="20"/>
              <w:jc w:val="right"/>
              <w:rPr>
                <w:rFonts w:cstheme="minorHAnsi"/>
                <w:b/>
                <w:color w:val="000000"/>
                <w:sz w:val="20"/>
                <w:szCs w:val="20"/>
              </w:rPr>
            </w:pPr>
          </w:p>
        </w:tc>
      </w:tr>
    </w:tbl>
    <w:p w:rsidR="00D907AF" w:rsidRDefault="00D907AF" w:rsidP="00BC69BF">
      <w:pPr>
        <w:pStyle w:val="NILSReference"/>
      </w:pPr>
      <w:r w:rsidRPr="00B01305">
        <w:t xml:space="preserve">Note: </w:t>
      </w:r>
      <w:r>
        <w:t>t</w:t>
      </w:r>
      <w:r w:rsidRPr="00B01305">
        <w:t xml:space="preserve">rial and </w:t>
      </w:r>
      <w:r>
        <w:t>c</w:t>
      </w:r>
      <w:r w:rsidRPr="00B01305">
        <w:t>omparison</w:t>
      </w:r>
      <w:r>
        <w:t xml:space="preserve"> aged</w:t>
      </w:r>
      <w:r w:rsidRPr="00B01305">
        <w:t xml:space="preserve"> 8 years</w:t>
      </w:r>
      <w:r>
        <w:t xml:space="preserve"> or over; ‘Total’ indicates the number of respondents to answer this question; multiple response question; columns therefore do not add to 100. </w:t>
      </w:r>
    </w:p>
    <w:p w:rsidR="005B2D5F" w:rsidRDefault="005B2D5F" w:rsidP="00D907AF">
      <w:pPr>
        <w:rPr>
          <w:rFonts w:ascii="Calibri" w:hAnsi="Calibri" w:cs="Calibri"/>
        </w:rPr>
      </w:pPr>
    </w:p>
    <w:p w:rsidR="00D907AF" w:rsidRDefault="00D907AF" w:rsidP="00D907AF">
      <w:pPr>
        <w:rPr>
          <w:rFonts w:ascii="Calibri" w:hAnsi="Calibri" w:cs="Calibri"/>
        </w:rPr>
      </w:pPr>
      <w:r>
        <w:rPr>
          <w:rFonts w:ascii="Calibri" w:hAnsi="Calibri" w:cs="Calibri"/>
        </w:rPr>
        <w:t xml:space="preserve">An important aspect of support need and provision is how often it is required. A large majority of </w:t>
      </w:r>
      <w:r w:rsidRPr="00F17C8E">
        <w:rPr>
          <w:rFonts w:ascii="Calibri" w:hAnsi="Calibri" w:cs="Calibri"/>
        </w:rPr>
        <w:t xml:space="preserve">respondents </w:t>
      </w:r>
      <w:r>
        <w:rPr>
          <w:rFonts w:ascii="Calibri" w:hAnsi="Calibri" w:cs="Calibri"/>
        </w:rPr>
        <w:t xml:space="preserve">who needed help </w:t>
      </w:r>
      <w:r w:rsidRPr="00F17C8E">
        <w:rPr>
          <w:rFonts w:ascii="Calibri" w:hAnsi="Calibri" w:cs="Calibri"/>
        </w:rPr>
        <w:t>(84</w:t>
      </w:r>
      <w:r>
        <w:rPr>
          <w:rFonts w:ascii="Calibri" w:hAnsi="Calibri" w:cs="Calibri"/>
        </w:rPr>
        <w:t xml:space="preserve"> per cent</w:t>
      </w:r>
      <w:r w:rsidRPr="00F17C8E">
        <w:rPr>
          <w:rFonts w:ascii="Calibri" w:hAnsi="Calibri" w:cs="Calibri"/>
        </w:rPr>
        <w:t>) reported that they need</w:t>
      </w:r>
      <w:r>
        <w:rPr>
          <w:rFonts w:ascii="Calibri" w:hAnsi="Calibri" w:cs="Calibri"/>
        </w:rPr>
        <w:t>ed</w:t>
      </w:r>
      <w:r w:rsidRPr="00F17C8E">
        <w:rPr>
          <w:rFonts w:ascii="Calibri" w:hAnsi="Calibri" w:cs="Calibri"/>
        </w:rPr>
        <w:t xml:space="preserve"> support daily, with about 9</w:t>
      </w:r>
      <w:r>
        <w:rPr>
          <w:rFonts w:ascii="Calibri" w:hAnsi="Calibri" w:cs="Calibri"/>
        </w:rPr>
        <w:t xml:space="preserve"> per cent</w:t>
      </w:r>
      <w:r w:rsidRPr="00F17C8E">
        <w:rPr>
          <w:rFonts w:ascii="Calibri" w:hAnsi="Calibri" w:cs="Calibri"/>
        </w:rPr>
        <w:t xml:space="preserve"> weekly and the rest</w:t>
      </w:r>
      <w:r>
        <w:rPr>
          <w:rFonts w:ascii="Calibri" w:hAnsi="Calibri" w:cs="Calibri"/>
        </w:rPr>
        <w:t xml:space="preserve"> less frequently or irregularly. </w:t>
      </w:r>
    </w:p>
    <w:p w:rsidR="005B2D5F" w:rsidRDefault="005B2D5F" w:rsidP="00D907AF">
      <w:pPr>
        <w:rPr>
          <w:rFonts w:ascii="Calibri" w:hAnsi="Calibri" w:cs="Calibri"/>
        </w:rPr>
      </w:pPr>
    </w:p>
    <w:p w:rsidR="005F1BAA" w:rsidRDefault="00D907AF" w:rsidP="00D907AF">
      <w:pPr>
        <w:rPr>
          <w:rFonts w:ascii="Calibri" w:hAnsi="Calibri" w:cs="Calibri"/>
        </w:rPr>
      </w:pPr>
      <w:r>
        <w:rPr>
          <w:rFonts w:ascii="Calibri" w:hAnsi="Calibri" w:cs="Calibri"/>
        </w:rPr>
        <w:t xml:space="preserve">Another important aspect of receiving support is the person who provides that support. Those aged 8 and above and who answered that they require assistance were asked who most often helps them. The survey distinguishes between spouse or partner, daughter or son, mother, father, sister or brother, grandparent, other family member, disability support worker, personal attendant or nurse, friend, neighbour, voluntary worker or just ‘someone else’. The information is in Table 3.11 and the </w:t>
      </w:r>
      <w:r w:rsidRPr="00FB5385">
        <w:rPr>
          <w:rFonts w:ascii="Calibri" w:hAnsi="Calibri" w:cs="Calibri"/>
        </w:rPr>
        <w:t xml:space="preserve">degree to which this list is comprehensive is manifested by the low number (only </w:t>
      </w:r>
      <w:r w:rsidRPr="00FB5385">
        <w:rPr>
          <w:rFonts w:ascii="Calibri" w:hAnsi="Calibri" w:cs="Calibri" w:hint="eastAsia"/>
        </w:rPr>
        <w:t>11.4</w:t>
      </w:r>
      <w:r>
        <w:rPr>
          <w:rFonts w:ascii="Calibri" w:hAnsi="Calibri" w:cs="Calibri"/>
        </w:rPr>
        <w:t xml:space="preserve"> per cent</w:t>
      </w:r>
      <w:r w:rsidRPr="00FB5385">
        <w:rPr>
          <w:rFonts w:ascii="Calibri" w:hAnsi="Calibri" w:cs="Calibri"/>
        </w:rPr>
        <w:t xml:space="preserve">) responding </w:t>
      </w:r>
      <w:r>
        <w:rPr>
          <w:rFonts w:ascii="Calibri" w:hAnsi="Calibri" w:cs="Calibri"/>
        </w:rPr>
        <w:t>‘someone else’. Mothers were the most frequent carers, followed – at some distance – by fathers and partners. Paid carers were used substantially more in the trial group, but the bulk of care still came from family members.</w:t>
      </w:r>
      <w:r>
        <w:rPr>
          <w:rStyle w:val="FootnoteReference"/>
          <w:rFonts w:ascii="Calibri" w:hAnsi="Calibri" w:cs="Calibri"/>
        </w:rPr>
        <w:footnoteReference w:id="16"/>
      </w:r>
    </w:p>
    <w:p w:rsidR="005F1BAA" w:rsidRDefault="005F1BAA">
      <w:pPr>
        <w:rPr>
          <w:rFonts w:ascii="Calibri" w:hAnsi="Calibri" w:cs="Calibri"/>
        </w:rPr>
      </w:pPr>
      <w:r>
        <w:rPr>
          <w:rFonts w:ascii="Calibri" w:hAnsi="Calibri" w:cs="Calibri"/>
        </w:rPr>
        <w:br w:type="page"/>
      </w:r>
    </w:p>
    <w:p w:rsidR="00D907AF" w:rsidRPr="00E255BB" w:rsidRDefault="00D907AF" w:rsidP="0044684E">
      <w:pPr>
        <w:pStyle w:val="NILSTableHeading"/>
      </w:pPr>
      <w:bookmarkStart w:id="213" w:name="_Toc428280662"/>
      <w:bookmarkStart w:id="214" w:name="_Toc449955273"/>
      <w:r>
        <w:lastRenderedPageBreak/>
        <w:t xml:space="preserve">Table 3.11: </w:t>
      </w:r>
      <w:r w:rsidRPr="0037057B">
        <w:t xml:space="preserve">Who most often provides </w:t>
      </w:r>
      <w:r>
        <w:t>assistance with daily activities?</w:t>
      </w:r>
      <w:bookmarkEnd w:id="213"/>
      <w:bookmarkEnd w:id="214"/>
    </w:p>
    <w:tbl>
      <w:tblPr>
        <w:tblStyle w:val="TableGrid"/>
        <w:tblW w:w="9158" w:type="dxa"/>
        <w:tblInd w:w="-34" w:type="dxa"/>
        <w:tblLayout w:type="fixed"/>
        <w:tblLook w:val="04A0" w:firstRow="1" w:lastRow="0" w:firstColumn="1" w:lastColumn="0" w:noHBand="0" w:noVBand="1"/>
        <w:tblCaption w:val="Table 3.11 Who most often provides assistance with daily activities?"/>
      </w:tblPr>
      <w:tblGrid>
        <w:gridCol w:w="3686"/>
        <w:gridCol w:w="851"/>
        <w:gridCol w:w="794"/>
        <w:gridCol w:w="1134"/>
        <w:gridCol w:w="992"/>
        <w:gridCol w:w="851"/>
        <w:gridCol w:w="850"/>
      </w:tblGrid>
      <w:tr w:rsidR="00D907AF" w:rsidRPr="00177572" w:rsidTr="00F63AD2">
        <w:trPr>
          <w:cantSplit/>
          <w:tblHeader/>
        </w:trPr>
        <w:tc>
          <w:tcPr>
            <w:tcW w:w="3686" w:type="dxa"/>
            <w:tcBorders>
              <w:top w:val="single" w:sz="4" w:space="0" w:color="auto"/>
              <w:bottom w:val="single" w:sz="4" w:space="0" w:color="auto"/>
            </w:tcBorders>
            <w:shd w:val="clear" w:color="auto" w:fill="auto"/>
          </w:tcPr>
          <w:p w:rsidR="00D907AF" w:rsidRPr="00177572" w:rsidRDefault="00D907AF" w:rsidP="00BC69BF">
            <w:pPr>
              <w:spacing w:before="16" w:after="16"/>
              <w:rPr>
                <w:rFonts w:cstheme="minorHAnsi"/>
                <w:sz w:val="20"/>
                <w:szCs w:val="20"/>
              </w:rPr>
            </w:pPr>
            <w:bookmarkStart w:id="215" w:name="Title_3_11"/>
            <w:bookmarkEnd w:id="215"/>
          </w:p>
        </w:tc>
        <w:tc>
          <w:tcPr>
            <w:tcW w:w="851" w:type="dxa"/>
            <w:tcBorders>
              <w:top w:val="single" w:sz="4" w:space="0" w:color="auto"/>
              <w:bottom w:val="single" w:sz="4" w:space="0" w:color="auto"/>
            </w:tcBorders>
            <w:shd w:val="clear" w:color="auto" w:fill="auto"/>
          </w:tcPr>
          <w:p w:rsidR="00D907AF" w:rsidRPr="00177572" w:rsidRDefault="003013FD" w:rsidP="00BC69BF">
            <w:pPr>
              <w:spacing w:before="16" w:after="16"/>
              <w:jc w:val="center"/>
              <w:rPr>
                <w:rFonts w:cstheme="minorHAnsi"/>
                <w:sz w:val="20"/>
                <w:szCs w:val="20"/>
              </w:rPr>
            </w:pPr>
            <w:r w:rsidRPr="00177572">
              <w:rPr>
                <w:rFonts w:cstheme="minorHAnsi"/>
                <w:sz w:val="20"/>
                <w:szCs w:val="20"/>
              </w:rPr>
              <w:t xml:space="preserve">Trial </w:t>
            </w:r>
            <w:r w:rsidR="00D907AF" w:rsidRPr="00177572">
              <w:rPr>
                <w:rFonts w:cstheme="minorHAnsi"/>
                <w:sz w:val="20"/>
                <w:szCs w:val="20"/>
              </w:rPr>
              <w:t>Cases</w:t>
            </w:r>
          </w:p>
        </w:tc>
        <w:tc>
          <w:tcPr>
            <w:tcW w:w="794" w:type="dxa"/>
            <w:tcBorders>
              <w:top w:val="single" w:sz="4" w:space="0" w:color="auto"/>
              <w:bottom w:val="single" w:sz="4" w:space="0" w:color="auto"/>
            </w:tcBorders>
            <w:shd w:val="clear" w:color="auto" w:fill="auto"/>
          </w:tcPr>
          <w:p w:rsidR="00AD1747" w:rsidRDefault="003013FD" w:rsidP="00BC69BF">
            <w:pPr>
              <w:spacing w:before="16" w:after="16"/>
              <w:jc w:val="center"/>
              <w:rPr>
                <w:rFonts w:cstheme="minorHAnsi"/>
                <w:sz w:val="20"/>
                <w:szCs w:val="20"/>
              </w:rPr>
            </w:pPr>
            <w:r>
              <w:rPr>
                <w:rFonts w:cstheme="minorHAnsi"/>
                <w:sz w:val="20"/>
                <w:szCs w:val="20"/>
              </w:rPr>
              <w:t xml:space="preserve">Trial </w:t>
            </w:r>
          </w:p>
          <w:p w:rsidR="00D907AF" w:rsidRPr="00177572" w:rsidRDefault="00D907AF" w:rsidP="00BC69BF">
            <w:pPr>
              <w:spacing w:before="16" w:after="16"/>
              <w:jc w:val="center"/>
              <w:rPr>
                <w:rFonts w:cstheme="minorHAnsi"/>
                <w:sz w:val="20"/>
                <w:szCs w:val="20"/>
              </w:rPr>
            </w:pPr>
            <w:r w:rsidRPr="00177572">
              <w:rPr>
                <w:rFonts w:cstheme="minorHAnsi"/>
                <w:sz w:val="20"/>
                <w:szCs w:val="20"/>
              </w:rPr>
              <w:t>%</w:t>
            </w:r>
          </w:p>
        </w:tc>
        <w:tc>
          <w:tcPr>
            <w:tcW w:w="1134" w:type="dxa"/>
            <w:tcBorders>
              <w:top w:val="single" w:sz="4" w:space="0" w:color="auto"/>
              <w:bottom w:val="single" w:sz="4" w:space="0" w:color="auto"/>
            </w:tcBorders>
            <w:shd w:val="clear" w:color="auto" w:fill="auto"/>
          </w:tcPr>
          <w:p w:rsidR="00D907AF" w:rsidRPr="00177572" w:rsidRDefault="003013FD" w:rsidP="003013FD">
            <w:pPr>
              <w:spacing w:before="16" w:after="16"/>
              <w:ind w:left="-108" w:right="-108"/>
              <w:jc w:val="center"/>
              <w:rPr>
                <w:rFonts w:cstheme="minorHAnsi"/>
                <w:sz w:val="20"/>
                <w:szCs w:val="20"/>
              </w:rPr>
            </w:pPr>
            <w:r w:rsidRPr="00177572">
              <w:rPr>
                <w:rFonts w:cstheme="minorHAnsi"/>
                <w:sz w:val="20"/>
                <w:szCs w:val="20"/>
              </w:rPr>
              <w:t xml:space="preserve">Comparison </w:t>
            </w:r>
            <w:r w:rsidR="00D907AF" w:rsidRPr="00177572">
              <w:rPr>
                <w:rFonts w:cstheme="minorHAnsi"/>
                <w:sz w:val="20"/>
                <w:szCs w:val="20"/>
              </w:rPr>
              <w:t>Cases</w:t>
            </w:r>
          </w:p>
        </w:tc>
        <w:tc>
          <w:tcPr>
            <w:tcW w:w="992" w:type="dxa"/>
            <w:tcBorders>
              <w:top w:val="single" w:sz="4" w:space="0" w:color="auto"/>
              <w:bottom w:val="single" w:sz="4" w:space="0" w:color="auto"/>
            </w:tcBorders>
            <w:shd w:val="clear" w:color="auto" w:fill="auto"/>
          </w:tcPr>
          <w:p w:rsidR="00D907AF" w:rsidRPr="00177572" w:rsidRDefault="003013FD" w:rsidP="003013FD">
            <w:pPr>
              <w:spacing w:before="16" w:after="16"/>
              <w:ind w:left="-108" w:right="-108"/>
              <w:jc w:val="center"/>
              <w:rPr>
                <w:rFonts w:cstheme="minorHAnsi"/>
                <w:sz w:val="20"/>
                <w:szCs w:val="20"/>
              </w:rPr>
            </w:pPr>
            <w:r>
              <w:rPr>
                <w:rFonts w:cstheme="minorHAnsi"/>
                <w:sz w:val="20"/>
                <w:szCs w:val="20"/>
              </w:rPr>
              <w:t>Comparison</w:t>
            </w:r>
            <w:r w:rsidR="00F24EE4">
              <w:rPr>
                <w:rFonts w:cstheme="minorHAnsi"/>
                <w:sz w:val="20"/>
                <w:szCs w:val="20"/>
              </w:rPr>
              <w:t xml:space="preserve"> </w:t>
            </w:r>
            <w:r w:rsidR="00D907AF" w:rsidRPr="00177572">
              <w:rPr>
                <w:rFonts w:cstheme="minorHAnsi"/>
                <w:sz w:val="20"/>
                <w:szCs w:val="20"/>
              </w:rPr>
              <w:t>%</w:t>
            </w:r>
          </w:p>
        </w:tc>
        <w:tc>
          <w:tcPr>
            <w:tcW w:w="851" w:type="dxa"/>
            <w:tcBorders>
              <w:top w:val="single" w:sz="4" w:space="0" w:color="auto"/>
              <w:bottom w:val="single" w:sz="4" w:space="0" w:color="auto"/>
            </w:tcBorders>
            <w:shd w:val="clear" w:color="auto" w:fill="auto"/>
          </w:tcPr>
          <w:p w:rsidR="00D907AF" w:rsidRPr="00177572" w:rsidRDefault="003013FD" w:rsidP="00BC69BF">
            <w:pPr>
              <w:spacing w:before="16" w:after="16"/>
              <w:jc w:val="center"/>
              <w:rPr>
                <w:rFonts w:cstheme="minorHAnsi"/>
                <w:sz w:val="20"/>
                <w:szCs w:val="20"/>
              </w:rPr>
            </w:pPr>
            <w:r w:rsidRPr="00177572">
              <w:rPr>
                <w:rFonts w:cstheme="minorHAnsi"/>
                <w:sz w:val="20"/>
                <w:szCs w:val="20"/>
              </w:rPr>
              <w:t xml:space="preserve">Total </w:t>
            </w:r>
            <w:r w:rsidR="00D907AF" w:rsidRPr="00177572">
              <w:rPr>
                <w:rFonts w:cstheme="minorHAnsi"/>
                <w:sz w:val="20"/>
                <w:szCs w:val="20"/>
              </w:rPr>
              <w:t>Cases</w:t>
            </w:r>
          </w:p>
        </w:tc>
        <w:tc>
          <w:tcPr>
            <w:tcW w:w="850" w:type="dxa"/>
            <w:tcBorders>
              <w:top w:val="single" w:sz="4" w:space="0" w:color="auto"/>
              <w:bottom w:val="single" w:sz="4" w:space="0" w:color="auto"/>
            </w:tcBorders>
            <w:shd w:val="clear" w:color="auto" w:fill="auto"/>
          </w:tcPr>
          <w:p w:rsidR="00B74A9B" w:rsidRDefault="003013FD" w:rsidP="00BC69BF">
            <w:pPr>
              <w:spacing w:before="16" w:after="16"/>
              <w:jc w:val="center"/>
              <w:rPr>
                <w:rFonts w:cstheme="minorHAnsi"/>
                <w:sz w:val="20"/>
                <w:szCs w:val="20"/>
              </w:rPr>
            </w:pPr>
            <w:r>
              <w:rPr>
                <w:rFonts w:cstheme="minorHAnsi"/>
                <w:sz w:val="20"/>
                <w:szCs w:val="20"/>
              </w:rPr>
              <w:t xml:space="preserve">Total </w:t>
            </w:r>
          </w:p>
          <w:p w:rsidR="00D907AF" w:rsidRPr="00177572" w:rsidRDefault="00D907AF" w:rsidP="00BC69BF">
            <w:pPr>
              <w:spacing w:before="16" w:after="16"/>
              <w:jc w:val="center"/>
              <w:rPr>
                <w:rFonts w:cstheme="minorHAnsi"/>
                <w:sz w:val="20"/>
                <w:szCs w:val="20"/>
              </w:rPr>
            </w:pPr>
            <w:r w:rsidRPr="00177572">
              <w:rPr>
                <w:rFonts w:cstheme="minorHAnsi"/>
                <w:sz w:val="20"/>
                <w:szCs w:val="20"/>
              </w:rPr>
              <w:t>%</w:t>
            </w:r>
          </w:p>
        </w:tc>
      </w:tr>
      <w:tr w:rsidR="00D907AF" w:rsidRPr="00177572" w:rsidTr="00F63AD2">
        <w:trPr>
          <w:trHeight w:val="340"/>
        </w:trPr>
        <w:tc>
          <w:tcPr>
            <w:tcW w:w="3686" w:type="dxa"/>
            <w:tcBorders>
              <w:top w:val="single" w:sz="4" w:space="0" w:color="auto"/>
            </w:tcBorders>
            <w:shd w:val="clear" w:color="auto" w:fill="auto"/>
            <w:vAlign w:val="center"/>
          </w:tcPr>
          <w:p w:rsidR="00D907AF" w:rsidRPr="00177572" w:rsidRDefault="00D907AF" w:rsidP="00CA4762">
            <w:pPr>
              <w:spacing w:before="16" w:after="16"/>
              <w:rPr>
                <w:rFonts w:cstheme="minorHAnsi"/>
                <w:sz w:val="20"/>
                <w:szCs w:val="20"/>
              </w:rPr>
            </w:pPr>
            <w:r w:rsidRPr="00177572">
              <w:rPr>
                <w:rFonts w:cstheme="minorHAnsi"/>
                <w:sz w:val="20"/>
                <w:szCs w:val="20"/>
              </w:rPr>
              <w:t>Spouse/De facto partner</w:t>
            </w:r>
          </w:p>
        </w:tc>
        <w:tc>
          <w:tcPr>
            <w:tcW w:w="851" w:type="dxa"/>
            <w:tcBorders>
              <w:top w:val="single" w:sz="4" w:space="0" w:color="auto"/>
            </w:tcBorders>
            <w:shd w:val="clear" w:color="auto" w:fill="auto"/>
            <w:vAlign w:val="center"/>
          </w:tcPr>
          <w:p w:rsidR="00D907AF" w:rsidRPr="00177572" w:rsidRDefault="00D907AF" w:rsidP="001E1DF1">
            <w:pPr>
              <w:spacing w:before="16" w:after="16"/>
              <w:ind w:right="113"/>
              <w:jc w:val="right"/>
              <w:rPr>
                <w:rFonts w:cstheme="minorHAnsi"/>
                <w:color w:val="000000"/>
                <w:sz w:val="20"/>
                <w:szCs w:val="20"/>
              </w:rPr>
            </w:pPr>
            <w:r w:rsidRPr="00177572">
              <w:rPr>
                <w:rFonts w:cstheme="minorHAnsi"/>
                <w:color w:val="000000"/>
                <w:sz w:val="20"/>
                <w:szCs w:val="20"/>
              </w:rPr>
              <w:t>98</w:t>
            </w:r>
          </w:p>
        </w:tc>
        <w:tc>
          <w:tcPr>
            <w:tcW w:w="794" w:type="dxa"/>
            <w:tcBorders>
              <w:top w:val="single" w:sz="4" w:space="0" w:color="auto"/>
            </w:tcBorders>
            <w:shd w:val="clear" w:color="auto" w:fill="auto"/>
            <w:vAlign w:val="center"/>
          </w:tcPr>
          <w:p w:rsidR="00D907AF" w:rsidRPr="00177572" w:rsidRDefault="00D907AF" w:rsidP="001E1DF1">
            <w:pPr>
              <w:spacing w:before="16" w:after="16"/>
              <w:ind w:right="33"/>
              <w:jc w:val="right"/>
              <w:rPr>
                <w:rFonts w:cstheme="minorHAnsi"/>
                <w:color w:val="000000"/>
                <w:sz w:val="20"/>
                <w:szCs w:val="20"/>
              </w:rPr>
            </w:pPr>
            <w:r w:rsidRPr="00177572">
              <w:rPr>
                <w:rFonts w:cstheme="minorHAnsi"/>
                <w:color w:val="000000"/>
                <w:sz w:val="20"/>
                <w:szCs w:val="20"/>
              </w:rPr>
              <w:t>23.7</w:t>
            </w:r>
          </w:p>
        </w:tc>
        <w:tc>
          <w:tcPr>
            <w:tcW w:w="1134" w:type="dxa"/>
            <w:tcBorders>
              <w:top w:val="single" w:sz="4" w:space="0" w:color="auto"/>
            </w:tcBorders>
            <w:shd w:val="clear" w:color="auto" w:fill="auto"/>
            <w:vAlign w:val="center"/>
          </w:tcPr>
          <w:p w:rsidR="00D907AF" w:rsidRPr="00177572" w:rsidRDefault="00D907AF" w:rsidP="001E1DF1">
            <w:pPr>
              <w:spacing w:before="16" w:after="16"/>
              <w:ind w:right="284"/>
              <w:jc w:val="right"/>
              <w:rPr>
                <w:rFonts w:cstheme="minorHAnsi"/>
                <w:color w:val="000000"/>
                <w:sz w:val="20"/>
                <w:szCs w:val="20"/>
              </w:rPr>
            </w:pPr>
            <w:r w:rsidRPr="00177572">
              <w:rPr>
                <w:rFonts w:cstheme="minorHAnsi"/>
                <w:color w:val="000000"/>
                <w:sz w:val="20"/>
                <w:szCs w:val="20"/>
              </w:rPr>
              <w:t>156</w:t>
            </w:r>
          </w:p>
        </w:tc>
        <w:tc>
          <w:tcPr>
            <w:tcW w:w="992" w:type="dxa"/>
            <w:tcBorders>
              <w:top w:val="single" w:sz="4" w:space="0" w:color="auto"/>
            </w:tcBorders>
            <w:shd w:val="clear" w:color="auto" w:fill="auto"/>
            <w:vAlign w:val="center"/>
          </w:tcPr>
          <w:p w:rsidR="00D907AF" w:rsidRPr="00177572" w:rsidRDefault="00D907AF" w:rsidP="001E1DF1">
            <w:pPr>
              <w:tabs>
                <w:tab w:val="decimal" w:pos="459"/>
              </w:tabs>
              <w:spacing w:before="16" w:after="16"/>
              <w:ind w:right="113"/>
              <w:rPr>
                <w:rFonts w:cstheme="minorHAnsi"/>
                <w:color w:val="000000"/>
                <w:sz w:val="20"/>
                <w:szCs w:val="20"/>
              </w:rPr>
            </w:pPr>
            <w:r w:rsidRPr="00177572">
              <w:rPr>
                <w:rFonts w:cstheme="minorHAnsi"/>
                <w:color w:val="000000"/>
                <w:sz w:val="20"/>
                <w:szCs w:val="20"/>
              </w:rPr>
              <w:t>36.1</w:t>
            </w:r>
          </w:p>
        </w:tc>
        <w:tc>
          <w:tcPr>
            <w:tcW w:w="851" w:type="dxa"/>
            <w:tcBorders>
              <w:top w:val="single" w:sz="4" w:space="0" w:color="auto"/>
            </w:tcBorders>
            <w:shd w:val="clear" w:color="auto" w:fill="auto"/>
            <w:vAlign w:val="center"/>
          </w:tcPr>
          <w:p w:rsidR="00D907AF" w:rsidRPr="00177572" w:rsidRDefault="00D907AF" w:rsidP="00F63AD2">
            <w:pPr>
              <w:spacing w:before="16" w:after="16"/>
              <w:ind w:right="113"/>
              <w:jc w:val="right"/>
              <w:rPr>
                <w:rFonts w:cstheme="minorHAnsi"/>
                <w:color w:val="000000"/>
                <w:sz w:val="20"/>
                <w:szCs w:val="20"/>
              </w:rPr>
            </w:pPr>
            <w:r w:rsidRPr="00177572">
              <w:rPr>
                <w:rFonts w:cstheme="minorHAnsi"/>
                <w:color w:val="000000"/>
                <w:sz w:val="20"/>
                <w:szCs w:val="20"/>
              </w:rPr>
              <w:t>254</w:t>
            </w:r>
          </w:p>
        </w:tc>
        <w:tc>
          <w:tcPr>
            <w:tcW w:w="850" w:type="dxa"/>
            <w:tcBorders>
              <w:top w:val="single" w:sz="4" w:space="0" w:color="auto"/>
            </w:tcBorders>
            <w:shd w:val="clear" w:color="auto" w:fill="auto"/>
            <w:vAlign w:val="center"/>
          </w:tcPr>
          <w:p w:rsidR="00D907AF" w:rsidRPr="00177572" w:rsidRDefault="00D907AF" w:rsidP="001E1DF1">
            <w:pPr>
              <w:spacing w:before="16" w:after="16"/>
              <w:ind w:right="113"/>
              <w:jc w:val="right"/>
              <w:rPr>
                <w:rFonts w:cstheme="minorHAnsi"/>
                <w:color w:val="000000"/>
                <w:sz w:val="20"/>
                <w:szCs w:val="20"/>
              </w:rPr>
            </w:pPr>
            <w:r w:rsidRPr="00177572">
              <w:rPr>
                <w:rFonts w:cstheme="minorHAnsi"/>
                <w:color w:val="000000"/>
                <w:sz w:val="20"/>
                <w:szCs w:val="20"/>
              </w:rPr>
              <w:t>30.1</w:t>
            </w:r>
          </w:p>
        </w:tc>
      </w:tr>
      <w:tr w:rsidR="00D907AF" w:rsidRPr="00177572" w:rsidTr="00F63AD2">
        <w:trPr>
          <w:trHeight w:val="340"/>
        </w:trPr>
        <w:tc>
          <w:tcPr>
            <w:tcW w:w="3686" w:type="dxa"/>
            <w:shd w:val="clear" w:color="auto" w:fill="auto"/>
            <w:vAlign w:val="center"/>
          </w:tcPr>
          <w:p w:rsidR="00D907AF" w:rsidRPr="00177572" w:rsidRDefault="00D907AF" w:rsidP="00CA4762">
            <w:pPr>
              <w:spacing w:before="16" w:after="16"/>
              <w:rPr>
                <w:rFonts w:cstheme="minorHAnsi"/>
                <w:sz w:val="20"/>
                <w:szCs w:val="20"/>
              </w:rPr>
            </w:pPr>
            <w:r w:rsidRPr="00177572">
              <w:rPr>
                <w:rFonts w:cstheme="minorHAnsi"/>
                <w:sz w:val="20"/>
                <w:szCs w:val="20"/>
              </w:rPr>
              <w:t>Mother (including step/adoptive/foster)</w:t>
            </w:r>
          </w:p>
        </w:tc>
        <w:tc>
          <w:tcPr>
            <w:tcW w:w="851" w:type="dxa"/>
            <w:shd w:val="clear" w:color="auto" w:fill="auto"/>
            <w:vAlign w:val="center"/>
          </w:tcPr>
          <w:p w:rsidR="00D907AF" w:rsidRPr="00177572" w:rsidRDefault="00D907AF" w:rsidP="001E1DF1">
            <w:pPr>
              <w:spacing w:before="16" w:after="16"/>
              <w:ind w:right="113"/>
              <w:jc w:val="right"/>
              <w:rPr>
                <w:rFonts w:cstheme="minorHAnsi"/>
                <w:color w:val="000000"/>
                <w:sz w:val="20"/>
                <w:szCs w:val="20"/>
              </w:rPr>
            </w:pPr>
            <w:r w:rsidRPr="00177572">
              <w:rPr>
                <w:rFonts w:cstheme="minorHAnsi"/>
                <w:color w:val="000000"/>
                <w:sz w:val="20"/>
                <w:szCs w:val="20"/>
              </w:rPr>
              <w:t>622</w:t>
            </w:r>
          </w:p>
        </w:tc>
        <w:tc>
          <w:tcPr>
            <w:tcW w:w="794" w:type="dxa"/>
            <w:shd w:val="clear" w:color="auto" w:fill="auto"/>
            <w:vAlign w:val="center"/>
          </w:tcPr>
          <w:p w:rsidR="00D907AF" w:rsidRPr="00177572" w:rsidRDefault="00D907AF" w:rsidP="001E1DF1">
            <w:pPr>
              <w:spacing w:before="16" w:after="16"/>
              <w:ind w:right="33"/>
              <w:jc w:val="right"/>
              <w:rPr>
                <w:rFonts w:cstheme="minorHAnsi"/>
                <w:color w:val="000000"/>
                <w:sz w:val="20"/>
                <w:szCs w:val="20"/>
              </w:rPr>
            </w:pPr>
            <w:r w:rsidRPr="00177572">
              <w:rPr>
                <w:rFonts w:cstheme="minorHAnsi"/>
                <w:color w:val="000000"/>
                <w:sz w:val="20"/>
                <w:szCs w:val="20"/>
              </w:rPr>
              <w:t>74.7</w:t>
            </w:r>
          </w:p>
        </w:tc>
        <w:tc>
          <w:tcPr>
            <w:tcW w:w="1134" w:type="dxa"/>
            <w:shd w:val="clear" w:color="auto" w:fill="auto"/>
            <w:vAlign w:val="center"/>
          </w:tcPr>
          <w:p w:rsidR="00D907AF" w:rsidRPr="00177572" w:rsidRDefault="00D907AF" w:rsidP="001E1DF1">
            <w:pPr>
              <w:spacing w:before="16" w:after="16"/>
              <w:ind w:right="284"/>
              <w:jc w:val="right"/>
              <w:rPr>
                <w:rFonts w:cstheme="minorHAnsi"/>
                <w:color w:val="000000"/>
                <w:sz w:val="20"/>
                <w:szCs w:val="20"/>
              </w:rPr>
            </w:pPr>
            <w:r w:rsidRPr="00177572">
              <w:rPr>
                <w:rFonts w:cstheme="minorHAnsi"/>
                <w:color w:val="000000"/>
                <w:sz w:val="20"/>
                <w:szCs w:val="20"/>
              </w:rPr>
              <w:t>526</w:t>
            </w:r>
          </w:p>
        </w:tc>
        <w:tc>
          <w:tcPr>
            <w:tcW w:w="992" w:type="dxa"/>
            <w:shd w:val="clear" w:color="auto" w:fill="auto"/>
            <w:vAlign w:val="center"/>
          </w:tcPr>
          <w:p w:rsidR="00D907AF" w:rsidRPr="00177572" w:rsidRDefault="00D907AF" w:rsidP="001E1DF1">
            <w:pPr>
              <w:tabs>
                <w:tab w:val="decimal" w:pos="459"/>
              </w:tabs>
              <w:spacing w:before="16" w:after="16"/>
              <w:ind w:right="113"/>
              <w:rPr>
                <w:rFonts w:cstheme="minorHAnsi"/>
                <w:color w:val="000000"/>
                <w:sz w:val="20"/>
                <w:szCs w:val="20"/>
              </w:rPr>
            </w:pPr>
            <w:r w:rsidRPr="00177572">
              <w:rPr>
                <w:rFonts w:cstheme="minorHAnsi"/>
                <w:color w:val="000000"/>
                <w:sz w:val="20"/>
                <w:szCs w:val="20"/>
              </w:rPr>
              <w:t>65.8</w:t>
            </w:r>
          </w:p>
        </w:tc>
        <w:tc>
          <w:tcPr>
            <w:tcW w:w="851" w:type="dxa"/>
            <w:shd w:val="clear" w:color="auto" w:fill="auto"/>
            <w:vAlign w:val="center"/>
          </w:tcPr>
          <w:p w:rsidR="00D907AF" w:rsidRPr="00177572" w:rsidRDefault="00D907AF" w:rsidP="00F63AD2">
            <w:pPr>
              <w:spacing w:before="16" w:after="16"/>
              <w:ind w:right="113"/>
              <w:jc w:val="right"/>
              <w:rPr>
                <w:rFonts w:cstheme="minorHAnsi"/>
                <w:color w:val="000000"/>
                <w:sz w:val="20"/>
                <w:szCs w:val="20"/>
              </w:rPr>
            </w:pPr>
            <w:r w:rsidRPr="00177572">
              <w:rPr>
                <w:rFonts w:cstheme="minorHAnsi"/>
                <w:color w:val="000000"/>
                <w:sz w:val="20"/>
                <w:szCs w:val="20"/>
              </w:rPr>
              <w:t>1,148</w:t>
            </w:r>
          </w:p>
        </w:tc>
        <w:tc>
          <w:tcPr>
            <w:tcW w:w="850" w:type="dxa"/>
            <w:shd w:val="clear" w:color="auto" w:fill="auto"/>
            <w:vAlign w:val="center"/>
          </w:tcPr>
          <w:p w:rsidR="00D907AF" w:rsidRPr="00177572" w:rsidRDefault="00D907AF" w:rsidP="001E1DF1">
            <w:pPr>
              <w:spacing w:before="16" w:after="16"/>
              <w:ind w:right="113"/>
              <w:jc w:val="right"/>
              <w:rPr>
                <w:rFonts w:cstheme="minorHAnsi"/>
                <w:color w:val="000000"/>
                <w:sz w:val="20"/>
                <w:szCs w:val="20"/>
              </w:rPr>
            </w:pPr>
            <w:r w:rsidRPr="00177572">
              <w:rPr>
                <w:rFonts w:cstheme="minorHAnsi"/>
                <w:color w:val="000000"/>
                <w:sz w:val="20"/>
                <w:szCs w:val="20"/>
              </w:rPr>
              <w:t>70.3</w:t>
            </w:r>
          </w:p>
        </w:tc>
      </w:tr>
      <w:tr w:rsidR="00D907AF" w:rsidRPr="00177572" w:rsidTr="00F63AD2">
        <w:trPr>
          <w:trHeight w:val="340"/>
        </w:trPr>
        <w:tc>
          <w:tcPr>
            <w:tcW w:w="3686" w:type="dxa"/>
            <w:shd w:val="clear" w:color="auto" w:fill="auto"/>
            <w:vAlign w:val="center"/>
          </w:tcPr>
          <w:p w:rsidR="00D907AF" w:rsidRPr="00177572" w:rsidRDefault="00D907AF" w:rsidP="00CA4762">
            <w:pPr>
              <w:spacing w:before="16" w:after="16"/>
              <w:rPr>
                <w:rFonts w:cstheme="minorHAnsi"/>
                <w:sz w:val="20"/>
                <w:szCs w:val="20"/>
              </w:rPr>
            </w:pPr>
            <w:r w:rsidRPr="00177572">
              <w:rPr>
                <w:rFonts w:cstheme="minorHAnsi"/>
                <w:sz w:val="20"/>
                <w:szCs w:val="20"/>
              </w:rPr>
              <w:t>Father (including step/adoptive/foster)</w:t>
            </w:r>
          </w:p>
        </w:tc>
        <w:tc>
          <w:tcPr>
            <w:tcW w:w="851" w:type="dxa"/>
            <w:shd w:val="clear" w:color="auto" w:fill="auto"/>
            <w:vAlign w:val="center"/>
          </w:tcPr>
          <w:p w:rsidR="00D907AF" w:rsidRPr="00177572" w:rsidRDefault="00D907AF" w:rsidP="001E1DF1">
            <w:pPr>
              <w:spacing w:before="16" w:after="16"/>
              <w:ind w:right="113"/>
              <w:jc w:val="right"/>
              <w:rPr>
                <w:rFonts w:cstheme="minorHAnsi"/>
                <w:color w:val="000000"/>
                <w:sz w:val="20"/>
                <w:szCs w:val="20"/>
              </w:rPr>
            </w:pPr>
            <w:r w:rsidRPr="00177572">
              <w:rPr>
                <w:rFonts w:cstheme="minorHAnsi"/>
                <w:color w:val="000000"/>
                <w:sz w:val="20"/>
                <w:szCs w:val="20"/>
              </w:rPr>
              <w:t>386</w:t>
            </w:r>
          </w:p>
        </w:tc>
        <w:tc>
          <w:tcPr>
            <w:tcW w:w="794" w:type="dxa"/>
            <w:shd w:val="clear" w:color="auto" w:fill="auto"/>
            <w:vAlign w:val="center"/>
          </w:tcPr>
          <w:p w:rsidR="00D907AF" w:rsidRPr="00177572" w:rsidRDefault="00D907AF" w:rsidP="001E1DF1">
            <w:pPr>
              <w:spacing w:before="16" w:after="16"/>
              <w:ind w:right="33"/>
              <w:jc w:val="right"/>
              <w:rPr>
                <w:rFonts w:cstheme="minorHAnsi"/>
                <w:color w:val="000000"/>
                <w:sz w:val="20"/>
                <w:szCs w:val="20"/>
              </w:rPr>
            </w:pPr>
            <w:r w:rsidRPr="00177572">
              <w:rPr>
                <w:rFonts w:cstheme="minorHAnsi"/>
                <w:color w:val="000000"/>
                <w:sz w:val="20"/>
                <w:szCs w:val="20"/>
              </w:rPr>
              <w:t>46.3</w:t>
            </w:r>
          </w:p>
        </w:tc>
        <w:tc>
          <w:tcPr>
            <w:tcW w:w="1134" w:type="dxa"/>
            <w:shd w:val="clear" w:color="auto" w:fill="auto"/>
            <w:vAlign w:val="center"/>
          </w:tcPr>
          <w:p w:rsidR="00D907AF" w:rsidRPr="00177572" w:rsidRDefault="00D907AF" w:rsidP="001E1DF1">
            <w:pPr>
              <w:spacing w:before="16" w:after="16"/>
              <w:ind w:right="284"/>
              <w:jc w:val="right"/>
              <w:rPr>
                <w:rFonts w:cstheme="minorHAnsi"/>
                <w:color w:val="000000"/>
                <w:sz w:val="20"/>
                <w:szCs w:val="20"/>
              </w:rPr>
            </w:pPr>
            <w:r w:rsidRPr="00177572">
              <w:rPr>
                <w:rFonts w:cstheme="minorHAnsi"/>
                <w:color w:val="000000"/>
                <w:sz w:val="20"/>
                <w:szCs w:val="20"/>
              </w:rPr>
              <w:t>294</w:t>
            </w:r>
          </w:p>
        </w:tc>
        <w:tc>
          <w:tcPr>
            <w:tcW w:w="992" w:type="dxa"/>
            <w:shd w:val="clear" w:color="auto" w:fill="auto"/>
            <w:vAlign w:val="center"/>
          </w:tcPr>
          <w:p w:rsidR="00D907AF" w:rsidRPr="00177572" w:rsidRDefault="00D907AF" w:rsidP="001E1DF1">
            <w:pPr>
              <w:tabs>
                <w:tab w:val="decimal" w:pos="459"/>
              </w:tabs>
              <w:spacing w:before="16" w:after="16"/>
              <w:ind w:right="113"/>
              <w:rPr>
                <w:rFonts w:cstheme="minorHAnsi"/>
                <w:color w:val="000000"/>
                <w:sz w:val="20"/>
                <w:szCs w:val="20"/>
              </w:rPr>
            </w:pPr>
            <w:r w:rsidRPr="00177572">
              <w:rPr>
                <w:rFonts w:cstheme="minorHAnsi"/>
                <w:color w:val="000000"/>
                <w:sz w:val="20"/>
                <w:szCs w:val="20"/>
              </w:rPr>
              <w:t>36.8</w:t>
            </w:r>
          </w:p>
        </w:tc>
        <w:tc>
          <w:tcPr>
            <w:tcW w:w="851" w:type="dxa"/>
            <w:shd w:val="clear" w:color="auto" w:fill="auto"/>
            <w:vAlign w:val="center"/>
          </w:tcPr>
          <w:p w:rsidR="00D907AF" w:rsidRPr="00177572" w:rsidRDefault="00D907AF" w:rsidP="00F63AD2">
            <w:pPr>
              <w:spacing w:before="16" w:after="16"/>
              <w:ind w:right="113"/>
              <w:jc w:val="right"/>
              <w:rPr>
                <w:rFonts w:cstheme="minorHAnsi"/>
                <w:color w:val="000000"/>
                <w:sz w:val="20"/>
                <w:szCs w:val="20"/>
              </w:rPr>
            </w:pPr>
            <w:r w:rsidRPr="00177572">
              <w:rPr>
                <w:rFonts w:cstheme="minorHAnsi"/>
                <w:color w:val="000000"/>
                <w:sz w:val="20"/>
                <w:szCs w:val="20"/>
              </w:rPr>
              <w:t>680</w:t>
            </w:r>
          </w:p>
        </w:tc>
        <w:tc>
          <w:tcPr>
            <w:tcW w:w="850" w:type="dxa"/>
            <w:shd w:val="clear" w:color="auto" w:fill="auto"/>
            <w:vAlign w:val="center"/>
          </w:tcPr>
          <w:p w:rsidR="00D907AF" w:rsidRPr="00177572" w:rsidRDefault="00D907AF" w:rsidP="001E1DF1">
            <w:pPr>
              <w:spacing w:before="16" w:after="16"/>
              <w:ind w:right="113"/>
              <w:jc w:val="right"/>
              <w:rPr>
                <w:rFonts w:cstheme="minorHAnsi"/>
                <w:color w:val="000000"/>
                <w:sz w:val="20"/>
                <w:szCs w:val="20"/>
              </w:rPr>
            </w:pPr>
            <w:r w:rsidRPr="00177572">
              <w:rPr>
                <w:rFonts w:cstheme="minorHAnsi"/>
                <w:color w:val="000000"/>
                <w:sz w:val="20"/>
                <w:szCs w:val="20"/>
              </w:rPr>
              <w:t>41.7</w:t>
            </w:r>
          </w:p>
        </w:tc>
      </w:tr>
      <w:tr w:rsidR="00D907AF" w:rsidRPr="00177572" w:rsidTr="00F63AD2">
        <w:trPr>
          <w:trHeight w:val="340"/>
        </w:trPr>
        <w:tc>
          <w:tcPr>
            <w:tcW w:w="3686" w:type="dxa"/>
            <w:shd w:val="clear" w:color="auto" w:fill="auto"/>
            <w:vAlign w:val="center"/>
          </w:tcPr>
          <w:p w:rsidR="00D907AF" w:rsidRPr="00177572" w:rsidRDefault="00D907AF" w:rsidP="00CA4762">
            <w:pPr>
              <w:spacing w:before="16" w:after="16"/>
              <w:rPr>
                <w:rFonts w:cstheme="minorHAnsi"/>
                <w:sz w:val="20"/>
                <w:szCs w:val="20"/>
              </w:rPr>
            </w:pPr>
            <w:r w:rsidRPr="00177572">
              <w:rPr>
                <w:rFonts w:cstheme="minorHAnsi"/>
                <w:sz w:val="20"/>
                <w:szCs w:val="20"/>
              </w:rPr>
              <w:t xml:space="preserve">Daughter or son (including step/adoptive) </w:t>
            </w:r>
          </w:p>
        </w:tc>
        <w:tc>
          <w:tcPr>
            <w:tcW w:w="851" w:type="dxa"/>
            <w:shd w:val="clear" w:color="auto" w:fill="auto"/>
            <w:vAlign w:val="center"/>
          </w:tcPr>
          <w:p w:rsidR="00D907AF" w:rsidRPr="00177572" w:rsidRDefault="00D907AF" w:rsidP="001E1DF1">
            <w:pPr>
              <w:spacing w:before="16" w:after="16"/>
              <w:ind w:right="113"/>
              <w:jc w:val="right"/>
              <w:rPr>
                <w:rFonts w:cstheme="minorHAnsi"/>
                <w:color w:val="000000"/>
                <w:sz w:val="20"/>
                <w:szCs w:val="20"/>
              </w:rPr>
            </w:pPr>
            <w:r w:rsidRPr="00177572">
              <w:rPr>
                <w:rFonts w:cstheme="minorHAnsi"/>
                <w:color w:val="000000"/>
                <w:sz w:val="20"/>
                <w:szCs w:val="20"/>
              </w:rPr>
              <w:t>34</w:t>
            </w:r>
          </w:p>
        </w:tc>
        <w:tc>
          <w:tcPr>
            <w:tcW w:w="794" w:type="dxa"/>
            <w:shd w:val="clear" w:color="auto" w:fill="auto"/>
            <w:vAlign w:val="center"/>
          </w:tcPr>
          <w:p w:rsidR="00D907AF" w:rsidRPr="00177572" w:rsidRDefault="00D907AF" w:rsidP="001E1DF1">
            <w:pPr>
              <w:spacing w:before="16" w:after="16"/>
              <w:ind w:right="33"/>
              <w:jc w:val="right"/>
              <w:rPr>
                <w:rFonts w:cstheme="minorHAnsi"/>
                <w:color w:val="000000"/>
                <w:sz w:val="20"/>
                <w:szCs w:val="20"/>
              </w:rPr>
            </w:pPr>
            <w:r w:rsidRPr="00177572">
              <w:rPr>
                <w:rFonts w:cstheme="minorHAnsi"/>
                <w:color w:val="000000"/>
                <w:sz w:val="20"/>
                <w:szCs w:val="20"/>
              </w:rPr>
              <w:t>8.2</w:t>
            </w:r>
          </w:p>
        </w:tc>
        <w:tc>
          <w:tcPr>
            <w:tcW w:w="1134" w:type="dxa"/>
            <w:shd w:val="clear" w:color="auto" w:fill="auto"/>
            <w:vAlign w:val="center"/>
          </w:tcPr>
          <w:p w:rsidR="00D907AF" w:rsidRPr="00177572" w:rsidRDefault="00D907AF" w:rsidP="001E1DF1">
            <w:pPr>
              <w:spacing w:before="16" w:after="16"/>
              <w:ind w:right="284"/>
              <w:jc w:val="right"/>
              <w:rPr>
                <w:rFonts w:cstheme="minorHAnsi"/>
                <w:color w:val="000000"/>
                <w:sz w:val="20"/>
                <w:szCs w:val="20"/>
              </w:rPr>
            </w:pPr>
            <w:r w:rsidRPr="00177572">
              <w:rPr>
                <w:rFonts w:cstheme="minorHAnsi"/>
                <w:color w:val="000000"/>
                <w:sz w:val="20"/>
                <w:szCs w:val="20"/>
              </w:rPr>
              <w:t>53</w:t>
            </w:r>
          </w:p>
        </w:tc>
        <w:tc>
          <w:tcPr>
            <w:tcW w:w="992" w:type="dxa"/>
            <w:shd w:val="clear" w:color="auto" w:fill="auto"/>
            <w:vAlign w:val="center"/>
          </w:tcPr>
          <w:p w:rsidR="00D907AF" w:rsidRPr="00177572" w:rsidRDefault="00D907AF" w:rsidP="001E1DF1">
            <w:pPr>
              <w:tabs>
                <w:tab w:val="decimal" w:pos="459"/>
              </w:tabs>
              <w:spacing w:before="16" w:after="16"/>
              <w:ind w:right="113"/>
              <w:rPr>
                <w:rFonts w:cstheme="minorHAnsi"/>
                <w:color w:val="000000"/>
                <w:sz w:val="20"/>
                <w:szCs w:val="20"/>
              </w:rPr>
            </w:pPr>
            <w:r w:rsidRPr="00177572">
              <w:rPr>
                <w:rFonts w:cstheme="minorHAnsi"/>
                <w:color w:val="000000"/>
                <w:sz w:val="20"/>
                <w:szCs w:val="20"/>
              </w:rPr>
              <w:t>12.3</w:t>
            </w:r>
          </w:p>
        </w:tc>
        <w:tc>
          <w:tcPr>
            <w:tcW w:w="851" w:type="dxa"/>
            <w:shd w:val="clear" w:color="auto" w:fill="auto"/>
            <w:vAlign w:val="center"/>
          </w:tcPr>
          <w:p w:rsidR="00D907AF" w:rsidRPr="00177572" w:rsidRDefault="00D907AF" w:rsidP="00F63AD2">
            <w:pPr>
              <w:spacing w:before="16" w:after="16"/>
              <w:ind w:right="113"/>
              <w:jc w:val="right"/>
              <w:rPr>
                <w:rFonts w:cstheme="minorHAnsi"/>
                <w:color w:val="000000"/>
                <w:sz w:val="20"/>
                <w:szCs w:val="20"/>
              </w:rPr>
            </w:pPr>
            <w:r w:rsidRPr="00177572">
              <w:rPr>
                <w:rFonts w:cstheme="minorHAnsi"/>
                <w:color w:val="000000"/>
                <w:sz w:val="20"/>
                <w:szCs w:val="20"/>
              </w:rPr>
              <w:t>87</w:t>
            </w:r>
          </w:p>
        </w:tc>
        <w:tc>
          <w:tcPr>
            <w:tcW w:w="850" w:type="dxa"/>
            <w:shd w:val="clear" w:color="auto" w:fill="auto"/>
            <w:vAlign w:val="center"/>
          </w:tcPr>
          <w:p w:rsidR="00D907AF" w:rsidRPr="00177572" w:rsidRDefault="00D907AF" w:rsidP="001E1DF1">
            <w:pPr>
              <w:spacing w:before="16" w:after="16"/>
              <w:ind w:right="113"/>
              <w:jc w:val="right"/>
              <w:rPr>
                <w:rFonts w:cstheme="minorHAnsi"/>
                <w:color w:val="000000"/>
                <w:sz w:val="20"/>
                <w:szCs w:val="20"/>
              </w:rPr>
            </w:pPr>
            <w:r w:rsidRPr="00177572">
              <w:rPr>
                <w:rFonts w:cstheme="minorHAnsi"/>
                <w:color w:val="000000"/>
                <w:sz w:val="20"/>
                <w:szCs w:val="20"/>
              </w:rPr>
              <w:t>10.3</w:t>
            </w:r>
          </w:p>
        </w:tc>
      </w:tr>
      <w:tr w:rsidR="00D907AF" w:rsidRPr="00177572" w:rsidTr="00F63AD2">
        <w:trPr>
          <w:trHeight w:val="340"/>
        </w:trPr>
        <w:tc>
          <w:tcPr>
            <w:tcW w:w="3686" w:type="dxa"/>
            <w:shd w:val="clear" w:color="auto" w:fill="auto"/>
            <w:vAlign w:val="center"/>
          </w:tcPr>
          <w:p w:rsidR="00D907AF" w:rsidRPr="00177572" w:rsidRDefault="00D907AF" w:rsidP="00CA4762">
            <w:pPr>
              <w:spacing w:before="16" w:after="16"/>
              <w:rPr>
                <w:rFonts w:cstheme="minorHAnsi"/>
                <w:sz w:val="20"/>
                <w:szCs w:val="20"/>
              </w:rPr>
            </w:pPr>
            <w:r w:rsidRPr="00177572">
              <w:rPr>
                <w:rFonts w:cstheme="minorHAnsi"/>
                <w:sz w:val="20"/>
                <w:szCs w:val="20"/>
              </w:rPr>
              <w:t>Sister or brother (including step/adoptive)</w:t>
            </w:r>
          </w:p>
        </w:tc>
        <w:tc>
          <w:tcPr>
            <w:tcW w:w="851" w:type="dxa"/>
            <w:shd w:val="clear" w:color="auto" w:fill="auto"/>
            <w:vAlign w:val="center"/>
          </w:tcPr>
          <w:p w:rsidR="00D907AF" w:rsidRPr="00177572" w:rsidRDefault="00D907AF" w:rsidP="001E1DF1">
            <w:pPr>
              <w:spacing w:before="16" w:after="16"/>
              <w:ind w:right="113"/>
              <w:jc w:val="right"/>
              <w:rPr>
                <w:rFonts w:cstheme="minorHAnsi"/>
                <w:color w:val="000000"/>
                <w:sz w:val="20"/>
                <w:szCs w:val="20"/>
              </w:rPr>
            </w:pPr>
            <w:r w:rsidRPr="00177572">
              <w:rPr>
                <w:rFonts w:cstheme="minorHAnsi"/>
                <w:color w:val="000000"/>
                <w:sz w:val="20"/>
                <w:szCs w:val="20"/>
              </w:rPr>
              <w:t>161</w:t>
            </w:r>
          </w:p>
        </w:tc>
        <w:tc>
          <w:tcPr>
            <w:tcW w:w="794" w:type="dxa"/>
            <w:shd w:val="clear" w:color="auto" w:fill="auto"/>
            <w:vAlign w:val="center"/>
          </w:tcPr>
          <w:p w:rsidR="00D907AF" w:rsidRPr="00177572" w:rsidRDefault="00D907AF" w:rsidP="001E1DF1">
            <w:pPr>
              <w:spacing w:before="16" w:after="16"/>
              <w:ind w:right="33"/>
              <w:jc w:val="right"/>
              <w:rPr>
                <w:rFonts w:cstheme="minorHAnsi"/>
                <w:color w:val="000000"/>
                <w:sz w:val="20"/>
                <w:szCs w:val="20"/>
              </w:rPr>
            </w:pPr>
            <w:r w:rsidRPr="00177572">
              <w:rPr>
                <w:rFonts w:cstheme="minorHAnsi"/>
                <w:color w:val="000000"/>
                <w:sz w:val="20"/>
                <w:szCs w:val="20"/>
              </w:rPr>
              <w:t>19.3</w:t>
            </w:r>
          </w:p>
        </w:tc>
        <w:tc>
          <w:tcPr>
            <w:tcW w:w="1134" w:type="dxa"/>
            <w:shd w:val="clear" w:color="auto" w:fill="auto"/>
            <w:vAlign w:val="center"/>
          </w:tcPr>
          <w:p w:rsidR="00D907AF" w:rsidRPr="00177572" w:rsidRDefault="00D907AF" w:rsidP="001E1DF1">
            <w:pPr>
              <w:spacing w:before="16" w:after="16"/>
              <w:ind w:right="284"/>
              <w:jc w:val="right"/>
              <w:rPr>
                <w:rFonts w:cstheme="minorHAnsi"/>
                <w:color w:val="000000"/>
                <w:sz w:val="20"/>
                <w:szCs w:val="20"/>
              </w:rPr>
            </w:pPr>
            <w:r w:rsidRPr="00177572">
              <w:rPr>
                <w:rFonts w:cstheme="minorHAnsi"/>
                <w:color w:val="000000"/>
                <w:sz w:val="20"/>
                <w:szCs w:val="20"/>
              </w:rPr>
              <w:t>170</w:t>
            </w:r>
          </w:p>
        </w:tc>
        <w:tc>
          <w:tcPr>
            <w:tcW w:w="992" w:type="dxa"/>
            <w:shd w:val="clear" w:color="auto" w:fill="auto"/>
            <w:vAlign w:val="center"/>
          </w:tcPr>
          <w:p w:rsidR="00D907AF" w:rsidRPr="00177572" w:rsidRDefault="00D907AF" w:rsidP="001E1DF1">
            <w:pPr>
              <w:tabs>
                <w:tab w:val="decimal" w:pos="459"/>
              </w:tabs>
              <w:spacing w:before="16" w:after="16"/>
              <w:ind w:right="113"/>
              <w:rPr>
                <w:rFonts w:cstheme="minorHAnsi"/>
                <w:color w:val="000000"/>
                <w:sz w:val="20"/>
                <w:szCs w:val="20"/>
              </w:rPr>
            </w:pPr>
            <w:r w:rsidRPr="00177572">
              <w:rPr>
                <w:rFonts w:cstheme="minorHAnsi"/>
                <w:color w:val="000000"/>
                <w:sz w:val="20"/>
                <w:szCs w:val="20"/>
              </w:rPr>
              <w:t>21.3</w:t>
            </w:r>
          </w:p>
        </w:tc>
        <w:tc>
          <w:tcPr>
            <w:tcW w:w="851" w:type="dxa"/>
            <w:shd w:val="clear" w:color="auto" w:fill="auto"/>
            <w:vAlign w:val="center"/>
          </w:tcPr>
          <w:p w:rsidR="00D907AF" w:rsidRPr="00177572" w:rsidRDefault="00D907AF" w:rsidP="00F63AD2">
            <w:pPr>
              <w:spacing w:before="16" w:after="16"/>
              <w:ind w:right="113"/>
              <w:jc w:val="right"/>
              <w:rPr>
                <w:rFonts w:cstheme="minorHAnsi"/>
                <w:color w:val="000000"/>
                <w:sz w:val="20"/>
                <w:szCs w:val="20"/>
              </w:rPr>
            </w:pPr>
            <w:r w:rsidRPr="00177572">
              <w:rPr>
                <w:rFonts w:cstheme="minorHAnsi"/>
                <w:color w:val="000000"/>
                <w:sz w:val="20"/>
                <w:szCs w:val="20"/>
              </w:rPr>
              <w:t>331</w:t>
            </w:r>
          </w:p>
        </w:tc>
        <w:tc>
          <w:tcPr>
            <w:tcW w:w="850" w:type="dxa"/>
            <w:shd w:val="clear" w:color="auto" w:fill="auto"/>
            <w:vAlign w:val="center"/>
          </w:tcPr>
          <w:p w:rsidR="00D907AF" w:rsidRPr="00177572" w:rsidRDefault="00D907AF" w:rsidP="001E1DF1">
            <w:pPr>
              <w:spacing w:before="16" w:after="16"/>
              <w:ind w:right="113"/>
              <w:jc w:val="right"/>
              <w:rPr>
                <w:rFonts w:cstheme="minorHAnsi"/>
                <w:color w:val="000000"/>
                <w:sz w:val="20"/>
                <w:szCs w:val="20"/>
              </w:rPr>
            </w:pPr>
            <w:r w:rsidRPr="00177572">
              <w:rPr>
                <w:rFonts w:cstheme="minorHAnsi"/>
                <w:color w:val="000000"/>
                <w:sz w:val="20"/>
                <w:szCs w:val="20"/>
              </w:rPr>
              <w:t>20.3</w:t>
            </w:r>
          </w:p>
        </w:tc>
      </w:tr>
      <w:tr w:rsidR="00D907AF" w:rsidRPr="00177572" w:rsidTr="00F63AD2">
        <w:trPr>
          <w:trHeight w:val="340"/>
        </w:trPr>
        <w:tc>
          <w:tcPr>
            <w:tcW w:w="3686" w:type="dxa"/>
            <w:shd w:val="clear" w:color="auto" w:fill="auto"/>
            <w:vAlign w:val="center"/>
          </w:tcPr>
          <w:p w:rsidR="00D907AF" w:rsidRPr="00177572" w:rsidRDefault="00D907AF" w:rsidP="00CA4762">
            <w:pPr>
              <w:spacing w:before="16" w:after="16"/>
              <w:rPr>
                <w:rFonts w:cstheme="minorHAnsi"/>
                <w:sz w:val="20"/>
                <w:szCs w:val="20"/>
              </w:rPr>
            </w:pPr>
            <w:r w:rsidRPr="00177572">
              <w:rPr>
                <w:rFonts w:cstheme="minorHAnsi"/>
                <w:sz w:val="20"/>
                <w:szCs w:val="20"/>
              </w:rPr>
              <w:t>Grandparent (including step/adoptive)</w:t>
            </w:r>
          </w:p>
        </w:tc>
        <w:tc>
          <w:tcPr>
            <w:tcW w:w="851" w:type="dxa"/>
            <w:shd w:val="clear" w:color="auto" w:fill="auto"/>
            <w:vAlign w:val="center"/>
          </w:tcPr>
          <w:p w:rsidR="00D907AF" w:rsidRPr="00177572" w:rsidRDefault="00D907AF" w:rsidP="001E1DF1">
            <w:pPr>
              <w:spacing w:before="16" w:after="16"/>
              <w:ind w:right="113"/>
              <w:jc w:val="right"/>
              <w:rPr>
                <w:rFonts w:cstheme="minorHAnsi"/>
                <w:color w:val="000000"/>
                <w:sz w:val="20"/>
                <w:szCs w:val="20"/>
              </w:rPr>
            </w:pPr>
            <w:r w:rsidRPr="00177572">
              <w:rPr>
                <w:rFonts w:cstheme="minorHAnsi"/>
                <w:color w:val="000000"/>
                <w:sz w:val="20"/>
                <w:szCs w:val="20"/>
              </w:rPr>
              <w:t>103</w:t>
            </w:r>
          </w:p>
        </w:tc>
        <w:tc>
          <w:tcPr>
            <w:tcW w:w="794" w:type="dxa"/>
            <w:shd w:val="clear" w:color="auto" w:fill="auto"/>
            <w:vAlign w:val="center"/>
          </w:tcPr>
          <w:p w:rsidR="00D907AF" w:rsidRPr="00177572" w:rsidRDefault="00D907AF" w:rsidP="001E1DF1">
            <w:pPr>
              <w:spacing w:before="16" w:after="16"/>
              <w:ind w:right="33"/>
              <w:jc w:val="right"/>
              <w:rPr>
                <w:rFonts w:cstheme="minorHAnsi"/>
                <w:color w:val="000000"/>
                <w:sz w:val="20"/>
                <w:szCs w:val="20"/>
              </w:rPr>
            </w:pPr>
            <w:r w:rsidRPr="00177572">
              <w:rPr>
                <w:rFonts w:cstheme="minorHAnsi"/>
                <w:color w:val="000000"/>
                <w:sz w:val="20"/>
                <w:szCs w:val="20"/>
              </w:rPr>
              <w:t>12.4</w:t>
            </w:r>
          </w:p>
        </w:tc>
        <w:tc>
          <w:tcPr>
            <w:tcW w:w="1134" w:type="dxa"/>
            <w:shd w:val="clear" w:color="auto" w:fill="auto"/>
            <w:vAlign w:val="center"/>
          </w:tcPr>
          <w:p w:rsidR="00D907AF" w:rsidRPr="00177572" w:rsidRDefault="00D907AF" w:rsidP="001E1DF1">
            <w:pPr>
              <w:spacing w:before="16" w:after="16"/>
              <w:ind w:right="284"/>
              <w:jc w:val="right"/>
              <w:rPr>
                <w:rFonts w:cstheme="minorHAnsi"/>
                <w:color w:val="000000"/>
                <w:sz w:val="20"/>
                <w:szCs w:val="20"/>
              </w:rPr>
            </w:pPr>
            <w:r w:rsidRPr="00177572">
              <w:rPr>
                <w:rFonts w:cstheme="minorHAnsi"/>
                <w:color w:val="000000"/>
                <w:sz w:val="20"/>
                <w:szCs w:val="20"/>
              </w:rPr>
              <w:t>61</w:t>
            </w:r>
          </w:p>
        </w:tc>
        <w:tc>
          <w:tcPr>
            <w:tcW w:w="992" w:type="dxa"/>
            <w:shd w:val="clear" w:color="auto" w:fill="auto"/>
            <w:vAlign w:val="center"/>
          </w:tcPr>
          <w:p w:rsidR="00D907AF" w:rsidRPr="00177572" w:rsidRDefault="00D907AF" w:rsidP="001E1DF1">
            <w:pPr>
              <w:tabs>
                <w:tab w:val="decimal" w:pos="459"/>
              </w:tabs>
              <w:spacing w:before="16" w:after="16"/>
              <w:ind w:right="113"/>
              <w:rPr>
                <w:rFonts w:cstheme="minorHAnsi"/>
                <w:color w:val="000000"/>
                <w:sz w:val="20"/>
                <w:szCs w:val="20"/>
              </w:rPr>
            </w:pPr>
            <w:r w:rsidRPr="00177572">
              <w:rPr>
                <w:rFonts w:cstheme="minorHAnsi"/>
                <w:color w:val="000000"/>
                <w:sz w:val="20"/>
                <w:szCs w:val="20"/>
              </w:rPr>
              <w:t>7.6</w:t>
            </w:r>
          </w:p>
        </w:tc>
        <w:tc>
          <w:tcPr>
            <w:tcW w:w="851" w:type="dxa"/>
            <w:shd w:val="clear" w:color="auto" w:fill="auto"/>
            <w:vAlign w:val="center"/>
          </w:tcPr>
          <w:p w:rsidR="00D907AF" w:rsidRPr="00177572" w:rsidRDefault="00D907AF" w:rsidP="00F63AD2">
            <w:pPr>
              <w:spacing w:before="16" w:after="16"/>
              <w:ind w:right="113"/>
              <w:jc w:val="right"/>
              <w:rPr>
                <w:rFonts w:cstheme="minorHAnsi"/>
                <w:color w:val="000000"/>
                <w:sz w:val="20"/>
                <w:szCs w:val="20"/>
              </w:rPr>
            </w:pPr>
            <w:r w:rsidRPr="00177572">
              <w:rPr>
                <w:rFonts w:cstheme="minorHAnsi"/>
                <w:color w:val="000000"/>
                <w:sz w:val="20"/>
                <w:szCs w:val="20"/>
              </w:rPr>
              <w:t>164</w:t>
            </w:r>
          </w:p>
        </w:tc>
        <w:tc>
          <w:tcPr>
            <w:tcW w:w="850" w:type="dxa"/>
            <w:shd w:val="clear" w:color="auto" w:fill="auto"/>
            <w:vAlign w:val="center"/>
          </w:tcPr>
          <w:p w:rsidR="00D907AF" w:rsidRPr="00177572" w:rsidRDefault="00D907AF" w:rsidP="001E1DF1">
            <w:pPr>
              <w:spacing w:before="16" w:after="16"/>
              <w:ind w:right="113"/>
              <w:jc w:val="right"/>
              <w:rPr>
                <w:rFonts w:cstheme="minorHAnsi"/>
                <w:color w:val="000000"/>
                <w:sz w:val="20"/>
                <w:szCs w:val="20"/>
              </w:rPr>
            </w:pPr>
            <w:r w:rsidRPr="00177572">
              <w:rPr>
                <w:rFonts w:cstheme="minorHAnsi"/>
                <w:color w:val="000000"/>
                <w:sz w:val="20"/>
                <w:szCs w:val="20"/>
              </w:rPr>
              <w:t>10.1</w:t>
            </w:r>
          </w:p>
        </w:tc>
      </w:tr>
      <w:tr w:rsidR="00D907AF" w:rsidRPr="00177572" w:rsidTr="00F63AD2">
        <w:trPr>
          <w:trHeight w:val="340"/>
        </w:trPr>
        <w:tc>
          <w:tcPr>
            <w:tcW w:w="3686" w:type="dxa"/>
            <w:shd w:val="clear" w:color="auto" w:fill="auto"/>
            <w:vAlign w:val="center"/>
          </w:tcPr>
          <w:p w:rsidR="00D907AF" w:rsidRPr="00177572" w:rsidRDefault="00D907AF" w:rsidP="00CA4762">
            <w:pPr>
              <w:spacing w:before="16" w:after="16"/>
              <w:rPr>
                <w:rFonts w:cstheme="minorHAnsi"/>
                <w:sz w:val="20"/>
                <w:szCs w:val="20"/>
              </w:rPr>
            </w:pPr>
            <w:r w:rsidRPr="00177572">
              <w:rPr>
                <w:rFonts w:cstheme="minorHAnsi"/>
                <w:sz w:val="20"/>
                <w:szCs w:val="20"/>
              </w:rPr>
              <w:t>Other family member (cousin, uncle, aunt)</w:t>
            </w:r>
          </w:p>
        </w:tc>
        <w:tc>
          <w:tcPr>
            <w:tcW w:w="851" w:type="dxa"/>
            <w:shd w:val="clear" w:color="auto" w:fill="auto"/>
            <w:vAlign w:val="center"/>
          </w:tcPr>
          <w:p w:rsidR="00D907AF" w:rsidRPr="00177572" w:rsidRDefault="00D907AF" w:rsidP="001E1DF1">
            <w:pPr>
              <w:spacing w:before="16" w:after="16"/>
              <w:ind w:right="113"/>
              <w:jc w:val="right"/>
              <w:rPr>
                <w:rFonts w:cstheme="minorHAnsi"/>
                <w:color w:val="000000"/>
                <w:sz w:val="20"/>
                <w:szCs w:val="20"/>
              </w:rPr>
            </w:pPr>
            <w:r w:rsidRPr="00177572">
              <w:rPr>
                <w:rFonts w:cstheme="minorHAnsi"/>
                <w:color w:val="000000"/>
                <w:sz w:val="20"/>
                <w:szCs w:val="20"/>
              </w:rPr>
              <w:t>40</w:t>
            </w:r>
          </w:p>
        </w:tc>
        <w:tc>
          <w:tcPr>
            <w:tcW w:w="794" w:type="dxa"/>
            <w:shd w:val="clear" w:color="auto" w:fill="auto"/>
            <w:vAlign w:val="center"/>
          </w:tcPr>
          <w:p w:rsidR="00D907AF" w:rsidRPr="00177572" w:rsidRDefault="00D907AF" w:rsidP="001E1DF1">
            <w:pPr>
              <w:spacing w:before="16" w:after="16"/>
              <w:ind w:right="33"/>
              <w:jc w:val="right"/>
              <w:rPr>
                <w:rFonts w:cstheme="minorHAnsi"/>
                <w:color w:val="000000"/>
                <w:sz w:val="20"/>
                <w:szCs w:val="20"/>
              </w:rPr>
            </w:pPr>
            <w:r w:rsidRPr="00177572">
              <w:rPr>
                <w:rFonts w:cstheme="minorHAnsi"/>
                <w:color w:val="000000"/>
                <w:sz w:val="20"/>
                <w:szCs w:val="20"/>
              </w:rPr>
              <w:t>4.8</w:t>
            </w:r>
          </w:p>
        </w:tc>
        <w:tc>
          <w:tcPr>
            <w:tcW w:w="1134" w:type="dxa"/>
            <w:shd w:val="clear" w:color="auto" w:fill="auto"/>
            <w:vAlign w:val="center"/>
          </w:tcPr>
          <w:p w:rsidR="00D907AF" w:rsidRPr="00177572" w:rsidRDefault="00D907AF" w:rsidP="001E1DF1">
            <w:pPr>
              <w:spacing w:before="16" w:after="16"/>
              <w:ind w:right="284"/>
              <w:jc w:val="right"/>
              <w:rPr>
                <w:rFonts w:cstheme="minorHAnsi"/>
                <w:color w:val="000000"/>
                <w:sz w:val="20"/>
                <w:szCs w:val="20"/>
              </w:rPr>
            </w:pPr>
            <w:r w:rsidRPr="00177572">
              <w:rPr>
                <w:rFonts w:cstheme="minorHAnsi"/>
                <w:color w:val="000000"/>
                <w:sz w:val="20"/>
                <w:szCs w:val="20"/>
              </w:rPr>
              <w:t>37</w:t>
            </w:r>
          </w:p>
        </w:tc>
        <w:tc>
          <w:tcPr>
            <w:tcW w:w="992" w:type="dxa"/>
            <w:shd w:val="clear" w:color="auto" w:fill="auto"/>
            <w:vAlign w:val="center"/>
          </w:tcPr>
          <w:p w:rsidR="00D907AF" w:rsidRPr="00177572" w:rsidRDefault="00D907AF" w:rsidP="001E1DF1">
            <w:pPr>
              <w:tabs>
                <w:tab w:val="decimal" w:pos="459"/>
              </w:tabs>
              <w:spacing w:before="16" w:after="16"/>
              <w:ind w:right="113"/>
              <w:rPr>
                <w:rFonts w:cstheme="minorHAnsi"/>
                <w:color w:val="000000"/>
                <w:sz w:val="20"/>
                <w:szCs w:val="20"/>
              </w:rPr>
            </w:pPr>
            <w:r w:rsidRPr="00177572">
              <w:rPr>
                <w:rFonts w:cstheme="minorHAnsi"/>
                <w:color w:val="000000"/>
                <w:sz w:val="20"/>
                <w:szCs w:val="20"/>
              </w:rPr>
              <w:t>4.6</w:t>
            </w:r>
          </w:p>
        </w:tc>
        <w:tc>
          <w:tcPr>
            <w:tcW w:w="851" w:type="dxa"/>
            <w:shd w:val="clear" w:color="auto" w:fill="auto"/>
            <w:vAlign w:val="center"/>
          </w:tcPr>
          <w:p w:rsidR="00D907AF" w:rsidRPr="00177572" w:rsidRDefault="00D907AF" w:rsidP="00F63AD2">
            <w:pPr>
              <w:spacing w:before="16" w:after="16"/>
              <w:ind w:right="113"/>
              <w:jc w:val="right"/>
              <w:rPr>
                <w:rFonts w:cstheme="minorHAnsi"/>
                <w:color w:val="000000"/>
                <w:sz w:val="20"/>
                <w:szCs w:val="20"/>
              </w:rPr>
            </w:pPr>
            <w:r w:rsidRPr="00177572">
              <w:rPr>
                <w:rFonts w:cstheme="minorHAnsi"/>
                <w:color w:val="000000"/>
                <w:sz w:val="20"/>
                <w:szCs w:val="20"/>
              </w:rPr>
              <w:t>77</w:t>
            </w:r>
          </w:p>
        </w:tc>
        <w:tc>
          <w:tcPr>
            <w:tcW w:w="850" w:type="dxa"/>
            <w:shd w:val="clear" w:color="auto" w:fill="auto"/>
            <w:vAlign w:val="center"/>
          </w:tcPr>
          <w:p w:rsidR="00D907AF" w:rsidRPr="00177572" w:rsidRDefault="00D907AF" w:rsidP="001E1DF1">
            <w:pPr>
              <w:spacing w:before="16" w:after="16"/>
              <w:ind w:right="113"/>
              <w:jc w:val="right"/>
              <w:rPr>
                <w:rFonts w:cstheme="minorHAnsi"/>
                <w:color w:val="000000"/>
                <w:sz w:val="20"/>
                <w:szCs w:val="20"/>
              </w:rPr>
            </w:pPr>
            <w:r w:rsidRPr="00177572">
              <w:rPr>
                <w:rFonts w:cstheme="minorHAnsi"/>
                <w:color w:val="000000"/>
                <w:sz w:val="20"/>
                <w:szCs w:val="20"/>
              </w:rPr>
              <w:t>4.7</w:t>
            </w:r>
          </w:p>
        </w:tc>
      </w:tr>
      <w:tr w:rsidR="00D907AF" w:rsidRPr="00177572" w:rsidTr="00F63AD2">
        <w:trPr>
          <w:trHeight w:val="340"/>
        </w:trPr>
        <w:tc>
          <w:tcPr>
            <w:tcW w:w="3686" w:type="dxa"/>
            <w:shd w:val="clear" w:color="auto" w:fill="auto"/>
            <w:vAlign w:val="center"/>
          </w:tcPr>
          <w:p w:rsidR="00D907AF" w:rsidRPr="00177572" w:rsidRDefault="00D907AF" w:rsidP="00CA4762">
            <w:pPr>
              <w:spacing w:before="16" w:after="16"/>
              <w:rPr>
                <w:rFonts w:cstheme="minorHAnsi"/>
                <w:sz w:val="20"/>
                <w:szCs w:val="20"/>
              </w:rPr>
            </w:pPr>
            <w:r w:rsidRPr="00177572">
              <w:rPr>
                <w:rFonts w:cstheme="minorHAnsi"/>
                <w:sz w:val="20"/>
                <w:szCs w:val="20"/>
              </w:rPr>
              <w:t>Disability support worker, personal attendant or nurse</w:t>
            </w:r>
          </w:p>
        </w:tc>
        <w:tc>
          <w:tcPr>
            <w:tcW w:w="851" w:type="dxa"/>
            <w:shd w:val="clear" w:color="auto" w:fill="auto"/>
            <w:vAlign w:val="center"/>
          </w:tcPr>
          <w:p w:rsidR="00D907AF" w:rsidRPr="00177572" w:rsidRDefault="00D907AF" w:rsidP="001E1DF1">
            <w:pPr>
              <w:spacing w:before="16" w:after="16"/>
              <w:ind w:right="113"/>
              <w:jc w:val="right"/>
              <w:rPr>
                <w:rFonts w:cstheme="minorHAnsi"/>
                <w:color w:val="000000"/>
                <w:sz w:val="20"/>
                <w:szCs w:val="20"/>
              </w:rPr>
            </w:pPr>
            <w:r w:rsidRPr="00177572">
              <w:rPr>
                <w:rFonts w:cstheme="minorHAnsi"/>
                <w:color w:val="000000"/>
                <w:sz w:val="20"/>
                <w:szCs w:val="20"/>
              </w:rPr>
              <w:t>242</w:t>
            </w:r>
          </w:p>
        </w:tc>
        <w:tc>
          <w:tcPr>
            <w:tcW w:w="794" w:type="dxa"/>
            <w:shd w:val="clear" w:color="auto" w:fill="auto"/>
            <w:vAlign w:val="center"/>
          </w:tcPr>
          <w:p w:rsidR="00D907AF" w:rsidRPr="00177572" w:rsidRDefault="00D907AF" w:rsidP="001E1DF1">
            <w:pPr>
              <w:spacing w:before="16" w:after="16"/>
              <w:ind w:right="33"/>
              <w:jc w:val="right"/>
              <w:rPr>
                <w:rFonts w:cstheme="minorHAnsi"/>
                <w:color w:val="000000"/>
                <w:sz w:val="20"/>
                <w:szCs w:val="20"/>
              </w:rPr>
            </w:pPr>
            <w:r w:rsidRPr="00177572">
              <w:rPr>
                <w:rFonts w:cstheme="minorHAnsi"/>
                <w:color w:val="000000"/>
                <w:sz w:val="20"/>
                <w:szCs w:val="20"/>
              </w:rPr>
              <w:t>29.1</w:t>
            </w:r>
          </w:p>
        </w:tc>
        <w:tc>
          <w:tcPr>
            <w:tcW w:w="1134" w:type="dxa"/>
            <w:shd w:val="clear" w:color="auto" w:fill="auto"/>
            <w:vAlign w:val="center"/>
          </w:tcPr>
          <w:p w:rsidR="00D907AF" w:rsidRPr="00177572" w:rsidRDefault="00D907AF" w:rsidP="001E1DF1">
            <w:pPr>
              <w:spacing w:before="16" w:after="16"/>
              <w:ind w:right="284"/>
              <w:jc w:val="right"/>
              <w:rPr>
                <w:rFonts w:cstheme="minorHAnsi"/>
                <w:color w:val="000000"/>
                <w:sz w:val="20"/>
                <w:szCs w:val="20"/>
              </w:rPr>
            </w:pPr>
            <w:r w:rsidRPr="00177572">
              <w:rPr>
                <w:rFonts w:cstheme="minorHAnsi"/>
                <w:color w:val="000000"/>
                <w:sz w:val="20"/>
                <w:szCs w:val="20"/>
              </w:rPr>
              <w:t>129</w:t>
            </w:r>
          </w:p>
        </w:tc>
        <w:tc>
          <w:tcPr>
            <w:tcW w:w="992" w:type="dxa"/>
            <w:shd w:val="clear" w:color="auto" w:fill="auto"/>
            <w:vAlign w:val="center"/>
          </w:tcPr>
          <w:p w:rsidR="00D907AF" w:rsidRPr="00177572" w:rsidRDefault="00D907AF" w:rsidP="001E1DF1">
            <w:pPr>
              <w:tabs>
                <w:tab w:val="decimal" w:pos="459"/>
              </w:tabs>
              <w:spacing w:before="16" w:after="16"/>
              <w:ind w:right="113"/>
              <w:rPr>
                <w:rFonts w:cstheme="minorHAnsi"/>
                <w:color w:val="000000"/>
                <w:sz w:val="20"/>
                <w:szCs w:val="20"/>
              </w:rPr>
            </w:pPr>
            <w:r w:rsidRPr="00177572">
              <w:rPr>
                <w:rFonts w:cstheme="minorHAnsi"/>
                <w:color w:val="000000"/>
                <w:sz w:val="20"/>
                <w:szCs w:val="20"/>
              </w:rPr>
              <w:t>16.2</w:t>
            </w:r>
          </w:p>
        </w:tc>
        <w:tc>
          <w:tcPr>
            <w:tcW w:w="851" w:type="dxa"/>
            <w:shd w:val="clear" w:color="auto" w:fill="auto"/>
            <w:vAlign w:val="center"/>
          </w:tcPr>
          <w:p w:rsidR="00D907AF" w:rsidRPr="00177572" w:rsidRDefault="00D907AF" w:rsidP="00F63AD2">
            <w:pPr>
              <w:spacing w:before="16" w:after="16"/>
              <w:ind w:right="113"/>
              <w:jc w:val="right"/>
              <w:rPr>
                <w:rFonts w:cstheme="minorHAnsi"/>
                <w:color w:val="000000"/>
                <w:sz w:val="20"/>
                <w:szCs w:val="20"/>
              </w:rPr>
            </w:pPr>
            <w:r w:rsidRPr="00177572">
              <w:rPr>
                <w:rFonts w:cstheme="minorHAnsi"/>
                <w:color w:val="000000"/>
                <w:sz w:val="20"/>
                <w:szCs w:val="20"/>
              </w:rPr>
              <w:t>371</w:t>
            </w:r>
          </w:p>
        </w:tc>
        <w:tc>
          <w:tcPr>
            <w:tcW w:w="850" w:type="dxa"/>
            <w:shd w:val="clear" w:color="auto" w:fill="auto"/>
            <w:vAlign w:val="center"/>
          </w:tcPr>
          <w:p w:rsidR="00D907AF" w:rsidRPr="00177572" w:rsidRDefault="00D907AF" w:rsidP="001E1DF1">
            <w:pPr>
              <w:spacing w:before="16" w:after="16"/>
              <w:ind w:right="113"/>
              <w:jc w:val="right"/>
              <w:rPr>
                <w:rFonts w:cstheme="minorHAnsi"/>
                <w:color w:val="000000"/>
                <w:sz w:val="20"/>
                <w:szCs w:val="20"/>
              </w:rPr>
            </w:pPr>
            <w:r w:rsidRPr="00177572">
              <w:rPr>
                <w:rFonts w:cstheme="minorHAnsi"/>
                <w:color w:val="000000"/>
                <w:sz w:val="20"/>
                <w:szCs w:val="20"/>
              </w:rPr>
              <w:t>22.7</w:t>
            </w:r>
          </w:p>
        </w:tc>
      </w:tr>
      <w:tr w:rsidR="00D907AF" w:rsidRPr="00177572" w:rsidTr="00F63AD2">
        <w:trPr>
          <w:trHeight w:val="340"/>
        </w:trPr>
        <w:tc>
          <w:tcPr>
            <w:tcW w:w="3686" w:type="dxa"/>
            <w:shd w:val="clear" w:color="auto" w:fill="auto"/>
            <w:vAlign w:val="center"/>
          </w:tcPr>
          <w:p w:rsidR="00D907AF" w:rsidRPr="00177572" w:rsidRDefault="00D907AF" w:rsidP="00CA4762">
            <w:pPr>
              <w:spacing w:before="16" w:after="16"/>
              <w:rPr>
                <w:rFonts w:cstheme="minorHAnsi"/>
                <w:sz w:val="20"/>
                <w:szCs w:val="20"/>
              </w:rPr>
            </w:pPr>
            <w:r w:rsidRPr="00177572">
              <w:rPr>
                <w:rFonts w:cstheme="minorHAnsi"/>
                <w:sz w:val="20"/>
                <w:szCs w:val="20"/>
              </w:rPr>
              <w:t>Friend</w:t>
            </w:r>
          </w:p>
        </w:tc>
        <w:tc>
          <w:tcPr>
            <w:tcW w:w="851" w:type="dxa"/>
            <w:shd w:val="clear" w:color="auto" w:fill="auto"/>
            <w:vAlign w:val="center"/>
          </w:tcPr>
          <w:p w:rsidR="00D907AF" w:rsidRPr="00177572" w:rsidRDefault="00D907AF" w:rsidP="001E1DF1">
            <w:pPr>
              <w:spacing w:before="16" w:after="16"/>
              <w:ind w:right="113"/>
              <w:jc w:val="right"/>
              <w:rPr>
                <w:rFonts w:cstheme="minorHAnsi"/>
                <w:color w:val="000000"/>
                <w:sz w:val="20"/>
                <w:szCs w:val="20"/>
              </w:rPr>
            </w:pPr>
            <w:r w:rsidRPr="00177572">
              <w:rPr>
                <w:rFonts w:cstheme="minorHAnsi"/>
                <w:color w:val="000000"/>
                <w:sz w:val="20"/>
                <w:szCs w:val="20"/>
              </w:rPr>
              <w:t>56</w:t>
            </w:r>
          </w:p>
        </w:tc>
        <w:tc>
          <w:tcPr>
            <w:tcW w:w="794" w:type="dxa"/>
            <w:shd w:val="clear" w:color="auto" w:fill="auto"/>
            <w:vAlign w:val="center"/>
          </w:tcPr>
          <w:p w:rsidR="00D907AF" w:rsidRPr="00177572" w:rsidRDefault="00D907AF" w:rsidP="001E1DF1">
            <w:pPr>
              <w:spacing w:before="16" w:after="16"/>
              <w:ind w:right="33"/>
              <w:jc w:val="right"/>
              <w:rPr>
                <w:rFonts w:cstheme="minorHAnsi"/>
                <w:color w:val="000000"/>
                <w:sz w:val="20"/>
                <w:szCs w:val="20"/>
              </w:rPr>
            </w:pPr>
            <w:r w:rsidRPr="00177572">
              <w:rPr>
                <w:rFonts w:cstheme="minorHAnsi"/>
                <w:color w:val="000000"/>
                <w:sz w:val="20"/>
                <w:szCs w:val="20"/>
              </w:rPr>
              <w:t>6.7</w:t>
            </w:r>
          </w:p>
        </w:tc>
        <w:tc>
          <w:tcPr>
            <w:tcW w:w="1134" w:type="dxa"/>
            <w:shd w:val="clear" w:color="auto" w:fill="auto"/>
            <w:vAlign w:val="center"/>
          </w:tcPr>
          <w:p w:rsidR="00D907AF" w:rsidRPr="00177572" w:rsidRDefault="00D907AF" w:rsidP="001E1DF1">
            <w:pPr>
              <w:spacing w:before="16" w:after="16"/>
              <w:ind w:right="284"/>
              <w:jc w:val="right"/>
              <w:rPr>
                <w:rFonts w:cstheme="minorHAnsi"/>
                <w:color w:val="000000"/>
                <w:sz w:val="20"/>
                <w:szCs w:val="20"/>
              </w:rPr>
            </w:pPr>
            <w:r w:rsidRPr="00177572">
              <w:rPr>
                <w:rFonts w:cstheme="minorHAnsi"/>
                <w:color w:val="000000"/>
                <w:sz w:val="20"/>
                <w:szCs w:val="20"/>
              </w:rPr>
              <w:t>67</w:t>
            </w:r>
          </w:p>
        </w:tc>
        <w:tc>
          <w:tcPr>
            <w:tcW w:w="992" w:type="dxa"/>
            <w:shd w:val="clear" w:color="auto" w:fill="auto"/>
            <w:vAlign w:val="center"/>
          </w:tcPr>
          <w:p w:rsidR="00D907AF" w:rsidRPr="00177572" w:rsidRDefault="00D907AF" w:rsidP="001E1DF1">
            <w:pPr>
              <w:tabs>
                <w:tab w:val="decimal" w:pos="459"/>
              </w:tabs>
              <w:spacing w:before="16" w:after="16"/>
              <w:ind w:right="113"/>
              <w:rPr>
                <w:rFonts w:cstheme="minorHAnsi"/>
                <w:color w:val="000000"/>
                <w:sz w:val="20"/>
                <w:szCs w:val="20"/>
              </w:rPr>
            </w:pPr>
            <w:r w:rsidRPr="00177572">
              <w:rPr>
                <w:rFonts w:cstheme="minorHAnsi"/>
                <w:color w:val="000000"/>
                <w:sz w:val="20"/>
                <w:szCs w:val="20"/>
              </w:rPr>
              <w:t>8.4</w:t>
            </w:r>
          </w:p>
        </w:tc>
        <w:tc>
          <w:tcPr>
            <w:tcW w:w="851" w:type="dxa"/>
            <w:shd w:val="clear" w:color="auto" w:fill="auto"/>
            <w:vAlign w:val="center"/>
          </w:tcPr>
          <w:p w:rsidR="00D907AF" w:rsidRPr="00177572" w:rsidRDefault="00D907AF" w:rsidP="00F63AD2">
            <w:pPr>
              <w:spacing w:before="16" w:after="16"/>
              <w:ind w:right="113"/>
              <w:jc w:val="right"/>
              <w:rPr>
                <w:rFonts w:cstheme="minorHAnsi"/>
                <w:color w:val="000000"/>
                <w:sz w:val="20"/>
                <w:szCs w:val="20"/>
              </w:rPr>
            </w:pPr>
            <w:r w:rsidRPr="00177572">
              <w:rPr>
                <w:rFonts w:cstheme="minorHAnsi"/>
                <w:color w:val="000000"/>
                <w:sz w:val="20"/>
                <w:szCs w:val="20"/>
              </w:rPr>
              <w:t>123</w:t>
            </w:r>
          </w:p>
        </w:tc>
        <w:tc>
          <w:tcPr>
            <w:tcW w:w="850" w:type="dxa"/>
            <w:shd w:val="clear" w:color="auto" w:fill="auto"/>
            <w:vAlign w:val="center"/>
          </w:tcPr>
          <w:p w:rsidR="00D907AF" w:rsidRPr="00177572" w:rsidRDefault="00D907AF" w:rsidP="001E1DF1">
            <w:pPr>
              <w:spacing w:before="16" w:after="16"/>
              <w:ind w:right="113"/>
              <w:jc w:val="right"/>
              <w:rPr>
                <w:rFonts w:cstheme="minorHAnsi"/>
                <w:color w:val="000000"/>
                <w:sz w:val="20"/>
                <w:szCs w:val="20"/>
              </w:rPr>
            </w:pPr>
            <w:r w:rsidRPr="00177572">
              <w:rPr>
                <w:rFonts w:cstheme="minorHAnsi"/>
                <w:color w:val="000000"/>
                <w:sz w:val="20"/>
                <w:szCs w:val="20"/>
              </w:rPr>
              <w:t>7.5</w:t>
            </w:r>
          </w:p>
        </w:tc>
      </w:tr>
      <w:tr w:rsidR="00D907AF" w:rsidRPr="00177572" w:rsidTr="00F63AD2">
        <w:trPr>
          <w:trHeight w:val="340"/>
        </w:trPr>
        <w:tc>
          <w:tcPr>
            <w:tcW w:w="3686" w:type="dxa"/>
            <w:shd w:val="clear" w:color="auto" w:fill="auto"/>
            <w:vAlign w:val="center"/>
          </w:tcPr>
          <w:p w:rsidR="00D907AF" w:rsidRPr="00177572" w:rsidRDefault="00D907AF" w:rsidP="00CA4762">
            <w:pPr>
              <w:spacing w:before="16" w:after="16"/>
              <w:rPr>
                <w:rFonts w:cstheme="minorHAnsi"/>
                <w:sz w:val="20"/>
                <w:szCs w:val="20"/>
              </w:rPr>
            </w:pPr>
            <w:r w:rsidRPr="00177572">
              <w:rPr>
                <w:rFonts w:cstheme="minorHAnsi"/>
                <w:sz w:val="20"/>
                <w:szCs w:val="20"/>
              </w:rPr>
              <w:t>Neighbour</w:t>
            </w:r>
          </w:p>
        </w:tc>
        <w:tc>
          <w:tcPr>
            <w:tcW w:w="851" w:type="dxa"/>
            <w:shd w:val="clear" w:color="auto" w:fill="auto"/>
            <w:vAlign w:val="center"/>
          </w:tcPr>
          <w:p w:rsidR="00D907AF" w:rsidRPr="00177572" w:rsidRDefault="00D907AF" w:rsidP="001E1DF1">
            <w:pPr>
              <w:spacing w:before="16" w:after="16"/>
              <w:ind w:right="113"/>
              <w:jc w:val="right"/>
              <w:rPr>
                <w:rFonts w:cstheme="minorHAnsi"/>
                <w:color w:val="000000"/>
                <w:sz w:val="20"/>
                <w:szCs w:val="20"/>
              </w:rPr>
            </w:pPr>
            <w:r w:rsidRPr="00177572">
              <w:rPr>
                <w:rFonts w:cstheme="minorHAnsi"/>
                <w:color w:val="000000"/>
                <w:sz w:val="20"/>
                <w:szCs w:val="20"/>
              </w:rPr>
              <w:t>10</w:t>
            </w:r>
          </w:p>
        </w:tc>
        <w:tc>
          <w:tcPr>
            <w:tcW w:w="794" w:type="dxa"/>
            <w:shd w:val="clear" w:color="auto" w:fill="auto"/>
            <w:vAlign w:val="center"/>
          </w:tcPr>
          <w:p w:rsidR="00D907AF" w:rsidRPr="00177572" w:rsidRDefault="00D907AF" w:rsidP="001E1DF1">
            <w:pPr>
              <w:spacing w:before="16" w:after="16"/>
              <w:ind w:right="33"/>
              <w:jc w:val="right"/>
              <w:rPr>
                <w:rFonts w:cstheme="minorHAnsi"/>
                <w:color w:val="000000"/>
                <w:sz w:val="20"/>
                <w:szCs w:val="20"/>
              </w:rPr>
            </w:pPr>
            <w:r w:rsidRPr="00177572">
              <w:rPr>
                <w:rFonts w:cstheme="minorHAnsi"/>
                <w:color w:val="000000"/>
                <w:sz w:val="20"/>
                <w:szCs w:val="20"/>
              </w:rPr>
              <w:t>1.2</w:t>
            </w:r>
          </w:p>
        </w:tc>
        <w:tc>
          <w:tcPr>
            <w:tcW w:w="1134" w:type="dxa"/>
            <w:shd w:val="clear" w:color="auto" w:fill="auto"/>
            <w:vAlign w:val="center"/>
          </w:tcPr>
          <w:p w:rsidR="00D907AF" w:rsidRPr="00177572" w:rsidRDefault="00D907AF" w:rsidP="001E1DF1">
            <w:pPr>
              <w:spacing w:before="16" w:after="16"/>
              <w:ind w:right="284"/>
              <w:jc w:val="right"/>
              <w:rPr>
                <w:rFonts w:cstheme="minorHAnsi"/>
                <w:color w:val="000000"/>
                <w:sz w:val="20"/>
                <w:szCs w:val="20"/>
              </w:rPr>
            </w:pPr>
            <w:r w:rsidRPr="00177572">
              <w:rPr>
                <w:rFonts w:cstheme="minorHAnsi"/>
                <w:color w:val="000000"/>
                <w:sz w:val="20"/>
                <w:szCs w:val="20"/>
              </w:rPr>
              <w:t>21</w:t>
            </w:r>
          </w:p>
        </w:tc>
        <w:tc>
          <w:tcPr>
            <w:tcW w:w="992" w:type="dxa"/>
            <w:shd w:val="clear" w:color="auto" w:fill="auto"/>
            <w:vAlign w:val="center"/>
          </w:tcPr>
          <w:p w:rsidR="00D907AF" w:rsidRPr="00177572" w:rsidRDefault="00D907AF" w:rsidP="001E1DF1">
            <w:pPr>
              <w:tabs>
                <w:tab w:val="decimal" w:pos="459"/>
              </w:tabs>
              <w:spacing w:before="16" w:after="16"/>
              <w:ind w:right="113"/>
              <w:rPr>
                <w:rFonts w:cstheme="minorHAnsi"/>
                <w:color w:val="000000"/>
                <w:sz w:val="20"/>
                <w:szCs w:val="20"/>
              </w:rPr>
            </w:pPr>
            <w:r w:rsidRPr="00177572">
              <w:rPr>
                <w:rFonts w:cstheme="minorHAnsi"/>
                <w:color w:val="000000"/>
                <w:sz w:val="20"/>
                <w:szCs w:val="20"/>
              </w:rPr>
              <w:t>2.6</w:t>
            </w:r>
          </w:p>
        </w:tc>
        <w:tc>
          <w:tcPr>
            <w:tcW w:w="851" w:type="dxa"/>
            <w:shd w:val="clear" w:color="auto" w:fill="auto"/>
            <w:vAlign w:val="center"/>
          </w:tcPr>
          <w:p w:rsidR="00D907AF" w:rsidRPr="00177572" w:rsidRDefault="00D907AF" w:rsidP="00F63AD2">
            <w:pPr>
              <w:spacing w:before="16" w:after="16"/>
              <w:ind w:right="113"/>
              <w:jc w:val="right"/>
              <w:rPr>
                <w:rFonts w:cstheme="minorHAnsi"/>
                <w:color w:val="000000"/>
                <w:sz w:val="20"/>
                <w:szCs w:val="20"/>
              </w:rPr>
            </w:pPr>
            <w:r w:rsidRPr="00177572">
              <w:rPr>
                <w:rFonts w:cstheme="minorHAnsi"/>
                <w:color w:val="000000"/>
                <w:sz w:val="20"/>
                <w:szCs w:val="20"/>
              </w:rPr>
              <w:t>31</w:t>
            </w:r>
          </w:p>
        </w:tc>
        <w:tc>
          <w:tcPr>
            <w:tcW w:w="850" w:type="dxa"/>
            <w:shd w:val="clear" w:color="auto" w:fill="auto"/>
            <w:vAlign w:val="center"/>
          </w:tcPr>
          <w:p w:rsidR="00D907AF" w:rsidRPr="00177572" w:rsidRDefault="00D907AF" w:rsidP="001E1DF1">
            <w:pPr>
              <w:spacing w:before="16" w:after="16"/>
              <w:ind w:right="113"/>
              <w:jc w:val="right"/>
              <w:rPr>
                <w:rFonts w:cstheme="minorHAnsi"/>
                <w:color w:val="000000"/>
                <w:sz w:val="20"/>
                <w:szCs w:val="20"/>
              </w:rPr>
            </w:pPr>
            <w:r w:rsidRPr="00177572">
              <w:rPr>
                <w:rFonts w:cstheme="minorHAnsi"/>
                <w:color w:val="000000"/>
                <w:sz w:val="20"/>
                <w:szCs w:val="20"/>
              </w:rPr>
              <w:t>1.9</w:t>
            </w:r>
          </w:p>
        </w:tc>
      </w:tr>
      <w:tr w:rsidR="00D907AF" w:rsidRPr="00177572" w:rsidTr="00F63AD2">
        <w:trPr>
          <w:trHeight w:val="340"/>
        </w:trPr>
        <w:tc>
          <w:tcPr>
            <w:tcW w:w="3686" w:type="dxa"/>
            <w:shd w:val="clear" w:color="auto" w:fill="auto"/>
            <w:vAlign w:val="center"/>
          </w:tcPr>
          <w:p w:rsidR="00D907AF" w:rsidRPr="00177572" w:rsidRDefault="00D907AF" w:rsidP="00CA4762">
            <w:pPr>
              <w:spacing w:before="16" w:after="16"/>
              <w:rPr>
                <w:rFonts w:cstheme="minorHAnsi"/>
                <w:sz w:val="20"/>
                <w:szCs w:val="20"/>
              </w:rPr>
            </w:pPr>
            <w:r w:rsidRPr="00177572">
              <w:rPr>
                <w:rFonts w:cstheme="minorHAnsi"/>
                <w:sz w:val="20"/>
                <w:szCs w:val="20"/>
              </w:rPr>
              <w:t>Volunteer</w:t>
            </w:r>
          </w:p>
        </w:tc>
        <w:tc>
          <w:tcPr>
            <w:tcW w:w="851" w:type="dxa"/>
            <w:shd w:val="clear" w:color="auto" w:fill="auto"/>
            <w:vAlign w:val="center"/>
          </w:tcPr>
          <w:p w:rsidR="00D907AF" w:rsidRPr="00177572" w:rsidRDefault="00D907AF" w:rsidP="001E1DF1">
            <w:pPr>
              <w:spacing w:before="16" w:after="16"/>
              <w:ind w:right="113"/>
              <w:jc w:val="right"/>
              <w:rPr>
                <w:rFonts w:cstheme="minorHAnsi"/>
                <w:color w:val="000000"/>
                <w:sz w:val="20"/>
                <w:szCs w:val="20"/>
              </w:rPr>
            </w:pPr>
            <w:r w:rsidRPr="00177572">
              <w:rPr>
                <w:rFonts w:cstheme="minorHAnsi"/>
                <w:color w:val="000000"/>
                <w:sz w:val="20"/>
                <w:szCs w:val="20"/>
              </w:rPr>
              <w:t>19</w:t>
            </w:r>
          </w:p>
        </w:tc>
        <w:tc>
          <w:tcPr>
            <w:tcW w:w="794" w:type="dxa"/>
            <w:shd w:val="clear" w:color="auto" w:fill="auto"/>
            <w:vAlign w:val="center"/>
          </w:tcPr>
          <w:p w:rsidR="00D907AF" w:rsidRPr="00177572" w:rsidRDefault="00D907AF" w:rsidP="001E1DF1">
            <w:pPr>
              <w:spacing w:before="16" w:after="16"/>
              <w:ind w:right="33"/>
              <w:jc w:val="right"/>
              <w:rPr>
                <w:rFonts w:cstheme="minorHAnsi"/>
                <w:color w:val="000000"/>
                <w:sz w:val="20"/>
                <w:szCs w:val="20"/>
              </w:rPr>
            </w:pPr>
            <w:r w:rsidRPr="00177572">
              <w:rPr>
                <w:rFonts w:cstheme="minorHAnsi"/>
                <w:color w:val="000000"/>
                <w:sz w:val="20"/>
                <w:szCs w:val="20"/>
              </w:rPr>
              <w:t>2.3</w:t>
            </w:r>
          </w:p>
        </w:tc>
        <w:tc>
          <w:tcPr>
            <w:tcW w:w="1134" w:type="dxa"/>
            <w:shd w:val="clear" w:color="auto" w:fill="auto"/>
            <w:vAlign w:val="center"/>
          </w:tcPr>
          <w:p w:rsidR="00D907AF" w:rsidRPr="00177572" w:rsidRDefault="00D907AF" w:rsidP="001E1DF1">
            <w:pPr>
              <w:spacing w:before="16" w:after="16"/>
              <w:ind w:right="284"/>
              <w:jc w:val="right"/>
              <w:rPr>
                <w:rFonts w:cstheme="minorHAnsi"/>
                <w:color w:val="000000"/>
                <w:sz w:val="20"/>
                <w:szCs w:val="20"/>
              </w:rPr>
            </w:pPr>
            <w:r w:rsidRPr="00177572">
              <w:rPr>
                <w:rFonts w:cstheme="minorHAnsi"/>
                <w:color w:val="000000"/>
                <w:sz w:val="20"/>
                <w:szCs w:val="20"/>
              </w:rPr>
              <w:t>16</w:t>
            </w:r>
          </w:p>
        </w:tc>
        <w:tc>
          <w:tcPr>
            <w:tcW w:w="992" w:type="dxa"/>
            <w:shd w:val="clear" w:color="auto" w:fill="auto"/>
            <w:vAlign w:val="center"/>
          </w:tcPr>
          <w:p w:rsidR="00D907AF" w:rsidRPr="00177572" w:rsidRDefault="00D907AF" w:rsidP="001E1DF1">
            <w:pPr>
              <w:tabs>
                <w:tab w:val="decimal" w:pos="459"/>
              </w:tabs>
              <w:spacing w:before="16" w:after="16"/>
              <w:ind w:right="113"/>
              <w:rPr>
                <w:rFonts w:cstheme="minorHAnsi"/>
                <w:color w:val="000000"/>
                <w:sz w:val="20"/>
                <w:szCs w:val="20"/>
              </w:rPr>
            </w:pPr>
            <w:r w:rsidRPr="00177572">
              <w:rPr>
                <w:rFonts w:cstheme="minorHAnsi"/>
                <w:color w:val="000000"/>
                <w:sz w:val="20"/>
                <w:szCs w:val="20"/>
              </w:rPr>
              <w:t>2.0</w:t>
            </w:r>
          </w:p>
        </w:tc>
        <w:tc>
          <w:tcPr>
            <w:tcW w:w="851" w:type="dxa"/>
            <w:shd w:val="clear" w:color="auto" w:fill="auto"/>
            <w:vAlign w:val="center"/>
          </w:tcPr>
          <w:p w:rsidR="00D907AF" w:rsidRPr="00177572" w:rsidRDefault="00D907AF" w:rsidP="00F63AD2">
            <w:pPr>
              <w:spacing w:before="16" w:after="16"/>
              <w:ind w:right="113"/>
              <w:jc w:val="right"/>
              <w:rPr>
                <w:rFonts w:cstheme="minorHAnsi"/>
                <w:color w:val="000000"/>
                <w:sz w:val="20"/>
                <w:szCs w:val="20"/>
              </w:rPr>
            </w:pPr>
            <w:r w:rsidRPr="00177572">
              <w:rPr>
                <w:rFonts w:cstheme="minorHAnsi"/>
                <w:color w:val="000000"/>
                <w:sz w:val="20"/>
                <w:szCs w:val="20"/>
              </w:rPr>
              <w:t>35</w:t>
            </w:r>
          </w:p>
        </w:tc>
        <w:tc>
          <w:tcPr>
            <w:tcW w:w="850" w:type="dxa"/>
            <w:shd w:val="clear" w:color="auto" w:fill="auto"/>
            <w:vAlign w:val="center"/>
          </w:tcPr>
          <w:p w:rsidR="00D907AF" w:rsidRPr="00177572" w:rsidRDefault="00D907AF" w:rsidP="001E1DF1">
            <w:pPr>
              <w:spacing w:before="16" w:after="16"/>
              <w:ind w:right="113"/>
              <w:jc w:val="right"/>
              <w:rPr>
                <w:rFonts w:cstheme="minorHAnsi"/>
                <w:color w:val="000000"/>
                <w:sz w:val="20"/>
                <w:szCs w:val="20"/>
              </w:rPr>
            </w:pPr>
            <w:r w:rsidRPr="00177572">
              <w:rPr>
                <w:rFonts w:cstheme="minorHAnsi"/>
                <w:color w:val="000000"/>
                <w:sz w:val="20"/>
                <w:szCs w:val="20"/>
              </w:rPr>
              <w:t>2.1</w:t>
            </w:r>
          </w:p>
        </w:tc>
      </w:tr>
      <w:tr w:rsidR="00D907AF" w:rsidRPr="00177572" w:rsidTr="00F63AD2">
        <w:trPr>
          <w:trHeight w:val="340"/>
        </w:trPr>
        <w:tc>
          <w:tcPr>
            <w:tcW w:w="3686" w:type="dxa"/>
            <w:tcBorders>
              <w:bottom w:val="single" w:sz="4" w:space="0" w:color="auto"/>
            </w:tcBorders>
            <w:shd w:val="clear" w:color="auto" w:fill="auto"/>
            <w:vAlign w:val="center"/>
          </w:tcPr>
          <w:p w:rsidR="00D907AF" w:rsidRPr="00177572" w:rsidRDefault="00D907AF" w:rsidP="00CA4762">
            <w:pPr>
              <w:spacing w:before="16" w:after="16"/>
              <w:rPr>
                <w:rFonts w:cstheme="minorHAnsi"/>
                <w:sz w:val="20"/>
                <w:szCs w:val="20"/>
              </w:rPr>
            </w:pPr>
            <w:r w:rsidRPr="00177572">
              <w:rPr>
                <w:rFonts w:cstheme="minorHAnsi"/>
                <w:sz w:val="20"/>
                <w:szCs w:val="20"/>
              </w:rPr>
              <w:t>Someone else</w:t>
            </w:r>
          </w:p>
        </w:tc>
        <w:tc>
          <w:tcPr>
            <w:tcW w:w="851" w:type="dxa"/>
            <w:tcBorders>
              <w:bottom w:val="single" w:sz="4" w:space="0" w:color="auto"/>
            </w:tcBorders>
            <w:shd w:val="clear" w:color="auto" w:fill="auto"/>
            <w:vAlign w:val="center"/>
          </w:tcPr>
          <w:p w:rsidR="00D907AF" w:rsidRPr="00177572" w:rsidRDefault="00D907AF" w:rsidP="001E1DF1">
            <w:pPr>
              <w:spacing w:before="16" w:after="16"/>
              <w:ind w:right="113"/>
              <w:jc w:val="right"/>
              <w:rPr>
                <w:rFonts w:cstheme="minorHAnsi"/>
                <w:color w:val="000000"/>
                <w:sz w:val="20"/>
                <w:szCs w:val="20"/>
              </w:rPr>
            </w:pPr>
            <w:r w:rsidRPr="00177572">
              <w:rPr>
                <w:rFonts w:cstheme="minorHAnsi"/>
                <w:color w:val="000000"/>
                <w:sz w:val="20"/>
                <w:szCs w:val="20"/>
              </w:rPr>
              <w:t>77</w:t>
            </w:r>
          </w:p>
        </w:tc>
        <w:tc>
          <w:tcPr>
            <w:tcW w:w="794" w:type="dxa"/>
            <w:tcBorders>
              <w:bottom w:val="single" w:sz="4" w:space="0" w:color="auto"/>
            </w:tcBorders>
            <w:shd w:val="clear" w:color="auto" w:fill="auto"/>
            <w:vAlign w:val="center"/>
          </w:tcPr>
          <w:p w:rsidR="00D907AF" w:rsidRPr="00177572" w:rsidRDefault="00D907AF" w:rsidP="001E1DF1">
            <w:pPr>
              <w:spacing w:before="16" w:after="16"/>
              <w:ind w:right="33"/>
              <w:jc w:val="right"/>
              <w:rPr>
                <w:rFonts w:cstheme="minorHAnsi"/>
                <w:color w:val="000000"/>
                <w:sz w:val="20"/>
                <w:szCs w:val="20"/>
              </w:rPr>
            </w:pPr>
            <w:r w:rsidRPr="00177572">
              <w:rPr>
                <w:rFonts w:cstheme="minorHAnsi"/>
                <w:color w:val="000000"/>
                <w:sz w:val="20"/>
                <w:szCs w:val="20"/>
              </w:rPr>
              <w:t>9.2</w:t>
            </w:r>
          </w:p>
        </w:tc>
        <w:tc>
          <w:tcPr>
            <w:tcW w:w="1134" w:type="dxa"/>
            <w:tcBorders>
              <w:bottom w:val="single" w:sz="4" w:space="0" w:color="auto"/>
            </w:tcBorders>
            <w:shd w:val="clear" w:color="auto" w:fill="auto"/>
            <w:vAlign w:val="center"/>
          </w:tcPr>
          <w:p w:rsidR="00D907AF" w:rsidRPr="00177572" w:rsidRDefault="00D907AF" w:rsidP="001E1DF1">
            <w:pPr>
              <w:spacing w:before="16" w:after="16"/>
              <w:ind w:right="284"/>
              <w:jc w:val="right"/>
              <w:rPr>
                <w:rFonts w:cstheme="minorHAnsi"/>
                <w:color w:val="000000"/>
                <w:sz w:val="20"/>
                <w:szCs w:val="20"/>
              </w:rPr>
            </w:pPr>
            <w:r w:rsidRPr="00177572">
              <w:rPr>
                <w:rFonts w:cstheme="minorHAnsi"/>
                <w:color w:val="000000"/>
                <w:sz w:val="20"/>
                <w:szCs w:val="20"/>
              </w:rPr>
              <w:t>109</w:t>
            </w:r>
          </w:p>
        </w:tc>
        <w:tc>
          <w:tcPr>
            <w:tcW w:w="992" w:type="dxa"/>
            <w:tcBorders>
              <w:bottom w:val="single" w:sz="4" w:space="0" w:color="auto"/>
            </w:tcBorders>
            <w:shd w:val="clear" w:color="auto" w:fill="auto"/>
            <w:vAlign w:val="center"/>
          </w:tcPr>
          <w:p w:rsidR="00D907AF" w:rsidRPr="00177572" w:rsidRDefault="00D907AF" w:rsidP="001E1DF1">
            <w:pPr>
              <w:tabs>
                <w:tab w:val="decimal" w:pos="459"/>
              </w:tabs>
              <w:spacing w:before="16" w:after="16"/>
              <w:ind w:right="113"/>
              <w:rPr>
                <w:rFonts w:cstheme="minorHAnsi"/>
                <w:color w:val="000000"/>
                <w:sz w:val="20"/>
                <w:szCs w:val="20"/>
              </w:rPr>
            </w:pPr>
            <w:r w:rsidRPr="00177572">
              <w:rPr>
                <w:rFonts w:cstheme="minorHAnsi"/>
                <w:color w:val="000000"/>
                <w:sz w:val="20"/>
                <w:szCs w:val="20"/>
              </w:rPr>
              <w:t>13.6</w:t>
            </w:r>
          </w:p>
        </w:tc>
        <w:tc>
          <w:tcPr>
            <w:tcW w:w="851" w:type="dxa"/>
            <w:tcBorders>
              <w:bottom w:val="single" w:sz="4" w:space="0" w:color="auto"/>
            </w:tcBorders>
            <w:shd w:val="clear" w:color="auto" w:fill="auto"/>
            <w:vAlign w:val="center"/>
          </w:tcPr>
          <w:p w:rsidR="00D907AF" w:rsidRPr="00177572" w:rsidRDefault="00D907AF" w:rsidP="00F63AD2">
            <w:pPr>
              <w:spacing w:before="16" w:after="16"/>
              <w:ind w:right="113"/>
              <w:jc w:val="right"/>
              <w:rPr>
                <w:rFonts w:cstheme="minorHAnsi"/>
                <w:color w:val="000000"/>
                <w:sz w:val="20"/>
                <w:szCs w:val="20"/>
              </w:rPr>
            </w:pPr>
            <w:r w:rsidRPr="00177572">
              <w:rPr>
                <w:rFonts w:cstheme="minorHAnsi"/>
                <w:color w:val="000000"/>
                <w:sz w:val="20"/>
                <w:szCs w:val="20"/>
              </w:rPr>
              <w:t>186</w:t>
            </w:r>
          </w:p>
        </w:tc>
        <w:tc>
          <w:tcPr>
            <w:tcW w:w="850" w:type="dxa"/>
            <w:tcBorders>
              <w:bottom w:val="single" w:sz="4" w:space="0" w:color="auto"/>
            </w:tcBorders>
            <w:shd w:val="clear" w:color="auto" w:fill="auto"/>
            <w:vAlign w:val="center"/>
          </w:tcPr>
          <w:p w:rsidR="00D907AF" w:rsidRPr="00177572" w:rsidRDefault="00D907AF" w:rsidP="001E1DF1">
            <w:pPr>
              <w:spacing w:before="16" w:after="16"/>
              <w:ind w:right="113"/>
              <w:jc w:val="right"/>
              <w:rPr>
                <w:rFonts w:cstheme="minorHAnsi"/>
                <w:color w:val="000000"/>
                <w:sz w:val="20"/>
                <w:szCs w:val="20"/>
              </w:rPr>
            </w:pPr>
            <w:r w:rsidRPr="00177572">
              <w:rPr>
                <w:rFonts w:cstheme="minorHAnsi"/>
                <w:color w:val="000000"/>
                <w:sz w:val="20"/>
                <w:szCs w:val="20"/>
              </w:rPr>
              <w:t>11.4</w:t>
            </w:r>
          </w:p>
        </w:tc>
      </w:tr>
      <w:tr w:rsidR="00D907AF" w:rsidRPr="00177572" w:rsidTr="00F63AD2">
        <w:trPr>
          <w:trHeight w:val="340"/>
        </w:trPr>
        <w:tc>
          <w:tcPr>
            <w:tcW w:w="3686" w:type="dxa"/>
            <w:tcBorders>
              <w:top w:val="single" w:sz="4" w:space="0" w:color="auto"/>
              <w:bottom w:val="single" w:sz="4" w:space="0" w:color="auto"/>
            </w:tcBorders>
            <w:shd w:val="clear" w:color="auto" w:fill="auto"/>
          </w:tcPr>
          <w:p w:rsidR="00D907AF" w:rsidRPr="00177572" w:rsidRDefault="00D907AF" w:rsidP="00BC69BF">
            <w:pPr>
              <w:spacing w:before="16" w:after="16"/>
              <w:rPr>
                <w:rFonts w:cstheme="minorHAnsi"/>
                <w:b/>
                <w:sz w:val="20"/>
                <w:szCs w:val="20"/>
              </w:rPr>
            </w:pPr>
            <w:r w:rsidRPr="00177572">
              <w:rPr>
                <w:rFonts w:cstheme="minorHAnsi"/>
                <w:b/>
                <w:sz w:val="20"/>
                <w:szCs w:val="20"/>
              </w:rPr>
              <w:t>Total</w:t>
            </w:r>
          </w:p>
        </w:tc>
        <w:tc>
          <w:tcPr>
            <w:tcW w:w="851" w:type="dxa"/>
            <w:tcBorders>
              <w:top w:val="single" w:sz="4" w:space="0" w:color="auto"/>
              <w:bottom w:val="single" w:sz="4" w:space="0" w:color="auto"/>
            </w:tcBorders>
            <w:shd w:val="clear" w:color="auto" w:fill="auto"/>
          </w:tcPr>
          <w:p w:rsidR="00D907AF" w:rsidRPr="001E1DF1" w:rsidRDefault="00D907AF" w:rsidP="001E1DF1">
            <w:pPr>
              <w:spacing w:before="16" w:after="16"/>
              <w:ind w:right="113"/>
              <w:jc w:val="right"/>
              <w:rPr>
                <w:rFonts w:cstheme="minorHAnsi"/>
                <w:b/>
                <w:sz w:val="20"/>
                <w:szCs w:val="20"/>
              </w:rPr>
            </w:pPr>
            <w:r w:rsidRPr="001E1DF1">
              <w:rPr>
                <w:rFonts w:cstheme="minorHAnsi"/>
                <w:b/>
                <w:sz w:val="20"/>
                <w:szCs w:val="20"/>
              </w:rPr>
              <w:t>833</w:t>
            </w:r>
          </w:p>
        </w:tc>
        <w:tc>
          <w:tcPr>
            <w:tcW w:w="794" w:type="dxa"/>
            <w:tcBorders>
              <w:top w:val="single" w:sz="4" w:space="0" w:color="auto"/>
              <w:bottom w:val="single" w:sz="4" w:space="0" w:color="auto"/>
            </w:tcBorders>
            <w:shd w:val="clear" w:color="auto" w:fill="auto"/>
          </w:tcPr>
          <w:p w:rsidR="00D907AF" w:rsidRPr="001E1DF1" w:rsidRDefault="00D907AF" w:rsidP="001E1DF1">
            <w:pPr>
              <w:spacing w:before="16" w:after="16"/>
              <w:ind w:right="113"/>
              <w:jc w:val="right"/>
              <w:rPr>
                <w:rFonts w:cstheme="minorHAnsi"/>
                <w:b/>
                <w:color w:val="000000"/>
                <w:sz w:val="20"/>
                <w:szCs w:val="20"/>
              </w:rPr>
            </w:pPr>
          </w:p>
        </w:tc>
        <w:tc>
          <w:tcPr>
            <w:tcW w:w="1134" w:type="dxa"/>
            <w:tcBorders>
              <w:top w:val="single" w:sz="4" w:space="0" w:color="auto"/>
              <w:bottom w:val="single" w:sz="4" w:space="0" w:color="auto"/>
            </w:tcBorders>
            <w:shd w:val="clear" w:color="auto" w:fill="auto"/>
          </w:tcPr>
          <w:p w:rsidR="00D907AF" w:rsidRPr="001E1DF1" w:rsidRDefault="00D907AF" w:rsidP="001E1DF1">
            <w:pPr>
              <w:spacing w:before="16" w:after="16"/>
              <w:ind w:right="284"/>
              <w:jc w:val="right"/>
              <w:rPr>
                <w:rFonts w:cstheme="minorHAnsi"/>
                <w:b/>
                <w:color w:val="000000"/>
                <w:sz w:val="20"/>
                <w:szCs w:val="20"/>
              </w:rPr>
            </w:pPr>
            <w:r w:rsidRPr="001E1DF1">
              <w:rPr>
                <w:rFonts w:cstheme="minorHAnsi"/>
                <w:b/>
                <w:color w:val="000000"/>
                <w:sz w:val="20"/>
                <w:szCs w:val="20"/>
              </w:rPr>
              <w:t>799</w:t>
            </w:r>
          </w:p>
        </w:tc>
        <w:tc>
          <w:tcPr>
            <w:tcW w:w="992" w:type="dxa"/>
            <w:tcBorders>
              <w:top w:val="single" w:sz="4" w:space="0" w:color="auto"/>
              <w:bottom w:val="single" w:sz="4" w:space="0" w:color="auto"/>
            </w:tcBorders>
            <w:shd w:val="clear" w:color="auto" w:fill="auto"/>
          </w:tcPr>
          <w:p w:rsidR="00D907AF" w:rsidRPr="001E1DF1" w:rsidRDefault="00D907AF" w:rsidP="001E1DF1">
            <w:pPr>
              <w:tabs>
                <w:tab w:val="decimal" w:pos="459"/>
              </w:tabs>
              <w:spacing w:before="16" w:after="16"/>
              <w:ind w:right="113"/>
              <w:rPr>
                <w:rFonts w:cstheme="minorHAnsi"/>
                <w:b/>
                <w:color w:val="000000"/>
                <w:sz w:val="20"/>
                <w:szCs w:val="20"/>
              </w:rPr>
            </w:pPr>
          </w:p>
        </w:tc>
        <w:tc>
          <w:tcPr>
            <w:tcW w:w="851" w:type="dxa"/>
            <w:tcBorders>
              <w:top w:val="single" w:sz="4" w:space="0" w:color="auto"/>
              <w:bottom w:val="single" w:sz="4" w:space="0" w:color="auto"/>
            </w:tcBorders>
            <w:shd w:val="clear" w:color="auto" w:fill="auto"/>
          </w:tcPr>
          <w:p w:rsidR="00D907AF" w:rsidRPr="001E1DF1" w:rsidRDefault="00D907AF" w:rsidP="00F63AD2">
            <w:pPr>
              <w:spacing w:before="16" w:after="16"/>
              <w:ind w:right="113"/>
              <w:jc w:val="right"/>
              <w:rPr>
                <w:rFonts w:cstheme="minorHAnsi"/>
                <w:b/>
                <w:color w:val="000000"/>
                <w:sz w:val="20"/>
                <w:szCs w:val="20"/>
              </w:rPr>
            </w:pPr>
            <w:r w:rsidRPr="001E1DF1">
              <w:rPr>
                <w:rFonts w:cstheme="minorHAnsi"/>
                <w:b/>
                <w:color w:val="000000"/>
                <w:sz w:val="20"/>
                <w:szCs w:val="20"/>
              </w:rPr>
              <w:t>1,632</w:t>
            </w:r>
          </w:p>
        </w:tc>
        <w:tc>
          <w:tcPr>
            <w:tcW w:w="850" w:type="dxa"/>
            <w:tcBorders>
              <w:top w:val="single" w:sz="4" w:space="0" w:color="auto"/>
              <w:bottom w:val="single" w:sz="4" w:space="0" w:color="auto"/>
            </w:tcBorders>
            <w:shd w:val="clear" w:color="auto" w:fill="auto"/>
          </w:tcPr>
          <w:p w:rsidR="00D907AF" w:rsidRPr="001E1DF1" w:rsidRDefault="00D907AF" w:rsidP="001E1DF1">
            <w:pPr>
              <w:spacing w:before="16" w:after="16"/>
              <w:ind w:right="113"/>
              <w:jc w:val="right"/>
              <w:rPr>
                <w:rFonts w:cstheme="minorHAnsi"/>
                <w:b/>
                <w:color w:val="000000"/>
                <w:sz w:val="20"/>
                <w:szCs w:val="20"/>
              </w:rPr>
            </w:pPr>
          </w:p>
        </w:tc>
      </w:tr>
    </w:tbl>
    <w:p w:rsidR="00D907AF" w:rsidRDefault="00D907AF" w:rsidP="00BC69BF">
      <w:pPr>
        <w:pStyle w:val="NILSReference"/>
      </w:pPr>
      <w:r w:rsidRPr="004D06CC">
        <w:t>Note: trial and comparison aged 8 years and above and reported requiring assistance with daily activities; ‘Total’ indicates the number of respondents to answer this question; multiple response question; columns therefore do not add to 100.</w:t>
      </w:r>
    </w:p>
    <w:p w:rsidR="008A3874" w:rsidRDefault="008A3874" w:rsidP="00D907AF">
      <w:pPr>
        <w:rPr>
          <w:rFonts w:ascii="Calibri" w:hAnsi="Calibri" w:cs="Calibri"/>
        </w:rPr>
      </w:pPr>
    </w:p>
    <w:p w:rsidR="00D907AF" w:rsidRDefault="00BA098B" w:rsidP="00D907AF">
      <w:pPr>
        <w:rPr>
          <w:rFonts w:ascii="Calibri" w:hAnsi="Calibri" w:cs="Calibri"/>
        </w:rPr>
      </w:pPr>
      <w:r>
        <w:rPr>
          <w:rFonts w:ascii="Calibri" w:hAnsi="Calibri" w:cs="Calibri"/>
        </w:rPr>
        <w:t xml:space="preserve">The survey </w:t>
      </w:r>
      <w:r w:rsidR="00B63B28">
        <w:rPr>
          <w:rFonts w:ascii="Calibri" w:hAnsi="Calibri" w:cs="Calibri"/>
        </w:rPr>
        <w:t xml:space="preserve">asks about </w:t>
      </w:r>
      <w:r w:rsidR="00D907AF" w:rsidRPr="00C63012">
        <w:rPr>
          <w:rFonts w:ascii="Calibri" w:hAnsi="Calibri" w:cs="Calibri"/>
        </w:rPr>
        <w:t>living arrangements</w:t>
      </w:r>
      <w:r w:rsidR="00951F51">
        <w:rPr>
          <w:rFonts w:ascii="Calibri" w:hAnsi="Calibri" w:cs="Calibri"/>
        </w:rPr>
        <w:t>,</w:t>
      </w:r>
      <w:r>
        <w:rPr>
          <w:rFonts w:ascii="Calibri" w:hAnsi="Calibri" w:cs="Calibri"/>
        </w:rPr>
        <w:t xml:space="preserve"> </w:t>
      </w:r>
      <w:r w:rsidR="00D907AF" w:rsidRPr="00C63012">
        <w:rPr>
          <w:rFonts w:ascii="Calibri" w:hAnsi="Calibri" w:cs="Calibri"/>
        </w:rPr>
        <w:t xml:space="preserve">in particular the type of accommodation, ownership, and </w:t>
      </w:r>
      <w:r w:rsidR="00B63B28">
        <w:rPr>
          <w:rFonts w:ascii="Calibri" w:hAnsi="Calibri" w:cs="Calibri"/>
        </w:rPr>
        <w:t xml:space="preserve">whether there are </w:t>
      </w:r>
      <w:r w:rsidR="00D907AF" w:rsidRPr="00C63012">
        <w:rPr>
          <w:rFonts w:ascii="Calibri" w:hAnsi="Calibri" w:cs="Calibri"/>
        </w:rPr>
        <w:t xml:space="preserve">any </w:t>
      </w:r>
      <w:r w:rsidR="00410E90" w:rsidRPr="00C63012">
        <w:rPr>
          <w:rFonts w:ascii="Calibri" w:hAnsi="Calibri" w:cs="Calibri"/>
        </w:rPr>
        <w:t>shar</w:t>
      </w:r>
      <w:r w:rsidR="00410E90">
        <w:rPr>
          <w:rFonts w:ascii="Calibri" w:hAnsi="Calibri" w:cs="Calibri"/>
        </w:rPr>
        <w:t>ed living</w:t>
      </w:r>
      <w:r w:rsidR="00410E90" w:rsidRPr="00C63012">
        <w:rPr>
          <w:rFonts w:ascii="Calibri" w:hAnsi="Calibri" w:cs="Calibri"/>
        </w:rPr>
        <w:t xml:space="preserve"> </w:t>
      </w:r>
      <w:r w:rsidR="00D907AF" w:rsidRPr="00C63012">
        <w:rPr>
          <w:rFonts w:ascii="Calibri" w:hAnsi="Calibri" w:cs="Calibri"/>
        </w:rPr>
        <w:t>arrangements. Table 3.12 shows that the vast majority reported living in a private dwelling (8</w:t>
      </w:r>
      <w:r w:rsidR="00D907AF" w:rsidRPr="00C63012">
        <w:rPr>
          <w:rFonts w:ascii="Calibri" w:hAnsi="Calibri" w:cs="Calibri" w:hint="eastAsia"/>
        </w:rPr>
        <w:t>5</w:t>
      </w:r>
      <w:r w:rsidR="00D907AF" w:rsidRPr="00C63012">
        <w:rPr>
          <w:rFonts w:ascii="Calibri" w:hAnsi="Calibri" w:cs="Calibri"/>
        </w:rPr>
        <w:t xml:space="preserve"> per cent) and a small number of respondents reported living in public housing (</w:t>
      </w:r>
      <w:r w:rsidR="00D907AF" w:rsidRPr="00C63012">
        <w:rPr>
          <w:rFonts w:ascii="Calibri" w:hAnsi="Calibri" w:cs="Calibri" w:hint="eastAsia"/>
        </w:rPr>
        <w:t>9</w:t>
      </w:r>
      <w:r w:rsidR="00D907AF" w:rsidRPr="00C63012">
        <w:rPr>
          <w:rFonts w:ascii="Calibri" w:hAnsi="Calibri" w:cs="Calibri"/>
        </w:rPr>
        <w:t>.5 per cent).</w:t>
      </w:r>
    </w:p>
    <w:p w:rsidR="005B2D5F" w:rsidRPr="00C63012" w:rsidRDefault="005B2D5F" w:rsidP="00D907AF">
      <w:pPr>
        <w:rPr>
          <w:rFonts w:ascii="Calibri" w:hAnsi="Calibri" w:cs="Calibri"/>
        </w:rPr>
      </w:pPr>
    </w:p>
    <w:p w:rsidR="00D907AF" w:rsidRDefault="00D907AF" w:rsidP="0044684E">
      <w:pPr>
        <w:pStyle w:val="NILSTableHeading"/>
      </w:pPr>
      <w:bookmarkStart w:id="216" w:name="_Toc428280663"/>
      <w:bookmarkStart w:id="217" w:name="_Toc449955274"/>
      <w:r>
        <w:t>Table 3.12</w:t>
      </w:r>
      <w:r w:rsidRPr="00E10387">
        <w:t>:</w:t>
      </w:r>
      <w:r>
        <w:t xml:space="preserve"> Accommodation</w:t>
      </w:r>
      <w:bookmarkEnd w:id="216"/>
      <w:bookmarkEnd w:id="217"/>
    </w:p>
    <w:tbl>
      <w:tblPr>
        <w:tblStyle w:val="TableGrid"/>
        <w:tblW w:w="9286" w:type="dxa"/>
        <w:tblLayout w:type="fixed"/>
        <w:tblLook w:val="04A0" w:firstRow="1" w:lastRow="0" w:firstColumn="1" w:lastColumn="0" w:noHBand="0" w:noVBand="1"/>
        <w:tblCaption w:val="Table 3.12 Accommodation"/>
      </w:tblPr>
      <w:tblGrid>
        <w:gridCol w:w="3740"/>
        <w:gridCol w:w="872"/>
        <w:gridCol w:w="898"/>
        <w:gridCol w:w="1162"/>
        <w:gridCol w:w="1162"/>
        <w:gridCol w:w="726"/>
        <w:gridCol w:w="726"/>
      </w:tblGrid>
      <w:tr w:rsidR="00D907AF" w:rsidRPr="00177572" w:rsidTr="00EF7AC4">
        <w:trPr>
          <w:cantSplit/>
          <w:tblHeader/>
        </w:trPr>
        <w:tc>
          <w:tcPr>
            <w:tcW w:w="3740" w:type="dxa"/>
            <w:tcBorders>
              <w:top w:val="single" w:sz="4" w:space="0" w:color="auto"/>
              <w:bottom w:val="single" w:sz="4" w:space="0" w:color="auto"/>
            </w:tcBorders>
            <w:shd w:val="clear" w:color="auto" w:fill="auto"/>
          </w:tcPr>
          <w:p w:rsidR="00D907AF" w:rsidRPr="00177572" w:rsidRDefault="00D907AF" w:rsidP="00D907AF">
            <w:pPr>
              <w:spacing w:before="20" w:after="20"/>
              <w:rPr>
                <w:rFonts w:cstheme="minorHAnsi"/>
                <w:sz w:val="20"/>
                <w:szCs w:val="20"/>
              </w:rPr>
            </w:pPr>
            <w:bookmarkStart w:id="218" w:name="Title_3_12"/>
            <w:bookmarkEnd w:id="218"/>
          </w:p>
        </w:tc>
        <w:tc>
          <w:tcPr>
            <w:tcW w:w="872" w:type="dxa"/>
            <w:tcBorders>
              <w:top w:val="single" w:sz="4" w:space="0" w:color="auto"/>
              <w:bottom w:val="single" w:sz="4" w:space="0" w:color="auto"/>
            </w:tcBorders>
            <w:shd w:val="clear" w:color="auto" w:fill="auto"/>
          </w:tcPr>
          <w:p w:rsidR="00D907AF" w:rsidRPr="00177572" w:rsidRDefault="00AA1E79" w:rsidP="00D907AF">
            <w:pPr>
              <w:spacing w:before="20" w:after="20"/>
              <w:jc w:val="center"/>
              <w:rPr>
                <w:rFonts w:cstheme="minorHAnsi"/>
                <w:sz w:val="20"/>
                <w:szCs w:val="20"/>
              </w:rPr>
            </w:pPr>
            <w:r w:rsidRPr="00177572">
              <w:rPr>
                <w:rFonts w:cstheme="minorHAnsi"/>
                <w:sz w:val="20"/>
                <w:szCs w:val="20"/>
              </w:rPr>
              <w:t xml:space="preserve">Trial </w:t>
            </w:r>
            <w:r w:rsidR="00D907AF" w:rsidRPr="00177572">
              <w:rPr>
                <w:rFonts w:cstheme="minorHAnsi"/>
                <w:sz w:val="20"/>
                <w:szCs w:val="20"/>
              </w:rPr>
              <w:t>Cases</w:t>
            </w:r>
          </w:p>
        </w:tc>
        <w:tc>
          <w:tcPr>
            <w:tcW w:w="898" w:type="dxa"/>
            <w:tcBorders>
              <w:top w:val="single" w:sz="4" w:space="0" w:color="auto"/>
              <w:bottom w:val="single" w:sz="4" w:space="0" w:color="auto"/>
            </w:tcBorders>
            <w:shd w:val="clear" w:color="auto" w:fill="auto"/>
          </w:tcPr>
          <w:p w:rsidR="00EF7AC4" w:rsidRDefault="00AA1E79" w:rsidP="00D907AF">
            <w:pPr>
              <w:spacing w:before="20" w:after="20"/>
              <w:jc w:val="center"/>
              <w:rPr>
                <w:rFonts w:cstheme="minorHAnsi"/>
                <w:sz w:val="20"/>
                <w:szCs w:val="20"/>
              </w:rPr>
            </w:pPr>
            <w:r>
              <w:rPr>
                <w:rFonts w:cstheme="minorHAnsi"/>
                <w:sz w:val="20"/>
                <w:szCs w:val="20"/>
              </w:rPr>
              <w:t xml:space="preserve">Trial </w:t>
            </w:r>
          </w:p>
          <w:p w:rsidR="00D907AF" w:rsidRPr="00177572" w:rsidRDefault="00D907AF" w:rsidP="00D907AF">
            <w:pPr>
              <w:spacing w:before="20" w:after="20"/>
              <w:jc w:val="center"/>
              <w:rPr>
                <w:rFonts w:cstheme="minorHAnsi"/>
                <w:sz w:val="20"/>
                <w:szCs w:val="20"/>
              </w:rPr>
            </w:pPr>
            <w:r w:rsidRPr="00177572">
              <w:rPr>
                <w:rFonts w:cstheme="minorHAnsi"/>
                <w:sz w:val="20"/>
                <w:szCs w:val="20"/>
              </w:rPr>
              <w:t>%</w:t>
            </w:r>
          </w:p>
        </w:tc>
        <w:tc>
          <w:tcPr>
            <w:tcW w:w="1162" w:type="dxa"/>
            <w:tcBorders>
              <w:top w:val="single" w:sz="4" w:space="0" w:color="auto"/>
              <w:bottom w:val="single" w:sz="4" w:space="0" w:color="auto"/>
            </w:tcBorders>
            <w:shd w:val="clear" w:color="auto" w:fill="auto"/>
          </w:tcPr>
          <w:p w:rsidR="00D907AF" w:rsidRPr="00177572" w:rsidRDefault="00AA1E79" w:rsidP="00A42A8F">
            <w:pPr>
              <w:spacing w:before="20" w:after="20"/>
              <w:ind w:left="-108" w:right="-108"/>
              <w:jc w:val="center"/>
              <w:rPr>
                <w:rFonts w:cstheme="minorHAnsi"/>
                <w:sz w:val="20"/>
                <w:szCs w:val="20"/>
              </w:rPr>
            </w:pPr>
            <w:r w:rsidRPr="00177572">
              <w:rPr>
                <w:rFonts w:cstheme="minorHAnsi"/>
                <w:sz w:val="20"/>
                <w:szCs w:val="20"/>
              </w:rPr>
              <w:t xml:space="preserve">Comparison </w:t>
            </w:r>
            <w:r w:rsidR="00D907AF" w:rsidRPr="00177572">
              <w:rPr>
                <w:rFonts w:cstheme="minorHAnsi"/>
                <w:sz w:val="20"/>
                <w:szCs w:val="20"/>
              </w:rPr>
              <w:t>Cases</w:t>
            </w:r>
          </w:p>
        </w:tc>
        <w:tc>
          <w:tcPr>
            <w:tcW w:w="1162" w:type="dxa"/>
            <w:tcBorders>
              <w:top w:val="single" w:sz="4" w:space="0" w:color="auto"/>
              <w:bottom w:val="single" w:sz="4" w:space="0" w:color="auto"/>
            </w:tcBorders>
            <w:shd w:val="clear" w:color="auto" w:fill="auto"/>
          </w:tcPr>
          <w:p w:rsidR="00D907AF" w:rsidRPr="00177572" w:rsidRDefault="00AA1E79" w:rsidP="00A42A8F">
            <w:pPr>
              <w:spacing w:before="20" w:after="20"/>
              <w:ind w:left="-108" w:right="-108"/>
              <w:jc w:val="center"/>
              <w:rPr>
                <w:rFonts w:cstheme="minorHAnsi"/>
                <w:sz w:val="20"/>
                <w:szCs w:val="20"/>
              </w:rPr>
            </w:pPr>
            <w:r>
              <w:rPr>
                <w:rFonts w:cstheme="minorHAnsi"/>
                <w:sz w:val="20"/>
                <w:szCs w:val="20"/>
              </w:rPr>
              <w:t xml:space="preserve">Comparison </w:t>
            </w:r>
            <w:r w:rsidR="00D907AF" w:rsidRPr="00177572">
              <w:rPr>
                <w:rFonts w:cstheme="minorHAnsi"/>
                <w:sz w:val="20"/>
                <w:szCs w:val="20"/>
              </w:rPr>
              <w:t>%</w:t>
            </w:r>
          </w:p>
        </w:tc>
        <w:tc>
          <w:tcPr>
            <w:tcW w:w="726" w:type="dxa"/>
            <w:tcBorders>
              <w:top w:val="single" w:sz="4" w:space="0" w:color="auto"/>
              <w:bottom w:val="single" w:sz="4" w:space="0" w:color="auto"/>
            </w:tcBorders>
            <w:shd w:val="clear" w:color="auto" w:fill="auto"/>
          </w:tcPr>
          <w:p w:rsidR="00D907AF" w:rsidRPr="00177572" w:rsidRDefault="00AA1E79" w:rsidP="00D907AF">
            <w:pPr>
              <w:spacing w:before="20" w:after="20"/>
              <w:jc w:val="center"/>
              <w:rPr>
                <w:rFonts w:cstheme="minorHAnsi"/>
                <w:sz w:val="20"/>
                <w:szCs w:val="20"/>
              </w:rPr>
            </w:pPr>
            <w:r>
              <w:rPr>
                <w:rFonts w:cstheme="minorHAnsi"/>
                <w:sz w:val="20"/>
                <w:szCs w:val="20"/>
              </w:rPr>
              <w:t xml:space="preserve">Total </w:t>
            </w:r>
            <w:r w:rsidR="00D907AF" w:rsidRPr="00177572">
              <w:rPr>
                <w:rFonts w:cstheme="minorHAnsi"/>
                <w:sz w:val="20"/>
                <w:szCs w:val="20"/>
              </w:rPr>
              <w:t>Cases</w:t>
            </w:r>
          </w:p>
        </w:tc>
        <w:tc>
          <w:tcPr>
            <w:tcW w:w="726" w:type="dxa"/>
            <w:tcBorders>
              <w:top w:val="single" w:sz="4" w:space="0" w:color="auto"/>
              <w:bottom w:val="single" w:sz="4" w:space="0" w:color="auto"/>
            </w:tcBorders>
            <w:shd w:val="clear" w:color="auto" w:fill="auto"/>
          </w:tcPr>
          <w:p w:rsidR="00D907AF" w:rsidRPr="00177572" w:rsidRDefault="00AA1E79" w:rsidP="00D907AF">
            <w:pPr>
              <w:spacing w:before="20" w:after="20"/>
              <w:jc w:val="center"/>
              <w:rPr>
                <w:rFonts w:cstheme="minorHAnsi"/>
                <w:sz w:val="20"/>
                <w:szCs w:val="20"/>
              </w:rPr>
            </w:pPr>
            <w:r w:rsidRPr="00177572">
              <w:rPr>
                <w:rFonts w:cstheme="minorHAnsi"/>
                <w:sz w:val="20"/>
                <w:szCs w:val="20"/>
              </w:rPr>
              <w:t xml:space="preserve">Total </w:t>
            </w:r>
            <w:r w:rsidR="00D907AF" w:rsidRPr="00177572">
              <w:rPr>
                <w:rFonts w:cstheme="minorHAnsi"/>
                <w:sz w:val="20"/>
                <w:szCs w:val="20"/>
              </w:rPr>
              <w:t>%</w:t>
            </w:r>
          </w:p>
        </w:tc>
      </w:tr>
      <w:tr w:rsidR="00D907AF" w:rsidRPr="00177572" w:rsidTr="00EE03FE">
        <w:trPr>
          <w:cantSplit/>
          <w:trHeight w:val="283"/>
        </w:trPr>
        <w:tc>
          <w:tcPr>
            <w:tcW w:w="3740" w:type="dxa"/>
            <w:shd w:val="clear" w:color="auto" w:fill="auto"/>
          </w:tcPr>
          <w:p w:rsidR="00D907AF" w:rsidRPr="00177572" w:rsidRDefault="00D907AF" w:rsidP="00D907AF">
            <w:pPr>
              <w:spacing w:before="20" w:after="20"/>
              <w:rPr>
                <w:rFonts w:cstheme="minorHAnsi"/>
                <w:sz w:val="20"/>
                <w:szCs w:val="20"/>
              </w:rPr>
            </w:pPr>
            <w:r w:rsidRPr="00177572">
              <w:rPr>
                <w:rFonts w:cstheme="minorHAnsi"/>
                <w:sz w:val="20"/>
                <w:szCs w:val="20"/>
              </w:rPr>
              <w:t>A private dwelling</w:t>
            </w:r>
          </w:p>
        </w:tc>
        <w:tc>
          <w:tcPr>
            <w:tcW w:w="872" w:type="dxa"/>
            <w:shd w:val="clear" w:color="auto" w:fill="auto"/>
            <w:vAlign w:val="center"/>
          </w:tcPr>
          <w:p w:rsidR="00D907AF" w:rsidRPr="00177572" w:rsidRDefault="00D907AF" w:rsidP="00EF7AC4">
            <w:pPr>
              <w:spacing w:before="20" w:after="20"/>
              <w:ind w:left="386" w:right="170" w:hanging="386"/>
              <w:jc w:val="right"/>
              <w:rPr>
                <w:rFonts w:cstheme="minorHAnsi"/>
                <w:color w:val="000000"/>
                <w:sz w:val="20"/>
                <w:szCs w:val="20"/>
              </w:rPr>
            </w:pPr>
            <w:r w:rsidRPr="00177572">
              <w:rPr>
                <w:rFonts w:cstheme="minorHAnsi"/>
                <w:color w:val="000000"/>
                <w:sz w:val="20"/>
                <w:szCs w:val="20"/>
              </w:rPr>
              <w:t>772</w:t>
            </w:r>
          </w:p>
        </w:tc>
        <w:tc>
          <w:tcPr>
            <w:tcW w:w="898" w:type="dxa"/>
            <w:shd w:val="clear" w:color="auto" w:fill="auto"/>
            <w:vAlign w:val="center"/>
          </w:tcPr>
          <w:p w:rsidR="00D907AF" w:rsidRPr="00177572" w:rsidRDefault="00D907AF" w:rsidP="00EF7AC4">
            <w:pPr>
              <w:spacing w:before="20" w:after="20"/>
              <w:ind w:right="170"/>
              <w:jc w:val="right"/>
              <w:rPr>
                <w:rFonts w:cstheme="minorHAnsi"/>
                <w:color w:val="000000"/>
                <w:sz w:val="20"/>
                <w:szCs w:val="20"/>
              </w:rPr>
            </w:pPr>
            <w:r w:rsidRPr="00177572">
              <w:rPr>
                <w:rFonts w:cstheme="minorHAnsi"/>
                <w:color w:val="000000"/>
                <w:sz w:val="20"/>
                <w:szCs w:val="20"/>
              </w:rPr>
              <w:t>86.6</w:t>
            </w:r>
          </w:p>
        </w:tc>
        <w:tc>
          <w:tcPr>
            <w:tcW w:w="1162" w:type="dxa"/>
            <w:shd w:val="clear" w:color="auto" w:fill="auto"/>
            <w:vAlign w:val="center"/>
          </w:tcPr>
          <w:p w:rsidR="00D907AF" w:rsidRPr="00177572" w:rsidRDefault="00D907AF" w:rsidP="00DA7DA5">
            <w:pPr>
              <w:spacing w:before="20" w:after="20"/>
              <w:ind w:right="284"/>
              <w:jc w:val="right"/>
              <w:rPr>
                <w:rFonts w:cstheme="minorHAnsi"/>
                <w:color w:val="000000"/>
                <w:sz w:val="20"/>
                <w:szCs w:val="20"/>
              </w:rPr>
            </w:pPr>
            <w:r w:rsidRPr="00177572">
              <w:rPr>
                <w:rFonts w:cstheme="minorHAnsi"/>
                <w:color w:val="000000"/>
                <w:sz w:val="20"/>
                <w:szCs w:val="20"/>
              </w:rPr>
              <w:t>839</w:t>
            </w:r>
          </w:p>
        </w:tc>
        <w:tc>
          <w:tcPr>
            <w:tcW w:w="1162" w:type="dxa"/>
            <w:shd w:val="clear" w:color="auto" w:fill="auto"/>
            <w:vAlign w:val="center"/>
          </w:tcPr>
          <w:p w:rsidR="00D907AF" w:rsidRPr="00177572" w:rsidRDefault="00D907AF" w:rsidP="00DA7DA5">
            <w:pPr>
              <w:spacing w:before="20" w:after="20"/>
              <w:ind w:right="284"/>
              <w:jc w:val="right"/>
              <w:rPr>
                <w:rFonts w:cstheme="minorHAnsi"/>
                <w:color w:val="000000"/>
                <w:sz w:val="20"/>
                <w:szCs w:val="20"/>
              </w:rPr>
            </w:pPr>
            <w:r w:rsidRPr="00177572">
              <w:rPr>
                <w:rFonts w:cstheme="minorHAnsi"/>
                <w:color w:val="000000"/>
                <w:sz w:val="20"/>
                <w:szCs w:val="20"/>
              </w:rPr>
              <w:t>83.6</w:t>
            </w:r>
          </w:p>
        </w:tc>
        <w:tc>
          <w:tcPr>
            <w:tcW w:w="726" w:type="dxa"/>
            <w:shd w:val="clear" w:color="auto" w:fill="auto"/>
            <w:vAlign w:val="center"/>
          </w:tcPr>
          <w:p w:rsidR="00D907AF" w:rsidRPr="00177572" w:rsidRDefault="00D907AF" w:rsidP="00D907AF">
            <w:pPr>
              <w:spacing w:before="20" w:after="20"/>
              <w:jc w:val="right"/>
              <w:rPr>
                <w:rFonts w:cstheme="minorHAnsi"/>
                <w:color w:val="000000"/>
                <w:sz w:val="20"/>
                <w:szCs w:val="20"/>
              </w:rPr>
            </w:pPr>
            <w:r w:rsidRPr="00177572">
              <w:rPr>
                <w:rFonts w:cstheme="minorHAnsi"/>
                <w:color w:val="000000"/>
                <w:sz w:val="20"/>
                <w:szCs w:val="20"/>
              </w:rPr>
              <w:t>1</w:t>
            </w:r>
            <w:r w:rsidR="00EF7AC4">
              <w:rPr>
                <w:rFonts w:cstheme="minorHAnsi"/>
                <w:color w:val="000000"/>
                <w:sz w:val="20"/>
                <w:szCs w:val="20"/>
              </w:rPr>
              <w:t>,</w:t>
            </w:r>
            <w:r w:rsidRPr="00177572">
              <w:rPr>
                <w:rFonts w:cstheme="minorHAnsi"/>
                <w:color w:val="000000"/>
                <w:sz w:val="20"/>
                <w:szCs w:val="20"/>
              </w:rPr>
              <w:t>611</w:t>
            </w:r>
          </w:p>
        </w:tc>
        <w:tc>
          <w:tcPr>
            <w:tcW w:w="726" w:type="dxa"/>
            <w:shd w:val="clear" w:color="auto" w:fill="auto"/>
            <w:vAlign w:val="center"/>
          </w:tcPr>
          <w:p w:rsidR="00D907AF" w:rsidRPr="00177572" w:rsidRDefault="00D907AF" w:rsidP="00D907AF">
            <w:pPr>
              <w:tabs>
                <w:tab w:val="decimal" w:pos="341"/>
              </w:tabs>
              <w:spacing w:before="20" w:after="20"/>
              <w:jc w:val="right"/>
              <w:rPr>
                <w:rFonts w:cstheme="minorHAnsi"/>
                <w:color w:val="000000"/>
                <w:sz w:val="20"/>
                <w:szCs w:val="20"/>
              </w:rPr>
            </w:pPr>
            <w:r w:rsidRPr="00177572">
              <w:rPr>
                <w:rFonts w:cstheme="minorHAnsi"/>
                <w:color w:val="000000"/>
                <w:sz w:val="20"/>
                <w:szCs w:val="20"/>
              </w:rPr>
              <w:t>85.0</w:t>
            </w:r>
          </w:p>
        </w:tc>
      </w:tr>
      <w:tr w:rsidR="00D907AF" w:rsidRPr="00177572" w:rsidTr="00EE03FE">
        <w:trPr>
          <w:cantSplit/>
          <w:trHeight w:val="283"/>
        </w:trPr>
        <w:tc>
          <w:tcPr>
            <w:tcW w:w="3740" w:type="dxa"/>
            <w:shd w:val="clear" w:color="auto" w:fill="auto"/>
          </w:tcPr>
          <w:p w:rsidR="00D907AF" w:rsidRPr="00177572" w:rsidRDefault="00D907AF" w:rsidP="00D907AF">
            <w:pPr>
              <w:spacing w:before="20" w:after="20"/>
              <w:rPr>
                <w:rFonts w:cstheme="minorHAnsi"/>
                <w:sz w:val="20"/>
                <w:szCs w:val="20"/>
              </w:rPr>
            </w:pPr>
            <w:r w:rsidRPr="00177572">
              <w:rPr>
                <w:rFonts w:cstheme="minorHAnsi"/>
                <w:sz w:val="20"/>
                <w:szCs w:val="20"/>
              </w:rPr>
              <w:t>A residential aged care</w:t>
            </w:r>
          </w:p>
        </w:tc>
        <w:tc>
          <w:tcPr>
            <w:tcW w:w="872" w:type="dxa"/>
            <w:shd w:val="clear" w:color="auto" w:fill="auto"/>
            <w:vAlign w:val="center"/>
          </w:tcPr>
          <w:p w:rsidR="00D907AF" w:rsidRPr="00177572" w:rsidRDefault="00D907AF" w:rsidP="00EF7AC4">
            <w:pPr>
              <w:spacing w:before="20" w:after="20"/>
              <w:ind w:left="386" w:right="170" w:hanging="386"/>
              <w:jc w:val="right"/>
              <w:rPr>
                <w:rFonts w:cstheme="minorHAnsi"/>
                <w:color w:val="000000"/>
                <w:sz w:val="20"/>
                <w:szCs w:val="20"/>
              </w:rPr>
            </w:pPr>
            <w:r w:rsidRPr="00177572">
              <w:rPr>
                <w:rFonts w:cstheme="minorHAnsi"/>
                <w:color w:val="000000"/>
                <w:sz w:val="20"/>
                <w:szCs w:val="20"/>
              </w:rPr>
              <w:t>9</w:t>
            </w:r>
          </w:p>
        </w:tc>
        <w:tc>
          <w:tcPr>
            <w:tcW w:w="898" w:type="dxa"/>
            <w:shd w:val="clear" w:color="auto" w:fill="auto"/>
            <w:vAlign w:val="center"/>
          </w:tcPr>
          <w:p w:rsidR="00D907AF" w:rsidRPr="00177572" w:rsidRDefault="00D907AF" w:rsidP="00EF7AC4">
            <w:pPr>
              <w:spacing w:before="20" w:after="20"/>
              <w:ind w:right="170"/>
              <w:jc w:val="right"/>
              <w:rPr>
                <w:rFonts w:cstheme="minorHAnsi"/>
                <w:color w:val="000000"/>
                <w:sz w:val="20"/>
                <w:szCs w:val="20"/>
              </w:rPr>
            </w:pPr>
            <w:r w:rsidRPr="00177572">
              <w:rPr>
                <w:rFonts w:cstheme="minorHAnsi"/>
                <w:color w:val="000000"/>
                <w:sz w:val="20"/>
                <w:szCs w:val="20"/>
              </w:rPr>
              <w:t>1.0</w:t>
            </w:r>
          </w:p>
        </w:tc>
        <w:tc>
          <w:tcPr>
            <w:tcW w:w="1162" w:type="dxa"/>
            <w:shd w:val="clear" w:color="auto" w:fill="auto"/>
            <w:vAlign w:val="center"/>
          </w:tcPr>
          <w:p w:rsidR="00D907AF" w:rsidRPr="00177572" w:rsidRDefault="00D907AF" w:rsidP="00DA7DA5">
            <w:pPr>
              <w:spacing w:before="20" w:after="20"/>
              <w:ind w:right="284"/>
              <w:jc w:val="right"/>
              <w:rPr>
                <w:rFonts w:cstheme="minorHAnsi"/>
                <w:color w:val="000000"/>
                <w:sz w:val="20"/>
                <w:szCs w:val="20"/>
              </w:rPr>
            </w:pPr>
            <w:r w:rsidRPr="00177572">
              <w:rPr>
                <w:rFonts w:cstheme="minorHAnsi"/>
                <w:color w:val="000000"/>
                <w:sz w:val="20"/>
                <w:szCs w:val="20"/>
              </w:rPr>
              <w:t>7</w:t>
            </w:r>
          </w:p>
        </w:tc>
        <w:tc>
          <w:tcPr>
            <w:tcW w:w="1162" w:type="dxa"/>
            <w:shd w:val="clear" w:color="auto" w:fill="auto"/>
            <w:vAlign w:val="center"/>
          </w:tcPr>
          <w:p w:rsidR="00D907AF" w:rsidRPr="00177572" w:rsidRDefault="00D907AF" w:rsidP="00DA7DA5">
            <w:pPr>
              <w:spacing w:before="20" w:after="20"/>
              <w:ind w:right="284"/>
              <w:jc w:val="right"/>
              <w:rPr>
                <w:rFonts w:cstheme="minorHAnsi"/>
                <w:color w:val="000000"/>
                <w:sz w:val="20"/>
                <w:szCs w:val="20"/>
              </w:rPr>
            </w:pPr>
            <w:r w:rsidRPr="00177572">
              <w:rPr>
                <w:rFonts w:cstheme="minorHAnsi"/>
                <w:color w:val="000000"/>
                <w:sz w:val="20"/>
                <w:szCs w:val="20"/>
              </w:rPr>
              <w:t>0.7</w:t>
            </w:r>
          </w:p>
        </w:tc>
        <w:tc>
          <w:tcPr>
            <w:tcW w:w="726" w:type="dxa"/>
            <w:shd w:val="clear" w:color="auto" w:fill="auto"/>
            <w:vAlign w:val="center"/>
          </w:tcPr>
          <w:p w:rsidR="00D907AF" w:rsidRPr="00177572" w:rsidRDefault="00D907AF" w:rsidP="00D907AF">
            <w:pPr>
              <w:spacing w:before="20" w:after="20"/>
              <w:jc w:val="right"/>
              <w:rPr>
                <w:rFonts w:cstheme="minorHAnsi"/>
                <w:color w:val="000000"/>
                <w:sz w:val="20"/>
                <w:szCs w:val="20"/>
              </w:rPr>
            </w:pPr>
            <w:r w:rsidRPr="00177572">
              <w:rPr>
                <w:rFonts w:cstheme="minorHAnsi"/>
                <w:color w:val="000000"/>
                <w:sz w:val="20"/>
                <w:szCs w:val="20"/>
              </w:rPr>
              <w:t>16</w:t>
            </w:r>
          </w:p>
        </w:tc>
        <w:tc>
          <w:tcPr>
            <w:tcW w:w="726" w:type="dxa"/>
            <w:shd w:val="clear" w:color="auto" w:fill="auto"/>
            <w:vAlign w:val="center"/>
          </w:tcPr>
          <w:p w:rsidR="00D907AF" w:rsidRPr="00177572" w:rsidRDefault="00D907AF" w:rsidP="00D907AF">
            <w:pPr>
              <w:tabs>
                <w:tab w:val="decimal" w:pos="341"/>
              </w:tabs>
              <w:spacing w:before="20" w:after="20"/>
              <w:jc w:val="right"/>
              <w:rPr>
                <w:rFonts w:cstheme="minorHAnsi"/>
                <w:color w:val="000000"/>
                <w:sz w:val="20"/>
                <w:szCs w:val="20"/>
              </w:rPr>
            </w:pPr>
            <w:r w:rsidRPr="00177572">
              <w:rPr>
                <w:rFonts w:cstheme="minorHAnsi"/>
                <w:color w:val="000000"/>
                <w:sz w:val="20"/>
                <w:szCs w:val="20"/>
              </w:rPr>
              <w:t>0.8</w:t>
            </w:r>
          </w:p>
        </w:tc>
      </w:tr>
      <w:tr w:rsidR="00D907AF" w:rsidRPr="00177572" w:rsidTr="00EE03FE">
        <w:trPr>
          <w:cantSplit/>
          <w:trHeight w:val="283"/>
        </w:trPr>
        <w:tc>
          <w:tcPr>
            <w:tcW w:w="3740" w:type="dxa"/>
            <w:shd w:val="clear" w:color="auto" w:fill="auto"/>
          </w:tcPr>
          <w:p w:rsidR="00D907AF" w:rsidRPr="00177572" w:rsidRDefault="00D907AF" w:rsidP="00D907AF">
            <w:pPr>
              <w:spacing w:before="20" w:after="20"/>
              <w:rPr>
                <w:rFonts w:cstheme="minorHAnsi"/>
                <w:sz w:val="20"/>
                <w:szCs w:val="20"/>
              </w:rPr>
            </w:pPr>
            <w:r w:rsidRPr="00177572">
              <w:rPr>
                <w:rFonts w:cstheme="minorHAnsi"/>
                <w:sz w:val="20"/>
                <w:szCs w:val="20"/>
              </w:rPr>
              <w:t>Public housing</w:t>
            </w:r>
          </w:p>
        </w:tc>
        <w:tc>
          <w:tcPr>
            <w:tcW w:w="872" w:type="dxa"/>
            <w:shd w:val="clear" w:color="auto" w:fill="auto"/>
            <w:vAlign w:val="center"/>
          </w:tcPr>
          <w:p w:rsidR="00D907AF" w:rsidRPr="00177572" w:rsidRDefault="00D907AF" w:rsidP="00EF7AC4">
            <w:pPr>
              <w:spacing w:before="20" w:after="20"/>
              <w:ind w:left="386" w:right="170" w:hanging="386"/>
              <w:jc w:val="right"/>
              <w:rPr>
                <w:rFonts w:cstheme="minorHAnsi"/>
                <w:color w:val="000000"/>
                <w:sz w:val="20"/>
                <w:szCs w:val="20"/>
              </w:rPr>
            </w:pPr>
            <w:r w:rsidRPr="00177572">
              <w:rPr>
                <w:rFonts w:cstheme="minorHAnsi"/>
                <w:color w:val="000000"/>
                <w:sz w:val="20"/>
                <w:szCs w:val="20"/>
              </w:rPr>
              <w:t>72</w:t>
            </w:r>
          </w:p>
        </w:tc>
        <w:tc>
          <w:tcPr>
            <w:tcW w:w="898" w:type="dxa"/>
            <w:shd w:val="clear" w:color="auto" w:fill="auto"/>
            <w:vAlign w:val="center"/>
          </w:tcPr>
          <w:p w:rsidR="00D907AF" w:rsidRPr="00177572" w:rsidRDefault="00D907AF" w:rsidP="00EF7AC4">
            <w:pPr>
              <w:spacing w:before="20" w:after="20"/>
              <w:ind w:right="170"/>
              <w:jc w:val="right"/>
              <w:rPr>
                <w:rFonts w:cstheme="minorHAnsi"/>
                <w:color w:val="000000"/>
                <w:sz w:val="20"/>
                <w:szCs w:val="20"/>
              </w:rPr>
            </w:pPr>
            <w:r w:rsidRPr="00177572">
              <w:rPr>
                <w:rFonts w:cstheme="minorHAnsi"/>
                <w:color w:val="000000"/>
                <w:sz w:val="20"/>
                <w:szCs w:val="20"/>
              </w:rPr>
              <w:t>8.1</w:t>
            </w:r>
          </w:p>
        </w:tc>
        <w:tc>
          <w:tcPr>
            <w:tcW w:w="1162" w:type="dxa"/>
            <w:shd w:val="clear" w:color="auto" w:fill="auto"/>
            <w:vAlign w:val="center"/>
          </w:tcPr>
          <w:p w:rsidR="00D907AF" w:rsidRPr="00177572" w:rsidRDefault="00D907AF" w:rsidP="00DA7DA5">
            <w:pPr>
              <w:spacing w:before="20" w:after="20"/>
              <w:ind w:right="284"/>
              <w:jc w:val="right"/>
              <w:rPr>
                <w:rFonts w:cstheme="minorHAnsi"/>
                <w:color w:val="000000"/>
                <w:sz w:val="20"/>
                <w:szCs w:val="20"/>
              </w:rPr>
            </w:pPr>
            <w:r w:rsidRPr="00177572">
              <w:rPr>
                <w:rFonts w:cstheme="minorHAnsi"/>
                <w:color w:val="000000"/>
                <w:sz w:val="20"/>
                <w:szCs w:val="20"/>
              </w:rPr>
              <w:t>107</w:t>
            </w:r>
          </w:p>
        </w:tc>
        <w:tc>
          <w:tcPr>
            <w:tcW w:w="1162" w:type="dxa"/>
            <w:shd w:val="clear" w:color="auto" w:fill="auto"/>
            <w:vAlign w:val="center"/>
          </w:tcPr>
          <w:p w:rsidR="00D907AF" w:rsidRPr="00177572" w:rsidRDefault="00D907AF" w:rsidP="00DA7DA5">
            <w:pPr>
              <w:spacing w:before="20" w:after="20"/>
              <w:ind w:right="284"/>
              <w:jc w:val="right"/>
              <w:rPr>
                <w:rFonts w:cstheme="minorHAnsi"/>
                <w:color w:val="000000"/>
                <w:sz w:val="20"/>
                <w:szCs w:val="20"/>
              </w:rPr>
            </w:pPr>
            <w:r w:rsidRPr="00177572">
              <w:rPr>
                <w:rFonts w:cstheme="minorHAnsi"/>
                <w:color w:val="000000"/>
                <w:sz w:val="20"/>
                <w:szCs w:val="20"/>
              </w:rPr>
              <w:t>10.7</w:t>
            </w:r>
          </w:p>
        </w:tc>
        <w:tc>
          <w:tcPr>
            <w:tcW w:w="726" w:type="dxa"/>
            <w:shd w:val="clear" w:color="auto" w:fill="auto"/>
            <w:vAlign w:val="center"/>
          </w:tcPr>
          <w:p w:rsidR="00D907AF" w:rsidRPr="00177572" w:rsidRDefault="00D907AF" w:rsidP="00D907AF">
            <w:pPr>
              <w:spacing w:before="20" w:after="20"/>
              <w:jc w:val="right"/>
              <w:rPr>
                <w:rFonts w:cstheme="minorHAnsi"/>
                <w:color w:val="000000"/>
                <w:sz w:val="20"/>
                <w:szCs w:val="20"/>
              </w:rPr>
            </w:pPr>
            <w:r w:rsidRPr="00177572">
              <w:rPr>
                <w:rFonts w:cstheme="minorHAnsi"/>
                <w:color w:val="000000"/>
                <w:sz w:val="20"/>
                <w:szCs w:val="20"/>
              </w:rPr>
              <w:t>179</w:t>
            </w:r>
          </w:p>
        </w:tc>
        <w:tc>
          <w:tcPr>
            <w:tcW w:w="726" w:type="dxa"/>
            <w:shd w:val="clear" w:color="auto" w:fill="auto"/>
            <w:vAlign w:val="center"/>
          </w:tcPr>
          <w:p w:rsidR="00D907AF" w:rsidRPr="00177572" w:rsidRDefault="00D907AF" w:rsidP="00D907AF">
            <w:pPr>
              <w:tabs>
                <w:tab w:val="decimal" w:pos="341"/>
              </w:tabs>
              <w:spacing w:before="20" w:after="20"/>
              <w:jc w:val="right"/>
              <w:rPr>
                <w:rFonts w:cstheme="minorHAnsi"/>
                <w:color w:val="000000"/>
                <w:sz w:val="20"/>
                <w:szCs w:val="20"/>
              </w:rPr>
            </w:pPr>
            <w:r w:rsidRPr="00177572">
              <w:rPr>
                <w:rFonts w:cstheme="minorHAnsi"/>
                <w:color w:val="000000"/>
                <w:sz w:val="20"/>
                <w:szCs w:val="20"/>
              </w:rPr>
              <w:t>9.5</w:t>
            </w:r>
          </w:p>
        </w:tc>
      </w:tr>
      <w:tr w:rsidR="00D907AF" w:rsidRPr="00177572" w:rsidTr="00EE03FE">
        <w:trPr>
          <w:cantSplit/>
          <w:trHeight w:val="283"/>
        </w:trPr>
        <w:tc>
          <w:tcPr>
            <w:tcW w:w="3740" w:type="dxa"/>
            <w:shd w:val="clear" w:color="auto" w:fill="auto"/>
          </w:tcPr>
          <w:p w:rsidR="00D907AF" w:rsidRPr="00177572" w:rsidRDefault="00D907AF" w:rsidP="00D907AF">
            <w:pPr>
              <w:spacing w:before="20" w:after="20"/>
              <w:rPr>
                <w:rFonts w:cstheme="minorHAnsi"/>
                <w:sz w:val="20"/>
                <w:szCs w:val="20"/>
              </w:rPr>
            </w:pPr>
            <w:r w:rsidRPr="00177572">
              <w:rPr>
                <w:rFonts w:cstheme="minorHAnsi"/>
                <w:sz w:val="20"/>
                <w:szCs w:val="20"/>
              </w:rPr>
              <w:t>Self-contained support</w:t>
            </w:r>
            <w:r>
              <w:rPr>
                <w:rFonts w:cstheme="minorHAnsi"/>
                <w:sz w:val="20"/>
                <w:szCs w:val="20"/>
              </w:rPr>
              <w:t>ed accommodation</w:t>
            </w:r>
          </w:p>
        </w:tc>
        <w:tc>
          <w:tcPr>
            <w:tcW w:w="872" w:type="dxa"/>
            <w:shd w:val="clear" w:color="auto" w:fill="auto"/>
            <w:vAlign w:val="center"/>
          </w:tcPr>
          <w:p w:rsidR="00D907AF" w:rsidRPr="00177572" w:rsidRDefault="00D907AF" w:rsidP="00EF7AC4">
            <w:pPr>
              <w:spacing w:before="20" w:after="20"/>
              <w:ind w:left="386" w:right="170" w:hanging="386"/>
              <w:jc w:val="right"/>
              <w:rPr>
                <w:rFonts w:cstheme="minorHAnsi"/>
                <w:color w:val="000000"/>
                <w:sz w:val="20"/>
                <w:szCs w:val="20"/>
              </w:rPr>
            </w:pPr>
            <w:r w:rsidRPr="00177572">
              <w:rPr>
                <w:rFonts w:cstheme="minorHAnsi"/>
                <w:color w:val="000000"/>
                <w:sz w:val="20"/>
                <w:szCs w:val="20"/>
              </w:rPr>
              <w:t>6</w:t>
            </w:r>
          </w:p>
        </w:tc>
        <w:tc>
          <w:tcPr>
            <w:tcW w:w="898" w:type="dxa"/>
            <w:shd w:val="clear" w:color="auto" w:fill="auto"/>
            <w:vAlign w:val="center"/>
          </w:tcPr>
          <w:p w:rsidR="00D907AF" w:rsidRPr="00177572" w:rsidRDefault="00D907AF" w:rsidP="00EF7AC4">
            <w:pPr>
              <w:spacing w:before="20" w:after="20"/>
              <w:ind w:right="170"/>
              <w:jc w:val="right"/>
              <w:rPr>
                <w:rFonts w:cstheme="minorHAnsi"/>
                <w:color w:val="000000"/>
                <w:sz w:val="20"/>
                <w:szCs w:val="20"/>
              </w:rPr>
            </w:pPr>
            <w:r w:rsidRPr="00177572">
              <w:rPr>
                <w:rFonts w:cstheme="minorHAnsi"/>
                <w:color w:val="000000"/>
                <w:sz w:val="20"/>
                <w:szCs w:val="20"/>
              </w:rPr>
              <w:t>0.7</w:t>
            </w:r>
          </w:p>
        </w:tc>
        <w:tc>
          <w:tcPr>
            <w:tcW w:w="1162" w:type="dxa"/>
            <w:shd w:val="clear" w:color="auto" w:fill="auto"/>
            <w:vAlign w:val="center"/>
          </w:tcPr>
          <w:p w:rsidR="00D907AF" w:rsidRPr="00177572" w:rsidRDefault="00D907AF" w:rsidP="00DA7DA5">
            <w:pPr>
              <w:spacing w:before="20" w:after="20"/>
              <w:ind w:right="284"/>
              <w:jc w:val="right"/>
              <w:rPr>
                <w:rFonts w:cstheme="minorHAnsi"/>
                <w:color w:val="000000"/>
                <w:sz w:val="20"/>
                <w:szCs w:val="20"/>
              </w:rPr>
            </w:pPr>
            <w:r w:rsidRPr="00177572">
              <w:rPr>
                <w:rFonts w:cstheme="minorHAnsi"/>
                <w:color w:val="000000"/>
                <w:sz w:val="20"/>
                <w:szCs w:val="20"/>
              </w:rPr>
              <w:t>8</w:t>
            </w:r>
          </w:p>
        </w:tc>
        <w:tc>
          <w:tcPr>
            <w:tcW w:w="1162" w:type="dxa"/>
            <w:shd w:val="clear" w:color="auto" w:fill="auto"/>
            <w:vAlign w:val="center"/>
          </w:tcPr>
          <w:p w:rsidR="00D907AF" w:rsidRPr="00177572" w:rsidRDefault="00D907AF" w:rsidP="00DA7DA5">
            <w:pPr>
              <w:spacing w:before="20" w:after="20"/>
              <w:ind w:right="284"/>
              <w:jc w:val="right"/>
              <w:rPr>
                <w:rFonts w:cstheme="minorHAnsi"/>
                <w:color w:val="000000"/>
                <w:sz w:val="20"/>
                <w:szCs w:val="20"/>
              </w:rPr>
            </w:pPr>
            <w:r w:rsidRPr="00177572">
              <w:rPr>
                <w:rFonts w:cstheme="minorHAnsi"/>
                <w:color w:val="000000"/>
                <w:sz w:val="20"/>
                <w:szCs w:val="20"/>
              </w:rPr>
              <w:t>0.8</w:t>
            </w:r>
          </w:p>
        </w:tc>
        <w:tc>
          <w:tcPr>
            <w:tcW w:w="726" w:type="dxa"/>
            <w:shd w:val="clear" w:color="auto" w:fill="auto"/>
            <w:vAlign w:val="center"/>
          </w:tcPr>
          <w:p w:rsidR="00D907AF" w:rsidRPr="00177572" w:rsidRDefault="00D907AF" w:rsidP="00D907AF">
            <w:pPr>
              <w:spacing w:before="20" w:after="20"/>
              <w:jc w:val="right"/>
              <w:rPr>
                <w:rFonts w:cstheme="minorHAnsi"/>
                <w:color w:val="000000"/>
                <w:sz w:val="20"/>
                <w:szCs w:val="20"/>
              </w:rPr>
            </w:pPr>
            <w:r w:rsidRPr="00177572">
              <w:rPr>
                <w:rFonts w:cstheme="minorHAnsi"/>
                <w:color w:val="000000"/>
                <w:sz w:val="20"/>
                <w:szCs w:val="20"/>
              </w:rPr>
              <w:t>14</w:t>
            </w:r>
          </w:p>
        </w:tc>
        <w:tc>
          <w:tcPr>
            <w:tcW w:w="726" w:type="dxa"/>
            <w:shd w:val="clear" w:color="auto" w:fill="auto"/>
            <w:vAlign w:val="center"/>
          </w:tcPr>
          <w:p w:rsidR="00D907AF" w:rsidRPr="00177572" w:rsidRDefault="00D907AF" w:rsidP="00D907AF">
            <w:pPr>
              <w:tabs>
                <w:tab w:val="decimal" w:pos="341"/>
              </w:tabs>
              <w:spacing w:before="20" w:after="20"/>
              <w:jc w:val="right"/>
              <w:rPr>
                <w:rFonts w:cstheme="minorHAnsi"/>
                <w:color w:val="000000"/>
                <w:sz w:val="20"/>
                <w:szCs w:val="20"/>
              </w:rPr>
            </w:pPr>
            <w:r w:rsidRPr="00177572">
              <w:rPr>
                <w:rFonts w:cstheme="minorHAnsi"/>
                <w:color w:val="000000"/>
                <w:sz w:val="20"/>
                <w:szCs w:val="20"/>
              </w:rPr>
              <w:t>0.7</w:t>
            </w:r>
          </w:p>
        </w:tc>
      </w:tr>
      <w:tr w:rsidR="00D907AF" w:rsidRPr="00177572" w:rsidTr="00EE03FE">
        <w:trPr>
          <w:cantSplit/>
          <w:trHeight w:val="283"/>
        </w:trPr>
        <w:tc>
          <w:tcPr>
            <w:tcW w:w="3740" w:type="dxa"/>
            <w:shd w:val="clear" w:color="auto" w:fill="auto"/>
          </w:tcPr>
          <w:p w:rsidR="00D907AF" w:rsidRPr="00177572" w:rsidRDefault="00D907AF" w:rsidP="00D907AF">
            <w:pPr>
              <w:spacing w:before="20" w:after="20"/>
              <w:rPr>
                <w:rFonts w:cstheme="minorHAnsi"/>
                <w:sz w:val="20"/>
                <w:szCs w:val="20"/>
              </w:rPr>
            </w:pPr>
            <w:r w:rsidRPr="00177572">
              <w:rPr>
                <w:rFonts w:cstheme="minorHAnsi"/>
                <w:sz w:val="20"/>
                <w:szCs w:val="20"/>
              </w:rPr>
              <w:t>A group home</w:t>
            </w:r>
          </w:p>
        </w:tc>
        <w:tc>
          <w:tcPr>
            <w:tcW w:w="872" w:type="dxa"/>
            <w:shd w:val="clear" w:color="auto" w:fill="auto"/>
            <w:vAlign w:val="center"/>
          </w:tcPr>
          <w:p w:rsidR="00D907AF" w:rsidRPr="00177572" w:rsidRDefault="00D907AF" w:rsidP="00EF7AC4">
            <w:pPr>
              <w:spacing w:before="20" w:after="20"/>
              <w:ind w:left="386" w:right="170" w:hanging="386"/>
              <w:jc w:val="right"/>
              <w:rPr>
                <w:rFonts w:cstheme="minorHAnsi"/>
                <w:color w:val="000000"/>
                <w:sz w:val="20"/>
                <w:szCs w:val="20"/>
              </w:rPr>
            </w:pPr>
            <w:r w:rsidRPr="00177572">
              <w:rPr>
                <w:rFonts w:cstheme="minorHAnsi"/>
                <w:color w:val="000000"/>
                <w:sz w:val="20"/>
                <w:szCs w:val="20"/>
              </w:rPr>
              <w:t>19</w:t>
            </w:r>
          </w:p>
        </w:tc>
        <w:tc>
          <w:tcPr>
            <w:tcW w:w="898" w:type="dxa"/>
            <w:shd w:val="clear" w:color="auto" w:fill="auto"/>
            <w:vAlign w:val="center"/>
          </w:tcPr>
          <w:p w:rsidR="00D907AF" w:rsidRPr="00177572" w:rsidRDefault="00D907AF" w:rsidP="00EF7AC4">
            <w:pPr>
              <w:spacing w:before="20" w:after="20"/>
              <w:ind w:right="170"/>
              <w:jc w:val="right"/>
              <w:rPr>
                <w:rFonts w:cstheme="minorHAnsi"/>
                <w:color w:val="000000"/>
                <w:sz w:val="20"/>
                <w:szCs w:val="20"/>
              </w:rPr>
            </w:pPr>
            <w:r w:rsidRPr="00177572">
              <w:rPr>
                <w:rFonts w:cstheme="minorHAnsi"/>
                <w:color w:val="000000"/>
                <w:sz w:val="20"/>
                <w:szCs w:val="20"/>
              </w:rPr>
              <w:t>2.1</w:t>
            </w:r>
          </w:p>
        </w:tc>
        <w:tc>
          <w:tcPr>
            <w:tcW w:w="1162" w:type="dxa"/>
            <w:shd w:val="clear" w:color="auto" w:fill="auto"/>
            <w:vAlign w:val="center"/>
          </w:tcPr>
          <w:p w:rsidR="00D907AF" w:rsidRPr="00177572" w:rsidRDefault="00D907AF" w:rsidP="00DA7DA5">
            <w:pPr>
              <w:spacing w:before="20" w:after="20"/>
              <w:ind w:right="284"/>
              <w:jc w:val="right"/>
              <w:rPr>
                <w:rFonts w:cstheme="minorHAnsi"/>
                <w:color w:val="000000"/>
                <w:sz w:val="20"/>
                <w:szCs w:val="20"/>
              </w:rPr>
            </w:pPr>
            <w:r w:rsidRPr="00177572">
              <w:rPr>
                <w:rFonts w:cstheme="minorHAnsi"/>
                <w:color w:val="000000"/>
                <w:sz w:val="20"/>
                <w:szCs w:val="20"/>
              </w:rPr>
              <w:t>17</w:t>
            </w:r>
          </w:p>
        </w:tc>
        <w:tc>
          <w:tcPr>
            <w:tcW w:w="1162" w:type="dxa"/>
            <w:shd w:val="clear" w:color="auto" w:fill="auto"/>
            <w:vAlign w:val="center"/>
          </w:tcPr>
          <w:p w:rsidR="00D907AF" w:rsidRPr="00177572" w:rsidRDefault="00D907AF" w:rsidP="00DA7DA5">
            <w:pPr>
              <w:spacing w:before="20" w:after="20"/>
              <w:ind w:right="284"/>
              <w:jc w:val="right"/>
              <w:rPr>
                <w:rFonts w:cstheme="minorHAnsi"/>
                <w:color w:val="000000"/>
                <w:sz w:val="20"/>
                <w:szCs w:val="20"/>
              </w:rPr>
            </w:pPr>
            <w:r w:rsidRPr="00177572">
              <w:rPr>
                <w:rFonts w:cstheme="minorHAnsi"/>
                <w:color w:val="000000"/>
                <w:sz w:val="20"/>
                <w:szCs w:val="20"/>
              </w:rPr>
              <w:t>1.7</w:t>
            </w:r>
          </w:p>
        </w:tc>
        <w:tc>
          <w:tcPr>
            <w:tcW w:w="726" w:type="dxa"/>
            <w:shd w:val="clear" w:color="auto" w:fill="auto"/>
            <w:vAlign w:val="center"/>
          </w:tcPr>
          <w:p w:rsidR="00D907AF" w:rsidRPr="00177572" w:rsidRDefault="00D907AF" w:rsidP="00D907AF">
            <w:pPr>
              <w:spacing w:before="20" w:after="20"/>
              <w:jc w:val="right"/>
              <w:rPr>
                <w:rFonts w:cstheme="minorHAnsi"/>
                <w:color w:val="000000"/>
                <w:sz w:val="20"/>
                <w:szCs w:val="20"/>
              </w:rPr>
            </w:pPr>
            <w:r w:rsidRPr="00177572">
              <w:rPr>
                <w:rFonts w:cstheme="minorHAnsi"/>
                <w:color w:val="000000"/>
                <w:sz w:val="20"/>
                <w:szCs w:val="20"/>
              </w:rPr>
              <w:t>36</w:t>
            </w:r>
          </w:p>
        </w:tc>
        <w:tc>
          <w:tcPr>
            <w:tcW w:w="726" w:type="dxa"/>
            <w:shd w:val="clear" w:color="auto" w:fill="auto"/>
            <w:vAlign w:val="center"/>
          </w:tcPr>
          <w:p w:rsidR="00D907AF" w:rsidRPr="00177572" w:rsidRDefault="00D907AF" w:rsidP="00D907AF">
            <w:pPr>
              <w:tabs>
                <w:tab w:val="decimal" w:pos="341"/>
              </w:tabs>
              <w:spacing w:before="20" w:after="20"/>
              <w:jc w:val="right"/>
              <w:rPr>
                <w:rFonts w:cstheme="minorHAnsi"/>
                <w:color w:val="000000"/>
                <w:sz w:val="20"/>
                <w:szCs w:val="20"/>
              </w:rPr>
            </w:pPr>
            <w:r w:rsidRPr="00177572">
              <w:rPr>
                <w:rFonts w:cstheme="minorHAnsi"/>
                <w:color w:val="000000"/>
                <w:sz w:val="20"/>
                <w:szCs w:val="20"/>
              </w:rPr>
              <w:t>1.9</w:t>
            </w:r>
          </w:p>
        </w:tc>
      </w:tr>
      <w:tr w:rsidR="00D907AF" w:rsidRPr="00177572" w:rsidTr="00EE03FE">
        <w:trPr>
          <w:cantSplit/>
          <w:trHeight w:val="283"/>
        </w:trPr>
        <w:tc>
          <w:tcPr>
            <w:tcW w:w="3740" w:type="dxa"/>
            <w:shd w:val="clear" w:color="auto" w:fill="auto"/>
          </w:tcPr>
          <w:p w:rsidR="00D907AF" w:rsidRPr="00177572" w:rsidRDefault="00D907AF" w:rsidP="00D907AF">
            <w:pPr>
              <w:spacing w:before="20" w:after="20"/>
              <w:rPr>
                <w:rFonts w:cstheme="minorHAnsi"/>
                <w:sz w:val="20"/>
                <w:szCs w:val="20"/>
              </w:rPr>
            </w:pPr>
            <w:r w:rsidRPr="00177572">
              <w:rPr>
                <w:rFonts w:cstheme="minorHAnsi"/>
                <w:sz w:val="20"/>
                <w:szCs w:val="20"/>
              </w:rPr>
              <w:t>Out-of-home care</w:t>
            </w:r>
          </w:p>
        </w:tc>
        <w:tc>
          <w:tcPr>
            <w:tcW w:w="872" w:type="dxa"/>
            <w:shd w:val="clear" w:color="auto" w:fill="auto"/>
            <w:vAlign w:val="center"/>
          </w:tcPr>
          <w:p w:rsidR="00D907AF" w:rsidRPr="00177572" w:rsidRDefault="00D907AF" w:rsidP="00EF7AC4">
            <w:pPr>
              <w:spacing w:before="20" w:after="20"/>
              <w:ind w:left="386" w:right="170" w:hanging="386"/>
              <w:jc w:val="right"/>
              <w:rPr>
                <w:rFonts w:cstheme="minorHAnsi"/>
                <w:color w:val="000000"/>
                <w:sz w:val="20"/>
                <w:szCs w:val="20"/>
              </w:rPr>
            </w:pPr>
            <w:r w:rsidRPr="00177572">
              <w:rPr>
                <w:rFonts w:cstheme="minorHAnsi"/>
                <w:color w:val="000000"/>
                <w:sz w:val="20"/>
                <w:szCs w:val="20"/>
              </w:rPr>
              <w:t>1</w:t>
            </w:r>
          </w:p>
        </w:tc>
        <w:tc>
          <w:tcPr>
            <w:tcW w:w="898" w:type="dxa"/>
            <w:shd w:val="clear" w:color="auto" w:fill="auto"/>
            <w:vAlign w:val="center"/>
          </w:tcPr>
          <w:p w:rsidR="00D907AF" w:rsidRPr="00177572" w:rsidRDefault="00D907AF" w:rsidP="00EF7AC4">
            <w:pPr>
              <w:spacing w:before="20" w:after="20"/>
              <w:ind w:right="170"/>
              <w:jc w:val="right"/>
              <w:rPr>
                <w:rFonts w:cstheme="minorHAnsi"/>
                <w:color w:val="000000"/>
                <w:sz w:val="20"/>
                <w:szCs w:val="20"/>
              </w:rPr>
            </w:pPr>
            <w:r w:rsidRPr="00177572">
              <w:rPr>
                <w:rFonts w:cstheme="minorHAnsi"/>
                <w:color w:val="000000"/>
                <w:sz w:val="20"/>
                <w:szCs w:val="20"/>
              </w:rPr>
              <w:t>0.1</w:t>
            </w:r>
          </w:p>
        </w:tc>
        <w:tc>
          <w:tcPr>
            <w:tcW w:w="1162" w:type="dxa"/>
            <w:shd w:val="clear" w:color="auto" w:fill="auto"/>
            <w:vAlign w:val="center"/>
          </w:tcPr>
          <w:p w:rsidR="00D907AF" w:rsidRPr="00177572" w:rsidRDefault="00D907AF" w:rsidP="00DA7DA5">
            <w:pPr>
              <w:spacing w:before="20" w:after="20"/>
              <w:ind w:right="284"/>
              <w:jc w:val="right"/>
              <w:rPr>
                <w:rFonts w:cstheme="minorHAnsi"/>
                <w:color w:val="000000"/>
                <w:sz w:val="20"/>
                <w:szCs w:val="20"/>
              </w:rPr>
            </w:pPr>
            <w:r w:rsidRPr="00177572">
              <w:rPr>
                <w:rFonts w:cstheme="minorHAnsi"/>
                <w:color w:val="000000"/>
                <w:sz w:val="20"/>
                <w:szCs w:val="20"/>
              </w:rPr>
              <w:t>1</w:t>
            </w:r>
          </w:p>
        </w:tc>
        <w:tc>
          <w:tcPr>
            <w:tcW w:w="1162" w:type="dxa"/>
            <w:shd w:val="clear" w:color="auto" w:fill="auto"/>
            <w:vAlign w:val="center"/>
          </w:tcPr>
          <w:p w:rsidR="00D907AF" w:rsidRPr="00177572" w:rsidRDefault="00D907AF" w:rsidP="00DA7DA5">
            <w:pPr>
              <w:spacing w:before="20" w:after="20"/>
              <w:ind w:right="284"/>
              <w:jc w:val="right"/>
              <w:rPr>
                <w:rFonts w:cstheme="minorHAnsi"/>
                <w:color w:val="000000"/>
                <w:sz w:val="20"/>
                <w:szCs w:val="20"/>
              </w:rPr>
            </w:pPr>
            <w:r w:rsidRPr="00177572">
              <w:rPr>
                <w:rFonts w:cstheme="minorHAnsi"/>
                <w:color w:val="000000"/>
                <w:sz w:val="20"/>
                <w:szCs w:val="20"/>
              </w:rPr>
              <w:t>0.1</w:t>
            </w:r>
          </w:p>
        </w:tc>
        <w:tc>
          <w:tcPr>
            <w:tcW w:w="726" w:type="dxa"/>
            <w:shd w:val="clear" w:color="auto" w:fill="auto"/>
            <w:vAlign w:val="center"/>
          </w:tcPr>
          <w:p w:rsidR="00D907AF" w:rsidRPr="00177572" w:rsidRDefault="00D907AF" w:rsidP="00D907AF">
            <w:pPr>
              <w:spacing w:before="20" w:after="20"/>
              <w:jc w:val="right"/>
              <w:rPr>
                <w:rFonts w:cstheme="minorHAnsi"/>
                <w:color w:val="000000"/>
                <w:sz w:val="20"/>
                <w:szCs w:val="20"/>
              </w:rPr>
            </w:pPr>
            <w:r w:rsidRPr="00177572">
              <w:rPr>
                <w:rFonts w:cstheme="minorHAnsi"/>
                <w:color w:val="000000"/>
                <w:sz w:val="20"/>
                <w:szCs w:val="20"/>
              </w:rPr>
              <w:t>2</w:t>
            </w:r>
          </w:p>
        </w:tc>
        <w:tc>
          <w:tcPr>
            <w:tcW w:w="726" w:type="dxa"/>
            <w:shd w:val="clear" w:color="auto" w:fill="auto"/>
            <w:vAlign w:val="center"/>
          </w:tcPr>
          <w:p w:rsidR="00D907AF" w:rsidRPr="00177572" w:rsidRDefault="00D907AF" w:rsidP="00D907AF">
            <w:pPr>
              <w:tabs>
                <w:tab w:val="decimal" w:pos="341"/>
              </w:tabs>
              <w:spacing w:before="20" w:after="20"/>
              <w:jc w:val="right"/>
              <w:rPr>
                <w:rFonts w:cstheme="minorHAnsi"/>
                <w:color w:val="000000"/>
                <w:sz w:val="20"/>
                <w:szCs w:val="20"/>
              </w:rPr>
            </w:pPr>
            <w:r w:rsidRPr="00177572">
              <w:rPr>
                <w:rFonts w:cstheme="minorHAnsi"/>
                <w:color w:val="000000"/>
                <w:sz w:val="20"/>
                <w:szCs w:val="20"/>
              </w:rPr>
              <w:t>0.1</w:t>
            </w:r>
          </w:p>
        </w:tc>
      </w:tr>
      <w:tr w:rsidR="00D907AF" w:rsidRPr="00177572" w:rsidTr="00EE03FE">
        <w:trPr>
          <w:cantSplit/>
          <w:trHeight w:val="283"/>
        </w:trPr>
        <w:tc>
          <w:tcPr>
            <w:tcW w:w="3740" w:type="dxa"/>
            <w:shd w:val="clear" w:color="auto" w:fill="auto"/>
          </w:tcPr>
          <w:p w:rsidR="00D907AF" w:rsidRPr="00177572" w:rsidRDefault="00D907AF" w:rsidP="00D907AF">
            <w:pPr>
              <w:spacing w:before="20" w:after="20"/>
              <w:rPr>
                <w:rFonts w:cstheme="minorHAnsi"/>
                <w:sz w:val="20"/>
                <w:szCs w:val="20"/>
              </w:rPr>
            </w:pPr>
            <w:r w:rsidRPr="00177572">
              <w:rPr>
                <w:rFonts w:cstheme="minorHAnsi"/>
                <w:sz w:val="20"/>
                <w:szCs w:val="20"/>
              </w:rPr>
              <w:t>A motel, caravan park</w:t>
            </w:r>
          </w:p>
        </w:tc>
        <w:tc>
          <w:tcPr>
            <w:tcW w:w="872" w:type="dxa"/>
            <w:shd w:val="clear" w:color="auto" w:fill="auto"/>
            <w:vAlign w:val="center"/>
          </w:tcPr>
          <w:p w:rsidR="00D907AF" w:rsidRPr="00177572" w:rsidRDefault="00D907AF" w:rsidP="00EF7AC4">
            <w:pPr>
              <w:spacing w:before="20" w:after="20"/>
              <w:ind w:left="386" w:right="170" w:hanging="386"/>
              <w:jc w:val="right"/>
              <w:rPr>
                <w:rFonts w:cstheme="minorHAnsi"/>
                <w:color w:val="000000"/>
                <w:sz w:val="20"/>
                <w:szCs w:val="20"/>
              </w:rPr>
            </w:pPr>
            <w:r w:rsidRPr="00177572">
              <w:rPr>
                <w:rFonts w:cstheme="minorHAnsi"/>
                <w:color w:val="000000"/>
                <w:sz w:val="20"/>
                <w:szCs w:val="20"/>
              </w:rPr>
              <w:t>0</w:t>
            </w:r>
          </w:p>
        </w:tc>
        <w:tc>
          <w:tcPr>
            <w:tcW w:w="898" w:type="dxa"/>
            <w:shd w:val="clear" w:color="auto" w:fill="auto"/>
            <w:vAlign w:val="center"/>
          </w:tcPr>
          <w:p w:rsidR="00D907AF" w:rsidRPr="00177572" w:rsidRDefault="00D907AF" w:rsidP="00EF7AC4">
            <w:pPr>
              <w:spacing w:before="20" w:after="20"/>
              <w:ind w:right="170"/>
              <w:jc w:val="right"/>
              <w:rPr>
                <w:rFonts w:cstheme="minorHAnsi"/>
                <w:color w:val="000000"/>
                <w:sz w:val="20"/>
                <w:szCs w:val="20"/>
              </w:rPr>
            </w:pPr>
            <w:r w:rsidRPr="00177572">
              <w:rPr>
                <w:rFonts w:cstheme="minorHAnsi"/>
                <w:color w:val="000000"/>
                <w:sz w:val="20"/>
                <w:szCs w:val="20"/>
              </w:rPr>
              <w:t>0.0</w:t>
            </w:r>
          </w:p>
        </w:tc>
        <w:tc>
          <w:tcPr>
            <w:tcW w:w="1162" w:type="dxa"/>
            <w:shd w:val="clear" w:color="auto" w:fill="auto"/>
            <w:vAlign w:val="center"/>
          </w:tcPr>
          <w:p w:rsidR="00D907AF" w:rsidRPr="00177572" w:rsidRDefault="00D907AF" w:rsidP="00DA7DA5">
            <w:pPr>
              <w:spacing w:before="20" w:after="20"/>
              <w:ind w:right="284"/>
              <w:jc w:val="right"/>
              <w:rPr>
                <w:rFonts w:cstheme="minorHAnsi"/>
                <w:color w:val="000000"/>
                <w:sz w:val="20"/>
                <w:szCs w:val="20"/>
              </w:rPr>
            </w:pPr>
            <w:r w:rsidRPr="00177572">
              <w:rPr>
                <w:rFonts w:cstheme="minorHAnsi"/>
                <w:color w:val="000000"/>
                <w:sz w:val="20"/>
                <w:szCs w:val="20"/>
              </w:rPr>
              <w:t>4</w:t>
            </w:r>
          </w:p>
        </w:tc>
        <w:tc>
          <w:tcPr>
            <w:tcW w:w="1162" w:type="dxa"/>
            <w:shd w:val="clear" w:color="auto" w:fill="auto"/>
            <w:vAlign w:val="center"/>
          </w:tcPr>
          <w:p w:rsidR="00D907AF" w:rsidRPr="00177572" w:rsidRDefault="00D907AF" w:rsidP="00DA7DA5">
            <w:pPr>
              <w:spacing w:before="20" w:after="20"/>
              <w:ind w:right="284"/>
              <w:jc w:val="right"/>
              <w:rPr>
                <w:rFonts w:cstheme="minorHAnsi"/>
                <w:color w:val="000000"/>
                <w:sz w:val="20"/>
                <w:szCs w:val="20"/>
              </w:rPr>
            </w:pPr>
            <w:r w:rsidRPr="00177572">
              <w:rPr>
                <w:rFonts w:cstheme="minorHAnsi"/>
                <w:color w:val="000000"/>
                <w:sz w:val="20"/>
                <w:szCs w:val="20"/>
              </w:rPr>
              <w:t>0.4</w:t>
            </w:r>
          </w:p>
        </w:tc>
        <w:tc>
          <w:tcPr>
            <w:tcW w:w="726" w:type="dxa"/>
            <w:shd w:val="clear" w:color="auto" w:fill="auto"/>
            <w:vAlign w:val="center"/>
          </w:tcPr>
          <w:p w:rsidR="00D907AF" w:rsidRPr="00177572" w:rsidRDefault="00D907AF" w:rsidP="00D907AF">
            <w:pPr>
              <w:spacing w:before="20" w:after="20"/>
              <w:jc w:val="right"/>
              <w:rPr>
                <w:rFonts w:cstheme="minorHAnsi"/>
                <w:color w:val="000000"/>
                <w:sz w:val="20"/>
                <w:szCs w:val="20"/>
              </w:rPr>
            </w:pPr>
            <w:r w:rsidRPr="00177572">
              <w:rPr>
                <w:rFonts w:cstheme="minorHAnsi"/>
                <w:color w:val="000000"/>
                <w:sz w:val="20"/>
                <w:szCs w:val="20"/>
              </w:rPr>
              <w:t>4</w:t>
            </w:r>
          </w:p>
        </w:tc>
        <w:tc>
          <w:tcPr>
            <w:tcW w:w="726" w:type="dxa"/>
            <w:shd w:val="clear" w:color="auto" w:fill="auto"/>
            <w:vAlign w:val="center"/>
          </w:tcPr>
          <w:p w:rsidR="00D907AF" w:rsidRPr="00177572" w:rsidRDefault="00D907AF" w:rsidP="00D907AF">
            <w:pPr>
              <w:tabs>
                <w:tab w:val="decimal" w:pos="341"/>
              </w:tabs>
              <w:spacing w:before="20" w:after="20"/>
              <w:jc w:val="right"/>
              <w:rPr>
                <w:rFonts w:cstheme="minorHAnsi"/>
                <w:color w:val="000000"/>
                <w:sz w:val="20"/>
                <w:szCs w:val="20"/>
              </w:rPr>
            </w:pPr>
            <w:r w:rsidRPr="00177572">
              <w:rPr>
                <w:rFonts w:cstheme="minorHAnsi"/>
                <w:color w:val="000000"/>
                <w:sz w:val="20"/>
                <w:szCs w:val="20"/>
              </w:rPr>
              <w:t>0.2</w:t>
            </w:r>
          </w:p>
        </w:tc>
      </w:tr>
      <w:tr w:rsidR="00D907AF" w:rsidRPr="00177572" w:rsidTr="00EE03FE">
        <w:trPr>
          <w:cantSplit/>
          <w:trHeight w:val="283"/>
        </w:trPr>
        <w:tc>
          <w:tcPr>
            <w:tcW w:w="3740" w:type="dxa"/>
            <w:shd w:val="clear" w:color="auto" w:fill="auto"/>
          </w:tcPr>
          <w:p w:rsidR="00D907AF" w:rsidRPr="00177572" w:rsidRDefault="00D907AF" w:rsidP="00D907AF">
            <w:pPr>
              <w:spacing w:before="20" w:after="20"/>
              <w:rPr>
                <w:rFonts w:cstheme="minorHAnsi"/>
                <w:sz w:val="20"/>
                <w:szCs w:val="20"/>
              </w:rPr>
            </w:pPr>
            <w:r w:rsidRPr="00177572">
              <w:rPr>
                <w:rFonts w:cstheme="minorHAnsi"/>
                <w:sz w:val="20"/>
                <w:szCs w:val="20"/>
              </w:rPr>
              <w:t>Other type of accommodation</w:t>
            </w:r>
          </w:p>
        </w:tc>
        <w:tc>
          <w:tcPr>
            <w:tcW w:w="872" w:type="dxa"/>
            <w:shd w:val="clear" w:color="auto" w:fill="auto"/>
            <w:vAlign w:val="center"/>
          </w:tcPr>
          <w:p w:rsidR="00D907AF" w:rsidRPr="00177572" w:rsidRDefault="00D907AF" w:rsidP="00EF7AC4">
            <w:pPr>
              <w:spacing w:before="20" w:after="20"/>
              <w:ind w:left="386" w:right="170" w:hanging="386"/>
              <w:jc w:val="right"/>
              <w:rPr>
                <w:rFonts w:cstheme="minorHAnsi"/>
                <w:color w:val="000000"/>
                <w:sz w:val="20"/>
                <w:szCs w:val="20"/>
              </w:rPr>
            </w:pPr>
            <w:r w:rsidRPr="00177572">
              <w:rPr>
                <w:rFonts w:cstheme="minorHAnsi"/>
                <w:color w:val="000000"/>
                <w:sz w:val="20"/>
                <w:szCs w:val="20"/>
              </w:rPr>
              <w:t>8</w:t>
            </w:r>
          </w:p>
        </w:tc>
        <w:tc>
          <w:tcPr>
            <w:tcW w:w="898" w:type="dxa"/>
            <w:shd w:val="clear" w:color="auto" w:fill="auto"/>
            <w:vAlign w:val="center"/>
          </w:tcPr>
          <w:p w:rsidR="00D907AF" w:rsidRPr="00177572" w:rsidRDefault="00D907AF" w:rsidP="00EF7AC4">
            <w:pPr>
              <w:spacing w:before="20" w:after="20"/>
              <w:ind w:right="170"/>
              <w:jc w:val="right"/>
              <w:rPr>
                <w:rFonts w:cstheme="minorHAnsi"/>
                <w:color w:val="000000"/>
                <w:sz w:val="20"/>
                <w:szCs w:val="20"/>
              </w:rPr>
            </w:pPr>
            <w:r w:rsidRPr="00177572">
              <w:rPr>
                <w:rFonts w:cstheme="minorHAnsi"/>
                <w:color w:val="000000"/>
                <w:sz w:val="20"/>
                <w:szCs w:val="20"/>
              </w:rPr>
              <w:t>0.9</w:t>
            </w:r>
          </w:p>
        </w:tc>
        <w:tc>
          <w:tcPr>
            <w:tcW w:w="1162" w:type="dxa"/>
            <w:shd w:val="clear" w:color="auto" w:fill="auto"/>
            <w:vAlign w:val="center"/>
          </w:tcPr>
          <w:p w:rsidR="00D907AF" w:rsidRPr="00177572" w:rsidRDefault="00D907AF" w:rsidP="00DA7DA5">
            <w:pPr>
              <w:spacing w:before="20" w:after="20"/>
              <w:ind w:right="284"/>
              <w:jc w:val="right"/>
              <w:rPr>
                <w:rFonts w:cstheme="minorHAnsi"/>
                <w:color w:val="000000"/>
                <w:sz w:val="20"/>
                <w:szCs w:val="20"/>
              </w:rPr>
            </w:pPr>
            <w:r w:rsidRPr="00177572">
              <w:rPr>
                <w:rFonts w:cstheme="minorHAnsi"/>
                <w:color w:val="000000"/>
                <w:sz w:val="20"/>
                <w:szCs w:val="20"/>
              </w:rPr>
              <w:t>10</w:t>
            </w:r>
          </w:p>
        </w:tc>
        <w:tc>
          <w:tcPr>
            <w:tcW w:w="1162" w:type="dxa"/>
            <w:shd w:val="clear" w:color="auto" w:fill="auto"/>
            <w:vAlign w:val="center"/>
          </w:tcPr>
          <w:p w:rsidR="00D907AF" w:rsidRPr="00177572" w:rsidRDefault="00D907AF" w:rsidP="00DA7DA5">
            <w:pPr>
              <w:spacing w:before="20" w:after="20"/>
              <w:ind w:right="284"/>
              <w:jc w:val="right"/>
              <w:rPr>
                <w:rFonts w:cstheme="minorHAnsi"/>
                <w:color w:val="000000"/>
                <w:sz w:val="20"/>
                <w:szCs w:val="20"/>
              </w:rPr>
            </w:pPr>
            <w:r w:rsidRPr="00177572">
              <w:rPr>
                <w:rFonts w:cstheme="minorHAnsi"/>
                <w:color w:val="000000"/>
                <w:sz w:val="20"/>
                <w:szCs w:val="20"/>
              </w:rPr>
              <w:t>1.0</w:t>
            </w:r>
          </w:p>
        </w:tc>
        <w:tc>
          <w:tcPr>
            <w:tcW w:w="726" w:type="dxa"/>
            <w:shd w:val="clear" w:color="auto" w:fill="auto"/>
            <w:vAlign w:val="center"/>
          </w:tcPr>
          <w:p w:rsidR="00D907AF" w:rsidRPr="00177572" w:rsidRDefault="00D907AF" w:rsidP="00D907AF">
            <w:pPr>
              <w:spacing w:before="20" w:after="20"/>
              <w:jc w:val="right"/>
              <w:rPr>
                <w:rFonts w:cstheme="minorHAnsi"/>
                <w:color w:val="000000"/>
                <w:sz w:val="20"/>
                <w:szCs w:val="20"/>
              </w:rPr>
            </w:pPr>
            <w:r w:rsidRPr="00177572">
              <w:rPr>
                <w:rFonts w:cstheme="minorHAnsi"/>
                <w:color w:val="000000"/>
                <w:sz w:val="20"/>
                <w:szCs w:val="20"/>
              </w:rPr>
              <w:t>18</w:t>
            </w:r>
          </w:p>
        </w:tc>
        <w:tc>
          <w:tcPr>
            <w:tcW w:w="726" w:type="dxa"/>
            <w:shd w:val="clear" w:color="auto" w:fill="auto"/>
            <w:vAlign w:val="center"/>
          </w:tcPr>
          <w:p w:rsidR="00D907AF" w:rsidRPr="00177572" w:rsidRDefault="00D907AF" w:rsidP="00D907AF">
            <w:pPr>
              <w:tabs>
                <w:tab w:val="decimal" w:pos="341"/>
              </w:tabs>
              <w:spacing w:before="20" w:after="20"/>
              <w:jc w:val="right"/>
              <w:rPr>
                <w:rFonts w:cstheme="minorHAnsi"/>
                <w:color w:val="000000"/>
                <w:sz w:val="20"/>
                <w:szCs w:val="20"/>
              </w:rPr>
            </w:pPr>
            <w:r w:rsidRPr="00177572">
              <w:rPr>
                <w:rFonts w:cstheme="minorHAnsi"/>
                <w:color w:val="000000"/>
                <w:sz w:val="20"/>
                <w:szCs w:val="20"/>
              </w:rPr>
              <w:t>1.0</w:t>
            </w:r>
          </w:p>
        </w:tc>
      </w:tr>
      <w:tr w:rsidR="00D907AF" w:rsidRPr="00177572" w:rsidTr="00EE03FE">
        <w:trPr>
          <w:cantSplit/>
          <w:trHeight w:val="283"/>
        </w:trPr>
        <w:tc>
          <w:tcPr>
            <w:tcW w:w="3740" w:type="dxa"/>
          </w:tcPr>
          <w:p w:rsidR="00D907AF" w:rsidRPr="00177572" w:rsidRDefault="00D907AF" w:rsidP="00D907AF">
            <w:pPr>
              <w:spacing w:before="20" w:after="20"/>
              <w:rPr>
                <w:rFonts w:cstheme="minorHAnsi"/>
                <w:sz w:val="20"/>
                <w:szCs w:val="20"/>
              </w:rPr>
            </w:pPr>
            <w:r w:rsidRPr="00177572">
              <w:rPr>
                <w:rFonts w:cstheme="minorHAnsi"/>
                <w:sz w:val="20"/>
                <w:szCs w:val="20"/>
              </w:rPr>
              <w:t>Don’t know</w:t>
            </w:r>
          </w:p>
        </w:tc>
        <w:tc>
          <w:tcPr>
            <w:tcW w:w="872" w:type="dxa"/>
          </w:tcPr>
          <w:p w:rsidR="00D907AF" w:rsidRPr="00177572" w:rsidRDefault="00D907AF" w:rsidP="00EF7AC4">
            <w:pPr>
              <w:spacing w:before="20" w:after="20"/>
              <w:ind w:left="386" w:right="170" w:hanging="386"/>
              <w:jc w:val="right"/>
              <w:rPr>
                <w:rFonts w:cstheme="minorHAnsi"/>
                <w:color w:val="000000"/>
                <w:sz w:val="20"/>
                <w:szCs w:val="20"/>
              </w:rPr>
            </w:pPr>
            <w:r w:rsidRPr="00177572">
              <w:rPr>
                <w:rFonts w:cstheme="minorHAnsi"/>
                <w:color w:val="000000"/>
                <w:sz w:val="20"/>
                <w:szCs w:val="20"/>
              </w:rPr>
              <w:t>1</w:t>
            </w:r>
          </w:p>
        </w:tc>
        <w:tc>
          <w:tcPr>
            <w:tcW w:w="898" w:type="dxa"/>
          </w:tcPr>
          <w:p w:rsidR="00D907AF" w:rsidRPr="00177572" w:rsidRDefault="00D907AF" w:rsidP="00EF7AC4">
            <w:pPr>
              <w:spacing w:before="20" w:after="20"/>
              <w:ind w:right="170"/>
              <w:jc w:val="right"/>
              <w:rPr>
                <w:rFonts w:cstheme="minorHAnsi"/>
                <w:color w:val="000000"/>
                <w:sz w:val="20"/>
                <w:szCs w:val="20"/>
              </w:rPr>
            </w:pPr>
            <w:r w:rsidRPr="00177572">
              <w:rPr>
                <w:rFonts w:cstheme="minorHAnsi"/>
                <w:color w:val="000000"/>
                <w:sz w:val="20"/>
                <w:szCs w:val="20"/>
              </w:rPr>
              <w:t>0.1</w:t>
            </w:r>
          </w:p>
        </w:tc>
        <w:tc>
          <w:tcPr>
            <w:tcW w:w="1162" w:type="dxa"/>
          </w:tcPr>
          <w:p w:rsidR="00D907AF" w:rsidRPr="00177572" w:rsidRDefault="00D907AF" w:rsidP="00DA7DA5">
            <w:pPr>
              <w:spacing w:before="20" w:after="20"/>
              <w:ind w:right="284"/>
              <w:jc w:val="right"/>
              <w:rPr>
                <w:rFonts w:cstheme="minorHAnsi"/>
                <w:color w:val="000000"/>
                <w:sz w:val="20"/>
                <w:szCs w:val="20"/>
              </w:rPr>
            </w:pPr>
            <w:r w:rsidRPr="00177572">
              <w:rPr>
                <w:rFonts w:cstheme="minorHAnsi"/>
                <w:color w:val="000000"/>
                <w:sz w:val="20"/>
                <w:szCs w:val="20"/>
              </w:rPr>
              <w:t>4</w:t>
            </w:r>
          </w:p>
        </w:tc>
        <w:tc>
          <w:tcPr>
            <w:tcW w:w="1162" w:type="dxa"/>
          </w:tcPr>
          <w:p w:rsidR="00D907AF" w:rsidRPr="00177572" w:rsidRDefault="00D907AF" w:rsidP="00DA7DA5">
            <w:pPr>
              <w:spacing w:before="20" w:after="20"/>
              <w:ind w:right="284"/>
              <w:jc w:val="right"/>
              <w:rPr>
                <w:rFonts w:cstheme="minorHAnsi"/>
                <w:color w:val="000000"/>
                <w:sz w:val="20"/>
                <w:szCs w:val="20"/>
              </w:rPr>
            </w:pPr>
            <w:r w:rsidRPr="00177572">
              <w:rPr>
                <w:rFonts w:cstheme="minorHAnsi"/>
                <w:color w:val="000000"/>
                <w:sz w:val="20"/>
                <w:szCs w:val="20"/>
              </w:rPr>
              <w:t>0.4</w:t>
            </w:r>
          </w:p>
        </w:tc>
        <w:tc>
          <w:tcPr>
            <w:tcW w:w="726" w:type="dxa"/>
          </w:tcPr>
          <w:p w:rsidR="00D907AF" w:rsidRPr="00177572" w:rsidRDefault="00D907AF" w:rsidP="00D907AF">
            <w:pPr>
              <w:spacing w:before="20" w:after="20"/>
              <w:jc w:val="right"/>
              <w:rPr>
                <w:rFonts w:cstheme="minorHAnsi"/>
                <w:color w:val="000000"/>
                <w:sz w:val="20"/>
                <w:szCs w:val="20"/>
              </w:rPr>
            </w:pPr>
            <w:r w:rsidRPr="00177572">
              <w:rPr>
                <w:rFonts w:cstheme="minorHAnsi"/>
                <w:color w:val="000000"/>
                <w:sz w:val="20"/>
                <w:szCs w:val="20"/>
              </w:rPr>
              <w:t>5</w:t>
            </w:r>
          </w:p>
        </w:tc>
        <w:tc>
          <w:tcPr>
            <w:tcW w:w="726" w:type="dxa"/>
          </w:tcPr>
          <w:p w:rsidR="00D907AF" w:rsidRPr="00177572" w:rsidRDefault="00D907AF" w:rsidP="00D907AF">
            <w:pPr>
              <w:tabs>
                <w:tab w:val="decimal" w:pos="341"/>
              </w:tabs>
              <w:spacing w:before="20" w:after="20"/>
              <w:jc w:val="right"/>
              <w:rPr>
                <w:rFonts w:cstheme="minorHAnsi"/>
                <w:color w:val="000000"/>
                <w:sz w:val="20"/>
                <w:szCs w:val="20"/>
              </w:rPr>
            </w:pPr>
            <w:r w:rsidRPr="00177572">
              <w:rPr>
                <w:rFonts w:cstheme="minorHAnsi"/>
                <w:color w:val="000000"/>
                <w:sz w:val="20"/>
                <w:szCs w:val="20"/>
              </w:rPr>
              <w:t>0.3</w:t>
            </w:r>
          </w:p>
        </w:tc>
      </w:tr>
      <w:tr w:rsidR="00D907AF" w:rsidRPr="00177572" w:rsidTr="00EE03FE">
        <w:trPr>
          <w:cantSplit/>
          <w:trHeight w:val="283"/>
        </w:trPr>
        <w:tc>
          <w:tcPr>
            <w:tcW w:w="3740" w:type="dxa"/>
            <w:tcBorders>
              <w:bottom w:val="single" w:sz="4" w:space="0" w:color="auto"/>
            </w:tcBorders>
            <w:shd w:val="clear" w:color="auto" w:fill="auto"/>
          </w:tcPr>
          <w:p w:rsidR="00D907AF" w:rsidRPr="00177572" w:rsidRDefault="00D907AF" w:rsidP="00D907AF">
            <w:pPr>
              <w:spacing w:before="20" w:after="20"/>
              <w:rPr>
                <w:rFonts w:cstheme="minorHAnsi"/>
                <w:sz w:val="20"/>
                <w:szCs w:val="20"/>
              </w:rPr>
            </w:pPr>
            <w:r w:rsidRPr="00177572">
              <w:rPr>
                <w:rFonts w:cstheme="minorHAnsi"/>
                <w:sz w:val="20"/>
                <w:szCs w:val="20"/>
              </w:rPr>
              <w:t>Missing</w:t>
            </w:r>
          </w:p>
        </w:tc>
        <w:tc>
          <w:tcPr>
            <w:tcW w:w="872" w:type="dxa"/>
            <w:tcBorders>
              <w:bottom w:val="single" w:sz="4" w:space="0" w:color="auto"/>
            </w:tcBorders>
            <w:shd w:val="clear" w:color="auto" w:fill="auto"/>
            <w:vAlign w:val="center"/>
          </w:tcPr>
          <w:p w:rsidR="00D907AF" w:rsidRPr="00177572" w:rsidRDefault="00D907AF" w:rsidP="00EF7AC4">
            <w:pPr>
              <w:spacing w:before="20" w:after="20"/>
              <w:ind w:left="386" w:right="170" w:hanging="386"/>
              <w:jc w:val="right"/>
              <w:rPr>
                <w:rFonts w:cstheme="minorHAnsi"/>
                <w:color w:val="000000"/>
                <w:sz w:val="20"/>
                <w:szCs w:val="20"/>
              </w:rPr>
            </w:pPr>
            <w:r w:rsidRPr="00177572">
              <w:rPr>
                <w:rFonts w:cstheme="minorHAnsi"/>
                <w:color w:val="000000"/>
                <w:sz w:val="20"/>
                <w:szCs w:val="20"/>
              </w:rPr>
              <w:t>3</w:t>
            </w:r>
          </w:p>
        </w:tc>
        <w:tc>
          <w:tcPr>
            <w:tcW w:w="898" w:type="dxa"/>
            <w:tcBorders>
              <w:bottom w:val="single" w:sz="4" w:space="0" w:color="auto"/>
            </w:tcBorders>
            <w:shd w:val="clear" w:color="auto" w:fill="auto"/>
            <w:vAlign w:val="center"/>
          </w:tcPr>
          <w:p w:rsidR="00D907AF" w:rsidRPr="00177572" w:rsidRDefault="00D907AF" w:rsidP="00EF7AC4">
            <w:pPr>
              <w:spacing w:before="20" w:after="20"/>
              <w:ind w:right="170"/>
              <w:jc w:val="right"/>
              <w:rPr>
                <w:rFonts w:cstheme="minorHAnsi"/>
                <w:color w:val="000000"/>
                <w:sz w:val="20"/>
                <w:szCs w:val="20"/>
              </w:rPr>
            </w:pPr>
            <w:r w:rsidRPr="00177572">
              <w:rPr>
                <w:rFonts w:cstheme="minorHAnsi"/>
                <w:color w:val="000000"/>
                <w:sz w:val="20"/>
                <w:szCs w:val="20"/>
              </w:rPr>
              <w:t>0.3</w:t>
            </w:r>
          </w:p>
        </w:tc>
        <w:tc>
          <w:tcPr>
            <w:tcW w:w="1162" w:type="dxa"/>
            <w:tcBorders>
              <w:bottom w:val="single" w:sz="4" w:space="0" w:color="auto"/>
            </w:tcBorders>
            <w:shd w:val="clear" w:color="auto" w:fill="auto"/>
            <w:vAlign w:val="center"/>
          </w:tcPr>
          <w:p w:rsidR="00D907AF" w:rsidRPr="00177572" w:rsidRDefault="00D907AF" w:rsidP="00DA7DA5">
            <w:pPr>
              <w:spacing w:before="20" w:after="20"/>
              <w:ind w:right="284"/>
              <w:jc w:val="right"/>
              <w:rPr>
                <w:rFonts w:cstheme="minorHAnsi"/>
                <w:color w:val="000000"/>
                <w:sz w:val="20"/>
                <w:szCs w:val="20"/>
              </w:rPr>
            </w:pPr>
            <w:r w:rsidRPr="00177572">
              <w:rPr>
                <w:rFonts w:cstheme="minorHAnsi"/>
                <w:color w:val="000000"/>
                <w:sz w:val="20"/>
                <w:szCs w:val="20"/>
              </w:rPr>
              <w:t>7</w:t>
            </w:r>
          </w:p>
        </w:tc>
        <w:tc>
          <w:tcPr>
            <w:tcW w:w="1162" w:type="dxa"/>
            <w:tcBorders>
              <w:bottom w:val="single" w:sz="4" w:space="0" w:color="auto"/>
            </w:tcBorders>
            <w:shd w:val="clear" w:color="auto" w:fill="auto"/>
            <w:vAlign w:val="center"/>
          </w:tcPr>
          <w:p w:rsidR="00D907AF" w:rsidRPr="00177572" w:rsidRDefault="00D907AF" w:rsidP="00DA7DA5">
            <w:pPr>
              <w:spacing w:before="20" w:after="20"/>
              <w:ind w:right="284"/>
              <w:jc w:val="right"/>
              <w:rPr>
                <w:rFonts w:cstheme="minorHAnsi"/>
                <w:color w:val="000000"/>
                <w:sz w:val="20"/>
                <w:szCs w:val="20"/>
              </w:rPr>
            </w:pPr>
            <w:r w:rsidRPr="00177572">
              <w:rPr>
                <w:rFonts w:cstheme="minorHAnsi"/>
                <w:color w:val="000000"/>
                <w:sz w:val="20"/>
                <w:szCs w:val="20"/>
              </w:rPr>
              <w:t>0.7</w:t>
            </w:r>
          </w:p>
        </w:tc>
        <w:tc>
          <w:tcPr>
            <w:tcW w:w="726" w:type="dxa"/>
            <w:tcBorders>
              <w:bottom w:val="single" w:sz="4" w:space="0" w:color="auto"/>
            </w:tcBorders>
            <w:shd w:val="clear" w:color="auto" w:fill="auto"/>
            <w:vAlign w:val="center"/>
          </w:tcPr>
          <w:p w:rsidR="00D907AF" w:rsidRPr="00177572" w:rsidRDefault="00D907AF" w:rsidP="00D907AF">
            <w:pPr>
              <w:spacing w:before="20" w:after="20"/>
              <w:jc w:val="right"/>
              <w:rPr>
                <w:rFonts w:cstheme="minorHAnsi"/>
                <w:color w:val="000000"/>
                <w:sz w:val="20"/>
                <w:szCs w:val="20"/>
              </w:rPr>
            </w:pPr>
            <w:r w:rsidRPr="00177572">
              <w:rPr>
                <w:rFonts w:cstheme="minorHAnsi"/>
                <w:color w:val="000000"/>
                <w:sz w:val="20"/>
                <w:szCs w:val="20"/>
              </w:rPr>
              <w:t>10</w:t>
            </w:r>
          </w:p>
        </w:tc>
        <w:tc>
          <w:tcPr>
            <w:tcW w:w="726" w:type="dxa"/>
            <w:tcBorders>
              <w:bottom w:val="single" w:sz="4" w:space="0" w:color="auto"/>
            </w:tcBorders>
            <w:shd w:val="clear" w:color="auto" w:fill="auto"/>
            <w:vAlign w:val="center"/>
          </w:tcPr>
          <w:p w:rsidR="00D907AF" w:rsidRPr="00177572" w:rsidRDefault="00D907AF" w:rsidP="00D907AF">
            <w:pPr>
              <w:tabs>
                <w:tab w:val="decimal" w:pos="341"/>
              </w:tabs>
              <w:spacing w:before="20" w:after="20"/>
              <w:jc w:val="right"/>
              <w:rPr>
                <w:rFonts w:cstheme="minorHAnsi"/>
                <w:color w:val="000000"/>
                <w:sz w:val="20"/>
                <w:szCs w:val="20"/>
              </w:rPr>
            </w:pPr>
            <w:r w:rsidRPr="00177572">
              <w:rPr>
                <w:rFonts w:cstheme="minorHAnsi"/>
                <w:color w:val="000000"/>
                <w:sz w:val="20"/>
                <w:szCs w:val="20"/>
              </w:rPr>
              <w:t>0.5</w:t>
            </w:r>
          </w:p>
        </w:tc>
      </w:tr>
      <w:tr w:rsidR="00D907AF" w:rsidRPr="00177572" w:rsidTr="00EE03FE">
        <w:trPr>
          <w:cantSplit/>
          <w:trHeight w:val="283"/>
        </w:trPr>
        <w:tc>
          <w:tcPr>
            <w:tcW w:w="3740" w:type="dxa"/>
            <w:tcBorders>
              <w:top w:val="single" w:sz="4" w:space="0" w:color="auto"/>
              <w:bottom w:val="single" w:sz="4" w:space="0" w:color="auto"/>
            </w:tcBorders>
            <w:shd w:val="clear" w:color="auto" w:fill="auto"/>
          </w:tcPr>
          <w:p w:rsidR="00D907AF" w:rsidRPr="00177572" w:rsidRDefault="00D907AF" w:rsidP="00D907AF">
            <w:pPr>
              <w:spacing w:before="20" w:after="20"/>
              <w:rPr>
                <w:rFonts w:cstheme="minorHAnsi"/>
                <w:b/>
                <w:sz w:val="20"/>
                <w:szCs w:val="20"/>
              </w:rPr>
            </w:pPr>
            <w:r w:rsidRPr="00177572">
              <w:rPr>
                <w:rFonts w:cstheme="minorHAnsi"/>
                <w:b/>
                <w:sz w:val="20"/>
                <w:szCs w:val="20"/>
              </w:rPr>
              <w:t>Total</w:t>
            </w:r>
          </w:p>
        </w:tc>
        <w:tc>
          <w:tcPr>
            <w:tcW w:w="872" w:type="dxa"/>
            <w:tcBorders>
              <w:top w:val="single" w:sz="4" w:space="0" w:color="auto"/>
              <w:bottom w:val="single" w:sz="4" w:space="0" w:color="auto"/>
            </w:tcBorders>
            <w:shd w:val="clear" w:color="auto" w:fill="auto"/>
          </w:tcPr>
          <w:p w:rsidR="00D907AF" w:rsidRPr="00177572" w:rsidRDefault="00D907AF" w:rsidP="00EF7AC4">
            <w:pPr>
              <w:spacing w:before="20" w:after="20"/>
              <w:ind w:left="386" w:right="170" w:hanging="386"/>
              <w:jc w:val="right"/>
              <w:rPr>
                <w:rFonts w:cstheme="minorHAnsi"/>
                <w:b/>
                <w:sz w:val="20"/>
                <w:szCs w:val="20"/>
              </w:rPr>
            </w:pPr>
            <w:r w:rsidRPr="00177572">
              <w:rPr>
                <w:rFonts w:cstheme="minorHAnsi"/>
                <w:b/>
                <w:sz w:val="20"/>
                <w:szCs w:val="20"/>
              </w:rPr>
              <w:t>891</w:t>
            </w:r>
          </w:p>
        </w:tc>
        <w:tc>
          <w:tcPr>
            <w:tcW w:w="898" w:type="dxa"/>
            <w:tcBorders>
              <w:top w:val="single" w:sz="4" w:space="0" w:color="auto"/>
              <w:bottom w:val="single" w:sz="4" w:space="0" w:color="auto"/>
            </w:tcBorders>
            <w:shd w:val="clear" w:color="auto" w:fill="auto"/>
          </w:tcPr>
          <w:p w:rsidR="00D907AF" w:rsidRPr="00177572" w:rsidRDefault="00D907AF" w:rsidP="00EF7AC4">
            <w:pPr>
              <w:spacing w:before="20" w:after="20"/>
              <w:ind w:right="170"/>
              <w:jc w:val="right"/>
              <w:rPr>
                <w:rFonts w:cstheme="minorHAnsi"/>
                <w:b/>
                <w:sz w:val="20"/>
                <w:szCs w:val="20"/>
              </w:rPr>
            </w:pPr>
            <w:r w:rsidRPr="00177572">
              <w:rPr>
                <w:rFonts w:cstheme="minorHAnsi"/>
                <w:b/>
                <w:sz w:val="20"/>
                <w:szCs w:val="20"/>
              </w:rPr>
              <w:t>100</w:t>
            </w:r>
          </w:p>
        </w:tc>
        <w:tc>
          <w:tcPr>
            <w:tcW w:w="1162" w:type="dxa"/>
            <w:tcBorders>
              <w:top w:val="single" w:sz="4" w:space="0" w:color="auto"/>
              <w:bottom w:val="single" w:sz="4" w:space="0" w:color="auto"/>
            </w:tcBorders>
            <w:shd w:val="clear" w:color="auto" w:fill="auto"/>
          </w:tcPr>
          <w:p w:rsidR="00D907AF" w:rsidRPr="00177572" w:rsidRDefault="00D907AF" w:rsidP="00DA7DA5">
            <w:pPr>
              <w:spacing w:before="20" w:after="20"/>
              <w:ind w:right="284"/>
              <w:jc w:val="right"/>
              <w:rPr>
                <w:rFonts w:cstheme="minorHAnsi"/>
                <w:b/>
                <w:sz w:val="20"/>
                <w:szCs w:val="20"/>
              </w:rPr>
            </w:pPr>
            <w:r w:rsidRPr="00177572">
              <w:rPr>
                <w:rFonts w:cstheme="minorHAnsi"/>
                <w:b/>
                <w:sz w:val="20"/>
                <w:szCs w:val="20"/>
              </w:rPr>
              <w:t>1</w:t>
            </w:r>
            <w:r>
              <w:rPr>
                <w:rFonts w:cstheme="minorHAnsi"/>
                <w:b/>
                <w:sz w:val="20"/>
                <w:szCs w:val="20"/>
              </w:rPr>
              <w:t>,</w:t>
            </w:r>
            <w:r w:rsidRPr="00177572">
              <w:rPr>
                <w:rFonts w:cstheme="minorHAnsi"/>
                <w:b/>
                <w:sz w:val="20"/>
                <w:szCs w:val="20"/>
              </w:rPr>
              <w:t>004</w:t>
            </w:r>
          </w:p>
        </w:tc>
        <w:tc>
          <w:tcPr>
            <w:tcW w:w="1162" w:type="dxa"/>
            <w:tcBorders>
              <w:top w:val="single" w:sz="4" w:space="0" w:color="auto"/>
              <w:bottom w:val="single" w:sz="4" w:space="0" w:color="auto"/>
            </w:tcBorders>
            <w:shd w:val="clear" w:color="auto" w:fill="auto"/>
          </w:tcPr>
          <w:p w:rsidR="00D907AF" w:rsidRPr="00177572" w:rsidRDefault="00D907AF" w:rsidP="00DA7DA5">
            <w:pPr>
              <w:spacing w:before="20" w:after="20"/>
              <w:ind w:right="284"/>
              <w:jc w:val="right"/>
              <w:rPr>
                <w:rFonts w:cstheme="minorHAnsi"/>
                <w:b/>
                <w:sz w:val="20"/>
                <w:szCs w:val="20"/>
              </w:rPr>
            </w:pPr>
            <w:r w:rsidRPr="00177572">
              <w:rPr>
                <w:rFonts w:cstheme="minorHAnsi"/>
                <w:b/>
                <w:sz w:val="20"/>
                <w:szCs w:val="20"/>
              </w:rPr>
              <w:t>100</w:t>
            </w:r>
          </w:p>
        </w:tc>
        <w:tc>
          <w:tcPr>
            <w:tcW w:w="726" w:type="dxa"/>
            <w:tcBorders>
              <w:top w:val="single" w:sz="4" w:space="0" w:color="auto"/>
              <w:bottom w:val="single" w:sz="4" w:space="0" w:color="auto"/>
            </w:tcBorders>
            <w:shd w:val="clear" w:color="auto" w:fill="auto"/>
          </w:tcPr>
          <w:p w:rsidR="00D907AF" w:rsidRPr="00177572" w:rsidRDefault="00D907AF" w:rsidP="00EF7AC4">
            <w:pPr>
              <w:spacing w:before="20" w:after="20"/>
              <w:jc w:val="right"/>
              <w:rPr>
                <w:rFonts w:cstheme="minorHAnsi"/>
                <w:b/>
                <w:sz w:val="20"/>
                <w:szCs w:val="20"/>
              </w:rPr>
            </w:pPr>
            <w:r w:rsidRPr="00177572">
              <w:rPr>
                <w:rFonts w:cstheme="minorHAnsi"/>
                <w:b/>
                <w:sz w:val="20"/>
                <w:szCs w:val="20"/>
              </w:rPr>
              <w:t>1</w:t>
            </w:r>
            <w:r>
              <w:rPr>
                <w:rFonts w:cstheme="minorHAnsi"/>
                <w:b/>
                <w:sz w:val="20"/>
                <w:szCs w:val="20"/>
              </w:rPr>
              <w:t>,</w:t>
            </w:r>
            <w:r w:rsidRPr="00177572">
              <w:rPr>
                <w:rFonts w:cstheme="minorHAnsi"/>
                <w:b/>
                <w:sz w:val="20"/>
                <w:szCs w:val="20"/>
              </w:rPr>
              <w:t>895</w:t>
            </w:r>
          </w:p>
        </w:tc>
        <w:tc>
          <w:tcPr>
            <w:tcW w:w="726" w:type="dxa"/>
            <w:tcBorders>
              <w:top w:val="single" w:sz="4" w:space="0" w:color="auto"/>
              <w:bottom w:val="single" w:sz="4" w:space="0" w:color="auto"/>
            </w:tcBorders>
            <w:shd w:val="clear" w:color="auto" w:fill="auto"/>
          </w:tcPr>
          <w:p w:rsidR="00D907AF" w:rsidRPr="00177572" w:rsidRDefault="00D907AF" w:rsidP="00EF7AC4">
            <w:pPr>
              <w:spacing w:before="20" w:after="20"/>
              <w:jc w:val="right"/>
              <w:rPr>
                <w:rFonts w:cstheme="minorHAnsi"/>
                <w:b/>
                <w:sz w:val="20"/>
                <w:szCs w:val="20"/>
              </w:rPr>
            </w:pPr>
            <w:r w:rsidRPr="00177572">
              <w:rPr>
                <w:rFonts w:cstheme="minorHAnsi"/>
                <w:b/>
                <w:sz w:val="20"/>
                <w:szCs w:val="20"/>
              </w:rPr>
              <w:t>100</w:t>
            </w:r>
          </w:p>
        </w:tc>
      </w:tr>
    </w:tbl>
    <w:p w:rsidR="00D907AF" w:rsidRPr="00B01305" w:rsidRDefault="00D907AF" w:rsidP="00BC69BF">
      <w:pPr>
        <w:pStyle w:val="NILSReference"/>
      </w:pPr>
      <w:r w:rsidRPr="00B01305">
        <w:t xml:space="preserve">Note: </w:t>
      </w:r>
      <w:r>
        <w:t>trial and comparison all ages.</w:t>
      </w:r>
    </w:p>
    <w:p w:rsidR="005B2D5F" w:rsidRDefault="005B2D5F" w:rsidP="00D907AF"/>
    <w:p w:rsidR="00A42A8F" w:rsidRDefault="00D907AF" w:rsidP="00D907AF">
      <w:r>
        <w:t>Table 3.13</w:t>
      </w:r>
      <w:r w:rsidRPr="00FB5385">
        <w:t xml:space="preserve"> shows that about 2</w:t>
      </w:r>
      <w:r w:rsidRPr="00FB5385">
        <w:rPr>
          <w:rFonts w:hint="eastAsia"/>
        </w:rPr>
        <w:t>3</w:t>
      </w:r>
      <w:r>
        <w:t xml:space="preserve"> per cent</w:t>
      </w:r>
      <w:r w:rsidRPr="00FB5385">
        <w:t xml:space="preserve"> of respondents </w:t>
      </w:r>
      <w:r>
        <w:t xml:space="preserve">reported </w:t>
      </w:r>
      <w:r w:rsidRPr="00FB5385">
        <w:t>liv</w:t>
      </w:r>
      <w:r>
        <w:t>ing</w:t>
      </w:r>
      <w:r w:rsidRPr="00FB5385">
        <w:t xml:space="preserve"> in accommodation that is owned outright, </w:t>
      </w:r>
      <w:r w:rsidRPr="00FB5385">
        <w:rPr>
          <w:rFonts w:hint="eastAsia"/>
        </w:rPr>
        <w:t>40</w:t>
      </w:r>
      <w:r>
        <w:t xml:space="preserve"> per cent</w:t>
      </w:r>
      <w:r w:rsidRPr="00FB5385">
        <w:t xml:space="preserve"> in mortgaged accommodation and </w:t>
      </w:r>
      <w:r w:rsidRPr="00FB5385">
        <w:rPr>
          <w:rFonts w:hint="eastAsia"/>
        </w:rPr>
        <w:t>32</w:t>
      </w:r>
      <w:r>
        <w:t xml:space="preserve"> per cent</w:t>
      </w:r>
      <w:r w:rsidRPr="00FB5385">
        <w:t xml:space="preserve"> in accommodation where rent</w:t>
      </w:r>
      <w:r>
        <w:t xml:space="preserve"> or board is paid</w:t>
      </w:r>
      <w:r w:rsidRPr="00FB5385">
        <w:t>.</w:t>
      </w:r>
    </w:p>
    <w:p w:rsidR="00D907AF" w:rsidRPr="009059CF" w:rsidRDefault="00D907AF" w:rsidP="0044684E">
      <w:pPr>
        <w:pStyle w:val="NILSTableHeading"/>
      </w:pPr>
      <w:bookmarkStart w:id="219" w:name="_Toc428280664"/>
      <w:bookmarkStart w:id="220" w:name="_Toc449955275"/>
      <w:r w:rsidRPr="009059CF">
        <w:lastRenderedPageBreak/>
        <w:t>Table 3.</w:t>
      </w:r>
      <w:r>
        <w:t>13</w:t>
      </w:r>
      <w:r w:rsidRPr="009059CF">
        <w:t>: Home ownership</w:t>
      </w:r>
      <w:bookmarkEnd w:id="219"/>
      <w:bookmarkEnd w:id="220"/>
    </w:p>
    <w:tbl>
      <w:tblPr>
        <w:tblStyle w:val="TableGrid"/>
        <w:tblW w:w="0" w:type="auto"/>
        <w:tblLayout w:type="fixed"/>
        <w:tblLook w:val="04A0" w:firstRow="1" w:lastRow="0" w:firstColumn="1" w:lastColumn="0" w:noHBand="0" w:noVBand="1"/>
        <w:tblCaption w:val="Table 3.13 Home ownership"/>
      </w:tblPr>
      <w:tblGrid>
        <w:gridCol w:w="2947"/>
        <w:gridCol w:w="854"/>
        <w:gridCol w:w="678"/>
        <w:gridCol w:w="1194"/>
        <w:gridCol w:w="1194"/>
        <w:gridCol w:w="896"/>
        <w:gridCol w:w="992"/>
      </w:tblGrid>
      <w:tr w:rsidR="00D907AF" w:rsidRPr="00177572" w:rsidTr="00D708F1">
        <w:trPr>
          <w:cantSplit/>
          <w:tblHeader/>
        </w:trPr>
        <w:tc>
          <w:tcPr>
            <w:tcW w:w="2947" w:type="dxa"/>
            <w:tcBorders>
              <w:top w:val="single" w:sz="4" w:space="0" w:color="auto"/>
              <w:bottom w:val="single" w:sz="4" w:space="0" w:color="auto"/>
            </w:tcBorders>
            <w:shd w:val="clear" w:color="auto" w:fill="auto"/>
          </w:tcPr>
          <w:p w:rsidR="00D907AF" w:rsidRPr="00177572" w:rsidRDefault="00D907AF" w:rsidP="00D907AF">
            <w:pPr>
              <w:spacing w:before="20" w:after="20"/>
              <w:rPr>
                <w:rFonts w:cstheme="minorHAnsi"/>
                <w:sz w:val="20"/>
                <w:szCs w:val="20"/>
              </w:rPr>
            </w:pPr>
            <w:bookmarkStart w:id="221" w:name="Title_3_13"/>
            <w:bookmarkEnd w:id="221"/>
          </w:p>
        </w:tc>
        <w:tc>
          <w:tcPr>
            <w:tcW w:w="854" w:type="dxa"/>
            <w:tcBorders>
              <w:top w:val="single" w:sz="4" w:space="0" w:color="auto"/>
              <w:bottom w:val="single" w:sz="4" w:space="0" w:color="auto"/>
            </w:tcBorders>
            <w:shd w:val="clear" w:color="auto" w:fill="auto"/>
          </w:tcPr>
          <w:p w:rsidR="00D907AF" w:rsidRPr="00177572" w:rsidRDefault="00A42A8F" w:rsidP="00D907AF">
            <w:pPr>
              <w:spacing w:before="20" w:after="20"/>
              <w:jc w:val="center"/>
              <w:rPr>
                <w:rFonts w:cstheme="minorHAnsi"/>
                <w:sz w:val="20"/>
                <w:szCs w:val="20"/>
              </w:rPr>
            </w:pPr>
            <w:r w:rsidRPr="00177572">
              <w:rPr>
                <w:rFonts w:cstheme="minorHAnsi"/>
                <w:sz w:val="20"/>
                <w:szCs w:val="20"/>
              </w:rPr>
              <w:t xml:space="preserve">Trial </w:t>
            </w:r>
            <w:r w:rsidR="00D907AF" w:rsidRPr="00177572">
              <w:rPr>
                <w:rFonts w:cstheme="minorHAnsi"/>
                <w:sz w:val="20"/>
                <w:szCs w:val="20"/>
              </w:rPr>
              <w:t>Cases</w:t>
            </w:r>
          </w:p>
        </w:tc>
        <w:tc>
          <w:tcPr>
            <w:tcW w:w="678" w:type="dxa"/>
            <w:tcBorders>
              <w:top w:val="single" w:sz="4" w:space="0" w:color="auto"/>
              <w:bottom w:val="single" w:sz="4" w:space="0" w:color="auto"/>
            </w:tcBorders>
            <w:shd w:val="clear" w:color="auto" w:fill="auto"/>
          </w:tcPr>
          <w:p w:rsidR="00D907AF" w:rsidRPr="00177572" w:rsidRDefault="00A42A8F" w:rsidP="00D907AF">
            <w:pPr>
              <w:spacing w:before="20" w:after="20"/>
              <w:jc w:val="center"/>
              <w:rPr>
                <w:rFonts w:cstheme="minorHAnsi"/>
                <w:sz w:val="20"/>
                <w:szCs w:val="20"/>
              </w:rPr>
            </w:pPr>
            <w:r>
              <w:rPr>
                <w:rFonts w:cstheme="minorHAnsi"/>
                <w:sz w:val="20"/>
                <w:szCs w:val="20"/>
              </w:rPr>
              <w:t xml:space="preserve">Trial </w:t>
            </w:r>
            <w:r w:rsidR="00D907AF" w:rsidRPr="00177572">
              <w:rPr>
                <w:rFonts w:cstheme="minorHAnsi"/>
                <w:sz w:val="20"/>
                <w:szCs w:val="20"/>
              </w:rPr>
              <w:t>%</w:t>
            </w:r>
          </w:p>
        </w:tc>
        <w:tc>
          <w:tcPr>
            <w:tcW w:w="1194" w:type="dxa"/>
            <w:tcBorders>
              <w:top w:val="single" w:sz="4" w:space="0" w:color="auto"/>
              <w:bottom w:val="single" w:sz="4" w:space="0" w:color="auto"/>
            </w:tcBorders>
            <w:shd w:val="clear" w:color="auto" w:fill="auto"/>
          </w:tcPr>
          <w:p w:rsidR="00D907AF" w:rsidRPr="00177572" w:rsidRDefault="00A42A8F" w:rsidP="00D907AF">
            <w:pPr>
              <w:spacing w:before="20" w:after="20"/>
              <w:jc w:val="center"/>
              <w:rPr>
                <w:rFonts w:cstheme="minorHAnsi"/>
                <w:sz w:val="20"/>
                <w:szCs w:val="20"/>
              </w:rPr>
            </w:pPr>
            <w:r w:rsidRPr="00177572">
              <w:rPr>
                <w:rFonts w:cstheme="minorHAnsi"/>
                <w:sz w:val="20"/>
                <w:szCs w:val="20"/>
              </w:rPr>
              <w:t xml:space="preserve">Comparison </w:t>
            </w:r>
            <w:r w:rsidR="00D907AF" w:rsidRPr="00177572">
              <w:rPr>
                <w:rFonts w:cstheme="minorHAnsi"/>
                <w:sz w:val="20"/>
                <w:szCs w:val="20"/>
              </w:rPr>
              <w:t>Cases</w:t>
            </w:r>
          </w:p>
        </w:tc>
        <w:tc>
          <w:tcPr>
            <w:tcW w:w="1194" w:type="dxa"/>
            <w:tcBorders>
              <w:top w:val="single" w:sz="4" w:space="0" w:color="auto"/>
              <w:bottom w:val="single" w:sz="4" w:space="0" w:color="auto"/>
            </w:tcBorders>
            <w:shd w:val="clear" w:color="auto" w:fill="auto"/>
          </w:tcPr>
          <w:p w:rsidR="00D907AF" w:rsidRPr="00177572" w:rsidRDefault="00A42A8F" w:rsidP="00D907AF">
            <w:pPr>
              <w:spacing w:before="20" w:after="20"/>
              <w:jc w:val="center"/>
              <w:rPr>
                <w:rFonts w:cstheme="minorHAnsi"/>
                <w:sz w:val="20"/>
                <w:szCs w:val="20"/>
              </w:rPr>
            </w:pPr>
            <w:r>
              <w:rPr>
                <w:rFonts w:cstheme="minorHAnsi"/>
                <w:sz w:val="20"/>
                <w:szCs w:val="20"/>
              </w:rPr>
              <w:t xml:space="preserve">Comparison </w:t>
            </w:r>
            <w:r w:rsidR="00D907AF" w:rsidRPr="00177572">
              <w:rPr>
                <w:rFonts w:cstheme="minorHAnsi"/>
                <w:sz w:val="20"/>
                <w:szCs w:val="20"/>
              </w:rPr>
              <w:t>%</w:t>
            </w:r>
          </w:p>
        </w:tc>
        <w:tc>
          <w:tcPr>
            <w:tcW w:w="896" w:type="dxa"/>
            <w:tcBorders>
              <w:top w:val="single" w:sz="4" w:space="0" w:color="auto"/>
              <w:bottom w:val="single" w:sz="4" w:space="0" w:color="auto"/>
            </w:tcBorders>
            <w:shd w:val="clear" w:color="auto" w:fill="auto"/>
          </w:tcPr>
          <w:p w:rsidR="00D907AF" w:rsidRPr="00177572" w:rsidRDefault="00A42A8F" w:rsidP="00D907AF">
            <w:pPr>
              <w:spacing w:before="20" w:after="20"/>
              <w:jc w:val="center"/>
              <w:rPr>
                <w:rFonts w:cstheme="minorHAnsi"/>
                <w:sz w:val="20"/>
                <w:szCs w:val="20"/>
              </w:rPr>
            </w:pPr>
            <w:r>
              <w:rPr>
                <w:rFonts w:cstheme="minorHAnsi"/>
                <w:sz w:val="20"/>
                <w:szCs w:val="20"/>
              </w:rPr>
              <w:t xml:space="preserve">Total </w:t>
            </w:r>
            <w:r w:rsidR="00D907AF" w:rsidRPr="00177572">
              <w:rPr>
                <w:rFonts w:cstheme="minorHAnsi"/>
                <w:sz w:val="20"/>
                <w:szCs w:val="20"/>
              </w:rPr>
              <w:t>Cases</w:t>
            </w:r>
          </w:p>
        </w:tc>
        <w:tc>
          <w:tcPr>
            <w:tcW w:w="992" w:type="dxa"/>
            <w:tcBorders>
              <w:top w:val="single" w:sz="4" w:space="0" w:color="auto"/>
              <w:bottom w:val="single" w:sz="4" w:space="0" w:color="auto"/>
            </w:tcBorders>
            <w:shd w:val="clear" w:color="auto" w:fill="auto"/>
          </w:tcPr>
          <w:p w:rsidR="008A763F" w:rsidRDefault="00A42A8F" w:rsidP="00D907AF">
            <w:pPr>
              <w:spacing w:before="20" w:after="20"/>
              <w:jc w:val="center"/>
              <w:rPr>
                <w:rFonts w:cstheme="minorHAnsi"/>
                <w:sz w:val="20"/>
                <w:szCs w:val="20"/>
              </w:rPr>
            </w:pPr>
            <w:r>
              <w:rPr>
                <w:rFonts w:cstheme="minorHAnsi"/>
                <w:sz w:val="20"/>
                <w:szCs w:val="20"/>
              </w:rPr>
              <w:t xml:space="preserve">Total </w:t>
            </w:r>
          </w:p>
          <w:p w:rsidR="00D907AF" w:rsidRPr="00177572" w:rsidRDefault="00D907AF" w:rsidP="00D907AF">
            <w:pPr>
              <w:spacing w:before="20" w:after="20"/>
              <w:jc w:val="center"/>
              <w:rPr>
                <w:rFonts w:cstheme="minorHAnsi"/>
                <w:sz w:val="20"/>
                <w:szCs w:val="20"/>
              </w:rPr>
            </w:pPr>
            <w:r w:rsidRPr="00177572">
              <w:rPr>
                <w:rFonts w:cstheme="minorHAnsi"/>
                <w:sz w:val="20"/>
                <w:szCs w:val="20"/>
              </w:rPr>
              <w:t>%</w:t>
            </w:r>
          </w:p>
        </w:tc>
      </w:tr>
      <w:tr w:rsidR="00D907AF" w:rsidRPr="00177572" w:rsidTr="00D708F1">
        <w:trPr>
          <w:cantSplit/>
          <w:trHeight w:val="283"/>
        </w:trPr>
        <w:tc>
          <w:tcPr>
            <w:tcW w:w="2947" w:type="dxa"/>
            <w:shd w:val="clear" w:color="auto" w:fill="auto"/>
          </w:tcPr>
          <w:p w:rsidR="00D907AF" w:rsidRPr="00177572" w:rsidRDefault="00D907AF" w:rsidP="00D907AF">
            <w:pPr>
              <w:spacing w:before="20" w:after="20"/>
              <w:rPr>
                <w:rFonts w:cstheme="minorHAnsi"/>
                <w:sz w:val="20"/>
                <w:szCs w:val="20"/>
              </w:rPr>
            </w:pPr>
            <w:r w:rsidRPr="00177572">
              <w:rPr>
                <w:rFonts w:cstheme="minorHAnsi"/>
                <w:sz w:val="20"/>
                <w:szCs w:val="20"/>
              </w:rPr>
              <w:t>Owned outright</w:t>
            </w:r>
          </w:p>
        </w:tc>
        <w:tc>
          <w:tcPr>
            <w:tcW w:w="854" w:type="dxa"/>
            <w:shd w:val="clear" w:color="auto" w:fill="auto"/>
            <w:vAlign w:val="center"/>
          </w:tcPr>
          <w:p w:rsidR="00D907AF" w:rsidRPr="00177572" w:rsidRDefault="00D907AF" w:rsidP="008A763F">
            <w:pPr>
              <w:spacing w:before="20" w:after="20"/>
              <w:ind w:right="170"/>
              <w:jc w:val="right"/>
              <w:rPr>
                <w:rFonts w:cstheme="minorHAnsi"/>
                <w:color w:val="000000"/>
                <w:sz w:val="20"/>
                <w:szCs w:val="20"/>
              </w:rPr>
            </w:pPr>
            <w:r w:rsidRPr="00177572">
              <w:rPr>
                <w:rFonts w:cstheme="minorHAnsi"/>
                <w:color w:val="000000"/>
                <w:sz w:val="20"/>
                <w:szCs w:val="20"/>
              </w:rPr>
              <w:t>189</w:t>
            </w:r>
          </w:p>
        </w:tc>
        <w:tc>
          <w:tcPr>
            <w:tcW w:w="678" w:type="dxa"/>
            <w:shd w:val="clear" w:color="auto" w:fill="auto"/>
            <w:vAlign w:val="center"/>
          </w:tcPr>
          <w:p w:rsidR="00D907AF" w:rsidRPr="00177572" w:rsidRDefault="00D907AF" w:rsidP="00D907AF">
            <w:pPr>
              <w:tabs>
                <w:tab w:val="decimal" w:pos="310"/>
              </w:tabs>
              <w:spacing w:before="20" w:after="20"/>
              <w:rPr>
                <w:rFonts w:cstheme="minorHAnsi"/>
                <w:color w:val="000000"/>
                <w:sz w:val="20"/>
                <w:szCs w:val="20"/>
              </w:rPr>
            </w:pPr>
            <w:r w:rsidRPr="00177572">
              <w:rPr>
                <w:rFonts w:cstheme="minorHAnsi"/>
                <w:color w:val="000000"/>
                <w:sz w:val="20"/>
                <w:szCs w:val="20"/>
              </w:rPr>
              <w:t>21.2</w:t>
            </w:r>
          </w:p>
        </w:tc>
        <w:tc>
          <w:tcPr>
            <w:tcW w:w="1194" w:type="dxa"/>
            <w:shd w:val="clear" w:color="auto" w:fill="auto"/>
            <w:vAlign w:val="center"/>
          </w:tcPr>
          <w:p w:rsidR="00D907AF" w:rsidRPr="00177572" w:rsidRDefault="00D907AF" w:rsidP="00EF7AC4">
            <w:pPr>
              <w:spacing w:before="20" w:after="20"/>
              <w:ind w:right="227"/>
              <w:jc w:val="right"/>
              <w:rPr>
                <w:rFonts w:cstheme="minorHAnsi"/>
                <w:color w:val="000000"/>
                <w:sz w:val="20"/>
                <w:szCs w:val="20"/>
              </w:rPr>
            </w:pPr>
            <w:r w:rsidRPr="00177572">
              <w:rPr>
                <w:rFonts w:cstheme="minorHAnsi"/>
                <w:color w:val="000000"/>
                <w:sz w:val="20"/>
                <w:szCs w:val="20"/>
              </w:rPr>
              <w:t>252</w:t>
            </w:r>
          </w:p>
        </w:tc>
        <w:tc>
          <w:tcPr>
            <w:tcW w:w="1194" w:type="dxa"/>
            <w:shd w:val="clear" w:color="auto" w:fill="auto"/>
            <w:vAlign w:val="center"/>
          </w:tcPr>
          <w:p w:rsidR="00D907AF" w:rsidRPr="00177572" w:rsidRDefault="00D907AF" w:rsidP="005560DF">
            <w:pPr>
              <w:spacing w:before="20" w:after="20"/>
              <w:ind w:right="284"/>
              <w:jc w:val="right"/>
              <w:rPr>
                <w:rFonts w:cstheme="minorHAnsi"/>
                <w:color w:val="000000"/>
                <w:sz w:val="20"/>
                <w:szCs w:val="20"/>
              </w:rPr>
            </w:pPr>
            <w:r w:rsidRPr="00177572">
              <w:rPr>
                <w:rFonts w:cstheme="minorHAnsi"/>
                <w:color w:val="000000"/>
                <w:sz w:val="20"/>
                <w:szCs w:val="20"/>
              </w:rPr>
              <w:t>25.1</w:t>
            </w:r>
          </w:p>
        </w:tc>
        <w:tc>
          <w:tcPr>
            <w:tcW w:w="896" w:type="dxa"/>
            <w:shd w:val="clear" w:color="auto" w:fill="auto"/>
            <w:vAlign w:val="center"/>
          </w:tcPr>
          <w:p w:rsidR="00D907AF" w:rsidRPr="00177572" w:rsidRDefault="00D907AF" w:rsidP="00D907AF">
            <w:pPr>
              <w:spacing w:before="20" w:after="20"/>
              <w:jc w:val="right"/>
              <w:rPr>
                <w:rFonts w:cstheme="minorHAnsi"/>
                <w:color w:val="000000"/>
                <w:sz w:val="20"/>
                <w:szCs w:val="20"/>
              </w:rPr>
            </w:pPr>
            <w:r w:rsidRPr="00177572">
              <w:rPr>
                <w:rFonts w:cstheme="minorHAnsi"/>
                <w:color w:val="000000"/>
                <w:sz w:val="20"/>
                <w:szCs w:val="20"/>
              </w:rPr>
              <w:t>441</w:t>
            </w:r>
          </w:p>
        </w:tc>
        <w:tc>
          <w:tcPr>
            <w:tcW w:w="992" w:type="dxa"/>
            <w:shd w:val="clear" w:color="auto" w:fill="auto"/>
            <w:vAlign w:val="center"/>
          </w:tcPr>
          <w:p w:rsidR="00D907AF" w:rsidRPr="00177572" w:rsidRDefault="00D907AF" w:rsidP="005560DF">
            <w:pPr>
              <w:spacing w:before="20" w:after="20"/>
              <w:ind w:right="170"/>
              <w:jc w:val="right"/>
              <w:rPr>
                <w:rFonts w:cstheme="minorHAnsi"/>
                <w:color w:val="000000"/>
                <w:sz w:val="20"/>
                <w:szCs w:val="20"/>
              </w:rPr>
            </w:pPr>
            <w:r w:rsidRPr="00177572">
              <w:rPr>
                <w:rFonts w:cstheme="minorHAnsi"/>
                <w:color w:val="000000"/>
                <w:sz w:val="20"/>
                <w:szCs w:val="20"/>
              </w:rPr>
              <w:t>23.3</w:t>
            </w:r>
          </w:p>
        </w:tc>
      </w:tr>
      <w:tr w:rsidR="00D907AF" w:rsidRPr="00177572" w:rsidTr="00D708F1">
        <w:trPr>
          <w:cantSplit/>
          <w:trHeight w:val="283"/>
        </w:trPr>
        <w:tc>
          <w:tcPr>
            <w:tcW w:w="2947" w:type="dxa"/>
            <w:shd w:val="clear" w:color="auto" w:fill="auto"/>
          </w:tcPr>
          <w:p w:rsidR="00D907AF" w:rsidRPr="00177572" w:rsidRDefault="00D907AF" w:rsidP="00D907AF">
            <w:pPr>
              <w:spacing w:before="20" w:after="20"/>
              <w:rPr>
                <w:rFonts w:cstheme="minorHAnsi"/>
                <w:sz w:val="20"/>
                <w:szCs w:val="20"/>
              </w:rPr>
            </w:pPr>
            <w:r w:rsidRPr="00177572">
              <w:rPr>
                <w:rFonts w:cstheme="minorHAnsi"/>
                <w:sz w:val="20"/>
                <w:szCs w:val="20"/>
              </w:rPr>
              <w:t>Mortgaged</w:t>
            </w:r>
          </w:p>
        </w:tc>
        <w:tc>
          <w:tcPr>
            <w:tcW w:w="854" w:type="dxa"/>
            <w:shd w:val="clear" w:color="auto" w:fill="auto"/>
            <w:vAlign w:val="center"/>
          </w:tcPr>
          <w:p w:rsidR="00D907AF" w:rsidRPr="00177572" w:rsidRDefault="00D907AF" w:rsidP="008A763F">
            <w:pPr>
              <w:spacing w:before="20" w:after="20"/>
              <w:ind w:right="170"/>
              <w:jc w:val="right"/>
              <w:rPr>
                <w:rFonts w:cstheme="minorHAnsi"/>
                <w:color w:val="000000"/>
                <w:sz w:val="20"/>
                <w:szCs w:val="20"/>
              </w:rPr>
            </w:pPr>
            <w:r w:rsidRPr="00177572">
              <w:rPr>
                <w:rFonts w:cstheme="minorHAnsi"/>
                <w:color w:val="000000"/>
                <w:sz w:val="20"/>
                <w:szCs w:val="20"/>
              </w:rPr>
              <w:t>393</w:t>
            </w:r>
          </w:p>
        </w:tc>
        <w:tc>
          <w:tcPr>
            <w:tcW w:w="678" w:type="dxa"/>
            <w:shd w:val="clear" w:color="auto" w:fill="auto"/>
            <w:vAlign w:val="center"/>
          </w:tcPr>
          <w:p w:rsidR="00D907AF" w:rsidRPr="00177572" w:rsidRDefault="00D907AF" w:rsidP="00D907AF">
            <w:pPr>
              <w:tabs>
                <w:tab w:val="decimal" w:pos="310"/>
              </w:tabs>
              <w:spacing w:before="20" w:after="20"/>
              <w:rPr>
                <w:rFonts w:cstheme="minorHAnsi"/>
                <w:color w:val="000000"/>
                <w:sz w:val="20"/>
                <w:szCs w:val="20"/>
              </w:rPr>
            </w:pPr>
            <w:r w:rsidRPr="00177572">
              <w:rPr>
                <w:rFonts w:cstheme="minorHAnsi"/>
                <w:color w:val="000000"/>
                <w:sz w:val="20"/>
                <w:szCs w:val="20"/>
              </w:rPr>
              <w:t>44.1</w:t>
            </w:r>
          </w:p>
        </w:tc>
        <w:tc>
          <w:tcPr>
            <w:tcW w:w="1194" w:type="dxa"/>
            <w:shd w:val="clear" w:color="auto" w:fill="auto"/>
            <w:vAlign w:val="center"/>
          </w:tcPr>
          <w:p w:rsidR="00D907AF" w:rsidRPr="00177572" w:rsidRDefault="00D907AF" w:rsidP="00EF7AC4">
            <w:pPr>
              <w:spacing w:before="20" w:after="20"/>
              <w:ind w:right="227"/>
              <w:jc w:val="right"/>
              <w:rPr>
                <w:rFonts w:cstheme="minorHAnsi"/>
                <w:color w:val="000000"/>
                <w:sz w:val="20"/>
                <w:szCs w:val="20"/>
              </w:rPr>
            </w:pPr>
            <w:r w:rsidRPr="00177572">
              <w:rPr>
                <w:rFonts w:cstheme="minorHAnsi"/>
                <w:color w:val="000000"/>
                <w:sz w:val="20"/>
                <w:szCs w:val="20"/>
              </w:rPr>
              <w:t>358</w:t>
            </w:r>
          </w:p>
        </w:tc>
        <w:tc>
          <w:tcPr>
            <w:tcW w:w="1194" w:type="dxa"/>
            <w:shd w:val="clear" w:color="auto" w:fill="auto"/>
            <w:vAlign w:val="center"/>
          </w:tcPr>
          <w:p w:rsidR="00D907AF" w:rsidRPr="00177572" w:rsidRDefault="00D907AF" w:rsidP="005560DF">
            <w:pPr>
              <w:spacing w:before="20" w:after="20"/>
              <w:ind w:right="284"/>
              <w:jc w:val="right"/>
              <w:rPr>
                <w:rFonts w:cstheme="minorHAnsi"/>
                <w:color w:val="000000"/>
                <w:sz w:val="20"/>
                <w:szCs w:val="20"/>
              </w:rPr>
            </w:pPr>
            <w:r w:rsidRPr="00177572">
              <w:rPr>
                <w:rFonts w:cstheme="minorHAnsi"/>
                <w:color w:val="000000"/>
                <w:sz w:val="20"/>
                <w:szCs w:val="20"/>
              </w:rPr>
              <w:t>35.7</w:t>
            </w:r>
          </w:p>
        </w:tc>
        <w:tc>
          <w:tcPr>
            <w:tcW w:w="896" w:type="dxa"/>
            <w:shd w:val="clear" w:color="auto" w:fill="auto"/>
            <w:vAlign w:val="center"/>
          </w:tcPr>
          <w:p w:rsidR="00D907AF" w:rsidRPr="00177572" w:rsidRDefault="00D907AF" w:rsidP="00D907AF">
            <w:pPr>
              <w:spacing w:before="20" w:after="20"/>
              <w:jc w:val="right"/>
              <w:rPr>
                <w:rFonts w:cstheme="minorHAnsi"/>
                <w:color w:val="000000"/>
                <w:sz w:val="20"/>
                <w:szCs w:val="20"/>
              </w:rPr>
            </w:pPr>
            <w:r w:rsidRPr="00177572">
              <w:rPr>
                <w:rFonts w:cstheme="minorHAnsi"/>
                <w:color w:val="000000"/>
                <w:sz w:val="20"/>
                <w:szCs w:val="20"/>
              </w:rPr>
              <w:t>751</w:t>
            </w:r>
          </w:p>
        </w:tc>
        <w:tc>
          <w:tcPr>
            <w:tcW w:w="992" w:type="dxa"/>
            <w:shd w:val="clear" w:color="auto" w:fill="auto"/>
            <w:vAlign w:val="center"/>
          </w:tcPr>
          <w:p w:rsidR="00D907AF" w:rsidRPr="00177572" w:rsidRDefault="00D907AF" w:rsidP="005560DF">
            <w:pPr>
              <w:spacing w:before="20" w:after="20"/>
              <w:ind w:right="170"/>
              <w:jc w:val="right"/>
              <w:rPr>
                <w:rFonts w:cstheme="minorHAnsi"/>
                <w:color w:val="000000"/>
                <w:sz w:val="20"/>
                <w:szCs w:val="20"/>
              </w:rPr>
            </w:pPr>
            <w:r w:rsidRPr="00177572">
              <w:rPr>
                <w:rFonts w:cstheme="minorHAnsi"/>
                <w:color w:val="000000"/>
                <w:sz w:val="20"/>
                <w:szCs w:val="20"/>
              </w:rPr>
              <w:t>39.6</w:t>
            </w:r>
          </w:p>
        </w:tc>
      </w:tr>
      <w:tr w:rsidR="00D907AF" w:rsidRPr="00177572" w:rsidTr="00D708F1">
        <w:trPr>
          <w:cantSplit/>
          <w:trHeight w:val="283"/>
        </w:trPr>
        <w:tc>
          <w:tcPr>
            <w:tcW w:w="2947" w:type="dxa"/>
            <w:shd w:val="clear" w:color="auto" w:fill="auto"/>
          </w:tcPr>
          <w:p w:rsidR="00D907AF" w:rsidRPr="00177572" w:rsidRDefault="00D907AF" w:rsidP="00D907AF">
            <w:pPr>
              <w:spacing w:before="20" w:after="20"/>
              <w:rPr>
                <w:rFonts w:cstheme="minorHAnsi"/>
                <w:sz w:val="20"/>
                <w:szCs w:val="20"/>
              </w:rPr>
            </w:pPr>
            <w:r w:rsidRPr="00177572">
              <w:rPr>
                <w:rFonts w:cstheme="minorHAnsi"/>
                <w:sz w:val="20"/>
                <w:szCs w:val="20"/>
              </w:rPr>
              <w:t>Rented or board is paid</w:t>
            </w:r>
          </w:p>
        </w:tc>
        <w:tc>
          <w:tcPr>
            <w:tcW w:w="854" w:type="dxa"/>
            <w:shd w:val="clear" w:color="auto" w:fill="auto"/>
            <w:vAlign w:val="center"/>
          </w:tcPr>
          <w:p w:rsidR="00D907AF" w:rsidRPr="00177572" w:rsidRDefault="00D907AF" w:rsidP="008A763F">
            <w:pPr>
              <w:spacing w:before="20" w:after="20"/>
              <w:ind w:right="170"/>
              <w:jc w:val="right"/>
              <w:rPr>
                <w:rFonts w:cstheme="minorHAnsi"/>
                <w:color w:val="000000"/>
                <w:sz w:val="20"/>
                <w:szCs w:val="20"/>
              </w:rPr>
            </w:pPr>
            <w:r w:rsidRPr="00177572">
              <w:rPr>
                <w:rFonts w:cstheme="minorHAnsi"/>
                <w:color w:val="000000"/>
                <w:sz w:val="20"/>
                <w:szCs w:val="20"/>
              </w:rPr>
              <w:t>256</w:t>
            </w:r>
          </w:p>
        </w:tc>
        <w:tc>
          <w:tcPr>
            <w:tcW w:w="678" w:type="dxa"/>
            <w:shd w:val="clear" w:color="auto" w:fill="auto"/>
            <w:vAlign w:val="center"/>
          </w:tcPr>
          <w:p w:rsidR="00D907AF" w:rsidRPr="00177572" w:rsidRDefault="00D907AF" w:rsidP="00D907AF">
            <w:pPr>
              <w:tabs>
                <w:tab w:val="decimal" w:pos="310"/>
              </w:tabs>
              <w:spacing w:before="20" w:after="20"/>
              <w:rPr>
                <w:rFonts w:cstheme="minorHAnsi"/>
                <w:color w:val="000000"/>
                <w:sz w:val="20"/>
                <w:szCs w:val="20"/>
              </w:rPr>
            </w:pPr>
            <w:r w:rsidRPr="00177572">
              <w:rPr>
                <w:rFonts w:cstheme="minorHAnsi"/>
                <w:color w:val="000000"/>
                <w:sz w:val="20"/>
                <w:szCs w:val="20"/>
              </w:rPr>
              <w:t>28.7</w:t>
            </w:r>
          </w:p>
        </w:tc>
        <w:tc>
          <w:tcPr>
            <w:tcW w:w="1194" w:type="dxa"/>
            <w:shd w:val="clear" w:color="auto" w:fill="auto"/>
            <w:vAlign w:val="center"/>
          </w:tcPr>
          <w:p w:rsidR="00D907AF" w:rsidRPr="00177572" w:rsidRDefault="00D907AF" w:rsidP="00EF7AC4">
            <w:pPr>
              <w:spacing w:before="20" w:after="20"/>
              <w:ind w:right="227"/>
              <w:jc w:val="right"/>
              <w:rPr>
                <w:rFonts w:cstheme="minorHAnsi"/>
                <w:color w:val="000000"/>
                <w:sz w:val="20"/>
                <w:szCs w:val="20"/>
              </w:rPr>
            </w:pPr>
            <w:r w:rsidRPr="00177572">
              <w:rPr>
                <w:rFonts w:cstheme="minorHAnsi"/>
                <w:color w:val="000000"/>
                <w:sz w:val="20"/>
                <w:szCs w:val="20"/>
              </w:rPr>
              <w:t>342</w:t>
            </w:r>
          </w:p>
        </w:tc>
        <w:tc>
          <w:tcPr>
            <w:tcW w:w="1194" w:type="dxa"/>
            <w:shd w:val="clear" w:color="auto" w:fill="auto"/>
            <w:vAlign w:val="center"/>
          </w:tcPr>
          <w:p w:rsidR="00D907AF" w:rsidRPr="00177572" w:rsidRDefault="00D907AF" w:rsidP="005560DF">
            <w:pPr>
              <w:spacing w:before="20" w:after="20"/>
              <w:ind w:right="284"/>
              <w:jc w:val="right"/>
              <w:rPr>
                <w:rFonts w:cstheme="minorHAnsi"/>
                <w:color w:val="000000"/>
                <w:sz w:val="20"/>
                <w:szCs w:val="20"/>
              </w:rPr>
            </w:pPr>
            <w:r w:rsidRPr="00177572">
              <w:rPr>
                <w:rFonts w:cstheme="minorHAnsi"/>
                <w:color w:val="000000"/>
                <w:sz w:val="20"/>
                <w:szCs w:val="20"/>
              </w:rPr>
              <w:t>34.1</w:t>
            </w:r>
          </w:p>
        </w:tc>
        <w:tc>
          <w:tcPr>
            <w:tcW w:w="896" w:type="dxa"/>
            <w:shd w:val="clear" w:color="auto" w:fill="auto"/>
            <w:vAlign w:val="center"/>
          </w:tcPr>
          <w:p w:rsidR="00D907AF" w:rsidRPr="00177572" w:rsidRDefault="00D907AF" w:rsidP="00D907AF">
            <w:pPr>
              <w:spacing w:before="20" w:after="20"/>
              <w:jc w:val="right"/>
              <w:rPr>
                <w:rFonts w:cstheme="minorHAnsi"/>
                <w:color w:val="000000"/>
                <w:sz w:val="20"/>
                <w:szCs w:val="20"/>
              </w:rPr>
            </w:pPr>
            <w:r w:rsidRPr="00177572">
              <w:rPr>
                <w:rFonts w:cstheme="minorHAnsi"/>
                <w:color w:val="000000"/>
                <w:sz w:val="20"/>
                <w:szCs w:val="20"/>
              </w:rPr>
              <w:t>598</w:t>
            </w:r>
          </w:p>
        </w:tc>
        <w:tc>
          <w:tcPr>
            <w:tcW w:w="992" w:type="dxa"/>
            <w:shd w:val="clear" w:color="auto" w:fill="auto"/>
            <w:vAlign w:val="center"/>
          </w:tcPr>
          <w:p w:rsidR="00D907AF" w:rsidRPr="00177572" w:rsidRDefault="00D907AF" w:rsidP="005560DF">
            <w:pPr>
              <w:spacing w:before="20" w:after="20"/>
              <w:ind w:right="170"/>
              <w:jc w:val="right"/>
              <w:rPr>
                <w:rFonts w:cstheme="minorHAnsi"/>
                <w:color w:val="000000"/>
                <w:sz w:val="20"/>
                <w:szCs w:val="20"/>
              </w:rPr>
            </w:pPr>
            <w:r w:rsidRPr="00177572">
              <w:rPr>
                <w:rFonts w:cstheme="minorHAnsi"/>
                <w:color w:val="000000"/>
                <w:sz w:val="20"/>
                <w:szCs w:val="20"/>
              </w:rPr>
              <w:t>31.6</w:t>
            </w:r>
          </w:p>
        </w:tc>
      </w:tr>
      <w:tr w:rsidR="00D907AF" w:rsidRPr="00177572" w:rsidTr="00D708F1">
        <w:trPr>
          <w:cantSplit/>
          <w:trHeight w:val="283"/>
        </w:trPr>
        <w:tc>
          <w:tcPr>
            <w:tcW w:w="2947" w:type="dxa"/>
            <w:shd w:val="clear" w:color="auto" w:fill="auto"/>
          </w:tcPr>
          <w:p w:rsidR="00D907AF" w:rsidRPr="00177572" w:rsidRDefault="00D907AF" w:rsidP="00D907AF">
            <w:pPr>
              <w:spacing w:before="20" w:after="20"/>
              <w:rPr>
                <w:rFonts w:cstheme="minorHAnsi"/>
                <w:sz w:val="20"/>
                <w:szCs w:val="20"/>
              </w:rPr>
            </w:pPr>
            <w:r w:rsidRPr="00177572">
              <w:rPr>
                <w:rFonts w:cstheme="minorHAnsi"/>
                <w:sz w:val="20"/>
                <w:szCs w:val="20"/>
              </w:rPr>
              <w:t>Something else</w:t>
            </w:r>
          </w:p>
        </w:tc>
        <w:tc>
          <w:tcPr>
            <w:tcW w:w="854" w:type="dxa"/>
            <w:shd w:val="clear" w:color="auto" w:fill="auto"/>
            <w:vAlign w:val="center"/>
          </w:tcPr>
          <w:p w:rsidR="00D907AF" w:rsidRPr="00177572" w:rsidRDefault="00D907AF" w:rsidP="008A763F">
            <w:pPr>
              <w:spacing w:before="20" w:after="20"/>
              <w:ind w:right="170"/>
              <w:jc w:val="right"/>
              <w:rPr>
                <w:rFonts w:cstheme="minorHAnsi"/>
                <w:color w:val="000000"/>
                <w:sz w:val="20"/>
                <w:szCs w:val="20"/>
              </w:rPr>
            </w:pPr>
            <w:r w:rsidRPr="00177572">
              <w:rPr>
                <w:rFonts w:cstheme="minorHAnsi"/>
                <w:color w:val="000000"/>
                <w:sz w:val="20"/>
                <w:szCs w:val="20"/>
              </w:rPr>
              <w:t>27</w:t>
            </w:r>
          </w:p>
        </w:tc>
        <w:tc>
          <w:tcPr>
            <w:tcW w:w="678" w:type="dxa"/>
            <w:shd w:val="clear" w:color="auto" w:fill="auto"/>
            <w:vAlign w:val="center"/>
          </w:tcPr>
          <w:p w:rsidR="00D907AF" w:rsidRPr="00177572" w:rsidRDefault="00D907AF" w:rsidP="00D907AF">
            <w:pPr>
              <w:tabs>
                <w:tab w:val="decimal" w:pos="310"/>
              </w:tabs>
              <w:spacing w:before="20" w:after="20"/>
              <w:rPr>
                <w:rFonts w:cstheme="minorHAnsi"/>
                <w:color w:val="000000"/>
                <w:sz w:val="20"/>
                <w:szCs w:val="20"/>
              </w:rPr>
            </w:pPr>
            <w:r w:rsidRPr="00177572">
              <w:rPr>
                <w:rFonts w:cstheme="minorHAnsi"/>
                <w:color w:val="000000"/>
                <w:sz w:val="20"/>
                <w:szCs w:val="20"/>
              </w:rPr>
              <w:t>3.0</w:t>
            </w:r>
          </w:p>
        </w:tc>
        <w:tc>
          <w:tcPr>
            <w:tcW w:w="1194" w:type="dxa"/>
            <w:shd w:val="clear" w:color="auto" w:fill="auto"/>
            <w:vAlign w:val="center"/>
          </w:tcPr>
          <w:p w:rsidR="00D907AF" w:rsidRPr="00177572" w:rsidRDefault="00D907AF" w:rsidP="00EF7AC4">
            <w:pPr>
              <w:spacing w:before="20" w:after="20"/>
              <w:ind w:right="227"/>
              <w:jc w:val="right"/>
              <w:rPr>
                <w:rFonts w:cstheme="minorHAnsi"/>
                <w:color w:val="000000"/>
                <w:sz w:val="20"/>
                <w:szCs w:val="20"/>
              </w:rPr>
            </w:pPr>
            <w:r w:rsidRPr="00177572">
              <w:rPr>
                <w:rFonts w:cstheme="minorHAnsi"/>
                <w:color w:val="000000"/>
                <w:sz w:val="20"/>
                <w:szCs w:val="20"/>
              </w:rPr>
              <w:t>27</w:t>
            </w:r>
          </w:p>
        </w:tc>
        <w:tc>
          <w:tcPr>
            <w:tcW w:w="1194" w:type="dxa"/>
            <w:shd w:val="clear" w:color="auto" w:fill="auto"/>
            <w:vAlign w:val="center"/>
          </w:tcPr>
          <w:p w:rsidR="00D907AF" w:rsidRPr="00177572" w:rsidRDefault="00D907AF" w:rsidP="005560DF">
            <w:pPr>
              <w:spacing w:before="20" w:after="20"/>
              <w:ind w:right="284"/>
              <w:jc w:val="right"/>
              <w:rPr>
                <w:rFonts w:cstheme="minorHAnsi"/>
                <w:color w:val="000000"/>
                <w:sz w:val="20"/>
                <w:szCs w:val="20"/>
              </w:rPr>
            </w:pPr>
            <w:r w:rsidRPr="00177572">
              <w:rPr>
                <w:rFonts w:cstheme="minorHAnsi"/>
                <w:color w:val="000000"/>
                <w:sz w:val="20"/>
                <w:szCs w:val="20"/>
              </w:rPr>
              <w:t>2.7</w:t>
            </w:r>
          </w:p>
        </w:tc>
        <w:tc>
          <w:tcPr>
            <w:tcW w:w="896" w:type="dxa"/>
            <w:shd w:val="clear" w:color="auto" w:fill="auto"/>
            <w:vAlign w:val="center"/>
          </w:tcPr>
          <w:p w:rsidR="00D907AF" w:rsidRPr="00177572" w:rsidRDefault="00D907AF" w:rsidP="00D907AF">
            <w:pPr>
              <w:spacing w:before="20" w:after="20"/>
              <w:jc w:val="right"/>
              <w:rPr>
                <w:rFonts w:cstheme="minorHAnsi"/>
                <w:color w:val="000000"/>
                <w:sz w:val="20"/>
                <w:szCs w:val="20"/>
              </w:rPr>
            </w:pPr>
            <w:r w:rsidRPr="00177572">
              <w:rPr>
                <w:rFonts w:cstheme="minorHAnsi"/>
                <w:color w:val="000000"/>
                <w:sz w:val="20"/>
                <w:szCs w:val="20"/>
              </w:rPr>
              <w:t>54</w:t>
            </w:r>
          </w:p>
        </w:tc>
        <w:tc>
          <w:tcPr>
            <w:tcW w:w="992" w:type="dxa"/>
            <w:shd w:val="clear" w:color="auto" w:fill="auto"/>
            <w:vAlign w:val="center"/>
          </w:tcPr>
          <w:p w:rsidR="00D907AF" w:rsidRPr="00177572" w:rsidRDefault="00D907AF" w:rsidP="005560DF">
            <w:pPr>
              <w:spacing w:before="20" w:after="20"/>
              <w:ind w:right="170"/>
              <w:jc w:val="right"/>
              <w:rPr>
                <w:rFonts w:cstheme="minorHAnsi"/>
                <w:color w:val="000000"/>
                <w:sz w:val="20"/>
                <w:szCs w:val="20"/>
              </w:rPr>
            </w:pPr>
            <w:r w:rsidRPr="00177572">
              <w:rPr>
                <w:rFonts w:cstheme="minorHAnsi"/>
                <w:color w:val="000000"/>
                <w:sz w:val="20"/>
                <w:szCs w:val="20"/>
              </w:rPr>
              <w:t>2.9</w:t>
            </w:r>
          </w:p>
        </w:tc>
      </w:tr>
      <w:tr w:rsidR="00D907AF" w:rsidRPr="00177572" w:rsidTr="00D708F1">
        <w:trPr>
          <w:cantSplit/>
          <w:trHeight w:val="283"/>
        </w:trPr>
        <w:tc>
          <w:tcPr>
            <w:tcW w:w="2947" w:type="dxa"/>
          </w:tcPr>
          <w:p w:rsidR="00D907AF" w:rsidRPr="00177572" w:rsidRDefault="00D907AF" w:rsidP="00D907AF">
            <w:pPr>
              <w:spacing w:before="20" w:after="20"/>
              <w:rPr>
                <w:rFonts w:cstheme="minorHAnsi"/>
                <w:sz w:val="20"/>
                <w:szCs w:val="20"/>
              </w:rPr>
            </w:pPr>
            <w:r w:rsidRPr="00177572">
              <w:rPr>
                <w:rFonts w:cstheme="minorHAnsi"/>
                <w:sz w:val="20"/>
                <w:szCs w:val="20"/>
              </w:rPr>
              <w:t>Don’t know</w:t>
            </w:r>
          </w:p>
        </w:tc>
        <w:tc>
          <w:tcPr>
            <w:tcW w:w="854" w:type="dxa"/>
          </w:tcPr>
          <w:p w:rsidR="00D907AF" w:rsidRPr="00177572" w:rsidRDefault="00D907AF" w:rsidP="008A763F">
            <w:pPr>
              <w:spacing w:before="20" w:after="20"/>
              <w:ind w:right="170"/>
              <w:jc w:val="right"/>
              <w:rPr>
                <w:rFonts w:cstheme="minorHAnsi"/>
                <w:color w:val="000000"/>
                <w:sz w:val="20"/>
                <w:szCs w:val="20"/>
              </w:rPr>
            </w:pPr>
            <w:r w:rsidRPr="00177572">
              <w:rPr>
                <w:rFonts w:cstheme="minorHAnsi"/>
                <w:color w:val="000000"/>
                <w:sz w:val="20"/>
                <w:szCs w:val="20"/>
              </w:rPr>
              <w:t>8</w:t>
            </w:r>
          </w:p>
        </w:tc>
        <w:tc>
          <w:tcPr>
            <w:tcW w:w="678" w:type="dxa"/>
          </w:tcPr>
          <w:p w:rsidR="00D907AF" w:rsidRPr="00177572" w:rsidRDefault="00D907AF" w:rsidP="00D907AF">
            <w:pPr>
              <w:tabs>
                <w:tab w:val="decimal" w:pos="310"/>
              </w:tabs>
              <w:spacing w:before="20" w:after="20"/>
              <w:rPr>
                <w:rFonts w:cstheme="minorHAnsi"/>
                <w:color w:val="000000"/>
                <w:sz w:val="20"/>
                <w:szCs w:val="20"/>
              </w:rPr>
            </w:pPr>
            <w:r w:rsidRPr="00177572">
              <w:rPr>
                <w:rFonts w:cstheme="minorHAnsi"/>
                <w:color w:val="000000"/>
                <w:sz w:val="20"/>
                <w:szCs w:val="20"/>
              </w:rPr>
              <w:t>0.9</w:t>
            </w:r>
          </w:p>
        </w:tc>
        <w:tc>
          <w:tcPr>
            <w:tcW w:w="1194" w:type="dxa"/>
          </w:tcPr>
          <w:p w:rsidR="00D907AF" w:rsidRPr="00177572" w:rsidRDefault="00D907AF" w:rsidP="00EF7AC4">
            <w:pPr>
              <w:spacing w:before="20" w:after="20"/>
              <w:ind w:right="227"/>
              <w:jc w:val="right"/>
              <w:rPr>
                <w:rFonts w:cstheme="minorHAnsi"/>
                <w:color w:val="000000"/>
                <w:sz w:val="20"/>
                <w:szCs w:val="20"/>
              </w:rPr>
            </w:pPr>
            <w:r w:rsidRPr="00177572">
              <w:rPr>
                <w:rFonts w:cstheme="minorHAnsi"/>
                <w:color w:val="000000"/>
                <w:sz w:val="20"/>
                <w:szCs w:val="20"/>
              </w:rPr>
              <w:t>6</w:t>
            </w:r>
          </w:p>
        </w:tc>
        <w:tc>
          <w:tcPr>
            <w:tcW w:w="1194" w:type="dxa"/>
            <w:vAlign w:val="center"/>
          </w:tcPr>
          <w:p w:rsidR="00D907AF" w:rsidRPr="00177572" w:rsidRDefault="00D907AF" w:rsidP="005560DF">
            <w:pPr>
              <w:spacing w:before="20" w:after="20"/>
              <w:ind w:right="284"/>
              <w:jc w:val="right"/>
              <w:rPr>
                <w:rFonts w:cstheme="minorHAnsi"/>
                <w:color w:val="000000"/>
                <w:sz w:val="20"/>
                <w:szCs w:val="20"/>
              </w:rPr>
            </w:pPr>
            <w:r w:rsidRPr="00177572">
              <w:rPr>
                <w:rFonts w:cstheme="minorHAnsi"/>
                <w:color w:val="000000"/>
                <w:sz w:val="20"/>
                <w:szCs w:val="20"/>
              </w:rPr>
              <w:t>0.6</w:t>
            </w:r>
          </w:p>
        </w:tc>
        <w:tc>
          <w:tcPr>
            <w:tcW w:w="896" w:type="dxa"/>
          </w:tcPr>
          <w:p w:rsidR="00D907AF" w:rsidRPr="00177572" w:rsidRDefault="00D907AF" w:rsidP="00D907AF">
            <w:pPr>
              <w:spacing w:before="20" w:after="20"/>
              <w:jc w:val="right"/>
              <w:rPr>
                <w:rFonts w:cstheme="minorHAnsi"/>
                <w:color w:val="000000"/>
                <w:sz w:val="20"/>
                <w:szCs w:val="20"/>
              </w:rPr>
            </w:pPr>
            <w:r w:rsidRPr="00177572">
              <w:rPr>
                <w:rFonts w:cstheme="minorHAnsi"/>
                <w:color w:val="000000"/>
                <w:sz w:val="20"/>
                <w:szCs w:val="20"/>
              </w:rPr>
              <w:t>14</w:t>
            </w:r>
          </w:p>
        </w:tc>
        <w:tc>
          <w:tcPr>
            <w:tcW w:w="992" w:type="dxa"/>
          </w:tcPr>
          <w:p w:rsidR="00D907AF" w:rsidRPr="00177572" w:rsidRDefault="00D907AF" w:rsidP="005560DF">
            <w:pPr>
              <w:spacing w:before="20" w:after="20"/>
              <w:ind w:right="170"/>
              <w:jc w:val="right"/>
              <w:rPr>
                <w:rFonts w:cstheme="minorHAnsi"/>
                <w:color w:val="000000"/>
                <w:sz w:val="20"/>
                <w:szCs w:val="20"/>
              </w:rPr>
            </w:pPr>
            <w:r w:rsidRPr="00177572">
              <w:rPr>
                <w:rFonts w:cstheme="minorHAnsi"/>
                <w:color w:val="000000"/>
                <w:sz w:val="20"/>
                <w:szCs w:val="20"/>
              </w:rPr>
              <w:t>0.7</w:t>
            </w:r>
          </w:p>
        </w:tc>
      </w:tr>
      <w:tr w:rsidR="00D907AF" w:rsidRPr="00177572" w:rsidTr="00D708F1">
        <w:trPr>
          <w:cantSplit/>
          <w:trHeight w:val="283"/>
        </w:trPr>
        <w:tc>
          <w:tcPr>
            <w:tcW w:w="2947" w:type="dxa"/>
            <w:tcBorders>
              <w:bottom w:val="single" w:sz="4" w:space="0" w:color="auto"/>
            </w:tcBorders>
            <w:shd w:val="clear" w:color="auto" w:fill="auto"/>
          </w:tcPr>
          <w:p w:rsidR="00D907AF" w:rsidRPr="00177572" w:rsidRDefault="00D907AF" w:rsidP="00D907AF">
            <w:pPr>
              <w:spacing w:before="20" w:after="20"/>
              <w:rPr>
                <w:rFonts w:cstheme="minorHAnsi"/>
                <w:sz w:val="20"/>
                <w:szCs w:val="20"/>
              </w:rPr>
            </w:pPr>
            <w:r w:rsidRPr="00177572">
              <w:rPr>
                <w:rFonts w:cstheme="minorHAnsi"/>
                <w:sz w:val="20"/>
                <w:szCs w:val="20"/>
              </w:rPr>
              <w:t xml:space="preserve">Missing </w:t>
            </w:r>
          </w:p>
        </w:tc>
        <w:tc>
          <w:tcPr>
            <w:tcW w:w="854" w:type="dxa"/>
            <w:tcBorders>
              <w:bottom w:val="single" w:sz="4" w:space="0" w:color="auto"/>
            </w:tcBorders>
            <w:shd w:val="clear" w:color="auto" w:fill="auto"/>
            <w:vAlign w:val="center"/>
          </w:tcPr>
          <w:p w:rsidR="00D907AF" w:rsidRPr="00177572" w:rsidRDefault="00D907AF" w:rsidP="008A763F">
            <w:pPr>
              <w:spacing w:before="20" w:after="20"/>
              <w:ind w:right="170"/>
              <w:jc w:val="right"/>
              <w:rPr>
                <w:rFonts w:cstheme="minorHAnsi"/>
                <w:color w:val="000000"/>
                <w:sz w:val="20"/>
                <w:szCs w:val="20"/>
              </w:rPr>
            </w:pPr>
            <w:r w:rsidRPr="00177572">
              <w:rPr>
                <w:rFonts w:cstheme="minorHAnsi"/>
                <w:color w:val="000000"/>
                <w:sz w:val="20"/>
                <w:szCs w:val="20"/>
              </w:rPr>
              <w:t>18</w:t>
            </w:r>
          </w:p>
        </w:tc>
        <w:tc>
          <w:tcPr>
            <w:tcW w:w="678" w:type="dxa"/>
            <w:tcBorders>
              <w:bottom w:val="single" w:sz="4" w:space="0" w:color="auto"/>
            </w:tcBorders>
            <w:shd w:val="clear" w:color="auto" w:fill="auto"/>
            <w:vAlign w:val="center"/>
          </w:tcPr>
          <w:p w:rsidR="00D907AF" w:rsidRPr="00177572" w:rsidRDefault="00D907AF" w:rsidP="00D907AF">
            <w:pPr>
              <w:tabs>
                <w:tab w:val="decimal" w:pos="310"/>
              </w:tabs>
              <w:spacing w:before="20" w:after="20"/>
              <w:rPr>
                <w:rFonts w:cstheme="minorHAnsi"/>
                <w:color w:val="000000"/>
                <w:sz w:val="20"/>
                <w:szCs w:val="20"/>
              </w:rPr>
            </w:pPr>
            <w:r w:rsidRPr="00177572">
              <w:rPr>
                <w:rFonts w:cstheme="minorHAnsi"/>
                <w:color w:val="000000"/>
                <w:sz w:val="20"/>
                <w:szCs w:val="20"/>
              </w:rPr>
              <w:t>2.0</w:t>
            </w:r>
          </w:p>
        </w:tc>
        <w:tc>
          <w:tcPr>
            <w:tcW w:w="1194" w:type="dxa"/>
            <w:tcBorders>
              <w:bottom w:val="single" w:sz="4" w:space="0" w:color="auto"/>
            </w:tcBorders>
            <w:shd w:val="clear" w:color="auto" w:fill="auto"/>
            <w:vAlign w:val="center"/>
          </w:tcPr>
          <w:p w:rsidR="00D907AF" w:rsidRPr="00177572" w:rsidRDefault="00D907AF" w:rsidP="00EF7AC4">
            <w:pPr>
              <w:spacing w:before="20" w:after="20"/>
              <w:ind w:right="227"/>
              <w:jc w:val="right"/>
              <w:rPr>
                <w:rFonts w:cstheme="minorHAnsi"/>
                <w:color w:val="000000"/>
                <w:sz w:val="20"/>
                <w:szCs w:val="20"/>
              </w:rPr>
            </w:pPr>
            <w:r w:rsidRPr="00177572">
              <w:rPr>
                <w:rFonts w:cstheme="minorHAnsi"/>
                <w:color w:val="000000"/>
                <w:sz w:val="20"/>
                <w:szCs w:val="20"/>
              </w:rPr>
              <w:t>19</w:t>
            </w:r>
          </w:p>
        </w:tc>
        <w:tc>
          <w:tcPr>
            <w:tcW w:w="1194" w:type="dxa"/>
            <w:tcBorders>
              <w:bottom w:val="single" w:sz="4" w:space="0" w:color="auto"/>
            </w:tcBorders>
            <w:shd w:val="clear" w:color="auto" w:fill="auto"/>
            <w:vAlign w:val="center"/>
          </w:tcPr>
          <w:p w:rsidR="00D907AF" w:rsidRPr="00177572" w:rsidRDefault="00D907AF" w:rsidP="005560DF">
            <w:pPr>
              <w:spacing w:before="20" w:after="20"/>
              <w:ind w:right="284"/>
              <w:jc w:val="right"/>
              <w:rPr>
                <w:rFonts w:cstheme="minorHAnsi"/>
                <w:color w:val="000000"/>
                <w:sz w:val="20"/>
                <w:szCs w:val="20"/>
              </w:rPr>
            </w:pPr>
            <w:r w:rsidRPr="00177572">
              <w:rPr>
                <w:rFonts w:cstheme="minorHAnsi"/>
                <w:color w:val="000000"/>
                <w:sz w:val="20"/>
                <w:szCs w:val="20"/>
              </w:rPr>
              <w:t>1.9</w:t>
            </w:r>
          </w:p>
        </w:tc>
        <w:tc>
          <w:tcPr>
            <w:tcW w:w="896" w:type="dxa"/>
            <w:tcBorders>
              <w:bottom w:val="single" w:sz="4" w:space="0" w:color="auto"/>
            </w:tcBorders>
            <w:shd w:val="clear" w:color="auto" w:fill="auto"/>
            <w:vAlign w:val="center"/>
          </w:tcPr>
          <w:p w:rsidR="00D907AF" w:rsidRPr="00177572" w:rsidRDefault="00D907AF" w:rsidP="00D907AF">
            <w:pPr>
              <w:spacing w:before="20" w:after="20"/>
              <w:jc w:val="right"/>
              <w:rPr>
                <w:rFonts w:cstheme="minorHAnsi"/>
                <w:color w:val="000000"/>
                <w:sz w:val="20"/>
                <w:szCs w:val="20"/>
              </w:rPr>
            </w:pPr>
            <w:r w:rsidRPr="00177572">
              <w:rPr>
                <w:rFonts w:cstheme="minorHAnsi"/>
                <w:color w:val="000000"/>
                <w:sz w:val="20"/>
                <w:szCs w:val="20"/>
              </w:rPr>
              <w:t>37</w:t>
            </w:r>
          </w:p>
        </w:tc>
        <w:tc>
          <w:tcPr>
            <w:tcW w:w="992" w:type="dxa"/>
            <w:tcBorders>
              <w:bottom w:val="single" w:sz="4" w:space="0" w:color="auto"/>
            </w:tcBorders>
            <w:shd w:val="clear" w:color="auto" w:fill="auto"/>
            <w:vAlign w:val="center"/>
          </w:tcPr>
          <w:p w:rsidR="00D907AF" w:rsidRPr="00177572" w:rsidRDefault="00D907AF" w:rsidP="005560DF">
            <w:pPr>
              <w:spacing w:before="20" w:after="20"/>
              <w:ind w:right="170"/>
              <w:jc w:val="right"/>
              <w:rPr>
                <w:rFonts w:cstheme="minorHAnsi"/>
                <w:color w:val="000000"/>
                <w:sz w:val="20"/>
                <w:szCs w:val="20"/>
              </w:rPr>
            </w:pPr>
            <w:r w:rsidRPr="00177572">
              <w:rPr>
                <w:rFonts w:cstheme="minorHAnsi"/>
                <w:color w:val="000000"/>
                <w:sz w:val="20"/>
                <w:szCs w:val="20"/>
              </w:rPr>
              <w:t>2.0</w:t>
            </w:r>
          </w:p>
        </w:tc>
      </w:tr>
      <w:tr w:rsidR="00D907AF" w:rsidRPr="00177572" w:rsidTr="00D708F1">
        <w:trPr>
          <w:cantSplit/>
          <w:trHeight w:val="283"/>
        </w:trPr>
        <w:tc>
          <w:tcPr>
            <w:tcW w:w="2947" w:type="dxa"/>
            <w:tcBorders>
              <w:top w:val="single" w:sz="4" w:space="0" w:color="auto"/>
              <w:bottom w:val="single" w:sz="4" w:space="0" w:color="auto"/>
            </w:tcBorders>
            <w:shd w:val="clear" w:color="auto" w:fill="auto"/>
          </w:tcPr>
          <w:p w:rsidR="00D907AF" w:rsidRPr="00177572" w:rsidRDefault="00D907AF" w:rsidP="00D907AF">
            <w:pPr>
              <w:spacing w:before="20" w:after="20"/>
              <w:rPr>
                <w:rFonts w:cstheme="minorHAnsi"/>
                <w:b/>
                <w:sz w:val="20"/>
                <w:szCs w:val="20"/>
              </w:rPr>
            </w:pPr>
            <w:r w:rsidRPr="00177572">
              <w:rPr>
                <w:rFonts w:cstheme="minorHAnsi"/>
                <w:b/>
                <w:sz w:val="20"/>
                <w:szCs w:val="20"/>
              </w:rPr>
              <w:t>Total</w:t>
            </w:r>
          </w:p>
        </w:tc>
        <w:tc>
          <w:tcPr>
            <w:tcW w:w="854" w:type="dxa"/>
            <w:tcBorders>
              <w:top w:val="single" w:sz="4" w:space="0" w:color="auto"/>
              <w:bottom w:val="single" w:sz="4" w:space="0" w:color="auto"/>
            </w:tcBorders>
            <w:shd w:val="clear" w:color="auto" w:fill="auto"/>
          </w:tcPr>
          <w:p w:rsidR="00D907AF" w:rsidRPr="00177572" w:rsidRDefault="00D907AF" w:rsidP="008A763F">
            <w:pPr>
              <w:spacing w:before="20" w:after="20"/>
              <w:ind w:right="170"/>
              <w:jc w:val="right"/>
              <w:rPr>
                <w:rFonts w:cstheme="minorHAnsi"/>
                <w:b/>
                <w:sz w:val="20"/>
                <w:szCs w:val="20"/>
              </w:rPr>
            </w:pPr>
            <w:r w:rsidRPr="00177572">
              <w:rPr>
                <w:rFonts w:cstheme="minorHAnsi"/>
                <w:b/>
                <w:sz w:val="20"/>
                <w:szCs w:val="20"/>
              </w:rPr>
              <w:t>891</w:t>
            </w:r>
          </w:p>
        </w:tc>
        <w:tc>
          <w:tcPr>
            <w:tcW w:w="678" w:type="dxa"/>
            <w:tcBorders>
              <w:top w:val="single" w:sz="4" w:space="0" w:color="auto"/>
              <w:bottom w:val="single" w:sz="4" w:space="0" w:color="auto"/>
            </w:tcBorders>
            <w:shd w:val="clear" w:color="auto" w:fill="auto"/>
          </w:tcPr>
          <w:p w:rsidR="00D907AF" w:rsidRPr="00177572" w:rsidRDefault="00D907AF" w:rsidP="00D907AF">
            <w:pPr>
              <w:tabs>
                <w:tab w:val="decimal" w:pos="310"/>
              </w:tabs>
              <w:spacing w:before="20" w:after="20"/>
              <w:jc w:val="right"/>
              <w:rPr>
                <w:rFonts w:cstheme="minorHAnsi"/>
                <w:b/>
                <w:sz w:val="20"/>
                <w:szCs w:val="20"/>
              </w:rPr>
            </w:pPr>
            <w:r w:rsidRPr="00177572">
              <w:rPr>
                <w:rFonts w:cstheme="minorHAnsi"/>
                <w:b/>
                <w:sz w:val="20"/>
                <w:szCs w:val="20"/>
              </w:rPr>
              <w:t>100</w:t>
            </w:r>
          </w:p>
        </w:tc>
        <w:tc>
          <w:tcPr>
            <w:tcW w:w="1194" w:type="dxa"/>
            <w:tcBorders>
              <w:top w:val="single" w:sz="4" w:space="0" w:color="auto"/>
              <w:bottom w:val="single" w:sz="4" w:space="0" w:color="auto"/>
            </w:tcBorders>
            <w:shd w:val="clear" w:color="auto" w:fill="auto"/>
          </w:tcPr>
          <w:p w:rsidR="00D907AF" w:rsidRPr="00177572" w:rsidRDefault="00D907AF" w:rsidP="00EF7AC4">
            <w:pPr>
              <w:spacing w:before="20" w:after="20"/>
              <w:ind w:right="227"/>
              <w:jc w:val="right"/>
              <w:rPr>
                <w:rFonts w:cstheme="minorHAnsi"/>
                <w:b/>
                <w:sz w:val="20"/>
                <w:szCs w:val="20"/>
              </w:rPr>
            </w:pPr>
            <w:r w:rsidRPr="00177572">
              <w:rPr>
                <w:rFonts w:cstheme="minorHAnsi"/>
                <w:b/>
                <w:sz w:val="20"/>
                <w:szCs w:val="20"/>
              </w:rPr>
              <w:t>1</w:t>
            </w:r>
            <w:r>
              <w:rPr>
                <w:rFonts w:cstheme="minorHAnsi"/>
                <w:b/>
                <w:sz w:val="20"/>
                <w:szCs w:val="20"/>
              </w:rPr>
              <w:t>,</w:t>
            </w:r>
            <w:r w:rsidRPr="00177572">
              <w:rPr>
                <w:rFonts w:cstheme="minorHAnsi"/>
                <w:b/>
                <w:sz w:val="20"/>
                <w:szCs w:val="20"/>
              </w:rPr>
              <w:t>004</w:t>
            </w:r>
          </w:p>
        </w:tc>
        <w:tc>
          <w:tcPr>
            <w:tcW w:w="1194" w:type="dxa"/>
            <w:tcBorders>
              <w:top w:val="single" w:sz="4" w:space="0" w:color="auto"/>
              <w:bottom w:val="single" w:sz="4" w:space="0" w:color="auto"/>
            </w:tcBorders>
            <w:shd w:val="clear" w:color="auto" w:fill="auto"/>
          </w:tcPr>
          <w:p w:rsidR="00D907AF" w:rsidRPr="00177572" w:rsidRDefault="00D907AF" w:rsidP="005560DF">
            <w:pPr>
              <w:tabs>
                <w:tab w:val="decimal" w:pos="302"/>
              </w:tabs>
              <w:spacing w:before="20" w:after="20"/>
              <w:ind w:right="284"/>
              <w:jc w:val="right"/>
              <w:rPr>
                <w:rFonts w:cstheme="minorHAnsi"/>
                <w:b/>
                <w:sz w:val="20"/>
                <w:szCs w:val="20"/>
              </w:rPr>
            </w:pPr>
            <w:r w:rsidRPr="00177572">
              <w:rPr>
                <w:rFonts w:cstheme="minorHAnsi"/>
                <w:b/>
                <w:sz w:val="20"/>
                <w:szCs w:val="20"/>
              </w:rPr>
              <w:t>100</w:t>
            </w:r>
          </w:p>
        </w:tc>
        <w:tc>
          <w:tcPr>
            <w:tcW w:w="896" w:type="dxa"/>
            <w:tcBorders>
              <w:top w:val="single" w:sz="4" w:space="0" w:color="auto"/>
              <w:bottom w:val="single" w:sz="4" w:space="0" w:color="auto"/>
            </w:tcBorders>
            <w:shd w:val="clear" w:color="auto" w:fill="auto"/>
          </w:tcPr>
          <w:p w:rsidR="00D907AF" w:rsidRPr="00177572" w:rsidRDefault="00D907AF" w:rsidP="00D907AF">
            <w:pPr>
              <w:spacing w:before="20" w:after="20"/>
              <w:jc w:val="right"/>
              <w:rPr>
                <w:rFonts w:cstheme="minorHAnsi"/>
                <w:b/>
                <w:sz w:val="20"/>
                <w:szCs w:val="20"/>
              </w:rPr>
            </w:pPr>
            <w:r w:rsidRPr="00177572">
              <w:rPr>
                <w:rFonts w:cstheme="minorHAnsi"/>
                <w:b/>
                <w:sz w:val="20"/>
                <w:szCs w:val="20"/>
              </w:rPr>
              <w:t>1</w:t>
            </w:r>
            <w:r>
              <w:rPr>
                <w:rFonts w:cstheme="minorHAnsi"/>
                <w:b/>
                <w:sz w:val="20"/>
                <w:szCs w:val="20"/>
              </w:rPr>
              <w:t>,</w:t>
            </w:r>
            <w:r w:rsidRPr="00177572">
              <w:rPr>
                <w:rFonts w:cstheme="minorHAnsi"/>
                <w:b/>
                <w:sz w:val="20"/>
                <w:szCs w:val="20"/>
              </w:rPr>
              <w:t>895</w:t>
            </w:r>
          </w:p>
        </w:tc>
        <w:tc>
          <w:tcPr>
            <w:tcW w:w="992" w:type="dxa"/>
            <w:tcBorders>
              <w:top w:val="single" w:sz="4" w:space="0" w:color="auto"/>
              <w:bottom w:val="single" w:sz="4" w:space="0" w:color="auto"/>
            </w:tcBorders>
            <w:shd w:val="clear" w:color="auto" w:fill="auto"/>
          </w:tcPr>
          <w:p w:rsidR="00D907AF" w:rsidRPr="00177572" w:rsidRDefault="00D907AF" w:rsidP="005560DF">
            <w:pPr>
              <w:spacing w:before="20" w:after="20"/>
              <w:ind w:right="170"/>
              <w:jc w:val="right"/>
              <w:rPr>
                <w:rFonts w:cstheme="minorHAnsi"/>
                <w:b/>
                <w:sz w:val="20"/>
                <w:szCs w:val="20"/>
              </w:rPr>
            </w:pPr>
            <w:r w:rsidRPr="00177572">
              <w:rPr>
                <w:rFonts w:cstheme="minorHAnsi"/>
                <w:b/>
                <w:sz w:val="20"/>
                <w:szCs w:val="20"/>
              </w:rPr>
              <w:t>100</w:t>
            </w:r>
          </w:p>
        </w:tc>
      </w:tr>
    </w:tbl>
    <w:p w:rsidR="00D907AF" w:rsidRPr="00B01305" w:rsidRDefault="00D907AF" w:rsidP="00BC69BF">
      <w:pPr>
        <w:pStyle w:val="NILSReference"/>
      </w:pPr>
      <w:r w:rsidRPr="00B01305">
        <w:t xml:space="preserve">Note: </w:t>
      </w:r>
      <w:r>
        <w:t>trial and comparison all ages.</w:t>
      </w:r>
      <w:r w:rsidRPr="00B01305">
        <w:t xml:space="preserve"> </w:t>
      </w:r>
    </w:p>
    <w:p w:rsidR="005B2D5F" w:rsidRDefault="005B2D5F" w:rsidP="00D907AF"/>
    <w:p w:rsidR="00D907AF" w:rsidRDefault="00D907AF" w:rsidP="00C00AE2">
      <w:pPr>
        <w:spacing w:after="240"/>
      </w:pPr>
      <w:r>
        <w:t xml:space="preserve">Table 3.14 shows the overall living arrangements of people with disability. The relevant question allows for multiple answers. For example, there is a total of 1,152 (60.8 per cent) people with disability who reported living with their mothers and 929 (49 per cent) living with their fathers. A smaller number of 227 (12 per cent) reported living alone. The information is sufficient to define the exact family structure of people with disability and combine it with their support and assistance arrangements. Table 3.14 shows the majority of respondents reported living within a traditional family environment, most often with parents and siblings present. </w:t>
      </w:r>
    </w:p>
    <w:p w:rsidR="00D907AF" w:rsidRPr="00233E8A" w:rsidRDefault="00D907AF" w:rsidP="0044684E">
      <w:pPr>
        <w:pStyle w:val="NILSTableHeading"/>
      </w:pPr>
      <w:bookmarkStart w:id="222" w:name="_Toc428280665"/>
      <w:bookmarkStart w:id="223" w:name="_Toc449955276"/>
      <w:r w:rsidRPr="00233E8A">
        <w:t>Table 3.</w:t>
      </w:r>
      <w:r>
        <w:t>14</w:t>
      </w:r>
      <w:r w:rsidRPr="00233E8A">
        <w:t>: Who do people with disability live with?</w:t>
      </w:r>
      <w:bookmarkEnd w:id="222"/>
      <w:bookmarkEnd w:id="223"/>
      <w:r w:rsidRPr="00233E8A">
        <w:t xml:space="preserve"> </w:t>
      </w:r>
    </w:p>
    <w:tbl>
      <w:tblPr>
        <w:tblStyle w:val="TableGrid"/>
        <w:tblW w:w="0" w:type="auto"/>
        <w:tblLook w:val="04A0" w:firstRow="1" w:lastRow="0" w:firstColumn="1" w:lastColumn="0" w:noHBand="0" w:noVBand="1"/>
        <w:tblCaption w:val="Table 3.14 Who do people with disability live with? "/>
      </w:tblPr>
      <w:tblGrid>
        <w:gridCol w:w="3676"/>
        <w:gridCol w:w="675"/>
        <w:gridCol w:w="860"/>
        <w:gridCol w:w="1194"/>
        <w:gridCol w:w="1194"/>
        <w:gridCol w:w="771"/>
        <w:gridCol w:w="671"/>
      </w:tblGrid>
      <w:tr w:rsidR="00D907AF" w:rsidRPr="008B70CD" w:rsidTr="00C3413E">
        <w:trPr>
          <w:cantSplit/>
          <w:tblHeader/>
        </w:trPr>
        <w:tc>
          <w:tcPr>
            <w:tcW w:w="3676" w:type="dxa"/>
            <w:tcBorders>
              <w:top w:val="single" w:sz="4" w:space="0" w:color="auto"/>
              <w:bottom w:val="single" w:sz="4" w:space="0" w:color="auto"/>
            </w:tcBorders>
            <w:shd w:val="clear" w:color="auto" w:fill="auto"/>
          </w:tcPr>
          <w:p w:rsidR="00D907AF" w:rsidRPr="008B70CD" w:rsidRDefault="00D907AF" w:rsidP="00D907AF">
            <w:pPr>
              <w:spacing w:before="20" w:after="20"/>
              <w:rPr>
                <w:rFonts w:cstheme="minorHAnsi"/>
                <w:sz w:val="20"/>
                <w:szCs w:val="20"/>
              </w:rPr>
            </w:pPr>
            <w:bookmarkStart w:id="224" w:name="Title_3_14"/>
            <w:bookmarkEnd w:id="224"/>
          </w:p>
        </w:tc>
        <w:tc>
          <w:tcPr>
            <w:tcW w:w="675" w:type="dxa"/>
            <w:tcBorders>
              <w:top w:val="single" w:sz="4" w:space="0" w:color="auto"/>
              <w:bottom w:val="single" w:sz="4" w:space="0" w:color="auto"/>
            </w:tcBorders>
            <w:shd w:val="clear" w:color="auto" w:fill="auto"/>
          </w:tcPr>
          <w:p w:rsidR="00D907AF" w:rsidRPr="008B70CD" w:rsidRDefault="009B4F8B" w:rsidP="00D907AF">
            <w:pPr>
              <w:spacing w:before="20" w:after="20"/>
              <w:jc w:val="center"/>
              <w:rPr>
                <w:rFonts w:cstheme="minorHAnsi"/>
                <w:sz w:val="20"/>
                <w:szCs w:val="20"/>
              </w:rPr>
            </w:pPr>
            <w:r w:rsidRPr="00177572">
              <w:rPr>
                <w:rFonts w:cstheme="minorHAnsi"/>
                <w:sz w:val="20"/>
                <w:szCs w:val="20"/>
              </w:rPr>
              <w:t>Trial</w:t>
            </w:r>
            <w:r w:rsidRPr="008B70CD">
              <w:rPr>
                <w:rFonts w:cstheme="minorHAnsi"/>
                <w:sz w:val="20"/>
                <w:szCs w:val="20"/>
              </w:rPr>
              <w:t xml:space="preserve"> </w:t>
            </w:r>
            <w:r w:rsidR="00D907AF" w:rsidRPr="008B70CD">
              <w:rPr>
                <w:rFonts w:cstheme="minorHAnsi"/>
                <w:sz w:val="20"/>
                <w:szCs w:val="20"/>
              </w:rPr>
              <w:t>Cases</w:t>
            </w:r>
          </w:p>
        </w:tc>
        <w:tc>
          <w:tcPr>
            <w:tcW w:w="860" w:type="dxa"/>
            <w:tcBorders>
              <w:top w:val="single" w:sz="4" w:space="0" w:color="auto"/>
              <w:bottom w:val="single" w:sz="4" w:space="0" w:color="auto"/>
            </w:tcBorders>
            <w:shd w:val="clear" w:color="auto" w:fill="auto"/>
          </w:tcPr>
          <w:p w:rsidR="000C2128" w:rsidRDefault="009B4F8B" w:rsidP="00D907AF">
            <w:pPr>
              <w:spacing w:before="20" w:after="20"/>
              <w:jc w:val="center"/>
              <w:rPr>
                <w:rFonts w:cstheme="minorHAnsi"/>
                <w:sz w:val="20"/>
                <w:szCs w:val="20"/>
              </w:rPr>
            </w:pPr>
            <w:r>
              <w:rPr>
                <w:rFonts w:cstheme="minorHAnsi"/>
                <w:sz w:val="20"/>
                <w:szCs w:val="20"/>
              </w:rPr>
              <w:t xml:space="preserve">Trial </w:t>
            </w:r>
          </w:p>
          <w:p w:rsidR="00D907AF" w:rsidRPr="008B70CD" w:rsidRDefault="00D907AF" w:rsidP="00D907AF">
            <w:pPr>
              <w:spacing w:before="20" w:after="20"/>
              <w:jc w:val="center"/>
              <w:rPr>
                <w:rFonts w:cstheme="minorHAnsi"/>
                <w:sz w:val="20"/>
                <w:szCs w:val="20"/>
              </w:rPr>
            </w:pPr>
            <w:r w:rsidRPr="008B70CD">
              <w:rPr>
                <w:rFonts w:cstheme="minorHAnsi"/>
                <w:sz w:val="20"/>
                <w:szCs w:val="20"/>
              </w:rPr>
              <w:t>%</w:t>
            </w:r>
          </w:p>
        </w:tc>
        <w:tc>
          <w:tcPr>
            <w:tcW w:w="1194" w:type="dxa"/>
            <w:tcBorders>
              <w:top w:val="single" w:sz="4" w:space="0" w:color="auto"/>
              <w:bottom w:val="single" w:sz="4" w:space="0" w:color="auto"/>
            </w:tcBorders>
            <w:shd w:val="clear" w:color="auto" w:fill="auto"/>
          </w:tcPr>
          <w:p w:rsidR="00D907AF" w:rsidRPr="008B70CD" w:rsidRDefault="009B4F8B" w:rsidP="00D907AF">
            <w:pPr>
              <w:spacing w:before="20" w:after="20"/>
              <w:jc w:val="center"/>
              <w:rPr>
                <w:rFonts w:cstheme="minorHAnsi"/>
                <w:sz w:val="20"/>
                <w:szCs w:val="20"/>
              </w:rPr>
            </w:pPr>
            <w:r>
              <w:rPr>
                <w:rFonts w:cstheme="minorHAnsi"/>
                <w:sz w:val="20"/>
                <w:szCs w:val="20"/>
              </w:rPr>
              <w:t xml:space="preserve">Comparison </w:t>
            </w:r>
            <w:r w:rsidR="00D907AF" w:rsidRPr="008B70CD">
              <w:rPr>
                <w:rFonts w:cstheme="minorHAnsi"/>
                <w:sz w:val="20"/>
                <w:szCs w:val="20"/>
              </w:rPr>
              <w:t>Cases</w:t>
            </w:r>
          </w:p>
        </w:tc>
        <w:tc>
          <w:tcPr>
            <w:tcW w:w="1194" w:type="dxa"/>
            <w:tcBorders>
              <w:top w:val="single" w:sz="4" w:space="0" w:color="auto"/>
              <w:bottom w:val="single" w:sz="4" w:space="0" w:color="auto"/>
            </w:tcBorders>
            <w:shd w:val="clear" w:color="auto" w:fill="auto"/>
          </w:tcPr>
          <w:p w:rsidR="00D907AF" w:rsidRPr="008B70CD" w:rsidRDefault="009B4F8B" w:rsidP="00D907AF">
            <w:pPr>
              <w:spacing w:before="20" w:after="20"/>
              <w:jc w:val="center"/>
              <w:rPr>
                <w:rFonts w:cstheme="minorHAnsi"/>
                <w:sz w:val="20"/>
                <w:szCs w:val="20"/>
              </w:rPr>
            </w:pPr>
            <w:r w:rsidRPr="00177572">
              <w:rPr>
                <w:rFonts w:cstheme="minorHAnsi"/>
                <w:sz w:val="20"/>
                <w:szCs w:val="20"/>
              </w:rPr>
              <w:t>Comparison</w:t>
            </w:r>
            <w:r w:rsidRPr="008B70CD">
              <w:rPr>
                <w:rFonts w:cstheme="minorHAnsi"/>
                <w:sz w:val="20"/>
                <w:szCs w:val="20"/>
              </w:rPr>
              <w:t xml:space="preserve"> </w:t>
            </w:r>
            <w:r w:rsidR="00D907AF" w:rsidRPr="008B70CD">
              <w:rPr>
                <w:rFonts w:cstheme="minorHAnsi"/>
                <w:sz w:val="20"/>
                <w:szCs w:val="20"/>
              </w:rPr>
              <w:t>%</w:t>
            </w:r>
          </w:p>
        </w:tc>
        <w:tc>
          <w:tcPr>
            <w:tcW w:w="771" w:type="dxa"/>
            <w:tcBorders>
              <w:top w:val="single" w:sz="4" w:space="0" w:color="auto"/>
              <w:bottom w:val="single" w:sz="4" w:space="0" w:color="auto"/>
            </w:tcBorders>
            <w:shd w:val="clear" w:color="auto" w:fill="auto"/>
          </w:tcPr>
          <w:p w:rsidR="00D907AF" w:rsidRPr="008B70CD" w:rsidRDefault="009B4F8B" w:rsidP="00D907AF">
            <w:pPr>
              <w:spacing w:before="20" w:after="20"/>
              <w:jc w:val="center"/>
              <w:rPr>
                <w:rFonts w:cstheme="minorHAnsi"/>
                <w:sz w:val="20"/>
                <w:szCs w:val="20"/>
              </w:rPr>
            </w:pPr>
            <w:r>
              <w:rPr>
                <w:rFonts w:cstheme="minorHAnsi"/>
                <w:sz w:val="20"/>
                <w:szCs w:val="20"/>
              </w:rPr>
              <w:t xml:space="preserve">Total </w:t>
            </w:r>
            <w:r w:rsidR="00D907AF" w:rsidRPr="008B70CD">
              <w:rPr>
                <w:rFonts w:cstheme="minorHAnsi"/>
                <w:sz w:val="20"/>
                <w:szCs w:val="20"/>
              </w:rPr>
              <w:t>Cases</w:t>
            </w:r>
          </w:p>
        </w:tc>
        <w:tc>
          <w:tcPr>
            <w:tcW w:w="671" w:type="dxa"/>
            <w:tcBorders>
              <w:top w:val="single" w:sz="4" w:space="0" w:color="auto"/>
              <w:bottom w:val="single" w:sz="4" w:space="0" w:color="auto"/>
            </w:tcBorders>
            <w:shd w:val="clear" w:color="auto" w:fill="auto"/>
          </w:tcPr>
          <w:p w:rsidR="00D907AF" w:rsidRPr="008B70CD" w:rsidRDefault="009B4F8B" w:rsidP="00D907AF">
            <w:pPr>
              <w:spacing w:before="20" w:after="20"/>
              <w:jc w:val="center"/>
              <w:rPr>
                <w:rFonts w:cstheme="minorHAnsi"/>
                <w:sz w:val="20"/>
                <w:szCs w:val="20"/>
              </w:rPr>
            </w:pPr>
            <w:r w:rsidRPr="00177572">
              <w:rPr>
                <w:rFonts w:cstheme="minorHAnsi"/>
                <w:sz w:val="20"/>
                <w:szCs w:val="20"/>
              </w:rPr>
              <w:t>Total</w:t>
            </w:r>
            <w:r>
              <w:rPr>
                <w:rFonts w:cstheme="minorHAnsi"/>
                <w:sz w:val="20"/>
                <w:szCs w:val="20"/>
              </w:rPr>
              <w:t xml:space="preserve"> </w:t>
            </w:r>
            <w:r w:rsidRPr="008B70CD">
              <w:rPr>
                <w:rFonts w:cstheme="minorHAnsi"/>
                <w:sz w:val="20"/>
                <w:szCs w:val="20"/>
              </w:rPr>
              <w:t xml:space="preserve"> </w:t>
            </w:r>
            <w:r w:rsidR="00D907AF" w:rsidRPr="008B70CD">
              <w:rPr>
                <w:rFonts w:cstheme="minorHAnsi"/>
                <w:sz w:val="20"/>
                <w:szCs w:val="20"/>
              </w:rPr>
              <w:t>%</w:t>
            </w:r>
          </w:p>
        </w:tc>
      </w:tr>
      <w:tr w:rsidR="00D907AF" w:rsidRPr="008B70CD" w:rsidTr="00C3413E">
        <w:trPr>
          <w:cantSplit/>
          <w:trHeight w:val="283"/>
        </w:trPr>
        <w:tc>
          <w:tcPr>
            <w:tcW w:w="3676" w:type="dxa"/>
            <w:tcBorders>
              <w:top w:val="single" w:sz="4" w:space="0" w:color="auto"/>
            </w:tcBorders>
            <w:shd w:val="clear" w:color="auto" w:fill="auto"/>
          </w:tcPr>
          <w:p w:rsidR="00D907AF" w:rsidRPr="008B70CD" w:rsidRDefault="00D907AF" w:rsidP="00D907AF">
            <w:pPr>
              <w:spacing w:before="20" w:after="20"/>
              <w:rPr>
                <w:rFonts w:cstheme="minorHAnsi"/>
                <w:sz w:val="20"/>
                <w:szCs w:val="20"/>
              </w:rPr>
            </w:pPr>
            <w:r w:rsidRPr="008B70CD">
              <w:rPr>
                <w:rFonts w:cstheme="minorHAnsi"/>
                <w:sz w:val="20"/>
                <w:szCs w:val="20"/>
              </w:rPr>
              <w:t>Alone</w:t>
            </w:r>
          </w:p>
        </w:tc>
        <w:tc>
          <w:tcPr>
            <w:tcW w:w="675" w:type="dxa"/>
            <w:tcBorders>
              <w:top w:val="single" w:sz="4" w:space="0" w:color="auto"/>
            </w:tcBorders>
            <w:shd w:val="clear" w:color="auto" w:fill="auto"/>
            <w:vAlign w:val="center"/>
          </w:tcPr>
          <w:p w:rsidR="00D907AF" w:rsidRPr="008B70CD" w:rsidRDefault="00D907AF" w:rsidP="005560DF">
            <w:pPr>
              <w:spacing w:before="20" w:after="20"/>
              <w:ind w:right="57"/>
              <w:jc w:val="right"/>
              <w:rPr>
                <w:rFonts w:cstheme="minorHAnsi"/>
                <w:color w:val="000000"/>
                <w:sz w:val="20"/>
                <w:szCs w:val="20"/>
              </w:rPr>
            </w:pPr>
            <w:r w:rsidRPr="008B70CD">
              <w:rPr>
                <w:rFonts w:cstheme="minorHAnsi"/>
                <w:color w:val="000000"/>
                <w:sz w:val="20"/>
                <w:szCs w:val="20"/>
              </w:rPr>
              <w:t>81</w:t>
            </w:r>
          </w:p>
        </w:tc>
        <w:tc>
          <w:tcPr>
            <w:tcW w:w="860" w:type="dxa"/>
            <w:tcBorders>
              <w:top w:val="single" w:sz="4" w:space="0" w:color="auto"/>
            </w:tcBorders>
            <w:shd w:val="clear" w:color="auto" w:fill="auto"/>
            <w:vAlign w:val="center"/>
          </w:tcPr>
          <w:p w:rsidR="00D907AF" w:rsidRPr="008B70CD" w:rsidRDefault="00D907AF" w:rsidP="00D907AF">
            <w:pPr>
              <w:spacing w:before="20" w:after="20"/>
              <w:jc w:val="right"/>
              <w:rPr>
                <w:rFonts w:cstheme="minorHAnsi"/>
                <w:color w:val="000000"/>
                <w:sz w:val="20"/>
                <w:szCs w:val="20"/>
              </w:rPr>
            </w:pPr>
            <w:r w:rsidRPr="008B70CD">
              <w:rPr>
                <w:rFonts w:cstheme="minorHAnsi"/>
                <w:color w:val="000000"/>
                <w:sz w:val="20"/>
                <w:szCs w:val="20"/>
              </w:rPr>
              <w:t>9.1</w:t>
            </w:r>
          </w:p>
        </w:tc>
        <w:tc>
          <w:tcPr>
            <w:tcW w:w="1194" w:type="dxa"/>
            <w:tcBorders>
              <w:top w:val="single" w:sz="4" w:space="0" w:color="auto"/>
            </w:tcBorders>
            <w:shd w:val="clear" w:color="auto" w:fill="auto"/>
            <w:vAlign w:val="center"/>
          </w:tcPr>
          <w:p w:rsidR="00D907AF" w:rsidRPr="008B70CD" w:rsidRDefault="00D907AF" w:rsidP="005560DF">
            <w:pPr>
              <w:spacing w:before="20" w:after="20"/>
              <w:ind w:right="227"/>
              <w:jc w:val="right"/>
              <w:rPr>
                <w:rFonts w:cstheme="minorHAnsi"/>
                <w:color w:val="000000"/>
                <w:sz w:val="20"/>
                <w:szCs w:val="20"/>
              </w:rPr>
            </w:pPr>
            <w:r w:rsidRPr="008B70CD">
              <w:rPr>
                <w:rFonts w:cstheme="minorHAnsi"/>
                <w:color w:val="000000"/>
                <w:sz w:val="20"/>
                <w:szCs w:val="20"/>
              </w:rPr>
              <w:t>146</w:t>
            </w:r>
          </w:p>
        </w:tc>
        <w:tc>
          <w:tcPr>
            <w:tcW w:w="1194" w:type="dxa"/>
            <w:tcBorders>
              <w:top w:val="single" w:sz="4" w:space="0" w:color="auto"/>
            </w:tcBorders>
            <w:shd w:val="clear" w:color="auto" w:fill="auto"/>
            <w:vAlign w:val="center"/>
          </w:tcPr>
          <w:p w:rsidR="00D907AF" w:rsidRPr="008B70CD" w:rsidRDefault="00D907AF" w:rsidP="005560DF">
            <w:pPr>
              <w:tabs>
                <w:tab w:val="decimal" w:pos="588"/>
              </w:tabs>
              <w:spacing w:before="20" w:after="20"/>
              <w:rPr>
                <w:rFonts w:cstheme="minorHAnsi"/>
                <w:color w:val="000000"/>
                <w:sz w:val="20"/>
                <w:szCs w:val="20"/>
              </w:rPr>
            </w:pPr>
            <w:r w:rsidRPr="008B70CD">
              <w:rPr>
                <w:rFonts w:cstheme="minorHAnsi"/>
                <w:color w:val="000000"/>
                <w:sz w:val="20"/>
                <w:szCs w:val="20"/>
              </w:rPr>
              <w:t>14.5</w:t>
            </w:r>
          </w:p>
        </w:tc>
        <w:tc>
          <w:tcPr>
            <w:tcW w:w="771" w:type="dxa"/>
            <w:tcBorders>
              <w:top w:val="single" w:sz="4" w:space="0" w:color="auto"/>
            </w:tcBorders>
            <w:shd w:val="clear" w:color="auto" w:fill="auto"/>
            <w:vAlign w:val="center"/>
          </w:tcPr>
          <w:p w:rsidR="00D907AF" w:rsidRPr="008B70CD" w:rsidRDefault="00D907AF" w:rsidP="00D907AF">
            <w:pPr>
              <w:spacing w:before="20" w:after="20"/>
              <w:jc w:val="right"/>
              <w:rPr>
                <w:rFonts w:cstheme="minorHAnsi"/>
                <w:color w:val="000000"/>
                <w:sz w:val="20"/>
                <w:szCs w:val="20"/>
              </w:rPr>
            </w:pPr>
            <w:r w:rsidRPr="008B70CD">
              <w:rPr>
                <w:rFonts w:cstheme="minorHAnsi"/>
                <w:color w:val="000000"/>
                <w:sz w:val="20"/>
                <w:szCs w:val="20"/>
              </w:rPr>
              <w:t>227</w:t>
            </w:r>
          </w:p>
        </w:tc>
        <w:tc>
          <w:tcPr>
            <w:tcW w:w="671" w:type="dxa"/>
            <w:tcBorders>
              <w:top w:val="single" w:sz="4" w:space="0" w:color="auto"/>
            </w:tcBorders>
            <w:shd w:val="clear" w:color="auto" w:fill="auto"/>
            <w:vAlign w:val="center"/>
          </w:tcPr>
          <w:p w:rsidR="00D907AF" w:rsidRPr="008B70CD" w:rsidRDefault="00D907AF" w:rsidP="00D907AF">
            <w:pPr>
              <w:spacing w:before="20" w:after="20"/>
              <w:jc w:val="right"/>
              <w:rPr>
                <w:rFonts w:cstheme="minorHAnsi"/>
                <w:color w:val="000000"/>
                <w:sz w:val="20"/>
                <w:szCs w:val="20"/>
              </w:rPr>
            </w:pPr>
            <w:r w:rsidRPr="008B70CD">
              <w:rPr>
                <w:rFonts w:cstheme="minorHAnsi"/>
                <w:color w:val="000000"/>
                <w:sz w:val="20"/>
                <w:szCs w:val="20"/>
              </w:rPr>
              <w:t>12.0</w:t>
            </w:r>
          </w:p>
        </w:tc>
      </w:tr>
      <w:tr w:rsidR="00D907AF" w:rsidRPr="008B70CD" w:rsidTr="00C3413E">
        <w:trPr>
          <w:cantSplit/>
          <w:trHeight w:val="283"/>
        </w:trPr>
        <w:tc>
          <w:tcPr>
            <w:tcW w:w="3676" w:type="dxa"/>
            <w:shd w:val="clear" w:color="auto" w:fill="auto"/>
          </w:tcPr>
          <w:p w:rsidR="00D907AF" w:rsidRPr="008B70CD" w:rsidRDefault="00D907AF" w:rsidP="00D907AF">
            <w:pPr>
              <w:spacing w:before="20" w:after="20"/>
              <w:rPr>
                <w:rFonts w:cstheme="minorHAnsi"/>
                <w:sz w:val="20"/>
                <w:szCs w:val="20"/>
              </w:rPr>
            </w:pPr>
            <w:r w:rsidRPr="008B70CD">
              <w:rPr>
                <w:rFonts w:cstheme="minorHAnsi"/>
                <w:sz w:val="20"/>
                <w:szCs w:val="20"/>
              </w:rPr>
              <w:t>Spouse/De facto partner</w:t>
            </w:r>
          </w:p>
        </w:tc>
        <w:tc>
          <w:tcPr>
            <w:tcW w:w="675" w:type="dxa"/>
            <w:shd w:val="clear" w:color="auto" w:fill="auto"/>
            <w:vAlign w:val="center"/>
          </w:tcPr>
          <w:p w:rsidR="00D907AF" w:rsidRPr="008B70CD" w:rsidRDefault="00D907AF" w:rsidP="005560DF">
            <w:pPr>
              <w:spacing w:before="20" w:after="20"/>
              <w:ind w:right="57"/>
              <w:jc w:val="right"/>
              <w:rPr>
                <w:rFonts w:cstheme="minorHAnsi"/>
                <w:color w:val="000000"/>
                <w:sz w:val="20"/>
                <w:szCs w:val="20"/>
              </w:rPr>
            </w:pPr>
            <w:r w:rsidRPr="008B70CD">
              <w:rPr>
                <w:rFonts w:cstheme="minorHAnsi"/>
                <w:color w:val="000000"/>
                <w:sz w:val="20"/>
                <w:szCs w:val="20"/>
              </w:rPr>
              <w:t>105</w:t>
            </w:r>
          </w:p>
        </w:tc>
        <w:tc>
          <w:tcPr>
            <w:tcW w:w="860" w:type="dxa"/>
            <w:shd w:val="clear" w:color="auto" w:fill="auto"/>
            <w:vAlign w:val="center"/>
          </w:tcPr>
          <w:p w:rsidR="00D907AF" w:rsidRPr="008B70CD" w:rsidRDefault="00D907AF" w:rsidP="00D907AF">
            <w:pPr>
              <w:spacing w:before="20" w:after="20"/>
              <w:jc w:val="right"/>
              <w:rPr>
                <w:rFonts w:cstheme="minorHAnsi"/>
                <w:color w:val="000000"/>
                <w:sz w:val="20"/>
                <w:szCs w:val="20"/>
              </w:rPr>
            </w:pPr>
            <w:r w:rsidRPr="008B70CD">
              <w:rPr>
                <w:rFonts w:cstheme="minorHAnsi"/>
                <w:color w:val="000000"/>
                <w:sz w:val="20"/>
                <w:szCs w:val="20"/>
              </w:rPr>
              <w:t>11.8</w:t>
            </w:r>
          </w:p>
        </w:tc>
        <w:tc>
          <w:tcPr>
            <w:tcW w:w="1194" w:type="dxa"/>
            <w:shd w:val="clear" w:color="auto" w:fill="auto"/>
            <w:vAlign w:val="center"/>
          </w:tcPr>
          <w:p w:rsidR="00D907AF" w:rsidRPr="008B70CD" w:rsidRDefault="00D907AF" w:rsidP="005560DF">
            <w:pPr>
              <w:spacing w:before="20" w:after="20"/>
              <w:ind w:right="227"/>
              <w:jc w:val="right"/>
              <w:rPr>
                <w:rFonts w:cstheme="minorHAnsi"/>
                <w:color w:val="000000"/>
                <w:sz w:val="20"/>
                <w:szCs w:val="20"/>
              </w:rPr>
            </w:pPr>
            <w:r w:rsidRPr="008B70CD">
              <w:rPr>
                <w:rFonts w:cstheme="minorHAnsi"/>
                <w:color w:val="000000"/>
                <w:sz w:val="20"/>
                <w:szCs w:val="20"/>
              </w:rPr>
              <w:t>195</w:t>
            </w:r>
          </w:p>
        </w:tc>
        <w:tc>
          <w:tcPr>
            <w:tcW w:w="1194" w:type="dxa"/>
            <w:shd w:val="clear" w:color="auto" w:fill="auto"/>
            <w:vAlign w:val="center"/>
          </w:tcPr>
          <w:p w:rsidR="00D907AF" w:rsidRPr="008B70CD" w:rsidRDefault="00D907AF" w:rsidP="005560DF">
            <w:pPr>
              <w:tabs>
                <w:tab w:val="decimal" w:pos="588"/>
              </w:tabs>
              <w:spacing w:before="20" w:after="20"/>
              <w:rPr>
                <w:rFonts w:cstheme="minorHAnsi"/>
                <w:color w:val="000000"/>
                <w:sz w:val="20"/>
                <w:szCs w:val="20"/>
              </w:rPr>
            </w:pPr>
            <w:r w:rsidRPr="008B70CD">
              <w:rPr>
                <w:rFonts w:cstheme="minorHAnsi"/>
                <w:color w:val="000000"/>
                <w:sz w:val="20"/>
                <w:szCs w:val="20"/>
              </w:rPr>
              <w:t>19.4</w:t>
            </w:r>
          </w:p>
        </w:tc>
        <w:tc>
          <w:tcPr>
            <w:tcW w:w="771" w:type="dxa"/>
            <w:shd w:val="clear" w:color="auto" w:fill="auto"/>
            <w:vAlign w:val="center"/>
          </w:tcPr>
          <w:p w:rsidR="00D907AF" w:rsidRPr="008B70CD" w:rsidRDefault="00D907AF" w:rsidP="00D907AF">
            <w:pPr>
              <w:spacing w:before="20" w:after="20"/>
              <w:jc w:val="right"/>
              <w:rPr>
                <w:rFonts w:cstheme="minorHAnsi"/>
                <w:color w:val="000000"/>
                <w:sz w:val="20"/>
                <w:szCs w:val="20"/>
              </w:rPr>
            </w:pPr>
            <w:r w:rsidRPr="008B70CD">
              <w:rPr>
                <w:rFonts w:cstheme="minorHAnsi"/>
                <w:color w:val="000000"/>
                <w:sz w:val="20"/>
                <w:szCs w:val="20"/>
              </w:rPr>
              <w:t>300</w:t>
            </w:r>
          </w:p>
        </w:tc>
        <w:tc>
          <w:tcPr>
            <w:tcW w:w="671" w:type="dxa"/>
            <w:shd w:val="clear" w:color="auto" w:fill="auto"/>
            <w:vAlign w:val="center"/>
          </w:tcPr>
          <w:p w:rsidR="00D907AF" w:rsidRPr="008B70CD" w:rsidRDefault="00D907AF" w:rsidP="00D907AF">
            <w:pPr>
              <w:spacing w:before="20" w:after="20"/>
              <w:jc w:val="right"/>
              <w:rPr>
                <w:rFonts w:cstheme="minorHAnsi"/>
                <w:color w:val="000000"/>
                <w:sz w:val="20"/>
                <w:szCs w:val="20"/>
              </w:rPr>
            </w:pPr>
            <w:r w:rsidRPr="008B70CD">
              <w:rPr>
                <w:rFonts w:cstheme="minorHAnsi"/>
                <w:color w:val="000000"/>
                <w:sz w:val="20"/>
                <w:szCs w:val="20"/>
              </w:rPr>
              <w:t>15.8</w:t>
            </w:r>
          </w:p>
        </w:tc>
      </w:tr>
      <w:tr w:rsidR="00D907AF" w:rsidRPr="008B70CD" w:rsidTr="00C3413E">
        <w:trPr>
          <w:cantSplit/>
          <w:trHeight w:val="283"/>
        </w:trPr>
        <w:tc>
          <w:tcPr>
            <w:tcW w:w="3676" w:type="dxa"/>
            <w:shd w:val="clear" w:color="auto" w:fill="auto"/>
          </w:tcPr>
          <w:p w:rsidR="00D907AF" w:rsidRPr="008B70CD" w:rsidRDefault="00D907AF" w:rsidP="00D907AF">
            <w:pPr>
              <w:spacing w:before="20" w:after="20"/>
              <w:rPr>
                <w:rFonts w:cstheme="minorHAnsi"/>
                <w:sz w:val="20"/>
                <w:szCs w:val="20"/>
              </w:rPr>
            </w:pPr>
            <w:r w:rsidRPr="008B70CD">
              <w:rPr>
                <w:rFonts w:cstheme="minorHAnsi"/>
                <w:sz w:val="20"/>
                <w:szCs w:val="20"/>
              </w:rPr>
              <w:t>Mother (including step/adoptive)</w:t>
            </w:r>
          </w:p>
        </w:tc>
        <w:tc>
          <w:tcPr>
            <w:tcW w:w="675" w:type="dxa"/>
            <w:shd w:val="clear" w:color="auto" w:fill="auto"/>
            <w:vAlign w:val="center"/>
          </w:tcPr>
          <w:p w:rsidR="00D907AF" w:rsidRPr="008B70CD" w:rsidRDefault="00D907AF" w:rsidP="005560DF">
            <w:pPr>
              <w:spacing w:before="20" w:after="20"/>
              <w:ind w:right="57"/>
              <w:jc w:val="right"/>
              <w:rPr>
                <w:rFonts w:cstheme="minorHAnsi"/>
                <w:color w:val="000000"/>
                <w:sz w:val="20"/>
                <w:szCs w:val="20"/>
              </w:rPr>
            </w:pPr>
            <w:r w:rsidRPr="008B70CD">
              <w:rPr>
                <w:rFonts w:cstheme="minorHAnsi"/>
                <w:color w:val="000000"/>
                <w:sz w:val="20"/>
                <w:szCs w:val="20"/>
              </w:rPr>
              <w:t>608</w:t>
            </w:r>
          </w:p>
        </w:tc>
        <w:tc>
          <w:tcPr>
            <w:tcW w:w="860" w:type="dxa"/>
            <w:shd w:val="clear" w:color="auto" w:fill="auto"/>
            <w:vAlign w:val="center"/>
          </w:tcPr>
          <w:p w:rsidR="00D907AF" w:rsidRPr="008B70CD" w:rsidRDefault="00D907AF" w:rsidP="00D907AF">
            <w:pPr>
              <w:spacing w:before="20" w:after="20"/>
              <w:jc w:val="right"/>
              <w:rPr>
                <w:rFonts w:cstheme="minorHAnsi"/>
                <w:color w:val="000000"/>
                <w:sz w:val="20"/>
                <w:szCs w:val="20"/>
              </w:rPr>
            </w:pPr>
            <w:r w:rsidRPr="008B70CD">
              <w:rPr>
                <w:rFonts w:cstheme="minorHAnsi"/>
                <w:color w:val="000000"/>
                <w:sz w:val="20"/>
                <w:szCs w:val="20"/>
              </w:rPr>
              <w:t>68.2</w:t>
            </w:r>
          </w:p>
        </w:tc>
        <w:tc>
          <w:tcPr>
            <w:tcW w:w="1194" w:type="dxa"/>
            <w:shd w:val="clear" w:color="auto" w:fill="auto"/>
            <w:vAlign w:val="center"/>
          </w:tcPr>
          <w:p w:rsidR="00D907AF" w:rsidRPr="008B70CD" w:rsidRDefault="00D907AF" w:rsidP="005560DF">
            <w:pPr>
              <w:spacing w:before="20" w:after="20"/>
              <w:ind w:right="227"/>
              <w:jc w:val="right"/>
              <w:rPr>
                <w:rFonts w:cstheme="minorHAnsi"/>
                <w:color w:val="000000"/>
                <w:sz w:val="20"/>
                <w:szCs w:val="20"/>
              </w:rPr>
            </w:pPr>
            <w:r w:rsidRPr="008B70CD">
              <w:rPr>
                <w:rFonts w:cstheme="minorHAnsi"/>
                <w:color w:val="000000"/>
                <w:sz w:val="20"/>
                <w:szCs w:val="20"/>
              </w:rPr>
              <w:t>544</w:t>
            </w:r>
          </w:p>
        </w:tc>
        <w:tc>
          <w:tcPr>
            <w:tcW w:w="1194" w:type="dxa"/>
            <w:shd w:val="clear" w:color="auto" w:fill="auto"/>
            <w:vAlign w:val="center"/>
          </w:tcPr>
          <w:p w:rsidR="00D907AF" w:rsidRPr="008B70CD" w:rsidRDefault="00D907AF" w:rsidP="005560DF">
            <w:pPr>
              <w:tabs>
                <w:tab w:val="decimal" w:pos="588"/>
              </w:tabs>
              <w:spacing w:before="20" w:after="20"/>
              <w:rPr>
                <w:rFonts w:cstheme="minorHAnsi"/>
                <w:color w:val="000000"/>
                <w:sz w:val="20"/>
                <w:szCs w:val="20"/>
              </w:rPr>
            </w:pPr>
            <w:r w:rsidRPr="008B70CD">
              <w:rPr>
                <w:rFonts w:cstheme="minorHAnsi"/>
                <w:color w:val="000000"/>
                <w:sz w:val="20"/>
                <w:szCs w:val="20"/>
              </w:rPr>
              <w:t>54.2</w:t>
            </w:r>
          </w:p>
        </w:tc>
        <w:tc>
          <w:tcPr>
            <w:tcW w:w="771" w:type="dxa"/>
            <w:shd w:val="clear" w:color="auto" w:fill="auto"/>
            <w:vAlign w:val="center"/>
          </w:tcPr>
          <w:p w:rsidR="00D907AF" w:rsidRPr="008B70CD" w:rsidRDefault="00D907AF" w:rsidP="00D907AF">
            <w:pPr>
              <w:spacing w:before="20" w:after="20"/>
              <w:jc w:val="right"/>
              <w:rPr>
                <w:rFonts w:cstheme="minorHAnsi"/>
                <w:color w:val="000000"/>
                <w:sz w:val="20"/>
                <w:szCs w:val="20"/>
              </w:rPr>
            </w:pPr>
            <w:r w:rsidRPr="008B70CD">
              <w:rPr>
                <w:rFonts w:cstheme="minorHAnsi"/>
                <w:color w:val="000000"/>
                <w:sz w:val="20"/>
                <w:szCs w:val="20"/>
              </w:rPr>
              <w:t>1,152</w:t>
            </w:r>
          </w:p>
        </w:tc>
        <w:tc>
          <w:tcPr>
            <w:tcW w:w="671" w:type="dxa"/>
            <w:shd w:val="clear" w:color="auto" w:fill="auto"/>
            <w:vAlign w:val="center"/>
          </w:tcPr>
          <w:p w:rsidR="00D907AF" w:rsidRPr="008B70CD" w:rsidRDefault="00D907AF" w:rsidP="00D907AF">
            <w:pPr>
              <w:spacing w:before="20" w:after="20"/>
              <w:jc w:val="right"/>
              <w:rPr>
                <w:rFonts w:cstheme="minorHAnsi"/>
                <w:color w:val="000000"/>
                <w:sz w:val="20"/>
                <w:szCs w:val="20"/>
              </w:rPr>
            </w:pPr>
            <w:r w:rsidRPr="008B70CD">
              <w:rPr>
                <w:rFonts w:cstheme="minorHAnsi"/>
                <w:color w:val="000000"/>
                <w:sz w:val="20"/>
                <w:szCs w:val="20"/>
              </w:rPr>
              <w:t>60.8</w:t>
            </w:r>
          </w:p>
        </w:tc>
      </w:tr>
      <w:tr w:rsidR="00D907AF" w:rsidRPr="008B70CD" w:rsidTr="00C3413E">
        <w:trPr>
          <w:cantSplit/>
          <w:trHeight w:val="283"/>
        </w:trPr>
        <w:tc>
          <w:tcPr>
            <w:tcW w:w="3676" w:type="dxa"/>
            <w:shd w:val="clear" w:color="auto" w:fill="auto"/>
          </w:tcPr>
          <w:p w:rsidR="00D907AF" w:rsidRPr="008B70CD" w:rsidRDefault="00D907AF" w:rsidP="00D907AF">
            <w:pPr>
              <w:spacing w:before="20" w:after="20"/>
              <w:rPr>
                <w:rFonts w:cstheme="minorHAnsi"/>
                <w:sz w:val="20"/>
                <w:szCs w:val="20"/>
              </w:rPr>
            </w:pPr>
            <w:r w:rsidRPr="008B70CD">
              <w:rPr>
                <w:rFonts w:cstheme="minorHAnsi"/>
                <w:sz w:val="20"/>
                <w:szCs w:val="20"/>
              </w:rPr>
              <w:t>Father (including step/adoptive)</w:t>
            </w:r>
          </w:p>
        </w:tc>
        <w:tc>
          <w:tcPr>
            <w:tcW w:w="675" w:type="dxa"/>
            <w:shd w:val="clear" w:color="auto" w:fill="auto"/>
            <w:vAlign w:val="center"/>
          </w:tcPr>
          <w:p w:rsidR="00D907AF" w:rsidRPr="008B70CD" w:rsidRDefault="00D907AF" w:rsidP="005560DF">
            <w:pPr>
              <w:spacing w:before="20" w:after="20"/>
              <w:ind w:right="57"/>
              <w:jc w:val="right"/>
              <w:rPr>
                <w:rFonts w:cstheme="minorHAnsi"/>
                <w:color w:val="000000"/>
                <w:sz w:val="20"/>
                <w:szCs w:val="20"/>
              </w:rPr>
            </w:pPr>
            <w:r w:rsidRPr="008B70CD">
              <w:rPr>
                <w:rFonts w:cstheme="minorHAnsi"/>
                <w:color w:val="000000"/>
                <w:sz w:val="20"/>
                <w:szCs w:val="20"/>
              </w:rPr>
              <w:t>515</w:t>
            </w:r>
          </w:p>
        </w:tc>
        <w:tc>
          <w:tcPr>
            <w:tcW w:w="860" w:type="dxa"/>
            <w:shd w:val="clear" w:color="auto" w:fill="auto"/>
            <w:vAlign w:val="center"/>
          </w:tcPr>
          <w:p w:rsidR="00D907AF" w:rsidRPr="008B70CD" w:rsidRDefault="00D907AF" w:rsidP="00D907AF">
            <w:pPr>
              <w:spacing w:before="20" w:after="20"/>
              <w:jc w:val="right"/>
              <w:rPr>
                <w:rFonts w:cstheme="minorHAnsi"/>
                <w:color w:val="000000"/>
                <w:sz w:val="20"/>
                <w:szCs w:val="20"/>
              </w:rPr>
            </w:pPr>
            <w:r w:rsidRPr="008B70CD">
              <w:rPr>
                <w:rFonts w:cstheme="minorHAnsi"/>
                <w:color w:val="000000"/>
                <w:sz w:val="20"/>
                <w:szCs w:val="20"/>
              </w:rPr>
              <w:t>57.8</w:t>
            </w:r>
          </w:p>
        </w:tc>
        <w:tc>
          <w:tcPr>
            <w:tcW w:w="1194" w:type="dxa"/>
            <w:shd w:val="clear" w:color="auto" w:fill="auto"/>
            <w:vAlign w:val="center"/>
          </w:tcPr>
          <w:p w:rsidR="00D907AF" w:rsidRPr="008B70CD" w:rsidRDefault="00D907AF" w:rsidP="005560DF">
            <w:pPr>
              <w:spacing w:before="20" w:after="20"/>
              <w:ind w:right="227"/>
              <w:jc w:val="right"/>
              <w:rPr>
                <w:rFonts w:cstheme="minorHAnsi"/>
                <w:color w:val="000000"/>
                <w:sz w:val="20"/>
                <w:szCs w:val="20"/>
              </w:rPr>
            </w:pPr>
            <w:r w:rsidRPr="008B70CD">
              <w:rPr>
                <w:rFonts w:cstheme="minorHAnsi"/>
                <w:color w:val="000000"/>
                <w:sz w:val="20"/>
                <w:szCs w:val="20"/>
              </w:rPr>
              <w:t>414</w:t>
            </w:r>
          </w:p>
        </w:tc>
        <w:tc>
          <w:tcPr>
            <w:tcW w:w="1194" w:type="dxa"/>
            <w:shd w:val="clear" w:color="auto" w:fill="auto"/>
            <w:vAlign w:val="center"/>
          </w:tcPr>
          <w:p w:rsidR="00D907AF" w:rsidRPr="008B70CD" w:rsidRDefault="00D907AF" w:rsidP="005560DF">
            <w:pPr>
              <w:tabs>
                <w:tab w:val="decimal" w:pos="588"/>
              </w:tabs>
              <w:spacing w:before="20" w:after="20"/>
              <w:rPr>
                <w:rFonts w:cstheme="minorHAnsi"/>
                <w:color w:val="000000"/>
                <w:sz w:val="20"/>
                <w:szCs w:val="20"/>
              </w:rPr>
            </w:pPr>
            <w:r w:rsidRPr="008B70CD">
              <w:rPr>
                <w:rFonts w:cstheme="minorHAnsi"/>
                <w:color w:val="000000"/>
                <w:sz w:val="20"/>
                <w:szCs w:val="20"/>
              </w:rPr>
              <w:t>41.2</w:t>
            </w:r>
          </w:p>
        </w:tc>
        <w:tc>
          <w:tcPr>
            <w:tcW w:w="771" w:type="dxa"/>
            <w:shd w:val="clear" w:color="auto" w:fill="auto"/>
            <w:vAlign w:val="center"/>
          </w:tcPr>
          <w:p w:rsidR="00D907AF" w:rsidRPr="008B70CD" w:rsidRDefault="00D907AF" w:rsidP="00D907AF">
            <w:pPr>
              <w:spacing w:before="20" w:after="20"/>
              <w:jc w:val="right"/>
              <w:rPr>
                <w:rFonts w:cstheme="minorHAnsi"/>
                <w:color w:val="000000"/>
                <w:sz w:val="20"/>
                <w:szCs w:val="20"/>
              </w:rPr>
            </w:pPr>
            <w:r w:rsidRPr="008B70CD">
              <w:rPr>
                <w:rFonts w:cstheme="minorHAnsi"/>
                <w:color w:val="000000"/>
                <w:sz w:val="20"/>
                <w:szCs w:val="20"/>
              </w:rPr>
              <w:t>929</w:t>
            </w:r>
          </w:p>
        </w:tc>
        <w:tc>
          <w:tcPr>
            <w:tcW w:w="671" w:type="dxa"/>
            <w:shd w:val="clear" w:color="auto" w:fill="auto"/>
            <w:vAlign w:val="center"/>
          </w:tcPr>
          <w:p w:rsidR="00D907AF" w:rsidRPr="008B70CD" w:rsidRDefault="00D907AF" w:rsidP="00D907AF">
            <w:pPr>
              <w:spacing w:before="20" w:after="20"/>
              <w:jc w:val="right"/>
              <w:rPr>
                <w:rFonts w:cstheme="minorHAnsi"/>
                <w:color w:val="000000"/>
                <w:sz w:val="20"/>
                <w:szCs w:val="20"/>
              </w:rPr>
            </w:pPr>
            <w:r w:rsidRPr="008B70CD">
              <w:rPr>
                <w:rFonts w:cstheme="minorHAnsi"/>
                <w:color w:val="000000"/>
                <w:sz w:val="20"/>
                <w:szCs w:val="20"/>
              </w:rPr>
              <w:t>49.0</w:t>
            </w:r>
          </w:p>
        </w:tc>
      </w:tr>
      <w:tr w:rsidR="00D907AF" w:rsidRPr="008B70CD" w:rsidTr="00C3413E">
        <w:trPr>
          <w:cantSplit/>
          <w:trHeight w:val="283"/>
        </w:trPr>
        <w:tc>
          <w:tcPr>
            <w:tcW w:w="3676" w:type="dxa"/>
            <w:shd w:val="clear" w:color="auto" w:fill="auto"/>
          </w:tcPr>
          <w:p w:rsidR="00D907AF" w:rsidRPr="008B70CD" w:rsidRDefault="00D907AF" w:rsidP="00D907AF">
            <w:pPr>
              <w:spacing w:before="20" w:after="20"/>
              <w:rPr>
                <w:rFonts w:cstheme="minorHAnsi"/>
                <w:sz w:val="20"/>
                <w:szCs w:val="20"/>
              </w:rPr>
            </w:pPr>
            <w:r w:rsidRPr="008B70CD">
              <w:rPr>
                <w:rFonts w:cstheme="minorHAnsi"/>
                <w:sz w:val="20"/>
                <w:szCs w:val="20"/>
              </w:rPr>
              <w:t>Daughter or son (including step/adoptive)</w:t>
            </w:r>
          </w:p>
        </w:tc>
        <w:tc>
          <w:tcPr>
            <w:tcW w:w="675" w:type="dxa"/>
            <w:shd w:val="clear" w:color="auto" w:fill="auto"/>
            <w:vAlign w:val="center"/>
          </w:tcPr>
          <w:p w:rsidR="00D907AF" w:rsidRPr="008B70CD" w:rsidRDefault="00D907AF" w:rsidP="005560DF">
            <w:pPr>
              <w:spacing w:before="20" w:after="20"/>
              <w:ind w:right="57"/>
              <w:jc w:val="right"/>
              <w:rPr>
                <w:rFonts w:cstheme="minorHAnsi"/>
                <w:color w:val="000000"/>
                <w:sz w:val="20"/>
                <w:szCs w:val="20"/>
              </w:rPr>
            </w:pPr>
            <w:r w:rsidRPr="008B70CD">
              <w:rPr>
                <w:rFonts w:cstheme="minorHAnsi"/>
                <w:color w:val="000000"/>
                <w:sz w:val="20"/>
                <w:szCs w:val="20"/>
              </w:rPr>
              <w:t>37</w:t>
            </w:r>
          </w:p>
        </w:tc>
        <w:tc>
          <w:tcPr>
            <w:tcW w:w="860" w:type="dxa"/>
            <w:shd w:val="clear" w:color="auto" w:fill="auto"/>
            <w:vAlign w:val="center"/>
          </w:tcPr>
          <w:p w:rsidR="00D907AF" w:rsidRPr="008B70CD" w:rsidRDefault="00D907AF" w:rsidP="00D907AF">
            <w:pPr>
              <w:spacing w:before="20" w:after="20"/>
              <w:jc w:val="right"/>
              <w:rPr>
                <w:rFonts w:cstheme="minorHAnsi"/>
                <w:color w:val="000000"/>
                <w:sz w:val="20"/>
                <w:szCs w:val="20"/>
              </w:rPr>
            </w:pPr>
            <w:r w:rsidRPr="008B70CD">
              <w:rPr>
                <w:rFonts w:cstheme="minorHAnsi"/>
                <w:color w:val="000000"/>
                <w:sz w:val="20"/>
                <w:szCs w:val="20"/>
              </w:rPr>
              <w:t>4.2</w:t>
            </w:r>
          </w:p>
        </w:tc>
        <w:tc>
          <w:tcPr>
            <w:tcW w:w="1194" w:type="dxa"/>
            <w:shd w:val="clear" w:color="auto" w:fill="auto"/>
            <w:vAlign w:val="center"/>
          </w:tcPr>
          <w:p w:rsidR="00D907AF" w:rsidRPr="008B70CD" w:rsidRDefault="00D907AF" w:rsidP="005560DF">
            <w:pPr>
              <w:spacing w:before="20" w:after="20"/>
              <w:ind w:right="227"/>
              <w:jc w:val="right"/>
              <w:rPr>
                <w:rFonts w:cstheme="minorHAnsi"/>
                <w:color w:val="000000"/>
                <w:sz w:val="20"/>
                <w:szCs w:val="20"/>
              </w:rPr>
            </w:pPr>
            <w:r w:rsidRPr="008B70CD">
              <w:rPr>
                <w:rFonts w:cstheme="minorHAnsi"/>
                <w:color w:val="000000"/>
                <w:sz w:val="20"/>
                <w:szCs w:val="20"/>
              </w:rPr>
              <w:t>81</w:t>
            </w:r>
          </w:p>
        </w:tc>
        <w:tc>
          <w:tcPr>
            <w:tcW w:w="1194" w:type="dxa"/>
            <w:shd w:val="clear" w:color="auto" w:fill="auto"/>
            <w:vAlign w:val="center"/>
          </w:tcPr>
          <w:p w:rsidR="00D907AF" w:rsidRPr="008B70CD" w:rsidRDefault="00D907AF" w:rsidP="005560DF">
            <w:pPr>
              <w:tabs>
                <w:tab w:val="decimal" w:pos="588"/>
              </w:tabs>
              <w:spacing w:before="20" w:after="20"/>
              <w:rPr>
                <w:rFonts w:cstheme="minorHAnsi"/>
                <w:color w:val="000000"/>
                <w:sz w:val="20"/>
                <w:szCs w:val="20"/>
              </w:rPr>
            </w:pPr>
            <w:r w:rsidRPr="008B70CD">
              <w:rPr>
                <w:rFonts w:cstheme="minorHAnsi"/>
                <w:color w:val="000000"/>
                <w:sz w:val="20"/>
                <w:szCs w:val="20"/>
              </w:rPr>
              <w:t>8.1</w:t>
            </w:r>
          </w:p>
        </w:tc>
        <w:tc>
          <w:tcPr>
            <w:tcW w:w="771" w:type="dxa"/>
            <w:shd w:val="clear" w:color="auto" w:fill="auto"/>
            <w:vAlign w:val="center"/>
          </w:tcPr>
          <w:p w:rsidR="00D907AF" w:rsidRPr="008B70CD" w:rsidRDefault="00D907AF" w:rsidP="00D907AF">
            <w:pPr>
              <w:spacing w:before="20" w:after="20"/>
              <w:jc w:val="right"/>
              <w:rPr>
                <w:rFonts w:cstheme="minorHAnsi"/>
                <w:color w:val="000000"/>
                <w:sz w:val="20"/>
                <w:szCs w:val="20"/>
              </w:rPr>
            </w:pPr>
            <w:r w:rsidRPr="008B70CD">
              <w:rPr>
                <w:rFonts w:cstheme="minorHAnsi"/>
                <w:color w:val="000000"/>
                <w:sz w:val="20"/>
                <w:szCs w:val="20"/>
              </w:rPr>
              <w:t>118</w:t>
            </w:r>
          </w:p>
        </w:tc>
        <w:tc>
          <w:tcPr>
            <w:tcW w:w="671" w:type="dxa"/>
            <w:shd w:val="clear" w:color="auto" w:fill="auto"/>
            <w:vAlign w:val="center"/>
          </w:tcPr>
          <w:p w:rsidR="00D907AF" w:rsidRPr="008B70CD" w:rsidRDefault="00D907AF" w:rsidP="00D907AF">
            <w:pPr>
              <w:spacing w:before="20" w:after="20"/>
              <w:jc w:val="right"/>
              <w:rPr>
                <w:rFonts w:cstheme="minorHAnsi"/>
                <w:color w:val="000000"/>
                <w:sz w:val="20"/>
                <w:szCs w:val="20"/>
              </w:rPr>
            </w:pPr>
            <w:r w:rsidRPr="008B70CD">
              <w:rPr>
                <w:rFonts w:cstheme="minorHAnsi"/>
                <w:color w:val="000000"/>
                <w:sz w:val="20"/>
                <w:szCs w:val="20"/>
              </w:rPr>
              <w:t>6.2</w:t>
            </w:r>
          </w:p>
        </w:tc>
      </w:tr>
      <w:tr w:rsidR="00D907AF" w:rsidRPr="008B70CD" w:rsidTr="00C3413E">
        <w:trPr>
          <w:cantSplit/>
          <w:trHeight w:val="283"/>
        </w:trPr>
        <w:tc>
          <w:tcPr>
            <w:tcW w:w="3676" w:type="dxa"/>
            <w:shd w:val="clear" w:color="auto" w:fill="auto"/>
          </w:tcPr>
          <w:p w:rsidR="00D907AF" w:rsidRPr="008B70CD" w:rsidRDefault="00D907AF" w:rsidP="00D907AF">
            <w:pPr>
              <w:spacing w:before="20" w:after="20"/>
              <w:rPr>
                <w:rFonts w:cstheme="minorHAnsi"/>
                <w:sz w:val="20"/>
                <w:szCs w:val="20"/>
              </w:rPr>
            </w:pPr>
            <w:r w:rsidRPr="008B70CD">
              <w:rPr>
                <w:rFonts w:cstheme="minorHAnsi"/>
                <w:sz w:val="20"/>
                <w:szCs w:val="20"/>
              </w:rPr>
              <w:t>Foster mother</w:t>
            </w:r>
          </w:p>
        </w:tc>
        <w:tc>
          <w:tcPr>
            <w:tcW w:w="675" w:type="dxa"/>
            <w:shd w:val="clear" w:color="auto" w:fill="auto"/>
            <w:vAlign w:val="center"/>
          </w:tcPr>
          <w:p w:rsidR="00D907AF" w:rsidRPr="008B70CD" w:rsidRDefault="00D907AF" w:rsidP="005560DF">
            <w:pPr>
              <w:spacing w:before="20" w:after="20"/>
              <w:ind w:right="57"/>
              <w:jc w:val="right"/>
              <w:rPr>
                <w:rFonts w:cstheme="minorHAnsi"/>
                <w:color w:val="000000"/>
                <w:sz w:val="20"/>
                <w:szCs w:val="20"/>
              </w:rPr>
            </w:pPr>
            <w:r w:rsidRPr="008B70CD">
              <w:rPr>
                <w:rFonts w:cstheme="minorHAnsi"/>
                <w:color w:val="000000"/>
                <w:sz w:val="20"/>
                <w:szCs w:val="20"/>
              </w:rPr>
              <w:t>10</w:t>
            </w:r>
          </w:p>
        </w:tc>
        <w:tc>
          <w:tcPr>
            <w:tcW w:w="860" w:type="dxa"/>
            <w:shd w:val="clear" w:color="auto" w:fill="auto"/>
            <w:vAlign w:val="center"/>
          </w:tcPr>
          <w:p w:rsidR="00D907AF" w:rsidRPr="008B70CD" w:rsidRDefault="00D907AF" w:rsidP="00D907AF">
            <w:pPr>
              <w:spacing w:before="20" w:after="20"/>
              <w:jc w:val="right"/>
              <w:rPr>
                <w:rFonts w:cstheme="minorHAnsi"/>
                <w:color w:val="000000"/>
                <w:sz w:val="20"/>
                <w:szCs w:val="20"/>
              </w:rPr>
            </w:pPr>
            <w:r w:rsidRPr="008B70CD">
              <w:rPr>
                <w:rFonts w:cstheme="minorHAnsi"/>
                <w:color w:val="000000"/>
                <w:sz w:val="20"/>
                <w:szCs w:val="20"/>
              </w:rPr>
              <w:t>1.1</w:t>
            </w:r>
          </w:p>
        </w:tc>
        <w:tc>
          <w:tcPr>
            <w:tcW w:w="1194" w:type="dxa"/>
            <w:shd w:val="clear" w:color="auto" w:fill="auto"/>
            <w:vAlign w:val="center"/>
          </w:tcPr>
          <w:p w:rsidR="00D907AF" w:rsidRPr="008B70CD" w:rsidRDefault="00D907AF" w:rsidP="005560DF">
            <w:pPr>
              <w:spacing w:before="20" w:after="20"/>
              <w:ind w:right="227"/>
              <w:jc w:val="right"/>
              <w:rPr>
                <w:rFonts w:cstheme="minorHAnsi"/>
                <w:color w:val="000000"/>
                <w:sz w:val="20"/>
                <w:szCs w:val="20"/>
              </w:rPr>
            </w:pPr>
            <w:r w:rsidRPr="008B70CD">
              <w:rPr>
                <w:rFonts w:cstheme="minorHAnsi"/>
                <w:color w:val="000000"/>
                <w:sz w:val="20"/>
                <w:szCs w:val="20"/>
              </w:rPr>
              <w:t>12</w:t>
            </w:r>
          </w:p>
        </w:tc>
        <w:tc>
          <w:tcPr>
            <w:tcW w:w="1194" w:type="dxa"/>
            <w:shd w:val="clear" w:color="auto" w:fill="auto"/>
            <w:vAlign w:val="center"/>
          </w:tcPr>
          <w:p w:rsidR="00D907AF" w:rsidRPr="008B70CD" w:rsidRDefault="00D907AF" w:rsidP="005560DF">
            <w:pPr>
              <w:tabs>
                <w:tab w:val="decimal" w:pos="588"/>
              </w:tabs>
              <w:spacing w:before="20" w:after="20"/>
              <w:rPr>
                <w:rFonts w:cstheme="minorHAnsi"/>
                <w:color w:val="000000"/>
                <w:sz w:val="20"/>
                <w:szCs w:val="20"/>
              </w:rPr>
            </w:pPr>
            <w:r w:rsidRPr="008B70CD">
              <w:rPr>
                <w:rFonts w:cstheme="minorHAnsi"/>
                <w:color w:val="000000"/>
                <w:sz w:val="20"/>
                <w:szCs w:val="20"/>
              </w:rPr>
              <w:t>1.2</w:t>
            </w:r>
          </w:p>
        </w:tc>
        <w:tc>
          <w:tcPr>
            <w:tcW w:w="771" w:type="dxa"/>
            <w:shd w:val="clear" w:color="auto" w:fill="auto"/>
            <w:vAlign w:val="center"/>
          </w:tcPr>
          <w:p w:rsidR="00D907AF" w:rsidRPr="008B70CD" w:rsidRDefault="00D907AF" w:rsidP="00D907AF">
            <w:pPr>
              <w:spacing w:before="20" w:after="20"/>
              <w:jc w:val="right"/>
              <w:rPr>
                <w:rFonts w:cstheme="minorHAnsi"/>
                <w:color w:val="000000"/>
                <w:sz w:val="20"/>
                <w:szCs w:val="20"/>
              </w:rPr>
            </w:pPr>
            <w:r w:rsidRPr="008B70CD">
              <w:rPr>
                <w:rFonts w:cstheme="minorHAnsi"/>
                <w:color w:val="000000"/>
                <w:sz w:val="20"/>
                <w:szCs w:val="20"/>
              </w:rPr>
              <w:t>22</w:t>
            </w:r>
          </w:p>
        </w:tc>
        <w:tc>
          <w:tcPr>
            <w:tcW w:w="671" w:type="dxa"/>
            <w:shd w:val="clear" w:color="auto" w:fill="auto"/>
            <w:vAlign w:val="center"/>
          </w:tcPr>
          <w:p w:rsidR="00D907AF" w:rsidRPr="008B70CD" w:rsidRDefault="00D907AF" w:rsidP="00D907AF">
            <w:pPr>
              <w:spacing w:before="20" w:after="20"/>
              <w:jc w:val="right"/>
              <w:rPr>
                <w:rFonts w:cstheme="minorHAnsi"/>
                <w:color w:val="000000"/>
                <w:sz w:val="20"/>
                <w:szCs w:val="20"/>
              </w:rPr>
            </w:pPr>
            <w:r w:rsidRPr="008B70CD">
              <w:rPr>
                <w:rFonts w:cstheme="minorHAnsi"/>
                <w:color w:val="000000"/>
                <w:sz w:val="20"/>
                <w:szCs w:val="20"/>
              </w:rPr>
              <w:t>1.2</w:t>
            </w:r>
          </w:p>
        </w:tc>
      </w:tr>
      <w:tr w:rsidR="00D907AF" w:rsidRPr="008B70CD" w:rsidTr="00C3413E">
        <w:trPr>
          <w:cantSplit/>
          <w:trHeight w:val="283"/>
        </w:trPr>
        <w:tc>
          <w:tcPr>
            <w:tcW w:w="3676" w:type="dxa"/>
            <w:shd w:val="clear" w:color="auto" w:fill="auto"/>
          </w:tcPr>
          <w:p w:rsidR="00D907AF" w:rsidRPr="008B70CD" w:rsidRDefault="00D907AF" w:rsidP="00D907AF">
            <w:pPr>
              <w:spacing w:before="20" w:after="20"/>
              <w:rPr>
                <w:rFonts w:cstheme="minorHAnsi"/>
                <w:sz w:val="20"/>
                <w:szCs w:val="20"/>
              </w:rPr>
            </w:pPr>
            <w:r w:rsidRPr="008B70CD">
              <w:rPr>
                <w:rFonts w:cstheme="minorHAnsi"/>
                <w:sz w:val="20"/>
                <w:szCs w:val="20"/>
              </w:rPr>
              <w:t>Foster father</w:t>
            </w:r>
          </w:p>
        </w:tc>
        <w:tc>
          <w:tcPr>
            <w:tcW w:w="675" w:type="dxa"/>
            <w:shd w:val="clear" w:color="auto" w:fill="auto"/>
            <w:vAlign w:val="center"/>
          </w:tcPr>
          <w:p w:rsidR="00D907AF" w:rsidRPr="008B70CD" w:rsidRDefault="00D907AF" w:rsidP="005560DF">
            <w:pPr>
              <w:spacing w:before="20" w:after="20"/>
              <w:ind w:right="57"/>
              <w:jc w:val="right"/>
              <w:rPr>
                <w:rFonts w:cstheme="minorHAnsi"/>
                <w:color w:val="000000"/>
                <w:sz w:val="20"/>
                <w:szCs w:val="20"/>
              </w:rPr>
            </w:pPr>
            <w:r w:rsidRPr="008B70CD">
              <w:rPr>
                <w:rFonts w:cstheme="minorHAnsi"/>
                <w:color w:val="000000"/>
                <w:sz w:val="20"/>
                <w:szCs w:val="20"/>
              </w:rPr>
              <w:t>8</w:t>
            </w:r>
          </w:p>
        </w:tc>
        <w:tc>
          <w:tcPr>
            <w:tcW w:w="860" w:type="dxa"/>
            <w:shd w:val="clear" w:color="auto" w:fill="auto"/>
            <w:vAlign w:val="center"/>
          </w:tcPr>
          <w:p w:rsidR="00D907AF" w:rsidRPr="008B70CD" w:rsidRDefault="00D907AF" w:rsidP="00D907AF">
            <w:pPr>
              <w:spacing w:before="20" w:after="20"/>
              <w:jc w:val="right"/>
              <w:rPr>
                <w:rFonts w:cstheme="minorHAnsi"/>
                <w:color w:val="000000"/>
                <w:sz w:val="20"/>
                <w:szCs w:val="20"/>
              </w:rPr>
            </w:pPr>
            <w:r w:rsidRPr="008B70CD">
              <w:rPr>
                <w:rFonts w:cstheme="minorHAnsi"/>
                <w:color w:val="000000"/>
                <w:sz w:val="20"/>
                <w:szCs w:val="20"/>
              </w:rPr>
              <w:t>0.9</w:t>
            </w:r>
          </w:p>
        </w:tc>
        <w:tc>
          <w:tcPr>
            <w:tcW w:w="1194" w:type="dxa"/>
            <w:shd w:val="clear" w:color="auto" w:fill="auto"/>
            <w:vAlign w:val="center"/>
          </w:tcPr>
          <w:p w:rsidR="00D907AF" w:rsidRPr="008B70CD" w:rsidRDefault="00D907AF" w:rsidP="005560DF">
            <w:pPr>
              <w:spacing w:before="20" w:after="20"/>
              <w:ind w:right="227"/>
              <w:jc w:val="right"/>
              <w:rPr>
                <w:rFonts w:cstheme="minorHAnsi"/>
                <w:color w:val="000000"/>
                <w:sz w:val="20"/>
                <w:szCs w:val="20"/>
              </w:rPr>
            </w:pPr>
            <w:r w:rsidRPr="008B70CD">
              <w:rPr>
                <w:rFonts w:cstheme="minorHAnsi"/>
                <w:color w:val="000000"/>
                <w:sz w:val="20"/>
                <w:szCs w:val="20"/>
              </w:rPr>
              <w:t>6</w:t>
            </w:r>
          </w:p>
        </w:tc>
        <w:tc>
          <w:tcPr>
            <w:tcW w:w="1194" w:type="dxa"/>
            <w:shd w:val="clear" w:color="auto" w:fill="auto"/>
            <w:vAlign w:val="center"/>
          </w:tcPr>
          <w:p w:rsidR="00D907AF" w:rsidRPr="008B70CD" w:rsidRDefault="00D907AF" w:rsidP="005560DF">
            <w:pPr>
              <w:tabs>
                <w:tab w:val="decimal" w:pos="588"/>
              </w:tabs>
              <w:spacing w:before="20" w:after="20"/>
              <w:rPr>
                <w:rFonts w:cstheme="minorHAnsi"/>
                <w:color w:val="000000"/>
                <w:sz w:val="20"/>
                <w:szCs w:val="20"/>
              </w:rPr>
            </w:pPr>
            <w:r w:rsidRPr="008B70CD">
              <w:rPr>
                <w:rFonts w:cstheme="minorHAnsi"/>
                <w:color w:val="000000"/>
                <w:sz w:val="20"/>
                <w:szCs w:val="20"/>
              </w:rPr>
              <w:t>0.6</w:t>
            </w:r>
          </w:p>
        </w:tc>
        <w:tc>
          <w:tcPr>
            <w:tcW w:w="771" w:type="dxa"/>
            <w:shd w:val="clear" w:color="auto" w:fill="auto"/>
            <w:vAlign w:val="center"/>
          </w:tcPr>
          <w:p w:rsidR="00D907AF" w:rsidRPr="008B70CD" w:rsidRDefault="00D907AF" w:rsidP="00D907AF">
            <w:pPr>
              <w:spacing w:before="20" w:after="20"/>
              <w:jc w:val="right"/>
              <w:rPr>
                <w:rFonts w:cstheme="minorHAnsi"/>
                <w:color w:val="000000"/>
                <w:sz w:val="20"/>
                <w:szCs w:val="20"/>
              </w:rPr>
            </w:pPr>
            <w:r w:rsidRPr="008B70CD">
              <w:rPr>
                <w:rFonts w:cstheme="minorHAnsi"/>
                <w:color w:val="000000"/>
                <w:sz w:val="20"/>
                <w:szCs w:val="20"/>
              </w:rPr>
              <w:t>14</w:t>
            </w:r>
          </w:p>
        </w:tc>
        <w:tc>
          <w:tcPr>
            <w:tcW w:w="671" w:type="dxa"/>
            <w:shd w:val="clear" w:color="auto" w:fill="auto"/>
            <w:vAlign w:val="center"/>
          </w:tcPr>
          <w:p w:rsidR="00D907AF" w:rsidRPr="008B70CD" w:rsidRDefault="00D907AF" w:rsidP="00D907AF">
            <w:pPr>
              <w:spacing w:before="20" w:after="20"/>
              <w:jc w:val="right"/>
              <w:rPr>
                <w:rFonts w:cstheme="minorHAnsi"/>
                <w:color w:val="000000"/>
                <w:sz w:val="20"/>
                <w:szCs w:val="20"/>
              </w:rPr>
            </w:pPr>
            <w:r w:rsidRPr="008B70CD">
              <w:rPr>
                <w:rFonts w:cstheme="minorHAnsi"/>
                <w:color w:val="000000"/>
                <w:sz w:val="20"/>
                <w:szCs w:val="20"/>
              </w:rPr>
              <w:t>0.7</w:t>
            </w:r>
          </w:p>
        </w:tc>
      </w:tr>
      <w:tr w:rsidR="00D907AF" w:rsidRPr="008B70CD" w:rsidTr="00C3413E">
        <w:trPr>
          <w:cantSplit/>
          <w:trHeight w:val="283"/>
        </w:trPr>
        <w:tc>
          <w:tcPr>
            <w:tcW w:w="3676" w:type="dxa"/>
            <w:shd w:val="clear" w:color="auto" w:fill="auto"/>
          </w:tcPr>
          <w:p w:rsidR="00D907AF" w:rsidRPr="008B70CD" w:rsidRDefault="00D907AF" w:rsidP="00D907AF">
            <w:pPr>
              <w:spacing w:before="20" w:after="20"/>
              <w:rPr>
                <w:rFonts w:cstheme="minorHAnsi"/>
                <w:sz w:val="20"/>
                <w:szCs w:val="20"/>
              </w:rPr>
            </w:pPr>
            <w:r w:rsidRPr="008B70CD">
              <w:rPr>
                <w:rFonts w:cstheme="minorHAnsi"/>
                <w:sz w:val="20"/>
                <w:szCs w:val="20"/>
              </w:rPr>
              <w:t>Sister or brother (including step/adopted)</w:t>
            </w:r>
          </w:p>
        </w:tc>
        <w:tc>
          <w:tcPr>
            <w:tcW w:w="675" w:type="dxa"/>
            <w:shd w:val="clear" w:color="auto" w:fill="auto"/>
            <w:vAlign w:val="center"/>
          </w:tcPr>
          <w:p w:rsidR="00D907AF" w:rsidRPr="008B70CD" w:rsidRDefault="00D907AF" w:rsidP="005560DF">
            <w:pPr>
              <w:spacing w:before="20" w:after="20"/>
              <w:ind w:right="57"/>
              <w:jc w:val="right"/>
              <w:rPr>
                <w:rFonts w:cstheme="minorHAnsi"/>
                <w:color w:val="000000"/>
                <w:sz w:val="20"/>
                <w:szCs w:val="20"/>
              </w:rPr>
            </w:pPr>
            <w:r w:rsidRPr="008B70CD">
              <w:rPr>
                <w:rFonts w:cstheme="minorHAnsi"/>
                <w:color w:val="000000"/>
                <w:sz w:val="20"/>
                <w:szCs w:val="20"/>
              </w:rPr>
              <w:t>404</w:t>
            </w:r>
          </w:p>
        </w:tc>
        <w:tc>
          <w:tcPr>
            <w:tcW w:w="860" w:type="dxa"/>
            <w:shd w:val="clear" w:color="auto" w:fill="auto"/>
            <w:vAlign w:val="center"/>
          </w:tcPr>
          <w:p w:rsidR="00D907AF" w:rsidRPr="008B70CD" w:rsidRDefault="00D907AF" w:rsidP="00D907AF">
            <w:pPr>
              <w:spacing w:before="20" w:after="20"/>
              <w:jc w:val="right"/>
              <w:rPr>
                <w:rFonts w:cstheme="minorHAnsi"/>
                <w:color w:val="000000"/>
                <w:sz w:val="20"/>
                <w:szCs w:val="20"/>
              </w:rPr>
            </w:pPr>
            <w:r w:rsidRPr="008B70CD">
              <w:rPr>
                <w:rFonts w:cstheme="minorHAnsi"/>
                <w:color w:val="000000"/>
                <w:sz w:val="20"/>
                <w:szCs w:val="20"/>
              </w:rPr>
              <w:t>45.3</w:t>
            </w:r>
          </w:p>
        </w:tc>
        <w:tc>
          <w:tcPr>
            <w:tcW w:w="1194" w:type="dxa"/>
            <w:shd w:val="clear" w:color="auto" w:fill="auto"/>
            <w:vAlign w:val="center"/>
          </w:tcPr>
          <w:p w:rsidR="00D907AF" w:rsidRPr="008B70CD" w:rsidRDefault="00D907AF" w:rsidP="005560DF">
            <w:pPr>
              <w:spacing w:before="20" w:after="20"/>
              <w:ind w:right="227"/>
              <w:jc w:val="right"/>
              <w:rPr>
                <w:rFonts w:cstheme="minorHAnsi"/>
                <w:color w:val="000000"/>
                <w:sz w:val="20"/>
                <w:szCs w:val="20"/>
              </w:rPr>
            </w:pPr>
            <w:r w:rsidRPr="008B70CD">
              <w:rPr>
                <w:rFonts w:cstheme="minorHAnsi"/>
                <w:color w:val="000000"/>
                <w:sz w:val="20"/>
                <w:szCs w:val="20"/>
              </w:rPr>
              <w:t>374</w:t>
            </w:r>
          </w:p>
        </w:tc>
        <w:tc>
          <w:tcPr>
            <w:tcW w:w="1194" w:type="dxa"/>
            <w:shd w:val="clear" w:color="auto" w:fill="auto"/>
            <w:vAlign w:val="center"/>
          </w:tcPr>
          <w:p w:rsidR="00D907AF" w:rsidRPr="008B70CD" w:rsidRDefault="00D907AF" w:rsidP="005560DF">
            <w:pPr>
              <w:tabs>
                <w:tab w:val="decimal" w:pos="588"/>
              </w:tabs>
              <w:spacing w:before="20" w:after="20"/>
              <w:rPr>
                <w:rFonts w:cstheme="minorHAnsi"/>
                <w:color w:val="000000"/>
                <w:sz w:val="20"/>
                <w:szCs w:val="20"/>
              </w:rPr>
            </w:pPr>
            <w:r w:rsidRPr="008B70CD">
              <w:rPr>
                <w:rFonts w:cstheme="minorHAnsi"/>
                <w:color w:val="000000"/>
                <w:sz w:val="20"/>
                <w:szCs w:val="20"/>
              </w:rPr>
              <w:t>37.3</w:t>
            </w:r>
          </w:p>
        </w:tc>
        <w:tc>
          <w:tcPr>
            <w:tcW w:w="771" w:type="dxa"/>
            <w:shd w:val="clear" w:color="auto" w:fill="auto"/>
            <w:vAlign w:val="center"/>
          </w:tcPr>
          <w:p w:rsidR="00D907AF" w:rsidRPr="008B70CD" w:rsidRDefault="00D907AF" w:rsidP="00D907AF">
            <w:pPr>
              <w:spacing w:before="20" w:after="20"/>
              <w:jc w:val="right"/>
              <w:rPr>
                <w:rFonts w:cstheme="minorHAnsi"/>
                <w:color w:val="000000"/>
                <w:sz w:val="20"/>
                <w:szCs w:val="20"/>
              </w:rPr>
            </w:pPr>
            <w:r w:rsidRPr="008B70CD">
              <w:rPr>
                <w:rFonts w:cstheme="minorHAnsi"/>
                <w:color w:val="000000"/>
                <w:sz w:val="20"/>
                <w:szCs w:val="20"/>
              </w:rPr>
              <w:t>778</w:t>
            </w:r>
          </w:p>
        </w:tc>
        <w:tc>
          <w:tcPr>
            <w:tcW w:w="671" w:type="dxa"/>
            <w:shd w:val="clear" w:color="auto" w:fill="auto"/>
            <w:vAlign w:val="center"/>
          </w:tcPr>
          <w:p w:rsidR="00D907AF" w:rsidRPr="008B70CD" w:rsidRDefault="00D907AF" w:rsidP="00D907AF">
            <w:pPr>
              <w:spacing w:before="20" w:after="20"/>
              <w:jc w:val="right"/>
              <w:rPr>
                <w:rFonts w:cstheme="minorHAnsi"/>
                <w:color w:val="000000"/>
                <w:sz w:val="20"/>
                <w:szCs w:val="20"/>
              </w:rPr>
            </w:pPr>
            <w:r w:rsidRPr="008B70CD">
              <w:rPr>
                <w:rFonts w:cstheme="minorHAnsi"/>
                <w:color w:val="000000"/>
                <w:sz w:val="20"/>
                <w:szCs w:val="20"/>
              </w:rPr>
              <w:t>41.1</w:t>
            </w:r>
          </w:p>
        </w:tc>
      </w:tr>
      <w:tr w:rsidR="00D907AF" w:rsidRPr="008B70CD" w:rsidTr="00C3413E">
        <w:trPr>
          <w:cantSplit/>
          <w:trHeight w:val="283"/>
        </w:trPr>
        <w:tc>
          <w:tcPr>
            <w:tcW w:w="3676" w:type="dxa"/>
            <w:shd w:val="clear" w:color="auto" w:fill="auto"/>
          </w:tcPr>
          <w:p w:rsidR="00D907AF" w:rsidRPr="008B70CD" w:rsidRDefault="00D907AF" w:rsidP="00D907AF">
            <w:pPr>
              <w:spacing w:before="20" w:after="20"/>
              <w:rPr>
                <w:rFonts w:cstheme="minorHAnsi"/>
                <w:sz w:val="20"/>
                <w:szCs w:val="20"/>
              </w:rPr>
            </w:pPr>
            <w:r w:rsidRPr="008B70CD">
              <w:rPr>
                <w:rFonts w:cstheme="minorHAnsi"/>
                <w:sz w:val="20"/>
                <w:szCs w:val="20"/>
              </w:rPr>
              <w:t>Grandparent (including step/adoptive)</w:t>
            </w:r>
          </w:p>
        </w:tc>
        <w:tc>
          <w:tcPr>
            <w:tcW w:w="675" w:type="dxa"/>
            <w:shd w:val="clear" w:color="auto" w:fill="auto"/>
            <w:vAlign w:val="center"/>
          </w:tcPr>
          <w:p w:rsidR="00D907AF" w:rsidRPr="008B70CD" w:rsidRDefault="00D907AF" w:rsidP="005560DF">
            <w:pPr>
              <w:spacing w:before="20" w:after="20"/>
              <w:ind w:right="57"/>
              <w:jc w:val="right"/>
              <w:rPr>
                <w:rFonts w:cstheme="minorHAnsi"/>
                <w:color w:val="000000"/>
                <w:sz w:val="20"/>
                <w:szCs w:val="20"/>
              </w:rPr>
            </w:pPr>
            <w:r w:rsidRPr="008B70CD">
              <w:rPr>
                <w:rFonts w:cstheme="minorHAnsi"/>
                <w:color w:val="000000"/>
                <w:sz w:val="20"/>
                <w:szCs w:val="20"/>
              </w:rPr>
              <w:t>22</w:t>
            </w:r>
          </w:p>
        </w:tc>
        <w:tc>
          <w:tcPr>
            <w:tcW w:w="860" w:type="dxa"/>
            <w:shd w:val="clear" w:color="auto" w:fill="auto"/>
            <w:vAlign w:val="center"/>
          </w:tcPr>
          <w:p w:rsidR="00D907AF" w:rsidRPr="008B70CD" w:rsidRDefault="00D907AF" w:rsidP="00D907AF">
            <w:pPr>
              <w:spacing w:before="20" w:after="20"/>
              <w:jc w:val="right"/>
              <w:rPr>
                <w:rFonts w:cstheme="minorHAnsi"/>
                <w:color w:val="000000"/>
                <w:sz w:val="20"/>
                <w:szCs w:val="20"/>
              </w:rPr>
            </w:pPr>
            <w:r w:rsidRPr="008B70CD">
              <w:rPr>
                <w:rFonts w:cstheme="minorHAnsi"/>
                <w:color w:val="000000"/>
                <w:sz w:val="20"/>
                <w:szCs w:val="20"/>
              </w:rPr>
              <w:t>2.5</w:t>
            </w:r>
          </w:p>
        </w:tc>
        <w:tc>
          <w:tcPr>
            <w:tcW w:w="1194" w:type="dxa"/>
            <w:shd w:val="clear" w:color="auto" w:fill="auto"/>
            <w:vAlign w:val="center"/>
          </w:tcPr>
          <w:p w:rsidR="00D907AF" w:rsidRPr="008B70CD" w:rsidRDefault="00D907AF" w:rsidP="005560DF">
            <w:pPr>
              <w:spacing w:before="20" w:after="20"/>
              <w:ind w:right="227"/>
              <w:jc w:val="right"/>
              <w:rPr>
                <w:rFonts w:cstheme="minorHAnsi"/>
                <w:color w:val="000000"/>
                <w:sz w:val="20"/>
                <w:szCs w:val="20"/>
              </w:rPr>
            </w:pPr>
            <w:r w:rsidRPr="008B70CD">
              <w:rPr>
                <w:rFonts w:cstheme="minorHAnsi"/>
                <w:color w:val="000000"/>
                <w:sz w:val="20"/>
                <w:szCs w:val="20"/>
              </w:rPr>
              <w:t>36</w:t>
            </w:r>
          </w:p>
        </w:tc>
        <w:tc>
          <w:tcPr>
            <w:tcW w:w="1194" w:type="dxa"/>
            <w:shd w:val="clear" w:color="auto" w:fill="auto"/>
            <w:vAlign w:val="center"/>
          </w:tcPr>
          <w:p w:rsidR="00D907AF" w:rsidRPr="008B70CD" w:rsidRDefault="00D907AF" w:rsidP="005560DF">
            <w:pPr>
              <w:tabs>
                <w:tab w:val="decimal" w:pos="588"/>
              </w:tabs>
              <w:spacing w:before="20" w:after="20"/>
              <w:rPr>
                <w:rFonts w:cstheme="minorHAnsi"/>
                <w:color w:val="000000"/>
                <w:sz w:val="20"/>
                <w:szCs w:val="20"/>
              </w:rPr>
            </w:pPr>
            <w:r w:rsidRPr="008B70CD">
              <w:rPr>
                <w:rFonts w:cstheme="minorHAnsi"/>
                <w:color w:val="000000"/>
                <w:sz w:val="20"/>
                <w:szCs w:val="20"/>
              </w:rPr>
              <w:t>3.6</w:t>
            </w:r>
          </w:p>
        </w:tc>
        <w:tc>
          <w:tcPr>
            <w:tcW w:w="771" w:type="dxa"/>
            <w:shd w:val="clear" w:color="auto" w:fill="auto"/>
            <w:vAlign w:val="center"/>
          </w:tcPr>
          <w:p w:rsidR="00D907AF" w:rsidRPr="008B70CD" w:rsidRDefault="00D907AF" w:rsidP="00D907AF">
            <w:pPr>
              <w:spacing w:before="20" w:after="20"/>
              <w:jc w:val="right"/>
              <w:rPr>
                <w:rFonts w:cstheme="minorHAnsi"/>
                <w:color w:val="000000"/>
                <w:sz w:val="20"/>
                <w:szCs w:val="20"/>
              </w:rPr>
            </w:pPr>
            <w:r w:rsidRPr="008B70CD">
              <w:rPr>
                <w:rFonts w:cstheme="minorHAnsi"/>
                <w:color w:val="000000"/>
                <w:sz w:val="20"/>
                <w:szCs w:val="20"/>
              </w:rPr>
              <w:t>58</w:t>
            </w:r>
          </w:p>
        </w:tc>
        <w:tc>
          <w:tcPr>
            <w:tcW w:w="671" w:type="dxa"/>
            <w:shd w:val="clear" w:color="auto" w:fill="auto"/>
            <w:vAlign w:val="center"/>
          </w:tcPr>
          <w:p w:rsidR="00D907AF" w:rsidRPr="008B70CD" w:rsidRDefault="00D907AF" w:rsidP="00D907AF">
            <w:pPr>
              <w:spacing w:before="20" w:after="20"/>
              <w:jc w:val="right"/>
              <w:rPr>
                <w:rFonts w:cstheme="minorHAnsi"/>
                <w:color w:val="000000"/>
                <w:sz w:val="20"/>
                <w:szCs w:val="20"/>
              </w:rPr>
            </w:pPr>
            <w:r w:rsidRPr="008B70CD">
              <w:rPr>
                <w:rFonts w:cstheme="minorHAnsi"/>
                <w:color w:val="000000"/>
                <w:sz w:val="20"/>
                <w:szCs w:val="20"/>
              </w:rPr>
              <w:t>3.1</w:t>
            </w:r>
          </w:p>
        </w:tc>
      </w:tr>
      <w:tr w:rsidR="00D907AF" w:rsidRPr="008B70CD" w:rsidTr="00C3413E">
        <w:trPr>
          <w:cantSplit/>
          <w:trHeight w:val="283"/>
        </w:trPr>
        <w:tc>
          <w:tcPr>
            <w:tcW w:w="3676" w:type="dxa"/>
            <w:shd w:val="clear" w:color="auto" w:fill="auto"/>
          </w:tcPr>
          <w:p w:rsidR="00D907AF" w:rsidRPr="008B70CD" w:rsidRDefault="00D907AF" w:rsidP="00D907AF">
            <w:pPr>
              <w:spacing w:before="20" w:after="20"/>
              <w:rPr>
                <w:rFonts w:cstheme="minorHAnsi"/>
                <w:sz w:val="20"/>
                <w:szCs w:val="20"/>
              </w:rPr>
            </w:pPr>
            <w:r w:rsidRPr="008B70CD">
              <w:rPr>
                <w:rFonts w:cstheme="minorHAnsi"/>
                <w:sz w:val="20"/>
                <w:szCs w:val="20"/>
              </w:rPr>
              <w:t>Other family member (cousin, uncle, aunt)</w:t>
            </w:r>
          </w:p>
        </w:tc>
        <w:tc>
          <w:tcPr>
            <w:tcW w:w="675" w:type="dxa"/>
            <w:shd w:val="clear" w:color="auto" w:fill="auto"/>
            <w:vAlign w:val="center"/>
          </w:tcPr>
          <w:p w:rsidR="00D907AF" w:rsidRPr="008B70CD" w:rsidRDefault="00D907AF" w:rsidP="005560DF">
            <w:pPr>
              <w:spacing w:before="20" w:after="20"/>
              <w:ind w:right="57"/>
              <w:jc w:val="right"/>
              <w:rPr>
                <w:rFonts w:cstheme="minorHAnsi"/>
                <w:color w:val="000000"/>
                <w:sz w:val="20"/>
                <w:szCs w:val="20"/>
              </w:rPr>
            </w:pPr>
            <w:r w:rsidRPr="008B70CD">
              <w:rPr>
                <w:rFonts w:cstheme="minorHAnsi"/>
                <w:color w:val="000000"/>
                <w:sz w:val="20"/>
                <w:szCs w:val="20"/>
              </w:rPr>
              <w:t>15</w:t>
            </w:r>
          </w:p>
        </w:tc>
        <w:tc>
          <w:tcPr>
            <w:tcW w:w="860" w:type="dxa"/>
            <w:shd w:val="clear" w:color="auto" w:fill="auto"/>
            <w:vAlign w:val="center"/>
          </w:tcPr>
          <w:p w:rsidR="00D907AF" w:rsidRPr="008B70CD" w:rsidRDefault="00D907AF" w:rsidP="00D907AF">
            <w:pPr>
              <w:spacing w:before="20" w:after="20"/>
              <w:jc w:val="right"/>
              <w:rPr>
                <w:rFonts w:cstheme="minorHAnsi"/>
                <w:color w:val="000000"/>
                <w:sz w:val="20"/>
                <w:szCs w:val="20"/>
              </w:rPr>
            </w:pPr>
            <w:r w:rsidRPr="008B70CD">
              <w:rPr>
                <w:rFonts w:cstheme="minorHAnsi"/>
                <w:color w:val="000000"/>
                <w:sz w:val="20"/>
                <w:szCs w:val="20"/>
              </w:rPr>
              <w:t>1.7</w:t>
            </w:r>
          </w:p>
        </w:tc>
        <w:tc>
          <w:tcPr>
            <w:tcW w:w="1194" w:type="dxa"/>
            <w:shd w:val="clear" w:color="auto" w:fill="auto"/>
            <w:vAlign w:val="center"/>
          </w:tcPr>
          <w:p w:rsidR="00D907AF" w:rsidRPr="008B70CD" w:rsidRDefault="00D907AF" w:rsidP="005560DF">
            <w:pPr>
              <w:spacing w:before="20" w:after="20"/>
              <w:ind w:right="227"/>
              <w:jc w:val="right"/>
              <w:rPr>
                <w:rFonts w:cstheme="minorHAnsi"/>
                <w:color w:val="000000"/>
                <w:sz w:val="20"/>
                <w:szCs w:val="20"/>
              </w:rPr>
            </w:pPr>
            <w:r w:rsidRPr="008B70CD">
              <w:rPr>
                <w:rFonts w:cstheme="minorHAnsi"/>
                <w:color w:val="000000"/>
                <w:sz w:val="20"/>
                <w:szCs w:val="20"/>
              </w:rPr>
              <w:t>20</w:t>
            </w:r>
          </w:p>
        </w:tc>
        <w:tc>
          <w:tcPr>
            <w:tcW w:w="1194" w:type="dxa"/>
            <w:shd w:val="clear" w:color="auto" w:fill="auto"/>
            <w:vAlign w:val="center"/>
          </w:tcPr>
          <w:p w:rsidR="00D907AF" w:rsidRPr="008B70CD" w:rsidRDefault="00D907AF" w:rsidP="005560DF">
            <w:pPr>
              <w:tabs>
                <w:tab w:val="decimal" w:pos="588"/>
              </w:tabs>
              <w:spacing w:before="20" w:after="20"/>
              <w:rPr>
                <w:rFonts w:cstheme="minorHAnsi"/>
                <w:color w:val="000000"/>
                <w:sz w:val="20"/>
                <w:szCs w:val="20"/>
              </w:rPr>
            </w:pPr>
            <w:r w:rsidRPr="008B70CD">
              <w:rPr>
                <w:rFonts w:cstheme="minorHAnsi"/>
                <w:color w:val="000000"/>
                <w:sz w:val="20"/>
                <w:szCs w:val="20"/>
              </w:rPr>
              <w:t>2.0</w:t>
            </w:r>
          </w:p>
        </w:tc>
        <w:tc>
          <w:tcPr>
            <w:tcW w:w="771" w:type="dxa"/>
            <w:shd w:val="clear" w:color="auto" w:fill="auto"/>
            <w:vAlign w:val="center"/>
          </w:tcPr>
          <w:p w:rsidR="00D907AF" w:rsidRPr="008B70CD" w:rsidRDefault="00D907AF" w:rsidP="00D907AF">
            <w:pPr>
              <w:spacing w:before="20" w:after="20"/>
              <w:jc w:val="right"/>
              <w:rPr>
                <w:rFonts w:cstheme="minorHAnsi"/>
                <w:color w:val="000000"/>
                <w:sz w:val="20"/>
                <w:szCs w:val="20"/>
              </w:rPr>
            </w:pPr>
            <w:r w:rsidRPr="008B70CD">
              <w:rPr>
                <w:rFonts w:cstheme="minorHAnsi"/>
                <w:color w:val="000000"/>
                <w:sz w:val="20"/>
                <w:szCs w:val="20"/>
              </w:rPr>
              <w:t>35</w:t>
            </w:r>
          </w:p>
        </w:tc>
        <w:tc>
          <w:tcPr>
            <w:tcW w:w="671" w:type="dxa"/>
            <w:shd w:val="clear" w:color="auto" w:fill="auto"/>
            <w:vAlign w:val="center"/>
          </w:tcPr>
          <w:p w:rsidR="00D907AF" w:rsidRPr="008B70CD" w:rsidRDefault="00D907AF" w:rsidP="00D907AF">
            <w:pPr>
              <w:spacing w:before="20" w:after="20"/>
              <w:jc w:val="right"/>
              <w:rPr>
                <w:rFonts w:cstheme="minorHAnsi"/>
                <w:color w:val="000000"/>
                <w:sz w:val="20"/>
                <w:szCs w:val="20"/>
              </w:rPr>
            </w:pPr>
            <w:r w:rsidRPr="008B70CD">
              <w:rPr>
                <w:rFonts w:cstheme="minorHAnsi"/>
                <w:color w:val="000000"/>
                <w:sz w:val="20"/>
                <w:szCs w:val="20"/>
              </w:rPr>
              <w:t>1.9</w:t>
            </w:r>
          </w:p>
        </w:tc>
      </w:tr>
      <w:tr w:rsidR="00D907AF" w:rsidRPr="008B70CD" w:rsidTr="00C3413E">
        <w:trPr>
          <w:cantSplit/>
          <w:trHeight w:val="283"/>
        </w:trPr>
        <w:tc>
          <w:tcPr>
            <w:tcW w:w="3676" w:type="dxa"/>
            <w:shd w:val="clear" w:color="auto" w:fill="auto"/>
          </w:tcPr>
          <w:p w:rsidR="00D907AF" w:rsidRPr="008B70CD" w:rsidRDefault="00D907AF" w:rsidP="00D907AF">
            <w:pPr>
              <w:spacing w:before="20" w:after="20"/>
              <w:rPr>
                <w:rFonts w:cstheme="minorHAnsi"/>
                <w:sz w:val="20"/>
                <w:szCs w:val="20"/>
              </w:rPr>
            </w:pPr>
            <w:r w:rsidRPr="008B70CD">
              <w:rPr>
                <w:rFonts w:cstheme="minorHAnsi"/>
                <w:sz w:val="20"/>
                <w:szCs w:val="20"/>
              </w:rPr>
              <w:t>Friends</w:t>
            </w:r>
          </w:p>
        </w:tc>
        <w:tc>
          <w:tcPr>
            <w:tcW w:w="675" w:type="dxa"/>
            <w:shd w:val="clear" w:color="auto" w:fill="auto"/>
            <w:vAlign w:val="center"/>
          </w:tcPr>
          <w:p w:rsidR="00D907AF" w:rsidRPr="008B70CD" w:rsidRDefault="00D907AF" w:rsidP="005560DF">
            <w:pPr>
              <w:spacing w:before="20" w:after="20"/>
              <w:ind w:right="57"/>
              <w:jc w:val="right"/>
              <w:rPr>
                <w:rFonts w:cstheme="minorHAnsi"/>
                <w:color w:val="000000"/>
                <w:sz w:val="20"/>
                <w:szCs w:val="20"/>
              </w:rPr>
            </w:pPr>
            <w:r w:rsidRPr="008B70CD">
              <w:rPr>
                <w:rFonts w:cstheme="minorHAnsi"/>
                <w:color w:val="000000"/>
                <w:sz w:val="20"/>
                <w:szCs w:val="20"/>
              </w:rPr>
              <w:t>17</w:t>
            </w:r>
          </w:p>
        </w:tc>
        <w:tc>
          <w:tcPr>
            <w:tcW w:w="860" w:type="dxa"/>
            <w:shd w:val="clear" w:color="auto" w:fill="auto"/>
            <w:vAlign w:val="center"/>
          </w:tcPr>
          <w:p w:rsidR="00D907AF" w:rsidRPr="008B70CD" w:rsidRDefault="00D907AF" w:rsidP="00D907AF">
            <w:pPr>
              <w:spacing w:before="20" w:after="20"/>
              <w:jc w:val="right"/>
              <w:rPr>
                <w:rFonts w:cstheme="minorHAnsi"/>
                <w:color w:val="000000"/>
                <w:sz w:val="20"/>
                <w:szCs w:val="20"/>
              </w:rPr>
            </w:pPr>
            <w:r w:rsidRPr="008B70CD">
              <w:rPr>
                <w:rFonts w:cstheme="minorHAnsi"/>
                <w:color w:val="000000"/>
                <w:sz w:val="20"/>
                <w:szCs w:val="20"/>
              </w:rPr>
              <w:t>1.9</w:t>
            </w:r>
          </w:p>
        </w:tc>
        <w:tc>
          <w:tcPr>
            <w:tcW w:w="1194" w:type="dxa"/>
            <w:shd w:val="clear" w:color="auto" w:fill="auto"/>
            <w:vAlign w:val="center"/>
          </w:tcPr>
          <w:p w:rsidR="00D907AF" w:rsidRPr="008B70CD" w:rsidRDefault="00D907AF" w:rsidP="005560DF">
            <w:pPr>
              <w:spacing w:before="20" w:after="20"/>
              <w:ind w:right="227"/>
              <w:jc w:val="right"/>
              <w:rPr>
                <w:rFonts w:cstheme="minorHAnsi"/>
                <w:color w:val="000000"/>
                <w:sz w:val="20"/>
                <w:szCs w:val="20"/>
              </w:rPr>
            </w:pPr>
            <w:r w:rsidRPr="008B70CD">
              <w:rPr>
                <w:rFonts w:cstheme="minorHAnsi"/>
                <w:color w:val="000000"/>
                <w:sz w:val="20"/>
                <w:szCs w:val="20"/>
              </w:rPr>
              <w:t>20</w:t>
            </w:r>
          </w:p>
        </w:tc>
        <w:tc>
          <w:tcPr>
            <w:tcW w:w="1194" w:type="dxa"/>
            <w:shd w:val="clear" w:color="auto" w:fill="auto"/>
            <w:vAlign w:val="center"/>
          </w:tcPr>
          <w:p w:rsidR="00D907AF" w:rsidRPr="008B70CD" w:rsidRDefault="00D907AF" w:rsidP="005560DF">
            <w:pPr>
              <w:tabs>
                <w:tab w:val="decimal" w:pos="588"/>
              </w:tabs>
              <w:spacing w:before="20" w:after="20"/>
              <w:rPr>
                <w:rFonts w:cstheme="minorHAnsi"/>
                <w:color w:val="000000"/>
                <w:sz w:val="20"/>
                <w:szCs w:val="20"/>
              </w:rPr>
            </w:pPr>
            <w:r w:rsidRPr="008B70CD">
              <w:rPr>
                <w:rFonts w:cstheme="minorHAnsi"/>
                <w:color w:val="000000"/>
                <w:sz w:val="20"/>
                <w:szCs w:val="20"/>
              </w:rPr>
              <w:t>2.0</w:t>
            </w:r>
          </w:p>
        </w:tc>
        <w:tc>
          <w:tcPr>
            <w:tcW w:w="771" w:type="dxa"/>
            <w:shd w:val="clear" w:color="auto" w:fill="auto"/>
            <w:vAlign w:val="center"/>
          </w:tcPr>
          <w:p w:rsidR="00D907AF" w:rsidRPr="008B70CD" w:rsidRDefault="00D907AF" w:rsidP="00D907AF">
            <w:pPr>
              <w:spacing w:before="20" w:after="20"/>
              <w:jc w:val="right"/>
              <w:rPr>
                <w:rFonts w:cstheme="minorHAnsi"/>
                <w:color w:val="000000"/>
                <w:sz w:val="20"/>
                <w:szCs w:val="20"/>
              </w:rPr>
            </w:pPr>
            <w:r w:rsidRPr="008B70CD">
              <w:rPr>
                <w:rFonts w:cstheme="minorHAnsi"/>
                <w:color w:val="000000"/>
                <w:sz w:val="20"/>
                <w:szCs w:val="20"/>
              </w:rPr>
              <w:t>37</w:t>
            </w:r>
          </w:p>
        </w:tc>
        <w:tc>
          <w:tcPr>
            <w:tcW w:w="671" w:type="dxa"/>
            <w:shd w:val="clear" w:color="auto" w:fill="auto"/>
            <w:vAlign w:val="center"/>
          </w:tcPr>
          <w:p w:rsidR="00D907AF" w:rsidRPr="008B70CD" w:rsidRDefault="00D907AF" w:rsidP="00D907AF">
            <w:pPr>
              <w:spacing w:before="20" w:after="20"/>
              <w:jc w:val="right"/>
              <w:rPr>
                <w:rFonts w:cstheme="minorHAnsi"/>
                <w:color w:val="000000"/>
                <w:sz w:val="20"/>
                <w:szCs w:val="20"/>
              </w:rPr>
            </w:pPr>
            <w:r w:rsidRPr="008B70CD">
              <w:rPr>
                <w:rFonts w:cstheme="minorHAnsi"/>
                <w:color w:val="000000"/>
                <w:sz w:val="20"/>
                <w:szCs w:val="20"/>
              </w:rPr>
              <w:t>2.0</w:t>
            </w:r>
          </w:p>
        </w:tc>
      </w:tr>
      <w:tr w:rsidR="00D907AF" w:rsidRPr="008B70CD" w:rsidTr="00C3413E">
        <w:trPr>
          <w:cantSplit/>
          <w:trHeight w:val="283"/>
        </w:trPr>
        <w:tc>
          <w:tcPr>
            <w:tcW w:w="3676" w:type="dxa"/>
            <w:shd w:val="clear" w:color="auto" w:fill="auto"/>
          </w:tcPr>
          <w:p w:rsidR="00D907AF" w:rsidRPr="008B70CD" w:rsidRDefault="00D907AF" w:rsidP="00D907AF">
            <w:pPr>
              <w:spacing w:before="20" w:after="20"/>
              <w:rPr>
                <w:rFonts w:cstheme="minorHAnsi"/>
                <w:sz w:val="20"/>
                <w:szCs w:val="20"/>
              </w:rPr>
            </w:pPr>
            <w:r w:rsidRPr="008B70CD">
              <w:rPr>
                <w:rFonts w:cstheme="minorHAnsi"/>
                <w:sz w:val="20"/>
                <w:szCs w:val="20"/>
              </w:rPr>
              <w:t>Other people not related</w:t>
            </w:r>
          </w:p>
        </w:tc>
        <w:tc>
          <w:tcPr>
            <w:tcW w:w="675" w:type="dxa"/>
            <w:shd w:val="clear" w:color="auto" w:fill="auto"/>
            <w:vAlign w:val="center"/>
          </w:tcPr>
          <w:p w:rsidR="00D907AF" w:rsidRPr="008B70CD" w:rsidRDefault="00D907AF" w:rsidP="005560DF">
            <w:pPr>
              <w:spacing w:before="20" w:after="20"/>
              <w:ind w:right="57"/>
              <w:jc w:val="right"/>
              <w:rPr>
                <w:rFonts w:cstheme="minorHAnsi"/>
                <w:color w:val="000000"/>
                <w:sz w:val="20"/>
                <w:szCs w:val="20"/>
              </w:rPr>
            </w:pPr>
            <w:r w:rsidRPr="008B70CD">
              <w:rPr>
                <w:rFonts w:cstheme="minorHAnsi"/>
                <w:color w:val="000000"/>
                <w:sz w:val="20"/>
                <w:szCs w:val="20"/>
              </w:rPr>
              <w:t>29</w:t>
            </w:r>
          </w:p>
        </w:tc>
        <w:tc>
          <w:tcPr>
            <w:tcW w:w="860" w:type="dxa"/>
            <w:shd w:val="clear" w:color="auto" w:fill="auto"/>
            <w:vAlign w:val="center"/>
          </w:tcPr>
          <w:p w:rsidR="00D907AF" w:rsidRPr="008B70CD" w:rsidRDefault="00D907AF" w:rsidP="00D907AF">
            <w:pPr>
              <w:spacing w:before="20" w:after="20"/>
              <w:jc w:val="right"/>
              <w:rPr>
                <w:rFonts w:cstheme="minorHAnsi"/>
                <w:color w:val="000000"/>
                <w:sz w:val="20"/>
                <w:szCs w:val="20"/>
              </w:rPr>
            </w:pPr>
            <w:r w:rsidRPr="008B70CD">
              <w:rPr>
                <w:rFonts w:cstheme="minorHAnsi"/>
                <w:color w:val="000000"/>
                <w:sz w:val="20"/>
                <w:szCs w:val="20"/>
              </w:rPr>
              <w:t>3.3</w:t>
            </w:r>
          </w:p>
        </w:tc>
        <w:tc>
          <w:tcPr>
            <w:tcW w:w="1194" w:type="dxa"/>
            <w:shd w:val="clear" w:color="auto" w:fill="auto"/>
            <w:vAlign w:val="center"/>
          </w:tcPr>
          <w:p w:rsidR="00D907AF" w:rsidRPr="008B70CD" w:rsidRDefault="00D907AF" w:rsidP="005560DF">
            <w:pPr>
              <w:spacing w:before="20" w:after="20"/>
              <w:ind w:right="227"/>
              <w:jc w:val="right"/>
              <w:rPr>
                <w:rFonts w:cstheme="minorHAnsi"/>
                <w:color w:val="000000"/>
                <w:sz w:val="20"/>
                <w:szCs w:val="20"/>
              </w:rPr>
            </w:pPr>
            <w:r w:rsidRPr="008B70CD">
              <w:rPr>
                <w:rFonts w:cstheme="minorHAnsi"/>
                <w:color w:val="000000"/>
                <w:sz w:val="20"/>
                <w:szCs w:val="20"/>
              </w:rPr>
              <w:t>22</w:t>
            </w:r>
          </w:p>
        </w:tc>
        <w:tc>
          <w:tcPr>
            <w:tcW w:w="1194" w:type="dxa"/>
            <w:shd w:val="clear" w:color="auto" w:fill="auto"/>
            <w:vAlign w:val="center"/>
          </w:tcPr>
          <w:p w:rsidR="00D907AF" w:rsidRPr="008B70CD" w:rsidRDefault="00D907AF" w:rsidP="005560DF">
            <w:pPr>
              <w:tabs>
                <w:tab w:val="decimal" w:pos="588"/>
              </w:tabs>
              <w:spacing w:before="20" w:after="20"/>
              <w:rPr>
                <w:rFonts w:cstheme="minorHAnsi"/>
                <w:color w:val="000000"/>
                <w:sz w:val="20"/>
                <w:szCs w:val="20"/>
              </w:rPr>
            </w:pPr>
            <w:r w:rsidRPr="008B70CD">
              <w:rPr>
                <w:rFonts w:cstheme="minorHAnsi"/>
                <w:color w:val="000000"/>
                <w:sz w:val="20"/>
                <w:szCs w:val="20"/>
              </w:rPr>
              <w:t>2.2</w:t>
            </w:r>
          </w:p>
        </w:tc>
        <w:tc>
          <w:tcPr>
            <w:tcW w:w="771" w:type="dxa"/>
            <w:shd w:val="clear" w:color="auto" w:fill="auto"/>
            <w:vAlign w:val="center"/>
          </w:tcPr>
          <w:p w:rsidR="00D907AF" w:rsidRPr="008B70CD" w:rsidRDefault="00D907AF" w:rsidP="00D907AF">
            <w:pPr>
              <w:spacing w:before="20" w:after="20"/>
              <w:jc w:val="right"/>
              <w:rPr>
                <w:rFonts w:cstheme="minorHAnsi"/>
                <w:color w:val="000000"/>
                <w:sz w:val="20"/>
                <w:szCs w:val="20"/>
              </w:rPr>
            </w:pPr>
            <w:r w:rsidRPr="008B70CD">
              <w:rPr>
                <w:rFonts w:cstheme="minorHAnsi"/>
                <w:color w:val="000000"/>
                <w:sz w:val="20"/>
                <w:szCs w:val="20"/>
              </w:rPr>
              <w:t>51</w:t>
            </w:r>
          </w:p>
        </w:tc>
        <w:tc>
          <w:tcPr>
            <w:tcW w:w="671" w:type="dxa"/>
            <w:shd w:val="clear" w:color="auto" w:fill="auto"/>
            <w:vAlign w:val="center"/>
          </w:tcPr>
          <w:p w:rsidR="00D907AF" w:rsidRPr="008B70CD" w:rsidRDefault="00D907AF" w:rsidP="00D907AF">
            <w:pPr>
              <w:spacing w:before="20" w:after="20"/>
              <w:jc w:val="right"/>
              <w:rPr>
                <w:rFonts w:cstheme="minorHAnsi"/>
                <w:color w:val="000000"/>
                <w:sz w:val="20"/>
                <w:szCs w:val="20"/>
              </w:rPr>
            </w:pPr>
            <w:r w:rsidRPr="008B70CD">
              <w:rPr>
                <w:rFonts w:cstheme="minorHAnsi"/>
                <w:color w:val="000000"/>
                <w:sz w:val="20"/>
                <w:szCs w:val="20"/>
              </w:rPr>
              <w:t>2.7</w:t>
            </w:r>
          </w:p>
        </w:tc>
      </w:tr>
      <w:tr w:rsidR="00D907AF" w:rsidRPr="008B70CD" w:rsidTr="00C3413E">
        <w:trPr>
          <w:cantSplit/>
          <w:trHeight w:val="283"/>
        </w:trPr>
        <w:tc>
          <w:tcPr>
            <w:tcW w:w="3676" w:type="dxa"/>
            <w:tcBorders>
              <w:bottom w:val="single" w:sz="4" w:space="0" w:color="auto"/>
            </w:tcBorders>
            <w:shd w:val="clear" w:color="auto" w:fill="auto"/>
          </w:tcPr>
          <w:p w:rsidR="00D907AF" w:rsidRPr="008B70CD" w:rsidRDefault="00D907AF" w:rsidP="00D907AF">
            <w:pPr>
              <w:spacing w:before="20" w:after="20"/>
              <w:rPr>
                <w:rFonts w:cstheme="minorHAnsi"/>
                <w:sz w:val="20"/>
                <w:szCs w:val="20"/>
              </w:rPr>
            </w:pPr>
            <w:r w:rsidRPr="008B70CD">
              <w:rPr>
                <w:rFonts w:cstheme="minorHAnsi"/>
                <w:sz w:val="20"/>
                <w:szCs w:val="20"/>
              </w:rPr>
              <w:t>A paid support worker</w:t>
            </w:r>
          </w:p>
        </w:tc>
        <w:tc>
          <w:tcPr>
            <w:tcW w:w="675" w:type="dxa"/>
            <w:tcBorders>
              <w:bottom w:val="single" w:sz="4" w:space="0" w:color="auto"/>
            </w:tcBorders>
            <w:shd w:val="clear" w:color="auto" w:fill="auto"/>
            <w:vAlign w:val="center"/>
          </w:tcPr>
          <w:p w:rsidR="00D907AF" w:rsidRPr="008B70CD" w:rsidRDefault="00D907AF" w:rsidP="005560DF">
            <w:pPr>
              <w:spacing w:before="20" w:after="20"/>
              <w:ind w:right="57"/>
              <w:jc w:val="right"/>
              <w:rPr>
                <w:rFonts w:cstheme="minorHAnsi"/>
                <w:color w:val="000000"/>
                <w:sz w:val="20"/>
                <w:szCs w:val="20"/>
              </w:rPr>
            </w:pPr>
            <w:r w:rsidRPr="008B70CD">
              <w:rPr>
                <w:rFonts w:cstheme="minorHAnsi"/>
                <w:color w:val="000000"/>
                <w:sz w:val="20"/>
                <w:szCs w:val="20"/>
              </w:rPr>
              <w:t>7</w:t>
            </w:r>
          </w:p>
        </w:tc>
        <w:tc>
          <w:tcPr>
            <w:tcW w:w="860" w:type="dxa"/>
            <w:tcBorders>
              <w:bottom w:val="single" w:sz="4" w:space="0" w:color="auto"/>
            </w:tcBorders>
            <w:shd w:val="clear" w:color="auto" w:fill="auto"/>
            <w:vAlign w:val="center"/>
          </w:tcPr>
          <w:p w:rsidR="00D907AF" w:rsidRPr="008B70CD" w:rsidRDefault="00D907AF" w:rsidP="00D907AF">
            <w:pPr>
              <w:spacing w:before="20" w:after="20"/>
              <w:jc w:val="right"/>
              <w:rPr>
                <w:rFonts w:cstheme="minorHAnsi"/>
                <w:color w:val="000000"/>
                <w:sz w:val="20"/>
                <w:szCs w:val="20"/>
              </w:rPr>
            </w:pPr>
            <w:r w:rsidRPr="008B70CD">
              <w:rPr>
                <w:rFonts w:cstheme="minorHAnsi"/>
                <w:color w:val="000000"/>
                <w:sz w:val="20"/>
                <w:szCs w:val="20"/>
              </w:rPr>
              <w:t>0.8</w:t>
            </w:r>
          </w:p>
        </w:tc>
        <w:tc>
          <w:tcPr>
            <w:tcW w:w="1194" w:type="dxa"/>
            <w:tcBorders>
              <w:bottom w:val="single" w:sz="4" w:space="0" w:color="auto"/>
            </w:tcBorders>
            <w:shd w:val="clear" w:color="auto" w:fill="auto"/>
            <w:vAlign w:val="center"/>
          </w:tcPr>
          <w:p w:rsidR="00D907AF" w:rsidRPr="008B70CD" w:rsidRDefault="00D907AF" w:rsidP="005560DF">
            <w:pPr>
              <w:spacing w:before="20" w:after="20"/>
              <w:ind w:right="227"/>
              <w:jc w:val="right"/>
              <w:rPr>
                <w:rFonts w:cstheme="minorHAnsi"/>
                <w:color w:val="000000"/>
                <w:sz w:val="20"/>
                <w:szCs w:val="20"/>
              </w:rPr>
            </w:pPr>
            <w:r w:rsidRPr="008B70CD">
              <w:rPr>
                <w:rFonts w:cstheme="minorHAnsi"/>
                <w:color w:val="000000"/>
                <w:sz w:val="20"/>
                <w:szCs w:val="20"/>
              </w:rPr>
              <w:t>8</w:t>
            </w:r>
          </w:p>
        </w:tc>
        <w:tc>
          <w:tcPr>
            <w:tcW w:w="1194" w:type="dxa"/>
            <w:tcBorders>
              <w:bottom w:val="single" w:sz="4" w:space="0" w:color="auto"/>
            </w:tcBorders>
            <w:shd w:val="clear" w:color="auto" w:fill="auto"/>
            <w:vAlign w:val="center"/>
          </w:tcPr>
          <w:p w:rsidR="00D907AF" w:rsidRPr="008B70CD" w:rsidRDefault="00D907AF" w:rsidP="005560DF">
            <w:pPr>
              <w:tabs>
                <w:tab w:val="decimal" w:pos="588"/>
              </w:tabs>
              <w:spacing w:before="20" w:after="20"/>
              <w:rPr>
                <w:rFonts w:cstheme="minorHAnsi"/>
                <w:color w:val="000000"/>
                <w:sz w:val="20"/>
                <w:szCs w:val="20"/>
              </w:rPr>
            </w:pPr>
            <w:r w:rsidRPr="008B70CD">
              <w:rPr>
                <w:rFonts w:cstheme="minorHAnsi"/>
                <w:color w:val="000000"/>
                <w:sz w:val="20"/>
                <w:szCs w:val="20"/>
              </w:rPr>
              <w:t>0.8</w:t>
            </w:r>
          </w:p>
        </w:tc>
        <w:tc>
          <w:tcPr>
            <w:tcW w:w="771" w:type="dxa"/>
            <w:tcBorders>
              <w:bottom w:val="single" w:sz="4" w:space="0" w:color="auto"/>
            </w:tcBorders>
            <w:shd w:val="clear" w:color="auto" w:fill="auto"/>
            <w:vAlign w:val="center"/>
          </w:tcPr>
          <w:p w:rsidR="00D907AF" w:rsidRPr="008B70CD" w:rsidRDefault="00D907AF" w:rsidP="00D907AF">
            <w:pPr>
              <w:spacing w:before="20" w:after="20"/>
              <w:jc w:val="right"/>
              <w:rPr>
                <w:rFonts w:cstheme="minorHAnsi"/>
                <w:color w:val="000000"/>
                <w:sz w:val="20"/>
                <w:szCs w:val="20"/>
              </w:rPr>
            </w:pPr>
            <w:r w:rsidRPr="008B70CD">
              <w:rPr>
                <w:rFonts w:cstheme="minorHAnsi"/>
                <w:color w:val="000000"/>
                <w:sz w:val="20"/>
                <w:szCs w:val="20"/>
              </w:rPr>
              <w:t>15</w:t>
            </w:r>
          </w:p>
        </w:tc>
        <w:tc>
          <w:tcPr>
            <w:tcW w:w="671" w:type="dxa"/>
            <w:tcBorders>
              <w:bottom w:val="single" w:sz="4" w:space="0" w:color="auto"/>
            </w:tcBorders>
            <w:shd w:val="clear" w:color="auto" w:fill="auto"/>
            <w:vAlign w:val="center"/>
          </w:tcPr>
          <w:p w:rsidR="00D907AF" w:rsidRPr="008B70CD" w:rsidRDefault="00D907AF" w:rsidP="00D907AF">
            <w:pPr>
              <w:spacing w:before="20" w:after="20"/>
              <w:jc w:val="right"/>
              <w:rPr>
                <w:rFonts w:cstheme="minorHAnsi"/>
                <w:color w:val="000000"/>
                <w:sz w:val="20"/>
                <w:szCs w:val="20"/>
              </w:rPr>
            </w:pPr>
            <w:r w:rsidRPr="008B70CD">
              <w:rPr>
                <w:rFonts w:cstheme="minorHAnsi"/>
                <w:color w:val="000000"/>
                <w:sz w:val="20"/>
                <w:szCs w:val="20"/>
              </w:rPr>
              <w:t>0.8</w:t>
            </w:r>
          </w:p>
        </w:tc>
      </w:tr>
      <w:tr w:rsidR="00D907AF" w:rsidRPr="008B70CD" w:rsidTr="00C3413E">
        <w:trPr>
          <w:cantSplit/>
          <w:trHeight w:val="283"/>
        </w:trPr>
        <w:tc>
          <w:tcPr>
            <w:tcW w:w="3676" w:type="dxa"/>
            <w:tcBorders>
              <w:top w:val="single" w:sz="4" w:space="0" w:color="auto"/>
              <w:bottom w:val="single" w:sz="4" w:space="0" w:color="auto"/>
            </w:tcBorders>
            <w:shd w:val="clear" w:color="auto" w:fill="auto"/>
          </w:tcPr>
          <w:p w:rsidR="00D907AF" w:rsidRPr="008B70CD" w:rsidRDefault="00D907AF" w:rsidP="00D907AF">
            <w:pPr>
              <w:spacing w:before="20" w:after="20"/>
              <w:rPr>
                <w:rFonts w:cstheme="minorHAnsi"/>
                <w:b/>
                <w:sz w:val="20"/>
                <w:szCs w:val="20"/>
              </w:rPr>
            </w:pPr>
            <w:r w:rsidRPr="008B70CD">
              <w:rPr>
                <w:rFonts w:cstheme="minorHAnsi"/>
                <w:b/>
                <w:sz w:val="20"/>
                <w:szCs w:val="20"/>
              </w:rPr>
              <w:t>Total</w:t>
            </w:r>
          </w:p>
        </w:tc>
        <w:tc>
          <w:tcPr>
            <w:tcW w:w="675" w:type="dxa"/>
            <w:tcBorders>
              <w:top w:val="single" w:sz="4" w:space="0" w:color="auto"/>
              <w:bottom w:val="single" w:sz="4" w:space="0" w:color="auto"/>
            </w:tcBorders>
            <w:shd w:val="clear" w:color="auto" w:fill="auto"/>
          </w:tcPr>
          <w:p w:rsidR="00D907AF" w:rsidRPr="008B70CD" w:rsidRDefault="00D907AF" w:rsidP="005560DF">
            <w:pPr>
              <w:spacing w:before="20" w:after="20"/>
              <w:ind w:right="57"/>
              <w:jc w:val="right"/>
              <w:rPr>
                <w:rFonts w:cstheme="minorHAnsi"/>
                <w:b/>
                <w:sz w:val="20"/>
                <w:szCs w:val="20"/>
              </w:rPr>
            </w:pPr>
            <w:r w:rsidRPr="008B70CD">
              <w:rPr>
                <w:rFonts w:cstheme="minorHAnsi"/>
                <w:b/>
                <w:sz w:val="20"/>
                <w:szCs w:val="20"/>
              </w:rPr>
              <w:t>891</w:t>
            </w:r>
          </w:p>
        </w:tc>
        <w:tc>
          <w:tcPr>
            <w:tcW w:w="860" w:type="dxa"/>
            <w:tcBorders>
              <w:top w:val="single" w:sz="4" w:space="0" w:color="auto"/>
              <w:bottom w:val="single" w:sz="4" w:space="0" w:color="auto"/>
            </w:tcBorders>
            <w:shd w:val="clear" w:color="auto" w:fill="auto"/>
          </w:tcPr>
          <w:p w:rsidR="00D907AF" w:rsidRPr="008B70CD" w:rsidRDefault="00D907AF" w:rsidP="00D907AF">
            <w:pPr>
              <w:spacing w:before="20" w:after="20"/>
              <w:jc w:val="right"/>
              <w:rPr>
                <w:rFonts w:cstheme="minorHAnsi"/>
                <w:b/>
                <w:sz w:val="20"/>
                <w:szCs w:val="20"/>
              </w:rPr>
            </w:pPr>
          </w:p>
        </w:tc>
        <w:tc>
          <w:tcPr>
            <w:tcW w:w="1194" w:type="dxa"/>
            <w:tcBorders>
              <w:top w:val="single" w:sz="4" w:space="0" w:color="auto"/>
              <w:bottom w:val="single" w:sz="4" w:space="0" w:color="auto"/>
            </w:tcBorders>
            <w:shd w:val="clear" w:color="auto" w:fill="auto"/>
          </w:tcPr>
          <w:p w:rsidR="00D907AF" w:rsidRPr="008B70CD" w:rsidRDefault="00D907AF" w:rsidP="005560DF">
            <w:pPr>
              <w:spacing w:before="20" w:after="20"/>
              <w:ind w:right="227"/>
              <w:jc w:val="right"/>
              <w:rPr>
                <w:rFonts w:cstheme="minorHAnsi"/>
                <w:b/>
                <w:sz w:val="20"/>
                <w:szCs w:val="20"/>
              </w:rPr>
            </w:pPr>
            <w:r w:rsidRPr="008B70CD">
              <w:rPr>
                <w:rFonts w:cstheme="minorHAnsi"/>
                <w:b/>
                <w:sz w:val="20"/>
                <w:szCs w:val="20"/>
              </w:rPr>
              <w:t>1</w:t>
            </w:r>
            <w:r>
              <w:rPr>
                <w:rFonts w:cstheme="minorHAnsi"/>
                <w:b/>
                <w:sz w:val="20"/>
                <w:szCs w:val="20"/>
              </w:rPr>
              <w:t>,</w:t>
            </w:r>
            <w:r w:rsidRPr="008B70CD">
              <w:rPr>
                <w:rFonts w:cstheme="minorHAnsi"/>
                <w:b/>
                <w:sz w:val="20"/>
                <w:szCs w:val="20"/>
              </w:rPr>
              <w:t>004</w:t>
            </w:r>
          </w:p>
        </w:tc>
        <w:tc>
          <w:tcPr>
            <w:tcW w:w="1194" w:type="dxa"/>
            <w:tcBorders>
              <w:top w:val="single" w:sz="4" w:space="0" w:color="auto"/>
              <w:bottom w:val="single" w:sz="4" w:space="0" w:color="auto"/>
            </w:tcBorders>
            <w:shd w:val="clear" w:color="auto" w:fill="auto"/>
          </w:tcPr>
          <w:p w:rsidR="00D907AF" w:rsidRPr="008B70CD" w:rsidRDefault="00D907AF" w:rsidP="00D907AF">
            <w:pPr>
              <w:spacing w:before="20" w:after="20"/>
              <w:jc w:val="right"/>
              <w:rPr>
                <w:rFonts w:cstheme="minorHAnsi"/>
                <w:b/>
                <w:sz w:val="20"/>
                <w:szCs w:val="20"/>
              </w:rPr>
            </w:pPr>
          </w:p>
        </w:tc>
        <w:tc>
          <w:tcPr>
            <w:tcW w:w="771" w:type="dxa"/>
            <w:tcBorders>
              <w:top w:val="single" w:sz="4" w:space="0" w:color="auto"/>
              <w:bottom w:val="single" w:sz="4" w:space="0" w:color="auto"/>
            </w:tcBorders>
            <w:shd w:val="clear" w:color="auto" w:fill="auto"/>
          </w:tcPr>
          <w:p w:rsidR="00D907AF" w:rsidRPr="008B70CD" w:rsidRDefault="00D907AF" w:rsidP="00D907AF">
            <w:pPr>
              <w:spacing w:before="20" w:after="20"/>
              <w:jc w:val="right"/>
              <w:rPr>
                <w:rFonts w:cstheme="minorHAnsi"/>
                <w:b/>
                <w:sz w:val="20"/>
                <w:szCs w:val="20"/>
              </w:rPr>
            </w:pPr>
            <w:r w:rsidRPr="008B70CD">
              <w:rPr>
                <w:rFonts w:cstheme="minorHAnsi"/>
                <w:b/>
                <w:sz w:val="20"/>
                <w:szCs w:val="20"/>
              </w:rPr>
              <w:t>1</w:t>
            </w:r>
            <w:r>
              <w:rPr>
                <w:rFonts w:cstheme="minorHAnsi"/>
                <w:b/>
                <w:sz w:val="20"/>
                <w:szCs w:val="20"/>
              </w:rPr>
              <w:t>,</w:t>
            </w:r>
            <w:r w:rsidRPr="008B70CD">
              <w:rPr>
                <w:rFonts w:cstheme="minorHAnsi"/>
                <w:b/>
                <w:sz w:val="20"/>
                <w:szCs w:val="20"/>
              </w:rPr>
              <w:t>895</w:t>
            </w:r>
          </w:p>
        </w:tc>
        <w:tc>
          <w:tcPr>
            <w:tcW w:w="671" w:type="dxa"/>
            <w:tcBorders>
              <w:top w:val="single" w:sz="4" w:space="0" w:color="auto"/>
              <w:bottom w:val="single" w:sz="4" w:space="0" w:color="auto"/>
            </w:tcBorders>
            <w:shd w:val="clear" w:color="auto" w:fill="auto"/>
          </w:tcPr>
          <w:p w:rsidR="00D907AF" w:rsidRPr="008B70CD" w:rsidRDefault="00D907AF" w:rsidP="00D907AF">
            <w:pPr>
              <w:spacing w:before="20" w:after="20"/>
              <w:jc w:val="right"/>
              <w:rPr>
                <w:rFonts w:cstheme="minorHAnsi"/>
                <w:b/>
                <w:sz w:val="20"/>
                <w:szCs w:val="20"/>
              </w:rPr>
            </w:pPr>
          </w:p>
        </w:tc>
      </w:tr>
    </w:tbl>
    <w:p w:rsidR="00D907AF" w:rsidRPr="008B70CD" w:rsidRDefault="00D907AF" w:rsidP="00BC69BF">
      <w:pPr>
        <w:pStyle w:val="NILSReference"/>
      </w:pPr>
      <w:r w:rsidRPr="008B70CD">
        <w:t xml:space="preserve">Note: </w:t>
      </w:r>
      <w:r>
        <w:t>trial and comparison</w:t>
      </w:r>
      <w:r w:rsidRPr="008B70CD">
        <w:t xml:space="preserve"> </w:t>
      </w:r>
      <w:r>
        <w:t>all ages; ‘Total’ indicates the number of respondents</w:t>
      </w:r>
      <w:r w:rsidR="002A3341">
        <w:t xml:space="preserve"> who</w:t>
      </w:r>
      <w:r>
        <w:t xml:space="preserve"> answer</w:t>
      </w:r>
      <w:r w:rsidR="002A3341">
        <w:t>ed</w:t>
      </w:r>
      <w:r>
        <w:t xml:space="preserve"> this question; </w:t>
      </w:r>
      <w:r w:rsidR="004B4501">
        <w:t xml:space="preserve">this is a </w:t>
      </w:r>
      <w:r>
        <w:t>multiple response question; columns therefore do not add to 100.</w:t>
      </w:r>
    </w:p>
    <w:p w:rsidR="005B2D5F" w:rsidRDefault="005B2D5F" w:rsidP="00D907AF"/>
    <w:p w:rsidR="00D907AF" w:rsidRDefault="00D907AF" w:rsidP="00D907AF">
      <w:r>
        <w:t xml:space="preserve">Table 3.14 illustrates the importance of family within the context of the lives of people with disability. This picture however is incomplete in its present form. There are two aspects that need to be stressed. First, the sample has not yet settled sufficiently. Presently, the response rate </w:t>
      </w:r>
      <w:r w:rsidR="00B53A62">
        <w:t xml:space="preserve">for </w:t>
      </w:r>
      <w:r>
        <w:t>children is very low. As the sample grows, the family focus of the living arrangements will become more precise</w:t>
      </w:r>
      <w:r w:rsidR="00BA098B">
        <w:t xml:space="preserve"> and </w:t>
      </w:r>
      <w:r>
        <w:t xml:space="preserve">will allow us to investigate the degree to which the NDIS will induce shifts in traditional care arrangements. Second, the relationships that underpin the emerging picture are too complex to be portrayed in simple two or even three-way tabulations. The picture will start </w:t>
      </w:r>
      <w:r w:rsidR="00B53A62">
        <w:t xml:space="preserve">to become </w:t>
      </w:r>
      <w:r>
        <w:t xml:space="preserve">clearer after the carer information has been examined together with that of the person with disability and the nature of the person with disability-carer relationship is analysed. For example, there may be instances where a participation or </w:t>
      </w:r>
      <w:r w:rsidR="006953C6">
        <w:t>wellbeing</w:t>
      </w:r>
      <w:r>
        <w:t xml:space="preserve"> effect stemming from the NDIS may not arise directly through an increased activity of the person with disability themselves, but indirectly from an </w:t>
      </w:r>
      <w:r>
        <w:lastRenderedPageBreak/>
        <w:t xml:space="preserve">increased activity of the person or persons who live and interact with the person with disability. In other instances looking for </w:t>
      </w:r>
      <w:r w:rsidR="006953C6">
        <w:t>wellbeing</w:t>
      </w:r>
      <w:r>
        <w:t xml:space="preserve"> effects at the individual level may be incomplete and family </w:t>
      </w:r>
      <w:r w:rsidR="006953C6">
        <w:t>wellbeing</w:t>
      </w:r>
      <w:r>
        <w:t xml:space="preserve"> may be the appropriate outcome to look at, which cannot be done without utilising the linked person with disability-carer data. The analysis of the data for the purposes of the </w:t>
      </w:r>
      <w:r w:rsidR="00190419">
        <w:t>NDIS E</w:t>
      </w:r>
      <w:r w:rsidR="00BD356D">
        <w:t>valuation</w:t>
      </w:r>
      <w:r>
        <w:t xml:space="preserve"> and beyond will shed light on such questions.</w:t>
      </w:r>
    </w:p>
    <w:p w:rsidR="00D907AF" w:rsidRPr="004D098E" w:rsidRDefault="00D907AF" w:rsidP="00367B24">
      <w:pPr>
        <w:pStyle w:val="Heading3"/>
      </w:pPr>
      <w:bookmarkStart w:id="225" w:name="_Toc428280637"/>
      <w:bookmarkStart w:id="226" w:name="_Toc449955009"/>
      <w:r>
        <w:t>3.6.3 Part A – Supports before the NDIS (NDIS participants only)</w:t>
      </w:r>
      <w:bookmarkEnd w:id="225"/>
      <w:bookmarkEnd w:id="226"/>
    </w:p>
    <w:p w:rsidR="00D907AF" w:rsidRDefault="00D907AF" w:rsidP="00D907AF">
      <w:r>
        <w:t xml:space="preserve">It is important for any assessment of the NDIS trial to have sufficiently detailed information for the supports that the NDIS participants were receiving before the introduction of the NDIS. The pre-NDIS supports were very different nationally, so that in order to capture the ‘before situation’ the survey introduces a question that asks about a wide range of potential supports, trying to capture as much of the activity as possible. For the purposes of the </w:t>
      </w:r>
      <w:r w:rsidR="00190419">
        <w:t>e</w:t>
      </w:r>
      <w:r w:rsidR="00BD356D">
        <w:t>valuation</w:t>
      </w:r>
      <w:r>
        <w:t>, this information will be used in order to define where things were when the scheme started in order to be able to measure the change that happened after its introduction. Respondents have been asked to tick all supports that applied to them before the NDIS.</w:t>
      </w:r>
    </w:p>
    <w:p w:rsidR="005B2D5F" w:rsidRDefault="005B2D5F" w:rsidP="00D907AF"/>
    <w:p w:rsidR="00D907AF" w:rsidRDefault="00D907AF" w:rsidP="00D907AF">
      <w:r>
        <w:t xml:space="preserve">Table 3.15 shows that there were a wide range of supports accessed before the NDIS and that the use of these supports was extensive. This table reveals both movement and complexity. Movement is </w:t>
      </w:r>
      <w:r w:rsidRPr="00FB5385">
        <w:t xml:space="preserve">revealed from the fact that </w:t>
      </w:r>
      <w:r w:rsidRPr="00FB5385">
        <w:rPr>
          <w:rFonts w:hint="eastAsia"/>
        </w:rPr>
        <w:t>234</w:t>
      </w:r>
      <w:r w:rsidRPr="00FB5385">
        <w:t xml:space="preserve"> of the </w:t>
      </w:r>
      <w:r w:rsidRPr="00FB5385">
        <w:rPr>
          <w:rFonts w:hint="eastAsia"/>
        </w:rPr>
        <w:t>891</w:t>
      </w:r>
      <w:r w:rsidRPr="00FB5385">
        <w:t xml:space="preserve"> respondents (NDIS participants) who were asked this question said that they did not receive any supports before the NDIS. This is a high percentage (</w:t>
      </w:r>
      <w:r>
        <w:t>26.3 per cent</w:t>
      </w:r>
      <w:r w:rsidRPr="00FB5385">
        <w:t xml:space="preserve">) of apparent newcomers in the context of disability supports. This is a part of the sample that needs to be more closely examined and followed </w:t>
      </w:r>
      <w:r w:rsidR="00407F72">
        <w:t>over time.</w:t>
      </w:r>
      <w:r w:rsidRPr="00FB5385">
        <w:t xml:space="preserve"> Complexity comes from the fact that only </w:t>
      </w:r>
      <w:r w:rsidRPr="00FB5385">
        <w:rPr>
          <w:rFonts w:hint="eastAsia"/>
        </w:rPr>
        <w:t>216</w:t>
      </w:r>
      <w:r w:rsidRPr="00FB5385">
        <w:t xml:space="preserve"> of the </w:t>
      </w:r>
      <w:r w:rsidRPr="00FB5385">
        <w:rPr>
          <w:rFonts w:hint="eastAsia"/>
        </w:rPr>
        <w:t>891</w:t>
      </w:r>
      <w:r w:rsidRPr="00FB5385">
        <w:t xml:space="preserve"> respondents reported receiving only one support before the NDIS (2</w:t>
      </w:r>
      <w:r w:rsidRPr="00FB5385">
        <w:rPr>
          <w:rFonts w:hint="eastAsia"/>
        </w:rPr>
        <w:t>4</w:t>
      </w:r>
      <w:r>
        <w:t xml:space="preserve"> per cent</w:t>
      </w:r>
      <w:r w:rsidRPr="00FB5385">
        <w:t xml:space="preserve">), with </w:t>
      </w:r>
      <w:r w:rsidRPr="00FB5385">
        <w:rPr>
          <w:rFonts w:hint="eastAsia"/>
        </w:rPr>
        <w:t>17</w:t>
      </w:r>
      <w:r>
        <w:t xml:space="preserve"> per cent</w:t>
      </w:r>
      <w:r w:rsidRPr="00FB5385">
        <w:t xml:space="preserve"> receiving two supports, 11</w:t>
      </w:r>
      <w:r>
        <w:t xml:space="preserve"> per cent</w:t>
      </w:r>
      <w:r w:rsidRPr="00FB5385">
        <w:t xml:space="preserve"> three and 2</w:t>
      </w:r>
      <w:r w:rsidRPr="00FB5385">
        <w:rPr>
          <w:rFonts w:hint="eastAsia"/>
        </w:rPr>
        <w:t>0</w:t>
      </w:r>
      <w:r>
        <w:t xml:space="preserve"> per cent</w:t>
      </w:r>
      <w:r w:rsidRPr="00FB5385">
        <w:t xml:space="preserve"> four or more</w:t>
      </w:r>
      <w:r>
        <w:t xml:space="preserve"> (calculations not shown in the table below)</w:t>
      </w:r>
      <w:r w:rsidRPr="00FB5385">
        <w:t xml:space="preserve">. How these supports will change and what the respondents think about this change </w:t>
      </w:r>
      <w:r w:rsidR="00407F72">
        <w:t>will be a focus of future analyses</w:t>
      </w:r>
      <w:r>
        <w:t xml:space="preserve">. </w:t>
      </w:r>
    </w:p>
    <w:p w:rsidR="00D907AF" w:rsidRPr="00233E8A" w:rsidRDefault="00D907AF" w:rsidP="0044684E">
      <w:pPr>
        <w:pStyle w:val="NILSTableHeading"/>
      </w:pPr>
      <w:bookmarkStart w:id="227" w:name="_Toc428280666"/>
      <w:bookmarkStart w:id="228" w:name="_Toc449955277"/>
      <w:r w:rsidRPr="00290799">
        <w:t>Table 3.15: NDIS participants only - supports received before the NDIS</w:t>
      </w:r>
      <w:bookmarkEnd w:id="227"/>
      <w:bookmarkEnd w:id="228"/>
    </w:p>
    <w:tbl>
      <w:tblPr>
        <w:tblStyle w:val="TableGrid"/>
        <w:tblW w:w="0" w:type="auto"/>
        <w:tblLayout w:type="fixed"/>
        <w:tblLook w:val="04A0" w:firstRow="1" w:lastRow="0" w:firstColumn="1" w:lastColumn="0" w:noHBand="0" w:noVBand="1"/>
        <w:tblCaption w:val="Table 3.15 NDIS participants only - supports received before the NDIS"/>
      </w:tblPr>
      <w:tblGrid>
        <w:gridCol w:w="5778"/>
        <w:gridCol w:w="1276"/>
        <w:gridCol w:w="954"/>
      </w:tblGrid>
      <w:tr w:rsidR="00D907AF" w:rsidRPr="004573EF" w:rsidTr="00D708F1">
        <w:trPr>
          <w:cantSplit/>
          <w:tblHeader/>
        </w:trPr>
        <w:tc>
          <w:tcPr>
            <w:tcW w:w="5778" w:type="dxa"/>
            <w:tcBorders>
              <w:top w:val="single" w:sz="4" w:space="0" w:color="auto"/>
              <w:bottom w:val="single" w:sz="4" w:space="0" w:color="auto"/>
            </w:tcBorders>
            <w:shd w:val="clear" w:color="auto" w:fill="auto"/>
          </w:tcPr>
          <w:p w:rsidR="00D907AF" w:rsidRPr="004573EF" w:rsidRDefault="00D907AF" w:rsidP="00D907AF">
            <w:pPr>
              <w:spacing w:before="20" w:after="20"/>
              <w:rPr>
                <w:rFonts w:cstheme="minorHAnsi"/>
                <w:sz w:val="20"/>
                <w:szCs w:val="20"/>
              </w:rPr>
            </w:pPr>
            <w:bookmarkStart w:id="229" w:name="Title_3_15"/>
            <w:bookmarkEnd w:id="229"/>
          </w:p>
        </w:tc>
        <w:tc>
          <w:tcPr>
            <w:tcW w:w="1276" w:type="dxa"/>
            <w:tcBorders>
              <w:top w:val="single" w:sz="4" w:space="0" w:color="auto"/>
              <w:bottom w:val="single" w:sz="4" w:space="0" w:color="auto"/>
            </w:tcBorders>
            <w:shd w:val="clear" w:color="auto" w:fill="auto"/>
          </w:tcPr>
          <w:p w:rsidR="00277DB1" w:rsidRDefault="00747D1A" w:rsidP="00140D71">
            <w:pPr>
              <w:spacing w:before="20" w:after="20"/>
              <w:ind w:left="-108" w:right="-108"/>
              <w:jc w:val="center"/>
              <w:rPr>
                <w:rFonts w:cstheme="minorHAnsi"/>
                <w:sz w:val="20"/>
                <w:szCs w:val="20"/>
              </w:rPr>
            </w:pPr>
            <w:r>
              <w:rPr>
                <w:rFonts w:cstheme="minorHAnsi"/>
                <w:sz w:val="20"/>
                <w:szCs w:val="20"/>
              </w:rPr>
              <w:t xml:space="preserve">Trial </w:t>
            </w:r>
          </w:p>
          <w:p w:rsidR="00D907AF" w:rsidRPr="004573EF" w:rsidRDefault="00D907AF" w:rsidP="00140D71">
            <w:pPr>
              <w:spacing w:before="20" w:after="20"/>
              <w:ind w:left="-108" w:right="-108"/>
              <w:jc w:val="center"/>
              <w:rPr>
                <w:rFonts w:cstheme="minorHAnsi"/>
                <w:sz w:val="20"/>
                <w:szCs w:val="20"/>
              </w:rPr>
            </w:pPr>
            <w:r>
              <w:rPr>
                <w:rFonts w:cstheme="minorHAnsi"/>
                <w:sz w:val="20"/>
                <w:szCs w:val="20"/>
              </w:rPr>
              <w:t>Cases</w:t>
            </w:r>
          </w:p>
        </w:tc>
        <w:tc>
          <w:tcPr>
            <w:tcW w:w="954" w:type="dxa"/>
            <w:tcBorders>
              <w:top w:val="single" w:sz="4" w:space="0" w:color="auto"/>
              <w:bottom w:val="single" w:sz="4" w:space="0" w:color="auto"/>
            </w:tcBorders>
            <w:shd w:val="clear" w:color="auto" w:fill="auto"/>
          </w:tcPr>
          <w:p w:rsidR="004A5067" w:rsidRDefault="00747D1A" w:rsidP="005560DF">
            <w:pPr>
              <w:spacing w:before="20" w:after="20"/>
              <w:jc w:val="center"/>
              <w:rPr>
                <w:rFonts w:cstheme="minorHAnsi"/>
                <w:sz w:val="20"/>
                <w:szCs w:val="20"/>
              </w:rPr>
            </w:pPr>
            <w:r>
              <w:rPr>
                <w:rFonts w:cstheme="minorHAnsi"/>
                <w:sz w:val="20"/>
                <w:szCs w:val="20"/>
              </w:rPr>
              <w:t xml:space="preserve">Trial </w:t>
            </w:r>
          </w:p>
          <w:p w:rsidR="00D907AF" w:rsidRPr="004573EF" w:rsidRDefault="00D907AF" w:rsidP="005560DF">
            <w:pPr>
              <w:spacing w:before="20" w:after="20"/>
              <w:jc w:val="center"/>
              <w:rPr>
                <w:rFonts w:cstheme="minorHAnsi"/>
                <w:sz w:val="20"/>
                <w:szCs w:val="20"/>
              </w:rPr>
            </w:pPr>
            <w:r w:rsidRPr="004573EF">
              <w:rPr>
                <w:rFonts w:cstheme="minorHAnsi"/>
                <w:sz w:val="20"/>
                <w:szCs w:val="20"/>
              </w:rPr>
              <w:t>%</w:t>
            </w:r>
          </w:p>
        </w:tc>
      </w:tr>
      <w:tr w:rsidR="00D907AF" w:rsidRPr="004573EF" w:rsidTr="00D708F1">
        <w:trPr>
          <w:cantSplit/>
          <w:trHeight w:val="283"/>
        </w:trPr>
        <w:tc>
          <w:tcPr>
            <w:tcW w:w="5778" w:type="dxa"/>
            <w:tcBorders>
              <w:top w:val="single" w:sz="4" w:space="0" w:color="auto"/>
            </w:tcBorders>
            <w:shd w:val="clear" w:color="auto" w:fill="auto"/>
          </w:tcPr>
          <w:p w:rsidR="00D907AF" w:rsidRPr="004573EF" w:rsidRDefault="00D907AF" w:rsidP="00D907AF">
            <w:pPr>
              <w:spacing w:before="20" w:after="20"/>
              <w:rPr>
                <w:rFonts w:cstheme="minorHAnsi"/>
                <w:sz w:val="20"/>
                <w:szCs w:val="20"/>
              </w:rPr>
            </w:pPr>
            <w:r w:rsidRPr="004573EF">
              <w:rPr>
                <w:rFonts w:cstheme="minorHAnsi"/>
                <w:sz w:val="20"/>
                <w:szCs w:val="20"/>
              </w:rPr>
              <w:t>Received plan or case management</w:t>
            </w:r>
          </w:p>
        </w:tc>
        <w:tc>
          <w:tcPr>
            <w:tcW w:w="1276" w:type="dxa"/>
            <w:tcBorders>
              <w:top w:val="single" w:sz="4" w:space="0" w:color="auto"/>
            </w:tcBorders>
            <w:shd w:val="clear" w:color="auto" w:fill="auto"/>
            <w:vAlign w:val="center"/>
          </w:tcPr>
          <w:p w:rsidR="00D907AF" w:rsidRPr="004573EF" w:rsidRDefault="00D907AF" w:rsidP="00140D71">
            <w:pPr>
              <w:spacing w:before="20" w:after="20"/>
              <w:jc w:val="center"/>
              <w:rPr>
                <w:rFonts w:cstheme="minorHAnsi"/>
                <w:sz w:val="20"/>
                <w:szCs w:val="20"/>
              </w:rPr>
            </w:pPr>
            <w:r w:rsidRPr="004573EF">
              <w:rPr>
                <w:rFonts w:cstheme="minorHAnsi"/>
                <w:sz w:val="20"/>
                <w:szCs w:val="20"/>
              </w:rPr>
              <w:t>230</w:t>
            </w:r>
          </w:p>
        </w:tc>
        <w:tc>
          <w:tcPr>
            <w:tcW w:w="954" w:type="dxa"/>
            <w:tcBorders>
              <w:top w:val="single" w:sz="4" w:space="0" w:color="auto"/>
            </w:tcBorders>
            <w:shd w:val="clear" w:color="auto" w:fill="auto"/>
            <w:vAlign w:val="center"/>
          </w:tcPr>
          <w:p w:rsidR="00D907AF" w:rsidRPr="004573EF" w:rsidRDefault="00D907AF" w:rsidP="005560DF">
            <w:pPr>
              <w:tabs>
                <w:tab w:val="decimal" w:pos="401"/>
              </w:tabs>
              <w:spacing w:before="20" w:after="20"/>
              <w:rPr>
                <w:rFonts w:cstheme="minorHAnsi"/>
                <w:color w:val="000000"/>
                <w:sz w:val="20"/>
                <w:szCs w:val="20"/>
              </w:rPr>
            </w:pPr>
            <w:r w:rsidRPr="004573EF">
              <w:rPr>
                <w:rFonts w:cstheme="minorHAnsi"/>
                <w:color w:val="000000"/>
                <w:sz w:val="20"/>
                <w:szCs w:val="20"/>
              </w:rPr>
              <w:t>25.8</w:t>
            </w:r>
          </w:p>
        </w:tc>
      </w:tr>
      <w:tr w:rsidR="00D907AF" w:rsidRPr="004573EF" w:rsidTr="00D708F1">
        <w:trPr>
          <w:cantSplit/>
          <w:trHeight w:val="283"/>
        </w:trPr>
        <w:tc>
          <w:tcPr>
            <w:tcW w:w="5778" w:type="dxa"/>
            <w:shd w:val="clear" w:color="auto" w:fill="auto"/>
          </w:tcPr>
          <w:p w:rsidR="00D907AF" w:rsidRPr="004573EF" w:rsidRDefault="00D907AF" w:rsidP="00D907AF">
            <w:pPr>
              <w:spacing w:before="20" w:after="20"/>
              <w:rPr>
                <w:rFonts w:cstheme="minorHAnsi"/>
                <w:sz w:val="20"/>
                <w:szCs w:val="20"/>
              </w:rPr>
            </w:pPr>
            <w:r w:rsidRPr="004573EF">
              <w:rPr>
                <w:rFonts w:cstheme="minorHAnsi"/>
                <w:sz w:val="20"/>
                <w:szCs w:val="20"/>
              </w:rPr>
              <w:t>Received support with personal care and everyday living</w:t>
            </w:r>
          </w:p>
        </w:tc>
        <w:tc>
          <w:tcPr>
            <w:tcW w:w="1276" w:type="dxa"/>
            <w:shd w:val="clear" w:color="auto" w:fill="auto"/>
            <w:vAlign w:val="center"/>
          </w:tcPr>
          <w:p w:rsidR="00D907AF" w:rsidRPr="004573EF" w:rsidRDefault="00D907AF" w:rsidP="00140D71">
            <w:pPr>
              <w:spacing w:before="20" w:after="20"/>
              <w:jc w:val="center"/>
              <w:rPr>
                <w:rFonts w:cstheme="minorHAnsi"/>
                <w:sz w:val="20"/>
                <w:szCs w:val="20"/>
              </w:rPr>
            </w:pPr>
            <w:r w:rsidRPr="004573EF">
              <w:rPr>
                <w:rFonts w:cstheme="minorHAnsi"/>
                <w:sz w:val="20"/>
                <w:szCs w:val="20"/>
              </w:rPr>
              <w:t>149</w:t>
            </w:r>
          </w:p>
        </w:tc>
        <w:tc>
          <w:tcPr>
            <w:tcW w:w="954" w:type="dxa"/>
            <w:shd w:val="clear" w:color="auto" w:fill="auto"/>
            <w:vAlign w:val="center"/>
          </w:tcPr>
          <w:p w:rsidR="00D907AF" w:rsidRPr="004573EF" w:rsidRDefault="00D907AF" w:rsidP="005560DF">
            <w:pPr>
              <w:tabs>
                <w:tab w:val="decimal" w:pos="401"/>
              </w:tabs>
              <w:spacing w:before="20" w:after="20"/>
              <w:rPr>
                <w:rFonts w:cstheme="minorHAnsi"/>
                <w:color w:val="000000"/>
                <w:sz w:val="20"/>
                <w:szCs w:val="20"/>
              </w:rPr>
            </w:pPr>
            <w:r w:rsidRPr="004573EF">
              <w:rPr>
                <w:rFonts w:cstheme="minorHAnsi"/>
                <w:color w:val="000000"/>
                <w:sz w:val="20"/>
                <w:szCs w:val="20"/>
              </w:rPr>
              <w:t>16.7</w:t>
            </w:r>
          </w:p>
        </w:tc>
      </w:tr>
      <w:tr w:rsidR="00D907AF" w:rsidRPr="004573EF" w:rsidTr="00D708F1">
        <w:trPr>
          <w:cantSplit/>
          <w:trHeight w:val="283"/>
        </w:trPr>
        <w:tc>
          <w:tcPr>
            <w:tcW w:w="5778" w:type="dxa"/>
            <w:shd w:val="clear" w:color="auto" w:fill="auto"/>
          </w:tcPr>
          <w:p w:rsidR="00D907AF" w:rsidRPr="004573EF" w:rsidRDefault="00D907AF" w:rsidP="00D907AF">
            <w:pPr>
              <w:spacing w:before="20" w:after="20"/>
              <w:rPr>
                <w:rFonts w:cstheme="minorHAnsi"/>
                <w:sz w:val="20"/>
                <w:szCs w:val="20"/>
              </w:rPr>
            </w:pPr>
            <w:r w:rsidRPr="004573EF">
              <w:rPr>
                <w:rFonts w:cstheme="minorHAnsi"/>
                <w:sz w:val="20"/>
                <w:szCs w:val="20"/>
              </w:rPr>
              <w:t>Received support with leisure activities outside the home</w:t>
            </w:r>
          </w:p>
        </w:tc>
        <w:tc>
          <w:tcPr>
            <w:tcW w:w="1276" w:type="dxa"/>
            <w:shd w:val="clear" w:color="auto" w:fill="auto"/>
            <w:vAlign w:val="center"/>
          </w:tcPr>
          <w:p w:rsidR="00D907AF" w:rsidRPr="004573EF" w:rsidRDefault="00D907AF" w:rsidP="00140D71">
            <w:pPr>
              <w:tabs>
                <w:tab w:val="left" w:pos="435"/>
              </w:tabs>
              <w:spacing w:before="20" w:after="20"/>
              <w:jc w:val="center"/>
              <w:rPr>
                <w:rFonts w:cstheme="minorHAnsi"/>
                <w:sz w:val="20"/>
                <w:szCs w:val="20"/>
              </w:rPr>
            </w:pPr>
            <w:r w:rsidRPr="004573EF">
              <w:rPr>
                <w:rFonts w:cstheme="minorHAnsi"/>
                <w:sz w:val="20"/>
                <w:szCs w:val="20"/>
              </w:rPr>
              <w:t>173</w:t>
            </w:r>
          </w:p>
        </w:tc>
        <w:tc>
          <w:tcPr>
            <w:tcW w:w="954" w:type="dxa"/>
            <w:shd w:val="clear" w:color="auto" w:fill="auto"/>
            <w:vAlign w:val="center"/>
          </w:tcPr>
          <w:p w:rsidR="00D907AF" w:rsidRPr="004573EF" w:rsidRDefault="00D907AF" w:rsidP="005560DF">
            <w:pPr>
              <w:tabs>
                <w:tab w:val="decimal" w:pos="401"/>
              </w:tabs>
              <w:spacing w:before="20" w:after="20"/>
              <w:rPr>
                <w:rFonts w:cstheme="minorHAnsi"/>
                <w:color w:val="000000"/>
                <w:sz w:val="20"/>
                <w:szCs w:val="20"/>
              </w:rPr>
            </w:pPr>
            <w:r w:rsidRPr="004573EF">
              <w:rPr>
                <w:rFonts w:cstheme="minorHAnsi"/>
                <w:color w:val="000000"/>
                <w:sz w:val="20"/>
                <w:szCs w:val="20"/>
              </w:rPr>
              <w:t>19.4</w:t>
            </w:r>
          </w:p>
        </w:tc>
      </w:tr>
      <w:tr w:rsidR="00D907AF" w:rsidRPr="004573EF" w:rsidTr="00D708F1">
        <w:trPr>
          <w:cantSplit/>
          <w:trHeight w:val="283"/>
        </w:trPr>
        <w:tc>
          <w:tcPr>
            <w:tcW w:w="5778" w:type="dxa"/>
            <w:shd w:val="clear" w:color="auto" w:fill="auto"/>
          </w:tcPr>
          <w:p w:rsidR="00D907AF" w:rsidRPr="004573EF" w:rsidRDefault="00D907AF" w:rsidP="00D907AF">
            <w:pPr>
              <w:spacing w:before="20" w:after="20"/>
              <w:rPr>
                <w:rFonts w:cstheme="minorHAnsi"/>
                <w:sz w:val="20"/>
                <w:szCs w:val="20"/>
              </w:rPr>
            </w:pPr>
            <w:r w:rsidRPr="004573EF">
              <w:rPr>
                <w:rFonts w:cstheme="minorHAnsi"/>
                <w:sz w:val="20"/>
                <w:szCs w:val="20"/>
              </w:rPr>
              <w:t>Received support to participate in group activities in the community</w:t>
            </w:r>
          </w:p>
        </w:tc>
        <w:tc>
          <w:tcPr>
            <w:tcW w:w="1276" w:type="dxa"/>
            <w:shd w:val="clear" w:color="auto" w:fill="auto"/>
            <w:vAlign w:val="center"/>
          </w:tcPr>
          <w:p w:rsidR="00D907AF" w:rsidRPr="004573EF" w:rsidRDefault="00D907AF" w:rsidP="00140D71">
            <w:pPr>
              <w:tabs>
                <w:tab w:val="left" w:pos="435"/>
              </w:tabs>
              <w:spacing w:before="20" w:after="20"/>
              <w:jc w:val="center"/>
              <w:rPr>
                <w:rFonts w:cstheme="minorHAnsi"/>
                <w:sz w:val="20"/>
                <w:szCs w:val="20"/>
              </w:rPr>
            </w:pPr>
            <w:r w:rsidRPr="004573EF">
              <w:rPr>
                <w:rFonts w:cstheme="minorHAnsi"/>
                <w:sz w:val="20"/>
                <w:szCs w:val="20"/>
              </w:rPr>
              <w:t>187</w:t>
            </w:r>
          </w:p>
        </w:tc>
        <w:tc>
          <w:tcPr>
            <w:tcW w:w="954" w:type="dxa"/>
            <w:shd w:val="clear" w:color="auto" w:fill="auto"/>
            <w:vAlign w:val="center"/>
          </w:tcPr>
          <w:p w:rsidR="00D907AF" w:rsidRPr="004573EF" w:rsidRDefault="00D907AF" w:rsidP="005560DF">
            <w:pPr>
              <w:tabs>
                <w:tab w:val="decimal" w:pos="401"/>
              </w:tabs>
              <w:spacing w:before="20" w:after="20"/>
              <w:rPr>
                <w:rFonts w:cstheme="minorHAnsi"/>
                <w:color w:val="000000"/>
                <w:sz w:val="20"/>
                <w:szCs w:val="20"/>
              </w:rPr>
            </w:pPr>
            <w:r w:rsidRPr="004573EF">
              <w:rPr>
                <w:rFonts w:cstheme="minorHAnsi"/>
                <w:color w:val="000000"/>
                <w:sz w:val="20"/>
                <w:szCs w:val="20"/>
              </w:rPr>
              <w:t>21.0</w:t>
            </w:r>
          </w:p>
        </w:tc>
      </w:tr>
      <w:tr w:rsidR="00D907AF" w:rsidRPr="004573EF" w:rsidTr="00D708F1">
        <w:trPr>
          <w:cantSplit/>
          <w:trHeight w:val="283"/>
        </w:trPr>
        <w:tc>
          <w:tcPr>
            <w:tcW w:w="5778" w:type="dxa"/>
            <w:shd w:val="clear" w:color="auto" w:fill="auto"/>
          </w:tcPr>
          <w:p w:rsidR="00D907AF" w:rsidRPr="004573EF" w:rsidRDefault="00D907AF" w:rsidP="00D907AF">
            <w:pPr>
              <w:spacing w:before="20" w:after="20"/>
              <w:rPr>
                <w:rFonts w:cstheme="minorHAnsi"/>
                <w:sz w:val="20"/>
                <w:szCs w:val="20"/>
              </w:rPr>
            </w:pPr>
            <w:r w:rsidRPr="004573EF">
              <w:rPr>
                <w:rFonts w:cstheme="minorHAnsi"/>
                <w:sz w:val="20"/>
                <w:szCs w:val="20"/>
              </w:rPr>
              <w:t xml:space="preserve">Received support with transport and travelling </w:t>
            </w:r>
          </w:p>
        </w:tc>
        <w:tc>
          <w:tcPr>
            <w:tcW w:w="1276" w:type="dxa"/>
            <w:shd w:val="clear" w:color="auto" w:fill="auto"/>
            <w:vAlign w:val="center"/>
          </w:tcPr>
          <w:p w:rsidR="00D907AF" w:rsidRPr="004573EF" w:rsidRDefault="00D907AF" w:rsidP="00140D71">
            <w:pPr>
              <w:tabs>
                <w:tab w:val="left" w:pos="435"/>
              </w:tabs>
              <w:spacing w:before="20" w:after="20"/>
              <w:jc w:val="center"/>
              <w:rPr>
                <w:rFonts w:cstheme="minorHAnsi"/>
                <w:sz w:val="20"/>
                <w:szCs w:val="20"/>
              </w:rPr>
            </w:pPr>
            <w:r w:rsidRPr="004573EF">
              <w:rPr>
                <w:rFonts w:cstheme="minorHAnsi"/>
                <w:sz w:val="20"/>
                <w:szCs w:val="20"/>
              </w:rPr>
              <w:t>205</w:t>
            </w:r>
          </w:p>
        </w:tc>
        <w:tc>
          <w:tcPr>
            <w:tcW w:w="954" w:type="dxa"/>
            <w:shd w:val="clear" w:color="auto" w:fill="auto"/>
            <w:vAlign w:val="center"/>
          </w:tcPr>
          <w:p w:rsidR="00D907AF" w:rsidRPr="004573EF" w:rsidRDefault="00D907AF" w:rsidP="005560DF">
            <w:pPr>
              <w:tabs>
                <w:tab w:val="decimal" w:pos="401"/>
              </w:tabs>
              <w:spacing w:before="20" w:after="20"/>
              <w:rPr>
                <w:rFonts w:cstheme="minorHAnsi"/>
                <w:color w:val="000000"/>
                <w:sz w:val="20"/>
                <w:szCs w:val="20"/>
              </w:rPr>
            </w:pPr>
            <w:r w:rsidRPr="004573EF">
              <w:rPr>
                <w:rFonts w:cstheme="minorHAnsi"/>
                <w:color w:val="000000"/>
                <w:sz w:val="20"/>
                <w:szCs w:val="20"/>
              </w:rPr>
              <w:t>23.0</w:t>
            </w:r>
          </w:p>
        </w:tc>
      </w:tr>
      <w:tr w:rsidR="00D907AF" w:rsidRPr="004573EF" w:rsidTr="00D708F1">
        <w:trPr>
          <w:cantSplit/>
          <w:trHeight w:val="283"/>
        </w:trPr>
        <w:tc>
          <w:tcPr>
            <w:tcW w:w="5778" w:type="dxa"/>
            <w:shd w:val="clear" w:color="auto" w:fill="auto"/>
          </w:tcPr>
          <w:p w:rsidR="00D907AF" w:rsidRPr="004573EF" w:rsidRDefault="00D907AF" w:rsidP="00D907AF">
            <w:pPr>
              <w:spacing w:before="20" w:after="20"/>
              <w:rPr>
                <w:rFonts w:cstheme="minorHAnsi"/>
                <w:sz w:val="20"/>
                <w:szCs w:val="20"/>
              </w:rPr>
            </w:pPr>
            <w:r w:rsidRPr="004573EF">
              <w:rPr>
                <w:rFonts w:cstheme="minorHAnsi"/>
                <w:sz w:val="20"/>
                <w:szCs w:val="20"/>
              </w:rPr>
              <w:t>Received therapeutic supports or support with medication</w:t>
            </w:r>
          </w:p>
        </w:tc>
        <w:tc>
          <w:tcPr>
            <w:tcW w:w="1276" w:type="dxa"/>
            <w:shd w:val="clear" w:color="auto" w:fill="auto"/>
            <w:vAlign w:val="center"/>
          </w:tcPr>
          <w:p w:rsidR="00D907AF" w:rsidRPr="004573EF" w:rsidRDefault="00D907AF" w:rsidP="00140D71">
            <w:pPr>
              <w:tabs>
                <w:tab w:val="left" w:pos="435"/>
              </w:tabs>
              <w:spacing w:before="20" w:after="20"/>
              <w:jc w:val="center"/>
              <w:rPr>
                <w:rFonts w:cstheme="minorHAnsi"/>
                <w:sz w:val="20"/>
                <w:szCs w:val="20"/>
              </w:rPr>
            </w:pPr>
            <w:r w:rsidRPr="004573EF">
              <w:rPr>
                <w:rFonts w:cstheme="minorHAnsi"/>
                <w:sz w:val="20"/>
                <w:szCs w:val="20"/>
              </w:rPr>
              <w:t>223</w:t>
            </w:r>
          </w:p>
        </w:tc>
        <w:tc>
          <w:tcPr>
            <w:tcW w:w="954" w:type="dxa"/>
            <w:shd w:val="clear" w:color="auto" w:fill="auto"/>
            <w:vAlign w:val="center"/>
          </w:tcPr>
          <w:p w:rsidR="00D907AF" w:rsidRPr="004573EF" w:rsidRDefault="00D907AF" w:rsidP="005560DF">
            <w:pPr>
              <w:tabs>
                <w:tab w:val="decimal" w:pos="401"/>
              </w:tabs>
              <w:spacing w:before="20" w:after="20"/>
              <w:rPr>
                <w:rFonts w:cstheme="minorHAnsi"/>
                <w:color w:val="000000"/>
                <w:sz w:val="20"/>
                <w:szCs w:val="20"/>
              </w:rPr>
            </w:pPr>
            <w:r w:rsidRPr="004573EF">
              <w:rPr>
                <w:rFonts w:cstheme="minorHAnsi"/>
                <w:color w:val="000000"/>
                <w:sz w:val="20"/>
                <w:szCs w:val="20"/>
              </w:rPr>
              <w:t>25.0</w:t>
            </w:r>
          </w:p>
        </w:tc>
      </w:tr>
      <w:tr w:rsidR="00D907AF" w:rsidRPr="004573EF" w:rsidTr="00D708F1">
        <w:trPr>
          <w:cantSplit/>
          <w:trHeight w:val="283"/>
        </w:trPr>
        <w:tc>
          <w:tcPr>
            <w:tcW w:w="5778" w:type="dxa"/>
            <w:shd w:val="clear" w:color="auto" w:fill="auto"/>
          </w:tcPr>
          <w:p w:rsidR="00D907AF" w:rsidRPr="004573EF" w:rsidRDefault="00D907AF" w:rsidP="00D907AF">
            <w:pPr>
              <w:spacing w:before="20" w:after="20"/>
              <w:rPr>
                <w:rFonts w:cstheme="minorHAnsi"/>
                <w:sz w:val="20"/>
                <w:szCs w:val="20"/>
              </w:rPr>
            </w:pPr>
            <w:r w:rsidRPr="004573EF">
              <w:rPr>
                <w:rFonts w:cstheme="minorHAnsi"/>
                <w:sz w:val="20"/>
                <w:szCs w:val="20"/>
              </w:rPr>
              <w:t>Received respite or short breaks</w:t>
            </w:r>
          </w:p>
        </w:tc>
        <w:tc>
          <w:tcPr>
            <w:tcW w:w="1276" w:type="dxa"/>
            <w:shd w:val="clear" w:color="auto" w:fill="auto"/>
            <w:vAlign w:val="center"/>
          </w:tcPr>
          <w:p w:rsidR="00D907AF" w:rsidRPr="004573EF" w:rsidRDefault="00D907AF" w:rsidP="00140D71">
            <w:pPr>
              <w:tabs>
                <w:tab w:val="left" w:pos="435"/>
              </w:tabs>
              <w:spacing w:before="20" w:after="20"/>
              <w:jc w:val="center"/>
              <w:rPr>
                <w:rFonts w:cstheme="minorHAnsi"/>
                <w:sz w:val="20"/>
                <w:szCs w:val="20"/>
              </w:rPr>
            </w:pPr>
            <w:r w:rsidRPr="004573EF">
              <w:rPr>
                <w:rFonts w:cstheme="minorHAnsi"/>
                <w:sz w:val="20"/>
                <w:szCs w:val="20"/>
              </w:rPr>
              <w:t>190</w:t>
            </w:r>
          </w:p>
        </w:tc>
        <w:tc>
          <w:tcPr>
            <w:tcW w:w="954" w:type="dxa"/>
            <w:shd w:val="clear" w:color="auto" w:fill="auto"/>
            <w:vAlign w:val="center"/>
          </w:tcPr>
          <w:p w:rsidR="00D907AF" w:rsidRPr="004573EF" w:rsidRDefault="00D907AF" w:rsidP="005560DF">
            <w:pPr>
              <w:tabs>
                <w:tab w:val="decimal" w:pos="401"/>
              </w:tabs>
              <w:spacing w:before="20" w:after="20"/>
              <w:rPr>
                <w:rFonts w:cstheme="minorHAnsi"/>
                <w:color w:val="000000"/>
                <w:sz w:val="20"/>
                <w:szCs w:val="20"/>
              </w:rPr>
            </w:pPr>
            <w:r w:rsidRPr="004573EF">
              <w:rPr>
                <w:rFonts w:cstheme="minorHAnsi"/>
                <w:color w:val="000000"/>
                <w:sz w:val="20"/>
                <w:szCs w:val="20"/>
              </w:rPr>
              <w:t>21.3</w:t>
            </w:r>
          </w:p>
        </w:tc>
      </w:tr>
      <w:tr w:rsidR="00D907AF" w:rsidRPr="004573EF" w:rsidTr="00D708F1">
        <w:trPr>
          <w:cantSplit/>
          <w:trHeight w:val="283"/>
        </w:trPr>
        <w:tc>
          <w:tcPr>
            <w:tcW w:w="5778" w:type="dxa"/>
            <w:shd w:val="clear" w:color="auto" w:fill="auto"/>
          </w:tcPr>
          <w:p w:rsidR="00D907AF" w:rsidRPr="004573EF" w:rsidRDefault="00D907AF" w:rsidP="00D907AF">
            <w:pPr>
              <w:spacing w:before="20" w:after="20"/>
              <w:rPr>
                <w:rFonts w:cstheme="minorHAnsi"/>
                <w:sz w:val="20"/>
                <w:szCs w:val="20"/>
              </w:rPr>
            </w:pPr>
            <w:r w:rsidRPr="004573EF">
              <w:rPr>
                <w:rFonts w:cstheme="minorHAnsi"/>
                <w:sz w:val="20"/>
                <w:szCs w:val="20"/>
              </w:rPr>
              <w:t>Received aids and equipment</w:t>
            </w:r>
          </w:p>
        </w:tc>
        <w:tc>
          <w:tcPr>
            <w:tcW w:w="1276" w:type="dxa"/>
            <w:shd w:val="clear" w:color="auto" w:fill="auto"/>
            <w:vAlign w:val="center"/>
          </w:tcPr>
          <w:p w:rsidR="00D907AF" w:rsidRPr="004573EF" w:rsidRDefault="00D907AF" w:rsidP="00140D71">
            <w:pPr>
              <w:tabs>
                <w:tab w:val="left" w:pos="435"/>
              </w:tabs>
              <w:spacing w:before="20" w:after="20"/>
              <w:jc w:val="center"/>
              <w:rPr>
                <w:rFonts w:cstheme="minorHAnsi"/>
                <w:sz w:val="20"/>
                <w:szCs w:val="20"/>
              </w:rPr>
            </w:pPr>
            <w:r w:rsidRPr="004573EF">
              <w:rPr>
                <w:rFonts w:cstheme="minorHAnsi"/>
                <w:sz w:val="20"/>
                <w:szCs w:val="20"/>
              </w:rPr>
              <w:t>217</w:t>
            </w:r>
          </w:p>
        </w:tc>
        <w:tc>
          <w:tcPr>
            <w:tcW w:w="954" w:type="dxa"/>
            <w:shd w:val="clear" w:color="auto" w:fill="auto"/>
            <w:vAlign w:val="center"/>
          </w:tcPr>
          <w:p w:rsidR="00D907AF" w:rsidRPr="004573EF" w:rsidRDefault="00D907AF" w:rsidP="005560DF">
            <w:pPr>
              <w:tabs>
                <w:tab w:val="decimal" w:pos="401"/>
              </w:tabs>
              <w:spacing w:before="20" w:after="20"/>
              <w:rPr>
                <w:rFonts w:cstheme="minorHAnsi"/>
                <w:color w:val="000000"/>
                <w:sz w:val="20"/>
                <w:szCs w:val="20"/>
              </w:rPr>
            </w:pPr>
            <w:r w:rsidRPr="004573EF">
              <w:rPr>
                <w:rFonts w:cstheme="minorHAnsi"/>
                <w:color w:val="000000"/>
                <w:sz w:val="20"/>
                <w:szCs w:val="20"/>
              </w:rPr>
              <w:t>24.4</w:t>
            </w:r>
          </w:p>
        </w:tc>
      </w:tr>
      <w:tr w:rsidR="00D907AF" w:rsidRPr="004573EF" w:rsidTr="00D708F1">
        <w:trPr>
          <w:cantSplit/>
          <w:trHeight w:val="283"/>
        </w:trPr>
        <w:tc>
          <w:tcPr>
            <w:tcW w:w="5778" w:type="dxa"/>
            <w:shd w:val="clear" w:color="auto" w:fill="auto"/>
          </w:tcPr>
          <w:p w:rsidR="00D907AF" w:rsidRPr="004573EF" w:rsidRDefault="00D907AF" w:rsidP="00D907AF">
            <w:pPr>
              <w:spacing w:before="20" w:after="20"/>
              <w:rPr>
                <w:rFonts w:cstheme="minorHAnsi"/>
                <w:sz w:val="20"/>
                <w:szCs w:val="20"/>
              </w:rPr>
            </w:pPr>
            <w:r w:rsidRPr="004573EF">
              <w:rPr>
                <w:rFonts w:cstheme="minorHAnsi"/>
                <w:sz w:val="20"/>
                <w:szCs w:val="20"/>
              </w:rPr>
              <w:t>Received other types of support</w:t>
            </w:r>
          </w:p>
        </w:tc>
        <w:tc>
          <w:tcPr>
            <w:tcW w:w="1276" w:type="dxa"/>
            <w:shd w:val="clear" w:color="auto" w:fill="auto"/>
            <w:vAlign w:val="center"/>
          </w:tcPr>
          <w:p w:rsidR="00D907AF" w:rsidRPr="004573EF" w:rsidRDefault="00D907AF" w:rsidP="00140D71">
            <w:pPr>
              <w:tabs>
                <w:tab w:val="left" w:pos="435"/>
              </w:tabs>
              <w:spacing w:before="20" w:after="20"/>
              <w:jc w:val="center"/>
              <w:rPr>
                <w:rFonts w:cstheme="minorHAnsi"/>
                <w:sz w:val="20"/>
                <w:szCs w:val="20"/>
              </w:rPr>
            </w:pPr>
            <w:r w:rsidRPr="004573EF">
              <w:rPr>
                <w:rFonts w:cstheme="minorHAnsi"/>
                <w:sz w:val="20"/>
                <w:szCs w:val="20"/>
              </w:rPr>
              <w:t>176</w:t>
            </w:r>
          </w:p>
        </w:tc>
        <w:tc>
          <w:tcPr>
            <w:tcW w:w="954" w:type="dxa"/>
            <w:shd w:val="clear" w:color="auto" w:fill="auto"/>
            <w:vAlign w:val="center"/>
          </w:tcPr>
          <w:p w:rsidR="00D907AF" w:rsidRPr="004573EF" w:rsidRDefault="00D907AF" w:rsidP="005560DF">
            <w:pPr>
              <w:tabs>
                <w:tab w:val="decimal" w:pos="401"/>
              </w:tabs>
              <w:spacing w:before="20" w:after="20"/>
              <w:rPr>
                <w:rFonts w:cstheme="minorHAnsi"/>
                <w:color w:val="000000"/>
                <w:sz w:val="20"/>
                <w:szCs w:val="20"/>
              </w:rPr>
            </w:pPr>
            <w:r w:rsidRPr="004573EF">
              <w:rPr>
                <w:rFonts w:cstheme="minorHAnsi"/>
                <w:color w:val="000000"/>
                <w:sz w:val="20"/>
                <w:szCs w:val="20"/>
              </w:rPr>
              <w:t>19.8</w:t>
            </w:r>
          </w:p>
        </w:tc>
      </w:tr>
      <w:tr w:rsidR="00D907AF" w:rsidRPr="004573EF" w:rsidTr="00D708F1">
        <w:trPr>
          <w:cantSplit/>
          <w:trHeight w:val="283"/>
        </w:trPr>
        <w:tc>
          <w:tcPr>
            <w:tcW w:w="5778" w:type="dxa"/>
            <w:tcBorders>
              <w:bottom w:val="single" w:sz="4" w:space="0" w:color="auto"/>
            </w:tcBorders>
            <w:shd w:val="clear" w:color="auto" w:fill="auto"/>
          </w:tcPr>
          <w:p w:rsidR="00D907AF" w:rsidRPr="004573EF" w:rsidRDefault="00D907AF" w:rsidP="00D907AF">
            <w:pPr>
              <w:spacing w:before="20" w:after="20"/>
              <w:rPr>
                <w:rFonts w:cstheme="minorHAnsi"/>
                <w:sz w:val="20"/>
                <w:szCs w:val="20"/>
              </w:rPr>
            </w:pPr>
            <w:r w:rsidRPr="004573EF">
              <w:rPr>
                <w:rFonts w:cstheme="minorHAnsi"/>
                <w:sz w:val="20"/>
                <w:szCs w:val="20"/>
              </w:rPr>
              <w:t>Did not receive any support</w:t>
            </w:r>
          </w:p>
        </w:tc>
        <w:tc>
          <w:tcPr>
            <w:tcW w:w="1276" w:type="dxa"/>
            <w:tcBorders>
              <w:bottom w:val="single" w:sz="4" w:space="0" w:color="auto"/>
            </w:tcBorders>
            <w:shd w:val="clear" w:color="auto" w:fill="auto"/>
            <w:vAlign w:val="center"/>
          </w:tcPr>
          <w:p w:rsidR="00D907AF" w:rsidRPr="004573EF" w:rsidRDefault="00D907AF" w:rsidP="00140D71">
            <w:pPr>
              <w:tabs>
                <w:tab w:val="left" w:pos="435"/>
              </w:tabs>
              <w:spacing w:before="20" w:after="20"/>
              <w:jc w:val="center"/>
              <w:rPr>
                <w:rFonts w:cstheme="minorHAnsi"/>
                <w:sz w:val="20"/>
                <w:szCs w:val="20"/>
              </w:rPr>
            </w:pPr>
            <w:r w:rsidRPr="004573EF">
              <w:rPr>
                <w:rFonts w:cstheme="minorHAnsi"/>
                <w:sz w:val="20"/>
                <w:szCs w:val="20"/>
              </w:rPr>
              <w:t>234</w:t>
            </w:r>
          </w:p>
        </w:tc>
        <w:tc>
          <w:tcPr>
            <w:tcW w:w="954" w:type="dxa"/>
            <w:tcBorders>
              <w:bottom w:val="single" w:sz="4" w:space="0" w:color="auto"/>
            </w:tcBorders>
            <w:shd w:val="clear" w:color="auto" w:fill="auto"/>
            <w:vAlign w:val="center"/>
          </w:tcPr>
          <w:p w:rsidR="00D907AF" w:rsidRPr="004573EF" w:rsidRDefault="00D907AF" w:rsidP="005560DF">
            <w:pPr>
              <w:tabs>
                <w:tab w:val="decimal" w:pos="401"/>
              </w:tabs>
              <w:spacing w:before="20" w:after="20"/>
              <w:rPr>
                <w:rFonts w:cstheme="minorHAnsi"/>
                <w:color w:val="000000"/>
                <w:sz w:val="20"/>
                <w:szCs w:val="20"/>
              </w:rPr>
            </w:pPr>
            <w:r w:rsidRPr="004573EF">
              <w:rPr>
                <w:rFonts w:cstheme="minorHAnsi"/>
                <w:color w:val="000000"/>
                <w:sz w:val="20"/>
                <w:szCs w:val="20"/>
              </w:rPr>
              <w:t>26.3</w:t>
            </w:r>
          </w:p>
        </w:tc>
      </w:tr>
      <w:tr w:rsidR="00D907AF" w:rsidRPr="004573EF" w:rsidTr="00D708F1">
        <w:trPr>
          <w:cantSplit/>
          <w:trHeight w:val="283"/>
        </w:trPr>
        <w:tc>
          <w:tcPr>
            <w:tcW w:w="5778" w:type="dxa"/>
            <w:tcBorders>
              <w:top w:val="single" w:sz="4" w:space="0" w:color="auto"/>
              <w:bottom w:val="single" w:sz="4" w:space="0" w:color="auto"/>
            </w:tcBorders>
            <w:shd w:val="clear" w:color="auto" w:fill="auto"/>
          </w:tcPr>
          <w:p w:rsidR="00D907AF" w:rsidRPr="004573EF" w:rsidRDefault="00D907AF" w:rsidP="00D907AF">
            <w:pPr>
              <w:spacing w:before="20" w:after="20"/>
              <w:rPr>
                <w:rFonts w:cstheme="minorHAnsi"/>
                <w:b/>
                <w:sz w:val="20"/>
                <w:szCs w:val="20"/>
              </w:rPr>
            </w:pPr>
            <w:r w:rsidRPr="004573EF">
              <w:rPr>
                <w:rFonts w:cstheme="minorHAnsi"/>
                <w:b/>
                <w:sz w:val="20"/>
                <w:szCs w:val="20"/>
              </w:rPr>
              <w:t>Total</w:t>
            </w:r>
          </w:p>
        </w:tc>
        <w:tc>
          <w:tcPr>
            <w:tcW w:w="1276" w:type="dxa"/>
            <w:tcBorders>
              <w:top w:val="single" w:sz="4" w:space="0" w:color="auto"/>
              <w:bottom w:val="single" w:sz="4" w:space="0" w:color="auto"/>
            </w:tcBorders>
            <w:shd w:val="clear" w:color="auto" w:fill="auto"/>
            <w:vAlign w:val="center"/>
          </w:tcPr>
          <w:p w:rsidR="00D907AF" w:rsidRPr="004573EF" w:rsidRDefault="00D907AF" w:rsidP="00FC6BB6">
            <w:pPr>
              <w:spacing w:before="20" w:after="20"/>
              <w:jc w:val="center"/>
              <w:rPr>
                <w:rFonts w:cstheme="minorHAnsi"/>
                <w:b/>
                <w:sz w:val="20"/>
                <w:szCs w:val="20"/>
              </w:rPr>
            </w:pPr>
            <w:r w:rsidRPr="004573EF">
              <w:rPr>
                <w:rFonts w:cstheme="minorHAnsi"/>
                <w:b/>
                <w:sz w:val="20"/>
                <w:szCs w:val="20"/>
              </w:rPr>
              <w:t>891</w:t>
            </w:r>
          </w:p>
        </w:tc>
        <w:tc>
          <w:tcPr>
            <w:tcW w:w="954" w:type="dxa"/>
            <w:tcBorders>
              <w:top w:val="single" w:sz="4" w:space="0" w:color="auto"/>
              <w:bottom w:val="single" w:sz="4" w:space="0" w:color="auto"/>
            </w:tcBorders>
            <w:shd w:val="clear" w:color="auto" w:fill="auto"/>
          </w:tcPr>
          <w:p w:rsidR="00D907AF" w:rsidRPr="004573EF" w:rsidRDefault="00D907AF" w:rsidP="005560DF">
            <w:pPr>
              <w:tabs>
                <w:tab w:val="decimal" w:pos="401"/>
              </w:tabs>
              <w:spacing w:before="20" w:after="20"/>
              <w:rPr>
                <w:rFonts w:cstheme="minorHAnsi"/>
                <w:b/>
                <w:sz w:val="20"/>
                <w:szCs w:val="20"/>
              </w:rPr>
            </w:pPr>
            <w:r w:rsidRPr="004573EF">
              <w:rPr>
                <w:rFonts w:cstheme="minorHAnsi"/>
                <w:b/>
                <w:sz w:val="20"/>
                <w:szCs w:val="20"/>
              </w:rPr>
              <w:t>-</w:t>
            </w:r>
          </w:p>
        </w:tc>
      </w:tr>
    </w:tbl>
    <w:p w:rsidR="00D907AF" w:rsidRPr="00E77DA6" w:rsidRDefault="00D907AF" w:rsidP="00BC69BF">
      <w:pPr>
        <w:pStyle w:val="NILSReference"/>
      </w:pPr>
      <w:r w:rsidRPr="00E77DA6">
        <w:t xml:space="preserve">Note: </w:t>
      </w:r>
      <w:r>
        <w:t>t</w:t>
      </w:r>
      <w:r w:rsidRPr="00E77DA6">
        <w:t>rial only</w:t>
      </w:r>
      <w:r>
        <w:t>; ‘Total’ indicates the number of respondents to answer this question; multiple response question; columns therefore do not add to 100.</w:t>
      </w:r>
    </w:p>
    <w:p w:rsidR="005B2D5F" w:rsidRDefault="005B2D5F" w:rsidP="00D907AF"/>
    <w:p w:rsidR="00D907AF" w:rsidRDefault="00D907AF" w:rsidP="00D907AF">
      <w:r w:rsidRPr="00FB5385">
        <w:t xml:space="preserve">The survey asked if anyone self-managed any funding for supports before the NDIS. Of the </w:t>
      </w:r>
      <w:r w:rsidRPr="00FB5385">
        <w:rPr>
          <w:rFonts w:hint="eastAsia"/>
        </w:rPr>
        <w:t>657</w:t>
      </w:r>
      <w:r w:rsidRPr="00FB5385">
        <w:t xml:space="preserve"> NDIS participants who responded to this question </w:t>
      </w:r>
      <w:r w:rsidRPr="00FB5385">
        <w:rPr>
          <w:rFonts w:hint="eastAsia"/>
        </w:rPr>
        <w:t>32</w:t>
      </w:r>
      <w:r>
        <w:t xml:space="preserve"> per cent</w:t>
      </w:r>
      <w:r w:rsidRPr="00FB5385">
        <w:t xml:space="preserve"> said they did, 20</w:t>
      </w:r>
      <w:r>
        <w:t>.1 per cent</w:t>
      </w:r>
      <w:r w:rsidRPr="00FB5385">
        <w:t xml:space="preserve"> being managed by the family, </w:t>
      </w:r>
      <w:r w:rsidRPr="00FB5385">
        <w:rPr>
          <w:rFonts w:hint="eastAsia"/>
        </w:rPr>
        <w:t>6.2</w:t>
      </w:r>
      <w:r>
        <w:t xml:space="preserve"> per cent</w:t>
      </w:r>
      <w:r w:rsidRPr="00FB5385">
        <w:t xml:space="preserve"> by the person with disability themselves and </w:t>
      </w:r>
      <w:r w:rsidRPr="00FB5385">
        <w:rPr>
          <w:rFonts w:hint="eastAsia"/>
        </w:rPr>
        <w:t>5.9</w:t>
      </w:r>
      <w:r>
        <w:t xml:space="preserve"> per cent</w:t>
      </w:r>
      <w:r w:rsidRPr="00FB5385">
        <w:t xml:space="preserve"> by someone else</w:t>
      </w:r>
      <w:r>
        <w:t xml:space="preserve"> (Table 3.16)</w:t>
      </w:r>
      <w:r w:rsidRPr="00FB5385">
        <w:t xml:space="preserve">. This finding suggests that almost </w:t>
      </w:r>
      <w:r>
        <w:t>two thirds</w:t>
      </w:r>
      <w:r w:rsidRPr="00FB5385">
        <w:t xml:space="preserve"> of the NDIS participants will have had no self-funding management experience, which </w:t>
      </w:r>
      <w:r>
        <w:t xml:space="preserve">could be for many reasons and could add to the </w:t>
      </w:r>
      <w:r>
        <w:lastRenderedPageBreak/>
        <w:t>complexity of the roll out of the NDIS. Here too, for many respondents, the picture will be clearer through the analysis of the linked person with disability and their family and carer’s survey data.</w:t>
      </w:r>
    </w:p>
    <w:p w:rsidR="005B2D5F" w:rsidRDefault="005B2D5F" w:rsidP="00D907AF"/>
    <w:p w:rsidR="00D907AF" w:rsidRPr="00233E8A" w:rsidRDefault="00D907AF" w:rsidP="0044684E">
      <w:pPr>
        <w:pStyle w:val="NILSTableHeading"/>
      </w:pPr>
      <w:bookmarkStart w:id="230" w:name="_Toc428280667"/>
      <w:bookmarkStart w:id="231" w:name="_Toc449955278"/>
      <w:r w:rsidRPr="00233E8A">
        <w:t>Table 3.1</w:t>
      </w:r>
      <w:r>
        <w:t>6</w:t>
      </w:r>
      <w:r w:rsidRPr="00233E8A">
        <w:t>: Pre-NDIS experience with self-management of funding</w:t>
      </w:r>
      <w:bookmarkEnd w:id="230"/>
      <w:bookmarkEnd w:id="231"/>
    </w:p>
    <w:tbl>
      <w:tblPr>
        <w:tblStyle w:val="TableGrid"/>
        <w:tblW w:w="0" w:type="auto"/>
        <w:tblInd w:w="-34" w:type="dxa"/>
        <w:tblLayout w:type="fixed"/>
        <w:tblCellMar>
          <w:right w:w="159" w:type="dxa"/>
        </w:tblCellMar>
        <w:tblLook w:val="04A0" w:firstRow="1" w:lastRow="0" w:firstColumn="1" w:lastColumn="0" w:noHBand="0" w:noVBand="1"/>
        <w:tblCaption w:val="Table 3.16 Pre-NDIS experience with self-management of funding"/>
      </w:tblPr>
      <w:tblGrid>
        <w:gridCol w:w="4253"/>
        <w:gridCol w:w="1418"/>
        <w:gridCol w:w="1417"/>
      </w:tblGrid>
      <w:tr w:rsidR="00D907AF" w:rsidRPr="0087485F" w:rsidTr="005560DF">
        <w:trPr>
          <w:cantSplit/>
          <w:tblHeader/>
        </w:trPr>
        <w:tc>
          <w:tcPr>
            <w:tcW w:w="4253" w:type="dxa"/>
            <w:tcBorders>
              <w:top w:val="single" w:sz="4" w:space="0" w:color="auto"/>
              <w:bottom w:val="single" w:sz="4" w:space="0" w:color="auto"/>
            </w:tcBorders>
            <w:shd w:val="clear" w:color="auto" w:fill="auto"/>
          </w:tcPr>
          <w:p w:rsidR="00D907AF" w:rsidRPr="0087485F" w:rsidRDefault="00D907AF" w:rsidP="00D907AF">
            <w:pPr>
              <w:spacing w:before="20" w:after="20"/>
              <w:rPr>
                <w:rFonts w:cstheme="minorHAnsi"/>
                <w:sz w:val="20"/>
                <w:szCs w:val="20"/>
              </w:rPr>
            </w:pPr>
            <w:bookmarkStart w:id="232" w:name="Title_3_16"/>
            <w:bookmarkEnd w:id="232"/>
          </w:p>
        </w:tc>
        <w:tc>
          <w:tcPr>
            <w:tcW w:w="1418" w:type="dxa"/>
            <w:tcBorders>
              <w:top w:val="single" w:sz="4" w:space="0" w:color="auto"/>
              <w:bottom w:val="single" w:sz="4" w:space="0" w:color="auto"/>
            </w:tcBorders>
            <w:shd w:val="clear" w:color="auto" w:fill="auto"/>
          </w:tcPr>
          <w:p w:rsidR="00C3413E" w:rsidRDefault="00747D1A" w:rsidP="0009671C">
            <w:pPr>
              <w:spacing w:before="20" w:after="20"/>
              <w:ind w:right="-125"/>
              <w:jc w:val="center"/>
              <w:rPr>
                <w:rFonts w:cstheme="minorHAnsi"/>
                <w:sz w:val="20"/>
                <w:szCs w:val="20"/>
              </w:rPr>
            </w:pPr>
            <w:r>
              <w:rPr>
                <w:rFonts w:cstheme="minorHAnsi"/>
                <w:sz w:val="20"/>
                <w:szCs w:val="20"/>
              </w:rPr>
              <w:t xml:space="preserve">Trial </w:t>
            </w:r>
          </w:p>
          <w:p w:rsidR="00D907AF" w:rsidRPr="0087485F" w:rsidRDefault="00D907AF" w:rsidP="0009671C">
            <w:pPr>
              <w:spacing w:before="20" w:after="20"/>
              <w:ind w:right="-125"/>
              <w:jc w:val="center"/>
              <w:rPr>
                <w:rFonts w:cstheme="minorHAnsi"/>
                <w:sz w:val="20"/>
                <w:szCs w:val="20"/>
              </w:rPr>
            </w:pPr>
            <w:r w:rsidRPr="0087485F">
              <w:rPr>
                <w:rFonts w:cstheme="minorHAnsi"/>
                <w:sz w:val="20"/>
                <w:szCs w:val="20"/>
              </w:rPr>
              <w:t>Cases</w:t>
            </w:r>
          </w:p>
        </w:tc>
        <w:tc>
          <w:tcPr>
            <w:tcW w:w="1417" w:type="dxa"/>
            <w:tcBorders>
              <w:top w:val="single" w:sz="4" w:space="0" w:color="auto"/>
              <w:bottom w:val="single" w:sz="4" w:space="0" w:color="auto"/>
            </w:tcBorders>
            <w:shd w:val="clear" w:color="auto" w:fill="auto"/>
          </w:tcPr>
          <w:p w:rsidR="004A5067" w:rsidRDefault="00747D1A" w:rsidP="00D907AF">
            <w:pPr>
              <w:spacing w:before="20" w:after="20"/>
              <w:jc w:val="center"/>
              <w:rPr>
                <w:rFonts w:cstheme="minorHAnsi"/>
                <w:sz w:val="20"/>
                <w:szCs w:val="20"/>
              </w:rPr>
            </w:pPr>
            <w:r>
              <w:rPr>
                <w:rFonts w:cstheme="minorHAnsi"/>
                <w:sz w:val="20"/>
                <w:szCs w:val="20"/>
              </w:rPr>
              <w:t>Trial</w:t>
            </w:r>
          </w:p>
          <w:p w:rsidR="00D907AF" w:rsidRPr="0087485F" w:rsidRDefault="00D907AF" w:rsidP="00D907AF">
            <w:pPr>
              <w:spacing w:before="20" w:after="20"/>
              <w:jc w:val="center"/>
              <w:rPr>
                <w:rFonts w:cstheme="minorHAnsi"/>
                <w:sz w:val="20"/>
                <w:szCs w:val="20"/>
              </w:rPr>
            </w:pPr>
            <w:r w:rsidRPr="0087485F">
              <w:rPr>
                <w:rFonts w:cstheme="minorHAnsi"/>
                <w:sz w:val="20"/>
                <w:szCs w:val="20"/>
              </w:rPr>
              <w:t>%</w:t>
            </w:r>
          </w:p>
        </w:tc>
      </w:tr>
      <w:tr w:rsidR="00D907AF" w:rsidRPr="0087485F" w:rsidTr="006E1E7E">
        <w:trPr>
          <w:trHeight w:val="283"/>
        </w:trPr>
        <w:tc>
          <w:tcPr>
            <w:tcW w:w="4253" w:type="dxa"/>
            <w:shd w:val="clear" w:color="auto" w:fill="auto"/>
            <w:vAlign w:val="center"/>
          </w:tcPr>
          <w:p w:rsidR="00D907AF" w:rsidRPr="0087485F" w:rsidRDefault="00D907AF" w:rsidP="006E1E7E">
            <w:pPr>
              <w:spacing w:before="20" w:after="20"/>
              <w:rPr>
                <w:rFonts w:cstheme="minorHAnsi"/>
                <w:sz w:val="20"/>
                <w:szCs w:val="20"/>
              </w:rPr>
            </w:pPr>
            <w:r w:rsidRPr="0087485F">
              <w:rPr>
                <w:rFonts w:cstheme="minorHAnsi"/>
                <w:sz w:val="20"/>
                <w:szCs w:val="20"/>
              </w:rPr>
              <w:t xml:space="preserve">Yes, </w:t>
            </w:r>
            <w:r>
              <w:rPr>
                <w:rFonts w:cstheme="minorHAnsi"/>
                <w:sz w:val="20"/>
                <w:szCs w:val="20"/>
              </w:rPr>
              <w:t>person with disability</w:t>
            </w:r>
            <w:r w:rsidRPr="0087485F">
              <w:rPr>
                <w:rFonts w:cstheme="minorHAnsi"/>
                <w:sz w:val="20"/>
                <w:szCs w:val="20"/>
              </w:rPr>
              <w:t xml:space="preserve"> did (16+ only)</w:t>
            </w:r>
          </w:p>
        </w:tc>
        <w:tc>
          <w:tcPr>
            <w:tcW w:w="1418" w:type="dxa"/>
            <w:shd w:val="clear" w:color="auto" w:fill="auto"/>
            <w:vAlign w:val="center"/>
          </w:tcPr>
          <w:p w:rsidR="00D907AF" w:rsidRPr="0087485F" w:rsidRDefault="00D907AF" w:rsidP="005560DF">
            <w:pPr>
              <w:spacing w:before="20" w:after="20"/>
              <w:ind w:right="227"/>
              <w:jc w:val="right"/>
              <w:rPr>
                <w:rFonts w:cstheme="minorHAnsi"/>
                <w:sz w:val="20"/>
                <w:szCs w:val="20"/>
              </w:rPr>
            </w:pPr>
            <w:r w:rsidRPr="0087485F">
              <w:rPr>
                <w:rFonts w:cstheme="minorHAnsi"/>
                <w:sz w:val="20"/>
                <w:szCs w:val="20"/>
              </w:rPr>
              <w:t>41</w:t>
            </w:r>
          </w:p>
        </w:tc>
        <w:tc>
          <w:tcPr>
            <w:tcW w:w="1417" w:type="dxa"/>
            <w:shd w:val="clear" w:color="auto" w:fill="auto"/>
            <w:vAlign w:val="center"/>
          </w:tcPr>
          <w:p w:rsidR="00D907AF" w:rsidRPr="0087485F" w:rsidRDefault="00D907AF" w:rsidP="004A5067">
            <w:pPr>
              <w:spacing w:before="20" w:after="20"/>
              <w:ind w:right="284"/>
              <w:jc w:val="right"/>
              <w:rPr>
                <w:rFonts w:cstheme="minorHAnsi"/>
                <w:color w:val="000000"/>
                <w:sz w:val="20"/>
                <w:szCs w:val="20"/>
              </w:rPr>
            </w:pPr>
            <w:r w:rsidRPr="0087485F">
              <w:rPr>
                <w:rFonts w:cstheme="minorHAnsi"/>
                <w:color w:val="000000"/>
                <w:sz w:val="20"/>
                <w:szCs w:val="20"/>
              </w:rPr>
              <w:t>6.2</w:t>
            </w:r>
          </w:p>
        </w:tc>
      </w:tr>
      <w:tr w:rsidR="00D907AF" w:rsidRPr="0087485F" w:rsidTr="006E1E7E">
        <w:trPr>
          <w:trHeight w:val="283"/>
        </w:trPr>
        <w:tc>
          <w:tcPr>
            <w:tcW w:w="4253" w:type="dxa"/>
            <w:shd w:val="clear" w:color="auto" w:fill="auto"/>
            <w:vAlign w:val="center"/>
          </w:tcPr>
          <w:p w:rsidR="00D907AF" w:rsidRPr="0087485F" w:rsidRDefault="00D907AF" w:rsidP="006E1E7E">
            <w:pPr>
              <w:spacing w:before="20" w:after="20"/>
              <w:rPr>
                <w:rFonts w:cstheme="minorHAnsi"/>
                <w:sz w:val="20"/>
                <w:szCs w:val="20"/>
              </w:rPr>
            </w:pPr>
            <w:r w:rsidRPr="0087485F">
              <w:rPr>
                <w:rFonts w:cstheme="minorHAnsi"/>
                <w:sz w:val="20"/>
                <w:szCs w:val="20"/>
              </w:rPr>
              <w:t xml:space="preserve">Yes, </w:t>
            </w:r>
            <w:r>
              <w:rPr>
                <w:rFonts w:cstheme="minorHAnsi"/>
                <w:sz w:val="20"/>
                <w:szCs w:val="20"/>
              </w:rPr>
              <w:t>person with disability</w:t>
            </w:r>
            <w:r w:rsidRPr="0087485F">
              <w:rPr>
                <w:rFonts w:cstheme="minorHAnsi"/>
                <w:sz w:val="20"/>
                <w:szCs w:val="20"/>
              </w:rPr>
              <w:t xml:space="preserve"> family did</w:t>
            </w:r>
          </w:p>
        </w:tc>
        <w:tc>
          <w:tcPr>
            <w:tcW w:w="1418" w:type="dxa"/>
            <w:shd w:val="clear" w:color="auto" w:fill="auto"/>
            <w:vAlign w:val="center"/>
          </w:tcPr>
          <w:p w:rsidR="00D907AF" w:rsidRPr="0087485F" w:rsidRDefault="00D907AF" w:rsidP="005560DF">
            <w:pPr>
              <w:tabs>
                <w:tab w:val="left" w:pos="743"/>
              </w:tabs>
              <w:spacing w:before="20" w:after="20"/>
              <w:ind w:right="227"/>
              <w:jc w:val="right"/>
              <w:rPr>
                <w:rFonts w:cstheme="minorHAnsi"/>
                <w:sz w:val="20"/>
                <w:szCs w:val="20"/>
              </w:rPr>
            </w:pPr>
            <w:r w:rsidRPr="0087485F">
              <w:rPr>
                <w:rFonts w:cstheme="minorHAnsi"/>
                <w:sz w:val="20"/>
                <w:szCs w:val="20"/>
              </w:rPr>
              <w:t>132</w:t>
            </w:r>
          </w:p>
        </w:tc>
        <w:tc>
          <w:tcPr>
            <w:tcW w:w="1417" w:type="dxa"/>
            <w:shd w:val="clear" w:color="auto" w:fill="auto"/>
            <w:vAlign w:val="center"/>
          </w:tcPr>
          <w:p w:rsidR="00D907AF" w:rsidRPr="0087485F" w:rsidRDefault="00D907AF" w:rsidP="004A5067">
            <w:pPr>
              <w:spacing w:before="20" w:after="20"/>
              <w:ind w:right="284"/>
              <w:jc w:val="right"/>
              <w:rPr>
                <w:rFonts w:cstheme="minorHAnsi"/>
                <w:color w:val="000000"/>
                <w:sz w:val="20"/>
                <w:szCs w:val="20"/>
              </w:rPr>
            </w:pPr>
            <w:r w:rsidRPr="0087485F">
              <w:rPr>
                <w:rFonts w:cstheme="minorHAnsi"/>
                <w:color w:val="000000"/>
                <w:sz w:val="20"/>
                <w:szCs w:val="20"/>
              </w:rPr>
              <w:t>20.1</w:t>
            </w:r>
          </w:p>
        </w:tc>
      </w:tr>
      <w:tr w:rsidR="00D907AF" w:rsidRPr="0087485F" w:rsidTr="006E1E7E">
        <w:trPr>
          <w:trHeight w:val="283"/>
        </w:trPr>
        <w:tc>
          <w:tcPr>
            <w:tcW w:w="4253" w:type="dxa"/>
            <w:shd w:val="clear" w:color="auto" w:fill="auto"/>
            <w:vAlign w:val="center"/>
          </w:tcPr>
          <w:p w:rsidR="00D907AF" w:rsidRPr="0087485F" w:rsidRDefault="00D907AF" w:rsidP="006E1E7E">
            <w:pPr>
              <w:spacing w:before="20" w:after="20"/>
              <w:rPr>
                <w:rFonts w:cstheme="minorHAnsi"/>
                <w:sz w:val="20"/>
                <w:szCs w:val="20"/>
              </w:rPr>
            </w:pPr>
            <w:r w:rsidRPr="0087485F">
              <w:rPr>
                <w:rFonts w:cstheme="minorHAnsi"/>
                <w:sz w:val="20"/>
                <w:szCs w:val="20"/>
              </w:rPr>
              <w:t>No</w:t>
            </w:r>
          </w:p>
        </w:tc>
        <w:tc>
          <w:tcPr>
            <w:tcW w:w="1418" w:type="dxa"/>
            <w:shd w:val="clear" w:color="auto" w:fill="auto"/>
            <w:vAlign w:val="center"/>
          </w:tcPr>
          <w:p w:rsidR="00D907AF" w:rsidRPr="0087485F" w:rsidRDefault="00D907AF" w:rsidP="005560DF">
            <w:pPr>
              <w:tabs>
                <w:tab w:val="left" w:pos="743"/>
              </w:tabs>
              <w:spacing w:before="20" w:after="20"/>
              <w:ind w:right="227"/>
              <w:jc w:val="right"/>
              <w:rPr>
                <w:rFonts w:cstheme="minorHAnsi"/>
                <w:sz w:val="20"/>
                <w:szCs w:val="20"/>
              </w:rPr>
            </w:pPr>
            <w:r w:rsidRPr="0087485F">
              <w:rPr>
                <w:rFonts w:cstheme="minorHAnsi"/>
                <w:sz w:val="20"/>
                <w:szCs w:val="20"/>
              </w:rPr>
              <w:t>385</w:t>
            </w:r>
          </w:p>
        </w:tc>
        <w:tc>
          <w:tcPr>
            <w:tcW w:w="1417" w:type="dxa"/>
            <w:shd w:val="clear" w:color="auto" w:fill="auto"/>
            <w:vAlign w:val="center"/>
          </w:tcPr>
          <w:p w:rsidR="00D907AF" w:rsidRPr="0087485F" w:rsidRDefault="00D907AF" w:rsidP="004A5067">
            <w:pPr>
              <w:spacing w:before="20" w:after="20"/>
              <w:ind w:right="284"/>
              <w:jc w:val="right"/>
              <w:rPr>
                <w:rFonts w:cstheme="minorHAnsi"/>
                <w:color w:val="000000"/>
                <w:sz w:val="20"/>
                <w:szCs w:val="20"/>
              </w:rPr>
            </w:pPr>
            <w:r w:rsidRPr="0087485F">
              <w:rPr>
                <w:rFonts w:cstheme="minorHAnsi"/>
                <w:color w:val="000000"/>
                <w:sz w:val="20"/>
                <w:szCs w:val="20"/>
              </w:rPr>
              <w:t>58.6</w:t>
            </w:r>
          </w:p>
        </w:tc>
      </w:tr>
      <w:tr w:rsidR="00D907AF" w:rsidRPr="0087485F" w:rsidTr="006E1E7E">
        <w:trPr>
          <w:trHeight w:val="283"/>
        </w:trPr>
        <w:tc>
          <w:tcPr>
            <w:tcW w:w="4253" w:type="dxa"/>
            <w:shd w:val="clear" w:color="auto" w:fill="auto"/>
            <w:vAlign w:val="center"/>
          </w:tcPr>
          <w:p w:rsidR="00D907AF" w:rsidRPr="0087485F" w:rsidRDefault="00D907AF" w:rsidP="006E1E7E">
            <w:pPr>
              <w:spacing w:before="20" w:after="20"/>
              <w:rPr>
                <w:rFonts w:cstheme="minorHAnsi"/>
                <w:sz w:val="20"/>
                <w:szCs w:val="20"/>
              </w:rPr>
            </w:pPr>
            <w:r w:rsidRPr="0087485F">
              <w:rPr>
                <w:rFonts w:cstheme="minorHAnsi"/>
                <w:sz w:val="20"/>
                <w:szCs w:val="20"/>
              </w:rPr>
              <w:t>Yes, someone else did</w:t>
            </w:r>
          </w:p>
        </w:tc>
        <w:tc>
          <w:tcPr>
            <w:tcW w:w="1418" w:type="dxa"/>
            <w:shd w:val="clear" w:color="auto" w:fill="auto"/>
            <w:vAlign w:val="center"/>
          </w:tcPr>
          <w:p w:rsidR="00D907AF" w:rsidRPr="0087485F" w:rsidRDefault="00D907AF" w:rsidP="005560DF">
            <w:pPr>
              <w:tabs>
                <w:tab w:val="left" w:pos="743"/>
              </w:tabs>
              <w:spacing w:before="20" w:after="20"/>
              <w:ind w:right="227"/>
              <w:jc w:val="right"/>
              <w:rPr>
                <w:rFonts w:cstheme="minorHAnsi"/>
                <w:sz w:val="20"/>
                <w:szCs w:val="20"/>
              </w:rPr>
            </w:pPr>
            <w:r w:rsidRPr="0087485F">
              <w:rPr>
                <w:rFonts w:cstheme="minorHAnsi"/>
                <w:sz w:val="20"/>
                <w:szCs w:val="20"/>
              </w:rPr>
              <w:t>39</w:t>
            </w:r>
          </w:p>
        </w:tc>
        <w:tc>
          <w:tcPr>
            <w:tcW w:w="1417" w:type="dxa"/>
            <w:shd w:val="clear" w:color="auto" w:fill="auto"/>
            <w:vAlign w:val="center"/>
          </w:tcPr>
          <w:p w:rsidR="00D907AF" w:rsidRPr="0087485F" w:rsidRDefault="00D907AF" w:rsidP="004A5067">
            <w:pPr>
              <w:spacing w:before="20" w:after="20"/>
              <w:ind w:right="284"/>
              <w:jc w:val="right"/>
              <w:rPr>
                <w:rFonts w:cstheme="minorHAnsi"/>
                <w:color w:val="000000"/>
                <w:sz w:val="20"/>
                <w:szCs w:val="20"/>
              </w:rPr>
            </w:pPr>
            <w:r w:rsidRPr="0087485F">
              <w:rPr>
                <w:rFonts w:cstheme="minorHAnsi"/>
                <w:color w:val="000000"/>
                <w:sz w:val="20"/>
                <w:szCs w:val="20"/>
              </w:rPr>
              <w:t>5.9</w:t>
            </w:r>
          </w:p>
        </w:tc>
      </w:tr>
      <w:tr w:rsidR="00D907AF" w:rsidRPr="0087485F" w:rsidTr="006E1E7E">
        <w:trPr>
          <w:trHeight w:val="283"/>
        </w:trPr>
        <w:tc>
          <w:tcPr>
            <w:tcW w:w="4253" w:type="dxa"/>
            <w:vAlign w:val="center"/>
          </w:tcPr>
          <w:p w:rsidR="00D907AF" w:rsidRPr="0087485F" w:rsidRDefault="00D907AF" w:rsidP="006E1E7E">
            <w:pPr>
              <w:spacing w:before="20" w:after="20"/>
              <w:rPr>
                <w:rFonts w:cstheme="minorHAnsi"/>
                <w:sz w:val="20"/>
                <w:szCs w:val="20"/>
              </w:rPr>
            </w:pPr>
            <w:r w:rsidRPr="0087485F">
              <w:rPr>
                <w:rFonts w:cstheme="minorHAnsi"/>
                <w:sz w:val="20"/>
                <w:szCs w:val="20"/>
              </w:rPr>
              <w:t>Don’t know</w:t>
            </w:r>
          </w:p>
        </w:tc>
        <w:tc>
          <w:tcPr>
            <w:tcW w:w="1418" w:type="dxa"/>
            <w:vAlign w:val="center"/>
          </w:tcPr>
          <w:p w:rsidR="00D907AF" w:rsidRPr="0087485F" w:rsidRDefault="00D907AF" w:rsidP="005560DF">
            <w:pPr>
              <w:tabs>
                <w:tab w:val="left" w:pos="743"/>
              </w:tabs>
              <w:spacing w:before="20" w:after="20"/>
              <w:ind w:right="227"/>
              <w:jc w:val="right"/>
              <w:rPr>
                <w:rFonts w:cstheme="minorHAnsi"/>
                <w:sz w:val="20"/>
                <w:szCs w:val="20"/>
              </w:rPr>
            </w:pPr>
            <w:r w:rsidRPr="0087485F">
              <w:rPr>
                <w:rFonts w:cstheme="minorHAnsi"/>
                <w:sz w:val="20"/>
                <w:szCs w:val="20"/>
              </w:rPr>
              <w:t>45</w:t>
            </w:r>
          </w:p>
        </w:tc>
        <w:tc>
          <w:tcPr>
            <w:tcW w:w="1417" w:type="dxa"/>
          </w:tcPr>
          <w:p w:rsidR="00D907AF" w:rsidRPr="0087485F" w:rsidRDefault="00D907AF" w:rsidP="004A5067">
            <w:pPr>
              <w:spacing w:before="20" w:after="20"/>
              <w:ind w:right="284"/>
              <w:jc w:val="right"/>
              <w:rPr>
                <w:rFonts w:cstheme="minorHAnsi"/>
                <w:color w:val="000000"/>
                <w:sz w:val="20"/>
                <w:szCs w:val="20"/>
              </w:rPr>
            </w:pPr>
            <w:r w:rsidRPr="0087485F">
              <w:rPr>
                <w:rFonts w:cstheme="minorHAnsi"/>
                <w:color w:val="000000"/>
                <w:sz w:val="20"/>
                <w:szCs w:val="20"/>
              </w:rPr>
              <w:t>6.9</w:t>
            </w:r>
          </w:p>
        </w:tc>
      </w:tr>
      <w:tr w:rsidR="00D907AF" w:rsidRPr="0087485F" w:rsidTr="006E1E7E">
        <w:trPr>
          <w:trHeight w:val="283"/>
        </w:trPr>
        <w:tc>
          <w:tcPr>
            <w:tcW w:w="4253" w:type="dxa"/>
            <w:tcBorders>
              <w:bottom w:val="single" w:sz="4" w:space="0" w:color="auto"/>
            </w:tcBorders>
            <w:shd w:val="clear" w:color="auto" w:fill="auto"/>
            <w:vAlign w:val="center"/>
          </w:tcPr>
          <w:p w:rsidR="00D907AF" w:rsidRPr="0087485F" w:rsidRDefault="00D907AF" w:rsidP="006E1E7E">
            <w:pPr>
              <w:spacing w:before="20" w:after="20"/>
              <w:rPr>
                <w:rFonts w:cstheme="minorHAnsi"/>
                <w:sz w:val="20"/>
                <w:szCs w:val="20"/>
              </w:rPr>
            </w:pPr>
            <w:r w:rsidRPr="0087485F">
              <w:rPr>
                <w:rFonts w:cstheme="minorHAnsi"/>
                <w:sz w:val="20"/>
                <w:szCs w:val="20"/>
              </w:rPr>
              <w:t xml:space="preserve">Missing </w:t>
            </w:r>
          </w:p>
        </w:tc>
        <w:tc>
          <w:tcPr>
            <w:tcW w:w="1418" w:type="dxa"/>
            <w:tcBorders>
              <w:bottom w:val="single" w:sz="4" w:space="0" w:color="auto"/>
            </w:tcBorders>
            <w:shd w:val="clear" w:color="auto" w:fill="auto"/>
            <w:vAlign w:val="center"/>
          </w:tcPr>
          <w:p w:rsidR="00D907AF" w:rsidRPr="0087485F" w:rsidRDefault="00D907AF" w:rsidP="005560DF">
            <w:pPr>
              <w:tabs>
                <w:tab w:val="left" w:pos="743"/>
              </w:tabs>
              <w:spacing w:before="20" w:after="20"/>
              <w:ind w:right="227"/>
              <w:jc w:val="right"/>
              <w:rPr>
                <w:rFonts w:cstheme="minorHAnsi"/>
                <w:sz w:val="20"/>
                <w:szCs w:val="20"/>
              </w:rPr>
            </w:pPr>
            <w:r w:rsidRPr="0087485F">
              <w:rPr>
                <w:rFonts w:cstheme="minorHAnsi"/>
                <w:sz w:val="20"/>
                <w:szCs w:val="20"/>
              </w:rPr>
              <w:t>15</w:t>
            </w:r>
          </w:p>
        </w:tc>
        <w:tc>
          <w:tcPr>
            <w:tcW w:w="1417" w:type="dxa"/>
            <w:tcBorders>
              <w:bottom w:val="single" w:sz="4" w:space="0" w:color="auto"/>
            </w:tcBorders>
            <w:shd w:val="clear" w:color="auto" w:fill="auto"/>
            <w:vAlign w:val="center"/>
          </w:tcPr>
          <w:p w:rsidR="00D907AF" w:rsidRPr="0087485F" w:rsidRDefault="00D907AF" w:rsidP="004A5067">
            <w:pPr>
              <w:spacing w:before="20" w:after="20"/>
              <w:ind w:right="284"/>
              <w:jc w:val="right"/>
              <w:rPr>
                <w:rFonts w:cstheme="minorHAnsi"/>
                <w:color w:val="000000"/>
                <w:sz w:val="20"/>
                <w:szCs w:val="20"/>
              </w:rPr>
            </w:pPr>
            <w:r w:rsidRPr="0087485F">
              <w:rPr>
                <w:rFonts w:cstheme="minorHAnsi"/>
                <w:color w:val="000000"/>
                <w:sz w:val="20"/>
                <w:szCs w:val="20"/>
              </w:rPr>
              <w:t>2.3</w:t>
            </w:r>
          </w:p>
        </w:tc>
      </w:tr>
      <w:tr w:rsidR="00D907AF" w:rsidRPr="0087485F" w:rsidTr="006E1E7E">
        <w:trPr>
          <w:trHeight w:val="283"/>
        </w:trPr>
        <w:tc>
          <w:tcPr>
            <w:tcW w:w="4253" w:type="dxa"/>
            <w:tcBorders>
              <w:top w:val="single" w:sz="4" w:space="0" w:color="auto"/>
              <w:bottom w:val="single" w:sz="4" w:space="0" w:color="auto"/>
            </w:tcBorders>
            <w:shd w:val="clear" w:color="auto" w:fill="auto"/>
          </w:tcPr>
          <w:p w:rsidR="00D907AF" w:rsidRPr="0087485F" w:rsidRDefault="00D907AF" w:rsidP="00D907AF">
            <w:pPr>
              <w:spacing w:before="20" w:after="20"/>
              <w:rPr>
                <w:rFonts w:cstheme="minorHAnsi"/>
                <w:b/>
                <w:sz w:val="20"/>
                <w:szCs w:val="20"/>
              </w:rPr>
            </w:pPr>
            <w:r w:rsidRPr="0087485F">
              <w:rPr>
                <w:rFonts w:cstheme="minorHAnsi"/>
                <w:b/>
                <w:sz w:val="20"/>
                <w:szCs w:val="20"/>
              </w:rPr>
              <w:t>Total</w:t>
            </w:r>
          </w:p>
        </w:tc>
        <w:tc>
          <w:tcPr>
            <w:tcW w:w="1418" w:type="dxa"/>
            <w:tcBorders>
              <w:top w:val="single" w:sz="4" w:space="0" w:color="auto"/>
              <w:bottom w:val="single" w:sz="4" w:space="0" w:color="auto"/>
            </w:tcBorders>
            <w:shd w:val="clear" w:color="auto" w:fill="auto"/>
            <w:vAlign w:val="center"/>
          </w:tcPr>
          <w:p w:rsidR="00D907AF" w:rsidRPr="0087485F" w:rsidRDefault="00D907AF" w:rsidP="005560DF">
            <w:pPr>
              <w:tabs>
                <w:tab w:val="left" w:pos="743"/>
              </w:tabs>
              <w:spacing w:before="20" w:after="20"/>
              <w:ind w:right="227"/>
              <w:jc w:val="right"/>
              <w:rPr>
                <w:rFonts w:cstheme="minorHAnsi"/>
                <w:b/>
                <w:sz w:val="20"/>
                <w:szCs w:val="20"/>
              </w:rPr>
            </w:pPr>
            <w:r w:rsidRPr="0087485F">
              <w:rPr>
                <w:rFonts w:cstheme="minorHAnsi"/>
                <w:b/>
                <w:sz w:val="20"/>
                <w:szCs w:val="20"/>
              </w:rPr>
              <w:t>657</w:t>
            </w:r>
          </w:p>
        </w:tc>
        <w:tc>
          <w:tcPr>
            <w:tcW w:w="1417" w:type="dxa"/>
            <w:tcBorders>
              <w:top w:val="single" w:sz="4" w:space="0" w:color="auto"/>
              <w:bottom w:val="single" w:sz="4" w:space="0" w:color="auto"/>
            </w:tcBorders>
            <w:shd w:val="clear" w:color="auto" w:fill="auto"/>
          </w:tcPr>
          <w:p w:rsidR="00D907AF" w:rsidRPr="0087485F" w:rsidRDefault="00D907AF" w:rsidP="004A5067">
            <w:pPr>
              <w:tabs>
                <w:tab w:val="decimal" w:pos="601"/>
              </w:tabs>
              <w:spacing w:before="20" w:after="20"/>
              <w:ind w:right="284"/>
              <w:jc w:val="right"/>
              <w:rPr>
                <w:rFonts w:cstheme="minorHAnsi"/>
                <w:b/>
                <w:sz w:val="20"/>
                <w:szCs w:val="20"/>
              </w:rPr>
            </w:pPr>
            <w:r w:rsidRPr="0087485F">
              <w:rPr>
                <w:rFonts w:cstheme="minorHAnsi"/>
                <w:b/>
                <w:sz w:val="20"/>
                <w:szCs w:val="20"/>
              </w:rPr>
              <w:t>100</w:t>
            </w:r>
          </w:p>
        </w:tc>
      </w:tr>
    </w:tbl>
    <w:p w:rsidR="00D907AF" w:rsidRPr="00B01305" w:rsidRDefault="00D907AF" w:rsidP="006C7BE7">
      <w:pPr>
        <w:pStyle w:val="NILSTabletext"/>
      </w:pPr>
      <w:r w:rsidRPr="00B01305">
        <w:t xml:space="preserve">Note: </w:t>
      </w:r>
      <w:r>
        <w:t>t</w:t>
      </w:r>
      <w:r w:rsidRPr="00B01305">
        <w:t>rial only receiving disability supports before joining the NDIS</w:t>
      </w:r>
    </w:p>
    <w:p w:rsidR="00D907AF" w:rsidRPr="004D098E" w:rsidRDefault="00D907AF" w:rsidP="00367B24">
      <w:pPr>
        <w:pStyle w:val="Heading3"/>
      </w:pPr>
      <w:bookmarkStart w:id="233" w:name="_Toc428280638"/>
      <w:bookmarkStart w:id="234" w:name="_Toc449955010"/>
      <w:r>
        <w:t>3.6.4 Part A – Participation in the NDIS: planning and accessing supports</w:t>
      </w:r>
      <w:bookmarkEnd w:id="233"/>
      <w:bookmarkEnd w:id="234"/>
    </w:p>
    <w:p w:rsidR="00D907AF" w:rsidRDefault="00407F72" w:rsidP="00D907AF">
      <w:r>
        <w:t>The following data relate to</w:t>
      </w:r>
      <w:r w:rsidR="00D907AF">
        <w:t xml:space="preserve"> NDIS participants</w:t>
      </w:r>
      <w:r w:rsidR="0020495E">
        <w:t>’</w:t>
      </w:r>
      <w:r w:rsidR="00B53A62">
        <w:t xml:space="preserve"> </w:t>
      </w:r>
      <w:r w:rsidR="0020495E">
        <w:t xml:space="preserve">experiences of the </w:t>
      </w:r>
      <w:r w:rsidR="00D907AF">
        <w:t xml:space="preserve">NDIS since their access request was approved. Where appropriate these </w:t>
      </w:r>
      <w:r w:rsidR="0020495E">
        <w:t xml:space="preserve">responses </w:t>
      </w:r>
      <w:r w:rsidR="00D907AF">
        <w:t>are presented next to the comparison group responses. An important marker of the NDIS participants’ data collection is the number of months between the time that the access request was approved and the time of interview. This is the time each individual survey respondent has already spent within the NDIS and has been recorded in months.</w:t>
      </w:r>
    </w:p>
    <w:p w:rsidR="005B2D5F" w:rsidRDefault="005B2D5F" w:rsidP="00D907AF"/>
    <w:p w:rsidR="00D907AF" w:rsidRDefault="00D907AF" w:rsidP="00D907AF">
      <w:r>
        <w:t xml:space="preserve">Figure 3.1 reveals a large proportion of people had already spent over a year in the NDIS at the time </w:t>
      </w:r>
      <w:r w:rsidRPr="003258B5">
        <w:t>of their interview. T</w:t>
      </w:r>
      <w:r>
        <w:t xml:space="preserve">he first sample of NDIS participants was not drawn until about six months into the lifetime of the NDIS. </w:t>
      </w:r>
      <w:r w:rsidR="00407F72">
        <w:t>As well,</w:t>
      </w:r>
      <w:r w:rsidR="00407F72" w:rsidDel="00407F72">
        <w:t xml:space="preserve"> </w:t>
      </w:r>
      <w:r w:rsidR="00407F72">
        <w:t>t</w:t>
      </w:r>
      <w:r>
        <w:t>he process of the selection of an NDIS participant for potential inclusion in the survey is long. It begins with the time it takes to obtain the sample from the NDIA records, followed by the</w:t>
      </w:r>
      <w:r w:rsidRPr="00BC08F2">
        <w:t xml:space="preserve"> </w:t>
      </w:r>
      <w:r w:rsidR="00D26992">
        <w:t>opt-out</w:t>
      </w:r>
      <w:r>
        <w:t xml:space="preserve"> consent process</w:t>
      </w:r>
      <w:r w:rsidRPr="00BC08F2">
        <w:t xml:space="preserve"> </w:t>
      </w:r>
      <w:r>
        <w:t xml:space="preserve">undertaken by the Department of Social Services and NDIA, which involves the preparation of a mail out and a three-week </w:t>
      </w:r>
      <w:r w:rsidR="00D26992">
        <w:t>opt-out</w:t>
      </w:r>
      <w:r>
        <w:t xml:space="preserve"> window. This initial mail out is followed by the preparation of the registration list by the survey company and the registration process which can last several months and finishes with the invitation to take part in the main survey which allows for several months of potential delay as well. The right skew that we observe in Figure 3.1 is the first glimpse we have on how long it actually t</w:t>
      </w:r>
      <w:r w:rsidR="00FA4DD5">
        <w:t xml:space="preserve">ook </w:t>
      </w:r>
      <w:r>
        <w:t>for the</w:t>
      </w:r>
      <w:r w:rsidR="00FA4DD5">
        <w:t xml:space="preserve"> first part of Wave 1 of the</w:t>
      </w:r>
      <w:r>
        <w:t xml:space="preserve"> survey to be completed. This information will be valuable at the </w:t>
      </w:r>
      <w:r w:rsidR="00190419">
        <w:t>e</w:t>
      </w:r>
      <w:r w:rsidR="00BD356D">
        <w:t>valuation</w:t>
      </w:r>
      <w:r>
        <w:t xml:space="preserve"> estimation stage as it will allow us to know the exact timing of the response, both in calendar terms and in terms of the NDIS phase.</w:t>
      </w:r>
    </w:p>
    <w:p w:rsidR="00FB1503" w:rsidRDefault="00FB1503">
      <w:pPr>
        <w:rPr>
          <w:rFonts w:eastAsia="Times New Roman"/>
          <w:b/>
          <w:sz w:val="20"/>
          <w:lang w:val="en-US"/>
        </w:rPr>
      </w:pPr>
      <w:bookmarkStart w:id="235" w:name="_Toc428280723"/>
      <w:r>
        <w:br w:type="page"/>
      </w:r>
    </w:p>
    <w:p w:rsidR="00D907AF" w:rsidRPr="00D11653" w:rsidRDefault="00D907AF" w:rsidP="00D907AF">
      <w:pPr>
        <w:pStyle w:val="NILSFigureTitle"/>
      </w:pPr>
      <w:bookmarkStart w:id="236" w:name="_Toc449956365"/>
      <w:r w:rsidRPr="00342385">
        <w:lastRenderedPageBreak/>
        <w:t>Figure</w:t>
      </w:r>
      <w:r w:rsidRPr="00D11653">
        <w:t xml:space="preserve"> 3.1: </w:t>
      </w:r>
      <w:r>
        <w:t>Number of months</w:t>
      </w:r>
      <w:r w:rsidRPr="00D11653">
        <w:t xml:space="preserve"> </w:t>
      </w:r>
      <w:r>
        <w:t>since access request to NDIA approved</w:t>
      </w:r>
      <w:bookmarkEnd w:id="235"/>
      <w:bookmarkEnd w:id="236"/>
    </w:p>
    <w:p w:rsidR="00D907AF" w:rsidRDefault="00D907AF" w:rsidP="00FA2CBF">
      <w:pPr>
        <w:pStyle w:val="NILSTabletext"/>
        <w:spacing w:after="0"/>
      </w:pPr>
      <w:r>
        <w:rPr>
          <w:noProof/>
          <w:lang w:val="en-AU" w:eastAsia="en-AU"/>
        </w:rPr>
        <w:drawing>
          <wp:inline distT="0" distB="0" distL="0" distR="0" wp14:anchorId="62995A21" wp14:editId="30238AF1">
            <wp:extent cx="5117343" cy="3744592"/>
            <wp:effectExtent l="0" t="0" r="0" b="8890"/>
            <wp:docPr id="429" name="Picture 429" descr="This bar graph shows frequency and number of months post approval that participants have been in the NDIS at the point of taking part in the NDIS Survey.  The number of months is along the x axis and the frequency is along the y axis. The chart displays a mean duration of just over 16 months and a standard deviation of 5 months.  Information regarding results in this graph is in preceding paragraph." title="Bar graph showing number of months since access request to NDIA appr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 month since NDIS approved.em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117343" cy="3744592"/>
                    </a:xfrm>
                    <a:prstGeom prst="rect">
                      <a:avLst/>
                    </a:prstGeom>
                  </pic:spPr>
                </pic:pic>
              </a:graphicData>
            </a:graphic>
          </wp:inline>
        </w:drawing>
      </w:r>
    </w:p>
    <w:p w:rsidR="005B2D5F" w:rsidRDefault="00D907AF" w:rsidP="006C7BE7">
      <w:pPr>
        <w:pStyle w:val="NILSTabletext"/>
      </w:pPr>
      <w:r w:rsidRPr="00B01305">
        <w:t xml:space="preserve">Note: </w:t>
      </w:r>
      <w:r>
        <w:t>t</w:t>
      </w:r>
      <w:r w:rsidRPr="00B01305">
        <w:t xml:space="preserve">rial only </w:t>
      </w:r>
    </w:p>
    <w:p w:rsidR="00D907AF" w:rsidRDefault="00D907AF" w:rsidP="00D907AF">
      <w:r>
        <w:t>Figure 3.1 has a mean duration of just over 16 months with a standard deviation of 5 months.</w:t>
      </w:r>
      <w:r w:rsidR="00C414D9">
        <w:t xml:space="preserve"> </w:t>
      </w:r>
      <w:r>
        <w:t>The first key experience for a new NDIS participant, after their access has been NDIA approved, is to meet their NDIA Planner. The vast majority of participants reported that they themselves, or someone on their behalf, had already met their Planner (Table 3.17). This is not surprising given the time these participants have already spent in the NDIS.</w:t>
      </w:r>
    </w:p>
    <w:p w:rsidR="00D907AF" w:rsidRPr="00233E8A" w:rsidRDefault="00D907AF" w:rsidP="0044684E">
      <w:pPr>
        <w:pStyle w:val="NILSTableHeading"/>
      </w:pPr>
      <w:bookmarkStart w:id="237" w:name="_Toc428280668"/>
      <w:bookmarkStart w:id="238" w:name="_Toc449955279"/>
      <w:r>
        <w:t>Table 3.17</w:t>
      </w:r>
      <w:r w:rsidRPr="00233E8A">
        <w:t xml:space="preserve">: Meeting with the NDIA </w:t>
      </w:r>
      <w:r>
        <w:t>Planner</w:t>
      </w:r>
      <w:bookmarkEnd w:id="237"/>
      <w:bookmarkEnd w:id="238"/>
    </w:p>
    <w:tbl>
      <w:tblPr>
        <w:tblStyle w:val="TableGrid"/>
        <w:tblW w:w="0" w:type="auto"/>
        <w:tblInd w:w="108" w:type="dxa"/>
        <w:tblLayout w:type="fixed"/>
        <w:tblLook w:val="04A0" w:firstRow="1" w:lastRow="0" w:firstColumn="1" w:lastColumn="0" w:noHBand="0" w:noVBand="1"/>
        <w:tblCaption w:val="Table 3.17 Meeting with the NDIA Planner"/>
      </w:tblPr>
      <w:tblGrid>
        <w:gridCol w:w="4104"/>
        <w:gridCol w:w="1141"/>
        <w:gridCol w:w="992"/>
      </w:tblGrid>
      <w:tr w:rsidR="00D907AF" w:rsidRPr="0087485F" w:rsidTr="006E0F35">
        <w:trPr>
          <w:cantSplit/>
          <w:tblHeader/>
        </w:trPr>
        <w:tc>
          <w:tcPr>
            <w:tcW w:w="4104" w:type="dxa"/>
            <w:tcBorders>
              <w:top w:val="single" w:sz="4" w:space="0" w:color="auto"/>
              <w:bottom w:val="single" w:sz="4" w:space="0" w:color="auto"/>
            </w:tcBorders>
            <w:shd w:val="clear" w:color="auto" w:fill="auto"/>
          </w:tcPr>
          <w:p w:rsidR="00D907AF" w:rsidRPr="0087485F" w:rsidRDefault="00D907AF" w:rsidP="00D907AF">
            <w:pPr>
              <w:spacing w:before="20" w:after="20"/>
              <w:rPr>
                <w:rFonts w:cstheme="minorHAnsi"/>
                <w:sz w:val="20"/>
                <w:szCs w:val="20"/>
              </w:rPr>
            </w:pPr>
            <w:bookmarkStart w:id="239" w:name="Title_3_17"/>
            <w:bookmarkEnd w:id="239"/>
          </w:p>
        </w:tc>
        <w:tc>
          <w:tcPr>
            <w:tcW w:w="1141" w:type="dxa"/>
            <w:tcBorders>
              <w:top w:val="single" w:sz="4" w:space="0" w:color="auto"/>
              <w:bottom w:val="single" w:sz="4" w:space="0" w:color="auto"/>
            </w:tcBorders>
            <w:shd w:val="clear" w:color="auto" w:fill="auto"/>
          </w:tcPr>
          <w:p w:rsidR="00C3413E" w:rsidRDefault="005770CB" w:rsidP="00D907AF">
            <w:pPr>
              <w:spacing w:before="20" w:after="20"/>
              <w:jc w:val="center"/>
              <w:rPr>
                <w:rFonts w:cstheme="minorHAnsi"/>
                <w:sz w:val="20"/>
                <w:szCs w:val="20"/>
              </w:rPr>
            </w:pPr>
            <w:r>
              <w:rPr>
                <w:rFonts w:cstheme="minorHAnsi"/>
                <w:sz w:val="20"/>
                <w:szCs w:val="20"/>
              </w:rPr>
              <w:t xml:space="preserve">Trial </w:t>
            </w:r>
          </w:p>
          <w:p w:rsidR="00D907AF" w:rsidRPr="0087485F" w:rsidRDefault="00D907AF" w:rsidP="00D907AF">
            <w:pPr>
              <w:spacing w:before="20" w:after="20"/>
              <w:jc w:val="center"/>
              <w:rPr>
                <w:rFonts w:cstheme="minorHAnsi"/>
                <w:sz w:val="20"/>
                <w:szCs w:val="20"/>
              </w:rPr>
            </w:pPr>
            <w:r w:rsidRPr="0087485F">
              <w:rPr>
                <w:rFonts w:cstheme="minorHAnsi"/>
                <w:sz w:val="20"/>
                <w:szCs w:val="20"/>
              </w:rPr>
              <w:t>Cases</w:t>
            </w:r>
          </w:p>
        </w:tc>
        <w:tc>
          <w:tcPr>
            <w:tcW w:w="992" w:type="dxa"/>
            <w:tcBorders>
              <w:top w:val="single" w:sz="4" w:space="0" w:color="auto"/>
              <w:bottom w:val="single" w:sz="4" w:space="0" w:color="auto"/>
            </w:tcBorders>
            <w:shd w:val="clear" w:color="auto" w:fill="auto"/>
          </w:tcPr>
          <w:p w:rsidR="004A5067" w:rsidRDefault="005770CB" w:rsidP="00D907AF">
            <w:pPr>
              <w:spacing w:before="20" w:after="20"/>
              <w:jc w:val="center"/>
              <w:rPr>
                <w:rFonts w:cstheme="minorHAnsi"/>
                <w:sz w:val="20"/>
                <w:szCs w:val="20"/>
              </w:rPr>
            </w:pPr>
            <w:r w:rsidRPr="0087485F">
              <w:rPr>
                <w:rFonts w:cstheme="minorHAnsi"/>
                <w:sz w:val="20"/>
                <w:szCs w:val="20"/>
              </w:rPr>
              <w:t xml:space="preserve">Trial </w:t>
            </w:r>
          </w:p>
          <w:p w:rsidR="00D907AF" w:rsidRPr="0087485F" w:rsidRDefault="00D907AF" w:rsidP="00D907AF">
            <w:pPr>
              <w:spacing w:before="20" w:after="20"/>
              <w:jc w:val="center"/>
              <w:rPr>
                <w:rFonts w:cstheme="minorHAnsi"/>
                <w:sz w:val="20"/>
                <w:szCs w:val="20"/>
              </w:rPr>
            </w:pPr>
            <w:r w:rsidRPr="0087485F">
              <w:rPr>
                <w:rFonts w:cstheme="minorHAnsi"/>
                <w:sz w:val="20"/>
                <w:szCs w:val="20"/>
              </w:rPr>
              <w:t>%</w:t>
            </w:r>
          </w:p>
        </w:tc>
      </w:tr>
      <w:tr w:rsidR="00D907AF" w:rsidRPr="0087485F" w:rsidTr="006E0F35">
        <w:tc>
          <w:tcPr>
            <w:tcW w:w="4104"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Yes, person with disability has</w:t>
            </w:r>
          </w:p>
        </w:tc>
        <w:tc>
          <w:tcPr>
            <w:tcW w:w="1141" w:type="dxa"/>
            <w:shd w:val="clear" w:color="auto" w:fill="auto"/>
          </w:tcPr>
          <w:p w:rsidR="00D907AF" w:rsidRPr="0087485F" w:rsidRDefault="00D907AF" w:rsidP="005560DF">
            <w:pPr>
              <w:spacing w:before="20" w:after="20"/>
              <w:ind w:right="284"/>
              <w:jc w:val="right"/>
              <w:rPr>
                <w:rFonts w:cstheme="minorHAnsi"/>
                <w:sz w:val="20"/>
                <w:szCs w:val="20"/>
              </w:rPr>
            </w:pPr>
            <w:r w:rsidRPr="0087485F">
              <w:rPr>
                <w:rFonts w:cstheme="minorHAnsi"/>
                <w:sz w:val="20"/>
                <w:szCs w:val="20"/>
              </w:rPr>
              <w:t>687</w:t>
            </w:r>
          </w:p>
        </w:tc>
        <w:tc>
          <w:tcPr>
            <w:tcW w:w="992" w:type="dxa"/>
            <w:shd w:val="clear" w:color="auto" w:fill="auto"/>
            <w:vAlign w:val="center"/>
          </w:tcPr>
          <w:p w:rsidR="00D907AF" w:rsidRPr="0087485F" w:rsidRDefault="00D907AF" w:rsidP="00D907AF">
            <w:pPr>
              <w:tabs>
                <w:tab w:val="decimal" w:pos="459"/>
              </w:tabs>
              <w:spacing w:before="20" w:after="20"/>
              <w:rPr>
                <w:rFonts w:cstheme="minorHAnsi"/>
                <w:color w:val="000000"/>
                <w:sz w:val="20"/>
                <w:szCs w:val="20"/>
              </w:rPr>
            </w:pPr>
            <w:r w:rsidRPr="0087485F">
              <w:rPr>
                <w:rFonts w:cstheme="minorHAnsi"/>
                <w:color w:val="000000"/>
                <w:sz w:val="20"/>
                <w:szCs w:val="20"/>
              </w:rPr>
              <w:t>77.1</w:t>
            </w:r>
          </w:p>
        </w:tc>
      </w:tr>
      <w:tr w:rsidR="00D907AF" w:rsidRPr="0087485F" w:rsidTr="006E0F35">
        <w:tc>
          <w:tcPr>
            <w:tcW w:w="4104"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No, but family, carer, guardian or nominee has</w:t>
            </w:r>
          </w:p>
        </w:tc>
        <w:tc>
          <w:tcPr>
            <w:tcW w:w="1141" w:type="dxa"/>
            <w:shd w:val="clear" w:color="auto" w:fill="auto"/>
          </w:tcPr>
          <w:p w:rsidR="00D907AF" w:rsidRPr="0087485F" w:rsidRDefault="00D907AF" w:rsidP="005560DF">
            <w:pPr>
              <w:spacing w:before="20" w:after="20"/>
              <w:ind w:right="284"/>
              <w:jc w:val="right"/>
              <w:rPr>
                <w:rFonts w:cstheme="minorHAnsi"/>
                <w:sz w:val="20"/>
                <w:szCs w:val="20"/>
              </w:rPr>
            </w:pPr>
            <w:r w:rsidRPr="0087485F">
              <w:rPr>
                <w:rFonts w:cstheme="minorHAnsi"/>
                <w:sz w:val="20"/>
                <w:szCs w:val="20"/>
              </w:rPr>
              <w:t>168</w:t>
            </w:r>
          </w:p>
        </w:tc>
        <w:tc>
          <w:tcPr>
            <w:tcW w:w="992" w:type="dxa"/>
            <w:shd w:val="clear" w:color="auto" w:fill="auto"/>
            <w:vAlign w:val="center"/>
          </w:tcPr>
          <w:p w:rsidR="00D907AF" w:rsidRPr="0087485F" w:rsidRDefault="00D907AF" w:rsidP="00D907AF">
            <w:pPr>
              <w:tabs>
                <w:tab w:val="decimal" w:pos="459"/>
              </w:tabs>
              <w:spacing w:before="20" w:after="20"/>
              <w:rPr>
                <w:rFonts w:cstheme="minorHAnsi"/>
                <w:color w:val="000000"/>
                <w:sz w:val="20"/>
                <w:szCs w:val="20"/>
              </w:rPr>
            </w:pPr>
            <w:r w:rsidRPr="0087485F">
              <w:rPr>
                <w:rFonts w:cstheme="minorHAnsi"/>
                <w:color w:val="000000"/>
                <w:sz w:val="20"/>
                <w:szCs w:val="20"/>
              </w:rPr>
              <w:t>18.9</w:t>
            </w:r>
          </w:p>
        </w:tc>
      </w:tr>
      <w:tr w:rsidR="00D907AF" w:rsidRPr="0087485F" w:rsidTr="006E0F35">
        <w:tc>
          <w:tcPr>
            <w:tcW w:w="4104"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 xml:space="preserve">No, no one has met with the NDIA </w:t>
            </w:r>
            <w:r>
              <w:rPr>
                <w:rFonts w:cstheme="minorHAnsi"/>
                <w:sz w:val="20"/>
                <w:szCs w:val="20"/>
              </w:rPr>
              <w:t>Planner</w:t>
            </w:r>
          </w:p>
        </w:tc>
        <w:tc>
          <w:tcPr>
            <w:tcW w:w="1141" w:type="dxa"/>
            <w:shd w:val="clear" w:color="auto" w:fill="auto"/>
          </w:tcPr>
          <w:p w:rsidR="00D907AF" w:rsidRPr="0087485F" w:rsidRDefault="00D907AF" w:rsidP="005560DF">
            <w:pPr>
              <w:spacing w:before="20" w:after="20"/>
              <w:ind w:right="284"/>
              <w:jc w:val="right"/>
              <w:rPr>
                <w:rFonts w:cstheme="minorHAnsi"/>
                <w:sz w:val="20"/>
                <w:szCs w:val="20"/>
              </w:rPr>
            </w:pPr>
            <w:r w:rsidRPr="0087485F">
              <w:rPr>
                <w:rFonts w:cstheme="minorHAnsi"/>
                <w:sz w:val="20"/>
                <w:szCs w:val="20"/>
              </w:rPr>
              <w:t>18</w:t>
            </w:r>
          </w:p>
        </w:tc>
        <w:tc>
          <w:tcPr>
            <w:tcW w:w="992" w:type="dxa"/>
            <w:shd w:val="clear" w:color="auto" w:fill="auto"/>
            <w:vAlign w:val="center"/>
          </w:tcPr>
          <w:p w:rsidR="00D907AF" w:rsidRPr="0087485F" w:rsidRDefault="00D907AF" w:rsidP="00D907AF">
            <w:pPr>
              <w:tabs>
                <w:tab w:val="decimal" w:pos="459"/>
              </w:tabs>
              <w:spacing w:before="20" w:after="20"/>
              <w:rPr>
                <w:rFonts w:cstheme="minorHAnsi"/>
                <w:color w:val="000000"/>
                <w:sz w:val="20"/>
                <w:szCs w:val="20"/>
              </w:rPr>
            </w:pPr>
            <w:r w:rsidRPr="0087485F">
              <w:rPr>
                <w:rFonts w:cstheme="minorHAnsi"/>
                <w:color w:val="000000"/>
                <w:sz w:val="20"/>
                <w:szCs w:val="20"/>
              </w:rPr>
              <w:t>2.0</w:t>
            </w:r>
          </w:p>
        </w:tc>
      </w:tr>
      <w:tr w:rsidR="00D907AF" w:rsidRPr="0087485F" w:rsidTr="006E0F35">
        <w:tc>
          <w:tcPr>
            <w:tcW w:w="4104" w:type="dxa"/>
          </w:tcPr>
          <w:p w:rsidR="00D907AF" w:rsidRPr="0087485F" w:rsidRDefault="00D907AF" w:rsidP="00D907AF">
            <w:pPr>
              <w:spacing w:before="20" w:after="20"/>
              <w:rPr>
                <w:rFonts w:cstheme="minorHAnsi"/>
                <w:sz w:val="20"/>
                <w:szCs w:val="20"/>
              </w:rPr>
            </w:pPr>
            <w:r w:rsidRPr="0087485F">
              <w:rPr>
                <w:rFonts w:cstheme="minorHAnsi"/>
                <w:sz w:val="20"/>
                <w:szCs w:val="20"/>
              </w:rPr>
              <w:t>Don’t know</w:t>
            </w:r>
          </w:p>
        </w:tc>
        <w:tc>
          <w:tcPr>
            <w:tcW w:w="1141" w:type="dxa"/>
          </w:tcPr>
          <w:p w:rsidR="00D907AF" w:rsidRPr="0087485F" w:rsidRDefault="00D907AF" w:rsidP="005560DF">
            <w:pPr>
              <w:spacing w:before="20" w:after="20"/>
              <w:ind w:right="284"/>
              <w:jc w:val="right"/>
              <w:rPr>
                <w:rFonts w:cstheme="minorHAnsi"/>
                <w:sz w:val="20"/>
                <w:szCs w:val="20"/>
              </w:rPr>
            </w:pPr>
            <w:r w:rsidRPr="0087485F">
              <w:rPr>
                <w:rFonts w:cstheme="minorHAnsi"/>
                <w:sz w:val="20"/>
                <w:szCs w:val="20"/>
              </w:rPr>
              <w:t>11</w:t>
            </w:r>
          </w:p>
        </w:tc>
        <w:tc>
          <w:tcPr>
            <w:tcW w:w="992" w:type="dxa"/>
          </w:tcPr>
          <w:p w:rsidR="00D907AF" w:rsidRPr="0087485F" w:rsidRDefault="00D907AF" w:rsidP="00D907AF">
            <w:pPr>
              <w:tabs>
                <w:tab w:val="decimal" w:pos="459"/>
              </w:tabs>
              <w:spacing w:before="20" w:after="20"/>
              <w:rPr>
                <w:rFonts w:cstheme="minorHAnsi"/>
                <w:color w:val="000000"/>
                <w:sz w:val="20"/>
                <w:szCs w:val="20"/>
              </w:rPr>
            </w:pPr>
            <w:r w:rsidRPr="0087485F">
              <w:rPr>
                <w:rFonts w:cstheme="minorHAnsi"/>
                <w:color w:val="000000"/>
                <w:sz w:val="20"/>
                <w:szCs w:val="20"/>
              </w:rPr>
              <w:t>1.2</w:t>
            </w:r>
          </w:p>
        </w:tc>
      </w:tr>
      <w:tr w:rsidR="00D907AF" w:rsidRPr="0087485F" w:rsidTr="006E0F35">
        <w:tc>
          <w:tcPr>
            <w:tcW w:w="4104" w:type="dxa"/>
            <w:tcBorders>
              <w:bottom w:val="single" w:sz="4" w:space="0" w:color="auto"/>
            </w:tcBorders>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 xml:space="preserve">Missing </w:t>
            </w:r>
          </w:p>
        </w:tc>
        <w:tc>
          <w:tcPr>
            <w:tcW w:w="1141" w:type="dxa"/>
            <w:tcBorders>
              <w:bottom w:val="single" w:sz="4" w:space="0" w:color="auto"/>
            </w:tcBorders>
            <w:shd w:val="clear" w:color="auto" w:fill="auto"/>
          </w:tcPr>
          <w:p w:rsidR="00D907AF" w:rsidRPr="0087485F" w:rsidRDefault="00D907AF" w:rsidP="005560DF">
            <w:pPr>
              <w:spacing w:before="20" w:after="20"/>
              <w:ind w:right="284"/>
              <w:jc w:val="right"/>
              <w:rPr>
                <w:rFonts w:cstheme="minorHAnsi"/>
                <w:sz w:val="20"/>
                <w:szCs w:val="20"/>
              </w:rPr>
            </w:pPr>
            <w:r w:rsidRPr="0087485F">
              <w:rPr>
                <w:rFonts w:cstheme="minorHAnsi"/>
                <w:sz w:val="20"/>
                <w:szCs w:val="20"/>
              </w:rPr>
              <w:t>7</w:t>
            </w:r>
          </w:p>
        </w:tc>
        <w:tc>
          <w:tcPr>
            <w:tcW w:w="992" w:type="dxa"/>
            <w:tcBorders>
              <w:bottom w:val="single" w:sz="4" w:space="0" w:color="auto"/>
            </w:tcBorders>
            <w:shd w:val="clear" w:color="auto" w:fill="auto"/>
            <w:vAlign w:val="center"/>
          </w:tcPr>
          <w:p w:rsidR="00D907AF" w:rsidRPr="0087485F" w:rsidRDefault="00D907AF" w:rsidP="00D907AF">
            <w:pPr>
              <w:tabs>
                <w:tab w:val="decimal" w:pos="459"/>
              </w:tabs>
              <w:spacing w:before="20" w:after="20"/>
              <w:rPr>
                <w:rFonts w:cstheme="minorHAnsi"/>
                <w:color w:val="000000"/>
                <w:sz w:val="20"/>
                <w:szCs w:val="20"/>
              </w:rPr>
            </w:pPr>
            <w:r w:rsidRPr="0087485F">
              <w:rPr>
                <w:rFonts w:cstheme="minorHAnsi"/>
                <w:color w:val="000000"/>
                <w:sz w:val="20"/>
                <w:szCs w:val="20"/>
              </w:rPr>
              <w:t>0.8</w:t>
            </w:r>
          </w:p>
        </w:tc>
      </w:tr>
      <w:tr w:rsidR="00D907AF" w:rsidRPr="0087485F" w:rsidTr="006E0F35">
        <w:tc>
          <w:tcPr>
            <w:tcW w:w="4104" w:type="dxa"/>
            <w:tcBorders>
              <w:top w:val="single" w:sz="4" w:space="0" w:color="auto"/>
              <w:bottom w:val="single" w:sz="4" w:space="0" w:color="auto"/>
            </w:tcBorders>
            <w:shd w:val="clear" w:color="auto" w:fill="auto"/>
          </w:tcPr>
          <w:p w:rsidR="00D907AF" w:rsidRPr="0087485F" w:rsidRDefault="00D907AF" w:rsidP="00D907AF">
            <w:pPr>
              <w:spacing w:before="20" w:after="20"/>
              <w:rPr>
                <w:rFonts w:cstheme="minorHAnsi"/>
                <w:b/>
                <w:sz w:val="20"/>
                <w:szCs w:val="20"/>
              </w:rPr>
            </w:pPr>
            <w:r w:rsidRPr="0087485F">
              <w:rPr>
                <w:rFonts w:cstheme="minorHAnsi"/>
                <w:b/>
                <w:sz w:val="20"/>
                <w:szCs w:val="20"/>
              </w:rPr>
              <w:t>Total</w:t>
            </w:r>
          </w:p>
        </w:tc>
        <w:tc>
          <w:tcPr>
            <w:tcW w:w="1141" w:type="dxa"/>
            <w:tcBorders>
              <w:top w:val="single" w:sz="4" w:space="0" w:color="auto"/>
              <w:bottom w:val="single" w:sz="4" w:space="0" w:color="auto"/>
            </w:tcBorders>
            <w:shd w:val="clear" w:color="auto" w:fill="auto"/>
          </w:tcPr>
          <w:p w:rsidR="00D907AF" w:rsidRPr="0087485F" w:rsidRDefault="00D907AF" w:rsidP="005560DF">
            <w:pPr>
              <w:spacing w:before="20" w:after="20"/>
              <w:ind w:right="284"/>
              <w:jc w:val="right"/>
              <w:rPr>
                <w:rFonts w:cstheme="minorHAnsi"/>
                <w:b/>
                <w:sz w:val="20"/>
                <w:szCs w:val="20"/>
              </w:rPr>
            </w:pPr>
            <w:r w:rsidRPr="0087485F">
              <w:rPr>
                <w:rFonts w:cstheme="minorHAnsi"/>
                <w:b/>
                <w:sz w:val="20"/>
                <w:szCs w:val="20"/>
              </w:rPr>
              <w:t>891</w:t>
            </w:r>
          </w:p>
        </w:tc>
        <w:tc>
          <w:tcPr>
            <w:tcW w:w="992" w:type="dxa"/>
            <w:tcBorders>
              <w:top w:val="single" w:sz="4" w:space="0" w:color="auto"/>
              <w:bottom w:val="single" w:sz="4" w:space="0" w:color="auto"/>
            </w:tcBorders>
            <w:shd w:val="clear" w:color="auto" w:fill="auto"/>
          </w:tcPr>
          <w:p w:rsidR="00D907AF" w:rsidRPr="0087485F" w:rsidRDefault="00D907AF" w:rsidP="005560DF">
            <w:pPr>
              <w:tabs>
                <w:tab w:val="decimal" w:pos="601"/>
              </w:tabs>
              <w:spacing w:before="20" w:after="20"/>
              <w:rPr>
                <w:rFonts w:cstheme="minorHAnsi"/>
                <w:b/>
                <w:sz w:val="20"/>
                <w:szCs w:val="20"/>
              </w:rPr>
            </w:pPr>
            <w:r w:rsidRPr="0087485F">
              <w:rPr>
                <w:rFonts w:cstheme="minorHAnsi"/>
                <w:b/>
                <w:sz w:val="20"/>
                <w:szCs w:val="20"/>
              </w:rPr>
              <w:t>100</w:t>
            </w:r>
          </w:p>
        </w:tc>
      </w:tr>
    </w:tbl>
    <w:p w:rsidR="00D907AF" w:rsidRPr="00B01305" w:rsidRDefault="00D907AF" w:rsidP="00BC69BF">
      <w:pPr>
        <w:pStyle w:val="NILSReference"/>
      </w:pPr>
      <w:r w:rsidRPr="00B01305">
        <w:t xml:space="preserve">Note: </w:t>
      </w:r>
      <w:r>
        <w:t>t</w:t>
      </w:r>
      <w:r w:rsidRPr="00B01305">
        <w:t xml:space="preserve">rial only </w:t>
      </w:r>
    </w:p>
    <w:p w:rsidR="005B2D5F" w:rsidRDefault="005B2D5F" w:rsidP="00D907AF"/>
    <w:p w:rsidR="00D907AF" w:rsidRDefault="00D907AF" w:rsidP="00B0215D">
      <w:r>
        <w:t>The numbers are too small to attach statistical importance on those who reported that no one had yet met with a Planner</w:t>
      </w:r>
      <w:r w:rsidR="00B0215D">
        <w:t xml:space="preserve"> or </w:t>
      </w:r>
      <w:r w:rsidR="00B0215D" w:rsidRPr="00B0215D">
        <w:t>did not remember if/when they met with their Planner</w:t>
      </w:r>
      <w:r>
        <w:t>. As the sample grows, th</w:t>
      </w:r>
      <w:r w:rsidR="00B0215D">
        <w:t>ese</w:t>
      </w:r>
      <w:r>
        <w:t xml:space="preserve"> question</w:t>
      </w:r>
      <w:r w:rsidR="00B0215D">
        <w:t>s</w:t>
      </w:r>
      <w:r>
        <w:t xml:space="preserve"> will be revisited</w:t>
      </w:r>
      <w:r w:rsidR="00B0215D">
        <w:t xml:space="preserve"> to identify the need for </w:t>
      </w:r>
      <w:r>
        <w:t xml:space="preserve">NDIS participants </w:t>
      </w:r>
      <w:r w:rsidR="00B0215D">
        <w:t>to be</w:t>
      </w:r>
      <w:r>
        <w:t xml:space="preserve"> assisted in making decisions about the supports they need and/or receive. Table 3.18 shows that people with disability in the trial sites </w:t>
      </w:r>
      <w:r w:rsidR="00B0215D">
        <w:t xml:space="preserve">who undertook planning </w:t>
      </w:r>
      <w:r>
        <w:t>have used on average 1.8 other people to assist them with their decisions, while in the comparison sample the average is just under 1.0.</w:t>
      </w:r>
      <w:r>
        <w:rPr>
          <w:rStyle w:val="FootnoteReference"/>
        </w:rPr>
        <w:footnoteReference w:id="17"/>
      </w:r>
    </w:p>
    <w:p w:rsidR="00D907AF" w:rsidRPr="00233E8A" w:rsidRDefault="00D907AF" w:rsidP="0044684E">
      <w:pPr>
        <w:pStyle w:val="NILSTableHeading"/>
      </w:pPr>
      <w:bookmarkStart w:id="240" w:name="_Toc428280669"/>
      <w:bookmarkStart w:id="241" w:name="_Toc449955280"/>
      <w:r w:rsidRPr="00233E8A">
        <w:lastRenderedPageBreak/>
        <w:t>Table 3.1</w:t>
      </w:r>
      <w:r>
        <w:t>8</w:t>
      </w:r>
      <w:r w:rsidRPr="00233E8A">
        <w:t>: Assisted in making decisions about supports</w:t>
      </w:r>
      <w:bookmarkEnd w:id="240"/>
      <w:bookmarkEnd w:id="241"/>
    </w:p>
    <w:tbl>
      <w:tblPr>
        <w:tblStyle w:val="TableGrid"/>
        <w:tblW w:w="0" w:type="auto"/>
        <w:tblLayout w:type="fixed"/>
        <w:tblLook w:val="04A0" w:firstRow="1" w:lastRow="0" w:firstColumn="1" w:lastColumn="0" w:noHBand="0" w:noVBand="1"/>
        <w:tblCaption w:val="Table 3.18 Assisted in making decisions about supports"/>
      </w:tblPr>
      <w:tblGrid>
        <w:gridCol w:w="2230"/>
        <w:gridCol w:w="1176"/>
        <w:gridCol w:w="1176"/>
        <w:gridCol w:w="1176"/>
        <w:gridCol w:w="1176"/>
        <w:gridCol w:w="1176"/>
        <w:gridCol w:w="1176"/>
      </w:tblGrid>
      <w:tr w:rsidR="00D907AF" w:rsidRPr="0087485F" w:rsidTr="00762AB9">
        <w:trPr>
          <w:cantSplit/>
          <w:tblHeader/>
        </w:trPr>
        <w:tc>
          <w:tcPr>
            <w:tcW w:w="2230" w:type="dxa"/>
            <w:tcBorders>
              <w:top w:val="single" w:sz="4" w:space="0" w:color="auto"/>
              <w:bottom w:val="single" w:sz="4" w:space="0" w:color="auto"/>
            </w:tcBorders>
            <w:shd w:val="clear" w:color="auto" w:fill="auto"/>
          </w:tcPr>
          <w:p w:rsidR="00D907AF" w:rsidRPr="0087485F" w:rsidRDefault="00D907AF" w:rsidP="00D907AF">
            <w:pPr>
              <w:spacing w:before="20" w:after="20"/>
              <w:rPr>
                <w:rFonts w:cstheme="minorHAnsi"/>
                <w:sz w:val="20"/>
                <w:szCs w:val="20"/>
              </w:rPr>
            </w:pPr>
            <w:bookmarkStart w:id="242" w:name="Title_3_18"/>
            <w:bookmarkEnd w:id="242"/>
          </w:p>
        </w:tc>
        <w:tc>
          <w:tcPr>
            <w:tcW w:w="1176" w:type="dxa"/>
            <w:tcBorders>
              <w:top w:val="single" w:sz="4" w:space="0" w:color="auto"/>
              <w:bottom w:val="single" w:sz="4" w:space="0" w:color="auto"/>
            </w:tcBorders>
            <w:shd w:val="clear" w:color="auto" w:fill="auto"/>
            <w:vAlign w:val="bottom"/>
          </w:tcPr>
          <w:p w:rsidR="001B5580" w:rsidRDefault="00DC0E55" w:rsidP="002156D2">
            <w:pPr>
              <w:spacing w:before="20" w:after="20"/>
              <w:jc w:val="center"/>
              <w:rPr>
                <w:rFonts w:cstheme="minorHAnsi"/>
                <w:sz w:val="20"/>
                <w:szCs w:val="20"/>
              </w:rPr>
            </w:pPr>
            <w:r>
              <w:rPr>
                <w:rFonts w:cstheme="minorHAnsi"/>
                <w:sz w:val="20"/>
                <w:szCs w:val="20"/>
              </w:rPr>
              <w:t xml:space="preserve">Trial </w:t>
            </w:r>
          </w:p>
          <w:p w:rsidR="00D907AF" w:rsidRPr="0087485F" w:rsidRDefault="00D907AF" w:rsidP="002156D2">
            <w:pPr>
              <w:spacing w:before="20" w:after="20"/>
              <w:jc w:val="center"/>
              <w:rPr>
                <w:rFonts w:cstheme="minorHAnsi"/>
                <w:sz w:val="20"/>
                <w:szCs w:val="20"/>
              </w:rPr>
            </w:pPr>
            <w:r w:rsidRPr="0087485F">
              <w:rPr>
                <w:rFonts w:cstheme="minorHAnsi"/>
                <w:sz w:val="20"/>
                <w:szCs w:val="20"/>
              </w:rPr>
              <w:t>Cases</w:t>
            </w:r>
          </w:p>
        </w:tc>
        <w:tc>
          <w:tcPr>
            <w:tcW w:w="1176" w:type="dxa"/>
            <w:tcBorders>
              <w:top w:val="single" w:sz="4" w:space="0" w:color="auto"/>
              <w:bottom w:val="single" w:sz="4" w:space="0" w:color="auto"/>
            </w:tcBorders>
            <w:shd w:val="clear" w:color="auto" w:fill="auto"/>
            <w:vAlign w:val="bottom"/>
          </w:tcPr>
          <w:p w:rsidR="001B5580" w:rsidRDefault="00DC0E55" w:rsidP="002156D2">
            <w:pPr>
              <w:spacing w:before="20" w:after="20"/>
              <w:jc w:val="center"/>
              <w:rPr>
                <w:rFonts w:cstheme="minorHAnsi"/>
                <w:sz w:val="20"/>
                <w:szCs w:val="20"/>
              </w:rPr>
            </w:pPr>
            <w:r w:rsidRPr="0087485F">
              <w:rPr>
                <w:rFonts w:cstheme="minorHAnsi"/>
                <w:sz w:val="20"/>
                <w:szCs w:val="20"/>
              </w:rPr>
              <w:t xml:space="preserve">Trial </w:t>
            </w:r>
          </w:p>
          <w:p w:rsidR="00D907AF" w:rsidRPr="0087485F" w:rsidRDefault="00D907AF" w:rsidP="002156D2">
            <w:pPr>
              <w:spacing w:before="20" w:after="20"/>
              <w:jc w:val="center"/>
              <w:rPr>
                <w:rFonts w:cstheme="minorHAnsi"/>
                <w:sz w:val="20"/>
                <w:szCs w:val="20"/>
              </w:rPr>
            </w:pPr>
            <w:r w:rsidRPr="0087485F">
              <w:rPr>
                <w:rFonts w:cstheme="minorHAnsi"/>
                <w:sz w:val="20"/>
                <w:szCs w:val="20"/>
              </w:rPr>
              <w:t>%</w:t>
            </w:r>
          </w:p>
        </w:tc>
        <w:tc>
          <w:tcPr>
            <w:tcW w:w="1176" w:type="dxa"/>
            <w:tcBorders>
              <w:top w:val="single" w:sz="4" w:space="0" w:color="auto"/>
              <w:bottom w:val="single" w:sz="4" w:space="0" w:color="auto"/>
            </w:tcBorders>
            <w:shd w:val="clear" w:color="auto" w:fill="auto"/>
            <w:vAlign w:val="bottom"/>
          </w:tcPr>
          <w:p w:rsidR="00D907AF" w:rsidRPr="0087485F" w:rsidRDefault="00DC0E55" w:rsidP="002156D2">
            <w:pPr>
              <w:spacing w:before="20" w:after="20"/>
              <w:ind w:left="-46" w:right="-128"/>
              <w:jc w:val="center"/>
              <w:rPr>
                <w:rFonts w:cstheme="minorHAnsi"/>
                <w:sz w:val="20"/>
                <w:szCs w:val="20"/>
              </w:rPr>
            </w:pPr>
            <w:r>
              <w:rPr>
                <w:rFonts w:cstheme="minorHAnsi"/>
                <w:sz w:val="20"/>
                <w:szCs w:val="20"/>
              </w:rPr>
              <w:t xml:space="preserve">Comparison </w:t>
            </w:r>
            <w:r w:rsidR="00D907AF" w:rsidRPr="0087485F">
              <w:rPr>
                <w:rFonts w:cstheme="minorHAnsi"/>
                <w:sz w:val="20"/>
                <w:szCs w:val="20"/>
              </w:rPr>
              <w:t>Cases</w:t>
            </w:r>
          </w:p>
        </w:tc>
        <w:tc>
          <w:tcPr>
            <w:tcW w:w="1176" w:type="dxa"/>
            <w:tcBorders>
              <w:top w:val="single" w:sz="4" w:space="0" w:color="auto"/>
              <w:bottom w:val="single" w:sz="4" w:space="0" w:color="auto"/>
            </w:tcBorders>
            <w:shd w:val="clear" w:color="auto" w:fill="auto"/>
            <w:vAlign w:val="bottom"/>
          </w:tcPr>
          <w:p w:rsidR="00D907AF" w:rsidRPr="0087485F" w:rsidRDefault="00DC0E55" w:rsidP="002156D2">
            <w:pPr>
              <w:spacing w:before="20" w:after="20"/>
              <w:ind w:left="-88" w:right="-86"/>
              <w:jc w:val="center"/>
              <w:rPr>
                <w:rFonts w:cstheme="minorHAnsi"/>
                <w:sz w:val="20"/>
                <w:szCs w:val="20"/>
              </w:rPr>
            </w:pPr>
            <w:r w:rsidRPr="0087485F">
              <w:rPr>
                <w:rFonts w:cstheme="minorHAnsi"/>
                <w:sz w:val="20"/>
                <w:szCs w:val="20"/>
              </w:rPr>
              <w:t xml:space="preserve">Comparison </w:t>
            </w:r>
            <w:r w:rsidR="00D907AF" w:rsidRPr="0087485F">
              <w:rPr>
                <w:rFonts w:cstheme="minorHAnsi"/>
                <w:sz w:val="20"/>
                <w:szCs w:val="20"/>
              </w:rPr>
              <w:t>%</w:t>
            </w:r>
          </w:p>
        </w:tc>
        <w:tc>
          <w:tcPr>
            <w:tcW w:w="1176" w:type="dxa"/>
            <w:tcBorders>
              <w:top w:val="single" w:sz="4" w:space="0" w:color="auto"/>
              <w:bottom w:val="single" w:sz="4" w:space="0" w:color="auto"/>
            </w:tcBorders>
            <w:shd w:val="clear" w:color="auto" w:fill="auto"/>
            <w:vAlign w:val="bottom"/>
          </w:tcPr>
          <w:p w:rsidR="001B5580" w:rsidRDefault="00DC0E55" w:rsidP="002156D2">
            <w:pPr>
              <w:spacing w:before="20" w:after="20"/>
              <w:jc w:val="center"/>
              <w:rPr>
                <w:rFonts w:cstheme="minorHAnsi"/>
                <w:sz w:val="20"/>
                <w:szCs w:val="20"/>
              </w:rPr>
            </w:pPr>
            <w:r>
              <w:rPr>
                <w:rFonts w:cstheme="minorHAnsi"/>
                <w:sz w:val="20"/>
                <w:szCs w:val="20"/>
              </w:rPr>
              <w:t xml:space="preserve">Total </w:t>
            </w:r>
          </w:p>
          <w:p w:rsidR="00D907AF" w:rsidRPr="0087485F" w:rsidRDefault="00D907AF" w:rsidP="002156D2">
            <w:pPr>
              <w:spacing w:before="20" w:after="20"/>
              <w:jc w:val="center"/>
              <w:rPr>
                <w:rFonts w:cstheme="minorHAnsi"/>
                <w:sz w:val="20"/>
                <w:szCs w:val="20"/>
              </w:rPr>
            </w:pPr>
            <w:r w:rsidRPr="0087485F">
              <w:rPr>
                <w:rFonts w:cstheme="minorHAnsi"/>
                <w:sz w:val="20"/>
                <w:szCs w:val="20"/>
              </w:rPr>
              <w:t>Cases</w:t>
            </w:r>
          </w:p>
        </w:tc>
        <w:tc>
          <w:tcPr>
            <w:tcW w:w="1176" w:type="dxa"/>
            <w:tcBorders>
              <w:top w:val="single" w:sz="4" w:space="0" w:color="auto"/>
              <w:bottom w:val="single" w:sz="4" w:space="0" w:color="auto"/>
            </w:tcBorders>
            <w:shd w:val="clear" w:color="auto" w:fill="auto"/>
            <w:vAlign w:val="bottom"/>
          </w:tcPr>
          <w:p w:rsidR="001B5580" w:rsidRDefault="00DC0E55" w:rsidP="002156D2">
            <w:pPr>
              <w:spacing w:before="20" w:after="20"/>
              <w:jc w:val="center"/>
              <w:rPr>
                <w:rFonts w:cstheme="minorHAnsi"/>
                <w:sz w:val="20"/>
                <w:szCs w:val="20"/>
              </w:rPr>
            </w:pPr>
            <w:r w:rsidRPr="0087485F">
              <w:rPr>
                <w:rFonts w:cstheme="minorHAnsi"/>
                <w:sz w:val="20"/>
                <w:szCs w:val="20"/>
              </w:rPr>
              <w:t xml:space="preserve">Total </w:t>
            </w:r>
          </w:p>
          <w:p w:rsidR="00D907AF" w:rsidRPr="0087485F" w:rsidRDefault="00D907AF" w:rsidP="002156D2">
            <w:pPr>
              <w:spacing w:before="20" w:after="20"/>
              <w:jc w:val="center"/>
              <w:rPr>
                <w:rFonts w:cstheme="minorHAnsi"/>
                <w:sz w:val="20"/>
                <w:szCs w:val="20"/>
              </w:rPr>
            </w:pPr>
            <w:r w:rsidRPr="0087485F">
              <w:rPr>
                <w:rFonts w:cstheme="minorHAnsi"/>
                <w:sz w:val="20"/>
                <w:szCs w:val="20"/>
              </w:rPr>
              <w:t>%</w:t>
            </w:r>
          </w:p>
        </w:tc>
      </w:tr>
      <w:tr w:rsidR="00D907AF" w:rsidRPr="0087485F" w:rsidTr="00762AB9">
        <w:trPr>
          <w:cantSplit/>
        </w:trPr>
        <w:tc>
          <w:tcPr>
            <w:tcW w:w="2230"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Family member</w:t>
            </w:r>
          </w:p>
        </w:tc>
        <w:tc>
          <w:tcPr>
            <w:tcW w:w="1176" w:type="dxa"/>
            <w:shd w:val="clear" w:color="auto" w:fill="auto"/>
            <w:vAlign w:val="center"/>
          </w:tcPr>
          <w:p w:rsidR="00D907AF" w:rsidRPr="0087485F" w:rsidRDefault="00D907AF" w:rsidP="005560DF">
            <w:pPr>
              <w:spacing w:before="20" w:after="20"/>
              <w:ind w:right="284"/>
              <w:jc w:val="right"/>
              <w:rPr>
                <w:rFonts w:cstheme="minorHAnsi"/>
                <w:color w:val="000000"/>
                <w:sz w:val="20"/>
                <w:szCs w:val="20"/>
              </w:rPr>
            </w:pPr>
            <w:r w:rsidRPr="0087485F">
              <w:rPr>
                <w:rFonts w:cstheme="minorHAnsi"/>
                <w:color w:val="000000"/>
                <w:sz w:val="20"/>
                <w:szCs w:val="20"/>
              </w:rPr>
              <w:t>592</w:t>
            </w:r>
          </w:p>
        </w:tc>
        <w:tc>
          <w:tcPr>
            <w:tcW w:w="1176" w:type="dxa"/>
            <w:shd w:val="clear" w:color="auto" w:fill="auto"/>
            <w:vAlign w:val="center"/>
          </w:tcPr>
          <w:p w:rsidR="00D907AF" w:rsidRPr="0087485F" w:rsidRDefault="00D907AF" w:rsidP="005560DF">
            <w:pPr>
              <w:tabs>
                <w:tab w:val="decimal" w:pos="563"/>
              </w:tabs>
              <w:spacing w:before="20" w:after="20"/>
              <w:rPr>
                <w:rFonts w:cstheme="minorHAnsi"/>
                <w:color w:val="000000"/>
                <w:sz w:val="20"/>
                <w:szCs w:val="20"/>
              </w:rPr>
            </w:pPr>
            <w:r w:rsidRPr="0087485F">
              <w:rPr>
                <w:rFonts w:cstheme="minorHAnsi"/>
                <w:color w:val="000000"/>
                <w:sz w:val="20"/>
                <w:szCs w:val="20"/>
              </w:rPr>
              <w:t>71.1</w:t>
            </w:r>
          </w:p>
        </w:tc>
        <w:tc>
          <w:tcPr>
            <w:tcW w:w="1176" w:type="dxa"/>
            <w:shd w:val="clear" w:color="auto" w:fill="auto"/>
            <w:vAlign w:val="center"/>
          </w:tcPr>
          <w:p w:rsidR="00D907AF" w:rsidRPr="0087485F" w:rsidRDefault="00D907AF" w:rsidP="005560DF">
            <w:pPr>
              <w:spacing w:before="20" w:after="20"/>
              <w:ind w:right="284"/>
              <w:jc w:val="right"/>
              <w:rPr>
                <w:rFonts w:cstheme="minorHAnsi"/>
                <w:color w:val="000000"/>
                <w:sz w:val="20"/>
                <w:szCs w:val="20"/>
              </w:rPr>
            </w:pPr>
            <w:r w:rsidRPr="0087485F">
              <w:rPr>
                <w:rFonts w:cstheme="minorHAnsi"/>
                <w:color w:val="000000"/>
                <w:sz w:val="20"/>
                <w:szCs w:val="20"/>
              </w:rPr>
              <w:t>304</w:t>
            </w:r>
          </w:p>
        </w:tc>
        <w:tc>
          <w:tcPr>
            <w:tcW w:w="1176" w:type="dxa"/>
            <w:shd w:val="clear" w:color="auto" w:fill="auto"/>
            <w:vAlign w:val="center"/>
          </w:tcPr>
          <w:p w:rsidR="00D907AF" w:rsidRPr="0087485F" w:rsidRDefault="00D907AF" w:rsidP="005560DF">
            <w:pPr>
              <w:tabs>
                <w:tab w:val="decimal" w:pos="563"/>
              </w:tabs>
              <w:spacing w:before="20" w:after="20"/>
              <w:rPr>
                <w:rFonts w:cstheme="minorHAnsi"/>
                <w:color w:val="000000"/>
                <w:sz w:val="20"/>
                <w:szCs w:val="20"/>
              </w:rPr>
            </w:pPr>
            <w:r w:rsidRPr="0087485F">
              <w:rPr>
                <w:rFonts w:cstheme="minorHAnsi"/>
                <w:color w:val="000000"/>
                <w:sz w:val="20"/>
                <w:szCs w:val="20"/>
              </w:rPr>
              <w:t>63.5</w:t>
            </w:r>
          </w:p>
        </w:tc>
        <w:tc>
          <w:tcPr>
            <w:tcW w:w="1176" w:type="dxa"/>
            <w:shd w:val="clear" w:color="auto" w:fill="auto"/>
            <w:vAlign w:val="center"/>
          </w:tcPr>
          <w:p w:rsidR="00D907AF" w:rsidRPr="0087485F" w:rsidRDefault="00D907AF" w:rsidP="005560DF">
            <w:pPr>
              <w:spacing w:before="20" w:after="20"/>
              <w:ind w:right="239"/>
              <w:jc w:val="right"/>
              <w:rPr>
                <w:rFonts w:cstheme="minorHAnsi"/>
                <w:color w:val="000000"/>
                <w:sz w:val="20"/>
                <w:szCs w:val="20"/>
              </w:rPr>
            </w:pPr>
            <w:r w:rsidRPr="0087485F">
              <w:rPr>
                <w:rFonts w:cstheme="minorHAnsi"/>
                <w:color w:val="000000"/>
                <w:sz w:val="20"/>
                <w:szCs w:val="20"/>
              </w:rPr>
              <w:t>896</w:t>
            </w:r>
          </w:p>
        </w:tc>
        <w:tc>
          <w:tcPr>
            <w:tcW w:w="1176" w:type="dxa"/>
            <w:shd w:val="clear" w:color="auto" w:fill="auto"/>
            <w:vAlign w:val="center"/>
          </w:tcPr>
          <w:p w:rsidR="00D907AF" w:rsidRPr="0087485F" w:rsidRDefault="00D907AF" w:rsidP="005560DF">
            <w:pPr>
              <w:tabs>
                <w:tab w:val="decimal" w:pos="563"/>
              </w:tabs>
              <w:spacing w:before="20" w:after="20"/>
              <w:rPr>
                <w:rFonts w:cstheme="minorHAnsi"/>
                <w:color w:val="000000"/>
                <w:sz w:val="20"/>
                <w:szCs w:val="20"/>
              </w:rPr>
            </w:pPr>
            <w:r w:rsidRPr="0087485F">
              <w:rPr>
                <w:rFonts w:cstheme="minorHAnsi"/>
                <w:color w:val="000000"/>
                <w:sz w:val="20"/>
                <w:szCs w:val="20"/>
              </w:rPr>
              <w:t>68.3</w:t>
            </w:r>
          </w:p>
        </w:tc>
      </w:tr>
      <w:tr w:rsidR="00D907AF" w:rsidRPr="0087485F" w:rsidTr="00762AB9">
        <w:trPr>
          <w:cantSplit/>
        </w:trPr>
        <w:tc>
          <w:tcPr>
            <w:tcW w:w="2230"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Friend</w:t>
            </w:r>
          </w:p>
        </w:tc>
        <w:tc>
          <w:tcPr>
            <w:tcW w:w="1176" w:type="dxa"/>
            <w:shd w:val="clear" w:color="auto" w:fill="auto"/>
            <w:vAlign w:val="center"/>
          </w:tcPr>
          <w:p w:rsidR="00D907AF" w:rsidRPr="0087485F" w:rsidRDefault="00D907AF" w:rsidP="005560DF">
            <w:pPr>
              <w:spacing w:before="20" w:after="20"/>
              <w:ind w:right="284"/>
              <w:jc w:val="right"/>
              <w:rPr>
                <w:rFonts w:cstheme="minorHAnsi"/>
                <w:color w:val="000000"/>
                <w:sz w:val="20"/>
                <w:szCs w:val="20"/>
              </w:rPr>
            </w:pPr>
            <w:r w:rsidRPr="0087485F">
              <w:rPr>
                <w:rFonts w:cstheme="minorHAnsi"/>
                <w:color w:val="000000"/>
                <w:sz w:val="20"/>
                <w:szCs w:val="20"/>
              </w:rPr>
              <w:t>28</w:t>
            </w:r>
          </w:p>
        </w:tc>
        <w:tc>
          <w:tcPr>
            <w:tcW w:w="1176" w:type="dxa"/>
            <w:shd w:val="clear" w:color="auto" w:fill="auto"/>
            <w:vAlign w:val="center"/>
          </w:tcPr>
          <w:p w:rsidR="00D907AF" w:rsidRPr="0087485F" w:rsidRDefault="00D907AF" w:rsidP="005560DF">
            <w:pPr>
              <w:tabs>
                <w:tab w:val="decimal" w:pos="563"/>
              </w:tabs>
              <w:spacing w:before="20" w:after="20"/>
              <w:rPr>
                <w:rFonts w:cstheme="minorHAnsi"/>
                <w:color w:val="000000"/>
                <w:sz w:val="20"/>
                <w:szCs w:val="20"/>
              </w:rPr>
            </w:pPr>
            <w:r w:rsidRPr="0087485F">
              <w:rPr>
                <w:rFonts w:cstheme="minorHAnsi"/>
                <w:color w:val="000000"/>
                <w:sz w:val="20"/>
                <w:szCs w:val="20"/>
              </w:rPr>
              <w:t>3.4</w:t>
            </w:r>
          </w:p>
        </w:tc>
        <w:tc>
          <w:tcPr>
            <w:tcW w:w="1176" w:type="dxa"/>
            <w:shd w:val="clear" w:color="auto" w:fill="auto"/>
            <w:vAlign w:val="center"/>
          </w:tcPr>
          <w:p w:rsidR="00D907AF" w:rsidRPr="0087485F" w:rsidRDefault="00D907AF" w:rsidP="005560DF">
            <w:pPr>
              <w:spacing w:before="20" w:after="20"/>
              <w:ind w:right="284"/>
              <w:jc w:val="right"/>
              <w:rPr>
                <w:rFonts w:cstheme="minorHAnsi"/>
                <w:color w:val="000000"/>
                <w:sz w:val="20"/>
                <w:szCs w:val="20"/>
              </w:rPr>
            </w:pPr>
            <w:r w:rsidRPr="0087485F">
              <w:rPr>
                <w:rFonts w:cstheme="minorHAnsi"/>
                <w:color w:val="000000"/>
                <w:sz w:val="20"/>
                <w:szCs w:val="20"/>
              </w:rPr>
              <w:t>19</w:t>
            </w:r>
          </w:p>
        </w:tc>
        <w:tc>
          <w:tcPr>
            <w:tcW w:w="1176" w:type="dxa"/>
            <w:shd w:val="clear" w:color="auto" w:fill="auto"/>
            <w:vAlign w:val="center"/>
          </w:tcPr>
          <w:p w:rsidR="00D907AF" w:rsidRPr="0087485F" w:rsidRDefault="00D907AF" w:rsidP="005560DF">
            <w:pPr>
              <w:tabs>
                <w:tab w:val="decimal" w:pos="563"/>
              </w:tabs>
              <w:spacing w:before="20" w:after="20"/>
              <w:rPr>
                <w:rFonts w:cstheme="minorHAnsi"/>
                <w:color w:val="000000"/>
                <w:sz w:val="20"/>
                <w:szCs w:val="20"/>
              </w:rPr>
            </w:pPr>
            <w:r w:rsidRPr="0087485F">
              <w:rPr>
                <w:rFonts w:cstheme="minorHAnsi"/>
                <w:color w:val="000000"/>
                <w:sz w:val="20"/>
                <w:szCs w:val="20"/>
              </w:rPr>
              <w:t>4.0</w:t>
            </w:r>
          </w:p>
        </w:tc>
        <w:tc>
          <w:tcPr>
            <w:tcW w:w="1176" w:type="dxa"/>
            <w:shd w:val="clear" w:color="auto" w:fill="auto"/>
            <w:vAlign w:val="center"/>
          </w:tcPr>
          <w:p w:rsidR="00D907AF" w:rsidRPr="0087485F" w:rsidRDefault="00D907AF" w:rsidP="005560DF">
            <w:pPr>
              <w:spacing w:before="20" w:after="20"/>
              <w:ind w:right="239"/>
              <w:jc w:val="right"/>
              <w:rPr>
                <w:rFonts w:cstheme="minorHAnsi"/>
                <w:color w:val="000000"/>
                <w:sz w:val="20"/>
                <w:szCs w:val="20"/>
              </w:rPr>
            </w:pPr>
            <w:r w:rsidRPr="0087485F">
              <w:rPr>
                <w:rFonts w:cstheme="minorHAnsi"/>
                <w:color w:val="000000"/>
                <w:sz w:val="20"/>
                <w:szCs w:val="20"/>
              </w:rPr>
              <w:t>47</w:t>
            </w:r>
          </w:p>
        </w:tc>
        <w:tc>
          <w:tcPr>
            <w:tcW w:w="1176" w:type="dxa"/>
            <w:shd w:val="clear" w:color="auto" w:fill="auto"/>
            <w:vAlign w:val="center"/>
          </w:tcPr>
          <w:p w:rsidR="00D907AF" w:rsidRPr="0087485F" w:rsidRDefault="00D907AF" w:rsidP="005560DF">
            <w:pPr>
              <w:tabs>
                <w:tab w:val="decimal" w:pos="563"/>
              </w:tabs>
              <w:spacing w:before="20" w:after="20"/>
              <w:rPr>
                <w:rFonts w:cstheme="minorHAnsi"/>
                <w:color w:val="000000"/>
                <w:sz w:val="20"/>
                <w:szCs w:val="20"/>
              </w:rPr>
            </w:pPr>
            <w:r w:rsidRPr="0087485F">
              <w:rPr>
                <w:rFonts w:cstheme="minorHAnsi"/>
                <w:color w:val="000000"/>
                <w:sz w:val="20"/>
                <w:szCs w:val="20"/>
              </w:rPr>
              <w:t>3.6</w:t>
            </w:r>
          </w:p>
        </w:tc>
      </w:tr>
      <w:tr w:rsidR="00D907AF" w:rsidRPr="0087485F" w:rsidTr="00762AB9">
        <w:trPr>
          <w:cantSplit/>
        </w:trPr>
        <w:tc>
          <w:tcPr>
            <w:tcW w:w="2230"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Guardian</w:t>
            </w:r>
          </w:p>
        </w:tc>
        <w:tc>
          <w:tcPr>
            <w:tcW w:w="1176" w:type="dxa"/>
            <w:shd w:val="clear" w:color="auto" w:fill="auto"/>
            <w:vAlign w:val="center"/>
          </w:tcPr>
          <w:p w:rsidR="00D907AF" w:rsidRPr="0087485F" w:rsidRDefault="00D907AF" w:rsidP="005560DF">
            <w:pPr>
              <w:spacing w:before="20" w:after="20"/>
              <w:ind w:right="284"/>
              <w:jc w:val="right"/>
              <w:rPr>
                <w:rFonts w:cstheme="minorHAnsi"/>
                <w:color w:val="000000"/>
                <w:sz w:val="20"/>
                <w:szCs w:val="20"/>
              </w:rPr>
            </w:pPr>
            <w:r w:rsidRPr="0087485F">
              <w:rPr>
                <w:rFonts w:cstheme="minorHAnsi"/>
                <w:color w:val="000000"/>
                <w:sz w:val="20"/>
                <w:szCs w:val="20"/>
              </w:rPr>
              <w:t>150</w:t>
            </w:r>
          </w:p>
        </w:tc>
        <w:tc>
          <w:tcPr>
            <w:tcW w:w="1176" w:type="dxa"/>
            <w:shd w:val="clear" w:color="auto" w:fill="auto"/>
            <w:vAlign w:val="center"/>
          </w:tcPr>
          <w:p w:rsidR="00D907AF" w:rsidRPr="0087485F" w:rsidRDefault="00D907AF" w:rsidP="005560DF">
            <w:pPr>
              <w:tabs>
                <w:tab w:val="decimal" w:pos="563"/>
              </w:tabs>
              <w:spacing w:before="20" w:after="20"/>
              <w:rPr>
                <w:rFonts w:cstheme="minorHAnsi"/>
                <w:color w:val="000000"/>
                <w:sz w:val="20"/>
                <w:szCs w:val="20"/>
              </w:rPr>
            </w:pPr>
            <w:r w:rsidRPr="0087485F">
              <w:rPr>
                <w:rFonts w:cstheme="minorHAnsi"/>
                <w:color w:val="000000"/>
                <w:sz w:val="20"/>
                <w:szCs w:val="20"/>
              </w:rPr>
              <w:t>18.0</w:t>
            </w:r>
          </w:p>
        </w:tc>
        <w:tc>
          <w:tcPr>
            <w:tcW w:w="1176" w:type="dxa"/>
            <w:shd w:val="clear" w:color="auto" w:fill="auto"/>
            <w:vAlign w:val="center"/>
          </w:tcPr>
          <w:p w:rsidR="00D907AF" w:rsidRPr="0087485F" w:rsidRDefault="00D907AF" w:rsidP="005560DF">
            <w:pPr>
              <w:spacing w:before="20" w:after="20"/>
              <w:ind w:right="284"/>
              <w:jc w:val="right"/>
              <w:rPr>
                <w:rFonts w:cstheme="minorHAnsi"/>
                <w:color w:val="000000"/>
                <w:sz w:val="20"/>
                <w:szCs w:val="20"/>
              </w:rPr>
            </w:pPr>
            <w:r w:rsidRPr="0087485F">
              <w:rPr>
                <w:rFonts w:cstheme="minorHAnsi"/>
                <w:color w:val="000000"/>
                <w:sz w:val="20"/>
                <w:szCs w:val="20"/>
              </w:rPr>
              <w:t>53</w:t>
            </w:r>
          </w:p>
        </w:tc>
        <w:tc>
          <w:tcPr>
            <w:tcW w:w="1176" w:type="dxa"/>
            <w:shd w:val="clear" w:color="auto" w:fill="auto"/>
            <w:vAlign w:val="center"/>
          </w:tcPr>
          <w:p w:rsidR="00D907AF" w:rsidRPr="0087485F" w:rsidRDefault="00D907AF" w:rsidP="005560DF">
            <w:pPr>
              <w:tabs>
                <w:tab w:val="decimal" w:pos="563"/>
              </w:tabs>
              <w:spacing w:before="20" w:after="20"/>
              <w:rPr>
                <w:rFonts w:cstheme="minorHAnsi"/>
                <w:color w:val="000000"/>
                <w:sz w:val="20"/>
                <w:szCs w:val="20"/>
              </w:rPr>
            </w:pPr>
            <w:r w:rsidRPr="0087485F">
              <w:rPr>
                <w:rFonts w:cstheme="minorHAnsi"/>
                <w:color w:val="000000"/>
                <w:sz w:val="20"/>
                <w:szCs w:val="20"/>
              </w:rPr>
              <w:t>11.1</w:t>
            </w:r>
          </w:p>
        </w:tc>
        <w:tc>
          <w:tcPr>
            <w:tcW w:w="1176" w:type="dxa"/>
            <w:shd w:val="clear" w:color="auto" w:fill="auto"/>
            <w:vAlign w:val="center"/>
          </w:tcPr>
          <w:p w:rsidR="00D907AF" w:rsidRPr="0087485F" w:rsidRDefault="00D907AF" w:rsidP="005560DF">
            <w:pPr>
              <w:spacing w:before="20" w:after="20"/>
              <w:ind w:right="239"/>
              <w:jc w:val="right"/>
              <w:rPr>
                <w:rFonts w:cstheme="minorHAnsi"/>
                <w:color w:val="000000"/>
                <w:sz w:val="20"/>
                <w:szCs w:val="20"/>
              </w:rPr>
            </w:pPr>
            <w:r w:rsidRPr="0087485F">
              <w:rPr>
                <w:rFonts w:cstheme="minorHAnsi"/>
                <w:color w:val="000000"/>
                <w:sz w:val="20"/>
                <w:szCs w:val="20"/>
              </w:rPr>
              <w:t>203</w:t>
            </w:r>
          </w:p>
        </w:tc>
        <w:tc>
          <w:tcPr>
            <w:tcW w:w="1176" w:type="dxa"/>
            <w:shd w:val="clear" w:color="auto" w:fill="auto"/>
            <w:vAlign w:val="center"/>
          </w:tcPr>
          <w:p w:rsidR="00D907AF" w:rsidRPr="0087485F" w:rsidRDefault="00D907AF" w:rsidP="005560DF">
            <w:pPr>
              <w:tabs>
                <w:tab w:val="decimal" w:pos="563"/>
              </w:tabs>
              <w:spacing w:before="20" w:after="20"/>
              <w:rPr>
                <w:rFonts w:cstheme="minorHAnsi"/>
                <w:color w:val="000000"/>
                <w:sz w:val="20"/>
                <w:szCs w:val="20"/>
              </w:rPr>
            </w:pPr>
            <w:r w:rsidRPr="0087485F">
              <w:rPr>
                <w:rFonts w:cstheme="minorHAnsi"/>
                <w:color w:val="000000"/>
                <w:sz w:val="20"/>
                <w:szCs w:val="20"/>
              </w:rPr>
              <w:t>15.5</w:t>
            </w:r>
          </w:p>
        </w:tc>
      </w:tr>
      <w:tr w:rsidR="00D907AF" w:rsidRPr="0087485F" w:rsidTr="00762AB9">
        <w:trPr>
          <w:cantSplit/>
        </w:trPr>
        <w:tc>
          <w:tcPr>
            <w:tcW w:w="2230"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Paid support worker</w:t>
            </w:r>
          </w:p>
        </w:tc>
        <w:tc>
          <w:tcPr>
            <w:tcW w:w="1176" w:type="dxa"/>
            <w:shd w:val="clear" w:color="auto" w:fill="auto"/>
            <w:vAlign w:val="center"/>
          </w:tcPr>
          <w:p w:rsidR="00D907AF" w:rsidRPr="0087485F" w:rsidRDefault="00D907AF" w:rsidP="005560DF">
            <w:pPr>
              <w:spacing w:before="20" w:after="20"/>
              <w:ind w:right="284"/>
              <w:jc w:val="right"/>
              <w:rPr>
                <w:rFonts w:cstheme="minorHAnsi"/>
                <w:color w:val="000000"/>
                <w:sz w:val="20"/>
                <w:szCs w:val="20"/>
              </w:rPr>
            </w:pPr>
            <w:r w:rsidRPr="0087485F">
              <w:rPr>
                <w:rFonts w:cstheme="minorHAnsi"/>
                <w:color w:val="000000"/>
                <w:sz w:val="20"/>
                <w:szCs w:val="20"/>
              </w:rPr>
              <w:t>104</w:t>
            </w:r>
          </w:p>
        </w:tc>
        <w:tc>
          <w:tcPr>
            <w:tcW w:w="1176" w:type="dxa"/>
            <w:shd w:val="clear" w:color="auto" w:fill="auto"/>
            <w:vAlign w:val="center"/>
          </w:tcPr>
          <w:p w:rsidR="00D907AF" w:rsidRPr="0087485F" w:rsidRDefault="00D907AF" w:rsidP="005560DF">
            <w:pPr>
              <w:tabs>
                <w:tab w:val="decimal" w:pos="563"/>
              </w:tabs>
              <w:spacing w:before="20" w:after="20"/>
              <w:rPr>
                <w:rFonts w:cstheme="minorHAnsi"/>
                <w:color w:val="000000"/>
                <w:sz w:val="20"/>
                <w:szCs w:val="20"/>
              </w:rPr>
            </w:pPr>
            <w:r w:rsidRPr="0087485F">
              <w:rPr>
                <w:rFonts w:cstheme="minorHAnsi"/>
                <w:color w:val="000000"/>
                <w:sz w:val="20"/>
                <w:szCs w:val="20"/>
              </w:rPr>
              <w:t>12.5</w:t>
            </w:r>
          </w:p>
        </w:tc>
        <w:tc>
          <w:tcPr>
            <w:tcW w:w="1176" w:type="dxa"/>
            <w:shd w:val="clear" w:color="auto" w:fill="auto"/>
            <w:vAlign w:val="center"/>
          </w:tcPr>
          <w:p w:rsidR="00D907AF" w:rsidRPr="0087485F" w:rsidRDefault="00D907AF" w:rsidP="005560DF">
            <w:pPr>
              <w:spacing w:before="20" w:after="20"/>
              <w:ind w:right="284"/>
              <w:jc w:val="right"/>
              <w:rPr>
                <w:rFonts w:cstheme="minorHAnsi"/>
                <w:color w:val="000000"/>
                <w:sz w:val="20"/>
                <w:szCs w:val="20"/>
              </w:rPr>
            </w:pPr>
            <w:r w:rsidRPr="0087485F">
              <w:rPr>
                <w:rFonts w:cstheme="minorHAnsi"/>
                <w:color w:val="000000"/>
                <w:sz w:val="20"/>
                <w:szCs w:val="20"/>
              </w:rPr>
              <w:t>76</w:t>
            </w:r>
          </w:p>
        </w:tc>
        <w:tc>
          <w:tcPr>
            <w:tcW w:w="1176" w:type="dxa"/>
            <w:shd w:val="clear" w:color="auto" w:fill="auto"/>
            <w:vAlign w:val="center"/>
          </w:tcPr>
          <w:p w:rsidR="00D907AF" w:rsidRPr="0087485F" w:rsidRDefault="00D907AF" w:rsidP="005560DF">
            <w:pPr>
              <w:tabs>
                <w:tab w:val="decimal" w:pos="563"/>
              </w:tabs>
              <w:spacing w:before="20" w:after="20"/>
              <w:rPr>
                <w:rFonts w:cstheme="minorHAnsi"/>
                <w:color w:val="000000"/>
                <w:sz w:val="20"/>
                <w:szCs w:val="20"/>
              </w:rPr>
            </w:pPr>
            <w:r w:rsidRPr="0087485F">
              <w:rPr>
                <w:rFonts w:cstheme="minorHAnsi"/>
                <w:color w:val="000000"/>
                <w:sz w:val="20"/>
                <w:szCs w:val="20"/>
              </w:rPr>
              <w:t>15.9</w:t>
            </w:r>
          </w:p>
        </w:tc>
        <w:tc>
          <w:tcPr>
            <w:tcW w:w="1176" w:type="dxa"/>
            <w:shd w:val="clear" w:color="auto" w:fill="auto"/>
            <w:vAlign w:val="center"/>
          </w:tcPr>
          <w:p w:rsidR="00D907AF" w:rsidRPr="0087485F" w:rsidRDefault="00D907AF" w:rsidP="005560DF">
            <w:pPr>
              <w:spacing w:before="20" w:after="20"/>
              <w:ind w:right="239"/>
              <w:jc w:val="right"/>
              <w:rPr>
                <w:rFonts w:cstheme="minorHAnsi"/>
                <w:color w:val="000000"/>
                <w:sz w:val="20"/>
                <w:szCs w:val="20"/>
              </w:rPr>
            </w:pPr>
            <w:r w:rsidRPr="0087485F">
              <w:rPr>
                <w:rFonts w:cstheme="minorHAnsi"/>
                <w:color w:val="000000"/>
                <w:sz w:val="20"/>
                <w:szCs w:val="20"/>
              </w:rPr>
              <w:t>180</w:t>
            </w:r>
          </w:p>
        </w:tc>
        <w:tc>
          <w:tcPr>
            <w:tcW w:w="1176" w:type="dxa"/>
            <w:shd w:val="clear" w:color="auto" w:fill="auto"/>
            <w:vAlign w:val="center"/>
          </w:tcPr>
          <w:p w:rsidR="00D907AF" w:rsidRPr="0087485F" w:rsidRDefault="00D907AF" w:rsidP="005560DF">
            <w:pPr>
              <w:tabs>
                <w:tab w:val="decimal" w:pos="563"/>
              </w:tabs>
              <w:spacing w:before="20" w:after="20"/>
              <w:rPr>
                <w:rFonts w:cstheme="minorHAnsi"/>
                <w:color w:val="000000"/>
                <w:sz w:val="20"/>
                <w:szCs w:val="20"/>
              </w:rPr>
            </w:pPr>
            <w:r w:rsidRPr="0087485F">
              <w:rPr>
                <w:rFonts w:cstheme="minorHAnsi"/>
                <w:color w:val="000000"/>
                <w:sz w:val="20"/>
                <w:szCs w:val="20"/>
              </w:rPr>
              <w:t>13.7</w:t>
            </w:r>
          </w:p>
        </w:tc>
      </w:tr>
      <w:tr w:rsidR="00D907AF" w:rsidRPr="0087485F" w:rsidTr="00762AB9">
        <w:trPr>
          <w:cantSplit/>
        </w:trPr>
        <w:tc>
          <w:tcPr>
            <w:tcW w:w="2230"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Nominee</w:t>
            </w:r>
          </w:p>
        </w:tc>
        <w:tc>
          <w:tcPr>
            <w:tcW w:w="1176" w:type="dxa"/>
            <w:shd w:val="clear" w:color="auto" w:fill="auto"/>
            <w:vAlign w:val="center"/>
          </w:tcPr>
          <w:p w:rsidR="00D907AF" w:rsidRPr="0087485F" w:rsidRDefault="00D907AF" w:rsidP="005560DF">
            <w:pPr>
              <w:spacing w:before="20" w:after="20"/>
              <w:ind w:right="284"/>
              <w:jc w:val="right"/>
              <w:rPr>
                <w:rFonts w:cstheme="minorHAnsi"/>
                <w:color w:val="000000"/>
                <w:sz w:val="20"/>
                <w:szCs w:val="20"/>
              </w:rPr>
            </w:pPr>
            <w:r w:rsidRPr="0087485F">
              <w:rPr>
                <w:rFonts w:cstheme="minorHAnsi"/>
                <w:color w:val="000000"/>
                <w:sz w:val="20"/>
                <w:szCs w:val="20"/>
              </w:rPr>
              <w:t>57</w:t>
            </w:r>
          </w:p>
        </w:tc>
        <w:tc>
          <w:tcPr>
            <w:tcW w:w="1176" w:type="dxa"/>
            <w:shd w:val="clear" w:color="auto" w:fill="auto"/>
            <w:vAlign w:val="center"/>
          </w:tcPr>
          <w:p w:rsidR="00D907AF" w:rsidRPr="0087485F" w:rsidRDefault="00D907AF" w:rsidP="005560DF">
            <w:pPr>
              <w:tabs>
                <w:tab w:val="decimal" w:pos="563"/>
              </w:tabs>
              <w:spacing w:before="20" w:after="20"/>
              <w:rPr>
                <w:rFonts w:cstheme="minorHAnsi"/>
                <w:color w:val="000000"/>
                <w:sz w:val="20"/>
                <w:szCs w:val="20"/>
              </w:rPr>
            </w:pPr>
            <w:r w:rsidRPr="0087485F">
              <w:rPr>
                <w:rFonts w:cstheme="minorHAnsi"/>
                <w:color w:val="000000"/>
                <w:sz w:val="20"/>
                <w:szCs w:val="20"/>
              </w:rPr>
              <w:t>6.8</w:t>
            </w:r>
          </w:p>
        </w:tc>
        <w:tc>
          <w:tcPr>
            <w:tcW w:w="1176" w:type="dxa"/>
            <w:shd w:val="clear" w:color="auto" w:fill="auto"/>
            <w:vAlign w:val="center"/>
          </w:tcPr>
          <w:p w:rsidR="00D907AF" w:rsidRPr="0087485F" w:rsidRDefault="00D907AF" w:rsidP="005560DF">
            <w:pPr>
              <w:spacing w:before="20" w:after="20"/>
              <w:ind w:right="284"/>
              <w:jc w:val="right"/>
              <w:rPr>
                <w:rFonts w:cstheme="minorHAnsi"/>
                <w:color w:val="000000"/>
                <w:sz w:val="20"/>
                <w:szCs w:val="20"/>
              </w:rPr>
            </w:pPr>
            <w:r w:rsidRPr="0087485F">
              <w:rPr>
                <w:rFonts w:cstheme="minorHAnsi"/>
                <w:color w:val="000000"/>
                <w:sz w:val="20"/>
                <w:szCs w:val="20"/>
              </w:rPr>
              <w:t>16</w:t>
            </w:r>
          </w:p>
        </w:tc>
        <w:tc>
          <w:tcPr>
            <w:tcW w:w="1176" w:type="dxa"/>
            <w:shd w:val="clear" w:color="auto" w:fill="auto"/>
            <w:vAlign w:val="center"/>
          </w:tcPr>
          <w:p w:rsidR="00D907AF" w:rsidRPr="0087485F" w:rsidRDefault="00D907AF" w:rsidP="005560DF">
            <w:pPr>
              <w:tabs>
                <w:tab w:val="decimal" w:pos="563"/>
              </w:tabs>
              <w:spacing w:before="20" w:after="20"/>
              <w:rPr>
                <w:rFonts w:cstheme="minorHAnsi"/>
                <w:color w:val="000000"/>
                <w:sz w:val="20"/>
                <w:szCs w:val="20"/>
              </w:rPr>
            </w:pPr>
            <w:r w:rsidRPr="0087485F">
              <w:rPr>
                <w:rFonts w:cstheme="minorHAnsi"/>
                <w:color w:val="000000"/>
                <w:sz w:val="20"/>
                <w:szCs w:val="20"/>
              </w:rPr>
              <w:t>3.3</w:t>
            </w:r>
          </w:p>
        </w:tc>
        <w:tc>
          <w:tcPr>
            <w:tcW w:w="1176" w:type="dxa"/>
            <w:shd w:val="clear" w:color="auto" w:fill="auto"/>
            <w:vAlign w:val="center"/>
          </w:tcPr>
          <w:p w:rsidR="00D907AF" w:rsidRPr="0087485F" w:rsidRDefault="00D907AF" w:rsidP="005560DF">
            <w:pPr>
              <w:spacing w:before="20" w:after="20"/>
              <w:ind w:right="239"/>
              <w:jc w:val="right"/>
              <w:rPr>
                <w:rFonts w:cstheme="minorHAnsi"/>
                <w:color w:val="000000"/>
                <w:sz w:val="20"/>
                <w:szCs w:val="20"/>
              </w:rPr>
            </w:pPr>
            <w:r w:rsidRPr="0087485F">
              <w:rPr>
                <w:rFonts w:cstheme="minorHAnsi"/>
                <w:color w:val="000000"/>
                <w:sz w:val="20"/>
                <w:szCs w:val="20"/>
              </w:rPr>
              <w:t>73</w:t>
            </w:r>
          </w:p>
        </w:tc>
        <w:tc>
          <w:tcPr>
            <w:tcW w:w="1176" w:type="dxa"/>
            <w:shd w:val="clear" w:color="auto" w:fill="auto"/>
            <w:vAlign w:val="center"/>
          </w:tcPr>
          <w:p w:rsidR="00D907AF" w:rsidRPr="0087485F" w:rsidRDefault="00D907AF" w:rsidP="005560DF">
            <w:pPr>
              <w:tabs>
                <w:tab w:val="decimal" w:pos="563"/>
              </w:tabs>
              <w:spacing w:before="20" w:after="20"/>
              <w:rPr>
                <w:rFonts w:cstheme="minorHAnsi"/>
                <w:color w:val="000000"/>
                <w:sz w:val="20"/>
                <w:szCs w:val="20"/>
              </w:rPr>
            </w:pPr>
            <w:r w:rsidRPr="0087485F">
              <w:rPr>
                <w:rFonts w:cstheme="minorHAnsi"/>
                <w:color w:val="000000"/>
                <w:sz w:val="20"/>
                <w:szCs w:val="20"/>
              </w:rPr>
              <w:t>5.6</w:t>
            </w:r>
          </w:p>
        </w:tc>
      </w:tr>
      <w:tr w:rsidR="00D907AF" w:rsidRPr="0087485F" w:rsidTr="00762AB9">
        <w:trPr>
          <w:cantSplit/>
        </w:trPr>
        <w:tc>
          <w:tcPr>
            <w:tcW w:w="2230"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No one</w:t>
            </w:r>
          </w:p>
        </w:tc>
        <w:tc>
          <w:tcPr>
            <w:tcW w:w="1176" w:type="dxa"/>
            <w:shd w:val="clear" w:color="auto" w:fill="auto"/>
            <w:vAlign w:val="center"/>
          </w:tcPr>
          <w:p w:rsidR="00D907AF" w:rsidRPr="0087485F" w:rsidRDefault="00D907AF" w:rsidP="005560DF">
            <w:pPr>
              <w:spacing w:before="20" w:after="20"/>
              <w:ind w:right="284"/>
              <w:jc w:val="right"/>
              <w:rPr>
                <w:rFonts w:cstheme="minorHAnsi"/>
                <w:color w:val="000000"/>
                <w:sz w:val="20"/>
                <w:szCs w:val="20"/>
              </w:rPr>
            </w:pPr>
            <w:r w:rsidRPr="0087485F">
              <w:rPr>
                <w:rFonts w:cstheme="minorHAnsi"/>
                <w:color w:val="000000"/>
                <w:sz w:val="20"/>
                <w:szCs w:val="20"/>
              </w:rPr>
              <w:t>30</w:t>
            </w:r>
          </w:p>
        </w:tc>
        <w:tc>
          <w:tcPr>
            <w:tcW w:w="1176" w:type="dxa"/>
            <w:shd w:val="clear" w:color="auto" w:fill="auto"/>
            <w:vAlign w:val="center"/>
          </w:tcPr>
          <w:p w:rsidR="00D907AF" w:rsidRPr="0087485F" w:rsidRDefault="00D907AF" w:rsidP="005560DF">
            <w:pPr>
              <w:tabs>
                <w:tab w:val="decimal" w:pos="563"/>
              </w:tabs>
              <w:spacing w:before="20" w:after="20"/>
              <w:rPr>
                <w:rFonts w:cstheme="minorHAnsi"/>
                <w:color w:val="000000"/>
                <w:sz w:val="20"/>
                <w:szCs w:val="20"/>
              </w:rPr>
            </w:pPr>
            <w:r w:rsidRPr="0087485F">
              <w:rPr>
                <w:rFonts w:cstheme="minorHAnsi"/>
                <w:color w:val="000000"/>
                <w:sz w:val="20"/>
                <w:szCs w:val="20"/>
              </w:rPr>
              <w:t>3.6</w:t>
            </w:r>
          </w:p>
        </w:tc>
        <w:tc>
          <w:tcPr>
            <w:tcW w:w="1176" w:type="dxa"/>
            <w:shd w:val="clear" w:color="auto" w:fill="auto"/>
            <w:vAlign w:val="center"/>
          </w:tcPr>
          <w:p w:rsidR="00D907AF" w:rsidRPr="0087485F" w:rsidRDefault="00D907AF" w:rsidP="005560DF">
            <w:pPr>
              <w:spacing w:before="20" w:after="20"/>
              <w:ind w:right="284"/>
              <w:jc w:val="right"/>
              <w:rPr>
                <w:rFonts w:cstheme="minorHAnsi"/>
                <w:color w:val="000000"/>
                <w:sz w:val="20"/>
                <w:szCs w:val="20"/>
              </w:rPr>
            </w:pPr>
            <w:r w:rsidRPr="0087485F">
              <w:rPr>
                <w:rFonts w:cstheme="minorHAnsi"/>
                <w:color w:val="000000"/>
                <w:sz w:val="20"/>
                <w:szCs w:val="20"/>
              </w:rPr>
              <w:t>55</w:t>
            </w:r>
          </w:p>
        </w:tc>
        <w:tc>
          <w:tcPr>
            <w:tcW w:w="1176" w:type="dxa"/>
            <w:shd w:val="clear" w:color="auto" w:fill="auto"/>
            <w:vAlign w:val="center"/>
          </w:tcPr>
          <w:p w:rsidR="00D907AF" w:rsidRPr="0087485F" w:rsidRDefault="00D907AF" w:rsidP="005560DF">
            <w:pPr>
              <w:tabs>
                <w:tab w:val="decimal" w:pos="563"/>
              </w:tabs>
              <w:spacing w:before="20" w:after="20"/>
              <w:rPr>
                <w:rFonts w:cstheme="minorHAnsi"/>
                <w:color w:val="000000"/>
                <w:sz w:val="20"/>
                <w:szCs w:val="20"/>
              </w:rPr>
            </w:pPr>
            <w:r w:rsidRPr="0087485F">
              <w:rPr>
                <w:rFonts w:cstheme="minorHAnsi"/>
                <w:color w:val="000000"/>
                <w:sz w:val="20"/>
                <w:szCs w:val="20"/>
              </w:rPr>
              <w:t>11.5</w:t>
            </w:r>
          </w:p>
        </w:tc>
        <w:tc>
          <w:tcPr>
            <w:tcW w:w="1176" w:type="dxa"/>
            <w:shd w:val="clear" w:color="auto" w:fill="auto"/>
            <w:vAlign w:val="center"/>
          </w:tcPr>
          <w:p w:rsidR="00D907AF" w:rsidRPr="0087485F" w:rsidRDefault="00D907AF" w:rsidP="005560DF">
            <w:pPr>
              <w:spacing w:before="20" w:after="20"/>
              <w:ind w:right="239"/>
              <w:jc w:val="right"/>
              <w:rPr>
                <w:rFonts w:cstheme="minorHAnsi"/>
                <w:color w:val="000000"/>
                <w:sz w:val="20"/>
                <w:szCs w:val="20"/>
              </w:rPr>
            </w:pPr>
            <w:r w:rsidRPr="0087485F">
              <w:rPr>
                <w:rFonts w:cstheme="minorHAnsi"/>
                <w:color w:val="000000"/>
                <w:sz w:val="20"/>
                <w:szCs w:val="20"/>
              </w:rPr>
              <w:t>85</w:t>
            </w:r>
          </w:p>
        </w:tc>
        <w:tc>
          <w:tcPr>
            <w:tcW w:w="1176" w:type="dxa"/>
            <w:shd w:val="clear" w:color="auto" w:fill="auto"/>
            <w:vAlign w:val="center"/>
          </w:tcPr>
          <w:p w:rsidR="00D907AF" w:rsidRPr="0087485F" w:rsidRDefault="00D907AF" w:rsidP="005560DF">
            <w:pPr>
              <w:tabs>
                <w:tab w:val="decimal" w:pos="563"/>
              </w:tabs>
              <w:spacing w:before="20" w:after="20"/>
              <w:rPr>
                <w:rFonts w:cstheme="minorHAnsi"/>
                <w:color w:val="000000"/>
                <w:sz w:val="20"/>
                <w:szCs w:val="20"/>
              </w:rPr>
            </w:pPr>
            <w:r w:rsidRPr="0087485F">
              <w:rPr>
                <w:rFonts w:cstheme="minorHAnsi"/>
                <w:color w:val="000000"/>
                <w:sz w:val="20"/>
                <w:szCs w:val="20"/>
              </w:rPr>
              <w:t>6.5</w:t>
            </w:r>
          </w:p>
        </w:tc>
      </w:tr>
      <w:tr w:rsidR="00D907AF" w:rsidRPr="0087485F" w:rsidTr="00762AB9">
        <w:trPr>
          <w:cantSplit/>
        </w:trPr>
        <w:tc>
          <w:tcPr>
            <w:tcW w:w="2230"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Local Area Coordinator</w:t>
            </w:r>
          </w:p>
        </w:tc>
        <w:tc>
          <w:tcPr>
            <w:tcW w:w="1176" w:type="dxa"/>
            <w:shd w:val="clear" w:color="auto" w:fill="auto"/>
            <w:vAlign w:val="center"/>
          </w:tcPr>
          <w:p w:rsidR="00D907AF" w:rsidRPr="0087485F" w:rsidRDefault="00D907AF" w:rsidP="005560DF">
            <w:pPr>
              <w:spacing w:before="20" w:after="20"/>
              <w:ind w:right="284"/>
              <w:jc w:val="right"/>
              <w:rPr>
                <w:rFonts w:cstheme="minorHAnsi"/>
                <w:color w:val="000000"/>
                <w:sz w:val="20"/>
                <w:szCs w:val="20"/>
              </w:rPr>
            </w:pPr>
            <w:r w:rsidRPr="0087485F">
              <w:rPr>
                <w:rFonts w:cstheme="minorHAnsi"/>
                <w:color w:val="000000"/>
                <w:sz w:val="20"/>
                <w:szCs w:val="20"/>
              </w:rPr>
              <w:t>119</w:t>
            </w:r>
          </w:p>
        </w:tc>
        <w:tc>
          <w:tcPr>
            <w:tcW w:w="1176" w:type="dxa"/>
            <w:shd w:val="clear" w:color="auto" w:fill="auto"/>
            <w:vAlign w:val="center"/>
          </w:tcPr>
          <w:p w:rsidR="00D907AF" w:rsidRPr="0087485F" w:rsidRDefault="00D907AF" w:rsidP="005560DF">
            <w:pPr>
              <w:tabs>
                <w:tab w:val="decimal" w:pos="563"/>
              </w:tabs>
              <w:spacing w:before="20" w:after="20"/>
              <w:rPr>
                <w:rFonts w:cstheme="minorHAnsi"/>
                <w:color w:val="000000"/>
                <w:sz w:val="20"/>
                <w:szCs w:val="20"/>
              </w:rPr>
            </w:pPr>
            <w:r w:rsidRPr="0087485F">
              <w:rPr>
                <w:rFonts w:cstheme="minorHAnsi"/>
                <w:color w:val="000000"/>
                <w:sz w:val="20"/>
                <w:szCs w:val="20"/>
              </w:rPr>
              <w:t>14.3</w:t>
            </w:r>
          </w:p>
        </w:tc>
        <w:tc>
          <w:tcPr>
            <w:tcW w:w="1176" w:type="dxa"/>
            <w:shd w:val="clear" w:color="auto" w:fill="auto"/>
            <w:vAlign w:val="center"/>
          </w:tcPr>
          <w:p w:rsidR="00D907AF" w:rsidRPr="0087485F" w:rsidRDefault="00D907AF" w:rsidP="005560DF">
            <w:pPr>
              <w:spacing w:before="20" w:after="20"/>
              <w:ind w:right="284"/>
              <w:jc w:val="right"/>
              <w:rPr>
                <w:rFonts w:cstheme="minorHAnsi"/>
                <w:color w:val="000000"/>
                <w:sz w:val="20"/>
                <w:szCs w:val="20"/>
              </w:rPr>
            </w:pPr>
            <w:r w:rsidRPr="0087485F">
              <w:rPr>
                <w:rFonts w:cstheme="minorHAnsi"/>
                <w:color w:val="000000"/>
                <w:sz w:val="20"/>
                <w:szCs w:val="20"/>
              </w:rPr>
              <w:t>0</w:t>
            </w:r>
          </w:p>
        </w:tc>
        <w:tc>
          <w:tcPr>
            <w:tcW w:w="1176" w:type="dxa"/>
            <w:shd w:val="clear" w:color="auto" w:fill="auto"/>
            <w:vAlign w:val="center"/>
          </w:tcPr>
          <w:p w:rsidR="00D907AF" w:rsidRPr="0087485F" w:rsidRDefault="00D907AF" w:rsidP="005560DF">
            <w:pPr>
              <w:tabs>
                <w:tab w:val="decimal" w:pos="563"/>
              </w:tabs>
              <w:spacing w:before="20" w:after="20"/>
              <w:rPr>
                <w:rFonts w:cstheme="minorHAnsi"/>
                <w:color w:val="000000"/>
                <w:sz w:val="20"/>
                <w:szCs w:val="20"/>
              </w:rPr>
            </w:pPr>
            <w:r w:rsidRPr="0087485F">
              <w:rPr>
                <w:rFonts w:cstheme="minorHAnsi"/>
                <w:color w:val="000000"/>
                <w:sz w:val="20"/>
                <w:szCs w:val="20"/>
              </w:rPr>
              <w:t>0.0</w:t>
            </w:r>
          </w:p>
        </w:tc>
        <w:tc>
          <w:tcPr>
            <w:tcW w:w="1176" w:type="dxa"/>
            <w:shd w:val="clear" w:color="auto" w:fill="auto"/>
            <w:vAlign w:val="center"/>
          </w:tcPr>
          <w:p w:rsidR="00D907AF" w:rsidRPr="0087485F" w:rsidRDefault="00D907AF" w:rsidP="005560DF">
            <w:pPr>
              <w:spacing w:before="20" w:after="20"/>
              <w:ind w:right="239"/>
              <w:jc w:val="right"/>
              <w:rPr>
                <w:rFonts w:cstheme="minorHAnsi"/>
                <w:color w:val="000000"/>
                <w:sz w:val="20"/>
                <w:szCs w:val="20"/>
              </w:rPr>
            </w:pPr>
            <w:r w:rsidRPr="0087485F">
              <w:rPr>
                <w:rFonts w:cstheme="minorHAnsi"/>
                <w:color w:val="000000"/>
                <w:sz w:val="20"/>
                <w:szCs w:val="20"/>
              </w:rPr>
              <w:t>119</w:t>
            </w:r>
          </w:p>
        </w:tc>
        <w:tc>
          <w:tcPr>
            <w:tcW w:w="1176" w:type="dxa"/>
            <w:shd w:val="clear" w:color="auto" w:fill="auto"/>
            <w:vAlign w:val="center"/>
          </w:tcPr>
          <w:p w:rsidR="00D907AF" w:rsidRPr="0087485F" w:rsidRDefault="00D907AF" w:rsidP="005560DF">
            <w:pPr>
              <w:tabs>
                <w:tab w:val="decimal" w:pos="563"/>
              </w:tabs>
              <w:spacing w:before="20" w:after="20"/>
              <w:rPr>
                <w:rFonts w:cstheme="minorHAnsi"/>
                <w:color w:val="000000"/>
                <w:sz w:val="20"/>
                <w:szCs w:val="20"/>
              </w:rPr>
            </w:pPr>
            <w:r w:rsidRPr="0087485F">
              <w:rPr>
                <w:rFonts w:cstheme="minorHAnsi"/>
                <w:color w:val="000000"/>
                <w:sz w:val="20"/>
                <w:szCs w:val="20"/>
              </w:rPr>
              <w:t>9.1</w:t>
            </w:r>
          </w:p>
        </w:tc>
      </w:tr>
      <w:tr w:rsidR="00D907AF" w:rsidRPr="0087485F" w:rsidTr="00762AB9">
        <w:trPr>
          <w:cantSplit/>
        </w:trPr>
        <w:tc>
          <w:tcPr>
            <w:tcW w:w="2230" w:type="dxa"/>
            <w:tcBorders>
              <w:bottom w:val="single" w:sz="4" w:space="0" w:color="auto"/>
            </w:tcBorders>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 xml:space="preserve">NDIA </w:t>
            </w:r>
            <w:r>
              <w:rPr>
                <w:rFonts w:cstheme="minorHAnsi"/>
                <w:sz w:val="20"/>
                <w:szCs w:val="20"/>
              </w:rPr>
              <w:t>Planner</w:t>
            </w:r>
          </w:p>
        </w:tc>
        <w:tc>
          <w:tcPr>
            <w:tcW w:w="1176" w:type="dxa"/>
            <w:tcBorders>
              <w:bottom w:val="single" w:sz="4" w:space="0" w:color="auto"/>
            </w:tcBorders>
            <w:shd w:val="clear" w:color="auto" w:fill="auto"/>
            <w:vAlign w:val="center"/>
          </w:tcPr>
          <w:p w:rsidR="00D907AF" w:rsidRPr="0087485F" w:rsidRDefault="00D907AF" w:rsidP="005560DF">
            <w:pPr>
              <w:spacing w:before="20" w:after="20"/>
              <w:ind w:right="284"/>
              <w:jc w:val="right"/>
              <w:rPr>
                <w:rFonts w:cstheme="minorHAnsi"/>
                <w:color w:val="000000"/>
                <w:sz w:val="20"/>
                <w:szCs w:val="20"/>
              </w:rPr>
            </w:pPr>
            <w:r w:rsidRPr="0087485F">
              <w:rPr>
                <w:rFonts w:cstheme="minorHAnsi"/>
                <w:color w:val="000000"/>
                <w:sz w:val="20"/>
                <w:szCs w:val="20"/>
              </w:rPr>
              <w:t>485</w:t>
            </w:r>
          </w:p>
        </w:tc>
        <w:tc>
          <w:tcPr>
            <w:tcW w:w="1176" w:type="dxa"/>
            <w:tcBorders>
              <w:bottom w:val="single" w:sz="4" w:space="0" w:color="auto"/>
            </w:tcBorders>
            <w:shd w:val="clear" w:color="auto" w:fill="auto"/>
            <w:vAlign w:val="center"/>
          </w:tcPr>
          <w:p w:rsidR="00D907AF" w:rsidRPr="0087485F" w:rsidRDefault="00D907AF" w:rsidP="005560DF">
            <w:pPr>
              <w:tabs>
                <w:tab w:val="decimal" w:pos="563"/>
              </w:tabs>
              <w:spacing w:before="20" w:after="20"/>
              <w:rPr>
                <w:rFonts w:cstheme="minorHAnsi"/>
                <w:color w:val="000000"/>
                <w:sz w:val="20"/>
                <w:szCs w:val="20"/>
              </w:rPr>
            </w:pPr>
            <w:r w:rsidRPr="0087485F">
              <w:rPr>
                <w:rFonts w:cstheme="minorHAnsi"/>
                <w:color w:val="000000"/>
                <w:sz w:val="20"/>
                <w:szCs w:val="20"/>
              </w:rPr>
              <w:t>58.2</w:t>
            </w:r>
          </w:p>
        </w:tc>
        <w:tc>
          <w:tcPr>
            <w:tcW w:w="1176" w:type="dxa"/>
            <w:tcBorders>
              <w:bottom w:val="single" w:sz="4" w:space="0" w:color="auto"/>
            </w:tcBorders>
            <w:shd w:val="clear" w:color="auto" w:fill="auto"/>
            <w:vAlign w:val="center"/>
          </w:tcPr>
          <w:p w:rsidR="00D907AF" w:rsidRPr="0087485F" w:rsidRDefault="00D907AF" w:rsidP="005560DF">
            <w:pPr>
              <w:spacing w:before="20" w:after="20"/>
              <w:ind w:right="284"/>
              <w:jc w:val="right"/>
              <w:rPr>
                <w:rFonts w:cstheme="minorHAnsi"/>
                <w:color w:val="000000"/>
                <w:sz w:val="20"/>
                <w:szCs w:val="20"/>
              </w:rPr>
            </w:pPr>
            <w:r w:rsidRPr="0087485F">
              <w:rPr>
                <w:rFonts w:cstheme="minorHAnsi"/>
                <w:color w:val="000000"/>
                <w:sz w:val="20"/>
                <w:szCs w:val="20"/>
              </w:rPr>
              <w:t>0</w:t>
            </w:r>
          </w:p>
        </w:tc>
        <w:tc>
          <w:tcPr>
            <w:tcW w:w="1176" w:type="dxa"/>
            <w:tcBorders>
              <w:bottom w:val="single" w:sz="4" w:space="0" w:color="auto"/>
            </w:tcBorders>
            <w:shd w:val="clear" w:color="auto" w:fill="auto"/>
            <w:vAlign w:val="center"/>
          </w:tcPr>
          <w:p w:rsidR="00D907AF" w:rsidRPr="0087485F" w:rsidRDefault="00D907AF" w:rsidP="005560DF">
            <w:pPr>
              <w:tabs>
                <w:tab w:val="decimal" w:pos="563"/>
              </w:tabs>
              <w:spacing w:before="20" w:after="20"/>
              <w:rPr>
                <w:rFonts w:cstheme="minorHAnsi"/>
                <w:color w:val="000000"/>
                <w:sz w:val="20"/>
                <w:szCs w:val="20"/>
              </w:rPr>
            </w:pPr>
            <w:r w:rsidRPr="0087485F">
              <w:rPr>
                <w:rFonts w:cstheme="minorHAnsi"/>
                <w:color w:val="000000"/>
                <w:sz w:val="20"/>
                <w:szCs w:val="20"/>
              </w:rPr>
              <w:t>0.0</w:t>
            </w:r>
          </w:p>
        </w:tc>
        <w:tc>
          <w:tcPr>
            <w:tcW w:w="1176" w:type="dxa"/>
            <w:tcBorders>
              <w:bottom w:val="single" w:sz="4" w:space="0" w:color="auto"/>
            </w:tcBorders>
            <w:shd w:val="clear" w:color="auto" w:fill="auto"/>
            <w:vAlign w:val="center"/>
          </w:tcPr>
          <w:p w:rsidR="00D907AF" w:rsidRPr="0087485F" w:rsidRDefault="00D907AF" w:rsidP="005560DF">
            <w:pPr>
              <w:spacing w:before="20" w:after="20"/>
              <w:ind w:right="239"/>
              <w:jc w:val="right"/>
              <w:rPr>
                <w:rFonts w:cstheme="minorHAnsi"/>
                <w:color w:val="000000"/>
                <w:sz w:val="20"/>
                <w:szCs w:val="20"/>
              </w:rPr>
            </w:pPr>
            <w:r w:rsidRPr="0087485F">
              <w:rPr>
                <w:rFonts w:cstheme="minorHAnsi"/>
                <w:color w:val="000000"/>
                <w:sz w:val="20"/>
                <w:szCs w:val="20"/>
              </w:rPr>
              <w:t>485</w:t>
            </w:r>
          </w:p>
        </w:tc>
        <w:tc>
          <w:tcPr>
            <w:tcW w:w="1176" w:type="dxa"/>
            <w:tcBorders>
              <w:bottom w:val="single" w:sz="4" w:space="0" w:color="auto"/>
            </w:tcBorders>
            <w:shd w:val="clear" w:color="auto" w:fill="auto"/>
            <w:vAlign w:val="center"/>
          </w:tcPr>
          <w:p w:rsidR="00D907AF" w:rsidRPr="0087485F" w:rsidRDefault="00D907AF" w:rsidP="005560DF">
            <w:pPr>
              <w:tabs>
                <w:tab w:val="decimal" w:pos="563"/>
              </w:tabs>
              <w:spacing w:before="20" w:after="20"/>
              <w:rPr>
                <w:rFonts w:cstheme="minorHAnsi"/>
                <w:color w:val="000000"/>
                <w:sz w:val="20"/>
                <w:szCs w:val="20"/>
              </w:rPr>
            </w:pPr>
            <w:r w:rsidRPr="0087485F">
              <w:rPr>
                <w:rFonts w:cstheme="minorHAnsi"/>
                <w:color w:val="000000"/>
                <w:sz w:val="20"/>
                <w:szCs w:val="20"/>
              </w:rPr>
              <w:t>37.0</w:t>
            </w:r>
          </w:p>
        </w:tc>
      </w:tr>
      <w:tr w:rsidR="00D907AF" w:rsidRPr="005560DF" w:rsidTr="00762AB9">
        <w:trPr>
          <w:cantSplit/>
        </w:trPr>
        <w:tc>
          <w:tcPr>
            <w:tcW w:w="2230" w:type="dxa"/>
            <w:tcBorders>
              <w:top w:val="single" w:sz="4" w:space="0" w:color="auto"/>
              <w:bottom w:val="single" w:sz="4" w:space="0" w:color="auto"/>
            </w:tcBorders>
            <w:shd w:val="clear" w:color="auto" w:fill="auto"/>
          </w:tcPr>
          <w:p w:rsidR="00D907AF" w:rsidRPr="005560DF" w:rsidRDefault="00D907AF" w:rsidP="00D907AF">
            <w:pPr>
              <w:spacing w:before="20" w:after="20"/>
              <w:rPr>
                <w:rFonts w:cstheme="minorHAnsi"/>
                <w:b/>
                <w:sz w:val="20"/>
                <w:szCs w:val="20"/>
              </w:rPr>
            </w:pPr>
            <w:r w:rsidRPr="005560DF">
              <w:rPr>
                <w:rFonts w:cstheme="minorHAnsi"/>
                <w:b/>
                <w:sz w:val="20"/>
                <w:szCs w:val="20"/>
              </w:rPr>
              <w:t>Total</w:t>
            </w:r>
          </w:p>
        </w:tc>
        <w:tc>
          <w:tcPr>
            <w:tcW w:w="1176" w:type="dxa"/>
            <w:tcBorders>
              <w:top w:val="single" w:sz="4" w:space="0" w:color="auto"/>
              <w:bottom w:val="single" w:sz="4" w:space="0" w:color="auto"/>
            </w:tcBorders>
            <w:shd w:val="clear" w:color="auto" w:fill="auto"/>
          </w:tcPr>
          <w:p w:rsidR="00D907AF" w:rsidRPr="005560DF" w:rsidRDefault="00D907AF" w:rsidP="005560DF">
            <w:pPr>
              <w:spacing w:before="20" w:after="20"/>
              <w:ind w:right="284"/>
              <w:jc w:val="right"/>
              <w:rPr>
                <w:rFonts w:cstheme="minorHAnsi"/>
                <w:b/>
                <w:sz w:val="20"/>
                <w:szCs w:val="20"/>
              </w:rPr>
            </w:pPr>
            <w:r w:rsidRPr="005560DF">
              <w:rPr>
                <w:rFonts w:cstheme="minorHAnsi"/>
                <w:b/>
                <w:sz w:val="20"/>
                <w:szCs w:val="20"/>
              </w:rPr>
              <w:t>833</w:t>
            </w:r>
          </w:p>
        </w:tc>
        <w:tc>
          <w:tcPr>
            <w:tcW w:w="1176" w:type="dxa"/>
            <w:tcBorders>
              <w:top w:val="single" w:sz="4" w:space="0" w:color="auto"/>
              <w:bottom w:val="single" w:sz="4" w:space="0" w:color="auto"/>
            </w:tcBorders>
            <w:shd w:val="clear" w:color="auto" w:fill="auto"/>
          </w:tcPr>
          <w:p w:rsidR="00D907AF" w:rsidRPr="005560DF" w:rsidRDefault="00D907AF" w:rsidP="00D907AF">
            <w:pPr>
              <w:spacing w:before="20" w:after="20"/>
              <w:jc w:val="right"/>
              <w:rPr>
                <w:rFonts w:cstheme="minorHAnsi"/>
                <w:b/>
                <w:sz w:val="20"/>
                <w:szCs w:val="20"/>
              </w:rPr>
            </w:pPr>
          </w:p>
        </w:tc>
        <w:tc>
          <w:tcPr>
            <w:tcW w:w="1176" w:type="dxa"/>
            <w:tcBorders>
              <w:top w:val="single" w:sz="4" w:space="0" w:color="auto"/>
              <w:bottom w:val="single" w:sz="4" w:space="0" w:color="auto"/>
            </w:tcBorders>
            <w:shd w:val="clear" w:color="auto" w:fill="auto"/>
          </w:tcPr>
          <w:p w:rsidR="00D907AF" w:rsidRPr="005560DF" w:rsidRDefault="00D907AF" w:rsidP="005560DF">
            <w:pPr>
              <w:spacing w:before="20" w:after="20"/>
              <w:ind w:right="284"/>
              <w:jc w:val="right"/>
              <w:rPr>
                <w:rFonts w:cstheme="minorHAnsi"/>
                <w:b/>
                <w:color w:val="000000"/>
                <w:sz w:val="20"/>
                <w:szCs w:val="20"/>
              </w:rPr>
            </w:pPr>
            <w:r w:rsidRPr="005560DF">
              <w:rPr>
                <w:rFonts w:cstheme="minorHAnsi"/>
                <w:b/>
                <w:color w:val="000000"/>
                <w:sz w:val="20"/>
                <w:szCs w:val="20"/>
              </w:rPr>
              <w:t>479</w:t>
            </w:r>
          </w:p>
        </w:tc>
        <w:tc>
          <w:tcPr>
            <w:tcW w:w="1176" w:type="dxa"/>
            <w:tcBorders>
              <w:top w:val="single" w:sz="4" w:space="0" w:color="auto"/>
              <w:bottom w:val="single" w:sz="4" w:space="0" w:color="auto"/>
            </w:tcBorders>
            <w:shd w:val="clear" w:color="auto" w:fill="auto"/>
          </w:tcPr>
          <w:p w:rsidR="00D907AF" w:rsidRPr="005560DF" w:rsidRDefault="00D907AF" w:rsidP="00D907AF">
            <w:pPr>
              <w:spacing w:before="20" w:after="20"/>
              <w:jc w:val="right"/>
              <w:rPr>
                <w:rFonts w:cstheme="minorHAnsi"/>
                <w:b/>
                <w:sz w:val="20"/>
                <w:szCs w:val="20"/>
              </w:rPr>
            </w:pPr>
          </w:p>
        </w:tc>
        <w:tc>
          <w:tcPr>
            <w:tcW w:w="1176" w:type="dxa"/>
            <w:tcBorders>
              <w:top w:val="single" w:sz="4" w:space="0" w:color="auto"/>
              <w:bottom w:val="single" w:sz="4" w:space="0" w:color="auto"/>
            </w:tcBorders>
            <w:shd w:val="clear" w:color="auto" w:fill="auto"/>
          </w:tcPr>
          <w:p w:rsidR="00D907AF" w:rsidRPr="005560DF" w:rsidRDefault="00D907AF" w:rsidP="005560DF">
            <w:pPr>
              <w:spacing w:before="20" w:after="20"/>
              <w:ind w:right="239"/>
              <w:jc w:val="right"/>
              <w:rPr>
                <w:rFonts w:cstheme="minorHAnsi"/>
                <w:b/>
                <w:color w:val="000000"/>
                <w:sz w:val="20"/>
                <w:szCs w:val="20"/>
              </w:rPr>
            </w:pPr>
            <w:r w:rsidRPr="005560DF">
              <w:rPr>
                <w:rFonts w:cstheme="minorHAnsi"/>
                <w:b/>
                <w:color w:val="000000"/>
                <w:sz w:val="20"/>
                <w:szCs w:val="20"/>
              </w:rPr>
              <w:t>1,312</w:t>
            </w:r>
          </w:p>
        </w:tc>
        <w:tc>
          <w:tcPr>
            <w:tcW w:w="1176" w:type="dxa"/>
            <w:tcBorders>
              <w:top w:val="single" w:sz="4" w:space="0" w:color="auto"/>
              <w:bottom w:val="single" w:sz="4" w:space="0" w:color="auto"/>
            </w:tcBorders>
            <w:shd w:val="clear" w:color="auto" w:fill="auto"/>
          </w:tcPr>
          <w:p w:rsidR="00D907AF" w:rsidRPr="005560DF" w:rsidRDefault="00D907AF" w:rsidP="00D907AF">
            <w:pPr>
              <w:spacing w:before="20" w:after="20"/>
              <w:jc w:val="right"/>
              <w:rPr>
                <w:rFonts w:cstheme="minorHAnsi"/>
                <w:b/>
                <w:sz w:val="20"/>
                <w:szCs w:val="20"/>
              </w:rPr>
            </w:pPr>
          </w:p>
        </w:tc>
      </w:tr>
    </w:tbl>
    <w:p w:rsidR="00D907AF" w:rsidRDefault="00D907AF" w:rsidP="00BC69BF">
      <w:pPr>
        <w:pStyle w:val="NILSReference"/>
      </w:pPr>
      <w:r w:rsidRPr="00B01305">
        <w:t xml:space="preserve">Note: </w:t>
      </w:r>
      <w:r>
        <w:t>t</w:t>
      </w:r>
      <w:r w:rsidRPr="00B01305">
        <w:t xml:space="preserve">rial </w:t>
      </w:r>
      <w:r>
        <w:t xml:space="preserve">respondents </w:t>
      </w:r>
      <w:r w:rsidRPr="00B01305">
        <w:t>who have a support plan approved by the NDIA</w:t>
      </w:r>
      <w:r>
        <w:t xml:space="preserve"> and comparison respondents who have a support plan arranged with a disability support provider; ‘Total’ indicates the number of respondents to answer this question; multiple response question; columns therefore do not add to 100.</w:t>
      </w:r>
    </w:p>
    <w:p w:rsidR="00BC69BF" w:rsidRDefault="00BC69BF" w:rsidP="00D907AF"/>
    <w:p w:rsidR="00D907AF" w:rsidRDefault="00D907AF" w:rsidP="00D907AF">
      <w:r>
        <w:t>A</w:t>
      </w:r>
      <w:r w:rsidRPr="00FB5385">
        <w:t>ssistance is primarily provided by family and guardians (in</w:t>
      </w:r>
      <w:r w:rsidR="00CB5E1E">
        <w:t xml:space="preserve"> </w:t>
      </w:r>
      <w:r w:rsidRPr="00FB5385">
        <w:t>7</w:t>
      </w:r>
      <w:r w:rsidRPr="00FB5385">
        <w:rPr>
          <w:rFonts w:hint="eastAsia"/>
        </w:rPr>
        <w:t>1</w:t>
      </w:r>
      <w:r>
        <w:t>.1 per cent</w:t>
      </w:r>
      <w:r w:rsidRPr="00FB5385">
        <w:t xml:space="preserve"> and </w:t>
      </w:r>
      <w:r w:rsidRPr="00FB5385">
        <w:rPr>
          <w:rFonts w:hint="eastAsia"/>
        </w:rPr>
        <w:t>18</w:t>
      </w:r>
      <w:r>
        <w:t xml:space="preserve"> per cent</w:t>
      </w:r>
      <w:r w:rsidRPr="00FB5385">
        <w:t xml:space="preserve"> of cases in trial sites respectively and </w:t>
      </w:r>
      <w:r w:rsidRPr="00FB5385">
        <w:rPr>
          <w:rFonts w:hint="eastAsia"/>
        </w:rPr>
        <w:t>63</w:t>
      </w:r>
      <w:r>
        <w:t>.5 per cent</w:t>
      </w:r>
      <w:r w:rsidRPr="00FB5385">
        <w:t xml:space="preserve"> and 1</w:t>
      </w:r>
      <w:r w:rsidRPr="00FB5385">
        <w:rPr>
          <w:rFonts w:hint="eastAsia"/>
        </w:rPr>
        <w:t>1</w:t>
      </w:r>
      <w:r>
        <w:t>.1 per cent</w:t>
      </w:r>
      <w:r w:rsidRPr="00FB5385">
        <w:t xml:space="preserve"> in the comparison group) and the NDIA </w:t>
      </w:r>
      <w:r>
        <w:t>Planner</w:t>
      </w:r>
      <w:r w:rsidRPr="00FB5385">
        <w:t xml:space="preserve"> and Local Area Coordinator (in </w:t>
      </w:r>
      <w:r w:rsidRPr="00FB5385">
        <w:rPr>
          <w:rFonts w:hint="eastAsia"/>
        </w:rPr>
        <w:t>58</w:t>
      </w:r>
      <w:r>
        <w:t>.2 per cent</w:t>
      </w:r>
      <w:r w:rsidRPr="00FB5385">
        <w:t xml:space="preserve"> and 14</w:t>
      </w:r>
      <w:r>
        <w:t>.3 per cent</w:t>
      </w:r>
      <w:r w:rsidRPr="00FB5385">
        <w:t xml:space="preserve"> of cases in the trial sites). A substantial role is also played by </w:t>
      </w:r>
      <w:r>
        <w:t xml:space="preserve">support workers (13 - 16 per cent) and, albeit to a lesser extent, by nominees (3 - 7 per cent) and </w:t>
      </w:r>
      <w:r w:rsidRPr="00FB5385">
        <w:t xml:space="preserve">friends (around </w:t>
      </w:r>
      <w:r w:rsidRPr="00FB5385">
        <w:rPr>
          <w:rFonts w:hint="eastAsia"/>
        </w:rPr>
        <w:t>3</w:t>
      </w:r>
      <w:r>
        <w:t xml:space="preserve"> - </w:t>
      </w:r>
      <w:r w:rsidRPr="00FB5385">
        <w:rPr>
          <w:rFonts w:hint="eastAsia"/>
        </w:rPr>
        <w:t>4</w:t>
      </w:r>
      <w:r>
        <w:t xml:space="preserve"> per cent</w:t>
      </w:r>
      <w:r w:rsidRPr="00FB5385">
        <w:t>)</w:t>
      </w:r>
      <w:r>
        <w:t>.</w:t>
      </w:r>
      <w:r w:rsidRPr="00FB5385">
        <w:t xml:space="preserve"> </w:t>
      </w:r>
    </w:p>
    <w:p w:rsidR="005B2D5F" w:rsidRPr="00FB5385" w:rsidRDefault="005B2D5F" w:rsidP="00D907AF"/>
    <w:p w:rsidR="00D907AF" w:rsidRDefault="00D907AF" w:rsidP="00D907AF">
      <w:r w:rsidRPr="00FB5385">
        <w:t xml:space="preserve">Comparing the trial </w:t>
      </w:r>
      <w:r>
        <w:t>group</w:t>
      </w:r>
      <w:r w:rsidRPr="00FB5385">
        <w:t xml:space="preserve"> column with that of the comparison group in Table 3.1</w:t>
      </w:r>
      <w:r>
        <w:t>8</w:t>
      </w:r>
      <w:r w:rsidRPr="00FB5385">
        <w:t xml:space="preserve"> </w:t>
      </w:r>
      <w:r w:rsidR="00B0215D">
        <w:t>show</w:t>
      </w:r>
      <w:r w:rsidR="0020495E">
        <w:t>s</w:t>
      </w:r>
      <w:r w:rsidR="00367B24">
        <w:t xml:space="preserve"> </w:t>
      </w:r>
      <w:r w:rsidRPr="00FB5385">
        <w:t xml:space="preserve">NDIS participants </w:t>
      </w:r>
      <w:r>
        <w:t xml:space="preserve">reported </w:t>
      </w:r>
      <w:r w:rsidRPr="00FB5385">
        <w:t>need</w:t>
      </w:r>
      <w:r>
        <w:t>ing</w:t>
      </w:r>
      <w:r w:rsidRPr="00FB5385">
        <w:t xml:space="preserve"> and us</w:t>
      </w:r>
      <w:r>
        <w:t>ing</w:t>
      </w:r>
      <w:r w:rsidRPr="00FB5385">
        <w:t xml:space="preserve"> more people to assist them with making support decisions. The support from those close to the person with disability (that is, from family members, guardians and nominees) suggests </w:t>
      </w:r>
      <w:r>
        <w:t xml:space="preserve">their greater </w:t>
      </w:r>
      <w:r w:rsidRPr="00FB5385">
        <w:t xml:space="preserve">involvement </w:t>
      </w:r>
      <w:r w:rsidR="00B0215D">
        <w:t xml:space="preserve">with </w:t>
      </w:r>
      <w:r w:rsidRPr="00FB5385">
        <w:t xml:space="preserve">NDIS </w:t>
      </w:r>
      <w:r w:rsidR="00B0215D">
        <w:t>participants,</w:t>
      </w:r>
      <w:r>
        <w:t xml:space="preserve"> but we cannot know if this is part of the adjustment into the NDIS or a more long-lasting change</w:t>
      </w:r>
      <w:r w:rsidRPr="00FB5385">
        <w:t>.</w:t>
      </w:r>
      <w:r>
        <w:t xml:space="preserve"> The next wave of information may shed light on this question.</w:t>
      </w:r>
      <w:r w:rsidRPr="00FB5385">
        <w:t xml:space="preserve"> </w:t>
      </w:r>
    </w:p>
    <w:p w:rsidR="005B2D5F" w:rsidRPr="00FB5385" w:rsidRDefault="005B2D5F" w:rsidP="00D907AF"/>
    <w:p w:rsidR="00D907AF" w:rsidRDefault="00D907AF" w:rsidP="00D907AF">
      <w:r w:rsidRPr="00FB5385">
        <w:t xml:space="preserve">We find that the involvement of paid support workers </w:t>
      </w:r>
      <w:r>
        <w:t>was</w:t>
      </w:r>
      <w:r w:rsidRPr="00FB5385">
        <w:t xml:space="preserve"> marginally lower in the trial </w:t>
      </w:r>
      <w:r>
        <w:t>group</w:t>
      </w:r>
      <w:r w:rsidRPr="00FB5385">
        <w:t xml:space="preserve"> (</w:t>
      </w:r>
      <w:r w:rsidRPr="00FB5385">
        <w:rPr>
          <w:rFonts w:hint="eastAsia"/>
        </w:rPr>
        <w:t>12.5</w:t>
      </w:r>
      <w:r>
        <w:t xml:space="preserve"> per cent</w:t>
      </w:r>
      <w:r w:rsidRPr="00FB5385">
        <w:t xml:space="preserve"> against 15.</w:t>
      </w:r>
      <w:r w:rsidRPr="00FB5385">
        <w:rPr>
          <w:rFonts w:hint="eastAsia"/>
        </w:rPr>
        <w:t>9</w:t>
      </w:r>
      <w:r>
        <w:t xml:space="preserve"> per cent</w:t>
      </w:r>
      <w:r w:rsidRPr="00FB5385">
        <w:t xml:space="preserve"> in the comparison </w:t>
      </w:r>
      <w:r>
        <w:t>group</w:t>
      </w:r>
      <w:r w:rsidRPr="00FB5385">
        <w:t>). As expected 7</w:t>
      </w:r>
      <w:r>
        <w:t>3 per cent</w:t>
      </w:r>
      <w:r w:rsidRPr="00FB5385">
        <w:t xml:space="preserve"> of NDIS participants in the trial </w:t>
      </w:r>
      <w:r>
        <w:t xml:space="preserve">sites </w:t>
      </w:r>
      <w:r w:rsidRPr="00FB5385">
        <w:t xml:space="preserve">received assistance from their </w:t>
      </w:r>
      <w:r>
        <w:t>Planner</w:t>
      </w:r>
      <w:r w:rsidRPr="00FB5385">
        <w:t xml:space="preserve"> or their </w:t>
      </w:r>
      <w:r>
        <w:t>L</w:t>
      </w:r>
      <w:r w:rsidRPr="00FB5385">
        <w:t xml:space="preserve">ocal </w:t>
      </w:r>
      <w:r>
        <w:t>A</w:t>
      </w:r>
      <w:r w:rsidRPr="00FB5385">
        <w:t xml:space="preserve">rea </w:t>
      </w:r>
      <w:r>
        <w:t>C</w:t>
      </w:r>
      <w:r w:rsidRPr="00FB5385">
        <w:t>oordinator</w:t>
      </w:r>
      <w:r>
        <w:t xml:space="preserve"> (58.2 per cent and 14.3 per cent respectively)</w:t>
      </w:r>
      <w:r w:rsidRPr="00FB5385">
        <w:t>. Finally, we find that in the</w:t>
      </w:r>
      <w:r>
        <w:t xml:space="preserve"> </w:t>
      </w:r>
      <w:r w:rsidRPr="00FB5385">
        <w:t>comparison</w:t>
      </w:r>
      <w:r>
        <w:t xml:space="preserve"> group</w:t>
      </w:r>
      <w:r w:rsidRPr="00FB5385">
        <w:t xml:space="preserve"> </w:t>
      </w:r>
      <w:r>
        <w:t>11.5 per cent</w:t>
      </w:r>
      <w:r w:rsidRPr="00FB5385">
        <w:t xml:space="preserve"> of respondents report</w:t>
      </w:r>
      <w:r>
        <w:t>ed</w:t>
      </w:r>
      <w:r w:rsidRPr="00FB5385">
        <w:t xml:space="preserve"> receiving no assistance at all,</w:t>
      </w:r>
      <w:r>
        <w:t xml:space="preserve"> whereas</w:t>
      </w:r>
      <w:r w:rsidRPr="00FB5385">
        <w:t xml:space="preserve"> the percentage drops to 3.</w:t>
      </w:r>
      <w:r>
        <w:t>6 per cent</w:t>
      </w:r>
      <w:r w:rsidRPr="00FB5385">
        <w:t xml:space="preserve"> in the trial </w:t>
      </w:r>
      <w:r>
        <w:t>group</w:t>
      </w:r>
      <w:r w:rsidRPr="00FB5385">
        <w:t>.</w:t>
      </w:r>
    </w:p>
    <w:p w:rsidR="005B2D5F" w:rsidRPr="00FB5385" w:rsidRDefault="005B2D5F" w:rsidP="00D907AF"/>
    <w:p w:rsidR="00D907AF" w:rsidRDefault="00D907AF" w:rsidP="00D907AF">
      <w:r w:rsidRPr="00FB5385">
        <w:t xml:space="preserve">The overall picture is that </w:t>
      </w:r>
      <w:r>
        <w:t>a considerably higher proportion of</w:t>
      </w:r>
      <w:r w:rsidRPr="00FB5385">
        <w:t xml:space="preserve"> NDIS participants </w:t>
      </w:r>
      <w:r>
        <w:t>have</w:t>
      </w:r>
      <w:r w:rsidRPr="00FB5385">
        <w:t xml:space="preserve"> people assisting </w:t>
      </w:r>
      <w:r>
        <w:t>them in</w:t>
      </w:r>
      <w:r w:rsidRPr="00FB5385">
        <w:t xml:space="preserve"> decisions related to the</w:t>
      </w:r>
      <w:r>
        <w:t>ir</w:t>
      </w:r>
      <w:r w:rsidRPr="00FB5385">
        <w:t xml:space="preserve"> NDIS supports. In total the instances of help per person </w:t>
      </w:r>
      <w:r>
        <w:t>were</w:t>
      </w:r>
      <w:r w:rsidRPr="00FB5385">
        <w:t xml:space="preserve"> more than double in the trial </w:t>
      </w:r>
      <w:r>
        <w:t xml:space="preserve">group </w:t>
      </w:r>
      <w:r w:rsidRPr="00FB5385">
        <w:t>and the percentage of those who manage</w:t>
      </w:r>
      <w:r>
        <w:t>d</w:t>
      </w:r>
      <w:r w:rsidRPr="00FB5385">
        <w:t xml:space="preserve"> without any assistance drops from </w:t>
      </w:r>
      <w:r>
        <w:t>11.5 per cent in the comparison group</w:t>
      </w:r>
      <w:r w:rsidRPr="00FB5385">
        <w:t xml:space="preserve"> to 3.</w:t>
      </w:r>
      <w:r>
        <w:t>6 per cent in the NDIS group</w:t>
      </w:r>
      <w:r w:rsidRPr="00FB5385">
        <w:t xml:space="preserve">. </w:t>
      </w:r>
      <w:r w:rsidR="00B0215D">
        <w:t xml:space="preserve">In addition to </w:t>
      </w:r>
      <w:r>
        <w:t>the new support received by the trial group by the Local Area Coordinator and the NDIS planner (which is not available to the comparison group), the support provided by family, guardians and nominees was also shown to be higher for the trial group.</w:t>
      </w:r>
    </w:p>
    <w:p w:rsidR="005B2D5F" w:rsidRDefault="005B2D5F" w:rsidP="00D907AF"/>
    <w:p w:rsidR="00D907AF" w:rsidRDefault="00D907AF" w:rsidP="00D907AF">
      <w:r>
        <w:t>Leaving aside the potential influence of different age profiles of the trial and comparison group samples, the</w:t>
      </w:r>
      <w:r w:rsidR="0051234A">
        <w:t xml:space="preserve">re are several possible </w:t>
      </w:r>
      <w:r w:rsidRPr="00FB5385">
        <w:t>interpretation</w:t>
      </w:r>
      <w:r w:rsidR="0051234A">
        <w:t>s</w:t>
      </w:r>
      <w:r w:rsidRPr="00FB5385">
        <w:t xml:space="preserve"> of th</w:t>
      </w:r>
      <w:r w:rsidR="0051234A">
        <w:t>e</w:t>
      </w:r>
      <w:r w:rsidRPr="00FB5385">
        <w:t xml:space="preserve"> finding</w:t>
      </w:r>
      <w:r w:rsidR="0051234A">
        <w:t xml:space="preserve"> that NDIS participants are receiving more support with decision-making</w:t>
      </w:r>
      <w:r>
        <w:t xml:space="preserve">. It </w:t>
      </w:r>
      <w:r w:rsidR="0020495E">
        <w:t xml:space="preserve">could </w:t>
      </w:r>
      <w:r>
        <w:t xml:space="preserve">be that the NDIS provides additional assistance which is utilised by those in need, so that the same or similar supports are provided in a more informed </w:t>
      </w:r>
      <w:r>
        <w:lastRenderedPageBreak/>
        <w:t xml:space="preserve">manner. It </w:t>
      </w:r>
      <w:r w:rsidR="0020495E">
        <w:t xml:space="preserve">may </w:t>
      </w:r>
      <w:r>
        <w:t>be that the choices available have increased and the supports have improved, so that more assistance is needed to navigate the NDIS and the novelty it brings. But it could also be that the system has become more complex and the use of more assistance is simply reflecting this added complexity in the process and not necessarily an improvement in the supports. Finally, the NDIS itself generates more opportunity for multiple forms of assistance. It has created two new sources of assistance, NDIA Planners and Local Area Co-ordinators, that our data shows are being used by the NDIS participants. The data will be analysed further in order to try to isolate these potentially very different explanations of the increased assistance incidence.</w:t>
      </w:r>
    </w:p>
    <w:p w:rsidR="005B2D5F" w:rsidRDefault="005B2D5F" w:rsidP="00D907AF"/>
    <w:p w:rsidR="00D907AF" w:rsidRDefault="00D907AF" w:rsidP="00D907AF">
      <w:r>
        <w:t xml:space="preserve">Table 3.19 presents the supports that respondents are currently receiving. It suggests that the instances of supports received are much higher among the trial population than in the comparison group. </w:t>
      </w:r>
      <w:r w:rsidR="0051234A">
        <w:t>I</w:t>
      </w:r>
      <w:r>
        <w:t>n all categories of supports received, the NDIS participants reported a much higher percentage of receipt. Very broadly speaking, there are two possible explanations for this.</w:t>
      </w:r>
    </w:p>
    <w:p w:rsidR="005B2D5F" w:rsidRDefault="005B2D5F" w:rsidP="00D907AF"/>
    <w:p w:rsidR="00D907AF" w:rsidRDefault="00D907AF" w:rsidP="00D907AF">
      <w:r>
        <w:t>The first explanation would be that the NDIS has brought change in the form of more supports. The second explanation could be that comparing the two columns (containing the trial and comparison group support statistics in Table 3.19) may not be comparing like with like. This could be</w:t>
      </w:r>
      <w:r w:rsidRPr="00E009C9">
        <w:t xml:space="preserve"> </w:t>
      </w:r>
      <w:r>
        <w:t xml:space="preserve">because (i) the non-random phasing in at the trial sites may result in a different composition of people with disability relative to the comparison areas, or (ii) the types of supports may be different between the two groups. Both of these reasons would make a comparison hard and the problem could be seriously exacerbated by the lack of the full sample size. </w:t>
      </w:r>
    </w:p>
    <w:p w:rsidR="005B2D5F" w:rsidRDefault="005B2D5F" w:rsidP="00D907AF"/>
    <w:p w:rsidR="00D907AF" w:rsidRDefault="00D907AF" w:rsidP="00D907AF">
      <w:r>
        <w:t xml:space="preserve">Notwithstanding these statistical caveats, we discuss briefly the differences in support receipt between the two samples in Table 3.19. A much higher percentage of people with disability in the trial group (55.3 per cent) receive plan or case management than in the comparison group (19.6 per cent). To the degree that this stage would be a necessary start for receiving NDIS supports, this difference presages the further observation that many more of the NDIS participants also appear to be receiving supports of all types. In most cases more than twice as many for NDIS participants than for the comparison group. This includes the ‘other types of support’ category at 29.8 per cent for the comparison group and 54 per cent for the NDIS trial group, indicating that the variety of supports is also different. </w:t>
      </w:r>
    </w:p>
    <w:p w:rsidR="005B2D5F" w:rsidRDefault="005B2D5F" w:rsidP="00D907AF"/>
    <w:p w:rsidR="00D907AF" w:rsidRDefault="00D907AF" w:rsidP="00D907AF">
      <w:r>
        <w:t xml:space="preserve">These are early findings and they will become much more precise as we move to the full sample and as we </w:t>
      </w:r>
      <w:r w:rsidR="00341557">
        <w:t>use</w:t>
      </w:r>
      <w:r>
        <w:t xml:space="preserve"> multivariate methods to account for the observable differences between the trial and comparison groups. Until then, we can say that there is an emerging picture suggesting that the supports landscape is considerably different between the trial and comparison groups of people with disability. </w:t>
      </w:r>
    </w:p>
    <w:p w:rsidR="00C414D9" w:rsidRDefault="00C414D9">
      <w:r>
        <w:br w:type="page"/>
      </w:r>
    </w:p>
    <w:p w:rsidR="00D907AF" w:rsidRPr="00233E8A" w:rsidRDefault="00D907AF" w:rsidP="0044684E">
      <w:pPr>
        <w:pStyle w:val="NILSTableHeading"/>
      </w:pPr>
      <w:bookmarkStart w:id="243" w:name="_Toc428280670"/>
      <w:bookmarkStart w:id="244" w:name="_Toc449955281"/>
      <w:r w:rsidRPr="00233E8A">
        <w:lastRenderedPageBreak/>
        <w:t>Table 3.</w:t>
      </w:r>
      <w:r>
        <w:t>19</w:t>
      </w:r>
      <w:r w:rsidRPr="00233E8A">
        <w:t>: Current types of supports received</w:t>
      </w:r>
      <w:bookmarkEnd w:id="243"/>
      <w:bookmarkEnd w:id="244"/>
    </w:p>
    <w:tbl>
      <w:tblPr>
        <w:tblStyle w:val="TableGrid"/>
        <w:tblW w:w="9776" w:type="dxa"/>
        <w:tblLayout w:type="fixed"/>
        <w:tblLook w:val="04A0" w:firstRow="1" w:lastRow="0" w:firstColumn="1" w:lastColumn="0" w:noHBand="0" w:noVBand="1"/>
        <w:tblCaption w:val="Table 3.19 Current types of supports received"/>
      </w:tblPr>
      <w:tblGrid>
        <w:gridCol w:w="4219"/>
        <w:gridCol w:w="737"/>
        <w:gridCol w:w="822"/>
        <w:gridCol w:w="1096"/>
        <w:gridCol w:w="1314"/>
        <w:gridCol w:w="690"/>
        <w:gridCol w:w="898"/>
      </w:tblGrid>
      <w:tr w:rsidR="00D907AF" w:rsidRPr="0087485F" w:rsidTr="004A5067">
        <w:trPr>
          <w:cantSplit/>
          <w:tblHeader/>
        </w:trPr>
        <w:tc>
          <w:tcPr>
            <w:tcW w:w="4219" w:type="dxa"/>
            <w:tcBorders>
              <w:top w:val="single" w:sz="4" w:space="0" w:color="auto"/>
              <w:bottom w:val="single" w:sz="4" w:space="0" w:color="auto"/>
            </w:tcBorders>
            <w:shd w:val="clear" w:color="auto" w:fill="auto"/>
          </w:tcPr>
          <w:p w:rsidR="00D907AF" w:rsidRPr="0087485F" w:rsidRDefault="00D907AF" w:rsidP="00D907AF">
            <w:pPr>
              <w:spacing w:before="20" w:after="20"/>
              <w:rPr>
                <w:rFonts w:cstheme="minorHAnsi"/>
                <w:sz w:val="20"/>
                <w:szCs w:val="20"/>
              </w:rPr>
            </w:pPr>
            <w:bookmarkStart w:id="245" w:name="Title_3_19"/>
            <w:bookmarkEnd w:id="245"/>
          </w:p>
        </w:tc>
        <w:tc>
          <w:tcPr>
            <w:tcW w:w="737" w:type="dxa"/>
            <w:tcBorders>
              <w:top w:val="single" w:sz="4" w:space="0" w:color="auto"/>
              <w:bottom w:val="single" w:sz="4" w:space="0" w:color="auto"/>
            </w:tcBorders>
            <w:shd w:val="clear" w:color="auto" w:fill="auto"/>
          </w:tcPr>
          <w:p w:rsidR="00D907AF" w:rsidRPr="0087485F" w:rsidRDefault="00D8454D" w:rsidP="00A47460">
            <w:pPr>
              <w:spacing w:before="20" w:after="20"/>
              <w:jc w:val="center"/>
              <w:rPr>
                <w:rFonts w:cstheme="minorHAnsi"/>
                <w:sz w:val="20"/>
                <w:szCs w:val="20"/>
              </w:rPr>
            </w:pPr>
            <w:r>
              <w:rPr>
                <w:rFonts w:cstheme="minorHAnsi"/>
                <w:sz w:val="20"/>
                <w:szCs w:val="20"/>
              </w:rPr>
              <w:t xml:space="preserve">Trial </w:t>
            </w:r>
            <w:r w:rsidR="00A47460">
              <w:rPr>
                <w:rFonts w:cstheme="minorHAnsi"/>
                <w:sz w:val="20"/>
                <w:szCs w:val="20"/>
              </w:rPr>
              <w:t>Cases</w:t>
            </w:r>
          </w:p>
        </w:tc>
        <w:tc>
          <w:tcPr>
            <w:tcW w:w="822" w:type="dxa"/>
            <w:tcBorders>
              <w:top w:val="single" w:sz="4" w:space="0" w:color="auto"/>
              <w:bottom w:val="single" w:sz="4" w:space="0" w:color="auto"/>
            </w:tcBorders>
            <w:shd w:val="clear" w:color="auto" w:fill="auto"/>
          </w:tcPr>
          <w:p w:rsidR="004A5067" w:rsidRDefault="00D8454D" w:rsidP="00D8454D">
            <w:pPr>
              <w:spacing w:before="20" w:after="20"/>
              <w:jc w:val="center"/>
              <w:rPr>
                <w:rFonts w:cstheme="minorHAnsi"/>
                <w:sz w:val="20"/>
                <w:szCs w:val="20"/>
              </w:rPr>
            </w:pPr>
            <w:r w:rsidRPr="0087485F">
              <w:rPr>
                <w:rFonts w:cstheme="minorHAnsi"/>
                <w:sz w:val="20"/>
                <w:szCs w:val="20"/>
              </w:rPr>
              <w:t xml:space="preserve">Trial </w:t>
            </w:r>
          </w:p>
          <w:p w:rsidR="00D907AF" w:rsidRPr="0087485F" w:rsidRDefault="00D907AF" w:rsidP="00D8454D">
            <w:pPr>
              <w:spacing w:before="20" w:after="20"/>
              <w:jc w:val="center"/>
              <w:rPr>
                <w:rFonts w:cstheme="minorHAnsi"/>
                <w:sz w:val="20"/>
                <w:szCs w:val="20"/>
              </w:rPr>
            </w:pPr>
            <w:r w:rsidRPr="0087485F">
              <w:rPr>
                <w:rFonts w:cstheme="minorHAnsi"/>
                <w:sz w:val="20"/>
                <w:szCs w:val="20"/>
              </w:rPr>
              <w:t>%</w:t>
            </w:r>
          </w:p>
        </w:tc>
        <w:tc>
          <w:tcPr>
            <w:tcW w:w="1096" w:type="dxa"/>
            <w:tcBorders>
              <w:top w:val="single" w:sz="4" w:space="0" w:color="auto"/>
              <w:bottom w:val="single" w:sz="4" w:space="0" w:color="auto"/>
            </w:tcBorders>
            <w:shd w:val="clear" w:color="auto" w:fill="auto"/>
          </w:tcPr>
          <w:p w:rsidR="00D907AF" w:rsidRPr="0087485F" w:rsidRDefault="00D8454D" w:rsidP="00A47460">
            <w:pPr>
              <w:spacing w:before="20" w:after="20"/>
              <w:ind w:left="-108" w:right="-176"/>
              <w:jc w:val="center"/>
              <w:rPr>
                <w:rFonts w:cstheme="minorHAnsi"/>
                <w:sz w:val="20"/>
                <w:szCs w:val="20"/>
              </w:rPr>
            </w:pPr>
            <w:r>
              <w:rPr>
                <w:rFonts w:cstheme="minorHAnsi"/>
                <w:sz w:val="20"/>
                <w:szCs w:val="20"/>
              </w:rPr>
              <w:t>Comparison</w:t>
            </w:r>
            <w:r w:rsidR="00A47460">
              <w:rPr>
                <w:rFonts w:cstheme="minorHAnsi"/>
                <w:sz w:val="20"/>
                <w:szCs w:val="20"/>
              </w:rPr>
              <w:t xml:space="preserve"> Cases</w:t>
            </w:r>
          </w:p>
        </w:tc>
        <w:tc>
          <w:tcPr>
            <w:tcW w:w="1314" w:type="dxa"/>
            <w:tcBorders>
              <w:top w:val="single" w:sz="4" w:space="0" w:color="auto"/>
              <w:bottom w:val="single" w:sz="4" w:space="0" w:color="auto"/>
            </w:tcBorders>
            <w:shd w:val="clear" w:color="auto" w:fill="auto"/>
          </w:tcPr>
          <w:p w:rsidR="004A5067" w:rsidRDefault="00D8454D" w:rsidP="00D8454D">
            <w:pPr>
              <w:spacing w:before="20" w:after="20"/>
              <w:ind w:left="-40" w:right="-108"/>
              <w:jc w:val="center"/>
              <w:rPr>
                <w:rFonts w:cstheme="minorHAnsi"/>
                <w:sz w:val="20"/>
                <w:szCs w:val="20"/>
              </w:rPr>
            </w:pPr>
            <w:r w:rsidRPr="0087485F">
              <w:rPr>
                <w:rFonts w:cstheme="minorHAnsi"/>
                <w:sz w:val="20"/>
                <w:szCs w:val="20"/>
              </w:rPr>
              <w:t xml:space="preserve">Comparison </w:t>
            </w:r>
          </w:p>
          <w:p w:rsidR="00D907AF" w:rsidRPr="0087485F" w:rsidRDefault="00D907AF" w:rsidP="00D8454D">
            <w:pPr>
              <w:spacing w:before="20" w:after="20"/>
              <w:ind w:left="-40" w:right="-108"/>
              <w:jc w:val="center"/>
              <w:rPr>
                <w:rFonts w:cstheme="minorHAnsi"/>
                <w:sz w:val="20"/>
                <w:szCs w:val="20"/>
              </w:rPr>
            </w:pPr>
            <w:r w:rsidRPr="0087485F">
              <w:rPr>
                <w:rFonts w:cstheme="minorHAnsi"/>
                <w:sz w:val="20"/>
                <w:szCs w:val="20"/>
              </w:rPr>
              <w:t>%</w:t>
            </w:r>
          </w:p>
        </w:tc>
        <w:tc>
          <w:tcPr>
            <w:tcW w:w="690" w:type="dxa"/>
            <w:tcBorders>
              <w:top w:val="single" w:sz="4" w:space="0" w:color="auto"/>
              <w:bottom w:val="single" w:sz="4" w:space="0" w:color="auto"/>
            </w:tcBorders>
            <w:shd w:val="clear" w:color="auto" w:fill="auto"/>
          </w:tcPr>
          <w:p w:rsidR="00D907AF" w:rsidRPr="0087485F" w:rsidRDefault="00D8454D" w:rsidP="002673A6">
            <w:pPr>
              <w:spacing w:before="20" w:after="20"/>
              <w:jc w:val="center"/>
              <w:rPr>
                <w:rFonts w:cstheme="minorHAnsi"/>
                <w:sz w:val="20"/>
                <w:szCs w:val="20"/>
              </w:rPr>
            </w:pPr>
            <w:r w:rsidRPr="0087485F">
              <w:rPr>
                <w:rFonts w:cstheme="minorHAnsi"/>
                <w:sz w:val="20"/>
                <w:szCs w:val="20"/>
              </w:rPr>
              <w:t xml:space="preserve">Total </w:t>
            </w:r>
            <w:r w:rsidR="00A47460">
              <w:rPr>
                <w:rFonts w:cstheme="minorHAnsi"/>
                <w:sz w:val="20"/>
                <w:szCs w:val="20"/>
              </w:rPr>
              <w:t>Cases</w:t>
            </w:r>
          </w:p>
        </w:tc>
        <w:tc>
          <w:tcPr>
            <w:tcW w:w="898" w:type="dxa"/>
            <w:tcBorders>
              <w:top w:val="single" w:sz="4" w:space="0" w:color="auto"/>
              <w:bottom w:val="single" w:sz="4" w:space="0" w:color="auto"/>
            </w:tcBorders>
            <w:shd w:val="clear" w:color="auto" w:fill="auto"/>
          </w:tcPr>
          <w:p w:rsidR="004A5067" w:rsidRDefault="00D8454D" w:rsidP="00D8454D">
            <w:pPr>
              <w:spacing w:before="20" w:after="20"/>
              <w:jc w:val="center"/>
              <w:rPr>
                <w:rFonts w:cstheme="minorHAnsi"/>
                <w:sz w:val="20"/>
                <w:szCs w:val="20"/>
              </w:rPr>
            </w:pPr>
            <w:r>
              <w:rPr>
                <w:rFonts w:cstheme="minorHAnsi"/>
                <w:sz w:val="20"/>
                <w:szCs w:val="20"/>
              </w:rPr>
              <w:t xml:space="preserve">Total </w:t>
            </w:r>
          </w:p>
          <w:p w:rsidR="00D907AF" w:rsidRPr="0087485F" w:rsidRDefault="00D907AF" w:rsidP="00D8454D">
            <w:pPr>
              <w:spacing w:before="20" w:after="20"/>
              <w:jc w:val="center"/>
              <w:rPr>
                <w:rFonts w:cstheme="minorHAnsi"/>
                <w:sz w:val="20"/>
                <w:szCs w:val="20"/>
              </w:rPr>
            </w:pPr>
            <w:r w:rsidRPr="0087485F">
              <w:rPr>
                <w:rFonts w:cstheme="minorHAnsi"/>
                <w:sz w:val="20"/>
                <w:szCs w:val="20"/>
              </w:rPr>
              <w:t>%</w:t>
            </w:r>
          </w:p>
        </w:tc>
      </w:tr>
      <w:tr w:rsidR="00D907AF" w:rsidRPr="0087485F" w:rsidTr="005560DF">
        <w:trPr>
          <w:cantSplit/>
        </w:trPr>
        <w:tc>
          <w:tcPr>
            <w:tcW w:w="4219" w:type="dxa"/>
            <w:shd w:val="clear" w:color="auto" w:fill="auto"/>
            <w:vAlign w:val="bottom"/>
          </w:tcPr>
          <w:p w:rsidR="00D907AF" w:rsidRPr="0087485F" w:rsidRDefault="00D907AF" w:rsidP="00412475">
            <w:pPr>
              <w:spacing w:before="20" w:after="20"/>
              <w:rPr>
                <w:rFonts w:cstheme="minorHAnsi"/>
                <w:sz w:val="20"/>
                <w:szCs w:val="20"/>
              </w:rPr>
            </w:pPr>
            <w:r w:rsidRPr="0087485F">
              <w:rPr>
                <w:rFonts w:cstheme="minorHAnsi"/>
                <w:sz w:val="20"/>
                <w:szCs w:val="20"/>
              </w:rPr>
              <w:t>Plan or case management</w:t>
            </w:r>
          </w:p>
        </w:tc>
        <w:tc>
          <w:tcPr>
            <w:tcW w:w="737" w:type="dxa"/>
            <w:shd w:val="clear" w:color="auto" w:fill="auto"/>
            <w:vAlign w:val="bottom"/>
          </w:tcPr>
          <w:p w:rsidR="00D907AF" w:rsidRPr="0087485F" w:rsidRDefault="00D907AF" w:rsidP="00412475">
            <w:pPr>
              <w:spacing w:before="20" w:after="20"/>
              <w:jc w:val="right"/>
              <w:rPr>
                <w:rFonts w:cstheme="minorHAnsi"/>
                <w:color w:val="000000"/>
                <w:sz w:val="20"/>
                <w:szCs w:val="20"/>
              </w:rPr>
            </w:pPr>
            <w:r w:rsidRPr="0087485F">
              <w:rPr>
                <w:rFonts w:cstheme="minorHAnsi"/>
                <w:color w:val="000000"/>
                <w:sz w:val="20"/>
                <w:szCs w:val="20"/>
              </w:rPr>
              <w:t>493</w:t>
            </w:r>
          </w:p>
        </w:tc>
        <w:tc>
          <w:tcPr>
            <w:tcW w:w="822" w:type="dxa"/>
            <w:shd w:val="clear" w:color="auto" w:fill="auto"/>
            <w:vAlign w:val="bottom"/>
          </w:tcPr>
          <w:p w:rsidR="00D907AF" w:rsidRPr="0087485F" w:rsidRDefault="00D907AF" w:rsidP="005560DF">
            <w:pPr>
              <w:tabs>
                <w:tab w:val="decimal" w:pos="384"/>
              </w:tabs>
              <w:spacing w:before="20" w:after="20"/>
              <w:rPr>
                <w:rFonts w:cstheme="minorHAnsi"/>
                <w:color w:val="000000"/>
                <w:sz w:val="20"/>
                <w:szCs w:val="20"/>
              </w:rPr>
            </w:pPr>
            <w:r w:rsidRPr="0087485F">
              <w:rPr>
                <w:rFonts w:cstheme="minorHAnsi"/>
                <w:color w:val="000000"/>
                <w:sz w:val="20"/>
                <w:szCs w:val="20"/>
              </w:rPr>
              <w:t>55.3</w:t>
            </w:r>
          </w:p>
        </w:tc>
        <w:tc>
          <w:tcPr>
            <w:tcW w:w="1096" w:type="dxa"/>
            <w:shd w:val="clear" w:color="auto" w:fill="auto"/>
            <w:vAlign w:val="bottom"/>
          </w:tcPr>
          <w:p w:rsidR="00D907AF" w:rsidRPr="0087485F" w:rsidRDefault="00D907AF" w:rsidP="00F30D5B">
            <w:pPr>
              <w:spacing w:before="20" w:after="20"/>
              <w:ind w:right="170"/>
              <w:jc w:val="right"/>
              <w:rPr>
                <w:rFonts w:cstheme="minorHAnsi"/>
                <w:color w:val="000000"/>
                <w:sz w:val="20"/>
                <w:szCs w:val="20"/>
              </w:rPr>
            </w:pPr>
            <w:r w:rsidRPr="0087485F">
              <w:rPr>
                <w:rFonts w:cstheme="minorHAnsi"/>
                <w:color w:val="000000"/>
                <w:sz w:val="20"/>
                <w:szCs w:val="20"/>
              </w:rPr>
              <w:t>197</w:t>
            </w:r>
          </w:p>
        </w:tc>
        <w:tc>
          <w:tcPr>
            <w:tcW w:w="1314" w:type="dxa"/>
            <w:shd w:val="clear" w:color="auto" w:fill="auto"/>
            <w:vAlign w:val="bottom"/>
          </w:tcPr>
          <w:p w:rsidR="00D907AF" w:rsidRPr="0087485F" w:rsidRDefault="00D907AF" w:rsidP="005560DF">
            <w:pPr>
              <w:tabs>
                <w:tab w:val="decimal" w:pos="639"/>
              </w:tabs>
              <w:spacing w:before="20" w:after="20"/>
              <w:rPr>
                <w:rFonts w:cstheme="minorHAnsi"/>
                <w:color w:val="000000"/>
                <w:sz w:val="20"/>
                <w:szCs w:val="20"/>
              </w:rPr>
            </w:pPr>
            <w:r w:rsidRPr="0087485F">
              <w:rPr>
                <w:rFonts w:cstheme="minorHAnsi"/>
                <w:color w:val="000000"/>
                <w:sz w:val="20"/>
                <w:szCs w:val="20"/>
              </w:rPr>
              <w:t>19.6</w:t>
            </w:r>
          </w:p>
        </w:tc>
        <w:tc>
          <w:tcPr>
            <w:tcW w:w="690" w:type="dxa"/>
            <w:shd w:val="clear" w:color="auto" w:fill="auto"/>
            <w:vAlign w:val="bottom"/>
          </w:tcPr>
          <w:p w:rsidR="00D907AF" w:rsidRPr="0087485F" w:rsidRDefault="00D907AF" w:rsidP="00412475">
            <w:pPr>
              <w:spacing w:before="20" w:after="20"/>
              <w:jc w:val="right"/>
              <w:rPr>
                <w:rFonts w:cstheme="minorHAnsi"/>
                <w:color w:val="000000"/>
                <w:sz w:val="20"/>
                <w:szCs w:val="20"/>
              </w:rPr>
            </w:pPr>
            <w:r w:rsidRPr="0087485F">
              <w:rPr>
                <w:rFonts w:cstheme="minorHAnsi"/>
                <w:color w:val="000000"/>
                <w:sz w:val="20"/>
                <w:szCs w:val="20"/>
              </w:rPr>
              <w:t>690</w:t>
            </w:r>
          </w:p>
        </w:tc>
        <w:tc>
          <w:tcPr>
            <w:tcW w:w="898" w:type="dxa"/>
            <w:shd w:val="clear" w:color="auto" w:fill="auto"/>
            <w:vAlign w:val="bottom"/>
          </w:tcPr>
          <w:p w:rsidR="00D907AF" w:rsidRPr="0087485F" w:rsidRDefault="00D907AF" w:rsidP="005560DF">
            <w:pPr>
              <w:tabs>
                <w:tab w:val="decimal" w:pos="384"/>
              </w:tabs>
              <w:spacing w:before="20" w:after="20"/>
              <w:rPr>
                <w:rFonts w:cstheme="minorHAnsi"/>
                <w:color w:val="000000"/>
                <w:sz w:val="20"/>
                <w:szCs w:val="20"/>
              </w:rPr>
            </w:pPr>
            <w:r w:rsidRPr="0087485F">
              <w:rPr>
                <w:rFonts w:cstheme="minorHAnsi"/>
                <w:color w:val="000000"/>
                <w:sz w:val="20"/>
                <w:szCs w:val="20"/>
              </w:rPr>
              <w:t>36.4</w:t>
            </w:r>
          </w:p>
        </w:tc>
      </w:tr>
      <w:tr w:rsidR="00D907AF" w:rsidRPr="0087485F" w:rsidTr="005560DF">
        <w:trPr>
          <w:cantSplit/>
        </w:trPr>
        <w:tc>
          <w:tcPr>
            <w:tcW w:w="4219" w:type="dxa"/>
            <w:shd w:val="clear" w:color="auto" w:fill="auto"/>
            <w:vAlign w:val="bottom"/>
          </w:tcPr>
          <w:p w:rsidR="00D907AF" w:rsidRPr="0087485F" w:rsidRDefault="00D907AF" w:rsidP="00412475">
            <w:pPr>
              <w:spacing w:before="20" w:after="20"/>
              <w:rPr>
                <w:rFonts w:cstheme="minorHAnsi"/>
                <w:sz w:val="20"/>
                <w:szCs w:val="20"/>
              </w:rPr>
            </w:pPr>
            <w:r w:rsidRPr="0087485F">
              <w:rPr>
                <w:rFonts w:cstheme="minorHAnsi"/>
                <w:sz w:val="20"/>
                <w:szCs w:val="20"/>
              </w:rPr>
              <w:t>Support with personal care and everyday living</w:t>
            </w:r>
          </w:p>
        </w:tc>
        <w:tc>
          <w:tcPr>
            <w:tcW w:w="737" w:type="dxa"/>
            <w:shd w:val="clear" w:color="auto" w:fill="auto"/>
            <w:vAlign w:val="bottom"/>
          </w:tcPr>
          <w:p w:rsidR="00D907AF" w:rsidRPr="0087485F" w:rsidRDefault="00D907AF" w:rsidP="00412475">
            <w:pPr>
              <w:spacing w:before="20" w:after="20"/>
              <w:jc w:val="right"/>
              <w:rPr>
                <w:rFonts w:cstheme="minorHAnsi"/>
                <w:color w:val="000000"/>
                <w:sz w:val="20"/>
                <w:szCs w:val="20"/>
              </w:rPr>
            </w:pPr>
            <w:r w:rsidRPr="0087485F">
              <w:rPr>
                <w:rFonts w:cstheme="minorHAnsi"/>
                <w:color w:val="000000"/>
                <w:sz w:val="20"/>
                <w:szCs w:val="20"/>
              </w:rPr>
              <w:t>252</w:t>
            </w:r>
          </w:p>
        </w:tc>
        <w:tc>
          <w:tcPr>
            <w:tcW w:w="822" w:type="dxa"/>
            <w:shd w:val="clear" w:color="auto" w:fill="auto"/>
            <w:vAlign w:val="bottom"/>
          </w:tcPr>
          <w:p w:rsidR="00D907AF" w:rsidRPr="0087485F" w:rsidRDefault="00D907AF" w:rsidP="005560DF">
            <w:pPr>
              <w:tabs>
                <w:tab w:val="decimal" w:pos="384"/>
              </w:tabs>
              <w:spacing w:before="20" w:after="20"/>
              <w:rPr>
                <w:rFonts w:cstheme="minorHAnsi"/>
                <w:color w:val="000000"/>
                <w:sz w:val="20"/>
                <w:szCs w:val="20"/>
              </w:rPr>
            </w:pPr>
            <w:r w:rsidRPr="0087485F">
              <w:rPr>
                <w:rFonts w:cstheme="minorHAnsi"/>
                <w:color w:val="000000"/>
                <w:sz w:val="20"/>
                <w:szCs w:val="20"/>
              </w:rPr>
              <w:t>28.3</w:t>
            </w:r>
          </w:p>
        </w:tc>
        <w:tc>
          <w:tcPr>
            <w:tcW w:w="1096" w:type="dxa"/>
            <w:shd w:val="clear" w:color="auto" w:fill="auto"/>
            <w:vAlign w:val="bottom"/>
          </w:tcPr>
          <w:p w:rsidR="00D907AF" w:rsidRPr="0087485F" w:rsidRDefault="00D907AF" w:rsidP="00F30D5B">
            <w:pPr>
              <w:spacing w:before="20" w:after="20"/>
              <w:ind w:right="170"/>
              <w:jc w:val="right"/>
              <w:rPr>
                <w:rFonts w:cstheme="minorHAnsi"/>
                <w:color w:val="000000"/>
                <w:sz w:val="20"/>
                <w:szCs w:val="20"/>
              </w:rPr>
            </w:pPr>
            <w:r w:rsidRPr="0087485F">
              <w:rPr>
                <w:rFonts w:cstheme="minorHAnsi"/>
                <w:color w:val="000000"/>
                <w:sz w:val="20"/>
                <w:szCs w:val="20"/>
              </w:rPr>
              <w:t>179</w:t>
            </w:r>
          </w:p>
        </w:tc>
        <w:tc>
          <w:tcPr>
            <w:tcW w:w="1314" w:type="dxa"/>
            <w:shd w:val="clear" w:color="auto" w:fill="auto"/>
            <w:vAlign w:val="bottom"/>
          </w:tcPr>
          <w:p w:rsidR="00D907AF" w:rsidRPr="0087485F" w:rsidRDefault="00D907AF" w:rsidP="005560DF">
            <w:pPr>
              <w:tabs>
                <w:tab w:val="decimal" w:pos="639"/>
              </w:tabs>
              <w:spacing w:before="20" w:after="20"/>
              <w:rPr>
                <w:rFonts w:cstheme="minorHAnsi"/>
                <w:color w:val="000000"/>
                <w:sz w:val="20"/>
                <w:szCs w:val="20"/>
              </w:rPr>
            </w:pPr>
            <w:r w:rsidRPr="0087485F">
              <w:rPr>
                <w:rFonts w:cstheme="minorHAnsi"/>
                <w:color w:val="000000"/>
                <w:sz w:val="20"/>
                <w:szCs w:val="20"/>
              </w:rPr>
              <w:t>17.8</w:t>
            </w:r>
          </w:p>
        </w:tc>
        <w:tc>
          <w:tcPr>
            <w:tcW w:w="690" w:type="dxa"/>
            <w:shd w:val="clear" w:color="auto" w:fill="auto"/>
            <w:vAlign w:val="bottom"/>
          </w:tcPr>
          <w:p w:rsidR="00D907AF" w:rsidRPr="0087485F" w:rsidRDefault="00D907AF" w:rsidP="00412475">
            <w:pPr>
              <w:spacing w:before="20" w:after="20"/>
              <w:jc w:val="right"/>
              <w:rPr>
                <w:rFonts w:cstheme="minorHAnsi"/>
                <w:color w:val="000000"/>
                <w:sz w:val="20"/>
                <w:szCs w:val="20"/>
              </w:rPr>
            </w:pPr>
            <w:r w:rsidRPr="0087485F">
              <w:rPr>
                <w:rFonts w:cstheme="minorHAnsi"/>
                <w:color w:val="000000"/>
                <w:sz w:val="20"/>
                <w:szCs w:val="20"/>
              </w:rPr>
              <w:t>431</w:t>
            </w:r>
          </w:p>
        </w:tc>
        <w:tc>
          <w:tcPr>
            <w:tcW w:w="898" w:type="dxa"/>
            <w:shd w:val="clear" w:color="auto" w:fill="auto"/>
            <w:vAlign w:val="bottom"/>
          </w:tcPr>
          <w:p w:rsidR="00D907AF" w:rsidRPr="0087485F" w:rsidRDefault="00D907AF" w:rsidP="005560DF">
            <w:pPr>
              <w:tabs>
                <w:tab w:val="decimal" w:pos="384"/>
              </w:tabs>
              <w:spacing w:before="20" w:after="20"/>
              <w:rPr>
                <w:rFonts w:cstheme="minorHAnsi"/>
                <w:color w:val="000000"/>
                <w:sz w:val="20"/>
                <w:szCs w:val="20"/>
              </w:rPr>
            </w:pPr>
            <w:r w:rsidRPr="0087485F">
              <w:rPr>
                <w:rFonts w:cstheme="minorHAnsi"/>
                <w:color w:val="000000"/>
                <w:sz w:val="20"/>
                <w:szCs w:val="20"/>
              </w:rPr>
              <w:t>22.7</w:t>
            </w:r>
          </w:p>
        </w:tc>
      </w:tr>
      <w:tr w:rsidR="00D907AF" w:rsidRPr="0087485F" w:rsidTr="005560DF">
        <w:trPr>
          <w:cantSplit/>
        </w:trPr>
        <w:tc>
          <w:tcPr>
            <w:tcW w:w="4219" w:type="dxa"/>
            <w:shd w:val="clear" w:color="auto" w:fill="auto"/>
            <w:vAlign w:val="bottom"/>
          </w:tcPr>
          <w:p w:rsidR="00D907AF" w:rsidRPr="0087485F" w:rsidRDefault="00D907AF" w:rsidP="00412475">
            <w:pPr>
              <w:spacing w:before="20" w:after="20"/>
              <w:rPr>
                <w:rFonts w:cstheme="minorHAnsi"/>
                <w:sz w:val="20"/>
                <w:szCs w:val="20"/>
              </w:rPr>
            </w:pPr>
            <w:r w:rsidRPr="0087485F">
              <w:rPr>
                <w:rFonts w:cstheme="minorHAnsi"/>
                <w:sz w:val="20"/>
                <w:szCs w:val="20"/>
              </w:rPr>
              <w:t>Support with leisure activities outside the home</w:t>
            </w:r>
          </w:p>
        </w:tc>
        <w:tc>
          <w:tcPr>
            <w:tcW w:w="737" w:type="dxa"/>
            <w:shd w:val="clear" w:color="auto" w:fill="auto"/>
            <w:vAlign w:val="bottom"/>
          </w:tcPr>
          <w:p w:rsidR="00D907AF" w:rsidRPr="0087485F" w:rsidRDefault="00D907AF" w:rsidP="00412475">
            <w:pPr>
              <w:spacing w:before="20" w:after="20"/>
              <w:jc w:val="right"/>
              <w:rPr>
                <w:rFonts w:cstheme="minorHAnsi"/>
                <w:color w:val="000000"/>
                <w:sz w:val="20"/>
                <w:szCs w:val="20"/>
              </w:rPr>
            </w:pPr>
            <w:r w:rsidRPr="0087485F">
              <w:rPr>
                <w:rFonts w:cstheme="minorHAnsi"/>
                <w:color w:val="000000"/>
                <w:sz w:val="20"/>
                <w:szCs w:val="20"/>
              </w:rPr>
              <w:t>328</w:t>
            </w:r>
          </w:p>
        </w:tc>
        <w:tc>
          <w:tcPr>
            <w:tcW w:w="822" w:type="dxa"/>
            <w:shd w:val="clear" w:color="auto" w:fill="auto"/>
            <w:vAlign w:val="bottom"/>
          </w:tcPr>
          <w:p w:rsidR="00D907AF" w:rsidRPr="0087485F" w:rsidRDefault="00D907AF" w:rsidP="005560DF">
            <w:pPr>
              <w:tabs>
                <w:tab w:val="decimal" w:pos="384"/>
              </w:tabs>
              <w:spacing w:before="20" w:after="20"/>
              <w:rPr>
                <w:rFonts w:cstheme="minorHAnsi"/>
                <w:color w:val="000000"/>
                <w:sz w:val="20"/>
                <w:szCs w:val="20"/>
              </w:rPr>
            </w:pPr>
            <w:r w:rsidRPr="0087485F">
              <w:rPr>
                <w:rFonts w:cstheme="minorHAnsi"/>
                <w:color w:val="000000"/>
                <w:sz w:val="20"/>
                <w:szCs w:val="20"/>
              </w:rPr>
              <w:t>36.8</w:t>
            </w:r>
          </w:p>
        </w:tc>
        <w:tc>
          <w:tcPr>
            <w:tcW w:w="1096" w:type="dxa"/>
            <w:shd w:val="clear" w:color="auto" w:fill="auto"/>
            <w:vAlign w:val="bottom"/>
          </w:tcPr>
          <w:p w:rsidR="00D907AF" w:rsidRPr="0087485F" w:rsidRDefault="00D907AF" w:rsidP="00F30D5B">
            <w:pPr>
              <w:spacing w:before="20" w:after="20"/>
              <w:ind w:right="170"/>
              <w:jc w:val="right"/>
              <w:rPr>
                <w:rFonts w:cstheme="minorHAnsi"/>
                <w:color w:val="000000"/>
                <w:sz w:val="20"/>
                <w:szCs w:val="20"/>
              </w:rPr>
            </w:pPr>
            <w:r w:rsidRPr="0087485F">
              <w:rPr>
                <w:rFonts w:cstheme="minorHAnsi"/>
                <w:color w:val="000000"/>
                <w:sz w:val="20"/>
                <w:szCs w:val="20"/>
              </w:rPr>
              <w:t>172</w:t>
            </w:r>
          </w:p>
        </w:tc>
        <w:tc>
          <w:tcPr>
            <w:tcW w:w="1314" w:type="dxa"/>
            <w:shd w:val="clear" w:color="auto" w:fill="auto"/>
            <w:vAlign w:val="bottom"/>
          </w:tcPr>
          <w:p w:rsidR="00D907AF" w:rsidRPr="0087485F" w:rsidRDefault="00D907AF" w:rsidP="005560DF">
            <w:pPr>
              <w:tabs>
                <w:tab w:val="decimal" w:pos="639"/>
              </w:tabs>
              <w:spacing w:before="20" w:after="20"/>
              <w:rPr>
                <w:rFonts w:cstheme="minorHAnsi"/>
                <w:color w:val="000000"/>
                <w:sz w:val="20"/>
                <w:szCs w:val="20"/>
              </w:rPr>
            </w:pPr>
            <w:r w:rsidRPr="0087485F">
              <w:rPr>
                <w:rFonts w:cstheme="minorHAnsi"/>
                <w:color w:val="000000"/>
                <w:sz w:val="20"/>
                <w:szCs w:val="20"/>
              </w:rPr>
              <w:t>17.1</w:t>
            </w:r>
          </w:p>
        </w:tc>
        <w:tc>
          <w:tcPr>
            <w:tcW w:w="690" w:type="dxa"/>
            <w:shd w:val="clear" w:color="auto" w:fill="auto"/>
            <w:vAlign w:val="bottom"/>
          </w:tcPr>
          <w:p w:rsidR="00D907AF" w:rsidRPr="0087485F" w:rsidRDefault="00D907AF" w:rsidP="00412475">
            <w:pPr>
              <w:spacing w:before="20" w:after="20"/>
              <w:jc w:val="right"/>
              <w:rPr>
                <w:rFonts w:cstheme="minorHAnsi"/>
                <w:color w:val="000000"/>
                <w:sz w:val="20"/>
                <w:szCs w:val="20"/>
              </w:rPr>
            </w:pPr>
            <w:r w:rsidRPr="0087485F">
              <w:rPr>
                <w:rFonts w:cstheme="minorHAnsi"/>
                <w:color w:val="000000"/>
                <w:sz w:val="20"/>
                <w:szCs w:val="20"/>
              </w:rPr>
              <w:t>500</w:t>
            </w:r>
          </w:p>
        </w:tc>
        <w:tc>
          <w:tcPr>
            <w:tcW w:w="898" w:type="dxa"/>
            <w:shd w:val="clear" w:color="auto" w:fill="auto"/>
            <w:vAlign w:val="bottom"/>
          </w:tcPr>
          <w:p w:rsidR="00D907AF" w:rsidRPr="0087485F" w:rsidRDefault="00D907AF" w:rsidP="005560DF">
            <w:pPr>
              <w:tabs>
                <w:tab w:val="decimal" w:pos="384"/>
              </w:tabs>
              <w:spacing w:before="20" w:after="20"/>
              <w:rPr>
                <w:rFonts w:cstheme="minorHAnsi"/>
                <w:color w:val="000000"/>
                <w:sz w:val="20"/>
                <w:szCs w:val="20"/>
              </w:rPr>
            </w:pPr>
            <w:r w:rsidRPr="0087485F">
              <w:rPr>
                <w:rFonts w:cstheme="minorHAnsi"/>
                <w:color w:val="000000"/>
                <w:sz w:val="20"/>
                <w:szCs w:val="20"/>
              </w:rPr>
              <w:t>26.4</w:t>
            </w:r>
          </w:p>
        </w:tc>
      </w:tr>
      <w:tr w:rsidR="00D907AF" w:rsidRPr="00AA7D42" w:rsidTr="005560DF">
        <w:trPr>
          <w:cantSplit/>
          <w:trHeight w:val="445"/>
        </w:trPr>
        <w:tc>
          <w:tcPr>
            <w:tcW w:w="4219" w:type="dxa"/>
            <w:shd w:val="clear" w:color="auto" w:fill="auto"/>
          </w:tcPr>
          <w:p w:rsidR="00D907AF" w:rsidRPr="002673A6" w:rsidRDefault="00D907AF" w:rsidP="002673A6">
            <w:pPr>
              <w:spacing w:before="20" w:after="20"/>
              <w:rPr>
                <w:rFonts w:cstheme="minorHAnsi"/>
                <w:sz w:val="20"/>
                <w:szCs w:val="20"/>
              </w:rPr>
            </w:pPr>
            <w:r w:rsidRPr="002673A6">
              <w:rPr>
                <w:rFonts w:cstheme="minorHAnsi"/>
                <w:sz w:val="20"/>
                <w:szCs w:val="20"/>
              </w:rPr>
              <w:t>Support to participate in group activities in the community</w:t>
            </w:r>
          </w:p>
        </w:tc>
        <w:tc>
          <w:tcPr>
            <w:tcW w:w="737" w:type="dxa"/>
            <w:shd w:val="clear" w:color="auto" w:fill="auto"/>
            <w:vAlign w:val="center"/>
          </w:tcPr>
          <w:p w:rsidR="00D907AF" w:rsidRPr="002673A6" w:rsidRDefault="00D907AF" w:rsidP="00412475">
            <w:pPr>
              <w:spacing w:before="20" w:after="20"/>
              <w:jc w:val="right"/>
              <w:rPr>
                <w:rFonts w:cstheme="minorHAnsi"/>
                <w:sz w:val="20"/>
                <w:szCs w:val="20"/>
              </w:rPr>
            </w:pPr>
            <w:r w:rsidRPr="002673A6">
              <w:rPr>
                <w:rFonts w:cstheme="minorHAnsi"/>
                <w:sz w:val="20"/>
                <w:szCs w:val="20"/>
              </w:rPr>
              <w:t>317</w:t>
            </w:r>
          </w:p>
        </w:tc>
        <w:tc>
          <w:tcPr>
            <w:tcW w:w="822" w:type="dxa"/>
            <w:shd w:val="clear" w:color="auto" w:fill="auto"/>
            <w:vAlign w:val="center"/>
          </w:tcPr>
          <w:p w:rsidR="00D907AF" w:rsidRPr="002673A6" w:rsidRDefault="00D907AF" w:rsidP="005560DF">
            <w:pPr>
              <w:tabs>
                <w:tab w:val="decimal" w:pos="384"/>
              </w:tabs>
              <w:spacing w:before="20" w:after="20"/>
              <w:rPr>
                <w:rFonts w:cstheme="minorHAnsi"/>
                <w:sz w:val="20"/>
                <w:szCs w:val="20"/>
              </w:rPr>
            </w:pPr>
            <w:r w:rsidRPr="002673A6">
              <w:rPr>
                <w:rFonts w:cstheme="minorHAnsi"/>
                <w:sz w:val="20"/>
                <w:szCs w:val="20"/>
              </w:rPr>
              <w:t>35.6</w:t>
            </w:r>
          </w:p>
        </w:tc>
        <w:tc>
          <w:tcPr>
            <w:tcW w:w="1096" w:type="dxa"/>
            <w:shd w:val="clear" w:color="auto" w:fill="auto"/>
            <w:vAlign w:val="center"/>
          </w:tcPr>
          <w:p w:rsidR="00D907AF" w:rsidRPr="005560DF" w:rsidRDefault="00D907AF" w:rsidP="00F30D5B">
            <w:pPr>
              <w:spacing w:before="20" w:after="20"/>
              <w:ind w:right="170"/>
              <w:jc w:val="right"/>
              <w:rPr>
                <w:rFonts w:cstheme="minorHAnsi"/>
                <w:color w:val="000000"/>
                <w:sz w:val="20"/>
                <w:szCs w:val="20"/>
              </w:rPr>
            </w:pPr>
            <w:r w:rsidRPr="005560DF">
              <w:rPr>
                <w:rFonts w:cstheme="minorHAnsi"/>
                <w:color w:val="000000"/>
                <w:sz w:val="20"/>
                <w:szCs w:val="20"/>
              </w:rPr>
              <w:t>137</w:t>
            </w:r>
          </w:p>
        </w:tc>
        <w:tc>
          <w:tcPr>
            <w:tcW w:w="1314" w:type="dxa"/>
            <w:shd w:val="clear" w:color="auto" w:fill="auto"/>
            <w:vAlign w:val="center"/>
          </w:tcPr>
          <w:p w:rsidR="00D907AF" w:rsidRPr="005560DF" w:rsidRDefault="00D907AF" w:rsidP="005560DF">
            <w:pPr>
              <w:tabs>
                <w:tab w:val="decimal" w:pos="639"/>
              </w:tabs>
              <w:spacing w:before="20" w:after="20"/>
              <w:rPr>
                <w:rFonts w:cstheme="minorHAnsi"/>
                <w:color w:val="000000"/>
                <w:sz w:val="20"/>
                <w:szCs w:val="20"/>
              </w:rPr>
            </w:pPr>
            <w:r w:rsidRPr="005560DF">
              <w:rPr>
                <w:rFonts w:cstheme="minorHAnsi"/>
                <w:color w:val="000000"/>
                <w:sz w:val="20"/>
                <w:szCs w:val="20"/>
              </w:rPr>
              <w:t>13.7</w:t>
            </w:r>
          </w:p>
        </w:tc>
        <w:tc>
          <w:tcPr>
            <w:tcW w:w="690" w:type="dxa"/>
            <w:shd w:val="clear" w:color="auto" w:fill="auto"/>
            <w:vAlign w:val="center"/>
          </w:tcPr>
          <w:p w:rsidR="00D907AF" w:rsidRPr="002673A6" w:rsidRDefault="00D907AF" w:rsidP="00412475">
            <w:pPr>
              <w:spacing w:before="20" w:after="20"/>
              <w:jc w:val="right"/>
              <w:rPr>
                <w:rFonts w:cstheme="minorHAnsi"/>
                <w:sz w:val="20"/>
                <w:szCs w:val="20"/>
              </w:rPr>
            </w:pPr>
            <w:r w:rsidRPr="002673A6">
              <w:rPr>
                <w:rFonts w:cstheme="minorHAnsi"/>
                <w:sz w:val="20"/>
                <w:szCs w:val="20"/>
              </w:rPr>
              <w:t>454</w:t>
            </w:r>
          </w:p>
        </w:tc>
        <w:tc>
          <w:tcPr>
            <w:tcW w:w="898" w:type="dxa"/>
            <w:shd w:val="clear" w:color="auto" w:fill="auto"/>
            <w:vAlign w:val="center"/>
          </w:tcPr>
          <w:p w:rsidR="00D907AF" w:rsidRPr="005560DF" w:rsidRDefault="00D907AF" w:rsidP="005560DF">
            <w:pPr>
              <w:tabs>
                <w:tab w:val="decimal" w:pos="384"/>
              </w:tabs>
              <w:spacing w:before="20" w:after="20"/>
              <w:rPr>
                <w:rFonts w:cstheme="minorHAnsi"/>
                <w:color w:val="000000"/>
                <w:sz w:val="20"/>
                <w:szCs w:val="20"/>
              </w:rPr>
            </w:pPr>
            <w:r w:rsidRPr="005560DF">
              <w:rPr>
                <w:rFonts w:cstheme="minorHAnsi"/>
                <w:color w:val="000000"/>
                <w:sz w:val="20"/>
                <w:szCs w:val="20"/>
              </w:rPr>
              <w:t>24.0</w:t>
            </w:r>
          </w:p>
        </w:tc>
      </w:tr>
      <w:tr w:rsidR="00D907AF" w:rsidRPr="0087485F" w:rsidTr="005560DF">
        <w:trPr>
          <w:cantSplit/>
        </w:trPr>
        <w:tc>
          <w:tcPr>
            <w:tcW w:w="4219"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Support with transport and travelling</w:t>
            </w:r>
          </w:p>
        </w:tc>
        <w:tc>
          <w:tcPr>
            <w:tcW w:w="737"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344</w:t>
            </w:r>
          </w:p>
        </w:tc>
        <w:tc>
          <w:tcPr>
            <w:tcW w:w="822" w:type="dxa"/>
            <w:shd w:val="clear" w:color="auto" w:fill="auto"/>
            <w:vAlign w:val="center"/>
          </w:tcPr>
          <w:p w:rsidR="00D907AF" w:rsidRPr="0087485F" w:rsidRDefault="00D907AF" w:rsidP="005560DF">
            <w:pPr>
              <w:tabs>
                <w:tab w:val="decimal" w:pos="384"/>
              </w:tabs>
              <w:spacing w:before="20" w:after="20"/>
              <w:rPr>
                <w:rFonts w:cstheme="minorHAnsi"/>
                <w:color w:val="000000"/>
                <w:sz w:val="20"/>
                <w:szCs w:val="20"/>
              </w:rPr>
            </w:pPr>
            <w:r w:rsidRPr="0087485F">
              <w:rPr>
                <w:rFonts w:cstheme="minorHAnsi"/>
                <w:color w:val="000000"/>
                <w:sz w:val="20"/>
                <w:szCs w:val="20"/>
              </w:rPr>
              <w:t>38.6</w:t>
            </w:r>
          </w:p>
        </w:tc>
        <w:tc>
          <w:tcPr>
            <w:tcW w:w="1096" w:type="dxa"/>
            <w:shd w:val="clear" w:color="auto" w:fill="auto"/>
            <w:vAlign w:val="center"/>
          </w:tcPr>
          <w:p w:rsidR="00D907AF" w:rsidRPr="0087485F" w:rsidRDefault="00D907AF" w:rsidP="00F30D5B">
            <w:pPr>
              <w:spacing w:before="20" w:after="20"/>
              <w:ind w:right="170"/>
              <w:jc w:val="right"/>
              <w:rPr>
                <w:rFonts w:cstheme="minorHAnsi"/>
                <w:color w:val="000000"/>
                <w:sz w:val="20"/>
                <w:szCs w:val="20"/>
              </w:rPr>
            </w:pPr>
            <w:r w:rsidRPr="0087485F">
              <w:rPr>
                <w:rFonts w:cstheme="minorHAnsi"/>
                <w:color w:val="000000"/>
                <w:sz w:val="20"/>
                <w:szCs w:val="20"/>
              </w:rPr>
              <w:t>197</w:t>
            </w:r>
          </w:p>
        </w:tc>
        <w:tc>
          <w:tcPr>
            <w:tcW w:w="1314" w:type="dxa"/>
            <w:shd w:val="clear" w:color="auto" w:fill="auto"/>
            <w:vAlign w:val="center"/>
          </w:tcPr>
          <w:p w:rsidR="00D907AF" w:rsidRPr="0087485F" w:rsidRDefault="00D907AF" w:rsidP="005560DF">
            <w:pPr>
              <w:tabs>
                <w:tab w:val="decimal" w:pos="639"/>
              </w:tabs>
              <w:spacing w:before="20" w:after="20"/>
              <w:rPr>
                <w:rFonts w:cstheme="minorHAnsi"/>
                <w:color w:val="000000"/>
                <w:sz w:val="20"/>
                <w:szCs w:val="20"/>
              </w:rPr>
            </w:pPr>
            <w:r w:rsidRPr="0087485F">
              <w:rPr>
                <w:rFonts w:cstheme="minorHAnsi"/>
                <w:color w:val="000000"/>
                <w:sz w:val="20"/>
                <w:szCs w:val="20"/>
              </w:rPr>
              <w:t>19.6</w:t>
            </w:r>
          </w:p>
        </w:tc>
        <w:tc>
          <w:tcPr>
            <w:tcW w:w="690"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541</w:t>
            </w:r>
          </w:p>
        </w:tc>
        <w:tc>
          <w:tcPr>
            <w:tcW w:w="898" w:type="dxa"/>
            <w:shd w:val="clear" w:color="auto" w:fill="auto"/>
            <w:vAlign w:val="center"/>
          </w:tcPr>
          <w:p w:rsidR="00D907AF" w:rsidRPr="0087485F" w:rsidRDefault="00D907AF" w:rsidP="005560DF">
            <w:pPr>
              <w:tabs>
                <w:tab w:val="decimal" w:pos="384"/>
              </w:tabs>
              <w:spacing w:before="20" w:after="20"/>
              <w:rPr>
                <w:rFonts w:cstheme="minorHAnsi"/>
                <w:color w:val="000000"/>
                <w:sz w:val="20"/>
                <w:szCs w:val="20"/>
              </w:rPr>
            </w:pPr>
            <w:r w:rsidRPr="0087485F">
              <w:rPr>
                <w:rFonts w:cstheme="minorHAnsi"/>
                <w:color w:val="000000"/>
                <w:sz w:val="20"/>
                <w:szCs w:val="20"/>
              </w:rPr>
              <w:t>28.6</w:t>
            </w:r>
          </w:p>
        </w:tc>
      </w:tr>
      <w:tr w:rsidR="00D907AF" w:rsidRPr="0087485F" w:rsidTr="005560DF">
        <w:trPr>
          <w:cantSplit/>
        </w:trPr>
        <w:tc>
          <w:tcPr>
            <w:tcW w:w="4219"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Therapeutic supports or support with medication</w:t>
            </w:r>
          </w:p>
        </w:tc>
        <w:tc>
          <w:tcPr>
            <w:tcW w:w="737"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398</w:t>
            </w:r>
          </w:p>
        </w:tc>
        <w:tc>
          <w:tcPr>
            <w:tcW w:w="822" w:type="dxa"/>
            <w:shd w:val="clear" w:color="auto" w:fill="auto"/>
            <w:vAlign w:val="center"/>
          </w:tcPr>
          <w:p w:rsidR="00D907AF" w:rsidRPr="0087485F" w:rsidRDefault="00D907AF" w:rsidP="005560DF">
            <w:pPr>
              <w:tabs>
                <w:tab w:val="decimal" w:pos="384"/>
              </w:tabs>
              <w:spacing w:before="20" w:after="20"/>
              <w:rPr>
                <w:rFonts w:cstheme="minorHAnsi"/>
                <w:color w:val="000000"/>
                <w:sz w:val="20"/>
                <w:szCs w:val="20"/>
              </w:rPr>
            </w:pPr>
            <w:r w:rsidRPr="0087485F">
              <w:rPr>
                <w:rFonts w:cstheme="minorHAnsi"/>
                <w:color w:val="000000"/>
                <w:sz w:val="20"/>
                <w:szCs w:val="20"/>
              </w:rPr>
              <w:t>44.7</w:t>
            </w:r>
          </w:p>
        </w:tc>
        <w:tc>
          <w:tcPr>
            <w:tcW w:w="1096" w:type="dxa"/>
            <w:shd w:val="clear" w:color="auto" w:fill="auto"/>
            <w:vAlign w:val="center"/>
          </w:tcPr>
          <w:p w:rsidR="00D907AF" w:rsidRPr="0087485F" w:rsidRDefault="00D907AF" w:rsidP="00F30D5B">
            <w:pPr>
              <w:spacing w:before="20" w:after="20"/>
              <w:ind w:right="170"/>
              <w:jc w:val="right"/>
              <w:rPr>
                <w:rFonts w:cstheme="minorHAnsi"/>
                <w:color w:val="000000"/>
                <w:sz w:val="20"/>
                <w:szCs w:val="20"/>
              </w:rPr>
            </w:pPr>
            <w:r w:rsidRPr="0087485F">
              <w:rPr>
                <w:rFonts w:cstheme="minorHAnsi"/>
                <w:color w:val="000000"/>
                <w:sz w:val="20"/>
                <w:szCs w:val="20"/>
              </w:rPr>
              <w:t>204</w:t>
            </w:r>
          </w:p>
        </w:tc>
        <w:tc>
          <w:tcPr>
            <w:tcW w:w="1314" w:type="dxa"/>
            <w:shd w:val="clear" w:color="auto" w:fill="auto"/>
            <w:vAlign w:val="center"/>
          </w:tcPr>
          <w:p w:rsidR="00D907AF" w:rsidRPr="0087485F" w:rsidRDefault="00D907AF" w:rsidP="005560DF">
            <w:pPr>
              <w:tabs>
                <w:tab w:val="decimal" w:pos="639"/>
              </w:tabs>
              <w:spacing w:before="20" w:after="20"/>
              <w:rPr>
                <w:rFonts w:cstheme="minorHAnsi"/>
                <w:color w:val="000000"/>
                <w:sz w:val="20"/>
                <w:szCs w:val="20"/>
              </w:rPr>
            </w:pPr>
            <w:r w:rsidRPr="0087485F">
              <w:rPr>
                <w:rFonts w:cstheme="minorHAnsi"/>
                <w:color w:val="000000"/>
                <w:sz w:val="20"/>
                <w:szCs w:val="20"/>
              </w:rPr>
              <w:t>20.3</w:t>
            </w:r>
          </w:p>
        </w:tc>
        <w:tc>
          <w:tcPr>
            <w:tcW w:w="690"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602</w:t>
            </w:r>
          </w:p>
        </w:tc>
        <w:tc>
          <w:tcPr>
            <w:tcW w:w="898" w:type="dxa"/>
            <w:shd w:val="clear" w:color="auto" w:fill="auto"/>
            <w:vAlign w:val="center"/>
          </w:tcPr>
          <w:p w:rsidR="00D907AF" w:rsidRPr="0087485F" w:rsidRDefault="00D907AF" w:rsidP="005560DF">
            <w:pPr>
              <w:tabs>
                <w:tab w:val="decimal" w:pos="384"/>
              </w:tabs>
              <w:spacing w:before="20" w:after="20"/>
              <w:rPr>
                <w:rFonts w:cstheme="minorHAnsi"/>
                <w:color w:val="000000"/>
                <w:sz w:val="20"/>
                <w:szCs w:val="20"/>
              </w:rPr>
            </w:pPr>
            <w:r w:rsidRPr="0087485F">
              <w:rPr>
                <w:rFonts w:cstheme="minorHAnsi"/>
                <w:color w:val="000000"/>
                <w:sz w:val="20"/>
                <w:szCs w:val="20"/>
              </w:rPr>
              <w:t>31.8</w:t>
            </w:r>
          </w:p>
        </w:tc>
      </w:tr>
      <w:tr w:rsidR="00D907AF" w:rsidRPr="0087485F" w:rsidTr="005560DF">
        <w:trPr>
          <w:cantSplit/>
        </w:trPr>
        <w:tc>
          <w:tcPr>
            <w:tcW w:w="4219"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Respite or short breaks</w:t>
            </w:r>
          </w:p>
        </w:tc>
        <w:tc>
          <w:tcPr>
            <w:tcW w:w="737"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251</w:t>
            </w:r>
          </w:p>
        </w:tc>
        <w:tc>
          <w:tcPr>
            <w:tcW w:w="822" w:type="dxa"/>
            <w:shd w:val="clear" w:color="auto" w:fill="auto"/>
            <w:vAlign w:val="center"/>
          </w:tcPr>
          <w:p w:rsidR="00D907AF" w:rsidRPr="0087485F" w:rsidRDefault="00D907AF" w:rsidP="005560DF">
            <w:pPr>
              <w:tabs>
                <w:tab w:val="decimal" w:pos="384"/>
              </w:tabs>
              <w:spacing w:before="20" w:after="20"/>
              <w:rPr>
                <w:rFonts w:cstheme="minorHAnsi"/>
                <w:color w:val="000000"/>
                <w:sz w:val="20"/>
                <w:szCs w:val="20"/>
              </w:rPr>
            </w:pPr>
            <w:r w:rsidRPr="0087485F">
              <w:rPr>
                <w:rFonts w:cstheme="minorHAnsi"/>
                <w:color w:val="000000"/>
                <w:sz w:val="20"/>
                <w:szCs w:val="20"/>
              </w:rPr>
              <w:t>28.2</w:t>
            </w:r>
          </w:p>
        </w:tc>
        <w:tc>
          <w:tcPr>
            <w:tcW w:w="1096" w:type="dxa"/>
            <w:shd w:val="clear" w:color="auto" w:fill="auto"/>
            <w:vAlign w:val="center"/>
          </w:tcPr>
          <w:p w:rsidR="00D907AF" w:rsidRPr="0087485F" w:rsidRDefault="00D907AF" w:rsidP="00F30D5B">
            <w:pPr>
              <w:spacing w:before="20" w:after="20"/>
              <w:ind w:right="170"/>
              <w:jc w:val="right"/>
              <w:rPr>
                <w:rFonts w:cstheme="minorHAnsi"/>
                <w:color w:val="000000"/>
                <w:sz w:val="20"/>
                <w:szCs w:val="20"/>
              </w:rPr>
            </w:pPr>
            <w:r w:rsidRPr="0087485F">
              <w:rPr>
                <w:rFonts w:cstheme="minorHAnsi"/>
                <w:color w:val="000000"/>
                <w:sz w:val="20"/>
                <w:szCs w:val="20"/>
              </w:rPr>
              <w:t>125</w:t>
            </w:r>
          </w:p>
        </w:tc>
        <w:tc>
          <w:tcPr>
            <w:tcW w:w="1314" w:type="dxa"/>
            <w:shd w:val="clear" w:color="auto" w:fill="auto"/>
            <w:vAlign w:val="center"/>
          </w:tcPr>
          <w:p w:rsidR="00D907AF" w:rsidRPr="0087485F" w:rsidRDefault="00D907AF" w:rsidP="005560DF">
            <w:pPr>
              <w:tabs>
                <w:tab w:val="decimal" w:pos="639"/>
              </w:tabs>
              <w:spacing w:before="20" w:after="20"/>
              <w:rPr>
                <w:rFonts w:cstheme="minorHAnsi"/>
                <w:color w:val="000000"/>
                <w:sz w:val="20"/>
                <w:szCs w:val="20"/>
              </w:rPr>
            </w:pPr>
            <w:r w:rsidRPr="0087485F">
              <w:rPr>
                <w:rFonts w:cstheme="minorHAnsi"/>
                <w:color w:val="000000"/>
                <w:sz w:val="20"/>
                <w:szCs w:val="20"/>
              </w:rPr>
              <w:t>12.5</w:t>
            </w:r>
          </w:p>
        </w:tc>
        <w:tc>
          <w:tcPr>
            <w:tcW w:w="690"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376</w:t>
            </w:r>
          </w:p>
        </w:tc>
        <w:tc>
          <w:tcPr>
            <w:tcW w:w="898" w:type="dxa"/>
            <w:shd w:val="clear" w:color="auto" w:fill="auto"/>
            <w:vAlign w:val="center"/>
          </w:tcPr>
          <w:p w:rsidR="00D907AF" w:rsidRPr="0087485F" w:rsidRDefault="00D907AF" w:rsidP="005560DF">
            <w:pPr>
              <w:tabs>
                <w:tab w:val="decimal" w:pos="384"/>
              </w:tabs>
              <w:spacing w:before="20" w:after="20"/>
              <w:rPr>
                <w:rFonts w:cstheme="minorHAnsi"/>
                <w:color w:val="000000"/>
                <w:sz w:val="20"/>
                <w:szCs w:val="20"/>
              </w:rPr>
            </w:pPr>
            <w:r w:rsidRPr="0087485F">
              <w:rPr>
                <w:rFonts w:cstheme="minorHAnsi"/>
                <w:color w:val="000000"/>
                <w:sz w:val="20"/>
                <w:szCs w:val="20"/>
              </w:rPr>
              <w:t>19.8</w:t>
            </w:r>
          </w:p>
        </w:tc>
      </w:tr>
      <w:tr w:rsidR="00D907AF" w:rsidRPr="0087485F" w:rsidTr="005560DF">
        <w:trPr>
          <w:cantSplit/>
        </w:trPr>
        <w:tc>
          <w:tcPr>
            <w:tcW w:w="4219"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Aids and equipment</w:t>
            </w:r>
          </w:p>
        </w:tc>
        <w:tc>
          <w:tcPr>
            <w:tcW w:w="737"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320</w:t>
            </w:r>
          </w:p>
        </w:tc>
        <w:tc>
          <w:tcPr>
            <w:tcW w:w="822" w:type="dxa"/>
            <w:shd w:val="clear" w:color="auto" w:fill="auto"/>
            <w:vAlign w:val="center"/>
          </w:tcPr>
          <w:p w:rsidR="00D907AF" w:rsidRPr="0087485F" w:rsidRDefault="00D907AF" w:rsidP="005560DF">
            <w:pPr>
              <w:tabs>
                <w:tab w:val="decimal" w:pos="384"/>
              </w:tabs>
              <w:spacing w:before="20" w:after="20"/>
              <w:rPr>
                <w:rFonts w:cstheme="minorHAnsi"/>
                <w:color w:val="000000"/>
                <w:sz w:val="20"/>
                <w:szCs w:val="20"/>
              </w:rPr>
            </w:pPr>
            <w:r w:rsidRPr="0087485F">
              <w:rPr>
                <w:rFonts w:cstheme="minorHAnsi"/>
                <w:color w:val="000000"/>
                <w:sz w:val="20"/>
                <w:szCs w:val="20"/>
              </w:rPr>
              <w:t>35.9</w:t>
            </w:r>
          </w:p>
        </w:tc>
        <w:tc>
          <w:tcPr>
            <w:tcW w:w="1096" w:type="dxa"/>
            <w:shd w:val="clear" w:color="auto" w:fill="auto"/>
            <w:vAlign w:val="center"/>
          </w:tcPr>
          <w:p w:rsidR="00D907AF" w:rsidRPr="0087485F" w:rsidRDefault="00D907AF" w:rsidP="00F30D5B">
            <w:pPr>
              <w:spacing w:before="20" w:after="20"/>
              <w:ind w:right="170"/>
              <w:jc w:val="right"/>
              <w:rPr>
                <w:rFonts w:cstheme="minorHAnsi"/>
                <w:color w:val="000000"/>
                <w:sz w:val="20"/>
                <w:szCs w:val="20"/>
              </w:rPr>
            </w:pPr>
            <w:r w:rsidRPr="0087485F">
              <w:rPr>
                <w:rFonts w:cstheme="minorHAnsi"/>
                <w:color w:val="000000"/>
                <w:sz w:val="20"/>
                <w:szCs w:val="20"/>
              </w:rPr>
              <w:t>137</w:t>
            </w:r>
          </w:p>
        </w:tc>
        <w:tc>
          <w:tcPr>
            <w:tcW w:w="1314" w:type="dxa"/>
            <w:shd w:val="clear" w:color="auto" w:fill="auto"/>
            <w:vAlign w:val="center"/>
          </w:tcPr>
          <w:p w:rsidR="00D907AF" w:rsidRPr="0087485F" w:rsidRDefault="00D907AF" w:rsidP="005560DF">
            <w:pPr>
              <w:tabs>
                <w:tab w:val="decimal" w:pos="639"/>
              </w:tabs>
              <w:spacing w:before="20" w:after="20"/>
              <w:rPr>
                <w:rFonts w:cstheme="minorHAnsi"/>
                <w:color w:val="000000"/>
                <w:sz w:val="20"/>
                <w:szCs w:val="20"/>
              </w:rPr>
            </w:pPr>
            <w:r w:rsidRPr="0087485F">
              <w:rPr>
                <w:rFonts w:cstheme="minorHAnsi"/>
                <w:color w:val="000000"/>
                <w:sz w:val="20"/>
                <w:szCs w:val="20"/>
              </w:rPr>
              <w:t>13.7</w:t>
            </w:r>
          </w:p>
        </w:tc>
        <w:tc>
          <w:tcPr>
            <w:tcW w:w="690"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457</w:t>
            </w:r>
          </w:p>
        </w:tc>
        <w:tc>
          <w:tcPr>
            <w:tcW w:w="898" w:type="dxa"/>
            <w:shd w:val="clear" w:color="auto" w:fill="auto"/>
            <w:vAlign w:val="center"/>
          </w:tcPr>
          <w:p w:rsidR="00D907AF" w:rsidRPr="0087485F" w:rsidRDefault="00D907AF" w:rsidP="005560DF">
            <w:pPr>
              <w:tabs>
                <w:tab w:val="decimal" w:pos="384"/>
              </w:tabs>
              <w:spacing w:before="20" w:after="20"/>
              <w:rPr>
                <w:rFonts w:cstheme="minorHAnsi"/>
                <w:color w:val="000000"/>
                <w:sz w:val="20"/>
                <w:szCs w:val="20"/>
              </w:rPr>
            </w:pPr>
            <w:r w:rsidRPr="0087485F">
              <w:rPr>
                <w:rFonts w:cstheme="minorHAnsi"/>
                <w:color w:val="000000"/>
                <w:sz w:val="20"/>
                <w:szCs w:val="20"/>
              </w:rPr>
              <w:t>24.1</w:t>
            </w:r>
          </w:p>
        </w:tc>
      </w:tr>
      <w:tr w:rsidR="00D907AF" w:rsidRPr="0087485F" w:rsidTr="005560DF">
        <w:trPr>
          <w:cantSplit/>
        </w:trPr>
        <w:tc>
          <w:tcPr>
            <w:tcW w:w="4219"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Other types of support</w:t>
            </w:r>
          </w:p>
        </w:tc>
        <w:tc>
          <w:tcPr>
            <w:tcW w:w="737"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481</w:t>
            </w:r>
          </w:p>
        </w:tc>
        <w:tc>
          <w:tcPr>
            <w:tcW w:w="822" w:type="dxa"/>
            <w:shd w:val="clear" w:color="auto" w:fill="auto"/>
            <w:vAlign w:val="center"/>
          </w:tcPr>
          <w:p w:rsidR="00D907AF" w:rsidRPr="0087485F" w:rsidRDefault="00D907AF" w:rsidP="005560DF">
            <w:pPr>
              <w:tabs>
                <w:tab w:val="decimal" w:pos="384"/>
              </w:tabs>
              <w:spacing w:before="20" w:after="20"/>
              <w:rPr>
                <w:rFonts w:cstheme="minorHAnsi"/>
                <w:color w:val="000000"/>
                <w:sz w:val="20"/>
                <w:szCs w:val="20"/>
              </w:rPr>
            </w:pPr>
            <w:r w:rsidRPr="0087485F">
              <w:rPr>
                <w:rFonts w:cstheme="minorHAnsi"/>
                <w:color w:val="000000"/>
                <w:sz w:val="20"/>
                <w:szCs w:val="20"/>
              </w:rPr>
              <w:t>54.0</w:t>
            </w:r>
          </w:p>
        </w:tc>
        <w:tc>
          <w:tcPr>
            <w:tcW w:w="1096" w:type="dxa"/>
            <w:shd w:val="clear" w:color="auto" w:fill="auto"/>
            <w:vAlign w:val="center"/>
          </w:tcPr>
          <w:p w:rsidR="00D907AF" w:rsidRPr="0087485F" w:rsidRDefault="00D907AF" w:rsidP="00F30D5B">
            <w:pPr>
              <w:spacing w:before="20" w:after="20"/>
              <w:ind w:right="170"/>
              <w:jc w:val="right"/>
              <w:rPr>
                <w:rFonts w:cstheme="minorHAnsi"/>
                <w:color w:val="000000"/>
                <w:sz w:val="20"/>
                <w:szCs w:val="20"/>
              </w:rPr>
            </w:pPr>
            <w:r w:rsidRPr="0087485F">
              <w:rPr>
                <w:rFonts w:cstheme="minorHAnsi"/>
                <w:color w:val="000000"/>
                <w:sz w:val="20"/>
                <w:szCs w:val="20"/>
              </w:rPr>
              <w:t>299</w:t>
            </w:r>
          </w:p>
        </w:tc>
        <w:tc>
          <w:tcPr>
            <w:tcW w:w="1314" w:type="dxa"/>
            <w:shd w:val="clear" w:color="auto" w:fill="auto"/>
            <w:vAlign w:val="center"/>
          </w:tcPr>
          <w:p w:rsidR="00D907AF" w:rsidRPr="0087485F" w:rsidRDefault="00D907AF" w:rsidP="005560DF">
            <w:pPr>
              <w:tabs>
                <w:tab w:val="decimal" w:pos="639"/>
              </w:tabs>
              <w:spacing w:before="20" w:after="20"/>
              <w:rPr>
                <w:rFonts w:cstheme="minorHAnsi"/>
                <w:color w:val="000000"/>
                <w:sz w:val="20"/>
                <w:szCs w:val="20"/>
              </w:rPr>
            </w:pPr>
            <w:r w:rsidRPr="0087485F">
              <w:rPr>
                <w:rFonts w:cstheme="minorHAnsi"/>
                <w:color w:val="000000"/>
                <w:sz w:val="20"/>
                <w:szCs w:val="20"/>
              </w:rPr>
              <w:t>29.8</w:t>
            </w:r>
          </w:p>
        </w:tc>
        <w:tc>
          <w:tcPr>
            <w:tcW w:w="690"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780</w:t>
            </w:r>
          </w:p>
        </w:tc>
        <w:tc>
          <w:tcPr>
            <w:tcW w:w="898" w:type="dxa"/>
            <w:shd w:val="clear" w:color="auto" w:fill="auto"/>
            <w:vAlign w:val="center"/>
          </w:tcPr>
          <w:p w:rsidR="00D907AF" w:rsidRPr="0087485F" w:rsidRDefault="00D907AF" w:rsidP="005560DF">
            <w:pPr>
              <w:tabs>
                <w:tab w:val="decimal" w:pos="384"/>
              </w:tabs>
              <w:spacing w:before="20" w:after="20"/>
              <w:rPr>
                <w:rFonts w:cstheme="minorHAnsi"/>
                <w:color w:val="000000"/>
                <w:sz w:val="20"/>
                <w:szCs w:val="20"/>
              </w:rPr>
            </w:pPr>
            <w:r w:rsidRPr="0087485F">
              <w:rPr>
                <w:rFonts w:cstheme="minorHAnsi"/>
                <w:color w:val="000000"/>
                <w:sz w:val="20"/>
                <w:szCs w:val="20"/>
              </w:rPr>
              <w:t>41.2</w:t>
            </w:r>
          </w:p>
        </w:tc>
      </w:tr>
      <w:tr w:rsidR="00D907AF" w:rsidRPr="0087485F" w:rsidTr="005560DF">
        <w:trPr>
          <w:cantSplit/>
        </w:trPr>
        <w:tc>
          <w:tcPr>
            <w:tcW w:w="4219" w:type="dxa"/>
            <w:tcBorders>
              <w:bottom w:val="single" w:sz="4" w:space="0" w:color="auto"/>
            </w:tcBorders>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Support with work or study (16+ only)</w:t>
            </w:r>
          </w:p>
        </w:tc>
        <w:tc>
          <w:tcPr>
            <w:tcW w:w="737" w:type="dxa"/>
            <w:tcBorders>
              <w:bottom w:val="single" w:sz="4" w:space="0" w:color="auto"/>
            </w:tcBorders>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84</w:t>
            </w:r>
          </w:p>
        </w:tc>
        <w:tc>
          <w:tcPr>
            <w:tcW w:w="822" w:type="dxa"/>
            <w:tcBorders>
              <w:bottom w:val="single" w:sz="4" w:space="0" w:color="auto"/>
            </w:tcBorders>
            <w:shd w:val="clear" w:color="auto" w:fill="auto"/>
            <w:vAlign w:val="center"/>
          </w:tcPr>
          <w:p w:rsidR="00D907AF" w:rsidRPr="0087485F" w:rsidRDefault="00D907AF" w:rsidP="005560DF">
            <w:pPr>
              <w:tabs>
                <w:tab w:val="decimal" w:pos="384"/>
              </w:tabs>
              <w:spacing w:before="20" w:after="20"/>
              <w:rPr>
                <w:rFonts w:cstheme="minorHAnsi"/>
                <w:color w:val="000000"/>
                <w:sz w:val="20"/>
                <w:szCs w:val="20"/>
              </w:rPr>
            </w:pPr>
            <w:r w:rsidRPr="0087485F">
              <w:rPr>
                <w:rFonts w:cstheme="minorHAnsi"/>
                <w:color w:val="000000"/>
                <w:sz w:val="20"/>
                <w:szCs w:val="20"/>
              </w:rPr>
              <w:t>17.9</w:t>
            </w:r>
          </w:p>
        </w:tc>
        <w:tc>
          <w:tcPr>
            <w:tcW w:w="1096" w:type="dxa"/>
            <w:tcBorders>
              <w:bottom w:val="single" w:sz="4" w:space="0" w:color="auto"/>
            </w:tcBorders>
            <w:shd w:val="clear" w:color="auto" w:fill="auto"/>
            <w:vAlign w:val="center"/>
          </w:tcPr>
          <w:p w:rsidR="00D907AF" w:rsidRPr="0087485F" w:rsidRDefault="00D907AF" w:rsidP="00F30D5B">
            <w:pPr>
              <w:spacing w:before="20" w:after="20"/>
              <w:ind w:right="170"/>
              <w:jc w:val="right"/>
              <w:rPr>
                <w:rFonts w:cstheme="minorHAnsi"/>
                <w:color w:val="000000"/>
                <w:sz w:val="20"/>
                <w:szCs w:val="20"/>
              </w:rPr>
            </w:pPr>
            <w:r w:rsidRPr="0087485F">
              <w:rPr>
                <w:rFonts w:cstheme="minorHAnsi"/>
                <w:color w:val="000000"/>
                <w:sz w:val="20"/>
                <w:szCs w:val="20"/>
              </w:rPr>
              <w:t>76</w:t>
            </w:r>
          </w:p>
        </w:tc>
        <w:tc>
          <w:tcPr>
            <w:tcW w:w="1314" w:type="dxa"/>
            <w:tcBorders>
              <w:bottom w:val="single" w:sz="4" w:space="0" w:color="auto"/>
            </w:tcBorders>
            <w:shd w:val="clear" w:color="auto" w:fill="auto"/>
            <w:vAlign w:val="center"/>
          </w:tcPr>
          <w:p w:rsidR="00D907AF" w:rsidRPr="0087485F" w:rsidRDefault="00D907AF" w:rsidP="005560DF">
            <w:pPr>
              <w:tabs>
                <w:tab w:val="decimal" w:pos="639"/>
              </w:tabs>
              <w:spacing w:before="20" w:after="20"/>
              <w:rPr>
                <w:rFonts w:cstheme="minorHAnsi"/>
                <w:color w:val="000000"/>
                <w:sz w:val="20"/>
                <w:szCs w:val="20"/>
              </w:rPr>
            </w:pPr>
            <w:r w:rsidRPr="0087485F">
              <w:rPr>
                <w:rFonts w:cstheme="minorHAnsi"/>
                <w:color w:val="000000"/>
                <w:sz w:val="20"/>
                <w:szCs w:val="20"/>
              </w:rPr>
              <w:t>11.9</w:t>
            </w:r>
          </w:p>
        </w:tc>
        <w:tc>
          <w:tcPr>
            <w:tcW w:w="690" w:type="dxa"/>
            <w:tcBorders>
              <w:bottom w:val="single" w:sz="4" w:space="0" w:color="auto"/>
            </w:tcBorders>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160</w:t>
            </w:r>
          </w:p>
        </w:tc>
        <w:tc>
          <w:tcPr>
            <w:tcW w:w="898" w:type="dxa"/>
            <w:tcBorders>
              <w:bottom w:val="single" w:sz="4" w:space="0" w:color="auto"/>
            </w:tcBorders>
            <w:shd w:val="clear" w:color="auto" w:fill="auto"/>
            <w:vAlign w:val="center"/>
          </w:tcPr>
          <w:p w:rsidR="00D907AF" w:rsidRPr="0087485F" w:rsidRDefault="00D907AF" w:rsidP="005560DF">
            <w:pPr>
              <w:tabs>
                <w:tab w:val="decimal" w:pos="384"/>
              </w:tabs>
              <w:spacing w:before="20" w:after="20"/>
              <w:rPr>
                <w:rFonts w:cstheme="minorHAnsi"/>
                <w:color w:val="000000"/>
                <w:sz w:val="20"/>
                <w:szCs w:val="20"/>
              </w:rPr>
            </w:pPr>
            <w:r w:rsidRPr="0087485F">
              <w:rPr>
                <w:rFonts w:cstheme="minorHAnsi"/>
                <w:color w:val="000000"/>
                <w:sz w:val="20"/>
                <w:szCs w:val="20"/>
              </w:rPr>
              <w:t>36.4</w:t>
            </w:r>
          </w:p>
        </w:tc>
      </w:tr>
      <w:tr w:rsidR="00D907AF" w:rsidRPr="0087485F" w:rsidTr="005560DF">
        <w:trPr>
          <w:cantSplit/>
        </w:trPr>
        <w:tc>
          <w:tcPr>
            <w:tcW w:w="4219" w:type="dxa"/>
            <w:tcBorders>
              <w:top w:val="single" w:sz="4" w:space="0" w:color="auto"/>
              <w:bottom w:val="single" w:sz="4" w:space="0" w:color="auto"/>
            </w:tcBorders>
            <w:shd w:val="clear" w:color="auto" w:fill="auto"/>
          </w:tcPr>
          <w:p w:rsidR="00D907AF" w:rsidRPr="0087485F" w:rsidRDefault="00D907AF" w:rsidP="00D907AF">
            <w:pPr>
              <w:spacing w:before="20" w:after="20"/>
              <w:rPr>
                <w:rFonts w:cstheme="minorHAnsi"/>
                <w:b/>
                <w:sz w:val="20"/>
                <w:szCs w:val="20"/>
              </w:rPr>
            </w:pPr>
            <w:r w:rsidRPr="0087485F">
              <w:rPr>
                <w:rFonts w:cstheme="minorHAnsi"/>
                <w:b/>
                <w:sz w:val="20"/>
                <w:szCs w:val="20"/>
              </w:rPr>
              <w:t>Total</w:t>
            </w:r>
          </w:p>
        </w:tc>
        <w:tc>
          <w:tcPr>
            <w:tcW w:w="737" w:type="dxa"/>
            <w:tcBorders>
              <w:top w:val="single" w:sz="4" w:space="0" w:color="auto"/>
              <w:bottom w:val="single" w:sz="4" w:space="0" w:color="auto"/>
            </w:tcBorders>
            <w:shd w:val="clear" w:color="auto" w:fill="auto"/>
          </w:tcPr>
          <w:p w:rsidR="00D907AF" w:rsidRPr="0087485F" w:rsidRDefault="00D907AF" w:rsidP="00D907AF">
            <w:pPr>
              <w:spacing w:before="20" w:after="20"/>
              <w:jc w:val="right"/>
              <w:rPr>
                <w:rFonts w:cstheme="minorHAnsi"/>
                <w:b/>
                <w:sz w:val="20"/>
                <w:szCs w:val="20"/>
              </w:rPr>
            </w:pPr>
            <w:r w:rsidRPr="0087485F">
              <w:rPr>
                <w:rFonts w:cstheme="minorHAnsi"/>
                <w:b/>
                <w:sz w:val="20"/>
                <w:szCs w:val="20"/>
              </w:rPr>
              <w:t>891</w:t>
            </w:r>
          </w:p>
        </w:tc>
        <w:tc>
          <w:tcPr>
            <w:tcW w:w="822" w:type="dxa"/>
            <w:tcBorders>
              <w:top w:val="single" w:sz="4" w:space="0" w:color="auto"/>
              <w:bottom w:val="single" w:sz="4" w:space="0" w:color="auto"/>
            </w:tcBorders>
            <w:shd w:val="clear" w:color="auto" w:fill="auto"/>
          </w:tcPr>
          <w:p w:rsidR="00D907AF" w:rsidRPr="0087485F" w:rsidRDefault="00D907AF" w:rsidP="00D907AF">
            <w:pPr>
              <w:spacing w:before="20" w:after="20"/>
              <w:jc w:val="right"/>
              <w:rPr>
                <w:rFonts w:cstheme="minorHAnsi"/>
                <w:b/>
                <w:sz w:val="20"/>
                <w:szCs w:val="20"/>
              </w:rPr>
            </w:pPr>
          </w:p>
        </w:tc>
        <w:tc>
          <w:tcPr>
            <w:tcW w:w="1096" w:type="dxa"/>
            <w:tcBorders>
              <w:top w:val="single" w:sz="4" w:space="0" w:color="auto"/>
              <w:bottom w:val="single" w:sz="4" w:space="0" w:color="auto"/>
            </w:tcBorders>
            <w:shd w:val="clear" w:color="auto" w:fill="auto"/>
          </w:tcPr>
          <w:p w:rsidR="00D907AF" w:rsidRPr="005560DF" w:rsidRDefault="00D907AF" w:rsidP="00F30D5B">
            <w:pPr>
              <w:spacing w:before="20" w:after="20"/>
              <w:ind w:right="170"/>
              <w:jc w:val="right"/>
              <w:rPr>
                <w:rFonts w:cstheme="minorHAnsi"/>
                <w:b/>
                <w:color w:val="000000"/>
                <w:sz w:val="20"/>
                <w:szCs w:val="20"/>
              </w:rPr>
            </w:pPr>
            <w:r w:rsidRPr="005560DF">
              <w:rPr>
                <w:rFonts w:cstheme="minorHAnsi"/>
                <w:b/>
                <w:color w:val="000000"/>
                <w:sz w:val="20"/>
                <w:szCs w:val="20"/>
              </w:rPr>
              <w:t>1,004</w:t>
            </w:r>
          </w:p>
        </w:tc>
        <w:tc>
          <w:tcPr>
            <w:tcW w:w="1314" w:type="dxa"/>
            <w:tcBorders>
              <w:top w:val="single" w:sz="4" w:space="0" w:color="auto"/>
              <w:bottom w:val="single" w:sz="4" w:space="0" w:color="auto"/>
            </w:tcBorders>
            <w:shd w:val="clear" w:color="auto" w:fill="auto"/>
          </w:tcPr>
          <w:p w:rsidR="00D907AF" w:rsidRPr="005560DF" w:rsidRDefault="00D907AF" w:rsidP="00D907AF">
            <w:pPr>
              <w:spacing w:before="20" w:after="20"/>
              <w:jc w:val="right"/>
              <w:rPr>
                <w:rFonts w:cstheme="minorHAnsi"/>
                <w:b/>
                <w:sz w:val="20"/>
                <w:szCs w:val="20"/>
              </w:rPr>
            </w:pPr>
          </w:p>
        </w:tc>
        <w:tc>
          <w:tcPr>
            <w:tcW w:w="690" w:type="dxa"/>
            <w:tcBorders>
              <w:top w:val="single" w:sz="4" w:space="0" w:color="auto"/>
              <w:bottom w:val="single" w:sz="4" w:space="0" w:color="auto"/>
            </w:tcBorders>
            <w:shd w:val="clear" w:color="auto" w:fill="auto"/>
          </w:tcPr>
          <w:p w:rsidR="00D907AF" w:rsidRPr="0087485F" w:rsidRDefault="00D907AF" w:rsidP="00D907AF">
            <w:pPr>
              <w:spacing w:before="20" w:after="20"/>
              <w:jc w:val="right"/>
              <w:rPr>
                <w:rFonts w:cstheme="minorHAnsi"/>
                <w:b/>
                <w:sz w:val="20"/>
                <w:szCs w:val="20"/>
              </w:rPr>
            </w:pPr>
            <w:r w:rsidRPr="0087485F">
              <w:rPr>
                <w:rFonts w:cstheme="minorHAnsi"/>
                <w:b/>
                <w:sz w:val="20"/>
                <w:szCs w:val="20"/>
              </w:rPr>
              <w:t>1</w:t>
            </w:r>
            <w:r>
              <w:rPr>
                <w:rFonts w:cstheme="minorHAnsi"/>
                <w:b/>
                <w:sz w:val="20"/>
                <w:szCs w:val="20"/>
              </w:rPr>
              <w:t>,</w:t>
            </w:r>
            <w:r w:rsidRPr="0087485F">
              <w:rPr>
                <w:rFonts w:cstheme="minorHAnsi"/>
                <w:b/>
                <w:sz w:val="20"/>
                <w:szCs w:val="20"/>
              </w:rPr>
              <w:t>895</w:t>
            </w:r>
          </w:p>
        </w:tc>
        <w:tc>
          <w:tcPr>
            <w:tcW w:w="898" w:type="dxa"/>
            <w:tcBorders>
              <w:top w:val="single" w:sz="4" w:space="0" w:color="auto"/>
              <w:bottom w:val="single" w:sz="4" w:space="0" w:color="auto"/>
            </w:tcBorders>
            <w:shd w:val="clear" w:color="auto" w:fill="auto"/>
          </w:tcPr>
          <w:p w:rsidR="00D907AF" w:rsidRPr="0087485F" w:rsidRDefault="00D907AF" w:rsidP="00D907AF">
            <w:pPr>
              <w:spacing w:before="20" w:after="20"/>
              <w:jc w:val="right"/>
              <w:rPr>
                <w:rFonts w:cstheme="minorHAnsi"/>
                <w:b/>
                <w:sz w:val="20"/>
                <w:szCs w:val="20"/>
              </w:rPr>
            </w:pPr>
          </w:p>
        </w:tc>
      </w:tr>
    </w:tbl>
    <w:p w:rsidR="00D907AF" w:rsidRDefault="00D907AF" w:rsidP="00A645AB">
      <w:pPr>
        <w:pStyle w:val="NILSReference"/>
      </w:pPr>
      <w:r w:rsidRPr="00B01305">
        <w:t xml:space="preserve">Note: </w:t>
      </w:r>
      <w:r>
        <w:t xml:space="preserve">trial and comparison all ages; ‘Total’ indicates the number of respondents to answer this question; multiple response question; columns therefore do not add to 100. </w:t>
      </w:r>
    </w:p>
    <w:p w:rsidR="005B2D5F" w:rsidRDefault="005B2D5F" w:rsidP="00D907AF"/>
    <w:p w:rsidR="00D907AF" w:rsidRDefault="00D907AF" w:rsidP="00D907AF">
      <w:r>
        <w:t xml:space="preserve">An important aspect of the NDIS is its focus on early interventions. Early interventions are often longer term interventions, with benefits that may be realised in some, possibly distant, time in the future. In such cases, identifying and measuring the impact of specific early intervention supports within a short term study like the NDIS </w:t>
      </w:r>
      <w:r w:rsidR="00BD356D">
        <w:t>Evaluation</w:t>
      </w:r>
      <w:r>
        <w:t xml:space="preserve"> </w:t>
      </w:r>
      <w:r w:rsidR="00341557">
        <w:t>will likely</w:t>
      </w:r>
      <w:r>
        <w:t xml:space="preserve"> underestimate </w:t>
      </w:r>
      <w:r w:rsidR="00341557">
        <w:t xml:space="preserve">or miss </w:t>
      </w:r>
      <w:r>
        <w:t xml:space="preserve">benefits. </w:t>
      </w:r>
      <w:r w:rsidR="00341557">
        <w:t>B</w:t>
      </w:r>
      <w:r>
        <w:t xml:space="preserve">oth our data collection and analysis focus on the take up rate of such supports that are classified as early interventions, as the best indicator that can be collected today. External information about the longer term potential of these supports to influence longer term outcomes could be used as an approximation of their impact until a later point in time when evidence about the actual outcomes may become measurable. Table 3.20 presents the incidence of early intervention supports differentiating by age group and trial and comparison groups for the 1,454 people with disability who reported to be receiving any supports. </w:t>
      </w:r>
    </w:p>
    <w:p w:rsidR="00D907AF" w:rsidRDefault="00D907AF">
      <w:pPr>
        <w:rPr>
          <w:rFonts w:cstheme="minorHAnsi"/>
          <w:b/>
          <w:sz w:val="20"/>
          <w:szCs w:val="20"/>
        </w:rPr>
      </w:pPr>
      <w:bookmarkStart w:id="246" w:name="_Toc428280671"/>
    </w:p>
    <w:p w:rsidR="00D907AF" w:rsidRPr="00233E8A" w:rsidRDefault="00D907AF" w:rsidP="0044684E">
      <w:pPr>
        <w:pStyle w:val="NILSTableHeading"/>
      </w:pPr>
      <w:bookmarkStart w:id="247" w:name="_Toc449955282"/>
      <w:r w:rsidRPr="00233E8A">
        <w:t>Table 3.</w:t>
      </w:r>
      <w:r>
        <w:t>20</w:t>
      </w:r>
      <w:r w:rsidRPr="00233E8A">
        <w:t xml:space="preserve">: </w:t>
      </w:r>
      <w:r>
        <w:t>Respondents in receipt of an e</w:t>
      </w:r>
      <w:r w:rsidRPr="00233E8A">
        <w:t>arly intervention</w:t>
      </w:r>
      <w:r>
        <w:t xml:space="preserve"> by age group</w:t>
      </w:r>
      <w:bookmarkEnd w:id="246"/>
      <w:bookmarkEnd w:id="247"/>
    </w:p>
    <w:tbl>
      <w:tblPr>
        <w:tblStyle w:val="TableGrid"/>
        <w:tblW w:w="5032" w:type="pct"/>
        <w:tblInd w:w="108" w:type="dxa"/>
        <w:tblLayout w:type="fixed"/>
        <w:tblLook w:val="04A0" w:firstRow="1" w:lastRow="0" w:firstColumn="1" w:lastColumn="0" w:noHBand="0" w:noVBand="1"/>
        <w:tblCaption w:val="Table 3.20 Respondents in receipt of an early intervention by age group"/>
      </w:tblPr>
      <w:tblGrid>
        <w:gridCol w:w="1107"/>
        <w:gridCol w:w="659"/>
        <w:gridCol w:w="968"/>
        <w:gridCol w:w="665"/>
        <w:gridCol w:w="869"/>
        <w:gridCol w:w="663"/>
        <w:gridCol w:w="962"/>
        <w:gridCol w:w="661"/>
        <w:gridCol w:w="962"/>
        <w:gridCol w:w="663"/>
        <w:gridCol w:w="949"/>
      </w:tblGrid>
      <w:tr w:rsidR="006D4746" w:rsidRPr="00104AC9" w:rsidTr="00A90EBB">
        <w:trPr>
          <w:cantSplit/>
          <w:tblHeader/>
        </w:trPr>
        <w:tc>
          <w:tcPr>
            <w:tcW w:w="607" w:type="pct"/>
            <w:tcBorders>
              <w:top w:val="single" w:sz="4" w:space="0" w:color="auto"/>
              <w:bottom w:val="single" w:sz="4" w:space="0" w:color="auto"/>
            </w:tcBorders>
            <w:shd w:val="clear" w:color="auto" w:fill="auto"/>
          </w:tcPr>
          <w:p w:rsidR="00D907AF" w:rsidRPr="00104AC9" w:rsidRDefault="006074E4" w:rsidP="00BC69BF">
            <w:pPr>
              <w:spacing w:before="20" w:after="20"/>
              <w:rPr>
                <w:rFonts w:ascii="Calibri" w:hAnsi="Calibri" w:cs="Calibri"/>
                <w:sz w:val="18"/>
                <w:szCs w:val="18"/>
              </w:rPr>
            </w:pPr>
            <w:r w:rsidRPr="00104AC9">
              <w:rPr>
                <w:rFonts w:ascii="Calibri" w:hAnsi="Calibri" w:cs="Calibri"/>
                <w:sz w:val="18"/>
                <w:szCs w:val="18"/>
              </w:rPr>
              <w:t>E</w:t>
            </w:r>
            <w:bookmarkStart w:id="248" w:name="Title_3_20"/>
            <w:bookmarkEnd w:id="248"/>
            <w:r w:rsidRPr="00104AC9">
              <w:rPr>
                <w:rFonts w:ascii="Calibri" w:hAnsi="Calibri" w:cs="Calibri"/>
                <w:sz w:val="18"/>
                <w:szCs w:val="18"/>
              </w:rPr>
              <w:t>arly intervention supports</w:t>
            </w:r>
          </w:p>
        </w:tc>
        <w:tc>
          <w:tcPr>
            <w:tcW w:w="361" w:type="pct"/>
            <w:tcBorders>
              <w:top w:val="single" w:sz="4" w:space="0" w:color="auto"/>
              <w:bottom w:val="single" w:sz="4" w:space="0" w:color="auto"/>
            </w:tcBorders>
            <w:shd w:val="clear" w:color="auto" w:fill="auto"/>
            <w:vAlign w:val="bottom"/>
          </w:tcPr>
          <w:p w:rsidR="000C16F8" w:rsidRPr="00104AC9" w:rsidRDefault="000C16F8" w:rsidP="00CB5E1E">
            <w:pPr>
              <w:spacing w:before="20" w:after="20"/>
              <w:jc w:val="center"/>
              <w:rPr>
                <w:rFonts w:ascii="Calibri" w:hAnsi="Calibri" w:cs="Calibri"/>
                <w:sz w:val="18"/>
                <w:szCs w:val="18"/>
              </w:rPr>
            </w:pPr>
            <w:r w:rsidRPr="00104AC9">
              <w:rPr>
                <w:rFonts w:ascii="Calibri" w:hAnsi="Calibri" w:cs="Calibri"/>
                <w:sz w:val="18"/>
                <w:szCs w:val="18"/>
              </w:rPr>
              <w:t>Trial</w:t>
            </w:r>
          </w:p>
          <w:p w:rsidR="00D907AF" w:rsidRPr="00104AC9" w:rsidRDefault="00D907AF" w:rsidP="00CB5E1E">
            <w:pPr>
              <w:spacing w:before="20" w:after="20"/>
              <w:ind w:left="-110" w:right="-103"/>
              <w:jc w:val="center"/>
              <w:rPr>
                <w:rFonts w:ascii="Calibri" w:hAnsi="Calibri" w:cs="Calibri"/>
                <w:sz w:val="18"/>
                <w:szCs w:val="18"/>
              </w:rPr>
            </w:pPr>
            <w:r w:rsidRPr="00104AC9">
              <w:rPr>
                <w:rFonts w:ascii="Calibri" w:hAnsi="Calibri" w:cs="Calibri"/>
                <w:sz w:val="18"/>
                <w:szCs w:val="18"/>
              </w:rPr>
              <w:t xml:space="preserve">0 </w:t>
            </w:r>
            <w:r w:rsidR="00FD1AFC" w:rsidRPr="00104AC9">
              <w:rPr>
                <w:rFonts w:ascii="Calibri" w:hAnsi="Calibri" w:cs="Calibri"/>
                <w:sz w:val="18"/>
                <w:szCs w:val="18"/>
              </w:rPr>
              <w:t xml:space="preserve">to </w:t>
            </w:r>
            <w:r w:rsidRPr="00104AC9">
              <w:rPr>
                <w:rFonts w:ascii="Calibri" w:hAnsi="Calibri" w:cs="Calibri"/>
                <w:sz w:val="18"/>
                <w:szCs w:val="18"/>
              </w:rPr>
              <w:t>7</w:t>
            </w:r>
          </w:p>
        </w:tc>
        <w:tc>
          <w:tcPr>
            <w:tcW w:w="530" w:type="pct"/>
            <w:tcBorders>
              <w:top w:val="single" w:sz="4" w:space="0" w:color="auto"/>
              <w:bottom w:val="single" w:sz="4" w:space="0" w:color="auto"/>
            </w:tcBorders>
            <w:vAlign w:val="bottom"/>
          </w:tcPr>
          <w:p w:rsidR="00202F96" w:rsidRPr="00104AC9" w:rsidRDefault="000C16F8" w:rsidP="00CB5E1E">
            <w:pPr>
              <w:spacing w:before="20" w:after="20"/>
              <w:ind w:left="-122" w:right="-116"/>
              <w:jc w:val="center"/>
              <w:rPr>
                <w:rFonts w:ascii="Calibri" w:hAnsi="Calibri" w:cs="Calibri"/>
                <w:sz w:val="18"/>
                <w:szCs w:val="18"/>
              </w:rPr>
            </w:pPr>
            <w:r w:rsidRPr="00104AC9">
              <w:rPr>
                <w:rFonts w:ascii="Calibri" w:hAnsi="Calibri" w:cs="Calibri"/>
                <w:sz w:val="18"/>
                <w:szCs w:val="18"/>
              </w:rPr>
              <w:t>Comparison</w:t>
            </w:r>
          </w:p>
          <w:p w:rsidR="00D907AF" w:rsidRPr="00104AC9" w:rsidRDefault="00D907AF" w:rsidP="00CB5E1E">
            <w:pPr>
              <w:spacing w:before="20" w:after="20"/>
              <w:ind w:left="-122" w:right="-116"/>
              <w:jc w:val="center"/>
              <w:rPr>
                <w:rFonts w:ascii="Calibri" w:hAnsi="Calibri" w:cs="Calibri"/>
                <w:sz w:val="18"/>
                <w:szCs w:val="18"/>
              </w:rPr>
            </w:pPr>
            <w:r w:rsidRPr="00104AC9">
              <w:rPr>
                <w:rFonts w:ascii="Calibri" w:hAnsi="Calibri" w:cs="Calibri"/>
                <w:sz w:val="18"/>
                <w:szCs w:val="18"/>
              </w:rPr>
              <w:t>0</w:t>
            </w:r>
            <w:r w:rsidR="00FD1AFC" w:rsidRPr="00104AC9">
              <w:rPr>
                <w:rFonts w:ascii="Calibri" w:hAnsi="Calibri" w:cs="Calibri"/>
                <w:sz w:val="18"/>
                <w:szCs w:val="18"/>
              </w:rPr>
              <w:t xml:space="preserve"> to </w:t>
            </w:r>
            <w:r w:rsidRPr="00104AC9">
              <w:rPr>
                <w:rFonts w:ascii="Calibri" w:hAnsi="Calibri" w:cs="Calibri"/>
                <w:sz w:val="18"/>
                <w:szCs w:val="18"/>
              </w:rPr>
              <w:t>7</w:t>
            </w:r>
          </w:p>
        </w:tc>
        <w:tc>
          <w:tcPr>
            <w:tcW w:w="364" w:type="pct"/>
            <w:tcBorders>
              <w:top w:val="single" w:sz="4" w:space="0" w:color="auto"/>
              <w:bottom w:val="single" w:sz="4" w:space="0" w:color="auto"/>
            </w:tcBorders>
            <w:vAlign w:val="bottom"/>
          </w:tcPr>
          <w:p w:rsidR="000C16F8" w:rsidRPr="00104AC9" w:rsidRDefault="000C16F8" w:rsidP="00CB5E1E">
            <w:pPr>
              <w:spacing w:before="20" w:after="20"/>
              <w:jc w:val="center"/>
              <w:rPr>
                <w:rFonts w:ascii="Calibri" w:hAnsi="Calibri" w:cs="Calibri"/>
                <w:sz w:val="18"/>
                <w:szCs w:val="18"/>
              </w:rPr>
            </w:pPr>
            <w:r w:rsidRPr="00104AC9">
              <w:rPr>
                <w:rFonts w:ascii="Calibri" w:hAnsi="Calibri" w:cs="Calibri"/>
                <w:sz w:val="18"/>
                <w:szCs w:val="18"/>
              </w:rPr>
              <w:t>Trial</w:t>
            </w:r>
          </w:p>
          <w:p w:rsidR="00D907AF" w:rsidRPr="00104AC9" w:rsidRDefault="00D907AF" w:rsidP="00CB5E1E">
            <w:pPr>
              <w:spacing w:before="20" w:after="20"/>
              <w:ind w:left="-113" w:right="-104"/>
              <w:jc w:val="center"/>
              <w:rPr>
                <w:rFonts w:ascii="Calibri" w:hAnsi="Calibri" w:cs="Calibri"/>
                <w:sz w:val="18"/>
                <w:szCs w:val="18"/>
              </w:rPr>
            </w:pPr>
            <w:r w:rsidRPr="00104AC9">
              <w:rPr>
                <w:rFonts w:ascii="Calibri" w:hAnsi="Calibri" w:cs="Calibri"/>
                <w:sz w:val="18"/>
                <w:szCs w:val="18"/>
              </w:rPr>
              <w:t xml:space="preserve">8 </w:t>
            </w:r>
            <w:r w:rsidR="00FD1AFC" w:rsidRPr="00104AC9">
              <w:rPr>
                <w:rFonts w:ascii="Calibri" w:hAnsi="Calibri" w:cs="Calibri"/>
                <w:sz w:val="18"/>
                <w:szCs w:val="18"/>
              </w:rPr>
              <w:t xml:space="preserve">to </w:t>
            </w:r>
            <w:r w:rsidRPr="00104AC9">
              <w:rPr>
                <w:rFonts w:ascii="Calibri" w:hAnsi="Calibri" w:cs="Calibri"/>
                <w:sz w:val="18"/>
                <w:szCs w:val="18"/>
              </w:rPr>
              <w:t>15</w:t>
            </w:r>
          </w:p>
        </w:tc>
        <w:tc>
          <w:tcPr>
            <w:tcW w:w="476" w:type="pct"/>
            <w:tcBorders>
              <w:top w:val="single" w:sz="4" w:space="0" w:color="auto"/>
              <w:bottom w:val="single" w:sz="4" w:space="0" w:color="auto"/>
            </w:tcBorders>
            <w:vAlign w:val="bottom"/>
          </w:tcPr>
          <w:p w:rsidR="00D907AF" w:rsidRPr="00104AC9" w:rsidRDefault="000C16F8" w:rsidP="00CB5E1E">
            <w:pPr>
              <w:spacing w:before="20" w:after="20"/>
              <w:ind w:left="-110" w:right="-108"/>
              <w:jc w:val="center"/>
              <w:rPr>
                <w:rFonts w:ascii="Calibri" w:hAnsi="Calibri" w:cs="Calibri"/>
                <w:sz w:val="18"/>
                <w:szCs w:val="18"/>
              </w:rPr>
            </w:pPr>
            <w:r w:rsidRPr="00104AC9">
              <w:rPr>
                <w:rFonts w:ascii="Calibri" w:hAnsi="Calibri" w:cs="Calibri"/>
                <w:sz w:val="18"/>
                <w:szCs w:val="18"/>
              </w:rPr>
              <w:t xml:space="preserve">Comparison </w:t>
            </w:r>
            <w:r w:rsidR="00D907AF" w:rsidRPr="00104AC9">
              <w:rPr>
                <w:rFonts w:ascii="Calibri" w:hAnsi="Calibri" w:cs="Calibri"/>
                <w:sz w:val="18"/>
                <w:szCs w:val="18"/>
              </w:rPr>
              <w:t xml:space="preserve">8 </w:t>
            </w:r>
            <w:r w:rsidR="00FD1AFC" w:rsidRPr="00104AC9">
              <w:rPr>
                <w:rFonts w:ascii="Calibri" w:hAnsi="Calibri" w:cs="Calibri"/>
                <w:sz w:val="18"/>
                <w:szCs w:val="18"/>
              </w:rPr>
              <w:t>to</w:t>
            </w:r>
            <w:r w:rsidR="00D907AF" w:rsidRPr="00104AC9">
              <w:rPr>
                <w:rFonts w:ascii="Calibri" w:hAnsi="Calibri" w:cs="Calibri"/>
                <w:sz w:val="18"/>
                <w:szCs w:val="18"/>
              </w:rPr>
              <w:t>15</w:t>
            </w:r>
          </w:p>
        </w:tc>
        <w:tc>
          <w:tcPr>
            <w:tcW w:w="363" w:type="pct"/>
            <w:tcBorders>
              <w:top w:val="single" w:sz="4" w:space="0" w:color="auto"/>
              <w:bottom w:val="single" w:sz="4" w:space="0" w:color="auto"/>
            </w:tcBorders>
            <w:vAlign w:val="bottom"/>
          </w:tcPr>
          <w:p w:rsidR="009E41D8" w:rsidRDefault="006074E4" w:rsidP="00CB5E1E">
            <w:pPr>
              <w:spacing w:before="20" w:after="20"/>
              <w:ind w:left="-112" w:right="-104"/>
              <w:jc w:val="center"/>
              <w:rPr>
                <w:rFonts w:ascii="Calibri" w:hAnsi="Calibri" w:cs="Calibri"/>
                <w:sz w:val="18"/>
                <w:szCs w:val="18"/>
              </w:rPr>
            </w:pPr>
            <w:r w:rsidRPr="00104AC9">
              <w:rPr>
                <w:rFonts w:ascii="Calibri" w:hAnsi="Calibri" w:cs="Calibri"/>
                <w:sz w:val="18"/>
                <w:szCs w:val="18"/>
              </w:rPr>
              <w:t>Trial</w:t>
            </w:r>
          </w:p>
          <w:p w:rsidR="00D907AF" w:rsidRPr="00104AC9" w:rsidRDefault="00D907AF" w:rsidP="00CB5E1E">
            <w:pPr>
              <w:spacing w:before="20" w:after="20"/>
              <w:ind w:left="-112" w:right="-104"/>
              <w:jc w:val="center"/>
              <w:rPr>
                <w:rFonts w:ascii="Calibri" w:hAnsi="Calibri" w:cs="Calibri"/>
                <w:sz w:val="18"/>
                <w:szCs w:val="18"/>
              </w:rPr>
            </w:pPr>
            <w:r w:rsidRPr="00104AC9">
              <w:rPr>
                <w:rFonts w:ascii="Calibri" w:hAnsi="Calibri" w:cs="Calibri"/>
                <w:sz w:val="18"/>
                <w:szCs w:val="18"/>
              </w:rPr>
              <w:t xml:space="preserve">16 </w:t>
            </w:r>
            <w:r w:rsidR="00CB5E1E">
              <w:rPr>
                <w:rFonts w:ascii="Calibri" w:hAnsi="Calibri" w:cs="Calibri"/>
                <w:sz w:val="18"/>
                <w:szCs w:val="18"/>
              </w:rPr>
              <w:t xml:space="preserve">to </w:t>
            </w:r>
            <w:r w:rsidRPr="00104AC9">
              <w:rPr>
                <w:rFonts w:ascii="Calibri" w:hAnsi="Calibri" w:cs="Calibri"/>
                <w:sz w:val="18"/>
                <w:szCs w:val="18"/>
              </w:rPr>
              <w:t>17</w:t>
            </w:r>
          </w:p>
        </w:tc>
        <w:tc>
          <w:tcPr>
            <w:tcW w:w="527" w:type="pct"/>
            <w:tcBorders>
              <w:top w:val="single" w:sz="4" w:space="0" w:color="auto"/>
              <w:bottom w:val="single" w:sz="4" w:space="0" w:color="auto"/>
            </w:tcBorders>
            <w:vAlign w:val="bottom"/>
          </w:tcPr>
          <w:p w:rsidR="00D907AF" w:rsidRPr="00104AC9" w:rsidRDefault="006074E4" w:rsidP="00CB5E1E">
            <w:pPr>
              <w:spacing w:before="20" w:after="20"/>
              <w:ind w:left="-81" w:right="-107"/>
              <w:jc w:val="center"/>
              <w:rPr>
                <w:rFonts w:ascii="Calibri" w:hAnsi="Calibri" w:cs="Calibri"/>
                <w:sz w:val="18"/>
                <w:szCs w:val="18"/>
              </w:rPr>
            </w:pPr>
            <w:r w:rsidRPr="00104AC9">
              <w:rPr>
                <w:rFonts w:ascii="Calibri" w:hAnsi="Calibri" w:cs="Calibri"/>
                <w:sz w:val="18"/>
                <w:szCs w:val="18"/>
              </w:rPr>
              <w:t xml:space="preserve">Comparison </w:t>
            </w:r>
            <w:r w:rsidR="00D907AF" w:rsidRPr="00104AC9">
              <w:rPr>
                <w:rFonts w:ascii="Calibri" w:hAnsi="Calibri" w:cs="Calibri"/>
                <w:sz w:val="18"/>
                <w:szCs w:val="18"/>
              </w:rPr>
              <w:t xml:space="preserve">16 </w:t>
            </w:r>
            <w:r w:rsidR="00FD1AFC" w:rsidRPr="00104AC9">
              <w:rPr>
                <w:rFonts w:ascii="Calibri" w:hAnsi="Calibri" w:cs="Calibri"/>
                <w:sz w:val="18"/>
                <w:szCs w:val="18"/>
              </w:rPr>
              <w:t>to</w:t>
            </w:r>
            <w:r w:rsidR="00D907AF" w:rsidRPr="00104AC9">
              <w:rPr>
                <w:rFonts w:ascii="Calibri" w:hAnsi="Calibri" w:cs="Calibri"/>
                <w:sz w:val="18"/>
                <w:szCs w:val="18"/>
              </w:rPr>
              <w:t>17</w:t>
            </w:r>
          </w:p>
        </w:tc>
        <w:tc>
          <w:tcPr>
            <w:tcW w:w="362" w:type="pct"/>
            <w:tcBorders>
              <w:top w:val="single" w:sz="4" w:space="0" w:color="auto"/>
              <w:bottom w:val="single" w:sz="4" w:space="0" w:color="auto"/>
            </w:tcBorders>
            <w:vAlign w:val="bottom"/>
          </w:tcPr>
          <w:p w:rsidR="00D907AF" w:rsidRPr="00104AC9" w:rsidRDefault="006074E4" w:rsidP="00CB5E1E">
            <w:pPr>
              <w:spacing w:before="20" w:after="20"/>
              <w:jc w:val="center"/>
              <w:rPr>
                <w:rFonts w:ascii="Calibri" w:hAnsi="Calibri" w:cs="Calibri"/>
                <w:sz w:val="18"/>
                <w:szCs w:val="18"/>
              </w:rPr>
            </w:pPr>
            <w:r w:rsidRPr="00104AC9">
              <w:rPr>
                <w:rFonts w:ascii="Calibri" w:hAnsi="Calibri" w:cs="Calibri"/>
                <w:sz w:val="18"/>
                <w:szCs w:val="18"/>
              </w:rPr>
              <w:t xml:space="preserve">Trial </w:t>
            </w:r>
            <w:r w:rsidR="00D907AF" w:rsidRPr="00104AC9">
              <w:rPr>
                <w:rFonts w:ascii="Calibri" w:hAnsi="Calibri" w:cs="Calibri"/>
                <w:sz w:val="18"/>
                <w:szCs w:val="18"/>
              </w:rPr>
              <w:t>18+</w:t>
            </w:r>
          </w:p>
        </w:tc>
        <w:tc>
          <w:tcPr>
            <w:tcW w:w="527" w:type="pct"/>
            <w:tcBorders>
              <w:top w:val="single" w:sz="4" w:space="0" w:color="auto"/>
              <w:bottom w:val="single" w:sz="4" w:space="0" w:color="auto"/>
            </w:tcBorders>
            <w:vAlign w:val="bottom"/>
          </w:tcPr>
          <w:p w:rsidR="00D907AF" w:rsidRPr="00104AC9" w:rsidRDefault="006074E4" w:rsidP="00CB5E1E">
            <w:pPr>
              <w:spacing w:before="20" w:after="20"/>
              <w:ind w:left="-114" w:right="-103"/>
              <w:jc w:val="center"/>
              <w:rPr>
                <w:rFonts w:ascii="Calibri" w:hAnsi="Calibri" w:cs="Calibri"/>
                <w:sz w:val="18"/>
                <w:szCs w:val="18"/>
              </w:rPr>
            </w:pPr>
            <w:r w:rsidRPr="00104AC9">
              <w:rPr>
                <w:rFonts w:ascii="Calibri" w:hAnsi="Calibri" w:cs="Calibri"/>
                <w:sz w:val="18"/>
                <w:szCs w:val="18"/>
              </w:rPr>
              <w:t xml:space="preserve">Comparison </w:t>
            </w:r>
            <w:r w:rsidR="00D907AF" w:rsidRPr="00104AC9">
              <w:rPr>
                <w:rFonts w:ascii="Calibri" w:hAnsi="Calibri" w:cs="Calibri"/>
                <w:sz w:val="18"/>
                <w:szCs w:val="18"/>
              </w:rPr>
              <w:t>18+</w:t>
            </w:r>
          </w:p>
        </w:tc>
        <w:tc>
          <w:tcPr>
            <w:tcW w:w="363" w:type="pct"/>
            <w:tcBorders>
              <w:top w:val="single" w:sz="4" w:space="0" w:color="auto"/>
              <w:bottom w:val="single" w:sz="4" w:space="0" w:color="auto"/>
            </w:tcBorders>
            <w:vAlign w:val="bottom"/>
          </w:tcPr>
          <w:p w:rsidR="006074E4" w:rsidRPr="00104AC9" w:rsidRDefault="006074E4" w:rsidP="00CB5E1E">
            <w:pPr>
              <w:spacing w:before="20" w:after="20"/>
              <w:jc w:val="center"/>
              <w:rPr>
                <w:rFonts w:ascii="Calibri" w:hAnsi="Calibri" w:cs="Calibri"/>
                <w:b/>
                <w:sz w:val="18"/>
                <w:szCs w:val="18"/>
              </w:rPr>
            </w:pPr>
            <w:r w:rsidRPr="00104AC9">
              <w:rPr>
                <w:rFonts w:ascii="Calibri" w:hAnsi="Calibri" w:cs="Calibri"/>
                <w:b/>
                <w:sz w:val="18"/>
                <w:szCs w:val="18"/>
              </w:rPr>
              <w:t>Trial</w:t>
            </w:r>
          </w:p>
          <w:p w:rsidR="00D907AF" w:rsidRPr="00104AC9" w:rsidRDefault="00D907AF" w:rsidP="00905A9E">
            <w:pPr>
              <w:spacing w:before="20" w:after="20"/>
              <w:ind w:left="-148" w:right="-99"/>
              <w:jc w:val="center"/>
              <w:rPr>
                <w:rFonts w:ascii="Calibri" w:hAnsi="Calibri" w:cs="Calibri"/>
                <w:b/>
                <w:sz w:val="18"/>
                <w:szCs w:val="18"/>
              </w:rPr>
            </w:pPr>
            <w:r w:rsidRPr="00104AC9">
              <w:rPr>
                <w:rFonts w:ascii="Calibri" w:hAnsi="Calibri" w:cs="Calibri"/>
                <w:b/>
                <w:sz w:val="18"/>
                <w:szCs w:val="18"/>
              </w:rPr>
              <w:t>All ages</w:t>
            </w:r>
          </w:p>
        </w:tc>
        <w:tc>
          <w:tcPr>
            <w:tcW w:w="520" w:type="pct"/>
            <w:tcBorders>
              <w:top w:val="single" w:sz="4" w:space="0" w:color="auto"/>
              <w:bottom w:val="single" w:sz="4" w:space="0" w:color="auto"/>
            </w:tcBorders>
            <w:shd w:val="clear" w:color="auto" w:fill="auto"/>
            <w:vAlign w:val="bottom"/>
          </w:tcPr>
          <w:p w:rsidR="00202F96" w:rsidRPr="00104AC9" w:rsidRDefault="006074E4" w:rsidP="00CB5E1E">
            <w:pPr>
              <w:spacing w:before="20" w:after="20"/>
              <w:ind w:left="-110" w:right="-109"/>
              <w:jc w:val="center"/>
              <w:rPr>
                <w:rFonts w:ascii="Calibri" w:hAnsi="Calibri" w:cs="Calibri"/>
                <w:b/>
                <w:sz w:val="18"/>
                <w:szCs w:val="18"/>
              </w:rPr>
            </w:pPr>
            <w:r w:rsidRPr="00104AC9">
              <w:rPr>
                <w:rFonts w:ascii="Calibri" w:hAnsi="Calibri" w:cs="Calibri"/>
                <w:b/>
                <w:sz w:val="18"/>
                <w:szCs w:val="18"/>
              </w:rPr>
              <w:t>Comparison</w:t>
            </w:r>
          </w:p>
          <w:p w:rsidR="00D907AF" w:rsidRPr="00104AC9" w:rsidRDefault="00D907AF" w:rsidP="00CB5E1E">
            <w:pPr>
              <w:spacing w:before="20" w:after="20"/>
              <w:jc w:val="center"/>
              <w:rPr>
                <w:rFonts w:ascii="Calibri" w:hAnsi="Calibri" w:cs="Calibri"/>
                <w:b/>
                <w:sz w:val="18"/>
                <w:szCs w:val="18"/>
              </w:rPr>
            </w:pPr>
            <w:r w:rsidRPr="00104AC9">
              <w:rPr>
                <w:rFonts w:ascii="Calibri" w:hAnsi="Calibri" w:cs="Calibri"/>
                <w:b/>
                <w:sz w:val="18"/>
                <w:szCs w:val="18"/>
              </w:rPr>
              <w:t>All ages</w:t>
            </w:r>
          </w:p>
        </w:tc>
      </w:tr>
      <w:tr w:rsidR="006D4746" w:rsidRPr="00104AC9" w:rsidTr="00A90EBB">
        <w:trPr>
          <w:trHeight w:val="150"/>
        </w:trPr>
        <w:tc>
          <w:tcPr>
            <w:tcW w:w="607" w:type="pct"/>
            <w:shd w:val="clear" w:color="auto" w:fill="auto"/>
          </w:tcPr>
          <w:p w:rsidR="00A645AB" w:rsidRPr="00104AC9" w:rsidRDefault="00A645AB" w:rsidP="00D907AF">
            <w:pPr>
              <w:spacing w:before="20" w:after="20"/>
              <w:rPr>
                <w:rFonts w:ascii="Calibri" w:hAnsi="Calibri" w:cs="Calibri"/>
                <w:sz w:val="18"/>
                <w:szCs w:val="18"/>
              </w:rPr>
            </w:pPr>
            <w:r w:rsidRPr="00104AC9">
              <w:rPr>
                <w:rFonts w:ascii="Calibri" w:hAnsi="Calibri" w:cs="Calibri"/>
                <w:sz w:val="18"/>
                <w:szCs w:val="18"/>
              </w:rPr>
              <w:t>Yes</w:t>
            </w:r>
          </w:p>
        </w:tc>
        <w:tc>
          <w:tcPr>
            <w:tcW w:w="361" w:type="pct"/>
            <w:shd w:val="clear" w:color="auto" w:fill="E2E2E2"/>
            <w:vAlign w:val="center"/>
          </w:tcPr>
          <w:p w:rsidR="00A645AB" w:rsidRPr="00104AC9" w:rsidRDefault="00A645AB" w:rsidP="00A645AB">
            <w:pPr>
              <w:spacing w:before="20" w:after="20"/>
              <w:jc w:val="right"/>
              <w:rPr>
                <w:rFonts w:ascii="Calibri" w:hAnsi="Calibri" w:cs="Calibri"/>
                <w:sz w:val="18"/>
                <w:szCs w:val="18"/>
              </w:rPr>
            </w:pPr>
            <w:r w:rsidRPr="00104AC9">
              <w:rPr>
                <w:rFonts w:ascii="Calibri" w:hAnsi="Calibri" w:cs="Calibri"/>
                <w:sz w:val="18"/>
                <w:szCs w:val="18"/>
              </w:rPr>
              <w:t>243</w:t>
            </w:r>
          </w:p>
        </w:tc>
        <w:tc>
          <w:tcPr>
            <w:tcW w:w="530" w:type="pct"/>
            <w:vAlign w:val="center"/>
          </w:tcPr>
          <w:p w:rsidR="00A645AB" w:rsidRPr="00104AC9" w:rsidRDefault="00A645AB" w:rsidP="00104AC9">
            <w:pPr>
              <w:spacing w:before="20" w:after="20"/>
              <w:ind w:right="170"/>
              <w:jc w:val="right"/>
              <w:rPr>
                <w:rFonts w:ascii="Calibri" w:hAnsi="Calibri" w:cs="Calibri"/>
                <w:sz w:val="18"/>
                <w:szCs w:val="18"/>
              </w:rPr>
            </w:pPr>
            <w:r w:rsidRPr="00104AC9">
              <w:rPr>
                <w:rFonts w:ascii="Calibri" w:hAnsi="Calibri" w:cs="Calibri"/>
                <w:sz w:val="18"/>
                <w:szCs w:val="18"/>
              </w:rPr>
              <w:t>61</w:t>
            </w:r>
          </w:p>
        </w:tc>
        <w:tc>
          <w:tcPr>
            <w:tcW w:w="364" w:type="pct"/>
            <w:shd w:val="clear" w:color="auto" w:fill="E2E2E2"/>
            <w:vAlign w:val="center"/>
          </w:tcPr>
          <w:p w:rsidR="00A645AB" w:rsidRPr="00104AC9" w:rsidRDefault="00A645AB" w:rsidP="00A645AB">
            <w:pPr>
              <w:tabs>
                <w:tab w:val="decimal" w:pos="347"/>
              </w:tabs>
              <w:spacing w:before="20" w:after="20"/>
              <w:jc w:val="right"/>
              <w:rPr>
                <w:rFonts w:ascii="Calibri" w:hAnsi="Calibri" w:cs="Calibri"/>
                <w:sz w:val="18"/>
                <w:szCs w:val="18"/>
              </w:rPr>
            </w:pPr>
            <w:r w:rsidRPr="00104AC9">
              <w:rPr>
                <w:rFonts w:ascii="Calibri" w:hAnsi="Calibri" w:cs="Calibri"/>
                <w:sz w:val="18"/>
                <w:szCs w:val="18"/>
              </w:rPr>
              <w:t>12</w:t>
            </w:r>
          </w:p>
        </w:tc>
        <w:tc>
          <w:tcPr>
            <w:tcW w:w="476" w:type="pct"/>
            <w:vAlign w:val="center"/>
          </w:tcPr>
          <w:p w:rsidR="00A645AB" w:rsidRPr="00104AC9" w:rsidRDefault="00A645AB" w:rsidP="00104AC9">
            <w:pPr>
              <w:spacing w:before="20" w:after="20"/>
              <w:ind w:right="113"/>
              <w:jc w:val="right"/>
              <w:rPr>
                <w:rFonts w:ascii="Calibri" w:hAnsi="Calibri" w:cs="Calibri"/>
                <w:sz w:val="18"/>
                <w:szCs w:val="18"/>
              </w:rPr>
            </w:pPr>
            <w:r w:rsidRPr="00104AC9">
              <w:rPr>
                <w:rFonts w:ascii="Calibri" w:hAnsi="Calibri" w:cs="Calibri"/>
                <w:sz w:val="18"/>
                <w:szCs w:val="18"/>
              </w:rPr>
              <w:t>21</w:t>
            </w:r>
          </w:p>
        </w:tc>
        <w:tc>
          <w:tcPr>
            <w:tcW w:w="363" w:type="pct"/>
            <w:shd w:val="clear" w:color="auto" w:fill="E2E2E2"/>
            <w:vAlign w:val="center"/>
          </w:tcPr>
          <w:p w:rsidR="00A645AB" w:rsidRPr="00104AC9" w:rsidRDefault="00A645AB" w:rsidP="00A645AB">
            <w:pPr>
              <w:spacing w:before="20" w:after="20"/>
              <w:jc w:val="right"/>
              <w:rPr>
                <w:rFonts w:ascii="Calibri" w:hAnsi="Calibri" w:cs="Calibri"/>
                <w:sz w:val="18"/>
                <w:szCs w:val="18"/>
              </w:rPr>
            </w:pPr>
            <w:r w:rsidRPr="00104AC9">
              <w:rPr>
                <w:rFonts w:ascii="Calibri" w:hAnsi="Calibri" w:cs="Calibri"/>
                <w:sz w:val="18"/>
                <w:szCs w:val="18"/>
              </w:rPr>
              <w:t>2</w:t>
            </w:r>
          </w:p>
        </w:tc>
        <w:tc>
          <w:tcPr>
            <w:tcW w:w="527" w:type="pct"/>
            <w:vAlign w:val="center"/>
          </w:tcPr>
          <w:p w:rsidR="00A645AB" w:rsidRPr="00104AC9" w:rsidRDefault="00A645AB" w:rsidP="00104AC9">
            <w:pPr>
              <w:spacing w:before="20" w:after="20"/>
              <w:ind w:right="170"/>
              <w:jc w:val="right"/>
              <w:rPr>
                <w:rFonts w:ascii="Calibri" w:hAnsi="Calibri" w:cs="Calibri"/>
                <w:sz w:val="18"/>
                <w:szCs w:val="18"/>
              </w:rPr>
            </w:pPr>
            <w:r w:rsidRPr="00104AC9">
              <w:rPr>
                <w:rFonts w:ascii="Calibri" w:hAnsi="Calibri" w:cs="Calibri"/>
                <w:sz w:val="18"/>
                <w:szCs w:val="18"/>
              </w:rPr>
              <w:t>6</w:t>
            </w:r>
          </w:p>
        </w:tc>
        <w:tc>
          <w:tcPr>
            <w:tcW w:w="362" w:type="pct"/>
            <w:shd w:val="clear" w:color="auto" w:fill="E2E2E2"/>
            <w:vAlign w:val="center"/>
          </w:tcPr>
          <w:p w:rsidR="00A645AB" w:rsidRPr="00104AC9" w:rsidRDefault="00A645AB" w:rsidP="00A645AB">
            <w:pPr>
              <w:spacing w:before="20" w:after="20"/>
              <w:jc w:val="right"/>
              <w:rPr>
                <w:rFonts w:ascii="Calibri" w:hAnsi="Calibri" w:cs="Calibri"/>
                <w:sz w:val="18"/>
                <w:szCs w:val="18"/>
              </w:rPr>
            </w:pPr>
            <w:r w:rsidRPr="00104AC9">
              <w:rPr>
                <w:rFonts w:ascii="Calibri" w:hAnsi="Calibri" w:cs="Calibri"/>
                <w:sz w:val="18"/>
                <w:szCs w:val="18"/>
              </w:rPr>
              <w:t>55</w:t>
            </w:r>
          </w:p>
        </w:tc>
        <w:tc>
          <w:tcPr>
            <w:tcW w:w="527" w:type="pct"/>
            <w:vAlign w:val="center"/>
          </w:tcPr>
          <w:p w:rsidR="00A645AB" w:rsidRPr="00104AC9" w:rsidRDefault="00A645AB" w:rsidP="00104AC9">
            <w:pPr>
              <w:spacing w:before="20" w:after="20"/>
              <w:ind w:right="170"/>
              <w:jc w:val="right"/>
              <w:rPr>
                <w:rFonts w:ascii="Calibri" w:hAnsi="Calibri" w:cs="Calibri"/>
                <w:sz w:val="18"/>
                <w:szCs w:val="18"/>
              </w:rPr>
            </w:pPr>
            <w:r w:rsidRPr="00104AC9">
              <w:rPr>
                <w:rFonts w:ascii="Calibri" w:hAnsi="Calibri" w:cs="Calibri"/>
                <w:sz w:val="18"/>
                <w:szCs w:val="18"/>
              </w:rPr>
              <w:t>36</w:t>
            </w:r>
          </w:p>
        </w:tc>
        <w:tc>
          <w:tcPr>
            <w:tcW w:w="363" w:type="pct"/>
            <w:shd w:val="clear" w:color="auto" w:fill="E2E2E2"/>
            <w:vAlign w:val="center"/>
          </w:tcPr>
          <w:p w:rsidR="00A645AB" w:rsidRPr="00104AC9" w:rsidRDefault="00A645AB" w:rsidP="00027734">
            <w:pPr>
              <w:spacing w:before="20" w:after="20"/>
              <w:ind w:right="43"/>
              <w:jc w:val="right"/>
              <w:rPr>
                <w:rFonts w:ascii="Calibri" w:hAnsi="Calibri" w:cs="Calibri"/>
                <w:b/>
                <w:sz w:val="18"/>
                <w:szCs w:val="18"/>
              </w:rPr>
            </w:pPr>
            <w:r w:rsidRPr="00104AC9">
              <w:rPr>
                <w:rFonts w:ascii="Calibri" w:hAnsi="Calibri" w:cs="Calibri"/>
                <w:b/>
                <w:sz w:val="18"/>
                <w:szCs w:val="18"/>
              </w:rPr>
              <w:t>312</w:t>
            </w:r>
          </w:p>
        </w:tc>
        <w:tc>
          <w:tcPr>
            <w:tcW w:w="520" w:type="pct"/>
            <w:shd w:val="clear" w:color="auto" w:fill="auto"/>
            <w:vAlign w:val="center"/>
          </w:tcPr>
          <w:p w:rsidR="00A645AB" w:rsidRPr="00104AC9" w:rsidRDefault="00A645AB" w:rsidP="00104AC9">
            <w:pPr>
              <w:spacing w:before="20" w:after="20"/>
              <w:ind w:right="170"/>
              <w:jc w:val="right"/>
              <w:rPr>
                <w:rFonts w:ascii="Calibri" w:hAnsi="Calibri" w:cs="Calibri"/>
                <w:b/>
                <w:sz w:val="18"/>
                <w:szCs w:val="18"/>
              </w:rPr>
            </w:pPr>
            <w:r w:rsidRPr="00104AC9">
              <w:rPr>
                <w:rFonts w:ascii="Calibri" w:hAnsi="Calibri" w:cs="Calibri"/>
                <w:b/>
                <w:sz w:val="18"/>
                <w:szCs w:val="18"/>
              </w:rPr>
              <w:t>124</w:t>
            </w:r>
          </w:p>
        </w:tc>
      </w:tr>
      <w:tr w:rsidR="006D4746" w:rsidRPr="00104AC9" w:rsidTr="00A90EBB">
        <w:tc>
          <w:tcPr>
            <w:tcW w:w="607" w:type="pct"/>
            <w:shd w:val="clear" w:color="auto" w:fill="auto"/>
          </w:tcPr>
          <w:p w:rsidR="00A645AB" w:rsidRPr="00104AC9" w:rsidRDefault="00A645AB" w:rsidP="00D907AF">
            <w:pPr>
              <w:spacing w:before="20" w:after="20"/>
              <w:rPr>
                <w:rFonts w:ascii="Calibri" w:hAnsi="Calibri" w:cs="Calibri"/>
                <w:sz w:val="18"/>
                <w:szCs w:val="18"/>
              </w:rPr>
            </w:pPr>
            <w:r w:rsidRPr="00104AC9">
              <w:rPr>
                <w:rFonts w:ascii="Calibri" w:hAnsi="Calibri" w:cs="Calibri"/>
                <w:sz w:val="18"/>
                <w:szCs w:val="18"/>
              </w:rPr>
              <w:t>Yes  %</w:t>
            </w:r>
          </w:p>
        </w:tc>
        <w:tc>
          <w:tcPr>
            <w:tcW w:w="361" w:type="pct"/>
            <w:shd w:val="clear" w:color="auto" w:fill="E2E2E2"/>
            <w:vAlign w:val="center"/>
          </w:tcPr>
          <w:p w:rsidR="00A645AB" w:rsidRPr="00104AC9" w:rsidRDefault="00A645AB" w:rsidP="00D907AF">
            <w:pPr>
              <w:spacing w:before="20" w:after="20"/>
              <w:jc w:val="right"/>
              <w:rPr>
                <w:rFonts w:ascii="Calibri" w:hAnsi="Calibri" w:cs="Calibri"/>
                <w:sz w:val="18"/>
                <w:szCs w:val="18"/>
              </w:rPr>
            </w:pPr>
            <w:r w:rsidRPr="00104AC9">
              <w:rPr>
                <w:rFonts w:ascii="Calibri" w:hAnsi="Calibri" w:cs="Calibri"/>
                <w:sz w:val="18"/>
                <w:szCs w:val="18"/>
              </w:rPr>
              <w:t>75.2</w:t>
            </w:r>
          </w:p>
        </w:tc>
        <w:tc>
          <w:tcPr>
            <w:tcW w:w="530" w:type="pct"/>
            <w:vAlign w:val="center"/>
          </w:tcPr>
          <w:p w:rsidR="00A645AB" w:rsidRPr="00104AC9" w:rsidRDefault="00A645AB" w:rsidP="00104AC9">
            <w:pPr>
              <w:spacing w:before="20" w:after="20"/>
              <w:ind w:right="170"/>
              <w:jc w:val="right"/>
              <w:rPr>
                <w:rFonts w:ascii="Calibri" w:hAnsi="Calibri" w:cs="Calibri"/>
                <w:sz w:val="18"/>
                <w:szCs w:val="18"/>
              </w:rPr>
            </w:pPr>
            <w:r w:rsidRPr="00104AC9">
              <w:rPr>
                <w:rFonts w:ascii="Calibri" w:hAnsi="Calibri" w:cs="Calibri"/>
                <w:sz w:val="18"/>
                <w:szCs w:val="18"/>
              </w:rPr>
              <w:t>57.5</w:t>
            </w:r>
          </w:p>
        </w:tc>
        <w:tc>
          <w:tcPr>
            <w:tcW w:w="364" w:type="pct"/>
            <w:shd w:val="clear" w:color="auto" w:fill="E2E2E2"/>
            <w:vAlign w:val="center"/>
          </w:tcPr>
          <w:p w:rsidR="00A645AB" w:rsidRPr="00104AC9" w:rsidRDefault="00411141" w:rsidP="00D907AF">
            <w:pPr>
              <w:tabs>
                <w:tab w:val="decimal" w:pos="347"/>
              </w:tabs>
              <w:spacing w:before="20" w:after="20"/>
              <w:jc w:val="right"/>
              <w:rPr>
                <w:rFonts w:ascii="Calibri" w:hAnsi="Calibri" w:cs="Calibri"/>
                <w:sz w:val="18"/>
                <w:szCs w:val="18"/>
              </w:rPr>
            </w:pPr>
            <w:r w:rsidRPr="00104AC9">
              <w:rPr>
                <w:rFonts w:ascii="Calibri" w:hAnsi="Calibri" w:cs="Calibri"/>
                <w:sz w:val="18"/>
                <w:szCs w:val="18"/>
              </w:rPr>
              <w:t>14.5</w:t>
            </w:r>
          </w:p>
        </w:tc>
        <w:tc>
          <w:tcPr>
            <w:tcW w:w="476" w:type="pct"/>
            <w:vAlign w:val="center"/>
          </w:tcPr>
          <w:p w:rsidR="00A645AB" w:rsidRPr="00104AC9" w:rsidRDefault="00A645AB" w:rsidP="00104AC9">
            <w:pPr>
              <w:spacing w:before="20" w:after="20"/>
              <w:ind w:right="113"/>
              <w:jc w:val="right"/>
              <w:rPr>
                <w:rFonts w:ascii="Calibri" w:hAnsi="Calibri" w:cs="Calibri"/>
                <w:sz w:val="18"/>
                <w:szCs w:val="18"/>
              </w:rPr>
            </w:pPr>
            <w:r w:rsidRPr="00104AC9">
              <w:rPr>
                <w:rFonts w:ascii="Calibri" w:hAnsi="Calibri" w:cs="Calibri"/>
                <w:sz w:val="18"/>
                <w:szCs w:val="18"/>
              </w:rPr>
              <w:t>19.6</w:t>
            </w:r>
          </w:p>
        </w:tc>
        <w:tc>
          <w:tcPr>
            <w:tcW w:w="363" w:type="pct"/>
            <w:shd w:val="clear" w:color="auto" w:fill="E2E2E2"/>
          </w:tcPr>
          <w:p w:rsidR="00A645AB" w:rsidRPr="00104AC9" w:rsidRDefault="00411141" w:rsidP="00D907AF">
            <w:pPr>
              <w:spacing w:before="20" w:after="20"/>
              <w:jc w:val="right"/>
              <w:rPr>
                <w:rFonts w:ascii="Calibri" w:hAnsi="Calibri" w:cs="Calibri"/>
                <w:sz w:val="18"/>
                <w:szCs w:val="18"/>
              </w:rPr>
            </w:pPr>
            <w:r w:rsidRPr="00104AC9">
              <w:rPr>
                <w:rFonts w:ascii="Calibri" w:hAnsi="Calibri" w:cs="Calibri"/>
                <w:sz w:val="18"/>
                <w:szCs w:val="18"/>
              </w:rPr>
              <w:t>6.1</w:t>
            </w:r>
          </w:p>
        </w:tc>
        <w:tc>
          <w:tcPr>
            <w:tcW w:w="527" w:type="pct"/>
          </w:tcPr>
          <w:p w:rsidR="00A645AB" w:rsidRPr="00104AC9" w:rsidRDefault="00411141" w:rsidP="00104AC9">
            <w:pPr>
              <w:spacing w:before="20" w:after="20"/>
              <w:ind w:right="170"/>
              <w:jc w:val="right"/>
              <w:rPr>
                <w:rFonts w:ascii="Calibri" w:hAnsi="Calibri" w:cs="Calibri"/>
                <w:sz w:val="18"/>
                <w:szCs w:val="18"/>
              </w:rPr>
            </w:pPr>
            <w:r w:rsidRPr="00104AC9">
              <w:rPr>
                <w:rFonts w:ascii="Calibri" w:hAnsi="Calibri" w:cs="Calibri"/>
                <w:sz w:val="18"/>
                <w:szCs w:val="18"/>
              </w:rPr>
              <w:t>15.4</w:t>
            </w:r>
          </w:p>
        </w:tc>
        <w:tc>
          <w:tcPr>
            <w:tcW w:w="362" w:type="pct"/>
            <w:shd w:val="clear" w:color="auto" w:fill="E2E2E2"/>
          </w:tcPr>
          <w:p w:rsidR="00A645AB" w:rsidRPr="00104AC9" w:rsidRDefault="00A645AB" w:rsidP="00D907AF">
            <w:pPr>
              <w:spacing w:before="20" w:after="20"/>
              <w:jc w:val="right"/>
              <w:rPr>
                <w:rFonts w:ascii="Calibri" w:hAnsi="Calibri" w:cs="Calibri"/>
                <w:sz w:val="18"/>
                <w:szCs w:val="18"/>
              </w:rPr>
            </w:pPr>
            <w:r w:rsidRPr="00104AC9">
              <w:rPr>
                <w:rFonts w:ascii="Calibri" w:hAnsi="Calibri" w:cs="Calibri"/>
                <w:sz w:val="18"/>
                <w:szCs w:val="18"/>
              </w:rPr>
              <w:t>12.9</w:t>
            </w:r>
          </w:p>
        </w:tc>
        <w:tc>
          <w:tcPr>
            <w:tcW w:w="527" w:type="pct"/>
          </w:tcPr>
          <w:p w:rsidR="00A645AB" w:rsidRPr="00104AC9" w:rsidRDefault="00411141" w:rsidP="00104AC9">
            <w:pPr>
              <w:spacing w:before="20" w:after="20"/>
              <w:ind w:right="170"/>
              <w:jc w:val="right"/>
              <w:rPr>
                <w:rFonts w:ascii="Calibri" w:hAnsi="Calibri" w:cs="Calibri"/>
                <w:sz w:val="18"/>
                <w:szCs w:val="18"/>
              </w:rPr>
            </w:pPr>
            <w:r w:rsidRPr="00104AC9">
              <w:rPr>
                <w:rFonts w:ascii="Calibri" w:hAnsi="Calibri" w:cs="Calibri"/>
                <w:sz w:val="18"/>
                <w:szCs w:val="18"/>
              </w:rPr>
              <w:t>10.7</w:t>
            </w:r>
          </w:p>
        </w:tc>
        <w:tc>
          <w:tcPr>
            <w:tcW w:w="363" w:type="pct"/>
            <w:shd w:val="clear" w:color="auto" w:fill="E2E2E2"/>
            <w:vAlign w:val="center"/>
          </w:tcPr>
          <w:p w:rsidR="00A645AB" w:rsidRPr="00104AC9" w:rsidRDefault="00411141" w:rsidP="00027734">
            <w:pPr>
              <w:spacing w:before="20" w:after="20"/>
              <w:ind w:right="43"/>
              <w:jc w:val="right"/>
              <w:rPr>
                <w:rFonts w:ascii="Calibri" w:hAnsi="Calibri" w:cs="Calibri"/>
                <w:b/>
                <w:sz w:val="18"/>
                <w:szCs w:val="18"/>
              </w:rPr>
            </w:pPr>
            <w:r w:rsidRPr="00104AC9">
              <w:rPr>
                <w:rFonts w:ascii="Calibri" w:hAnsi="Calibri" w:cs="Calibri"/>
                <w:b/>
                <w:sz w:val="18"/>
                <w:szCs w:val="18"/>
              </w:rPr>
              <w:t>36.0</w:t>
            </w:r>
          </w:p>
        </w:tc>
        <w:tc>
          <w:tcPr>
            <w:tcW w:w="520" w:type="pct"/>
            <w:shd w:val="clear" w:color="auto" w:fill="auto"/>
            <w:vAlign w:val="center"/>
          </w:tcPr>
          <w:p w:rsidR="00A645AB" w:rsidRPr="00104AC9" w:rsidRDefault="00411141" w:rsidP="00104AC9">
            <w:pPr>
              <w:spacing w:before="20" w:after="20"/>
              <w:ind w:right="170"/>
              <w:jc w:val="right"/>
              <w:rPr>
                <w:rFonts w:ascii="Calibri" w:hAnsi="Calibri" w:cs="Calibri"/>
                <w:b/>
                <w:sz w:val="18"/>
                <w:szCs w:val="18"/>
              </w:rPr>
            </w:pPr>
            <w:r w:rsidRPr="00104AC9">
              <w:rPr>
                <w:rFonts w:ascii="Calibri" w:hAnsi="Calibri" w:cs="Calibri"/>
                <w:b/>
                <w:sz w:val="18"/>
                <w:szCs w:val="18"/>
              </w:rPr>
              <w:t>21.1</w:t>
            </w:r>
          </w:p>
        </w:tc>
      </w:tr>
      <w:tr w:rsidR="006D4746" w:rsidRPr="00104AC9" w:rsidTr="00A90EBB">
        <w:tc>
          <w:tcPr>
            <w:tcW w:w="607" w:type="pct"/>
            <w:shd w:val="clear" w:color="auto" w:fill="auto"/>
          </w:tcPr>
          <w:p w:rsidR="00D907AF" w:rsidRPr="00104AC9" w:rsidRDefault="00D907AF" w:rsidP="00D907AF">
            <w:pPr>
              <w:spacing w:before="20" w:after="20"/>
              <w:rPr>
                <w:rFonts w:ascii="Calibri" w:hAnsi="Calibri" w:cs="Calibri"/>
                <w:sz w:val="18"/>
                <w:szCs w:val="18"/>
              </w:rPr>
            </w:pPr>
            <w:r w:rsidRPr="00104AC9">
              <w:rPr>
                <w:rFonts w:ascii="Calibri" w:hAnsi="Calibri" w:cs="Calibri"/>
                <w:sz w:val="18"/>
                <w:szCs w:val="18"/>
              </w:rPr>
              <w:t>No</w:t>
            </w:r>
          </w:p>
        </w:tc>
        <w:tc>
          <w:tcPr>
            <w:tcW w:w="361" w:type="pct"/>
            <w:shd w:val="clear" w:color="auto" w:fill="E2E2E2"/>
            <w:vAlign w:val="center"/>
          </w:tcPr>
          <w:p w:rsidR="00D907AF" w:rsidRPr="00104AC9" w:rsidRDefault="00D907AF" w:rsidP="00411141">
            <w:pPr>
              <w:spacing w:before="20" w:after="20"/>
              <w:jc w:val="right"/>
              <w:rPr>
                <w:rFonts w:ascii="Calibri" w:hAnsi="Calibri" w:cs="Calibri"/>
                <w:sz w:val="18"/>
                <w:szCs w:val="18"/>
              </w:rPr>
            </w:pPr>
            <w:r w:rsidRPr="00104AC9">
              <w:rPr>
                <w:rFonts w:ascii="Calibri" w:hAnsi="Calibri" w:cs="Calibri"/>
                <w:sz w:val="18"/>
                <w:szCs w:val="18"/>
              </w:rPr>
              <w:t>41</w:t>
            </w:r>
          </w:p>
        </w:tc>
        <w:tc>
          <w:tcPr>
            <w:tcW w:w="530" w:type="pct"/>
            <w:vAlign w:val="center"/>
          </w:tcPr>
          <w:p w:rsidR="00D907AF" w:rsidRPr="00104AC9" w:rsidRDefault="00D907AF" w:rsidP="00104AC9">
            <w:pPr>
              <w:spacing w:before="20" w:after="20"/>
              <w:ind w:right="170"/>
              <w:jc w:val="right"/>
              <w:rPr>
                <w:rFonts w:ascii="Calibri" w:hAnsi="Calibri" w:cs="Calibri"/>
                <w:sz w:val="18"/>
                <w:szCs w:val="18"/>
              </w:rPr>
            </w:pPr>
            <w:r w:rsidRPr="00104AC9">
              <w:rPr>
                <w:rFonts w:ascii="Calibri" w:hAnsi="Calibri" w:cs="Calibri"/>
                <w:sz w:val="18"/>
                <w:szCs w:val="18"/>
              </w:rPr>
              <w:t>37</w:t>
            </w:r>
          </w:p>
        </w:tc>
        <w:tc>
          <w:tcPr>
            <w:tcW w:w="364" w:type="pct"/>
            <w:shd w:val="clear" w:color="auto" w:fill="E2E2E2"/>
            <w:vAlign w:val="center"/>
          </w:tcPr>
          <w:p w:rsidR="00D907AF" w:rsidRPr="00104AC9" w:rsidRDefault="00D907AF" w:rsidP="00411141">
            <w:pPr>
              <w:tabs>
                <w:tab w:val="decimal" w:pos="347"/>
              </w:tabs>
              <w:spacing w:before="20" w:after="20"/>
              <w:jc w:val="right"/>
              <w:rPr>
                <w:rFonts w:ascii="Calibri" w:hAnsi="Calibri" w:cs="Calibri"/>
                <w:sz w:val="18"/>
                <w:szCs w:val="18"/>
              </w:rPr>
            </w:pPr>
            <w:r w:rsidRPr="00104AC9">
              <w:rPr>
                <w:rFonts w:ascii="Calibri" w:hAnsi="Calibri" w:cs="Calibri"/>
                <w:sz w:val="18"/>
                <w:szCs w:val="18"/>
              </w:rPr>
              <w:t>59</w:t>
            </w:r>
          </w:p>
        </w:tc>
        <w:tc>
          <w:tcPr>
            <w:tcW w:w="476" w:type="pct"/>
            <w:vAlign w:val="center"/>
          </w:tcPr>
          <w:p w:rsidR="00D907AF" w:rsidRPr="00104AC9" w:rsidRDefault="00D907AF" w:rsidP="00104AC9">
            <w:pPr>
              <w:spacing w:before="20" w:after="20"/>
              <w:ind w:right="113"/>
              <w:jc w:val="right"/>
              <w:rPr>
                <w:rFonts w:ascii="Calibri" w:hAnsi="Calibri" w:cs="Calibri"/>
                <w:sz w:val="18"/>
                <w:szCs w:val="18"/>
              </w:rPr>
            </w:pPr>
            <w:r w:rsidRPr="00104AC9">
              <w:rPr>
                <w:rFonts w:ascii="Calibri" w:hAnsi="Calibri" w:cs="Calibri"/>
                <w:sz w:val="18"/>
                <w:szCs w:val="18"/>
              </w:rPr>
              <w:t>76</w:t>
            </w:r>
          </w:p>
        </w:tc>
        <w:tc>
          <w:tcPr>
            <w:tcW w:w="363" w:type="pct"/>
            <w:shd w:val="clear" w:color="auto" w:fill="E2E2E2"/>
          </w:tcPr>
          <w:p w:rsidR="00D907AF" w:rsidRPr="00104AC9" w:rsidRDefault="00D907AF" w:rsidP="00411141">
            <w:pPr>
              <w:spacing w:before="20" w:after="20"/>
              <w:jc w:val="right"/>
              <w:rPr>
                <w:rFonts w:ascii="Calibri" w:hAnsi="Calibri" w:cs="Calibri"/>
                <w:sz w:val="18"/>
                <w:szCs w:val="18"/>
              </w:rPr>
            </w:pPr>
            <w:r w:rsidRPr="00104AC9">
              <w:rPr>
                <w:rFonts w:ascii="Calibri" w:hAnsi="Calibri" w:cs="Calibri"/>
                <w:sz w:val="18"/>
                <w:szCs w:val="18"/>
              </w:rPr>
              <w:t>26</w:t>
            </w:r>
          </w:p>
        </w:tc>
        <w:tc>
          <w:tcPr>
            <w:tcW w:w="527" w:type="pct"/>
          </w:tcPr>
          <w:p w:rsidR="00D907AF" w:rsidRPr="00104AC9" w:rsidRDefault="00D907AF" w:rsidP="00104AC9">
            <w:pPr>
              <w:spacing w:before="20" w:after="20"/>
              <w:ind w:right="170"/>
              <w:jc w:val="right"/>
              <w:rPr>
                <w:rFonts w:ascii="Calibri" w:hAnsi="Calibri" w:cs="Calibri"/>
                <w:sz w:val="18"/>
                <w:szCs w:val="18"/>
              </w:rPr>
            </w:pPr>
            <w:r w:rsidRPr="00104AC9">
              <w:rPr>
                <w:rFonts w:ascii="Calibri" w:hAnsi="Calibri" w:cs="Calibri"/>
                <w:sz w:val="18"/>
                <w:szCs w:val="18"/>
              </w:rPr>
              <w:t>27</w:t>
            </w:r>
          </w:p>
        </w:tc>
        <w:tc>
          <w:tcPr>
            <w:tcW w:w="362" w:type="pct"/>
            <w:shd w:val="clear" w:color="auto" w:fill="E2E2E2"/>
          </w:tcPr>
          <w:p w:rsidR="00D907AF" w:rsidRPr="00104AC9" w:rsidRDefault="00D907AF" w:rsidP="00411141">
            <w:pPr>
              <w:spacing w:before="20" w:after="20"/>
              <w:jc w:val="right"/>
              <w:rPr>
                <w:rFonts w:ascii="Calibri" w:hAnsi="Calibri" w:cs="Calibri"/>
                <w:sz w:val="18"/>
                <w:szCs w:val="18"/>
              </w:rPr>
            </w:pPr>
            <w:r w:rsidRPr="00104AC9">
              <w:rPr>
                <w:rFonts w:ascii="Calibri" w:hAnsi="Calibri" w:cs="Calibri"/>
                <w:sz w:val="18"/>
                <w:szCs w:val="18"/>
              </w:rPr>
              <w:t>301</w:t>
            </w:r>
          </w:p>
        </w:tc>
        <w:tc>
          <w:tcPr>
            <w:tcW w:w="527" w:type="pct"/>
          </w:tcPr>
          <w:p w:rsidR="00D907AF" w:rsidRPr="00104AC9" w:rsidRDefault="00D907AF" w:rsidP="00104AC9">
            <w:pPr>
              <w:spacing w:before="20" w:after="20"/>
              <w:ind w:right="170"/>
              <w:jc w:val="right"/>
              <w:rPr>
                <w:rFonts w:ascii="Calibri" w:hAnsi="Calibri" w:cs="Calibri"/>
                <w:sz w:val="18"/>
                <w:szCs w:val="18"/>
              </w:rPr>
            </w:pPr>
            <w:r w:rsidRPr="00104AC9">
              <w:rPr>
                <w:rFonts w:ascii="Calibri" w:hAnsi="Calibri" w:cs="Calibri"/>
                <w:sz w:val="18"/>
                <w:szCs w:val="18"/>
              </w:rPr>
              <w:t>233</w:t>
            </w:r>
          </w:p>
        </w:tc>
        <w:tc>
          <w:tcPr>
            <w:tcW w:w="363" w:type="pct"/>
            <w:shd w:val="clear" w:color="auto" w:fill="E2E2E2"/>
            <w:vAlign w:val="center"/>
          </w:tcPr>
          <w:p w:rsidR="00D907AF" w:rsidRPr="00104AC9" w:rsidRDefault="00D907AF" w:rsidP="00027734">
            <w:pPr>
              <w:spacing w:before="20" w:after="20"/>
              <w:ind w:right="43"/>
              <w:jc w:val="right"/>
              <w:rPr>
                <w:rFonts w:ascii="Calibri" w:hAnsi="Calibri" w:cs="Calibri"/>
                <w:b/>
                <w:sz w:val="18"/>
                <w:szCs w:val="18"/>
              </w:rPr>
            </w:pPr>
            <w:r w:rsidRPr="00104AC9">
              <w:rPr>
                <w:rFonts w:ascii="Calibri" w:hAnsi="Calibri" w:cs="Calibri"/>
                <w:b/>
                <w:sz w:val="18"/>
                <w:szCs w:val="18"/>
              </w:rPr>
              <w:t>427</w:t>
            </w:r>
          </w:p>
        </w:tc>
        <w:tc>
          <w:tcPr>
            <w:tcW w:w="520" w:type="pct"/>
            <w:shd w:val="clear" w:color="auto" w:fill="auto"/>
            <w:vAlign w:val="center"/>
          </w:tcPr>
          <w:p w:rsidR="00D907AF" w:rsidRPr="00104AC9" w:rsidRDefault="00D907AF" w:rsidP="00104AC9">
            <w:pPr>
              <w:spacing w:before="20" w:after="20"/>
              <w:ind w:right="170"/>
              <w:jc w:val="right"/>
              <w:rPr>
                <w:rFonts w:ascii="Calibri" w:hAnsi="Calibri" w:cs="Calibri"/>
                <w:b/>
                <w:sz w:val="18"/>
                <w:szCs w:val="18"/>
              </w:rPr>
            </w:pPr>
            <w:r w:rsidRPr="00104AC9">
              <w:rPr>
                <w:rFonts w:ascii="Calibri" w:hAnsi="Calibri" w:cs="Calibri"/>
                <w:b/>
                <w:sz w:val="18"/>
                <w:szCs w:val="18"/>
              </w:rPr>
              <w:t>373</w:t>
            </w:r>
          </w:p>
        </w:tc>
      </w:tr>
      <w:tr w:rsidR="006D4746" w:rsidRPr="00104AC9" w:rsidTr="00A90EBB">
        <w:tc>
          <w:tcPr>
            <w:tcW w:w="607" w:type="pct"/>
            <w:shd w:val="clear" w:color="auto" w:fill="auto"/>
          </w:tcPr>
          <w:p w:rsidR="00411141" w:rsidRPr="00104AC9" w:rsidRDefault="00411141" w:rsidP="00D907AF">
            <w:pPr>
              <w:spacing w:before="20" w:after="20"/>
              <w:rPr>
                <w:rFonts w:ascii="Calibri" w:hAnsi="Calibri" w:cs="Calibri"/>
                <w:sz w:val="18"/>
                <w:szCs w:val="18"/>
              </w:rPr>
            </w:pPr>
            <w:r w:rsidRPr="00104AC9">
              <w:rPr>
                <w:rFonts w:ascii="Calibri" w:hAnsi="Calibri" w:cs="Calibri"/>
                <w:sz w:val="18"/>
                <w:szCs w:val="18"/>
              </w:rPr>
              <w:t>No %</w:t>
            </w:r>
          </w:p>
        </w:tc>
        <w:tc>
          <w:tcPr>
            <w:tcW w:w="361" w:type="pct"/>
            <w:shd w:val="clear" w:color="auto" w:fill="E2E2E2"/>
            <w:vAlign w:val="center"/>
          </w:tcPr>
          <w:p w:rsidR="00411141" w:rsidRPr="00104AC9" w:rsidRDefault="00411141" w:rsidP="00411141">
            <w:pPr>
              <w:spacing w:before="20" w:after="20"/>
              <w:jc w:val="right"/>
              <w:rPr>
                <w:rFonts w:ascii="Calibri" w:hAnsi="Calibri" w:cs="Calibri"/>
                <w:sz w:val="18"/>
                <w:szCs w:val="18"/>
              </w:rPr>
            </w:pPr>
            <w:r w:rsidRPr="00104AC9">
              <w:rPr>
                <w:rFonts w:ascii="Calibri" w:hAnsi="Calibri" w:cs="Calibri"/>
                <w:sz w:val="18"/>
                <w:szCs w:val="18"/>
              </w:rPr>
              <w:t>12.7</w:t>
            </w:r>
          </w:p>
        </w:tc>
        <w:tc>
          <w:tcPr>
            <w:tcW w:w="530" w:type="pct"/>
            <w:vAlign w:val="center"/>
          </w:tcPr>
          <w:p w:rsidR="00411141" w:rsidRPr="00104AC9" w:rsidRDefault="00411141" w:rsidP="00104AC9">
            <w:pPr>
              <w:spacing w:before="20" w:after="20"/>
              <w:ind w:right="170"/>
              <w:jc w:val="right"/>
              <w:rPr>
                <w:rFonts w:ascii="Calibri" w:hAnsi="Calibri" w:cs="Calibri"/>
                <w:sz w:val="18"/>
                <w:szCs w:val="18"/>
              </w:rPr>
            </w:pPr>
            <w:r w:rsidRPr="00104AC9">
              <w:rPr>
                <w:rFonts w:ascii="Calibri" w:hAnsi="Calibri" w:cs="Calibri"/>
                <w:sz w:val="18"/>
                <w:szCs w:val="18"/>
              </w:rPr>
              <w:t>34.9</w:t>
            </w:r>
          </w:p>
        </w:tc>
        <w:tc>
          <w:tcPr>
            <w:tcW w:w="364" w:type="pct"/>
            <w:shd w:val="clear" w:color="auto" w:fill="E2E2E2"/>
            <w:vAlign w:val="center"/>
          </w:tcPr>
          <w:p w:rsidR="00411141" w:rsidRPr="00104AC9" w:rsidRDefault="00411141" w:rsidP="00411141">
            <w:pPr>
              <w:tabs>
                <w:tab w:val="decimal" w:pos="347"/>
              </w:tabs>
              <w:spacing w:before="20" w:after="20"/>
              <w:jc w:val="right"/>
              <w:rPr>
                <w:rFonts w:ascii="Calibri" w:hAnsi="Calibri" w:cs="Calibri"/>
                <w:sz w:val="18"/>
                <w:szCs w:val="18"/>
              </w:rPr>
            </w:pPr>
            <w:r w:rsidRPr="00104AC9">
              <w:rPr>
                <w:rFonts w:ascii="Calibri" w:hAnsi="Calibri" w:cs="Calibri"/>
                <w:sz w:val="18"/>
                <w:szCs w:val="18"/>
              </w:rPr>
              <w:t>71.1</w:t>
            </w:r>
          </w:p>
        </w:tc>
        <w:tc>
          <w:tcPr>
            <w:tcW w:w="476" w:type="pct"/>
            <w:vAlign w:val="center"/>
          </w:tcPr>
          <w:p w:rsidR="00411141" w:rsidRPr="00104AC9" w:rsidRDefault="00411141" w:rsidP="00104AC9">
            <w:pPr>
              <w:spacing w:before="20" w:after="20"/>
              <w:ind w:right="113"/>
              <w:jc w:val="right"/>
              <w:rPr>
                <w:rFonts w:ascii="Calibri" w:hAnsi="Calibri" w:cs="Calibri"/>
                <w:sz w:val="18"/>
                <w:szCs w:val="18"/>
              </w:rPr>
            </w:pPr>
            <w:r w:rsidRPr="00104AC9">
              <w:rPr>
                <w:rFonts w:ascii="Calibri" w:hAnsi="Calibri" w:cs="Calibri"/>
                <w:sz w:val="18"/>
                <w:szCs w:val="18"/>
              </w:rPr>
              <w:t>71.0</w:t>
            </w:r>
          </w:p>
        </w:tc>
        <w:tc>
          <w:tcPr>
            <w:tcW w:w="363" w:type="pct"/>
            <w:shd w:val="clear" w:color="auto" w:fill="E2E2E2"/>
          </w:tcPr>
          <w:p w:rsidR="00411141" w:rsidRPr="00104AC9" w:rsidRDefault="00411141" w:rsidP="00411141">
            <w:pPr>
              <w:spacing w:before="20" w:after="20"/>
              <w:jc w:val="right"/>
              <w:rPr>
                <w:rFonts w:ascii="Calibri" w:hAnsi="Calibri" w:cs="Calibri"/>
                <w:sz w:val="18"/>
                <w:szCs w:val="18"/>
              </w:rPr>
            </w:pPr>
            <w:r w:rsidRPr="00104AC9">
              <w:rPr>
                <w:rFonts w:ascii="Calibri" w:hAnsi="Calibri" w:cs="Calibri"/>
                <w:sz w:val="18"/>
                <w:szCs w:val="18"/>
              </w:rPr>
              <w:t>78.8</w:t>
            </w:r>
          </w:p>
        </w:tc>
        <w:tc>
          <w:tcPr>
            <w:tcW w:w="527" w:type="pct"/>
          </w:tcPr>
          <w:p w:rsidR="00411141" w:rsidRPr="00104AC9" w:rsidRDefault="00411141" w:rsidP="00104AC9">
            <w:pPr>
              <w:spacing w:before="20" w:after="20"/>
              <w:ind w:right="170"/>
              <w:jc w:val="right"/>
              <w:rPr>
                <w:rFonts w:ascii="Calibri" w:hAnsi="Calibri" w:cs="Calibri"/>
                <w:sz w:val="18"/>
                <w:szCs w:val="18"/>
              </w:rPr>
            </w:pPr>
            <w:r w:rsidRPr="00104AC9">
              <w:rPr>
                <w:rFonts w:ascii="Calibri" w:hAnsi="Calibri" w:cs="Calibri"/>
                <w:sz w:val="18"/>
                <w:szCs w:val="18"/>
              </w:rPr>
              <w:t>69.2</w:t>
            </w:r>
          </w:p>
        </w:tc>
        <w:tc>
          <w:tcPr>
            <w:tcW w:w="362" w:type="pct"/>
            <w:shd w:val="clear" w:color="auto" w:fill="E2E2E2"/>
          </w:tcPr>
          <w:p w:rsidR="00411141" w:rsidRPr="00104AC9" w:rsidRDefault="00411141" w:rsidP="00411141">
            <w:pPr>
              <w:spacing w:before="20" w:after="20"/>
              <w:jc w:val="right"/>
              <w:rPr>
                <w:rFonts w:ascii="Calibri" w:hAnsi="Calibri" w:cs="Calibri"/>
                <w:sz w:val="18"/>
                <w:szCs w:val="18"/>
              </w:rPr>
            </w:pPr>
            <w:r w:rsidRPr="00104AC9">
              <w:rPr>
                <w:rFonts w:ascii="Calibri" w:hAnsi="Calibri" w:cs="Calibri"/>
                <w:sz w:val="18"/>
                <w:szCs w:val="18"/>
              </w:rPr>
              <w:t>70.3</w:t>
            </w:r>
          </w:p>
        </w:tc>
        <w:tc>
          <w:tcPr>
            <w:tcW w:w="527" w:type="pct"/>
          </w:tcPr>
          <w:p w:rsidR="00411141" w:rsidRPr="00104AC9" w:rsidRDefault="00411141" w:rsidP="00104AC9">
            <w:pPr>
              <w:spacing w:before="20" w:after="20"/>
              <w:ind w:right="170"/>
              <w:jc w:val="right"/>
              <w:rPr>
                <w:rFonts w:ascii="Calibri" w:hAnsi="Calibri" w:cs="Calibri"/>
                <w:sz w:val="18"/>
                <w:szCs w:val="18"/>
              </w:rPr>
            </w:pPr>
            <w:r w:rsidRPr="00104AC9">
              <w:rPr>
                <w:rFonts w:ascii="Calibri" w:hAnsi="Calibri" w:cs="Calibri"/>
                <w:sz w:val="18"/>
                <w:szCs w:val="18"/>
              </w:rPr>
              <w:t>69.6</w:t>
            </w:r>
          </w:p>
        </w:tc>
        <w:tc>
          <w:tcPr>
            <w:tcW w:w="363" w:type="pct"/>
            <w:shd w:val="clear" w:color="auto" w:fill="E2E2E2"/>
            <w:vAlign w:val="center"/>
          </w:tcPr>
          <w:p w:rsidR="00411141" w:rsidRPr="00104AC9" w:rsidRDefault="00411141" w:rsidP="00027734">
            <w:pPr>
              <w:spacing w:before="20" w:after="20"/>
              <w:ind w:right="43"/>
              <w:jc w:val="right"/>
              <w:rPr>
                <w:rFonts w:ascii="Calibri" w:hAnsi="Calibri" w:cs="Calibri"/>
                <w:b/>
                <w:sz w:val="18"/>
                <w:szCs w:val="18"/>
              </w:rPr>
            </w:pPr>
            <w:r w:rsidRPr="00104AC9">
              <w:rPr>
                <w:rFonts w:ascii="Calibri" w:hAnsi="Calibri" w:cs="Calibri"/>
                <w:b/>
                <w:sz w:val="18"/>
                <w:szCs w:val="18"/>
              </w:rPr>
              <w:t>49.3</w:t>
            </w:r>
          </w:p>
        </w:tc>
        <w:tc>
          <w:tcPr>
            <w:tcW w:w="520" w:type="pct"/>
            <w:shd w:val="clear" w:color="auto" w:fill="auto"/>
            <w:vAlign w:val="center"/>
          </w:tcPr>
          <w:p w:rsidR="00411141" w:rsidRPr="00104AC9" w:rsidRDefault="00411141" w:rsidP="00104AC9">
            <w:pPr>
              <w:spacing w:before="20" w:after="20"/>
              <w:ind w:right="170"/>
              <w:jc w:val="right"/>
              <w:rPr>
                <w:rFonts w:ascii="Calibri" w:hAnsi="Calibri" w:cs="Calibri"/>
                <w:b/>
                <w:sz w:val="18"/>
                <w:szCs w:val="18"/>
              </w:rPr>
            </w:pPr>
            <w:r w:rsidRPr="00104AC9">
              <w:rPr>
                <w:rFonts w:ascii="Calibri" w:hAnsi="Calibri" w:cs="Calibri"/>
                <w:b/>
                <w:sz w:val="18"/>
                <w:szCs w:val="18"/>
              </w:rPr>
              <w:t>63.5</w:t>
            </w:r>
          </w:p>
        </w:tc>
      </w:tr>
      <w:tr w:rsidR="006D4746" w:rsidRPr="00104AC9" w:rsidTr="00A90EBB">
        <w:tc>
          <w:tcPr>
            <w:tcW w:w="607" w:type="pct"/>
          </w:tcPr>
          <w:p w:rsidR="006074E4" w:rsidRPr="00104AC9" w:rsidRDefault="006074E4" w:rsidP="006074E4">
            <w:pPr>
              <w:spacing w:before="20" w:after="20"/>
              <w:rPr>
                <w:rFonts w:ascii="Calibri" w:hAnsi="Calibri" w:cs="Calibri"/>
                <w:sz w:val="18"/>
                <w:szCs w:val="18"/>
              </w:rPr>
            </w:pPr>
            <w:r w:rsidRPr="00104AC9">
              <w:rPr>
                <w:rFonts w:ascii="Calibri" w:hAnsi="Calibri" w:cs="Calibri"/>
                <w:sz w:val="18"/>
                <w:szCs w:val="18"/>
              </w:rPr>
              <w:t>Don’t know</w:t>
            </w:r>
          </w:p>
        </w:tc>
        <w:tc>
          <w:tcPr>
            <w:tcW w:w="361" w:type="pct"/>
            <w:shd w:val="clear" w:color="auto" w:fill="E2E2E2"/>
          </w:tcPr>
          <w:p w:rsidR="006074E4" w:rsidRPr="00104AC9" w:rsidRDefault="006074E4" w:rsidP="006074E4">
            <w:pPr>
              <w:spacing w:before="20" w:after="20"/>
              <w:jc w:val="right"/>
              <w:rPr>
                <w:rFonts w:ascii="Calibri" w:hAnsi="Calibri" w:cs="Calibri"/>
                <w:sz w:val="18"/>
                <w:szCs w:val="18"/>
              </w:rPr>
            </w:pPr>
            <w:r w:rsidRPr="00104AC9">
              <w:rPr>
                <w:rFonts w:ascii="Calibri" w:hAnsi="Calibri" w:cs="Calibri"/>
                <w:sz w:val="18"/>
                <w:szCs w:val="18"/>
              </w:rPr>
              <w:t>38</w:t>
            </w:r>
          </w:p>
        </w:tc>
        <w:tc>
          <w:tcPr>
            <w:tcW w:w="530" w:type="pct"/>
          </w:tcPr>
          <w:p w:rsidR="006074E4" w:rsidRPr="00104AC9" w:rsidRDefault="006074E4" w:rsidP="00104AC9">
            <w:pPr>
              <w:spacing w:before="20" w:after="20"/>
              <w:ind w:right="170"/>
              <w:jc w:val="right"/>
              <w:rPr>
                <w:rFonts w:ascii="Calibri" w:hAnsi="Calibri" w:cs="Calibri"/>
                <w:sz w:val="18"/>
                <w:szCs w:val="18"/>
              </w:rPr>
            </w:pPr>
            <w:r w:rsidRPr="00104AC9">
              <w:rPr>
                <w:rFonts w:ascii="Calibri" w:hAnsi="Calibri" w:cs="Calibri"/>
                <w:sz w:val="18"/>
                <w:szCs w:val="18"/>
              </w:rPr>
              <w:t>7</w:t>
            </w:r>
          </w:p>
        </w:tc>
        <w:tc>
          <w:tcPr>
            <w:tcW w:w="364" w:type="pct"/>
            <w:shd w:val="clear" w:color="auto" w:fill="E2E2E2"/>
          </w:tcPr>
          <w:p w:rsidR="006074E4" w:rsidRPr="00104AC9" w:rsidRDefault="006074E4" w:rsidP="006074E4">
            <w:pPr>
              <w:tabs>
                <w:tab w:val="decimal" w:pos="347"/>
              </w:tabs>
              <w:spacing w:before="20" w:after="20"/>
              <w:jc w:val="right"/>
              <w:rPr>
                <w:rFonts w:ascii="Calibri" w:hAnsi="Calibri" w:cs="Calibri"/>
                <w:sz w:val="18"/>
                <w:szCs w:val="18"/>
              </w:rPr>
            </w:pPr>
            <w:r w:rsidRPr="00104AC9">
              <w:rPr>
                <w:rFonts w:ascii="Calibri" w:hAnsi="Calibri" w:cs="Calibri"/>
                <w:sz w:val="18"/>
                <w:szCs w:val="18"/>
              </w:rPr>
              <w:t>10</w:t>
            </w:r>
          </w:p>
        </w:tc>
        <w:tc>
          <w:tcPr>
            <w:tcW w:w="476" w:type="pct"/>
          </w:tcPr>
          <w:p w:rsidR="006074E4" w:rsidRPr="00104AC9" w:rsidRDefault="006074E4" w:rsidP="00104AC9">
            <w:pPr>
              <w:spacing w:before="20" w:after="20"/>
              <w:ind w:right="113"/>
              <w:jc w:val="right"/>
              <w:rPr>
                <w:rFonts w:ascii="Calibri" w:hAnsi="Calibri" w:cs="Calibri"/>
                <w:sz w:val="18"/>
                <w:szCs w:val="18"/>
              </w:rPr>
            </w:pPr>
            <w:r w:rsidRPr="00104AC9">
              <w:rPr>
                <w:rFonts w:ascii="Calibri" w:hAnsi="Calibri" w:cs="Calibri"/>
                <w:sz w:val="18"/>
                <w:szCs w:val="18"/>
              </w:rPr>
              <w:t>8</w:t>
            </w:r>
          </w:p>
        </w:tc>
        <w:tc>
          <w:tcPr>
            <w:tcW w:w="363" w:type="pct"/>
            <w:shd w:val="clear" w:color="auto" w:fill="E2E2E2"/>
          </w:tcPr>
          <w:p w:rsidR="006074E4" w:rsidRPr="00104AC9" w:rsidRDefault="006074E4" w:rsidP="006074E4">
            <w:pPr>
              <w:spacing w:before="20" w:after="20"/>
              <w:jc w:val="right"/>
              <w:rPr>
                <w:rFonts w:ascii="Calibri" w:hAnsi="Calibri" w:cs="Calibri"/>
                <w:sz w:val="18"/>
                <w:szCs w:val="18"/>
              </w:rPr>
            </w:pPr>
            <w:r w:rsidRPr="00104AC9">
              <w:rPr>
                <w:rFonts w:ascii="Calibri" w:hAnsi="Calibri" w:cs="Calibri"/>
                <w:sz w:val="18"/>
                <w:szCs w:val="18"/>
              </w:rPr>
              <w:t>5</w:t>
            </w:r>
          </w:p>
        </w:tc>
        <w:tc>
          <w:tcPr>
            <w:tcW w:w="527" w:type="pct"/>
          </w:tcPr>
          <w:p w:rsidR="006074E4" w:rsidRPr="00104AC9" w:rsidRDefault="006074E4" w:rsidP="00104AC9">
            <w:pPr>
              <w:spacing w:before="20" w:after="20"/>
              <w:ind w:right="170"/>
              <w:jc w:val="right"/>
              <w:rPr>
                <w:rFonts w:ascii="Calibri" w:hAnsi="Calibri" w:cs="Calibri"/>
                <w:sz w:val="18"/>
                <w:szCs w:val="18"/>
              </w:rPr>
            </w:pPr>
            <w:r w:rsidRPr="00104AC9">
              <w:rPr>
                <w:rFonts w:ascii="Calibri" w:hAnsi="Calibri" w:cs="Calibri"/>
                <w:sz w:val="18"/>
                <w:szCs w:val="18"/>
              </w:rPr>
              <w:t>5</w:t>
            </w:r>
          </w:p>
        </w:tc>
        <w:tc>
          <w:tcPr>
            <w:tcW w:w="362" w:type="pct"/>
            <w:shd w:val="clear" w:color="auto" w:fill="E2E2E2"/>
          </w:tcPr>
          <w:p w:rsidR="006074E4" w:rsidRPr="00104AC9" w:rsidRDefault="006074E4" w:rsidP="006074E4">
            <w:pPr>
              <w:spacing w:before="20" w:after="20"/>
              <w:jc w:val="right"/>
              <w:rPr>
                <w:rFonts w:ascii="Calibri" w:hAnsi="Calibri" w:cs="Calibri"/>
                <w:sz w:val="18"/>
                <w:szCs w:val="18"/>
              </w:rPr>
            </w:pPr>
            <w:r w:rsidRPr="00104AC9">
              <w:rPr>
                <w:rFonts w:ascii="Calibri" w:hAnsi="Calibri" w:cs="Calibri"/>
                <w:sz w:val="18"/>
                <w:szCs w:val="18"/>
              </w:rPr>
              <w:t>67</w:t>
            </w:r>
          </w:p>
        </w:tc>
        <w:tc>
          <w:tcPr>
            <w:tcW w:w="527" w:type="pct"/>
          </w:tcPr>
          <w:p w:rsidR="006074E4" w:rsidRPr="00104AC9" w:rsidRDefault="006074E4" w:rsidP="00104AC9">
            <w:pPr>
              <w:spacing w:before="20" w:after="20"/>
              <w:ind w:right="170"/>
              <w:jc w:val="right"/>
              <w:rPr>
                <w:rFonts w:ascii="Calibri" w:hAnsi="Calibri" w:cs="Calibri"/>
                <w:sz w:val="18"/>
                <w:szCs w:val="18"/>
              </w:rPr>
            </w:pPr>
            <w:r w:rsidRPr="00104AC9">
              <w:rPr>
                <w:rFonts w:ascii="Calibri" w:hAnsi="Calibri" w:cs="Calibri"/>
                <w:sz w:val="18"/>
                <w:szCs w:val="18"/>
              </w:rPr>
              <w:t>53</w:t>
            </w:r>
          </w:p>
        </w:tc>
        <w:tc>
          <w:tcPr>
            <w:tcW w:w="363" w:type="pct"/>
            <w:shd w:val="clear" w:color="auto" w:fill="E2E2E2"/>
          </w:tcPr>
          <w:p w:rsidR="006074E4" w:rsidRPr="00104AC9" w:rsidRDefault="006074E4" w:rsidP="00027734">
            <w:pPr>
              <w:spacing w:before="20" w:after="20"/>
              <w:ind w:right="43"/>
              <w:jc w:val="right"/>
              <w:rPr>
                <w:rFonts w:ascii="Calibri" w:hAnsi="Calibri" w:cs="Calibri"/>
                <w:b/>
                <w:sz w:val="18"/>
                <w:szCs w:val="18"/>
              </w:rPr>
            </w:pPr>
            <w:r w:rsidRPr="00104AC9">
              <w:rPr>
                <w:rFonts w:ascii="Calibri" w:hAnsi="Calibri" w:cs="Calibri"/>
                <w:b/>
                <w:sz w:val="18"/>
                <w:szCs w:val="18"/>
              </w:rPr>
              <w:t>120</w:t>
            </w:r>
          </w:p>
        </w:tc>
        <w:tc>
          <w:tcPr>
            <w:tcW w:w="520" w:type="pct"/>
          </w:tcPr>
          <w:p w:rsidR="006074E4" w:rsidRPr="00104AC9" w:rsidRDefault="006074E4" w:rsidP="00104AC9">
            <w:pPr>
              <w:spacing w:before="20" w:after="20"/>
              <w:ind w:right="170"/>
              <w:jc w:val="right"/>
              <w:rPr>
                <w:rFonts w:ascii="Calibri" w:hAnsi="Calibri" w:cs="Calibri"/>
                <w:b/>
                <w:sz w:val="18"/>
                <w:szCs w:val="18"/>
              </w:rPr>
            </w:pPr>
            <w:r w:rsidRPr="00104AC9">
              <w:rPr>
                <w:rFonts w:ascii="Calibri" w:hAnsi="Calibri" w:cs="Calibri"/>
                <w:b/>
                <w:sz w:val="18"/>
                <w:szCs w:val="18"/>
              </w:rPr>
              <w:t>73</w:t>
            </w:r>
          </w:p>
        </w:tc>
      </w:tr>
      <w:tr w:rsidR="006D4746" w:rsidRPr="00104AC9" w:rsidTr="00A90EBB">
        <w:tc>
          <w:tcPr>
            <w:tcW w:w="607" w:type="pct"/>
          </w:tcPr>
          <w:p w:rsidR="00D907AF" w:rsidRPr="00104AC9" w:rsidRDefault="00D907AF" w:rsidP="00C95A55">
            <w:pPr>
              <w:spacing w:before="20" w:after="20"/>
              <w:ind w:right="-106"/>
              <w:rPr>
                <w:rFonts w:ascii="Calibri" w:hAnsi="Calibri" w:cs="Calibri"/>
                <w:sz w:val="18"/>
                <w:szCs w:val="18"/>
              </w:rPr>
            </w:pPr>
            <w:r w:rsidRPr="00104AC9">
              <w:rPr>
                <w:rFonts w:ascii="Calibri" w:hAnsi="Calibri" w:cs="Calibri"/>
                <w:sz w:val="18"/>
                <w:szCs w:val="18"/>
              </w:rPr>
              <w:t xml:space="preserve">Don’t </w:t>
            </w:r>
            <w:r w:rsidR="006074E4" w:rsidRPr="00104AC9">
              <w:rPr>
                <w:rFonts w:ascii="Calibri" w:hAnsi="Calibri" w:cs="Calibri"/>
                <w:sz w:val="18"/>
                <w:szCs w:val="18"/>
              </w:rPr>
              <w:t>k</w:t>
            </w:r>
            <w:r w:rsidRPr="00104AC9">
              <w:rPr>
                <w:rFonts w:ascii="Calibri" w:hAnsi="Calibri" w:cs="Calibri"/>
                <w:sz w:val="18"/>
                <w:szCs w:val="18"/>
              </w:rPr>
              <w:t>now</w:t>
            </w:r>
            <w:r w:rsidR="006074E4" w:rsidRPr="00104AC9">
              <w:rPr>
                <w:rFonts w:ascii="Calibri" w:hAnsi="Calibri" w:cs="Calibri"/>
                <w:sz w:val="18"/>
                <w:szCs w:val="18"/>
              </w:rPr>
              <w:t xml:space="preserve"> %</w:t>
            </w:r>
          </w:p>
        </w:tc>
        <w:tc>
          <w:tcPr>
            <w:tcW w:w="361" w:type="pct"/>
            <w:shd w:val="clear" w:color="auto" w:fill="E2E2E2"/>
          </w:tcPr>
          <w:p w:rsidR="00D907AF" w:rsidRPr="00104AC9" w:rsidRDefault="00D907AF" w:rsidP="00791AC7">
            <w:pPr>
              <w:spacing w:before="20" w:after="20"/>
              <w:jc w:val="right"/>
              <w:rPr>
                <w:rFonts w:ascii="Calibri" w:hAnsi="Calibri" w:cs="Calibri"/>
                <w:sz w:val="18"/>
                <w:szCs w:val="18"/>
              </w:rPr>
            </w:pPr>
            <w:r w:rsidRPr="00104AC9">
              <w:rPr>
                <w:rFonts w:ascii="Calibri" w:hAnsi="Calibri" w:cs="Calibri"/>
                <w:sz w:val="18"/>
                <w:szCs w:val="18"/>
              </w:rPr>
              <w:t>11.8</w:t>
            </w:r>
          </w:p>
        </w:tc>
        <w:tc>
          <w:tcPr>
            <w:tcW w:w="530" w:type="pct"/>
          </w:tcPr>
          <w:p w:rsidR="00D907AF" w:rsidRPr="00104AC9" w:rsidRDefault="00D907AF" w:rsidP="00104AC9">
            <w:pPr>
              <w:spacing w:before="20" w:after="20"/>
              <w:ind w:right="170"/>
              <w:jc w:val="right"/>
              <w:rPr>
                <w:rFonts w:ascii="Calibri" w:hAnsi="Calibri" w:cs="Calibri"/>
                <w:sz w:val="18"/>
                <w:szCs w:val="18"/>
              </w:rPr>
            </w:pPr>
            <w:r w:rsidRPr="00104AC9">
              <w:rPr>
                <w:rFonts w:ascii="Calibri" w:hAnsi="Calibri" w:cs="Calibri"/>
                <w:sz w:val="18"/>
                <w:szCs w:val="18"/>
              </w:rPr>
              <w:t>6.6</w:t>
            </w:r>
          </w:p>
        </w:tc>
        <w:tc>
          <w:tcPr>
            <w:tcW w:w="364" w:type="pct"/>
            <w:shd w:val="clear" w:color="auto" w:fill="E2E2E2"/>
          </w:tcPr>
          <w:p w:rsidR="00D907AF" w:rsidRPr="00104AC9" w:rsidRDefault="00D907AF" w:rsidP="00791AC7">
            <w:pPr>
              <w:tabs>
                <w:tab w:val="decimal" w:pos="347"/>
              </w:tabs>
              <w:spacing w:before="20" w:after="20"/>
              <w:jc w:val="right"/>
              <w:rPr>
                <w:rFonts w:ascii="Calibri" w:hAnsi="Calibri" w:cs="Calibri"/>
                <w:sz w:val="18"/>
                <w:szCs w:val="18"/>
              </w:rPr>
            </w:pPr>
            <w:r w:rsidRPr="00104AC9">
              <w:rPr>
                <w:rFonts w:ascii="Calibri" w:hAnsi="Calibri" w:cs="Calibri"/>
                <w:sz w:val="18"/>
                <w:szCs w:val="18"/>
              </w:rPr>
              <w:t>12.0</w:t>
            </w:r>
          </w:p>
        </w:tc>
        <w:tc>
          <w:tcPr>
            <w:tcW w:w="476" w:type="pct"/>
          </w:tcPr>
          <w:p w:rsidR="00D907AF" w:rsidRPr="00104AC9" w:rsidRDefault="00791AC7" w:rsidP="00104AC9">
            <w:pPr>
              <w:spacing w:before="20" w:after="20"/>
              <w:ind w:right="113"/>
              <w:jc w:val="right"/>
              <w:rPr>
                <w:rFonts w:ascii="Calibri" w:hAnsi="Calibri" w:cs="Calibri"/>
                <w:sz w:val="18"/>
                <w:szCs w:val="18"/>
              </w:rPr>
            </w:pPr>
            <w:r w:rsidRPr="00104AC9">
              <w:rPr>
                <w:rFonts w:ascii="Calibri" w:hAnsi="Calibri" w:cs="Calibri"/>
                <w:sz w:val="18"/>
                <w:szCs w:val="18"/>
              </w:rPr>
              <w:t>7.5</w:t>
            </w:r>
          </w:p>
        </w:tc>
        <w:tc>
          <w:tcPr>
            <w:tcW w:w="363" w:type="pct"/>
            <w:shd w:val="clear" w:color="auto" w:fill="E2E2E2"/>
          </w:tcPr>
          <w:p w:rsidR="00D907AF" w:rsidRPr="00104AC9" w:rsidRDefault="00791AC7" w:rsidP="00D907AF">
            <w:pPr>
              <w:spacing w:before="20" w:after="20"/>
              <w:jc w:val="right"/>
              <w:rPr>
                <w:rFonts w:ascii="Calibri" w:hAnsi="Calibri" w:cs="Calibri"/>
                <w:sz w:val="18"/>
                <w:szCs w:val="18"/>
              </w:rPr>
            </w:pPr>
            <w:r w:rsidRPr="00104AC9">
              <w:rPr>
                <w:rFonts w:ascii="Calibri" w:hAnsi="Calibri" w:cs="Calibri"/>
                <w:sz w:val="18"/>
                <w:szCs w:val="18"/>
              </w:rPr>
              <w:t>15.2</w:t>
            </w:r>
          </w:p>
        </w:tc>
        <w:tc>
          <w:tcPr>
            <w:tcW w:w="527" w:type="pct"/>
          </w:tcPr>
          <w:p w:rsidR="00D907AF" w:rsidRPr="00104AC9" w:rsidRDefault="00791AC7" w:rsidP="00104AC9">
            <w:pPr>
              <w:spacing w:before="20" w:after="20"/>
              <w:ind w:right="170"/>
              <w:jc w:val="right"/>
              <w:rPr>
                <w:rFonts w:ascii="Calibri" w:hAnsi="Calibri" w:cs="Calibri"/>
                <w:sz w:val="18"/>
                <w:szCs w:val="18"/>
              </w:rPr>
            </w:pPr>
            <w:r w:rsidRPr="00104AC9">
              <w:rPr>
                <w:rFonts w:ascii="Calibri" w:hAnsi="Calibri" w:cs="Calibri"/>
                <w:sz w:val="18"/>
                <w:szCs w:val="18"/>
              </w:rPr>
              <w:t>12.8</w:t>
            </w:r>
          </w:p>
        </w:tc>
        <w:tc>
          <w:tcPr>
            <w:tcW w:w="362" w:type="pct"/>
            <w:shd w:val="clear" w:color="auto" w:fill="E2E2E2"/>
          </w:tcPr>
          <w:p w:rsidR="00D907AF" w:rsidRPr="00104AC9" w:rsidRDefault="00D907AF" w:rsidP="00791AC7">
            <w:pPr>
              <w:spacing w:before="20" w:after="20"/>
              <w:jc w:val="right"/>
              <w:rPr>
                <w:rFonts w:ascii="Calibri" w:hAnsi="Calibri" w:cs="Calibri"/>
                <w:sz w:val="18"/>
                <w:szCs w:val="18"/>
              </w:rPr>
            </w:pPr>
            <w:r w:rsidRPr="00104AC9">
              <w:rPr>
                <w:rFonts w:ascii="Calibri" w:hAnsi="Calibri" w:cs="Calibri"/>
                <w:sz w:val="18"/>
                <w:szCs w:val="18"/>
              </w:rPr>
              <w:t>15.7</w:t>
            </w:r>
          </w:p>
        </w:tc>
        <w:tc>
          <w:tcPr>
            <w:tcW w:w="527" w:type="pct"/>
          </w:tcPr>
          <w:p w:rsidR="00D907AF" w:rsidRPr="00104AC9" w:rsidRDefault="00791AC7" w:rsidP="00104AC9">
            <w:pPr>
              <w:spacing w:before="20" w:after="20"/>
              <w:ind w:right="170"/>
              <w:jc w:val="right"/>
              <w:rPr>
                <w:rFonts w:ascii="Calibri" w:hAnsi="Calibri" w:cs="Calibri"/>
                <w:sz w:val="18"/>
                <w:szCs w:val="18"/>
              </w:rPr>
            </w:pPr>
            <w:r w:rsidRPr="00104AC9">
              <w:rPr>
                <w:rFonts w:ascii="Calibri" w:hAnsi="Calibri" w:cs="Calibri"/>
                <w:sz w:val="18"/>
                <w:szCs w:val="18"/>
              </w:rPr>
              <w:t>15.8</w:t>
            </w:r>
          </w:p>
        </w:tc>
        <w:tc>
          <w:tcPr>
            <w:tcW w:w="363" w:type="pct"/>
            <w:shd w:val="clear" w:color="auto" w:fill="E2E2E2"/>
          </w:tcPr>
          <w:p w:rsidR="00D907AF" w:rsidRPr="00104AC9" w:rsidRDefault="00D907AF" w:rsidP="00027734">
            <w:pPr>
              <w:spacing w:before="20" w:after="20"/>
              <w:ind w:right="43"/>
              <w:jc w:val="right"/>
              <w:rPr>
                <w:rFonts w:ascii="Calibri" w:hAnsi="Calibri" w:cs="Calibri"/>
                <w:b/>
                <w:sz w:val="18"/>
                <w:szCs w:val="18"/>
              </w:rPr>
            </w:pPr>
            <w:r w:rsidRPr="00104AC9">
              <w:rPr>
                <w:rFonts w:ascii="Calibri" w:hAnsi="Calibri" w:cs="Calibri"/>
                <w:b/>
                <w:sz w:val="18"/>
                <w:szCs w:val="18"/>
              </w:rPr>
              <w:t>13.8</w:t>
            </w:r>
          </w:p>
        </w:tc>
        <w:tc>
          <w:tcPr>
            <w:tcW w:w="520" w:type="pct"/>
          </w:tcPr>
          <w:p w:rsidR="00D907AF" w:rsidRPr="00104AC9" w:rsidRDefault="00791AC7" w:rsidP="00104AC9">
            <w:pPr>
              <w:spacing w:before="20" w:after="20"/>
              <w:ind w:right="170"/>
              <w:jc w:val="right"/>
              <w:rPr>
                <w:rFonts w:ascii="Calibri" w:hAnsi="Calibri" w:cs="Calibri"/>
                <w:b/>
                <w:sz w:val="18"/>
                <w:szCs w:val="18"/>
              </w:rPr>
            </w:pPr>
            <w:r w:rsidRPr="00104AC9">
              <w:rPr>
                <w:rFonts w:ascii="Calibri" w:hAnsi="Calibri" w:cs="Calibri"/>
                <w:b/>
                <w:sz w:val="18"/>
                <w:szCs w:val="18"/>
              </w:rPr>
              <w:t>12.4</w:t>
            </w:r>
          </w:p>
        </w:tc>
      </w:tr>
      <w:tr w:rsidR="006D4746" w:rsidRPr="00104AC9" w:rsidTr="00A90EBB">
        <w:tc>
          <w:tcPr>
            <w:tcW w:w="607" w:type="pct"/>
            <w:shd w:val="clear" w:color="auto" w:fill="auto"/>
          </w:tcPr>
          <w:p w:rsidR="00D907AF" w:rsidRPr="00104AC9" w:rsidRDefault="00D907AF" w:rsidP="00D907AF">
            <w:pPr>
              <w:spacing w:before="20" w:after="20"/>
              <w:rPr>
                <w:rFonts w:ascii="Calibri" w:hAnsi="Calibri" w:cs="Calibri"/>
                <w:sz w:val="18"/>
                <w:szCs w:val="18"/>
              </w:rPr>
            </w:pPr>
            <w:r w:rsidRPr="00104AC9">
              <w:rPr>
                <w:rFonts w:ascii="Calibri" w:hAnsi="Calibri" w:cs="Calibri"/>
                <w:sz w:val="18"/>
                <w:szCs w:val="18"/>
              </w:rPr>
              <w:t xml:space="preserve">Missing </w:t>
            </w:r>
          </w:p>
        </w:tc>
        <w:tc>
          <w:tcPr>
            <w:tcW w:w="361" w:type="pct"/>
            <w:shd w:val="clear" w:color="auto" w:fill="E2E2E2"/>
            <w:vAlign w:val="center"/>
          </w:tcPr>
          <w:p w:rsidR="00D907AF" w:rsidRPr="00104AC9" w:rsidRDefault="00D907AF" w:rsidP="006074E4">
            <w:pPr>
              <w:spacing w:before="20" w:after="20"/>
              <w:jc w:val="right"/>
              <w:rPr>
                <w:rFonts w:ascii="Calibri" w:hAnsi="Calibri" w:cs="Calibri"/>
                <w:sz w:val="18"/>
                <w:szCs w:val="18"/>
              </w:rPr>
            </w:pPr>
            <w:r w:rsidRPr="00104AC9">
              <w:rPr>
                <w:rFonts w:ascii="Calibri" w:hAnsi="Calibri" w:cs="Calibri"/>
                <w:sz w:val="18"/>
                <w:szCs w:val="18"/>
              </w:rPr>
              <w:t>1</w:t>
            </w:r>
          </w:p>
        </w:tc>
        <w:tc>
          <w:tcPr>
            <w:tcW w:w="530" w:type="pct"/>
            <w:vAlign w:val="center"/>
          </w:tcPr>
          <w:p w:rsidR="00D907AF" w:rsidRPr="00104AC9" w:rsidRDefault="00D907AF" w:rsidP="00104AC9">
            <w:pPr>
              <w:spacing w:before="20" w:after="20"/>
              <w:ind w:right="170"/>
              <w:jc w:val="right"/>
              <w:rPr>
                <w:rFonts w:ascii="Calibri" w:hAnsi="Calibri" w:cs="Calibri"/>
                <w:sz w:val="18"/>
                <w:szCs w:val="18"/>
              </w:rPr>
            </w:pPr>
            <w:r w:rsidRPr="00104AC9">
              <w:rPr>
                <w:rFonts w:ascii="Calibri" w:hAnsi="Calibri" w:cs="Calibri"/>
                <w:sz w:val="18"/>
                <w:szCs w:val="18"/>
              </w:rPr>
              <w:t>1</w:t>
            </w:r>
          </w:p>
        </w:tc>
        <w:tc>
          <w:tcPr>
            <w:tcW w:w="364" w:type="pct"/>
            <w:shd w:val="clear" w:color="auto" w:fill="E2E2E2"/>
            <w:vAlign w:val="center"/>
          </w:tcPr>
          <w:p w:rsidR="00D907AF" w:rsidRPr="00104AC9" w:rsidRDefault="00D907AF" w:rsidP="006074E4">
            <w:pPr>
              <w:tabs>
                <w:tab w:val="decimal" w:pos="347"/>
              </w:tabs>
              <w:spacing w:before="20" w:after="20"/>
              <w:jc w:val="right"/>
              <w:rPr>
                <w:rFonts w:ascii="Calibri" w:hAnsi="Calibri" w:cs="Calibri"/>
                <w:sz w:val="18"/>
                <w:szCs w:val="18"/>
              </w:rPr>
            </w:pPr>
            <w:r w:rsidRPr="00104AC9">
              <w:rPr>
                <w:rFonts w:ascii="Calibri" w:hAnsi="Calibri" w:cs="Calibri"/>
                <w:sz w:val="18"/>
                <w:szCs w:val="18"/>
              </w:rPr>
              <w:t>2</w:t>
            </w:r>
          </w:p>
        </w:tc>
        <w:tc>
          <w:tcPr>
            <w:tcW w:w="476" w:type="pct"/>
            <w:vAlign w:val="center"/>
          </w:tcPr>
          <w:p w:rsidR="00D907AF" w:rsidRPr="00104AC9" w:rsidRDefault="00D907AF" w:rsidP="00104AC9">
            <w:pPr>
              <w:spacing w:before="20" w:after="20"/>
              <w:ind w:right="113"/>
              <w:jc w:val="right"/>
              <w:rPr>
                <w:rFonts w:ascii="Calibri" w:hAnsi="Calibri" w:cs="Calibri"/>
                <w:sz w:val="18"/>
                <w:szCs w:val="18"/>
              </w:rPr>
            </w:pPr>
            <w:r w:rsidRPr="00104AC9">
              <w:rPr>
                <w:rFonts w:ascii="Calibri" w:hAnsi="Calibri" w:cs="Calibri"/>
                <w:sz w:val="18"/>
                <w:szCs w:val="18"/>
              </w:rPr>
              <w:t>2</w:t>
            </w:r>
          </w:p>
        </w:tc>
        <w:tc>
          <w:tcPr>
            <w:tcW w:w="363" w:type="pct"/>
            <w:shd w:val="clear" w:color="auto" w:fill="E2E2E2"/>
          </w:tcPr>
          <w:p w:rsidR="00D907AF" w:rsidRPr="00104AC9" w:rsidRDefault="00D907AF" w:rsidP="006074E4">
            <w:pPr>
              <w:spacing w:before="20" w:after="20"/>
              <w:jc w:val="right"/>
              <w:rPr>
                <w:rFonts w:ascii="Calibri" w:hAnsi="Calibri" w:cs="Calibri"/>
                <w:sz w:val="18"/>
                <w:szCs w:val="18"/>
              </w:rPr>
            </w:pPr>
            <w:r w:rsidRPr="00104AC9">
              <w:rPr>
                <w:rFonts w:ascii="Calibri" w:hAnsi="Calibri" w:cs="Calibri"/>
                <w:sz w:val="18"/>
                <w:szCs w:val="18"/>
              </w:rPr>
              <w:t>0</w:t>
            </w:r>
          </w:p>
        </w:tc>
        <w:tc>
          <w:tcPr>
            <w:tcW w:w="527" w:type="pct"/>
          </w:tcPr>
          <w:p w:rsidR="00D907AF" w:rsidRPr="00104AC9" w:rsidRDefault="00D907AF" w:rsidP="00104AC9">
            <w:pPr>
              <w:spacing w:before="20" w:after="20"/>
              <w:ind w:right="170"/>
              <w:jc w:val="right"/>
              <w:rPr>
                <w:rFonts w:ascii="Calibri" w:hAnsi="Calibri" w:cs="Calibri"/>
                <w:sz w:val="18"/>
                <w:szCs w:val="18"/>
              </w:rPr>
            </w:pPr>
            <w:r w:rsidRPr="00104AC9">
              <w:rPr>
                <w:rFonts w:ascii="Calibri" w:hAnsi="Calibri" w:cs="Calibri"/>
                <w:sz w:val="18"/>
                <w:szCs w:val="18"/>
              </w:rPr>
              <w:t>1</w:t>
            </w:r>
          </w:p>
        </w:tc>
        <w:tc>
          <w:tcPr>
            <w:tcW w:w="362" w:type="pct"/>
            <w:shd w:val="clear" w:color="auto" w:fill="E2E2E2"/>
          </w:tcPr>
          <w:p w:rsidR="00D907AF" w:rsidRPr="00104AC9" w:rsidRDefault="00D907AF" w:rsidP="006074E4">
            <w:pPr>
              <w:spacing w:before="20" w:after="20"/>
              <w:jc w:val="right"/>
              <w:rPr>
                <w:rFonts w:ascii="Calibri" w:hAnsi="Calibri" w:cs="Calibri"/>
                <w:sz w:val="18"/>
                <w:szCs w:val="18"/>
              </w:rPr>
            </w:pPr>
            <w:r w:rsidRPr="00104AC9">
              <w:rPr>
                <w:rFonts w:ascii="Calibri" w:hAnsi="Calibri" w:cs="Calibri"/>
                <w:sz w:val="18"/>
                <w:szCs w:val="18"/>
              </w:rPr>
              <w:t>5</w:t>
            </w:r>
          </w:p>
        </w:tc>
        <w:tc>
          <w:tcPr>
            <w:tcW w:w="527" w:type="pct"/>
          </w:tcPr>
          <w:p w:rsidR="00D907AF" w:rsidRPr="00104AC9" w:rsidRDefault="00D907AF" w:rsidP="00104AC9">
            <w:pPr>
              <w:spacing w:before="20" w:after="20"/>
              <w:ind w:right="170"/>
              <w:jc w:val="right"/>
              <w:rPr>
                <w:rFonts w:ascii="Calibri" w:hAnsi="Calibri" w:cs="Calibri"/>
                <w:sz w:val="18"/>
                <w:szCs w:val="18"/>
              </w:rPr>
            </w:pPr>
            <w:r w:rsidRPr="00104AC9">
              <w:rPr>
                <w:rFonts w:ascii="Calibri" w:hAnsi="Calibri" w:cs="Calibri"/>
                <w:sz w:val="18"/>
                <w:szCs w:val="18"/>
              </w:rPr>
              <w:t>13</w:t>
            </w:r>
          </w:p>
        </w:tc>
        <w:tc>
          <w:tcPr>
            <w:tcW w:w="363" w:type="pct"/>
            <w:shd w:val="clear" w:color="auto" w:fill="E2E2E2"/>
            <w:vAlign w:val="center"/>
          </w:tcPr>
          <w:p w:rsidR="00D907AF" w:rsidRPr="00104AC9" w:rsidRDefault="00D907AF" w:rsidP="00027734">
            <w:pPr>
              <w:spacing w:before="20" w:after="20"/>
              <w:ind w:right="43"/>
              <w:jc w:val="right"/>
              <w:rPr>
                <w:rFonts w:ascii="Calibri" w:hAnsi="Calibri" w:cs="Calibri"/>
                <w:b/>
                <w:sz w:val="18"/>
                <w:szCs w:val="18"/>
              </w:rPr>
            </w:pPr>
            <w:r w:rsidRPr="00104AC9">
              <w:rPr>
                <w:rFonts w:ascii="Calibri" w:hAnsi="Calibri" w:cs="Calibri"/>
                <w:b/>
                <w:sz w:val="18"/>
                <w:szCs w:val="18"/>
              </w:rPr>
              <w:t>8</w:t>
            </w:r>
          </w:p>
        </w:tc>
        <w:tc>
          <w:tcPr>
            <w:tcW w:w="520" w:type="pct"/>
            <w:shd w:val="clear" w:color="auto" w:fill="auto"/>
            <w:vAlign w:val="center"/>
          </w:tcPr>
          <w:p w:rsidR="00D907AF" w:rsidRPr="00104AC9" w:rsidRDefault="00D907AF" w:rsidP="00104AC9">
            <w:pPr>
              <w:spacing w:before="20" w:after="20"/>
              <w:ind w:right="170"/>
              <w:jc w:val="right"/>
              <w:rPr>
                <w:rFonts w:ascii="Calibri" w:hAnsi="Calibri" w:cs="Calibri"/>
                <w:b/>
                <w:sz w:val="18"/>
                <w:szCs w:val="18"/>
              </w:rPr>
            </w:pPr>
            <w:r w:rsidRPr="00104AC9">
              <w:rPr>
                <w:rFonts w:ascii="Calibri" w:hAnsi="Calibri" w:cs="Calibri"/>
                <w:b/>
                <w:sz w:val="18"/>
                <w:szCs w:val="18"/>
              </w:rPr>
              <w:t>17</w:t>
            </w:r>
          </w:p>
        </w:tc>
      </w:tr>
      <w:tr w:rsidR="006D4746" w:rsidRPr="00104AC9" w:rsidTr="00A90EBB">
        <w:tc>
          <w:tcPr>
            <w:tcW w:w="607" w:type="pct"/>
            <w:tcBorders>
              <w:bottom w:val="single" w:sz="4" w:space="0" w:color="auto"/>
            </w:tcBorders>
            <w:shd w:val="clear" w:color="auto" w:fill="auto"/>
          </w:tcPr>
          <w:p w:rsidR="006074E4" w:rsidRPr="00104AC9" w:rsidRDefault="00202F96" w:rsidP="00D907AF">
            <w:pPr>
              <w:spacing w:before="20" w:after="20"/>
              <w:rPr>
                <w:rFonts w:ascii="Calibri" w:hAnsi="Calibri" w:cs="Calibri"/>
                <w:sz w:val="18"/>
                <w:szCs w:val="18"/>
              </w:rPr>
            </w:pPr>
            <w:r w:rsidRPr="00104AC9">
              <w:rPr>
                <w:rFonts w:ascii="Calibri" w:hAnsi="Calibri" w:cs="Calibri"/>
                <w:sz w:val="18"/>
                <w:szCs w:val="18"/>
              </w:rPr>
              <w:t>Missing %</w:t>
            </w:r>
          </w:p>
        </w:tc>
        <w:tc>
          <w:tcPr>
            <w:tcW w:w="361" w:type="pct"/>
            <w:tcBorders>
              <w:bottom w:val="single" w:sz="4" w:space="0" w:color="auto"/>
            </w:tcBorders>
            <w:shd w:val="clear" w:color="auto" w:fill="E2E2E2"/>
            <w:vAlign w:val="center"/>
          </w:tcPr>
          <w:p w:rsidR="006074E4" w:rsidRPr="00104AC9" w:rsidRDefault="006074E4" w:rsidP="00D907AF">
            <w:pPr>
              <w:spacing w:before="20" w:after="20"/>
              <w:jc w:val="right"/>
              <w:rPr>
                <w:rFonts w:ascii="Calibri" w:hAnsi="Calibri" w:cs="Calibri"/>
                <w:sz w:val="18"/>
                <w:szCs w:val="18"/>
              </w:rPr>
            </w:pPr>
            <w:r w:rsidRPr="00104AC9">
              <w:rPr>
                <w:rFonts w:ascii="Calibri" w:hAnsi="Calibri" w:cs="Calibri"/>
                <w:sz w:val="18"/>
                <w:szCs w:val="18"/>
              </w:rPr>
              <w:t>0.3</w:t>
            </w:r>
          </w:p>
        </w:tc>
        <w:tc>
          <w:tcPr>
            <w:tcW w:w="530" w:type="pct"/>
            <w:tcBorders>
              <w:bottom w:val="single" w:sz="4" w:space="0" w:color="auto"/>
            </w:tcBorders>
            <w:vAlign w:val="center"/>
          </w:tcPr>
          <w:p w:rsidR="006074E4" w:rsidRPr="00104AC9" w:rsidRDefault="006074E4" w:rsidP="00104AC9">
            <w:pPr>
              <w:spacing w:before="20" w:after="20"/>
              <w:ind w:right="170"/>
              <w:jc w:val="right"/>
              <w:rPr>
                <w:rFonts w:ascii="Calibri" w:hAnsi="Calibri" w:cs="Calibri"/>
                <w:sz w:val="18"/>
                <w:szCs w:val="18"/>
              </w:rPr>
            </w:pPr>
            <w:r w:rsidRPr="00104AC9">
              <w:rPr>
                <w:rFonts w:ascii="Calibri" w:hAnsi="Calibri" w:cs="Calibri"/>
                <w:sz w:val="18"/>
                <w:szCs w:val="18"/>
              </w:rPr>
              <w:t>0.9</w:t>
            </w:r>
          </w:p>
        </w:tc>
        <w:tc>
          <w:tcPr>
            <w:tcW w:w="364" w:type="pct"/>
            <w:tcBorders>
              <w:bottom w:val="single" w:sz="4" w:space="0" w:color="auto"/>
            </w:tcBorders>
            <w:shd w:val="clear" w:color="auto" w:fill="E2E2E2"/>
            <w:vAlign w:val="center"/>
          </w:tcPr>
          <w:p w:rsidR="006074E4" w:rsidRPr="00104AC9" w:rsidRDefault="006074E4" w:rsidP="006074E4">
            <w:pPr>
              <w:tabs>
                <w:tab w:val="decimal" w:pos="347"/>
              </w:tabs>
              <w:spacing w:before="20" w:after="20"/>
              <w:jc w:val="right"/>
              <w:rPr>
                <w:rFonts w:ascii="Calibri" w:hAnsi="Calibri" w:cs="Calibri"/>
                <w:sz w:val="18"/>
                <w:szCs w:val="18"/>
              </w:rPr>
            </w:pPr>
            <w:r w:rsidRPr="00104AC9">
              <w:rPr>
                <w:rFonts w:ascii="Calibri" w:hAnsi="Calibri" w:cs="Calibri"/>
                <w:sz w:val="18"/>
                <w:szCs w:val="18"/>
              </w:rPr>
              <w:t>2.4</w:t>
            </w:r>
          </w:p>
        </w:tc>
        <w:tc>
          <w:tcPr>
            <w:tcW w:w="476" w:type="pct"/>
            <w:tcBorders>
              <w:bottom w:val="single" w:sz="4" w:space="0" w:color="auto"/>
            </w:tcBorders>
            <w:vAlign w:val="center"/>
          </w:tcPr>
          <w:p w:rsidR="006074E4" w:rsidRPr="00104AC9" w:rsidRDefault="006074E4" w:rsidP="00104AC9">
            <w:pPr>
              <w:spacing w:before="20" w:after="20"/>
              <w:ind w:right="113"/>
              <w:jc w:val="right"/>
              <w:rPr>
                <w:rFonts w:ascii="Calibri" w:hAnsi="Calibri" w:cs="Calibri"/>
                <w:sz w:val="18"/>
                <w:szCs w:val="18"/>
              </w:rPr>
            </w:pPr>
            <w:r w:rsidRPr="00104AC9">
              <w:rPr>
                <w:rFonts w:ascii="Calibri" w:hAnsi="Calibri" w:cs="Calibri"/>
                <w:sz w:val="18"/>
                <w:szCs w:val="18"/>
              </w:rPr>
              <w:t>1.9</w:t>
            </w:r>
          </w:p>
        </w:tc>
        <w:tc>
          <w:tcPr>
            <w:tcW w:w="363" w:type="pct"/>
            <w:tcBorders>
              <w:bottom w:val="single" w:sz="4" w:space="0" w:color="auto"/>
            </w:tcBorders>
            <w:shd w:val="clear" w:color="auto" w:fill="E2E2E2"/>
          </w:tcPr>
          <w:p w:rsidR="006074E4" w:rsidRPr="00104AC9" w:rsidRDefault="006074E4" w:rsidP="00D907AF">
            <w:pPr>
              <w:spacing w:before="20" w:after="20"/>
              <w:jc w:val="right"/>
              <w:rPr>
                <w:rFonts w:ascii="Calibri" w:hAnsi="Calibri" w:cs="Calibri"/>
                <w:sz w:val="18"/>
                <w:szCs w:val="18"/>
              </w:rPr>
            </w:pPr>
            <w:r w:rsidRPr="00104AC9">
              <w:rPr>
                <w:rFonts w:ascii="Calibri" w:hAnsi="Calibri" w:cs="Calibri"/>
                <w:sz w:val="18"/>
                <w:szCs w:val="18"/>
              </w:rPr>
              <w:t>0.0</w:t>
            </w:r>
          </w:p>
        </w:tc>
        <w:tc>
          <w:tcPr>
            <w:tcW w:w="527" w:type="pct"/>
            <w:tcBorders>
              <w:bottom w:val="single" w:sz="4" w:space="0" w:color="auto"/>
            </w:tcBorders>
          </w:tcPr>
          <w:p w:rsidR="006074E4" w:rsidRPr="00104AC9" w:rsidRDefault="006074E4" w:rsidP="00104AC9">
            <w:pPr>
              <w:spacing w:before="20" w:after="20"/>
              <w:ind w:right="170"/>
              <w:jc w:val="right"/>
              <w:rPr>
                <w:rFonts w:ascii="Calibri" w:hAnsi="Calibri" w:cs="Calibri"/>
                <w:sz w:val="18"/>
                <w:szCs w:val="18"/>
              </w:rPr>
            </w:pPr>
            <w:r w:rsidRPr="00104AC9">
              <w:rPr>
                <w:rFonts w:ascii="Calibri" w:hAnsi="Calibri" w:cs="Calibri"/>
                <w:sz w:val="18"/>
                <w:szCs w:val="18"/>
              </w:rPr>
              <w:t>2.6</w:t>
            </w:r>
          </w:p>
        </w:tc>
        <w:tc>
          <w:tcPr>
            <w:tcW w:w="362" w:type="pct"/>
            <w:tcBorders>
              <w:bottom w:val="single" w:sz="4" w:space="0" w:color="auto"/>
            </w:tcBorders>
            <w:shd w:val="clear" w:color="auto" w:fill="E2E2E2"/>
          </w:tcPr>
          <w:p w:rsidR="006074E4" w:rsidRPr="00104AC9" w:rsidRDefault="006074E4" w:rsidP="006074E4">
            <w:pPr>
              <w:spacing w:before="20" w:after="20"/>
              <w:jc w:val="right"/>
              <w:rPr>
                <w:rFonts w:ascii="Calibri" w:hAnsi="Calibri" w:cs="Calibri"/>
                <w:sz w:val="18"/>
                <w:szCs w:val="18"/>
              </w:rPr>
            </w:pPr>
            <w:r w:rsidRPr="00104AC9">
              <w:rPr>
                <w:rFonts w:ascii="Calibri" w:hAnsi="Calibri" w:cs="Calibri"/>
                <w:sz w:val="18"/>
                <w:szCs w:val="18"/>
              </w:rPr>
              <w:t>1.2</w:t>
            </w:r>
          </w:p>
        </w:tc>
        <w:tc>
          <w:tcPr>
            <w:tcW w:w="527" w:type="pct"/>
            <w:tcBorders>
              <w:bottom w:val="single" w:sz="4" w:space="0" w:color="auto"/>
            </w:tcBorders>
          </w:tcPr>
          <w:p w:rsidR="006074E4" w:rsidRPr="00104AC9" w:rsidRDefault="006074E4" w:rsidP="00104AC9">
            <w:pPr>
              <w:spacing w:before="20" w:after="20"/>
              <w:ind w:right="170"/>
              <w:jc w:val="right"/>
              <w:rPr>
                <w:rFonts w:ascii="Calibri" w:hAnsi="Calibri" w:cs="Calibri"/>
                <w:sz w:val="18"/>
                <w:szCs w:val="18"/>
              </w:rPr>
            </w:pPr>
            <w:r w:rsidRPr="00104AC9">
              <w:rPr>
                <w:rFonts w:ascii="Calibri" w:hAnsi="Calibri" w:cs="Calibri"/>
                <w:sz w:val="18"/>
                <w:szCs w:val="18"/>
              </w:rPr>
              <w:t>3.9</w:t>
            </w:r>
          </w:p>
        </w:tc>
        <w:tc>
          <w:tcPr>
            <w:tcW w:w="363" w:type="pct"/>
            <w:tcBorders>
              <w:bottom w:val="single" w:sz="4" w:space="0" w:color="auto"/>
            </w:tcBorders>
            <w:shd w:val="clear" w:color="auto" w:fill="E2E2E2"/>
            <w:vAlign w:val="center"/>
          </w:tcPr>
          <w:p w:rsidR="006074E4" w:rsidRPr="00104AC9" w:rsidRDefault="006074E4" w:rsidP="00027734">
            <w:pPr>
              <w:spacing w:before="20" w:after="20"/>
              <w:ind w:right="43"/>
              <w:jc w:val="right"/>
              <w:rPr>
                <w:rFonts w:ascii="Calibri" w:hAnsi="Calibri" w:cs="Calibri"/>
                <w:b/>
                <w:sz w:val="18"/>
                <w:szCs w:val="18"/>
              </w:rPr>
            </w:pPr>
            <w:r w:rsidRPr="00104AC9">
              <w:rPr>
                <w:rFonts w:ascii="Calibri" w:hAnsi="Calibri" w:cs="Calibri"/>
                <w:b/>
                <w:sz w:val="18"/>
                <w:szCs w:val="18"/>
              </w:rPr>
              <w:t>0.9</w:t>
            </w:r>
          </w:p>
        </w:tc>
        <w:tc>
          <w:tcPr>
            <w:tcW w:w="520" w:type="pct"/>
            <w:tcBorders>
              <w:bottom w:val="single" w:sz="4" w:space="0" w:color="auto"/>
            </w:tcBorders>
            <w:shd w:val="clear" w:color="auto" w:fill="auto"/>
            <w:vAlign w:val="center"/>
          </w:tcPr>
          <w:p w:rsidR="006074E4" w:rsidRPr="00104AC9" w:rsidRDefault="006074E4" w:rsidP="00104AC9">
            <w:pPr>
              <w:spacing w:before="20" w:after="20"/>
              <w:ind w:right="170"/>
              <w:jc w:val="right"/>
              <w:rPr>
                <w:rFonts w:ascii="Calibri" w:hAnsi="Calibri" w:cs="Calibri"/>
                <w:b/>
                <w:sz w:val="18"/>
                <w:szCs w:val="18"/>
              </w:rPr>
            </w:pPr>
            <w:r w:rsidRPr="00104AC9">
              <w:rPr>
                <w:rFonts w:ascii="Calibri" w:hAnsi="Calibri" w:cs="Calibri"/>
                <w:b/>
                <w:sz w:val="18"/>
                <w:szCs w:val="18"/>
              </w:rPr>
              <w:t>2.9</w:t>
            </w:r>
          </w:p>
        </w:tc>
      </w:tr>
      <w:tr w:rsidR="006D4746" w:rsidRPr="00104AC9" w:rsidTr="00A90EBB">
        <w:tc>
          <w:tcPr>
            <w:tcW w:w="607" w:type="pct"/>
            <w:tcBorders>
              <w:top w:val="single" w:sz="4" w:space="0" w:color="auto"/>
              <w:bottom w:val="single" w:sz="4" w:space="0" w:color="auto"/>
            </w:tcBorders>
            <w:shd w:val="clear" w:color="auto" w:fill="auto"/>
          </w:tcPr>
          <w:p w:rsidR="00D907AF" w:rsidRPr="00104AC9" w:rsidRDefault="00D907AF" w:rsidP="00D907AF">
            <w:pPr>
              <w:spacing w:before="20" w:after="20"/>
              <w:rPr>
                <w:rFonts w:ascii="Calibri" w:hAnsi="Calibri" w:cs="Calibri"/>
                <w:b/>
                <w:sz w:val="18"/>
                <w:szCs w:val="18"/>
              </w:rPr>
            </w:pPr>
            <w:r w:rsidRPr="00104AC9">
              <w:rPr>
                <w:rFonts w:ascii="Calibri" w:hAnsi="Calibri" w:cs="Calibri"/>
                <w:b/>
                <w:sz w:val="18"/>
                <w:szCs w:val="18"/>
              </w:rPr>
              <w:t>Total</w:t>
            </w:r>
          </w:p>
        </w:tc>
        <w:tc>
          <w:tcPr>
            <w:tcW w:w="361" w:type="pct"/>
            <w:tcBorders>
              <w:top w:val="single" w:sz="4" w:space="0" w:color="auto"/>
              <w:bottom w:val="single" w:sz="4" w:space="0" w:color="auto"/>
            </w:tcBorders>
            <w:shd w:val="clear" w:color="auto" w:fill="E2E2E2"/>
          </w:tcPr>
          <w:p w:rsidR="00D907AF" w:rsidRPr="00104AC9" w:rsidRDefault="00D907AF" w:rsidP="00D907AF">
            <w:pPr>
              <w:spacing w:before="20" w:after="20"/>
              <w:jc w:val="right"/>
              <w:rPr>
                <w:rFonts w:ascii="Calibri" w:hAnsi="Calibri" w:cs="Calibri"/>
                <w:b/>
                <w:sz w:val="18"/>
                <w:szCs w:val="18"/>
              </w:rPr>
            </w:pPr>
            <w:r w:rsidRPr="00104AC9">
              <w:rPr>
                <w:rFonts w:ascii="Calibri" w:hAnsi="Calibri" w:cs="Calibri"/>
                <w:b/>
                <w:sz w:val="18"/>
                <w:szCs w:val="18"/>
              </w:rPr>
              <w:t>323</w:t>
            </w:r>
          </w:p>
        </w:tc>
        <w:tc>
          <w:tcPr>
            <w:tcW w:w="530" w:type="pct"/>
            <w:tcBorders>
              <w:top w:val="single" w:sz="4" w:space="0" w:color="auto"/>
              <w:bottom w:val="single" w:sz="4" w:space="0" w:color="auto"/>
            </w:tcBorders>
          </w:tcPr>
          <w:p w:rsidR="00D907AF" w:rsidRPr="00104AC9" w:rsidRDefault="00D907AF" w:rsidP="00104AC9">
            <w:pPr>
              <w:spacing w:before="20" w:after="20"/>
              <w:ind w:right="170"/>
              <w:jc w:val="right"/>
              <w:rPr>
                <w:rFonts w:ascii="Calibri" w:hAnsi="Calibri" w:cs="Calibri"/>
                <w:b/>
                <w:sz w:val="18"/>
                <w:szCs w:val="18"/>
              </w:rPr>
            </w:pPr>
            <w:r w:rsidRPr="00104AC9">
              <w:rPr>
                <w:rFonts w:ascii="Calibri" w:hAnsi="Calibri" w:cs="Calibri"/>
                <w:b/>
                <w:sz w:val="18"/>
                <w:szCs w:val="18"/>
              </w:rPr>
              <w:t>106</w:t>
            </w:r>
          </w:p>
        </w:tc>
        <w:tc>
          <w:tcPr>
            <w:tcW w:w="364" w:type="pct"/>
            <w:tcBorders>
              <w:top w:val="single" w:sz="4" w:space="0" w:color="auto"/>
              <w:bottom w:val="single" w:sz="4" w:space="0" w:color="auto"/>
            </w:tcBorders>
            <w:shd w:val="clear" w:color="auto" w:fill="E2E2E2"/>
          </w:tcPr>
          <w:p w:rsidR="00D907AF" w:rsidRPr="00104AC9" w:rsidRDefault="00D907AF" w:rsidP="00D907AF">
            <w:pPr>
              <w:tabs>
                <w:tab w:val="decimal" w:pos="347"/>
              </w:tabs>
              <w:spacing w:before="20" w:after="20"/>
              <w:jc w:val="right"/>
              <w:rPr>
                <w:rFonts w:ascii="Calibri" w:hAnsi="Calibri" w:cs="Calibri"/>
                <w:b/>
                <w:sz w:val="18"/>
                <w:szCs w:val="18"/>
              </w:rPr>
            </w:pPr>
            <w:r w:rsidRPr="00104AC9">
              <w:rPr>
                <w:rFonts w:ascii="Calibri" w:hAnsi="Calibri" w:cs="Calibri"/>
                <w:b/>
                <w:sz w:val="18"/>
                <w:szCs w:val="18"/>
              </w:rPr>
              <w:t>83</w:t>
            </w:r>
          </w:p>
        </w:tc>
        <w:tc>
          <w:tcPr>
            <w:tcW w:w="476" w:type="pct"/>
            <w:tcBorders>
              <w:top w:val="single" w:sz="4" w:space="0" w:color="auto"/>
              <w:bottom w:val="single" w:sz="4" w:space="0" w:color="auto"/>
            </w:tcBorders>
          </w:tcPr>
          <w:p w:rsidR="00D907AF" w:rsidRPr="00104AC9" w:rsidRDefault="00D907AF" w:rsidP="00104AC9">
            <w:pPr>
              <w:spacing w:before="20" w:after="20"/>
              <w:ind w:right="113"/>
              <w:jc w:val="right"/>
              <w:rPr>
                <w:rFonts w:ascii="Calibri" w:hAnsi="Calibri" w:cs="Calibri"/>
                <w:b/>
                <w:sz w:val="18"/>
                <w:szCs w:val="18"/>
              </w:rPr>
            </w:pPr>
            <w:r w:rsidRPr="00104AC9">
              <w:rPr>
                <w:rFonts w:ascii="Calibri" w:hAnsi="Calibri" w:cs="Calibri"/>
                <w:b/>
                <w:sz w:val="18"/>
                <w:szCs w:val="18"/>
              </w:rPr>
              <w:t>107</w:t>
            </w:r>
          </w:p>
        </w:tc>
        <w:tc>
          <w:tcPr>
            <w:tcW w:w="363" w:type="pct"/>
            <w:tcBorders>
              <w:top w:val="single" w:sz="4" w:space="0" w:color="auto"/>
              <w:bottom w:val="single" w:sz="4" w:space="0" w:color="auto"/>
            </w:tcBorders>
            <w:shd w:val="clear" w:color="auto" w:fill="E2E2E2"/>
          </w:tcPr>
          <w:p w:rsidR="00D907AF" w:rsidRPr="00104AC9" w:rsidRDefault="00D907AF" w:rsidP="00D907AF">
            <w:pPr>
              <w:spacing w:before="20" w:after="20"/>
              <w:jc w:val="right"/>
              <w:rPr>
                <w:rFonts w:ascii="Calibri" w:hAnsi="Calibri" w:cs="Calibri"/>
                <w:b/>
                <w:sz w:val="18"/>
                <w:szCs w:val="18"/>
              </w:rPr>
            </w:pPr>
            <w:r w:rsidRPr="00104AC9">
              <w:rPr>
                <w:rFonts w:ascii="Calibri" w:hAnsi="Calibri" w:cs="Calibri"/>
                <w:b/>
                <w:sz w:val="18"/>
                <w:szCs w:val="18"/>
              </w:rPr>
              <w:t>33</w:t>
            </w:r>
          </w:p>
        </w:tc>
        <w:tc>
          <w:tcPr>
            <w:tcW w:w="527" w:type="pct"/>
            <w:tcBorders>
              <w:top w:val="single" w:sz="4" w:space="0" w:color="auto"/>
              <w:bottom w:val="single" w:sz="4" w:space="0" w:color="auto"/>
            </w:tcBorders>
          </w:tcPr>
          <w:p w:rsidR="00D907AF" w:rsidRPr="00104AC9" w:rsidRDefault="00D907AF" w:rsidP="00104AC9">
            <w:pPr>
              <w:spacing w:before="20" w:after="20"/>
              <w:ind w:right="170"/>
              <w:jc w:val="right"/>
              <w:rPr>
                <w:rFonts w:ascii="Calibri" w:hAnsi="Calibri" w:cs="Calibri"/>
                <w:b/>
                <w:sz w:val="18"/>
                <w:szCs w:val="18"/>
              </w:rPr>
            </w:pPr>
            <w:r w:rsidRPr="00104AC9">
              <w:rPr>
                <w:rFonts w:ascii="Calibri" w:hAnsi="Calibri" w:cs="Calibri"/>
                <w:b/>
                <w:sz w:val="18"/>
                <w:szCs w:val="18"/>
              </w:rPr>
              <w:t>39</w:t>
            </w:r>
          </w:p>
        </w:tc>
        <w:tc>
          <w:tcPr>
            <w:tcW w:w="362" w:type="pct"/>
            <w:tcBorders>
              <w:top w:val="single" w:sz="4" w:space="0" w:color="auto"/>
              <w:bottom w:val="single" w:sz="4" w:space="0" w:color="auto"/>
            </w:tcBorders>
            <w:shd w:val="clear" w:color="auto" w:fill="E2E2E2"/>
          </w:tcPr>
          <w:p w:rsidR="00D907AF" w:rsidRPr="00104AC9" w:rsidRDefault="00D907AF" w:rsidP="00D907AF">
            <w:pPr>
              <w:spacing w:before="20" w:after="20"/>
              <w:jc w:val="right"/>
              <w:rPr>
                <w:rFonts w:ascii="Calibri" w:hAnsi="Calibri" w:cs="Calibri"/>
                <w:b/>
                <w:sz w:val="18"/>
                <w:szCs w:val="18"/>
              </w:rPr>
            </w:pPr>
            <w:r w:rsidRPr="00104AC9">
              <w:rPr>
                <w:rFonts w:ascii="Calibri" w:hAnsi="Calibri" w:cs="Calibri"/>
                <w:b/>
                <w:sz w:val="18"/>
                <w:szCs w:val="18"/>
              </w:rPr>
              <w:t>428</w:t>
            </w:r>
          </w:p>
        </w:tc>
        <w:tc>
          <w:tcPr>
            <w:tcW w:w="527" w:type="pct"/>
            <w:tcBorders>
              <w:top w:val="single" w:sz="4" w:space="0" w:color="auto"/>
              <w:bottom w:val="single" w:sz="4" w:space="0" w:color="auto"/>
            </w:tcBorders>
          </w:tcPr>
          <w:p w:rsidR="00D907AF" w:rsidRPr="00104AC9" w:rsidRDefault="00D907AF" w:rsidP="00104AC9">
            <w:pPr>
              <w:spacing w:before="20" w:after="20"/>
              <w:ind w:right="170"/>
              <w:jc w:val="right"/>
              <w:rPr>
                <w:rFonts w:ascii="Calibri" w:hAnsi="Calibri" w:cs="Calibri"/>
                <w:b/>
                <w:sz w:val="18"/>
                <w:szCs w:val="18"/>
              </w:rPr>
            </w:pPr>
            <w:r w:rsidRPr="00104AC9">
              <w:rPr>
                <w:rFonts w:ascii="Calibri" w:hAnsi="Calibri" w:cs="Calibri"/>
                <w:b/>
                <w:sz w:val="18"/>
                <w:szCs w:val="18"/>
              </w:rPr>
              <w:t>335</w:t>
            </w:r>
          </w:p>
        </w:tc>
        <w:tc>
          <w:tcPr>
            <w:tcW w:w="363" w:type="pct"/>
            <w:tcBorders>
              <w:top w:val="single" w:sz="4" w:space="0" w:color="auto"/>
              <w:bottom w:val="single" w:sz="4" w:space="0" w:color="auto"/>
            </w:tcBorders>
            <w:shd w:val="clear" w:color="auto" w:fill="E2E2E2"/>
          </w:tcPr>
          <w:p w:rsidR="00D907AF" w:rsidRPr="00104AC9" w:rsidRDefault="00D907AF" w:rsidP="00027734">
            <w:pPr>
              <w:spacing w:before="20" w:after="20"/>
              <w:ind w:right="43"/>
              <w:jc w:val="right"/>
              <w:rPr>
                <w:rFonts w:ascii="Calibri" w:hAnsi="Calibri" w:cs="Calibri"/>
                <w:b/>
                <w:sz w:val="18"/>
                <w:szCs w:val="18"/>
              </w:rPr>
            </w:pPr>
            <w:r w:rsidRPr="00104AC9">
              <w:rPr>
                <w:rFonts w:ascii="Calibri" w:hAnsi="Calibri" w:cs="Calibri"/>
                <w:b/>
                <w:sz w:val="18"/>
                <w:szCs w:val="18"/>
              </w:rPr>
              <w:t>867</w:t>
            </w:r>
          </w:p>
        </w:tc>
        <w:tc>
          <w:tcPr>
            <w:tcW w:w="520" w:type="pct"/>
            <w:tcBorders>
              <w:top w:val="single" w:sz="4" w:space="0" w:color="auto"/>
              <w:bottom w:val="single" w:sz="4" w:space="0" w:color="auto"/>
            </w:tcBorders>
            <w:shd w:val="clear" w:color="auto" w:fill="auto"/>
          </w:tcPr>
          <w:p w:rsidR="00D907AF" w:rsidRPr="00104AC9" w:rsidRDefault="00D907AF" w:rsidP="00104AC9">
            <w:pPr>
              <w:spacing w:before="20" w:after="20"/>
              <w:ind w:right="170"/>
              <w:jc w:val="right"/>
              <w:rPr>
                <w:rFonts w:ascii="Calibri" w:hAnsi="Calibri" w:cs="Calibri"/>
                <w:b/>
                <w:sz w:val="18"/>
                <w:szCs w:val="18"/>
              </w:rPr>
            </w:pPr>
            <w:r w:rsidRPr="00104AC9">
              <w:rPr>
                <w:rFonts w:ascii="Calibri" w:hAnsi="Calibri" w:cs="Calibri"/>
                <w:b/>
                <w:sz w:val="18"/>
                <w:szCs w:val="18"/>
              </w:rPr>
              <w:t>587</w:t>
            </w:r>
          </w:p>
        </w:tc>
      </w:tr>
    </w:tbl>
    <w:p w:rsidR="00D907AF" w:rsidRDefault="00D907AF" w:rsidP="00BC69BF">
      <w:pPr>
        <w:pStyle w:val="NILSReference"/>
      </w:pPr>
      <w:r>
        <w:t xml:space="preserve">Note: trial and comparison all ages </w:t>
      </w:r>
      <w:r w:rsidRPr="00B01305">
        <w:t>if currently receiving disability supports</w:t>
      </w:r>
    </w:p>
    <w:p w:rsidR="005B2D5F" w:rsidRDefault="005B2D5F" w:rsidP="00D907AF"/>
    <w:p w:rsidR="00D907AF" w:rsidRDefault="00D907AF" w:rsidP="00D907AF">
      <w:r>
        <w:t>Table 3.20</w:t>
      </w:r>
      <w:r w:rsidRPr="009B60FB">
        <w:t xml:space="preserve"> suggests very strongly tha</w:t>
      </w:r>
      <w:r>
        <w:t xml:space="preserve">t early interventions are focused on the 0-7 age group. In both trial and comparison groups, the 0-7 age group account for 75.2 and 57.7 per cent of respondents in each group respectively. </w:t>
      </w:r>
      <w:r w:rsidRPr="00346DAB">
        <w:t xml:space="preserve">The </w:t>
      </w:r>
      <w:r w:rsidRPr="00290799">
        <w:t>difference</w:t>
      </w:r>
      <w:r>
        <w:t xml:space="preserve"> between trial and comparison early intervention incidence in the 8+ year old people with disability is unclear, possibly due to the high level of ‘do not know’ responses. Further information is collected by the survey on which of the supports received are </w:t>
      </w:r>
      <w:r>
        <w:lastRenderedPageBreak/>
        <w:t>included as part of an early intervention. This information will allow a better understanding of the role of early interventions within the totality of supports received.</w:t>
      </w:r>
    </w:p>
    <w:p w:rsidR="00D907AF" w:rsidRPr="004D098E" w:rsidRDefault="00D907AF" w:rsidP="00367B24">
      <w:pPr>
        <w:pStyle w:val="Heading3"/>
      </w:pPr>
      <w:bookmarkStart w:id="249" w:name="_Toc428280639"/>
      <w:bookmarkStart w:id="250" w:name="_Toc449955011"/>
      <w:r>
        <w:t>3.6.5 Part A – Participation in the NDIS: support providers</w:t>
      </w:r>
      <w:bookmarkEnd w:id="249"/>
      <w:bookmarkEnd w:id="250"/>
    </w:p>
    <w:p w:rsidR="00D907AF" w:rsidRDefault="00D907AF" w:rsidP="00D907AF">
      <w:r w:rsidRPr="00260180">
        <w:t>The success of the NDIS will depend on the presence of an adequate number of providers who will be</w:t>
      </w:r>
      <w:r>
        <w:t xml:space="preserve"> willing and able to make the necessary provisions at a price, quality and quantity that will reflect the needs of people with disability and the capacity of the whole NDIS. The </w:t>
      </w:r>
      <w:r w:rsidR="00190419">
        <w:t>e</w:t>
      </w:r>
      <w:r w:rsidR="00BD356D">
        <w:t>valuation</w:t>
      </w:r>
      <w:r>
        <w:t xml:space="preserve"> therefore collects information on the provision of supports from many different angles, ranging from the people with disability and their families and carers to the employers and employees responsible for these provisions. This sub-section presents the point of view of the people with disability. The first question asks about the number of different providers that are used in a typical month, in Table 3.21.</w:t>
      </w:r>
    </w:p>
    <w:p w:rsidR="005B2D5F" w:rsidRDefault="005B2D5F" w:rsidP="00D907AF"/>
    <w:p w:rsidR="00D907AF" w:rsidRPr="00233E8A" w:rsidRDefault="00D907AF" w:rsidP="0044684E">
      <w:pPr>
        <w:pStyle w:val="NILSTableHeading"/>
      </w:pPr>
      <w:bookmarkStart w:id="251" w:name="_Toc428280672"/>
      <w:bookmarkStart w:id="252" w:name="_Toc449955283"/>
      <w:r w:rsidRPr="00233E8A">
        <w:t>Table 3.</w:t>
      </w:r>
      <w:r>
        <w:t>21</w:t>
      </w:r>
      <w:r w:rsidRPr="00233E8A">
        <w:t>: Number of disability support providers used</w:t>
      </w:r>
      <w:bookmarkEnd w:id="251"/>
      <w:bookmarkEnd w:id="252"/>
    </w:p>
    <w:tbl>
      <w:tblPr>
        <w:tblStyle w:val="TableGrid"/>
        <w:tblW w:w="0" w:type="auto"/>
        <w:tblInd w:w="-34" w:type="dxa"/>
        <w:tblLook w:val="04A0" w:firstRow="1" w:lastRow="0" w:firstColumn="1" w:lastColumn="0" w:noHBand="0" w:noVBand="1"/>
        <w:tblCaption w:val="Table 3.21 Number of disability support providers used"/>
      </w:tblPr>
      <w:tblGrid>
        <w:gridCol w:w="1843"/>
        <w:gridCol w:w="851"/>
        <w:gridCol w:w="1134"/>
        <w:gridCol w:w="1276"/>
        <w:gridCol w:w="1417"/>
        <w:gridCol w:w="992"/>
        <w:gridCol w:w="993"/>
      </w:tblGrid>
      <w:tr w:rsidR="00D907AF" w:rsidRPr="0087485F" w:rsidTr="00BD4BB0">
        <w:trPr>
          <w:cantSplit/>
          <w:tblHeader/>
        </w:trPr>
        <w:tc>
          <w:tcPr>
            <w:tcW w:w="1843" w:type="dxa"/>
            <w:tcBorders>
              <w:top w:val="single" w:sz="4" w:space="0" w:color="auto"/>
              <w:bottom w:val="single" w:sz="4" w:space="0" w:color="auto"/>
            </w:tcBorders>
            <w:shd w:val="clear" w:color="auto" w:fill="auto"/>
          </w:tcPr>
          <w:p w:rsidR="00D907AF" w:rsidRPr="0087485F" w:rsidRDefault="00D907AF" w:rsidP="001032EF">
            <w:pPr>
              <w:spacing w:before="20" w:after="20"/>
              <w:rPr>
                <w:rFonts w:cstheme="minorHAnsi"/>
                <w:sz w:val="20"/>
                <w:szCs w:val="20"/>
              </w:rPr>
            </w:pPr>
            <w:bookmarkStart w:id="253" w:name="Title_3_21"/>
            <w:bookmarkEnd w:id="253"/>
          </w:p>
        </w:tc>
        <w:tc>
          <w:tcPr>
            <w:tcW w:w="851" w:type="dxa"/>
            <w:tcBorders>
              <w:top w:val="single" w:sz="4" w:space="0" w:color="auto"/>
              <w:bottom w:val="single" w:sz="4" w:space="0" w:color="auto"/>
            </w:tcBorders>
            <w:shd w:val="clear" w:color="auto" w:fill="auto"/>
          </w:tcPr>
          <w:p w:rsidR="00D907AF" w:rsidRPr="0087485F" w:rsidRDefault="000167F4" w:rsidP="00D251F9">
            <w:pPr>
              <w:spacing w:before="20" w:after="20"/>
              <w:jc w:val="center"/>
              <w:rPr>
                <w:rFonts w:cstheme="minorHAnsi"/>
                <w:sz w:val="20"/>
                <w:szCs w:val="20"/>
              </w:rPr>
            </w:pPr>
            <w:r>
              <w:rPr>
                <w:rFonts w:cstheme="minorHAnsi"/>
                <w:sz w:val="20"/>
                <w:szCs w:val="20"/>
              </w:rPr>
              <w:t>Trial</w:t>
            </w:r>
            <w:r w:rsidR="00A47460">
              <w:rPr>
                <w:rFonts w:cstheme="minorHAnsi"/>
                <w:sz w:val="20"/>
                <w:szCs w:val="20"/>
              </w:rPr>
              <w:t xml:space="preserve"> Cases</w:t>
            </w:r>
            <w:r>
              <w:rPr>
                <w:rFonts w:cstheme="minorHAnsi"/>
                <w:sz w:val="20"/>
                <w:szCs w:val="20"/>
              </w:rPr>
              <w:t xml:space="preserve"> </w:t>
            </w:r>
          </w:p>
        </w:tc>
        <w:tc>
          <w:tcPr>
            <w:tcW w:w="1134" w:type="dxa"/>
            <w:tcBorders>
              <w:top w:val="single" w:sz="4" w:space="0" w:color="auto"/>
              <w:bottom w:val="single" w:sz="4" w:space="0" w:color="auto"/>
            </w:tcBorders>
            <w:shd w:val="clear" w:color="auto" w:fill="auto"/>
          </w:tcPr>
          <w:p w:rsidR="004A5067" w:rsidRDefault="000167F4" w:rsidP="00D251F9">
            <w:pPr>
              <w:spacing w:before="20" w:after="20"/>
              <w:jc w:val="center"/>
              <w:rPr>
                <w:rFonts w:cstheme="minorHAnsi"/>
                <w:sz w:val="20"/>
                <w:szCs w:val="20"/>
              </w:rPr>
            </w:pPr>
            <w:r w:rsidRPr="0087485F">
              <w:rPr>
                <w:rFonts w:cstheme="minorHAnsi"/>
                <w:sz w:val="20"/>
                <w:szCs w:val="20"/>
              </w:rPr>
              <w:t xml:space="preserve">Trial </w:t>
            </w:r>
          </w:p>
          <w:p w:rsidR="00D907AF" w:rsidRPr="0087485F" w:rsidRDefault="00D907AF" w:rsidP="00D251F9">
            <w:pPr>
              <w:spacing w:before="20" w:after="20"/>
              <w:jc w:val="center"/>
              <w:rPr>
                <w:rFonts w:cstheme="minorHAnsi"/>
                <w:sz w:val="20"/>
                <w:szCs w:val="20"/>
              </w:rPr>
            </w:pPr>
            <w:r w:rsidRPr="0087485F">
              <w:rPr>
                <w:rFonts w:cstheme="minorHAnsi"/>
                <w:sz w:val="20"/>
                <w:szCs w:val="20"/>
              </w:rPr>
              <w:t>%</w:t>
            </w:r>
          </w:p>
        </w:tc>
        <w:tc>
          <w:tcPr>
            <w:tcW w:w="1276" w:type="dxa"/>
            <w:tcBorders>
              <w:top w:val="single" w:sz="4" w:space="0" w:color="auto"/>
              <w:bottom w:val="single" w:sz="4" w:space="0" w:color="auto"/>
            </w:tcBorders>
            <w:shd w:val="clear" w:color="auto" w:fill="auto"/>
          </w:tcPr>
          <w:p w:rsidR="00D907AF" w:rsidRPr="0087485F" w:rsidRDefault="000167F4" w:rsidP="00D251F9">
            <w:pPr>
              <w:spacing w:before="20" w:after="20"/>
              <w:jc w:val="center"/>
              <w:rPr>
                <w:rFonts w:cstheme="minorHAnsi"/>
                <w:sz w:val="20"/>
                <w:szCs w:val="20"/>
              </w:rPr>
            </w:pPr>
            <w:r>
              <w:rPr>
                <w:rFonts w:cstheme="minorHAnsi"/>
                <w:sz w:val="20"/>
                <w:szCs w:val="20"/>
              </w:rPr>
              <w:t>Comparison</w:t>
            </w:r>
            <w:r w:rsidR="00A47460">
              <w:rPr>
                <w:rFonts w:cstheme="minorHAnsi"/>
                <w:sz w:val="20"/>
                <w:szCs w:val="20"/>
              </w:rPr>
              <w:t xml:space="preserve"> Cases</w:t>
            </w:r>
            <w:r>
              <w:rPr>
                <w:rFonts w:cstheme="minorHAnsi"/>
                <w:sz w:val="20"/>
                <w:szCs w:val="20"/>
              </w:rPr>
              <w:t xml:space="preserve"> </w:t>
            </w:r>
          </w:p>
        </w:tc>
        <w:tc>
          <w:tcPr>
            <w:tcW w:w="1417" w:type="dxa"/>
            <w:tcBorders>
              <w:top w:val="single" w:sz="4" w:space="0" w:color="auto"/>
              <w:bottom w:val="single" w:sz="4" w:space="0" w:color="auto"/>
            </w:tcBorders>
            <w:shd w:val="clear" w:color="auto" w:fill="auto"/>
          </w:tcPr>
          <w:p w:rsidR="004A5067" w:rsidRDefault="000167F4" w:rsidP="001032EF">
            <w:pPr>
              <w:spacing w:before="20" w:after="20"/>
              <w:jc w:val="center"/>
              <w:rPr>
                <w:rFonts w:cstheme="minorHAnsi"/>
                <w:sz w:val="20"/>
                <w:szCs w:val="20"/>
              </w:rPr>
            </w:pPr>
            <w:r w:rsidRPr="0087485F">
              <w:rPr>
                <w:rFonts w:cstheme="minorHAnsi"/>
                <w:sz w:val="20"/>
                <w:szCs w:val="20"/>
              </w:rPr>
              <w:t xml:space="preserve">Comparison </w:t>
            </w:r>
          </w:p>
          <w:p w:rsidR="00D907AF" w:rsidRPr="0087485F" w:rsidRDefault="00D907AF" w:rsidP="001032EF">
            <w:pPr>
              <w:spacing w:before="20" w:after="20"/>
              <w:jc w:val="center"/>
              <w:rPr>
                <w:rFonts w:cstheme="minorHAnsi"/>
                <w:sz w:val="20"/>
                <w:szCs w:val="20"/>
              </w:rPr>
            </w:pPr>
            <w:r w:rsidRPr="0087485F">
              <w:rPr>
                <w:rFonts w:cstheme="minorHAnsi"/>
                <w:sz w:val="20"/>
                <w:szCs w:val="20"/>
              </w:rPr>
              <w:t>%</w:t>
            </w:r>
          </w:p>
        </w:tc>
        <w:tc>
          <w:tcPr>
            <w:tcW w:w="992" w:type="dxa"/>
            <w:tcBorders>
              <w:top w:val="single" w:sz="4" w:space="0" w:color="auto"/>
              <w:bottom w:val="single" w:sz="4" w:space="0" w:color="auto"/>
            </w:tcBorders>
            <w:shd w:val="clear" w:color="auto" w:fill="auto"/>
          </w:tcPr>
          <w:p w:rsidR="00D907AF" w:rsidRPr="0087485F" w:rsidRDefault="000167F4" w:rsidP="00D251F9">
            <w:pPr>
              <w:spacing w:before="20" w:after="20"/>
              <w:jc w:val="center"/>
              <w:rPr>
                <w:rFonts w:cstheme="minorHAnsi"/>
                <w:sz w:val="20"/>
                <w:szCs w:val="20"/>
              </w:rPr>
            </w:pPr>
            <w:r>
              <w:rPr>
                <w:rFonts w:cstheme="minorHAnsi"/>
                <w:sz w:val="20"/>
                <w:szCs w:val="20"/>
              </w:rPr>
              <w:t xml:space="preserve">Total </w:t>
            </w:r>
            <w:r w:rsidR="00A47460">
              <w:rPr>
                <w:rFonts w:cstheme="minorHAnsi"/>
                <w:sz w:val="20"/>
                <w:szCs w:val="20"/>
              </w:rPr>
              <w:t>Cases</w:t>
            </w:r>
          </w:p>
        </w:tc>
        <w:tc>
          <w:tcPr>
            <w:tcW w:w="993" w:type="dxa"/>
            <w:tcBorders>
              <w:top w:val="single" w:sz="4" w:space="0" w:color="auto"/>
              <w:bottom w:val="single" w:sz="4" w:space="0" w:color="auto"/>
            </w:tcBorders>
            <w:shd w:val="clear" w:color="auto" w:fill="auto"/>
          </w:tcPr>
          <w:p w:rsidR="004A5067" w:rsidRDefault="000167F4" w:rsidP="001032EF">
            <w:pPr>
              <w:spacing w:before="20" w:after="20"/>
              <w:jc w:val="center"/>
              <w:rPr>
                <w:rFonts w:cstheme="minorHAnsi"/>
                <w:sz w:val="20"/>
                <w:szCs w:val="20"/>
              </w:rPr>
            </w:pPr>
            <w:r w:rsidRPr="0087485F">
              <w:rPr>
                <w:rFonts w:cstheme="minorHAnsi"/>
                <w:sz w:val="20"/>
                <w:szCs w:val="20"/>
              </w:rPr>
              <w:t xml:space="preserve">Total </w:t>
            </w:r>
          </w:p>
          <w:p w:rsidR="00D907AF" w:rsidRPr="0087485F" w:rsidRDefault="00D907AF" w:rsidP="001032EF">
            <w:pPr>
              <w:spacing w:before="20" w:after="20"/>
              <w:jc w:val="center"/>
              <w:rPr>
                <w:rFonts w:cstheme="minorHAnsi"/>
                <w:sz w:val="20"/>
                <w:szCs w:val="20"/>
              </w:rPr>
            </w:pPr>
            <w:r w:rsidRPr="0087485F">
              <w:rPr>
                <w:rFonts w:cstheme="minorHAnsi"/>
                <w:sz w:val="20"/>
                <w:szCs w:val="20"/>
              </w:rPr>
              <w:t>%</w:t>
            </w:r>
          </w:p>
        </w:tc>
      </w:tr>
      <w:tr w:rsidR="00D907AF" w:rsidRPr="0087485F" w:rsidTr="00BD4BB0">
        <w:trPr>
          <w:cantSplit/>
        </w:trPr>
        <w:tc>
          <w:tcPr>
            <w:tcW w:w="1843" w:type="dxa"/>
            <w:shd w:val="clear" w:color="auto" w:fill="auto"/>
          </w:tcPr>
          <w:p w:rsidR="00D907AF" w:rsidRPr="0087485F" w:rsidRDefault="00D907AF" w:rsidP="001032EF">
            <w:pPr>
              <w:spacing w:before="20" w:after="20"/>
              <w:rPr>
                <w:rFonts w:cstheme="minorHAnsi"/>
                <w:sz w:val="20"/>
                <w:szCs w:val="20"/>
              </w:rPr>
            </w:pPr>
            <w:r w:rsidRPr="0087485F">
              <w:rPr>
                <w:rFonts w:cstheme="minorHAnsi"/>
                <w:sz w:val="20"/>
                <w:szCs w:val="20"/>
              </w:rPr>
              <w:t>1</w:t>
            </w:r>
            <w:r w:rsidR="00AC1887">
              <w:rPr>
                <w:rFonts w:cstheme="minorHAnsi"/>
                <w:sz w:val="20"/>
                <w:szCs w:val="20"/>
              </w:rPr>
              <w:t xml:space="preserve"> </w:t>
            </w:r>
            <w:r w:rsidR="00AC1887" w:rsidRPr="00AC1887">
              <w:rPr>
                <w:rFonts w:cstheme="minorHAnsi"/>
                <w:color w:val="FFFFFF" w:themeColor="background1"/>
                <w:sz w:val="20"/>
                <w:szCs w:val="20"/>
              </w:rPr>
              <w:t>provider</w:t>
            </w:r>
          </w:p>
        </w:tc>
        <w:tc>
          <w:tcPr>
            <w:tcW w:w="851" w:type="dxa"/>
            <w:shd w:val="clear" w:color="auto" w:fill="auto"/>
            <w:vAlign w:val="center"/>
          </w:tcPr>
          <w:p w:rsidR="00D907AF" w:rsidRPr="0087485F" w:rsidRDefault="00D907AF" w:rsidP="00104AC9">
            <w:pPr>
              <w:spacing w:before="20" w:after="20"/>
              <w:ind w:right="113"/>
              <w:jc w:val="right"/>
              <w:rPr>
                <w:rFonts w:cstheme="minorHAnsi"/>
                <w:color w:val="000000"/>
                <w:sz w:val="20"/>
                <w:szCs w:val="20"/>
              </w:rPr>
            </w:pPr>
            <w:r w:rsidRPr="0087485F">
              <w:rPr>
                <w:rFonts w:cstheme="minorHAnsi"/>
                <w:color w:val="000000"/>
                <w:sz w:val="20"/>
                <w:szCs w:val="20"/>
              </w:rPr>
              <w:t>194</w:t>
            </w:r>
          </w:p>
        </w:tc>
        <w:tc>
          <w:tcPr>
            <w:tcW w:w="1134" w:type="dxa"/>
            <w:shd w:val="clear" w:color="auto" w:fill="auto"/>
            <w:vAlign w:val="center"/>
          </w:tcPr>
          <w:p w:rsidR="00D907AF" w:rsidRPr="0087485F" w:rsidRDefault="00D907AF" w:rsidP="00104AC9">
            <w:pPr>
              <w:spacing w:before="20" w:after="20"/>
              <w:ind w:right="227"/>
              <w:jc w:val="right"/>
              <w:rPr>
                <w:rFonts w:cstheme="minorHAnsi"/>
                <w:color w:val="000000"/>
                <w:sz w:val="20"/>
                <w:szCs w:val="20"/>
              </w:rPr>
            </w:pPr>
            <w:r w:rsidRPr="0087485F">
              <w:rPr>
                <w:rFonts w:cstheme="minorHAnsi"/>
                <w:color w:val="000000"/>
                <w:sz w:val="20"/>
                <w:szCs w:val="20"/>
              </w:rPr>
              <w:t>22.4</w:t>
            </w:r>
          </w:p>
        </w:tc>
        <w:tc>
          <w:tcPr>
            <w:tcW w:w="1276" w:type="dxa"/>
            <w:shd w:val="clear" w:color="auto" w:fill="auto"/>
            <w:vAlign w:val="center"/>
          </w:tcPr>
          <w:p w:rsidR="00D907AF" w:rsidRPr="0087485F" w:rsidRDefault="00D907AF" w:rsidP="00104AC9">
            <w:pPr>
              <w:spacing w:before="20" w:after="20"/>
              <w:ind w:right="284"/>
              <w:jc w:val="right"/>
              <w:rPr>
                <w:rFonts w:cstheme="minorHAnsi"/>
                <w:color w:val="000000"/>
                <w:sz w:val="20"/>
                <w:szCs w:val="20"/>
              </w:rPr>
            </w:pPr>
            <w:r w:rsidRPr="0087485F">
              <w:rPr>
                <w:rFonts w:cstheme="minorHAnsi"/>
                <w:color w:val="000000"/>
                <w:sz w:val="20"/>
                <w:szCs w:val="20"/>
              </w:rPr>
              <w:t>213</w:t>
            </w:r>
          </w:p>
        </w:tc>
        <w:tc>
          <w:tcPr>
            <w:tcW w:w="1417" w:type="dxa"/>
            <w:shd w:val="clear" w:color="auto" w:fill="auto"/>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36.3</w:t>
            </w:r>
          </w:p>
        </w:tc>
        <w:tc>
          <w:tcPr>
            <w:tcW w:w="992" w:type="dxa"/>
            <w:shd w:val="clear" w:color="auto" w:fill="auto"/>
            <w:vAlign w:val="center"/>
          </w:tcPr>
          <w:p w:rsidR="00D907AF" w:rsidRPr="0087485F" w:rsidRDefault="00D907AF" w:rsidP="00104AC9">
            <w:pPr>
              <w:spacing w:before="20" w:after="20"/>
              <w:ind w:right="175"/>
              <w:jc w:val="right"/>
              <w:rPr>
                <w:rFonts w:cstheme="minorHAnsi"/>
                <w:color w:val="000000"/>
                <w:sz w:val="20"/>
                <w:szCs w:val="20"/>
              </w:rPr>
            </w:pPr>
            <w:r w:rsidRPr="0087485F">
              <w:rPr>
                <w:rFonts w:cstheme="minorHAnsi"/>
                <w:color w:val="000000"/>
                <w:sz w:val="20"/>
                <w:szCs w:val="20"/>
              </w:rPr>
              <w:t>407</w:t>
            </w:r>
          </w:p>
        </w:tc>
        <w:tc>
          <w:tcPr>
            <w:tcW w:w="993" w:type="dxa"/>
            <w:shd w:val="clear" w:color="auto" w:fill="auto"/>
            <w:vAlign w:val="center"/>
          </w:tcPr>
          <w:p w:rsidR="00D907AF" w:rsidRPr="0087485F" w:rsidRDefault="00D907AF" w:rsidP="00104AC9">
            <w:pPr>
              <w:spacing w:before="20" w:after="20"/>
              <w:ind w:right="227"/>
              <w:jc w:val="right"/>
              <w:rPr>
                <w:rFonts w:cstheme="minorHAnsi"/>
                <w:color w:val="000000"/>
                <w:sz w:val="20"/>
                <w:szCs w:val="20"/>
              </w:rPr>
            </w:pPr>
            <w:r w:rsidRPr="0087485F">
              <w:rPr>
                <w:rFonts w:cstheme="minorHAnsi"/>
                <w:color w:val="000000"/>
                <w:sz w:val="20"/>
                <w:szCs w:val="20"/>
              </w:rPr>
              <w:t>28.0</w:t>
            </w:r>
          </w:p>
        </w:tc>
      </w:tr>
      <w:tr w:rsidR="00D907AF" w:rsidRPr="0087485F" w:rsidTr="00BD4BB0">
        <w:trPr>
          <w:cantSplit/>
        </w:trPr>
        <w:tc>
          <w:tcPr>
            <w:tcW w:w="1843" w:type="dxa"/>
            <w:shd w:val="clear" w:color="auto" w:fill="auto"/>
          </w:tcPr>
          <w:p w:rsidR="00D907AF" w:rsidRPr="0087485F" w:rsidRDefault="00D907AF" w:rsidP="001032EF">
            <w:pPr>
              <w:spacing w:before="20" w:after="20"/>
              <w:rPr>
                <w:rFonts w:cstheme="minorHAnsi"/>
                <w:sz w:val="20"/>
                <w:szCs w:val="20"/>
              </w:rPr>
            </w:pPr>
            <w:r w:rsidRPr="0087485F">
              <w:rPr>
                <w:rFonts w:cstheme="minorHAnsi"/>
                <w:sz w:val="20"/>
                <w:szCs w:val="20"/>
              </w:rPr>
              <w:t>2 to 5</w:t>
            </w:r>
            <w:r w:rsidR="00AC1887">
              <w:rPr>
                <w:rFonts w:cstheme="minorHAnsi"/>
                <w:sz w:val="20"/>
                <w:szCs w:val="20"/>
              </w:rPr>
              <w:t xml:space="preserve"> </w:t>
            </w:r>
            <w:r w:rsidR="00AC1887" w:rsidRPr="00AC1887">
              <w:rPr>
                <w:rFonts w:cstheme="minorHAnsi"/>
                <w:color w:val="FFFFFF" w:themeColor="background1"/>
                <w:sz w:val="20"/>
                <w:szCs w:val="20"/>
              </w:rPr>
              <w:t>providers</w:t>
            </w:r>
          </w:p>
        </w:tc>
        <w:tc>
          <w:tcPr>
            <w:tcW w:w="851" w:type="dxa"/>
            <w:shd w:val="clear" w:color="auto" w:fill="auto"/>
            <w:vAlign w:val="center"/>
          </w:tcPr>
          <w:p w:rsidR="00D907AF" w:rsidRPr="0087485F" w:rsidRDefault="00D907AF" w:rsidP="00104AC9">
            <w:pPr>
              <w:spacing w:before="20" w:after="20"/>
              <w:ind w:right="113"/>
              <w:jc w:val="right"/>
              <w:rPr>
                <w:rFonts w:cstheme="minorHAnsi"/>
                <w:color w:val="000000"/>
                <w:sz w:val="20"/>
                <w:szCs w:val="20"/>
              </w:rPr>
            </w:pPr>
            <w:r w:rsidRPr="0087485F">
              <w:rPr>
                <w:rFonts w:cstheme="minorHAnsi"/>
                <w:color w:val="000000"/>
                <w:sz w:val="20"/>
                <w:szCs w:val="20"/>
              </w:rPr>
              <w:t>543</w:t>
            </w:r>
          </w:p>
        </w:tc>
        <w:tc>
          <w:tcPr>
            <w:tcW w:w="1134" w:type="dxa"/>
            <w:shd w:val="clear" w:color="auto" w:fill="auto"/>
            <w:vAlign w:val="center"/>
          </w:tcPr>
          <w:p w:rsidR="00D907AF" w:rsidRPr="0087485F" w:rsidRDefault="00D907AF" w:rsidP="00104AC9">
            <w:pPr>
              <w:spacing w:before="20" w:after="20"/>
              <w:ind w:right="227"/>
              <w:jc w:val="right"/>
              <w:rPr>
                <w:rFonts w:cstheme="minorHAnsi"/>
                <w:color w:val="000000"/>
                <w:sz w:val="20"/>
                <w:szCs w:val="20"/>
              </w:rPr>
            </w:pPr>
            <w:r w:rsidRPr="0087485F">
              <w:rPr>
                <w:rFonts w:cstheme="minorHAnsi"/>
                <w:color w:val="000000"/>
                <w:sz w:val="20"/>
                <w:szCs w:val="20"/>
              </w:rPr>
              <w:t>62.6</w:t>
            </w:r>
          </w:p>
        </w:tc>
        <w:tc>
          <w:tcPr>
            <w:tcW w:w="1276" w:type="dxa"/>
            <w:shd w:val="clear" w:color="auto" w:fill="auto"/>
            <w:vAlign w:val="center"/>
          </w:tcPr>
          <w:p w:rsidR="00D907AF" w:rsidRPr="0087485F" w:rsidRDefault="00D907AF" w:rsidP="00104AC9">
            <w:pPr>
              <w:spacing w:before="20" w:after="20"/>
              <w:ind w:right="284"/>
              <w:jc w:val="right"/>
              <w:rPr>
                <w:rFonts w:cstheme="minorHAnsi"/>
                <w:color w:val="000000"/>
                <w:sz w:val="20"/>
                <w:szCs w:val="20"/>
              </w:rPr>
            </w:pPr>
            <w:r w:rsidRPr="0087485F">
              <w:rPr>
                <w:rFonts w:cstheme="minorHAnsi"/>
                <w:color w:val="000000"/>
                <w:sz w:val="20"/>
                <w:szCs w:val="20"/>
              </w:rPr>
              <w:t>248</w:t>
            </w:r>
          </w:p>
        </w:tc>
        <w:tc>
          <w:tcPr>
            <w:tcW w:w="1417" w:type="dxa"/>
            <w:shd w:val="clear" w:color="auto" w:fill="auto"/>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42.3</w:t>
            </w:r>
          </w:p>
        </w:tc>
        <w:tc>
          <w:tcPr>
            <w:tcW w:w="992" w:type="dxa"/>
            <w:shd w:val="clear" w:color="auto" w:fill="auto"/>
            <w:vAlign w:val="center"/>
          </w:tcPr>
          <w:p w:rsidR="00D907AF" w:rsidRPr="0087485F" w:rsidRDefault="00D907AF" w:rsidP="00104AC9">
            <w:pPr>
              <w:spacing w:before="20" w:after="20"/>
              <w:ind w:right="175"/>
              <w:jc w:val="right"/>
              <w:rPr>
                <w:rFonts w:cstheme="minorHAnsi"/>
                <w:color w:val="000000"/>
                <w:sz w:val="20"/>
                <w:szCs w:val="20"/>
              </w:rPr>
            </w:pPr>
            <w:r w:rsidRPr="0087485F">
              <w:rPr>
                <w:rFonts w:cstheme="minorHAnsi"/>
                <w:color w:val="000000"/>
                <w:sz w:val="20"/>
                <w:szCs w:val="20"/>
              </w:rPr>
              <w:t>791</w:t>
            </w:r>
          </w:p>
        </w:tc>
        <w:tc>
          <w:tcPr>
            <w:tcW w:w="993" w:type="dxa"/>
            <w:shd w:val="clear" w:color="auto" w:fill="auto"/>
            <w:vAlign w:val="center"/>
          </w:tcPr>
          <w:p w:rsidR="00D907AF" w:rsidRPr="0087485F" w:rsidRDefault="00D907AF" w:rsidP="00104AC9">
            <w:pPr>
              <w:spacing w:before="20" w:after="20"/>
              <w:ind w:right="227"/>
              <w:jc w:val="right"/>
              <w:rPr>
                <w:rFonts w:cstheme="minorHAnsi"/>
                <w:color w:val="000000"/>
                <w:sz w:val="20"/>
                <w:szCs w:val="20"/>
              </w:rPr>
            </w:pPr>
            <w:r w:rsidRPr="0087485F">
              <w:rPr>
                <w:rFonts w:cstheme="minorHAnsi"/>
                <w:color w:val="000000"/>
                <w:sz w:val="20"/>
                <w:szCs w:val="20"/>
              </w:rPr>
              <w:t>54.4</w:t>
            </w:r>
          </w:p>
        </w:tc>
      </w:tr>
      <w:tr w:rsidR="00D907AF" w:rsidRPr="0087485F" w:rsidTr="00BD4BB0">
        <w:trPr>
          <w:cantSplit/>
        </w:trPr>
        <w:tc>
          <w:tcPr>
            <w:tcW w:w="1843" w:type="dxa"/>
            <w:shd w:val="clear" w:color="auto" w:fill="auto"/>
          </w:tcPr>
          <w:p w:rsidR="00D907AF" w:rsidRPr="0087485F" w:rsidRDefault="00D907AF" w:rsidP="001032EF">
            <w:pPr>
              <w:spacing w:before="20" w:after="20"/>
              <w:rPr>
                <w:rFonts w:cstheme="minorHAnsi"/>
                <w:sz w:val="20"/>
                <w:szCs w:val="20"/>
              </w:rPr>
            </w:pPr>
            <w:r w:rsidRPr="0087485F">
              <w:rPr>
                <w:rFonts w:cstheme="minorHAnsi"/>
                <w:sz w:val="20"/>
                <w:szCs w:val="20"/>
              </w:rPr>
              <w:t>6 to 10</w:t>
            </w:r>
            <w:r w:rsidR="00AC1887" w:rsidRPr="00AC1887">
              <w:rPr>
                <w:rFonts w:cstheme="minorHAnsi"/>
                <w:color w:val="FFFFFF" w:themeColor="background1"/>
                <w:sz w:val="20"/>
                <w:szCs w:val="20"/>
              </w:rPr>
              <w:t xml:space="preserve"> providers</w:t>
            </w:r>
          </w:p>
        </w:tc>
        <w:tc>
          <w:tcPr>
            <w:tcW w:w="851" w:type="dxa"/>
            <w:shd w:val="clear" w:color="auto" w:fill="auto"/>
            <w:vAlign w:val="center"/>
          </w:tcPr>
          <w:p w:rsidR="00D907AF" w:rsidRPr="0087485F" w:rsidRDefault="00D907AF" w:rsidP="00104AC9">
            <w:pPr>
              <w:spacing w:before="20" w:after="20"/>
              <w:ind w:right="113"/>
              <w:jc w:val="right"/>
              <w:rPr>
                <w:rFonts w:cstheme="minorHAnsi"/>
                <w:color w:val="000000"/>
                <w:sz w:val="20"/>
                <w:szCs w:val="20"/>
              </w:rPr>
            </w:pPr>
            <w:r w:rsidRPr="0087485F">
              <w:rPr>
                <w:rFonts w:cstheme="minorHAnsi"/>
                <w:color w:val="000000"/>
                <w:sz w:val="20"/>
                <w:szCs w:val="20"/>
              </w:rPr>
              <w:t>52</w:t>
            </w:r>
          </w:p>
        </w:tc>
        <w:tc>
          <w:tcPr>
            <w:tcW w:w="1134" w:type="dxa"/>
            <w:shd w:val="clear" w:color="auto" w:fill="auto"/>
            <w:vAlign w:val="center"/>
          </w:tcPr>
          <w:p w:rsidR="00D907AF" w:rsidRPr="0087485F" w:rsidRDefault="00D907AF" w:rsidP="00104AC9">
            <w:pPr>
              <w:spacing w:before="20" w:after="20"/>
              <w:ind w:right="227"/>
              <w:jc w:val="right"/>
              <w:rPr>
                <w:rFonts w:cstheme="minorHAnsi"/>
                <w:color w:val="000000"/>
                <w:sz w:val="20"/>
                <w:szCs w:val="20"/>
              </w:rPr>
            </w:pPr>
            <w:r w:rsidRPr="0087485F">
              <w:rPr>
                <w:rFonts w:cstheme="minorHAnsi"/>
                <w:color w:val="000000"/>
                <w:sz w:val="20"/>
                <w:szCs w:val="20"/>
              </w:rPr>
              <w:t>6.0</w:t>
            </w:r>
          </w:p>
        </w:tc>
        <w:tc>
          <w:tcPr>
            <w:tcW w:w="1276" w:type="dxa"/>
            <w:shd w:val="clear" w:color="auto" w:fill="auto"/>
            <w:vAlign w:val="center"/>
          </w:tcPr>
          <w:p w:rsidR="00D907AF" w:rsidRPr="0087485F" w:rsidRDefault="00D907AF" w:rsidP="00104AC9">
            <w:pPr>
              <w:spacing w:before="20" w:after="20"/>
              <w:ind w:right="284"/>
              <w:jc w:val="right"/>
              <w:rPr>
                <w:rFonts w:cstheme="minorHAnsi"/>
                <w:color w:val="000000"/>
                <w:sz w:val="20"/>
                <w:szCs w:val="20"/>
              </w:rPr>
            </w:pPr>
            <w:r w:rsidRPr="0087485F">
              <w:rPr>
                <w:rFonts w:cstheme="minorHAnsi"/>
                <w:color w:val="000000"/>
                <w:sz w:val="20"/>
                <w:szCs w:val="20"/>
              </w:rPr>
              <w:t>23</w:t>
            </w:r>
          </w:p>
        </w:tc>
        <w:tc>
          <w:tcPr>
            <w:tcW w:w="1417" w:type="dxa"/>
            <w:shd w:val="clear" w:color="auto" w:fill="auto"/>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3.9</w:t>
            </w:r>
          </w:p>
        </w:tc>
        <w:tc>
          <w:tcPr>
            <w:tcW w:w="992" w:type="dxa"/>
            <w:shd w:val="clear" w:color="auto" w:fill="auto"/>
            <w:vAlign w:val="center"/>
          </w:tcPr>
          <w:p w:rsidR="00D907AF" w:rsidRPr="0087485F" w:rsidRDefault="00D907AF" w:rsidP="00104AC9">
            <w:pPr>
              <w:spacing w:before="20" w:after="20"/>
              <w:ind w:right="175"/>
              <w:jc w:val="right"/>
              <w:rPr>
                <w:rFonts w:cstheme="minorHAnsi"/>
                <w:color w:val="000000"/>
                <w:sz w:val="20"/>
                <w:szCs w:val="20"/>
              </w:rPr>
            </w:pPr>
            <w:r w:rsidRPr="0087485F">
              <w:rPr>
                <w:rFonts w:cstheme="minorHAnsi"/>
                <w:color w:val="000000"/>
                <w:sz w:val="20"/>
                <w:szCs w:val="20"/>
              </w:rPr>
              <w:t>75</w:t>
            </w:r>
          </w:p>
        </w:tc>
        <w:tc>
          <w:tcPr>
            <w:tcW w:w="993" w:type="dxa"/>
            <w:shd w:val="clear" w:color="auto" w:fill="auto"/>
            <w:vAlign w:val="center"/>
          </w:tcPr>
          <w:p w:rsidR="00D907AF" w:rsidRPr="0087485F" w:rsidRDefault="00D907AF" w:rsidP="00104AC9">
            <w:pPr>
              <w:spacing w:before="20" w:after="20"/>
              <w:ind w:right="227"/>
              <w:jc w:val="right"/>
              <w:rPr>
                <w:rFonts w:cstheme="minorHAnsi"/>
                <w:color w:val="000000"/>
                <w:sz w:val="20"/>
                <w:szCs w:val="20"/>
              </w:rPr>
            </w:pPr>
            <w:r w:rsidRPr="0087485F">
              <w:rPr>
                <w:rFonts w:cstheme="minorHAnsi"/>
                <w:color w:val="000000"/>
                <w:sz w:val="20"/>
                <w:szCs w:val="20"/>
              </w:rPr>
              <w:t>5.2</w:t>
            </w:r>
          </w:p>
        </w:tc>
      </w:tr>
      <w:tr w:rsidR="00D907AF" w:rsidRPr="0087485F" w:rsidTr="00BD4BB0">
        <w:trPr>
          <w:cantSplit/>
        </w:trPr>
        <w:tc>
          <w:tcPr>
            <w:tcW w:w="1843" w:type="dxa"/>
            <w:shd w:val="clear" w:color="auto" w:fill="auto"/>
          </w:tcPr>
          <w:p w:rsidR="00D907AF" w:rsidRPr="0087485F" w:rsidRDefault="00D907AF" w:rsidP="00AC1887">
            <w:pPr>
              <w:spacing w:before="20" w:after="20"/>
              <w:ind w:right="-108"/>
              <w:rPr>
                <w:rFonts w:cstheme="minorHAnsi"/>
                <w:sz w:val="20"/>
                <w:szCs w:val="20"/>
              </w:rPr>
            </w:pPr>
            <w:r w:rsidRPr="0087485F">
              <w:rPr>
                <w:rFonts w:cstheme="minorHAnsi"/>
                <w:sz w:val="20"/>
                <w:szCs w:val="20"/>
              </w:rPr>
              <w:t>More than 10</w:t>
            </w:r>
            <w:r w:rsidR="00AC1887">
              <w:rPr>
                <w:rFonts w:cstheme="minorHAnsi"/>
                <w:sz w:val="20"/>
                <w:szCs w:val="20"/>
              </w:rPr>
              <w:t xml:space="preserve"> </w:t>
            </w:r>
            <w:r w:rsidR="00AC1887" w:rsidRPr="00AC1887">
              <w:rPr>
                <w:rFonts w:cstheme="minorHAnsi"/>
                <w:color w:val="FFFFFF" w:themeColor="background1"/>
                <w:sz w:val="14"/>
                <w:szCs w:val="14"/>
              </w:rPr>
              <w:t>providers</w:t>
            </w:r>
          </w:p>
        </w:tc>
        <w:tc>
          <w:tcPr>
            <w:tcW w:w="851" w:type="dxa"/>
            <w:shd w:val="clear" w:color="auto" w:fill="auto"/>
            <w:vAlign w:val="center"/>
          </w:tcPr>
          <w:p w:rsidR="00D907AF" w:rsidRPr="0087485F" w:rsidRDefault="00D907AF" w:rsidP="00104AC9">
            <w:pPr>
              <w:spacing w:before="20" w:after="20"/>
              <w:ind w:right="113"/>
              <w:jc w:val="right"/>
              <w:rPr>
                <w:rFonts w:cstheme="minorHAnsi"/>
                <w:color w:val="000000"/>
                <w:sz w:val="20"/>
                <w:szCs w:val="20"/>
              </w:rPr>
            </w:pPr>
            <w:r w:rsidRPr="0087485F">
              <w:rPr>
                <w:rFonts w:cstheme="minorHAnsi"/>
                <w:color w:val="000000"/>
                <w:sz w:val="20"/>
                <w:szCs w:val="20"/>
              </w:rPr>
              <w:t>17</w:t>
            </w:r>
          </w:p>
        </w:tc>
        <w:tc>
          <w:tcPr>
            <w:tcW w:w="1134" w:type="dxa"/>
            <w:shd w:val="clear" w:color="auto" w:fill="auto"/>
            <w:vAlign w:val="center"/>
          </w:tcPr>
          <w:p w:rsidR="00D907AF" w:rsidRPr="0087485F" w:rsidRDefault="00D907AF" w:rsidP="00104AC9">
            <w:pPr>
              <w:spacing w:before="20" w:after="20"/>
              <w:ind w:right="227"/>
              <w:jc w:val="right"/>
              <w:rPr>
                <w:rFonts w:cstheme="minorHAnsi"/>
                <w:color w:val="000000"/>
                <w:sz w:val="20"/>
                <w:szCs w:val="20"/>
              </w:rPr>
            </w:pPr>
            <w:r w:rsidRPr="0087485F">
              <w:rPr>
                <w:rFonts w:cstheme="minorHAnsi"/>
                <w:color w:val="000000"/>
                <w:sz w:val="20"/>
                <w:szCs w:val="20"/>
              </w:rPr>
              <w:t>2.0</w:t>
            </w:r>
          </w:p>
        </w:tc>
        <w:tc>
          <w:tcPr>
            <w:tcW w:w="1276" w:type="dxa"/>
            <w:shd w:val="clear" w:color="auto" w:fill="auto"/>
            <w:vAlign w:val="center"/>
          </w:tcPr>
          <w:p w:rsidR="00D907AF" w:rsidRPr="0087485F" w:rsidRDefault="00D907AF" w:rsidP="00104AC9">
            <w:pPr>
              <w:spacing w:before="20" w:after="20"/>
              <w:ind w:right="284"/>
              <w:jc w:val="right"/>
              <w:rPr>
                <w:rFonts w:cstheme="minorHAnsi"/>
                <w:color w:val="000000"/>
                <w:sz w:val="20"/>
                <w:szCs w:val="20"/>
              </w:rPr>
            </w:pPr>
            <w:r w:rsidRPr="0087485F">
              <w:rPr>
                <w:rFonts w:cstheme="minorHAnsi"/>
                <w:color w:val="000000"/>
                <w:sz w:val="20"/>
                <w:szCs w:val="20"/>
              </w:rPr>
              <w:t>12</w:t>
            </w:r>
          </w:p>
        </w:tc>
        <w:tc>
          <w:tcPr>
            <w:tcW w:w="1417" w:type="dxa"/>
            <w:shd w:val="clear" w:color="auto" w:fill="auto"/>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2.0</w:t>
            </w:r>
          </w:p>
        </w:tc>
        <w:tc>
          <w:tcPr>
            <w:tcW w:w="992" w:type="dxa"/>
            <w:shd w:val="clear" w:color="auto" w:fill="auto"/>
            <w:vAlign w:val="center"/>
          </w:tcPr>
          <w:p w:rsidR="00D907AF" w:rsidRPr="0087485F" w:rsidRDefault="00D907AF" w:rsidP="00104AC9">
            <w:pPr>
              <w:spacing w:before="20" w:after="20"/>
              <w:ind w:right="175"/>
              <w:jc w:val="right"/>
              <w:rPr>
                <w:rFonts w:cstheme="minorHAnsi"/>
                <w:color w:val="000000"/>
                <w:sz w:val="20"/>
                <w:szCs w:val="20"/>
              </w:rPr>
            </w:pPr>
            <w:r w:rsidRPr="0087485F">
              <w:rPr>
                <w:rFonts w:cstheme="minorHAnsi"/>
                <w:color w:val="000000"/>
                <w:sz w:val="20"/>
                <w:szCs w:val="20"/>
              </w:rPr>
              <w:t>29</w:t>
            </w:r>
          </w:p>
        </w:tc>
        <w:tc>
          <w:tcPr>
            <w:tcW w:w="993" w:type="dxa"/>
            <w:shd w:val="clear" w:color="auto" w:fill="auto"/>
            <w:vAlign w:val="center"/>
          </w:tcPr>
          <w:p w:rsidR="00D907AF" w:rsidRPr="0087485F" w:rsidRDefault="00D907AF" w:rsidP="00104AC9">
            <w:pPr>
              <w:spacing w:before="20" w:after="20"/>
              <w:ind w:right="227"/>
              <w:jc w:val="right"/>
              <w:rPr>
                <w:rFonts w:cstheme="minorHAnsi"/>
                <w:color w:val="000000"/>
                <w:sz w:val="20"/>
                <w:szCs w:val="20"/>
              </w:rPr>
            </w:pPr>
            <w:r w:rsidRPr="0087485F">
              <w:rPr>
                <w:rFonts w:cstheme="minorHAnsi"/>
                <w:color w:val="000000"/>
                <w:sz w:val="20"/>
                <w:szCs w:val="20"/>
              </w:rPr>
              <w:t>2.0</w:t>
            </w:r>
          </w:p>
        </w:tc>
      </w:tr>
      <w:tr w:rsidR="00D907AF" w:rsidRPr="0087485F" w:rsidTr="00BD4BB0">
        <w:trPr>
          <w:cantSplit/>
        </w:trPr>
        <w:tc>
          <w:tcPr>
            <w:tcW w:w="1843" w:type="dxa"/>
          </w:tcPr>
          <w:p w:rsidR="00D907AF" w:rsidRPr="0087485F" w:rsidRDefault="00D907AF" w:rsidP="001032EF">
            <w:pPr>
              <w:spacing w:before="20" w:after="20"/>
              <w:rPr>
                <w:rFonts w:cstheme="minorHAnsi"/>
                <w:sz w:val="20"/>
                <w:szCs w:val="20"/>
              </w:rPr>
            </w:pPr>
            <w:r w:rsidRPr="0087485F">
              <w:rPr>
                <w:rFonts w:cstheme="minorHAnsi"/>
                <w:sz w:val="20"/>
                <w:szCs w:val="20"/>
              </w:rPr>
              <w:t>Don’t know</w:t>
            </w:r>
          </w:p>
        </w:tc>
        <w:tc>
          <w:tcPr>
            <w:tcW w:w="851" w:type="dxa"/>
          </w:tcPr>
          <w:p w:rsidR="00D907AF" w:rsidRPr="0087485F" w:rsidRDefault="00D907AF" w:rsidP="00104AC9">
            <w:pPr>
              <w:spacing w:before="20" w:after="20"/>
              <w:ind w:right="113"/>
              <w:jc w:val="right"/>
              <w:rPr>
                <w:rFonts w:cstheme="minorHAnsi"/>
                <w:color w:val="000000"/>
                <w:sz w:val="20"/>
                <w:szCs w:val="20"/>
              </w:rPr>
            </w:pPr>
            <w:r w:rsidRPr="0087485F">
              <w:rPr>
                <w:rFonts w:cstheme="minorHAnsi"/>
                <w:color w:val="000000"/>
                <w:sz w:val="20"/>
                <w:szCs w:val="20"/>
              </w:rPr>
              <w:t>55</w:t>
            </w:r>
          </w:p>
        </w:tc>
        <w:tc>
          <w:tcPr>
            <w:tcW w:w="1134" w:type="dxa"/>
          </w:tcPr>
          <w:p w:rsidR="00D907AF" w:rsidRPr="0087485F" w:rsidRDefault="00D907AF" w:rsidP="00104AC9">
            <w:pPr>
              <w:spacing w:before="20" w:after="20"/>
              <w:ind w:right="227"/>
              <w:jc w:val="right"/>
              <w:rPr>
                <w:rFonts w:cstheme="minorHAnsi"/>
                <w:color w:val="000000"/>
                <w:sz w:val="20"/>
                <w:szCs w:val="20"/>
              </w:rPr>
            </w:pPr>
            <w:r w:rsidRPr="0087485F">
              <w:rPr>
                <w:rFonts w:cstheme="minorHAnsi"/>
                <w:color w:val="000000"/>
                <w:sz w:val="20"/>
                <w:szCs w:val="20"/>
              </w:rPr>
              <w:t>6.3</w:t>
            </w:r>
          </w:p>
        </w:tc>
        <w:tc>
          <w:tcPr>
            <w:tcW w:w="1276" w:type="dxa"/>
          </w:tcPr>
          <w:p w:rsidR="00D907AF" w:rsidRPr="0087485F" w:rsidRDefault="00D907AF" w:rsidP="00104AC9">
            <w:pPr>
              <w:spacing w:before="20" w:after="20"/>
              <w:ind w:right="284"/>
              <w:jc w:val="right"/>
              <w:rPr>
                <w:rFonts w:cstheme="minorHAnsi"/>
                <w:color w:val="000000"/>
                <w:sz w:val="20"/>
                <w:szCs w:val="20"/>
              </w:rPr>
            </w:pPr>
            <w:r w:rsidRPr="0087485F">
              <w:rPr>
                <w:rFonts w:cstheme="minorHAnsi"/>
                <w:color w:val="000000"/>
                <w:sz w:val="20"/>
                <w:szCs w:val="20"/>
              </w:rPr>
              <w:t>69</w:t>
            </w:r>
          </w:p>
        </w:tc>
        <w:tc>
          <w:tcPr>
            <w:tcW w:w="1417" w:type="dxa"/>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11.8</w:t>
            </w:r>
          </w:p>
        </w:tc>
        <w:tc>
          <w:tcPr>
            <w:tcW w:w="992" w:type="dxa"/>
          </w:tcPr>
          <w:p w:rsidR="00D907AF" w:rsidRPr="0087485F" w:rsidRDefault="00D907AF" w:rsidP="00104AC9">
            <w:pPr>
              <w:spacing w:before="20" w:after="20"/>
              <w:ind w:right="175"/>
              <w:jc w:val="right"/>
              <w:rPr>
                <w:rFonts w:cstheme="minorHAnsi"/>
                <w:color w:val="000000"/>
                <w:sz w:val="20"/>
                <w:szCs w:val="20"/>
              </w:rPr>
            </w:pPr>
            <w:r w:rsidRPr="0087485F">
              <w:rPr>
                <w:rFonts w:cstheme="minorHAnsi"/>
                <w:color w:val="000000"/>
                <w:sz w:val="20"/>
                <w:szCs w:val="20"/>
              </w:rPr>
              <w:t>124</w:t>
            </w:r>
          </w:p>
        </w:tc>
        <w:tc>
          <w:tcPr>
            <w:tcW w:w="993" w:type="dxa"/>
          </w:tcPr>
          <w:p w:rsidR="00D907AF" w:rsidRPr="0087485F" w:rsidRDefault="00D907AF" w:rsidP="00104AC9">
            <w:pPr>
              <w:spacing w:before="20" w:after="20"/>
              <w:ind w:right="227"/>
              <w:jc w:val="right"/>
              <w:rPr>
                <w:rFonts w:cstheme="minorHAnsi"/>
                <w:color w:val="000000"/>
                <w:sz w:val="20"/>
                <w:szCs w:val="20"/>
              </w:rPr>
            </w:pPr>
            <w:r w:rsidRPr="0087485F">
              <w:rPr>
                <w:rFonts w:cstheme="minorHAnsi"/>
                <w:color w:val="000000"/>
                <w:sz w:val="20"/>
                <w:szCs w:val="20"/>
              </w:rPr>
              <w:t>8.5</w:t>
            </w:r>
          </w:p>
        </w:tc>
      </w:tr>
      <w:tr w:rsidR="00D907AF" w:rsidRPr="0087485F" w:rsidTr="00BD4BB0">
        <w:trPr>
          <w:cantSplit/>
        </w:trPr>
        <w:tc>
          <w:tcPr>
            <w:tcW w:w="1843" w:type="dxa"/>
            <w:tcBorders>
              <w:bottom w:val="single" w:sz="4" w:space="0" w:color="auto"/>
            </w:tcBorders>
            <w:shd w:val="clear" w:color="auto" w:fill="auto"/>
          </w:tcPr>
          <w:p w:rsidR="00D907AF" w:rsidRPr="0087485F" w:rsidRDefault="00D907AF" w:rsidP="001032EF">
            <w:pPr>
              <w:spacing w:before="20" w:after="20"/>
              <w:rPr>
                <w:rFonts w:cstheme="minorHAnsi"/>
                <w:sz w:val="20"/>
                <w:szCs w:val="20"/>
              </w:rPr>
            </w:pPr>
            <w:r w:rsidRPr="0087485F">
              <w:rPr>
                <w:rFonts w:cstheme="minorHAnsi"/>
                <w:sz w:val="20"/>
                <w:szCs w:val="20"/>
              </w:rPr>
              <w:t xml:space="preserve">Missing </w:t>
            </w:r>
          </w:p>
        </w:tc>
        <w:tc>
          <w:tcPr>
            <w:tcW w:w="851" w:type="dxa"/>
            <w:tcBorders>
              <w:bottom w:val="single" w:sz="4" w:space="0" w:color="auto"/>
            </w:tcBorders>
            <w:shd w:val="clear" w:color="auto" w:fill="auto"/>
            <w:vAlign w:val="center"/>
          </w:tcPr>
          <w:p w:rsidR="00D907AF" w:rsidRPr="0087485F" w:rsidRDefault="00D907AF" w:rsidP="00104AC9">
            <w:pPr>
              <w:spacing w:before="20" w:after="20"/>
              <w:ind w:right="113"/>
              <w:jc w:val="right"/>
              <w:rPr>
                <w:rFonts w:cstheme="minorHAnsi"/>
                <w:color w:val="000000"/>
                <w:sz w:val="20"/>
                <w:szCs w:val="20"/>
              </w:rPr>
            </w:pPr>
            <w:r w:rsidRPr="0087485F">
              <w:rPr>
                <w:rFonts w:cstheme="minorHAnsi"/>
                <w:color w:val="000000"/>
                <w:sz w:val="20"/>
                <w:szCs w:val="20"/>
              </w:rPr>
              <w:t>6</w:t>
            </w:r>
          </w:p>
        </w:tc>
        <w:tc>
          <w:tcPr>
            <w:tcW w:w="1134" w:type="dxa"/>
            <w:tcBorders>
              <w:bottom w:val="single" w:sz="4" w:space="0" w:color="auto"/>
            </w:tcBorders>
            <w:shd w:val="clear" w:color="auto" w:fill="auto"/>
            <w:vAlign w:val="center"/>
          </w:tcPr>
          <w:p w:rsidR="00D907AF" w:rsidRPr="0087485F" w:rsidRDefault="00D907AF" w:rsidP="00104AC9">
            <w:pPr>
              <w:spacing w:before="20" w:after="20"/>
              <w:ind w:right="227"/>
              <w:jc w:val="right"/>
              <w:rPr>
                <w:rFonts w:cstheme="minorHAnsi"/>
                <w:color w:val="000000"/>
                <w:sz w:val="20"/>
                <w:szCs w:val="20"/>
              </w:rPr>
            </w:pPr>
            <w:r w:rsidRPr="0087485F">
              <w:rPr>
                <w:rFonts w:cstheme="minorHAnsi"/>
                <w:color w:val="000000"/>
                <w:sz w:val="20"/>
                <w:szCs w:val="20"/>
              </w:rPr>
              <w:t>0.7</w:t>
            </w:r>
          </w:p>
        </w:tc>
        <w:tc>
          <w:tcPr>
            <w:tcW w:w="1276" w:type="dxa"/>
            <w:tcBorders>
              <w:bottom w:val="single" w:sz="4" w:space="0" w:color="auto"/>
            </w:tcBorders>
            <w:shd w:val="clear" w:color="auto" w:fill="auto"/>
            <w:vAlign w:val="center"/>
          </w:tcPr>
          <w:p w:rsidR="00D907AF" w:rsidRPr="0087485F" w:rsidRDefault="00D907AF" w:rsidP="00104AC9">
            <w:pPr>
              <w:spacing w:before="20" w:after="20"/>
              <w:ind w:right="284"/>
              <w:jc w:val="right"/>
              <w:rPr>
                <w:rFonts w:cstheme="minorHAnsi"/>
                <w:color w:val="000000"/>
                <w:sz w:val="20"/>
                <w:szCs w:val="20"/>
              </w:rPr>
            </w:pPr>
            <w:r w:rsidRPr="0087485F">
              <w:rPr>
                <w:rFonts w:cstheme="minorHAnsi"/>
                <w:color w:val="000000"/>
                <w:sz w:val="20"/>
                <w:szCs w:val="20"/>
              </w:rPr>
              <w:t>22</w:t>
            </w:r>
          </w:p>
        </w:tc>
        <w:tc>
          <w:tcPr>
            <w:tcW w:w="1417" w:type="dxa"/>
            <w:tcBorders>
              <w:bottom w:val="single" w:sz="4" w:space="0" w:color="auto"/>
            </w:tcBorders>
            <w:shd w:val="clear" w:color="auto" w:fill="auto"/>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3.8</w:t>
            </w:r>
          </w:p>
        </w:tc>
        <w:tc>
          <w:tcPr>
            <w:tcW w:w="992" w:type="dxa"/>
            <w:tcBorders>
              <w:bottom w:val="single" w:sz="4" w:space="0" w:color="auto"/>
            </w:tcBorders>
            <w:shd w:val="clear" w:color="auto" w:fill="auto"/>
            <w:vAlign w:val="center"/>
          </w:tcPr>
          <w:p w:rsidR="00D907AF" w:rsidRPr="0087485F" w:rsidRDefault="00D907AF" w:rsidP="00104AC9">
            <w:pPr>
              <w:spacing w:before="20" w:after="20"/>
              <w:ind w:right="175"/>
              <w:jc w:val="right"/>
              <w:rPr>
                <w:rFonts w:cstheme="minorHAnsi"/>
                <w:color w:val="000000"/>
                <w:sz w:val="20"/>
                <w:szCs w:val="20"/>
              </w:rPr>
            </w:pPr>
            <w:r w:rsidRPr="0087485F">
              <w:rPr>
                <w:rFonts w:cstheme="minorHAnsi"/>
                <w:color w:val="000000"/>
                <w:sz w:val="20"/>
                <w:szCs w:val="20"/>
              </w:rPr>
              <w:t>28</w:t>
            </w:r>
          </w:p>
        </w:tc>
        <w:tc>
          <w:tcPr>
            <w:tcW w:w="993" w:type="dxa"/>
            <w:tcBorders>
              <w:bottom w:val="single" w:sz="4" w:space="0" w:color="auto"/>
            </w:tcBorders>
            <w:shd w:val="clear" w:color="auto" w:fill="auto"/>
            <w:vAlign w:val="center"/>
          </w:tcPr>
          <w:p w:rsidR="00D907AF" w:rsidRPr="0087485F" w:rsidRDefault="00D907AF" w:rsidP="00104AC9">
            <w:pPr>
              <w:spacing w:before="20" w:after="20"/>
              <w:ind w:right="227"/>
              <w:jc w:val="right"/>
              <w:rPr>
                <w:rFonts w:cstheme="minorHAnsi"/>
                <w:color w:val="000000"/>
                <w:sz w:val="20"/>
                <w:szCs w:val="20"/>
              </w:rPr>
            </w:pPr>
            <w:r w:rsidRPr="0087485F">
              <w:rPr>
                <w:rFonts w:cstheme="minorHAnsi"/>
                <w:color w:val="000000"/>
                <w:sz w:val="20"/>
                <w:szCs w:val="20"/>
              </w:rPr>
              <w:t>1.9</w:t>
            </w:r>
          </w:p>
        </w:tc>
      </w:tr>
      <w:tr w:rsidR="00D907AF" w:rsidRPr="0087485F" w:rsidTr="00BD4BB0">
        <w:trPr>
          <w:cantSplit/>
        </w:trPr>
        <w:tc>
          <w:tcPr>
            <w:tcW w:w="1843" w:type="dxa"/>
            <w:tcBorders>
              <w:top w:val="single" w:sz="4" w:space="0" w:color="auto"/>
              <w:bottom w:val="single" w:sz="4" w:space="0" w:color="auto"/>
            </w:tcBorders>
            <w:shd w:val="clear" w:color="auto" w:fill="auto"/>
          </w:tcPr>
          <w:p w:rsidR="00D907AF" w:rsidRPr="0087485F" w:rsidRDefault="00D907AF" w:rsidP="001032EF">
            <w:pPr>
              <w:spacing w:before="20" w:after="20"/>
              <w:rPr>
                <w:rFonts w:cstheme="minorHAnsi"/>
                <w:b/>
                <w:color w:val="000000"/>
                <w:sz w:val="20"/>
                <w:szCs w:val="20"/>
              </w:rPr>
            </w:pPr>
            <w:r w:rsidRPr="0087485F">
              <w:rPr>
                <w:rFonts w:cstheme="minorHAnsi"/>
                <w:b/>
                <w:color w:val="000000"/>
                <w:sz w:val="20"/>
                <w:szCs w:val="20"/>
              </w:rPr>
              <w:t>Total</w:t>
            </w:r>
          </w:p>
        </w:tc>
        <w:tc>
          <w:tcPr>
            <w:tcW w:w="851" w:type="dxa"/>
            <w:tcBorders>
              <w:top w:val="single" w:sz="4" w:space="0" w:color="auto"/>
              <w:bottom w:val="single" w:sz="4" w:space="0" w:color="auto"/>
            </w:tcBorders>
            <w:shd w:val="clear" w:color="auto" w:fill="auto"/>
          </w:tcPr>
          <w:p w:rsidR="00D907AF" w:rsidRPr="0087485F" w:rsidRDefault="00D907AF" w:rsidP="00104AC9">
            <w:pPr>
              <w:spacing w:before="20" w:after="20"/>
              <w:ind w:right="113"/>
              <w:jc w:val="right"/>
              <w:rPr>
                <w:rFonts w:cstheme="minorHAnsi"/>
                <w:b/>
                <w:color w:val="000000"/>
                <w:sz w:val="20"/>
                <w:szCs w:val="20"/>
              </w:rPr>
            </w:pPr>
            <w:r w:rsidRPr="0087485F">
              <w:rPr>
                <w:rFonts w:cstheme="minorHAnsi"/>
                <w:b/>
                <w:color w:val="000000"/>
                <w:sz w:val="20"/>
                <w:szCs w:val="20"/>
              </w:rPr>
              <w:t>867</w:t>
            </w:r>
          </w:p>
        </w:tc>
        <w:tc>
          <w:tcPr>
            <w:tcW w:w="1134" w:type="dxa"/>
            <w:tcBorders>
              <w:top w:val="single" w:sz="4" w:space="0" w:color="auto"/>
              <w:bottom w:val="single" w:sz="4" w:space="0" w:color="auto"/>
            </w:tcBorders>
            <w:shd w:val="clear" w:color="auto" w:fill="auto"/>
          </w:tcPr>
          <w:p w:rsidR="00D907AF" w:rsidRPr="0087485F" w:rsidRDefault="00D907AF" w:rsidP="00104AC9">
            <w:pPr>
              <w:spacing w:before="20" w:after="20"/>
              <w:ind w:right="227"/>
              <w:jc w:val="right"/>
              <w:rPr>
                <w:rFonts w:cstheme="minorHAnsi"/>
                <w:b/>
                <w:color w:val="000000"/>
                <w:sz w:val="20"/>
                <w:szCs w:val="20"/>
              </w:rPr>
            </w:pPr>
            <w:r w:rsidRPr="0087485F">
              <w:rPr>
                <w:rFonts w:cstheme="minorHAnsi"/>
                <w:b/>
                <w:color w:val="000000"/>
                <w:sz w:val="20"/>
                <w:szCs w:val="20"/>
              </w:rPr>
              <w:t>100</w:t>
            </w:r>
          </w:p>
        </w:tc>
        <w:tc>
          <w:tcPr>
            <w:tcW w:w="1276" w:type="dxa"/>
            <w:tcBorders>
              <w:top w:val="single" w:sz="4" w:space="0" w:color="auto"/>
              <w:bottom w:val="single" w:sz="4" w:space="0" w:color="auto"/>
            </w:tcBorders>
            <w:shd w:val="clear" w:color="auto" w:fill="auto"/>
          </w:tcPr>
          <w:p w:rsidR="00D907AF" w:rsidRPr="00104AC9" w:rsidRDefault="00D907AF" w:rsidP="00104AC9">
            <w:pPr>
              <w:spacing w:before="20" w:after="20"/>
              <w:ind w:right="284"/>
              <w:jc w:val="right"/>
              <w:rPr>
                <w:rFonts w:cstheme="minorHAnsi"/>
                <w:b/>
                <w:color w:val="000000"/>
                <w:sz w:val="20"/>
                <w:szCs w:val="20"/>
              </w:rPr>
            </w:pPr>
            <w:r w:rsidRPr="00104AC9">
              <w:rPr>
                <w:rFonts w:cstheme="minorHAnsi"/>
                <w:b/>
                <w:color w:val="000000"/>
                <w:sz w:val="20"/>
                <w:szCs w:val="20"/>
              </w:rPr>
              <w:t>587</w:t>
            </w:r>
          </w:p>
        </w:tc>
        <w:tc>
          <w:tcPr>
            <w:tcW w:w="1417" w:type="dxa"/>
            <w:tcBorders>
              <w:top w:val="single" w:sz="4" w:space="0" w:color="auto"/>
              <w:bottom w:val="single" w:sz="4" w:space="0" w:color="auto"/>
            </w:tcBorders>
            <w:shd w:val="clear" w:color="auto" w:fill="auto"/>
          </w:tcPr>
          <w:p w:rsidR="00D907AF" w:rsidRPr="00104AC9" w:rsidRDefault="00D907AF" w:rsidP="007C63E4">
            <w:pPr>
              <w:spacing w:before="20" w:after="20"/>
              <w:ind w:right="340"/>
              <w:jc w:val="right"/>
              <w:rPr>
                <w:rFonts w:cstheme="minorHAnsi"/>
                <w:b/>
                <w:color w:val="000000"/>
                <w:sz w:val="20"/>
                <w:szCs w:val="20"/>
              </w:rPr>
            </w:pPr>
            <w:r w:rsidRPr="00104AC9">
              <w:rPr>
                <w:rFonts w:cstheme="minorHAnsi"/>
                <w:b/>
                <w:color w:val="000000"/>
                <w:sz w:val="20"/>
                <w:szCs w:val="20"/>
              </w:rPr>
              <w:t>100</w:t>
            </w:r>
          </w:p>
        </w:tc>
        <w:tc>
          <w:tcPr>
            <w:tcW w:w="992" w:type="dxa"/>
            <w:tcBorders>
              <w:top w:val="single" w:sz="4" w:space="0" w:color="auto"/>
              <w:bottom w:val="single" w:sz="4" w:space="0" w:color="auto"/>
            </w:tcBorders>
            <w:shd w:val="clear" w:color="auto" w:fill="auto"/>
          </w:tcPr>
          <w:p w:rsidR="00D907AF" w:rsidRPr="00104AC9" w:rsidRDefault="00D907AF" w:rsidP="00104AC9">
            <w:pPr>
              <w:spacing w:before="20" w:after="20"/>
              <w:ind w:right="175"/>
              <w:jc w:val="right"/>
              <w:rPr>
                <w:rFonts w:cstheme="minorHAnsi"/>
                <w:b/>
                <w:color w:val="000000"/>
                <w:sz w:val="20"/>
                <w:szCs w:val="20"/>
              </w:rPr>
            </w:pPr>
            <w:r w:rsidRPr="00104AC9">
              <w:rPr>
                <w:rFonts w:cstheme="minorHAnsi"/>
                <w:b/>
                <w:color w:val="000000"/>
                <w:sz w:val="20"/>
                <w:szCs w:val="20"/>
              </w:rPr>
              <w:t>1,454</w:t>
            </w:r>
          </w:p>
        </w:tc>
        <w:tc>
          <w:tcPr>
            <w:tcW w:w="993" w:type="dxa"/>
            <w:tcBorders>
              <w:top w:val="single" w:sz="4" w:space="0" w:color="auto"/>
              <w:bottom w:val="single" w:sz="4" w:space="0" w:color="auto"/>
            </w:tcBorders>
            <w:shd w:val="clear" w:color="auto" w:fill="auto"/>
          </w:tcPr>
          <w:p w:rsidR="00D907AF" w:rsidRPr="00104AC9" w:rsidRDefault="00D907AF" w:rsidP="00104AC9">
            <w:pPr>
              <w:spacing w:before="20" w:after="20"/>
              <w:ind w:right="227"/>
              <w:jc w:val="right"/>
              <w:rPr>
                <w:rFonts w:cstheme="minorHAnsi"/>
                <w:b/>
                <w:color w:val="000000"/>
                <w:sz w:val="20"/>
                <w:szCs w:val="20"/>
              </w:rPr>
            </w:pPr>
            <w:r w:rsidRPr="00104AC9">
              <w:rPr>
                <w:rFonts w:cstheme="minorHAnsi"/>
                <w:b/>
                <w:color w:val="000000"/>
                <w:sz w:val="20"/>
                <w:szCs w:val="20"/>
              </w:rPr>
              <w:t>100</w:t>
            </w:r>
          </w:p>
        </w:tc>
      </w:tr>
    </w:tbl>
    <w:p w:rsidR="00D907AF" w:rsidRDefault="00D907AF" w:rsidP="00EC6D3A">
      <w:pPr>
        <w:pStyle w:val="NILSReference"/>
      </w:pPr>
      <w:r w:rsidRPr="00B01305">
        <w:t xml:space="preserve">Note: </w:t>
      </w:r>
      <w:r>
        <w:t>trial and comparison with support plan arrangement in place</w:t>
      </w:r>
    </w:p>
    <w:p w:rsidR="005B2D5F" w:rsidRDefault="005B2D5F" w:rsidP="00D907AF"/>
    <w:p w:rsidR="00D907AF" w:rsidRDefault="00D907AF" w:rsidP="00D907AF">
      <w:r>
        <w:t>In the trial group, j</w:t>
      </w:r>
      <w:r w:rsidRPr="00FB5385">
        <w:t xml:space="preserve">ust </w:t>
      </w:r>
      <w:r w:rsidRPr="00FB5385">
        <w:rPr>
          <w:rFonts w:hint="eastAsia"/>
        </w:rPr>
        <w:t>over</w:t>
      </w:r>
      <w:r w:rsidRPr="00FB5385">
        <w:t xml:space="preserve"> 20</w:t>
      </w:r>
      <w:r>
        <w:t xml:space="preserve"> per cent</w:t>
      </w:r>
      <w:r w:rsidRPr="00FB5385">
        <w:t xml:space="preserve"> </w:t>
      </w:r>
      <w:r>
        <w:t xml:space="preserve">reported </w:t>
      </w:r>
      <w:r w:rsidRPr="00FB5385">
        <w:t>us</w:t>
      </w:r>
      <w:r>
        <w:t>ing</w:t>
      </w:r>
      <w:r w:rsidRPr="00FB5385">
        <w:t xml:space="preserve"> only one provider, while a sizeable majority (6</w:t>
      </w:r>
      <w:r>
        <w:t>2.6 per cent</w:t>
      </w:r>
      <w:r w:rsidRPr="00FB5385">
        <w:t xml:space="preserve">) </w:t>
      </w:r>
      <w:r>
        <w:t xml:space="preserve">reported </w:t>
      </w:r>
      <w:r w:rsidRPr="00FB5385">
        <w:t>us</w:t>
      </w:r>
      <w:r>
        <w:t>ing</w:t>
      </w:r>
      <w:r w:rsidRPr="00FB5385">
        <w:t xml:space="preserve"> 2 to 5 providers, with </w:t>
      </w:r>
      <w:r>
        <w:t>6.0 per cent</w:t>
      </w:r>
      <w:r w:rsidRPr="00FB5385">
        <w:t xml:space="preserve"> using 6-10 and 2</w:t>
      </w:r>
      <w:r>
        <w:t xml:space="preserve"> per cent</w:t>
      </w:r>
      <w:r w:rsidRPr="00FB5385">
        <w:t xml:space="preserve"> using more than 10. </w:t>
      </w:r>
      <w:r>
        <w:t>Very few people reported that they used 6-10 providers and even fewer that they used more than 10. The numbers in the present table are too small to be useful, but can be expected to grow as the full Wave 1 sample is collected. This table should be revisited at the end of Wave 1 data collection to note any change between the earlier and later sampling.</w:t>
      </w:r>
      <w:r w:rsidRPr="00FB5385">
        <w:t xml:space="preserve"> </w:t>
      </w:r>
    </w:p>
    <w:p w:rsidR="005B2D5F" w:rsidRDefault="005B2D5F" w:rsidP="00D907AF"/>
    <w:p w:rsidR="00D907AF" w:rsidRDefault="00D907AF" w:rsidP="00D907AF">
      <w:r>
        <w:t xml:space="preserve">The NDIS is expected to bring much change in the way provision is carried out, but it is not as yet well understood how this will happen. Table 3.22 asks whether the survey respondents have experienced a recent change in disability support providers. </w:t>
      </w:r>
    </w:p>
    <w:p w:rsidR="005B2D5F" w:rsidRDefault="005B2D5F" w:rsidP="00D907AF"/>
    <w:p w:rsidR="00D907AF" w:rsidRPr="00233E8A" w:rsidRDefault="00D907AF" w:rsidP="0044684E">
      <w:pPr>
        <w:pStyle w:val="NILSTableHeading"/>
      </w:pPr>
      <w:bookmarkStart w:id="254" w:name="_Toc428280673"/>
      <w:bookmarkStart w:id="255" w:name="_Toc449955284"/>
      <w:r w:rsidRPr="00233E8A">
        <w:t>Table 3.</w:t>
      </w:r>
      <w:r>
        <w:t>22</w:t>
      </w:r>
      <w:r w:rsidRPr="00233E8A">
        <w:t>: Changes in disability support providers</w:t>
      </w:r>
      <w:bookmarkEnd w:id="254"/>
      <w:bookmarkEnd w:id="255"/>
    </w:p>
    <w:tbl>
      <w:tblPr>
        <w:tblStyle w:val="TableGrid"/>
        <w:tblW w:w="0" w:type="auto"/>
        <w:tblInd w:w="-34" w:type="dxa"/>
        <w:tblLook w:val="04A0" w:firstRow="1" w:lastRow="0" w:firstColumn="1" w:lastColumn="0" w:noHBand="0" w:noVBand="1"/>
        <w:tblCaption w:val="Table 3.22 Changes in disability support providers"/>
      </w:tblPr>
      <w:tblGrid>
        <w:gridCol w:w="1418"/>
        <w:gridCol w:w="851"/>
        <w:gridCol w:w="850"/>
        <w:gridCol w:w="1194"/>
        <w:gridCol w:w="1499"/>
        <w:gridCol w:w="1134"/>
        <w:gridCol w:w="883"/>
      </w:tblGrid>
      <w:tr w:rsidR="00D907AF" w:rsidRPr="0087485F" w:rsidTr="00FC19D8">
        <w:trPr>
          <w:cantSplit/>
          <w:tblHeader/>
        </w:trPr>
        <w:tc>
          <w:tcPr>
            <w:tcW w:w="1418" w:type="dxa"/>
            <w:tcBorders>
              <w:top w:val="single" w:sz="4" w:space="0" w:color="auto"/>
              <w:bottom w:val="single" w:sz="4" w:space="0" w:color="auto"/>
            </w:tcBorders>
            <w:shd w:val="clear" w:color="auto" w:fill="auto"/>
          </w:tcPr>
          <w:p w:rsidR="00D907AF" w:rsidRPr="0087485F" w:rsidRDefault="00D907AF" w:rsidP="001032EF">
            <w:pPr>
              <w:spacing w:before="20" w:after="20"/>
              <w:rPr>
                <w:rFonts w:cstheme="minorHAnsi"/>
                <w:sz w:val="20"/>
                <w:szCs w:val="20"/>
              </w:rPr>
            </w:pPr>
            <w:bookmarkStart w:id="256" w:name="Title_3_22"/>
            <w:bookmarkEnd w:id="256"/>
          </w:p>
        </w:tc>
        <w:tc>
          <w:tcPr>
            <w:tcW w:w="851" w:type="dxa"/>
            <w:tcBorders>
              <w:top w:val="single" w:sz="4" w:space="0" w:color="auto"/>
              <w:bottom w:val="single" w:sz="4" w:space="0" w:color="auto"/>
            </w:tcBorders>
            <w:shd w:val="clear" w:color="auto" w:fill="auto"/>
          </w:tcPr>
          <w:p w:rsidR="00D907AF" w:rsidRPr="0087485F" w:rsidRDefault="004C2346" w:rsidP="001032EF">
            <w:pPr>
              <w:spacing w:before="20" w:after="20"/>
              <w:jc w:val="center"/>
              <w:rPr>
                <w:rFonts w:cstheme="minorHAnsi"/>
                <w:sz w:val="20"/>
                <w:szCs w:val="20"/>
              </w:rPr>
            </w:pPr>
            <w:r w:rsidRPr="0087485F">
              <w:rPr>
                <w:rFonts w:cstheme="minorHAnsi"/>
                <w:sz w:val="20"/>
                <w:szCs w:val="20"/>
              </w:rPr>
              <w:t>Trial</w:t>
            </w:r>
            <w:r w:rsidR="00464A01">
              <w:rPr>
                <w:rFonts w:cstheme="minorHAnsi"/>
                <w:sz w:val="20"/>
                <w:szCs w:val="20"/>
              </w:rPr>
              <w:t xml:space="preserve"> Cases</w:t>
            </w:r>
          </w:p>
        </w:tc>
        <w:tc>
          <w:tcPr>
            <w:tcW w:w="850" w:type="dxa"/>
            <w:tcBorders>
              <w:top w:val="single" w:sz="4" w:space="0" w:color="auto"/>
              <w:bottom w:val="single" w:sz="4" w:space="0" w:color="auto"/>
            </w:tcBorders>
            <w:shd w:val="clear" w:color="auto" w:fill="auto"/>
          </w:tcPr>
          <w:p w:rsidR="004A5067" w:rsidRDefault="004C2346" w:rsidP="001032EF">
            <w:pPr>
              <w:spacing w:before="20" w:after="20"/>
              <w:jc w:val="center"/>
              <w:rPr>
                <w:rFonts w:cstheme="minorHAnsi"/>
                <w:sz w:val="20"/>
                <w:szCs w:val="20"/>
              </w:rPr>
            </w:pPr>
            <w:r>
              <w:rPr>
                <w:rFonts w:cstheme="minorHAnsi"/>
                <w:sz w:val="20"/>
                <w:szCs w:val="20"/>
              </w:rPr>
              <w:t xml:space="preserve">Trial </w:t>
            </w:r>
          </w:p>
          <w:p w:rsidR="00D907AF" w:rsidRPr="0087485F" w:rsidRDefault="00D907AF" w:rsidP="001032EF">
            <w:pPr>
              <w:spacing w:before="20" w:after="20"/>
              <w:jc w:val="center"/>
              <w:rPr>
                <w:rFonts w:cstheme="minorHAnsi"/>
                <w:sz w:val="20"/>
                <w:szCs w:val="20"/>
              </w:rPr>
            </w:pPr>
            <w:r w:rsidRPr="0087485F">
              <w:rPr>
                <w:rFonts w:cstheme="minorHAnsi"/>
                <w:sz w:val="20"/>
                <w:szCs w:val="20"/>
              </w:rPr>
              <w:t>%</w:t>
            </w:r>
          </w:p>
        </w:tc>
        <w:tc>
          <w:tcPr>
            <w:tcW w:w="1194" w:type="dxa"/>
            <w:tcBorders>
              <w:top w:val="single" w:sz="4" w:space="0" w:color="auto"/>
              <w:bottom w:val="single" w:sz="4" w:space="0" w:color="auto"/>
            </w:tcBorders>
            <w:shd w:val="clear" w:color="auto" w:fill="auto"/>
          </w:tcPr>
          <w:p w:rsidR="00D907AF" w:rsidRPr="0087485F" w:rsidRDefault="004C2346" w:rsidP="004C2346">
            <w:pPr>
              <w:spacing w:before="20" w:after="20"/>
              <w:jc w:val="center"/>
              <w:rPr>
                <w:rFonts w:cstheme="minorHAnsi"/>
                <w:sz w:val="20"/>
                <w:szCs w:val="20"/>
              </w:rPr>
            </w:pPr>
            <w:r>
              <w:rPr>
                <w:rFonts w:cstheme="minorHAnsi"/>
                <w:sz w:val="20"/>
                <w:szCs w:val="20"/>
              </w:rPr>
              <w:t>Comparison</w:t>
            </w:r>
            <w:r w:rsidR="00464A01">
              <w:rPr>
                <w:rFonts w:cstheme="minorHAnsi"/>
                <w:sz w:val="20"/>
                <w:szCs w:val="20"/>
              </w:rPr>
              <w:t xml:space="preserve"> Cases</w:t>
            </w:r>
          </w:p>
        </w:tc>
        <w:tc>
          <w:tcPr>
            <w:tcW w:w="1499" w:type="dxa"/>
            <w:tcBorders>
              <w:top w:val="single" w:sz="4" w:space="0" w:color="auto"/>
              <w:bottom w:val="single" w:sz="4" w:space="0" w:color="auto"/>
            </w:tcBorders>
            <w:shd w:val="clear" w:color="auto" w:fill="auto"/>
          </w:tcPr>
          <w:p w:rsidR="004A5067" w:rsidRDefault="004C2346" w:rsidP="001032EF">
            <w:pPr>
              <w:spacing w:before="20" w:after="20"/>
              <w:jc w:val="center"/>
              <w:rPr>
                <w:rFonts w:cstheme="minorHAnsi"/>
                <w:sz w:val="20"/>
                <w:szCs w:val="20"/>
              </w:rPr>
            </w:pPr>
            <w:r>
              <w:rPr>
                <w:rFonts w:cstheme="minorHAnsi"/>
                <w:sz w:val="20"/>
                <w:szCs w:val="20"/>
              </w:rPr>
              <w:t xml:space="preserve">Comparison </w:t>
            </w:r>
          </w:p>
          <w:p w:rsidR="00D907AF" w:rsidRPr="0087485F" w:rsidRDefault="00D907AF" w:rsidP="001032EF">
            <w:pPr>
              <w:spacing w:before="20" w:after="20"/>
              <w:jc w:val="center"/>
              <w:rPr>
                <w:rFonts w:cstheme="minorHAnsi"/>
                <w:sz w:val="20"/>
                <w:szCs w:val="20"/>
              </w:rPr>
            </w:pPr>
            <w:r w:rsidRPr="0087485F">
              <w:rPr>
                <w:rFonts w:cstheme="minorHAnsi"/>
                <w:sz w:val="20"/>
                <w:szCs w:val="20"/>
              </w:rPr>
              <w:t>%</w:t>
            </w:r>
          </w:p>
        </w:tc>
        <w:tc>
          <w:tcPr>
            <w:tcW w:w="1134" w:type="dxa"/>
            <w:tcBorders>
              <w:top w:val="single" w:sz="4" w:space="0" w:color="auto"/>
              <w:bottom w:val="single" w:sz="4" w:space="0" w:color="auto"/>
            </w:tcBorders>
            <w:shd w:val="clear" w:color="auto" w:fill="auto"/>
          </w:tcPr>
          <w:p w:rsidR="00464A01" w:rsidRDefault="004C2346" w:rsidP="004C2346">
            <w:pPr>
              <w:spacing w:before="20" w:after="20"/>
              <w:jc w:val="center"/>
              <w:rPr>
                <w:rFonts w:cstheme="minorHAnsi"/>
                <w:sz w:val="20"/>
                <w:szCs w:val="20"/>
              </w:rPr>
            </w:pPr>
            <w:r>
              <w:rPr>
                <w:rFonts w:cstheme="minorHAnsi"/>
                <w:sz w:val="20"/>
                <w:szCs w:val="20"/>
              </w:rPr>
              <w:t>Total</w:t>
            </w:r>
            <w:r w:rsidR="00464A01">
              <w:rPr>
                <w:rFonts w:cstheme="minorHAnsi"/>
                <w:sz w:val="20"/>
                <w:szCs w:val="20"/>
              </w:rPr>
              <w:t xml:space="preserve"> </w:t>
            </w:r>
          </w:p>
          <w:p w:rsidR="00D907AF" w:rsidRPr="0087485F" w:rsidRDefault="00464A01" w:rsidP="004C2346">
            <w:pPr>
              <w:spacing w:before="20" w:after="20"/>
              <w:jc w:val="center"/>
              <w:rPr>
                <w:rFonts w:cstheme="minorHAnsi"/>
                <w:sz w:val="20"/>
                <w:szCs w:val="20"/>
              </w:rPr>
            </w:pPr>
            <w:r>
              <w:rPr>
                <w:rFonts w:cstheme="minorHAnsi"/>
                <w:sz w:val="20"/>
                <w:szCs w:val="20"/>
              </w:rPr>
              <w:t>Cases</w:t>
            </w:r>
          </w:p>
        </w:tc>
        <w:tc>
          <w:tcPr>
            <w:tcW w:w="883" w:type="dxa"/>
            <w:tcBorders>
              <w:top w:val="single" w:sz="4" w:space="0" w:color="auto"/>
              <w:bottom w:val="single" w:sz="4" w:space="0" w:color="auto"/>
            </w:tcBorders>
            <w:shd w:val="clear" w:color="auto" w:fill="auto"/>
          </w:tcPr>
          <w:p w:rsidR="004A5067" w:rsidRDefault="004C2346" w:rsidP="001032EF">
            <w:pPr>
              <w:spacing w:before="20" w:after="20"/>
              <w:jc w:val="center"/>
              <w:rPr>
                <w:rFonts w:cstheme="minorHAnsi"/>
                <w:sz w:val="20"/>
                <w:szCs w:val="20"/>
              </w:rPr>
            </w:pPr>
            <w:r w:rsidRPr="0087485F">
              <w:rPr>
                <w:rFonts w:cstheme="minorHAnsi"/>
                <w:sz w:val="20"/>
                <w:szCs w:val="20"/>
              </w:rPr>
              <w:t xml:space="preserve">Total </w:t>
            </w:r>
          </w:p>
          <w:p w:rsidR="00D907AF" w:rsidRPr="0087485F" w:rsidRDefault="00D907AF" w:rsidP="001032EF">
            <w:pPr>
              <w:spacing w:before="20" w:after="20"/>
              <w:jc w:val="center"/>
              <w:rPr>
                <w:rFonts w:cstheme="minorHAnsi"/>
                <w:sz w:val="20"/>
                <w:szCs w:val="20"/>
              </w:rPr>
            </w:pPr>
            <w:r w:rsidRPr="0087485F">
              <w:rPr>
                <w:rFonts w:cstheme="minorHAnsi"/>
                <w:sz w:val="20"/>
                <w:szCs w:val="20"/>
              </w:rPr>
              <w:t>%</w:t>
            </w:r>
          </w:p>
        </w:tc>
      </w:tr>
      <w:tr w:rsidR="00D907AF" w:rsidRPr="0087485F" w:rsidTr="00FC19D8">
        <w:trPr>
          <w:cantSplit/>
        </w:trPr>
        <w:tc>
          <w:tcPr>
            <w:tcW w:w="1418" w:type="dxa"/>
            <w:shd w:val="clear" w:color="auto" w:fill="auto"/>
          </w:tcPr>
          <w:p w:rsidR="00D907AF" w:rsidRPr="0087485F" w:rsidRDefault="00D907AF" w:rsidP="001032EF">
            <w:pPr>
              <w:spacing w:before="20" w:after="20"/>
              <w:rPr>
                <w:rFonts w:cstheme="minorHAnsi"/>
                <w:sz w:val="20"/>
                <w:szCs w:val="20"/>
              </w:rPr>
            </w:pPr>
            <w:r w:rsidRPr="0087485F">
              <w:rPr>
                <w:rFonts w:cstheme="minorHAnsi"/>
                <w:sz w:val="20"/>
                <w:szCs w:val="20"/>
              </w:rPr>
              <w:t>Yes</w:t>
            </w:r>
          </w:p>
        </w:tc>
        <w:tc>
          <w:tcPr>
            <w:tcW w:w="851" w:type="dxa"/>
            <w:shd w:val="clear" w:color="auto" w:fill="auto"/>
            <w:vAlign w:val="center"/>
          </w:tcPr>
          <w:p w:rsidR="00D907AF" w:rsidRPr="0087485F" w:rsidRDefault="00D907AF" w:rsidP="00104AC9">
            <w:pPr>
              <w:spacing w:before="20" w:after="20"/>
              <w:ind w:right="113"/>
              <w:jc w:val="right"/>
              <w:rPr>
                <w:rFonts w:cstheme="minorHAnsi"/>
                <w:color w:val="000000"/>
                <w:sz w:val="20"/>
                <w:szCs w:val="20"/>
              </w:rPr>
            </w:pPr>
            <w:r w:rsidRPr="0087485F">
              <w:rPr>
                <w:rFonts w:cstheme="minorHAnsi"/>
                <w:color w:val="000000"/>
                <w:sz w:val="20"/>
                <w:szCs w:val="20"/>
              </w:rPr>
              <w:t>324</w:t>
            </w:r>
          </w:p>
        </w:tc>
        <w:tc>
          <w:tcPr>
            <w:tcW w:w="850" w:type="dxa"/>
            <w:shd w:val="clear" w:color="auto" w:fill="auto"/>
            <w:vAlign w:val="center"/>
          </w:tcPr>
          <w:p w:rsidR="00D907AF" w:rsidRPr="0087485F" w:rsidRDefault="00D907AF" w:rsidP="00104AC9">
            <w:pPr>
              <w:spacing w:before="20" w:after="20"/>
              <w:ind w:right="113"/>
              <w:jc w:val="right"/>
              <w:rPr>
                <w:rFonts w:cstheme="minorHAnsi"/>
                <w:color w:val="000000"/>
                <w:sz w:val="20"/>
                <w:szCs w:val="20"/>
              </w:rPr>
            </w:pPr>
            <w:r w:rsidRPr="0087485F">
              <w:rPr>
                <w:rFonts w:cstheme="minorHAnsi"/>
                <w:color w:val="000000"/>
                <w:sz w:val="20"/>
                <w:szCs w:val="20"/>
              </w:rPr>
              <w:t>37.4</w:t>
            </w:r>
          </w:p>
        </w:tc>
        <w:tc>
          <w:tcPr>
            <w:tcW w:w="1194" w:type="dxa"/>
            <w:shd w:val="clear" w:color="auto" w:fill="auto"/>
            <w:vAlign w:val="center"/>
          </w:tcPr>
          <w:p w:rsidR="00D907AF" w:rsidRPr="0087485F" w:rsidRDefault="00D907AF" w:rsidP="00104AC9">
            <w:pPr>
              <w:spacing w:before="20" w:after="20"/>
              <w:ind w:right="227"/>
              <w:jc w:val="right"/>
              <w:rPr>
                <w:rFonts w:cstheme="minorHAnsi"/>
                <w:color w:val="000000"/>
                <w:sz w:val="20"/>
                <w:szCs w:val="20"/>
              </w:rPr>
            </w:pPr>
            <w:r w:rsidRPr="0087485F">
              <w:rPr>
                <w:rFonts w:cstheme="minorHAnsi"/>
                <w:color w:val="000000"/>
                <w:sz w:val="20"/>
                <w:szCs w:val="20"/>
              </w:rPr>
              <w:t>120</w:t>
            </w:r>
          </w:p>
        </w:tc>
        <w:tc>
          <w:tcPr>
            <w:tcW w:w="1499" w:type="dxa"/>
            <w:shd w:val="clear" w:color="auto" w:fill="auto"/>
            <w:vAlign w:val="center"/>
          </w:tcPr>
          <w:p w:rsidR="00D907AF" w:rsidRPr="0087485F" w:rsidRDefault="00D907AF" w:rsidP="00104AC9">
            <w:pPr>
              <w:spacing w:before="20" w:after="20"/>
              <w:ind w:right="340"/>
              <w:jc w:val="right"/>
              <w:rPr>
                <w:rFonts w:cstheme="minorHAnsi"/>
                <w:color w:val="000000"/>
                <w:sz w:val="20"/>
                <w:szCs w:val="20"/>
              </w:rPr>
            </w:pPr>
            <w:r w:rsidRPr="0087485F">
              <w:rPr>
                <w:rFonts w:cstheme="minorHAnsi"/>
                <w:color w:val="000000"/>
                <w:sz w:val="20"/>
                <w:szCs w:val="20"/>
              </w:rPr>
              <w:t>20.4</w:t>
            </w:r>
          </w:p>
        </w:tc>
        <w:tc>
          <w:tcPr>
            <w:tcW w:w="1134" w:type="dxa"/>
            <w:shd w:val="clear" w:color="auto" w:fill="auto"/>
            <w:vAlign w:val="center"/>
          </w:tcPr>
          <w:p w:rsidR="00D907AF" w:rsidRPr="0087485F" w:rsidRDefault="00D907AF" w:rsidP="00104AC9">
            <w:pPr>
              <w:spacing w:before="20" w:after="20"/>
              <w:ind w:right="113"/>
              <w:jc w:val="right"/>
              <w:rPr>
                <w:rFonts w:cstheme="minorHAnsi"/>
                <w:color w:val="000000"/>
                <w:sz w:val="20"/>
                <w:szCs w:val="20"/>
              </w:rPr>
            </w:pPr>
            <w:r w:rsidRPr="0087485F">
              <w:rPr>
                <w:rFonts w:cstheme="minorHAnsi"/>
                <w:color w:val="000000"/>
                <w:sz w:val="20"/>
                <w:szCs w:val="20"/>
              </w:rPr>
              <w:t>444</w:t>
            </w:r>
          </w:p>
        </w:tc>
        <w:tc>
          <w:tcPr>
            <w:tcW w:w="883" w:type="dxa"/>
            <w:shd w:val="clear" w:color="auto" w:fill="auto"/>
            <w:vAlign w:val="center"/>
          </w:tcPr>
          <w:p w:rsidR="00D907AF" w:rsidRPr="0087485F" w:rsidRDefault="00D907AF" w:rsidP="00104AC9">
            <w:pPr>
              <w:spacing w:before="20" w:after="20"/>
              <w:ind w:right="113"/>
              <w:jc w:val="right"/>
              <w:rPr>
                <w:rFonts w:cstheme="minorHAnsi"/>
                <w:color w:val="000000"/>
                <w:sz w:val="20"/>
                <w:szCs w:val="20"/>
              </w:rPr>
            </w:pPr>
            <w:r w:rsidRPr="0087485F">
              <w:rPr>
                <w:rFonts w:cstheme="minorHAnsi"/>
                <w:color w:val="000000"/>
                <w:sz w:val="20"/>
                <w:szCs w:val="20"/>
              </w:rPr>
              <w:t>30.5</w:t>
            </w:r>
          </w:p>
        </w:tc>
      </w:tr>
      <w:tr w:rsidR="00D907AF" w:rsidRPr="0087485F" w:rsidTr="00FC19D8">
        <w:trPr>
          <w:cantSplit/>
        </w:trPr>
        <w:tc>
          <w:tcPr>
            <w:tcW w:w="1418" w:type="dxa"/>
            <w:shd w:val="clear" w:color="auto" w:fill="auto"/>
          </w:tcPr>
          <w:p w:rsidR="00D907AF" w:rsidRPr="0087485F" w:rsidRDefault="00D907AF" w:rsidP="001032EF">
            <w:pPr>
              <w:spacing w:before="20" w:after="20"/>
              <w:rPr>
                <w:rFonts w:cstheme="minorHAnsi"/>
                <w:sz w:val="20"/>
                <w:szCs w:val="20"/>
              </w:rPr>
            </w:pPr>
            <w:r w:rsidRPr="0087485F">
              <w:rPr>
                <w:rFonts w:cstheme="minorHAnsi"/>
                <w:sz w:val="20"/>
                <w:szCs w:val="20"/>
              </w:rPr>
              <w:t>No</w:t>
            </w:r>
          </w:p>
        </w:tc>
        <w:tc>
          <w:tcPr>
            <w:tcW w:w="851" w:type="dxa"/>
            <w:shd w:val="clear" w:color="auto" w:fill="auto"/>
            <w:vAlign w:val="center"/>
          </w:tcPr>
          <w:p w:rsidR="00D907AF" w:rsidRPr="0087485F" w:rsidRDefault="00D907AF" w:rsidP="00104AC9">
            <w:pPr>
              <w:spacing w:before="20" w:after="20"/>
              <w:ind w:right="113"/>
              <w:jc w:val="right"/>
              <w:rPr>
                <w:rFonts w:cstheme="minorHAnsi"/>
                <w:color w:val="000000"/>
                <w:sz w:val="20"/>
                <w:szCs w:val="20"/>
              </w:rPr>
            </w:pPr>
            <w:r w:rsidRPr="0087485F">
              <w:rPr>
                <w:rFonts w:cstheme="minorHAnsi"/>
                <w:color w:val="000000"/>
                <w:sz w:val="20"/>
                <w:szCs w:val="20"/>
              </w:rPr>
              <w:t>524</w:t>
            </w:r>
          </w:p>
        </w:tc>
        <w:tc>
          <w:tcPr>
            <w:tcW w:w="850" w:type="dxa"/>
            <w:shd w:val="clear" w:color="auto" w:fill="auto"/>
            <w:vAlign w:val="center"/>
          </w:tcPr>
          <w:p w:rsidR="00D907AF" w:rsidRPr="0087485F" w:rsidRDefault="00D907AF" w:rsidP="00104AC9">
            <w:pPr>
              <w:spacing w:before="20" w:after="20"/>
              <w:ind w:right="113"/>
              <w:jc w:val="right"/>
              <w:rPr>
                <w:rFonts w:cstheme="minorHAnsi"/>
                <w:color w:val="000000"/>
                <w:sz w:val="20"/>
                <w:szCs w:val="20"/>
              </w:rPr>
            </w:pPr>
            <w:r w:rsidRPr="0087485F">
              <w:rPr>
                <w:rFonts w:cstheme="minorHAnsi"/>
                <w:color w:val="000000"/>
                <w:sz w:val="20"/>
                <w:szCs w:val="20"/>
              </w:rPr>
              <w:t>60.4</w:t>
            </w:r>
          </w:p>
        </w:tc>
        <w:tc>
          <w:tcPr>
            <w:tcW w:w="1194" w:type="dxa"/>
            <w:shd w:val="clear" w:color="auto" w:fill="auto"/>
            <w:vAlign w:val="center"/>
          </w:tcPr>
          <w:p w:rsidR="00D907AF" w:rsidRPr="0087485F" w:rsidRDefault="00D907AF" w:rsidP="00104AC9">
            <w:pPr>
              <w:spacing w:before="20" w:after="20"/>
              <w:ind w:right="227"/>
              <w:jc w:val="right"/>
              <w:rPr>
                <w:rFonts w:cstheme="minorHAnsi"/>
                <w:color w:val="000000"/>
                <w:sz w:val="20"/>
                <w:szCs w:val="20"/>
              </w:rPr>
            </w:pPr>
            <w:r w:rsidRPr="0087485F">
              <w:rPr>
                <w:rFonts w:cstheme="minorHAnsi"/>
                <w:color w:val="000000"/>
                <w:sz w:val="20"/>
                <w:szCs w:val="20"/>
              </w:rPr>
              <w:t>432</w:t>
            </w:r>
          </w:p>
        </w:tc>
        <w:tc>
          <w:tcPr>
            <w:tcW w:w="1499" w:type="dxa"/>
            <w:shd w:val="clear" w:color="auto" w:fill="auto"/>
            <w:vAlign w:val="center"/>
          </w:tcPr>
          <w:p w:rsidR="00D907AF" w:rsidRPr="0087485F" w:rsidRDefault="00D907AF" w:rsidP="00104AC9">
            <w:pPr>
              <w:spacing w:before="20" w:after="20"/>
              <w:ind w:right="340"/>
              <w:jc w:val="right"/>
              <w:rPr>
                <w:rFonts w:cstheme="minorHAnsi"/>
                <w:color w:val="000000"/>
                <w:sz w:val="20"/>
                <w:szCs w:val="20"/>
              </w:rPr>
            </w:pPr>
            <w:r w:rsidRPr="0087485F">
              <w:rPr>
                <w:rFonts w:cstheme="minorHAnsi"/>
                <w:color w:val="000000"/>
                <w:sz w:val="20"/>
                <w:szCs w:val="20"/>
              </w:rPr>
              <w:t>73.6</w:t>
            </w:r>
          </w:p>
        </w:tc>
        <w:tc>
          <w:tcPr>
            <w:tcW w:w="1134" w:type="dxa"/>
            <w:shd w:val="clear" w:color="auto" w:fill="auto"/>
            <w:vAlign w:val="center"/>
          </w:tcPr>
          <w:p w:rsidR="00D907AF" w:rsidRPr="0087485F" w:rsidRDefault="00D907AF" w:rsidP="00104AC9">
            <w:pPr>
              <w:spacing w:before="20" w:after="20"/>
              <w:ind w:right="113"/>
              <w:jc w:val="right"/>
              <w:rPr>
                <w:rFonts w:cstheme="minorHAnsi"/>
                <w:color w:val="000000"/>
                <w:sz w:val="20"/>
                <w:szCs w:val="20"/>
              </w:rPr>
            </w:pPr>
            <w:r w:rsidRPr="0087485F">
              <w:rPr>
                <w:rFonts w:cstheme="minorHAnsi"/>
                <w:color w:val="000000"/>
                <w:sz w:val="20"/>
                <w:szCs w:val="20"/>
              </w:rPr>
              <w:t>956</w:t>
            </w:r>
          </w:p>
        </w:tc>
        <w:tc>
          <w:tcPr>
            <w:tcW w:w="883" w:type="dxa"/>
            <w:shd w:val="clear" w:color="auto" w:fill="auto"/>
            <w:vAlign w:val="center"/>
          </w:tcPr>
          <w:p w:rsidR="00D907AF" w:rsidRPr="0087485F" w:rsidRDefault="00D907AF" w:rsidP="00104AC9">
            <w:pPr>
              <w:spacing w:before="20" w:after="20"/>
              <w:ind w:right="113"/>
              <w:jc w:val="right"/>
              <w:rPr>
                <w:rFonts w:cstheme="minorHAnsi"/>
                <w:color w:val="000000"/>
                <w:sz w:val="20"/>
                <w:szCs w:val="20"/>
              </w:rPr>
            </w:pPr>
            <w:r w:rsidRPr="0087485F">
              <w:rPr>
                <w:rFonts w:cstheme="minorHAnsi"/>
                <w:color w:val="000000"/>
                <w:sz w:val="20"/>
                <w:szCs w:val="20"/>
              </w:rPr>
              <w:t>65.8</w:t>
            </w:r>
          </w:p>
        </w:tc>
      </w:tr>
      <w:tr w:rsidR="00D907AF" w:rsidRPr="0087485F" w:rsidTr="00FC19D8">
        <w:trPr>
          <w:cantSplit/>
        </w:trPr>
        <w:tc>
          <w:tcPr>
            <w:tcW w:w="1418" w:type="dxa"/>
          </w:tcPr>
          <w:p w:rsidR="00D907AF" w:rsidRPr="0087485F" w:rsidRDefault="00D907AF" w:rsidP="001032EF">
            <w:pPr>
              <w:spacing w:before="20" w:after="20"/>
              <w:rPr>
                <w:rFonts w:cstheme="minorHAnsi"/>
                <w:sz w:val="20"/>
                <w:szCs w:val="20"/>
              </w:rPr>
            </w:pPr>
            <w:r w:rsidRPr="0087485F">
              <w:rPr>
                <w:rFonts w:cstheme="minorHAnsi"/>
                <w:sz w:val="20"/>
                <w:szCs w:val="20"/>
              </w:rPr>
              <w:t>Don’t know</w:t>
            </w:r>
          </w:p>
        </w:tc>
        <w:tc>
          <w:tcPr>
            <w:tcW w:w="851" w:type="dxa"/>
          </w:tcPr>
          <w:p w:rsidR="00D907AF" w:rsidRPr="0087485F" w:rsidRDefault="00D907AF" w:rsidP="00104AC9">
            <w:pPr>
              <w:spacing w:before="20" w:after="20"/>
              <w:ind w:right="113"/>
              <w:jc w:val="right"/>
              <w:rPr>
                <w:rFonts w:cstheme="minorHAnsi"/>
                <w:color w:val="000000"/>
                <w:sz w:val="20"/>
                <w:szCs w:val="20"/>
              </w:rPr>
            </w:pPr>
            <w:r w:rsidRPr="0087485F">
              <w:rPr>
                <w:rFonts w:cstheme="minorHAnsi"/>
                <w:color w:val="000000"/>
                <w:sz w:val="20"/>
                <w:szCs w:val="20"/>
              </w:rPr>
              <w:t>13</w:t>
            </w:r>
          </w:p>
        </w:tc>
        <w:tc>
          <w:tcPr>
            <w:tcW w:w="850" w:type="dxa"/>
          </w:tcPr>
          <w:p w:rsidR="00D907AF" w:rsidRPr="0087485F" w:rsidRDefault="00D907AF" w:rsidP="00104AC9">
            <w:pPr>
              <w:spacing w:before="20" w:after="20"/>
              <w:ind w:right="113"/>
              <w:jc w:val="right"/>
              <w:rPr>
                <w:rFonts w:cstheme="minorHAnsi"/>
                <w:color w:val="000000"/>
                <w:sz w:val="20"/>
                <w:szCs w:val="20"/>
              </w:rPr>
            </w:pPr>
            <w:r w:rsidRPr="0087485F">
              <w:rPr>
                <w:rFonts w:cstheme="minorHAnsi"/>
                <w:color w:val="000000"/>
                <w:sz w:val="20"/>
                <w:szCs w:val="20"/>
              </w:rPr>
              <w:t>1.5</w:t>
            </w:r>
          </w:p>
        </w:tc>
        <w:tc>
          <w:tcPr>
            <w:tcW w:w="1194" w:type="dxa"/>
          </w:tcPr>
          <w:p w:rsidR="00D907AF" w:rsidRPr="0087485F" w:rsidRDefault="00D907AF" w:rsidP="00104AC9">
            <w:pPr>
              <w:spacing w:before="20" w:after="20"/>
              <w:ind w:right="227"/>
              <w:jc w:val="right"/>
              <w:rPr>
                <w:rFonts w:cstheme="minorHAnsi"/>
                <w:color w:val="000000"/>
                <w:sz w:val="20"/>
                <w:szCs w:val="20"/>
              </w:rPr>
            </w:pPr>
            <w:r w:rsidRPr="0087485F">
              <w:rPr>
                <w:rFonts w:cstheme="minorHAnsi"/>
                <w:color w:val="000000"/>
                <w:sz w:val="20"/>
                <w:szCs w:val="20"/>
              </w:rPr>
              <w:t>22</w:t>
            </w:r>
          </w:p>
        </w:tc>
        <w:tc>
          <w:tcPr>
            <w:tcW w:w="1499" w:type="dxa"/>
          </w:tcPr>
          <w:p w:rsidR="00D907AF" w:rsidRPr="0087485F" w:rsidRDefault="00D907AF" w:rsidP="00104AC9">
            <w:pPr>
              <w:spacing w:before="20" w:after="20"/>
              <w:ind w:right="340"/>
              <w:jc w:val="right"/>
              <w:rPr>
                <w:rFonts w:cstheme="minorHAnsi"/>
                <w:color w:val="000000"/>
                <w:sz w:val="20"/>
                <w:szCs w:val="20"/>
              </w:rPr>
            </w:pPr>
            <w:r w:rsidRPr="0087485F">
              <w:rPr>
                <w:rFonts w:cstheme="minorHAnsi"/>
                <w:color w:val="000000"/>
                <w:sz w:val="20"/>
                <w:szCs w:val="20"/>
              </w:rPr>
              <w:t>3.8</w:t>
            </w:r>
          </w:p>
        </w:tc>
        <w:tc>
          <w:tcPr>
            <w:tcW w:w="1134" w:type="dxa"/>
          </w:tcPr>
          <w:p w:rsidR="00D907AF" w:rsidRPr="0087485F" w:rsidRDefault="00D907AF" w:rsidP="00104AC9">
            <w:pPr>
              <w:spacing w:before="20" w:after="20"/>
              <w:ind w:right="113"/>
              <w:jc w:val="right"/>
              <w:rPr>
                <w:rFonts w:cstheme="minorHAnsi"/>
                <w:color w:val="000000"/>
                <w:sz w:val="20"/>
                <w:szCs w:val="20"/>
              </w:rPr>
            </w:pPr>
            <w:r w:rsidRPr="0087485F">
              <w:rPr>
                <w:rFonts w:cstheme="minorHAnsi"/>
                <w:color w:val="000000"/>
                <w:sz w:val="20"/>
                <w:szCs w:val="20"/>
              </w:rPr>
              <w:t>35</w:t>
            </w:r>
          </w:p>
        </w:tc>
        <w:tc>
          <w:tcPr>
            <w:tcW w:w="883" w:type="dxa"/>
          </w:tcPr>
          <w:p w:rsidR="00D907AF" w:rsidRPr="0087485F" w:rsidRDefault="00D907AF" w:rsidP="00104AC9">
            <w:pPr>
              <w:spacing w:before="20" w:after="20"/>
              <w:ind w:right="113"/>
              <w:jc w:val="right"/>
              <w:rPr>
                <w:rFonts w:cstheme="minorHAnsi"/>
                <w:color w:val="000000"/>
                <w:sz w:val="20"/>
                <w:szCs w:val="20"/>
              </w:rPr>
            </w:pPr>
            <w:r w:rsidRPr="0087485F">
              <w:rPr>
                <w:rFonts w:cstheme="minorHAnsi"/>
                <w:color w:val="000000"/>
                <w:sz w:val="20"/>
                <w:szCs w:val="20"/>
              </w:rPr>
              <w:t>2.4</w:t>
            </w:r>
          </w:p>
        </w:tc>
      </w:tr>
      <w:tr w:rsidR="00D907AF" w:rsidRPr="0087485F" w:rsidTr="00FC19D8">
        <w:trPr>
          <w:cantSplit/>
        </w:trPr>
        <w:tc>
          <w:tcPr>
            <w:tcW w:w="1418" w:type="dxa"/>
            <w:tcBorders>
              <w:bottom w:val="single" w:sz="4" w:space="0" w:color="auto"/>
            </w:tcBorders>
            <w:shd w:val="clear" w:color="auto" w:fill="auto"/>
          </w:tcPr>
          <w:p w:rsidR="00D907AF" w:rsidRPr="0087485F" w:rsidRDefault="00D907AF" w:rsidP="001032EF">
            <w:pPr>
              <w:spacing w:before="20" w:after="20"/>
              <w:rPr>
                <w:rFonts w:cstheme="minorHAnsi"/>
                <w:sz w:val="20"/>
                <w:szCs w:val="20"/>
              </w:rPr>
            </w:pPr>
            <w:r w:rsidRPr="0087485F">
              <w:rPr>
                <w:rFonts w:cstheme="minorHAnsi"/>
                <w:sz w:val="20"/>
                <w:szCs w:val="20"/>
              </w:rPr>
              <w:t xml:space="preserve">Missing </w:t>
            </w:r>
          </w:p>
        </w:tc>
        <w:tc>
          <w:tcPr>
            <w:tcW w:w="851" w:type="dxa"/>
            <w:tcBorders>
              <w:bottom w:val="single" w:sz="4" w:space="0" w:color="auto"/>
            </w:tcBorders>
            <w:shd w:val="clear" w:color="auto" w:fill="auto"/>
            <w:vAlign w:val="center"/>
          </w:tcPr>
          <w:p w:rsidR="00D907AF" w:rsidRPr="0087485F" w:rsidRDefault="00D907AF" w:rsidP="00104AC9">
            <w:pPr>
              <w:spacing w:before="20" w:after="20"/>
              <w:ind w:right="113"/>
              <w:jc w:val="right"/>
              <w:rPr>
                <w:rFonts w:cstheme="minorHAnsi"/>
                <w:color w:val="000000"/>
                <w:sz w:val="20"/>
                <w:szCs w:val="20"/>
              </w:rPr>
            </w:pPr>
            <w:r w:rsidRPr="0087485F">
              <w:rPr>
                <w:rFonts w:cstheme="minorHAnsi"/>
                <w:color w:val="000000"/>
                <w:sz w:val="20"/>
                <w:szCs w:val="20"/>
              </w:rPr>
              <w:t>6</w:t>
            </w:r>
          </w:p>
        </w:tc>
        <w:tc>
          <w:tcPr>
            <w:tcW w:w="850" w:type="dxa"/>
            <w:tcBorders>
              <w:bottom w:val="single" w:sz="4" w:space="0" w:color="auto"/>
            </w:tcBorders>
            <w:shd w:val="clear" w:color="auto" w:fill="auto"/>
            <w:vAlign w:val="center"/>
          </w:tcPr>
          <w:p w:rsidR="00D907AF" w:rsidRPr="0087485F" w:rsidRDefault="00D907AF" w:rsidP="00104AC9">
            <w:pPr>
              <w:spacing w:before="20" w:after="20"/>
              <w:ind w:right="113"/>
              <w:jc w:val="right"/>
              <w:rPr>
                <w:rFonts w:cstheme="minorHAnsi"/>
                <w:color w:val="000000"/>
                <w:sz w:val="20"/>
                <w:szCs w:val="20"/>
              </w:rPr>
            </w:pPr>
            <w:r w:rsidRPr="0087485F">
              <w:rPr>
                <w:rFonts w:cstheme="minorHAnsi"/>
                <w:color w:val="000000"/>
                <w:sz w:val="20"/>
                <w:szCs w:val="20"/>
              </w:rPr>
              <w:t>0.7</w:t>
            </w:r>
          </w:p>
        </w:tc>
        <w:tc>
          <w:tcPr>
            <w:tcW w:w="1194" w:type="dxa"/>
            <w:tcBorders>
              <w:bottom w:val="single" w:sz="4" w:space="0" w:color="auto"/>
            </w:tcBorders>
            <w:shd w:val="clear" w:color="auto" w:fill="auto"/>
            <w:vAlign w:val="center"/>
          </w:tcPr>
          <w:p w:rsidR="00D907AF" w:rsidRPr="0087485F" w:rsidRDefault="00D907AF" w:rsidP="00104AC9">
            <w:pPr>
              <w:spacing w:before="20" w:after="20"/>
              <w:ind w:right="227"/>
              <w:jc w:val="right"/>
              <w:rPr>
                <w:rFonts w:cstheme="minorHAnsi"/>
                <w:color w:val="000000"/>
                <w:sz w:val="20"/>
                <w:szCs w:val="20"/>
              </w:rPr>
            </w:pPr>
            <w:r w:rsidRPr="0087485F">
              <w:rPr>
                <w:rFonts w:cstheme="minorHAnsi"/>
                <w:color w:val="000000"/>
                <w:sz w:val="20"/>
                <w:szCs w:val="20"/>
              </w:rPr>
              <w:t>13</w:t>
            </w:r>
          </w:p>
        </w:tc>
        <w:tc>
          <w:tcPr>
            <w:tcW w:w="1499" w:type="dxa"/>
            <w:tcBorders>
              <w:bottom w:val="single" w:sz="4" w:space="0" w:color="auto"/>
            </w:tcBorders>
            <w:shd w:val="clear" w:color="auto" w:fill="auto"/>
            <w:vAlign w:val="center"/>
          </w:tcPr>
          <w:p w:rsidR="00D907AF" w:rsidRPr="0087485F" w:rsidRDefault="00D907AF" w:rsidP="00104AC9">
            <w:pPr>
              <w:spacing w:before="20" w:after="20"/>
              <w:ind w:right="340"/>
              <w:jc w:val="right"/>
              <w:rPr>
                <w:rFonts w:cstheme="minorHAnsi"/>
                <w:color w:val="000000"/>
                <w:sz w:val="20"/>
                <w:szCs w:val="20"/>
              </w:rPr>
            </w:pPr>
            <w:r w:rsidRPr="0087485F">
              <w:rPr>
                <w:rFonts w:cstheme="minorHAnsi"/>
                <w:color w:val="000000"/>
                <w:sz w:val="20"/>
                <w:szCs w:val="20"/>
              </w:rPr>
              <w:t>2.2</w:t>
            </w:r>
          </w:p>
        </w:tc>
        <w:tc>
          <w:tcPr>
            <w:tcW w:w="1134" w:type="dxa"/>
            <w:tcBorders>
              <w:bottom w:val="single" w:sz="4" w:space="0" w:color="auto"/>
            </w:tcBorders>
            <w:shd w:val="clear" w:color="auto" w:fill="auto"/>
            <w:vAlign w:val="center"/>
          </w:tcPr>
          <w:p w:rsidR="00D907AF" w:rsidRPr="0087485F" w:rsidRDefault="00D907AF" w:rsidP="00104AC9">
            <w:pPr>
              <w:spacing w:before="20" w:after="20"/>
              <w:ind w:right="113"/>
              <w:jc w:val="right"/>
              <w:rPr>
                <w:rFonts w:cstheme="minorHAnsi"/>
                <w:color w:val="000000"/>
                <w:sz w:val="20"/>
                <w:szCs w:val="20"/>
              </w:rPr>
            </w:pPr>
            <w:r w:rsidRPr="0087485F">
              <w:rPr>
                <w:rFonts w:cstheme="minorHAnsi"/>
                <w:color w:val="000000"/>
                <w:sz w:val="20"/>
                <w:szCs w:val="20"/>
              </w:rPr>
              <w:t>19</w:t>
            </w:r>
          </w:p>
        </w:tc>
        <w:tc>
          <w:tcPr>
            <w:tcW w:w="883" w:type="dxa"/>
            <w:tcBorders>
              <w:bottom w:val="single" w:sz="4" w:space="0" w:color="auto"/>
            </w:tcBorders>
            <w:shd w:val="clear" w:color="auto" w:fill="auto"/>
            <w:vAlign w:val="center"/>
          </w:tcPr>
          <w:p w:rsidR="00D907AF" w:rsidRPr="0087485F" w:rsidRDefault="00D907AF" w:rsidP="00104AC9">
            <w:pPr>
              <w:spacing w:before="20" w:after="20"/>
              <w:ind w:right="113"/>
              <w:jc w:val="right"/>
              <w:rPr>
                <w:rFonts w:cstheme="minorHAnsi"/>
                <w:color w:val="000000"/>
                <w:sz w:val="20"/>
                <w:szCs w:val="20"/>
              </w:rPr>
            </w:pPr>
            <w:r w:rsidRPr="0087485F">
              <w:rPr>
                <w:rFonts w:cstheme="minorHAnsi"/>
                <w:color w:val="000000"/>
                <w:sz w:val="20"/>
                <w:szCs w:val="20"/>
              </w:rPr>
              <w:t>1.3</w:t>
            </w:r>
          </w:p>
        </w:tc>
      </w:tr>
      <w:tr w:rsidR="00D907AF" w:rsidRPr="0087485F" w:rsidTr="00FC19D8">
        <w:trPr>
          <w:cantSplit/>
        </w:trPr>
        <w:tc>
          <w:tcPr>
            <w:tcW w:w="1418" w:type="dxa"/>
            <w:tcBorders>
              <w:top w:val="single" w:sz="4" w:space="0" w:color="auto"/>
              <w:bottom w:val="single" w:sz="4" w:space="0" w:color="auto"/>
            </w:tcBorders>
            <w:shd w:val="clear" w:color="auto" w:fill="auto"/>
          </w:tcPr>
          <w:p w:rsidR="00D907AF" w:rsidRPr="0087485F" w:rsidRDefault="00D907AF" w:rsidP="001032EF">
            <w:pPr>
              <w:spacing w:before="20" w:after="20"/>
              <w:rPr>
                <w:rFonts w:cstheme="minorHAnsi"/>
                <w:b/>
                <w:sz w:val="20"/>
                <w:szCs w:val="20"/>
              </w:rPr>
            </w:pPr>
            <w:r w:rsidRPr="0087485F">
              <w:rPr>
                <w:rFonts w:cstheme="minorHAnsi"/>
                <w:b/>
                <w:sz w:val="20"/>
                <w:szCs w:val="20"/>
              </w:rPr>
              <w:t>Total</w:t>
            </w:r>
          </w:p>
        </w:tc>
        <w:tc>
          <w:tcPr>
            <w:tcW w:w="851" w:type="dxa"/>
            <w:tcBorders>
              <w:top w:val="single" w:sz="4" w:space="0" w:color="auto"/>
              <w:bottom w:val="single" w:sz="4" w:space="0" w:color="auto"/>
            </w:tcBorders>
            <w:shd w:val="clear" w:color="auto" w:fill="auto"/>
          </w:tcPr>
          <w:p w:rsidR="00D907AF" w:rsidRPr="0087485F" w:rsidRDefault="00D907AF" w:rsidP="00104AC9">
            <w:pPr>
              <w:spacing w:before="20" w:after="20"/>
              <w:ind w:right="113"/>
              <w:jc w:val="right"/>
              <w:rPr>
                <w:rFonts w:cstheme="minorHAnsi"/>
                <w:b/>
                <w:sz w:val="20"/>
                <w:szCs w:val="20"/>
              </w:rPr>
            </w:pPr>
            <w:r w:rsidRPr="0087485F">
              <w:rPr>
                <w:rFonts w:cstheme="minorHAnsi"/>
                <w:b/>
                <w:sz w:val="20"/>
                <w:szCs w:val="20"/>
              </w:rPr>
              <w:t>867</w:t>
            </w:r>
          </w:p>
        </w:tc>
        <w:tc>
          <w:tcPr>
            <w:tcW w:w="850" w:type="dxa"/>
            <w:tcBorders>
              <w:top w:val="single" w:sz="4" w:space="0" w:color="auto"/>
              <w:bottom w:val="single" w:sz="4" w:space="0" w:color="auto"/>
            </w:tcBorders>
            <w:shd w:val="clear" w:color="auto" w:fill="auto"/>
          </w:tcPr>
          <w:p w:rsidR="00D907AF" w:rsidRPr="0087485F" w:rsidRDefault="00D907AF" w:rsidP="00104AC9">
            <w:pPr>
              <w:spacing w:before="20" w:after="20"/>
              <w:ind w:right="113"/>
              <w:jc w:val="right"/>
              <w:rPr>
                <w:rFonts w:cstheme="minorHAnsi"/>
                <w:b/>
                <w:sz w:val="20"/>
                <w:szCs w:val="20"/>
              </w:rPr>
            </w:pPr>
            <w:r w:rsidRPr="0087485F">
              <w:rPr>
                <w:rFonts w:cstheme="minorHAnsi"/>
                <w:b/>
                <w:sz w:val="20"/>
                <w:szCs w:val="20"/>
              </w:rPr>
              <w:t>100</w:t>
            </w:r>
          </w:p>
        </w:tc>
        <w:tc>
          <w:tcPr>
            <w:tcW w:w="1194" w:type="dxa"/>
            <w:tcBorders>
              <w:top w:val="single" w:sz="4" w:space="0" w:color="auto"/>
              <w:bottom w:val="single" w:sz="4" w:space="0" w:color="auto"/>
            </w:tcBorders>
            <w:shd w:val="clear" w:color="auto" w:fill="auto"/>
          </w:tcPr>
          <w:p w:rsidR="00D907AF" w:rsidRPr="0087485F" w:rsidRDefault="00D907AF" w:rsidP="00104AC9">
            <w:pPr>
              <w:spacing w:before="20" w:after="20"/>
              <w:ind w:right="227"/>
              <w:jc w:val="right"/>
              <w:rPr>
                <w:rFonts w:cstheme="minorHAnsi"/>
                <w:b/>
                <w:sz w:val="20"/>
                <w:szCs w:val="20"/>
              </w:rPr>
            </w:pPr>
            <w:r w:rsidRPr="0087485F">
              <w:rPr>
                <w:rFonts w:cstheme="minorHAnsi"/>
                <w:b/>
                <w:sz w:val="20"/>
                <w:szCs w:val="20"/>
              </w:rPr>
              <w:t>587</w:t>
            </w:r>
          </w:p>
        </w:tc>
        <w:tc>
          <w:tcPr>
            <w:tcW w:w="1499" w:type="dxa"/>
            <w:tcBorders>
              <w:top w:val="single" w:sz="4" w:space="0" w:color="auto"/>
              <w:bottom w:val="single" w:sz="4" w:space="0" w:color="auto"/>
            </w:tcBorders>
            <w:shd w:val="clear" w:color="auto" w:fill="auto"/>
          </w:tcPr>
          <w:p w:rsidR="00D907AF" w:rsidRPr="00104AC9" w:rsidRDefault="00D907AF" w:rsidP="00104AC9">
            <w:pPr>
              <w:spacing w:before="20" w:after="20"/>
              <w:ind w:right="340"/>
              <w:jc w:val="right"/>
              <w:rPr>
                <w:rFonts w:cstheme="minorHAnsi"/>
                <w:b/>
                <w:color w:val="000000"/>
                <w:sz w:val="20"/>
                <w:szCs w:val="20"/>
              </w:rPr>
            </w:pPr>
            <w:r w:rsidRPr="00104AC9">
              <w:rPr>
                <w:rFonts w:cstheme="minorHAnsi"/>
                <w:b/>
                <w:color w:val="000000"/>
                <w:sz w:val="20"/>
                <w:szCs w:val="20"/>
              </w:rPr>
              <w:t>100</w:t>
            </w:r>
          </w:p>
        </w:tc>
        <w:tc>
          <w:tcPr>
            <w:tcW w:w="1134" w:type="dxa"/>
            <w:tcBorders>
              <w:top w:val="single" w:sz="4" w:space="0" w:color="auto"/>
              <w:bottom w:val="single" w:sz="4" w:space="0" w:color="auto"/>
            </w:tcBorders>
            <w:shd w:val="clear" w:color="auto" w:fill="auto"/>
          </w:tcPr>
          <w:p w:rsidR="00D907AF" w:rsidRPr="0087485F" w:rsidRDefault="00D907AF" w:rsidP="00104AC9">
            <w:pPr>
              <w:spacing w:before="20" w:after="20"/>
              <w:ind w:right="113"/>
              <w:jc w:val="right"/>
              <w:rPr>
                <w:rFonts w:cstheme="minorHAnsi"/>
                <w:b/>
                <w:sz w:val="20"/>
                <w:szCs w:val="20"/>
              </w:rPr>
            </w:pPr>
            <w:r w:rsidRPr="0087485F">
              <w:rPr>
                <w:rFonts w:cstheme="minorHAnsi"/>
                <w:b/>
                <w:sz w:val="20"/>
                <w:szCs w:val="20"/>
              </w:rPr>
              <w:t>1</w:t>
            </w:r>
            <w:r>
              <w:rPr>
                <w:rFonts w:cstheme="minorHAnsi"/>
                <w:b/>
                <w:sz w:val="20"/>
                <w:szCs w:val="20"/>
              </w:rPr>
              <w:t>,</w:t>
            </w:r>
            <w:r w:rsidRPr="0087485F">
              <w:rPr>
                <w:rFonts w:cstheme="minorHAnsi"/>
                <w:b/>
                <w:sz w:val="20"/>
                <w:szCs w:val="20"/>
              </w:rPr>
              <w:t>454</w:t>
            </w:r>
          </w:p>
        </w:tc>
        <w:tc>
          <w:tcPr>
            <w:tcW w:w="883" w:type="dxa"/>
            <w:tcBorders>
              <w:top w:val="single" w:sz="4" w:space="0" w:color="auto"/>
              <w:bottom w:val="single" w:sz="4" w:space="0" w:color="auto"/>
            </w:tcBorders>
            <w:shd w:val="clear" w:color="auto" w:fill="auto"/>
          </w:tcPr>
          <w:p w:rsidR="00D907AF" w:rsidRPr="0087485F" w:rsidRDefault="00D907AF" w:rsidP="00104AC9">
            <w:pPr>
              <w:spacing w:before="20" w:after="20"/>
              <w:ind w:right="113"/>
              <w:jc w:val="right"/>
              <w:rPr>
                <w:rFonts w:cstheme="minorHAnsi"/>
                <w:b/>
                <w:sz w:val="20"/>
                <w:szCs w:val="20"/>
              </w:rPr>
            </w:pPr>
            <w:r w:rsidRPr="0087485F">
              <w:rPr>
                <w:rFonts w:cstheme="minorHAnsi"/>
                <w:b/>
                <w:sz w:val="20"/>
                <w:szCs w:val="20"/>
              </w:rPr>
              <w:t>100</w:t>
            </w:r>
          </w:p>
        </w:tc>
      </w:tr>
    </w:tbl>
    <w:p w:rsidR="00D907AF" w:rsidRDefault="00D907AF" w:rsidP="00EC6D3A">
      <w:pPr>
        <w:pStyle w:val="NILSReference"/>
      </w:pPr>
      <w:r w:rsidRPr="00B01305">
        <w:t xml:space="preserve">Note: </w:t>
      </w:r>
      <w:r>
        <w:t>trial and comparison with support plan arrangement in place</w:t>
      </w:r>
      <w:r w:rsidRPr="00B01305">
        <w:t xml:space="preserve"> </w:t>
      </w:r>
    </w:p>
    <w:p w:rsidR="005B2D5F" w:rsidRDefault="005B2D5F" w:rsidP="00D907AF"/>
    <w:p w:rsidR="00EE38F8" w:rsidRDefault="00EE38F8">
      <w:r>
        <w:br w:type="page"/>
      </w:r>
    </w:p>
    <w:p w:rsidR="00D907AF" w:rsidRDefault="00D907AF" w:rsidP="00D907AF">
      <w:r>
        <w:lastRenderedPageBreak/>
        <w:t xml:space="preserve">Table 3.22 clearly shows that percentage of instances of change in providers was almost double in the trial sites </w:t>
      </w:r>
      <w:r w:rsidRPr="00FB5385">
        <w:t>than in the comparison areas (</w:t>
      </w:r>
      <w:r w:rsidRPr="00FB5385">
        <w:rPr>
          <w:rFonts w:hint="eastAsia"/>
        </w:rPr>
        <w:t>37.</w:t>
      </w:r>
      <w:r>
        <w:t>4 per cent</w:t>
      </w:r>
      <w:r w:rsidRPr="00FB5385">
        <w:t xml:space="preserve"> against </w:t>
      </w:r>
      <w:r w:rsidRPr="00FB5385">
        <w:rPr>
          <w:rFonts w:hint="eastAsia"/>
        </w:rPr>
        <w:t>20</w:t>
      </w:r>
      <w:r>
        <w:t>.4 per cent</w:t>
      </w:r>
      <w:r w:rsidRPr="00FB5385">
        <w:t xml:space="preserve">). </w:t>
      </w:r>
      <w:r w:rsidR="00341557">
        <w:t xml:space="preserve">Future </w:t>
      </w:r>
      <w:r>
        <w:t xml:space="preserve">analysis </w:t>
      </w:r>
      <w:r w:rsidR="00341557">
        <w:t xml:space="preserve">will provide information about </w:t>
      </w:r>
      <w:r w:rsidR="00EC2C19">
        <w:t xml:space="preserve">the </w:t>
      </w:r>
      <w:r>
        <w:t>direction and other characteristics of such changes</w:t>
      </w:r>
      <w:r w:rsidR="00341557">
        <w:t xml:space="preserve">, in particular whether </w:t>
      </w:r>
      <w:r>
        <w:t>the change is towards new provisions from a new provider or the same provisions from a new provider. The survey also asks a question about changes that were desired and for which the funding was in place, but could not be carried out due to lack of access. This would be the case where the demand for a support is present, the NDIS approves of this demand, but, for several reasons, the supply of this support is not forthcoming. Whilst this may be recognised as a problem in the context of a NDIS</w:t>
      </w:r>
      <w:r w:rsidR="00BB044E" w:rsidRPr="00BB044E">
        <w:t xml:space="preserve"> </w:t>
      </w:r>
      <w:r w:rsidR="00BB044E">
        <w:t>trial</w:t>
      </w:r>
      <w:r>
        <w:t xml:space="preserve"> roll out, any traces of such a problem should be treated very seriously when contemplating and planning the full NDIS roll out where provision will be needed for approximately 400,000 people. Put simply, if the supply of supports experiences problems by the change brought to it by several tens of thousands of people, what will it do when it is faced with 10 times that number?</w:t>
      </w:r>
      <w:r>
        <w:rPr>
          <w:rStyle w:val="FootnoteReference"/>
        </w:rPr>
        <w:footnoteReference w:id="18"/>
      </w:r>
      <w:r>
        <w:t xml:space="preserve"> </w:t>
      </w:r>
    </w:p>
    <w:p w:rsidR="005B2D5F" w:rsidRDefault="005B2D5F" w:rsidP="00D907AF"/>
    <w:p w:rsidR="00D907AF" w:rsidRDefault="00D907AF" w:rsidP="00D907AF">
      <w:r>
        <w:t>Table 3.23 shows that the instances where supports could not be accessed are three times as many in the trial sites than among the comparison group.</w:t>
      </w:r>
      <w:r>
        <w:rPr>
          <w:rStyle w:val="FootnoteReference"/>
        </w:rPr>
        <w:footnoteReference w:id="19"/>
      </w:r>
      <w:r>
        <w:t xml:space="preserve"> This is a part of the data that needs special care and further investigation, especially when the full sample is at hand. </w:t>
      </w:r>
    </w:p>
    <w:p w:rsidR="00D907AF" w:rsidRPr="00233E8A" w:rsidRDefault="00D907AF" w:rsidP="0044684E">
      <w:pPr>
        <w:pStyle w:val="NILSTableHeading"/>
      </w:pPr>
      <w:bookmarkStart w:id="257" w:name="_Toc428280674"/>
      <w:bookmarkStart w:id="258" w:name="_Toc449955285"/>
      <w:r w:rsidRPr="00233E8A">
        <w:t>Table 3.</w:t>
      </w:r>
      <w:r>
        <w:t>23</w:t>
      </w:r>
      <w:r w:rsidRPr="00233E8A">
        <w:t>: Could not access supports</w:t>
      </w:r>
      <w:bookmarkEnd w:id="257"/>
      <w:bookmarkEnd w:id="258"/>
    </w:p>
    <w:tbl>
      <w:tblPr>
        <w:tblStyle w:val="TableGrid"/>
        <w:tblW w:w="0" w:type="auto"/>
        <w:tblLook w:val="04A0" w:firstRow="1" w:lastRow="0" w:firstColumn="1" w:lastColumn="0" w:noHBand="0" w:noVBand="1"/>
        <w:tblCaption w:val="Table 3.23 Could not access supports"/>
      </w:tblPr>
      <w:tblGrid>
        <w:gridCol w:w="1384"/>
        <w:gridCol w:w="1134"/>
        <w:gridCol w:w="1276"/>
        <w:gridCol w:w="1417"/>
        <w:gridCol w:w="1417"/>
        <w:gridCol w:w="851"/>
        <w:gridCol w:w="988"/>
      </w:tblGrid>
      <w:tr w:rsidR="00D907AF" w:rsidRPr="0087485F" w:rsidTr="00E20A19">
        <w:trPr>
          <w:cantSplit/>
          <w:tblHeader/>
        </w:trPr>
        <w:tc>
          <w:tcPr>
            <w:tcW w:w="1384" w:type="dxa"/>
            <w:tcBorders>
              <w:top w:val="single" w:sz="4" w:space="0" w:color="auto"/>
              <w:bottom w:val="single" w:sz="4" w:space="0" w:color="auto"/>
            </w:tcBorders>
            <w:shd w:val="clear" w:color="auto" w:fill="auto"/>
          </w:tcPr>
          <w:p w:rsidR="00D907AF" w:rsidRPr="0087485F" w:rsidRDefault="00D907AF" w:rsidP="00D907AF">
            <w:pPr>
              <w:spacing w:before="10" w:after="10"/>
              <w:rPr>
                <w:rFonts w:cstheme="minorHAnsi"/>
                <w:sz w:val="20"/>
                <w:szCs w:val="20"/>
              </w:rPr>
            </w:pPr>
            <w:bookmarkStart w:id="259" w:name="Title_3_23"/>
            <w:bookmarkEnd w:id="259"/>
          </w:p>
        </w:tc>
        <w:tc>
          <w:tcPr>
            <w:tcW w:w="1134" w:type="dxa"/>
            <w:tcBorders>
              <w:top w:val="single" w:sz="4" w:space="0" w:color="auto"/>
              <w:bottom w:val="single" w:sz="4" w:space="0" w:color="auto"/>
            </w:tcBorders>
            <w:shd w:val="clear" w:color="auto" w:fill="auto"/>
          </w:tcPr>
          <w:p w:rsidR="000E66CA" w:rsidRDefault="0044294F" w:rsidP="00E20A19">
            <w:pPr>
              <w:spacing w:before="10" w:after="10"/>
              <w:jc w:val="center"/>
              <w:rPr>
                <w:rFonts w:cstheme="minorHAnsi"/>
                <w:sz w:val="20"/>
                <w:szCs w:val="20"/>
              </w:rPr>
            </w:pPr>
            <w:r>
              <w:rPr>
                <w:rFonts w:cstheme="minorHAnsi"/>
                <w:sz w:val="20"/>
                <w:szCs w:val="20"/>
              </w:rPr>
              <w:t>Trial</w:t>
            </w:r>
            <w:r w:rsidR="000E66CA">
              <w:rPr>
                <w:rFonts w:cstheme="minorHAnsi"/>
                <w:sz w:val="20"/>
                <w:szCs w:val="20"/>
              </w:rPr>
              <w:t xml:space="preserve"> </w:t>
            </w:r>
          </w:p>
          <w:p w:rsidR="00D907AF" w:rsidRPr="0087485F" w:rsidRDefault="000E66CA" w:rsidP="00E20A19">
            <w:pPr>
              <w:spacing w:before="10" w:after="10"/>
              <w:jc w:val="center"/>
              <w:rPr>
                <w:rFonts w:cstheme="minorHAnsi"/>
                <w:sz w:val="20"/>
                <w:szCs w:val="20"/>
              </w:rPr>
            </w:pPr>
            <w:r>
              <w:rPr>
                <w:rFonts w:cstheme="minorHAnsi"/>
                <w:sz w:val="20"/>
                <w:szCs w:val="20"/>
              </w:rPr>
              <w:t>Cases</w:t>
            </w:r>
          </w:p>
        </w:tc>
        <w:tc>
          <w:tcPr>
            <w:tcW w:w="1276" w:type="dxa"/>
            <w:tcBorders>
              <w:top w:val="single" w:sz="4" w:space="0" w:color="auto"/>
              <w:bottom w:val="single" w:sz="4" w:space="0" w:color="auto"/>
            </w:tcBorders>
            <w:shd w:val="clear" w:color="auto" w:fill="auto"/>
          </w:tcPr>
          <w:p w:rsidR="00884536" w:rsidRDefault="0044294F" w:rsidP="00E20A19">
            <w:pPr>
              <w:spacing w:before="10" w:after="10"/>
              <w:jc w:val="center"/>
              <w:rPr>
                <w:rFonts w:cstheme="minorHAnsi"/>
                <w:sz w:val="20"/>
                <w:szCs w:val="20"/>
              </w:rPr>
            </w:pPr>
            <w:r w:rsidRPr="0087485F">
              <w:rPr>
                <w:rFonts w:cstheme="minorHAnsi"/>
                <w:sz w:val="20"/>
                <w:szCs w:val="20"/>
              </w:rPr>
              <w:t xml:space="preserve">Trial </w:t>
            </w:r>
          </w:p>
          <w:p w:rsidR="00D907AF" w:rsidRPr="0087485F" w:rsidRDefault="00D907AF" w:rsidP="00E20A19">
            <w:pPr>
              <w:spacing w:before="10" w:after="10"/>
              <w:jc w:val="center"/>
              <w:rPr>
                <w:rFonts w:cstheme="minorHAnsi"/>
                <w:sz w:val="20"/>
                <w:szCs w:val="20"/>
              </w:rPr>
            </w:pPr>
            <w:r w:rsidRPr="0087485F">
              <w:rPr>
                <w:rFonts w:cstheme="minorHAnsi"/>
                <w:sz w:val="20"/>
                <w:szCs w:val="20"/>
              </w:rPr>
              <w:t>%</w:t>
            </w:r>
          </w:p>
        </w:tc>
        <w:tc>
          <w:tcPr>
            <w:tcW w:w="1417" w:type="dxa"/>
            <w:tcBorders>
              <w:top w:val="single" w:sz="4" w:space="0" w:color="auto"/>
              <w:bottom w:val="single" w:sz="4" w:space="0" w:color="auto"/>
            </w:tcBorders>
            <w:shd w:val="clear" w:color="auto" w:fill="auto"/>
          </w:tcPr>
          <w:p w:rsidR="00D907AF" w:rsidRPr="0087485F" w:rsidRDefault="0044294F" w:rsidP="00E20A19">
            <w:pPr>
              <w:spacing w:before="10" w:after="10"/>
              <w:jc w:val="center"/>
              <w:rPr>
                <w:rFonts w:cstheme="minorHAnsi"/>
                <w:sz w:val="20"/>
                <w:szCs w:val="20"/>
              </w:rPr>
            </w:pPr>
            <w:r>
              <w:rPr>
                <w:rFonts w:cstheme="minorHAnsi"/>
                <w:sz w:val="20"/>
                <w:szCs w:val="20"/>
              </w:rPr>
              <w:t>Comparison</w:t>
            </w:r>
            <w:r w:rsidR="000E66CA">
              <w:rPr>
                <w:rFonts w:cstheme="minorHAnsi"/>
                <w:sz w:val="20"/>
                <w:szCs w:val="20"/>
              </w:rPr>
              <w:t xml:space="preserve"> Cases</w:t>
            </w:r>
          </w:p>
        </w:tc>
        <w:tc>
          <w:tcPr>
            <w:tcW w:w="1417" w:type="dxa"/>
            <w:tcBorders>
              <w:top w:val="single" w:sz="4" w:space="0" w:color="auto"/>
              <w:bottom w:val="single" w:sz="4" w:space="0" w:color="auto"/>
            </w:tcBorders>
            <w:shd w:val="clear" w:color="auto" w:fill="auto"/>
          </w:tcPr>
          <w:p w:rsidR="00884536" w:rsidRDefault="0044294F" w:rsidP="00E20A19">
            <w:pPr>
              <w:spacing w:before="10" w:after="10"/>
              <w:jc w:val="center"/>
              <w:rPr>
                <w:rFonts w:cstheme="minorHAnsi"/>
                <w:sz w:val="20"/>
                <w:szCs w:val="20"/>
              </w:rPr>
            </w:pPr>
            <w:r w:rsidRPr="0087485F">
              <w:rPr>
                <w:rFonts w:cstheme="minorHAnsi"/>
                <w:sz w:val="20"/>
                <w:szCs w:val="20"/>
              </w:rPr>
              <w:t xml:space="preserve">Comparison </w:t>
            </w:r>
          </w:p>
          <w:p w:rsidR="00D907AF" w:rsidRPr="0087485F" w:rsidRDefault="00D907AF" w:rsidP="00E20A19">
            <w:pPr>
              <w:spacing w:before="10" w:after="10"/>
              <w:jc w:val="center"/>
              <w:rPr>
                <w:rFonts w:cstheme="minorHAnsi"/>
                <w:sz w:val="20"/>
                <w:szCs w:val="20"/>
              </w:rPr>
            </w:pPr>
            <w:r w:rsidRPr="0087485F">
              <w:rPr>
                <w:rFonts w:cstheme="minorHAnsi"/>
                <w:sz w:val="20"/>
                <w:szCs w:val="20"/>
              </w:rPr>
              <w:t>%</w:t>
            </w:r>
          </w:p>
        </w:tc>
        <w:tc>
          <w:tcPr>
            <w:tcW w:w="851" w:type="dxa"/>
            <w:tcBorders>
              <w:top w:val="single" w:sz="4" w:space="0" w:color="auto"/>
              <w:bottom w:val="single" w:sz="4" w:space="0" w:color="auto"/>
            </w:tcBorders>
            <w:shd w:val="clear" w:color="auto" w:fill="auto"/>
          </w:tcPr>
          <w:p w:rsidR="00D907AF" w:rsidRPr="0087485F" w:rsidRDefault="0044294F" w:rsidP="00E20A19">
            <w:pPr>
              <w:spacing w:before="10" w:after="10"/>
              <w:jc w:val="center"/>
              <w:rPr>
                <w:rFonts w:cstheme="minorHAnsi"/>
                <w:sz w:val="20"/>
                <w:szCs w:val="20"/>
              </w:rPr>
            </w:pPr>
            <w:r>
              <w:rPr>
                <w:rFonts w:cstheme="minorHAnsi"/>
                <w:sz w:val="20"/>
                <w:szCs w:val="20"/>
              </w:rPr>
              <w:t>Total</w:t>
            </w:r>
            <w:r w:rsidR="000E66CA">
              <w:rPr>
                <w:rFonts w:cstheme="minorHAnsi"/>
                <w:sz w:val="20"/>
                <w:szCs w:val="20"/>
              </w:rPr>
              <w:t xml:space="preserve"> Cases</w:t>
            </w:r>
          </w:p>
        </w:tc>
        <w:tc>
          <w:tcPr>
            <w:tcW w:w="988" w:type="dxa"/>
            <w:tcBorders>
              <w:top w:val="single" w:sz="4" w:space="0" w:color="auto"/>
              <w:bottom w:val="single" w:sz="4" w:space="0" w:color="auto"/>
            </w:tcBorders>
            <w:shd w:val="clear" w:color="auto" w:fill="auto"/>
          </w:tcPr>
          <w:p w:rsidR="00884536" w:rsidRDefault="0044294F" w:rsidP="00E20A19">
            <w:pPr>
              <w:spacing w:before="10" w:after="10"/>
              <w:jc w:val="center"/>
              <w:rPr>
                <w:rFonts w:cstheme="minorHAnsi"/>
                <w:sz w:val="20"/>
                <w:szCs w:val="20"/>
              </w:rPr>
            </w:pPr>
            <w:r w:rsidRPr="0087485F">
              <w:rPr>
                <w:rFonts w:cstheme="minorHAnsi"/>
                <w:sz w:val="20"/>
                <w:szCs w:val="20"/>
              </w:rPr>
              <w:t xml:space="preserve">Total </w:t>
            </w:r>
          </w:p>
          <w:p w:rsidR="00D907AF" w:rsidRPr="0087485F" w:rsidRDefault="00D907AF" w:rsidP="00E20A19">
            <w:pPr>
              <w:spacing w:before="10" w:after="10"/>
              <w:jc w:val="center"/>
              <w:rPr>
                <w:rFonts w:cstheme="minorHAnsi"/>
                <w:sz w:val="20"/>
                <w:szCs w:val="20"/>
              </w:rPr>
            </w:pPr>
            <w:r w:rsidRPr="0087485F">
              <w:rPr>
                <w:rFonts w:cstheme="minorHAnsi"/>
                <w:sz w:val="20"/>
                <w:szCs w:val="20"/>
              </w:rPr>
              <w:t>%</w:t>
            </w:r>
          </w:p>
        </w:tc>
      </w:tr>
      <w:tr w:rsidR="00D907AF" w:rsidRPr="0087485F" w:rsidTr="00E20A19">
        <w:tc>
          <w:tcPr>
            <w:tcW w:w="1384" w:type="dxa"/>
            <w:shd w:val="clear" w:color="auto" w:fill="auto"/>
          </w:tcPr>
          <w:p w:rsidR="00D907AF" w:rsidRPr="0087485F" w:rsidRDefault="00D907AF" w:rsidP="00D907AF">
            <w:pPr>
              <w:spacing w:before="10" w:after="10"/>
              <w:rPr>
                <w:rFonts w:cstheme="minorHAnsi"/>
                <w:sz w:val="20"/>
                <w:szCs w:val="20"/>
              </w:rPr>
            </w:pPr>
            <w:r w:rsidRPr="0087485F">
              <w:rPr>
                <w:rFonts w:cstheme="minorHAnsi"/>
                <w:sz w:val="20"/>
                <w:szCs w:val="20"/>
              </w:rPr>
              <w:t>Yes</w:t>
            </w:r>
          </w:p>
        </w:tc>
        <w:tc>
          <w:tcPr>
            <w:tcW w:w="1134" w:type="dxa"/>
            <w:shd w:val="clear" w:color="auto" w:fill="auto"/>
            <w:vAlign w:val="center"/>
          </w:tcPr>
          <w:p w:rsidR="00D907AF" w:rsidRPr="0087485F" w:rsidRDefault="00D907AF" w:rsidP="00E20A19">
            <w:pPr>
              <w:spacing w:before="10" w:after="10"/>
              <w:ind w:right="227"/>
              <w:jc w:val="right"/>
              <w:rPr>
                <w:rFonts w:cstheme="minorHAnsi"/>
                <w:color w:val="000000"/>
                <w:sz w:val="20"/>
                <w:szCs w:val="20"/>
              </w:rPr>
            </w:pPr>
            <w:r w:rsidRPr="0087485F">
              <w:rPr>
                <w:rFonts w:cstheme="minorHAnsi"/>
                <w:color w:val="000000"/>
                <w:sz w:val="20"/>
                <w:szCs w:val="20"/>
              </w:rPr>
              <w:t>238</w:t>
            </w:r>
          </w:p>
        </w:tc>
        <w:tc>
          <w:tcPr>
            <w:tcW w:w="1276" w:type="dxa"/>
            <w:shd w:val="clear" w:color="auto" w:fill="auto"/>
            <w:vAlign w:val="center"/>
          </w:tcPr>
          <w:p w:rsidR="00D907AF" w:rsidRPr="0087485F" w:rsidRDefault="00D907AF" w:rsidP="00E20A19">
            <w:pPr>
              <w:spacing w:before="10" w:after="10"/>
              <w:ind w:right="284"/>
              <w:jc w:val="right"/>
              <w:rPr>
                <w:rFonts w:cstheme="minorHAnsi"/>
                <w:color w:val="000000"/>
                <w:sz w:val="20"/>
                <w:szCs w:val="20"/>
              </w:rPr>
            </w:pPr>
            <w:r w:rsidRPr="0087485F">
              <w:rPr>
                <w:rFonts w:cstheme="minorHAnsi"/>
                <w:color w:val="000000"/>
                <w:sz w:val="20"/>
                <w:szCs w:val="20"/>
              </w:rPr>
              <w:t>26.7</w:t>
            </w:r>
          </w:p>
        </w:tc>
        <w:tc>
          <w:tcPr>
            <w:tcW w:w="1417" w:type="dxa"/>
            <w:shd w:val="clear" w:color="auto" w:fill="auto"/>
            <w:vAlign w:val="center"/>
          </w:tcPr>
          <w:p w:rsidR="00D907AF" w:rsidRPr="0087485F" w:rsidRDefault="00D907AF" w:rsidP="00E20A19">
            <w:pPr>
              <w:spacing w:before="10" w:after="10"/>
              <w:ind w:right="397"/>
              <w:jc w:val="right"/>
              <w:rPr>
                <w:rFonts w:cstheme="minorHAnsi"/>
                <w:color w:val="000000"/>
                <w:sz w:val="20"/>
                <w:szCs w:val="20"/>
              </w:rPr>
            </w:pPr>
            <w:r w:rsidRPr="0087485F">
              <w:rPr>
                <w:rFonts w:cstheme="minorHAnsi"/>
                <w:color w:val="000000"/>
                <w:sz w:val="20"/>
                <w:szCs w:val="20"/>
              </w:rPr>
              <w:t>83</w:t>
            </w:r>
          </w:p>
        </w:tc>
        <w:tc>
          <w:tcPr>
            <w:tcW w:w="1417" w:type="dxa"/>
            <w:shd w:val="clear" w:color="auto" w:fill="auto"/>
            <w:vAlign w:val="center"/>
          </w:tcPr>
          <w:p w:rsidR="00D907AF" w:rsidRPr="0087485F" w:rsidRDefault="00D907AF" w:rsidP="00E20A19">
            <w:pPr>
              <w:spacing w:before="10" w:after="10"/>
              <w:ind w:right="397"/>
              <w:jc w:val="right"/>
              <w:rPr>
                <w:rFonts w:cstheme="minorHAnsi"/>
                <w:color w:val="000000"/>
                <w:sz w:val="20"/>
                <w:szCs w:val="20"/>
              </w:rPr>
            </w:pPr>
            <w:r w:rsidRPr="0087485F">
              <w:rPr>
                <w:rFonts w:cstheme="minorHAnsi"/>
                <w:color w:val="000000"/>
                <w:sz w:val="20"/>
                <w:szCs w:val="20"/>
              </w:rPr>
              <w:t>8.3</w:t>
            </w:r>
          </w:p>
        </w:tc>
        <w:tc>
          <w:tcPr>
            <w:tcW w:w="851" w:type="dxa"/>
            <w:shd w:val="clear" w:color="auto" w:fill="auto"/>
            <w:vAlign w:val="center"/>
          </w:tcPr>
          <w:p w:rsidR="00D907AF" w:rsidRPr="0087485F" w:rsidRDefault="00D907AF" w:rsidP="00E20A19">
            <w:pPr>
              <w:spacing w:before="10" w:after="10"/>
              <w:ind w:right="113"/>
              <w:jc w:val="right"/>
              <w:rPr>
                <w:rFonts w:cstheme="minorHAnsi"/>
                <w:color w:val="000000"/>
                <w:sz w:val="20"/>
                <w:szCs w:val="20"/>
              </w:rPr>
            </w:pPr>
            <w:r w:rsidRPr="0087485F">
              <w:rPr>
                <w:rFonts w:cstheme="minorHAnsi"/>
                <w:color w:val="000000"/>
                <w:sz w:val="20"/>
                <w:szCs w:val="20"/>
              </w:rPr>
              <w:t>321</w:t>
            </w:r>
          </w:p>
        </w:tc>
        <w:tc>
          <w:tcPr>
            <w:tcW w:w="988" w:type="dxa"/>
            <w:shd w:val="clear" w:color="auto" w:fill="auto"/>
            <w:vAlign w:val="center"/>
          </w:tcPr>
          <w:p w:rsidR="00D907AF" w:rsidRPr="0087485F" w:rsidRDefault="00D907AF" w:rsidP="00E20A19">
            <w:pPr>
              <w:spacing w:before="10" w:after="10"/>
              <w:ind w:right="227"/>
              <w:jc w:val="right"/>
              <w:rPr>
                <w:rFonts w:cstheme="minorHAnsi"/>
                <w:color w:val="000000"/>
                <w:sz w:val="20"/>
                <w:szCs w:val="20"/>
              </w:rPr>
            </w:pPr>
            <w:r w:rsidRPr="0087485F">
              <w:rPr>
                <w:rFonts w:cstheme="minorHAnsi"/>
                <w:color w:val="000000"/>
                <w:sz w:val="20"/>
                <w:szCs w:val="20"/>
              </w:rPr>
              <w:t>16.9</w:t>
            </w:r>
          </w:p>
        </w:tc>
      </w:tr>
      <w:tr w:rsidR="00D907AF" w:rsidRPr="0087485F" w:rsidTr="00E20A19">
        <w:tc>
          <w:tcPr>
            <w:tcW w:w="1384" w:type="dxa"/>
            <w:shd w:val="clear" w:color="auto" w:fill="auto"/>
          </w:tcPr>
          <w:p w:rsidR="00D907AF" w:rsidRPr="0087485F" w:rsidRDefault="00D907AF" w:rsidP="00D907AF">
            <w:pPr>
              <w:spacing w:before="10" w:after="10"/>
              <w:rPr>
                <w:rFonts w:cstheme="minorHAnsi"/>
                <w:sz w:val="20"/>
                <w:szCs w:val="20"/>
              </w:rPr>
            </w:pPr>
            <w:r w:rsidRPr="0087485F">
              <w:rPr>
                <w:rFonts w:cstheme="minorHAnsi"/>
                <w:sz w:val="20"/>
                <w:szCs w:val="20"/>
              </w:rPr>
              <w:t>No</w:t>
            </w:r>
          </w:p>
        </w:tc>
        <w:tc>
          <w:tcPr>
            <w:tcW w:w="1134" w:type="dxa"/>
            <w:shd w:val="clear" w:color="auto" w:fill="auto"/>
            <w:vAlign w:val="center"/>
          </w:tcPr>
          <w:p w:rsidR="00D907AF" w:rsidRPr="0087485F" w:rsidRDefault="00D907AF" w:rsidP="00E20A19">
            <w:pPr>
              <w:spacing w:before="10" w:after="10"/>
              <w:ind w:right="227"/>
              <w:jc w:val="right"/>
              <w:rPr>
                <w:rFonts w:cstheme="minorHAnsi"/>
                <w:color w:val="000000"/>
                <w:sz w:val="20"/>
                <w:szCs w:val="20"/>
              </w:rPr>
            </w:pPr>
            <w:r w:rsidRPr="0087485F">
              <w:rPr>
                <w:rFonts w:cstheme="minorHAnsi"/>
                <w:color w:val="000000"/>
                <w:sz w:val="20"/>
                <w:szCs w:val="20"/>
              </w:rPr>
              <w:t>574</w:t>
            </w:r>
          </w:p>
        </w:tc>
        <w:tc>
          <w:tcPr>
            <w:tcW w:w="1276" w:type="dxa"/>
            <w:shd w:val="clear" w:color="auto" w:fill="auto"/>
            <w:vAlign w:val="center"/>
          </w:tcPr>
          <w:p w:rsidR="00D907AF" w:rsidRPr="0087485F" w:rsidRDefault="00D907AF" w:rsidP="00E20A19">
            <w:pPr>
              <w:spacing w:before="10" w:after="10"/>
              <w:ind w:right="284"/>
              <w:jc w:val="right"/>
              <w:rPr>
                <w:rFonts w:cstheme="minorHAnsi"/>
                <w:color w:val="000000"/>
                <w:sz w:val="20"/>
                <w:szCs w:val="20"/>
              </w:rPr>
            </w:pPr>
            <w:r w:rsidRPr="0087485F">
              <w:rPr>
                <w:rFonts w:cstheme="minorHAnsi"/>
                <w:color w:val="000000"/>
                <w:sz w:val="20"/>
                <w:szCs w:val="20"/>
              </w:rPr>
              <w:t>64.4</w:t>
            </w:r>
          </w:p>
        </w:tc>
        <w:tc>
          <w:tcPr>
            <w:tcW w:w="1417" w:type="dxa"/>
            <w:shd w:val="clear" w:color="auto" w:fill="auto"/>
            <w:vAlign w:val="center"/>
          </w:tcPr>
          <w:p w:rsidR="00D907AF" w:rsidRPr="0087485F" w:rsidRDefault="00D907AF" w:rsidP="00E20A19">
            <w:pPr>
              <w:spacing w:before="10" w:after="10"/>
              <w:ind w:right="397"/>
              <w:jc w:val="right"/>
              <w:rPr>
                <w:rFonts w:cstheme="minorHAnsi"/>
                <w:color w:val="000000"/>
                <w:sz w:val="20"/>
                <w:szCs w:val="20"/>
              </w:rPr>
            </w:pPr>
            <w:r w:rsidRPr="0087485F">
              <w:rPr>
                <w:rFonts w:cstheme="minorHAnsi"/>
                <w:color w:val="000000"/>
                <w:sz w:val="20"/>
                <w:szCs w:val="20"/>
              </w:rPr>
              <w:t>815</w:t>
            </w:r>
          </w:p>
        </w:tc>
        <w:tc>
          <w:tcPr>
            <w:tcW w:w="1417" w:type="dxa"/>
            <w:shd w:val="clear" w:color="auto" w:fill="auto"/>
            <w:vAlign w:val="center"/>
          </w:tcPr>
          <w:p w:rsidR="00D907AF" w:rsidRPr="0087485F" w:rsidRDefault="00D907AF" w:rsidP="00E20A19">
            <w:pPr>
              <w:spacing w:before="10" w:after="10"/>
              <w:ind w:right="397"/>
              <w:jc w:val="right"/>
              <w:rPr>
                <w:rFonts w:cstheme="minorHAnsi"/>
                <w:color w:val="000000"/>
                <w:sz w:val="20"/>
                <w:szCs w:val="20"/>
              </w:rPr>
            </w:pPr>
            <w:r w:rsidRPr="0087485F">
              <w:rPr>
                <w:rFonts w:cstheme="minorHAnsi"/>
                <w:color w:val="000000"/>
                <w:sz w:val="20"/>
                <w:szCs w:val="20"/>
              </w:rPr>
              <w:t>81.2</w:t>
            </w:r>
          </w:p>
        </w:tc>
        <w:tc>
          <w:tcPr>
            <w:tcW w:w="851" w:type="dxa"/>
            <w:shd w:val="clear" w:color="auto" w:fill="auto"/>
            <w:vAlign w:val="center"/>
          </w:tcPr>
          <w:p w:rsidR="00D907AF" w:rsidRPr="0087485F" w:rsidRDefault="00D907AF" w:rsidP="00E20A19">
            <w:pPr>
              <w:spacing w:before="10" w:after="10"/>
              <w:ind w:right="113"/>
              <w:jc w:val="right"/>
              <w:rPr>
                <w:rFonts w:cstheme="minorHAnsi"/>
                <w:color w:val="000000"/>
                <w:sz w:val="20"/>
                <w:szCs w:val="20"/>
              </w:rPr>
            </w:pPr>
            <w:r w:rsidRPr="0087485F">
              <w:rPr>
                <w:rFonts w:cstheme="minorHAnsi"/>
                <w:color w:val="000000"/>
                <w:sz w:val="20"/>
                <w:szCs w:val="20"/>
              </w:rPr>
              <w:t>1</w:t>
            </w:r>
            <w:r>
              <w:rPr>
                <w:rFonts w:cstheme="minorHAnsi"/>
                <w:color w:val="000000"/>
                <w:sz w:val="20"/>
                <w:szCs w:val="20"/>
              </w:rPr>
              <w:t>,</w:t>
            </w:r>
            <w:r w:rsidRPr="0087485F">
              <w:rPr>
                <w:rFonts w:cstheme="minorHAnsi"/>
                <w:color w:val="000000"/>
                <w:sz w:val="20"/>
                <w:szCs w:val="20"/>
              </w:rPr>
              <w:t>389</w:t>
            </w:r>
          </w:p>
        </w:tc>
        <w:tc>
          <w:tcPr>
            <w:tcW w:w="988" w:type="dxa"/>
            <w:shd w:val="clear" w:color="auto" w:fill="auto"/>
            <w:vAlign w:val="center"/>
          </w:tcPr>
          <w:p w:rsidR="00D907AF" w:rsidRPr="0087485F" w:rsidRDefault="00D907AF" w:rsidP="00E20A19">
            <w:pPr>
              <w:spacing w:before="10" w:after="10"/>
              <w:ind w:right="227"/>
              <w:jc w:val="right"/>
              <w:rPr>
                <w:rFonts w:cstheme="minorHAnsi"/>
                <w:color w:val="000000"/>
                <w:sz w:val="20"/>
                <w:szCs w:val="20"/>
              </w:rPr>
            </w:pPr>
            <w:r w:rsidRPr="0087485F">
              <w:rPr>
                <w:rFonts w:cstheme="minorHAnsi"/>
                <w:color w:val="000000"/>
                <w:sz w:val="20"/>
                <w:szCs w:val="20"/>
              </w:rPr>
              <w:t>73.3</w:t>
            </w:r>
          </w:p>
        </w:tc>
      </w:tr>
      <w:tr w:rsidR="00D907AF" w:rsidRPr="0087485F" w:rsidTr="00E20A19">
        <w:tc>
          <w:tcPr>
            <w:tcW w:w="1384" w:type="dxa"/>
          </w:tcPr>
          <w:p w:rsidR="00D907AF" w:rsidRPr="0087485F" w:rsidRDefault="00D907AF" w:rsidP="00D907AF">
            <w:pPr>
              <w:spacing w:before="10" w:after="10"/>
              <w:rPr>
                <w:rFonts w:cstheme="minorHAnsi"/>
                <w:sz w:val="20"/>
                <w:szCs w:val="20"/>
              </w:rPr>
            </w:pPr>
            <w:r w:rsidRPr="0087485F">
              <w:rPr>
                <w:rFonts w:cstheme="minorHAnsi"/>
                <w:sz w:val="20"/>
                <w:szCs w:val="20"/>
              </w:rPr>
              <w:t>Don’t know</w:t>
            </w:r>
          </w:p>
        </w:tc>
        <w:tc>
          <w:tcPr>
            <w:tcW w:w="1134" w:type="dxa"/>
          </w:tcPr>
          <w:p w:rsidR="00D907AF" w:rsidRPr="0087485F" w:rsidRDefault="00D907AF" w:rsidP="00E20A19">
            <w:pPr>
              <w:spacing w:before="10" w:after="10"/>
              <w:ind w:right="227"/>
              <w:jc w:val="right"/>
              <w:rPr>
                <w:rFonts w:cstheme="minorHAnsi"/>
                <w:color w:val="000000"/>
                <w:sz w:val="20"/>
                <w:szCs w:val="20"/>
              </w:rPr>
            </w:pPr>
            <w:r w:rsidRPr="0087485F">
              <w:rPr>
                <w:rFonts w:cstheme="minorHAnsi"/>
                <w:color w:val="000000"/>
                <w:sz w:val="20"/>
                <w:szCs w:val="20"/>
              </w:rPr>
              <w:t>73</w:t>
            </w:r>
          </w:p>
        </w:tc>
        <w:tc>
          <w:tcPr>
            <w:tcW w:w="1276" w:type="dxa"/>
          </w:tcPr>
          <w:p w:rsidR="00D907AF" w:rsidRPr="0087485F" w:rsidRDefault="00D907AF" w:rsidP="00E20A19">
            <w:pPr>
              <w:spacing w:before="10" w:after="10"/>
              <w:ind w:right="284"/>
              <w:jc w:val="right"/>
              <w:rPr>
                <w:rFonts w:cstheme="minorHAnsi"/>
                <w:color w:val="000000"/>
                <w:sz w:val="20"/>
                <w:szCs w:val="20"/>
              </w:rPr>
            </w:pPr>
            <w:r w:rsidRPr="0087485F">
              <w:rPr>
                <w:rFonts w:cstheme="minorHAnsi"/>
                <w:color w:val="000000"/>
                <w:sz w:val="20"/>
                <w:szCs w:val="20"/>
              </w:rPr>
              <w:t>8.2</w:t>
            </w:r>
          </w:p>
        </w:tc>
        <w:tc>
          <w:tcPr>
            <w:tcW w:w="1417" w:type="dxa"/>
          </w:tcPr>
          <w:p w:rsidR="00D907AF" w:rsidRPr="0087485F" w:rsidRDefault="00D907AF" w:rsidP="00E20A19">
            <w:pPr>
              <w:spacing w:before="10" w:after="10"/>
              <w:ind w:right="397"/>
              <w:jc w:val="right"/>
              <w:rPr>
                <w:rFonts w:cstheme="minorHAnsi"/>
                <w:color w:val="000000"/>
                <w:sz w:val="20"/>
                <w:szCs w:val="20"/>
              </w:rPr>
            </w:pPr>
            <w:r w:rsidRPr="0087485F">
              <w:rPr>
                <w:rFonts w:cstheme="minorHAnsi"/>
                <w:color w:val="000000"/>
                <w:sz w:val="20"/>
                <w:szCs w:val="20"/>
              </w:rPr>
              <w:t>89</w:t>
            </w:r>
          </w:p>
        </w:tc>
        <w:tc>
          <w:tcPr>
            <w:tcW w:w="1417" w:type="dxa"/>
          </w:tcPr>
          <w:p w:rsidR="00D907AF" w:rsidRPr="0087485F" w:rsidRDefault="00D907AF" w:rsidP="00E20A19">
            <w:pPr>
              <w:spacing w:before="10" w:after="10"/>
              <w:ind w:right="397"/>
              <w:jc w:val="right"/>
              <w:rPr>
                <w:rFonts w:cstheme="minorHAnsi"/>
                <w:color w:val="000000"/>
                <w:sz w:val="20"/>
                <w:szCs w:val="20"/>
              </w:rPr>
            </w:pPr>
            <w:r w:rsidRPr="0087485F">
              <w:rPr>
                <w:rFonts w:cstheme="minorHAnsi"/>
                <w:color w:val="000000"/>
                <w:sz w:val="20"/>
                <w:szCs w:val="20"/>
              </w:rPr>
              <w:t>8.9</w:t>
            </w:r>
          </w:p>
        </w:tc>
        <w:tc>
          <w:tcPr>
            <w:tcW w:w="851" w:type="dxa"/>
          </w:tcPr>
          <w:p w:rsidR="00D907AF" w:rsidRPr="0087485F" w:rsidRDefault="00D907AF" w:rsidP="00E20A19">
            <w:pPr>
              <w:spacing w:before="10" w:after="10"/>
              <w:ind w:right="113"/>
              <w:jc w:val="right"/>
              <w:rPr>
                <w:rFonts w:cstheme="minorHAnsi"/>
                <w:color w:val="000000"/>
                <w:sz w:val="20"/>
                <w:szCs w:val="20"/>
              </w:rPr>
            </w:pPr>
            <w:r w:rsidRPr="0087485F">
              <w:rPr>
                <w:rFonts w:cstheme="minorHAnsi"/>
                <w:color w:val="000000"/>
                <w:sz w:val="20"/>
                <w:szCs w:val="20"/>
              </w:rPr>
              <w:t>162</w:t>
            </w:r>
          </w:p>
        </w:tc>
        <w:tc>
          <w:tcPr>
            <w:tcW w:w="988" w:type="dxa"/>
          </w:tcPr>
          <w:p w:rsidR="00D907AF" w:rsidRPr="0087485F" w:rsidRDefault="00D907AF" w:rsidP="00E20A19">
            <w:pPr>
              <w:spacing w:before="10" w:after="10"/>
              <w:ind w:right="227"/>
              <w:jc w:val="right"/>
              <w:rPr>
                <w:rFonts w:cstheme="minorHAnsi"/>
                <w:color w:val="000000"/>
                <w:sz w:val="20"/>
                <w:szCs w:val="20"/>
              </w:rPr>
            </w:pPr>
            <w:r w:rsidRPr="0087485F">
              <w:rPr>
                <w:rFonts w:cstheme="minorHAnsi"/>
                <w:color w:val="000000"/>
                <w:sz w:val="20"/>
                <w:szCs w:val="20"/>
              </w:rPr>
              <w:t>8.6</w:t>
            </w:r>
          </w:p>
        </w:tc>
      </w:tr>
      <w:tr w:rsidR="00D907AF" w:rsidRPr="0087485F" w:rsidTr="00E20A19">
        <w:tc>
          <w:tcPr>
            <w:tcW w:w="1384" w:type="dxa"/>
            <w:tcBorders>
              <w:bottom w:val="single" w:sz="4" w:space="0" w:color="auto"/>
            </w:tcBorders>
            <w:shd w:val="clear" w:color="auto" w:fill="auto"/>
          </w:tcPr>
          <w:p w:rsidR="00D907AF" w:rsidRPr="0087485F" w:rsidRDefault="00D907AF" w:rsidP="00D907AF">
            <w:pPr>
              <w:spacing w:before="10" w:after="10"/>
              <w:rPr>
                <w:rFonts w:cstheme="minorHAnsi"/>
                <w:sz w:val="20"/>
                <w:szCs w:val="20"/>
              </w:rPr>
            </w:pPr>
            <w:r w:rsidRPr="0087485F">
              <w:rPr>
                <w:rFonts w:cstheme="minorHAnsi"/>
                <w:sz w:val="20"/>
                <w:szCs w:val="20"/>
              </w:rPr>
              <w:t>Missing</w:t>
            </w:r>
          </w:p>
        </w:tc>
        <w:tc>
          <w:tcPr>
            <w:tcW w:w="1134" w:type="dxa"/>
            <w:tcBorders>
              <w:bottom w:val="single" w:sz="4" w:space="0" w:color="auto"/>
            </w:tcBorders>
            <w:shd w:val="clear" w:color="auto" w:fill="auto"/>
            <w:vAlign w:val="center"/>
          </w:tcPr>
          <w:p w:rsidR="00D907AF" w:rsidRPr="0087485F" w:rsidRDefault="00D907AF" w:rsidP="00E20A19">
            <w:pPr>
              <w:spacing w:before="10" w:after="10"/>
              <w:ind w:right="227"/>
              <w:jc w:val="right"/>
              <w:rPr>
                <w:rFonts w:cstheme="minorHAnsi"/>
                <w:color w:val="000000"/>
                <w:sz w:val="20"/>
                <w:szCs w:val="20"/>
              </w:rPr>
            </w:pPr>
            <w:r w:rsidRPr="0087485F">
              <w:rPr>
                <w:rFonts w:cstheme="minorHAnsi"/>
                <w:color w:val="000000"/>
                <w:sz w:val="20"/>
                <w:szCs w:val="20"/>
              </w:rPr>
              <w:t>6</w:t>
            </w:r>
          </w:p>
        </w:tc>
        <w:tc>
          <w:tcPr>
            <w:tcW w:w="1276" w:type="dxa"/>
            <w:tcBorders>
              <w:bottom w:val="single" w:sz="4" w:space="0" w:color="auto"/>
            </w:tcBorders>
            <w:shd w:val="clear" w:color="auto" w:fill="auto"/>
            <w:vAlign w:val="center"/>
          </w:tcPr>
          <w:p w:rsidR="00D907AF" w:rsidRPr="0087485F" w:rsidRDefault="00D907AF" w:rsidP="00E20A19">
            <w:pPr>
              <w:spacing w:before="10" w:after="10"/>
              <w:ind w:right="284"/>
              <w:jc w:val="right"/>
              <w:rPr>
                <w:rFonts w:cstheme="minorHAnsi"/>
                <w:color w:val="000000"/>
                <w:sz w:val="20"/>
                <w:szCs w:val="20"/>
              </w:rPr>
            </w:pPr>
            <w:r w:rsidRPr="0087485F">
              <w:rPr>
                <w:rFonts w:cstheme="minorHAnsi"/>
                <w:color w:val="000000"/>
                <w:sz w:val="20"/>
                <w:szCs w:val="20"/>
              </w:rPr>
              <w:t>0.7</w:t>
            </w:r>
          </w:p>
        </w:tc>
        <w:tc>
          <w:tcPr>
            <w:tcW w:w="1417" w:type="dxa"/>
            <w:tcBorders>
              <w:bottom w:val="single" w:sz="4" w:space="0" w:color="auto"/>
            </w:tcBorders>
            <w:shd w:val="clear" w:color="auto" w:fill="auto"/>
            <w:vAlign w:val="center"/>
          </w:tcPr>
          <w:p w:rsidR="00D907AF" w:rsidRPr="0087485F" w:rsidRDefault="00D907AF" w:rsidP="00E20A19">
            <w:pPr>
              <w:spacing w:before="10" w:after="10"/>
              <w:ind w:right="397"/>
              <w:jc w:val="right"/>
              <w:rPr>
                <w:rFonts w:cstheme="minorHAnsi"/>
                <w:color w:val="000000"/>
                <w:sz w:val="20"/>
                <w:szCs w:val="20"/>
              </w:rPr>
            </w:pPr>
            <w:r w:rsidRPr="0087485F">
              <w:rPr>
                <w:rFonts w:cstheme="minorHAnsi"/>
                <w:color w:val="000000"/>
                <w:sz w:val="20"/>
                <w:szCs w:val="20"/>
              </w:rPr>
              <w:t>17</w:t>
            </w:r>
          </w:p>
        </w:tc>
        <w:tc>
          <w:tcPr>
            <w:tcW w:w="1417" w:type="dxa"/>
            <w:tcBorders>
              <w:bottom w:val="single" w:sz="4" w:space="0" w:color="auto"/>
            </w:tcBorders>
            <w:shd w:val="clear" w:color="auto" w:fill="auto"/>
            <w:vAlign w:val="center"/>
          </w:tcPr>
          <w:p w:rsidR="00D907AF" w:rsidRPr="0087485F" w:rsidRDefault="00D907AF" w:rsidP="00E20A19">
            <w:pPr>
              <w:spacing w:before="10" w:after="10"/>
              <w:ind w:right="397"/>
              <w:jc w:val="right"/>
              <w:rPr>
                <w:rFonts w:cstheme="minorHAnsi"/>
                <w:color w:val="000000"/>
                <w:sz w:val="20"/>
                <w:szCs w:val="20"/>
              </w:rPr>
            </w:pPr>
            <w:r w:rsidRPr="0087485F">
              <w:rPr>
                <w:rFonts w:cstheme="minorHAnsi"/>
                <w:color w:val="000000"/>
                <w:sz w:val="20"/>
                <w:szCs w:val="20"/>
              </w:rPr>
              <w:t>1.7</w:t>
            </w:r>
          </w:p>
        </w:tc>
        <w:tc>
          <w:tcPr>
            <w:tcW w:w="851" w:type="dxa"/>
            <w:tcBorders>
              <w:bottom w:val="single" w:sz="4" w:space="0" w:color="auto"/>
            </w:tcBorders>
            <w:shd w:val="clear" w:color="auto" w:fill="auto"/>
            <w:vAlign w:val="center"/>
          </w:tcPr>
          <w:p w:rsidR="00D907AF" w:rsidRPr="0087485F" w:rsidRDefault="00D907AF" w:rsidP="00E20A19">
            <w:pPr>
              <w:spacing w:before="10" w:after="10"/>
              <w:ind w:right="113"/>
              <w:jc w:val="right"/>
              <w:rPr>
                <w:rFonts w:cstheme="minorHAnsi"/>
                <w:color w:val="000000"/>
                <w:sz w:val="20"/>
                <w:szCs w:val="20"/>
              </w:rPr>
            </w:pPr>
            <w:r w:rsidRPr="0087485F">
              <w:rPr>
                <w:rFonts w:cstheme="minorHAnsi"/>
                <w:color w:val="000000"/>
                <w:sz w:val="20"/>
                <w:szCs w:val="20"/>
              </w:rPr>
              <w:t>23</w:t>
            </w:r>
          </w:p>
        </w:tc>
        <w:tc>
          <w:tcPr>
            <w:tcW w:w="988" w:type="dxa"/>
            <w:tcBorders>
              <w:bottom w:val="single" w:sz="4" w:space="0" w:color="auto"/>
            </w:tcBorders>
            <w:shd w:val="clear" w:color="auto" w:fill="auto"/>
            <w:vAlign w:val="center"/>
          </w:tcPr>
          <w:p w:rsidR="00D907AF" w:rsidRPr="0087485F" w:rsidRDefault="00D907AF" w:rsidP="00E20A19">
            <w:pPr>
              <w:spacing w:before="10" w:after="10"/>
              <w:ind w:right="227"/>
              <w:jc w:val="right"/>
              <w:rPr>
                <w:rFonts w:cstheme="minorHAnsi"/>
                <w:color w:val="000000"/>
                <w:sz w:val="20"/>
                <w:szCs w:val="20"/>
              </w:rPr>
            </w:pPr>
            <w:r w:rsidRPr="0087485F">
              <w:rPr>
                <w:rFonts w:cstheme="minorHAnsi"/>
                <w:color w:val="000000"/>
                <w:sz w:val="20"/>
                <w:szCs w:val="20"/>
              </w:rPr>
              <w:t>1.2</w:t>
            </w:r>
          </w:p>
        </w:tc>
      </w:tr>
      <w:tr w:rsidR="00D907AF" w:rsidRPr="0087485F" w:rsidTr="00E20A19">
        <w:tc>
          <w:tcPr>
            <w:tcW w:w="1384" w:type="dxa"/>
            <w:tcBorders>
              <w:top w:val="single" w:sz="4" w:space="0" w:color="auto"/>
              <w:bottom w:val="single" w:sz="4" w:space="0" w:color="auto"/>
            </w:tcBorders>
            <w:shd w:val="clear" w:color="auto" w:fill="auto"/>
          </w:tcPr>
          <w:p w:rsidR="00D907AF" w:rsidRPr="0087485F" w:rsidRDefault="00D907AF" w:rsidP="00D907AF">
            <w:pPr>
              <w:spacing w:before="10" w:after="10"/>
              <w:rPr>
                <w:rFonts w:cstheme="minorHAnsi"/>
                <w:b/>
                <w:sz w:val="20"/>
                <w:szCs w:val="20"/>
              </w:rPr>
            </w:pPr>
            <w:r w:rsidRPr="0087485F">
              <w:rPr>
                <w:rFonts w:cstheme="minorHAnsi"/>
                <w:b/>
                <w:sz w:val="20"/>
                <w:szCs w:val="20"/>
              </w:rPr>
              <w:t>Total</w:t>
            </w:r>
          </w:p>
        </w:tc>
        <w:tc>
          <w:tcPr>
            <w:tcW w:w="1134" w:type="dxa"/>
            <w:tcBorders>
              <w:top w:val="single" w:sz="4" w:space="0" w:color="auto"/>
              <w:bottom w:val="single" w:sz="4" w:space="0" w:color="auto"/>
            </w:tcBorders>
            <w:shd w:val="clear" w:color="auto" w:fill="auto"/>
          </w:tcPr>
          <w:p w:rsidR="00D907AF" w:rsidRPr="0087485F" w:rsidRDefault="00D907AF" w:rsidP="00E20A19">
            <w:pPr>
              <w:spacing w:before="10" w:after="10"/>
              <w:ind w:right="227"/>
              <w:jc w:val="right"/>
              <w:rPr>
                <w:rFonts w:cstheme="minorHAnsi"/>
                <w:b/>
                <w:sz w:val="20"/>
                <w:szCs w:val="20"/>
              </w:rPr>
            </w:pPr>
            <w:r w:rsidRPr="0087485F">
              <w:rPr>
                <w:rFonts w:cstheme="minorHAnsi"/>
                <w:b/>
                <w:sz w:val="20"/>
                <w:szCs w:val="20"/>
              </w:rPr>
              <w:t>891</w:t>
            </w:r>
          </w:p>
        </w:tc>
        <w:tc>
          <w:tcPr>
            <w:tcW w:w="1276" w:type="dxa"/>
            <w:tcBorders>
              <w:top w:val="single" w:sz="4" w:space="0" w:color="auto"/>
              <w:bottom w:val="single" w:sz="4" w:space="0" w:color="auto"/>
            </w:tcBorders>
            <w:shd w:val="clear" w:color="auto" w:fill="auto"/>
          </w:tcPr>
          <w:p w:rsidR="00D907AF" w:rsidRPr="0087485F" w:rsidRDefault="00D907AF" w:rsidP="00E20A19">
            <w:pPr>
              <w:spacing w:before="10" w:after="10"/>
              <w:ind w:right="284"/>
              <w:jc w:val="right"/>
              <w:rPr>
                <w:rFonts w:cstheme="minorHAnsi"/>
                <w:b/>
                <w:sz w:val="20"/>
                <w:szCs w:val="20"/>
              </w:rPr>
            </w:pPr>
            <w:r w:rsidRPr="0087485F">
              <w:rPr>
                <w:rFonts w:cstheme="minorHAnsi"/>
                <w:b/>
                <w:sz w:val="20"/>
                <w:szCs w:val="20"/>
              </w:rPr>
              <w:t>100</w:t>
            </w:r>
          </w:p>
        </w:tc>
        <w:tc>
          <w:tcPr>
            <w:tcW w:w="1417" w:type="dxa"/>
            <w:tcBorders>
              <w:top w:val="single" w:sz="4" w:space="0" w:color="auto"/>
              <w:bottom w:val="single" w:sz="4" w:space="0" w:color="auto"/>
            </w:tcBorders>
            <w:shd w:val="clear" w:color="auto" w:fill="auto"/>
          </w:tcPr>
          <w:p w:rsidR="00D907AF" w:rsidRPr="0087485F" w:rsidRDefault="00D907AF" w:rsidP="00E20A19">
            <w:pPr>
              <w:spacing w:before="10" w:after="10"/>
              <w:ind w:right="397"/>
              <w:jc w:val="right"/>
              <w:rPr>
                <w:rFonts w:cstheme="minorHAnsi"/>
                <w:b/>
                <w:sz w:val="20"/>
                <w:szCs w:val="20"/>
              </w:rPr>
            </w:pPr>
            <w:r w:rsidRPr="0087485F">
              <w:rPr>
                <w:rFonts w:cstheme="minorHAnsi"/>
                <w:b/>
                <w:sz w:val="20"/>
                <w:szCs w:val="20"/>
              </w:rPr>
              <w:t>1</w:t>
            </w:r>
            <w:r>
              <w:rPr>
                <w:rFonts w:cstheme="minorHAnsi"/>
                <w:b/>
                <w:sz w:val="20"/>
                <w:szCs w:val="20"/>
              </w:rPr>
              <w:t>,</w:t>
            </w:r>
            <w:r w:rsidRPr="0087485F">
              <w:rPr>
                <w:rFonts w:cstheme="minorHAnsi"/>
                <w:b/>
                <w:sz w:val="20"/>
                <w:szCs w:val="20"/>
              </w:rPr>
              <w:t>004</w:t>
            </w:r>
          </w:p>
        </w:tc>
        <w:tc>
          <w:tcPr>
            <w:tcW w:w="1417" w:type="dxa"/>
            <w:tcBorders>
              <w:top w:val="single" w:sz="4" w:space="0" w:color="auto"/>
              <w:bottom w:val="single" w:sz="4" w:space="0" w:color="auto"/>
            </w:tcBorders>
            <w:shd w:val="clear" w:color="auto" w:fill="auto"/>
          </w:tcPr>
          <w:p w:rsidR="00D907AF" w:rsidRPr="0087485F" w:rsidRDefault="00D907AF" w:rsidP="00E20A19">
            <w:pPr>
              <w:spacing w:before="10" w:after="10"/>
              <w:ind w:right="397"/>
              <w:jc w:val="right"/>
              <w:rPr>
                <w:rFonts w:cstheme="minorHAnsi"/>
                <w:b/>
                <w:sz w:val="20"/>
                <w:szCs w:val="20"/>
              </w:rPr>
            </w:pPr>
            <w:r w:rsidRPr="0087485F">
              <w:rPr>
                <w:rFonts w:cstheme="minorHAnsi"/>
                <w:b/>
                <w:sz w:val="20"/>
                <w:szCs w:val="20"/>
              </w:rPr>
              <w:t>100</w:t>
            </w:r>
          </w:p>
        </w:tc>
        <w:tc>
          <w:tcPr>
            <w:tcW w:w="851" w:type="dxa"/>
            <w:tcBorders>
              <w:top w:val="single" w:sz="4" w:space="0" w:color="auto"/>
              <w:bottom w:val="single" w:sz="4" w:space="0" w:color="auto"/>
            </w:tcBorders>
            <w:shd w:val="clear" w:color="auto" w:fill="auto"/>
          </w:tcPr>
          <w:p w:rsidR="00D907AF" w:rsidRPr="0087485F" w:rsidRDefault="00D907AF" w:rsidP="00E20A19">
            <w:pPr>
              <w:spacing w:before="10" w:after="10"/>
              <w:ind w:right="113"/>
              <w:jc w:val="right"/>
              <w:rPr>
                <w:rFonts w:cstheme="minorHAnsi"/>
                <w:b/>
                <w:sz w:val="20"/>
                <w:szCs w:val="20"/>
              </w:rPr>
            </w:pPr>
            <w:r w:rsidRPr="0087485F">
              <w:rPr>
                <w:rFonts w:cstheme="minorHAnsi"/>
                <w:b/>
                <w:sz w:val="20"/>
                <w:szCs w:val="20"/>
              </w:rPr>
              <w:t>1</w:t>
            </w:r>
            <w:r>
              <w:rPr>
                <w:rFonts w:cstheme="minorHAnsi"/>
                <w:b/>
                <w:sz w:val="20"/>
                <w:szCs w:val="20"/>
              </w:rPr>
              <w:t>,</w:t>
            </w:r>
            <w:r w:rsidRPr="0087485F">
              <w:rPr>
                <w:rFonts w:cstheme="minorHAnsi"/>
                <w:b/>
                <w:sz w:val="20"/>
                <w:szCs w:val="20"/>
              </w:rPr>
              <w:t>895</w:t>
            </w:r>
          </w:p>
        </w:tc>
        <w:tc>
          <w:tcPr>
            <w:tcW w:w="988" w:type="dxa"/>
            <w:tcBorders>
              <w:top w:val="single" w:sz="4" w:space="0" w:color="auto"/>
              <w:bottom w:val="single" w:sz="4" w:space="0" w:color="auto"/>
            </w:tcBorders>
            <w:shd w:val="clear" w:color="auto" w:fill="auto"/>
          </w:tcPr>
          <w:p w:rsidR="00D907AF" w:rsidRPr="0087485F" w:rsidRDefault="00D907AF" w:rsidP="00E20A19">
            <w:pPr>
              <w:spacing w:before="10" w:after="10"/>
              <w:ind w:right="227"/>
              <w:jc w:val="right"/>
              <w:rPr>
                <w:rFonts w:cstheme="minorHAnsi"/>
                <w:b/>
                <w:sz w:val="20"/>
                <w:szCs w:val="20"/>
              </w:rPr>
            </w:pPr>
            <w:r w:rsidRPr="0087485F">
              <w:rPr>
                <w:rFonts w:cstheme="minorHAnsi"/>
                <w:b/>
                <w:sz w:val="20"/>
                <w:szCs w:val="20"/>
              </w:rPr>
              <w:t>100</w:t>
            </w:r>
          </w:p>
        </w:tc>
      </w:tr>
    </w:tbl>
    <w:p w:rsidR="00D907AF" w:rsidRDefault="00D907AF" w:rsidP="00EC6D3A">
      <w:pPr>
        <w:pStyle w:val="NILSReference"/>
      </w:pPr>
      <w:r>
        <w:t>Note: trial and comparison</w:t>
      </w:r>
      <w:r w:rsidRPr="007F6EDC">
        <w:t xml:space="preserve"> </w:t>
      </w:r>
      <w:r>
        <w:t>all ages</w:t>
      </w:r>
    </w:p>
    <w:p w:rsidR="00AE1BEE" w:rsidRDefault="00AE1BEE" w:rsidP="00D907AF"/>
    <w:p w:rsidR="00810CE5" w:rsidRDefault="00D907AF" w:rsidP="00D907AF">
      <w:r>
        <w:t>Reasons for not accessing the support are presented in Table 3.24, where reporting multiple reasons was allowed. The number of the overall instances is informative, and the differences between trial and comparison groups more so.</w:t>
      </w:r>
    </w:p>
    <w:p w:rsidR="005B2D5F" w:rsidRDefault="005B2D5F" w:rsidP="00D907AF"/>
    <w:p w:rsidR="00D907AF" w:rsidRDefault="00D907AF" w:rsidP="0044684E">
      <w:pPr>
        <w:pStyle w:val="NILSTableHeading"/>
      </w:pPr>
      <w:bookmarkStart w:id="260" w:name="_Toc428280675"/>
      <w:bookmarkStart w:id="261" w:name="_Toc449955286"/>
      <w:r>
        <w:t>Table 3.24: Reason for not accessing support</w:t>
      </w:r>
      <w:bookmarkEnd w:id="260"/>
      <w:bookmarkEnd w:id="261"/>
    </w:p>
    <w:tbl>
      <w:tblPr>
        <w:tblStyle w:val="TableGrid"/>
        <w:tblW w:w="0" w:type="auto"/>
        <w:tblLayout w:type="fixed"/>
        <w:tblLook w:val="04A0" w:firstRow="1" w:lastRow="0" w:firstColumn="1" w:lastColumn="0" w:noHBand="0" w:noVBand="1"/>
        <w:tblCaption w:val="Table 3.24 Reason for not accessing support"/>
      </w:tblPr>
      <w:tblGrid>
        <w:gridCol w:w="2564"/>
        <w:gridCol w:w="775"/>
        <w:gridCol w:w="772"/>
        <w:gridCol w:w="1242"/>
        <w:gridCol w:w="1418"/>
        <w:gridCol w:w="992"/>
        <w:gridCol w:w="992"/>
      </w:tblGrid>
      <w:tr w:rsidR="00D907AF" w:rsidRPr="0087485F" w:rsidTr="00D74E65">
        <w:trPr>
          <w:cantSplit/>
          <w:tblHeader/>
        </w:trPr>
        <w:tc>
          <w:tcPr>
            <w:tcW w:w="2564" w:type="dxa"/>
            <w:tcBorders>
              <w:top w:val="single" w:sz="4" w:space="0" w:color="auto"/>
              <w:bottom w:val="single" w:sz="4" w:space="0" w:color="auto"/>
            </w:tcBorders>
            <w:shd w:val="clear" w:color="auto" w:fill="auto"/>
          </w:tcPr>
          <w:p w:rsidR="00D907AF" w:rsidRPr="0087485F" w:rsidRDefault="00D907AF" w:rsidP="001032EF">
            <w:pPr>
              <w:spacing w:before="10" w:after="10"/>
              <w:rPr>
                <w:rFonts w:cstheme="minorHAnsi"/>
                <w:sz w:val="20"/>
                <w:szCs w:val="20"/>
              </w:rPr>
            </w:pPr>
            <w:bookmarkStart w:id="262" w:name="Title_3_24"/>
            <w:bookmarkEnd w:id="262"/>
          </w:p>
        </w:tc>
        <w:tc>
          <w:tcPr>
            <w:tcW w:w="775" w:type="dxa"/>
            <w:tcBorders>
              <w:top w:val="single" w:sz="4" w:space="0" w:color="auto"/>
              <w:bottom w:val="single" w:sz="4" w:space="0" w:color="auto"/>
            </w:tcBorders>
            <w:shd w:val="clear" w:color="auto" w:fill="auto"/>
          </w:tcPr>
          <w:p w:rsidR="00D907AF" w:rsidRPr="0087485F" w:rsidRDefault="00490E22" w:rsidP="001032EF">
            <w:pPr>
              <w:spacing w:before="10" w:after="10"/>
              <w:jc w:val="center"/>
              <w:rPr>
                <w:rFonts w:cstheme="minorHAnsi"/>
                <w:sz w:val="20"/>
                <w:szCs w:val="20"/>
              </w:rPr>
            </w:pPr>
            <w:r>
              <w:rPr>
                <w:rFonts w:cstheme="minorHAnsi"/>
                <w:sz w:val="20"/>
                <w:szCs w:val="20"/>
              </w:rPr>
              <w:t>Trial</w:t>
            </w:r>
            <w:r w:rsidR="000E66CA">
              <w:rPr>
                <w:rFonts w:cstheme="minorHAnsi"/>
                <w:sz w:val="20"/>
                <w:szCs w:val="20"/>
              </w:rPr>
              <w:t xml:space="preserve"> Cases</w:t>
            </w:r>
          </w:p>
        </w:tc>
        <w:tc>
          <w:tcPr>
            <w:tcW w:w="772" w:type="dxa"/>
            <w:tcBorders>
              <w:top w:val="single" w:sz="4" w:space="0" w:color="auto"/>
              <w:bottom w:val="single" w:sz="4" w:space="0" w:color="auto"/>
            </w:tcBorders>
            <w:shd w:val="clear" w:color="auto" w:fill="auto"/>
          </w:tcPr>
          <w:p w:rsidR="00884536" w:rsidRDefault="00490E22" w:rsidP="001032EF">
            <w:pPr>
              <w:spacing w:before="10" w:after="10"/>
              <w:jc w:val="center"/>
              <w:rPr>
                <w:rFonts w:cstheme="minorHAnsi"/>
                <w:sz w:val="20"/>
                <w:szCs w:val="20"/>
              </w:rPr>
            </w:pPr>
            <w:r w:rsidRPr="0087485F">
              <w:rPr>
                <w:rFonts w:cstheme="minorHAnsi"/>
                <w:sz w:val="20"/>
                <w:szCs w:val="20"/>
              </w:rPr>
              <w:t xml:space="preserve">Trial </w:t>
            </w:r>
          </w:p>
          <w:p w:rsidR="00D907AF" w:rsidRPr="0087485F" w:rsidRDefault="00D907AF" w:rsidP="001032EF">
            <w:pPr>
              <w:spacing w:before="10" w:after="10"/>
              <w:jc w:val="center"/>
              <w:rPr>
                <w:rFonts w:cstheme="minorHAnsi"/>
                <w:sz w:val="20"/>
                <w:szCs w:val="20"/>
              </w:rPr>
            </w:pPr>
            <w:r w:rsidRPr="0087485F">
              <w:rPr>
                <w:rFonts w:cstheme="minorHAnsi"/>
                <w:sz w:val="20"/>
                <w:szCs w:val="20"/>
              </w:rPr>
              <w:t>%</w:t>
            </w:r>
          </w:p>
        </w:tc>
        <w:tc>
          <w:tcPr>
            <w:tcW w:w="1242" w:type="dxa"/>
            <w:tcBorders>
              <w:top w:val="single" w:sz="4" w:space="0" w:color="auto"/>
              <w:bottom w:val="single" w:sz="4" w:space="0" w:color="auto"/>
            </w:tcBorders>
            <w:shd w:val="clear" w:color="auto" w:fill="auto"/>
          </w:tcPr>
          <w:p w:rsidR="00D907AF" w:rsidRPr="0087485F" w:rsidRDefault="00490E22" w:rsidP="001032EF">
            <w:pPr>
              <w:spacing w:before="10" w:after="10"/>
              <w:jc w:val="center"/>
              <w:rPr>
                <w:rFonts w:cstheme="minorHAnsi"/>
                <w:sz w:val="20"/>
                <w:szCs w:val="20"/>
              </w:rPr>
            </w:pPr>
            <w:r w:rsidRPr="00490E22">
              <w:rPr>
                <w:rFonts w:cstheme="minorHAnsi"/>
                <w:sz w:val="20"/>
                <w:szCs w:val="20"/>
              </w:rPr>
              <w:t>Comparison</w:t>
            </w:r>
            <w:r w:rsidR="000E66CA">
              <w:rPr>
                <w:rFonts w:cstheme="minorHAnsi"/>
                <w:sz w:val="20"/>
                <w:szCs w:val="20"/>
              </w:rPr>
              <w:t xml:space="preserve"> Cases</w:t>
            </w:r>
          </w:p>
        </w:tc>
        <w:tc>
          <w:tcPr>
            <w:tcW w:w="1418" w:type="dxa"/>
            <w:tcBorders>
              <w:top w:val="single" w:sz="4" w:space="0" w:color="auto"/>
              <w:bottom w:val="single" w:sz="4" w:space="0" w:color="auto"/>
            </w:tcBorders>
            <w:shd w:val="clear" w:color="auto" w:fill="auto"/>
          </w:tcPr>
          <w:p w:rsidR="00884536" w:rsidRDefault="00490E22" w:rsidP="001032EF">
            <w:pPr>
              <w:spacing w:before="10" w:after="10"/>
              <w:jc w:val="center"/>
              <w:rPr>
                <w:rFonts w:cstheme="minorHAnsi"/>
                <w:sz w:val="20"/>
                <w:szCs w:val="20"/>
              </w:rPr>
            </w:pPr>
            <w:r w:rsidRPr="0087485F">
              <w:rPr>
                <w:rFonts w:cstheme="minorHAnsi"/>
                <w:sz w:val="20"/>
                <w:szCs w:val="20"/>
              </w:rPr>
              <w:t xml:space="preserve">Comparison </w:t>
            </w:r>
          </w:p>
          <w:p w:rsidR="00D907AF" w:rsidRPr="0087485F" w:rsidRDefault="00D907AF" w:rsidP="001032EF">
            <w:pPr>
              <w:spacing w:before="10" w:after="10"/>
              <w:jc w:val="center"/>
              <w:rPr>
                <w:rFonts w:cstheme="minorHAnsi"/>
                <w:sz w:val="20"/>
                <w:szCs w:val="20"/>
              </w:rPr>
            </w:pPr>
            <w:r w:rsidRPr="0087485F">
              <w:rPr>
                <w:rFonts w:cstheme="minorHAnsi"/>
                <w:sz w:val="20"/>
                <w:szCs w:val="20"/>
              </w:rPr>
              <w:t>%</w:t>
            </w:r>
          </w:p>
        </w:tc>
        <w:tc>
          <w:tcPr>
            <w:tcW w:w="992" w:type="dxa"/>
            <w:tcBorders>
              <w:top w:val="single" w:sz="4" w:space="0" w:color="auto"/>
              <w:bottom w:val="single" w:sz="4" w:space="0" w:color="auto"/>
            </w:tcBorders>
            <w:shd w:val="clear" w:color="auto" w:fill="auto"/>
          </w:tcPr>
          <w:p w:rsidR="00D907AF" w:rsidRPr="0087485F" w:rsidRDefault="00490E22" w:rsidP="001032EF">
            <w:pPr>
              <w:spacing w:before="10" w:after="10"/>
              <w:jc w:val="center"/>
              <w:rPr>
                <w:rFonts w:cstheme="minorHAnsi"/>
                <w:sz w:val="20"/>
                <w:szCs w:val="20"/>
              </w:rPr>
            </w:pPr>
            <w:r>
              <w:rPr>
                <w:rFonts w:cstheme="minorHAnsi"/>
                <w:sz w:val="20"/>
                <w:szCs w:val="20"/>
              </w:rPr>
              <w:t>Total</w:t>
            </w:r>
            <w:r w:rsidR="000E66CA">
              <w:rPr>
                <w:rFonts w:cstheme="minorHAnsi"/>
                <w:sz w:val="20"/>
                <w:szCs w:val="20"/>
              </w:rPr>
              <w:t xml:space="preserve"> Cases</w:t>
            </w:r>
          </w:p>
        </w:tc>
        <w:tc>
          <w:tcPr>
            <w:tcW w:w="992" w:type="dxa"/>
            <w:tcBorders>
              <w:top w:val="single" w:sz="4" w:space="0" w:color="auto"/>
              <w:bottom w:val="single" w:sz="4" w:space="0" w:color="auto"/>
            </w:tcBorders>
            <w:shd w:val="clear" w:color="auto" w:fill="auto"/>
          </w:tcPr>
          <w:p w:rsidR="00884536" w:rsidRDefault="00490E22" w:rsidP="001032EF">
            <w:pPr>
              <w:spacing w:before="10" w:after="10"/>
              <w:jc w:val="center"/>
              <w:rPr>
                <w:rFonts w:cstheme="minorHAnsi"/>
                <w:sz w:val="20"/>
                <w:szCs w:val="20"/>
              </w:rPr>
            </w:pPr>
            <w:r w:rsidRPr="0087485F">
              <w:rPr>
                <w:rFonts w:cstheme="minorHAnsi"/>
                <w:sz w:val="20"/>
                <w:szCs w:val="20"/>
              </w:rPr>
              <w:t xml:space="preserve">Total </w:t>
            </w:r>
          </w:p>
          <w:p w:rsidR="00D907AF" w:rsidRPr="0087485F" w:rsidRDefault="00D907AF" w:rsidP="001032EF">
            <w:pPr>
              <w:spacing w:before="10" w:after="10"/>
              <w:jc w:val="center"/>
              <w:rPr>
                <w:rFonts w:cstheme="minorHAnsi"/>
                <w:sz w:val="20"/>
                <w:szCs w:val="20"/>
              </w:rPr>
            </w:pPr>
            <w:r w:rsidRPr="0087485F">
              <w:rPr>
                <w:rFonts w:cstheme="minorHAnsi"/>
                <w:sz w:val="20"/>
                <w:szCs w:val="20"/>
              </w:rPr>
              <w:t>%</w:t>
            </w:r>
          </w:p>
        </w:tc>
      </w:tr>
      <w:tr w:rsidR="00D907AF" w:rsidRPr="0087485F" w:rsidTr="00D74E65">
        <w:trPr>
          <w:cantSplit/>
        </w:trPr>
        <w:tc>
          <w:tcPr>
            <w:tcW w:w="2564" w:type="dxa"/>
            <w:shd w:val="clear" w:color="auto" w:fill="auto"/>
          </w:tcPr>
          <w:p w:rsidR="00D907AF" w:rsidRPr="0087485F" w:rsidRDefault="00D907AF" w:rsidP="001032EF">
            <w:pPr>
              <w:spacing w:before="10" w:after="10"/>
              <w:rPr>
                <w:rFonts w:cstheme="minorHAnsi"/>
                <w:sz w:val="20"/>
                <w:szCs w:val="20"/>
              </w:rPr>
            </w:pPr>
            <w:r w:rsidRPr="0087485F">
              <w:rPr>
                <w:rFonts w:cstheme="minorHAnsi"/>
                <w:sz w:val="20"/>
                <w:szCs w:val="20"/>
              </w:rPr>
              <w:t>Support was too expensive</w:t>
            </w:r>
          </w:p>
        </w:tc>
        <w:tc>
          <w:tcPr>
            <w:tcW w:w="775" w:type="dxa"/>
            <w:shd w:val="clear" w:color="auto" w:fill="auto"/>
            <w:vAlign w:val="center"/>
          </w:tcPr>
          <w:p w:rsidR="00D907AF" w:rsidRPr="0087485F" w:rsidRDefault="00D907AF" w:rsidP="00E20A19">
            <w:pPr>
              <w:spacing w:before="10" w:after="10"/>
              <w:ind w:right="113"/>
              <w:jc w:val="right"/>
              <w:rPr>
                <w:rFonts w:cstheme="minorHAnsi"/>
                <w:color w:val="000000"/>
                <w:sz w:val="20"/>
                <w:szCs w:val="20"/>
              </w:rPr>
            </w:pPr>
            <w:r w:rsidRPr="0087485F">
              <w:rPr>
                <w:rFonts w:cstheme="minorHAnsi"/>
                <w:color w:val="000000"/>
                <w:sz w:val="20"/>
                <w:szCs w:val="20"/>
              </w:rPr>
              <w:t>28</w:t>
            </w:r>
          </w:p>
        </w:tc>
        <w:tc>
          <w:tcPr>
            <w:tcW w:w="772" w:type="dxa"/>
            <w:shd w:val="clear" w:color="auto" w:fill="auto"/>
            <w:vAlign w:val="center"/>
          </w:tcPr>
          <w:p w:rsidR="00D907AF" w:rsidRPr="0087485F" w:rsidRDefault="00D907AF" w:rsidP="00E20A19">
            <w:pPr>
              <w:spacing w:before="10" w:after="10"/>
              <w:ind w:right="113"/>
              <w:jc w:val="right"/>
              <w:rPr>
                <w:rFonts w:cstheme="minorHAnsi"/>
                <w:color w:val="000000"/>
                <w:sz w:val="20"/>
                <w:szCs w:val="20"/>
              </w:rPr>
            </w:pPr>
            <w:r w:rsidRPr="0087485F">
              <w:rPr>
                <w:rFonts w:cstheme="minorHAnsi"/>
                <w:color w:val="000000"/>
                <w:sz w:val="20"/>
                <w:szCs w:val="20"/>
              </w:rPr>
              <w:t>11.8</w:t>
            </w:r>
          </w:p>
        </w:tc>
        <w:tc>
          <w:tcPr>
            <w:tcW w:w="1242" w:type="dxa"/>
            <w:shd w:val="clear" w:color="auto" w:fill="auto"/>
            <w:vAlign w:val="center"/>
          </w:tcPr>
          <w:p w:rsidR="00D907AF" w:rsidRPr="0087485F" w:rsidRDefault="00D907AF" w:rsidP="00E20A19">
            <w:pPr>
              <w:spacing w:before="10" w:after="10"/>
              <w:ind w:right="284"/>
              <w:jc w:val="right"/>
              <w:rPr>
                <w:rFonts w:cstheme="minorHAnsi"/>
                <w:color w:val="000000"/>
                <w:sz w:val="20"/>
                <w:szCs w:val="20"/>
              </w:rPr>
            </w:pPr>
            <w:r w:rsidRPr="0087485F">
              <w:rPr>
                <w:rFonts w:cstheme="minorHAnsi"/>
                <w:color w:val="000000"/>
                <w:sz w:val="20"/>
                <w:szCs w:val="20"/>
              </w:rPr>
              <w:t>15</w:t>
            </w:r>
          </w:p>
        </w:tc>
        <w:tc>
          <w:tcPr>
            <w:tcW w:w="1418" w:type="dxa"/>
            <w:shd w:val="clear" w:color="auto" w:fill="auto"/>
            <w:vAlign w:val="center"/>
          </w:tcPr>
          <w:p w:rsidR="00D907AF" w:rsidRPr="0087485F" w:rsidRDefault="00D907AF" w:rsidP="00E20A19">
            <w:pPr>
              <w:spacing w:before="10" w:after="10"/>
              <w:ind w:right="340"/>
              <w:jc w:val="right"/>
              <w:rPr>
                <w:rFonts w:cstheme="minorHAnsi"/>
                <w:color w:val="000000"/>
                <w:sz w:val="20"/>
                <w:szCs w:val="20"/>
              </w:rPr>
            </w:pPr>
            <w:r w:rsidRPr="0087485F">
              <w:rPr>
                <w:rFonts w:cstheme="minorHAnsi"/>
                <w:color w:val="000000"/>
                <w:sz w:val="20"/>
                <w:szCs w:val="20"/>
              </w:rPr>
              <w:t>18.3</w:t>
            </w:r>
          </w:p>
        </w:tc>
        <w:tc>
          <w:tcPr>
            <w:tcW w:w="992" w:type="dxa"/>
            <w:shd w:val="clear" w:color="auto" w:fill="auto"/>
            <w:vAlign w:val="center"/>
          </w:tcPr>
          <w:p w:rsidR="00D907AF" w:rsidRPr="0087485F" w:rsidRDefault="00D907AF" w:rsidP="00E20A19">
            <w:pPr>
              <w:spacing w:before="10" w:after="10"/>
              <w:ind w:right="170"/>
              <w:jc w:val="right"/>
              <w:rPr>
                <w:rFonts w:cstheme="minorHAnsi"/>
                <w:color w:val="000000"/>
                <w:sz w:val="20"/>
                <w:szCs w:val="20"/>
              </w:rPr>
            </w:pPr>
            <w:r w:rsidRPr="0087485F">
              <w:rPr>
                <w:rFonts w:cstheme="minorHAnsi"/>
                <w:color w:val="000000"/>
                <w:sz w:val="20"/>
                <w:szCs w:val="20"/>
              </w:rPr>
              <w:t>43</w:t>
            </w:r>
          </w:p>
        </w:tc>
        <w:tc>
          <w:tcPr>
            <w:tcW w:w="992" w:type="dxa"/>
            <w:shd w:val="clear" w:color="auto" w:fill="auto"/>
            <w:vAlign w:val="center"/>
          </w:tcPr>
          <w:p w:rsidR="00D907AF" w:rsidRPr="0087485F" w:rsidRDefault="00D907AF" w:rsidP="00E20A19">
            <w:pPr>
              <w:spacing w:before="10" w:after="10"/>
              <w:ind w:right="170"/>
              <w:jc w:val="right"/>
              <w:rPr>
                <w:rFonts w:cstheme="minorHAnsi"/>
                <w:color w:val="000000"/>
                <w:sz w:val="20"/>
                <w:szCs w:val="20"/>
              </w:rPr>
            </w:pPr>
            <w:r w:rsidRPr="0087485F">
              <w:rPr>
                <w:rFonts w:cstheme="minorHAnsi"/>
                <w:color w:val="000000"/>
                <w:sz w:val="20"/>
                <w:szCs w:val="20"/>
              </w:rPr>
              <w:t>13.4</w:t>
            </w:r>
          </w:p>
        </w:tc>
      </w:tr>
      <w:tr w:rsidR="00D907AF" w:rsidRPr="0087485F" w:rsidTr="00D74E65">
        <w:trPr>
          <w:cantSplit/>
        </w:trPr>
        <w:tc>
          <w:tcPr>
            <w:tcW w:w="2564" w:type="dxa"/>
            <w:shd w:val="clear" w:color="auto" w:fill="auto"/>
          </w:tcPr>
          <w:p w:rsidR="00D907AF" w:rsidRPr="0087485F" w:rsidRDefault="00D907AF" w:rsidP="001032EF">
            <w:pPr>
              <w:spacing w:before="10" w:after="10"/>
              <w:rPr>
                <w:rFonts w:cstheme="minorHAnsi"/>
                <w:sz w:val="20"/>
                <w:szCs w:val="20"/>
              </w:rPr>
            </w:pPr>
            <w:r w:rsidRPr="0087485F">
              <w:rPr>
                <w:rFonts w:cstheme="minorHAnsi"/>
                <w:sz w:val="20"/>
                <w:szCs w:val="20"/>
              </w:rPr>
              <w:t>There was no local provider</w:t>
            </w:r>
          </w:p>
        </w:tc>
        <w:tc>
          <w:tcPr>
            <w:tcW w:w="775" w:type="dxa"/>
            <w:shd w:val="clear" w:color="auto" w:fill="auto"/>
            <w:vAlign w:val="center"/>
          </w:tcPr>
          <w:p w:rsidR="00D907AF" w:rsidRPr="0087485F" w:rsidRDefault="00D907AF" w:rsidP="00E20A19">
            <w:pPr>
              <w:spacing w:before="10" w:after="10"/>
              <w:ind w:right="113"/>
              <w:jc w:val="right"/>
              <w:rPr>
                <w:rFonts w:cstheme="minorHAnsi"/>
                <w:color w:val="000000"/>
                <w:sz w:val="20"/>
                <w:szCs w:val="20"/>
              </w:rPr>
            </w:pPr>
            <w:r w:rsidRPr="0087485F">
              <w:rPr>
                <w:rFonts w:cstheme="minorHAnsi"/>
                <w:color w:val="000000"/>
                <w:sz w:val="20"/>
                <w:szCs w:val="20"/>
              </w:rPr>
              <w:t>94</w:t>
            </w:r>
          </w:p>
        </w:tc>
        <w:tc>
          <w:tcPr>
            <w:tcW w:w="772" w:type="dxa"/>
            <w:shd w:val="clear" w:color="auto" w:fill="auto"/>
            <w:vAlign w:val="center"/>
          </w:tcPr>
          <w:p w:rsidR="00D907AF" w:rsidRPr="0087485F" w:rsidRDefault="00D907AF" w:rsidP="00E20A19">
            <w:pPr>
              <w:spacing w:before="10" w:after="10"/>
              <w:ind w:right="113"/>
              <w:jc w:val="right"/>
              <w:rPr>
                <w:rFonts w:cstheme="minorHAnsi"/>
                <w:color w:val="000000"/>
                <w:sz w:val="20"/>
                <w:szCs w:val="20"/>
              </w:rPr>
            </w:pPr>
            <w:r w:rsidRPr="0087485F">
              <w:rPr>
                <w:rFonts w:cstheme="minorHAnsi"/>
                <w:color w:val="000000"/>
                <w:sz w:val="20"/>
                <w:szCs w:val="20"/>
              </w:rPr>
              <w:t>39.5</w:t>
            </w:r>
          </w:p>
        </w:tc>
        <w:tc>
          <w:tcPr>
            <w:tcW w:w="1242" w:type="dxa"/>
            <w:shd w:val="clear" w:color="auto" w:fill="auto"/>
            <w:vAlign w:val="center"/>
          </w:tcPr>
          <w:p w:rsidR="00D907AF" w:rsidRPr="0087485F" w:rsidRDefault="00D907AF" w:rsidP="00E20A19">
            <w:pPr>
              <w:spacing w:before="10" w:after="10"/>
              <w:ind w:right="284"/>
              <w:jc w:val="right"/>
              <w:rPr>
                <w:rFonts w:cstheme="minorHAnsi"/>
                <w:color w:val="000000"/>
                <w:sz w:val="20"/>
                <w:szCs w:val="20"/>
              </w:rPr>
            </w:pPr>
            <w:r w:rsidRPr="0087485F">
              <w:rPr>
                <w:rFonts w:cstheme="minorHAnsi"/>
                <w:color w:val="000000"/>
                <w:sz w:val="20"/>
                <w:szCs w:val="20"/>
              </w:rPr>
              <w:t>25</w:t>
            </w:r>
          </w:p>
        </w:tc>
        <w:tc>
          <w:tcPr>
            <w:tcW w:w="1418" w:type="dxa"/>
            <w:shd w:val="clear" w:color="auto" w:fill="auto"/>
            <w:vAlign w:val="center"/>
          </w:tcPr>
          <w:p w:rsidR="00D907AF" w:rsidRPr="0087485F" w:rsidRDefault="00D907AF" w:rsidP="00E20A19">
            <w:pPr>
              <w:spacing w:before="10" w:after="10"/>
              <w:ind w:right="340"/>
              <w:jc w:val="right"/>
              <w:rPr>
                <w:rFonts w:cstheme="minorHAnsi"/>
                <w:color w:val="000000"/>
                <w:sz w:val="20"/>
                <w:szCs w:val="20"/>
              </w:rPr>
            </w:pPr>
            <w:r w:rsidRPr="0087485F">
              <w:rPr>
                <w:rFonts w:cstheme="minorHAnsi"/>
                <w:color w:val="000000"/>
                <w:sz w:val="20"/>
                <w:szCs w:val="20"/>
              </w:rPr>
              <w:t>30.1</w:t>
            </w:r>
          </w:p>
        </w:tc>
        <w:tc>
          <w:tcPr>
            <w:tcW w:w="992" w:type="dxa"/>
            <w:shd w:val="clear" w:color="auto" w:fill="auto"/>
            <w:vAlign w:val="center"/>
          </w:tcPr>
          <w:p w:rsidR="00D907AF" w:rsidRPr="0087485F" w:rsidRDefault="00D907AF" w:rsidP="00E20A19">
            <w:pPr>
              <w:spacing w:before="10" w:after="10"/>
              <w:ind w:right="170"/>
              <w:jc w:val="right"/>
              <w:rPr>
                <w:rFonts w:cstheme="minorHAnsi"/>
                <w:color w:val="000000"/>
                <w:sz w:val="20"/>
                <w:szCs w:val="20"/>
              </w:rPr>
            </w:pPr>
            <w:r w:rsidRPr="0087485F">
              <w:rPr>
                <w:rFonts w:cstheme="minorHAnsi"/>
                <w:color w:val="000000"/>
                <w:sz w:val="20"/>
                <w:szCs w:val="20"/>
              </w:rPr>
              <w:t>119</w:t>
            </w:r>
          </w:p>
        </w:tc>
        <w:tc>
          <w:tcPr>
            <w:tcW w:w="992" w:type="dxa"/>
            <w:shd w:val="clear" w:color="auto" w:fill="auto"/>
            <w:vAlign w:val="center"/>
          </w:tcPr>
          <w:p w:rsidR="00D907AF" w:rsidRPr="0087485F" w:rsidRDefault="00D907AF" w:rsidP="00E20A19">
            <w:pPr>
              <w:spacing w:before="10" w:after="10"/>
              <w:ind w:right="170"/>
              <w:jc w:val="right"/>
              <w:rPr>
                <w:rFonts w:cstheme="minorHAnsi"/>
                <w:color w:val="000000"/>
                <w:sz w:val="20"/>
                <w:szCs w:val="20"/>
              </w:rPr>
            </w:pPr>
            <w:r w:rsidRPr="0087485F">
              <w:rPr>
                <w:rFonts w:cstheme="minorHAnsi"/>
                <w:color w:val="000000"/>
                <w:sz w:val="20"/>
                <w:szCs w:val="20"/>
              </w:rPr>
              <w:t>37.1</w:t>
            </w:r>
          </w:p>
        </w:tc>
      </w:tr>
      <w:tr w:rsidR="00D907AF" w:rsidRPr="0087485F" w:rsidTr="00D74E65">
        <w:trPr>
          <w:cantSplit/>
        </w:trPr>
        <w:tc>
          <w:tcPr>
            <w:tcW w:w="2564" w:type="dxa"/>
            <w:shd w:val="clear" w:color="auto" w:fill="auto"/>
          </w:tcPr>
          <w:p w:rsidR="00D907AF" w:rsidRPr="0087485F" w:rsidRDefault="00D907AF" w:rsidP="001032EF">
            <w:pPr>
              <w:spacing w:before="10" w:after="10"/>
              <w:rPr>
                <w:rFonts w:cstheme="minorHAnsi"/>
                <w:sz w:val="20"/>
                <w:szCs w:val="20"/>
              </w:rPr>
            </w:pPr>
            <w:r w:rsidRPr="0087485F">
              <w:rPr>
                <w:rFonts w:cstheme="minorHAnsi"/>
                <w:sz w:val="20"/>
                <w:szCs w:val="20"/>
              </w:rPr>
              <w:t>Lack of quality provision</w:t>
            </w:r>
          </w:p>
        </w:tc>
        <w:tc>
          <w:tcPr>
            <w:tcW w:w="775" w:type="dxa"/>
            <w:shd w:val="clear" w:color="auto" w:fill="auto"/>
            <w:vAlign w:val="center"/>
          </w:tcPr>
          <w:p w:rsidR="00D907AF" w:rsidRPr="0087485F" w:rsidRDefault="00D907AF" w:rsidP="00E20A19">
            <w:pPr>
              <w:spacing w:before="10" w:after="10"/>
              <w:ind w:right="113"/>
              <w:jc w:val="right"/>
              <w:rPr>
                <w:rFonts w:cstheme="minorHAnsi"/>
                <w:color w:val="000000"/>
                <w:sz w:val="20"/>
                <w:szCs w:val="20"/>
              </w:rPr>
            </w:pPr>
            <w:r w:rsidRPr="0087485F">
              <w:rPr>
                <w:rFonts w:cstheme="minorHAnsi"/>
                <w:color w:val="000000"/>
                <w:sz w:val="20"/>
                <w:szCs w:val="20"/>
              </w:rPr>
              <w:t>58</w:t>
            </w:r>
          </w:p>
        </w:tc>
        <w:tc>
          <w:tcPr>
            <w:tcW w:w="772" w:type="dxa"/>
            <w:shd w:val="clear" w:color="auto" w:fill="auto"/>
            <w:vAlign w:val="center"/>
          </w:tcPr>
          <w:p w:rsidR="00D907AF" w:rsidRPr="0087485F" w:rsidRDefault="00D907AF" w:rsidP="00E20A19">
            <w:pPr>
              <w:spacing w:before="10" w:after="10"/>
              <w:ind w:right="113"/>
              <w:jc w:val="right"/>
              <w:rPr>
                <w:rFonts w:cstheme="minorHAnsi"/>
                <w:color w:val="000000"/>
                <w:sz w:val="20"/>
                <w:szCs w:val="20"/>
              </w:rPr>
            </w:pPr>
            <w:r w:rsidRPr="0087485F">
              <w:rPr>
                <w:rFonts w:cstheme="minorHAnsi"/>
                <w:color w:val="000000"/>
                <w:sz w:val="20"/>
                <w:szCs w:val="20"/>
              </w:rPr>
              <w:t>24.4</w:t>
            </w:r>
          </w:p>
        </w:tc>
        <w:tc>
          <w:tcPr>
            <w:tcW w:w="1242" w:type="dxa"/>
            <w:shd w:val="clear" w:color="auto" w:fill="auto"/>
            <w:vAlign w:val="center"/>
          </w:tcPr>
          <w:p w:rsidR="00D907AF" w:rsidRPr="0087485F" w:rsidRDefault="00D907AF" w:rsidP="00E20A19">
            <w:pPr>
              <w:spacing w:before="10" w:after="10"/>
              <w:ind w:right="284"/>
              <w:jc w:val="right"/>
              <w:rPr>
                <w:rFonts w:cstheme="minorHAnsi"/>
                <w:color w:val="000000"/>
                <w:sz w:val="20"/>
                <w:szCs w:val="20"/>
              </w:rPr>
            </w:pPr>
            <w:r w:rsidRPr="0087485F">
              <w:rPr>
                <w:rFonts w:cstheme="minorHAnsi"/>
                <w:color w:val="000000"/>
                <w:sz w:val="20"/>
                <w:szCs w:val="20"/>
              </w:rPr>
              <w:t>15</w:t>
            </w:r>
          </w:p>
        </w:tc>
        <w:tc>
          <w:tcPr>
            <w:tcW w:w="1418" w:type="dxa"/>
            <w:shd w:val="clear" w:color="auto" w:fill="auto"/>
            <w:vAlign w:val="center"/>
          </w:tcPr>
          <w:p w:rsidR="00D907AF" w:rsidRPr="0087485F" w:rsidRDefault="00D907AF" w:rsidP="00E20A19">
            <w:pPr>
              <w:spacing w:before="10" w:after="10"/>
              <w:ind w:right="340"/>
              <w:jc w:val="right"/>
              <w:rPr>
                <w:rFonts w:cstheme="minorHAnsi"/>
                <w:color w:val="000000"/>
                <w:sz w:val="20"/>
                <w:szCs w:val="20"/>
              </w:rPr>
            </w:pPr>
            <w:r w:rsidRPr="0087485F">
              <w:rPr>
                <w:rFonts w:cstheme="minorHAnsi"/>
                <w:color w:val="000000"/>
                <w:sz w:val="20"/>
                <w:szCs w:val="20"/>
              </w:rPr>
              <w:t>18.1</w:t>
            </w:r>
          </w:p>
        </w:tc>
        <w:tc>
          <w:tcPr>
            <w:tcW w:w="992" w:type="dxa"/>
            <w:shd w:val="clear" w:color="auto" w:fill="auto"/>
            <w:vAlign w:val="center"/>
          </w:tcPr>
          <w:p w:rsidR="00D907AF" w:rsidRPr="0087485F" w:rsidRDefault="00D907AF" w:rsidP="00E20A19">
            <w:pPr>
              <w:spacing w:before="10" w:after="10"/>
              <w:ind w:right="170"/>
              <w:jc w:val="right"/>
              <w:rPr>
                <w:rFonts w:cstheme="minorHAnsi"/>
                <w:color w:val="000000"/>
                <w:sz w:val="20"/>
                <w:szCs w:val="20"/>
              </w:rPr>
            </w:pPr>
            <w:r w:rsidRPr="0087485F">
              <w:rPr>
                <w:rFonts w:cstheme="minorHAnsi"/>
                <w:color w:val="000000"/>
                <w:sz w:val="20"/>
                <w:szCs w:val="20"/>
              </w:rPr>
              <w:t>73</w:t>
            </w:r>
          </w:p>
        </w:tc>
        <w:tc>
          <w:tcPr>
            <w:tcW w:w="992" w:type="dxa"/>
            <w:shd w:val="clear" w:color="auto" w:fill="auto"/>
            <w:vAlign w:val="center"/>
          </w:tcPr>
          <w:p w:rsidR="00D907AF" w:rsidRPr="0087485F" w:rsidRDefault="00D907AF" w:rsidP="00E20A19">
            <w:pPr>
              <w:spacing w:before="10" w:after="10"/>
              <w:ind w:right="170"/>
              <w:jc w:val="right"/>
              <w:rPr>
                <w:rFonts w:cstheme="minorHAnsi"/>
                <w:color w:val="000000"/>
                <w:sz w:val="20"/>
                <w:szCs w:val="20"/>
              </w:rPr>
            </w:pPr>
            <w:r w:rsidRPr="0087485F">
              <w:rPr>
                <w:rFonts w:cstheme="minorHAnsi"/>
                <w:color w:val="000000"/>
                <w:sz w:val="20"/>
                <w:szCs w:val="20"/>
              </w:rPr>
              <w:t>22.7</w:t>
            </w:r>
          </w:p>
        </w:tc>
      </w:tr>
      <w:tr w:rsidR="00D907AF" w:rsidRPr="0087485F" w:rsidTr="00D74E65">
        <w:trPr>
          <w:cantSplit/>
        </w:trPr>
        <w:tc>
          <w:tcPr>
            <w:tcW w:w="2564" w:type="dxa"/>
            <w:shd w:val="clear" w:color="auto" w:fill="auto"/>
          </w:tcPr>
          <w:p w:rsidR="00D907AF" w:rsidRPr="0087485F" w:rsidRDefault="00D907AF" w:rsidP="001032EF">
            <w:pPr>
              <w:spacing w:before="10" w:after="10"/>
              <w:rPr>
                <w:rFonts w:cstheme="minorHAnsi"/>
                <w:sz w:val="20"/>
                <w:szCs w:val="20"/>
              </w:rPr>
            </w:pPr>
            <w:r w:rsidRPr="0087485F">
              <w:rPr>
                <w:rFonts w:cstheme="minorHAnsi"/>
                <w:sz w:val="20"/>
                <w:szCs w:val="20"/>
              </w:rPr>
              <w:t>The wait was too long</w:t>
            </w:r>
          </w:p>
        </w:tc>
        <w:tc>
          <w:tcPr>
            <w:tcW w:w="775" w:type="dxa"/>
            <w:shd w:val="clear" w:color="auto" w:fill="auto"/>
            <w:vAlign w:val="center"/>
          </w:tcPr>
          <w:p w:rsidR="00D907AF" w:rsidRPr="0087485F" w:rsidRDefault="00D907AF" w:rsidP="00E20A19">
            <w:pPr>
              <w:spacing w:before="10" w:after="10"/>
              <w:ind w:right="113"/>
              <w:jc w:val="right"/>
              <w:rPr>
                <w:rFonts w:cstheme="minorHAnsi"/>
                <w:color w:val="000000"/>
                <w:sz w:val="20"/>
                <w:szCs w:val="20"/>
              </w:rPr>
            </w:pPr>
            <w:r w:rsidRPr="0087485F">
              <w:rPr>
                <w:rFonts w:cstheme="minorHAnsi"/>
                <w:color w:val="000000"/>
                <w:sz w:val="20"/>
                <w:szCs w:val="20"/>
              </w:rPr>
              <w:t>103</w:t>
            </w:r>
          </w:p>
        </w:tc>
        <w:tc>
          <w:tcPr>
            <w:tcW w:w="772" w:type="dxa"/>
            <w:shd w:val="clear" w:color="auto" w:fill="auto"/>
            <w:vAlign w:val="center"/>
          </w:tcPr>
          <w:p w:rsidR="00D907AF" w:rsidRPr="0087485F" w:rsidRDefault="00D907AF" w:rsidP="00E20A19">
            <w:pPr>
              <w:spacing w:before="10" w:after="10"/>
              <w:ind w:right="113"/>
              <w:jc w:val="right"/>
              <w:rPr>
                <w:rFonts w:cstheme="minorHAnsi"/>
                <w:color w:val="000000"/>
                <w:sz w:val="20"/>
                <w:szCs w:val="20"/>
              </w:rPr>
            </w:pPr>
            <w:r w:rsidRPr="0087485F">
              <w:rPr>
                <w:rFonts w:cstheme="minorHAnsi"/>
                <w:color w:val="000000"/>
                <w:sz w:val="20"/>
                <w:szCs w:val="20"/>
              </w:rPr>
              <w:t>43.3</w:t>
            </w:r>
          </w:p>
        </w:tc>
        <w:tc>
          <w:tcPr>
            <w:tcW w:w="1242" w:type="dxa"/>
            <w:shd w:val="clear" w:color="auto" w:fill="auto"/>
            <w:vAlign w:val="center"/>
          </w:tcPr>
          <w:p w:rsidR="00D907AF" w:rsidRPr="0087485F" w:rsidRDefault="00D907AF" w:rsidP="00E20A19">
            <w:pPr>
              <w:spacing w:before="10" w:after="10"/>
              <w:ind w:right="284"/>
              <w:jc w:val="right"/>
              <w:rPr>
                <w:rFonts w:cstheme="minorHAnsi"/>
                <w:color w:val="000000"/>
                <w:sz w:val="20"/>
                <w:szCs w:val="20"/>
              </w:rPr>
            </w:pPr>
            <w:r w:rsidRPr="0087485F">
              <w:rPr>
                <w:rFonts w:cstheme="minorHAnsi"/>
                <w:color w:val="000000"/>
                <w:sz w:val="20"/>
                <w:szCs w:val="20"/>
              </w:rPr>
              <w:t>24</w:t>
            </w:r>
          </w:p>
        </w:tc>
        <w:tc>
          <w:tcPr>
            <w:tcW w:w="1418" w:type="dxa"/>
            <w:shd w:val="clear" w:color="auto" w:fill="auto"/>
            <w:vAlign w:val="center"/>
          </w:tcPr>
          <w:p w:rsidR="00D907AF" w:rsidRPr="0087485F" w:rsidRDefault="00D907AF" w:rsidP="00E20A19">
            <w:pPr>
              <w:spacing w:before="10" w:after="10"/>
              <w:ind w:right="340"/>
              <w:jc w:val="right"/>
              <w:rPr>
                <w:rFonts w:cstheme="minorHAnsi"/>
                <w:color w:val="000000"/>
                <w:sz w:val="20"/>
                <w:szCs w:val="20"/>
              </w:rPr>
            </w:pPr>
            <w:r w:rsidRPr="0087485F">
              <w:rPr>
                <w:rFonts w:cstheme="minorHAnsi"/>
                <w:color w:val="000000"/>
                <w:sz w:val="20"/>
                <w:szCs w:val="20"/>
              </w:rPr>
              <w:t>28.9</w:t>
            </w:r>
          </w:p>
        </w:tc>
        <w:tc>
          <w:tcPr>
            <w:tcW w:w="992" w:type="dxa"/>
            <w:shd w:val="clear" w:color="auto" w:fill="auto"/>
            <w:vAlign w:val="center"/>
          </w:tcPr>
          <w:p w:rsidR="00D907AF" w:rsidRPr="0087485F" w:rsidRDefault="00D907AF" w:rsidP="00E20A19">
            <w:pPr>
              <w:spacing w:before="10" w:after="10"/>
              <w:ind w:right="170"/>
              <w:jc w:val="right"/>
              <w:rPr>
                <w:rFonts w:cstheme="minorHAnsi"/>
                <w:color w:val="000000"/>
                <w:sz w:val="20"/>
                <w:szCs w:val="20"/>
              </w:rPr>
            </w:pPr>
            <w:r w:rsidRPr="0087485F">
              <w:rPr>
                <w:rFonts w:cstheme="minorHAnsi"/>
                <w:color w:val="000000"/>
                <w:sz w:val="20"/>
                <w:szCs w:val="20"/>
              </w:rPr>
              <w:t>127</w:t>
            </w:r>
          </w:p>
        </w:tc>
        <w:tc>
          <w:tcPr>
            <w:tcW w:w="992" w:type="dxa"/>
            <w:shd w:val="clear" w:color="auto" w:fill="auto"/>
            <w:vAlign w:val="center"/>
          </w:tcPr>
          <w:p w:rsidR="00D907AF" w:rsidRPr="0087485F" w:rsidRDefault="00D907AF" w:rsidP="00E20A19">
            <w:pPr>
              <w:spacing w:before="10" w:after="10"/>
              <w:ind w:right="170"/>
              <w:jc w:val="right"/>
              <w:rPr>
                <w:rFonts w:cstheme="minorHAnsi"/>
                <w:color w:val="000000"/>
                <w:sz w:val="20"/>
                <w:szCs w:val="20"/>
              </w:rPr>
            </w:pPr>
            <w:r w:rsidRPr="0087485F">
              <w:rPr>
                <w:rFonts w:cstheme="minorHAnsi"/>
                <w:color w:val="000000"/>
                <w:sz w:val="20"/>
                <w:szCs w:val="20"/>
              </w:rPr>
              <w:t>39.6</w:t>
            </w:r>
          </w:p>
        </w:tc>
      </w:tr>
      <w:tr w:rsidR="00D907AF" w:rsidRPr="0087485F" w:rsidTr="00D74E65">
        <w:trPr>
          <w:cantSplit/>
        </w:trPr>
        <w:tc>
          <w:tcPr>
            <w:tcW w:w="2564" w:type="dxa"/>
            <w:tcBorders>
              <w:bottom w:val="single" w:sz="4" w:space="0" w:color="auto"/>
            </w:tcBorders>
            <w:shd w:val="clear" w:color="auto" w:fill="auto"/>
          </w:tcPr>
          <w:p w:rsidR="00D907AF" w:rsidRPr="0087485F" w:rsidRDefault="00D907AF" w:rsidP="001032EF">
            <w:pPr>
              <w:spacing w:before="10" w:after="10"/>
              <w:rPr>
                <w:rFonts w:cstheme="minorHAnsi"/>
                <w:sz w:val="20"/>
                <w:szCs w:val="20"/>
              </w:rPr>
            </w:pPr>
            <w:r w:rsidRPr="0087485F">
              <w:rPr>
                <w:rFonts w:cstheme="minorHAnsi"/>
                <w:sz w:val="20"/>
                <w:szCs w:val="20"/>
              </w:rPr>
              <w:t>Other reason</w:t>
            </w:r>
          </w:p>
        </w:tc>
        <w:tc>
          <w:tcPr>
            <w:tcW w:w="775" w:type="dxa"/>
            <w:tcBorders>
              <w:bottom w:val="single" w:sz="4" w:space="0" w:color="auto"/>
            </w:tcBorders>
            <w:shd w:val="clear" w:color="auto" w:fill="auto"/>
            <w:vAlign w:val="center"/>
          </w:tcPr>
          <w:p w:rsidR="00D907AF" w:rsidRPr="0087485F" w:rsidRDefault="00D907AF" w:rsidP="00E20A19">
            <w:pPr>
              <w:spacing w:before="10" w:after="10"/>
              <w:ind w:right="113"/>
              <w:jc w:val="right"/>
              <w:rPr>
                <w:rFonts w:cstheme="minorHAnsi"/>
                <w:color w:val="000000"/>
                <w:sz w:val="20"/>
                <w:szCs w:val="20"/>
              </w:rPr>
            </w:pPr>
            <w:r w:rsidRPr="0087485F">
              <w:rPr>
                <w:rFonts w:cstheme="minorHAnsi"/>
                <w:color w:val="000000"/>
                <w:sz w:val="20"/>
                <w:szCs w:val="20"/>
              </w:rPr>
              <w:t>98</w:t>
            </w:r>
          </w:p>
        </w:tc>
        <w:tc>
          <w:tcPr>
            <w:tcW w:w="772" w:type="dxa"/>
            <w:tcBorders>
              <w:bottom w:val="single" w:sz="4" w:space="0" w:color="auto"/>
            </w:tcBorders>
            <w:shd w:val="clear" w:color="auto" w:fill="auto"/>
            <w:vAlign w:val="center"/>
          </w:tcPr>
          <w:p w:rsidR="00D907AF" w:rsidRPr="0087485F" w:rsidRDefault="00D907AF" w:rsidP="00E20A19">
            <w:pPr>
              <w:spacing w:before="10" w:after="10"/>
              <w:ind w:right="113"/>
              <w:jc w:val="right"/>
              <w:rPr>
                <w:rFonts w:cstheme="minorHAnsi"/>
                <w:color w:val="000000"/>
                <w:sz w:val="20"/>
                <w:szCs w:val="20"/>
              </w:rPr>
            </w:pPr>
            <w:r w:rsidRPr="0087485F">
              <w:rPr>
                <w:rFonts w:cstheme="minorHAnsi"/>
                <w:color w:val="000000"/>
                <w:sz w:val="20"/>
                <w:szCs w:val="20"/>
              </w:rPr>
              <w:t>41.2</w:t>
            </w:r>
          </w:p>
        </w:tc>
        <w:tc>
          <w:tcPr>
            <w:tcW w:w="1242" w:type="dxa"/>
            <w:tcBorders>
              <w:bottom w:val="single" w:sz="4" w:space="0" w:color="auto"/>
            </w:tcBorders>
            <w:shd w:val="clear" w:color="auto" w:fill="auto"/>
            <w:vAlign w:val="center"/>
          </w:tcPr>
          <w:p w:rsidR="00D907AF" w:rsidRPr="0087485F" w:rsidRDefault="00D907AF" w:rsidP="00E20A19">
            <w:pPr>
              <w:spacing w:before="10" w:after="10"/>
              <w:ind w:right="284"/>
              <w:jc w:val="right"/>
              <w:rPr>
                <w:rFonts w:cstheme="minorHAnsi"/>
                <w:color w:val="000000"/>
                <w:sz w:val="20"/>
                <w:szCs w:val="20"/>
              </w:rPr>
            </w:pPr>
            <w:r w:rsidRPr="0087485F">
              <w:rPr>
                <w:rFonts w:cstheme="minorHAnsi"/>
                <w:color w:val="000000"/>
                <w:sz w:val="20"/>
                <w:szCs w:val="20"/>
              </w:rPr>
              <w:t>36</w:t>
            </w:r>
          </w:p>
        </w:tc>
        <w:tc>
          <w:tcPr>
            <w:tcW w:w="1418" w:type="dxa"/>
            <w:tcBorders>
              <w:bottom w:val="single" w:sz="4" w:space="0" w:color="auto"/>
            </w:tcBorders>
            <w:shd w:val="clear" w:color="auto" w:fill="auto"/>
            <w:vAlign w:val="center"/>
          </w:tcPr>
          <w:p w:rsidR="00D907AF" w:rsidRPr="0087485F" w:rsidRDefault="00D907AF" w:rsidP="00E20A19">
            <w:pPr>
              <w:spacing w:before="10" w:after="10"/>
              <w:ind w:right="340"/>
              <w:jc w:val="right"/>
              <w:rPr>
                <w:rFonts w:cstheme="minorHAnsi"/>
                <w:color w:val="000000"/>
                <w:sz w:val="20"/>
                <w:szCs w:val="20"/>
              </w:rPr>
            </w:pPr>
            <w:r w:rsidRPr="0087485F">
              <w:rPr>
                <w:rFonts w:cstheme="minorHAnsi"/>
                <w:color w:val="000000"/>
                <w:sz w:val="20"/>
                <w:szCs w:val="20"/>
              </w:rPr>
              <w:t>43.4</w:t>
            </w:r>
          </w:p>
        </w:tc>
        <w:tc>
          <w:tcPr>
            <w:tcW w:w="992" w:type="dxa"/>
            <w:tcBorders>
              <w:bottom w:val="single" w:sz="4" w:space="0" w:color="auto"/>
            </w:tcBorders>
            <w:shd w:val="clear" w:color="auto" w:fill="auto"/>
            <w:vAlign w:val="center"/>
          </w:tcPr>
          <w:p w:rsidR="00D907AF" w:rsidRPr="0087485F" w:rsidRDefault="00D907AF" w:rsidP="00E20A19">
            <w:pPr>
              <w:spacing w:before="10" w:after="10"/>
              <w:ind w:right="170"/>
              <w:jc w:val="right"/>
              <w:rPr>
                <w:rFonts w:cstheme="minorHAnsi"/>
                <w:color w:val="000000"/>
                <w:sz w:val="20"/>
                <w:szCs w:val="20"/>
              </w:rPr>
            </w:pPr>
            <w:r w:rsidRPr="0087485F">
              <w:rPr>
                <w:rFonts w:cstheme="minorHAnsi"/>
                <w:color w:val="000000"/>
                <w:sz w:val="20"/>
                <w:szCs w:val="20"/>
              </w:rPr>
              <w:t>134</w:t>
            </w:r>
          </w:p>
        </w:tc>
        <w:tc>
          <w:tcPr>
            <w:tcW w:w="992" w:type="dxa"/>
            <w:tcBorders>
              <w:bottom w:val="single" w:sz="4" w:space="0" w:color="auto"/>
            </w:tcBorders>
            <w:shd w:val="clear" w:color="auto" w:fill="auto"/>
            <w:vAlign w:val="center"/>
          </w:tcPr>
          <w:p w:rsidR="00D907AF" w:rsidRPr="0087485F" w:rsidRDefault="00D907AF" w:rsidP="00E20A19">
            <w:pPr>
              <w:spacing w:before="10" w:after="10"/>
              <w:ind w:right="170"/>
              <w:jc w:val="right"/>
              <w:rPr>
                <w:rFonts w:cstheme="minorHAnsi"/>
                <w:color w:val="000000"/>
                <w:sz w:val="20"/>
                <w:szCs w:val="20"/>
              </w:rPr>
            </w:pPr>
            <w:r w:rsidRPr="0087485F">
              <w:rPr>
                <w:rFonts w:cstheme="minorHAnsi"/>
                <w:color w:val="000000"/>
                <w:sz w:val="20"/>
                <w:szCs w:val="20"/>
              </w:rPr>
              <w:t>41.7</w:t>
            </w:r>
          </w:p>
        </w:tc>
      </w:tr>
      <w:tr w:rsidR="00D907AF" w:rsidRPr="0087485F" w:rsidTr="00D74E65">
        <w:trPr>
          <w:cantSplit/>
        </w:trPr>
        <w:tc>
          <w:tcPr>
            <w:tcW w:w="2564" w:type="dxa"/>
            <w:tcBorders>
              <w:top w:val="single" w:sz="4" w:space="0" w:color="auto"/>
              <w:bottom w:val="single" w:sz="4" w:space="0" w:color="auto"/>
            </w:tcBorders>
            <w:shd w:val="clear" w:color="auto" w:fill="auto"/>
          </w:tcPr>
          <w:p w:rsidR="00D907AF" w:rsidRPr="0087485F" w:rsidRDefault="00D907AF" w:rsidP="001032EF">
            <w:pPr>
              <w:spacing w:before="10" w:after="10"/>
              <w:rPr>
                <w:rFonts w:cstheme="minorHAnsi"/>
                <w:b/>
                <w:sz w:val="20"/>
                <w:szCs w:val="20"/>
              </w:rPr>
            </w:pPr>
            <w:r w:rsidRPr="0087485F">
              <w:rPr>
                <w:rFonts w:cstheme="minorHAnsi"/>
                <w:b/>
                <w:sz w:val="20"/>
                <w:szCs w:val="20"/>
              </w:rPr>
              <w:t>Total</w:t>
            </w:r>
          </w:p>
        </w:tc>
        <w:tc>
          <w:tcPr>
            <w:tcW w:w="775" w:type="dxa"/>
            <w:tcBorders>
              <w:top w:val="single" w:sz="4" w:space="0" w:color="auto"/>
              <w:bottom w:val="single" w:sz="4" w:space="0" w:color="auto"/>
            </w:tcBorders>
            <w:shd w:val="clear" w:color="auto" w:fill="auto"/>
          </w:tcPr>
          <w:p w:rsidR="00D907AF" w:rsidRPr="0087485F" w:rsidRDefault="00D907AF" w:rsidP="00E20A19">
            <w:pPr>
              <w:spacing w:before="10" w:after="10"/>
              <w:ind w:right="113"/>
              <w:jc w:val="right"/>
              <w:rPr>
                <w:rFonts w:cstheme="minorHAnsi"/>
                <w:b/>
                <w:sz w:val="20"/>
                <w:szCs w:val="20"/>
              </w:rPr>
            </w:pPr>
            <w:r w:rsidRPr="0087485F">
              <w:rPr>
                <w:rFonts w:cstheme="minorHAnsi"/>
                <w:b/>
                <w:sz w:val="20"/>
                <w:szCs w:val="20"/>
              </w:rPr>
              <w:t>238</w:t>
            </w:r>
          </w:p>
        </w:tc>
        <w:tc>
          <w:tcPr>
            <w:tcW w:w="772" w:type="dxa"/>
            <w:tcBorders>
              <w:top w:val="single" w:sz="4" w:space="0" w:color="auto"/>
              <w:bottom w:val="single" w:sz="4" w:space="0" w:color="auto"/>
            </w:tcBorders>
            <w:shd w:val="clear" w:color="auto" w:fill="auto"/>
          </w:tcPr>
          <w:p w:rsidR="00D907AF" w:rsidRPr="0087485F" w:rsidRDefault="00D907AF" w:rsidP="00E20A19">
            <w:pPr>
              <w:spacing w:before="10" w:after="10"/>
              <w:ind w:right="113"/>
              <w:jc w:val="right"/>
              <w:rPr>
                <w:rFonts w:cstheme="minorHAnsi"/>
                <w:b/>
                <w:sz w:val="20"/>
                <w:szCs w:val="20"/>
              </w:rPr>
            </w:pPr>
          </w:p>
        </w:tc>
        <w:tc>
          <w:tcPr>
            <w:tcW w:w="1242" w:type="dxa"/>
            <w:tcBorders>
              <w:top w:val="single" w:sz="4" w:space="0" w:color="auto"/>
              <w:bottom w:val="single" w:sz="4" w:space="0" w:color="auto"/>
            </w:tcBorders>
            <w:shd w:val="clear" w:color="auto" w:fill="auto"/>
          </w:tcPr>
          <w:p w:rsidR="00D907AF" w:rsidRPr="0087485F" w:rsidRDefault="00D907AF" w:rsidP="00E20A19">
            <w:pPr>
              <w:spacing w:before="10" w:after="10"/>
              <w:ind w:right="284"/>
              <w:jc w:val="right"/>
              <w:rPr>
                <w:rFonts w:cstheme="minorHAnsi"/>
                <w:b/>
                <w:sz w:val="20"/>
                <w:szCs w:val="20"/>
              </w:rPr>
            </w:pPr>
            <w:r w:rsidRPr="0087485F">
              <w:rPr>
                <w:rFonts w:cstheme="minorHAnsi"/>
                <w:b/>
                <w:sz w:val="20"/>
                <w:szCs w:val="20"/>
              </w:rPr>
              <w:t>83</w:t>
            </w:r>
          </w:p>
        </w:tc>
        <w:tc>
          <w:tcPr>
            <w:tcW w:w="1418" w:type="dxa"/>
            <w:tcBorders>
              <w:top w:val="single" w:sz="4" w:space="0" w:color="auto"/>
              <w:bottom w:val="single" w:sz="4" w:space="0" w:color="auto"/>
            </w:tcBorders>
            <w:shd w:val="clear" w:color="auto" w:fill="auto"/>
          </w:tcPr>
          <w:p w:rsidR="00D907AF" w:rsidRPr="0087485F" w:rsidRDefault="00D907AF" w:rsidP="00E20A19">
            <w:pPr>
              <w:spacing w:before="10" w:after="10"/>
              <w:ind w:right="340"/>
              <w:jc w:val="right"/>
              <w:rPr>
                <w:rFonts w:cstheme="minorHAnsi"/>
                <w:b/>
                <w:sz w:val="20"/>
                <w:szCs w:val="20"/>
              </w:rPr>
            </w:pPr>
          </w:p>
        </w:tc>
        <w:tc>
          <w:tcPr>
            <w:tcW w:w="992" w:type="dxa"/>
            <w:tcBorders>
              <w:top w:val="single" w:sz="4" w:space="0" w:color="auto"/>
              <w:bottom w:val="single" w:sz="4" w:space="0" w:color="auto"/>
            </w:tcBorders>
            <w:shd w:val="clear" w:color="auto" w:fill="auto"/>
          </w:tcPr>
          <w:p w:rsidR="00D907AF" w:rsidRPr="0087485F" w:rsidRDefault="00D907AF" w:rsidP="00E20A19">
            <w:pPr>
              <w:spacing w:before="10" w:after="10"/>
              <w:ind w:right="170"/>
              <w:jc w:val="right"/>
              <w:rPr>
                <w:rFonts w:cstheme="minorHAnsi"/>
                <w:b/>
                <w:sz w:val="20"/>
                <w:szCs w:val="20"/>
              </w:rPr>
            </w:pPr>
            <w:r w:rsidRPr="0087485F">
              <w:rPr>
                <w:rFonts w:cstheme="minorHAnsi"/>
                <w:b/>
                <w:sz w:val="20"/>
                <w:szCs w:val="20"/>
              </w:rPr>
              <w:t>3</w:t>
            </w:r>
            <w:r>
              <w:rPr>
                <w:rFonts w:cstheme="minorHAnsi"/>
                <w:b/>
                <w:sz w:val="20"/>
                <w:szCs w:val="20"/>
              </w:rPr>
              <w:t>2</w:t>
            </w:r>
            <w:r w:rsidRPr="0087485F">
              <w:rPr>
                <w:rFonts w:cstheme="minorHAnsi"/>
                <w:b/>
                <w:sz w:val="20"/>
                <w:szCs w:val="20"/>
              </w:rPr>
              <w:t>1</w:t>
            </w:r>
          </w:p>
        </w:tc>
        <w:tc>
          <w:tcPr>
            <w:tcW w:w="992" w:type="dxa"/>
            <w:tcBorders>
              <w:top w:val="single" w:sz="4" w:space="0" w:color="auto"/>
              <w:bottom w:val="single" w:sz="4" w:space="0" w:color="auto"/>
            </w:tcBorders>
            <w:shd w:val="clear" w:color="auto" w:fill="auto"/>
          </w:tcPr>
          <w:p w:rsidR="00D907AF" w:rsidRPr="0087485F" w:rsidRDefault="00D907AF" w:rsidP="00E20A19">
            <w:pPr>
              <w:spacing w:before="10" w:after="10"/>
              <w:ind w:right="170"/>
              <w:jc w:val="right"/>
              <w:rPr>
                <w:rFonts w:cstheme="minorHAnsi"/>
                <w:b/>
                <w:sz w:val="20"/>
                <w:szCs w:val="20"/>
              </w:rPr>
            </w:pPr>
          </w:p>
        </w:tc>
      </w:tr>
    </w:tbl>
    <w:p w:rsidR="009B494F" w:rsidRDefault="00D907AF">
      <w:r w:rsidRPr="00E31346">
        <w:rPr>
          <w:sz w:val="18"/>
          <w:szCs w:val="18"/>
        </w:rPr>
        <w:t>Note: trial and comparison all ages with funding for support but could not access that support; ‘Total’ indicates the number of respondents to answer this question; multiple response question; columns therefore do not add to 100.</w:t>
      </w:r>
      <w:r w:rsidR="009B494F">
        <w:br w:type="page"/>
      </w:r>
    </w:p>
    <w:p w:rsidR="00D907AF" w:rsidRDefault="00D907AF" w:rsidP="00D907AF">
      <w:r>
        <w:lastRenderedPageBreak/>
        <w:t>The first observation in Table 3.24 is that, overall, 39.6 per cent of respondents reported that the wait to access supports</w:t>
      </w:r>
      <w:r w:rsidRPr="002042C1">
        <w:t xml:space="preserve"> </w:t>
      </w:r>
      <w:r>
        <w:t xml:space="preserve">was too long, </w:t>
      </w:r>
      <w:r w:rsidR="00341557">
        <w:t xml:space="preserve">suggesting </w:t>
      </w:r>
      <w:r>
        <w:t xml:space="preserve">a stretched supply chain. A similar picture arises about a lack of local providers (37.1 per cent), again a sign of a stretched supply chain. These reasons are the most prevalent of the single reasons reported by both trial and comparison groups indicating a long standing problem, but it is worth noting that the introduction of the NDIS does not seem to have solved it. On the contrary, a visibly larger proportion of people in the trial group than in the comparison group reported that they could not access their supports because “There is no local provider” (39.5 against 30.1 per cent) or because “The wait was too long” (43.3 against 28.9 per cent). </w:t>
      </w:r>
      <w:r w:rsidRPr="00FB5385">
        <w:t>Lack of quality provision is a</w:t>
      </w:r>
      <w:r w:rsidR="00404EFB">
        <w:t>lso a</w:t>
      </w:r>
      <w:r w:rsidRPr="00FB5385">
        <w:t xml:space="preserve"> high prevalence reason for not accessing supports, </w:t>
      </w:r>
      <w:r w:rsidR="00005906">
        <w:t>which</w:t>
      </w:r>
      <w:r w:rsidRPr="00FB5385">
        <w:t xml:space="preserve"> is also more frequently encountered in the NDIS trial </w:t>
      </w:r>
      <w:r>
        <w:t xml:space="preserve">group </w:t>
      </w:r>
      <w:r w:rsidRPr="00FB5385">
        <w:t>(2</w:t>
      </w:r>
      <w:r w:rsidRPr="00FB5385">
        <w:rPr>
          <w:rFonts w:hint="eastAsia"/>
        </w:rPr>
        <w:t>4</w:t>
      </w:r>
      <w:r>
        <w:t>.4 per cent</w:t>
      </w:r>
      <w:r w:rsidRPr="00FB5385">
        <w:t xml:space="preserve"> against </w:t>
      </w:r>
      <w:r w:rsidRPr="00FB5385">
        <w:rPr>
          <w:rFonts w:hint="eastAsia"/>
        </w:rPr>
        <w:t>18</w:t>
      </w:r>
      <w:r>
        <w:t>.1 per cent</w:t>
      </w:r>
      <w:r w:rsidRPr="00FB5385">
        <w:t xml:space="preserve"> in the comparison </w:t>
      </w:r>
      <w:r>
        <w:t>group</w:t>
      </w:r>
      <w:r w:rsidRPr="00FB5385">
        <w:t xml:space="preserve">). It is noteworthy that despite these clear signs of supply </w:t>
      </w:r>
      <w:r>
        <w:t xml:space="preserve">constraints </w:t>
      </w:r>
      <w:r w:rsidRPr="00FB5385">
        <w:t xml:space="preserve">the price does not seem to </w:t>
      </w:r>
      <w:r>
        <w:t xml:space="preserve">be adjusting to a higher level which would act as a break to the demand that remains unfulfilled. </w:t>
      </w:r>
      <w:r w:rsidR="00404EFB">
        <w:t xml:space="preserve">In addition to evidence of </w:t>
      </w:r>
      <w:r>
        <w:t xml:space="preserve">unfulfilled demand, the data appears to be suggesting that the prices may not be rising to reduce demand, which may well be a desired attribute of the NDIS. We note here that in situations where price variations may not be allowed to play their core economic role (by allocating access according to capacity to pay) other mechanisms are known to take over, such as waiting times and or quality adjustments. Table 3.24 provides early evidence that such alternative adjustments may be happening and need therefore to be closely monitored. </w:t>
      </w:r>
    </w:p>
    <w:p w:rsidR="005B2D5F" w:rsidRDefault="005B2D5F" w:rsidP="00D907AF"/>
    <w:p w:rsidR="00D907AF" w:rsidRDefault="00D907AF" w:rsidP="00D907AF">
      <w:r>
        <w:t>A final observation is that the percentage of ‘Other reason’ answers was very high, indicating that this question could have been more detailed. This was anticipated and a box for free answers was provided, the answers to which will be further analysed.</w:t>
      </w:r>
    </w:p>
    <w:p w:rsidR="005B2D5F" w:rsidRDefault="005B2D5F" w:rsidP="00D907AF"/>
    <w:p w:rsidR="00D907AF" w:rsidRDefault="00D907AF" w:rsidP="00D907AF">
      <w:r>
        <w:t xml:space="preserve">The NDIS is not designed to cover all supports for all people with disability. There will be supports that are demanded and which are not funded by the NDIS. The surveys ask whether people with disability access supports that are not funded by the NDIS and how they access them, in order to examine how these are developing as the NDIS is rolled out. The numbers for these supports in the present sample are not large enough to report their distribution as an individual item in the data, with only </w:t>
      </w:r>
      <w:r>
        <w:rPr>
          <w:rFonts w:hint="eastAsia"/>
        </w:rPr>
        <w:t>23</w:t>
      </w:r>
      <w:r>
        <w:t>8</w:t>
      </w:r>
      <w:r>
        <w:rPr>
          <w:rFonts w:hint="eastAsia"/>
        </w:rPr>
        <w:t xml:space="preserve"> </w:t>
      </w:r>
      <w:r>
        <w:t xml:space="preserve">people in the trial sites and </w:t>
      </w:r>
      <w:r>
        <w:rPr>
          <w:rFonts w:hint="eastAsia"/>
        </w:rPr>
        <w:t>8</w:t>
      </w:r>
      <w:r>
        <w:t xml:space="preserve">3 in the comparison areas having reported accessing supports that were not funded. We will report on these supports when the full Wave 1 sample becomes available for analysis. </w:t>
      </w:r>
    </w:p>
    <w:p w:rsidR="00D907AF" w:rsidRPr="004478CF" w:rsidRDefault="00D907AF" w:rsidP="00367B24">
      <w:pPr>
        <w:pStyle w:val="Heading3"/>
      </w:pPr>
      <w:bookmarkStart w:id="263" w:name="_Toc428280640"/>
      <w:bookmarkStart w:id="264" w:name="_Toc449955012"/>
      <w:r>
        <w:t>3.6</w:t>
      </w:r>
      <w:r w:rsidRPr="004478CF">
        <w:t>.6 Part A – Education</w:t>
      </w:r>
      <w:bookmarkEnd w:id="263"/>
      <w:bookmarkEnd w:id="264"/>
    </w:p>
    <w:p w:rsidR="00D907AF" w:rsidRDefault="00D907AF" w:rsidP="00D907AF">
      <w:pPr>
        <w:rPr>
          <w:rFonts w:cstheme="minorHAnsi"/>
        </w:rPr>
      </w:pPr>
      <w:r w:rsidRPr="004478CF">
        <w:rPr>
          <w:rFonts w:cstheme="minorHAnsi"/>
        </w:rPr>
        <w:t xml:space="preserve">Education and employment are widely recognised as major direct contributors towards greater social and economic participation and indirect contributors towards improving </w:t>
      </w:r>
      <w:r w:rsidR="006953C6">
        <w:rPr>
          <w:rFonts w:cstheme="minorHAnsi"/>
        </w:rPr>
        <w:t>wellbeing</w:t>
      </w:r>
      <w:r w:rsidRPr="004478CF">
        <w:rPr>
          <w:rFonts w:cstheme="minorHAnsi"/>
        </w:rPr>
        <w:t xml:space="preserve"> and the general quality of life. The surveys collect information about the education level of people with disability. For those who are currently studying towards a qualification, we ask the level of that qualification. The survey also collects information about current employment status, occupation and further detail</w:t>
      </w:r>
      <w:r>
        <w:rPr>
          <w:rFonts w:cstheme="minorHAnsi"/>
        </w:rPr>
        <w:t>s</w:t>
      </w:r>
      <w:r w:rsidRPr="004478CF">
        <w:rPr>
          <w:rFonts w:cstheme="minorHAnsi"/>
        </w:rPr>
        <w:t xml:space="preserve">. One of the aspirations of the NDIS is to increase social and economic participation and personal </w:t>
      </w:r>
      <w:r w:rsidR="006953C6">
        <w:rPr>
          <w:rFonts w:cstheme="minorHAnsi"/>
        </w:rPr>
        <w:t>wellbeing</w:t>
      </w:r>
      <w:r w:rsidRPr="004478CF">
        <w:rPr>
          <w:rFonts w:cstheme="minorHAnsi"/>
        </w:rPr>
        <w:t>, with education and employment being recognised as prime pathways towards such</w:t>
      </w:r>
      <w:r w:rsidRPr="00714777">
        <w:rPr>
          <w:rFonts w:cstheme="minorHAnsi"/>
        </w:rPr>
        <w:t xml:space="preserve"> improvements for at least </w:t>
      </w:r>
      <w:r>
        <w:rPr>
          <w:rFonts w:cstheme="minorHAnsi"/>
        </w:rPr>
        <w:t>some</w:t>
      </w:r>
      <w:r w:rsidRPr="00714777">
        <w:rPr>
          <w:rFonts w:cstheme="minorHAnsi"/>
        </w:rPr>
        <w:t xml:space="preserve"> NDIS participants. Both the collection and the interpretation of the employment and education information are heavily age-related. For the younger NDIS participants we would be looking at school participation and thinking of education as an early intervention activity </w:t>
      </w:r>
      <w:r>
        <w:rPr>
          <w:rFonts w:cstheme="minorHAnsi"/>
        </w:rPr>
        <w:t xml:space="preserve">aiming not only at current life quality improvements through participation, but also working </w:t>
      </w:r>
      <w:r w:rsidRPr="00714777">
        <w:rPr>
          <w:rFonts w:cstheme="minorHAnsi"/>
        </w:rPr>
        <w:t>towards better future outcomes, including potential employment outcomes. For the older adults, we would be looking at education and employment as participation contributors that work in tandem and where a certain (longer-term) level of achievement is already present</w:t>
      </w:r>
      <w:r>
        <w:rPr>
          <w:rFonts w:cstheme="minorHAnsi"/>
        </w:rPr>
        <w:t>. T</w:t>
      </w:r>
      <w:r w:rsidRPr="00714777">
        <w:rPr>
          <w:rFonts w:cstheme="minorHAnsi"/>
        </w:rPr>
        <w:t xml:space="preserve">he question </w:t>
      </w:r>
      <w:r>
        <w:rPr>
          <w:rFonts w:cstheme="minorHAnsi"/>
        </w:rPr>
        <w:t>for the older adults would be</w:t>
      </w:r>
      <w:r w:rsidRPr="00714777">
        <w:rPr>
          <w:rFonts w:cstheme="minorHAnsi"/>
        </w:rPr>
        <w:t xml:space="preserve"> whether the NDIS may be able to provide practical support to improve that longer-term status as a means of improving participation and </w:t>
      </w:r>
      <w:r w:rsidR="006953C6">
        <w:rPr>
          <w:rFonts w:cstheme="minorHAnsi"/>
        </w:rPr>
        <w:t>wellbeing</w:t>
      </w:r>
      <w:r w:rsidRPr="00714777">
        <w:rPr>
          <w:rFonts w:cstheme="minorHAnsi"/>
        </w:rPr>
        <w:t xml:space="preserve">. For the youngest adults, the picture is mixed as they could be still at school, or in post-school education, but they can also already be in employment. </w:t>
      </w:r>
    </w:p>
    <w:p w:rsidR="00B8667F" w:rsidRDefault="00D907AF" w:rsidP="00D907AF">
      <w:pPr>
        <w:rPr>
          <w:rFonts w:cstheme="minorHAnsi"/>
        </w:rPr>
      </w:pPr>
      <w:r>
        <w:rPr>
          <w:rFonts w:cstheme="minorHAnsi"/>
        </w:rPr>
        <w:lastRenderedPageBreak/>
        <w:t xml:space="preserve">It is important that we clarify from the outset exactly how this information can be interpreted and used. </w:t>
      </w:r>
      <w:r w:rsidRPr="00714777">
        <w:rPr>
          <w:rFonts w:cstheme="minorHAnsi"/>
        </w:rPr>
        <w:t>The information in the first wave of the survey data will give us a bas</w:t>
      </w:r>
      <w:r>
        <w:rPr>
          <w:rFonts w:cstheme="minorHAnsi"/>
        </w:rPr>
        <w:t>eline</w:t>
      </w:r>
      <w:r w:rsidRPr="00714777">
        <w:rPr>
          <w:rFonts w:cstheme="minorHAnsi"/>
        </w:rPr>
        <w:t xml:space="preserve"> picture of where our respondents</w:t>
      </w:r>
      <w:r>
        <w:rPr>
          <w:rFonts w:cstheme="minorHAnsi"/>
        </w:rPr>
        <w:t>’</w:t>
      </w:r>
      <w:r w:rsidRPr="00714777">
        <w:rPr>
          <w:rFonts w:cstheme="minorHAnsi"/>
        </w:rPr>
        <w:t xml:space="preserve"> </w:t>
      </w:r>
      <w:r>
        <w:rPr>
          <w:rFonts w:cstheme="minorHAnsi"/>
        </w:rPr>
        <w:t xml:space="preserve">levels of employment and education </w:t>
      </w:r>
      <w:r w:rsidRPr="00714777">
        <w:rPr>
          <w:rFonts w:cstheme="minorHAnsi"/>
        </w:rPr>
        <w:t>are</w:t>
      </w:r>
      <w:r>
        <w:rPr>
          <w:rFonts w:cstheme="minorHAnsi"/>
        </w:rPr>
        <w:t xml:space="preserve"> at the time of interview</w:t>
      </w:r>
      <w:r w:rsidRPr="00714777">
        <w:rPr>
          <w:rFonts w:cstheme="minorHAnsi"/>
        </w:rPr>
        <w:t xml:space="preserve">. The information in the second wave will provide us with information about any changes that have happened between Wave 1 and Wave 2 interviews. This information will need to be interpreted differently by age, as the outcomes we can expect will be age-related. For the youngest participants, the main change would be the level of school participation and how this could influence mainly future outcomes. The </w:t>
      </w:r>
      <w:r>
        <w:rPr>
          <w:rFonts w:cstheme="minorHAnsi"/>
        </w:rPr>
        <w:t>‘</w:t>
      </w:r>
      <w:r w:rsidRPr="00714777">
        <w:rPr>
          <w:rFonts w:cstheme="minorHAnsi"/>
        </w:rPr>
        <w:t>early intervention</w:t>
      </w:r>
      <w:r>
        <w:rPr>
          <w:rFonts w:cstheme="minorHAnsi"/>
        </w:rPr>
        <w:t>’</w:t>
      </w:r>
      <w:r w:rsidRPr="00714777">
        <w:rPr>
          <w:rFonts w:cstheme="minorHAnsi"/>
        </w:rPr>
        <w:t xml:space="preserve"> nature of an improvement in school participation or performance is self-evident and does not need explaining. In contrast, for the older adults we would not be looking for future outcomes. If the NDIS facilitates the enrolment and completion of, say, a Certificate IV, then we would expect that the employment outcomes </w:t>
      </w:r>
      <w:r>
        <w:rPr>
          <w:rFonts w:cstheme="minorHAnsi"/>
        </w:rPr>
        <w:t>sh</w:t>
      </w:r>
      <w:r w:rsidRPr="00714777">
        <w:rPr>
          <w:rFonts w:cstheme="minorHAnsi"/>
        </w:rPr>
        <w:t xml:space="preserve">ould materialise soon after graduation. </w:t>
      </w:r>
    </w:p>
    <w:p w:rsidR="00B8667F" w:rsidRDefault="00B8667F">
      <w:pPr>
        <w:rPr>
          <w:rFonts w:cstheme="minorHAnsi"/>
        </w:rPr>
      </w:pPr>
    </w:p>
    <w:p w:rsidR="00D907AF" w:rsidRDefault="00D907AF" w:rsidP="00D907AF">
      <w:pPr>
        <w:rPr>
          <w:rFonts w:cstheme="minorHAnsi"/>
        </w:rPr>
      </w:pPr>
      <w:r w:rsidRPr="00714777">
        <w:rPr>
          <w:rFonts w:cstheme="minorHAnsi"/>
        </w:rPr>
        <w:t xml:space="preserve">Clearly, in this context the young and the old should be examined separately. However, there are other aspects where the benefit of education can be similar for both young and old. For example, attending school and attending TAFE will both result in increased social participation with obvious benefits. Given that the provision of education and achieving employment are processes </w:t>
      </w:r>
      <w:r>
        <w:rPr>
          <w:rFonts w:cstheme="minorHAnsi"/>
        </w:rPr>
        <w:t xml:space="preserve">with an as yet unknown influence </w:t>
      </w:r>
      <w:r w:rsidRPr="00714777">
        <w:rPr>
          <w:rFonts w:cstheme="minorHAnsi"/>
        </w:rPr>
        <w:t>by</w:t>
      </w:r>
      <w:r>
        <w:rPr>
          <w:rFonts w:cstheme="minorHAnsi"/>
        </w:rPr>
        <w:t xml:space="preserve"> the roll out of the NDIS</w:t>
      </w:r>
      <w:r w:rsidRPr="00714777">
        <w:rPr>
          <w:rFonts w:cstheme="minorHAnsi"/>
        </w:rPr>
        <w:t>, we present the relevant statistics jointly for the trial and comparison samples.</w:t>
      </w:r>
    </w:p>
    <w:p w:rsidR="005B2D5F" w:rsidRDefault="005B2D5F" w:rsidP="00D907AF">
      <w:pPr>
        <w:rPr>
          <w:rFonts w:cstheme="minorHAnsi"/>
        </w:rPr>
      </w:pPr>
    </w:p>
    <w:p w:rsidR="00D907AF" w:rsidRDefault="00D907AF" w:rsidP="00D907AF">
      <w:pPr>
        <w:rPr>
          <w:rFonts w:cstheme="minorHAnsi"/>
        </w:rPr>
      </w:pPr>
      <w:r w:rsidRPr="00714777">
        <w:rPr>
          <w:rFonts w:cstheme="minorHAnsi"/>
        </w:rPr>
        <w:t xml:space="preserve">Table </w:t>
      </w:r>
      <w:r>
        <w:rPr>
          <w:rFonts w:cstheme="minorHAnsi"/>
        </w:rPr>
        <w:t>3.25</w:t>
      </w:r>
      <w:r w:rsidRPr="00714777">
        <w:rPr>
          <w:rFonts w:cstheme="minorHAnsi"/>
        </w:rPr>
        <w:t xml:space="preserve"> shows that </w:t>
      </w:r>
      <w:r>
        <w:rPr>
          <w:rFonts w:cstheme="minorHAnsi"/>
        </w:rPr>
        <w:t>at the time of the interview</w:t>
      </w:r>
      <w:r w:rsidRPr="00714777">
        <w:rPr>
          <w:rFonts w:cstheme="minorHAnsi"/>
        </w:rPr>
        <w:t>, 48</w:t>
      </w:r>
      <w:r>
        <w:rPr>
          <w:rFonts w:cstheme="minorHAnsi"/>
        </w:rPr>
        <w:t xml:space="preserve"> per cent of people in the trial and comparison groups reported they we</w:t>
      </w:r>
      <w:r w:rsidRPr="00714777">
        <w:rPr>
          <w:rFonts w:cstheme="minorHAnsi"/>
        </w:rPr>
        <w:t xml:space="preserve">re currently studying, </w:t>
      </w:r>
      <w:r>
        <w:rPr>
          <w:rFonts w:cstheme="minorHAnsi"/>
        </w:rPr>
        <w:t xml:space="preserve">including almost all children between the age of 3 and 15 (97.7 </w:t>
      </w:r>
      <w:r w:rsidRPr="007A158B">
        <w:rPr>
          <w:rFonts w:cstheme="minorHAnsi"/>
        </w:rPr>
        <w:t>per</w:t>
      </w:r>
      <w:r>
        <w:rPr>
          <w:rFonts w:cstheme="minorHAnsi"/>
        </w:rPr>
        <w:t xml:space="preserve"> </w:t>
      </w:r>
      <w:r w:rsidRPr="007A158B">
        <w:rPr>
          <w:rFonts w:cstheme="minorHAnsi"/>
        </w:rPr>
        <w:t xml:space="preserve">cent) and </w:t>
      </w:r>
      <w:r>
        <w:rPr>
          <w:rFonts w:cstheme="minorHAnsi"/>
        </w:rPr>
        <w:t>17.1 per cent of adults.</w:t>
      </w:r>
    </w:p>
    <w:p w:rsidR="005B2D5F" w:rsidRPr="00714777" w:rsidRDefault="005B2D5F" w:rsidP="00D907AF">
      <w:pPr>
        <w:rPr>
          <w:rFonts w:cstheme="minorHAnsi"/>
        </w:rPr>
      </w:pPr>
    </w:p>
    <w:p w:rsidR="00D907AF" w:rsidRPr="00233E8A" w:rsidRDefault="00D907AF" w:rsidP="0044684E">
      <w:pPr>
        <w:pStyle w:val="NILSTableHeading"/>
      </w:pPr>
      <w:bookmarkStart w:id="265" w:name="_Toc428280676"/>
      <w:bookmarkStart w:id="266" w:name="_Toc449955287"/>
      <w:r w:rsidRPr="00233E8A">
        <w:t>Table 3.</w:t>
      </w:r>
      <w:r w:rsidRPr="00233E8A">
        <w:rPr>
          <w:rFonts w:hint="eastAsia"/>
        </w:rPr>
        <w:t>2</w:t>
      </w:r>
      <w:r>
        <w:t>5</w:t>
      </w:r>
      <w:r w:rsidRPr="00233E8A">
        <w:t xml:space="preserve">: </w:t>
      </w:r>
      <w:r w:rsidRPr="00233E8A">
        <w:rPr>
          <w:rFonts w:hint="eastAsia"/>
        </w:rPr>
        <w:t>Currently studying or not</w:t>
      </w:r>
      <w:bookmarkEnd w:id="265"/>
      <w:bookmarkEnd w:id="266"/>
    </w:p>
    <w:tbl>
      <w:tblPr>
        <w:tblStyle w:val="TableGrid"/>
        <w:tblW w:w="0" w:type="auto"/>
        <w:tblLayout w:type="fixed"/>
        <w:tblLook w:val="04A0" w:firstRow="1" w:lastRow="0" w:firstColumn="1" w:lastColumn="0" w:noHBand="0" w:noVBand="1"/>
        <w:tblCaption w:val="Table 3.25 Currently studying or not"/>
      </w:tblPr>
      <w:tblGrid>
        <w:gridCol w:w="1951"/>
        <w:gridCol w:w="1418"/>
        <w:gridCol w:w="1275"/>
        <w:gridCol w:w="851"/>
        <w:gridCol w:w="992"/>
        <w:gridCol w:w="708"/>
        <w:gridCol w:w="993"/>
      </w:tblGrid>
      <w:tr w:rsidR="00D907AF" w:rsidRPr="0087485F" w:rsidTr="00405F53">
        <w:trPr>
          <w:cantSplit/>
          <w:tblHeader/>
        </w:trPr>
        <w:tc>
          <w:tcPr>
            <w:tcW w:w="1951" w:type="dxa"/>
            <w:tcBorders>
              <w:top w:val="single" w:sz="4" w:space="0" w:color="auto"/>
              <w:bottom w:val="single" w:sz="4" w:space="0" w:color="auto"/>
            </w:tcBorders>
            <w:shd w:val="clear" w:color="auto" w:fill="auto"/>
          </w:tcPr>
          <w:p w:rsidR="00D907AF" w:rsidRPr="0087485F" w:rsidRDefault="00D907AF" w:rsidP="00D4391E">
            <w:pPr>
              <w:spacing w:before="10" w:after="4"/>
              <w:rPr>
                <w:rFonts w:cstheme="minorHAnsi"/>
                <w:sz w:val="20"/>
                <w:szCs w:val="20"/>
              </w:rPr>
            </w:pPr>
            <w:bookmarkStart w:id="267" w:name="Title_3_25"/>
            <w:bookmarkEnd w:id="267"/>
          </w:p>
        </w:tc>
        <w:tc>
          <w:tcPr>
            <w:tcW w:w="1418" w:type="dxa"/>
            <w:tcBorders>
              <w:top w:val="single" w:sz="4" w:space="0" w:color="auto"/>
              <w:bottom w:val="single" w:sz="4" w:space="0" w:color="auto"/>
            </w:tcBorders>
            <w:shd w:val="clear" w:color="auto" w:fill="auto"/>
          </w:tcPr>
          <w:p w:rsidR="00D4391E" w:rsidRPr="00D4391E" w:rsidRDefault="00D4391E" w:rsidP="00651B15">
            <w:pPr>
              <w:spacing w:before="10" w:after="4"/>
              <w:jc w:val="center"/>
              <w:rPr>
                <w:rFonts w:cstheme="minorHAnsi"/>
                <w:sz w:val="20"/>
                <w:szCs w:val="20"/>
              </w:rPr>
            </w:pPr>
            <w:r w:rsidRPr="00D4391E">
              <w:rPr>
                <w:rFonts w:cstheme="minorHAnsi"/>
                <w:sz w:val="20"/>
                <w:szCs w:val="20"/>
              </w:rPr>
              <w:t>Children</w:t>
            </w:r>
          </w:p>
          <w:p w:rsidR="00D907AF" w:rsidRDefault="00D4391E" w:rsidP="00651B15">
            <w:pPr>
              <w:spacing w:before="10" w:after="4"/>
              <w:jc w:val="center"/>
              <w:rPr>
                <w:rFonts w:cstheme="minorHAnsi"/>
                <w:sz w:val="20"/>
                <w:szCs w:val="20"/>
              </w:rPr>
            </w:pPr>
            <w:r w:rsidRPr="00D4391E">
              <w:rPr>
                <w:rFonts w:cstheme="minorHAnsi"/>
                <w:sz w:val="20"/>
                <w:szCs w:val="20"/>
              </w:rPr>
              <w:t xml:space="preserve">3 </w:t>
            </w:r>
            <w:r w:rsidR="00FE3F0C">
              <w:rPr>
                <w:rFonts w:cstheme="minorHAnsi"/>
                <w:sz w:val="20"/>
                <w:szCs w:val="20"/>
              </w:rPr>
              <w:t>to</w:t>
            </w:r>
            <w:r w:rsidRPr="00D4391E">
              <w:rPr>
                <w:rFonts w:cstheme="minorHAnsi"/>
                <w:sz w:val="20"/>
                <w:szCs w:val="20"/>
              </w:rPr>
              <w:t xml:space="preserve"> 15 years</w:t>
            </w:r>
          </w:p>
          <w:p w:rsidR="00405F53" w:rsidRPr="0087485F" w:rsidRDefault="00405F53" w:rsidP="00651B15">
            <w:pPr>
              <w:spacing w:before="10" w:after="4"/>
              <w:jc w:val="center"/>
              <w:rPr>
                <w:rFonts w:cstheme="minorHAnsi"/>
                <w:sz w:val="20"/>
                <w:szCs w:val="20"/>
              </w:rPr>
            </w:pPr>
            <w:r>
              <w:rPr>
                <w:rFonts w:cstheme="minorHAnsi"/>
                <w:sz w:val="20"/>
                <w:szCs w:val="20"/>
              </w:rPr>
              <w:t>Cases</w:t>
            </w:r>
          </w:p>
        </w:tc>
        <w:tc>
          <w:tcPr>
            <w:tcW w:w="1275" w:type="dxa"/>
            <w:tcBorders>
              <w:top w:val="single" w:sz="4" w:space="0" w:color="auto"/>
              <w:bottom w:val="single" w:sz="4" w:space="0" w:color="auto"/>
            </w:tcBorders>
            <w:shd w:val="clear" w:color="auto" w:fill="auto"/>
          </w:tcPr>
          <w:p w:rsidR="00D4391E" w:rsidRPr="00D4391E" w:rsidRDefault="00D4391E" w:rsidP="00D4391E">
            <w:pPr>
              <w:spacing w:before="10" w:after="4"/>
              <w:jc w:val="center"/>
              <w:rPr>
                <w:rFonts w:cstheme="minorHAnsi"/>
                <w:sz w:val="20"/>
                <w:szCs w:val="20"/>
              </w:rPr>
            </w:pPr>
            <w:r w:rsidRPr="00D4391E">
              <w:rPr>
                <w:rFonts w:cstheme="minorHAnsi"/>
                <w:sz w:val="20"/>
                <w:szCs w:val="20"/>
              </w:rPr>
              <w:t>Children</w:t>
            </w:r>
          </w:p>
          <w:p w:rsidR="00651B15" w:rsidRDefault="00D4391E" w:rsidP="001F79E9">
            <w:pPr>
              <w:spacing w:before="10" w:after="4"/>
              <w:jc w:val="center"/>
              <w:rPr>
                <w:rFonts w:cstheme="minorHAnsi"/>
                <w:sz w:val="20"/>
                <w:szCs w:val="20"/>
              </w:rPr>
            </w:pPr>
            <w:r w:rsidRPr="00D4391E">
              <w:rPr>
                <w:rFonts w:cstheme="minorHAnsi"/>
                <w:sz w:val="20"/>
                <w:szCs w:val="20"/>
              </w:rPr>
              <w:t>3</w:t>
            </w:r>
            <w:r w:rsidR="00FE3F0C">
              <w:rPr>
                <w:rFonts w:cstheme="minorHAnsi"/>
                <w:sz w:val="20"/>
                <w:szCs w:val="20"/>
              </w:rPr>
              <w:t xml:space="preserve"> to </w:t>
            </w:r>
            <w:r w:rsidRPr="00D4391E">
              <w:rPr>
                <w:rFonts w:cstheme="minorHAnsi"/>
                <w:sz w:val="20"/>
                <w:szCs w:val="20"/>
              </w:rPr>
              <w:t>15 years</w:t>
            </w:r>
          </w:p>
          <w:p w:rsidR="00D907AF" w:rsidRPr="0087485F" w:rsidRDefault="00D4391E" w:rsidP="001F79E9">
            <w:pPr>
              <w:spacing w:before="10" w:after="4"/>
              <w:jc w:val="center"/>
              <w:rPr>
                <w:rFonts w:cstheme="minorHAnsi"/>
                <w:sz w:val="20"/>
                <w:szCs w:val="20"/>
              </w:rPr>
            </w:pPr>
            <w:r>
              <w:rPr>
                <w:rFonts w:cstheme="minorHAnsi"/>
                <w:sz w:val="20"/>
                <w:szCs w:val="20"/>
              </w:rPr>
              <w:t xml:space="preserve"> </w:t>
            </w:r>
            <w:r w:rsidR="00D907AF" w:rsidRPr="0087485F">
              <w:rPr>
                <w:rFonts w:cstheme="minorHAnsi"/>
                <w:sz w:val="20"/>
                <w:szCs w:val="20"/>
              </w:rPr>
              <w:t>%</w:t>
            </w:r>
          </w:p>
        </w:tc>
        <w:tc>
          <w:tcPr>
            <w:tcW w:w="851" w:type="dxa"/>
            <w:tcBorders>
              <w:top w:val="single" w:sz="4" w:space="0" w:color="auto"/>
              <w:bottom w:val="single" w:sz="4" w:space="0" w:color="auto"/>
            </w:tcBorders>
            <w:shd w:val="clear" w:color="auto" w:fill="auto"/>
          </w:tcPr>
          <w:p w:rsidR="00821370" w:rsidRDefault="00D4391E" w:rsidP="00651B15">
            <w:pPr>
              <w:spacing w:before="10" w:after="4"/>
              <w:ind w:right="-108"/>
              <w:jc w:val="center"/>
              <w:rPr>
                <w:rFonts w:cstheme="minorHAnsi"/>
                <w:sz w:val="20"/>
                <w:szCs w:val="20"/>
              </w:rPr>
            </w:pPr>
            <w:r w:rsidRPr="00D4391E">
              <w:rPr>
                <w:rFonts w:cstheme="minorHAnsi"/>
                <w:sz w:val="20"/>
                <w:szCs w:val="20"/>
              </w:rPr>
              <w:t>Adults</w:t>
            </w:r>
            <w:r w:rsidR="00651B15">
              <w:rPr>
                <w:rFonts w:cstheme="minorHAnsi"/>
                <w:sz w:val="20"/>
                <w:szCs w:val="20"/>
              </w:rPr>
              <w:t xml:space="preserve"> </w:t>
            </w:r>
          </w:p>
          <w:p w:rsidR="00D907AF" w:rsidRDefault="00D4391E" w:rsidP="00651B15">
            <w:pPr>
              <w:spacing w:before="10" w:after="4"/>
              <w:ind w:right="-108"/>
              <w:jc w:val="center"/>
              <w:rPr>
                <w:rFonts w:cstheme="minorHAnsi"/>
                <w:sz w:val="20"/>
                <w:szCs w:val="20"/>
              </w:rPr>
            </w:pPr>
            <w:r w:rsidRPr="00D4391E">
              <w:rPr>
                <w:rFonts w:cstheme="minorHAnsi"/>
                <w:sz w:val="20"/>
                <w:szCs w:val="20"/>
              </w:rPr>
              <w:t>16+</w:t>
            </w:r>
          </w:p>
          <w:p w:rsidR="00405F53" w:rsidRPr="0087485F" w:rsidRDefault="00405F53" w:rsidP="00651B15">
            <w:pPr>
              <w:spacing w:before="10" w:after="4"/>
              <w:ind w:right="-108"/>
              <w:jc w:val="center"/>
              <w:rPr>
                <w:rFonts w:cstheme="minorHAnsi"/>
                <w:sz w:val="20"/>
                <w:szCs w:val="20"/>
              </w:rPr>
            </w:pPr>
            <w:r>
              <w:rPr>
                <w:rFonts w:cstheme="minorHAnsi"/>
                <w:sz w:val="20"/>
                <w:szCs w:val="20"/>
              </w:rPr>
              <w:t>Cases</w:t>
            </w:r>
          </w:p>
        </w:tc>
        <w:tc>
          <w:tcPr>
            <w:tcW w:w="992" w:type="dxa"/>
            <w:tcBorders>
              <w:top w:val="single" w:sz="4" w:space="0" w:color="auto"/>
              <w:bottom w:val="single" w:sz="4" w:space="0" w:color="auto"/>
            </w:tcBorders>
            <w:shd w:val="clear" w:color="auto" w:fill="auto"/>
          </w:tcPr>
          <w:p w:rsidR="00821370" w:rsidRDefault="00D4391E" w:rsidP="00651B15">
            <w:pPr>
              <w:spacing w:before="10" w:after="4"/>
              <w:jc w:val="center"/>
              <w:rPr>
                <w:rFonts w:cstheme="minorHAnsi"/>
                <w:sz w:val="20"/>
                <w:szCs w:val="20"/>
              </w:rPr>
            </w:pPr>
            <w:r w:rsidRPr="00D4391E">
              <w:rPr>
                <w:rFonts w:cstheme="minorHAnsi"/>
                <w:sz w:val="20"/>
                <w:szCs w:val="20"/>
              </w:rPr>
              <w:t>Adults</w:t>
            </w:r>
            <w:r w:rsidR="00651B15">
              <w:rPr>
                <w:rFonts w:cstheme="minorHAnsi"/>
                <w:sz w:val="20"/>
                <w:szCs w:val="20"/>
              </w:rPr>
              <w:t xml:space="preserve"> </w:t>
            </w:r>
          </w:p>
          <w:p w:rsidR="00651B15" w:rsidRDefault="002C2C86" w:rsidP="00651B15">
            <w:pPr>
              <w:spacing w:before="10" w:after="4"/>
              <w:jc w:val="center"/>
              <w:rPr>
                <w:rFonts w:cstheme="minorHAnsi"/>
                <w:sz w:val="20"/>
                <w:szCs w:val="20"/>
              </w:rPr>
            </w:pPr>
            <w:r>
              <w:rPr>
                <w:rFonts w:cstheme="minorHAnsi"/>
                <w:sz w:val="20"/>
                <w:szCs w:val="20"/>
              </w:rPr>
              <w:t>16</w:t>
            </w:r>
            <w:r w:rsidR="00D4391E" w:rsidRPr="00D4391E">
              <w:rPr>
                <w:rFonts w:cstheme="minorHAnsi"/>
                <w:sz w:val="20"/>
                <w:szCs w:val="20"/>
              </w:rPr>
              <w:t>+</w:t>
            </w:r>
            <w:r w:rsidR="006C2E8C">
              <w:rPr>
                <w:rFonts w:cstheme="minorHAnsi"/>
                <w:sz w:val="20"/>
                <w:szCs w:val="20"/>
              </w:rPr>
              <w:t xml:space="preserve"> </w:t>
            </w:r>
            <w:r w:rsidR="00D4391E">
              <w:rPr>
                <w:rFonts w:cstheme="minorHAnsi"/>
                <w:sz w:val="20"/>
                <w:szCs w:val="20"/>
              </w:rPr>
              <w:t xml:space="preserve"> </w:t>
            </w:r>
          </w:p>
          <w:p w:rsidR="00D907AF" w:rsidRPr="0087485F" w:rsidRDefault="00D907AF" w:rsidP="001F79E9">
            <w:pPr>
              <w:spacing w:before="10" w:after="4"/>
              <w:jc w:val="center"/>
              <w:rPr>
                <w:rFonts w:cstheme="minorHAnsi"/>
                <w:sz w:val="20"/>
                <w:szCs w:val="20"/>
              </w:rPr>
            </w:pPr>
            <w:r w:rsidRPr="0087485F">
              <w:rPr>
                <w:rFonts w:cstheme="minorHAnsi"/>
                <w:sz w:val="20"/>
                <w:szCs w:val="20"/>
              </w:rPr>
              <w:t>%</w:t>
            </w:r>
          </w:p>
        </w:tc>
        <w:tc>
          <w:tcPr>
            <w:tcW w:w="708" w:type="dxa"/>
            <w:tcBorders>
              <w:top w:val="single" w:sz="4" w:space="0" w:color="auto"/>
              <w:bottom w:val="single" w:sz="4" w:space="0" w:color="auto"/>
            </w:tcBorders>
            <w:shd w:val="clear" w:color="auto" w:fill="auto"/>
            <w:vAlign w:val="bottom"/>
          </w:tcPr>
          <w:p w:rsidR="00D907AF" w:rsidRDefault="00D4391E" w:rsidP="00405F53">
            <w:pPr>
              <w:spacing w:before="10" w:after="4"/>
              <w:jc w:val="center"/>
              <w:rPr>
                <w:rFonts w:cstheme="minorHAnsi"/>
                <w:sz w:val="20"/>
                <w:szCs w:val="20"/>
              </w:rPr>
            </w:pPr>
            <w:r w:rsidRPr="0087485F">
              <w:rPr>
                <w:rFonts w:cstheme="minorHAnsi"/>
                <w:sz w:val="20"/>
                <w:szCs w:val="20"/>
              </w:rPr>
              <w:t>Total</w:t>
            </w:r>
          </w:p>
          <w:p w:rsidR="00405F53" w:rsidRPr="0087485F" w:rsidRDefault="00405F53" w:rsidP="00405F53">
            <w:pPr>
              <w:spacing w:before="10" w:after="4"/>
              <w:jc w:val="center"/>
              <w:rPr>
                <w:rFonts w:cstheme="minorHAnsi"/>
                <w:sz w:val="20"/>
                <w:szCs w:val="20"/>
              </w:rPr>
            </w:pPr>
            <w:r>
              <w:rPr>
                <w:rFonts w:cstheme="minorHAnsi"/>
                <w:sz w:val="20"/>
                <w:szCs w:val="20"/>
              </w:rPr>
              <w:t>Cases</w:t>
            </w:r>
          </w:p>
        </w:tc>
        <w:tc>
          <w:tcPr>
            <w:tcW w:w="993" w:type="dxa"/>
            <w:tcBorders>
              <w:top w:val="single" w:sz="4" w:space="0" w:color="auto"/>
              <w:bottom w:val="single" w:sz="4" w:space="0" w:color="auto"/>
            </w:tcBorders>
            <w:shd w:val="clear" w:color="auto" w:fill="auto"/>
            <w:vAlign w:val="bottom"/>
          </w:tcPr>
          <w:p w:rsidR="00651B15" w:rsidRDefault="00D4391E" w:rsidP="00501C3B">
            <w:pPr>
              <w:spacing w:before="10" w:after="4"/>
              <w:jc w:val="center"/>
              <w:rPr>
                <w:rFonts w:cstheme="minorHAnsi"/>
                <w:sz w:val="20"/>
                <w:szCs w:val="20"/>
              </w:rPr>
            </w:pPr>
            <w:r w:rsidRPr="00D4391E">
              <w:rPr>
                <w:rFonts w:cstheme="minorHAnsi"/>
                <w:sz w:val="20"/>
                <w:szCs w:val="20"/>
              </w:rPr>
              <w:t>Total</w:t>
            </w:r>
          </w:p>
          <w:p w:rsidR="00D907AF" w:rsidRPr="0087485F" w:rsidRDefault="00D907AF" w:rsidP="00501C3B">
            <w:pPr>
              <w:spacing w:before="10" w:after="4"/>
              <w:jc w:val="center"/>
              <w:rPr>
                <w:rFonts w:cstheme="minorHAnsi"/>
                <w:sz w:val="20"/>
                <w:szCs w:val="20"/>
              </w:rPr>
            </w:pPr>
            <w:r w:rsidRPr="0087485F">
              <w:rPr>
                <w:rFonts w:cstheme="minorHAnsi"/>
                <w:sz w:val="20"/>
                <w:szCs w:val="20"/>
              </w:rPr>
              <w:t>%</w:t>
            </w:r>
          </w:p>
        </w:tc>
      </w:tr>
      <w:tr w:rsidR="00D907AF" w:rsidRPr="0087485F" w:rsidTr="00972FCC">
        <w:trPr>
          <w:cantSplit/>
        </w:trPr>
        <w:tc>
          <w:tcPr>
            <w:tcW w:w="1951" w:type="dxa"/>
            <w:shd w:val="clear" w:color="auto" w:fill="auto"/>
          </w:tcPr>
          <w:p w:rsidR="00D907AF" w:rsidRPr="0087485F" w:rsidRDefault="00D907AF" w:rsidP="001032EF">
            <w:pPr>
              <w:spacing w:before="10" w:after="4"/>
              <w:rPr>
                <w:rFonts w:cstheme="minorHAnsi"/>
                <w:sz w:val="20"/>
                <w:szCs w:val="20"/>
              </w:rPr>
            </w:pPr>
            <w:r w:rsidRPr="0087485F">
              <w:rPr>
                <w:rFonts w:cstheme="minorHAnsi"/>
                <w:sz w:val="20"/>
                <w:szCs w:val="20"/>
              </w:rPr>
              <w:t>Yes</w:t>
            </w:r>
          </w:p>
        </w:tc>
        <w:tc>
          <w:tcPr>
            <w:tcW w:w="1418" w:type="dxa"/>
            <w:shd w:val="clear" w:color="auto" w:fill="auto"/>
            <w:vAlign w:val="center"/>
          </w:tcPr>
          <w:p w:rsidR="00D907AF" w:rsidRPr="0087485F" w:rsidRDefault="00D907AF" w:rsidP="00C53883">
            <w:pPr>
              <w:spacing w:before="10" w:after="4"/>
              <w:ind w:right="454"/>
              <w:jc w:val="right"/>
              <w:rPr>
                <w:rFonts w:cstheme="minorHAnsi"/>
                <w:color w:val="000000"/>
                <w:sz w:val="20"/>
                <w:szCs w:val="20"/>
              </w:rPr>
            </w:pPr>
            <w:r w:rsidRPr="0087485F">
              <w:rPr>
                <w:rFonts w:cstheme="minorHAnsi"/>
                <w:color w:val="000000"/>
                <w:sz w:val="20"/>
                <w:szCs w:val="20"/>
              </w:rPr>
              <w:t>688</w:t>
            </w:r>
          </w:p>
        </w:tc>
        <w:tc>
          <w:tcPr>
            <w:tcW w:w="1275" w:type="dxa"/>
            <w:shd w:val="clear" w:color="auto" w:fill="auto"/>
            <w:vAlign w:val="center"/>
          </w:tcPr>
          <w:p w:rsidR="00D907AF" w:rsidRPr="0087485F" w:rsidRDefault="00D907AF" w:rsidP="00884536">
            <w:pPr>
              <w:spacing w:before="10" w:after="4"/>
              <w:ind w:right="397"/>
              <w:jc w:val="right"/>
              <w:rPr>
                <w:rFonts w:cstheme="minorHAnsi"/>
                <w:color w:val="000000"/>
                <w:sz w:val="20"/>
                <w:szCs w:val="20"/>
              </w:rPr>
            </w:pPr>
            <w:r w:rsidRPr="0087485F">
              <w:rPr>
                <w:rFonts w:cstheme="minorHAnsi"/>
                <w:color w:val="000000"/>
                <w:sz w:val="20"/>
                <w:szCs w:val="20"/>
              </w:rPr>
              <w:t>97.7</w:t>
            </w:r>
          </w:p>
        </w:tc>
        <w:tc>
          <w:tcPr>
            <w:tcW w:w="851" w:type="dxa"/>
            <w:shd w:val="clear" w:color="auto" w:fill="auto"/>
            <w:vAlign w:val="center"/>
          </w:tcPr>
          <w:p w:rsidR="00D907AF" w:rsidRPr="0087485F" w:rsidRDefault="00D907AF" w:rsidP="00C53883">
            <w:pPr>
              <w:spacing w:before="10" w:after="4"/>
              <w:ind w:right="113"/>
              <w:jc w:val="right"/>
              <w:rPr>
                <w:rFonts w:cstheme="minorHAnsi"/>
                <w:color w:val="000000"/>
                <w:sz w:val="20"/>
                <w:szCs w:val="20"/>
              </w:rPr>
            </w:pPr>
            <w:r w:rsidRPr="0087485F">
              <w:rPr>
                <w:rFonts w:cstheme="minorHAnsi"/>
                <w:color w:val="000000"/>
                <w:sz w:val="20"/>
                <w:szCs w:val="20"/>
              </w:rPr>
              <w:t>189</w:t>
            </w:r>
          </w:p>
        </w:tc>
        <w:tc>
          <w:tcPr>
            <w:tcW w:w="992" w:type="dxa"/>
            <w:shd w:val="clear" w:color="auto" w:fill="auto"/>
            <w:vAlign w:val="center"/>
          </w:tcPr>
          <w:p w:rsidR="00D907AF" w:rsidRPr="0087485F" w:rsidRDefault="00D907AF" w:rsidP="00C53883">
            <w:pPr>
              <w:spacing w:before="10" w:after="4"/>
              <w:ind w:right="170"/>
              <w:jc w:val="right"/>
              <w:rPr>
                <w:rFonts w:cstheme="minorHAnsi"/>
                <w:color w:val="000000"/>
                <w:sz w:val="20"/>
                <w:szCs w:val="20"/>
              </w:rPr>
            </w:pPr>
            <w:r w:rsidRPr="0087485F">
              <w:rPr>
                <w:rFonts w:cstheme="minorHAnsi"/>
                <w:color w:val="000000"/>
                <w:sz w:val="20"/>
                <w:szCs w:val="20"/>
              </w:rPr>
              <w:t>17.1</w:t>
            </w:r>
          </w:p>
        </w:tc>
        <w:tc>
          <w:tcPr>
            <w:tcW w:w="708" w:type="dxa"/>
            <w:shd w:val="clear" w:color="auto" w:fill="auto"/>
            <w:vAlign w:val="center"/>
          </w:tcPr>
          <w:p w:rsidR="00D907AF" w:rsidRPr="0087485F" w:rsidRDefault="00D907AF" w:rsidP="00C53883">
            <w:pPr>
              <w:spacing w:before="10" w:after="4"/>
              <w:jc w:val="right"/>
              <w:rPr>
                <w:rFonts w:cstheme="minorHAnsi"/>
                <w:color w:val="000000"/>
                <w:sz w:val="20"/>
                <w:szCs w:val="20"/>
              </w:rPr>
            </w:pPr>
            <w:r w:rsidRPr="0087485F">
              <w:rPr>
                <w:rFonts w:cstheme="minorHAnsi"/>
                <w:color w:val="000000"/>
                <w:sz w:val="20"/>
                <w:szCs w:val="20"/>
              </w:rPr>
              <w:t>877</w:t>
            </w:r>
          </w:p>
        </w:tc>
        <w:tc>
          <w:tcPr>
            <w:tcW w:w="993" w:type="dxa"/>
            <w:shd w:val="clear" w:color="auto" w:fill="auto"/>
            <w:vAlign w:val="center"/>
          </w:tcPr>
          <w:p w:rsidR="00D907AF" w:rsidRPr="0087485F" w:rsidRDefault="00D907AF" w:rsidP="00E20A19">
            <w:pPr>
              <w:spacing w:before="10" w:after="4"/>
              <w:ind w:right="87"/>
              <w:jc w:val="right"/>
              <w:rPr>
                <w:rFonts w:cstheme="minorHAnsi"/>
                <w:color w:val="000000"/>
                <w:sz w:val="20"/>
                <w:szCs w:val="20"/>
              </w:rPr>
            </w:pPr>
            <w:r w:rsidRPr="0087485F">
              <w:rPr>
                <w:rFonts w:cstheme="minorHAnsi"/>
                <w:color w:val="000000"/>
                <w:sz w:val="20"/>
                <w:szCs w:val="20"/>
              </w:rPr>
              <w:t>48.4</w:t>
            </w:r>
          </w:p>
        </w:tc>
      </w:tr>
      <w:tr w:rsidR="00D907AF" w:rsidRPr="0087485F" w:rsidTr="00972FCC">
        <w:trPr>
          <w:cantSplit/>
        </w:trPr>
        <w:tc>
          <w:tcPr>
            <w:tcW w:w="1951" w:type="dxa"/>
            <w:shd w:val="clear" w:color="auto" w:fill="auto"/>
          </w:tcPr>
          <w:p w:rsidR="00D907AF" w:rsidRPr="0087485F" w:rsidRDefault="00D907AF" w:rsidP="001032EF">
            <w:pPr>
              <w:spacing w:before="10" w:after="4"/>
              <w:rPr>
                <w:rFonts w:cstheme="minorHAnsi"/>
                <w:sz w:val="20"/>
                <w:szCs w:val="20"/>
              </w:rPr>
            </w:pPr>
            <w:r w:rsidRPr="0087485F">
              <w:rPr>
                <w:rFonts w:cstheme="minorHAnsi"/>
                <w:sz w:val="20"/>
                <w:szCs w:val="20"/>
              </w:rPr>
              <w:t>No</w:t>
            </w:r>
          </w:p>
        </w:tc>
        <w:tc>
          <w:tcPr>
            <w:tcW w:w="1418" w:type="dxa"/>
            <w:shd w:val="clear" w:color="auto" w:fill="auto"/>
            <w:vAlign w:val="center"/>
          </w:tcPr>
          <w:p w:rsidR="00D907AF" w:rsidRPr="0087485F" w:rsidRDefault="00D907AF" w:rsidP="00C53883">
            <w:pPr>
              <w:spacing w:before="10" w:after="4"/>
              <w:ind w:right="454"/>
              <w:jc w:val="right"/>
              <w:rPr>
                <w:rFonts w:cstheme="minorHAnsi"/>
                <w:color w:val="000000"/>
                <w:sz w:val="20"/>
                <w:szCs w:val="20"/>
              </w:rPr>
            </w:pPr>
            <w:r w:rsidRPr="0087485F">
              <w:rPr>
                <w:rFonts w:cstheme="minorHAnsi"/>
                <w:color w:val="000000"/>
                <w:sz w:val="20"/>
                <w:szCs w:val="20"/>
              </w:rPr>
              <w:t>15</w:t>
            </w:r>
          </w:p>
        </w:tc>
        <w:tc>
          <w:tcPr>
            <w:tcW w:w="1275" w:type="dxa"/>
            <w:shd w:val="clear" w:color="auto" w:fill="auto"/>
            <w:vAlign w:val="center"/>
          </w:tcPr>
          <w:p w:rsidR="00D907AF" w:rsidRPr="0087485F" w:rsidRDefault="00D907AF" w:rsidP="00884536">
            <w:pPr>
              <w:spacing w:before="10" w:after="4"/>
              <w:ind w:right="397"/>
              <w:jc w:val="right"/>
              <w:rPr>
                <w:rFonts w:cstheme="minorHAnsi"/>
                <w:color w:val="000000"/>
                <w:sz w:val="20"/>
                <w:szCs w:val="20"/>
              </w:rPr>
            </w:pPr>
            <w:r w:rsidRPr="0087485F">
              <w:rPr>
                <w:rFonts w:cstheme="minorHAnsi"/>
                <w:color w:val="000000"/>
                <w:sz w:val="20"/>
                <w:szCs w:val="20"/>
              </w:rPr>
              <w:t>2.1</w:t>
            </w:r>
          </w:p>
        </w:tc>
        <w:tc>
          <w:tcPr>
            <w:tcW w:w="851" w:type="dxa"/>
            <w:shd w:val="clear" w:color="auto" w:fill="auto"/>
            <w:vAlign w:val="center"/>
          </w:tcPr>
          <w:p w:rsidR="00D907AF" w:rsidRPr="0087485F" w:rsidRDefault="00D907AF" w:rsidP="00C53883">
            <w:pPr>
              <w:spacing w:before="10" w:after="4"/>
              <w:ind w:right="113"/>
              <w:jc w:val="right"/>
              <w:rPr>
                <w:rFonts w:cstheme="minorHAnsi"/>
                <w:color w:val="000000"/>
                <w:sz w:val="20"/>
                <w:szCs w:val="20"/>
              </w:rPr>
            </w:pPr>
            <w:r w:rsidRPr="0087485F">
              <w:rPr>
                <w:rFonts w:cstheme="minorHAnsi"/>
                <w:color w:val="000000"/>
                <w:sz w:val="20"/>
                <w:szCs w:val="20"/>
              </w:rPr>
              <w:t>909</w:t>
            </w:r>
          </w:p>
        </w:tc>
        <w:tc>
          <w:tcPr>
            <w:tcW w:w="992" w:type="dxa"/>
            <w:shd w:val="clear" w:color="auto" w:fill="auto"/>
            <w:vAlign w:val="center"/>
          </w:tcPr>
          <w:p w:rsidR="00D907AF" w:rsidRPr="0087485F" w:rsidRDefault="00D907AF" w:rsidP="00C53883">
            <w:pPr>
              <w:spacing w:before="10" w:after="4"/>
              <w:ind w:right="170"/>
              <w:jc w:val="right"/>
              <w:rPr>
                <w:rFonts w:cstheme="minorHAnsi"/>
                <w:color w:val="000000"/>
                <w:sz w:val="20"/>
                <w:szCs w:val="20"/>
              </w:rPr>
            </w:pPr>
            <w:r w:rsidRPr="0087485F">
              <w:rPr>
                <w:rFonts w:cstheme="minorHAnsi"/>
                <w:color w:val="000000"/>
                <w:sz w:val="20"/>
                <w:szCs w:val="20"/>
              </w:rPr>
              <w:t>82.1</w:t>
            </w:r>
          </w:p>
        </w:tc>
        <w:tc>
          <w:tcPr>
            <w:tcW w:w="708" w:type="dxa"/>
            <w:shd w:val="clear" w:color="auto" w:fill="auto"/>
            <w:vAlign w:val="center"/>
          </w:tcPr>
          <w:p w:rsidR="00D907AF" w:rsidRPr="0087485F" w:rsidRDefault="00D907AF" w:rsidP="00C53883">
            <w:pPr>
              <w:spacing w:before="10" w:after="4"/>
              <w:jc w:val="right"/>
              <w:rPr>
                <w:rFonts w:cstheme="minorHAnsi"/>
                <w:color w:val="000000"/>
                <w:sz w:val="20"/>
                <w:szCs w:val="20"/>
              </w:rPr>
            </w:pPr>
            <w:r w:rsidRPr="0087485F">
              <w:rPr>
                <w:rFonts w:cstheme="minorHAnsi"/>
                <w:color w:val="000000"/>
                <w:sz w:val="20"/>
                <w:szCs w:val="20"/>
              </w:rPr>
              <w:t>924</w:t>
            </w:r>
          </w:p>
        </w:tc>
        <w:tc>
          <w:tcPr>
            <w:tcW w:w="993" w:type="dxa"/>
            <w:shd w:val="clear" w:color="auto" w:fill="auto"/>
            <w:vAlign w:val="center"/>
          </w:tcPr>
          <w:p w:rsidR="00D907AF" w:rsidRPr="0087485F" w:rsidRDefault="00D907AF" w:rsidP="00E20A19">
            <w:pPr>
              <w:spacing w:before="10" w:after="4"/>
              <w:ind w:right="87"/>
              <w:jc w:val="right"/>
              <w:rPr>
                <w:rFonts w:cstheme="minorHAnsi"/>
                <w:color w:val="000000"/>
                <w:sz w:val="20"/>
                <w:szCs w:val="20"/>
              </w:rPr>
            </w:pPr>
            <w:r w:rsidRPr="0087485F">
              <w:rPr>
                <w:rFonts w:cstheme="minorHAnsi"/>
                <w:color w:val="000000"/>
                <w:sz w:val="20"/>
                <w:szCs w:val="20"/>
              </w:rPr>
              <w:t>51.0</w:t>
            </w:r>
          </w:p>
        </w:tc>
      </w:tr>
      <w:tr w:rsidR="00D907AF" w:rsidRPr="0087485F" w:rsidTr="00972FCC">
        <w:trPr>
          <w:cantSplit/>
        </w:trPr>
        <w:tc>
          <w:tcPr>
            <w:tcW w:w="1951" w:type="dxa"/>
          </w:tcPr>
          <w:p w:rsidR="00D907AF" w:rsidRPr="0087485F" w:rsidRDefault="00D907AF" w:rsidP="001032EF">
            <w:pPr>
              <w:spacing w:before="10" w:after="4"/>
              <w:rPr>
                <w:rFonts w:cstheme="minorHAnsi"/>
                <w:sz w:val="20"/>
                <w:szCs w:val="20"/>
              </w:rPr>
            </w:pPr>
            <w:r w:rsidRPr="0087485F">
              <w:rPr>
                <w:rFonts w:cstheme="minorHAnsi"/>
                <w:sz w:val="20"/>
                <w:szCs w:val="20"/>
              </w:rPr>
              <w:t>Don’t know</w:t>
            </w:r>
          </w:p>
        </w:tc>
        <w:tc>
          <w:tcPr>
            <w:tcW w:w="1418" w:type="dxa"/>
          </w:tcPr>
          <w:p w:rsidR="00D907AF" w:rsidRPr="0087485F" w:rsidRDefault="00D907AF" w:rsidP="00C53883">
            <w:pPr>
              <w:spacing w:before="10" w:after="4"/>
              <w:ind w:right="454"/>
              <w:jc w:val="right"/>
              <w:rPr>
                <w:rFonts w:cstheme="minorHAnsi"/>
                <w:color w:val="000000"/>
                <w:sz w:val="20"/>
                <w:szCs w:val="20"/>
              </w:rPr>
            </w:pPr>
            <w:r w:rsidRPr="0087485F">
              <w:rPr>
                <w:rFonts w:cstheme="minorHAnsi"/>
                <w:color w:val="000000"/>
                <w:sz w:val="20"/>
                <w:szCs w:val="20"/>
              </w:rPr>
              <w:t>0</w:t>
            </w:r>
          </w:p>
        </w:tc>
        <w:tc>
          <w:tcPr>
            <w:tcW w:w="1275" w:type="dxa"/>
          </w:tcPr>
          <w:p w:rsidR="00D907AF" w:rsidRPr="0087485F" w:rsidRDefault="00D907AF" w:rsidP="00884536">
            <w:pPr>
              <w:spacing w:before="10" w:after="4"/>
              <w:ind w:right="397"/>
              <w:jc w:val="right"/>
              <w:rPr>
                <w:rFonts w:cstheme="minorHAnsi"/>
                <w:color w:val="000000"/>
                <w:sz w:val="20"/>
                <w:szCs w:val="20"/>
              </w:rPr>
            </w:pPr>
            <w:r w:rsidRPr="0087485F">
              <w:rPr>
                <w:rFonts w:cstheme="minorHAnsi"/>
                <w:color w:val="000000"/>
                <w:sz w:val="20"/>
                <w:szCs w:val="20"/>
              </w:rPr>
              <w:t>0.0</w:t>
            </w:r>
          </w:p>
        </w:tc>
        <w:tc>
          <w:tcPr>
            <w:tcW w:w="851" w:type="dxa"/>
          </w:tcPr>
          <w:p w:rsidR="00D907AF" w:rsidRPr="0087485F" w:rsidRDefault="00D907AF" w:rsidP="00C53883">
            <w:pPr>
              <w:spacing w:before="10" w:after="4"/>
              <w:ind w:right="113"/>
              <w:jc w:val="right"/>
              <w:rPr>
                <w:rFonts w:cstheme="minorHAnsi"/>
                <w:color w:val="000000"/>
                <w:sz w:val="20"/>
                <w:szCs w:val="20"/>
              </w:rPr>
            </w:pPr>
            <w:r w:rsidRPr="0087485F">
              <w:rPr>
                <w:rFonts w:cstheme="minorHAnsi"/>
                <w:color w:val="000000"/>
                <w:sz w:val="20"/>
                <w:szCs w:val="20"/>
              </w:rPr>
              <w:t>3</w:t>
            </w:r>
          </w:p>
        </w:tc>
        <w:tc>
          <w:tcPr>
            <w:tcW w:w="992" w:type="dxa"/>
          </w:tcPr>
          <w:p w:rsidR="00D907AF" w:rsidRPr="0087485F" w:rsidRDefault="00D907AF" w:rsidP="00C53883">
            <w:pPr>
              <w:spacing w:before="10" w:after="4"/>
              <w:ind w:right="170"/>
              <w:jc w:val="right"/>
              <w:rPr>
                <w:rFonts w:cstheme="minorHAnsi"/>
                <w:color w:val="000000"/>
                <w:sz w:val="20"/>
                <w:szCs w:val="20"/>
              </w:rPr>
            </w:pPr>
            <w:r w:rsidRPr="0087485F">
              <w:rPr>
                <w:rFonts w:cstheme="minorHAnsi"/>
                <w:color w:val="000000"/>
                <w:sz w:val="20"/>
                <w:szCs w:val="20"/>
              </w:rPr>
              <w:t>0.3</w:t>
            </w:r>
          </w:p>
        </w:tc>
        <w:tc>
          <w:tcPr>
            <w:tcW w:w="708" w:type="dxa"/>
          </w:tcPr>
          <w:p w:rsidR="00D907AF" w:rsidRPr="0087485F" w:rsidRDefault="00D907AF" w:rsidP="00C53883">
            <w:pPr>
              <w:spacing w:before="10" w:after="4"/>
              <w:jc w:val="right"/>
              <w:rPr>
                <w:rFonts w:cstheme="minorHAnsi"/>
                <w:color w:val="000000"/>
                <w:sz w:val="20"/>
                <w:szCs w:val="20"/>
              </w:rPr>
            </w:pPr>
            <w:r w:rsidRPr="0087485F">
              <w:rPr>
                <w:rFonts w:cstheme="minorHAnsi"/>
                <w:color w:val="000000"/>
                <w:sz w:val="20"/>
                <w:szCs w:val="20"/>
              </w:rPr>
              <w:t>3</w:t>
            </w:r>
          </w:p>
        </w:tc>
        <w:tc>
          <w:tcPr>
            <w:tcW w:w="993" w:type="dxa"/>
          </w:tcPr>
          <w:p w:rsidR="00D907AF" w:rsidRPr="0087485F" w:rsidRDefault="00D907AF" w:rsidP="00E20A19">
            <w:pPr>
              <w:spacing w:before="10" w:after="4"/>
              <w:ind w:right="87"/>
              <w:jc w:val="right"/>
              <w:rPr>
                <w:rFonts w:cstheme="minorHAnsi"/>
                <w:color w:val="000000"/>
                <w:sz w:val="20"/>
                <w:szCs w:val="20"/>
              </w:rPr>
            </w:pPr>
            <w:r w:rsidRPr="0087485F">
              <w:rPr>
                <w:rFonts w:cstheme="minorHAnsi"/>
                <w:color w:val="000000"/>
                <w:sz w:val="20"/>
                <w:szCs w:val="20"/>
              </w:rPr>
              <w:t>0.2</w:t>
            </w:r>
          </w:p>
        </w:tc>
      </w:tr>
      <w:tr w:rsidR="00D907AF" w:rsidRPr="0087485F" w:rsidTr="00972FCC">
        <w:trPr>
          <w:cantSplit/>
        </w:trPr>
        <w:tc>
          <w:tcPr>
            <w:tcW w:w="1951" w:type="dxa"/>
            <w:tcBorders>
              <w:bottom w:val="single" w:sz="4" w:space="0" w:color="auto"/>
            </w:tcBorders>
            <w:shd w:val="clear" w:color="auto" w:fill="auto"/>
          </w:tcPr>
          <w:p w:rsidR="00D907AF" w:rsidRPr="0087485F" w:rsidRDefault="00D907AF" w:rsidP="001032EF">
            <w:pPr>
              <w:spacing w:before="10" w:after="4"/>
              <w:rPr>
                <w:rFonts w:cstheme="minorHAnsi"/>
                <w:sz w:val="20"/>
                <w:szCs w:val="20"/>
              </w:rPr>
            </w:pPr>
            <w:r w:rsidRPr="0087485F">
              <w:rPr>
                <w:rFonts w:cstheme="minorHAnsi"/>
                <w:sz w:val="20"/>
                <w:szCs w:val="20"/>
              </w:rPr>
              <w:t xml:space="preserve">Missing </w:t>
            </w:r>
          </w:p>
        </w:tc>
        <w:tc>
          <w:tcPr>
            <w:tcW w:w="1418" w:type="dxa"/>
            <w:tcBorders>
              <w:bottom w:val="single" w:sz="4" w:space="0" w:color="auto"/>
            </w:tcBorders>
            <w:shd w:val="clear" w:color="auto" w:fill="auto"/>
            <w:vAlign w:val="center"/>
          </w:tcPr>
          <w:p w:rsidR="00D907AF" w:rsidRPr="0087485F" w:rsidRDefault="00D907AF" w:rsidP="00C53883">
            <w:pPr>
              <w:spacing w:before="10" w:after="4"/>
              <w:ind w:right="454"/>
              <w:jc w:val="right"/>
              <w:rPr>
                <w:rFonts w:cstheme="minorHAnsi"/>
                <w:color w:val="000000"/>
                <w:sz w:val="20"/>
                <w:szCs w:val="20"/>
              </w:rPr>
            </w:pPr>
            <w:r w:rsidRPr="0087485F">
              <w:rPr>
                <w:rFonts w:cstheme="minorHAnsi"/>
                <w:color w:val="000000"/>
                <w:sz w:val="20"/>
                <w:szCs w:val="20"/>
              </w:rPr>
              <w:t>1</w:t>
            </w:r>
          </w:p>
        </w:tc>
        <w:tc>
          <w:tcPr>
            <w:tcW w:w="1275" w:type="dxa"/>
            <w:tcBorders>
              <w:bottom w:val="single" w:sz="4" w:space="0" w:color="auto"/>
            </w:tcBorders>
            <w:shd w:val="clear" w:color="auto" w:fill="auto"/>
            <w:vAlign w:val="center"/>
          </w:tcPr>
          <w:p w:rsidR="00D907AF" w:rsidRPr="0087485F" w:rsidRDefault="00D907AF" w:rsidP="00884536">
            <w:pPr>
              <w:spacing w:before="10" w:after="4"/>
              <w:ind w:right="397"/>
              <w:jc w:val="right"/>
              <w:rPr>
                <w:rFonts w:cstheme="minorHAnsi"/>
                <w:color w:val="000000"/>
                <w:sz w:val="20"/>
                <w:szCs w:val="20"/>
              </w:rPr>
            </w:pPr>
            <w:r w:rsidRPr="0087485F">
              <w:rPr>
                <w:rFonts w:cstheme="minorHAnsi"/>
                <w:color w:val="000000"/>
                <w:sz w:val="20"/>
                <w:szCs w:val="20"/>
              </w:rPr>
              <w:t>0.1</w:t>
            </w:r>
          </w:p>
        </w:tc>
        <w:tc>
          <w:tcPr>
            <w:tcW w:w="851" w:type="dxa"/>
            <w:tcBorders>
              <w:bottom w:val="single" w:sz="4" w:space="0" w:color="auto"/>
            </w:tcBorders>
            <w:shd w:val="clear" w:color="auto" w:fill="auto"/>
            <w:vAlign w:val="center"/>
          </w:tcPr>
          <w:p w:rsidR="00D907AF" w:rsidRPr="0087485F" w:rsidRDefault="00D907AF" w:rsidP="00C53883">
            <w:pPr>
              <w:spacing w:before="10" w:after="4"/>
              <w:ind w:right="113"/>
              <w:jc w:val="right"/>
              <w:rPr>
                <w:rFonts w:cstheme="minorHAnsi"/>
                <w:color w:val="000000"/>
                <w:sz w:val="20"/>
                <w:szCs w:val="20"/>
              </w:rPr>
            </w:pPr>
            <w:r w:rsidRPr="0087485F">
              <w:rPr>
                <w:rFonts w:cstheme="minorHAnsi"/>
                <w:color w:val="000000"/>
                <w:sz w:val="20"/>
                <w:szCs w:val="20"/>
              </w:rPr>
              <w:t>6</w:t>
            </w:r>
          </w:p>
        </w:tc>
        <w:tc>
          <w:tcPr>
            <w:tcW w:w="992" w:type="dxa"/>
            <w:tcBorders>
              <w:bottom w:val="single" w:sz="4" w:space="0" w:color="auto"/>
            </w:tcBorders>
            <w:shd w:val="clear" w:color="auto" w:fill="auto"/>
            <w:vAlign w:val="center"/>
          </w:tcPr>
          <w:p w:rsidR="00D907AF" w:rsidRPr="0087485F" w:rsidRDefault="00D907AF" w:rsidP="00C53883">
            <w:pPr>
              <w:spacing w:before="10" w:after="4"/>
              <w:ind w:right="170"/>
              <w:jc w:val="right"/>
              <w:rPr>
                <w:rFonts w:cstheme="minorHAnsi"/>
                <w:color w:val="000000"/>
                <w:sz w:val="20"/>
                <w:szCs w:val="20"/>
              </w:rPr>
            </w:pPr>
            <w:r w:rsidRPr="0087485F">
              <w:rPr>
                <w:rFonts w:cstheme="minorHAnsi"/>
                <w:color w:val="000000"/>
                <w:sz w:val="20"/>
                <w:szCs w:val="20"/>
              </w:rPr>
              <w:t>0.5</w:t>
            </w:r>
          </w:p>
        </w:tc>
        <w:tc>
          <w:tcPr>
            <w:tcW w:w="708" w:type="dxa"/>
            <w:tcBorders>
              <w:bottom w:val="single" w:sz="4" w:space="0" w:color="auto"/>
            </w:tcBorders>
            <w:shd w:val="clear" w:color="auto" w:fill="auto"/>
            <w:vAlign w:val="center"/>
          </w:tcPr>
          <w:p w:rsidR="00D907AF" w:rsidRPr="0087485F" w:rsidRDefault="00D907AF" w:rsidP="00C53883">
            <w:pPr>
              <w:spacing w:before="10" w:after="4"/>
              <w:jc w:val="right"/>
              <w:rPr>
                <w:rFonts w:cstheme="minorHAnsi"/>
                <w:color w:val="000000"/>
                <w:sz w:val="20"/>
                <w:szCs w:val="20"/>
              </w:rPr>
            </w:pPr>
            <w:r w:rsidRPr="0087485F">
              <w:rPr>
                <w:rFonts w:cstheme="minorHAnsi"/>
                <w:color w:val="000000"/>
                <w:sz w:val="20"/>
                <w:szCs w:val="20"/>
              </w:rPr>
              <w:t>7</w:t>
            </w:r>
          </w:p>
        </w:tc>
        <w:tc>
          <w:tcPr>
            <w:tcW w:w="993" w:type="dxa"/>
            <w:tcBorders>
              <w:bottom w:val="single" w:sz="4" w:space="0" w:color="auto"/>
            </w:tcBorders>
            <w:shd w:val="clear" w:color="auto" w:fill="auto"/>
            <w:vAlign w:val="center"/>
          </w:tcPr>
          <w:p w:rsidR="00D907AF" w:rsidRPr="0087485F" w:rsidRDefault="00D907AF" w:rsidP="00E20A19">
            <w:pPr>
              <w:spacing w:before="10" w:after="4"/>
              <w:ind w:right="87"/>
              <w:jc w:val="right"/>
              <w:rPr>
                <w:rFonts w:cstheme="minorHAnsi"/>
                <w:color w:val="000000"/>
                <w:sz w:val="20"/>
                <w:szCs w:val="20"/>
              </w:rPr>
            </w:pPr>
            <w:r w:rsidRPr="0087485F">
              <w:rPr>
                <w:rFonts w:cstheme="minorHAnsi"/>
                <w:color w:val="000000"/>
                <w:sz w:val="20"/>
                <w:szCs w:val="20"/>
              </w:rPr>
              <w:t>0.4</w:t>
            </w:r>
          </w:p>
        </w:tc>
      </w:tr>
      <w:tr w:rsidR="00D907AF" w:rsidRPr="0087485F" w:rsidTr="00972FCC">
        <w:trPr>
          <w:cantSplit/>
        </w:trPr>
        <w:tc>
          <w:tcPr>
            <w:tcW w:w="1951" w:type="dxa"/>
            <w:tcBorders>
              <w:top w:val="single" w:sz="4" w:space="0" w:color="auto"/>
              <w:bottom w:val="single" w:sz="4" w:space="0" w:color="auto"/>
            </w:tcBorders>
            <w:shd w:val="clear" w:color="auto" w:fill="auto"/>
          </w:tcPr>
          <w:p w:rsidR="00D907AF" w:rsidRPr="0087485F" w:rsidRDefault="00D907AF" w:rsidP="001032EF">
            <w:pPr>
              <w:spacing w:before="10" w:after="4"/>
              <w:rPr>
                <w:rFonts w:cstheme="minorHAnsi"/>
                <w:b/>
                <w:sz w:val="20"/>
                <w:szCs w:val="20"/>
              </w:rPr>
            </w:pPr>
            <w:r w:rsidRPr="0087485F">
              <w:rPr>
                <w:rFonts w:cstheme="minorHAnsi"/>
                <w:b/>
                <w:sz w:val="20"/>
                <w:szCs w:val="20"/>
              </w:rPr>
              <w:t>Total</w:t>
            </w:r>
          </w:p>
        </w:tc>
        <w:tc>
          <w:tcPr>
            <w:tcW w:w="1418" w:type="dxa"/>
            <w:tcBorders>
              <w:top w:val="single" w:sz="4" w:space="0" w:color="auto"/>
              <w:bottom w:val="single" w:sz="4" w:space="0" w:color="auto"/>
            </w:tcBorders>
            <w:shd w:val="clear" w:color="auto" w:fill="auto"/>
          </w:tcPr>
          <w:p w:rsidR="00D907AF" w:rsidRPr="0087485F" w:rsidRDefault="00D907AF" w:rsidP="00C53883">
            <w:pPr>
              <w:spacing w:before="10" w:after="4"/>
              <w:ind w:right="454"/>
              <w:jc w:val="right"/>
              <w:rPr>
                <w:rFonts w:cstheme="minorHAnsi"/>
                <w:b/>
                <w:sz w:val="20"/>
                <w:szCs w:val="20"/>
              </w:rPr>
            </w:pPr>
            <w:r w:rsidRPr="0087485F">
              <w:rPr>
                <w:rFonts w:cstheme="minorHAnsi"/>
                <w:b/>
                <w:sz w:val="20"/>
                <w:szCs w:val="20"/>
              </w:rPr>
              <w:t>704</w:t>
            </w:r>
          </w:p>
        </w:tc>
        <w:tc>
          <w:tcPr>
            <w:tcW w:w="1275" w:type="dxa"/>
            <w:tcBorders>
              <w:top w:val="single" w:sz="4" w:space="0" w:color="auto"/>
              <w:bottom w:val="single" w:sz="4" w:space="0" w:color="auto"/>
            </w:tcBorders>
            <w:shd w:val="clear" w:color="auto" w:fill="auto"/>
          </w:tcPr>
          <w:p w:rsidR="00D907AF" w:rsidRPr="0087485F" w:rsidRDefault="00D907AF" w:rsidP="00884536">
            <w:pPr>
              <w:spacing w:before="10" w:after="4"/>
              <w:ind w:right="397"/>
              <w:jc w:val="right"/>
              <w:rPr>
                <w:rFonts w:cstheme="minorHAnsi"/>
                <w:b/>
                <w:sz w:val="20"/>
                <w:szCs w:val="20"/>
              </w:rPr>
            </w:pPr>
            <w:r w:rsidRPr="0087485F">
              <w:rPr>
                <w:rFonts w:cstheme="minorHAnsi"/>
                <w:b/>
                <w:sz w:val="20"/>
                <w:szCs w:val="20"/>
              </w:rPr>
              <w:t>100</w:t>
            </w:r>
          </w:p>
        </w:tc>
        <w:tc>
          <w:tcPr>
            <w:tcW w:w="851" w:type="dxa"/>
            <w:tcBorders>
              <w:top w:val="single" w:sz="4" w:space="0" w:color="auto"/>
              <w:bottom w:val="single" w:sz="4" w:space="0" w:color="auto"/>
            </w:tcBorders>
            <w:shd w:val="clear" w:color="auto" w:fill="auto"/>
          </w:tcPr>
          <w:p w:rsidR="00D907AF" w:rsidRPr="0087485F" w:rsidRDefault="00D907AF" w:rsidP="00C53883">
            <w:pPr>
              <w:spacing w:before="10" w:after="4"/>
              <w:ind w:right="113"/>
              <w:jc w:val="right"/>
              <w:rPr>
                <w:rFonts w:cstheme="minorHAnsi"/>
                <w:b/>
                <w:sz w:val="20"/>
                <w:szCs w:val="20"/>
              </w:rPr>
            </w:pPr>
            <w:r w:rsidRPr="0087485F">
              <w:rPr>
                <w:rFonts w:cstheme="minorHAnsi"/>
                <w:b/>
                <w:sz w:val="20"/>
                <w:szCs w:val="20"/>
              </w:rPr>
              <w:t>1</w:t>
            </w:r>
            <w:r>
              <w:rPr>
                <w:rFonts w:cstheme="minorHAnsi"/>
                <w:b/>
                <w:sz w:val="20"/>
                <w:szCs w:val="20"/>
              </w:rPr>
              <w:t>,</w:t>
            </w:r>
            <w:r w:rsidRPr="0087485F">
              <w:rPr>
                <w:rFonts w:cstheme="minorHAnsi"/>
                <w:b/>
                <w:sz w:val="20"/>
                <w:szCs w:val="20"/>
              </w:rPr>
              <w:t>107</w:t>
            </w:r>
          </w:p>
        </w:tc>
        <w:tc>
          <w:tcPr>
            <w:tcW w:w="992" w:type="dxa"/>
            <w:tcBorders>
              <w:top w:val="single" w:sz="4" w:space="0" w:color="auto"/>
              <w:bottom w:val="single" w:sz="4" w:space="0" w:color="auto"/>
            </w:tcBorders>
            <w:shd w:val="clear" w:color="auto" w:fill="auto"/>
          </w:tcPr>
          <w:p w:rsidR="00D907AF" w:rsidRPr="00C53883" w:rsidRDefault="00D907AF" w:rsidP="00C53883">
            <w:pPr>
              <w:spacing w:before="10" w:after="4"/>
              <w:ind w:right="170"/>
              <w:jc w:val="right"/>
              <w:rPr>
                <w:rFonts w:cstheme="minorHAnsi"/>
                <w:color w:val="000000"/>
                <w:sz w:val="20"/>
                <w:szCs w:val="20"/>
              </w:rPr>
            </w:pPr>
            <w:r w:rsidRPr="00C53883">
              <w:rPr>
                <w:rFonts w:cstheme="minorHAnsi"/>
                <w:color w:val="000000"/>
                <w:sz w:val="20"/>
                <w:szCs w:val="20"/>
              </w:rPr>
              <w:t>100</w:t>
            </w:r>
          </w:p>
        </w:tc>
        <w:tc>
          <w:tcPr>
            <w:tcW w:w="708" w:type="dxa"/>
            <w:tcBorders>
              <w:top w:val="single" w:sz="4" w:space="0" w:color="auto"/>
              <w:bottom w:val="single" w:sz="4" w:space="0" w:color="auto"/>
            </w:tcBorders>
            <w:shd w:val="clear" w:color="auto" w:fill="auto"/>
          </w:tcPr>
          <w:p w:rsidR="00D907AF" w:rsidRPr="0087485F" w:rsidRDefault="00D907AF" w:rsidP="00C53883">
            <w:pPr>
              <w:spacing w:before="10" w:after="4"/>
              <w:jc w:val="right"/>
              <w:rPr>
                <w:rFonts w:cstheme="minorHAnsi"/>
                <w:b/>
                <w:sz w:val="20"/>
                <w:szCs w:val="20"/>
              </w:rPr>
            </w:pPr>
            <w:r w:rsidRPr="0087485F">
              <w:rPr>
                <w:rFonts w:cstheme="minorHAnsi"/>
                <w:b/>
                <w:sz w:val="20"/>
                <w:szCs w:val="20"/>
              </w:rPr>
              <w:t>1</w:t>
            </w:r>
            <w:r>
              <w:rPr>
                <w:rFonts w:cstheme="minorHAnsi"/>
                <w:b/>
                <w:sz w:val="20"/>
                <w:szCs w:val="20"/>
              </w:rPr>
              <w:t>,</w:t>
            </w:r>
            <w:r w:rsidRPr="0087485F">
              <w:rPr>
                <w:rFonts w:cstheme="minorHAnsi"/>
                <w:b/>
                <w:sz w:val="20"/>
                <w:szCs w:val="20"/>
              </w:rPr>
              <w:t>811</w:t>
            </w:r>
          </w:p>
        </w:tc>
        <w:tc>
          <w:tcPr>
            <w:tcW w:w="993" w:type="dxa"/>
            <w:tcBorders>
              <w:top w:val="single" w:sz="4" w:space="0" w:color="auto"/>
              <w:bottom w:val="single" w:sz="4" w:space="0" w:color="auto"/>
            </w:tcBorders>
            <w:shd w:val="clear" w:color="auto" w:fill="auto"/>
          </w:tcPr>
          <w:p w:rsidR="00D907AF" w:rsidRPr="0087485F" w:rsidRDefault="00D907AF" w:rsidP="00E20A19">
            <w:pPr>
              <w:spacing w:before="10" w:after="4"/>
              <w:ind w:right="87"/>
              <w:jc w:val="right"/>
              <w:rPr>
                <w:rFonts w:cstheme="minorHAnsi"/>
                <w:b/>
                <w:sz w:val="20"/>
                <w:szCs w:val="20"/>
              </w:rPr>
            </w:pPr>
            <w:r w:rsidRPr="0087485F">
              <w:rPr>
                <w:rFonts w:cstheme="minorHAnsi"/>
                <w:b/>
                <w:sz w:val="20"/>
                <w:szCs w:val="20"/>
              </w:rPr>
              <w:t>100</w:t>
            </w:r>
          </w:p>
        </w:tc>
      </w:tr>
    </w:tbl>
    <w:p w:rsidR="00D907AF" w:rsidRPr="00B01305" w:rsidRDefault="00D907AF" w:rsidP="001032EF">
      <w:pPr>
        <w:pStyle w:val="NILSReference"/>
      </w:pPr>
      <w:r w:rsidRPr="00B01305">
        <w:t xml:space="preserve">Note: </w:t>
      </w:r>
      <w:r>
        <w:t>trial and comparison</w:t>
      </w:r>
      <w:r w:rsidRPr="00B01305">
        <w:t xml:space="preserve"> aged 3 years and </w:t>
      </w:r>
      <w:r>
        <w:t>above</w:t>
      </w:r>
    </w:p>
    <w:p w:rsidR="005B2D5F" w:rsidRDefault="005B2D5F" w:rsidP="00D907AF">
      <w:pPr>
        <w:rPr>
          <w:rFonts w:cstheme="minorHAnsi"/>
        </w:rPr>
      </w:pPr>
    </w:p>
    <w:p w:rsidR="00D907AF" w:rsidRDefault="00D907AF" w:rsidP="00D907AF">
      <w:pPr>
        <w:rPr>
          <w:rFonts w:cstheme="minorHAnsi"/>
        </w:rPr>
      </w:pPr>
      <w:r>
        <w:rPr>
          <w:rFonts w:cstheme="minorHAnsi"/>
        </w:rPr>
        <w:t>Table 3.26</w:t>
      </w:r>
      <w:r w:rsidRPr="007A158B">
        <w:rPr>
          <w:rFonts w:cstheme="minorHAnsi"/>
        </w:rPr>
        <w:t>a shows the type of school attended and Table 3.2</w:t>
      </w:r>
      <w:r>
        <w:rPr>
          <w:rFonts w:cstheme="minorHAnsi"/>
        </w:rPr>
        <w:t>6</w:t>
      </w:r>
      <w:r w:rsidRPr="007A158B">
        <w:rPr>
          <w:rFonts w:cstheme="minorHAnsi"/>
        </w:rPr>
        <w:t xml:space="preserve">b shows the type of post-school education attended. The majority of children below 16 and </w:t>
      </w:r>
      <w:r>
        <w:rPr>
          <w:rFonts w:cstheme="minorHAnsi"/>
        </w:rPr>
        <w:t xml:space="preserve">who reported </w:t>
      </w:r>
      <w:r w:rsidRPr="007A158B">
        <w:rPr>
          <w:rFonts w:cstheme="minorHAnsi"/>
        </w:rPr>
        <w:t xml:space="preserve">attending a school were in </w:t>
      </w:r>
      <w:r w:rsidRPr="009B60FB">
        <w:rPr>
          <w:rFonts w:cstheme="minorHAnsi"/>
        </w:rPr>
        <w:t>Pre-school/ kindergarten (16.3</w:t>
      </w:r>
      <w:r>
        <w:rPr>
          <w:rFonts w:cstheme="minorHAnsi"/>
        </w:rPr>
        <w:t xml:space="preserve"> per cent</w:t>
      </w:r>
      <w:r w:rsidRPr="009B60FB">
        <w:rPr>
          <w:rFonts w:cstheme="minorHAnsi"/>
        </w:rPr>
        <w:t>), in Pre Year 1 primary school (13.2</w:t>
      </w:r>
      <w:r>
        <w:rPr>
          <w:rFonts w:cstheme="minorHAnsi"/>
        </w:rPr>
        <w:t xml:space="preserve"> per cent</w:t>
      </w:r>
      <w:r w:rsidRPr="009B60FB">
        <w:rPr>
          <w:rFonts w:cstheme="minorHAnsi"/>
        </w:rPr>
        <w:t>) and Primary school Year 1 and above (41.7</w:t>
      </w:r>
      <w:r>
        <w:rPr>
          <w:rFonts w:cstheme="minorHAnsi"/>
        </w:rPr>
        <w:t xml:space="preserve"> per cent</w:t>
      </w:r>
      <w:r w:rsidRPr="009B60FB">
        <w:rPr>
          <w:rFonts w:cstheme="minorHAnsi"/>
        </w:rPr>
        <w:t xml:space="preserve">). </w:t>
      </w:r>
      <w:r>
        <w:rPr>
          <w:rFonts w:cstheme="minorHAnsi"/>
        </w:rPr>
        <w:t>School attendance of a</w:t>
      </w:r>
      <w:r w:rsidRPr="007A158B">
        <w:rPr>
          <w:rFonts w:cstheme="minorHAnsi"/>
        </w:rPr>
        <w:t xml:space="preserve"> secondary </w:t>
      </w:r>
      <w:r>
        <w:rPr>
          <w:rFonts w:cstheme="minorHAnsi"/>
        </w:rPr>
        <w:t>level or within a special school is at 13.1 per cent each for the 3-15s and for the 16+s, most are attending either a secondary school or a special school (65.9 per cent and 25.6 per cent respectively).</w:t>
      </w:r>
    </w:p>
    <w:p w:rsidR="005B2D5F" w:rsidRPr="007A158B" w:rsidRDefault="005B2D5F" w:rsidP="00D907AF">
      <w:pPr>
        <w:rPr>
          <w:rFonts w:cstheme="minorHAnsi"/>
        </w:rPr>
      </w:pPr>
    </w:p>
    <w:p w:rsidR="00884536" w:rsidRDefault="00D907AF">
      <w:pPr>
        <w:rPr>
          <w:b/>
          <w:sz w:val="20"/>
          <w:lang w:val="x-none"/>
        </w:rPr>
      </w:pPr>
      <w:r w:rsidRPr="00714777">
        <w:rPr>
          <w:rFonts w:cstheme="minorHAnsi"/>
        </w:rPr>
        <w:t xml:space="preserve">Table </w:t>
      </w:r>
      <w:r>
        <w:rPr>
          <w:rFonts w:cstheme="minorHAnsi"/>
        </w:rPr>
        <w:t>3.26a</w:t>
      </w:r>
      <w:r w:rsidRPr="00714777">
        <w:rPr>
          <w:rFonts w:cstheme="minorHAnsi"/>
        </w:rPr>
        <w:t xml:space="preserve"> </w:t>
      </w:r>
      <w:r>
        <w:rPr>
          <w:rFonts w:cstheme="minorHAnsi"/>
        </w:rPr>
        <w:t xml:space="preserve">and </w:t>
      </w:r>
      <w:r w:rsidRPr="00714777">
        <w:rPr>
          <w:rFonts w:cstheme="minorHAnsi"/>
        </w:rPr>
        <w:t xml:space="preserve">Table </w:t>
      </w:r>
      <w:r>
        <w:rPr>
          <w:rFonts w:cstheme="minorHAnsi"/>
        </w:rPr>
        <w:t>3.26b</w:t>
      </w:r>
      <w:r w:rsidRPr="00714777">
        <w:rPr>
          <w:rFonts w:cstheme="minorHAnsi"/>
        </w:rPr>
        <w:t xml:space="preserve"> show the </w:t>
      </w:r>
      <w:r>
        <w:rPr>
          <w:rFonts w:cstheme="minorHAnsi"/>
        </w:rPr>
        <w:t>type of educational establishment attended by those in education.</w:t>
      </w:r>
      <w:bookmarkStart w:id="268" w:name="_Toc428280677"/>
      <w:r w:rsidR="00884536">
        <w:br w:type="page"/>
      </w:r>
    </w:p>
    <w:p w:rsidR="00D907AF" w:rsidRPr="00233E8A" w:rsidRDefault="00D907AF" w:rsidP="0044684E">
      <w:pPr>
        <w:pStyle w:val="NILSTableHeading"/>
      </w:pPr>
      <w:bookmarkStart w:id="269" w:name="_Toc449955288"/>
      <w:r w:rsidRPr="00233E8A">
        <w:lastRenderedPageBreak/>
        <w:t>Table 3.</w:t>
      </w:r>
      <w:r w:rsidRPr="00233E8A">
        <w:rPr>
          <w:rFonts w:hint="eastAsia"/>
        </w:rPr>
        <w:t>2</w:t>
      </w:r>
      <w:r>
        <w:t>6a</w:t>
      </w:r>
      <w:r w:rsidRPr="00233E8A">
        <w:t xml:space="preserve">: </w:t>
      </w:r>
      <w:r w:rsidRPr="00233E8A">
        <w:rPr>
          <w:rFonts w:hint="eastAsia"/>
        </w:rPr>
        <w:t>A</w:t>
      </w:r>
      <w:r w:rsidRPr="00233E8A">
        <w:t>ttend</w:t>
      </w:r>
      <w:r>
        <w:t>ing</w:t>
      </w:r>
      <w:r w:rsidRPr="00233E8A">
        <w:t xml:space="preserve"> school</w:t>
      </w:r>
      <w:bookmarkEnd w:id="268"/>
      <w:bookmarkEnd w:id="269"/>
    </w:p>
    <w:tbl>
      <w:tblPr>
        <w:tblStyle w:val="TableGrid"/>
        <w:tblW w:w="9583" w:type="dxa"/>
        <w:tblLayout w:type="fixed"/>
        <w:tblLook w:val="04A0" w:firstRow="1" w:lastRow="0" w:firstColumn="1" w:lastColumn="0" w:noHBand="0" w:noVBand="1"/>
        <w:tblCaption w:val="Table 3.26a Attending school"/>
      </w:tblPr>
      <w:tblGrid>
        <w:gridCol w:w="3794"/>
        <w:gridCol w:w="1264"/>
        <w:gridCol w:w="1264"/>
        <w:gridCol w:w="851"/>
        <w:gridCol w:w="851"/>
        <w:gridCol w:w="850"/>
        <w:gridCol w:w="709"/>
      </w:tblGrid>
      <w:tr w:rsidR="00CF282F" w:rsidRPr="0087485F" w:rsidTr="00C306C3">
        <w:trPr>
          <w:cantSplit/>
          <w:tblHeader/>
        </w:trPr>
        <w:tc>
          <w:tcPr>
            <w:tcW w:w="3794" w:type="dxa"/>
            <w:tcBorders>
              <w:top w:val="single" w:sz="4" w:space="0" w:color="auto"/>
              <w:bottom w:val="single" w:sz="4" w:space="0" w:color="auto"/>
            </w:tcBorders>
            <w:shd w:val="clear" w:color="auto" w:fill="auto"/>
          </w:tcPr>
          <w:p w:rsidR="00CF282F" w:rsidRPr="0087485F" w:rsidRDefault="00CF282F" w:rsidP="00CC7642">
            <w:pPr>
              <w:spacing w:before="8" w:after="8"/>
              <w:rPr>
                <w:rFonts w:cstheme="minorHAnsi"/>
                <w:sz w:val="20"/>
                <w:szCs w:val="20"/>
              </w:rPr>
            </w:pPr>
            <w:bookmarkStart w:id="270" w:name="Title_3_26a"/>
            <w:bookmarkEnd w:id="270"/>
          </w:p>
        </w:tc>
        <w:tc>
          <w:tcPr>
            <w:tcW w:w="1264" w:type="dxa"/>
            <w:tcBorders>
              <w:top w:val="single" w:sz="4" w:space="0" w:color="auto"/>
              <w:bottom w:val="single" w:sz="4" w:space="0" w:color="auto"/>
            </w:tcBorders>
            <w:shd w:val="clear" w:color="auto" w:fill="auto"/>
          </w:tcPr>
          <w:p w:rsidR="00CF282F" w:rsidRPr="0087485F" w:rsidRDefault="00CF282F" w:rsidP="00370BB2">
            <w:pPr>
              <w:spacing w:before="8" w:after="8"/>
              <w:ind w:left="-108" w:right="-108"/>
              <w:jc w:val="center"/>
              <w:rPr>
                <w:rFonts w:cstheme="minorHAnsi"/>
                <w:sz w:val="20"/>
                <w:szCs w:val="20"/>
              </w:rPr>
            </w:pPr>
            <w:r w:rsidRPr="0087485F">
              <w:rPr>
                <w:rFonts w:cstheme="minorHAnsi"/>
                <w:sz w:val="20"/>
                <w:szCs w:val="20"/>
              </w:rPr>
              <w:t>Children</w:t>
            </w:r>
          </w:p>
          <w:p w:rsidR="00CF282F" w:rsidRDefault="00CF282F" w:rsidP="00651B15">
            <w:pPr>
              <w:spacing w:before="8" w:after="8"/>
              <w:jc w:val="center"/>
              <w:rPr>
                <w:rFonts w:cstheme="minorHAnsi"/>
                <w:sz w:val="20"/>
                <w:szCs w:val="20"/>
              </w:rPr>
            </w:pPr>
            <w:r w:rsidRPr="0087485F">
              <w:rPr>
                <w:rFonts w:cstheme="minorHAnsi"/>
                <w:sz w:val="20"/>
                <w:szCs w:val="20"/>
              </w:rPr>
              <w:t>3</w:t>
            </w:r>
            <w:r w:rsidR="006D2803">
              <w:rPr>
                <w:rFonts w:cstheme="minorHAnsi"/>
                <w:sz w:val="20"/>
                <w:szCs w:val="20"/>
              </w:rPr>
              <w:t xml:space="preserve"> to </w:t>
            </w:r>
            <w:r w:rsidRPr="0087485F">
              <w:rPr>
                <w:rFonts w:cstheme="minorHAnsi"/>
                <w:sz w:val="20"/>
                <w:szCs w:val="20"/>
              </w:rPr>
              <w:t>15 years</w:t>
            </w:r>
          </w:p>
          <w:p w:rsidR="00DF7907" w:rsidRPr="0087485F" w:rsidRDefault="00DF7907" w:rsidP="00651B15">
            <w:pPr>
              <w:spacing w:before="8" w:after="8"/>
              <w:jc w:val="center"/>
              <w:rPr>
                <w:rFonts w:cstheme="minorHAnsi"/>
                <w:sz w:val="20"/>
                <w:szCs w:val="20"/>
              </w:rPr>
            </w:pPr>
            <w:r>
              <w:rPr>
                <w:rFonts w:cstheme="minorHAnsi"/>
                <w:sz w:val="20"/>
                <w:szCs w:val="20"/>
              </w:rPr>
              <w:t>Cases</w:t>
            </w:r>
          </w:p>
        </w:tc>
        <w:tc>
          <w:tcPr>
            <w:tcW w:w="1264" w:type="dxa"/>
            <w:tcBorders>
              <w:top w:val="single" w:sz="4" w:space="0" w:color="auto"/>
              <w:bottom w:val="single" w:sz="4" w:space="0" w:color="auto"/>
            </w:tcBorders>
            <w:shd w:val="clear" w:color="auto" w:fill="auto"/>
          </w:tcPr>
          <w:p w:rsidR="00CF282F" w:rsidRPr="00CB47F5" w:rsidRDefault="00CF282F" w:rsidP="00370BB2">
            <w:pPr>
              <w:spacing w:before="8" w:after="8"/>
              <w:ind w:left="-108" w:right="-108"/>
              <w:jc w:val="center"/>
              <w:rPr>
                <w:rFonts w:cstheme="minorHAnsi"/>
                <w:sz w:val="20"/>
                <w:szCs w:val="20"/>
              </w:rPr>
            </w:pPr>
            <w:r>
              <w:rPr>
                <w:rFonts w:cstheme="minorHAnsi"/>
                <w:sz w:val="20"/>
                <w:szCs w:val="20"/>
              </w:rPr>
              <w:t>Children</w:t>
            </w:r>
          </w:p>
          <w:p w:rsidR="00CF282F" w:rsidRPr="0087485F" w:rsidRDefault="00CF282F" w:rsidP="00651B15">
            <w:pPr>
              <w:spacing w:before="8" w:after="8"/>
              <w:jc w:val="center"/>
              <w:rPr>
                <w:rFonts w:cstheme="minorHAnsi"/>
                <w:sz w:val="20"/>
                <w:szCs w:val="20"/>
              </w:rPr>
            </w:pPr>
            <w:r w:rsidRPr="00CB47F5">
              <w:rPr>
                <w:rFonts w:cstheme="minorHAnsi"/>
                <w:sz w:val="20"/>
                <w:szCs w:val="20"/>
              </w:rPr>
              <w:t>3</w:t>
            </w:r>
            <w:r w:rsidR="006D2803">
              <w:rPr>
                <w:rFonts w:cstheme="minorHAnsi"/>
                <w:sz w:val="20"/>
                <w:szCs w:val="20"/>
              </w:rPr>
              <w:t xml:space="preserve"> to </w:t>
            </w:r>
            <w:r w:rsidRPr="00CB47F5">
              <w:rPr>
                <w:rFonts w:cstheme="minorHAnsi"/>
                <w:sz w:val="20"/>
                <w:szCs w:val="20"/>
              </w:rPr>
              <w:t>15 years</w:t>
            </w:r>
            <w:r w:rsidR="00370BB2">
              <w:rPr>
                <w:rFonts w:cstheme="minorHAnsi"/>
                <w:sz w:val="20"/>
                <w:szCs w:val="20"/>
              </w:rPr>
              <w:t xml:space="preserve"> %</w:t>
            </w:r>
          </w:p>
        </w:tc>
        <w:tc>
          <w:tcPr>
            <w:tcW w:w="851" w:type="dxa"/>
            <w:tcBorders>
              <w:top w:val="single" w:sz="4" w:space="0" w:color="auto"/>
              <w:bottom w:val="single" w:sz="4" w:space="0" w:color="auto"/>
            </w:tcBorders>
            <w:shd w:val="clear" w:color="auto" w:fill="auto"/>
          </w:tcPr>
          <w:p w:rsidR="00CF282F" w:rsidRPr="0087485F" w:rsidRDefault="00CF282F" w:rsidP="005B5F9E">
            <w:pPr>
              <w:spacing w:before="8" w:after="8"/>
              <w:ind w:left="-136"/>
              <w:jc w:val="center"/>
              <w:rPr>
                <w:rFonts w:cstheme="minorHAnsi"/>
                <w:sz w:val="20"/>
                <w:szCs w:val="20"/>
              </w:rPr>
            </w:pPr>
            <w:r w:rsidRPr="0087485F">
              <w:rPr>
                <w:rFonts w:cstheme="minorHAnsi"/>
                <w:sz w:val="20"/>
                <w:szCs w:val="20"/>
              </w:rPr>
              <w:t>Adults</w:t>
            </w:r>
          </w:p>
          <w:p w:rsidR="00CF282F" w:rsidRDefault="00CF282F" w:rsidP="005B5F9E">
            <w:pPr>
              <w:spacing w:before="8" w:after="8"/>
              <w:ind w:left="-136"/>
              <w:jc w:val="center"/>
              <w:rPr>
                <w:rFonts w:cstheme="minorHAnsi"/>
                <w:sz w:val="20"/>
                <w:szCs w:val="20"/>
              </w:rPr>
            </w:pPr>
            <w:r w:rsidRPr="0087485F">
              <w:rPr>
                <w:rFonts w:cstheme="minorHAnsi"/>
                <w:sz w:val="20"/>
                <w:szCs w:val="20"/>
              </w:rPr>
              <w:t>16+</w:t>
            </w:r>
          </w:p>
          <w:p w:rsidR="00DF7907" w:rsidRPr="0087485F" w:rsidRDefault="00DF7907" w:rsidP="005B5F9E">
            <w:pPr>
              <w:spacing w:before="8" w:after="8"/>
              <w:ind w:left="-136"/>
              <w:jc w:val="center"/>
              <w:rPr>
                <w:rFonts w:cstheme="minorHAnsi"/>
                <w:sz w:val="20"/>
                <w:szCs w:val="20"/>
              </w:rPr>
            </w:pPr>
            <w:r>
              <w:rPr>
                <w:rFonts w:cstheme="minorHAnsi"/>
                <w:sz w:val="20"/>
                <w:szCs w:val="20"/>
              </w:rPr>
              <w:t>Cases</w:t>
            </w:r>
          </w:p>
        </w:tc>
        <w:tc>
          <w:tcPr>
            <w:tcW w:w="851" w:type="dxa"/>
            <w:tcBorders>
              <w:top w:val="single" w:sz="4" w:space="0" w:color="auto"/>
              <w:bottom w:val="single" w:sz="4" w:space="0" w:color="auto"/>
            </w:tcBorders>
            <w:shd w:val="clear" w:color="auto" w:fill="auto"/>
          </w:tcPr>
          <w:p w:rsidR="00CF282F" w:rsidRPr="0087485F" w:rsidRDefault="00CF282F" w:rsidP="00CF282F">
            <w:pPr>
              <w:spacing w:before="8" w:after="8"/>
              <w:jc w:val="center"/>
              <w:rPr>
                <w:rFonts w:cstheme="minorHAnsi"/>
                <w:sz w:val="20"/>
                <w:szCs w:val="20"/>
              </w:rPr>
            </w:pPr>
            <w:r>
              <w:rPr>
                <w:rFonts w:cstheme="minorHAnsi"/>
                <w:sz w:val="20"/>
                <w:szCs w:val="20"/>
              </w:rPr>
              <w:t>Adults</w:t>
            </w:r>
          </w:p>
          <w:p w:rsidR="00651B15" w:rsidRDefault="00CF282F" w:rsidP="00651B15">
            <w:pPr>
              <w:spacing w:before="8" w:after="8"/>
              <w:jc w:val="center"/>
              <w:rPr>
                <w:rFonts w:cstheme="minorHAnsi"/>
                <w:sz w:val="20"/>
                <w:szCs w:val="20"/>
              </w:rPr>
            </w:pPr>
            <w:r w:rsidRPr="0087485F">
              <w:rPr>
                <w:rFonts w:cstheme="minorHAnsi"/>
                <w:sz w:val="20"/>
                <w:szCs w:val="20"/>
              </w:rPr>
              <w:t>16+</w:t>
            </w:r>
          </w:p>
          <w:p w:rsidR="00CF282F" w:rsidRPr="0087485F" w:rsidRDefault="00370BB2" w:rsidP="00651B15">
            <w:pPr>
              <w:spacing w:before="8" w:after="8"/>
              <w:jc w:val="center"/>
              <w:rPr>
                <w:rFonts w:cstheme="minorHAnsi"/>
                <w:sz w:val="20"/>
                <w:szCs w:val="20"/>
              </w:rPr>
            </w:pPr>
            <w:r>
              <w:rPr>
                <w:rFonts w:cstheme="minorHAnsi"/>
                <w:sz w:val="20"/>
                <w:szCs w:val="20"/>
              </w:rPr>
              <w:t xml:space="preserve"> %</w:t>
            </w:r>
          </w:p>
        </w:tc>
        <w:tc>
          <w:tcPr>
            <w:tcW w:w="850" w:type="dxa"/>
            <w:tcBorders>
              <w:top w:val="single" w:sz="4" w:space="0" w:color="auto"/>
              <w:bottom w:val="single" w:sz="4" w:space="0" w:color="auto"/>
            </w:tcBorders>
            <w:shd w:val="clear" w:color="auto" w:fill="auto"/>
            <w:vAlign w:val="bottom"/>
          </w:tcPr>
          <w:p w:rsidR="00CF282F" w:rsidRDefault="00CF282F" w:rsidP="00DF7907">
            <w:pPr>
              <w:spacing w:before="8" w:after="8"/>
              <w:jc w:val="center"/>
              <w:rPr>
                <w:rFonts w:cstheme="minorHAnsi"/>
                <w:sz w:val="20"/>
                <w:szCs w:val="20"/>
              </w:rPr>
            </w:pPr>
            <w:r w:rsidRPr="0087485F">
              <w:rPr>
                <w:rFonts w:cstheme="minorHAnsi"/>
                <w:sz w:val="20"/>
                <w:szCs w:val="20"/>
              </w:rPr>
              <w:t>Total</w:t>
            </w:r>
          </w:p>
          <w:p w:rsidR="00DF7907" w:rsidRPr="0087485F" w:rsidRDefault="00DF7907" w:rsidP="00DF7907">
            <w:pPr>
              <w:spacing w:before="8" w:after="8"/>
              <w:jc w:val="center"/>
              <w:rPr>
                <w:rFonts w:cstheme="minorHAnsi"/>
                <w:sz w:val="20"/>
                <w:szCs w:val="20"/>
              </w:rPr>
            </w:pPr>
            <w:r>
              <w:rPr>
                <w:rFonts w:cstheme="minorHAnsi"/>
                <w:sz w:val="20"/>
                <w:szCs w:val="20"/>
              </w:rPr>
              <w:t>Cases</w:t>
            </w:r>
          </w:p>
        </w:tc>
        <w:tc>
          <w:tcPr>
            <w:tcW w:w="709" w:type="dxa"/>
            <w:tcBorders>
              <w:top w:val="single" w:sz="4" w:space="0" w:color="auto"/>
              <w:bottom w:val="single" w:sz="4" w:space="0" w:color="auto"/>
            </w:tcBorders>
            <w:shd w:val="clear" w:color="auto" w:fill="auto"/>
            <w:vAlign w:val="bottom"/>
          </w:tcPr>
          <w:p w:rsidR="00946EEE" w:rsidRDefault="00CF282F" w:rsidP="004F20DB">
            <w:pPr>
              <w:spacing w:before="8" w:after="8"/>
              <w:ind w:right="-43"/>
              <w:jc w:val="center"/>
              <w:rPr>
                <w:rFonts w:cstheme="minorHAnsi"/>
                <w:sz w:val="20"/>
                <w:szCs w:val="20"/>
              </w:rPr>
            </w:pPr>
            <w:r>
              <w:rPr>
                <w:rFonts w:cstheme="minorHAnsi"/>
                <w:sz w:val="20"/>
                <w:szCs w:val="20"/>
              </w:rPr>
              <w:t>Total</w:t>
            </w:r>
          </w:p>
          <w:p w:rsidR="00CF282F" w:rsidRPr="0087485F" w:rsidRDefault="00370BB2" w:rsidP="004F20DB">
            <w:pPr>
              <w:spacing w:before="8" w:after="8"/>
              <w:ind w:right="-43"/>
              <w:jc w:val="center"/>
              <w:rPr>
                <w:rFonts w:cstheme="minorHAnsi"/>
                <w:sz w:val="20"/>
                <w:szCs w:val="20"/>
              </w:rPr>
            </w:pPr>
            <w:r>
              <w:rPr>
                <w:rFonts w:cstheme="minorHAnsi"/>
                <w:sz w:val="20"/>
                <w:szCs w:val="20"/>
              </w:rPr>
              <w:t>%</w:t>
            </w:r>
          </w:p>
        </w:tc>
      </w:tr>
      <w:tr w:rsidR="00D907AF" w:rsidRPr="0087485F" w:rsidTr="00C306C3">
        <w:trPr>
          <w:cantSplit/>
          <w:trHeight w:val="340"/>
        </w:trPr>
        <w:tc>
          <w:tcPr>
            <w:tcW w:w="3794" w:type="dxa"/>
            <w:shd w:val="clear" w:color="auto" w:fill="auto"/>
            <w:vAlign w:val="center"/>
          </w:tcPr>
          <w:p w:rsidR="00D907AF" w:rsidRPr="00C306C3" w:rsidRDefault="00D907AF" w:rsidP="00651B15">
            <w:pPr>
              <w:spacing w:before="14" w:after="14"/>
              <w:rPr>
                <w:rFonts w:cstheme="minorHAnsi"/>
                <w:sz w:val="19"/>
                <w:szCs w:val="19"/>
              </w:rPr>
            </w:pPr>
            <w:r w:rsidRPr="00C306C3">
              <w:rPr>
                <w:rFonts w:cstheme="minorHAnsi"/>
                <w:sz w:val="19"/>
                <w:szCs w:val="19"/>
              </w:rPr>
              <w:t>Secondary school</w:t>
            </w:r>
          </w:p>
        </w:tc>
        <w:tc>
          <w:tcPr>
            <w:tcW w:w="1264" w:type="dxa"/>
            <w:shd w:val="clear" w:color="auto" w:fill="auto"/>
            <w:vAlign w:val="center"/>
          </w:tcPr>
          <w:p w:rsidR="00D907AF" w:rsidRPr="0087485F" w:rsidRDefault="00D907AF" w:rsidP="00651B15">
            <w:pPr>
              <w:spacing w:before="14" w:after="14"/>
              <w:ind w:right="381"/>
              <w:jc w:val="right"/>
              <w:rPr>
                <w:rFonts w:cstheme="minorHAnsi"/>
                <w:color w:val="000000"/>
                <w:sz w:val="20"/>
                <w:szCs w:val="20"/>
              </w:rPr>
            </w:pPr>
            <w:r w:rsidRPr="0087485F">
              <w:rPr>
                <w:rFonts w:cstheme="minorHAnsi"/>
                <w:color w:val="000000"/>
                <w:sz w:val="20"/>
                <w:szCs w:val="20"/>
              </w:rPr>
              <w:t>90</w:t>
            </w:r>
          </w:p>
        </w:tc>
        <w:tc>
          <w:tcPr>
            <w:tcW w:w="1264" w:type="dxa"/>
            <w:shd w:val="clear" w:color="auto" w:fill="auto"/>
            <w:vAlign w:val="center"/>
          </w:tcPr>
          <w:p w:rsidR="00D907AF" w:rsidRPr="0087485F" w:rsidRDefault="00D907AF" w:rsidP="007D0DDA">
            <w:pPr>
              <w:spacing w:before="14" w:after="14"/>
              <w:ind w:right="454"/>
              <w:jc w:val="right"/>
              <w:rPr>
                <w:rFonts w:ascii="Calibri" w:hAnsi="Calibri" w:cs="Calibri"/>
                <w:color w:val="000000"/>
                <w:sz w:val="20"/>
                <w:szCs w:val="20"/>
              </w:rPr>
            </w:pPr>
            <w:r w:rsidRPr="0087485F">
              <w:rPr>
                <w:rFonts w:ascii="Calibri" w:hAnsi="Calibri" w:cs="Calibri"/>
                <w:color w:val="000000"/>
                <w:sz w:val="20"/>
                <w:szCs w:val="20"/>
              </w:rPr>
              <w:t>13.1</w:t>
            </w:r>
          </w:p>
        </w:tc>
        <w:tc>
          <w:tcPr>
            <w:tcW w:w="851" w:type="dxa"/>
            <w:shd w:val="clear" w:color="auto" w:fill="auto"/>
            <w:vAlign w:val="center"/>
          </w:tcPr>
          <w:p w:rsidR="00D907AF" w:rsidRPr="0087485F" w:rsidRDefault="00D907AF" w:rsidP="005B5F9E">
            <w:pPr>
              <w:spacing w:before="14" w:after="14"/>
              <w:ind w:left="-136" w:right="284"/>
              <w:jc w:val="right"/>
              <w:rPr>
                <w:rFonts w:ascii="Calibri" w:hAnsi="Calibri" w:cs="Calibri"/>
                <w:color w:val="000000"/>
                <w:sz w:val="20"/>
                <w:szCs w:val="20"/>
              </w:rPr>
            </w:pPr>
            <w:r w:rsidRPr="0087485F">
              <w:rPr>
                <w:rFonts w:ascii="Calibri" w:hAnsi="Calibri" w:cs="Calibri"/>
                <w:color w:val="000000"/>
                <w:sz w:val="20"/>
                <w:szCs w:val="20"/>
              </w:rPr>
              <w:t>54</w:t>
            </w:r>
          </w:p>
        </w:tc>
        <w:tc>
          <w:tcPr>
            <w:tcW w:w="851" w:type="dxa"/>
            <w:shd w:val="clear" w:color="auto" w:fill="auto"/>
            <w:vAlign w:val="center"/>
          </w:tcPr>
          <w:p w:rsidR="00D907AF" w:rsidRPr="0087485F" w:rsidRDefault="00D907AF" w:rsidP="00651B15">
            <w:pPr>
              <w:spacing w:before="14" w:after="14"/>
              <w:ind w:right="175"/>
              <w:jc w:val="right"/>
              <w:rPr>
                <w:rFonts w:ascii="Calibri" w:hAnsi="Calibri" w:cs="Calibri"/>
                <w:color w:val="000000"/>
                <w:sz w:val="20"/>
                <w:szCs w:val="20"/>
              </w:rPr>
            </w:pPr>
            <w:r w:rsidRPr="0087485F">
              <w:rPr>
                <w:rFonts w:ascii="Calibri" w:hAnsi="Calibri" w:cs="Calibri"/>
                <w:color w:val="000000"/>
                <w:sz w:val="20"/>
                <w:szCs w:val="20"/>
              </w:rPr>
              <w:t>65.9</w:t>
            </w:r>
          </w:p>
        </w:tc>
        <w:tc>
          <w:tcPr>
            <w:tcW w:w="850" w:type="dxa"/>
            <w:shd w:val="clear" w:color="auto" w:fill="auto"/>
            <w:vAlign w:val="center"/>
          </w:tcPr>
          <w:p w:rsidR="00D907AF" w:rsidRPr="0087485F" w:rsidRDefault="00D907AF" w:rsidP="00651B15">
            <w:pPr>
              <w:spacing w:before="14" w:after="14"/>
              <w:ind w:right="153"/>
              <w:jc w:val="right"/>
              <w:rPr>
                <w:rFonts w:ascii="Calibri" w:hAnsi="Calibri" w:cs="Calibri"/>
                <w:color w:val="000000"/>
                <w:sz w:val="20"/>
                <w:szCs w:val="20"/>
              </w:rPr>
            </w:pPr>
            <w:r w:rsidRPr="0087485F">
              <w:rPr>
                <w:rFonts w:ascii="Calibri" w:hAnsi="Calibri" w:cs="Calibri"/>
                <w:color w:val="000000"/>
                <w:sz w:val="20"/>
                <w:szCs w:val="20"/>
              </w:rPr>
              <w:t>144</w:t>
            </w:r>
          </w:p>
        </w:tc>
        <w:tc>
          <w:tcPr>
            <w:tcW w:w="709" w:type="dxa"/>
            <w:shd w:val="clear" w:color="auto" w:fill="auto"/>
            <w:vAlign w:val="center"/>
          </w:tcPr>
          <w:p w:rsidR="00D907AF" w:rsidRPr="0087485F" w:rsidRDefault="00D907AF" w:rsidP="004F20DB">
            <w:pPr>
              <w:tabs>
                <w:tab w:val="decimal" w:pos="486"/>
              </w:tabs>
              <w:spacing w:before="14" w:after="14"/>
              <w:ind w:right="-43"/>
              <w:jc w:val="right"/>
              <w:rPr>
                <w:rFonts w:ascii="Calibri" w:hAnsi="Calibri" w:cs="Calibri"/>
                <w:color w:val="000000"/>
                <w:sz w:val="20"/>
                <w:szCs w:val="20"/>
              </w:rPr>
            </w:pPr>
            <w:r w:rsidRPr="0087485F">
              <w:rPr>
                <w:rFonts w:ascii="Calibri" w:hAnsi="Calibri" w:cs="Calibri"/>
                <w:color w:val="000000"/>
                <w:sz w:val="20"/>
                <w:szCs w:val="20"/>
              </w:rPr>
              <w:t>18.7</w:t>
            </w:r>
          </w:p>
        </w:tc>
      </w:tr>
      <w:tr w:rsidR="00D907AF" w:rsidRPr="0087485F" w:rsidTr="00C306C3">
        <w:trPr>
          <w:cantSplit/>
          <w:trHeight w:val="340"/>
        </w:trPr>
        <w:tc>
          <w:tcPr>
            <w:tcW w:w="3794" w:type="dxa"/>
            <w:shd w:val="clear" w:color="auto" w:fill="auto"/>
            <w:vAlign w:val="center"/>
          </w:tcPr>
          <w:p w:rsidR="00D907AF" w:rsidRPr="00C306C3" w:rsidRDefault="00D907AF" w:rsidP="00651B15">
            <w:pPr>
              <w:spacing w:before="14" w:after="14"/>
              <w:rPr>
                <w:rFonts w:cstheme="minorHAnsi"/>
                <w:sz w:val="19"/>
                <w:szCs w:val="19"/>
              </w:rPr>
            </w:pPr>
            <w:r w:rsidRPr="00C306C3">
              <w:rPr>
                <w:rFonts w:cstheme="minorHAnsi"/>
                <w:sz w:val="19"/>
                <w:szCs w:val="19"/>
              </w:rPr>
              <w:t>Special School</w:t>
            </w:r>
          </w:p>
        </w:tc>
        <w:tc>
          <w:tcPr>
            <w:tcW w:w="1264" w:type="dxa"/>
            <w:shd w:val="clear" w:color="auto" w:fill="auto"/>
            <w:vAlign w:val="center"/>
          </w:tcPr>
          <w:p w:rsidR="00D907AF" w:rsidRPr="0087485F" w:rsidRDefault="00D907AF" w:rsidP="00651B15">
            <w:pPr>
              <w:spacing w:before="14" w:after="14"/>
              <w:ind w:right="381"/>
              <w:jc w:val="right"/>
              <w:rPr>
                <w:rFonts w:cstheme="minorHAnsi"/>
                <w:color w:val="000000"/>
                <w:sz w:val="20"/>
                <w:szCs w:val="20"/>
              </w:rPr>
            </w:pPr>
            <w:r w:rsidRPr="0087485F">
              <w:rPr>
                <w:rFonts w:cstheme="minorHAnsi"/>
                <w:color w:val="000000"/>
                <w:sz w:val="20"/>
                <w:szCs w:val="20"/>
              </w:rPr>
              <w:t>90</w:t>
            </w:r>
          </w:p>
        </w:tc>
        <w:tc>
          <w:tcPr>
            <w:tcW w:w="1264" w:type="dxa"/>
            <w:shd w:val="clear" w:color="auto" w:fill="auto"/>
            <w:vAlign w:val="center"/>
          </w:tcPr>
          <w:p w:rsidR="00D907AF" w:rsidRPr="0087485F" w:rsidRDefault="00D907AF" w:rsidP="007D0DDA">
            <w:pPr>
              <w:spacing w:before="14" w:after="14"/>
              <w:ind w:right="454"/>
              <w:jc w:val="right"/>
              <w:rPr>
                <w:rFonts w:ascii="Calibri" w:hAnsi="Calibri" w:cs="Calibri"/>
                <w:color w:val="000000"/>
                <w:sz w:val="20"/>
                <w:szCs w:val="20"/>
              </w:rPr>
            </w:pPr>
            <w:r w:rsidRPr="0087485F">
              <w:rPr>
                <w:rFonts w:ascii="Calibri" w:hAnsi="Calibri" w:cs="Calibri"/>
                <w:color w:val="000000"/>
                <w:sz w:val="20"/>
                <w:szCs w:val="20"/>
              </w:rPr>
              <w:t>13.1</w:t>
            </w:r>
          </w:p>
        </w:tc>
        <w:tc>
          <w:tcPr>
            <w:tcW w:w="851" w:type="dxa"/>
            <w:shd w:val="clear" w:color="auto" w:fill="auto"/>
            <w:vAlign w:val="center"/>
          </w:tcPr>
          <w:p w:rsidR="00D907AF" w:rsidRPr="0087485F" w:rsidRDefault="00D907AF" w:rsidP="005B5F9E">
            <w:pPr>
              <w:spacing w:before="14" w:after="14"/>
              <w:ind w:left="-136" w:right="284"/>
              <w:jc w:val="right"/>
              <w:rPr>
                <w:rFonts w:ascii="Calibri" w:hAnsi="Calibri" w:cs="Calibri"/>
                <w:color w:val="000000"/>
                <w:sz w:val="20"/>
                <w:szCs w:val="20"/>
              </w:rPr>
            </w:pPr>
            <w:r w:rsidRPr="0087485F">
              <w:rPr>
                <w:rFonts w:ascii="Calibri" w:hAnsi="Calibri" w:cs="Calibri"/>
                <w:color w:val="000000"/>
                <w:sz w:val="20"/>
                <w:szCs w:val="20"/>
              </w:rPr>
              <w:t>21</w:t>
            </w:r>
          </w:p>
        </w:tc>
        <w:tc>
          <w:tcPr>
            <w:tcW w:w="851" w:type="dxa"/>
            <w:shd w:val="clear" w:color="auto" w:fill="auto"/>
            <w:vAlign w:val="center"/>
          </w:tcPr>
          <w:p w:rsidR="00D907AF" w:rsidRPr="0087485F" w:rsidRDefault="00D907AF" w:rsidP="00651B15">
            <w:pPr>
              <w:spacing w:before="14" w:after="14"/>
              <w:ind w:right="175"/>
              <w:jc w:val="right"/>
              <w:rPr>
                <w:rFonts w:ascii="Calibri" w:hAnsi="Calibri" w:cs="Calibri"/>
                <w:color w:val="000000"/>
                <w:sz w:val="20"/>
                <w:szCs w:val="20"/>
              </w:rPr>
            </w:pPr>
            <w:r w:rsidRPr="0087485F">
              <w:rPr>
                <w:rFonts w:ascii="Calibri" w:hAnsi="Calibri" w:cs="Calibri"/>
                <w:color w:val="000000"/>
                <w:sz w:val="20"/>
                <w:szCs w:val="20"/>
              </w:rPr>
              <w:t>25.6</w:t>
            </w:r>
          </w:p>
        </w:tc>
        <w:tc>
          <w:tcPr>
            <w:tcW w:w="850" w:type="dxa"/>
            <w:shd w:val="clear" w:color="auto" w:fill="auto"/>
            <w:vAlign w:val="center"/>
          </w:tcPr>
          <w:p w:rsidR="00D907AF" w:rsidRPr="0087485F" w:rsidRDefault="00D907AF" w:rsidP="00651B15">
            <w:pPr>
              <w:spacing w:before="14" w:after="14"/>
              <w:ind w:right="153"/>
              <w:jc w:val="right"/>
              <w:rPr>
                <w:rFonts w:ascii="Calibri" w:hAnsi="Calibri" w:cs="Calibri"/>
                <w:color w:val="000000"/>
                <w:sz w:val="20"/>
                <w:szCs w:val="20"/>
              </w:rPr>
            </w:pPr>
            <w:r w:rsidRPr="0087485F">
              <w:rPr>
                <w:rFonts w:ascii="Calibri" w:hAnsi="Calibri" w:cs="Calibri"/>
                <w:color w:val="000000"/>
                <w:sz w:val="20"/>
                <w:szCs w:val="20"/>
              </w:rPr>
              <w:t>111</w:t>
            </w:r>
          </w:p>
        </w:tc>
        <w:tc>
          <w:tcPr>
            <w:tcW w:w="709" w:type="dxa"/>
            <w:shd w:val="clear" w:color="auto" w:fill="auto"/>
            <w:vAlign w:val="center"/>
          </w:tcPr>
          <w:p w:rsidR="00D907AF" w:rsidRPr="0087485F" w:rsidRDefault="00D907AF" w:rsidP="004F20DB">
            <w:pPr>
              <w:tabs>
                <w:tab w:val="decimal" w:pos="486"/>
              </w:tabs>
              <w:spacing w:before="14" w:after="14"/>
              <w:ind w:right="-43"/>
              <w:jc w:val="right"/>
              <w:rPr>
                <w:rFonts w:ascii="Calibri" w:hAnsi="Calibri" w:cs="Calibri"/>
                <w:color w:val="000000"/>
                <w:sz w:val="20"/>
                <w:szCs w:val="20"/>
              </w:rPr>
            </w:pPr>
            <w:r w:rsidRPr="0087485F">
              <w:rPr>
                <w:rFonts w:ascii="Calibri" w:hAnsi="Calibri" w:cs="Calibri"/>
                <w:color w:val="000000"/>
                <w:sz w:val="20"/>
                <w:szCs w:val="20"/>
              </w:rPr>
              <w:t>14.4</w:t>
            </w:r>
          </w:p>
        </w:tc>
      </w:tr>
      <w:tr w:rsidR="00D907AF" w:rsidRPr="0087485F" w:rsidTr="00C306C3">
        <w:trPr>
          <w:cantSplit/>
          <w:trHeight w:val="340"/>
        </w:trPr>
        <w:tc>
          <w:tcPr>
            <w:tcW w:w="3794" w:type="dxa"/>
            <w:shd w:val="clear" w:color="auto" w:fill="auto"/>
            <w:vAlign w:val="center"/>
          </w:tcPr>
          <w:p w:rsidR="00D907AF" w:rsidRPr="00C306C3" w:rsidRDefault="00D907AF" w:rsidP="00651B15">
            <w:pPr>
              <w:spacing w:before="14" w:after="14"/>
              <w:rPr>
                <w:rFonts w:cstheme="minorHAnsi"/>
                <w:sz w:val="19"/>
                <w:szCs w:val="19"/>
              </w:rPr>
            </w:pPr>
            <w:r w:rsidRPr="00C306C3">
              <w:rPr>
                <w:rFonts w:cstheme="minorHAnsi"/>
                <w:sz w:val="19"/>
                <w:szCs w:val="19"/>
              </w:rPr>
              <w:t>School by distance Learning</w:t>
            </w:r>
          </w:p>
        </w:tc>
        <w:tc>
          <w:tcPr>
            <w:tcW w:w="1264" w:type="dxa"/>
            <w:shd w:val="clear" w:color="auto" w:fill="auto"/>
            <w:vAlign w:val="center"/>
          </w:tcPr>
          <w:p w:rsidR="00D907AF" w:rsidRPr="0087485F" w:rsidRDefault="00D907AF" w:rsidP="00651B15">
            <w:pPr>
              <w:spacing w:before="14" w:after="14"/>
              <w:ind w:right="381"/>
              <w:jc w:val="right"/>
              <w:rPr>
                <w:rFonts w:cstheme="minorHAnsi"/>
                <w:color w:val="000000"/>
                <w:sz w:val="20"/>
                <w:szCs w:val="20"/>
              </w:rPr>
            </w:pPr>
            <w:r w:rsidRPr="0087485F">
              <w:rPr>
                <w:rFonts w:cstheme="minorHAnsi"/>
                <w:color w:val="000000"/>
                <w:sz w:val="20"/>
                <w:szCs w:val="20"/>
              </w:rPr>
              <w:t>4</w:t>
            </w:r>
          </w:p>
        </w:tc>
        <w:tc>
          <w:tcPr>
            <w:tcW w:w="1264" w:type="dxa"/>
            <w:shd w:val="clear" w:color="auto" w:fill="auto"/>
            <w:vAlign w:val="center"/>
          </w:tcPr>
          <w:p w:rsidR="00D907AF" w:rsidRPr="0087485F" w:rsidRDefault="00D907AF" w:rsidP="007D0DDA">
            <w:pPr>
              <w:spacing w:before="14" w:after="14"/>
              <w:ind w:right="454"/>
              <w:jc w:val="right"/>
              <w:rPr>
                <w:rFonts w:ascii="Calibri" w:hAnsi="Calibri" w:cs="Calibri"/>
                <w:color w:val="000000"/>
                <w:sz w:val="20"/>
                <w:szCs w:val="20"/>
              </w:rPr>
            </w:pPr>
            <w:r w:rsidRPr="0087485F">
              <w:rPr>
                <w:rFonts w:ascii="Calibri" w:hAnsi="Calibri" w:cs="Calibri"/>
                <w:color w:val="000000"/>
                <w:sz w:val="20"/>
                <w:szCs w:val="20"/>
              </w:rPr>
              <w:t>0.6</w:t>
            </w:r>
          </w:p>
        </w:tc>
        <w:tc>
          <w:tcPr>
            <w:tcW w:w="851" w:type="dxa"/>
            <w:shd w:val="clear" w:color="auto" w:fill="auto"/>
            <w:vAlign w:val="center"/>
          </w:tcPr>
          <w:p w:rsidR="00D907AF" w:rsidRPr="0087485F" w:rsidRDefault="00D907AF" w:rsidP="005B5F9E">
            <w:pPr>
              <w:spacing w:before="14" w:after="14"/>
              <w:ind w:left="-136" w:right="284"/>
              <w:jc w:val="right"/>
              <w:rPr>
                <w:rFonts w:ascii="Calibri" w:hAnsi="Calibri" w:cs="Calibri"/>
                <w:color w:val="000000"/>
                <w:sz w:val="20"/>
                <w:szCs w:val="20"/>
              </w:rPr>
            </w:pPr>
            <w:r w:rsidRPr="0087485F">
              <w:rPr>
                <w:rFonts w:ascii="Calibri" w:hAnsi="Calibri" w:cs="Calibri"/>
                <w:color w:val="000000"/>
                <w:sz w:val="20"/>
                <w:szCs w:val="20"/>
              </w:rPr>
              <w:t>3</w:t>
            </w:r>
          </w:p>
        </w:tc>
        <w:tc>
          <w:tcPr>
            <w:tcW w:w="851" w:type="dxa"/>
            <w:shd w:val="clear" w:color="auto" w:fill="auto"/>
            <w:vAlign w:val="center"/>
          </w:tcPr>
          <w:p w:rsidR="00D907AF" w:rsidRPr="0087485F" w:rsidRDefault="00D907AF" w:rsidP="00651B15">
            <w:pPr>
              <w:spacing w:before="14" w:after="14"/>
              <w:ind w:right="175"/>
              <w:jc w:val="right"/>
              <w:rPr>
                <w:rFonts w:ascii="Calibri" w:hAnsi="Calibri" w:cs="Calibri"/>
                <w:color w:val="000000"/>
                <w:sz w:val="20"/>
                <w:szCs w:val="20"/>
              </w:rPr>
            </w:pPr>
            <w:r w:rsidRPr="0087485F">
              <w:rPr>
                <w:rFonts w:ascii="Calibri" w:hAnsi="Calibri" w:cs="Calibri"/>
                <w:color w:val="000000"/>
                <w:sz w:val="20"/>
                <w:szCs w:val="20"/>
              </w:rPr>
              <w:t>3.7</w:t>
            </w:r>
          </w:p>
        </w:tc>
        <w:tc>
          <w:tcPr>
            <w:tcW w:w="850" w:type="dxa"/>
            <w:shd w:val="clear" w:color="auto" w:fill="auto"/>
            <w:vAlign w:val="center"/>
          </w:tcPr>
          <w:p w:rsidR="00D907AF" w:rsidRPr="0087485F" w:rsidRDefault="00D907AF" w:rsidP="00651B15">
            <w:pPr>
              <w:spacing w:before="14" w:after="14"/>
              <w:ind w:right="153"/>
              <w:jc w:val="right"/>
              <w:rPr>
                <w:rFonts w:ascii="Calibri" w:hAnsi="Calibri" w:cs="Calibri"/>
                <w:color w:val="000000"/>
                <w:sz w:val="20"/>
                <w:szCs w:val="20"/>
              </w:rPr>
            </w:pPr>
            <w:r w:rsidRPr="0087485F">
              <w:rPr>
                <w:rFonts w:ascii="Calibri" w:hAnsi="Calibri" w:cs="Calibri"/>
                <w:color w:val="000000"/>
                <w:sz w:val="20"/>
                <w:szCs w:val="20"/>
              </w:rPr>
              <w:t>7</w:t>
            </w:r>
          </w:p>
        </w:tc>
        <w:tc>
          <w:tcPr>
            <w:tcW w:w="709" w:type="dxa"/>
            <w:shd w:val="clear" w:color="auto" w:fill="auto"/>
            <w:vAlign w:val="center"/>
          </w:tcPr>
          <w:p w:rsidR="00D907AF" w:rsidRPr="0087485F" w:rsidRDefault="00D907AF" w:rsidP="004F20DB">
            <w:pPr>
              <w:tabs>
                <w:tab w:val="decimal" w:pos="486"/>
              </w:tabs>
              <w:spacing w:before="14" w:after="14"/>
              <w:ind w:right="-43"/>
              <w:jc w:val="right"/>
              <w:rPr>
                <w:rFonts w:ascii="Calibri" w:hAnsi="Calibri" w:cs="Calibri"/>
                <w:color w:val="000000"/>
                <w:sz w:val="20"/>
                <w:szCs w:val="20"/>
              </w:rPr>
            </w:pPr>
            <w:r w:rsidRPr="0087485F">
              <w:rPr>
                <w:rFonts w:ascii="Calibri" w:hAnsi="Calibri" w:cs="Calibri"/>
                <w:color w:val="000000"/>
                <w:sz w:val="20"/>
                <w:szCs w:val="20"/>
              </w:rPr>
              <w:t>0.9</w:t>
            </w:r>
          </w:p>
        </w:tc>
      </w:tr>
      <w:tr w:rsidR="00D907AF" w:rsidRPr="0087485F" w:rsidTr="00C306C3">
        <w:trPr>
          <w:cantSplit/>
          <w:trHeight w:val="340"/>
        </w:trPr>
        <w:tc>
          <w:tcPr>
            <w:tcW w:w="3794" w:type="dxa"/>
            <w:shd w:val="clear" w:color="auto" w:fill="auto"/>
            <w:vAlign w:val="center"/>
          </w:tcPr>
          <w:p w:rsidR="00D907AF" w:rsidRPr="00C306C3" w:rsidRDefault="00D907AF" w:rsidP="00651B15">
            <w:pPr>
              <w:spacing w:before="14" w:after="14"/>
              <w:rPr>
                <w:rFonts w:cstheme="minorHAnsi"/>
                <w:sz w:val="19"/>
                <w:szCs w:val="19"/>
              </w:rPr>
            </w:pPr>
            <w:r w:rsidRPr="00C306C3">
              <w:rPr>
                <w:rFonts w:cstheme="minorHAnsi"/>
                <w:sz w:val="19"/>
                <w:szCs w:val="19"/>
              </w:rPr>
              <w:t>Other</w:t>
            </w:r>
          </w:p>
        </w:tc>
        <w:tc>
          <w:tcPr>
            <w:tcW w:w="1264" w:type="dxa"/>
            <w:shd w:val="clear" w:color="auto" w:fill="auto"/>
            <w:vAlign w:val="center"/>
          </w:tcPr>
          <w:p w:rsidR="00D907AF" w:rsidRPr="0087485F" w:rsidRDefault="00D907AF" w:rsidP="00651B15">
            <w:pPr>
              <w:spacing w:before="14" w:after="14"/>
              <w:ind w:right="381"/>
              <w:jc w:val="right"/>
              <w:rPr>
                <w:rFonts w:cstheme="minorHAnsi"/>
                <w:color w:val="000000"/>
                <w:sz w:val="20"/>
                <w:szCs w:val="20"/>
              </w:rPr>
            </w:pPr>
            <w:r w:rsidRPr="0087485F">
              <w:rPr>
                <w:rFonts w:cstheme="minorHAnsi"/>
                <w:color w:val="000000"/>
                <w:sz w:val="20"/>
                <w:szCs w:val="20"/>
              </w:rPr>
              <w:t>5</w:t>
            </w:r>
          </w:p>
        </w:tc>
        <w:tc>
          <w:tcPr>
            <w:tcW w:w="1264" w:type="dxa"/>
            <w:shd w:val="clear" w:color="auto" w:fill="auto"/>
            <w:vAlign w:val="center"/>
          </w:tcPr>
          <w:p w:rsidR="00D907AF" w:rsidRPr="0087485F" w:rsidRDefault="00D907AF" w:rsidP="007D0DDA">
            <w:pPr>
              <w:spacing w:before="14" w:after="14"/>
              <w:ind w:right="454"/>
              <w:jc w:val="right"/>
              <w:rPr>
                <w:rFonts w:ascii="Calibri" w:hAnsi="Calibri" w:cs="Calibri"/>
                <w:color w:val="000000"/>
                <w:sz w:val="20"/>
                <w:szCs w:val="20"/>
              </w:rPr>
            </w:pPr>
            <w:r w:rsidRPr="0087485F">
              <w:rPr>
                <w:rFonts w:ascii="Calibri" w:hAnsi="Calibri" w:cs="Calibri"/>
                <w:color w:val="000000"/>
                <w:sz w:val="20"/>
                <w:szCs w:val="20"/>
              </w:rPr>
              <w:t>0.7</w:t>
            </w:r>
          </w:p>
        </w:tc>
        <w:tc>
          <w:tcPr>
            <w:tcW w:w="851" w:type="dxa"/>
            <w:shd w:val="clear" w:color="auto" w:fill="auto"/>
            <w:vAlign w:val="center"/>
          </w:tcPr>
          <w:p w:rsidR="00D907AF" w:rsidRPr="0087485F" w:rsidRDefault="00D907AF" w:rsidP="005B5F9E">
            <w:pPr>
              <w:spacing w:before="14" w:after="14"/>
              <w:ind w:left="-136" w:right="284"/>
              <w:jc w:val="right"/>
              <w:rPr>
                <w:rFonts w:ascii="Calibri" w:hAnsi="Calibri" w:cs="Calibri"/>
                <w:color w:val="000000"/>
                <w:sz w:val="20"/>
                <w:szCs w:val="20"/>
              </w:rPr>
            </w:pPr>
            <w:r w:rsidRPr="0087485F">
              <w:rPr>
                <w:rFonts w:ascii="Calibri" w:hAnsi="Calibri" w:cs="Calibri"/>
                <w:color w:val="000000"/>
                <w:sz w:val="20"/>
                <w:szCs w:val="20"/>
              </w:rPr>
              <w:t>-</w:t>
            </w:r>
          </w:p>
        </w:tc>
        <w:tc>
          <w:tcPr>
            <w:tcW w:w="851" w:type="dxa"/>
            <w:shd w:val="clear" w:color="auto" w:fill="auto"/>
            <w:vAlign w:val="center"/>
          </w:tcPr>
          <w:p w:rsidR="00D907AF" w:rsidRPr="0087485F" w:rsidRDefault="00D907AF" w:rsidP="00651B15">
            <w:pPr>
              <w:spacing w:before="14" w:after="14"/>
              <w:ind w:right="175"/>
              <w:jc w:val="right"/>
              <w:rPr>
                <w:rFonts w:ascii="Calibri" w:hAnsi="Calibri" w:cs="Calibri"/>
                <w:color w:val="000000"/>
                <w:sz w:val="20"/>
                <w:szCs w:val="20"/>
              </w:rPr>
            </w:pPr>
            <w:r w:rsidRPr="0087485F">
              <w:rPr>
                <w:rFonts w:ascii="Calibri" w:hAnsi="Calibri" w:cs="Calibri"/>
                <w:color w:val="000000"/>
                <w:sz w:val="20"/>
                <w:szCs w:val="20"/>
              </w:rPr>
              <w:t>-</w:t>
            </w:r>
          </w:p>
        </w:tc>
        <w:tc>
          <w:tcPr>
            <w:tcW w:w="850" w:type="dxa"/>
            <w:shd w:val="clear" w:color="auto" w:fill="auto"/>
            <w:vAlign w:val="center"/>
          </w:tcPr>
          <w:p w:rsidR="00D907AF" w:rsidRPr="0087485F" w:rsidRDefault="00D907AF" w:rsidP="00651B15">
            <w:pPr>
              <w:spacing w:before="14" w:after="14"/>
              <w:ind w:right="153"/>
              <w:jc w:val="right"/>
              <w:rPr>
                <w:rFonts w:ascii="Calibri" w:hAnsi="Calibri" w:cs="Calibri"/>
                <w:color w:val="000000"/>
                <w:sz w:val="20"/>
                <w:szCs w:val="20"/>
              </w:rPr>
            </w:pPr>
            <w:r w:rsidRPr="0087485F">
              <w:rPr>
                <w:rFonts w:ascii="Calibri" w:hAnsi="Calibri" w:cs="Calibri"/>
                <w:color w:val="000000"/>
                <w:sz w:val="20"/>
                <w:szCs w:val="20"/>
              </w:rPr>
              <w:t>5</w:t>
            </w:r>
          </w:p>
        </w:tc>
        <w:tc>
          <w:tcPr>
            <w:tcW w:w="709" w:type="dxa"/>
            <w:shd w:val="clear" w:color="auto" w:fill="auto"/>
            <w:vAlign w:val="center"/>
          </w:tcPr>
          <w:p w:rsidR="00D907AF" w:rsidRPr="0087485F" w:rsidRDefault="00D907AF" w:rsidP="004F20DB">
            <w:pPr>
              <w:tabs>
                <w:tab w:val="decimal" w:pos="486"/>
              </w:tabs>
              <w:spacing w:before="14" w:after="14"/>
              <w:ind w:right="-43"/>
              <w:jc w:val="right"/>
              <w:rPr>
                <w:rFonts w:ascii="Calibri" w:hAnsi="Calibri" w:cs="Calibri"/>
                <w:color w:val="000000"/>
                <w:sz w:val="20"/>
                <w:szCs w:val="20"/>
              </w:rPr>
            </w:pPr>
            <w:r w:rsidRPr="0087485F">
              <w:rPr>
                <w:rFonts w:ascii="Calibri" w:hAnsi="Calibri" w:cs="Calibri"/>
                <w:color w:val="000000"/>
                <w:sz w:val="20"/>
                <w:szCs w:val="20"/>
              </w:rPr>
              <w:t>0.6</w:t>
            </w:r>
          </w:p>
        </w:tc>
      </w:tr>
      <w:tr w:rsidR="00D907AF" w:rsidRPr="0087485F" w:rsidTr="00C306C3">
        <w:trPr>
          <w:cantSplit/>
          <w:trHeight w:val="340"/>
        </w:trPr>
        <w:tc>
          <w:tcPr>
            <w:tcW w:w="3794" w:type="dxa"/>
            <w:shd w:val="clear" w:color="auto" w:fill="auto"/>
            <w:vAlign w:val="center"/>
          </w:tcPr>
          <w:p w:rsidR="00D907AF" w:rsidRPr="00C306C3" w:rsidRDefault="00D907AF" w:rsidP="00C306C3">
            <w:pPr>
              <w:spacing w:before="14" w:after="14"/>
              <w:rPr>
                <w:rFonts w:cstheme="minorHAnsi"/>
                <w:sz w:val="19"/>
                <w:szCs w:val="19"/>
              </w:rPr>
            </w:pPr>
            <w:r w:rsidRPr="00C306C3">
              <w:rPr>
                <w:rFonts w:cstheme="minorHAnsi"/>
                <w:sz w:val="19"/>
                <w:szCs w:val="19"/>
              </w:rPr>
              <w:t xml:space="preserve">Pre-school/ kindergarten </w:t>
            </w:r>
            <w:r w:rsidR="006D4D1C" w:rsidRPr="00C306C3">
              <w:rPr>
                <w:rFonts w:cstheme="minorHAnsi"/>
                <w:sz w:val="19"/>
                <w:szCs w:val="19"/>
              </w:rPr>
              <w:t>(</w:t>
            </w:r>
            <w:r w:rsidRPr="00C306C3">
              <w:rPr>
                <w:rFonts w:cstheme="minorHAnsi"/>
                <w:sz w:val="19"/>
                <w:szCs w:val="19"/>
              </w:rPr>
              <w:t>0</w:t>
            </w:r>
            <w:r w:rsidR="00651B15" w:rsidRPr="00C306C3">
              <w:rPr>
                <w:rFonts w:cstheme="minorHAnsi"/>
                <w:sz w:val="19"/>
                <w:szCs w:val="19"/>
              </w:rPr>
              <w:t xml:space="preserve"> to 15 only</w:t>
            </w:r>
            <w:r w:rsidR="006D4D1C" w:rsidRPr="00C306C3">
              <w:rPr>
                <w:rFonts w:cstheme="minorHAnsi"/>
                <w:sz w:val="19"/>
                <w:szCs w:val="19"/>
              </w:rPr>
              <w:t>)</w:t>
            </w:r>
          </w:p>
        </w:tc>
        <w:tc>
          <w:tcPr>
            <w:tcW w:w="1264" w:type="dxa"/>
            <w:shd w:val="clear" w:color="auto" w:fill="auto"/>
            <w:vAlign w:val="center"/>
          </w:tcPr>
          <w:p w:rsidR="00D907AF" w:rsidRPr="0087485F" w:rsidRDefault="00D907AF" w:rsidP="00651B15">
            <w:pPr>
              <w:spacing w:before="14" w:after="14"/>
              <w:ind w:right="381"/>
              <w:jc w:val="right"/>
              <w:rPr>
                <w:rFonts w:cstheme="minorHAnsi"/>
                <w:color w:val="000000"/>
                <w:sz w:val="20"/>
                <w:szCs w:val="20"/>
              </w:rPr>
            </w:pPr>
            <w:r w:rsidRPr="0087485F">
              <w:rPr>
                <w:rFonts w:cstheme="minorHAnsi"/>
                <w:color w:val="000000"/>
                <w:sz w:val="20"/>
                <w:szCs w:val="20"/>
              </w:rPr>
              <w:t>112</w:t>
            </w:r>
          </w:p>
        </w:tc>
        <w:tc>
          <w:tcPr>
            <w:tcW w:w="1264" w:type="dxa"/>
            <w:shd w:val="clear" w:color="auto" w:fill="auto"/>
            <w:vAlign w:val="center"/>
          </w:tcPr>
          <w:p w:rsidR="00D907AF" w:rsidRPr="0087485F" w:rsidRDefault="00D907AF" w:rsidP="007D0DDA">
            <w:pPr>
              <w:spacing w:before="14" w:after="14"/>
              <w:ind w:right="454"/>
              <w:jc w:val="right"/>
              <w:rPr>
                <w:rFonts w:ascii="Calibri" w:hAnsi="Calibri" w:cs="Calibri"/>
                <w:color w:val="000000"/>
                <w:sz w:val="20"/>
                <w:szCs w:val="20"/>
              </w:rPr>
            </w:pPr>
            <w:r w:rsidRPr="0087485F">
              <w:rPr>
                <w:rFonts w:ascii="Calibri" w:hAnsi="Calibri" w:cs="Calibri"/>
                <w:color w:val="000000"/>
                <w:sz w:val="20"/>
                <w:szCs w:val="20"/>
              </w:rPr>
              <w:t>16.3</w:t>
            </w:r>
          </w:p>
        </w:tc>
        <w:tc>
          <w:tcPr>
            <w:tcW w:w="851" w:type="dxa"/>
            <w:shd w:val="clear" w:color="auto" w:fill="auto"/>
            <w:vAlign w:val="center"/>
          </w:tcPr>
          <w:p w:rsidR="00D907AF" w:rsidRPr="0087485F" w:rsidRDefault="00D907AF" w:rsidP="005B5F9E">
            <w:pPr>
              <w:spacing w:before="14" w:after="14"/>
              <w:ind w:left="-136" w:right="284"/>
              <w:jc w:val="right"/>
              <w:rPr>
                <w:rFonts w:ascii="Calibri" w:hAnsi="Calibri" w:cs="Calibri"/>
                <w:color w:val="000000"/>
                <w:sz w:val="20"/>
                <w:szCs w:val="20"/>
              </w:rPr>
            </w:pPr>
            <w:r w:rsidRPr="0087485F">
              <w:rPr>
                <w:rFonts w:ascii="Calibri" w:hAnsi="Calibri" w:cs="Calibri"/>
                <w:color w:val="000000"/>
                <w:sz w:val="20"/>
                <w:szCs w:val="20"/>
              </w:rPr>
              <w:t>-</w:t>
            </w:r>
          </w:p>
        </w:tc>
        <w:tc>
          <w:tcPr>
            <w:tcW w:w="851" w:type="dxa"/>
            <w:shd w:val="clear" w:color="auto" w:fill="auto"/>
            <w:vAlign w:val="center"/>
          </w:tcPr>
          <w:p w:rsidR="00D907AF" w:rsidRPr="0087485F" w:rsidRDefault="00D907AF" w:rsidP="00651B15">
            <w:pPr>
              <w:spacing w:before="14" w:after="14"/>
              <w:ind w:right="175"/>
              <w:jc w:val="right"/>
              <w:rPr>
                <w:rFonts w:ascii="Calibri" w:hAnsi="Calibri" w:cs="Calibri"/>
                <w:color w:val="000000"/>
                <w:sz w:val="20"/>
                <w:szCs w:val="20"/>
              </w:rPr>
            </w:pPr>
            <w:r w:rsidRPr="0087485F">
              <w:rPr>
                <w:rFonts w:ascii="Calibri" w:hAnsi="Calibri" w:cs="Calibri"/>
                <w:color w:val="000000"/>
                <w:sz w:val="20"/>
                <w:szCs w:val="20"/>
              </w:rPr>
              <w:t>-</w:t>
            </w:r>
          </w:p>
        </w:tc>
        <w:tc>
          <w:tcPr>
            <w:tcW w:w="850" w:type="dxa"/>
            <w:shd w:val="clear" w:color="auto" w:fill="auto"/>
            <w:vAlign w:val="center"/>
          </w:tcPr>
          <w:p w:rsidR="00D907AF" w:rsidRPr="0087485F" w:rsidRDefault="00D907AF" w:rsidP="00651B15">
            <w:pPr>
              <w:spacing w:before="14" w:after="14"/>
              <w:ind w:right="153"/>
              <w:jc w:val="right"/>
              <w:rPr>
                <w:rFonts w:ascii="Calibri" w:hAnsi="Calibri" w:cs="Calibri"/>
                <w:color w:val="000000"/>
                <w:sz w:val="20"/>
                <w:szCs w:val="20"/>
              </w:rPr>
            </w:pPr>
            <w:r w:rsidRPr="0087485F">
              <w:rPr>
                <w:rFonts w:ascii="Calibri" w:hAnsi="Calibri" w:cs="Calibri"/>
                <w:color w:val="000000"/>
                <w:sz w:val="20"/>
                <w:szCs w:val="20"/>
              </w:rPr>
              <w:t>112</w:t>
            </w:r>
          </w:p>
        </w:tc>
        <w:tc>
          <w:tcPr>
            <w:tcW w:w="709" w:type="dxa"/>
            <w:shd w:val="clear" w:color="auto" w:fill="auto"/>
            <w:vAlign w:val="center"/>
          </w:tcPr>
          <w:p w:rsidR="00D907AF" w:rsidRPr="0087485F" w:rsidRDefault="00D907AF" w:rsidP="004F20DB">
            <w:pPr>
              <w:tabs>
                <w:tab w:val="decimal" w:pos="486"/>
              </w:tabs>
              <w:spacing w:before="14" w:after="14"/>
              <w:ind w:right="-43"/>
              <w:jc w:val="right"/>
              <w:rPr>
                <w:rFonts w:ascii="Calibri" w:hAnsi="Calibri" w:cs="Calibri"/>
                <w:color w:val="000000"/>
                <w:sz w:val="20"/>
                <w:szCs w:val="20"/>
              </w:rPr>
            </w:pPr>
            <w:r w:rsidRPr="0087485F">
              <w:rPr>
                <w:rFonts w:ascii="Calibri" w:hAnsi="Calibri" w:cs="Calibri"/>
                <w:color w:val="000000"/>
                <w:sz w:val="20"/>
                <w:szCs w:val="20"/>
              </w:rPr>
              <w:t>14.5</w:t>
            </w:r>
          </w:p>
        </w:tc>
      </w:tr>
      <w:tr w:rsidR="00D907AF" w:rsidRPr="0087485F" w:rsidTr="00C306C3">
        <w:trPr>
          <w:cantSplit/>
          <w:trHeight w:val="340"/>
        </w:trPr>
        <w:tc>
          <w:tcPr>
            <w:tcW w:w="3794" w:type="dxa"/>
            <w:shd w:val="clear" w:color="auto" w:fill="auto"/>
            <w:vAlign w:val="center"/>
          </w:tcPr>
          <w:p w:rsidR="00D907AF" w:rsidRPr="00C306C3" w:rsidRDefault="00D907AF" w:rsidP="00C306C3">
            <w:pPr>
              <w:spacing w:before="14" w:after="14"/>
              <w:rPr>
                <w:rFonts w:cstheme="minorHAnsi"/>
                <w:sz w:val="19"/>
                <w:szCs w:val="19"/>
              </w:rPr>
            </w:pPr>
            <w:r w:rsidRPr="00C306C3">
              <w:rPr>
                <w:rFonts w:cstheme="minorHAnsi"/>
                <w:sz w:val="19"/>
                <w:szCs w:val="19"/>
              </w:rPr>
              <w:t xml:space="preserve">Pre Year 1 primary school </w:t>
            </w:r>
            <w:r w:rsidR="006D4D1C" w:rsidRPr="00C306C3">
              <w:rPr>
                <w:rFonts w:cstheme="minorHAnsi"/>
                <w:sz w:val="19"/>
                <w:szCs w:val="19"/>
              </w:rPr>
              <w:t>(0 to 15 only)</w:t>
            </w:r>
          </w:p>
        </w:tc>
        <w:tc>
          <w:tcPr>
            <w:tcW w:w="1264" w:type="dxa"/>
            <w:shd w:val="clear" w:color="auto" w:fill="auto"/>
            <w:vAlign w:val="center"/>
          </w:tcPr>
          <w:p w:rsidR="00D907AF" w:rsidRPr="0087485F" w:rsidRDefault="00D907AF" w:rsidP="00651B15">
            <w:pPr>
              <w:spacing w:before="14" w:after="14"/>
              <w:ind w:right="381"/>
              <w:jc w:val="right"/>
              <w:rPr>
                <w:rFonts w:cstheme="minorHAnsi"/>
                <w:color w:val="000000"/>
                <w:sz w:val="20"/>
                <w:szCs w:val="20"/>
              </w:rPr>
            </w:pPr>
            <w:r w:rsidRPr="0087485F">
              <w:rPr>
                <w:rFonts w:cstheme="minorHAnsi"/>
                <w:color w:val="000000"/>
                <w:sz w:val="20"/>
                <w:szCs w:val="20"/>
              </w:rPr>
              <w:t>91</w:t>
            </w:r>
          </w:p>
        </w:tc>
        <w:tc>
          <w:tcPr>
            <w:tcW w:w="1264" w:type="dxa"/>
            <w:shd w:val="clear" w:color="auto" w:fill="auto"/>
            <w:vAlign w:val="center"/>
          </w:tcPr>
          <w:p w:rsidR="00D907AF" w:rsidRPr="0087485F" w:rsidRDefault="00D907AF" w:rsidP="007D0DDA">
            <w:pPr>
              <w:spacing w:before="14" w:after="14"/>
              <w:ind w:right="454"/>
              <w:jc w:val="right"/>
              <w:rPr>
                <w:rFonts w:ascii="Calibri" w:hAnsi="Calibri" w:cs="Calibri"/>
                <w:color w:val="000000"/>
                <w:sz w:val="20"/>
                <w:szCs w:val="20"/>
              </w:rPr>
            </w:pPr>
            <w:r w:rsidRPr="0087485F">
              <w:rPr>
                <w:rFonts w:ascii="Calibri" w:hAnsi="Calibri" w:cs="Calibri"/>
                <w:color w:val="000000"/>
                <w:sz w:val="20"/>
                <w:szCs w:val="20"/>
              </w:rPr>
              <w:t>13.2</w:t>
            </w:r>
          </w:p>
        </w:tc>
        <w:tc>
          <w:tcPr>
            <w:tcW w:w="851" w:type="dxa"/>
            <w:shd w:val="clear" w:color="auto" w:fill="auto"/>
            <w:vAlign w:val="center"/>
          </w:tcPr>
          <w:p w:rsidR="00D907AF" w:rsidRPr="0087485F" w:rsidRDefault="00D907AF" w:rsidP="005B5F9E">
            <w:pPr>
              <w:spacing w:before="14" w:after="14"/>
              <w:ind w:left="-136" w:right="284"/>
              <w:jc w:val="right"/>
              <w:rPr>
                <w:rFonts w:ascii="Calibri" w:hAnsi="Calibri" w:cs="Calibri"/>
                <w:color w:val="000000"/>
                <w:sz w:val="20"/>
                <w:szCs w:val="20"/>
              </w:rPr>
            </w:pPr>
            <w:r w:rsidRPr="0087485F">
              <w:rPr>
                <w:rFonts w:ascii="Calibri" w:hAnsi="Calibri" w:cs="Calibri"/>
                <w:color w:val="000000"/>
                <w:sz w:val="20"/>
                <w:szCs w:val="20"/>
              </w:rPr>
              <w:t>-</w:t>
            </w:r>
          </w:p>
        </w:tc>
        <w:tc>
          <w:tcPr>
            <w:tcW w:w="851" w:type="dxa"/>
            <w:shd w:val="clear" w:color="auto" w:fill="auto"/>
            <w:vAlign w:val="center"/>
          </w:tcPr>
          <w:p w:rsidR="00D907AF" w:rsidRPr="0087485F" w:rsidRDefault="00D907AF" w:rsidP="00651B15">
            <w:pPr>
              <w:spacing w:before="14" w:after="14"/>
              <w:ind w:right="175"/>
              <w:jc w:val="right"/>
              <w:rPr>
                <w:rFonts w:ascii="Calibri" w:hAnsi="Calibri" w:cs="Calibri"/>
                <w:color w:val="000000"/>
                <w:sz w:val="20"/>
                <w:szCs w:val="20"/>
              </w:rPr>
            </w:pPr>
            <w:r w:rsidRPr="0087485F">
              <w:rPr>
                <w:rFonts w:ascii="Calibri" w:hAnsi="Calibri" w:cs="Calibri"/>
                <w:color w:val="000000"/>
                <w:sz w:val="20"/>
                <w:szCs w:val="20"/>
              </w:rPr>
              <w:t>-</w:t>
            </w:r>
          </w:p>
        </w:tc>
        <w:tc>
          <w:tcPr>
            <w:tcW w:w="850" w:type="dxa"/>
            <w:shd w:val="clear" w:color="auto" w:fill="auto"/>
            <w:vAlign w:val="center"/>
          </w:tcPr>
          <w:p w:rsidR="00D907AF" w:rsidRPr="0087485F" w:rsidRDefault="00D907AF" w:rsidP="00651B15">
            <w:pPr>
              <w:spacing w:before="14" w:after="14"/>
              <w:ind w:right="153"/>
              <w:jc w:val="right"/>
              <w:rPr>
                <w:rFonts w:ascii="Calibri" w:hAnsi="Calibri" w:cs="Calibri"/>
                <w:color w:val="000000"/>
                <w:sz w:val="20"/>
                <w:szCs w:val="20"/>
              </w:rPr>
            </w:pPr>
            <w:r w:rsidRPr="0087485F">
              <w:rPr>
                <w:rFonts w:ascii="Calibri" w:hAnsi="Calibri" w:cs="Calibri"/>
                <w:color w:val="000000"/>
                <w:sz w:val="20"/>
                <w:szCs w:val="20"/>
              </w:rPr>
              <w:t>91</w:t>
            </w:r>
          </w:p>
        </w:tc>
        <w:tc>
          <w:tcPr>
            <w:tcW w:w="709" w:type="dxa"/>
            <w:shd w:val="clear" w:color="auto" w:fill="auto"/>
            <w:vAlign w:val="center"/>
          </w:tcPr>
          <w:p w:rsidR="00D907AF" w:rsidRPr="0087485F" w:rsidRDefault="00D907AF" w:rsidP="004F20DB">
            <w:pPr>
              <w:tabs>
                <w:tab w:val="decimal" w:pos="486"/>
              </w:tabs>
              <w:spacing w:before="14" w:after="14"/>
              <w:ind w:right="-43"/>
              <w:jc w:val="right"/>
              <w:rPr>
                <w:rFonts w:ascii="Calibri" w:hAnsi="Calibri" w:cs="Calibri"/>
                <w:color w:val="000000"/>
                <w:sz w:val="20"/>
                <w:szCs w:val="20"/>
              </w:rPr>
            </w:pPr>
            <w:r w:rsidRPr="0087485F">
              <w:rPr>
                <w:rFonts w:ascii="Calibri" w:hAnsi="Calibri" w:cs="Calibri"/>
                <w:color w:val="000000"/>
                <w:sz w:val="20"/>
                <w:szCs w:val="20"/>
              </w:rPr>
              <w:t>11.8</w:t>
            </w:r>
          </w:p>
        </w:tc>
      </w:tr>
      <w:tr w:rsidR="00D907AF" w:rsidRPr="0087485F" w:rsidTr="00C306C3">
        <w:trPr>
          <w:cantSplit/>
          <w:trHeight w:val="340"/>
        </w:trPr>
        <w:tc>
          <w:tcPr>
            <w:tcW w:w="3794" w:type="dxa"/>
            <w:shd w:val="clear" w:color="auto" w:fill="auto"/>
            <w:vAlign w:val="center"/>
          </w:tcPr>
          <w:p w:rsidR="00D907AF" w:rsidRPr="00C306C3" w:rsidRDefault="00D907AF" w:rsidP="00C306C3">
            <w:pPr>
              <w:spacing w:before="14" w:after="14"/>
              <w:ind w:right="-46"/>
              <w:rPr>
                <w:rFonts w:cstheme="minorHAnsi"/>
                <w:sz w:val="19"/>
                <w:szCs w:val="19"/>
              </w:rPr>
            </w:pPr>
            <w:r w:rsidRPr="00C306C3">
              <w:rPr>
                <w:rFonts w:cstheme="minorHAnsi"/>
                <w:sz w:val="19"/>
                <w:szCs w:val="19"/>
              </w:rPr>
              <w:t xml:space="preserve">Primary school Year 1 and above </w:t>
            </w:r>
            <w:r w:rsidR="006D4D1C" w:rsidRPr="00C306C3">
              <w:rPr>
                <w:rFonts w:cstheme="minorHAnsi"/>
                <w:sz w:val="19"/>
                <w:szCs w:val="19"/>
              </w:rPr>
              <w:t>(0 to 15 only)</w:t>
            </w:r>
          </w:p>
        </w:tc>
        <w:tc>
          <w:tcPr>
            <w:tcW w:w="1264" w:type="dxa"/>
            <w:shd w:val="clear" w:color="auto" w:fill="auto"/>
            <w:vAlign w:val="center"/>
          </w:tcPr>
          <w:p w:rsidR="00D907AF" w:rsidRPr="0087485F" w:rsidRDefault="00D907AF" w:rsidP="00651B15">
            <w:pPr>
              <w:spacing w:before="14" w:after="14"/>
              <w:ind w:right="381"/>
              <w:jc w:val="right"/>
              <w:rPr>
                <w:rFonts w:cstheme="minorHAnsi"/>
                <w:color w:val="000000"/>
                <w:sz w:val="20"/>
                <w:szCs w:val="20"/>
              </w:rPr>
            </w:pPr>
            <w:r w:rsidRPr="0087485F">
              <w:rPr>
                <w:rFonts w:cstheme="minorHAnsi"/>
                <w:color w:val="000000"/>
                <w:sz w:val="20"/>
                <w:szCs w:val="20"/>
              </w:rPr>
              <w:t>287</w:t>
            </w:r>
          </w:p>
        </w:tc>
        <w:tc>
          <w:tcPr>
            <w:tcW w:w="1264" w:type="dxa"/>
            <w:shd w:val="clear" w:color="auto" w:fill="auto"/>
            <w:vAlign w:val="center"/>
          </w:tcPr>
          <w:p w:rsidR="00D907AF" w:rsidRPr="0087485F" w:rsidRDefault="00D907AF" w:rsidP="007D0DDA">
            <w:pPr>
              <w:spacing w:before="14" w:after="14"/>
              <w:ind w:right="454"/>
              <w:jc w:val="right"/>
              <w:rPr>
                <w:rFonts w:ascii="Calibri" w:hAnsi="Calibri" w:cs="Calibri"/>
                <w:color w:val="000000"/>
                <w:sz w:val="20"/>
                <w:szCs w:val="20"/>
              </w:rPr>
            </w:pPr>
            <w:r w:rsidRPr="0087485F">
              <w:rPr>
                <w:rFonts w:ascii="Calibri" w:hAnsi="Calibri" w:cs="Calibri"/>
                <w:color w:val="000000"/>
                <w:sz w:val="20"/>
                <w:szCs w:val="20"/>
              </w:rPr>
              <w:t>41.7</w:t>
            </w:r>
          </w:p>
        </w:tc>
        <w:tc>
          <w:tcPr>
            <w:tcW w:w="851" w:type="dxa"/>
            <w:shd w:val="clear" w:color="auto" w:fill="auto"/>
            <w:vAlign w:val="center"/>
          </w:tcPr>
          <w:p w:rsidR="00D907AF" w:rsidRPr="0087485F" w:rsidRDefault="00D907AF" w:rsidP="005B5F9E">
            <w:pPr>
              <w:spacing w:before="14" w:after="14"/>
              <w:ind w:left="-136" w:right="284"/>
              <w:jc w:val="right"/>
              <w:rPr>
                <w:rFonts w:ascii="Calibri" w:hAnsi="Calibri" w:cs="Calibri"/>
                <w:color w:val="000000"/>
                <w:sz w:val="20"/>
                <w:szCs w:val="20"/>
              </w:rPr>
            </w:pPr>
            <w:r w:rsidRPr="0087485F">
              <w:rPr>
                <w:rFonts w:ascii="Calibri" w:hAnsi="Calibri" w:cs="Calibri"/>
                <w:color w:val="000000"/>
                <w:sz w:val="20"/>
                <w:szCs w:val="20"/>
              </w:rPr>
              <w:t>-</w:t>
            </w:r>
          </w:p>
        </w:tc>
        <w:tc>
          <w:tcPr>
            <w:tcW w:w="851" w:type="dxa"/>
            <w:shd w:val="clear" w:color="auto" w:fill="auto"/>
            <w:vAlign w:val="center"/>
          </w:tcPr>
          <w:p w:rsidR="00D907AF" w:rsidRPr="0087485F" w:rsidRDefault="00D907AF" w:rsidP="00651B15">
            <w:pPr>
              <w:spacing w:before="14" w:after="14"/>
              <w:ind w:right="175"/>
              <w:jc w:val="right"/>
              <w:rPr>
                <w:rFonts w:ascii="Calibri" w:hAnsi="Calibri" w:cs="Calibri"/>
                <w:color w:val="000000"/>
                <w:sz w:val="20"/>
                <w:szCs w:val="20"/>
              </w:rPr>
            </w:pPr>
            <w:r w:rsidRPr="0087485F">
              <w:rPr>
                <w:rFonts w:ascii="Calibri" w:hAnsi="Calibri" w:cs="Calibri"/>
                <w:color w:val="000000"/>
                <w:sz w:val="20"/>
                <w:szCs w:val="20"/>
              </w:rPr>
              <w:t>-</w:t>
            </w:r>
          </w:p>
        </w:tc>
        <w:tc>
          <w:tcPr>
            <w:tcW w:w="850" w:type="dxa"/>
            <w:shd w:val="clear" w:color="auto" w:fill="auto"/>
            <w:vAlign w:val="center"/>
          </w:tcPr>
          <w:p w:rsidR="00D907AF" w:rsidRPr="0087485F" w:rsidRDefault="00D907AF" w:rsidP="00651B15">
            <w:pPr>
              <w:spacing w:before="14" w:after="14"/>
              <w:ind w:right="153"/>
              <w:jc w:val="right"/>
              <w:rPr>
                <w:rFonts w:ascii="Calibri" w:hAnsi="Calibri" w:cs="Calibri"/>
                <w:color w:val="000000"/>
                <w:sz w:val="20"/>
                <w:szCs w:val="20"/>
              </w:rPr>
            </w:pPr>
            <w:r w:rsidRPr="0087485F">
              <w:rPr>
                <w:rFonts w:ascii="Calibri" w:hAnsi="Calibri" w:cs="Calibri"/>
                <w:color w:val="000000"/>
                <w:sz w:val="20"/>
                <w:szCs w:val="20"/>
              </w:rPr>
              <w:t>287</w:t>
            </w:r>
          </w:p>
        </w:tc>
        <w:tc>
          <w:tcPr>
            <w:tcW w:w="709" w:type="dxa"/>
            <w:shd w:val="clear" w:color="auto" w:fill="auto"/>
            <w:vAlign w:val="center"/>
          </w:tcPr>
          <w:p w:rsidR="00D907AF" w:rsidRPr="0087485F" w:rsidRDefault="00D907AF" w:rsidP="004F20DB">
            <w:pPr>
              <w:tabs>
                <w:tab w:val="decimal" w:pos="486"/>
              </w:tabs>
              <w:spacing w:before="14" w:after="14"/>
              <w:ind w:right="-43"/>
              <w:jc w:val="right"/>
              <w:rPr>
                <w:rFonts w:ascii="Calibri" w:hAnsi="Calibri" w:cs="Calibri"/>
                <w:color w:val="000000"/>
                <w:sz w:val="20"/>
                <w:szCs w:val="20"/>
              </w:rPr>
            </w:pPr>
            <w:r w:rsidRPr="0087485F">
              <w:rPr>
                <w:rFonts w:ascii="Calibri" w:hAnsi="Calibri" w:cs="Calibri"/>
                <w:color w:val="000000"/>
                <w:sz w:val="20"/>
                <w:szCs w:val="20"/>
              </w:rPr>
              <w:t>37.2</w:t>
            </w:r>
          </w:p>
        </w:tc>
      </w:tr>
      <w:tr w:rsidR="00D907AF" w:rsidRPr="0087485F" w:rsidTr="00C306C3">
        <w:trPr>
          <w:cantSplit/>
          <w:trHeight w:val="340"/>
        </w:trPr>
        <w:tc>
          <w:tcPr>
            <w:tcW w:w="3794" w:type="dxa"/>
            <w:shd w:val="clear" w:color="auto" w:fill="auto"/>
            <w:vAlign w:val="center"/>
          </w:tcPr>
          <w:p w:rsidR="00D907AF" w:rsidRPr="00C306C3" w:rsidRDefault="00D907AF" w:rsidP="00651B15">
            <w:pPr>
              <w:spacing w:before="14" w:after="14"/>
              <w:rPr>
                <w:rFonts w:cstheme="minorHAnsi"/>
                <w:sz w:val="19"/>
                <w:szCs w:val="19"/>
              </w:rPr>
            </w:pPr>
            <w:r w:rsidRPr="00C306C3">
              <w:rPr>
                <w:rFonts w:cstheme="minorHAnsi"/>
                <w:sz w:val="19"/>
                <w:szCs w:val="19"/>
              </w:rPr>
              <w:t>Home school</w:t>
            </w:r>
          </w:p>
        </w:tc>
        <w:tc>
          <w:tcPr>
            <w:tcW w:w="1264" w:type="dxa"/>
            <w:shd w:val="clear" w:color="auto" w:fill="auto"/>
            <w:vAlign w:val="center"/>
          </w:tcPr>
          <w:p w:rsidR="00D907AF" w:rsidRPr="0087485F" w:rsidRDefault="00D907AF" w:rsidP="00651B15">
            <w:pPr>
              <w:spacing w:before="14" w:after="14"/>
              <w:ind w:right="381"/>
              <w:jc w:val="right"/>
              <w:rPr>
                <w:rFonts w:cstheme="minorHAnsi"/>
                <w:color w:val="000000"/>
                <w:sz w:val="20"/>
                <w:szCs w:val="20"/>
              </w:rPr>
            </w:pPr>
            <w:r w:rsidRPr="0087485F">
              <w:rPr>
                <w:rFonts w:cstheme="minorHAnsi"/>
                <w:color w:val="000000"/>
                <w:sz w:val="20"/>
                <w:szCs w:val="20"/>
              </w:rPr>
              <w:t>4</w:t>
            </w:r>
          </w:p>
        </w:tc>
        <w:tc>
          <w:tcPr>
            <w:tcW w:w="1264" w:type="dxa"/>
            <w:shd w:val="clear" w:color="auto" w:fill="auto"/>
            <w:vAlign w:val="center"/>
          </w:tcPr>
          <w:p w:rsidR="00D907AF" w:rsidRPr="0087485F" w:rsidRDefault="00D907AF" w:rsidP="007D0DDA">
            <w:pPr>
              <w:spacing w:before="14" w:after="14"/>
              <w:ind w:right="454"/>
              <w:jc w:val="right"/>
              <w:rPr>
                <w:rFonts w:ascii="Calibri" w:hAnsi="Calibri" w:cs="Calibri"/>
                <w:color w:val="000000"/>
                <w:sz w:val="20"/>
                <w:szCs w:val="20"/>
              </w:rPr>
            </w:pPr>
            <w:r w:rsidRPr="0087485F">
              <w:rPr>
                <w:rFonts w:ascii="Calibri" w:hAnsi="Calibri" w:cs="Calibri"/>
                <w:color w:val="000000"/>
                <w:sz w:val="20"/>
                <w:szCs w:val="20"/>
              </w:rPr>
              <w:t>0.6</w:t>
            </w:r>
          </w:p>
        </w:tc>
        <w:tc>
          <w:tcPr>
            <w:tcW w:w="851" w:type="dxa"/>
            <w:shd w:val="clear" w:color="auto" w:fill="auto"/>
            <w:vAlign w:val="center"/>
          </w:tcPr>
          <w:p w:rsidR="00D907AF" w:rsidRPr="0087485F" w:rsidRDefault="00D907AF" w:rsidP="005B5F9E">
            <w:pPr>
              <w:spacing w:before="14" w:after="14"/>
              <w:ind w:left="-136" w:right="284"/>
              <w:jc w:val="right"/>
              <w:rPr>
                <w:rFonts w:ascii="Calibri" w:hAnsi="Calibri" w:cs="Calibri"/>
                <w:color w:val="000000"/>
                <w:sz w:val="20"/>
                <w:szCs w:val="20"/>
              </w:rPr>
            </w:pPr>
            <w:r w:rsidRPr="0087485F">
              <w:rPr>
                <w:rFonts w:ascii="Calibri" w:hAnsi="Calibri" w:cs="Calibri"/>
                <w:color w:val="000000"/>
                <w:sz w:val="20"/>
                <w:szCs w:val="20"/>
              </w:rPr>
              <w:t>-</w:t>
            </w:r>
          </w:p>
        </w:tc>
        <w:tc>
          <w:tcPr>
            <w:tcW w:w="851" w:type="dxa"/>
            <w:shd w:val="clear" w:color="auto" w:fill="auto"/>
            <w:vAlign w:val="center"/>
          </w:tcPr>
          <w:p w:rsidR="00D907AF" w:rsidRPr="0087485F" w:rsidRDefault="00D907AF" w:rsidP="00651B15">
            <w:pPr>
              <w:spacing w:before="14" w:after="14"/>
              <w:ind w:right="175"/>
              <w:jc w:val="right"/>
              <w:rPr>
                <w:rFonts w:ascii="Calibri" w:hAnsi="Calibri" w:cs="Calibri"/>
                <w:color w:val="000000"/>
                <w:sz w:val="20"/>
                <w:szCs w:val="20"/>
              </w:rPr>
            </w:pPr>
            <w:r w:rsidRPr="0087485F">
              <w:rPr>
                <w:rFonts w:ascii="Calibri" w:hAnsi="Calibri" w:cs="Calibri"/>
                <w:color w:val="000000"/>
                <w:sz w:val="20"/>
                <w:szCs w:val="20"/>
              </w:rPr>
              <w:t>-</w:t>
            </w:r>
          </w:p>
        </w:tc>
        <w:tc>
          <w:tcPr>
            <w:tcW w:w="850" w:type="dxa"/>
            <w:shd w:val="clear" w:color="auto" w:fill="auto"/>
            <w:vAlign w:val="center"/>
          </w:tcPr>
          <w:p w:rsidR="00D907AF" w:rsidRPr="0087485F" w:rsidRDefault="00D907AF" w:rsidP="00651B15">
            <w:pPr>
              <w:spacing w:before="14" w:after="14"/>
              <w:ind w:right="153"/>
              <w:jc w:val="right"/>
              <w:rPr>
                <w:rFonts w:ascii="Calibri" w:hAnsi="Calibri" w:cs="Calibri"/>
                <w:color w:val="000000"/>
                <w:sz w:val="20"/>
                <w:szCs w:val="20"/>
              </w:rPr>
            </w:pPr>
            <w:r w:rsidRPr="0087485F">
              <w:rPr>
                <w:rFonts w:ascii="Calibri" w:hAnsi="Calibri" w:cs="Calibri"/>
                <w:color w:val="000000"/>
                <w:sz w:val="20"/>
                <w:szCs w:val="20"/>
              </w:rPr>
              <w:t>4</w:t>
            </w:r>
          </w:p>
        </w:tc>
        <w:tc>
          <w:tcPr>
            <w:tcW w:w="709" w:type="dxa"/>
            <w:shd w:val="clear" w:color="auto" w:fill="auto"/>
            <w:vAlign w:val="center"/>
          </w:tcPr>
          <w:p w:rsidR="00D907AF" w:rsidRPr="0087485F" w:rsidRDefault="00D907AF" w:rsidP="004F20DB">
            <w:pPr>
              <w:tabs>
                <w:tab w:val="decimal" w:pos="486"/>
              </w:tabs>
              <w:spacing w:before="14" w:after="14"/>
              <w:ind w:right="-43"/>
              <w:jc w:val="right"/>
              <w:rPr>
                <w:rFonts w:ascii="Calibri" w:hAnsi="Calibri" w:cs="Calibri"/>
                <w:color w:val="000000"/>
                <w:sz w:val="20"/>
                <w:szCs w:val="20"/>
              </w:rPr>
            </w:pPr>
            <w:r w:rsidRPr="0087485F">
              <w:rPr>
                <w:rFonts w:ascii="Calibri" w:hAnsi="Calibri" w:cs="Calibri"/>
                <w:color w:val="000000"/>
                <w:sz w:val="20"/>
                <w:szCs w:val="20"/>
              </w:rPr>
              <w:t>0.5</w:t>
            </w:r>
          </w:p>
        </w:tc>
      </w:tr>
      <w:tr w:rsidR="00D907AF" w:rsidRPr="0087485F" w:rsidTr="00C306C3">
        <w:trPr>
          <w:cantSplit/>
          <w:trHeight w:val="340"/>
        </w:trPr>
        <w:tc>
          <w:tcPr>
            <w:tcW w:w="3794" w:type="dxa"/>
            <w:shd w:val="clear" w:color="auto" w:fill="auto"/>
            <w:vAlign w:val="center"/>
          </w:tcPr>
          <w:p w:rsidR="00D907AF" w:rsidRPr="00C306C3" w:rsidRDefault="00D907AF" w:rsidP="00651B15">
            <w:pPr>
              <w:spacing w:before="14" w:after="14"/>
              <w:rPr>
                <w:rFonts w:cstheme="minorHAnsi"/>
                <w:sz w:val="19"/>
                <w:szCs w:val="19"/>
              </w:rPr>
            </w:pPr>
            <w:r w:rsidRPr="00C306C3">
              <w:rPr>
                <w:rFonts w:cstheme="minorHAnsi"/>
                <w:sz w:val="19"/>
                <w:szCs w:val="19"/>
              </w:rPr>
              <w:t xml:space="preserve">Missing </w:t>
            </w:r>
          </w:p>
        </w:tc>
        <w:tc>
          <w:tcPr>
            <w:tcW w:w="1264" w:type="dxa"/>
            <w:shd w:val="clear" w:color="auto" w:fill="auto"/>
            <w:vAlign w:val="center"/>
          </w:tcPr>
          <w:p w:rsidR="00D907AF" w:rsidRPr="0087485F" w:rsidRDefault="00D907AF" w:rsidP="00651B15">
            <w:pPr>
              <w:spacing w:before="14" w:after="14"/>
              <w:ind w:right="381"/>
              <w:jc w:val="right"/>
              <w:rPr>
                <w:rFonts w:cstheme="minorHAnsi"/>
                <w:color w:val="000000"/>
                <w:sz w:val="20"/>
                <w:szCs w:val="20"/>
              </w:rPr>
            </w:pPr>
            <w:r w:rsidRPr="0087485F">
              <w:rPr>
                <w:rFonts w:cstheme="minorHAnsi"/>
                <w:color w:val="000000"/>
                <w:sz w:val="20"/>
                <w:szCs w:val="20"/>
              </w:rPr>
              <w:t>5</w:t>
            </w:r>
          </w:p>
        </w:tc>
        <w:tc>
          <w:tcPr>
            <w:tcW w:w="1264" w:type="dxa"/>
            <w:shd w:val="clear" w:color="auto" w:fill="auto"/>
            <w:vAlign w:val="center"/>
          </w:tcPr>
          <w:p w:rsidR="00D907AF" w:rsidRPr="0087485F" w:rsidRDefault="00D907AF" w:rsidP="007D0DDA">
            <w:pPr>
              <w:spacing w:before="14" w:after="14"/>
              <w:ind w:right="454"/>
              <w:jc w:val="right"/>
              <w:rPr>
                <w:rFonts w:ascii="Calibri" w:hAnsi="Calibri" w:cs="Calibri"/>
                <w:color w:val="000000"/>
                <w:sz w:val="20"/>
                <w:szCs w:val="20"/>
              </w:rPr>
            </w:pPr>
            <w:r w:rsidRPr="0087485F">
              <w:rPr>
                <w:rFonts w:ascii="Calibri" w:hAnsi="Calibri" w:cs="Calibri"/>
                <w:color w:val="000000"/>
                <w:sz w:val="20"/>
                <w:szCs w:val="20"/>
              </w:rPr>
              <w:t>0.7</w:t>
            </w:r>
          </w:p>
        </w:tc>
        <w:tc>
          <w:tcPr>
            <w:tcW w:w="851" w:type="dxa"/>
            <w:shd w:val="clear" w:color="auto" w:fill="auto"/>
            <w:vAlign w:val="center"/>
          </w:tcPr>
          <w:p w:rsidR="00D907AF" w:rsidRPr="0087485F" w:rsidRDefault="00D907AF" w:rsidP="005B5F9E">
            <w:pPr>
              <w:spacing w:before="14" w:after="14"/>
              <w:ind w:left="-136" w:right="284"/>
              <w:jc w:val="right"/>
              <w:rPr>
                <w:rFonts w:ascii="Calibri" w:hAnsi="Calibri" w:cs="Calibri"/>
                <w:color w:val="000000"/>
                <w:sz w:val="20"/>
                <w:szCs w:val="20"/>
              </w:rPr>
            </w:pPr>
            <w:r w:rsidRPr="0087485F">
              <w:rPr>
                <w:rFonts w:ascii="Calibri" w:hAnsi="Calibri" w:cs="Calibri"/>
                <w:color w:val="000000"/>
                <w:sz w:val="20"/>
                <w:szCs w:val="20"/>
              </w:rPr>
              <w:t>4</w:t>
            </w:r>
          </w:p>
        </w:tc>
        <w:tc>
          <w:tcPr>
            <w:tcW w:w="851" w:type="dxa"/>
            <w:shd w:val="clear" w:color="auto" w:fill="auto"/>
            <w:vAlign w:val="center"/>
          </w:tcPr>
          <w:p w:rsidR="00D907AF" w:rsidRPr="0087485F" w:rsidRDefault="00D907AF" w:rsidP="00651B15">
            <w:pPr>
              <w:spacing w:before="14" w:after="14"/>
              <w:ind w:right="175"/>
              <w:jc w:val="right"/>
              <w:rPr>
                <w:rFonts w:ascii="Calibri" w:hAnsi="Calibri" w:cs="Calibri"/>
                <w:color w:val="000000"/>
                <w:sz w:val="20"/>
                <w:szCs w:val="20"/>
              </w:rPr>
            </w:pPr>
            <w:r w:rsidRPr="0087485F">
              <w:rPr>
                <w:rFonts w:ascii="Calibri" w:hAnsi="Calibri" w:cs="Calibri"/>
                <w:color w:val="000000"/>
                <w:sz w:val="20"/>
                <w:szCs w:val="20"/>
              </w:rPr>
              <w:t>4.9</w:t>
            </w:r>
          </w:p>
        </w:tc>
        <w:tc>
          <w:tcPr>
            <w:tcW w:w="850" w:type="dxa"/>
            <w:shd w:val="clear" w:color="auto" w:fill="auto"/>
            <w:vAlign w:val="center"/>
          </w:tcPr>
          <w:p w:rsidR="00D907AF" w:rsidRPr="0087485F" w:rsidRDefault="00D907AF" w:rsidP="00651B15">
            <w:pPr>
              <w:spacing w:before="14" w:after="14"/>
              <w:ind w:right="153"/>
              <w:jc w:val="right"/>
              <w:rPr>
                <w:rFonts w:ascii="Calibri" w:hAnsi="Calibri" w:cs="Calibri"/>
                <w:color w:val="000000"/>
                <w:sz w:val="20"/>
                <w:szCs w:val="20"/>
              </w:rPr>
            </w:pPr>
            <w:r w:rsidRPr="0087485F">
              <w:rPr>
                <w:rFonts w:ascii="Calibri" w:hAnsi="Calibri" w:cs="Calibri"/>
                <w:color w:val="000000"/>
                <w:sz w:val="20"/>
                <w:szCs w:val="20"/>
              </w:rPr>
              <w:t>9</w:t>
            </w:r>
          </w:p>
        </w:tc>
        <w:tc>
          <w:tcPr>
            <w:tcW w:w="709" w:type="dxa"/>
            <w:shd w:val="clear" w:color="auto" w:fill="auto"/>
            <w:vAlign w:val="center"/>
          </w:tcPr>
          <w:p w:rsidR="00D907AF" w:rsidRPr="0087485F" w:rsidRDefault="00D907AF" w:rsidP="004F20DB">
            <w:pPr>
              <w:tabs>
                <w:tab w:val="decimal" w:pos="486"/>
              </w:tabs>
              <w:spacing w:before="14" w:after="14"/>
              <w:ind w:right="-43"/>
              <w:jc w:val="right"/>
              <w:rPr>
                <w:rFonts w:ascii="Calibri" w:hAnsi="Calibri" w:cs="Calibri"/>
                <w:color w:val="000000"/>
                <w:sz w:val="20"/>
                <w:szCs w:val="20"/>
              </w:rPr>
            </w:pPr>
            <w:r w:rsidRPr="0087485F">
              <w:rPr>
                <w:rFonts w:ascii="Calibri" w:hAnsi="Calibri" w:cs="Calibri"/>
                <w:color w:val="000000"/>
                <w:sz w:val="20"/>
                <w:szCs w:val="20"/>
              </w:rPr>
              <w:t>1.2</w:t>
            </w:r>
          </w:p>
        </w:tc>
      </w:tr>
      <w:tr w:rsidR="00D907AF" w:rsidRPr="0087485F" w:rsidTr="00C306C3">
        <w:trPr>
          <w:cantSplit/>
          <w:trHeight w:val="340"/>
        </w:trPr>
        <w:tc>
          <w:tcPr>
            <w:tcW w:w="3794" w:type="dxa"/>
            <w:vAlign w:val="center"/>
          </w:tcPr>
          <w:p w:rsidR="00D907AF" w:rsidRPr="00C306C3" w:rsidRDefault="00D907AF" w:rsidP="00651B15">
            <w:pPr>
              <w:spacing w:before="14" w:after="14"/>
              <w:rPr>
                <w:rFonts w:cstheme="minorHAnsi"/>
                <w:sz w:val="19"/>
                <w:szCs w:val="19"/>
              </w:rPr>
            </w:pPr>
            <w:r w:rsidRPr="00C306C3">
              <w:rPr>
                <w:rFonts w:cstheme="minorHAnsi"/>
                <w:sz w:val="19"/>
                <w:szCs w:val="19"/>
              </w:rPr>
              <w:t>Don’t know</w:t>
            </w:r>
          </w:p>
        </w:tc>
        <w:tc>
          <w:tcPr>
            <w:tcW w:w="1264" w:type="dxa"/>
            <w:vAlign w:val="center"/>
          </w:tcPr>
          <w:p w:rsidR="00D907AF" w:rsidRPr="0087485F" w:rsidRDefault="00D907AF" w:rsidP="00651B15">
            <w:pPr>
              <w:spacing w:before="14" w:after="14"/>
              <w:ind w:right="381"/>
              <w:jc w:val="right"/>
              <w:rPr>
                <w:rFonts w:cstheme="minorHAnsi"/>
                <w:color w:val="000000"/>
                <w:sz w:val="20"/>
                <w:szCs w:val="20"/>
              </w:rPr>
            </w:pPr>
            <w:r w:rsidRPr="0087485F">
              <w:rPr>
                <w:rFonts w:cstheme="minorHAnsi"/>
                <w:color w:val="000000"/>
                <w:sz w:val="20"/>
                <w:szCs w:val="20"/>
              </w:rPr>
              <w:t>1</w:t>
            </w:r>
          </w:p>
        </w:tc>
        <w:tc>
          <w:tcPr>
            <w:tcW w:w="1264" w:type="dxa"/>
            <w:vAlign w:val="center"/>
          </w:tcPr>
          <w:p w:rsidR="00D907AF" w:rsidRPr="0087485F" w:rsidRDefault="00D907AF" w:rsidP="007D0DDA">
            <w:pPr>
              <w:spacing w:before="14" w:after="14"/>
              <w:ind w:right="454"/>
              <w:jc w:val="right"/>
              <w:rPr>
                <w:rFonts w:ascii="Calibri" w:hAnsi="Calibri" w:cs="Calibri"/>
                <w:color w:val="000000"/>
                <w:sz w:val="20"/>
                <w:szCs w:val="20"/>
              </w:rPr>
            </w:pPr>
            <w:r w:rsidRPr="0087485F">
              <w:rPr>
                <w:rFonts w:ascii="Calibri" w:hAnsi="Calibri" w:cs="Calibri"/>
                <w:color w:val="000000"/>
                <w:sz w:val="20"/>
                <w:szCs w:val="20"/>
              </w:rPr>
              <w:t>0.1</w:t>
            </w:r>
          </w:p>
        </w:tc>
        <w:tc>
          <w:tcPr>
            <w:tcW w:w="851" w:type="dxa"/>
            <w:vAlign w:val="center"/>
          </w:tcPr>
          <w:p w:rsidR="00D907AF" w:rsidRPr="0087485F" w:rsidRDefault="00D907AF" w:rsidP="005B5F9E">
            <w:pPr>
              <w:spacing w:before="14" w:after="14"/>
              <w:ind w:left="-136" w:right="284"/>
              <w:jc w:val="right"/>
              <w:rPr>
                <w:rFonts w:ascii="Calibri" w:hAnsi="Calibri" w:cs="Calibri"/>
                <w:color w:val="000000"/>
                <w:sz w:val="20"/>
                <w:szCs w:val="20"/>
              </w:rPr>
            </w:pPr>
            <w:r w:rsidRPr="0087485F">
              <w:rPr>
                <w:rFonts w:ascii="Calibri" w:hAnsi="Calibri" w:cs="Calibri"/>
                <w:color w:val="000000"/>
                <w:sz w:val="20"/>
                <w:szCs w:val="20"/>
              </w:rPr>
              <w:t>-</w:t>
            </w:r>
          </w:p>
        </w:tc>
        <w:tc>
          <w:tcPr>
            <w:tcW w:w="851" w:type="dxa"/>
            <w:vAlign w:val="center"/>
          </w:tcPr>
          <w:p w:rsidR="00D907AF" w:rsidRPr="0087485F" w:rsidRDefault="00D907AF" w:rsidP="00651B15">
            <w:pPr>
              <w:spacing w:before="14" w:after="14"/>
              <w:ind w:right="175"/>
              <w:jc w:val="right"/>
              <w:rPr>
                <w:rFonts w:ascii="Calibri" w:hAnsi="Calibri" w:cs="Calibri"/>
                <w:color w:val="000000"/>
                <w:sz w:val="20"/>
                <w:szCs w:val="20"/>
              </w:rPr>
            </w:pPr>
            <w:r w:rsidRPr="0087485F">
              <w:rPr>
                <w:rFonts w:ascii="Calibri" w:hAnsi="Calibri" w:cs="Calibri"/>
                <w:color w:val="000000"/>
                <w:sz w:val="20"/>
                <w:szCs w:val="20"/>
              </w:rPr>
              <w:t>-</w:t>
            </w:r>
          </w:p>
        </w:tc>
        <w:tc>
          <w:tcPr>
            <w:tcW w:w="850" w:type="dxa"/>
            <w:vAlign w:val="center"/>
          </w:tcPr>
          <w:p w:rsidR="00D907AF" w:rsidRPr="0087485F" w:rsidRDefault="00D907AF" w:rsidP="00651B15">
            <w:pPr>
              <w:spacing w:before="14" w:after="14"/>
              <w:ind w:right="153"/>
              <w:jc w:val="right"/>
              <w:rPr>
                <w:rFonts w:ascii="Calibri" w:hAnsi="Calibri" w:cs="Calibri"/>
                <w:color w:val="000000"/>
                <w:sz w:val="20"/>
                <w:szCs w:val="20"/>
              </w:rPr>
            </w:pPr>
            <w:r w:rsidRPr="0087485F">
              <w:rPr>
                <w:rFonts w:ascii="Calibri" w:hAnsi="Calibri" w:cs="Calibri"/>
                <w:color w:val="000000"/>
                <w:sz w:val="20"/>
                <w:szCs w:val="20"/>
              </w:rPr>
              <w:t>1</w:t>
            </w:r>
          </w:p>
        </w:tc>
        <w:tc>
          <w:tcPr>
            <w:tcW w:w="709" w:type="dxa"/>
            <w:vAlign w:val="center"/>
          </w:tcPr>
          <w:p w:rsidR="00D907AF" w:rsidRPr="0087485F" w:rsidRDefault="00D907AF" w:rsidP="004F20DB">
            <w:pPr>
              <w:tabs>
                <w:tab w:val="decimal" w:pos="486"/>
              </w:tabs>
              <w:spacing w:before="14" w:after="14"/>
              <w:ind w:right="-43"/>
              <w:jc w:val="right"/>
              <w:rPr>
                <w:rFonts w:ascii="Calibri" w:hAnsi="Calibri" w:cs="Calibri"/>
                <w:color w:val="000000"/>
                <w:sz w:val="20"/>
                <w:szCs w:val="20"/>
              </w:rPr>
            </w:pPr>
            <w:r w:rsidRPr="0087485F">
              <w:rPr>
                <w:rFonts w:ascii="Calibri" w:hAnsi="Calibri" w:cs="Calibri"/>
                <w:color w:val="000000"/>
                <w:sz w:val="20"/>
                <w:szCs w:val="20"/>
              </w:rPr>
              <w:t>0.1</w:t>
            </w:r>
          </w:p>
        </w:tc>
      </w:tr>
      <w:tr w:rsidR="00D907AF" w:rsidRPr="0087485F" w:rsidTr="00C306C3">
        <w:trPr>
          <w:cantSplit/>
          <w:trHeight w:val="340"/>
        </w:trPr>
        <w:tc>
          <w:tcPr>
            <w:tcW w:w="3794" w:type="dxa"/>
            <w:tcBorders>
              <w:top w:val="single" w:sz="4" w:space="0" w:color="auto"/>
              <w:bottom w:val="single" w:sz="4" w:space="0" w:color="auto"/>
            </w:tcBorders>
            <w:shd w:val="clear" w:color="auto" w:fill="auto"/>
            <w:vAlign w:val="center"/>
          </w:tcPr>
          <w:p w:rsidR="00D907AF" w:rsidRPr="0087485F" w:rsidRDefault="00D907AF" w:rsidP="00651B15">
            <w:pPr>
              <w:spacing w:before="14" w:after="14"/>
              <w:rPr>
                <w:rFonts w:cstheme="minorHAnsi"/>
                <w:b/>
                <w:sz w:val="20"/>
                <w:szCs w:val="20"/>
              </w:rPr>
            </w:pPr>
            <w:r w:rsidRPr="0087485F">
              <w:rPr>
                <w:rFonts w:cstheme="minorHAnsi"/>
                <w:b/>
                <w:sz w:val="20"/>
                <w:szCs w:val="20"/>
              </w:rPr>
              <w:t>Total</w:t>
            </w:r>
          </w:p>
        </w:tc>
        <w:tc>
          <w:tcPr>
            <w:tcW w:w="1264" w:type="dxa"/>
            <w:tcBorders>
              <w:top w:val="single" w:sz="4" w:space="0" w:color="auto"/>
              <w:bottom w:val="single" w:sz="4" w:space="0" w:color="auto"/>
            </w:tcBorders>
            <w:shd w:val="clear" w:color="auto" w:fill="auto"/>
            <w:vAlign w:val="center"/>
          </w:tcPr>
          <w:p w:rsidR="00D907AF" w:rsidRPr="0087485F" w:rsidRDefault="00D907AF" w:rsidP="00651B15">
            <w:pPr>
              <w:spacing w:before="14" w:after="14"/>
              <w:ind w:right="381"/>
              <w:jc w:val="right"/>
              <w:rPr>
                <w:rFonts w:cstheme="minorHAnsi"/>
                <w:b/>
                <w:sz w:val="20"/>
                <w:szCs w:val="20"/>
              </w:rPr>
            </w:pPr>
            <w:r w:rsidRPr="0087485F">
              <w:rPr>
                <w:rFonts w:cstheme="minorHAnsi"/>
                <w:b/>
                <w:sz w:val="20"/>
                <w:szCs w:val="20"/>
              </w:rPr>
              <w:t>689</w:t>
            </w:r>
          </w:p>
        </w:tc>
        <w:tc>
          <w:tcPr>
            <w:tcW w:w="1264" w:type="dxa"/>
            <w:tcBorders>
              <w:top w:val="single" w:sz="4" w:space="0" w:color="auto"/>
              <w:bottom w:val="single" w:sz="4" w:space="0" w:color="auto"/>
            </w:tcBorders>
            <w:shd w:val="clear" w:color="auto" w:fill="auto"/>
            <w:vAlign w:val="center"/>
          </w:tcPr>
          <w:p w:rsidR="00D907AF" w:rsidRPr="0087485F" w:rsidRDefault="00D907AF" w:rsidP="007D0DDA">
            <w:pPr>
              <w:spacing w:before="14" w:after="14"/>
              <w:ind w:right="454"/>
              <w:jc w:val="right"/>
              <w:rPr>
                <w:rFonts w:cstheme="minorHAnsi"/>
                <w:b/>
                <w:sz w:val="20"/>
                <w:szCs w:val="20"/>
              </w:rPr>
            </w:pPr>
          </w:p>
        </w:tc>
        <w:tc>
          <w:tcPr>
            <w:tcW w:w="851" w:type="dxa"/>
            <w:tcBorders>
              <w:top w:val="single" w:sz="4" w:space="0" w:color="auto"/>
              <w:bottom w:val="single" w:sz="4" w:space="0" w:color="auto"/>
            </w:tcBorders>
            <w:shd w:val="clear" w:color="auto" w:fill="auto"/>
            <w:vAlign w:val="center"/>
          </w:tcPr>
          <w:p w:rsidR="00D907AF" w:rsidRPr="0087485F" w:rsidRDefault="00D907AF" w:rsidP="005B5F9E">
            <w:pPr>
              <w:spacing w:before="14" w:after="14"/>
              <w:ind w:left="-136" w:right="284"/>
              <w:jc w:val="right"/>
              <w:rPr>
                <w:rFonts w:cstheme="minorHAnsi"/>
                <w:b/>
                <w:sz w:val="20"/>
                <w:szCs w:val="20"/>
              </w:rPr>
            </w:pPr>
            <w:r w:rsidRPr="0087485F">
              <w:rPr>
                <w:rFonts w:cstheme="minorHAnsi"/>
                <w:b/>
                <w:sz w:val="20"/>
                <w:szCs w:val="20"/>
              </w:rPr>
              <w:t>82</w:t>
            </w:r>
          </w:p>
        </w:tc>
        <w:tc>
          <w:tcPr>
            <w:tcW w:w="851" w:type="dxa"/>
            <w:tcBorders>
              <w:top w:val="single" w:sz="4" w:space="0" w:color="auto"/>
              <w:bottom w:val="single" w:sz="4" w:space="0" w:color="auto"/>
            </w:tcBorders>
            <w:shd w:val="clear" w:color="auto" w:fill="auto"/>
            <w:vAlign w:val="center"/>
          </w:tcPr>
          <w:p w:rsidR="00D907AF" w:rsidRPr="0087485F" w:rsidRDefault="00D907AF" w:rsidP="00651B15">
            <w:pPr>
              <w:spacing w:before="14" w:after="14"/>
              <w:ind w:right="240"/>
              <w:jc w:val="right"/>
              <w:rPr>
                <w:rFonts w:cstheme="minorHAnsi"/>
                <w:b/>
                <w:sz w:val="20"/>
                <w:szCs w:val="20"/>
              </w:rPr>
            </w:pPr>
          </w:p>
        </w:tc>
        <w:tc>
          <w:tcPr>
            <w:tcW w:w="850" w:type="dxa"/>
            <w:tcBorders>
              <w:top w:val="single" w:sz="4" w:space="0" w:color="auto"/>
              <w:bottom w:val="single" w:sz="4" w:space="0" w:color="auto"/>
            </w:tcBorders>
            <w:shd w:val="clear" w:color="auto" w:fill="auto"/>
            <w:vAlign w:val="center"/>
          </w:tcPr>
          <w:p w:rsidR="00D907AF" w:rsidRPr="0087485F" w:rsidRDefault="00D907AF" w:rsidP="00651B15">
            <w:pPr>
              <w:spacing w:before="14" w:after="14"/>
              <w:ind w:right="153"/>
              <w:jc w:val="right"/>
              <w:rPr>
                <w:rFonts w:cstheme="minorHAnsi"/>
                <w:b/>
                <w:color w:val="000000"/>
                <w:sz w:val="20"/>
                <w:szCs w:val="20"/>
              </w:rPr>
            </w:pPr>
            <w:r w:rsidRPr="0087485F">
              <w:rPr>
                <w:rFonts w:cstheme="minorHAnsi"/>
                <w:b/>
                <w:color w:val="000000"/>
                <w:sz w:val="20"/>
                <w:szCs w:val="20"/>
              </w:rPr>
              <w:t>771</w:t>
            </w:r>
          </w:p>
        </w:tc>
        <w:tc>
          <w:tcPr>
            <w:tcW w:w="709" w:type="dxa"/>
            <w:tcBorders>
              <w:top w:val="single" w:sz="4" w:space="0" w:color="auto"/>
              <w:bottom w:val="single" w:sz="4" w:space="0" w:color="auto"/>
            </w:tcBorders>
            <w:shd w:val="clear" w:color="auto" w:fill="auto"/>
            <w:vAlign w:val="center"/>
          </w:tcPr>
          <w:p w:rsidR="00D907AF" w:rsidRPr="0087485F" w:rsidRDefault="00D907AF" w:rsidP="004F20DB">
            <w:pPr>
              <w:tabs>
                <w:tab w:val="decimal" w:pos="486"/>
              </w:tabs>
              <w:spacing w:before="14" w:after="14"/>
              <w:ind w:right="-43"/>
              <w:jc w:val="right"/>
              <w:rPr>
                <w:rFonts w:cstheme="minorHAnsi"/>
                <w:b/>
                <w:color w:val="000000"/>
                <w:sz w:val="20"/>
                <w:szCs w:val="20"/>
              </w:rPr>
            </w:pPr>
          </w:p>
        </w:tc>
      </w:tr>
    </w:tbl>
    <w:p w:rsidR="00D907AF" w:rsidRPr="00B97A09" w:rsidRDefault="00D907AF" w:rsidP="00D907AF">
      <w:pPr>
        <w:spacing w:before="20" w:after="20"/>
        <w:rPr>
          <w:sz w:val="18"/>
        </w:rPr>
      </w:pPr>
      <w:r w:rsidRPr="008223AD">
        <w:rPr>
          <w:sz w:val="18"/>
        </w:rPr>
        <w:t xml:space="preserve">Note: trial and comparison aged 3 years and above currently at school, excluding tertiary </w:t>
      </w:r>
      <w:r w:rsidRPr="00B97A09">
        <w:rPr>
          <w:sz w:val="18"/>
        </w:rPr>
        <w:t>education</w:t>
      </w:r>
    </w:p>
    <w:p w:rsidR="005B2D5F" w:rsidRDefault="005B2D5F" w:rsidP="00D907AF">
      <w:pPr>
        <w:rPr>
          <w:rFonts w:cstheme="minorHAnsi"/>
        </w:rPr>
      </w:pPr>
    </w:p>
    <w:p w:rsidR="00D907AF" w:rsidRDefault="00D907AF" w:rsidP="00D907AF">
      <w:pPr>
        <w:rPr>
          <w:rFonts w:cstheme="minorHAnsi"/>
        </w:rPr>
      </w:pPr>
      <w:r>
        <w:rPr>
          <w:rFonts w:cstheme="minorHAnsi"/>
        </w:rPr>
        <w:t xml:space="preserve">Moving to post-school education of adults (16+) in Table 3.26b, 15.9 per cent reported attending university, 37.4 per cent a TAFE/Technical college and the remaining 45.8 per cent reported attending several other options. </w:t>
      </w:r>
    </w:p>
    <w:p w:rsidR="005B2D5F" w:rsidRPr="00714777" w:rsidRDefault="005B2D5F" w:rsidP="00D907AF">
      <w:pPr>
        <w:rPr>
          <w:rFonts w:cstheme="minorHAnsi"/>
        </w:rPr>
      </w:pPr>
    </w:p>
    <w:p w:rsidR="00D907AF" w:rsidRPr="00233E8A" w:rsidRDefault="00D907AF" w:rsidP="0044684E">
      <w:pPr>
        <w:pStyle w:val="NILSTableHeading"/>
      </w:pPr>
      <w:bookmarkStart w:id="271" w:name="_Toc428280678"/>
      <w:bookmarkStart w:id="272" w:name="_Toc449955289"/>
      <w:r w:rsidRPr="00233E8A">
        <w:t>Table 3.</w:t>
      </w:r>
      <w:r w:rsidRPr="00233E8A">
        <w:rPr>
          <w:rFonts w:hint="eastAsia"/>
        </w:rPr>
        <w:t>2</w:t>
      </w:r>
      <w:r>
        <w:t>6b</w:t>
      </w:r>
      <w:r w:rsidRPr="00233E8A">
        <w:t xml:space="preserve">: </w:t>
      </w:r>
      <w:r w:rsidRPr="00233E8A">
        <w:rPr>
          <w:rFonts w:hint="eastAsia"/>
        </w:rPr>
        <w:t>A</w:t>
      </w:r>
      <w:r>
        <w:t>ttending post-school education</w:t>
      </w:r>
      <w:bookmarkEnd w:id="271"/>
      <w:bookmarkEnd w:id="272"/>
    </w:p>
    <w:tbl>
      <w:tblPr>
        <w:tblStyle w:val="TableGrid"/>
        <w:tblW w:w="6771" w:type="dxa"/>
        <w:tblLayout w:type="fixed"/>
        <w:tblLook w:val="04A0" w:firstRow="1" w:lastRow="0" w:firstColumn="1" w:lastColumn="0" w:noHBand="0" w:noVBand="1"/>
        <w:tblCaption w:val="Table 3.26b Attending post-school education"/>
        <w:tblDescription w:val="This table shows types of post-school education undertaken by adults (over 16 years of age) and the number and percent of adults participating. "/>
      </w:tblPr>
      <w:tblGrid>
        <w:gridCol w:w="4077"/>
        <w:gridCol w:w="1276"/>
        <w:gridCol w:w="1418"/>
      </w:tblGrid>
      <w:tr w:rsidR="00D907AF" w:rsidRPr="0087485F" w:rsidTr="00973989">
        <w:trPr>
          <w:tblHeader/>
        </w:trPr>
        <w:tc>
          <w:tcPr>
            <w:tcW w:w="4077" w:type="dxa"/>
            <w:tcBorders>
              <w:top w:val="single" w:sz="4" w:space="0" w:color="auto"/>
              <w:bottom w:val="single" w:sz="4" w:space="0" w:color="auto"/>
            </w:tcBorders>
            <w:shd w:val="clear" w:color="auto" w:fill="auto"/>
          </w:tcPr>
          <w:p w:rsidR="00D907AF" w:rsidRPr="0087485F" w:rsidRDefault="00D907AF" w:rsidP="001032EF">
            <w:pPr>
              <w:spacing w:before="16" w:after="16"/>
              <w:rPr>
                <w:rFonts w:cstheme="minorHAnsi"/>
                <w:sz w:val="20"/>
                <w:szCs w:val="20"/>
              </w:rPr>
            </w:pPr>
            <w:bookmarkStart w:id="273" w:name="Title_3_26b"/>
            <w:bookmarkEnd w:id="273"/>
          </w:p>
        </w:tc>
        <w:tc>
          <w:tcPr>
            <w:tcW w:w="1276" w:type="dxa"/>
            <w:tcBorders>
              <w:top w:val="single" w:sz="4" w:space="0" w:color="auto"/>
              <w:bottom w:val="single" w:sz="4" w:space="0" w:color="auto"/>
            </w:tcBorders>
            <w:shd w:val="clear" w:color="auto" w:fill="auto"/>
          </w:tcPr>
          <w:p w:rsidR="00D907AF" w:rsidRPr="0087485F" w:rsidRDefault="00F61825" w:rsidP="002C2C86">
            <w:pPr>
              <w:spacing w:before="16" w:after="16"/>
              <w:jc w:val="center"/>
              <w:rPr>
                <w:rFonts w:cstheme="minorHAnsi"/>
                <w:sz w:val="20"/>
                <w:szCs w:val="20"/>
              </w:rPr>
            </w:pPr>
            <w:r w:rsidRPr="0087485F">
              <w:rPr>
                <w:rFonts w:cstheme="minorHAnsi"/>
                <w:sz w:val="20"/>
                <w:szCs w:val="20"/>
              </w:rPr>
              <w:t>Adults</w:t>
            </w:r>
            <w:r w:rsidR="007650DC">
              <w:rPr>
                <w:rFonts w:cstheme="minorHAnsi"/>
                <w:sz w:val="20"/>
                <w:szCs w:val="20"/>
              </w:rPr>
              <w:t xml:space="preserve"> </w:t>
            </w:r>
            <w:r w:rsidRPr="0087485F">
              <w:rPr>
                <w:rFonts w:cstheme="minorHAnsi"/>
                <w:sz w:val="20"/>
                <w:szCs w:val="20"/>
              </w:rPr>
              <w:t>16+</w:t>
            </w:r>
            <w:r w:rsidR="00405F53">
              <w:rPr>
                <w:rFonts w:cstheme="minorHAnsi"/>
                <w:sz w:val="20"/>
                <w:szCs w:val="20"/>
              </w:rPr>
              <w:t xml:space="preserve"> Cases</w:t>
            </w:r>
          </w:p>
        </w:tc>
        <w:tc>
          <w:tcPr>
            <w:tcW w:w="1418" w:type="dxa"/>
            <w:tcBorders>
              <w:top w:val="single" w:sz="4" w:space="0" w:color="auto"/>
              <w:bottom w:val="single" w:sz="4" w:space="0" w:color="auto"/>
            </w:tcBorders>
            <w:shd w:val="clear" w:color="auto" w:fill="auto"/>
          </w:tcPr>
          <w:p w:rsidR="00D907AF" w:rsidRDefault="00F61825" w:rsidP="007650DC">
            <w:pPr>
              <w:spacing w:before="16" w:after="16"/>
              <w:jc w:val="center"/>
              <w:rPr>
                <w:rFonts w:cstheme="minorHAnsi"/>
                <w:sz w:val="20"/>
                <w:szCs w:val="20"/>
              </w:rPr>
            </w:pPr>
            <w:r w:rsidRPr="0087485F">
              <w:rPr>
                <w:rFonts w:cstheme="minorHAnsi"/>
                <w:sz w:val="20"/>
                <w:szCs w:val="20"/>
              </w:rPr>
              <w:t>Adults</w:t>
            </w:r>
            <w:r w:rsidR="007650DC">
              <w:rPr>
                <w:rFonts w:cstheme="minorHAnsi"/>
                <w:sz w:val="20"/>
                <w:szCs w:val="20"/>
              </w:rPr>
              <w:t xml:space="preserve"> </w:t>
            </w:r>
            <w:r w:rsidR="00175530">
              <w:rPr>
                <w:rFonts w:cstheme="minorHAnsi"/>
                <w:sz w:val="20"/>
                <w:szCs w:val="20"/>
              </w:rPr>
              <w:t>16+</w:t>
            </w:r>
          </w:p>
          <w:p w:rsidR="007650DC" w:rsidRPr="0087485F" w:rsidRDefault="007650DC" w:rsidP="007650DC">
            <w:pPr>
              <w:spacing w:before="16" w:after="16"/>
              <w:jc w:val="center"/>
              <w:rPr>
                <w:rFonts w:cstheme="minorHAnsi"/>
                <w:sz w:val="20"/>
                <w:szCs w:val="20"/>
              </w:rPr>
            </w:pPr>
            <w:r>
              <w:rPr>
                <w:rFonts w:cstheme="minorHAnsi"/>
                <w:sz w:val="20"/>
                <w:szCs w:val="20"/>
              </w:rPr>
              <w:t>%</w:t>
            </w:r>
          </w:p>
        </w:tc>
      </w:tr>
      <w:tr w:rsidR="00D907AF" w:rsidRPr="0087485F" w:rsidTr="00973989">
        <w:tc>
          <w:tcPr>
            <w:tcW w:w="4077" w:type="dxa"/>
            <w:shd w:val="clear" w:color="auto" w:fill="auto"/>
          </w:tcPr>
          <w:p w:rsidR="00D907AF" w:rsidRPr="0087485F" w:rsidRDefault="00D907AF" w:rsidP="001032EF">
            <w:pPr>
              <w:spacing w:before="16" w:after="16"/>
              <w:rPr>
                <w:rFonts w:cstheme="minorHAnsi"/>
                <w:sz w:val="20"/>
                <w:szCs w:val="20"/>
              </w:rPr>
            </w:pPr>
            <w:r w:rsidRPr="0087485F">
              <w:rPr>
                <w:rFonts w:cstheme="minorHAnsi"/>
                <w:sz w:val="20"/>
                <w:szCs w:val="20"/>
              </w:rPr>
              <w:t>University</w:t>
            </w:r>
          </w:p>
        </w:tc>
        <w:tc>
          <w:tcPr>
            <w:tcW w:w="1276" w:type="dxa"/>
            <w:shd w:val="clear" w:color="auto" w:fill="auto"/>
            <w:vAlign w:val="center"/>
          </w:tcPr>
          <w:p w:rsidR="00D907AF" w:rsidRPr="0087485F" w:rsidRDefault="00D907AF" w:rsidP="00C53883">
            <w:pPr>
              <w:spacing w:before="16" w:after="16"/>
              <w:ind w:right="284"/>
              <w:jc w:val="right"/>
              <w:rPr>
                <w:rFonts w:cstheme="minorHAnsi"/>
                <w:color w:val="000000"/>
                <w:sz w:val="20"/>
                <w:szCs w:val="20"/>
              </w:rPr>
            </w:pPr>
            <w:r w:rsidRPr="0087485F">
              <w:rPr>
                <w:rFonts w:cstheme="minorHAnsi"/>
                <w:color w:val="000000"/>
                <w:sz w:val="20"/>
                <w:szCs w:val="20"/>
              </w:rPr>
              <w:t>17</w:t>
            </w:r>
          </w:p>
        </w:tc>
        <w:tc>
          <w:tcPr>
            <w:tcW w:w="1418" w:type="dxa"/>
            <w:shd w:val="clear" w:color="auto" w:fill="auto"/>
            <w:vAlign w:val="center"/>
          </w:tcPr>
          <w:p w:rsidR="00D907AF" w:rsidRPr="0087485F" w:rsidRDefault="00D907AF" w:rsidP="00693109">
            <w:pPr>
              <w:spacing w:before="16" w:after="16"/>
              <w:ind w:right="382"/>
              <w:jc w:val="right"/>
              <w:rPr>
                <w:rFonts w:ascii="Calibri" w:hAnsi="Calibri" w:cs="Calibri"/>
                <w:color w:val="000000"/>
                <w:sz w:val="20"/>
                <w:szCs w:val="20"/>
              </w:rPr>
            </w:pPr>
            <w:r w:rsidRPr="0087485F">
              <w:rPr>
                <w:rFonts w:ascii="Calibri" w:hAnsi="Calibri" w:cs="Calibri"/>
                <w:color w:val="000000"/>
                <w:sz w:val="20"/>
                <w:szCs w:val="20"/>
              </w:rPr>
              <w:t>15.9</w:t>
            </w:r>
          </w:p>
        </w:tc>
      </w:tr>
      <w:tr w:rsidR="00D907AF" w:rsidRPr="0087485F" w:rsidTr="00973989">
        <w:tc>
          <w:tcPr>
            <w:tcW w:w="4077" w:type="dxa"/>
            <w:shd w:val="clear" w:color="auto" w:fill="auto"/>
          </w:tcPr>
          <w:p w:rsidR="00D907AF" w:rsidRPr="0087485F" w:rsidRDefault="00D907AF" w:rsidP="001032EF">
            <w:pPr>
              <w:spacing w:before="16" w:after="16"/>
              <w:rPr>
                <w:rFonts w:cstheme="minorHAnsi"/>
                <w:sz w:val="20"/>
                <w:szCs w:val="20"/>
              </w:rPr>
            </w:pPr>
            <w:r w:rsidRPr="0087485F">
              <w:rPr>
                <w:rFonts w:cstheme="minorHAnsi"/>
                <w:sz w:val="20"/>
                <w:szCs w:val="20"/>
              </w:rPr>
              <w:t xml:space="preserve">TAFE/Technical college </w:t>
            </w:r>
          </w:p>
        </w:tc>
        <w:tc>
          <w:tcPr>
            <w:tcW w:w="1276" w:type="dxa"/>
            <w:shd w:val="clear" w:color="auto" w:fill="auto"/>
            <w:vAlign w:val="center"/>
          </w:tcPr>
          <w:p w:rsidR="00D907AF" w:rsidRPr="0087485F" w:rsidRDefault="00D907AF" w:rsidP="00C53883">
            <w:pPr>
              <w:spacing w:before="16" w:after="16"/>
              <w:ind w:right="284"/>
              <w:jc w:val="right"/>
              <w:rPr>
                <w:rFonts w:cstheme="minorHAnsi"/>
                <w:color w:val="000000"/>
                <w:sz w:val="20"/>
                <w:szCs w:val="20"/>
              </w:rPr>
            </w:pPr>
            <w:r w:rsidRPr="0087485F">
              <w:rPr>
                <w:rFonts w:cstheme="minorHAnsi"/>
                <w:color w:val="000000"/>
                <w:sz w:val="20"/>
                <w:szCs w:val="20"/>
              </w:rPr>
              <w:t>40</w:t>
            </w:r>
          </w:p>
        </w:tc>
        <w:tc>
          <w:tcPr>
            <w:tcW w:w="1418" w:type="dxa"/>
            <w:shd w:val="clear" w:color="auto" w:fill="auto"/>
            <w:vAlign w:val="center"/>
          </w:tcPr>
          <w:p w:rsidR="00D907AF" w:rsidRPr="0087485F" w:rsidRDefault="00D907AF" w:rsidP="00693109">
            <w:pPr>
              <w:spacing w:before="16" w:after="16"/>
              <w:ind w:right="382"/>
              <w:jc w:val="right"/>
              <w:rPr>
                <w:rFonts w:ascii="Calibri" w:hAnsi="Calibri" w:cs="Calibri"/>
                <w:color w:val="000000"/>
                <w:sz w:val="20"/>
                <w:szCs w:val="20"/>
              </w:rPr>
            </w:pPr>
            <w:r w:rsidRPr="0087485F">
              <w:rPr>
                <w:rFonts w:ascii="Calibri" w:hAnsi="Calibri" w:cs="Calibri"/>
                <w:color w:val="000000"/>
                <w:sz w:val="20"/>
                <w:szCs w:val="20"/>
              </w:rPr>
              <w:t>37.4</w:t>
            </w:r>
          </w:p>
        </w:tc>
      </w:tr>
      <w:tr w:rsidR="00D907AF" w:rsidRPr="0087485F" w:rsidTr="00973989">
        <w:tc>
          <w:tcPr>
            <w:tcW w:w="4077" w:type="dxa"/>
            <w:shd w:val="clear" w:color="auto" w:fill="auto"/>
          </w:tcPr>
          <w:p w:rsidR="00D907AF" w:rsidRPr="0087485F" w:rsidRDefault="00D907AF" w:rsidP="001032EF">
            <w:pPr>
              <w:spacing w:before="16" w:after="16"/>
              <w:rPr>
                <w:rFonts w:cstheme="minorHAnsi"/>
                <w:sz w:val="20"/>
                <w:szCs w:val="20"/>
              </w:rPr>
            </w:pPr>
            <w:r w:rsidRPr="0087485F">
              <w:rPr>
                <w:rFonts w:cstheme="minorHAnsi"/>
                <w:sz w:val="20"/>
                <w:szCs w:val="20"/>
              </w:rPr>
              <w:t xml:space="preserve">Post school distance learning </w:t>
            </w:r>
          </w:p>
        </w:tc>
        <w:tc>
          <w:tcPr>
            <w:tcW w:w="1276" w:type="dxa"/>
            <w:shd w:val="clear" w:color="auto" w:fill="auto"/>
            <w:vAlign w:val="center"/>
          </w:tcPr>
          <w:p w:rsidR="00D907AF" w:rsidRPr="0087485F" w:rsidRDefault="00D907AF" w:rsidP="00C53883">
            <w:pPr>
              <w:spacing w:before="16" w:after="16"/>
              <w:ind w:right="284"/>
              <w:jc w:val="right"/>
              <w:rPr>
                <w:rFonts w:cstheme="minorHAnsi"/>
                <w:color w:val="000000"/>
                <w:sz w:val="20"/>
                <w:szCs w:val="20"/>
              </w:rPr>
            </w:pPr>
            <w:r w:rsidRPr="0087485F">
              <w:rPr>
                <w:rFonts w:cstheme="minorHAnsi"/>
                <w:color w:val="000000"/>
                <w:sz w:val="20"/>
                <w:szCs w:val="20"/>
              </w:rPr>
              <w:t>9</w:t>
            </w:r>
          </w:p>
        </w:tc>
        <w:tc>
          <w:tcPr>
            <w:tcW w:w="1418" w:type="dxa"/>
            <w:shd w:val="clear" w:color="auto" w:fill="auto"/>
            <w:vAlign w:val="center"/>
          </w:tcPr>
          <w:p w:rsidR="00D907AF" w:rsidRPr="0087485F" w:rsidRDefault="00D907AF" w:rsidP="00693109">
            <w:pPr>
              <w:spacing w:before="16" w:after="16"/>
              <w:ind w:right="382"/>
              <w:jc w:val="right"/>
              <w:rPr>
                <w:rFonts w:ascii="Calibri" w:hAnsi="Calibri" w:cs="Calibri"/>
                <w:color w:val="000000"/>
                <w:sz w:val="20"/>
                <w:szCs w:val="20"/>
              </w:rPr>
            </w:pPr>
            <w:r w:rsidRPr="0087485F">
              <w:rPr>
                <w:rFonts w:ascii="Calibri" w:hAnsi="Calibri" w:cs="Calibri"/>
                <w:color w:val="000000"/>
                <w:sz w:val="20"/>
                <w:szCs w:val="20"/>
              </w:rPr>
              <w:t>8.4</w:t>
            </w:r>
          </w:p>
        </w:tc>
      </w:tr>
      <w:tr w:rsidR="00D907AF" w:rsidRPr="0087485F" w:rsidTr="00973989">
        <w:tc>
          <w:tcPr>
            <w:tcW w:w="4077" w:type="dxa"/>
            <w:shd w:val="clear" w:color="auto" w:fill="auto"/>
          </w:tcPr>
          <w:p w:rsidR="00D907AF" w:rsidRPr="0087485F" w:rsidRDefault="00D907AF" w:rsidP="001032EF">
            <w:pPr>
              <w:spacing w:before="16" w:after="16"/>
              <w:rPr>
                <w:rFonts w:cstheme="minorHAnsi"/>
                <w:sz w:val="20"/>
                <w:szCs w:val="20"/>
              </w:rPr>
            </w:pPr>
            <w:r w:rsidRPr="0087485F">
              <w:rPr>
                <w:rFonts w:cstheme="minorHAnsi"/>
                <w:sz w:val="20"/>
                <w:szCs w:val="20"/>
              </w:rPr>
              <w:t>Industry skills centre/employer based t</w:t>
            </w:r>
            <w:r>
              <w:rPr>
                <w:rFonts w:cstheme="minorHAnsi"/>
                <w:sz w:val="20"/>
                <w:szCs w:val="20"/>
              </w:rPr>
              <w:t>raining?</w:t>
            </w:r>
            <w:r w:rsidRPr="0087485F">
              <w:rPr>
                <w:rFonts w:cstheme="minorHAnsi"/>
                <w:sz w:val="20"/>
                <w:szCs w:val="20"/>
              </w:rPr>
              <w:t xml:space="preserve"> </w:t>
            </w:r>
          </w:p>
        </w:tc>
        <w:tc>
          <w:tcPr>
            <w:tcW w:w="1276" w:type="dxa"/>
            <w:shd w:val="clear" w:color="auto" w:fill="auto"/>
            <w:vAlign w:val="center"/>
          </w:tcPr>
          <w:p w:rsidR="00D907AF" w:rsidRPr="0087485F" w:rsidRDefault="00D907AF" w:rsidP="00C53883">
            <w:pPr>
              <w:spacing w:before="16" w:after="16"/>
              <w:ind w:right="284"/>
              <w:jc w:val="right"/>
              <w:rPr>
                <w:rFonts w:cstheme="minorHAnsi"/>
                <w:color w:val="000000"/>
                <w:sz w:val="20"/>
                <w:szCs w:val="20"/>
              </w:rPr>
            </w:pPr>
            <w:r w:rsidRPr="0087485F">
              <w:rPr>
                <w:rFonts w:cstheme="minorHAnsi"/>
                <w:color w:val="000000"/>
                <w:sz w:val="20"/>
                <w:szCs w:val="20"/>
              </w:rPr>
              <w:t>8</w:t>
            </w:r>
          </w:p>
        </w:tc>
        <w:tc>
          <w:tcPr>
            <w:tcW w:w="1418" w:type="dxa"/>
            <w:shd w:val="clear" w:color="auto" w:fill="auto"/>
            <w:vAlign w:val="center"/>
          </w:tcPr>
          <w:p w:rsidR="00D907AF" w:rsidRPr="0087485F" w:rsidRDefault="00D907AF" w:rsidP="00693109">
            <w:pPr>
              <w:spacing w:before="16" w:after="16"/>
              <w:ind w:right="382"/>
              <w:jc w:val="right"/>
              <w:rPr>
                <w:rFonts w:ascii="Calibri" w:hAnsi="Calibri" w:cs="Calibri"/>
                <w:color w:val="000000"/>
                <w:sz w:val="20"/>
                <w:szCs w:val="20"/>
              </w:rPr>
            </w:pPr>
            <w:r w:rsidRPr="0087485F">
              <w:rPr>
                <w:rFonts w:ascii="Calibri" w:hAnsi="Calibri" w:cs="Calibri"/>
                <w:color w:val="000000"/>
                <w:sz w:val="20"/>
                <w:szCs w:val="20"/>
              </w:rPr>
              <w:t>7.5</w:t>
            </w:r>
          </w:p>
        </w:tc>
      </w:tr>
      <w:tr w:rsidR="00D907AF" w:rsidRPr="0087485F" w:rsidTr="00973989">
        <w:tc>
          <w:tcPr>
            <w:tcW w:w="4077" w:type="dxa"/>
            <w:shd w:val="clear" w:color="auto" w:fill="auto"/>
          </w:tcPr>
          <w:p w:rsidR="00D907AF" w:rsidRPr="0087485F" w:rsidRDefault="00D907AF" w:rsidP="001032EF">
            <w:pPr>
              <w:spacing w:before="16" w:after="16"/>
              <w:rPr>
                <w:rFonts w:cstheme="minorHAnsi"/>
                <w:sz w:val="20"/>
                <w:szCs w:val="20"/>
              </w:rPr>
            </w:pPr>
            <w:r w:rsidRPr="0087485F">
              <w:rPr>
                <w:rFonts w:cstheme="minorHAnsi"/>
                <w:sz w:val="20"/>
                <w:szCs w:val="20"/>
              </w:rPr>
              <w:t xml:space="preserve">Specialist institute/college </w:t>
            </w:r>
          </w:p>
        </w:tc>
        <w:tc>
          <w:tcPr>
            <w:tcW w:w="1276" w:type="dxa"/>
            <w:shd w:val="clear" w:color="auto" w:fill="auto"/>
            <w:vAlign w:val="center"/>
          </w:tcPr>
          <w:p w:rsidR="00D907AF" w:rsidRPr="0087485F" w:rsidRDefault="00D907AF" w:rsidP="00C53883">
            <w:pPr>
              <w:spacing w:before="16" w:after="16"/>
              <w:ind w:right="284"/>
              <w:jc w:val="right"/>
              <w:rPr>
                <w:rFonts w:cstheme="minorHAnsi"/>
                <w:color w:val="000000"/>
                <w:sz w:val="20"/>
                <w:szCs w:val="20"/>
              </w:rPr>
            </w:pPr>
            <w:r w:rsidRPr="0087485F">
              <w:rPr>
                <w:rFonts w:cstheme="minorHAnsi"/>
                <w:color w:val="000000"/>
                <w:sz w:val="20"/>
                <w:szCs w:val="20"/>
              </w:rPr>
              <w:t>6</w:t>
            </w:r>
          </w:p>
        </w:tc>
        <w:tc>
          <w:tcPr>
            <w:tcW w:w="1418" w:type="dxa"/>
            <w:shd w:val="clear" w:color="auto" w:fill="auto"/>
            <w:vAlign w:val="center"/>
          </w:tcPr>
          <w:p w:rsidR="00D907AF" w:rsidRPr="0087485F" w:rsidRDefault="00D907AF" w:rsidP="00693109">
            <w:pPr>
              <w:spacing w:before="16" w:after="16"/>
              <w:ind w:right="382"/>
              <w:jc w:val="right"/>
              <w:rPr>
                <w:rFonts w:ascii="Calibri" w:hAnsi="Calibri" w:cs="Calibri"/>
                <w:color w:val="000000"/>
                <w:sz w:val="20"/>
                <w:szCs w:val="20"/>
              </w:rPr>
            </w:pPr>
            <w:r w:rsidRPr="0087485F">
              <w:rPr>
                <w:rFonts w:ascii="Calibri" w:hAnsi="Calibri" w:cs="Calibri"/>
                <w:color w:val="000000"/>
                <w:sz w:val="20"/>
                <w:szCs w:val="20"/>
              </w:rPr>
              <w:t>5.6</w:t>
            </w:r>
          </w:p>
        </w:tc>
      </w:tr>
      <w:tr w:rsidR="00D907AF" w:rsidRPr="0087485F" w:rsidTr="00973989">
        <w:tc>
          <w:tcPr>
            <w:tcW w:w="4077" w:type="dxa"/>
          </w:tcPr>
          <w:p w:rsidR="00D907AF" w:rsidRPr="0087485F" w:rsidRDefault="00D907AF" w:rsidP="001032EF">
            <w:pPr>
              <w:spacing w:before="16" w:after="16"/>
              <w:rPr>
                <w:rFonts w:cstheme="minorHAnsi"/>
                <w:sz w:val="20"/>
                <w:szCs w:val="20"/>
              </w:rPr>
            </w:pPr>
            <w:r w:rsidRPr="0087485F">
              <w:rPr>
                <w:rFonts w:cstheme="minorHAnsi"/>
                <w:sz w:val="20"/>
                <w:szCs w:val="20"/>
              </w:rPr>
              <w:t xml:space="preserve">Community centre </w:t>
            </w:r>
          </w:p>
        </w:tc>
        <w:tc>
          <w:tcPr>
            <w:tcW w:w="1276" w:type="dxa"/>
          </w:tcPr>
          <w:p w:rsidR="00D907AF" w:rsidRPr="0087485F" w:rsidRDefault="00D907AF" w:rsidP="00C53883">
            <w:pPr>
              <w:spacing w:before="16" w:after="16"/>
              <w:ind w:right="284"/>
              <w:jc w:val="right"/>
              <w:rPr>
                <w:rFonts w:cstheme="minorHAnsi"/>
                <w:color w:val="000000"/>
                <w:sz w:val="20"/>
                <w:szCs w:val="20"/>
              </w:rPr>
            </w:pPr>
            <w:r w:rsidRPr="0087485F">
              <w:rPr>
                <w:rFonts w:cstheme="minorHAnsi"/>
                <w:color w:val="000000"/>
                <w:sz w:val="20"/>
                <w:szCs w:val="20"/>
              </w:rPr>
              <w:t>4</w:t>
            </w:r>
          </w:p>
        </w:tc>
        <w:tc>
          <w:tcPr>
            <w:tcW w:w="1418" w:type="dxa"/>
            <w:vAlign w:val="center"/>
          </w:tcPr>
          <w:p w:rsidR="00D907AF" w:rsidRPr="0087485F" w:rsidRDefault="00D907AF" w:rsidP="00693109">
            <w:pPr>
              <w:spacing w:before="16" w:after="16"/>
              <w:ind w:right="382"/>
              <w:jc w:val="right"/>
              <w:rPr>
                <w:rFonts w:ascii="Calibri" w:hAnsi="Calibri" w:cs="Calibri"/>
                <w:color w:val="000000"/>
                <w:sz w:val="20"/>
                <w:szCs w:val="20"/>
              </w:rPr>
            </w:pPr>
            <w:r w:rsidRPr="0087485F">
              <w:rPr>
                <w:rFonts w:ascii="Calibri" w:hAnsi="Calibri" w:cs="Calibri"/>
                <w:color w:val="000000"/>
                <w:sz w:val="20"/>
                <w:szCs w:val="20"/>
              </w:rPr>
              <w:t>3.7</w:t>
            </w:r>
          </w:p>
        </w:tc>
      </w:tr>
      <w:tr w:rsidR="00D907AF" w:rsidRPr="0087485F" w:rsidTr="00973989">
        <w:tc>
          <w:tcPr>
            <w:tcW w:w="4077" w:type="dxa"/>
          </w:tcPr>
          <w:p w:rsidR="00D907AF" w:rsidRPr="0087485F" w:rsidRDefault="00D907AF" w:rsidP="001032EF">
            <w:pPr>
              <w:spacing w:before="16" w:after="16"/>
              <w:rPr>
                <w:rFonts w:cstheme="minorHAnsi"/>
                <w:sz w:val="20"/>
                <w:szCs w:val="20"/>
              </w:rPr>
            </w:pPr>
            <w:r w:rsidRPr="0087485F">
              <w:rPr>
                <w:rFonts w:cstheme="minorHAnsi"/>
                <w:sz w:val="20"/>
                <w:szCs w:val="20"/>
              </w:rPr>
              <w:t>Other</w:t>
            </w:r>
          </w:p>
        </w:tc>
        <w:tc>
          <w:tcPr>
            <w:tcW w:w="1276" w:type="dxa"/>
          </w:tcPr>
          <w:p w:rsidR="00D907AF" w:rsidRPr="0087485F" w:rsidRDefault="00D907AF" w:rsidP="00C53883">
            <w:pPr>
              <w:spacing w:before="16" w:after="16"/>
              <w:ind w:right="284"/>
              <w:jc w:val="right"/>
              <w:rPr>
                <w:rFonts w:cstheme="minorHAnsi"/>
                <w:color w:val="000000"/>
                <w:sz w:val="20"/>
                <w:szCs w:val="20"/>
              </w:rPr>
            </w:pPr>
            <w:r w:rsidRPr="0087485F">
              <w:rPr>
                <w:rFonts w:cstheme="minorHAnsi"/>
                <w:color w:val="000000"/>
                <w:sz w:val="20"/>
                <w:szCs w:val="20"/>
              </w:rPr>
              <w:t>22</w:t>
            </w:r>
          </w:p>
        </w:tc>
        <w:tc>
          <w:tcPr>
            <w:tcW w:w="1418" w:type="dxa"/>
            <w:vAlign w:val="center"/>
          </w:tcPr>
          <w:p w:rsidR="00D907AF" w:rsidRPr="0087485F" w:rsidRDefault="00D907AF" w:rsidP="00693109">
            <w:pPr>
              <w:spacing w:before="16" w:after="16"/>
              <w:ind w:right="382"/>
              <w:jc w:val="right"/>
              <w:rPr>
                <w:rFonts w:ascii="Calibri" w:hAnsi="Calibri" w:cs="Calibri"/>
                <w:color w:val="000000"/>
                <w:sz w:val="20"/>
                <w:szCs w:val="20"/>
              </w:rPr>
            </w:pPr>
            <w:r w:rsidRPr="0087485F">
              <w:rPr>
                <w:rFonts w:ascii="Calibri" w:hAnsi="Calibri" w:cs="Calibri"/>
                <w:color w:val="000000"/>
                <w:sz w:val="20"/>
                <w:szCs w:val="20"/>
              </w:rPr>
              <w:t>20.6</w:t>
            </w:r>
          </w:p>
        </w:tc>
      </w:tr>
      <w:tr w:rsidR="00D907AF" w:rsidRPr="0087485F" w:rsidTr="00973989">
        <w:tc>
          <w:tcPr>
            <w:tcW w:w="4077" w:type="dxa"/>
          </w:tcPr>
          <w:p w:rsidR="00D907AF" w:rsidRPr="0087485F" w:rsidRDefault="00D907AF" w:rsidP="001032EF">
            <w:pPr>
              <w:spacing w:before="16" w:after="16"/>
              <w:rPr>
                <w:rFonts w:cstheme="minorHAnsi"/>
                <w:sz w:val="20"/>
                <w:szCs w:val="20"/>
              </w:rPr>
            </w:pPr>
            <w:r w:rsidRPr="0087485F">
              <w:rPr>
                <w:rFonts w:cstheme="minorHAnsi"/>
                <w:sz w:val="20"/>
                <w:szCs w:val="20"/>
              </w:rPr>
              <w:t>Don’t know</w:t>
            </w:r>
          </w:p>
        </w:tc>
        <w:tc>
          <w:tcPr>
            <w:tcW w:w="1276" w:type="dxa"/>
          </w:tcPr>
          <w:p w:rsidR="00D907AF" w:rsidRPr="0087485F" w:rsidRDefault="00D907AF" w:rsidP="00C53883">
            <w:pPr>
              <w:spacing w:before="16" w:after="16"/>
              <w:ind w:right="284"/>
              <w:jc w:val="right"/>
              <w:rPr>
                <w:rFonts w:cstheme="minorHAnsi"/>
                <w:color w:val="000000"/>
                <w:sz w:val="20"/>
                <w:szCs w:val="20"/>
              </w:rPr>
            </w:pPr>
            <w:r w:rsidRPr="0087485F">
              <w:rPr>
                <w:rFonts w:cstheme="minorHAnsi"/>
                <w:color w:val="000000"/>
                <w:sz w:val="20"/>
                <w:szCs w:val="20"/>
              </w:rPr>
              <w:t>1</w:t>
            </w:r>
          </w:p>
        </w:tc>
        <w:tc>
          <w:tcPr>
            <w:tcW w:w="1418" w:type="dxa"/>
            <w:vAlign w:val="center"/>
          </w:tcPr>
          <w:p w:rsidR="00D907AF" w:rsidRPr="0087485F" w:rsidRDefault="00D907AF" w:rsidP="00693109">
            <w:pPr>
              <w:spacing w:before="16" w:after="16"/>
              <w:ind w:right="382"/>
              <w:jc w:val="right"/>
              <w:rPr>
                <w:rFonts w:ascii="Calibri" w:hAnsi="Calibri" w:cs="Calibri"/>
                <w:color w:val="000000"/>
                <w:sz w:val="20"/>
                <w:szCs w:val="20"/>
              </w:rPr>
            </w:pPr>
            <w:r w:rsidRPr="0087485F">
              <w:rPr>
                <w:rFonts w:ascii="Calibri" w:hAnsi="Calibri" w:cs="Calibri"/>
                <w:color w:val="000000"/>
                <w:sz w:val="20"/>
                <w:szCs w:val="20"/>
              </w:rPr>
              <w:t>0.9</w:t>
            </w:r>
          </w:p>
        </w:tc>
      </w:tr>
      <w:tr w:rsidR="00D907AF" w:rsidRPr="0087485F" w:rsidTr="00973989">
        <w:tc>
          <w:tcPr>
            <w:tcW w:w="4077" w:type="dxa"/>
            <w:tcBorders>
              <w:top w:val="single" w:sz="4" w:space="0" w:color="auto"/>
              <w:bottom w:val="single" w:sz="4" w:space="0" w:color="auto"/>
            </w:tcBorders>
            <w:shd w:val="clear" w:color="auto" w:fill="auto"/>
          </w:tcPr>
          <w:p w:rsidR="00D907AF" w:rsidRPr="0087485F" w:rsidRDefault="00D907AF" w:rsidP="001032EF">
            <w:pPr>
              <w:spacing w:before="16" w:after="16"/>
              <w:rPr>
                <w:rFonts w:cstheme="minorHAnsi"/>
                <w:b/>
                <w:sz w:val="20"/>
                <w:szCs w:val="20"/>
              </w:rPr>
            </w:pPr>
            <w:r w:rsidRPr="0087485F">
              <w:rPr>
                <w:rFonts w:cstheme="minorHAnsi"/>
                <w:b/>
                <w:sz w:val="20"/>
                <w:szCs w:val="20"/>
              </w:rPr>
              <w:t>Total</w:t>
            </w:r>
          </w:p>
        </w:tc>
        <w:tc>
          <w:tcPr>
            <w:tcW w:w="1276" w:type="dxa"/>
            <w:tcBorders>
              <w:top w:val="single" w:sz="4" w:space="0" w:color="auto"/>
              <w:bottom w:val="single" w:sz="4" w:space="0" w:color="auto"/>
            </w:tcBorders>
            <w:shd w:val="clear" w:color="auto" w:fill="auto"/>
          </w:tcPr>
          <w:p w:rsidR="00D907AF" w:rsidRPr="0087485F" w:rsidRDefault="00D907AF" w:rsidP="00C53883">
            <w:pPr>
              <w:spacing w:before="16" w:after="16"/>
              <w:ind w:right="284"/>
              <w:jc w:val="right"/>
              <w:rPr>
                <w:rFonts w:cstheme="minorHAnsi"/>
                <w:b/>
                <w:sz w:val="20"/>
                <w:szCs w:val="20"/>
              </w:rPr>
            </w:pPr>
            <w:r w:rsidRPr="0087485F">
              <w:rPr>
                <w:rFonts w:cstheme="minorHAnsi"/>
                <w:b/>
                <w:sz w:val="20"/>
                <w:szCs w:val="20"/>
              </w:rPr>
              <w:t>107</w:t>
            </w:r>
          </w:p>
        </w:tc>
        <w:tc>
          <w:tcPr>
            <w:tcW w:w="1418" w:type="dxa"/>
            <w:tcBorders>
              <w:top w:val="single" w:sz="4" w:space="0" w:color="auto"/>
              <w:bottom w:val="single" w:sz="4" w:space="0" w:color="auto"/>
            </w:tcBorders>
            <w:shd w:val="clear" w:color="auto" w:fill="auto"/>
          </w:tcPr>
          <w:p w:rsidR="00D907AF" w:rsidRPr="0087485F" w:rsidRDefault="00D907AF" w:rsidP="00693109">
            <w:pPr>
              <w:spacing w:before="16" w:after="16"/>
              <w:ind w:right="382"/>
              <w:jc w:val="right"/>
              <w:rPr>
                <w:rFonts w:cstheme="minorHAnsi"/>
                <w:b/>
                <w:sz w:val="20"/>
                <w:szCs w:val="20"/>
              </w:rPr>
            </w:pPr>
            <w:r w:rsidRPr="0087485F">
              <w:rPr>
                <w:rFonts w:cstheme="minorHAnsi"/>
                <w:b/>
                <w:sz w:val="20"/>
                <w:szCs w:val="20"/>
              </w:rPr>
              <w:t>100</w:t>
            </w:r>
          </w:p>
        </w:tc>
      </w:tr>
    </w:tbl>
    <w:p w:rsidR="00D907AF" w:rsidRPr="00B01305" w:rsidRDefault="00D907AF" w:rsidP="001032EF">
      <w:pPr>
        <w:pStyle w:val="NILSReference"/>
      </w:pPr>
      <w:r w:rsidRPr="00B01305">
        <w:t xml:space="preserve">Note: </w:t>
      </w:r>
      <w:r>
        <w:t xml:space="preserve">trial and comparison aged </w:t>
      </w:r>
      <w:r w:rsidRPr="00B01305">
        <w:t xml:space="preserve">16 years and </w:t>
      </w:r>
      <w:r>
        <w:t>above</w:t>
      </w:r>
      <w:r w:rsidRPr="00B01305">
        <w:t xml:space="preserve"> </w:t>
      </w:r>
      <w:r>
        <w:t>currently studying post-school</w:t>
      </w:r>
    </w:p>
    <w:p w:rsidR="005B2D5F" w:rsidRDefault="005B2D5F" w:rsidP="00D907AF"/>
    <w:p w:rsidR="00D907AF" w:rsidRDefault="00D907AF" w:rsidP="00D907AF">
      <w:r>
        <w:t>Table 3.27 suggests that the level of post-school qualification aimed at is diverse. Whilst the most frequently reported level is Certificate I or II (which typically confer the minimum labour market impact amongst all post-school qualifications), a substantial proportion reported attending courses that lead to a Certificate III/IV, a Diploma, a Degree or equivalent, all of which are education outcomes with a well-established relationship with future labour market success.</w:t>
      </w:r>
    </w:p>
    <w:p w:rsidR="00D63FA5" w:rsidRDefault="00D63FA5">
      <w:pPr>
        <w:rPr>
          <w:b/>
          <w:sz w:val="20"/>
          <w:lang w:val="x-none"/>
        </w:rPr>
      </w:pPr>
      <w:bookmarkStart w:id="274" w:name="_Toc428280679"/>
      <w:r>
        <w:br w:type="page"/>
      </w:r>
    </w:p>
    <w:p w:rsidR="00D907AF" w:rsidRPr="00233E8A" w:rsidRDefault="00D907AF" w:rsidP="0044684E">
      <w:pPr>
        <w:pStyle w:val="NILSTableHeading"/>
      </w:pPr>
      <w:bookmarkStart w:id="275" w:name="_Toc449955290"/>
      <w:r w:rsidRPr="00233E8A">
        <w:lastRenderedPageBreak/>
        <w:t>Table 3.</w:t>
      </w:r>
      <w:r w:rsidRPr="00233E8A">
        <w:rPr>
          <w:rFonts w:hint="eastAsia"/>
        </w:rPr>
        <w:t>2</w:t>
      </w:r>
      <w:r>
        <w:t>7</w:t>
      </w:r>
      <w:r w:rsidRPr="00233E8A">
        <w:t xml:space="preserve">: </w:t>
      </w:r>
      <w:r w:rsidRPr="00233E8A">
        <w:rPr>
          <w:rFonts w:hint="eastAsia"/>
        </w:rPr>
        <w:t>Qualification level currently studying</w:t>
      </w:r>
      <w:bookmarkEnd w:id="274"/>
      <w:bookmarkEnd w:id="275"/>
      <w:r w:rsidRPr="00233E8A">
        <w:rPr>
          <w:rFonts w:hint="eastAsia"/>
        </w:rPr>
        <w:t xml:space="preserve">  </w:t>
      </w:r>
    </w:p>
    <w:tbl>
      <w:tblPr>
        <w:tblStyle w:val="TableGrid"/>
        <w:tblW w:w="0" w:type="auto"/>
        <w:tblLook w:val="04A0" w:firstRow="1" w:lastRow="0" w:firstColumn="1" w:lastColumn="0" w:noHBand="0" w:noVBand="1"/>
        <w:tblCaption w:val="Table 3.27 Qualification level currently studying  "/>
      </w:tblPr>
      <w:tblGrid>
        <w:gridCol w:w="3085"/>
        <w:gridCol w:w="1490"/>
        <w:gridCol w:w="1345"/>
      </w:tblGrid>
      <w:tr w:rsidR="00D907AF" w:rsidRPr="0087485F" w:rsidTr="008B5B06">
        <w:trPr>
          <w:tblHeader/>
        </w:trPr>
        <w:tc>
          <w:tcPr>
            <w:tcW w:w="3085" w:type="dxa"/>
            <w:tcBorders>
              <w:top w:val="single" w:sz="4" w:space="0" w:color="auto"/>
              <w:bottom w:val="single" w:sz="4" w:space="0" w:color="auto"/>
            </w:tcBorders>
            <w:shd w:val="clear" w:color="auto" w:fill="auto"/>
          </w:tcPr>
          <w:p w:rsidR="00D907AF" w:rsidRPr="0087485F" w:rsidRDefault="00D907AF" w:rsidP="00D907AF">
            <w:pPr>
              <w:spacing w:before="10" w:after="10"/>
              <w:rPr>
                <w:rFonts w:cstheme="minorHAnsi"/>
                <w:sz w:val="20"/>
                <w:szCs w:val="20"/>
              </w:rPr>
            </w:pPr>
            <w:bookmarkStart w:id="276" w:name="Title_3_27"/>
            <w:bookmarkEnd w:id="276"/>
          </w:p>
        </w:tc>
        <w:tc>
          <w:tcPr>
            <w:tcW w:w="1490" w:type="dxa"/>
            <w:tcBorders>
              <w:top w:val="single" w:sz="4" w:space="0" w:color="auto"/>
              <w:bottom w:val="single" w:sz="4" w:space="0" w:color="auto"/>
            </w:tcBorders>
            <w:shd w:val="clear" w:color="auto" w:fill="auto"/>
          </w:tcPr>
          <w:p w:rsidR="00D907AF" w:rsidRPr="0087485F" w:rsidRDefault="00F472AF" w:rsidP="002C2C86">
            <w:pPr>
              <w:spacing w:before="10" w:after="10"/>
              <w:jc w:val="center"/>
              <w:rPr>
                <w:rFonts w:cstheme="minorHAnsi"/>
                <w:sz w:val="20"/>
                <w:szCs w:val="20"/>
              </w:rPr>
            </w:pPr>
            <w:r w:rsidRPr="0087485F">
              <w:rPr>
                <w:rFonts w:cstheme="minorHAnsi"/>
                <w:sz w:val="20"/>
                <w:szCs w:val="20"/>
              </w:rPr>
              <w:t>Adults</w:t>
            </w:r>
            <w:r w:rsidR="001E1DF1">
              <w:rPr>
                <w:rFonts w:cstheme="minorHAnsi"/>
                <w:sz w:val="20"/>
                <w:szCs w:val="20"/>
              </w:rPr>
              <w:t xml:space="preserve"> </w:t>
            </w:r>
            <w:r w:rsidRPr="0087485F">
              <w:rPr>
                <w:rFonts w:cstheme="minorHAnsi"/>
                <w:sz w:val="20"/>
                <w:szCs w:val="20"/>
              </w:rPr>
              <w:t>16+</w:t>
            </w:r>
            <w:r w:rsidR="00405F53">
              <w:rPr>
                <w:rFonts w:cstheme="minorHAnsi"/>
                <w:sz w:val="20"/>
                <w:szCs w:val="20"/>
              </w:rPr>
              <w:t xml:space="preserve"> Cases</w:t>
            </w:r>
          </w:p>
        </w:tc>
        <w:tc>
          <w:tcPr>
            <w:tcW w:w="1345" w:type="dxa"/>
            <w:tcBorders>
              <w:top w:val="single" w:sz="4" w:space="0" w:color="auto"/>
              <w:bottom w:val="single" w:sz="4" w:space="0" w:color="auto"/>
            </w:tcBorders>
            <w:shd w:val="clear" w:color="auto" w:fill="auto"/>
          </w:tcPr>
          <w:p w:rsidR="00D907AF" w:rsidRDefault="00F472AF" w:rsidP="001E1DF1">
            <w:pPr>
              <w:spacing w:before="10" w:after="10"/>
              <w:jc w:val="center"/>
              <w:rPr>
                <w:rFonts w:cstheme="minorHAnsi"/>
                <w:sz w:val="20"/>
                <w:szCs w:val="20"/>
              </w:rPr>
            </w:pPr>
            <w:r w:rsidRPr="00F472AF">
              <w:rPr>
                <w:rFonts w:cstheme="minorHAnsi"/>
                <w:sz w:val="20"/>
                <w:szCs w:val="20"/>
              </w:rPr>
              <w:t>Adults</w:t>
            </w:r>
            <w:r w:rsidR="00C53883">
              <w:rPr>
                <w:rFonts w:cstheme="minorHAnsi"/>
                <w:sz w:val="20"/>
                <w:szCs w:val="20"/>
              </w:rPr>
              <w:t xml:space="preserve"> </w:t>
            </w:r>
            <w:r w:rsidRPr="00F472AF">
              <w:rPr>
                <w:rFonts w:cstheme="minorHAnsi"/>
                <w:sz w:val="20"/>
                <w:szCs w:val="20"/>
              </w:rPr>
              <w:t>16+</w:t>
            </w:r>
          </w:p>
          <w:p w:rsidR="00C53883" w:rsidRPr="0087485F" w:rsidRDefault="00693109" w:rsidP="001E1DF1">
            <w:pPr>
              <w:spacing w:before="10" w:after="10"/>
              <w:jc w:val="center"/>
              <w:rPr>
                <w:rFonts w:cstheme="minorHAnsi"/>
                <w:sz w:val="20"/>
                <w:szCs w:val="20"/>
              </w:rPr>
            </w:pPr>
            <w:r>
              <w:rPr>
                <w:rFonts w:cstheme="minorHAnsi"/>
                <w:sz w:val="20"/>
                <w:szCs w:val="20"/>
              </w:rPr>
              <w:t>%</w:t>
            </w:r>
          </w:p>
        </w:tc>
      </w:tr>
      <w:tr w:rsidR="00D907AF" w:rsidRPr="0087485F" w:rsidTr="008B5B06">
        <w:trPr>
          <w:tblHeader/>
        </w:trPr>
        <w:tc>
          <w:tcPr>
            <w:tcW w:w="3085" w:type="dxa"/>
            <w:shd w:val="clear" w:color="auto" w:fill="auto"/>
          </w:tcPr>
          <w:p w:rsidR="00D907AF" w:rsidRPr="0087485F" w:rsidRDefault="00D907AF" w:rsidP="00D907AF">
            <w:pPr>
              <w:spacing w:before="10" w:after="10"/>
              <w:rPr>
                <w:rFonts w:cstheme="minorHAnsi"/>
                <w:sz w:val="20"/>
                <w:szCs w:val="20"/>
              </w:rPr>
            </w:pPr>
            <w:r w:rsidRPr="0087485F">
              <w:rPr>
                <w:rFonts w:cstheme="minorHAnsi"/>
                <w:sz w:val="20"/>
                <w:szCs w:val="20"/>
              </w:rPr>
              <w:t xml:space="preserve">Certificate I or II  </w:t>
            </w:r>
          </w:p>
        </w:tc>
        <w:tc>
          <w:tcPr>
            <w:tcW w:w="1490" w:type="dxa"/>
            <w:shd w:val="clear" w:color="auto" w:fill="auto"/>
          </w:tcPr>
          <w:p w:rsidR="00D907AF" w:rsidRPr="0087485F" w:rsidRDefault="00D907AF" w:rsidP="001E1DF1">
            <w:pPr>
              <w:spacing w:before="10" w:after="10"/>
              <w:ind w:right="454"/>
              <w:jc w:val="right"/>
              <w:rPr>
                <w:rFonts w:cstheme="minorHAnsi"/>
                <w:sz w:val="20"/>
                <w:szCs w:val="20"/>
              </w:rPr>
            </w:pPr>
            <w:r w:rsidRPr="0087485F">
              <w:rPr>
                <w:rFonts w:cstheme="minorHAnsi"/>
                <w:sz w:val="20"/>
                <w:szCs w:val="20"/>
              </w:rPr>
              <w:t>37</w:t>
            </w:r>
          </w:p>
        </w:tc>
        <w:tc>
          <w:tcPr>
            <w:tcW w:w="1345" w:type="dxa"/>
            <w:shd w:val="clear" w:color="auto" w:fill="auto"/>
            <w:vAlign w:val="center"/>
          </w:tcPr>
          <w:p w:rsidR="00D907AF" w:rsidRPr="0087485F" w:rsidRDefault="00D907AF" w:rsidP="00C53883">
            <w:pPr>
              <w:tabs>
                <w:tab w:val="decimal" w:pos="708"/>
              </w:tabs>
              <w:spacing w:before="10" w:after="10"/>
              <w:rPr>
                <w:rFonts w:cstheme="minorHAnsi"/>
                <w:color w:val="000000"/>
                <w:sz w:val="20"/>
                <w:szCs w:val="20"/>
              </w:rPr>
            </w:pPr>
            <w:r w:rsidRPr="0087485F">
              <w:rPr>
                <w:rFonts w:cstheme="minorHAnsi"/>
                <w:color w:val="000000"/>
                <w:sz w:val="20"/>
                <w:szCs w:val="20"/>
              </w:rPr>
              <w:t>34.6</w:t>
            </w:r>
          </w:p>
        </w:tc>
      </w:tr>
      <w:tr w:rsidR="00D907AF" w:rsidRPr="0087485F" w:rsidTr="008B5B06">
        <w:trPr>
          <w:tblHeader/>
        </w:trPr>
        <w:tc>
          <w:tcPr>
            <w:tcW w:w="3085" w:type="dxa"/>
            <w:shd w:val="clear" w:color="auto" w:fill="auto"/>
          </w:tcPr>
          <w:p w:rsidR="00D907AF" w:rsidRPr="0087485F" w:rsidRDefault="00D907AF" w:rsidP="00D907AF">
            <w:pPr>
              <w:spacing w:before="10" w:after="10"/>
              <w:rPr>
                <w:rFonts w:cstheme="minorHAnsi"/>
                <w:sz w:val="20"/>
                <w:szCs w:val="20"/>
              </w:rPr>
            </w:pPr>
            <w:r w:rsidRPr="0087485F">
              <w:rPr>
                <w:rFonts w:cstheme="minorHAnsi"/>
                <w:sz w:val="20"/>
                <w:szCs w:val="20"/>
              </w:rPr>
              <w:t xml:space="preserve">Certificate III or IV  </w:t>
            </w:r>
          </w:p>
        </w:tc>
        <w:tc>
          <w:tcPr>
            <w:tcW w:w="1490" w:type="dxa"/>
            <w:shd w:val="clear" w:color="auto" w:fill="auto"/>
          </w:tcPr>
          <w:p w:rsidR="00D907AF" w:rsidRPr="0087485F" w:rsidRDefault="00D907AF" w:rsidP="001E1DF1">
            <w:pPr>
              <w:spacing w:before="10" w:after="10"/>
              <w:ind w:right="454"/>
              <w:jc w:val="right"/>
              <w:rPr>
                <w:rFonts w:cstheme="minorHAnsi"/>
                <w:sz w:val="20"/>
                <w:szCs w:val="20"/>
              </w:rPr>
            </w:pPr>
            <w:r w:rsidRPr="0087485F">
              <w:rPr>
                <w:rFonts w:cstheme="minorHAnsi"/>
                <w:sz w:val="20"/>
                <w:szCs w:val="20"/>
              </w:rPr>
              <w:t>18</w:t>
            </w:r>
          </w:p>
        </w:tc>
        <w:tc>
          <w:tcPr>
            <w:tcW w:w="1345" w:type="dxa"/>
            <w:shd w:val="clear" w:color="auto" w:fill="auto"/>
            <w:vAlign w:val="center"/>
          </w:tcPr>
          <w:p w:rsidR="00D907AF" w:rsidRPr="0087485F" w:rsidRDefault="00D907AF" w:rsidP="00C53883">
            <w:pPr>
              <w:tabs>
                <w:tab w:val="decimal" w:pos="708"/>
              </w:tabs>
              <w:spacing w:before="10" w:after="10"/>
              <w:rPr>
                <w:rFonts w:cstheme="minorHAnsi"/>
                <w:color w:val="000000"/>
                <w:sz w:val="20"/>
                <w:szCs w:val="20"/>
              </w:rPr>
            </w:pPr>
            <w:r w:rsidRPr="0087485F">
              <w:rPr>
                <w:rFonts w:cstheme="minorHAnsi"/>
                <w:color w:val="000000"/>
                <w:sz w:val="20"/>
                <w:szCs w:val="20"/>
              </w:rPr>
              <w:t>16.8</w:t>
            </w:r>
          </w:p>
        </w:tc>
      </w:tr>
      <w:tr w:rsidR="00D907AF" w:rsidRPr="0087485F" w:rsidTr="008B5B06">
        <w:trPr>
          <w:tblHeader/>
        </w:trPr>
        <w:tc>
          <w:tcPr>
            <w:tcW w:w="3085" w:type="dxa"/>
            <w:shd w:val="clear" w:color="auto" w:fill="auto"/>
          </w:tcPr>
          <w:p w:rsidR="00D907AF" w:rsidRPr="0087485F" w:rsidRDefault="00D907AF" w:rsidP="00D907AF">
            <w:pPr>
              <w:spacing w:before="10" w:after="10"/>
              <w:rPr>
                <w:rFonts w:cstheme="minorHAnsi"/>
                <w:sz w:val="20"/>
                <w:szCs w:val="20"/>
              </w:rPr>
            </w:pPr>
            <w:r w:rsidRPr="0087485F">
              <w:rPr>
                <w:rFonts w:cstheme="minorHAnsi"/>
                <w:sz w:val="20"/>
                <w:szCs w:val="20"/>
              </w:rPr>
              <w:t>Diploma</w:t>
            </w:r>
          </w:p>
        </w:tc>
        <w:tc>
          <w:tcPr>
            <w:tcW w:w="1490" w:type="dxa"/>
            <w:shd w:val="clear" w:color="auto" w:fill="auto"/>
          </w:tcPr>
          <w:p w:rsidR="00D907AF" w:rsidRPr="0087485F" w:rsidRDefault="00D907AF" w:rsidP="001E1DF1">
            <w:pPr>
              <w:spacing w:before="10" w:after="10"/>
              <w:ind w:right="454"/>
              <w:jc w:val="right"/>
              <w:rPr>
                <w:rFonts w:cstheme="minorHAnsi"/>
                <w:sz w:val="20"/>
                <w:szCs w:val="20"/>
              </w:rPr>
            </w:pPr>
            <w:r w:rsidRPr="0087485F">
              <w:rPr>
                <w:rFonts w:cstheme="minorHAnsi"/>
                <w:sz w:val="20"/>
                <w:szCs w:val="20"/>
              </w:rPr>
              <w:t>11</w:t>
            </w:r>
          </w:p>
        </w:tc>
        <w:tc>
          <w:tcPr>
            <w:tcW w:w="1345" w:type="dxa"/>
            <w:shd w:val="clear" w:color="auto" w:fill="auto"/>
            <w:vAlign w:val="center"/>
          </w:tcPr>
          <w:p w:rsidR="00D907AF" w:rsidRPr="0087485F" w:rsidRDefault="00D907AF" w:rsidP="00C53883">
            <w:pPr>
              <w:tabs>
                <w:tab w:val="decimal" w:pos="708"/>
              </w:tabs>
              <w:spacing w:before="10" w:after="10"/>
              <w:rPr>
                <w:rFonts w:cstheme="minorHAnsi"/>
                <w:color w:val="000000"/>
                <w:sz w:val="20"/>
                <w:szCs w:val="20"/>
              </w:rPr>
            </w:pPr>
            <w:r w:rsidRPr="0087485F">
              <w:rPr>
                <w:rFonts w:cstheme="minorHAnsi"/>
                <w:color w:val="000000"/>
                <w:sz w:val="20"/>
                <w:szCs w:val="20"/>
              </w:rPr>
              <w:t>10.3</w:t>
            </w:r>
          </w:p>
        </w:tc>
      </w:tr>
      <w:tr w:rsidR="00D907AF" w:rsidRPr="0087485F" w:rsidTr="008B5B06">
        <w:trPr>
          <w:tblHeader/>
        </w:trPr>
        <w:tc>
          <w:tcPr>
            <w:tcW w:w="3085" w:type="dxa"/>
            <w:shd w:val="clear" w:color="auto" w:fill="auto"/>
          </w:tcPr>
          <w:p w:rsidR="00D907AF" w:rsidRPr="0087485F" w:rsidRDefault="00D907AF" w:rsidP="00D907AF">
            <w:pPr>
              <w:spacing w:before="10" w:after="10"/>
              <w:rPr>
                <w:rFonts w:cstheme="minorHAnsi"/>
                <w:sz w:val="20"/>
                <w:szCs w:val="20"/>
              </w:rPr>
            </w:pPr>
            <w:r w:rsidRPr="0087485F">
              <w:rPr>
                <w:rFonts w:cstheme="minorHAnsi"/>
                <w:sz w:val="20"/>
                <w:szCs w:val="20"/>
              </w:rPr>
              <w:t xml:space="preserve">Degree or equivalent  </w:t>
            </w:r>
          </w:p>
        </w:tc>
        <w:tc>
          <w:tcPr>
            <w:tcW w:w="1490" w:type="dxa"/>
            <w:shd w:val="clear" w:color="auto" w:fill="auto"/>
          </w:tcPr>
          <w:p w:rsidR="00D907AF" w:rsidRPr="0087485F" w:rsidRDefault="00D907AF" w:rsidP="001E1DF1">
            <w:pPr>
              <w:spacing w:before="10" w:after="10"/>
              <w:ind w:right="454"/>
              <w:jc w:val="right"/>
              <w:rPr>
                <w:rFonts w:cstheme="minorHAnsi"/>
                <w:sz w:val="20"/>
                <w:szCs w:val="20"/>
              </w:rPr>
            </w:pPr>
            <w:r w:rsidRPr="0087485F">
              <w:rPr>
                <w:rFonts w:cstheme="minorHAnsi"/>
                <w:sz w:val="20"/>
                <w:szCs w:val="20"/>
              </w:rPr>
              <w:t>14</w:t>
            </w:r>
          </w:p>
        </w:tc>
        <w:tc>
          <w:tcPr>
            <w:tcW w:w="1345" w:type="dxa"/>
            <w:shd w:val="clear" w:color="auto" w:fill="auto"/>
            <w:vAlign w:val="center"/>
          </w:tcPr>
          <w:p w:rsidR="00D907AF" w:rsidRPr="0087485F" w:rsidRDefault="00D907AF" w:rsidP="00C53883">
            <w:pPr>
              <w:tabs>
                <w:tab w:val="decimal" w:pos="708"/>
              </w:tabs>
              <w:spacing w:before="10" w:after="10"/>
              <w:rPr>
                <w:rFonts w:cstheme="minorHAnsi"/>
                <w:color w:val="000000"/>
                <w:sz w:val="20"/>
                <w:szCs w:val="20"/>
              </w:rPr>
            </w:pPr>
            <w:r w:rsidRPr="0087485F">
              <w:rPr>
                <w:rFonts w:cstheme="minorHAnsi"/>
                <w:color w:val="000000"/>
                <w:sz w:val="20"/>
                <w:szCs w:val="20"/>
              </w:rPr>
              <w:t>13.1</w:t>
            </w:r>
          </w:p>
        </w:tc>
      </w:tr>
      <w:tr w:rsidR="00D907AF" w:rsidRPr="0087485F" w:rsidTr="008B5B06">
        <w:trPr>
          <w:tblHeader/>
        </w:trPr>
        <w:tc>
          <w:tcPr>
            <w:tcW w:w="3085" w:type="dxa"/>
            <w:shd w:val="clear" w:color="auto" w:fill="auto"/>
          </w:tcPr>
          <w:p w:rsidR="00D907AF" w:rsidRPr="0087485F" w:rsidRDefault="00D907AF" w:rsidP="00D907AF">
            <w:pPr>
              <w:spacing w:before="10" w:after="10"/>
              <w:rPr>
                <w:rFonts w:cstheme="minorHAnsi"/>
                <w:sz w:val="20"/>
                <w:szCs w:val="20"/>
              </w:rPr>
            </w:pPr>
            <w:r w:rsidRPr="0087485F">
              <w:rPr>
                <w:rFonts w:cstheme="minorHAnsi"/>
                <w:sz w:val="20"/>
                <w:szCs w:val="20"/>
              </w:rPr>
              <w:t xml:space="preserve">Higher degree  </w:t>
            </w:r>
          </w:p>
        </w:tc>
        <w:tc>
          <w:tcPr>
            <w:tcW w:w="1490" w:type="dxa"/>
            <w:shd w:val="clear" w:color="auto" w:fill="auto"/>
          </w:tcPr>
          <w:p w:rsidR="00D907AF" w:rsidRPr="0087485F" w:rsidRDefault="00D907AF" w:rsidP="001E1DF1">
            <w:pPr>
              <w:spacing w:before="10" w:after="10"/>
              <w:ind w:right="454"/>
              <w:jc w:val="right"/>
              <w:rPr>
                <w:rFonts w:cstheme="minorHAnsi"/>
                <w:sz w:val="20"/>
                <w:szCs w:val="20"/>
              </w:rPr>
            </w:pPr>
            <w:r w:rsidRPr="0087485F">
              <w:rPr>
                <w:rFonts w:cstheme="minorHAnsi"/>
                <w:sz w:val="20"/>
                <w:szCs w:val="20"/>
              </w:rPr>
              <w:t>3</w:t>
            </w:r>
          </w:p>
        </w:tc>
        <w:tc>
          <w:tcPr>
            <w:tcW w:w="1345" w:type="dxa"/>
            <w:shd w:val="clear" w:color="auto" w:fill="auto"/>
            <w:vAlign w:val="center"/>
          </w:tcPr>
          <w:p w:rsidR="00D907AF" w:rsidRPr="0087485F" w:rsidRDefault="00D907AF" w:rsidP="00C53883">
            <w:pPr>
              <w:tabs>
                <w:tab w:val="decimal" w:pos="708"/>
              </w:tabs>
              <w:spacing w:before="10" w:after="10"/>
              <w:rPr>
                <w:rFonts w:cstheme="minorHAnsi"/>
                <w:color w:val="000000"/>
                <w:sz w:val="20"/>
                <w:szCs w:val="20"/>
              </w:rPr>
            </w:pPr>
            <w:r w:rsidRPr="0087485F">
              <w:rPr>
                <w:rFonts w:cstheme="minorHAnsi"/>
                <w:color w:val="000000"/>
                <w:sz w:val="20"/>
                <w:szCs w:val="20"/>
              </w:rPr>
              <w:t>2.8</w:t>
            </w:r>
          </w:p>
        </w:tc>
      </w:tr>
      <w:tr w:rsidR="00D907AF" w:rsidRPr="0087485F" w:rsidTr="008B5B06">
        <w:trPr>
          <w:tblHeader/>
        </w:trPr>
        <w:tc>
          <w:tcPr>
            <w:tcW w:w="3085" w:type="dxa"/>
            <w:shd w:val="clear" w:color="auto" w:fill="auto"/>
          </w:tcPr>
          <w:p w:rsidR="00D907AF" w:rsidRPr="0087485F" w:rsidRDefault="00D907AF" w:rsidP="00D907AF">
            <w:pPr>
              <w:spacing w:before="10" w:after="10"/>
              <w:rPr>
                <w:rFonts w:cstheme="minorHAnsi"/>
                <w:sz w:val="20"/>
                <w:szCs w:val="20"/>
              </w:rPr>
            </w:pPr>
            <w:r w:rsidRPr="0087485F">
              <w:rPr>
                <w:rFonts w:cstheme="minorHAnsi"/>
                <w:sz w:val="20"/>
                <w:szCs w:val="20"/>
              </w:rPr>
              <w:t>Other educational qualification</w:t>
            </w:r>
          </w:p>
        </w:tc>
        <w:tc>
          <w:tcPr>
            <w:tcW w:w="1490" w:type="dxa"/>
            <w:shd w:val="clear" w:color="auto" w:fill="auto"/>
          </w:tcPr>
          <w:p w:rsidR="00D907AF" w:rsidRPr="0087485F" w:rsidRDefault="00D907AF" w:rsidP="001E1DF1">
            <w:pPr>
              <w:spacing w:before="10" w:after="10"/>
              <w:ind w:right="454"/>
              <w:jc w:val="right"/>
              <w:rPr>
                <w:rFonts w:cstheme="minorHAnsi"/>
                <w:sz w:val="20"/>
                <w:szCs w:val="20"/>
              </w:rPr>
            </w:pPr>
            <w:r w:rsidRPr="0087485F">
              <w:rPr>
                <w:rFonts w:cstheme="minorHAnsi"/>
                <w:sz w:val="20"/>
                <w:szCs w:val="20"/>
              </w:rPr>
              <w:t>4</w:t>
            </w:r>
          </w:p>
        </w:tc>
        <w:tc>
          <w:tcPr>
            <w:tcW w:w="1345" w:type="dxa"/>
            <w:shd w:val="clear" w:color="auto" w:fill="auto"/>
            <w:vAlign w:val="center"/>
          </w:tcPr>
          <w:p w:rsidR="00D907AF" w:rsidRPr="0087485F" w:rsidRDefault="00D907AF" w:rsidP="00C53883">
            <w:pPr>
              <w:tabs>
                <w:tab w:val="decimal" w:pos="708"/>
              </w:tabs>
              <w:spacing w:before="10" w:after="10"/>
              <w:rPr>
                <w:rFonts w:cstheme="minorHAnsi"/>
                <w:color w:val="000000"/>
                <w:sz w:val="20"/>
                <w:szCs w:val="20"/>
              </w:rPr>
            </w:pPr>
            <w:r w:rsidRPr="0087485F">
              <w:rPr>
                <w:rFonts w:cstheme="minorHAnsi"/>
                <w:color w:val="000000"/>
                <w:sz w:val="20"/>
                <w:szCs w:val="20"/>
              </w:rPr>
              <w:t>3.7</w:t>
            </w:r>
          </w:p>
        </w:tc>
      </w:tr>
      <w:tr w:rsidR="00D907AF" w:rsidRPr="0087485F" w:rsidTr="008B5B06">
        <w:trPr>
          <w:tblHeader/>
        </w:trPr>
        <w:tc>
          <w:tcPr>
            <w:tcW w:w="3085" w:type="dxa"/>
            <w:shd w:val="clear" w:color="auto" w:fill="auto"/>
          </w:tcPr>
          <w:p w:rsidR="00D907AF" w:rsidRPr="0087485F" w:rsidRDefault="00D907AF" w:rsidP="00D907AF">
            <w:pPr>
              <w:spacing w:before="10" w:after="10"/>
              <w:rPr>
                <w:rFonts w:cstheme="minorHAnsi"/>
                <w:sz w:val="20"/>
                <w:szCs w:val="20"/>
              </w:rPr>
            </w:pPr>
            <w:r w:rsidRPr="0087485F">
              <w:rPr>
                <w:rFonts w:cstheme="minorHAnsi"/>
                <w:sz w:val="20"/>
                <w:szCs w:val="20"/>
              </w:rPr>
              <w:t>Apprenticeship/traineeship</w:t>
            </w:r>
          </w:p>
        </w:tc>
        <w:tc>
          <w:tcPr>
            <w:tcW w:w="1490" w:type="dxa"/>
            <w:shd w:val="clear" w:color="auto" w:fill="auto"/>
          </w:tcPr>
          <w:p w:rsidR="00D907AF" w:rsidRPr="0087485F" w:rsidRDefault="00D907AF" w:rsidP="001E1DF1">
            <w:pPr>
              <w:spacing w:before="10" w:after="10"/>
              <w:ind w:right="454"/>
              <w:jc w:val="right"/>
              <w:rPr>
                <w:rFonts w:cstheme="minorHAnsi"/>
                <w:sz w:val="20"/>
                <w:szCs w:val="20"/>
              </w:rPr>
            </w:pPr>
            <w:r w:rsidRPr="0087485F">
              <w:rPr>
                <w:rFonts w:cstheme="minorHAnsi"/>
                <w:sz w:val="20"/>
                <w:szCs w:val="20"/>
              </w:rPr>
              <w:t>1</w:t>
            </w:r>
          </w:p>
        </w:tc>
        <w:tc>
          <w:tcPr>
            <w:tcW w:w="1345" w:type="dxa"/>
            <w:shd w:val="clear" w:color="auto" w:fill="auto"/>
            <w:vAlign w:val="center"/>
          </w:tcPr>
          <w:p w:rsidR="00D907AF" w:rsidRPr="0087485F" w:rsidRDefault="00D907AF" w:rsidP="00C53883">
            <w:pPr>
              <w:tabs>
                <w:tab w:val="decimal" w:pos="708"/>
              </w:tabs>
              <w:spacing w:before="10" w:after="10"/>
              <w:rPr>
                <w:rFonts w:cstheme="minorHAnsi"/>
                <w:color w:val="000000"/>
                <w:sz w:val="20"/>
                <w:szCs w:val="20"/>
              </w:rPr>
            </w:pPr>
            <w:r w:rsidRPr="0087485F">
              <w:rPr>
                <w:rFonts w:cstheme="minorHAnsi"/>
                <w:color w:val="000000"/>
                <w:sz w:val="20"/>
                <w:szCs w:val="20"/>
              </w:rPr>
              <w:t>0.9</w:t>
            </w:r>
          </w:p>
        </w:tc>
      </w:tr>
      <w:tr w:rsidR="00D907AF" w:rsidRPr="0087485F" w:rsidTr="008B5B06">
        <w:trPr>
          <w:tblHeader/>
        </w:trPr>
        <w:tc>
          <w:tcPr>
            <w:tcW w:w="3085" w:type="dxa"/>
            <w:shd w:val="clear" w:color="auto" w:fill="auto"/>
          </w:tcPr>
          <w:p w:rsidR="00D907AF" w:rsidRPr="0087485F" w:rsidRDefault="00D907AF" w:rsidP="00D907AF">
            <w:pPr>
              <w:spacing w:before="10" w:after="10"/>
              <w:rPr>
                <w:rFonts w:cstheme="minorHAnsi"/>
                <w:sz w:val="20"/>
                <w:szCs w:val="20"/>
              </w:rPr>
            </w:pPr>
            <w:r w:rsidRPr="0087485F">
              <w:rPr>
                <w:rFonts w:cstheme="minorHAnsi"/>
                <w:sz w:val="20"/>
                <w:szCs w:val="20"/>
              </w:rPr>
              <w:t>Non-certified course</w:t>
            </w:r>
          </w:p>
        </w:tc>
        <w:tc>
          <w:tcPr>
            <w:tcW w:w="1490" w:type="dxa"/>
            <w:shd w:val="clear" w:color="auto" w:fill="auto"/>
          </w:tcPr>
          <w:p w:rsidR="00D907AF" w:rsidRPr="0087485F" w:rsidRDefault="00D907AF" w:rsidP="001E1DF1">
            <w:pPr>
              <w:spacing w:before="10" w:after="10"/>
              <w:ind w:right="454"/>
              <w:jc w:val="right"/>
              <w:rPr>
                <w:rFonts w:cstheme="minorHAnsi"/>
                <w:sz w:val="20"/>
                <w:szCs w:val="20"/>
              </w:rPr>
            </w:pPr>
            <w:r w:rsidRPr="0087485F">
              <w:rPr>
                <w:rFonts w:cstheme="minorHAnsi"/>
                <w:sz w:val="20"/>
                <w:szCs w:val="20"/>
              </w:rPr>
              <w:t>8</w:t>
            </w:r>
          </w:p>
        </w:tc>
        <w:tc>
          <w:tcPr>
            <w:tcW w:w="1345" w:type="dxa"/>
            <w:shd w:val="clear" w:color="auto" w:fill="auto"/>
            <w:vAlign w:val="center"/>
          </w:tcPr>
          <w:p w:rsidR="00D907AF" w:rsidRPr="0087485F" w:rsidRDefault="00D907AF" w:rsidP="00C53883">
            <w:pPr>
              <w:tabs>
                <w:tab w:val="decimal" w:pos="708"/>
              </w:tabs>
              <w:spacing w:before="10" w:after="10"/>
              <w:rPr>
                <w:rFonts w:cstheme="minorHAnsi"/>
                <w:color w:val="000000"/>
                <w:sz w:val="20"/>
                <w:szCs w:val="20"/>
              </w:rPr>
            </w:pPr>
            <w:r w:rsidRPr="0087485F">
              <w:rPr>
                <w:rFonts w:cstheme="minorHAnsi"/>
                <w:color w:val="000000"/>
                <w:sz w:val="20"/>
                <w:szCs w:val="20"/>
              </w:rPr>
              <w:t>7.5</w:t>
            </w:r>
          </w:p>
        </w:tc>
      </w:tr>
      <w:tr w:rsidR="00D907AF" w:rsidRPr="0087485F" w:rsidTr="008B5B06">
        <w:trPr>
          <w:tblHeader/>
        </w:trPr>
        <w:tc>
          <w:tcPr>
            <w:tcW w:w="3085" w:type="dxa"/>
            <w:shd w:val="clear" w:color="auto" w:fill="auto"/>
          </w:tcPr>
          <w:p w:rsidR="00D907AF" w:rsidRPr="0087485F" w:rsidRDefault="00D907AF" w:rsidP="00D907AF">
            <w:pPr>
              <w:spacing w:before="10" w:after="10"/>
              <w:rPr>
                <w:rFonts w:cstheme="minorHAnsi"/>
                <w:sz w:val="20"/>
                <w:szCs w:val="20"/>
              </w:rPr>
            </w:pPr>
            <w:r w:rsidRPr="0087485F">
              <w:rPr>
                <w:rFonts w:cstheme="minorHAnsi"/>
                <w:sz w:val="20"/>
                <w:szCs w:val="20"/>
              </w:rPr>
              <w:t>Something else</w:t>
            </w:r>
          </w:p>
        </w:tc>
        <w:tc>
          <w:tcPr>
            <w:tcW w:w="1490" w:type="dxa"/>
            <w:shd w:val="clear" w:color="auto" w:fill="auto"/>
          </w:tcPr>
          <w:p w:rsidR="00D907AF" w:rsidRPr="0087485F" w:rsidRDefault="00D907AF" w:rsidP="001E1DF1">
            <w:pPr>
              <w:spacing w:before="10" w:after="10"/>
              <w:ind w:right="454"/>
              <w:jc w:val="right"/>
              <w:rPr>
                <w:rFonts w:cstheme="minorHAnsi"/>
                <w:sz w:val="20"/>
                <w:szCs w:val="20"/>
              </w:rPr>
            </w:pPr>
            <w:r w:rsidRPr="0087485F">
              <w:rPr>
                <w:rFonts w:cstheme="minorHAnsi"/>
                <w:sz w:val="20"/>
                <w:szCs w:val="20"/>
              </w:rPr>
              <w:t>6</w:t>
            </w:r>
          </w:p>
        </w:tc>
        <w:tc>
          <w:tcPr>
            <w:tcW w:w="1345" w:type="dxa"/>
            <w:shd w:val="clear" w:color="auto" w:fill="auto"/>
            <w:vAlign w:val="center"/>
          </w:tcPr>
          <w:p w:rsidR="00D907AF" w:rsidRPr="0087485F" w:rsidRDefault="00D907AF" w:rsidP="00C53883">
            <w:pPr>
              <w:tabs>
                <w:tab w:val="decimal" w:pos="708"/>
              </w:tabs>
              <w:spacing w:before="10" w:after="10"/>
              <w:rPr>
                <w:rFonts w:cstheme="minorHAnsi"/>
                <w:color w:val="000000"/>
                <w:sz w:val="20"/>
                <w:szCs w:val="20"/>
              </w:rPr>
            </w:pPr>
            <w:r w:rsidRPr="0087485F">
              <w:rPr>
                <w:rFonts w:cstheme="minorHAnsi"/>
                <w:color w:val="000000"/>
                <w:sz w:val="20"/>
                <w:szCs w:val="20"/>
              </w:rPr>
              <w:t>5.6</w:t>
            </w:r>
          </w:p>
        </w:tc>
      </w:tr>
      <w:tr w:rsidR="00D907AF" w:rsidRPr="0087485F" w:rsidTr="008B5B06">
        <w:trPr>
          <w:tblHeader/>
        </w:trPr>
        <w:tc>
          <w:tcPr>
            <w:tcW w:w="3085" w:type="dxa"/>
          </w:tcPr>
          <w:p w:rsidR="00D907AF" w:rsidRPr="0087485F" w:rsidRDefault="00D907AF" w:rsidP="00D907AF">
            <w:pPr>
              <w:spacing w:before="10" w:after="10"/>
              <w:rPr>
                <w:rFonts w:cstheme="minorHAnsi"/>
                <w:sz w:val="20"/>
                <w:szCs w:val="20"/>
              </w:rPr>
            </w:pPr>
            <w:r w:rsidRPr="0087485F">
              <w:rPr>
                <w:rFonts w:cstheme="minorHAnsi"/>
                <w:sz w:val="20"/>
                <w:szCs w:val="20"/>
              </w:rPr>
              <w:t>Don’t know</w:t>
            </w:r>
          </w:p>
        </w:tc>
        <w:tc>
          <w:tcPr>
            <w:tcW w:w="1490" w:type="dxa"/>
          </w:tcPr>
          <w:p w:rsidR="00D907AF" w:rsidRPr="0087485F" w:rsidRDefault="00D907AF" w:rsidP="001E1DF1">
            <w:pPr>
              <w:spacing w:before="10" w:after="10"/>
              <w:ind w:right="454"/>
              <w:jc w:val="right"/>
              <w:rPr>
                <w:rFonts w:cstheme="minorHAnsi"/>
                <w:sz w:val="20"/>
                <w:szCs w:val="20"/>
              </w:rPr>
            </w:pPr>
            <w:r w:rsidRPr="0087485F">
              <w:rPr>
                <w:rFonts w:cstheme="minorHAnsi"/>
                <w:sz w:val="20"/>
                <w:szCs w:val="20"/>
              </w:rPr>
              <w:t>3</w:t>
            </w:r>
          </w:p>
        </w:tc>
        <w:tc>
          <w:tcPr>
            <w:tcW w:w="1345" w:type="dxa"/>
          </w:tcPr>
          <w:p w:rsidR="00D907AF" w:rsidRPr="0087485F" w:rsidRDefault="00D907AF" w:rsidP="00C53883">
            <w:pPr>
              <w:tabs>
                <w:tab w:val="decimal" w:pos="708"/>
              </w:tabs>
              <w:spacing w:before="10" w:after="10"/>
              <w:rPr>
                <w:rFonts w:cstheme="minorHAnsi"/>
                <w:color w:val="000000"/>
                <w:sz w:val="20"/>
                <w:szCs w:val="20"/>
              </w:rPr>
            </w:pPr>
            <w:r w:rsidRPr="0087485F">
              <w:rPr>
                <w:rFonts w:cstheme="minorHAnsi"/>
                <w:color w:val="000000"/>
                <w:sz w:val="20"/>
                <w:szCs w:val="20"/>
              </w:rPr>
              <w:t>2.8</w:t>
            </w:r>
          </w:p>
        </w:tc>
      </w:tr>
      <w:tr w:rsidR="00D907AF" w:rsidRPr="0087485F" w:rsidTr="008B5B06">
        <w:trPr>
          <w:tblHeader/>
        </w:trPr>
        <w:tc>
          <w:tcPr>
            <w:tcW w:w="3085" w:type="dxa"/>
            <w:tcBorders>
              <w:bottom w:val="single" w:sz="4" w:space="0" w:color="auto"/>
            </w:tcBorders>
            <w:shd w:val="clear" w:color="auto" w:fill="auto"/>
          </w:tcPr>
          <w:p w:rsidR="00D907AF" w:rsidRPr="0087485F" w:rsidRDefault="00D907AF" w:rsidP="00D907AF">
            <w:pPr>
              <w:spacing w:before="10" w:after="10"/>
              <w:rPr>
                <w:rFonts w:cstheme="minorHAnsi"/>
                <w:sz w:val="20"/>
                <w:szCs w:val="20"/>
              </w:rPr>
            </w:pPr>
            <w:r w:rsidRPr="0087485F">
              <w:rPr>
                <w:rFonts w:cstheme="minorHAnsi"/>
                <w:sz w:val="20"/>
                <w:szCs w:val="20"/>
              </w:rPr>
              <w:t xml:space="preserve">Missing </w:t>
            </w:r>
          </w:p>
        </w:tc>
        <w:tc>
          <w:tcPr>
            <w:tcW w:w="1490" w:type="dxa"/>
            <w:tcBorders>
              <w:bottom w:val="single" w:sz="4" w:space="0" w:color="auto"/>
            </w:tcBorders>
            <w:shd w:val="clear" w:color="auto" w:fill="auto"/>
          </w:tcPr>
          <w:p w:rsidR="00D907AF" w:rsidRPr="0087485F" w:rsidRDefault="00D907AF" w:rsidP="001E1DF1">
            <w:pPr>
              <w:spacing w:before="10" w:after="10"/>
              <w:ind w:right="454"/>
              <w:jc w:val="right"/>
              <w:rPr>
                <w:rFonts w:cstheme="minorHAnsi"/>
                <w:sz w:val="20"/>
                <w:szCs w:val="20"/>
              </w:rPr>
            </w:pPr>
            <w:r w:rsidRPr="0087485F">
              <w:rPr>
                <w:rFonts w:cstheme="minorHAnsi"/>
                <w:sz w:val="20"/>
                <w:szCs w:val="20"/>
              </w:rPr>
              <w:t>2</w:t>
            </w:r>
          </w:p>
        </w:tc>
        <w:tc>
          <w:tcPr>
            <w:tcW w:w="1345" w:type="dxa"/>
            <w:tcBorders>
              <w:bottom w:val="single" w:sz="4" w:space="0" w:color="auto"/>
            </w:tcBorders>
            <w:shd w:val="clear" w:color="auto" w:fill="auto"/>
            <w:vAlign w:val="center"/>
          </w:tcPr>
          <w:p w:rsidR="00D907AF" w:rsidRPr="0087485F" w:rsidRDefault="00D907AF" w:rsidP="00C53883">
            <w:pPr>
              <w:tabs>
                <w:tab w:val="decimal" w:pos="708"/>
              </w:tabs>
              <w:spacing w:before="10" w:after="10"/>
              <w:rPr>
                <w:rFonts w:cstheme="minorHAnsi"/>
                <w:color w:val="000000"/>
                <w:sz w:val="20"/>
                <w:szCs w:val="20"/>
              </w:rPr>
            </w:pPr>
            <w:r w:rsidRPr="0087485F">
              <w:rPr>
                <w:rFonts w:cstheme="minorHAnsi"/>
                <w:color w:val="000000"/>
                <w:sz w:val="20"/>
                <w:szCs w:val="20"/>
              </w:rPr>
              <w:t>1.9</w:t>
            </w:r>
          </w:p>
        </w:tc>
      </w:tr>
      <w:tr w:rsidR="00D907AF" w:rsidRPr="0087485F" w:rsidTr="008B5B06">
        <w:trPr>
          <w:tblHeader/>
        </w:trPr>
        <w:tc>
          <w:tcPr>
            <w:tcW w:w="3085" w:type="dxa"/>
            <w:tcBorders>
              <w:top w:val="single" w:sz="4" w:space="0" w:color="auto"/>
              <w:bottom w:val="single" w:sz="4" w:space="0" w:color="auto"/>
            </w:tcBorders>
            <w:shd w:val="clear" w:color="auto" w:fill="auto"/>
          </w:tcPr>
          <w:p w:rsidR="00D907AF" w:rsidRPr="0087485F" w:rsidRDefault="00D907AF" w:rsidP="00D907AF">
            <w:pPr>
              <w:spacing w:before="10" w:after="10"/>
              <w:rPr>
                <w:rFonts w:cstheme="minorHAnsi"/>
                <w:b/>
                <w:sz w:val="20"/>
                <w:szCs w:val="20"/>
              </w:rPr>
            </w:pPr>
            <w:r w:rsidRPr="0087485F">
              <w:rPr>
                <w:rFonts w:cstheme="minorHAnsi"/>
                <w:b/>
                <w:sz w:val="20"/>
                <w:szCs w:val="20"/>
              </w:rPr>
              <w:t>Total</w:t>
            </w:r>
          </w:p>
        </w:tc>
        <w:tc>
          <w:tcPr>
            <w:tcW w:w="1490" w:type="dxa"/>
            <w:tcBorders>
              <w:top w:val="single" w:sz="4" w:space="0" w:color="auto"/>
              <w:bottom w:val="single" w:sz="4" w:space="0" w:color="auto"/>
            </w:tcBorders>
            <w:shd w:val="clear" w:color="auto" w:fill="auto"/>
          </w:tcPr>
          <w:p w:rsidR="00D907AF" w:rsidRPr="0087485F" w:rsidRDefault="00D907AF" w:rsidP="001E1DF1">
            <w:pPr>
              <w:spacing w:before="10" w:after="10"/>
              <w:ind w:right="454"/>
              <w:jc w:val="right"/>
              <w:rPr>
                <w:rFonts w:cstheme="minorHAnsi"/>
                <w:b/>
                <w:sz w:val="20"/>
                <w:szCs w:val="20"/>
              </w:rPr>
            </w:pPr>
            <w:r w:rsidRPr="0087485F">
              <w:rPr>
                <w:rFonts w:cstheme="minorHAnsi"/>
                <w:b/>
                <w:sz w:val="20"/>
                <w:szCs w:val="20"/>
              </w:rPr>
              <w:t>107</w:t>
            </w:r>
          </w:p>
        </w:tc>
        <w:tc>
          <w:tcPr>
            <w:tcW w:w="1345" w:type="dxa"/>
            <w:tcBorders>
              <w:top w:val="single" w:sz="4" w:space="0" w:color="auto"/>
              <w:bottom w:val="single" w:sz="4" w:space="0" w:color="auto"/>
            </w:tcBorders>
            <w:shd w:val="clear" w:color="auto" w:fill="auto"/>
          </w:tcPr>
          <w:p w:rsidR="00D907AF" w:rsidRPr="0087485F" w:rsidRDefault="00D907AF" w:rsidP="00C53883">
            <w:pPr>
              <w:tabs>
                <w:tab w:val="decimal" w:pos="850"/>
              </w:tabs>
              <w:spacing w:before="10" w:after="10"/>
              <w:rPr>
                <w:rFonts w:cstheme="minorHAnsi"/>
                <w:b/>
                <w:sz w:val="20"/>
                <w:szCs w:val="20"/>
              </w:rPr>
            </w:pPr>
            <w:r w:rsidRPr="0087485F">
              <w:rPr>
                <w:rFonts w:cstheme="minorHAnsi"/>
                <w:b/>
                <w:sz w:val="20"/>
                <w:szCs w:val="20"/>
              </w:rPr>
              <w:t>100</w:t>
            </w:r>
          </w:p>
        </w:tc>
      </w:tr>
    </w:tbl>
    <w:p w:rsidR="00D907AF" w:rsidRPr="00B01305" w:rsidRDefault="00D907AF" w:rsidP="001032EF">
      <w:pPr>
        <w:pStyle w:val="NILSReference"/>
      </w:pPr>
      <w:r w:rsidRPr="00B01305">
        <w:t xml:space="preserve">Note: </w:t>
      </w:r>
      <w:r>
        <w:t xml:space="preserve">trial and comparison aged </w:t>
      </w:r>
      <w:r w:rsidRPr="00B01305">
        <w:t xml:space="preserve">16 years and </w:t>
      </w:r>
      <w:r>
        <w:t>above</w:t>
      </w:r>
      <w:r w:rsidRPr="00B01305">
        <w:t xml:space="preserve"> in education (post-school)</w:t>
      </w:r>
    </w:p>
    <w:p w:rsidR="005B2D5F" w:rsidRDefault="005B2D5F" w:rsidP="00D907AF">
      <w:pPr>
        <w:rPr>
          <w:rFonts w:cstheme="minorHAnsi"/>
        </w:rPr>
      </w:pPr>
    </w:p>
    <w:p w:rsidR="00D907AF" w:rsidRDefault="00D907AF" w:rsidP="00D907AF">
      <w:pPr>
        <w:rPr>
          <w:rFonts w:cstheme="minorHAnsi"/>
        </w:rPr>
      </w:pPr>
      <w:r w:rsidRPr="00714777">
        <w:rPr>
          <w:rFonts w:cstheme="minorHAnsi"/>
        </w:rPr>
        <w:t xml:space="preserve">The </w:t>
      </w:r>
      <w:r>
        <w:rPr>
          <w:rFonts w:cstheme="minorHAnsi"/>
        </w:rPr>
        <w:t xml:space="preserve">school </w:t>
      </w:r>
      <w:r w:rsidRPr="00714777">
        <w:rPr>
          <w:rFonts w:cstheme="minorHAnsi"/>
        </w:rPr>
        <w:t xml:space="preserve">year of current study is also collected as an indication of the present education status and achievement and in order to be compared with that of future samplings. Progression is an indication of successful education participation and the data presented in </w:t>
      </w:r>
      <w:r w:rsidRPr="00E852D5">
        <w:rPr>
          <w:rFonts w:cstheme="minorHAnsi"/>
        </w:rPr>
        <w:t>Table 3.2</w:t>
      </w:r>
      <w:r>
        <w:rPr>
          <w:rFonts w:cstheme="minorHAnsi"/>
        </w:rPr>
        <w:t>8</w:t>
      </w:r>
      <w:r w:rsidRPr="00714777">
        <w:rPr>
          <w:rFonts w:cstheme="minorHAnsi"/>
        </w:rPr>
        <w:t xml:space="preserve"> </w:t>
      </w:r>
      <w:r>
        <w:rPr>
          <w:rFonts w:cstheme="minorHAnsi"/>
        </w:rPr>
        <w:t xml:space="preserve">provides us with the benchmark from which we will judge progress through the next wave of data collection. We </w:t>
      </w:r>
      <w:r w:rsidRPr="00714777">
        <w:rPr>
          <w:rFonts w:cstheme="minorHAnsi"/>
        </w:rPr>
        <w:t xml:space="preserve">will </w:t>
      </w:r>
      <w:r>
        <w:rPr>
          <w:rFonts w:cstheme="minorHAnsi"/>
        </w:rPr>
        <w:t>not only observe how each person with disability presently attending education has progressed, but will also see what other factors are more strongly associated with this progression and how people with disability perceive their education progression. It is well-established that education has a ‘consumption value’, in that it can also confer personal quality of life benefits (over and above labour market improvements) which make studying a worthwhile activity for people. The data we collect will allow us to make such judgements about people with disability and education. The lower the labour market prospects from an educational pathway, the more important the ‘consumption value’ element of it will be.</w:t>
      </w:r>
    </w:p>
    <w:p w:rsidR="005B2D5F" w:rsidRDefault="005B2D5F" w:rsidP="00D907AF">
      <w:pPr>
        <w:rPr>
          <w:rFonts w:cstheme="minorHAnsi"/>
        </w:rPr>
      </w:pPr>
    </w:p>
    <w:p w:rsidR="00D907AF" w:rsidRPr="00233E8A" w:rsidRDefault="00D907AF" w:rsidP="0044684E">
      <w:pPr>
        <w:pStyle w:val="NILSTableHeading"/>
      </w:pPr>
      <w:bookmarkStart w:id="277" w:name="_Toc428280680"/>
      <w:bookmarkStart w:id="278" w:name="_Toc449955291"/>
      <w:r w:rsidRPr="00233E8A">
        <w:t>Table 3.</w:t>
      </w:r>
      <w:r w:rsidRPr="00233E8A">
        <w:rPr>
          <w:rFonts w:hint="eastAsia"/>
        </w:rPr>
        <w:t>2</w:t>
      </w:r>
      <w:r>
        <w:t>8</w:t>
      </w:r>
      <w:r w:rsidRPr="00233E8A">
        <w:t xml:space="preserve">: </w:t>
      </w:r>
      <w:r w:rsidRPr="00233E8A">
        <w:rPr>
          <w:rFonts w:hint="eastAsia"/>
        </w:rPr>
        <w:t>What year are you currently in</w:t>
      </w:r>
      <w:r>
        <w:t>?</w:t>
      </w:r>
      <w:bookmarkEnd w:id="277"/>
      <w:bookmarkEnd w:id="278"/>
    </w:p>
    <w:tbl>
      <w:tblPr>
        <w:tblStyle w:val="TableGrid"/>
        <w:tblW w:w="9180" w:type="dxa"/>
        <w:tblLayout w:type="fixed"/>
        <w:tblLook w:val="04A0" w:firstRow="1" w:lastRow="0" w:firstColumn="1" w:lastColumn="0" w:noHBand="0" w:noVBand="1"/>
        <w:tblCaption w:val="Table 3.28  What year are you currently in?"/>
      </w:tblPr>
      <w:tblGrid>
        <w:gridCol w:w="2660"/>
        <w:gridCol w:w="1275"/>
        <w:gridCol w:w="1276"/>
        <w:gridCol w:w="779"/>
        <w:gridCol w:w="1206"/>
        <w:gridCol w:w="920"/>
        <w:gridCol w:w="1064"/>
      </w:tblGrid>
      <w:tr w:rsidR="001A4E80" w:rsidRPr="0087485F" w:rsidTr="00973989">
        <w:trPr>
          <w:tblHeader/>
        </w:trPr>
        <w:tc>
          <w:tcPr>
            <w:tcW w:w="2660" w:type="dxa"/>
            <w:tcBorders>
              <w:top w:val="single" w:sz="4" w:space="0" w:color="auto"/>
              <w:bottom w:val="single" w:sz="4" w:space="0" w:color="auto"/>
            </w:tcBorders>
            <w:shd w:val="clear" w:color="auto" w:fill="auto"/>
            <w:vAlign w:val="center"/>
          </w:tcPr>
          <w:p w:rsidR="00900D95" w:rsidRPr="0087485F" w:rsidRDefault="00900D95" w:rsidP="004E203E">
            <w:pPr>
              <w:spacing w:before="8" w:after="8"/>
              <w:rPr>
                <w:rFonts w:cstheme="minorHAnsi"/>
                <w:sz w:val="20"/>
                <w:szCs w:val="20"/>
              </w:rPr>
            </w:pPr>
            <w:bookmarkStart w:id="279" w:name="Title_3_28"/>
            <w:bookmarkEnd w:id="279"/>
          </w:p>
        </w:tc>
        <w:tc>
          <w:tcPr>
            <w:tcW w:w="1275" w:type="dxa"/>
            <w:tcBorders>
              <w:top w:val="single" w:sz="4" w:space="0" w:color="auto"/>
              <w:bottom w:val="single" w:sz="4" w:space="0" w:color="auto"/>
            </w:tcBorders>
            <w:shd w:val="clear" w:color="auto" w:fill="auto"/>
          </w:tcPr>
          <w:p w:rsidR="00900D95" w:rsidRPr="0087485F" w:rsidRDefault="00900D95" w:rsidP="00366AEA">
            <w:pPr>
              <w:spacing w:before="8" w:after="8"/>
              <w:jc w:val="center"/>
              <w:rPr>
                <w:rFonts w:cstheme="minorHAnsi"/>
                <w:sz w:val="20"/>
                <w:szCs w:val="20"/>
              </w:rPr>
            </w:pPr>
            <w:r w:rsidRPr="0087485F">
              <w:rPr>
                <w:rFonts w:cstheme="minorHAnsi"/>
                <w:sz w:val="20"/>
                <w:szCs w:val="20"/>
              </w:rPr>
              <w:t>Children</w:t>
            </w:r>
          </w:p>
          <w:p w:rsidR="00900D95" w:rsidRPr="0087485F" w:rsidRDefault="00900D95" w:rsidP="00884536">
            <w:pPr>
              <w:spacing w:before="8" w:after="8"/>
              <w:ind w:left="-108" w:right="-108"/>
              <w:jc w:val="center"/>
              <w:rPr>
                <w:rFonts w:cstheme="minorHAnsi"/>
                <w:sz w:val="20"/>
                <w:szCs w:val="20"/>
              </w:rPr>
            </w:pPr>
            <w:r w:rsidRPr="0087485F">
              <w:rPr>
                <w:rFonts w:cstheme="minorHAnsi"/>
                <w:sz w:val="20"/>
                <w:szCs w:val="20"/>
              </w:rPr>
              <w:t>3</w:t>
            </w:r>
            <w:r w:rsidR="00366AEA">
              <w:rPr>
                <w:rFonts w:cstheme="minorHAnsi"/>
                <w:sz w:val="20"/>
                <w:szCs w:val="20"/>
              </w:rPr>
              <w:t xml:space="preserve"> to </w:t>
            </w:r>
            <w:r w:rsidRPr="0087485F">
              <w:rPr>
                <w:rFonts w:cstheme="minorHAnsi"/>
                <w:sz w:val="20"/>
                <w:szCs w:val="20"/>
              </w:rPr>
              <w:t>15 years</w:t>
            </w:r>
            <w:r w:rsidR="00DF1C4C">
              <w:rPr>
                <w:rFonts w:cstheme="minorHAnsi"/>
                <w:sz w:val="20"/>
                <w:szCs w:val="20"/>
              </w:rPr>
              <w:t xml:space="preserve"> Cases</w:t>
            </w:r>
          </w:p>
        </w:tc>
        <w:tc>
          <w:tcPr>
            <w:tcW w:w="1276" w:type="dxa"/>
            <w:tcBorders>
              <w:top w:val="single" w:sz="4" w:space="0" w:color="auto"/>
              <w:bottom w:val="single" w:sz="4" w:space="0" w:color="auto"/>
            </w:tcBorders>
            <w:shd w:val="clear" w:color="auto" w:fill="auto"/>
          </w:tcPr>
          <w:p w:rsidR="00E71FDF" w:rsidRPr="00CB47F5" w:rsidRDefault="00E71FDF" w:rsidP="00366AEA">
            <w:pPr>
              <w:spacing w:before="8" w:after="8"/>
              <w:jc w:val="center"/>
              <w:rPr>
                <w:rFonts w:cstheme="minorHAnsi"/>
                <w:sz w:val="20"/>
                <w:szCs w:val="20"/>
              </w:rPr>
            </w:pPr>
            <w:r>
              <w:rPr>
                <w:rFonts w:cstheme="minorHAnsi"/>
                <w:sz w:val="20"/>
                <w:szCs w:val="20"/>
              </w:rPr>
              <w:t>Children</w:t>
            </w:r>
          </w:p>
          <w:p w:rsidR="001609EE" w:rsidRDefault="00CB47F5" w:rsidP="00884536">
            <w:pPr>
              <w:spacing w:before="8" w:after="8"/>
              <w:ind w:left="-108" w:right="-108"/>
              <w:jc w:val="center"/>
              <w:rPr>
                <w:rFonts w:cstheme="minorHAnsi"/>
                <w:sz w:val="20"/>
                <w:szCs w:val="20"/>
              </w:rPr>
            </w:pPr>
            <w:r w:rsidRPr="00CB47F5">
              <w:rPr>
                <w:rFonts w:cstheme="minorHAnsi"/>
                <w:sz w:val="20"/>
                <w:szCs w:val="20"/>
              </w:rPr>
              <w:t>3</w:t>
            </w:r>
            <w:r w:rsidR="00366AEA">
              <w:rPr>
                <w:rFonts w:cstheme="minorHAnsi"/>
                <w:sz w:val="20"/>
                <w:szCs w:val="20"/>
              </w:rPr>
              <w:t xml:space="preserve"> to </w:t>
            </w:r>
            <w:r w:rsidRPr="00CB47F5">
              <w:rPr>
                <w:rFonts w:cstheme="minorHAnsi"/>
                <w:sz w:val="20"/>
                <w:szCs w:val="20"/>
              </w:rPr>
              <w:t>15 years</w:t>
            </w:r>
            <w:r w:rsidR="00802EA9">
              <w:rPr>
                <w:rFonts w:cstheme="minorHAnsi"/>
                <w:sz w:val="20"/>
                <w:szCs w:val="20"/>
              </w:rPr>
              <w:t xml:space="preserve"> </w:t>
            </w:r>
          </w:p>
          <w:p w:rsidR="00900D95" w:rsidRPr="0087485F" w:rsidRDefault="00802EA9" w:rsidP="00884536">
            <w:pPr>
              <w:spacing w:before="8" w:after="8"/>
              <w:ind w:left="-108" w:right="-108"/>
              <w:jc w:val="center"/>
              <w:rPr>
                <w:rFonts w:cstheme="minorHAnsi"/>
                <w:sz w:val="20"/>
                <w:szCs w:val="20"/>
              </w:rPr>
            </w:pPr>
            <w:r>
              <w:rPr>
                <w:rFonts w:cstheme="minorHAnsi"/>
                <w:sz w:val="20"/>
                <w:szCs w:val="20"/>
              </w:rPr>
              <w:t>%</w:t>
            </w:r>
          </w:p>
        </w:tc>
        <w:tc>
          <w:tcPr>
            <w:tcW w:w="779" w:type="dxa"/>
            <w:tcBorders>
              <w:top w:val="single" w:sz="4" w:space="0" w:color="auto"/>
              <w:bottom w:val="single" w:sz="4" w:space="0" w:color="auto"/>
            </w:tcBorders>
            <w:shd w:val="clear" w:color="auto" w:fill="auto"/>
          </w:tcPr>
          <w:p w:rsidR="00900D95" w:rsidRPr="0087485F" w:rsidRDefault="00900D95" w:rsidP="00366AEA">
            <w:pPr>
              <w:spacing w:before="8" w:after="8"/>
              <w:jc w:val="center"/>
              <w:rPr>
                <w:rFonts w:cstheme="minorHAnsi"/>
                <w:sz w:val="20"/>
                <w:szCs w:val="20"/>
              </w:rPr>
            </w:pPr>
            <w:r w:rsidRPr="0087485F">
              <w:rPr>
                <w:rFonts w:cstheme="minorHAnsi"/>
                <w:sz w:val="20"/>
                <w:szCs w:val="20"/>
              </w:rPr>
              <w:t>Adults</w:t>
            </w:r>
          </w:p>
          <w:p w:rsidR="00900D95" w:rsidRPr="0087485F" w:rsidRDefault="00900D95" w:rsidP="002C2C86">
            <w:pPr>
              <w:spacing w:before="8" w:after="8"/>
              <w:jc w:val="center"/>
              <w:rPr>
                <w:rFonts w:cstheme="minorHAnsi"/>
                <w:sz w:val="20"/>
                <w:szCs w:val="20"/>
              </w:rPr>
            </w:pPr>
            <w:r w:rsidRPr="0087485F">
              <w:rPr>
                <w:rFonts w:cstheme="minorHAnsi"/>
                <w:sz w:val="20"/>
                <w:szCs w:val="20"/>
              </w:rPr>
              <w:t>16+</w:t>
            </w:r>
            <w:r w:rsidR="00DF1C4C">
              <w:rPr>
                <w:rFonts w:cstheme="minorHAnsi"/>
                <w:sz w:val="20"/>
                <w:szCs w:val="20"/>
              </w:rPr>
              <w:t xml:space="preserve"> Cases</w:t>
            </w:r>
          </w:p>
        </w:tc>
        <w:tc>
          <w:tcPr>
            <w:tcW w:w="1206" w:type="dxa"/>
            <w:tcBorders>
              <w:top w:val="single" w:sz="4" w:space="0" w:color="auto"/>
              <w:bottom w:val="single" w:sz="4" w:space="0" w:color="auto"/>
            </w:tcBorders>
            <w:shd w:val="clear" w:color="auto" w:fill="auto"/>
          </w:tcPr>
          <w:p w:rsidR="00E71FDF" w:rsidRPr="0087485F" w:rsidRDefault="00E71FDF" w:rsidP="00366AEA">
            <w:pPr>
              <w:spacing w:before="8" w:after="8"/>
              <w:jc w:val="center"/>
              <w:rPr>
                <w:rFonts w:cstheme="minorHAnsi"/>
                <w:sz w:val="20"/>
                <w:szCs w:val="20"/>
              </w:rPr>
            </w:pPr>
            <w:r>
              <w:rPr>
                <w:rFonts w:cstheme="minorHAnsi"/>
                <w:sz w:val="20"/>
                <w:szCs w:val="20"/>
              </w:rPr>
              <w:t>Adults</w:t>
            </w:r>
          </w:p>
          <w:p w:rsidR="00366AEA" w:rsidRDefault="00CB47F5" w:rsidP="00366AEA">
            <w:pPr>
              <w:spacing w:before="8" w:after="8"/>
              <w:jc w:val="center"/>
              <w:rPr>
                <w:rFonts w:cstheme="minorHAnsi"/>
                <w:sz w:val="20"/>
                <w:szCs w:val="20"/>
              </w:rPr>
            </w:pPr>
            <w:r w:rsidRPr="0087485F">
              <w:rPr>
                <w:rFonts w:cstheme="minorHAnsi"/>
                <w:sz w:val="20"/>
                <w:szCs w:val="20"/>
              </w:rPr>
              <w:t>16+</w:t>
            </w:r>
          </w:p>
          <w:p w:rsidR="00900D95" w:rsidRPr="0087485F" w:rsidRDefault="00802EA9" w:rsidP="00366AEA">
            <w:pPr>
              <w:spacing w:before="8" w:after="8"/>
              <w:jc w:val="center"/>
              <w:rPr>
                <w:rFonts w:cstheme="minorHAnsi"/>
                <w:sz w:val="20"/>
                <w:szCs w:val="20"/>
              </w:rPr>
            </w:pPr>
            <w:r>
              <w:rPr>
                <w:rFonts w:cstheme="minorHAnsi"/>
                <w:sz w:val="20"/>
                <w:szCs w:val="20"/>
              </w:rPr>
              <w:t>%</w:t>
            </w:r>
          </w:p>
        </w:tc>
        <w:tc>
          <w:tcPr>
            <w:tcW w:w="920" w:type="dxa"/>
            <w:tcBorders>
              <w:top w:val="single" w:sz="4" w:space="0" w:color="auto"/>
              <w:bottom w:val="single" w:sz="4" w:space="0" w:color="auto"/>
            </w:tcBorders>
            <w:shd w:val="clear" w:color="auto" w:fill="auto"/>
            <w:vAlign w:val="bottom"/>
          </w:tcPr>
          <w:p w:rsidR="00900D95" w:rsidRPr="0087485F" w:rsidRDefault="00900D95" w:rsidP="00DF1C4C">
            <w:pPr>
              <w:spacing w:before="8" w:after="8"/>
              <w:jc w:val="center"/>
              <w:rPr>
                <w:rFonts w:cstheme="minorHAnsi"/>
                <w:sz w:val="20"/>
                <w:szCs w:val="20"/>
              </w:rPr>
            </w:pPr>
            <w:r w:rsidRPr="0087485F">
              <w:rPr>
                <w:rFonts w:cstheme="minorHAnsi"/>
                <w:sz w:val="20"/>
                <w:szCs w:val="20"/>
              </w:rPr>
              <w:t>Tota</w:t>
            </w:r>
            <w:r w:rsidR="00DF1C4C">
              <w:rPr>
                <w:rFonts w:cstheme="minorHAnsi"/>
                <w:sz w:val="20"/>
                <w:szCs w:val="20"/>
              </w:rPr>
              <w:t>l Cases</w:t>
            </w:r>
          </w:p>
        </w:tc>
        <w:tc>
          <w:tcPr>
            <w:tcW w:w="1064" w:type="dxa"/>
            <w:tcBorders>
              <w:top w:val="single" w:sz="4" w:space="0" w:color="auto"/>
              <w:bottom w:val="single" w:sz="4" w:space="0" w:color="auto"/>
            </w:tcBorders>
            <w:shd w:val="clear" w:color="auto" w:fill="auto"/>
            <w:vAlign w:val="bottom"/>
          </w:tcPr>
          <w:p w:rsidR="00366AEA" w:rsidRDefault="00CB47F5" w:rsidP="001609EE">
            <w:pPr>
              <w:spacing w:before="8" w:after="8"/>
              <w:jc w:val="center"/>
              <w:rPr>
                <w:rFonts w:cstheme="minorHAnsi"/>
                <w:sz w:val="20"/>
                <w:szCs w:val="20"/>
              </w:rPr>
            </w:pPr>
            <w:r>
              <w:rPr>
                <w:rFonts w:cstheme="minorHAnsi"/>
                <w:sz w:val="20"/>
                <w:szCs w:val="20"/>
              </w:rPr>
              <w:t>Total</w:t>
            </w:r>
          </w:p>
          <w:p w:rsidR="00900D95" w:rsidRPr="0087485F" w:rsidRDefault="00802EA9" w:rsidP="001609EE">
            <w:pPr>
              <w:spacing w:before="8" w:after="8"/>
              <w:jc w:val="center"/>
              <w:rPr>
                <w:rFonts w:cstheme="minorHAnsi"/>
                <w:sz w:val="20"/>
                <w:szCs w:val="20"/>
              </w:rPr>
            </w:pPr>
            <w:r>
              <w:rPr>
                <w:rFonts w:cstheme="minorHAnsi"/>
                <w:sz w:val="20"/>
                <w:szCs w:val="20"/>
              </w:rPr>
              <w:t>%</w:t>
            </w:r>
          </w:p>
        </w:tc>
      </w:tr>
      <w:tr w:rsidR="001A4E80" w:rsidRPr="0087485F" w:rsidTr="00973989">
        <w:tc>
          <w:tcPr>
            <w:tcW w:w="2660" w:type="dxa"/>
            <w:shd w:val="clear" w:color="auto" w:fill="auto"/>
          </w:tcPr>
          <w:p w:rsidR="00D907AF" w:rsidRPr="0087485F" w:rsidRDefault="00D27C6A" w:rsidP="00A67DB2">
            <w:pPr>
              <w:spacing w:before="8" w:after="8"/>
              <w:rPr>
                <w:rFonts w:cstheme="minorHAnsi"/>
                <w:sz w:val="20"/>
                <w:szCs w:val="20"/>
              </w:rPr>
            </w:pPr>
            <w:r>
              <w:rPr>
                <w:rFonts w:cstheme="minorHAnsi"/>
                <w:sz w:val="20"/>
                <w:szCs w:val="20"/>
              </w:rPr>
              <w:t xml:space="preserve">Year/Grade 1 (3 to </w:t>
            </w:r>
            <w:r w:rsidR="00D907AF" w:rsidRPr="0087485F">
              <w:rPr>
                <w:rFonts w:cstheme="minorHAnsi"/>
                <w:sz w:val="20"/>
                <w:szCs w:val="20"/>
              </w:rPr>
              <w:t>15 only)</w:t>
            </w:r>
          </w:p>
        </w:tc>
        <w:tc>
          <w:tcPr>
            <w:tcW w:w="1275" w:type="dxa"/>
            <w:shd w:val="clear" w:color="auto" w:fill="auto"/>
            <w:vAlign w:val="center"/>
          </w:tcPr>
          <w:p w:rsidR="00D907AF" w:rsidRPr="0087485F" w:rsidRDefault="00D907AF" w:rsidP="00693109">
            <w:pPr>
              <w:spacing w:before="8" w:after="8"/>
              <w:ind w:right="340"/>
              <w:jc w:val="right"/>
              <w:rPr>
                <w:rFonts w:cstheme="minorHAnsi"/>
                <w:color w:val="000000"/>
                <w:sz w:val="20"/>
                <w:szCs w:val="20"/>
              </w:rPr>
            </w:pPr>
            <w:r w:rsidRPr="0087485F">
              <w:rPr>
                <w:rFonts w:cstheme="minorHAnsi"/>
                <w:color w:val="000000"/>
                <w:sz w:val="20"/>
                <w:szCs w:val="20"/>
              </w:rPr>
              <w:t>106</w:t>
            </w:r>
          </w:p>
        </w:tc>
        <w:tc>
          <w:tcPr>
            <w:tcW w:w="1276" w:type="dxa"/>
            <w:shd w:val="clear" w:color="auto" w:fill="auto"/>
            <w:vAlign w:val="center"/>
          </w:tcPr>
          <w:p w:rsidR="00D907AF" w:rsidRPr="0087485F" w:rsidRDefault="00D907AF" w:rsidP="00693109">
            <w:pPr>
              <w:spacing w:before="8" w:after="8"/>
              <w:ind w:right="340"/>
              <w:jc w:val="right"/>
              <w:rPr>
                <w:rFonts w:cstheme="minorHAnsi"/>
                <w:color w:val="000000"/>
                <w:sz w:val="20"/>
                <w:szCs w:val="20"/>
              </w:rPr>
            </w:pPr>
            <w:r w:rsidRPr="0087485F">
              <w:rPr>
                <w:rFonts w:cstheme="minorHAnsi"/>
                <w:color w:val="000000"/>
                <w:sz w:val="20"/>
                <w:szCs w:val="20"/>
              </w:rPr>
              <w:t>21.9</w:t>
            </w:r>
          </w:p>
        </w:tc>
        <w:tc>
          <w:tcPr>
            <w:tcW w:w="779"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w:t>
            </w:r>
          </w:p>
        </w:tc>
        <w:tc>
          <w:tcPr>
            <w:tcW w:w="1206"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w:t>
            </w:r>
          </w:p>
        </w:tc>
        <w:tc>
          <w:tcPr>
            <w:tcW w:w="920"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106</w:t>
            </w:r>
          </w:p>
        </w:tc>
        <w:tc>
          <w:tcPr>
            <w:tcW w:w="1064"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18.8</w:t>
            </w:r>
          </w:p>
        </w:tc>
      </w:tr>
      <w:tr w:rsidR="001A4E80" w:rsidRPr="0087485F" w:rsidTr="00973989">
        <w:tc>
          <w:tcPr>
            <w:tcW w:w="2660" w:type="dxa"/>
            <w:shd w:val="clear" w:color="auto" w:fill="auto"/>
          </w:tcPr>
          <w:p w:rsidR="00D907AF" w:rsidRPr="0087485F" w:rsidRDefault="00D907AF" w:rsidP="00A67DB2">
            <w:pPr>
              <w:spacing w:before="8" w:after="8"/>
              <w:rPr>
                <w:rFonts w:cstheme="minorHAnsi"/>
                <w:sz w:val="20"/>
                <w:szCs w:val="20"/>
              </w:rPr>
            </w:pPr>
            <w:r w:rsidRPr="0087485F">
              <w:rPr>
                <w:rFonts w:cstheme="minorHAnsi"/>
                <w:sz w:val="20"/>
                <w:szCs w:val="20"/>
              </w:rPr>
              <w:t xml:space="preserve">Year/Grade 2 </w:t>
            </w:r>
            <w:r w:rsidR="00D27C6A">
              <w:rPr>
                <w:rFonts w:cstheme="minorHAnsi"/>
                <w:sz w:val="20"/>
                <w:szCs w:val="20"/>
              </w:rPr>
              <w:t xml:space="preserve">(3 to </w:t>
            </w:r>
            <w:r w:rsidR="00B75709" w:rsidRPr="0087485F">
              <w:rPr>
                <w:rFonts w:cstheme="minorHAnsi"/>
                <w:sz w:val="20"/>
                <w:szCs w:val="20"/>
              </w:rPr>
              <w:t>15 only)</w:t>
            </w:r>
          </w:p>
        </w:tc>
        <w:tc>
          <w:tcPr>
            <w:tcW w:w="1275" w:type="dxa"/>
            <w:shd w:val="clear" w:color="auto" w:fill="auto"/>
            <w:vAlign w:val="center"/>
          </w:tcPr>
          <w:p w:rsidR="00D907AF" w:rsidRPr="0087485F" w:rsidRDefault="00D907AF" w:rsidP="00693109">
            <w:pPr>
              <w:spacing w:before="8" w:after="8"/>
              <w:ind w:right="340"/>
              <w:jc w:val="right"/>
              <w:rPr>
                <w:rFonts w:cstheme="minorHAnsi"/>
                <w:color w:val="000000"/>
                <w:sz w:val="20"/>
                <w:szCs w:val="20"/>
              </w:rPr>
            </w:pPr>
            <w:r w:rsidRPr="0087485F">
              <w:rPr>
                <w:rFonts w:cstheme="minorHAnsi"/>
                <w:color w:val="000000"/>
                <w:sz w:val="20"/>
                <w:szCs w:val="20"/>
              </w:rPr>
              <w:t>76</w:t>
            </w:r>
          </w:p>
        </w:tc>
        <w:tc>
          <w:tcPr>
            <w:tcW w:w="1276" w:type="dxa"/>
            <w:shd w:val="clear" w:color="auto" w:fill="auto"/>
            <w:vAlign w:val="center"/>
          </w:tcPr>
          <w:p w:rsidR="00D907AF" w:rsidRPr="0087485F" w:rsidRDefault="00D907AF" w:rsidP="00693109">
            <w:pPr>
              <w:spacing w:before="8" w:after="8"/>
              <w:ind w:right="340"/>
              <w:jc w:val="right"/>
              <w:rPr>
                <w:rFonts w:cstheme="minorHAnsi"/>
                <w:color w:val="000000"/>
                <w:sz w:val="20"/>
                <w:szCs w:val="20"/>
              </w:rPr>
            </w:pPr>
            <w:r w:rsidRPr="0087485F">
              <w:rPr>
                <w:rFonts w:cstheme="minorHAnsi"/>
                <w:color w:val="000000"/>
                <w:sz w:val="20"/>
                <w:szCs w:val="20"/>
              </w:rPr>
              <w:t>15.7</w:t>
            </w:r>
          </w:p>
        </w:tc>
        <w:tc>
          <w:tcPr>
            <w:tcW w:w="779"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w:t>
            </w:r>
          </w:p>
        </w:tc>
        <w:tc>
          <w:tcPr>
            <w:tcW w:w="1206"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w:t>
            </w:r>
          </w:p>
        </w:tc>
        <w:tc>
          <w:tcPr>
            <w:tcW w:w="920"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76</w:t>
            </w:r>
          </w:p>
        </w:tc>
        <w:tc>
          <w:tcPr>
            <w:tcW w:w="1064"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13.5</w:t>
            </w:r>
          </w:p>
        </w:tc>
      </w:tr>
      <w:tr w:rsidR="001A4E80" w:rsidRPr="0087485F" w:rsidTr="00973989">
        <w:tc>
          <w:tcPr>
            <w:tcW w:w="2660" w:type="dxa"/>
            <w:shd w:val="clear" w:color="auto" w:fill="auto"/>
          </w:tcPr>
          <w:p w:rsidR="00D907AF" w:rsidRPr="0087485F" w:rsidRDefault="00D907AF" w:rsidP="00A67DB2">
            <w:pPr>
              <w:spacing w:before="8" w:after="8"/>
              <w:rPr>
                <w:rFonts w:cstheme="minorHAnsi"/>
                <w:sz w:val="20"/>
                <w:szCs w:val="20"/>
              </w:rPr>
            </w:pPr>
            <w:r w:rsidRPr="0087485F">
              <w:rPr>
                <w:rFonts w:cstheme="minorHAnsi"/>
                <w:sz w:val="20"/>
                <w:szCs w:val="20"/>
              </w:rPr>
              <w:t xml:space="preserve">Year/Grade 3 </w:t>
            </w:r>
            <w:r w:rsidR="00D27C6A">
              <w:rPr>
                <w:rFonts w:cstheme="minorHAnsi"/>
                <w:sz w:val="20"/>
                <w:szCs w:val="20"/>
              </w:rPr>
              <w:t>(3 to1</w:t>
            </w:r>
            <w:r w:rsidR="00B75709" w:rsidRPr="0087485F">
              <w:rPr>
                <w:rFonts w:cstheme="minorHAnsi"/>
                <w:sz w:val="20"/>
                <w:szCs w:val="20"/>
              </w:rPr>
              <w:t>5 only)</w:t>
            </w:r>
          </w:p>
        </w:tc>
        <w:tc>
          <w:tcPr>
            <w:tcW w:w="1275" w:type="dxa"/>
            <w:shd w:val="clear" w:color="auto" w:fill="auto"/>
            <w:vAlign w:val="center"/>
          </w:tcPr>
          <w:p w:rsidR="00D907AF" w:rsidRPr="0087485F" w:rsidRDefault="00D907AF" w:rsidP="00693109">
            <w:pPr>
              <w:spacing w:before="8" w:after="8"/>
              <w:ind w:right="340"/>
              <w:jc w:val="right"/>
              <w:rPr>
                <w:rFonts w:cstheme="minorHAnsi"/>
                <w:color w:val="000000"/>
                <w:sz w:val="20"/>
                <w:szCs w:val="20"/>
              </w:rPr>
            </w:pPr>
            <w:r w:rsidRPr="0087485F">
              <w:rPr>
                <w:rFonts w:cstheme="minorHAnsi"/>
                <w:color w:val="000000"/>
                <w:sz w:val="20"/>
                <w:szCs w:val="20"/>
              </w:rPr>
              <w:t>41</w:t>
            </w:r>
          </w:p>
        </w:tc>
        <w:tc>
          <w:tcPr>
            <w:tcW w:w="1276" w:type="dxa"/>
            <w:shd w:val="clear" w:color="auto" w:fill="auto"/>
            <w:vAlign w:val="center"/>
          </w:tcPr>
          <w:p w:rsidR="00D907AF" w:rsidRPr="0087485F" w:rsidRDefault="00D907AF" w:rsidP="00693109">
            <w:pPr>
              <w:spacing w:before="8" w:after="8"/>
              <w:ind w:right="340"/>
              <w:jc w:val="right"/>
              <w:rPr>
                <w:rFonts w:cstheme="minorHAnsi"/>
                <w:color w:val="000000"/>
                <w:sz w:val="20"/>
                <w:szCs w:val="20"/>
              </w:rPr>
            </w:pPr>
            <w:r w:rsidRPr="0087485F">
              <w:rPr>
                <w:rFonts w:cstheme="minorHAnsi"/>
                <w:color w:val="000000"/>
                <w:sz w:val="20"/>
                <w:szCs w:val="20"/>
              </w:rPr>
              <w:t>8.5</w:t>
            </w:r>
          </w:p>
        </w:tc>
        <w:tc>
          <w:tcPr>
            <w:tcW w:w="779"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w:t>
            </w:r>
          </w:p>
        </w:tc>
        <w:tc>
          <w:tcPr>
            <w:tcW w:w="1206"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w:t>
            </w:r>
          </w:p>
        </w:tc>
        <w:tc>
          <w:tcPr>
            <w:tcW w:w="920"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41</w:t>
            </w:r>
          </w:p>
        </w:tc>
        <w:tc>
          <w:tcPr>
            <w:tcW w:w="1064"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7.3</w:t>
            </w:r>
          </w:p>
        </w:tc>
      </w:tr>
      <w:tr w:rsidR="001A4E80" w:rsidRPr="0087485F" w:rsidTr="00973989">
        <w:tc>
          <w:tcPr>
            <w:tcW w:w="2660" w:type="dxa"/>
            <w:shd w:val="clear" w:color="auto" w:fill="auto"/>
          </w:tcPr>
          <w:p w:rsidR="00D907AF" w:rsidRPr="0087485F" w:rsidRDefault="00D907AF" w:rsidP="00A67DB2">
            <w:pPr>
              <w:spacing w:before="8" w:after="8"/>
              <w:rPr>
                <w:rFonts w:cstheme="minorHAnsi"/>
                <w:sz w:val="20"/>
                <w:szCs w:val="20"/>
              </w:rPr>
            </w:pPr>
            <w:r w:rsidRPr="0087485F">
              <w:rPr>
                <w:rFonts w:cstheme="minorHAnsi"/>
                <w:sz w:val="20"/>
                <w:szCs w:val="20"/>
              </w:rPr>
              <w:t xml:space="preserve">Year/Grade 4 </w:t>
            </w:r>
            <w:r w:rsidR="00D27C6A">
              <w:rPr>
                <w:rFonts w:cstheme="minorHAnsi"/>
                <w:sz w:val="20"/>
                <w:szCs w:val="20"/>
              </w:rPr>
              <w:t xml:space="preserve">(3 to </w:t>
            </w:r>
            <w:r w:rsidR="00B75709" w:rsidRPr="0087485F">
              <w:rPr>
                <w:rFonts w:cstheme="minorHAnsi"/>
                <w:sz w:val="20"/>
                <w:szCs w:val="20"/>
              </w:rPr>
              <w:t>15 only)</w:t>
            </w:r>
          </w:p>
        </w:tc>
        <w:tc>
          <w:tcPr>
            <w:tcW w:w="1275" w:type="dxa"/>
            <w:shd w:val="clear" w:color="auto" w:fill="auto"/>
            <w:vAlign w:val="center"/>
          </w:tcPr>
          <w:p w:rsidR="00D907AF" w:rsidRPr="0087485F" w:rsidRDefault="00D907AF" w:rsidP="00693109">
            <w:pPr>
              <w:spacing w:before="8" w:after="8"/>
              <w:ind w:right="340"/>
              <w:jc w:val="right"/>
              <w:rPr>
                <w:rFonts w:cstheme="minorHAnsi"/>
                <w:color w:val="000000"/>
                <w:sz w:val="20"/>
                <w:szCs w:val="20"/>
              </w:rPr>
            </w:pPr>
            <w:r w:rsidRPr="0087485F">
              <w:rPr>
                <w:rFonts w:cstheme="minorHAnsi"/>
                <w:color w:val="000000"/>
                <w:sz w:val="20"/>
                <w:szCs w:val="20"/>
              </w:rPr>
              <w:t>39</w:t>
            </w:r>
          </w:p>
        </w:tc>
        <w:tc>
          <w:tcPr>
            <w:tcW w:w="1276" w:type="dxa"/>
            <w:shd w:val="clear" w:color="auto" w:fill="auto"/>
            <w:vAlign w:val="center"/>
          </w:tcPr>
          <w:p w:rsidR="00D907AF" w:rsidRPr="0087485F" w:rsidRDefault="00D907AF" w:rsidP="00693109">
            <w:pPr>
              <w:spacing w:before="8" w:after="8"/>
              <w:ind w:right="340"/>
              <w:jc w:val="right"/>
              <w:rPr>
                <w:rFonts w:cstheme="minorHAnsi"/>
                <w:color w:val="000000"/>
                <w:sz w:val="20"/>
                <w:szCs w:val="20"/>
              </w:rPr>
            </w:pPr>
            <w:r w:rsidRPr="0087485F">
              <w:rPr>
                <w:rFonts w:cstheme="minorHAnsi"/>
                <w:color w:val="000000"/>
                <w:sz w:val="20"/>
                <w:szCs w:val="20"/>
              </w:rPr>
              <w:t>8.0</w:t>
            </w:r>
          </w:p>
        </w:tc>
        <w:tc>
          <w:tcPr>
            <w:tcW w:w="779"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w:t>
            </w:r>
          </w:p>
        </w:tc>
        <w:tc>
          <w:tcPr>
            <w:tcW w:w="1206"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w:t>
            </w:r>
          </w:p>
        </w:tc>
        <w:tc>
          <w:tcPr>
            <w:tcW w:w="920"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39</w:t>
            </w:r>
          </w:p>
        </w:tc>
        <w:tc>
          <w:tcPr>
            <w:tcW w:w="1064"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6.9</w:t>
            </w:r>
          </w:p>
        </w:tc>
      </w:tr>
      <w:tr w:rsidR="001A4E80" w:rsidRPr="0087485F" w:rsidTr="00973989">
        <w:tc>
          <w:tcPr>
            <w:tcW w:w="2660" w:type="dxa"/>
            <w:shd w:val="clear" w:color="auto" w:fill="auto"/>
          </w:tcPr>
          <w:p w:rsidR="00D907AF" w:rsidRPr="0087485F" w:rsidRDefault="00D907AF" w:rsidP="00A67DB2">
            <w:pPr>
              <w:spacing w:before="8" w:after="8"/>
              <w:rPr>
                <w:rFonts w:cstheme="minorHAnsi"/>
                <w:sz w:val="20"/>
                <w:szCs w:val="20"/>
              </w:rPr>
            </w:pPr>
            <w:r w:rsidRPr="0087485F">
              <w:rPr>
                <w:rFonts w:cstheme="minorHAnsi"/>
                <w:sz w:val="20"/>
                <w:szCs w:val="20"/>
              </w:rPr>
              <w:t xml:space="preserve">Year/Grade 5 </w:t>
            </w:r>
            <w:r w:rsidR="00D27C6A">
              <w:rPr>
                <w:rFonts w:cstheme="minorHAnsi"/>
                <w:sz w:val="20"/>
                <w:szCs w:val="20"/>
              </w:rPr>
              <w:t xml:space="preserve">(3 to </w:t>
            </w:r>
            <w:r w:rsidR="00B75709" w:rsidRPr="0087485F">
              <w:rPr>
                <w:rFonts w:cstheme="minorHAnsi"/>
                <w:sz w:val="20"/>
                <w:szCs w:val="20"/>
              </w:rPr>
              <w:t>15 only)</w:t>
            </w:r>
          </w:p>
        </w:tc>
        <w:tc>
          <w:tcPr>
            <w:tcW w:w="1275" w:type="dxa"/>
            <w:shd w:val="clear" w:color="auto" w:fill="auto"/>
            <w:vAlign w:val="center"/>
          </w:tcPr>
          <w:p w:rsidR="00D907AF" w:rsidRPr="0087485F" w:rsidRDefault="00D907AF" w:rsidP="00693109">
            <w:pPr>
              <w:spacing w:before="8" w:after="8"/>
              <w:ind w:right="340"/>
              <w:jc w:val="right"/>
              <w:rPr>
                <w:rFonts w:cstheme="minorHAnsi"/>
                <w:color w:val="000000"/>
                <w:sz w:val="20"/>
                <w:szCs w:val="20"/>
              </w:rPr>
            </w:pPr>
            <w:r w:rsidRPr="0087485F">
              <w:rPr>
                <w:rFonts w:cstheme="minorHAnsi"/>
                <w:color w:val="000000"/>
                <w:sz w:val="20"/>
                <w:szCs w:val="20"/>
              </w:rPr>
              <w:t>43</w:t>
            </w:r>
          </w:p>
        </w:tc>
        <w:tc>
          <w:tcPr>
            <w:tcW w:w="1276" w:type="dxa"/>
            <w:shd w:val="clear" w:color="auto" w:fill="auto"/>
            <w:vAlign w:val="center"/>
          </w:tcPr>
          <w:p w:rsidR="00D907AF" w:rsidRPr="0087485F" w:rsidRDefault="00D907AF" w:rsidP="00693109">
            <w:pPr>
              <w:spacing w:before="8" w:after="8"/>
              <w:ind w:right="340"/>
              <w:jc w:val="right"/>
              <w:rPr>
                <w:rFonts w:cstheme="minorHAnsi"/>
                <w:color w:val="000000"/>
                <w:sz w:val="20"/>
                <w:szCs w:val="20"/>
              </w:rPr>
            </w:pPr>
            <w:r w:rsidRPr="0087485F">
              <w:rPr>
                <w:rFonts w:cstheme="minorHAnsi"/>
                <w:color w:val="000000"/>
                <w:sz w:val="20"/>
                <w:szCs w:val="20"/>
              </w:rPr>
              <w:t>8.9</w:t>
            </w:r>
          </w:p>
        </w:tc>
        <w:tc>
          <w:tcPr>
            <w:tcW w:w="779"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w:t>
            </w:r>
          </w:p>
        </w:tc>
        <w:tc>
          <w:tcPr>
            <w:tcW w:w="1206"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w:t>
            </w:r>
          </w:p>
        </w:tc>
        <w:tc>
          <w:tcPr>
            <w:tcW w:w="920"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43</w:t>
            </w:r>
          </w:p>
        </w:tc>
        <w:tc>
          <w:tcPr>
            <w:tcW w:w="1064"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7.6</w:t>
            </w:r>
          </w:p>
        </w:tc>
      </w:tr>
      <w:tr w:rsidR="001A4E80" w:rsidRPr="0087485F" w:rsidTr="00973989">
        <w:tc>
          <w:tcPr>
            <w:tcW w:w="2660" w:type="dxa"/>
            <w:shd w:val="clear" w:color="auto" w:fill="auto"/>
          </w:tcPr>
          <w:p w:rsidR="00D907AF" w:rsidRPr="0087485F" w:rsidRDefault="00D907AF" w:rsidP="00A67DB2">
            <w:pPr>
              <w:spacing w:before="8" w:after="8"/>
              <w:rPr>
                <w:rFonts w:cstheme="minorHAnsi"/>
                <w:sz w:val="20"/>
                <w:szCs w:val="20"/>
              </w:rPr>
            </w:pPr>
            <w:r w:rsidRPr="0087485F">
              <w:rPr>
                <w:rFonts w:cstheme="minorHAnsi"/>
                <w:sz w:val="20"/>
                <w:szCs w:val="20"/>
              </w:rPr>
              <w:t xml:space="preserve">Year/Grade 6 </w:t>
            </w:r>
            <w:r w:rsidR="00D27C6A">
              <w:rPr>
                <w:rFonts w:cstheme="minorHAnsi"/>
                <w:sz w:val="20"/>
                <w:szCs w:val="20"/>
              </w:rPr>
              <w:t xml:space="preserve">(3 to </w:t>
            </w:r>
            <w:r w:rsidR="00B75709" w:rsidRPr="0087485F">
              <w:rPr>
                <w:rFonts w:cstheme="minorHAnsi"/>
                <w:sz w:val="20"/>
                <w:szCs w:val="20"/>
              </w:rPr>
              <w:t>15 only)</w:t>
            </w:r>
          </w:p>
        </w:tc>
        <w:tc>
          <w:tcPr>
            <w:tcW w:w="1275" w:type="dxa"/>
            <w:shd w:val="clear" w:color="auto" w:fill="auto"/>
            <w:vAlign w:val="center"/>
          </w:tcPr>
          <w:p w:rsidR="00D907AF" w:rsidRPr="0087485F" w:rsidRDefault="00D907AF" w:rsidP="00693109">
            <w:pPr>
              <w:spacing w:before="8" w:after="8"/>
              <w:ind w:right="340"/>
              <w:jc w:val="right"/>
              <w:rPr>
                <w:rFonts w:cstheme="minorHAnsi"/>
                <w:color w:val="000000"/>
                <w:sz w:val="20"/>
                <w:szCs w:val="20"/>
              </w:rPr>
            </w:pPr>
            <w:r w:rsidRPr="0087485F">
              <w:rPr>
                <w:rFonts w:cstheme="minorHAnsi"/>
                <w:color w:val="000000"/>
                <w:sz w:val="20"/>
                <w:szCs w:val="20"/>
              </w:rPr>
              <w:t>32</w:t>
            </w:r>
          </w:p>
        </w:tc>
        <w:tc>
          <w:tcPr>
            <w:tcW w:w="1276" w:type="dxa"/>
            <w:shd w:val="clear" w:color="auto" w:fill="auto"/>
            <w:vAlign w:val="center"/>
          </w:tcPr>
          <w:p w:rsidR="00D907AF" w:rsidRPr="0087485F" w:rsidRDefault="00D907AF" w:rsidP="00693109">
            <w:pPr>
              <w:spacing w:before="8" w:after="8"/>
              <w:ind w:right="340"/>
              <w:jc w:val="right"/>
              <w:rPr>
                <w:rFonts w:cstheme="minorHAnsi"/>
                <w:color w:val="000000"/>
                <w:sz w:val="20"/>
                <w:szCs w:val="20"/>
              </w:rPr>
            </w:pPr>
            <w:r w:rsidRPr="0087485F">
              <w:rPr>
                <w:rFonts w:cstheme="minorHAnsi"/>
                <w:color w:val="000000"/>
                <w:sz w:val="20"/>
                <w:szCs w:val="20"/>
              </w:rPr>
              <w:t>6.6</w:t>
            </w:r>
          </w:p>
        </w:tc>
        <w:tc>
          <w:tcPr>
            <w:tcW w:w="779"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w:t>
            </w:r>
          </w:p>
        </w:tc>
        <w:tc>
          <w:tcPr>
            <w:tcW w:w="1206"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w:t>
            </w:r>
          </w:p>
        </w:tc>
        <w:tc>
          <w:tcPr>
            <w:tcW w:w="920"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32</w:t>
            </w:r>
          </w:p>
        </w:tc>
        <w:tc>
          <w:tcPr>
            <w:tcW w:w="1064"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5.7</w:t>
            </w:r>
          </w:p>
        </w:tc>
      </w:tr>
      <w:tr w:rsidR="001A4E80" w:rsidRPr="0087485F" w:rsidTr="00973989">
        <w:tc>
          <w:tcPr>
            <w:tcW w:w="2660" w:type="dxa"/>
            <w:shd w:val="clear" w:color="auto" w:fill="auto"/>
          </w:tcPr>
          <w:p w:rsidR="00D907AF" w:rsidRPr="0087485F" w:rsidRDefault="00D907AF" w:rsidP="00A67DB2">
            <w:pPr>
              <w:spacing w:before="8" w:after="8"/>
              <w:rPr>
                <w:rFonts w:cstheme="minorHAnsi"/>
                <w:sz w:val="20"/>
                <w:szCs w:val="20"/>
              </w:rPr>
            </w:pPr>
            <w:r w:rsidRPr="0087485F">
              <w:rPr>
                <w:rFonts w:cstheme="minorHAnsi"/>
                <w:sz w:val="20"/>
                <w:szCs w:val="20"/>
              </w:rPr>
              <w:t xml:space="preserve">Year/Grade 7 </w:t>
            </w:r>
            <w:r w:rsidR="00D27C6A">
              <w:rPr>
                <w:rFonts w:cstheme="minorHAnsi"/>
                <w:sz w:val="20"/>
                <w:szCs w:val="20"/>
              </w:rPr>
              <w:t xml:space="preserve">(3 to </w:t>
            </w:r>
            <w:r w:rsidR="00B75709" w:rsidRPr="0087485F">
              <w:rPr>
                <w:rFonts w:cstheme="minorHAnsi"/>
                <w:sz w:val="20"/>
                <w:szCs w:val="20"/>
              </w:rPr>
              <w:t>15 only)</w:t>
            </w:r>
          </w:p>
        </w:tc>
        <w:tc>
          <w:tcPr>
            <w:tcW w:w="1275" w:type="dxa"/>
            <w:shd w:val="clear" w:color="auto" w:fill="auto"/>
            <w:vAlign w:val="center"/>
          </w:tcPr>
          <w:p w:rsidR="00D907AF" w:rsidRPr="0087485F" w:rsidRDefault="00D907AF" w:rsidP="00693109">
            <w:pPr>
              <w:spacing w:before="8" w:after="8"/>
              <w:ind w:right="340"/>
              <w:jc w:val="right"/>
              <w:rPr>
                <w:rFonts w:cstheme="minorHAnsi"/>
                <w:color w:val="000000"/>
                <w:sz w:val="20"/>
                <w:szCs w:val="20"/>
              </w:rPr>
            </w:pPr>
            <w:r w:rsidRPr="0087485F">
              <w:rPr>
                <w:rFonts w:cstheme="minorHAnsi"/>
                <w:color w:val="000000"/>
                <w:sz w:val="20"/>
                <w:szCs w:val="20"/>
              </w:rPr>
              <w:t>42</w:t>
            </w:r>
          </w:p>
        </w:tc>
        <w:tc>
          <w:tcPr>
            <w:tcW w:w="1276" w:type="dxa"/>
            <w:shd w:val="clear" w:color="auto" w:fill="auto"/>
            <w:vAlign w:val="center"/>
          </w:tcPr>
          <w:p w:rsidR="00D907AF" w:rsidRPr="0087485F" w:rsidRDefault="00D907AF" w:rsidP="00693109">
            <w:pPr>
              <w:spacing w:before="8" w:after="8"/>
              <w:ind w:right="340"/>
              <w:jc w:val="right"/>
              <w:rPr>
                <w:rFonts w:cstheme="minorHAnsi"/>
                <w:color w:val="000000"/>
                <w:sz w:val="20"/>
                <w:szCs w:val="20"/>
              </w:rPr>
            </w:pPr>
            <w:r w:rsidRPr="0087485F">
              <w:rPr>
                <w:rFonts w:cstheme="minorHAnsi"/>
                <w:color w:val="000000"/>
                <w:sz w:val="20"/>
                <w:szCs w:val="20"/>
              </w:rPr>
              <w:t>8.7</w:t>
            </w:r>
          </w:p>
        </w:tc>
        <w:tc>
          <w:tcPr>
            <w:tcW w:w="779"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w:t>
            </w:r>
          </w:p>
        </w:tc>
        <w:tc>
          <w:tcPr>
            <w:tcW w:w="1206"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w:t>
            </w:r>
          </w:p>
        </w:tc>
        <w:tc>
          <w:tcPr>
            <w:tcW w:w="920"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42</w:t>
            </w:r>
          </w:p>
        </w:tc>
        <w:tc>
          <w:tcPr>
            <w:tcW w:w="1064"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7.5</w:t>
            </w:r>
          </w:p>
        </w:tc>
      </w:tr>
      <w:tr w:rsidR="001A4E80" w:rsidRPr="0087485F" w:rsidTr="00973989">
        <w:tc>
          <w:tcPr>
            <w:tcW w:w="2660" w:type="dxa"/>
            <w:shd w:val="clear" w:color="auto" w:fill="auto"/>
          </w:tcPr>
          <w:p w:rsidR="00D907AF" w:rsidRPr="0087485F" w:rsidRDefault="00D907AF" w:rsidP="00D27C6A">
            <w:pPr>
              <w:spacing w:before="8" w:after="8"/>
              <w:ind w:right="-108"/>
              <w:rPr>
                <w:rFonts w:cstheme="minorHAnsi"/>
                <w:sz w:val="20"/>
                <w:szCs w:val="20"/>
              </w:rPr>
            </w:pPr>
            <w:r w:rsidRPr="0087485F">
              <w:rPr>
                <w:rFonts w:cstheme="minorHAnsi"/>
                <w:sz w:val="20"/>
                <w:szCs w:val="20"/>
              </w:rPr>
              <w:t>Year 7 or equivalent (16+</w:t>
            </w:r>
            <w:r w:rsidR="00A67DB2">
              <w:rPr>
                <w:rFonts w:cstheme="minorHAnsi"/>
                <w:sz w:val="20"/>
                <w:szCs w:val="20"/>
              </w:rPr>
              <w:t xml:space="preserve"> only</w:t>
            </w:r>
            <w:r w:rsidRPr="0087485F">
              <w:rPr>
                <w:rFonts w:cstheme="minorHAnsi"/>
                <w:sz w:val="20"/>
                <w:szCs w:val="20"/>
              </w:rPr>
              <w:t>)</w:t>
            </w:r>
          </w:p>
        </w:tc>
        <w:tc>
          <w:tcPr>
            <w:tcW w:w="1275" w:type="dxa"/>
            <w:shd w:val="clear" w:color="auto" w:fill="auto"/>
            <w:vAlign w:val="center"/>
          </w:tcPr>
          <w:p w:rsidR="00D907AF" w:rsidRPr="0087485F" w:rsidRDefault="00D907AF" w:rsidP="00693109">
            <w:pPr>
              <w:spacing w:before="8" w:after="8"/>
              <w:ind w:right="340"/>
              <w:jc w:val="right"/>
              <w:rPr>
                <w:rFonts w:cstheme="minorHAnsi"/>
                <w:color w:val="000000"/>
                <w:sz w:val="20"/>
                <w:szCs w:val="20"/>
              </w:rPr>
            </w:pPr>
            <w:r w:rsidRPr="0087485F">
              <w:rPr>
                <w:rFonts w:cstheme="minorHAnsi"/>
                <w:color w:val="000000"/>
                <w:sz w:val="20"/>
                <w:szCs w:val="20"/>
              </w:rPr>
              <w:t>-</w:t>
            </w:r>
          </w:p>
        </w:tc>
        <w:tc>
          <w:tcPr>
            <w:tcW w:w="1276" w:type="dxa"/>
            <w:shd w:val="clear" w:color="auto" w:fill="auto"/>
            <w:vAlign w:val="center"/>
          </w:tcPr>
          <w:p w:rsidR="00D907AF" w:rsidRPr="0087485F" w:rsidRDefault="00D907AF" w:rsidP="00693109">
            <w:pPr>
              <w:spacing w:before="8" w:after="8"/>
              <w:ind w:right="340"/>
              <w:jc w:val="right"/>
              <w:rPr>
                <w:rFonts w:cstheme="minorHAnsi"/>
                <w:color w:val="000000"/>
                <w:sz w:val="20"/>
                <w:szCs w:val="20"/>
              </w:rPr>
            </w:pPr>
            <w:r w:rsidRPr="0087485F">
              <w:rPr>
                <w:rFonts w:cstheme="minorHAnsi"/>
                <w:color w:val="000000"/>
                <w:sz w:val="20"/>
                <w:szCs w:val="20"/>
              </w:rPr>
              <w:t>-</w:t>
            </w:r>
          </w:p>
        </w:tc>
        <w:tc>
          <w:tcPr>
            <w:tcW w:w="779"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1</w:t>
            </w:r>
          </w:p>
        </w:tc>
        <w:tc>
          <w:tcPr>
            <w:tcW w:w="1206"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1.3</w:t>
            </w:r>
          </w:p>
        </w:tc>
        <w:tc>
          <w:tcPr>
            <w:tcW w:w="920"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1</w:t>
            </w:r>
          </w:p>
        </w:tc>
        <w:tc>
          <w:tcPr>
            <w:tcW w:w="1064"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0.2</w:t>
            </w:r>
          </w:p>
        </w:tc>
      </w:tr>
      <w:tr w:rsidR="001A4E80" w:rsidRPr="0087485F" w:rsidTr="00973989">
        <w:tc>
          <w:tcPr>
            <w:tcW w:w="2660" w:type="dxa"/>
            <w:shd w:val="clear" w:color="auto" w:fill="auto"/>
          </w:tcPr>
          <w:p w:rsidR="00D907AF" w:rsidRPr="0087485F" w:rsidRDefault="00D907AF" w:rsidP="005B2D5F">
            <w:pPr>
              <w:spacing w:before="8" w:after="8"/>
              <w:rPr>
                <w:rFonts w:cstheme="minorHAnsi"/>
                <w:sz w:val="20"/>
                <w:szCs w:val="20"/>
              </w:rPr>
            </w:pPr>
            <w:r w:rsidRPr="0087485F">
              <w:rPr>
                <w:rFonts w:cstheme="minorHAnsi"/>
                <w:sz w:val="20"/>
                <w:szCs w:val="20"/>
              </w:rPr>
              <w:t>Year 8 or equivalent</w:t>
            </w:r>
          </w:p>
        </w:tc>
        <w:tc>
          <w:tcPr>
            <w:tcW w:w="1275" w:type="dxa"/>
            <w:shd w:val="clear" w:color="auto" w:fill="auto"/>
            <w:vAlign w:val="center"/>
          </w:tcPr>
          <w:p w:rsidR="00D907AF" w:rsidRPr="0087485F" w:rsidRDefault="00D907AF" w:rsidP="00693109">
            <w:pPr>
              <w:spacing w:before="8" w:after="8"/>
              <w:ind w:right="340"/>
              <w:jc w:val="right"/>
              <w:rPr>
                <w:rFonts w:cstheme="minorHAnsi"/>
                <w:color w:val="000000"/>
                <w:sz w:val="20"/>
                <w:szCs w:val="20"/>
              </w:rPr>
            </w:pPr>
            <w:r w:rsidRPr="0087485F">
              <w:rPr>
                <w:rFonts w:cstheme="minorHAnsi"/>
                <w:color w:val="000000"/>
                <w:sz w:val="20"/>
                <w:szCs w:val="20"/>
              </w:rPr>
              <w:t>25</w:t>
            </w:r>
          </w:p>
        </w:tc>
        <w:tc>
          <w:tcPr>
            <w:tcW w:w="1276" w:type="dxa"/>
            <w:shd w:val="clear" w:color="auto" w:fill="auto"/>
            <w:vAlign w:val="center"/>
          </w:tcPr>
          <w:p w:rsidR="00D907AF" w:rsidRPr="0087485F" w:rsidRDefault="00D907AF" w:rsidP="00693109">
            <w:pPr>
              <w:spacing w:before="8" w:after="8"/>
              <w:ind w:right="340"/>
              <w:jc w:val="right"/>
              <w:rPr>
                <w:rFonts w:cstheme="minorHAnsi"/>
                <w:color w:val="000000"/>
                <w:sz w:val="20"/>
                <w:szCs w:val="20"/>
              </w:rPr>
            </w:pPr>
            <w:r w:rsidRPr="0087485F">
              <w:rPr>
                <w:rFonts w:cstheme="minorHAnsi"/>
                <w:color w:val="000000"/>
                <w:sz w:val="20"/>
                <w:szCs w:val="20"/>
              </w:rPr>
              <w:t>5.2</w:t>
            </w:r>
          </w:p>
        </w:tc>
        <w:tc>
          <w:tcPr>
            <w:tcW w:w="779"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w:t>
            </w:r>
          </w:p>
        </w:tc>
        <w:tc>
          <w:tcPr>
            <w:tcW w:w="1206"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w:t>
            </w:r>
          </w:p>
        </w:tc>
        <w:tc>
          <w:tcPr>
            <w:tcW w:w="920"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25</w:t>
            </w:r>
          </w:p>
        </w:tc>
        <w:tc>
          <w:tcPr>
            <w:tcW w:w="1064"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4.4</w:t>
            </w:r>
          </w:p>
        </w:tc>
      </w:tr>
      <w:tr w:rsidR="001A4E80" w:rsidRPr="0087485F" w:rsidTr="00973989">
        <w:tc>
          <w:tcPr>
            <w:tcW w:w="2660" w:type="dxa"/>
            <w:shd w:val="clear" w:color="auto" w:fill="auto"/>
          </w:tcPr>
          <w:p w:rsidR="00D907AF" w:rsidRPr="0087485F" w:rsidRDefault="00D907AF" w:rsidP="005B2D5F">
            <w:pPr>
              <w:spacing w:before="8" w:after="8"/>
              <w:rPr>
                <w:rFonts w:cstheme="minorHAnsi"/>
                <w:sz w:val="20"/>
                <w:szCs w:val="20"/>
              </w:rPr>
            </w:pPr>
            <w:r w:rsidRPr="0087485F">
              <w:rPr>
                <w:rFonts w:cstheme="minorHAnsi"/>
                <w:sz w:val="20"/>
                <w:szCs w:val="20"/>
              </w:rPr>
              <w:t>Year 9 or equivalent</w:t>
            </w:r>
          </w:p>
        </w:tc>
        <w:tc>
          <w:tcPr>
            <w:tcW w:w="1275" w:type="dxa"/>
            <w:shd w:val="clear" w:color="auto" w:fill="auto"/>
            <w:vAlign w:val="center"/>
          </w:tcPr>
          <w:p w:rsidR="00D907AF" w:rsidRPr="0087485F" w:rsidRDefault="00D907AF" w:rsidP="00693109">
            <w:pPr>
              <w:spacing w:before="8" w:after="8"/>
              <w:ind w:right="340"/>
              <w:jc w:val="right"/>
              <w:rPr>
                <w:rFonts w:cstheme="minorHAnsi"/>
                <w:color w:val="000000"/>
                <w:sz w:val="20"/>
                <w:szCs w:val="20"/>
              </w:rPr>
            </w:pPr>
            <w:r w:rsidRPr="0087485F">
              <w:rPr>
                <w:rFonts w:cstheme="minorHAnsi"/>
                <w:color w:val="000000"/>
                <w:sz w:val="20"/>
                <w:szCs w:val="20"/>
              </w:rPr>
              <w:t>22</w:t>
            </w:r>
          </w:p>
        </w:tc>
        <w:tc>
          <w:tcPr>
            <w:tcW w:w="1276" w:type="dxa"/>
            <w:shd w:val="clear" w:color="auto" w:fill="auto"/>
            <w:vAlign w:val="center"/>
          </w:tcPr>
          <w:p w:rsidR="00D907AF" w:rsidRPr="0087485F" w:rsidRDefault="00D907AF" w:rsidP="00693109">
            <w:pPr>
              <w:spacing w:before="8" w:after="8"/>
              <w:ind w:right="340"/>
              <w:jc w:val="right"/>
              <w:rPr>
                <w:rFonts w:cstheme="minorHAnsi"/>
                <w:color w:val="000000"/>
                <w:sz w:val="20"/>
                <w:szCs w:val="20"/>
              </w:rPr>
            </w:pPr>
            <w:r w:rsidRPr="0087485F">
              <w:rPr>
                <w:rFonts w:cstheme="minorHAnsi"/>
                <w:color w:val="000000"/>
                <w:sz w:val="20"/>
                <w:szCs w:val="20"/>
              </w:rPr>
              <w:t>4.5</w:t>
            </w:r>
          </w:p>
        </w:tc>
        <w:tc>
          <w:tcPr>
            <w:tcW w:w="779"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w:t>
            </w:r>
          </w:p>
        </w:tc>
        <w:tc>
          <w:tcPr>
            <w:tcW w:w="1206"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w:t>
            </w:r>
          </w:p>
        </w:tc>
        <w:tc>
          <w:tcPr>
            <w:tcW w:w="920"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22</w:t>
            </w:r>
          </w:p>
        </w:tc>
        <w:tc>
          <w:tcPr>
            <w:tcW w:w="1064"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3.9</w:t>
            </w:r>
          </w:p>
        </w:tc>
      </w:tr>
      <w:tr w:rsidR="001A4E80" w:rsidRPr="0087485F" w:rsidTr="00973989">
        <w:tc>
          <w:tcPr>
            <w:tcW w:w="2660" w:type="dxa"/>
            <w:shd w:val="clear" w:color="auto" w:fill="auto"/>
          </w:tcPr>
          <w:p w:rsidR="00D907AF" w:rsidRPr="0087485F" w:rsidRDefault="00D907AF" w:rsidP="005B2D5F">
            <w:pPr>
              <w:spacing w:before="8" w:after="8"/>
              <w:rPr>
                <w:rFonts w:cstheme="minorHAnsi"/>
                <w:sz w:val="20"/>
                <w:szCs w:val="20"/>
              </w:rPr>
            </w:pPr>
            <w:r w:rsidRPr="0087485F">
              <w:rPr>
                <w:rFonts w:cstheme="minorHAnsi"/>
                <w:sz w:val="20"/>
                <w:szCs w:val="20"/>
              </w:rPr>
              <w:t>Year 10 or equivalent</w:t>
            </w:r>
          </w:p>
        </w:tc>
        <w:tc>
          <w:tcPr>
            <w:tcW w:w="1275" w:type="dxa"/>
            <w:shd w:val="clear" w:color="auto" w:fill="auto"/>
            <w:vAlign w:val="center"/>
          </w:tcPr>
          <w:p w:rsidR="00D907AF" w:rsidRPr="0087485F" w:rsidRDefault="00D907AF" w:rsidP="00693109">
            <w:pPr>
              <w:spacing w:before="8" w:after="8"/>
              <w:ind w:right="340"/>
              <w:jc w:val="right"/>
              <w:rPr>
                <w:rFonts w:cstheme="minorHAnsi"/>
                <w:color w:val="000000"/>
                <w:sz w:val="20"/>
                <w:szCs w:val="20"/>
              </w:rPr>
            </w:pPr>
            <w:r w:rsidRPr="0087485F">
              <w:rPr>
                <w:rFonts w:cstheme="minorHAnsi"/>
                <w:color w:val="000000"/>
                <w:sz w:val="20"/>
                <w:szCs w:val="20"/>
              </w:rPr>
              <w:t>29</w:t>
            </w:r>
          </w:p>
        </w:tc>
        <w:tc>
          <w:tcPr>
            <w:tcW w:w="1276" w:type="dxa"/>
            <w:shd w:val="clear" w:color="auto" w:fill="auto"/>
            <w:vAlign w:val="center"/>
          </w:tcPr>
          <w:p w:rsidR="00D907AF" w:rsidRPr="0087485F" w:rsidRDefault="00D907AF" w:rsidP="00693109">
            <w:pPr>
              <w:spacing w:before="8" w:after="8"/>
              <w:ind w:right="340"/>
              <w:jc w:val="right"/>
              <w:rPr>
                <w:rFonts w:cstheme="minorHAnsi"/>
                <w:color w:val="000000"/>
                <w:sz w:val="20"/>
                <w:szCs w:val="20"/>
              </w:rPr>
            </w:pPr>
            <w:r w:rsidRPr="0087485F">
              <w:rPr>
                <w:rFonts w:cstheme="minorHAnsi"/>
                <w:color w:val="000000"/>
                <w:sz w:val="20"/>
                <w:szCs w:val="20"/>
              </w:rPr>
              <w:t>6.0</w:t>
            </w:r>
          </w:p>
        </w:tc>
        <w:tc>
          <w:tcPr>
            <w:tcW w:w="779"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4</w:t>
            </w:r>
          </w:p>
        </w:tc>
        <w:tc>
          <w:tcPr>
            <w:tcW w:w="1206"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5.1</w:t>
            </w:r>
          </w:p>
        </w:tc>
        <w:tc>
          <w:tcPr>
            <w:tcW w:w="920"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33</w:t>
            </w:r>
          </w:p>
        </w:tc>
        <w:tc>
          <w:tcPr>
            <w:tcW w:w="1064"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5.9</w:t>
            </w:r>
          </w:p>
        </w:tc>
      </w:tr>
      <w:tr w:rsidR="001A4E80" w:rsidRPr="0087485F" w:rsidTr="00973989">
        <w:tc>
          <w:tcPr>
            <w:tcW w:w="2660" w:type="dxa"/>
            <w:shd w:val="clear" w:color="auto" w:fill="auto"/>
          </w:tcPr>
          <w:p w:rsidR="00D907AF" w:rsidRPr="0087485F" w:rsidRDefault="00D907AF" w:rsidP="005B2D5F">
            <w:pPr>
              <w:spacing w:before="8" w:after="8"/>
              <w:rPr>
                <w:rFonts w:cstheme="minorHAnsi"/>
                <w:sz w:val="20"/>
                <w:szCs w:val="20"/>
              </w:rPr>
            </w:pPr>
            <w:r w:rsidRPr="0087485F">
              <w:rPr>
                <w:rFonts w:cstheme="minorHAnsi"/>
                <w:sz w:val="20"/>
                <w:szCs w:val="20"/>
              </w:rPr>
              <w:t>Year 11 or equivalent</w:t>
            </w:r>
          </w:p>
        </w:tc>
        <w:tc>
          <w:tcPr>
            <w:tcW w:w="1275" w:type="dxa"/>
            <w:shd w:val="clear" w:color="auto" w:fill="auto"/>
            <w:vAlign w:val="center"/>
          </w:tcPr>
          <w:p w:rsidR="00D907AF" w:rsidRPr="0087485F" w:rsidRDefault="00D907AF" w:rsidP="00693109">
            <w:pPr>
              <w:spacing w:before="8" w:after="8"/>
              <w:ind w:right="340"/>
              <w:jc w:val="right"/>
              <w:rPr>
                <w:rFonts w:cstheme="minorHAnsi"/>
                <w:color w:val="000000"/>
                <w:sz w:val="20"/>
                <w:szCs w:val="20"/>
              </w:rPr>
            </w:pPr>
            <w:r w:rsidRPr="0087485F">
              <w:rPr>
                <w:rFonts w:cstheme="minorHAnsi"/>
                <w:color w:val="000000"/>
                <w:sz w:val="20"/>
                <w:szCs w:val="20"/>
              </w:rPr>
              <w:t>10</w:t>
            </w:r>
          </w:p>
        </w:tc>
        <w:tc>
          <w:tcPr>
            <w:tcW w:w="1276" w:type="dxa"/>
            <w:shd w:val="clear" w:color="auto" w:fill="auto"/>
            <w:vAlign w:val="center"/>
          </w:tcPr>
          <w:p w:rsidR="00D907AF" w:rsidRPr="0087485F" w:rsidRDefault="00D907AF" w:rsidP="00693109">
            <w:pPr>
              <w:spacing w:before="8" w:after="8"/>
              <w:ind w:right="340"/>
              <w:jc w:val="right"/>
              <w:rPr>
                <w:rFonts w:cstheme="minorHAnsi"/>
                <w:color w:val="000000"/>
                <w:sz w:val="20"/>
                <w:szCs w:val="20"/>
              </w:rPr>
            </w:pPr>
            <w:r w:rsidRPr="0087485F">
              <w:rPr>
                <w:rFonts w:cstheme="minorHAnsi"/>
                <w:color w:val="000000"/>
                <w:sz w:val="20"/>
                <w:szCs w:val="20"/>
              </w:rPr>
              <w:t>2.1</w:t>
            </w:r>
          </w:p>
        </w:tc>
        <w:tc>
          <w:tcPr>
            <w:tcW w:w="779"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19</w:t>
            </w:r>
          </w:p>
        </w:tc>
        <w:tc>
          <w:tcPr>
            <w:tcW w:w="1206"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24.4</w:t>
            </w:r>
          </w:p>
        </w:tc>
        <w:tc>
          <w:tcPr>
            <w:tcW w:w="920"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29</w:t>
            </w:r>
          </w:p>
        </w:tc>
        <w:tc>
          <w:tcPr>
            <w:tcW w:w="1064"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5.2</w:t>
            </w:r>
          </w:p>
        </w:tc>
      </w:tr>
      <w:tr w:rsidR="001A4E80" w:rsidRPr="0087485F" w:rsidTr="00973989">
        <w:tc>
          <w:tcPr>
            <w:tcW w:w="2660" w:type="dxa"/>
            <w:shd w:val="clear" w:color="auto" w:fill="auto"/>
          </w:tcPr>
          <w:p w:rsidR="00D907AF" w:rsidRPr="0087485F" w:rsidRDefault="00D907AF" w:rsidP="005B2D5F">
            <w:pPr>
              <w:spacing w:before="8" w:after="8"/>
              <w:rPr>
                <w:rFonts w:cstheme="minorHAnsi"/>
                <w:sz w:val="20"/>
                <w:szCs w:val="20"/>
              </w:rPr>
            </w:pPr>
            <w:r w:rsidRPr="0087485F">
              <w:rPr>
                <w:rFonts w:cstheme="minorHAnsi"/>
                <w:sz w:val="20"/>
                <w:szCs w:val="20"/>
              </w:rPr>
              <w:t>Year 12 or equivalent</w:t>
            </w:r>
          </w:p>
        </w:tc>
        <w:tc>
          <w:tcPr>
            <w:tcW w:w="1275" w:type="dxa"/>
            <w:shd w:val="clear" w:color="auto" w:fill="auto"/>
            <w:vAlign w:val="center"/>
          </w:tcPr>
          <w:p w:rsidR="00D907AF" w:rsidRPr="0087485F" w:rsidRDefault="00D907AF" w:rsidP="00693109">
            <w:pPr>
              <w:spacing w:before="8" w:after="8"/>
              <w:ind w:right="340"/>
              <w:jc w:val="right"/>
              <w:rPr>
                <w:rFonts w:cstheme="minorHAnsi"/>
                <w:color w:val="000000"/>
                <w:sz w:val="20"/>
                <w:szCs w:val="20"/>
              </w:rPr>
            </w:pPr>
            <w:r w:rsidRPr="0087485F">
              <w:rPr>
                <w:rFonts w:cstheme="minorHAnsi"/>
                <w:color w:val="000000"/>
                <w:sz w:val="20"/>
                <w:szCs w:val="20"/>
              </w:rPr>
              <w:t>-</w:t>
            </w:r>
          </w:p>
        </w:tc>
        <w:tc>
          <w:tcPr>
            <w:tcW w:w="1276" w:type="dxa"/>
            <w:shd w:val="clear" w:color="auto" w:fill="auto"/>
            <w:vAlign w:val="center"/>
          </w:tcPr>
          <w:p w:rsidR="00D907AF" w:rsidRPr="0087485F" w:rsidRDefault="00D907AF" w:rsidP="00693109">
            <w:pPr>
              <w:spacing w:before="8" w:after="8"/>
              <w:ind w:right="340"/>
              <w:jc w:val="right"/>
              <w:rPr>
                <w:rFonts w:cstheme="minorHAnsi"/>
                <w:color w:val="000000"/>
                <w:sz w:val="20"/>
                <w:szCs w:val="20"/>
              </w:rPr>
            </w:pPr>
            <w:r w:rsidRPr="0087485F">
              <w:rPr>
                <w:rFonts w:cstheme="minorHAnsi"/>
                <w:color w:val="000000"/>
                <w:sz w:val="20"/>
                <w:szCs w:val="20"/>
              </w:rPr>
              <w:t>-</w:t>
            </w:r>
          </w:p>
        </w:tc>
        <w:tc>
          <w:tcPr>
            <w:tcW w:w="779"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45</w:t>
            </w:r>
          </w:p>
        </w:tc>
        <w:tc>
          <w:tcPr>
            <w:tcW w:w="1206"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57.7</w:t>
            </w:r>
          </w:p>
        </w:tc>
        <w:tc>
          <w:tcPr>
            <w:tcW w:w="920"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45</w:t>
            </w:r>
          </w:p>
        </w:tc>
        <w:tc>
          <w:tcPr>
            <w:tcW w:w="1064"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8.0</w:t>
            </w:r>
          </w:p>
        </w:tc>
      </w:tr>
      <w:tr w:rsidR="001A4E80" w:rsidRPr="0087485F" w:rsidTr="00973989">
        <w:tc>
          <w:tcPr>
            <w:tcW w:w="2660" w:type="dxa"/>
            <w:shd w:val="clear" w:color="auto" w:fill="auto"/>
          </w:tcPr>
          <w:p w:rsidR="00D907AF" w:rsidRPr="0087485F" w:rsidRDefault="00D907AF" w:rsidP="005B2D5F">
            <w:pPr>
              <w:spacing w:before="8" w:after="8"/>
              <w:rPr>
                <w:rFonts w:cstheme="minorHAnsi"/>
                <w:sz w:val="20"/>
                <w:szCs w:val="20"/>
              </w:rPr>
            </w:pPr>
            <w:r w:rsidRPr="0087485F">
              <w:rPr>
                <w:rFonts w:cstheme="minorHAnsi"/>
                <w:sz w:val="20"/>
                <w:szCs w:val="20"/>
              </w:rPr>
              <w:t>Year 13 or equivalent</w:t>
            </w:r>
          </w:p>
        </w:tc>
        <w:tc>
          <w:tcPr>
            <w:tcW w:w="1275" w:type="dxa"/>
            <w:shd w:val="clear" w:color="auto" w:fill="auto"/>
            <w:vAlign w:val="center"/>
          </w:tcPr>
          <w:p w:rsidR="00D907AF" w:rsidRPr="0087485F" w:rsidRDefault="00D907AF" w:rsidP="00693109">
            <w:pPr>
              <w:spacing w:before="8" w:after="8"/>
              <w:ind w:right="340"/>
              <w:jc w:val="right"/>
              <w:rPr>
                <w:rFonts w:cstheme="minorHAnsi"/>
                <w:color w:val="000000"/>
                <w:sz w:val="20"/>
                <w:szCs w:val="20"/>
              </w:rPr>
            </w:pPr>
            <w:r w:rsidRPr="0087485F">
              <w:rPr>
                <w:rFonts w:cstheme="minorHAnsi"/>
                <w:color w:val="000000"/>
                <w:sz w:val="20"/>
                <w:szCs w:val="20"/>
              </w:rPr>
              <w:t>-</w:t>
            </w:r>
          </w:p>
        </w:tc>
        <w:tc>
          <w:tcPr>
            <w:tcW w:w="1276" w:type="dxa"/>
            <w:shd w:val="clear" w:color="auto" w:fill="auto"/>
            <w:vAlign w:val="center"/>
          </w:tcPr>
          <w:p w:rsidR="00D907AF" w:rsidRPr="0087485F" w:rsidRDefault="00D907AF" w:rsidP="00693109">
            <w:pPr>
              <w:spacing w:before="8" w:after="8"/>
              <w:ind w:right="340"/>
              <w:jc w:val="right"/>
              <w:rPr>
                <w:rFonts w:cstheme="minorHAnsi"/>
                <w:color w:val="000000"/>
                <w:sz w:val="20"/>
                <w:szCs w:val="20"/>
              </w:rPr>
            </w:pPr>
            <w:r w:rsidRPr="0087485F">
              <w:rPr>
                <w:rFonts w:cstheme="minorHAnsi"/>
                <w:color w:val="000000"/>
                <w:sz w:val="20"/>
                <w:szCs w:val="20"/>
              </w:rPr>
              <w:t>-</w:t>
            </w:r>
          </w:p>
        </w:tc>
        <w:tc>
          <w:tcPr>
            <w:tcW w:w="779"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4</w:t>
            </w:r>
          </w:p>
        </w:tc>
        <w:tc>
          <w:tcPr>
            <w:tcW w:w="1206"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5.1</w:t>
            </w:r>
          </w:p>
        </w:tc>
        <w:tc>
          <w:tcPr>
            <w:tcW w:w="920"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4</w:t>
            </w:r>
          </w:p>
        </w:tc>
        <w:tc>
          <w:tcPr>
            <w:tcW w:w="1064"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0.7</w:t>
            </w:r>
          </w:p>
        </w:tc>
      </w:tr>
      <w:tr w:rsidR="001A4E80" w:rsidRPr="0087485F" w:rsidTr="00973989">
        <w:tc>
          <w:tcPr>
            <w:tcW w:w="2660" w:type="dxa"/>
          </w:tcPr>
          <w:p w:rsidR="00D907AF" w:rsidRPr="0087485F" w:rsidRDefault="00D907AF" w:rsidP="005B2D5F">
            <w:pPr>
              <w:spacing w:before="8" w:after="8"/>
              <w:rPr>
                <w:rFonts w:cstheme="minorHAnsi"/>
                <w:sz w:val="20"/>
                <w:szCs w:val="20"/>
              </w:rPr>
            </w:pPr>
            <w:r w:rsidRPr="0087485F">
              <w:rPr>
                <w:rFonts w:cstheme="minorHAnsi"/>
                <w:sz w:val="20"/>
                <w:szCs w:val="20"/>
              </w:rPr>
              <w:t>Don’t know</w:t>
            </w:r>
          </w:p>
        </w:tc>
        <w:tc>
          <w:tcPr>
            <w:tcW w:w="1275" w:type="dxa"/>
          </w:tcPr>
          <w:p w:rsidR="00D907AF" w:rsidRPr="0087485F" w:rsidRDefault="00D907AF" w:rsidP="00693109">
            <w:pPr>
              <w:spacing w:before="8" w:after="8"/>
              <w:ind w:right="340"/>
              <w:jc w:val="right"/>
              <w:rPr>
                <w:rFonts w:cstheme="minorHAnsi"/>
                <w:color w:val="000000"/>
                <w:sz w:val="20"/>
                <w:szCs w:val="20"/>
              </w:rPr>
            </w:pPr>
            <w:r w:rsidRPr="0087485F">
              <w:rPr>
                <w:rFonts w:cstheme="minorHAnsi"/>
                <w:color w:val="000000"/>
                <w:sz w:val="20"/>
                <w:szCs w:val="20"/>
              </w:rPr>
              <w:t>16</w:t>
            </w:r>
          </w:p>
        </w:tc>
        <w:tc>
          <w:tcPr>
            <w:tcW w:w="1276" w:type="dxa"/>
          </w:tcPr>
          <w:p w:rsidR="00D907AF" w:rsidRPr="0087485F" w:rsidRDefault="00D907AF" w:rsidP="00693109">
            <w:pPr>
              <w:spacing w:before="8" w:after="8"/>
              <w:ind w:right="340"/>
              <w:jc w:val="right"/>
              <w:rPr>
                <w:rFonts w:cstheme="minorHAnsi"/>
                <w:color w:val="000000"/>
                <w:sz w:val="20"/>
                <w:szCs w:val="20"/>
              </w:rPr>
            </w:pPr>
            <w:r w:rsidRPr="0087485F">
              <w:rPr>
                <w:rFonts w:cstheme="minorHAnsi"/>
                <w:color w:val="000000"/>
                <w:sz w:val="20"/>
                <w:szCs w:val="20"/>
              </w:rPr>
              <w:t>3.3</w:t>
            </w:r>
          </w:p>
        </w:tc>
        <w:tc>
          <w:tcPr>
            <w:tcW w:w="779" w:type="dxa"/>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2</w:t>
            </w:r>
          </w:p>
        </w:tc>
        <w:tc>
          <w:tcPr>
            <w:tcW w:w="1206" w:type="dxa"/>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2.6</w:t>
            </w:r>
          </w:p>
        </w:tc>
        <w:tc>
          <w:tcPr>
            <w:tcW w:w="920" w:type="dxa"/>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18</w:t>
            </w:r>
          </w:p>
        </w:tc>
        <w:tc>
          <w:tcPr>
            <w:tcW w:w="1064" w:type="dxa"/>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3.2</w:t>
            </w:r>
          </w:p>
        </w:tc>
      </w:tr>
      <w:tr w:rsidR="001A4E80" w:rsidRPr="0087485F" w:rsidTr="00973989">
        <w:tc>
          <w:tcPr>
            <w:tcW w:w="2660" w:type="dxa"/>
            <w:shd w:val="clear" w:color="auto" w:fill="auto"/>
          </w:tcPr>
          <w:p w:rsidR="00D907AF" w:rsidRPr="0087485F" w:rsidRDefault="00D907AF" w:rsidP="005B2D5F">
            <w:pPr>
              <w:spacing w:before="8" w:after="8"/>
              <w:rPr>
                <w:rFonts w:cstheme="minorHAnsi"/>
                <w:sz w:val="20"/>
                <w:szCs w:val="20"/>
              </w:rPr>
            </w:pPr>
            <w:r w:rsidRPr="0087485F">
              <w:rPr>
                <w:rFonts w:cstheme="minorHAnsi"/>
                <w:sz w:val="20"/>
                <w:szCs w:val="20"/>
              </w:rPr>
              <w:t>Missing</w:t>
            </w:r>
          </w:p>
        </w:tc>
        <w:tc>
          <w:tcPr>
            <w:tcW w:w="1275" w:type="dxa"/>
            <w:shd w:val="clear" w:color="auto" w:fill="auto"/>
            <w:vAlign w:val="center"/>
          </w:tcPr>
          <w:p w:rsidR="00D907AF" w:rsidRPr="0087485F" w:rsidRDefault="00D907AF" w:rsidP="00693109">
            <w:pPr>
              <w:spacing w:before="8" w:after="8"/>
              <w:ind w:right="340"/>
              <w:jc w:val="right"/>
              <w:rPr>
                <w:rFonts w:cstheme="minorHAnsi"/>
                <w:color w:val="000000"/>
                <w:sz w:val="20"/>
                <w:szCs w:val="20"/>
              </w:rPr>
            </w:pPr>
            <w:r w:rsidRPr="0087485F">
              <w:rPr>
                <w:rFonts w:cstheme="minorHAnsi"/>
                <w:color w:val="000000"/>
                <w:sz w:val="20"/>
                <w:szCs w:val="20"/>
              </w:rPr>
              <w:t>4</w:t>
            </w:r>
          </w:p>
        </w:tc>
        <w:tc>
          <w:tcPr>
            <w:tcW w:w="1276" w:type="dxa"/>
            <w:shd w:val="clear" w:color="auto" w:fill="auto"/>
            <w:vAlign w:val="center"/>
          </w:tcPr>
          <w:p w:rsidR="00D907AF" w:rsidRPr="0087485F" w:rsidRDefault="00D907AF" w:rsidP="00693109">
            <w:pPr>
              <w:spacing w:before="8" w:after="8"/>
              <w:ind w:right="340"/>
              <w:jc w:val="right"/>
              <w:rPr>
                <w:rFonts w:cstheme="minorHAnsi"/>
                <w:color w:val="000000"/>
                <w:sz w:val="20"/>
                <w:szCs w:val="20"/>
              </w:rPr>
            </w:pPr>
            <w:r w:rsidRPr="0087485F">
              <w:rPr>
                <w:rFonts w:cstheme="minorHAnsi"/>
                <w:color w:val="000000"/>
                <w:sz w:val="20"/>
                <w:szCs w:val="20"/>
              </w:rPr>
              <w:t>0.8</w:t>
            </w:r>
          </w:p>
        </w:tc>
        <w:tc>
          <w:tcPr>
            <w:tcW w:w="779"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3</w:t>
            </w:r>
          </w:p>
        </w:tc>
        <w:tc>
          <w:tcPr>
            <w:tcW w:w="1206"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3.9</w:t>
            </w:r>
          </w:p>
        </w:tc>
        <w:tc>
          <w:tcPr>
            <w:tcW w:w="920"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7</w:t>
            </w:r>
          </w:p>
        </w:tc>
        <w:tc>
          <w:tcPr>
            <w:tcW w:w="1064" w:type="dxa"/>
            <w:shd w:val="clear" w:color="auto" w:fill="auto"/>
            <w:vAlign w:val="center"/>
          </w:tcPr>
          <w:p w:rsidR="00D907AF" w:rsidRPr="0087485F" w:rsidRDefault="00D907AF" w:rsidP="00693109">
            <w:pPr>
              <w:spacing w:before="8" w:after="8"/>
              <w:ind w:right="239"/>
              <w:jc w:val="right"/>
              <w:rPr>
                <w:rFonts w:cstheme="minorHAnsi"/>
                <w:color w:val="000000"/>
                <w:sz w:val="20"/>
                <w:szCs w:val="20"/>
              </w:rPr>
            </w:pPr>
            <w:r w:rsidRPr="0087485F">
              <w:rPr>
                <w:rFonts w:cstheme="minorHAnsi"/>
                <w:color w:val="000000"/>
                <w:sz w:val="20"/>
                <w:szCs w:val="20"/>
              </w:rPr>
              <w:t>1.2</w:t>
            </w:r>
          </w:p>
        </w:tc>
      </w:tr>
      <w:tr w:rsidR="001A4E80" w:rsidRPr="0087485F" w:rsidTr="00973989">
        <w:tc>
          <w:tcPr>
            <w:tcW w:w="2660" w:type="dxa"/>
            <w:tcBorders>
              <w:top w:val="single" w:sz="4" w:space="0" w:color="auto"/>
              <w:bottom w:val="single" w:sz="4" w:space="0" w:color="auto"/>
            </w:tcBorders>
            <w:shd w:val="clear" w:color="auto" w:fill="auto"/>
          </w:tcPr>
          <w:p w:rsidR="00D907AF" w:rsidRPr="0087485F" w:rsidRDefault="00D907AF" w:rsidP="005B2D5F">
            <w:pPr>
              <w:spacing w:before="8" w:after="8"/>
              <w:rPr>
                <w:rFonts w:cstheme="minorHAnsi"/>
                <w:b/>
                <w:sz w:val="20"/>
                <w:szCs w:val="20"/>
              </w:rPr>
            </w:pPr>
            <w:r w:rsidRPr="0087485F">
              <w:rPr>
                <w:rFonts w:cstheme="minorHAnsi"/>
                <w:b/>
                <w:sz w:val="20"/>
                <w:szCs w:val="20"/>
              </w:rPr>
              <w:t>Total</w:t>
            </w:r>
          </w:p>
        </w:tc>
        <w:tc>
          <w:tcPr>
            <w:tcW w:w="1275" w:type="dxa"/>
            <w:tcBorders>
              <w:top w:val="single" w:sz="4" w:space="0" w:color="auto"/>
              <w:bottom w:val="single" w:sz="4" w:space="0" w:color="auto"/>
            </w:tcBorders>
            <w:shd w:val="clear" w:color="auto" w:fill="auto"/>
          </w:tcPr>
          <w:p w:rsidR="00D907AF" w:rsidRPr="0087485F" w:rsidRDefault="00D907AF" w:rsidP="00693109">
            <w:pPr>
              <w:spacing w:before="8" w:after="8"/>
              <w:ind w:right="340"/>
              <w:jc w:val="right"/>
              <w:rPr>
                <w:rFonts w:cstheme="minorHAnsi"/>
                <w:b/>
                <w:sz w:val="20"/>
                <w:szCs w:val="20"/>
              </w:rPr>
            </w:pPr>
            <w:r w:rsidRPr="0087485F">
              <w:rPr>
                <w:rFonts w:cstheme="minorHAnsi"/>
                <w:b/>
                <w:sz w:val="20"/>
                <w:szCs w:val="20"/>
              </w:rPr>
              <w:t>485</w:t>
            </w:r>
          </w:p>
        </w:tc>
        <w:tc>
          <w:tcPr>
            <w:tcW w:w="1276" w:type="dxa"/>
            <w:tcBorders>
              <w:top w:val="single" w:sz="4" w:space="0" w:color="auto"/>
              <w:bottom w:val="single" w:sz="4" w:space="0" w:color="auto"/>
            </w:tcBorders>
            <w:shd w:val="clear" w:color="auto" w:fill="auto"/>
          </w:tcPr>
          <w:p w:rsidR="00D907AF" w:rsidRPr="00693109" w:rsidRDefault="00693109" w:rsidP="00693109">
            <w:pPr>
              <w:tabs>
                <w:tab w:val="center" w:pos="360"/>
                <w:tab w:val="right" w:pos="720"/>
              </w:tabs>
              <w:spacing w:before="8" w:after="8"/>
              <w:ind w:right="340"/>
              <w:rPr>
                <w:rFonts w:cstheme="minorHAnsi"/>
                <w:b/>
                <w:color w:val="000000"/>
                <w:sz w:val="20"/>
                <w:szCs w:val="20"/>
              </w:rPr>
            </w:pPr>
            <w:r w:rsidRPr="00693109">
              <w:rPr>
                <w:rFonts w:cstheme="minorHAnsi"/>
                <w:b/>
                <w:color w:val="000000"/>
                <w:sz w:val="20"/>
                <w:szCs w:val="20"/>
              </w:rPr>
              <w:tab/>
            </w:r>
            <w:r w:rsidRPr="00693109">
              <w:rPr>
                <w:rFonts w:cstheme="minorHAnsi"/>
                <w:b/>
                <w:color w:val="000000"/>
                <w:sz w:val="20"/>
                <w:szCs w:val="20"/>
              </w:rPr>
              <w:tab/>
            </w:r>
            <w:r w:rsidR="00D907AF" w:rsidRPr="00693109">
              <w:rPr>
                <w:rFonts w:cstheme="minorHAnsi"/>
                <w:b/>
                <w:color w:val="000000"/>
                <w:sz w:val="20"/>
                <w:szCs w:val="20"/>
              </w:rPr>
              <w:t>100</w:t>
            </w:r>
          </w:p>
        </w:tc>
        <w:tc>
          <w:tcPr>
            <w:tcW w:w="779" w:type="dxa"/>
            <w:tcBorders>
              <w:top w:val="single" w:sz="4" w:space="0" w:color="auto"/>
              <w:bottom w:val="single" w:sz="4" w:space="0" w:color="auto"/>
            </w:tcBorders>
            <w:shd w:val="clear" w:color="auto" w:fill="auto"/>
          </w:tcPr>
          <w:p w:rsidR="00D907AF" w:rsidRPr="0087485F" w:rsidRDefault="00D907AF" w:rsidP="00693109">
            <w:pPr>
              <w:spacing w:before="8" w:after="8"/>
              <w:ind w:right="239"/>
              <w:jc w:val="right"/>
              <w:rPr>
                <w:rFonts w:cstheme="minorHAnsi"/>
                <w:b/>
                <w:sz w:val="20"/>
                <w:szCs w:val="20"/>
              </w:rPr>
            </w:pPr>
            <w:r w:rsidRPr="0087485F">
              <w:rPr>
                <w:rFonts w:cstheme="minorHAnsi"/>
                <w:b/>
                <w:sz w:val="20"/>
                <w:szCs w:val="20"/>
              </w:rPr>
              <w:t>78</w:t>
            </w:r>
          </w:p>
        </w:tc>
        <w:tc>
          <w:tcPr>
            <w:tcW w:w="1206" w:type="dxa"/>
            <w:tcBorders>
              <w:top w:val="single" w:sz="4" w:space="0" w:color="auto"/>
              <w:bottom w:val="single" w:sz="4" w:space="0" w:color="auto"/>
            </w:tcBorders>
            <w:shd w:val="clear" w:color="auto" w:fill="auto"/>
          </w:tcPr>
          <w:p w:rsidR="00D907AF" w:rsidRPr="0087485F" w:rsidRDefault="00D907AF" w:rsidP="00693109">
            <w:pPr>
              <w:spacing w:before="8" w:after="8"/>
              <w:ind w:right="239"/>
              <w:jc w:val="right"/>
              <w:rPr>
                <w:rFonts w:cstheme="minorHAnsi"/>
                <w:b/>
                <w:sz w:val="20"/>
                <w:szCs w:val="20"/>
              </w:rPr>
            </w:pPr>
            <w:r w:rsidRPr="0087485F">
              <w:rPr>
                <w:rFonts w:cstheme="minorHAnsi"/>
                <w:b/>
                <w:sz w:val="20"/>
                <w:szCs w:val="20"/>
              </w:rPr>
              <w:t>100</w:t>
            </w:r>
          </w:p>
        </w:tc>
        <w:tc>
          <w:tcPr>
            <w:tcW w:w="920" w:type="dxa"/>
            <w:tcBorders>
              <w:top w:val="single" w:sz="4" w:space="0" w:color="auto"/>
              <w:bottom w:val="single" w:sz="4" w:space="0" w:color="auto"/>
            </w:tcBorders>
            <w:shd w:val="clear" w:color="auto" w:fill="auto"/>
          </w:tcPr>
          <w:p w:rsidR="00D907AF" w:rsidRPr="0087485F" w:rsidRDefault="00D907AF" w:rsidP="00693109">
            <w:pPr>
              <w:spacing w:before="8" w:after="8"/>
              <w:ind w:right="239"/>
              <w:jc w:val="right"/>
              <w:rPr>
                <w:rFonts w:cstheme="minorHAnsi"/>
                <w:b/>
                <w:color w:val="000000"/>
                <w:sz w:val="20"/>
                <w:szCs w:val="20"/>
              </w:rPr>
            </w:pPr>
            <w:r w:rsidRPr="0087485F">
              <w:rPr>
                <w:rFonts w:cstheme="minorHAnsi"/>
                <w:b/>
                <w:color w:val="000000"/>
                <w:sz w:val="20"/>
                <w:szCs w:val="20"/>
              </w:rPr>
              <w:t>563</w:t>
            </w:r>
          </w:p>
        </w:tc>
        <w:tc>
          <w:tcPr>
            <w:tcW w:w="1064" w:type="dxa"/>
            <w:tcBorders>
              <w:top w:val="single" w:sz="4" w:space="0" w:color="auto"/>
              <w:bottom w:val="single" w:sz="4" w:space="0" w:color="auto"/>
            </w:tcBorders>
            <w:shd w:val="clear" w:color="auto" w:fill="auto"/>
          </w:tcPr>
          <w:p w:rsidR="00D907AF" w:rsidRPr="0087485F" w:rsidRDefault="00D907AF" w:rsidP="00693109">
            <w:pPr>
              <w:spacing w:before="8" w:after="8"/>
              <w:ind w:right="239"/>
              <w:jc w:val="right"/>
              <w:rPr>
                <w:rFonts w:cstheme="minorHAnsi"/>
                <w:b/>
                <w:color w:val="000000"/>
                <w:sz w:val="20"/>
                <w:szCs w:val="20"/>
              </w:rPr>
            </w:pPr>
            <w:r w:rsidRPr="0087485F">
              <w:rPr>
                <w:rFonts w:cstheme="minorHAnsi"/>
                <w:b/>
                <w:color w:val="000000"/>
                <w:sz w:val="20"/>
                <w:szCs w:val="20"/>
              </w:rPr>
              <w:t>100</w:t>
            </w:r>
          </w:p>
        </w:tc>
      </w:tr>
    </w:tbl>
    <w:p w:rsidR="00D907AF" w:rsidRPr="00B01305" w:rsidRDefault="00D907AF" w:rsidP="001032EF">
      <w:pPr>
        <w:pStyle w:val="NILSReference"/>
      </w:pPr>
      <w:r w:rsidRPr="00B01305">
        <w:t xml:space="preserve">Note: Note: </w:t>
      </w:r>
      <w:r w:rsidRPr="001032EF">
        <w:t>trial</w:t>
      </w:r>
      <w:r>
        <w:t xml:space="preserve"> and comparison </w:t>
      </w:r>
      <w:r w:rsidRPr="008223AD">
        <w:t xml:space="preserve">aged 3 years and above </w:t>
      </w:r>
      <w:r w:rsidRPr="00B01305">
        <w:t>in school</w:t>
      </w:r>
    </w:p>
    <w:p w:rsidR="005B2D5F" w:rsidRDefault="005B2D5F" w:rsidP="00D907AF">
      <w:pPr>
        <w:rPr>
          <w:rFonts w:cstheme="minorHAnsi"/>
        </w:rPr>
      </w:pPr>
    </w:p>
    <w:p w:rsidR="00D907AF" w:rsidRDefault="00D907AF" w:rsidP="00D907AF">
      <w:pPr>
        <w:rPr>
          <w:rFonts w:cstheme="minorHAnsi"/>
        </w:rPr>
      </w:pPr>
      <w:r>
        <w:rPr>
          <w:rFonts w:cstheme="minorHAnsi"/>
        </w:rPr>
        <w:t xml:space="preserve">Another indicator of education participation is whether the study is full time or part time. Table 3.29 shows this for children and adults. About 30 per cent of adults reported attending education part time. In contrast, very few children reported going to school part time (only 3.9 per cent of the total). </w:t>
      </w:r>
    </w:p>
    <w:p w:rsidR="00D907AF" w:rsidRPr="00233E8A" w:rsidRDefault="00D907AF" w:rsidP="0044684E">
      <w:pPr>
        <w:pStyle w:val="NILSTableHeading"/>
      </w:pPr>
      <w:bookmarkStart w:id="280" w:name="_Toc428280681"/>
      <w:bookmarkStart w:id="281" w:name="_Toc449955292"/>
      <w:r w:rsidRPr="00233E8A">
        <w:t>Table 3.</w:t>
      </w:r>
      <w:r>
        <w:t>29</w:t>
      </w:r>
      <w:r w:rsidRPr="00233E8A">
        <w:t xml:space="preserve">: </w:t>
      </w:r>
      <w:r w:rsidRPr="00233E8A">
        <w:rPr>
          <w:rFonts w:hint="eastAsia"/>
        </w:rPr>
        <w:t>Enrolled full time/part time</w:t>
      </w:r>
      <w:bookmarkEnd w:id="280"/>
      <w:bookmarkEnd w:id="281"/>
    </w:p>
    <w:tbl>
      <w:tblPr>
        <w:tblStyle w:val="TableGrid"/>
        <w:tblW w:w="0" w:type="auto"/>
        <w:tblLayout w:type="fixed"/>
        <w:tblLook w:val="04A0" w:firstRow="1" w:lastRow="0" w:firstColumn="1" w:lastColumn="0" w:noHBand="0" w:noVBand="1"/>
        <w:tblCaption w:val="Table 3.29 Enrolled full time/part time"/>
        <w:tblDescription w:val="This table shows full and part time education participation of children and adults. "/>
      </w:tblPr>
      <w:tblGrid>
        <w:gridCol w:w="1668"/>
        <w:gridCol w:w="1015"/>
        <w:gridCol w:w="1111"/>
        <w:gridCol w:w="921"/>
        <w:gridCol w:w="1016"/>
        <w:gridCol w:w="1016"/>
        <w:gridCol w:w="1016"/>
      </w:tblGrid>
      <w:tr w:rsidR="00F524FB" w:rsidRPr="0087485F" w:rsidTr="00884536">
        <w:trPr>
          <w:cantSplit/>
          <w:tblHeader/>
        </w:trPr>
        <w:tc>
          <w:tcPr>
            <w:tcW w:w="1668" w:type="dxa"/>
            <w:tcBorders>
              <w:top w:val="single" w:sz="4" w:space="0" w:color="auto"/>
              <w:bottom w:val="single" w:sz="4" w:space="0" w:color="auto"/>
            </w:tcBorders>
            <w:shd w:val="clear" w:color="auto" w:fill="auto"/>
          </w:tcPr>
          <w:p w:rsidR="00F524FB" w:rsidRPr="0087485F" w:rsidRDefault="00F524FB" w:rsidP="00D907AF">
            <w:pPr>
              <w:spacing w:before="20" w:after="20"/>
              <w:rPr>
                <w:rFonts w:cstheme="minorHAnsi"/>
                <w:sz w:val="20"/>
                <w:szCs w:val="20"/>
              </w:rPr>
            </w:pPr>
            <w:bookmarkStart w:id="282" w:name="Title_3_29"/>
            <w:bookmarkEnd w:id="282"/>
          </w:p>
        </w:tc>
        <w:tc>
          <w:tcPr>
            <w:tcW w:w="1015" w:type="dxa"/>
            <w:tcBorders>
              <w:top w:val="single" w:sz="4" w:space="0" w:color="auto"/>
              <w:bottom w:val="single" w:sz="4" w:space="0" w:color="auto"/>
            </w:tcBorders>
            <w:shd w:val="clear" w:color="auto" w:fill="auto"/>
          </w:tcPr>
          <w:p w:rsidR="00F524FB" w:rsidRPr="0087485F" w:rsidRDefault="00F524FB" w:rsidP="002635F0">
            <w:pPr>
              <w:spacing w:before="20" w:after="20"/>
              <w:jc w:val="center"/>
              <w:rPr>
                <w:rFonts w:cstheme="minorHAnsi"/>
                <w:sz w:val="20"/>
                <w:szCs w:val="20"/>
              </w:rPr>
            </w:pPr>
            <w:r>
              <w:rPr>
                <w:rFonts w:cstheme="minorHAnsi"/>
                <w:sz w:val="20"/>
                <w:szCs w:val="20"/>
              </w:rPr>
              <w:t>Children</w:t>
            </w:r>
            <w:r w:rsidR="00405F53">
              <w:rPr>
                <w:rFonts w:cstheme="minorHAnsi"/>
                <w:sz w:val="20"/>
                <w:szCs w:val="20"/>
              </w:rPr>
              <w:t xml:space="preserve"> Cases</w:t>
            </w:r>
          </w:p>
        </w:tc>
        <w:tc>
          <w:tcPr>
            <w:tcW w:w="1111" w:type="dxa"/>
            <w:tcBorders>
              <w:top w:val="single" w:sz="4" w:space="0" w:color="auto"/>
              <w:bottom w:val="single" w:sz="4" w:space="0" w:color="auto"/>
            </w:tcBorders>
            <w:shd w:val="clear" w:color="auto" w:fill="auto"/>
          </w:tcPr>
          <w:p w:rsidR="00884536" w:rsidRDefault="00F524FB" w:rsidP="002635F0">
            <w:pPr>
              <w:spacing w:before="20" w:after="20"/>
              <w:jc w:val="center"/>
              <w:rPr>
                <w:rFonts w:cstheme="minorHAnsi"/>
                <w:sz w:val="20"/>
                <w:szCs w:val="20"/>
              </w:rPr>
            </w:pPr>
            <w:r>
              <w:rPr>
                <w:rFonts w:cstheme="minorHAnsi"/>
                <w:sz w:val="20"/>
                <w:szCs w:val="20"/>
              </w:rPr>
              <w:t>Children</w:t>
            </w:r>
            <w:r w:rsidR="00A1480B">
              <w:rPr>
                <w:rFonts w:cstheme="minorHAnsi"/>
                <w:sz w:val="20"/>
                <w:szCs w:val="20"/>
              </w:rPr>
              <w:t xml:space="preserve"> </w:t>
            </w:r>
          </w:p>
          <w:p w:rsidR="00F524FB" w:rsidRPr="0087485F" w:rsidRDefault="00A1480B" w:rsidP="002635F0">
            <w:pPr>
              <w:spacing w:before="20" w:after="20"/>
              <w:jc w:val="center"/>
              <w:rPr>
                <w:rFonts w:cstheme="minorHAnsi"/>
                <w:sz w:val="20"/>
                <w:szCs w:val="20"/>
              </w:rPr>
            </w:pPr>
            <w:r>
              <w:rPr>
                <w:rFonts w:cstheme="minorHAnsi"/>
                <w:sz w:val="20"/>
                <w:szCs w:val="20"/>
              </w:rPr>
              <w:t>%</w:t>
            </w:r>
          </w:p>
        </w:tc>
        <w:tc>
          <w:tcPr>
            <w:tcW w:w="921" w:type="dxa"/>
            <w:tcBorders>
              <w:top w:val="single" w:sz="4" w:space="0" w:color="auto"/>
              <w:bottom w:val="single" w:sz="4" w:space="0" w:color="auto"/>
            </w:tcBorders>
            <w:shd w:val="clear" w:color="auto" w:fill="auto"/>
          </w:tcPr>
          <w:p w:rsidR="00F524FB" w:rsidRPr="0087485F" w:rsidRDefault="00F524FB" w:rsidP="002635F0">
            <w:pPr>
              <w:spacing w:before="20" w:after="20"/>
              <w:jc w:val="center"/>
              <w:rPr>
                <w:rFonts w:cstheme="minorHAnsi"/>
                <w:sz w:val="20"/>
                <w:szCs w:val="20"/>
              </w:rPr>
            </w:pPr>
            <w:r w:rsidRPr="0087485F">
              <w:rPr>
                <w:rFonts w:cstheme="minorHAnsi"/>
                <w:sz w:val="20"/>
                <w:szCs w:val="20"/>
              </w:rPr>
              <w:t>Adults</w:t>
            </w:r>
            <w:r w:rsidR="00405F53">
              <w:rPr>
                <w:rFonts w:cstheme="minorHAnsi"/>
                <w:sz w:val="20"/>
                <w:szCs w:val="20"/>
              </w:rPr>
              <w:t xml:space="preserve"> Cases</w:t>
            </w:r>
          </w:p>
        </w:tc>
        <w:tc>
          <w:tcPr>
            <w:tcW w:w="1016" w:type="dxa"/>
            <w:tcBorders>
              <w:top w:val="single" w:sz="4" w:space="0" w:color="auto"/>
              <w:bottom w:val="single" w:sz="4" w:space="0" w:color="auto"/>
            </w:tcBorders>
            <w:shd w:val="clear" w:color="auto" w:fill="auto"/>
          </w:tcPr>
          <w:p w:rsidR="00884536" w:rsidRDefault="00F524FB" w:rsidP="002635F0">
            <w:pPr>
              <w:spacing w:before="20" w:after="20"/>
              <w:jc w:val="center"/>
              <w:rPr>
                <w:rFonts w:cstheme="minorHAnsi"/>
                <w:sz w:val="20"/>
                <w:szCs w:val="20"/>
              </w:rPr>
            </w:pPr>
            <w:r>
              <w:rPr>
                <w:rFonts w:cstheme="minorHAnsi"/>
                <w:sz w:val="20"/>
                <w:szCs w:val="20"/>
              </w:rPr>
              <w:t>Adults</w:t>
            </w:r>
            <w:r w:rsidR="00A1480B">
              <w:rPr>
                <w:rFonts w:cstheme="minorHAnsi"/>
                <w:sz w:val="20"/>
                <w:szCs w:val="20"/>
              </w:rPr>
              <w:t xml:space="preserve"> </w:t>
            </w:r>
          </w:p>
          <w:p w:rsidR="00F524FB" w:rsidRPr="0087485F" w:rsidRDefault="00A1480B" w:rsidP="002635F0">
            <w:pPr>
              <w:spacing w:before="20" w:after="20"/>
              <w:jc w:val="center"/>
              <w:rPr>
                <w:rFonts w:cstheme="minorHAnsi"/>
                <w:sz w:val="20"/>
                <w:szCs w:val="20"/>
              </w:rPr>
            </w:pPr>
            <w:r>
              <w:rPr>
                <w:rFonts w:cstheme="minorHAnsi"/>
                <w:sz w:val="20"/>
                <w:szCs w:val="20"/>
              </w:rPr>
              <w:t>%</w:t>
            </w:r>
          </w:p>
        </w:tc>
        <w:tc>
          <w:tcPr>
            <w:tcW w:w="1016" w:type="dxa"/>
            <w:tcBorders>
              <w:top w:val="single" w:sz="4" w:space="0" w:color="auto"/>
              <w:bottom w:val="single" w:sz="4" w:space="0" w:color="auto"/>
            </w:tcBorders>
            <w:shd w:val="clear" w:color="auto" w:fill="auto"/>
          </w:tcPr>
          <w:p w:rsidR="00F524FB" w:rsidRPr="0087485F" w:rsidRDefault="00F524FB" w:rsidP="002635F0">
            <w:pPr>
              <w:spacing w:before="20" w:after="20"/>
              <w:jc w:val="center"/>
              <w:rPr>
                <w:rFonts w:cstheme="minorHAnsi"/>
                <w:sz w:val="20"/>
                <w:szCs w:val="20"/>
              </w:rPr>
            </w:pPr>
            <w:r w:rsidRPr="0087485F">
              <w:rPr>
                <w:rFonts w:cstheme="minorHAnsi"/>
                <w:sz w:val="20"/>
                <w:szCs w:val="20"/>
              </w:rPr>
              <w:t>Total</w:t>
            </w:r>
            <w:r w:rsidR="00405F53">
              <w:rPr>
                <w:rFonts w:cstheme="minorHAnsi"/>
                <w:sz w:val="20"/>
                <w:szCs w:val="20"/>
              </w:rPr>
              <w:t xml:space="preserve"> Cases</w:t>
            </w:r>
          </w:p>
        </w:tc>
        <w:tc>
          <w:tcPr>
            <w:tcW w:w="1016" w:type="dxa"/>
            <w:tcBorders>
              <w:top w:val="single" w:sz="4" w:space="0" w:color="auto"/>
              <w:bottom w:val="single" w:sz="4" w:space="0" w:color="auto"/>
            </w:tcBorders>
            <w:shd w:val="clear" w:color="auto" w:fill="auto"/>
          </w:tcPr>
          <w:p w:rsidR="00884536" w:rsidRDefault="00F524FB" w:rsidP="002635F0">
            <w:pPr>
              <w:spacing w:before="20" w:after="20"/>
              <w:jc w:val="center"/>
              <w:rPr>
                <w:rFonts w:cstheme="minorHAnsi"/>
                <w:sz w:val="20"/>
                <w:szCs w:val="20"/>
              </w:rPr>
            </w:pPr>
            <w:r>
              <w:rPr>
                <w:rFonts w:cstheme="minorHAnsi"/>
                <w:sz w:val="20"/>
                <w:szCs w:val="20"/>
              </w:rPr>
              <w:t>Total</w:t>
            </w:r>
            <w:r w:rsidR="00A1480B">
              <w:rPr>
                <w:rFonts w:cstheme="minorHAnsi"/>
                <w:sz w:val="20"/>
                <w:szCs w:val="20"/>
              </w:rPr>
              <w:t xml:space="preserve"> </w:t>
            </w:r>
          </w:p>
          <w:p w:rsidR="00F524FB" w:rsidRPr="0087485F" w:rsidRDefault="00A1480B" w:rsidP="002635F0">
            <w:pPr>
              <w:spacing w:before="20" w:after="20"/>
              <w:jc w:val="center"/>
              <w:rPr>
                <w:rFonts w:cstheme="minorHAnsi"/>
                <w:sz w:val="20"/>
                <w:szCs w:val="20"/>
              </w:rPr>
            </w:pPr>
            <w:r>
              <w:rPr>
                <w:rFonts w:cstheme="minorHAnsi"/>
                <w:sz w:val="20"/>
                <w:szCs w:val="20"/>
              </w:rPr>
              <w:t>%</w:t>
            </w:r>
          </w:p>
        </w:tc>
      </w:tr>
      <w:tr w:rsidR="00D907AF" w:rsidRPr="0087485F" w:rsidTr="00A1480B">
        <w:trPr>
          <w:tblHeader/>
        </w:trPr>
        <w:tc>
          <w:tcPr>
            <w:tcW w:w="1668"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Full time</w:t>
            </w:r>
          </w:p>
        </w:tc>
        <w:tc>
          <w:tcPr>
            <w:tcW w:w="1015" w:type="dxa"/>
            <w:shd w:val="clear" w:color="auto" w:fill="auto"/>
            <w:vAlign w:val="center"/>
          </w:tcPr>
          <w:p w:rsidR="00D907AF" w:rsidRPr="0087485F" w:rsidRDefault="00D907AF" w:rsidP="00693109">
            <w:pPr>
              <w:spacing w:before="20" w:after="20"/>
              <w:ind w:right="170"/>
              <w:jc w:val="right"/>
              <w:rPr>
                <w:rFonts w:cstheme="minorHAnsi"/>
                <w:color w:val="000000"/>
                <w:sz w:val="20"/>
                <w:szCs w:val="20"/>
              </w:rPr>
            </w:pPr>
            <w:r w:rsidRPr="0087485F">
              <w:rPr>
                <w:rFonts w:cstheme="minorHAnsi"/>
                <w:color w:val="000000"/>
                <w:sz w:val="20"/>
                <w:szCs w:val="20"/>
              </w:rPr>
              <w:t>452</w:t>
            </w:r>
          </w:p>
        </w:tc>
        <w:tc>
          <w:tcPr>
            <w:tcW w:w="1111" w:type="dxa"/>
            <w:shd w:val="clear" w:color="auto" w:fill="auto"/>
            <w:vAlign w:val="center"/>
          </w:tcPr>
          <w:p w:rsidR="00D907AF" w:rsidRPr="0087485F" w:rsidRDefault="00D907AF" w:rsidP="00693109">
            <w:pPr>
              <w:spacing w:before="20" w:after="20"/>
              <w:ind w:right="170"/>
              <w:jc w:val="right"/>
              <w:rPr>
                <w:rFonts w:cstheme="minorHAnsi"/>
                <w:color w:val="000000"/>
                <w:sz w:val="20"/>
                <w:szCs w:val="20"/>
              </w:rPr>
            </w:pPr>
            <w:r w:rsidRPr="0087485F">
              <w:rPr>
                <w:rFonts w:cstheme="minorHAnsi"/>
                <w:color w:val="000000"/>
                <w:sz w:val="20"/>
                <w:szCs w:val="20"/>
              </w:rPr>
              <w:t>93.2</w:t>
            </w:r>
          </w:p>
        </w:tc>
        <w:tc>
          <w:tcPr>
            <w:tcW w:w="921" w:type="dxa"/>
            <w:shd w:val="clear" w:color="auto" w:fill="auto"/>
            <w:vAlign w:val="center"/>
          </w:tcPr>
          <w:p w:rsidR="00D907AF" w:rsidRPr="0087485F" w:rsidRDefault="00D907AF" w:rsidP="00693109">
            <w:pPr>
              <w:spacing w:before="20" w:after="20"/>
              <w:ind w:right="170"/>
              <w:jc w:val="right"/>
              <w:rPr>
                <w:rFonts w:cstheme="minorHAnsi"/>
                <w:color w:val="000000"/>
                <w:sz w:val="20"/>
                <w:szCs w:val="20"/>
              </w:rPr>
            </w:pPr>
            <w:r w:rsidRPr="0087485F">
              <w:rPr>
                <w:rFonts w:cstheme="minorHAnsi"/>
                <w:color w:val="000000"/>
                <w:sz w:val="20"/>
                <w:szCs w:val="20"/>
              </w:rPr>
              <w:t>97</w:t>
            </w:r>
          </w:p>
        </w:tc>
        <w:tc>
          <w:tcPr>
            <w:tcW w:w="1016" w:type="dxa"/>
            <w:shd w:val="clear" w:color="auto" w:fill="auto"/>
            <w:vAlign w:val="center"/>
          </w:tcPr>
          <w:p w:rsidR="00D907AF" w:rsidRPr="0087485F" w:rsidRDefault="00D907AF" w:rsidP="00693109">
            <w:pPr>
              <w:spacing w:before="20" w:after="20"/>
              <w:ind w:right="170"/>
              <w:jc w:val="right"/>
              <w:rPr>
                <w:rFonts w:cstheme="minorHAnsi"/>
                <w:color w:val="000000"/>
                <w:sz w:val="20"/>
                <w:szCs w:val="20"/>
              </w:rPr>
            </w:pPr>
            <w:r w:rsidRPr="0087485F">
              <w:rPr>
                <w:rFonts w:cstheme="minorHAnsi"/>
                <w:color w:val="000000"/>
                <w:sz w:val="20"/>
                <w:szCs w:val="20"/>
              </w:rPr>
              <w:t>58.1</w:t>
            </w:r>
          </w:p>
        </w:tc>
        <w:tc>
          <w:tcPr>
            <w:tcW w:w="1016" w:type="dxa"/>
            <w:shd w:val="clear" w:color="auto" w:fill="auto"/>
            <w:vAlign w:val="center"/>
          </w:tcPr>
          <w:p w:rsidR="00D907AF" w:rsidRPr="0087485F" w:rsidRDefault="00D907AF" w:rsidP="00693109">
            <w:pPr>
              <w:spacing w:before="20" w:after="20"/>
              <w:ind w:right="170"/>
              <w:jc w:val="right"/>
              <w:rPr>
                <w:rFonts w:cstheme="minorHAnsi"/>
                <w:color w:val="000000"/>
                <w:sz w:val="20"/>
                <w:szCs w:val="20"/>
              </w:rPr>
            </w:pPr>
            <w:r w:rsidRPr="0087485F">
              <w:rPr>
                <w:rFonts w:cstheme="minorHAnsi"/>
                <w:color w:val="000000"/>
                <w:sz w:val="20"/>
                <w:szCs w:val="20"/>
              </w:rPr>
              <w:t>549</w:t>
            </w:r>
          </w:p>
        </w:tc>
        <w:tc>
          <w:tcPr>
            <w:tcW w:w="1016" w:type="dxa"/>
            <w:shd w:val="clear" w:color="auto" w:fill="auto"/>
            <w:vAlign w:val="center"/>
          </w:tcPr>
          <w:p w:rsidR="00D907AF" w:rsidRPr="0087485F" w:rsidRDefault="00D907AF" w:rsidP="00693109">
            <w:pPr>
              <w:spacing w:before="20" w:after="20"/>
              <w:ind w:right="170"/>
              <w:jc w:val="right"/>
              <w:rPr>
                <w:rFonts w:cstheme="minorHAnsi"/>
                <w:color w:val="000000"/>
                <w:sz w:val="20"/>
                <w:szCs w:val="20"/>
              </w:rPr>
            </w:pPr>
            <w:r w:rsidRPr="0087485F">
              <w:rPr>
                <w:rFonts w:cstheme="minorHAnsi"/>
                <w:color w:val="000000"/>
                <w:sz w:val="20"/>
                <w:szCs w:val="20"/>
              </w:rPr>
              <w:t>84.2</w:t>
            </w:r>
          </w:p>
        </w:tc>
      </w:tr>
      <w:tr w:rsidR="00D907AF" w:rsidRPr="0087485F" w:rsidTr="00A1480B">
        <w:tc>
          <w:tcPr>
            <w:tcW w:w="1668"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Part time</w:t>
            </w:r>
          </w:p>
        </w:tc>
        <w:tc>
          <w:tcPr>
            <w:tcW w:w="1015" w:type="dxa"/>
            <w:shd w:val="clear" w:color="auto" w:fill="auto"/>
            <w:vAlign w:val="center"/>
          </w:tcPr>
          <w:p w:rsidR="00D907AF" w:rsidRPr="0087485F" w:rsidRDefault="00D907AF" w:rsidP="00693109">
            <w:pPr>
              <w:spacing w:before="20" w:after="20"/>
              <w:ind w:right="170"/>
              <w:jc w:val="right"/>
              <w:rPr>
                <w:rFonts w:cstheme="minorHAnsi"/>
                <w:color w:val="000000"/>
                <w:sz w:val="20"/>
                <w:szCs w:val="20"/>
              </w:rPr>
            </w:pPr>
            <w:r w:rsidRPr="0087485F">
              <w:rPr>
                <w:rFonts w:cstheme="minorHAnsi"/>
                <w:color w:val="000000"/>
                <w:sz w:val="20"/>
                <w:szCs w:val="20"/>
              </w:rPr>
              <w:t>19</w:t>
            </w:r>
          </w:p>
        </w:tc>
        <w:tc>
          <w:tcPr>
            <w:tcW w:w="1111" w:type="dxa"/>
            <w:shd w:val="clear" w:color="auto" w:fill="auto"/>
            <w:vAlign w:val="center"/>
          </w:tcPr>
          <w:p w:rsidR="00D907AF" w:rsidRPr="0087485F" w:rsidRDefault="00D907AF" w:rsidP="00693109">
            <w:pPr>
              <w:spacing w:before="20" w:after="20"/>
              <w:ind w:right="170"/>
              <w:jc w:val="right"/>
              <w:rPr>
                <w:rFonts w:cstheme="minorHAnsi"/>
                <w:color w:val="000000"/>
                <w:sz w:val="20"/>
                <w:szCs w:val="20"/>
              </w:rPr>
            </w:pPr>
            <w:r w:rsidRPr="0087485F">
              <w:rPr>
                <w:rFonts w:cstheme="minorHAnsi"/>
                <w:color w:val="000000"/>
                <w:sz w:val="20"/>
                <w:szCs w:val="20"/>
              </w:rPr>
              <w:t>3.9</w:t>
            </w:r>
          </w:p>
        </w:tc>
        <w:tc>
          <w:tcPr>
            <w:tcW w:w="921" w:type="dxa"/>
            <w:shd w:val="clear" w:color="auto" w:fill="auto"/>
            <w:vAlign w:val="center"/>
          </w:tcPr>
          <w:p w:rsidR="00D907AF" w:rsidRPr="0087485F" w:rsidRDefault="00D907AF" w:rsidP="00693109">
            <w:pPr>
              <w:spacing w:before="20" w:after="20"/>
              <w:ind w:right="170"/>
              <w:jc w:val="right"/>
              <w:rPr>
                <w:rFonts w:cstheme="minorHAnsi"/>
                <w:color w:val="000000"/>
                <w:sz w:val="20"/>
                <w:szCs w:val="20"/>
              </w:rPr>
            </w:pPr>
            <w:r w:rsidRPr="0087485F">
              <w:rPr>
                <w:rFonts w:cstheme="minorHAnsi"/>
                <w:color w:val="000000"/>
                <w:sz w:val="20"/>
                <w:szCs w:val="20"/>
              </w:rPr>
              <w:t>51</w:t>
            </w:r>
          </w:p>
        </w:tc>
        <w:tc>
          <w:tcPr>
            <w:tcW w:w="1016" w:type="dxa"/>
            <w:shd w:val="clear" w:color="auto" w:fill="auto"/>
            <w:vAlign w:val="center"/>
          </w:tcPr>
          <w:p w:rsidR="00D907AF" w:rsidRPr="0087485F" w:rsidRDefault="00D907AF" w:rsidP="00693109">
            <w:pPr>
              <w:spacing w:before="20" w:after="20"/>
              <w:ind w:right="170"/>
              <w:jc w:val="right"/>
              <w:rPr>
                <w:rFonts w:cstheme="minorHAnsi"/>
                <w:color w:val="000000"/>
                <w:sz w:val="20"/>
                <w:szCs w:val="20"/>
              </w:rPr>
            </w:pPr>
            <w:r w:rsidRPr="0087485F">
              <w:rPr>
                <w:rFonts w:cstheme="minorHAnsi"/>
                <w:color w:val="000000"/>
                <w:sz w:val="20"/>
                <w:szCs w:val="20"/>
              </w:rPr>
              <w:t>30.5</w:t>
            </w:r>
          </w:p>
        </w:tc>
        <w:tc>
          <w:tcPr>
            <w:tcW w:w="1016" w:type="dxa"/>
            <w:shd w:val="clear" w:color="auto" w:fill="auto"/>
            <w:vAlign w:val="center"/>
          </w:tcPr>
          <w:p w:rsidR="00D907AF" w:rsidRPr="0087485F" w:rsidRDefault="00D907AF" w:rsidP="00693109">
            <w:pPr>
              <w:spacing w:before="20" w:after="20"/>
              <w:ind w:right="170"/>
              <w:jc w:val="right"/>
              <w:rPr>
                <w:rFonts w:cstheme="minorHAnsi"/>
                <w:color w:val="000000"/>
                <w:sz w:val="20"/>
                <w:szCs w:val="20"/>
              </w:rPr>
            </w:pPr>
            <w:r w:rsidRPr="0087485F">
              <w:rPr>
                <w:rFonts w:cstheme="minorHAnsi"/>
                <w:color w:val="000000"/>
                <w:sz w:val="20"/>
                <w:szCs w:val="20"/>
              </w:rPr>
              <w:t>70</w:t>
            </w:r>
          </w:p>
        </w:tc>
        <w:tc>
          <w:tcPr>
            <w:tcW w:w="1016" w:type="dxa"/>
            <w:shd w:val="clear" w:color="auto" w:fill="auto"/>
            <w:vAlign w:val="center"/>
          </w:tcPr>
          <w:p w:rsidR="00D907AF" w:rsidRPr="0087485F" w:rsidRDefault="00D907AF" w:rsidP="00693109">
            <w:pPr>
              <w:spacing w:before="20" w:after="20"/>
              <w:ind w:right="170"/>
              <w:jc w:val="right"/>
              <w:rPr>
                <w:rFonts w:cstheme="minorHAnsi"/>
                <w:color w:val="000000"/>
                <w:sz w:val="20"/>
                <w:szCs w:val="20"/>
              </w:rPr>
            </w:pPr>
            <w:r w:rsidRPr="0087485F">
              <w:rPr>
                <w:rFonts w:cstheme="minorHAnsi"/>
                <w:color w:val="000000"/>
                <w:sz w:val="20"/>
                <w:szCs w:val="20"/>
              </w:rPr>
              <w:t>10.7</w:t>
            </w:r>
          </w:p>
        </w:tc>
      </w:tr>
      <w:tr w:rsidR="00D907AF" w:rsidRPr="0087485F" w:rsidTr="00203657">
        <w:trPr>
          <w:cantSplit/>
        </w:trPr>
        <w:tc>
          <w:tcPr>
            <w:tcW w:w="1668" w:type="dxa"/>
          </w:tcPr>
          <w:p w:rsidR="00D907AF" w:rsidRPr="0087485F" w:rsidRDefault="00D907AF" w:rsidP="00D907AF">
            <w:pPr>
              <w:spacing w:before="20" w:after="20"/>
              <w:rPr>
                <w:rFonts w:cstheme="minorHAnsi"/>
                <w:sz w:val="20"/>
                <w:szCs w:val="20"/>
              </w:rPr>
            </w:pPr>
            <w:r w:rsidRPr="0087485F">
              <w:rPr>
                <w:rFonts w:cstheme="minorHAnsi"/>
                <w:sz w:val="20"/>
                <w:szCs w:val="20"/>
              </w:rPr>
              <w:t>Don’t know</w:t>
            </w:r>
          </w:p>
        </w:tc>
        <w:tc>
          <w:tcPr>
            <w:tcW w:w="1015" w:type="dxa"/>
          </w:tcPr>
          <w:p w:rsidR="00D907AF" w:rsidRPr="0087485F" w:rsidRDefault="00D907AF" w:rsidP="00693109">
            <w:pPr>
              <w:spacing w:before="20" w:after="20"/>
              <w:ind w:right="170"/>
              <w:jc w:val="right"/>
              <w:rPr>
                <w:rFonts w:cstheme="minorHAnsi"/>
                <w:color w:val="000000"/>
                <w:sz w:val="20"/>
                <w:szCs w:val="20"/>
              </w:rPr>
            </w:pPr>
            <w:r w:rsidRPr="0087485F">
              <w:rPr>
                <w:rFonts w:cstheme="minorHAnsi"/>
                <w:color w:val="000000"/>
                <w:sz w:val="20"/>
                <w:szCs w:val="20"/>
              </w:rPr>
              <w:t>0</w:t>
            </w:r>
          </w:p>
        </w:tc>
        <w:tc>
          <w:tcPr>
            <w:tcW w:w="1111" w:type="dxa"/>
          </w:tcPr>
          <w:p w:rsidR="00D907AF" w:rsidRPr="0087485F" w:rsidRDefault="00D907AF" w:rsidP="00693109">
            <w:pPr>
              <w:spacing w:before="20" w:after="20"/>
              <w:ind w:right="170"/>
              <w:jc w:val="right"/>
              <w:rPr>
                <w:rFonts w:cstheme="minorHAnsi"/>
                <w:color w:val="000000"/>
                <w:sz w:val="20"/>
                <w:szCs w:val="20"/>
              </w:rPr>
            </w:pPr>
            <w:r w:rsidRPr="0087485F">
              <w:rPr>
                <w:rFonts w:cstheme="minorHAnsi"/>
                <w:color w:val="000000"/>
                <w:sz w:val="20"/>
                <w:szCs w:val="20"/>
              </w:rPr>
              <w:t>0.0</w:t>
            </w:r>
          </w:p>
        </w:tc>
        <w:tc>
          <w:tcPr>
            <w:tcW w:w="921" w:type="dxa"/>
          </w:tcPr>
          <w:p w:rsidR="00D907AF" w:rsidRPr="0087485F" w:rsidRDefault="00D907AF" w:rsidP="00693109">
            <w:pPr>
              <w:spacing w:before="20" w:after="20"/>
              <w:ind w:right="170"/>
              <w:jc w:val="right"/>
              <w:rPr>
                <w:rFonts w:cstheme="minorHAnsi"/>
                <w:color w:val="000000"/>
                <w:sz w:val="20"/>
                <w:szCs w:val="20"/>
              </w:rPr>
            </w:pPr>
            <w:r w:rsidRPr="0087485F">
              <w:rPr>
                <w:rFonts w:cstheme="minorHAnsi"/>
                <w:color w:val="000000"/>
                <w:sz w:val="20"/>
                <w:szCs w:val="20"/>
              </w:rPr>
              <w:t>8</w:t>
            </w:r>
          </w:p>
        </w:tc>
        <w:tc>
          <w:tcPr>
            <w:tcW w:w="1016" w:type="dxa"/>
          </w:tcPr>
          <w:p w:rsidR="00D907AF" w:rsidRPr="0087485F" w:rsidRDefault="00D907AF" w:rsidP="00693109">
            <w:pPr>
              <w:spacing w:before="20" w:after="20"/>
              <w:ind w:right="170"/>
              <w:jc w:val="right"/>
              <w:rPr>
                <w:rFonts w:cstheme="minorHAnsi"/>
                <w:color w:val="000000"/>
                <w:sz w:val="20"/>
                <w:szCs w:val="20"/>
              </w:rPr>
            </w:pPr>
            <w:r w:rsidRPr="0087485F">
              <w:rPr>
                <w:rFonts w:cstheme="minorHAnsi"/>
                <w:color w:val="000000"/>
                <w:sz w:val="20"/>
                <w:szCs w:val="20"/>
              </w:rPr>
              <w:t>4.8</w:t>
            </w:r>
          </w:p>
        </w:tc>
        <w:tc>
          <w:tcPr>
            <w:tcW w:w="1016" w:type="dxa"/>
          </w:tcPr>
          <w:p w:rsidR="00D907AF" w:rsidRPr="0087485F" w:rsidRDefault="00D907AF" w:rsidP="00693109">
            <w:pPr>
              <w:spacing w:before="20" w:after="20"/>
              <w:ind w:right="170"/>
              <w:jc w:val="right"/>
              <w:rPr>
                <w:rFonts w:cstheme="minorHAnsi"/>
                <w:color w:val="000000"/>
                <w:sz w:val="20"/>
                <w:szCs w:val="20"/>
              </w:rPr>
            </w:pPr>
            <w:r w:rsidRPr="0087485F">
              <w:rPr>
                <w:rFonts w:cstheme="minorHAnsi"/>
                <w:color w:val="000000"/>
                <w:sz w:val="20"/>
                <w:szCs w:val="20"/>
              </w:rPr>
              <w:t>8</w:t>
            </w:r>
          </w:p>
        </w:tc>
        <w:tc>
          <w:tcPr>
            <w:tcW w:w="1016" w:type="dxa"/>
          </w:tcPr>
          <w:p w:rsidR="00D907AF" w:rsidRPr="0087485F" w:rsidRDefault="00D907AF" w:rsidP="00693109">
            <w:pPr>
              <w:spacing w:before="20" w:after="20"/>
              <w:ind w:right="170"/>
              <w:jc w:val="right"/>
              <w:rPr>
                <w:rFonts w:cstheme="minorHAnsi"/>
                <w:color w:val="000000"/>
                <w:sz w:val="20"/>
                <w:szCs w:val="20"/>
              </w:rPr>
            </w:pPr>
            <w:r w:rsidRPr="0087485F">
              <w:rPr>
                <w:rFonts w:cstheme="minorHAnsi"/>
                <w:color w:val="000000"/>
                <w:sz w:val="20"/>
                <w:szCs w:val="20"/>
              </w:rPr>
              <w:t>1.2</w:t>
            </w:r>
          </w:p>
        </w:tc>
      </w:tr>
      <w:tr w:rsidR="00D907AF" w:rsidRPr="0087485F" w:rsidTr="00A1480B">
        <w:tc>
          <w:tcPr>
            <w:tcW w:w="1668" w:type="dxa"/>
            <w:tcBorders>
              <w:bottom w:val="single" w:sz="4" w:space="0" w:color="auto"/>
            </w:tcBorders>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 xml:space="preserve">Missing </w:t>
            </w:r>
          </w:p>
        </w:tc>
        <w:tc>
          <w:tcPr>
            <w:tcW w:w="1015" w:type="dxa"/>
            <w:tcBorders>
              <w:bottom w:val="single" w:sz="4" w:space="0" w:color="auto"/>
            </w:tcBorders>
            <w:shd w:val="clear" w:color="auto" w:fill="auto"/>
            <w:vAlign w:val="center"/>
          </w:tcPr>
          <w:p w:rsidR="00D907AF" w:rsidRPr="0087485F" w:rsidRDefault="00D907AF" w:rsidP="00693109">
            <w:pPr>
              <w:spacing w:before="20" w:after="20"/>
              <w:ind w:right="170"/>
              <w:jc w:val="right"/>
              <w:rPr>
                <w:rFonts w:cstheme="minorHAnsi"/>
                <w:color w:val="000000"/>
                <w:sz w:val="20"/>
                <w:szCs w:val="20"/>
              </w:rPr>
            </w:pPr>
            <w:r w:rsidRPr="0087485F">
              <w:rPr>
                <w:rFonts w:cstheme="minorHAnsi"/>
                <w:color w:val="000000"/>
                <w:sz w:val="20"/>
                <w:szCs w:val="20"/>
              </w:rPr>
              <w:t>14</w:t>
            </w:r>
          </w:p>
        </w:tc>
        <w:tc>
          <w:tcPr>
            <w:tcW w:w="1111" w:type="dxa"/>
            <w:tcBorders>
              <w:bottom w:val="single" w:sz="4" w:space="0" w:color="auto"/>
            </w:tcBorders>
            <w:shd w:val="clear" w:color="auto" w:fill="auto"/>
            <w:vAlign w:val="center"/>
          </w:tcPr>
          <w:p w:rsidR="00D907AF" w:rsidRPr="0087485F" w:rsidRDefault="00D907AF" w:rsidP="00693109">
            <w:pPr>
              <w:spacing w:before="20" w:after="20"/>
              <w:ind w:right="170"/>
              <w:jc w:val="right"/>
              <w:rPr>
                <w:rFonts w:cstheme="minorHAnsi"/>
                <w:color w:val="000000"/>
                <w:sz w:val="20"/>
                <w:szCs w:val="20"/>
              </w:rPr>
            </w:pPr>
            <w:r w:rsidRPr="0087485F">
              <w:rPr>
                <w:rFonts w:cstheme="minorHAnsi"/>
                <w:color w:val="000000"/>
                <w:sz w:val="20"/>
                <w:szCs w:val="20"/>
              </w:rPr>
              <w:t>2.9</w:t>
            </w:r>
          </w:p>
        </w:tc>
        <w:tc>
          <w:tcPr>
            <w:tcW w:w="921" w:type="dxa"/>
            <w:tcBorders>
              <w:bottom w:val="single" w:sz="4" w:space="0" w:color="auto"/>
            </w:tcBorders>
            <w:shd w:val="clear" w:color="auto" w:fill="auto"/>
            <w:vAlign w:val="center"/>
          </w:tcPr>
          <w:p w:rsidR="00D907AF" w:rsidRPr="0087485F" w:rsidRDefault="00D907AF" w:rsidP="00693109">
            <w:pPr>
              <w:spacing w:before="20" w:after="20"/>
              <w:ind w:right="170"/>
              <w:jc w:val="right"/>
              <w:rPr>
                <w:rFonts w:cstheme="minorHAnsi"/>
                <w:color w:val="000000"/>
                <w:sz w:val="20"/>
                <w:szCs w:val="20"/>
              </w:rPr>
            </w:pPr>
            <w:r w:rsidRPr="0087485F">
              <w:rPr>
                <w:rFonts w:cstheme="minorHAnsi"/>
                <w:color w:val="000000"/>
                <w:sz w:val="20"/>
                <w:szCs w:val="20"/>
              </w:rPr>
              <w:t>11</w:t>
            </w:r>
          </w:p>
        </w:tc>
        <w:tc>
          <w:tcPr>
            <w:tcW w:w="1016" w:type="dxa"/>
            <w:tcBorders>
              <w:bottom w:val="single" w:sz="4" w:space="0" w:color="auto"/>
            </w:tcBorders>
            <w:shd w:val="clear" w:color="auto" w:fill="auto"/>
            <w:vAlign w:val="center"/>
          </w:tcPr>
          <w:p w:rsidR="00D907AF" w:rsidRPr="0087485F" w:rsidRDefault="00D907AF" w:rsidP="00693109">
            <w:pPr>
              <w:spacing w:before="20" w:after="20"/>
              <w:ind w:right="170"/>
              <w:jc w:val="right"/>
              <w:rPr>
                <w:rFonts w:cstheme="minorHAnsi"/>
                <w:color w:val="000000"/>
                <w:sz w:val="20"/>
                <w:szCs w:val="20"/>
              </w:rPr>
            </w:pPr>
            <w:r w:rsidRPr="0087485F">
              <w:rPr>
                <w:rFonts w:cstheme="minorHAnsi"/>
                <w:color w:val="000000"/>
                <w:sz w:val="20"/>
                <w:szCs w:val="20"/>
              </w:rPr>
              <w:t>6.6</w:t>
            </w:r>
          </w:p>
        </w:tc>
        <w:tc>
          <w:tcPr>
            <w:tcW w:w="1016" w:type="dxa"/>
            <w:tcBorders>
              <w:bottom w:val="single" w:sz="4" w:space="0" w:color="auto"/>
            </w:tcBorders>
            <w:shd w:val="clear" w:color="auto" w:fill="auto"/>
            <w:vAlign w:val="center"/>
          </w:tcPr>
          <w:p w:rsidR="00D907AF" w:rsidRPr="0087485F" w:rsidRDefault="00D907AF" w:rsidP="00693109">
            <w:pPr>
              <w:spacing w:before="20" w:after="20"/>
              <w:ind w:right="170"/>
              <w:jc w:val="right"/>
              <w:rPr>
                <w:rFonts w:cstheme="minorHAnsi"/>
                <w:color w:val="000000"/>
                <w:sz w:val="20"/>
                <w:szCs w:val="20"/>
              </w:rPr>
            </w:pPr>
            <w:r w:rsidRPr="0087485F">
              <w:rPr>
                <w:rFonts w:cstheme="minorHAnsi"/>
                <w:color w:val="000000"/>
                <w:sz w:val="20"/>
                <w:szCs w:val="20"/>
              </w:rPr>
              <w:t>25</w:t>
            </w:r>
          </w:p>
        </w:tc>
        <w:tc>
          <w:tcPr>
            <w:tcW w:w="1016" w:type="dxa"/>
            <w:tcBorders>
              <w:bottom w:val="single" w:sz="4" w:space="0" w:color="auto"/>
            </w:tcBorders>
            <w:shd w:val="clear" w:color="auto" w:fill="auto"/>
            <w:vAlign w:val="center"/>
          </w:tcPr>
          <w:p w:rsidR="00D907AF" w:rsidRPr="0087485F" w:rsidRDefault="00D907AF" w:rsidP="00693109">
            <w:pPr>
              <w:spacing w:before="20" w:after="20"/>
              <w:ind w:right="170"/>
              <w:jc w:val="right"/>
              <w:rPr>
                <w:rFonts w:cstheme="minorHAnsi"/>
                <w:color w:val="000000"/>
                <w:sz w:val="20"/>
                <w:szCs w:val="20"/>
              </w:rPr>
            </w:pPr>
            <w:r w:rsidRPr="0087485F">
              <w:rPr>
                <w:rFonts w:cstheme="minorHAnsi"/>
                <w:color w:val="000000"/>
                <w:sz w:val="20"/>
                <w:szCs w:val="20"/>
              </w:rPr>
              <w:t>3.8</w:t>
            </w:r>
          </w:p>
        </w:tc>
      </w:tr>
      <w:tr w:rsidR="00D907AF" w:rsidRPr="00693109" w:rsidTr="00A1480B">
        <w:tc>
          <w:tcPr>
            <w:tcW w:w="1668" w:type="dxa"/>
            <w:tcBorders>
              <w:top w:val="single" w:sz="4" w:space="0" w:color="auto"/>
              <w:bottom w:val="single" w:sz="4" w:space="0" w:color="auto"/>
            </w:tcBorders>
            <w:shd w:val="clear" w:color="auto" w:fill="auto"/>
          </w:tcPr>
          <w:p w:rsidR="00D907AF" w:rsidRPr="0087485F" w:rsidRDefault="00D907AF" w:rsidP="00D907AF">
            <w:pPr>
              <w:spacing w:before="20" w:after="20"/>
              <w:rPr>
                <w:rFonts w:cstheme="minorHAnsi"/>
                <w:b/>
                <w:sz w:val="20"/>
                <w:szCs w:val="20"/>
              </w:rPr>
            </w:pPr>
            <w:r w:rsidRPr="0087485F">
              <w:rPr>
                <w:rFonts w:cstheme="minorHAnsi"/>
                <w:b/>
                <w:sz w:val="20"/>
                <w:szCs w:val="20"/>
              </w:rPr>
              <w:t>Total</w:t>
            </w:r>
          </w:p>
        </w:tc>
        <w:tc>
          <w:tcPr>
            <w:tcW w:w="1015" w:type="dxa"/>
            <w:tcBorders>
              <w:top w:val="single" w:sz="4" w:space="0" w:color="auto"/>
              <w:bottom w:val="single" w:sz="4" w:space="0" w:color="auto"/>
            </w:tcBorders>
            <w:shd w:val="clear" w:color="auto" w:fill="auto"/>
          </w:tcPr>
          <w:p w:rsidR="00D907AF" w:rsidRPr="00693109" w:rsidRDefault="00D907AF" w:rsidP="00693109">
            <w:pPr>
              <w:spacing w:before="20" w:after="20"/>
              <w:ind w:right="170"/>
              <w:jc w:val="right"/>
              <w:rPr>
                <w:rFonts w:cstheme="minorHAnsi"/>
                <w:b/>
                <w:sz w:val="20"/>
                <w:szCs w:val="20"/>
              </w:rPr>
            </w:pPr>
            <w:r w:rsidRPr="00693109">
              <w:rPr>
                <w:rFonts w:cstheme="minorHAnsi"/>
                <w:b/>
                <w:sz w:val="20"/>
                <w:szCs w:val="20"/>
              </w:rPr>
              <w:t>485</w:t>
            </w:r>
          </w:p>
        </w:tc>
        <w:tc>
          <w:tcPr>
            <w:tcW w:w="1111" w:type="dxa"/>
            <w:tcBorders>
              <w:top w:val="single" w:sz="4" w:space="0" w:color="auto"/>
              <w:bottom w:val="single" w:sz="4" w:space="0" w:color="auto"/>
            </w:tcBorders>
            <w:shd w:val="clear" w:color="auto" w:fill="auto"/>
          </w:tcPr>
          <w:p w:rsidR="00D907AF" w:rsidRPr="00693109" w:rsidRDefault="00D907AF" w:rsidP="00693109">
            <w:pPr>
              <w:spacing w:before="20" w:after="20"/>
              <w:ind w:right="170"/>
              <w:jc w:val="right"/>
              <w:rPr>
                <w:rFonts w:cstheme="minorHAnsi"/>
                <w:b/>
                <w:color w:val="000000"/>
                <w:sz w:val="20"/>
                <w:szCs w:val="20"/>
              </w:rPr>
            </w:pPr>
            <w:r w:rsidRPr="00693109">
              <w:rPr>
                <w:rFonts w:cstheme="minorHAnsi"/>
                <w:b/>
                <w:color w:val="000000"/>
                <w:sz w:val="20"/>
                <w:szCs w:val="20"/>
              </w:rPr>
              <w:t>100</w:t>
            </w:r>
          </w:p>
        </w:tc>
        <w:tc>
          <w:tcPr>
            <w:tcW w:w="921" w:type="dxa"/>
            <w:tcBorders>
              <w:top w:val="single" w:sz="4" w:space="0" w:color="auto"/>
              <w:bottom w:val="single" w:sz="4" w:space="0" w:color="auto"/>
            </w:tcBorders>
            <w:shd w:val="clear" w:color="auto" w:fill="auto"/>
          </w:tcPr>
          <w:p w:rsidR="00D907AF" w:rsidRPr="00693109" w:rsidRDefault="00D907AF" w:rsidP="00693109">
            <w:pPr>
              <w:spacing w:before="20" w:after="20"/>
              <w:ind w:right="170"/>
              <w:jc w:val="right"/>
              <w:rPr>
                <w:rFonts w:cstheme="minorHAnsi"/>
                <w:b/>
                <w:color w:val="000000"/>
                <w:sz w:val="20"/>
                <w:szCs w:val="20"/>
              </w:rPr>
            </w:pPr>
            <w:r w:rsidRPr="00693109">
              <w:rPr>
                <w:rFonts w:cstheme="minorHAnsi"/>
                <w:b/>
                <w:color w:val="000000"/>
                <w:sz w:val="20"/>
                <w:szCs w:val="20"/>
              </w:rPr>
              <w:t>167</w:t>
            </w:r>
          </w:p>
        </w:tc>
        <w:tc>
          <w:tcPr>
            <w:tcW w:w="1016" w:type="dxa"/>
            <w:tcBorders>
              <w:top w:val="single" w:sz="4" w:space="0" w:color="auto"/>
              <w:bottom w:val="single" w:sz="4" w:space="0" w:color="auto"/>
            </w:tcBorders>
            <w:shd w:val="clear" w:color="auto" w:fill="auto"/>
          </w:tcPr>
          <w:p w:rsidR="00D907AF" w:rsidRPr="00693109" w:rsidRDefault="00D907AF" w:rsidP="00693109">
            <w:pPr>
              <w:spacing w:before="20" w:after="20"/>
              <w:ind w:right="170"/>
              <w:jc w:val="right"/>
              <w:rPr>
                <w:rFonts w:cstheme="minorHAnsi"/>
                <w:b/>
                <w:color w:val="000000"/>
                <w:sz w:val="20"/>
                <w:szCs w:val="20"/>
              </w:rPr>
            </w:pPr>
            <w:r w:rsidRPr="00693109">
              <w:rPr>
                <w:rFonts w:cstheme="minorHAnsi"/>
                <w:b/>
                <w:color w:val="000000"/>
                <w:sz w:val="20"/>
                <w:szCs w:val="20"/>
              </w:rPr>
              <w:t>100</w:t>
            </w:r>
          </w:p>
        </w:tc>
        <w:tc>
          <w:tcPr>
            <w:tcW w:w="1016" w:type="dxa"/>
            <w:tcBorders>
              <w:top w:val="single" w:sz="4" w:space="0" w:color="auto"/>
              <w:bottom w:val="single" w:sz="4" w:space="0" w:color="auto"/>
            </w:tcBorders>
            <w:shd w:val="clear" w:color="auto" w:fill="auto"/>
          </w:tcPr>
          <w:p w:rsidR="00D907AF" w:rsidRPr="00693109" w:rsidRDefault="00D907AF" w:rsidP="00693109">
            <w:pPr>
              <w:spacing w:before="20" w:after="20"/>
              <w:ind w:right="170"/>
              <w:jc w:val="right"/>
              <w:rPr>
                <w:rFonts w:cstheme="minorHAnsi"/>
                <w:b/>
                <w:color w:val="000000"/>
                <w:sz w:val="20"/>
                <w:szCs w:val="20"/>
              </w:rPr>
            </w:pPr>
            <w:r w:rsidRPr="00693109">
              <w:rPr>
                <w:rFonts w:cstheme="minorHAnsi"/>
                <w:b/>
                <w:color w:val="000000"/>
                <w:sz w:val="20"/>
                <w:szCs w:val="20"/>
              </w:rPr>
              <w:t>652</w:t>
            </w:r>
          </w:p>
        </w:tc>
        <w:tc>
          <w:tcPr>
            <w:tcW w:w="1016" w:type="dxa"/>
            <w:tcBorders>
              <w:top w:val="single" w:sz="4" w:space="0" w:color="auto"/>
              <w:bottom w:val="single" w:sz="4" w:space="0" w:color="auto"/>
            </w:tcBorders>
            <w:shd w:val="clear" w:color="auto" w:fill="auto"/>
          </w:tcPr>
          <w:p w:rsidR="00D907AF" w:rsidRPr="00693109" w:rsidRDefault="00D907AF" w:rsidP="00693109">
            <w:pPr>
              <w:spacing w:before="20" w:after="20"/>
              <w:ind w:right="170"/>
              <w:jc w:val="right"/>
              <w:rPr>
                <w:rFonts w:cstheme="minorHAnsi"/>
                <w:b/>
                <w:color w:val="000000"/>
                <w:sz w:val="20"/>
                <w:szCs w:val="20"/>
              </w:rPr>
            </w:pPr>
            <w:r w:rsidRPr="00693109">
              <w:rPr>
                <w:rFonts w:cstheme="minorHAnsi"/>
                <w:b/>
                <w:color w:val="000000"/>
                <w:sz w:val="20"/>
                <w:szCs w:val="20"/>
              </w:rPr>
              <w:t>100</w:t>
            </w:r>
          </w:p>
        </w:tc>
      </w:tr>
    </w:tbl>
    <w:p w:rsidR="00D907AF" w:rsidRPr="00B01305" w:rsidRDefault="00D907AF" w:rsidP="001032EF">
      <w:pPr>
        <w:pStyle w:val="NILSReference"/>
      </w:pPr>
      <w:r w:rsidRPr="00B01305">
        <w:t xml:space="preserve">Note: </w:t>
      </w:r>
      <w:r>
        <w:t xml:space="preserve">trial and comparison all ages </w:t>
      </w:r>
      <w:r w:rsidRPr="00B01305">
        <w:t>in education (school or tertiary organisation)</w:t>
      </w:r>
    </w:p>
    <w:p w:rsidR="00953EE5" w:rsidRDefault="00953EE5" w:rsidP="00D907AF">
      <w:pPr>
        <w:rPr>
          <w:rFonts w:cstheme="minorHAnsi"/>
        </w:rPr>
      </w:pPr>
    </w:p>
    <w:p w:rsidR="00D907AF" w:rsidRDefault="00D907AF" w:rsidP="00D907AF">
      <w:pPr>
        <w:rPr>
          <w:rFonts w:cstheme="minorHAnsi"/>
        </w:rPr>
      </w:pPr>
      <w:r>
        <w:rPr>
          <w:rFonts w:cstheme="minorHAnsi"/>
        </w:rPr>
        <w:t xml:space="preserve">The next two tables show the highest achieved levels of schooling (Table 3.30) and educational qualification (Table 3.31) excluding those currently in primary or secondary education. These two measurements of educational achievement are well understood to be strong markers of, first, the likelihood that further education participation will occur and, second, the nature of present and future labour force participation and performance. It is worth noting that schooling is an indicator of the more general ‘human capital’ that education builds (in that school teaches people generic and skills with wider applicability and lesser occupational specificity), while post-school education is an indicator of the more specific ‘occupational human capital’ that education builds (in that most certificates and many degrees lead to a specific type of occupation or part of the labour market and are more easily recognised by employers in terms of the skills they offer). </w:t>
      </w:r>
    </w:p>
    <w:p w:rsidR="00953EE5" w:rsidRDefault="00953EE5" w:rsidP="00D907AF">
      <w:pPr>
        <w:rPr>
          <w:rFonts w:cstheme="minorHAnsi"/>
        </w:rPr>
      </w:pPr>
    </w:p>
    <w:p w:rsidR="00D907AF" w:rsidRDefault="00D907AF" w:rsidP="00D907AF">
      <w:pPr>
        <w:rPr>
          <w:rFonts w:cstheme="minorHAnsi"/>
        </w:rPr>
      </w:pPr>
      <w:r>
        <w:rPr>
          <w:rFonts w:cstheme="minorHAnsi"/>
        </w:rPr>
        <w:t>Tables 3.30 and 3.31 show about half of adults had achieved 10 or more years of schooling (Table 3.30) and just over half having completed some form of qualification (Table 3.31). A little over a third (38.5 per cent) reported not having achieved any qualification.</w:t>
      </w:r>
    </w:p>
    <w:p w:rsidR="00953EE5" w:rsidRDefault="00953EE5" w:rsidP="00D907AF">
      <w:pPr>
        <w:rPr>
          <w:rFonts w:cstheme="minorHAnsi"/>
        </w:rPr>
      </w:pPr>
    </w:p>
    <w:p w:rsidR="00D907AF" w:rsidRPr="00233E8A" w:rsidRDefault="00D907AF" w:rsidP="0044684E">
      <w:pPr>
        <w:pStyle w:val="NILSTableHeading"/>
      </w:pPr>
      <w:bookmarkStart w:id="283" w:name="_Toc428280682"/>
      <w:bookmarkStart w:id="284" w:name="_Toc449955293"/>
      <w:r w:rsidRPr="00233E8A">
        <w:t>Table 3.</w:t>
      </w:r>
      <w:r>
        <w:t>30</w:t>
      </w:r>
      <w:r w:rsidRPr="00233E8A">
        <w:t>: Highest year of schooling attained</w:t>
      </w:r>
      <w:bookmarkEnd w:id="283"/>
      <w:bookmarkEnd w:id="284"/>
    </w:p>
    <w:tbl>
      <w:tblPr>
        <w:tblStyle w:val="TableGrid"/>
        <w:tblW w:w="0" w:type="auto"/>
        <w:tblLayout w:type="fixed"/>
        <w:tblLook w:val="04A0" w:firstRow="1" w:lastRow="0" w:firstColumn="1" w:lastColumn="0" w:noHBand="0" w:noVBand="1"/>
        <w:tblCaption w:val="Table 3.30 Highest year of schooling attained"/>
      </w:tblPr>
      <w:tblGrid>
        <w:gridCol w:w="2943"/>
        <w:gridCol w:w="1134"/>
        <w:gridCol w:w="1276"/>
      </w:tblGrid>
      <w:tr w:rsidR="00495309" w:rsidRPr="0087485F" w:rsidTr="00764B3E">
        <w:trPr>
          <w:cantSplit/>
          <w:tblHeader/>
        </w:trPr>
        <w:tc>
          <w:tcPr>
            <w:tcW w:w="2943" w:type="dxa"/>
            <w:tcBorders>
              <w:top w:val="single" w:sz="4" w:space="0" w:color="auto"/>
              <w:bottom w:val="single" w:sz="4" w:space="0" w:color="auto"/>
            </w:tcBorders>
            <w:shd w:val="clear" w:color="auto" w:fill="auto"/>
          </w:tcPr>
          <w:p w:rsidR="00495309" w:rsidRPr="0087485F" w:rsidRDefault="00495309" w:rsidP="00D907AF">
            <w:pPr>
              <w:spacing w:before="20" w:after="20"/>
              <w:rPr>
                <w:rFonts w:cstheme="minorHAnsi"/>
                <w:sz w:val="20"/>
                <w:szCs w:val="20"/>
              </w:rPr>
            </w:pPr>
            <w:bookmarkStart w:id="285" w:name="Title_3_30"/>
            <w:bookmarkEnd w:id="285"/>
          </w:p>
        </w:tc>
        <w:tc>
          <w:tcPr>
            <w:tcW w:w="1134" w:type="dxa"/>
            <w:tcBorders>
              <w:top w:val="single" w:sz="4" w:space="0" w:color="auto"/>
              <w:bottom w:val="single" w:sz="4" w:space="0" w:color="auto"/>
            </w:tcBorders>
            <w:shd w:val="clear" w:color="auto" w:fill="auto"/>
            <w:vAlign w:val="bottom"/>
          </w:tcPr>
          <w:p w:rsidR="00495309" w:rsidRPr="0087485F" w:rsidRDefault="00495309" w:rsidP="002C2C86">
            <w:pPr>
              <w:spacing w:before="20" w:after="20"/>
              <w:ind w:left="-108" w:right="-108"/>
              <w:jc w:val="center"/>
              <w:rPr>
                <w:rFonts w:cstheme="minorHAnsi"/>
                <w:sz w:val="20"/>
                <w:szCs w:val="20"/>
              </w:rPr>
            </w:pPr>
            <w:r w:rsidRPr="0087485F">
              <w:rPr>
                <w:rFonts w:cstheme="minorHAnsi"/>
                <w:sz w:val="20"/>
                <w:szCs w:val="20"/>
              </w:rPr>
              <w:t>Adults</w:t>
            </w:r>
            <w:r w:rsidR="001F6F63">
              <w:rPr>
                <w:rFonts w:cstheme="minorHAnsi"/>
                <w:sz w:val="20"/>
                <w:szCs w:val="20"/>
              </w:rPr>
              <w:t xml:space="preserve"> </w:t>
            </w:r>
            <w:r w:rsidR="002C2C86">
              <w:rPr>
                <w:rFonts w:cstheme="minorHAnsi"/>
                <w:sz w:val="20"/>
                <w:szCs w:val="20"/>
              </w:rPr>
              <w:t xml:space="preserve">16+ </w:t>
            </w:r>
            <w:r w:rsidR="00DF1C4C">
              <w:rPr>
                <w:rFonts w:cstheme="minorHAnsi"/>
                <w:sz w:val="20"/>
                <w:szCs w:val="20"/>
              </w:rPr>
              <w:t>Cases</w:t>
            </w:r>
          </w:p>
        </w:tc>
        <w:tc>
          <w:tcPr>
            <w:tcW w:w="1276" w:type="dxa"/>
            <w:tcBorders>
              <w:top w:val="single" w:sz="4" w:space="0" w:color="auto"/>
              <w:bottom w:val="single" w:sz="4" w:space="0" w:color="auto"/>
            </w:tcBorders>
            <w:shd w:val="clear" w:color="auto" w:fill="auto"/>
            <w:vAlign w:val="bottom"/>
          </w:tcPr>
          <w:p w:rsidR="00D061BE" w:rsidRDefault="0060166F" w:rsidP="002C2C86">
            <w:pPr>
              <w:spacing w:before="20" w:after="20"/>
              <w:ind w:left="-108"/>
              <w:jc w:val="center"/>
              <w:rPr>
                <w:rFonts w:cstheme="minorHAnsi"/>
                <w:sz w:val="20"/>
                <w:szCs w:val="20"/>
              </w:rPr>
            </w:pPr>
            <w:r>
              <w:rPr>
                <w:rFonts w:cstheme="minorHAnsi"/>
                <w:sz w:val="20"/>
                <w:szCs w:val="20"/>
              </w:rPr>
              <w:t>Adults</w:t>
            </w:r>
            <w:r w:rsidR="002C2C86">
              <w:rPr>
                <w:rFonts w:cstheme="minorHAnsi"/>
                <w:sz w:val="20"/>
                <w:szCs w:val="20"/>
              </w:rPr>
              <w:t xml:space="preserve"> 16+</w:t>
            </w:r>
          </w:p>
          <w:p w:rsidR="00495309" w:rsidRPr="0087485F" w:rsidRDefault="001F6F63" w:rsidP="00764B3E">
            <w:pPr>
              <w:spacing w:before="20" w:after="20"/>
              <w:jc w:val="center"/>
              <w:rPr>
                <w:rFonts w:cstheme="minorHAnsi"/>
                <w:sz w:val="20"/>
                <w:szCs w:val="20"/>
              </w:rPr>
            </w:pPr>
            <w:r>
              <w:rPr>
                <w:rFonts w:cstheme="minorHAnsi"/>
                <w:sz w:val="20"/>
                <w:szCs w:val="20"/>
              </w:rPr>
              <w:t>%</w:t>
            </w:r>
          </w:p>
        </w:tc>
      </w:tr>
      <w:tr w:rsidR="00D907AF" w:rsidRPr="0087485F" w:rsidTr="00764B3E">
        <w:trPr>
          <w:cantSplit/>
        </w:trPr>
        <w:tc>
          <w:tcPr>
            <w:tcW w:w="2943"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Did/does not go to school</w:t>
            </w:r>
          </w:p>
        </w:tc>
        <w:tc>
          <w:tcPr>
            <w:tcW w:w="1134" w:type="dxa"/>
            <w:shd w:val="clear" w:color="auto" w:fill="auto"/>
          </w:tcPr>
          <w:p w:rsidR="00D907AF" w:rsidRPr="0087485F" w:rsidRDefault="00D907AF" w:rsidP="00693109">
            <w:pPr>
              <w:spacing w:before="20" w:after="20"/>
              <w:ind w:right="382"/>
              <w:jc w:val="right"/>
              <w:rPr>
                <w:rFonts w:cstheme="minorHAnsi"/>
                <w:sz w:val="20"/>
                <w:szCs w:val="20"/>
              </w:rPr>
            </w:pPr>
            <w:r w:rsidRPr="0087485F">
              <w:rPr>
                <w:rFonts w:cstheme="minorHAnsi"/>
                <w:sz w:val="20"/>
                <w:szCs w:val="20"/>
              </w:rPr>
              <w:t>33</w:t>
            </w:r>
          </w:p>
        </w:tc>
        <w:tc>
          <w:tcPr>
            <w:tcW w:w="1276" w:type="dxa"/>
            <w:shd w:val="clear" w:color="auto" w:fill="auto"/>
            <w:vAlign w:val="center"/>
          </w:tcPr>
          <w:p w:rsidR="00D907AF" w:rsidRPr="0087485F" w:rsidRDefault="00D907AF" w:rsidP="00693109">
            <w:pPr>
              <w:spacing w:before="20" w:after="20"/>
              <w:ind w:right="459"/>
              <w:jc w:val="right"/>
              <w:rPr>
                <w:rFonts w:cstheme="minorHAnsi"/>
                <w:color w:val="000000"/>
                <w:sz w:val="20"/>
                <w:szCs w:val="20"/>
              </w:rPr>
            </w:pPr>
            <w:r w:rsidRPr="0087485F">
              <w:rPr>
                <w:rFonts w:cstheme="minorHAnsi"/>
                <w:color w:val="000000"/>
                <w:sz w:val="20"/>
                <w:szCs w:val="20"/>
              </w:rPr>
              <w:t>3.2</w:t>
            </w:r>
          </w:p>
        </w:tc>
      </w:tr>
      <w:tr w:rsidR="00D907AF" w:rsidRPr="0087485F" w:rsidTr="00764B3E">
        <w:trPr>
          <w:cantSplit/>
        </w:trPr>
        <w:tc>
          <w:tcPr>
            <w:tcW w:w="2943"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Year 7 or below</w:t>
            </w:r>
          </w:p>
        </w:tc>
        <w:tc>
          <w:tcPr>
            <w:tcW w:w="1134" w:type="dxa"/>
            <w:shd w:val="clear" w:color="auto" w:fill="auto"/>
          </w:tcPr>
          <w:p w:rsidR="00D907AF" w:rsidRPr="0087485F" w:rsidRDefault="00D907AF" w:rsidP="00693109">
            <w:pPr>
              <w:spacing w:before="20" w:after="20"/>
              <w:ind w:right="382"/>
              <w:jc w:val="right"/>
              <w:rPr>
                <w:rFonts w:cstheme="minorHAnsi"/>
                <w:sz w:val="20"/>
                <w:szCs w:val="20"/>
              </w:rPr>
            </w:pPr>
            <w:r w:rsidRPr="0087485F">
              <w:rPr>
                <w:rFonts w:cstheme="minorHAnsi"/>
                <w:sz w:val="20"/>
                <w:szCs w:val="20"/>
              </w:rPr>
              <w:t>81</w:t>
            </w:r>
          </w:p>
        </w:tc>
        <w:tc>
          <w:tcPr>
            <w:tcW w:w="1276" w:type="dxa"/>
            <w:shd w:val="clear" w:color="auto" w:fill="auto"/>
            <w:vAlign w:val="center"/>
          </w:tcPr>
          <w:p w:rsidR="00D907AF" w:rsidRPr="0087485F" w:rsidRDefault="00D907AF" w:rsidP="00693109">
            <w:pPr>
              <w:spacing w:before="20" w:after="20"/>
              <w:ind w:right="459"/>
              <w:jc w:val="right"/>
              <w:rPr>
                <w:rFonts w:cstheme="minorHAnsi"/>
                <w:color w:val="000000"/>
                <w:sz w:val="20"/>
                <w:szCs w:val="20"/>
              </w:rPr>
            </w:pPr>
            <w:r w:rsidRPr="0087485F">
              <w:rPr>
                <w:rFonts w:cstheme="minorHAnsi"/>
                <w:color w:val="000000"/>
                <w:sz w:val="20"/>
                <w:szCs w:val="20"/>
              </w:rPr>
              <w:t>7.9</w:t>
            </w:r>
          </w:p>
        </w:tc>
      </w:tr>
      <w:tr w:rsidR="00D907AF" w:rsidRPr="0087485F" w:rsidTr="00764B3E">
        <w:trPr>
          <w:cantSplit/>
        </w:trPr>
        <w:tc>
          <w:tcPr>
            <w:tcW w:w="2943"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Year 8 or equivalent</w:t>
            </w:r>
          </w:p>
        </w:tc>
        <w:tc>
          <w:tcPr>
            <w:tcW w:w="1134" w:type="dxa"/>
            <w:shd w:val="clear" w:color="auto" w:fill="auto"/>
          </w:tcPr>
          <w:p w:rsidR="00D907AF" w:rsidRPr="0087485F" w:rsidRDefault="00D907AF" w:rsidP="00693109">
            <w:pPr>
              <w:spacing w:before="20" w:after="20"/>
              <w:ind w:right="382"/>
              <w:jc w:val="right"/>
              <w:rPr>
                <w:rFonts w:cstheme="minorHAnsi"/>
                <w:sz w:val="20"/>
                <w:szCs w:val="20"/>
              </w:rPr>
            </w:pPr>
            <w:r w:rsidRPr="0087485F">
              <w:rPr>
                <w:rFonts w:cstheme="minorHAnsi"/>
                <w:sz w:val="20"/>
                <w:szCs w:val="20"/>
              </w:rPr>
              <w:t>42</w:t>
            </w:r>
          </w:p>
        </w:tc>
        <w:tc>
          <w:tcPr>
            <w:tcW w:w="1276" w:type="dxa"/>
            <w:shd w:val="clear" w:color="auto" w:fill="auto"/>
            <w:vAlign w:val="center"/>
          </w:tcPr>
          <w:p w:rsidR="00D907AF" w:rsidRPr="0087485F" w:rsidRDefault="00D907AF" w:rsidP="00693109">
            <w:pPr>
              <w:spacing w:before="20" w:after="20"/>
              <w:ind w:right="459"/>
              <w:jc w:val="right"/>
              <w:rPr>
                <w:rFonts w:cstheme="minorHAnsi"/>
                <w:color w:val="000000"/>
                <w:sz w:val="20"/>
                <w:szCs w:val="20"/>
              </w:rPr>
            </w:pPr>
            <w:r w:rsidRPr="0087485F">
              <w:rPr>
                <w:rFonts w:cstheme="minorHAnsi"/>
                <w:color w:val="000000"/>
                <w:sz w:val="20"/>
                <w:szCs w:val="20"/>
              </w:rPr>
              <w:t>4.1</w:t>
            </w:r>
          </w:p>
        </w:tc>
      </w:tr>
      <w:tr w:rsidR="00D907AF" w:rsidRPr="0087485F" w:rsidTr="00764B3E">
        <w:trPr>
          <w:cantSplit/>
        </w:trPr>
        <w:tc>
          <w:tcPr>
            <w:tcW w:w="2943"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Year 9 or equivalent</w:t>
            </w:r>
          </w:p>
        </w:tc>
        <w:tc>
          <w:tcPr>
            <w:tcW w:w="1134" w:type="dxa"/>
            <w:shd w:val="clear" w:color="auto" w:fill="auto"/>
          </w:tcPr>
          <w:p w:rsidR="00D907AF" w:rsidRPr="0087485F" w:rsidRDefault="00D907AF" w:rsidP="00693109">
            <w:pPr>
              <w:spacing w:before="20" w:after="20"/>
              <w:ind w:right="382"/>
              <w:jc w:val="right"/>
              <w:rPr>
                <w:rFonts w:cstheme="minorHAnsi"/>
                <w:sz w:val="20"/>
                <w:szCs w:val="20"/>
              </w:rPr>
            </w:pPr>
            <w:r w:rsidRPr="0087485F">
              <w:rPr>
                <w:rFonts w:cstheme="minorHAnsi"/>
                <w:sz w:val="20"/>
                <w:szCs w:val="20"/>
              </w:rPr>
              <w:t>78</w:t>
            </w:r>
          </w:p>
        </w:tc>
        <w:tc>
          <w:tcPr>
            <w:tcW w:w="1276" w:type="dxa"/>
            <w:shd w:val="clear" w:color="auto" w:fill="auto"/>
            <w:vAlign w:val="center"/>
          </w:tcPr>
          <w:p w:rsidR="00D907AF" w:rsidRPr="0087485F" w:rsidRDefault="00D907AF" w:rsidP="00693109">
            <w:pPr>
              <w:spacing w:before="20" w:after="20"/>
              <w:ind w:right="459"/>
              <w:jc w:val="right"/>
              <w:rPr>
                <w:rFonts w:cstheme="minorHAnsi"/>
                <w:color w:val="000000"/>
                <w:sz w:val="20"/>
                <w:szCs w:val="20"/>
              </w:rPr>
            </w:pPr>
            <w:r w:rsidRPr="0087485F">
              <w:rPr>
                <w:rFonts w:cstheme="minorHAnsi"/>
                <w:color w:val="000000"/>
                <w:sz w:val="20"/>
                <w:szCs w:val="20"/>
              </w:rPr>
              <w:t>7.6</w:t>
            </w:r>
          </w:p>
        </w:tc>
      </w:tr>
      <w:tr w:rsidR="00D907AF" w:rsidRPr="0087485F" w:rsidTr="00764B3E">
        <w:trPr>
          <w:cantSplit/>
        </w:trPr>
        <w:tc>
          <w:tcPr>
            <w:tcW w:w="2943"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Year 10 or equivalent</w:t>
            </w:r>
          </w:p>
        </w:tc>
        <w:tc>
          <w:tcPr>
            <w:tcW w:w="1134" w:type="dxa"/>
            <w:shd w:val="clear" w:color="auto" w:fill="auto"/>
          </w:tcPr>
          <w:p w:rsidR="00D907AF" w:rsidRPr="0087485F" w:rsidRDefault="00D907AF" w:rsidP="00693109">
            <w:pPr>
              <w:spacing w:before="20" w:after="20"/>
              <w:ind w:right="382"/>
              <w:jc w:val="right"/>
              <w:rPr>
                <w:rFonts w:cstheme="minorHAnsi"/>
                <w:sz w:val="20"/>
                <w:szCs w:val="20"/>
              </w:rPr>
            </w:pPr>
            <w:r w:rsidRPr="0087485F">
              <w:rPr>
                <w:rFonts w:cstheme="minorHAnsi"/>
                <w:sz w:val="20"/>
                <w:szCs w:val="20"/>
              </w:rPr>
              <w:t>197</w:t>
            </w:r>
          </w:p>
        </w:tc>
        <w:tc>
          <w:tcPr>
            <w:tcW w:w="1276" w:type="dxa"/>
            <w:shd w:val="clear" w:color="auto" w:fill="auto"/>
            <w:vAlign w:val="center"/>
          </w:tcPr>
          <w:p w:rsidR="00D907AF" w:rsidRPr="0087485F" w:rsidRDefault="00D907AF" w:rsidP="00693109">
            <w:pPr>
              <w:spacing w:before="20" w:after="20"/>
              <w:ind w:right="459"/>
              <w:jc w:val="right"/>
              <w:rPr>
                <w:rFonts w:cstheme="minorHAnsi"/>
                <w:color w:val="000000"/>
                <w:sz w:val="20"/>
                <w:szCs w:val="20"/>
              </w:rPr>
            </w:pPr>
            <w:r w:rsidRPr="0087485F">
              <w:rPr>
                <w:rFonts w:cstheme="minorHAnsi"/>
                <w:color w:val="000000"/>
                <w:sz w:val="20"/>
                <w:szCs w:val="20"/>
              </w:rPr>
              <w:t>19.1</w:t>
            </w:r>
          </w:p>
        </w:tc>
      </w:tr>
      <w:tr w:rsidR="00D907AF" w:rsidRPr="0087485F" w:rsidTr="00764B3E">
        <w:trPr>
          <w:cantSplit/>
        </w:trPr>
        <w:tc>
          <w:tcPr>
            <w:tcW w:w="2943"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 xml:space="preserve">Year 11 or equivalent  </w:t>
            </w:r>
          </w:p>
        </w:tc>
        <w:tc>
          <w:tcPr>
            <w:tcW w:w="1134" w:type="dxa"/>
            <w:shd w:val="clear" w:color="auto" w:fill="auto"/>
          </w:tcPr>
          <w:p w:rsidR="00D907AF" w:rsidRPr="0087485F" w:rsidRDefault="00D907AF" w:rsidP="00693109">
            <w:pPr>
              <w:spacing w:before="20" w:after="20"/>
              <w:ind w:right="382"/>
              <w:jc w:val="right"/>
              <w:rPr>
                <w:rFonts w:cstheme="minorHAnsi"/>
                <w:sz w:val="20"/>
                <w:szCs w:val="20"/>
              </w:rPr>
            </w:pPr>
            <w:r w:rsidRPr="0087485F">
              <w:rPr>
                <w:rFonts w:cstheme="minorHAnsi"/>
                <w:sz w:val="20"/>
                <w:szCs w:val="20"/>
              </w:rPr>
              <w:t>91</w:t>
            </w:r>
          </w:p>
        </w:tc>
        <w:tc>
          <w:tcPr>
            <w:tcW w:w="1276" w:type="dxa"/>
            <w:shd w:val="clear" w:color="auto" w:fill="auto"/>
            <w:vAlign w:val="center"/>
          </w:tcPr>
          <w:p w:rsidR="00D907AF" w:rsidRPr="0087485F" w:rsidRDefault="00D907AF" w:rsidP="00693109">
            <w:pPr>
              <w:spacing w:before="20" w:after="20"/>
              <w:ind w:right="459"/>
              <w:jc w:val="right"/>
              <w:rPr>
                <w:rFonts w:cstheme="minorHAnsi"/>
                <w:color w:val="000000"/>
                <w:sz w:val="20"/>
                <w:szCs w:val="20"/>
              </w:rPr>
            </w:pPr>
            <w:r w:rsidRPr="0087485F">
              <w:rPr>
                <w:rFonts w:cstheme="minorHAnsi"/>
                <w:color w:val="000000"/>
                <w:sz w:val="20"/>
                <w:szCs w:val="20"/>
              </w:rPr>
              <w:t>8.8</w:t>
            </w:r>
          </w:p>
        </w:tc>
      </w:tr>
      <w:tr w:rsidR="00D907AF" w:rsidRPr="0087485F" w:rsidTr="00764B3E">
        <w:trPr>
          <w:cantSplit/>
        </w:trPr>
        <w:tc>
          <w:tcPr>
            <w:tcW w:w="2943"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Year 12 or equivalent</w:t>
            </w:r>
          </w:p>
        </w:tc>
        <w:tc>
          <w:tcPr>
            <w:tcW w:w="1134" w:type="dxa"/>
            <w:shd w:val="clear" w:color="auto" w:fill="auto"/>
          </w:tcPr>
          <w:p w:rsidR="00D907AF" w:rsidRPr="0087485F" w:rsidRDefault="00D907AF" w:rsidP="00693109">
            <w:pPr>
              <w:spacing w:before="20" w:after="20"/>
              <w:ind w:right="382"/>
              <w:jc w:val="right"/>
              <w:rPr>
                <w:rFonts w:cstheme="minorHAnsi"/>
                <w:sz w:val="20"/>
                <w:szCs w:val="20"/>
              </w:rPr>
            </w:pPr>
            <w:r w:rsidRPr="0087485F">
              <w:rPr>
                <w:rFonts w:cstheme="minorHAnsi"/>
                <w:sz w:val="20"/>
                <w:szCs w:val="20"/>
              </w:rPr>
              <w:t>354</w:t>
            </w:r>
          </w:p>
        </w:tc>
        <w:tc>
          <w:tcPr>
            <w:tcW w:w="1276" w:type="dxa"/>
            <w:shd w:val="clear" w:color="auto" w:fill="auto"/>
            <w:vAlign w:val="center"/>
          </w:tcPr>
          <w:p w:rsidR="00D907AF" w:rsidRPr="0087485F" w:rsidRDefault="00D907AF" w:rsidP="00693109">
            <w:pPr>
              <w:spacing w:before="20" w:after="20"/>
              <w:ind w:right="459"/>
              <w:jc w:val="right"/>
              <w:rPr>
                <w:rFonts w:cstheme="minorHAnsi"/>
                <w:color w:val="000000"/>
                <w:sz w:val="20"/>
                <w:szCs w:val="20"/>
              </w:rPr>
            </w:pPr>
            <w:r w:rsidRPr="0087485F">
              <w:rPr>
                <w:rFonts w:cstheme="minorHAnsi"/>
                <w:color w:val="000000"/>
                <w:sz w:val="20"/>
                <w:szCs w:val="20"/>
              </w:rPr>
              <w:t>34.4</w:t>
            </w:r>
          </w:p>
        </w:tc>
      </w:tr>
      <w:tr w:rsidR="00D907AF" w:rsidRPr="0087485F" w:rsidTr="00764B3E">
        <w:trPr>
          <w:cantSplit/>
        </w:trPr>
        <w:tc>
          <w:tcPr>
            <w:tcW w:w="2943"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Year 13 or equivalent (16+ only)</w:t>
            </w:r>
          </w:p>
        </w:tc>
        <w:tc>
          <w:tcPr>
            <w:tcW w:w="1134" w:type="dxa"/>
            <w:shd w:val="clear" w:color="auto" w:fill="auto"/>
          </w:tcPr>
          <w:p w:rsidR="00D907AF" w:rsidRPr="0087485F" w:rsidRDefault="00D907AF" w:rsidP="00693109">
            <w:pPr>
              <w:spacing w:before="20" w:after="20"/>
              <w:ind w:right="382"/>
              <w:jc w:val="right"/>
              <w:rPr>
                <w:rFonts w:cstheme="minorHAnsi"/>
                <w:sz w:val="20"/>
                <w:szCs w:val="20"/>
              </w:rPr>
            </w:pPr>
            <w:r w:rsidRPr="0087485F">
              <w:rPr>
                <w:rFonts w:cstheme="minorHAnsi"/>
                <w:sz w:val="20"/>
                <w:szCs w:val="20"/>
              </w:rPr>
              <w:t>59</w:t>
            </w:r>
          </w:p>
        </w:tc>
        <w:tc>
          <w:tcPr>
            <w:tcW w:w="1276" w:type="dxa"/>
            <w:shd w:val="clear" w:color="auto" w:fill="auto"/>
            <w:vAlign w:val="center"/>
          </w:tcPr>
          <w:p w:rsidR="00D907AF" w:rsidRPr="0087485F" w:rsidRDefault="00D907AF" w:rsidP="00693109">
            <w:pPr>
              <w:spacing w:before="20" w:after="20"/>
              <w:ind w:right="459"/>
              <w:jc w:val="right"/>
              <w:rPr>
                <w:rFonts w:cstheme="minorHAnsi"/>
                <w:color w:val="000000"/>
                <w:sz w:val="20"/>
                <w:szCs w:val="20"/>
              </w:rPr>
            </w:pPr>
            <w:r w:rsidRPr="0087485F">
              <w:rPr>
                <w:rFonts w:cstheme="minorHAnsi"/>
                <w:color w:val="000000"/>
                <w:sz w:val="20"/>
                <w:szCs w:val="20"/>
              </w:rPr>
              <w:t>5.7</w:t>
            </w:r>
          </w:p>
        </w:tc>
      </w:tr>
      <w:tr w:rsidR="00D907AF" w:rsidRPr="0087485F" w:rsidTr="00764B3E">
        <w:trPr>
          <w:cantSplit/>
        </w:trPr>
        <w:tc>
          <w:tcPr>
            <w:tcW w:w="2943" w:type="dxa"/>
          </w:tcPr>
          <w:p w:rsidR="00D907AF" w:rsidRPr="0087485F" w:rsidRDefault="00D907AF" w:rsidP="00D907AF">
            <w:pPr>
              <w:spacing w:before="20" w:after="20"/>
              <w:rPr>
                <w:rFonts w:cstheme="minorHAnsi"/>
                <w:sz w:val="20"/>
                <w:szCs w:val="20"/>
              </w:rPr>
            </w:pPr>
            <w:r w:rsidRPr="0087485F">
              <w:rPr>
                <w:rFonts w:cstheme="minorHAnsi"/>
                <w:sz w:val="20"/>
                <w:szCs w:val="20"/>
              </w:rPr>
              <w:t>Prefer not to say</w:t>
            </w:r>
          </w:p>
        </w:tc>
        <w:tc>
          <w:tcPr>
            <w:tcW w:w="1134" w:type="dxa"/>
          </w:tcPr>
          <w:p w:rsidR="00D907AF" w:rsidRPr="0087485F" w:rsidRDefault="00D907AF" w:rsidP="00693109">
            <w:pPr>
              <w:spacing w:before="20" w:after="20"/>
              <w:ind w:right="382"/>
              <w:jc w:val="right"/>
              <w:rPr>
                <w:rFonts w:cstheme="minorHAnsi"/>
                <w:sz w:val="20"/>
                <w:szCs w:val="20"/>
              </w:rPr>
            </w:pPr>
            <w:r w:rsidRPr="0087485F">
              <w:rPr>
                <w:rFonts w:cstheme="minorHAnsi"/>
                <w:sz w:val="20"/>
                <w:szCs w:val="20"/>
              </w:rPr>
              <w:t>9</w:t>
            </w:r>
          </w:p>
        </w:tc>
        <w:tc>
          <w:tcPr>
            <w:tcW w:w="1276" w:type="dxa"/>
          </w:tcPr>
          <w:p w:rsidR="00D907AF" w:rsidRPr="0087485F" w:rsidRDefault="00D907AF" w:rsidP="00693109">
            <w:pPr>
              <w:spacing w:before="20" w:after="20"/>
              <w:ind w:right="459"/>
              <w:jc w:val="right"/>
              <w:rPr>
                <w:rFonts w:cstheme="minorHAnsi"/>
                <w:color w:val="000000"/>
                <w:sz w:val="20"/>
                <w:szCs w:val="20"/>
              </w:rPr>
            </w:pPr>
            <w:r w:rsidRPr="0087485F">
              <w:rPr>
                <w:rFonts w:cstheme="minorHAnsi"/>
                <w:color w:val="000000"/>
                <w:sz w:val="20"/>
                <w:szCs w:val="20"/>
              </w:rPr>
              <w:t>0.9</w:t>
            </w:r>
          </w:p>
        </w:tc>
      </w:tr>
      <w:tr w:rsidR="00D907AF" w:rsidRPr="0087485F" w:rsidTr="00764B3E">
        <w:trPr>
          <w:cantSplit/>
        </w:trPr>
        <w:tc>
          <w:tcPr>
            <w:tcW w:w="2943" w:type="dxa"/>
          </w:tcPr>
          <w:p w:rsidR="00D907AF" w:rsidRPr="0087485F" w:rsidRDefault="00D907AF" w:rsidP="00D907AF">
            <w:pPr>
              <w:spacing w:before="20" w:after="20"/>
              <w:rPr>
                <w:rFonts w:cstheme="minorHAnsi"/>
                <w:sz w:val="20"/>
                <w:szCs w:val="20"/>
              </w:rPr>
            </w:pPr>
            <w:r w:rsidRPr="0087485F">
              <w:rPr>
                <w:rFonts w:cstheme="minorHAnsi"/>
                <w:sz w:val="20"/>
                <w:szCs w:val="20"/>
              </w:rPr>
              <w:t>Don’t know</w:t>
            </w:r>
          </w:p>
        </w:tc>
        <w:tc>
          <w:tcPr>
            <w:tcW w:w="1134" w:type="dxa"/>
          </w:tcPr>
          <w:p w:rsidR="00D907AF" w:rsidRPr="0087485F" w:rsidRDefault="00D907AF" w:rsidP="00693109">
            <w:pPr>
              <w:spacing w:before="20" w:after="20"/>
              <w:ind w:right="382"/>
              <w:jc w:val="right"/>
              <w:rPr>
                <w:rFonts w:cstheme="minorHAnsi"/>
                <w:sz w:val="20"/>
                <w:szCs w:val="20"/>
              </w:rPr>
            </w:pPr>
            <w:r w:rsidRPr="0087485F">
              <w:rPr>
                <w:rFonts w:cstheme="minorHAnsi"/>
                <w:sz w:val="20"/>
                <w:szCs w:val="20"/>
              </w:rPr>
              <w:t>59</w:t>
            </w:r>
          </w:p>
        </w:tc>
        <w:tc>
          <w:tcPr>
            <w:tcW w:w="1276" w:type="dxa"/>
          </w:tcPr>
          <w:p w:rsidR="00D907AF" w:rsidRPr="0087485F" w:rsidRDefault="00D907AF" w:rsidP="00693109">
            <w:pPr>
              <w:spacing w:before="20" w:after="20"/>
              <w:ind w:right="459"/>
              <w:jc w:val="right"/>
              <w:rPr>
                <w:rFonts w:cstheme="minorHAnsi"/>
                <w:color w:val="000000"/>
                <w:sz w:val="20"/>
                <w:szCs w:val="20"/>
              </w:rPr>
            </w:pPr>
            <w:r w:rsidRPr="0087485F">
              <w:rPr>
                <w:rFonts w:cstheme="minorHAnsi"/>
                <w:color w:val="000000"/>
                <w:sz w:val="20"/>
                <w:szCs w:val="20"/>
              </w:rPr>
              <w:t>5.7</w:t>
            </w:r>
          </w:p>
        </w:tc>
      </w:tr>
      <w:tr w:rsidR="00D907AF" w:rsidRPr="0087485F" w:rsidTr="00764B3E">
        <w:trPr>
          <w:cantSplit/>
        </w:trPr>
        <w:tc>
          <w:tcPr>
            <w:tcW w:w="2943" w:type="dxa"/>
            <w:tcBorders>
              <w:bottom w:val="single" w:sz="4" w:space="0" w:color="auto"/>
            </w:tcBorders>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 xml:space="preserve">Missing </w:t>
            </w:r>
          </w:p>
        </w:tc>
        <w:tc>
          <w:tcPr>
            <w:tcW w:w="1134" w:type="dxa"/>
            <w:tcBorders>
              <w:bottom w:val="single" w:sz="4" w:space="0" w:color="auto"/>
            </w:tcBorders>
            <w:shd w:val="clear" w:color="auto" w:fill="auto"/>
          </w:tcPr>
          <w:p w:rsidR="00D907AF" w:rsidRPr="0087485F" w:rsidRDefault="00D907AF" w:rsidP="00693109">
            <w:pPr>
              <w:spacing w:before="20" w:after="20"/>
              <w:ind w:right="382"/>
              <w:jc w:val="right"/>
              <w:rPr>
                <w:rFonts w:cstheme="minorHAnsi"/>
                <w:sz w:val="20"/>
                <w:szCs w:val="20"/>
              </w:rPr>
            </w:pPr>
            <w:r w:rsidRPr="0087485F">
              <w:rPr>
                <w:rFonts w:cstheme="minorHAnsi"/>
                <w:sz w:val="20"/>
                <w:szCs w:val="20"/>
              </w:rPr>
              <w:t>26</w:t>
            </w:r>
          </w:p>
        </w:tc>
        <w:tc>
          <w:tcPr>
            <w:tcW w:w="1276" w:type="dxa"/>
            <w:tcBorders>
              <w:bottom w:val="single" w:sz="4" w:space="0" w:color="auto"/>
            </w:tcBorders>
            <w:shd w:val="clear" w:color="auto" w:fill="auto"/>
            <w:vAlign w:val="center"/>
          </w:tcPr>
          <w:p w:rsidR="00D907AF" w:rsidRPr="0087485F" w:rsidRDefault="00D907AF" w:rsidP="00693109">
            <w:pPr>
              <w:spacing w:before="20" w:after="20"/>
              <w:ind w:right="459"/>
              <w:jc w:val="right"/>
              <w:rPr>
                <w:rFonts w:cstheme="minorHAnsi"/>
                <w:color w:val="000000"/>
                <w:sz w:val="20"/>
                <w:szCs w:val="20"/>
              </w:rPr>
            </w:pPr>
            <w:r w:rsidRPr="0087485F">
              <w:rPr>
                <w:rFonts w:cstheme="minorHAnsi"/>
                <w:color w:val="000000"/>
                <w:sz w:val="20"/>
                <w:szCs w:val="20"/>
              </w:rPr>
              <w:t>2.5</w:t>
            </w:r>
          </w:p>
        </w:tc>
      </w:tr>
      <w:tr w:rsidR="00D907AF" w:rsidRPr="0087485F" w:rsidTr="00764B3E">
        <w:trPr>
          <w:cantSplit/>
        </w:trPr>
        <w:tc>
          <w:tcPr>
            <w:tcW w:w="2943" w:type="dxa"/>
            <w:tcBorders>
              <w:top w:val="single" w:sz="4" w:space="0" w:color="auto"/>
              <w:bottom w:val="single" w:sz="4" w:space="0" w:color="auto"/>
            </w:tcBorders>
            <w:shd w:val="clear" w:color="auto" w:fill="auto"/>
          </w:tcPr>
          <w:p w:rsidR="00D907AF" w:rsidRPr="0087485F" w:rsidRDefault="00D907AF" w:rsidP="00D907AF">
            <w:pPr>
              <w:spacing w:before="20" w:after="20"/>
              <w:rPr>
                <w:rFonts w:cstheme="minorHAnsi"/>
                <w:b/>
                <w:sz w:val="20"/>
                <w:szCs w:val="20"/>
              </w:rPr>
            </w:pPr>
            <w:r w:rsidRPr="0087485F">
              <w:rPr>
                <w:rFonts w:cstheme="minorHAnsi"/>
                <w:b/>
                <w:sz w:val="20"/>
                <w:szCs w:val="20"/>
              </w:rPr>
              <w:t>Total</w:t>
            </w:r>
          </w:p>
        </w:tc>
        <w:tc>
          <w:tcPr>
            <w:tcW w:w="1134" w:type="dxa"/>
            <w:tcBorders>
              <w:top w:val="single" w:sz="4" w:space="0" w:color="auto"/>
              <w:bottom w:val="single" w:sz="4" w:space="0" w:color="auto"/>
            </w:tcBorders>
            <w:shd w:val="clear" w:color="auto" w:fill="auto"/>
          </w:tcPr>
          <w:p w:rsidR="00D907AF" w:rsidRPr="0087485F" w:rsidRDefault="00D907AF" w:rsidP="00693109">
            <w:pPr>
              <w:spacing w:before="20" w:after="20"/>
              <w:ind w:right="382"/>
              <w:jc w:val="right"/>
              <w:rPr>
                <w:rFonts w:cstheme="minorHAnsi"/>
                <w:b/>
                <w:sz w:val="20"/>
                <w:szCs w:val="20"/>
              </w:rPr>
            </w:pPr>
            <w:r w:rsidRPr="0087485F">
              <w:rPr>
                <w:rFonts w:cstheme="minorHAnsi"/>
                <w:b/>
                <w:sz w:val="20"/>
                <w:szCs w:val="20"/>
              </w:rPr>
              <w:t>1</w:t>
            </w:r>
            <w:r>
              <w:rPr>
                <w:rFonts w:cstheme="minorHAnsi"/>
                <w:b/>
                <w:sz w:val="20"/>
                <w:szCs w:val="20"/>
              </w:rPr>
              <w:t>,</w:t>
            </w:r>
            <w:r w:rsidRPr="0087485F">
              <w:rPr>
                <w:rFonts w:cstheme="minorHAnsi"/>
                <w:b/>
                <w:sz w:val="20"/>
                <w:szCs w:val="20"/>
              </w:rPr>
              <w:t>029</w:t>
            </w:r>
          </w:p>
        </w:tc>
        <w:tc>
          <w:tcPr>
            <w:tcW w:w="1276" w:type="dxa"/>
            <w:tcBorders>
              <w:top w:val="single" w:sz="4" w:space="0" w:color="auto"/>
              <w:bottom w:val="single" w:sz="4" w:space="0" w:color="auto"/>
            </w:tcBorders>
            <w:shd w:val="clear" w:color="auto" w:fill="auto"/>
          </w:tcPr>
          <w:p w:rsidR="00D907AF" w:rsidRPr="0087485F" w:rsidRDefault="00D907AF" w:rsidP="00693109">
            <w:pPr>
              <w:spacing w:before="20" w:after="20"/>
              <w:ind w:right="459"/>
              <w:jc w:val="right"/>
              <w:rPr>
                <w:rFonts w:cstheme="minorHAnsi"/>
                <w:b/>
                <w:sz w:val="20"/>
                <w:szCs w:val="20"/>
              </w:rPr>
            </w:pPr>
            <w:r w:rsidRPr="0087485F">
              <w:rPr>
                <w:rFonts w:cstheme="minorHAnsi"/>
                <w:b/>
                <w:sz w:val="20"/>
                <w:szCs w:val="20"/>
              </w:rPr>
              <w:t>100</w:t>
            </w:r>
          </w:p>
        </w:tc>
      </w:tr>
    </w:tbl>
    <w:p w:rsidR="00D907AF" w:rsidRPr="00AC2B30" w:rsidRDefault="00D907AF" w:rsidP="001032EF">
      <w:pPr>
        <w:pStyle w:val="NILSReference"/>
      </w:pPr>
      <w:r w:rsidRPr="00AC2B30">
        <w:t xml:space="preserve">Note: </w:t>
      </w:r>
      <w:r>
        <w:t>trial and comparison aged 16 years and above</w:t>
      </w:r>
      <w:r w:rsidRPr="00E852D5">
        <w:t xml:space="preserve"> </w:t>
      </w:r>
      <w:r w:rsidRPr="00AC2B30">
        <w:t>not in education or in community based education</w:t>
      </w:r>
    </w:p>
    <w:p w:rsidR="00D907AF" w:rsidRDefault="00D907AF">
      <w:pPr>
        <w:rPr>
          <w:rFonts w:cstheme="minorHAnsi"/>
          <w:b/>
          <w:sz w:val="20"/>
          <w:szCs w:val="20"/>
        </w:rPr>
      </w:pPr>
      <w:r>
        <w:br w:type="page"/>
      </w:r>
    </w:p>
    <w:p w:rsidR="00D907AF" w:rsidRPr="00233E8A" w:rsidRDefault="00D907AF" w:rsidP="0044684E">
      <w:pPr>
        <w:pStyle w:val="NILSTableHeading"/>
      </w:pPr>
      <w:bookmarkStart w:id="286" w:name="_Toc428280683"/>
      <w:bookmarkStart w:id="287" w:name="_Toc449955294"/>
      <w:r w:rsidRPr="00233E8A">
        <w:lastRenderedPageBreak/>
        <w:t>Table 3.</w:t>
      </w:r>
      <w:r>
        <w:t>31</w:t>
      </w:r>
      <w:r w:rsidRPr="00233E8A">
        <w:t>: Highest level of educational</w:t>
      </w:r>
      <w:r w:rsidRPr="00233E8A">
        <w:rPr>
          <w:rFonts w:hint="eastAsia"/>
        </w:rPr>
        <w:t xml:space="preserve"> qualifications</w:t>
      </w:r>
      <w:bookmarkEnd w:id="286"/>
      <w:bookmarkEnd w:id="287"/>
    </w:p>
    <w:tbl>
      <w:tblPr>
        <w:tblStyle w:val="NDISdecimaltable"/>
        <w:tblW w:w="0" w:type="auto"/>
        <w:tblLook w:val="04A0" w:firstRow="1" w:lastRow="0" w:firstColumn="1" w:lastColumn="0" w:noHBand="0" w:noVBand="1"/>
        <w:tblCaption w:val="Table 3.31 Highest level of educational qualifications"/>
      </w:tblPr>
      <w:tblGrid>
        <w:gridCol w:w="2943"/>
        <w:gridCol w:w="1701"/>
        <w:gridCol w:w="1701"/>
      </w:tblGrid>
      <w:tr w:rsidR="00B048CD" w:rsidRPr="0087485F" w:rsidTr="00884536">
        <w:trPr>
          <w:cnfStyle w:val="100000000000" w:firstRow="1" w:lastRow="0" w:firstColumn="0" w:lastColumn="0" w:oddVBand="0" w:evenVBand="0" w:oddHBand="0" w:evenHBand="0" w:firstRowFirstColumn="0" w:firstRowLastColumn="0" w:lastRowFirstColumn="0" w:lastRowLastColumn="0"/>
          <w:cantSplit/>
          <w:tblHeader/>
        </w:trPr>
        <w:tc>
          <w:tcPr>
            <w:tcW w:w="2943" w:type="dxa"/>
          </w:tcPr>
          <w:p w:rsidR="00B048CD" w:rsidRPr="0087485F" w:rsidRDefault="00B048CD" w:rsidP="00B048CD">
            <w:pPr>
              <w:spacing w:before="10" w:after="10"/>
              <w:rPr>
                <w:rFonts w:cstheme="minorHAnsi"/>
                <w:sz w:val="20"/>
                <w:szCs w:val="20"/>
              </w:rPr>
            </w:pPr>
            <w:bookmarkStart w:id="288" w:name="Title_3_31"/>
            <w:bookmarkEnd w:id="288"/>
          </w:p>
        </w:tc>
        <w:tc>
          <w:tcPr>
            <w:tcW w:w="1701" w:type="dxa"/>
          </w:tcPr>
          <w:p w:rsidR="001E3763" w:rsidRDefault="00B048CD" w:rsidP="00884536">
            <w:pPr>
              <w:spacing w:before="10" w:after="10"/>
              <w:jc w:val="center"/>
              <w:rPr>
                <w:rFonts w:cstheme="minorHAnsi"/>
                <w:sz w:val="20"/>
                <w:szCs w:val="20"/>
              </w:rPr>
            </w:pPr>
            <w:r w:rsidRPr="0087485F">
              <w:rPr>
                <w:rFonts w:cstheme="minorHAnsi"/>
                <w:sz w:val="20"/>
                <w:szCs w:val="20"/>
              </w:rPr>
              <w:t>Adults</w:t>
            </w:r>
            <w:r w:rsidR="006D7CAF">
              <w:rPr>
                <w:rFonts w:cstheme="minorHAnsi"/>
                <w:sz w:val="20"/>
                <w:szCs w:val="20"/>
              </w:rPr>
              <w:t xml:space="preserve"> </w:t>
            </w:r>
            <w:r w:rsidR="00490B21">
              <w:rPr>
                <w:rFonts w:cstheme="minorHAnsi"/>
                <w:sz w:val="20"/>
                <w:szCs w:val="20"/>
              </w:rPr>
              <w:t>16+</w:t>
            </w:r>
          </w:p>
          <w:p w:rsidR="00B048CD" w:rsidRPr="0087485F" w:rsidRDefault="001E3763" w:rsidP="00884536">
            <w:pPr>
              <w:spacing w:before="10" w:after="10"/>
              <w:jc w:val="center"/>
              <w:rPr>
                <w:rFonts w:cstheme="minorHAnsi"/>
                <w:sz w:val="20"/>
                <w:szCs w:val="20"/>
              </w:rPr>
            </w:pPr>
            <w:r>
              <w:rPr>
                <w:rFonts w:cstheme="minorHAnsi"/>
                <w:sz w:val="20"/>
                <w:szCs w:val="20"/>
              </w:rPr>
              <w:t>Cases</w:t>
            </w:r>
          </w:p>
        </w:tc>
        <w:tc>
          <w:tcPr>
            <w:tcW w:w="1701" w:type="dxa"/>
          </w:tcPr>
          <w:p w:rsidR="00884536" w:rsidRDefault="006D7CAF" w:rsidP="00884536">
            <w:pPr>
              <w:spacing w:before="10" w:after="10"/>
              <w:jc w:val="center"/>
              <w:rPr>
                <w:rFonts w:cstheme="minorHAnsi"/>
                <w:color w:val="000000"/>
                <w:sz w:val="20"/>
                <w:szCs w:val="20"/>
              </w:rPr>
            </w:pPr>
            <w:r w:rsidRPr="006D7CAF">
              <w:rPr>
                <w:rFonts w:cstheme="minorHAnsi"/>
                <w:color w:val="000000"/>
                <w:sz w:val="20"/>
                <w:szCs w:val="20"/>
              </w:rPr>
              <w:t>Adults</w:t>
            </w:r>
            <w:r>
              <w:rPr>
                <w:rFonts w:cstheme="minorHAnsi"/>
                <w:color w:val="000000"/>
                <w:sz w:val="20"/>
                <w:szCs w:val="20"/>
              </w:rPr>
              <w:t xml:space="preserve"> </w:t>
            </w:r>
            <w:r w:rsidR="00490B21">
              <w:rPr>
                <w:rFonts w:cstheme="minorHAnsi"/>
                <w:color w:val="000000"/>
                <w:sz w:val="20"/>
                <w:szCs w:val="20"/>
              </w:rPr>
              <w:t>16+</w:t>
            </w:r>
          </w:p>
          <w:p w:rsidR="00B048CD" w:rsidRPr="0087485F" w:rsidRDefault="006D7CAF" w:rsidP="00884536">
            <w:pPr>
              <w:spacing w:before="10" w:after="10"/>
              <w:jc w:val="center"/>
              <w:rPr>
                <w:rFonts w:cstheme="minorHAnsi"/>
                <w:color w:val="000000"/>
                <w:sz w:val="20"/>
                <w:szCs w:val="20"/>
              </w:rPr>
            </w:pPr>
            <w:r>
              <w:rPr>
                <w:rFonts w:cstheme="minorHAnsi"/>
                <w:color w:val="000000"/>
                <w:sz w:val="20"/>
                <w:szCs w:val="20"/>
              </w:rPr>
              <w:t>%</w:t>
            </w:r>
          </w:p>
        </w:tc>
      </w:tr>
      <w:tr w:rsidR="00D907AF" w:rsidRPr="0087485F" w:rsidTr="00693109">
        <w:tc>
          <w:tcPr>
            <w:tcW w:w="2943" w:type="dxa"/>
          </w:tcPr>
          <w:p w:rsidR="00D907AF" w:rsidRPr="0087485F" w:rsidRDefault="00D907AF" w:rsidP="00D907AF">
            <w:pPr>
              <w:spacing w:before="10" w:after="10"/>
              <w:rPr>
                <w:rFonts w:cstheme="minorHAnsi"/>
                <w:sz w:val="20"/>
                <w:szCs w:val="20"/>
              </w:rPr>
            </w:pPr>
            <w:r w:rsidRPr="0087485F">
              <w:rPr>
                <w:rFonts w:cstheme="minorHAnsi"/>
                <w:sz w:val="20"/>
                <w:szCs w:val="20"/>
              </w:rPr>
              <w:t>No qualification completed</w:t>
            </w:r>
          </w:p>
        </w:tc>
        <w:tc>
          <w:tcPr>
            <w:tcW w:w="1701" w:type="dxa"/>
          </w:tcPr>
          <w:p w:rsidR="00D907AF" w:rsidRPr="0087485F" w:rsidRDefault="00D907AF" w:rsidP="00693109">
            <w:pPr>
              <w:spacing w:before="10" w:after="10"/>
              <w:ind w:right="459"/>
              <w:jc w:val="right"/>
              <w:rPr>
                <w:rFonts w:cstheme="minorHAnsi"/>
                <w:sz w:val="20"/>
                <w:szCs w:val="20"/>
              </w:rPr>
            </w:pPr>
            <w:r w:rsidRPr="0087485F">
              <w:rPr>
                <w:rFonts w:cstheme="minorHAnsi"/>
                <w:sz w:val="20"/>
                <w:szCs w:val="20"/>
              </w:rPr>
              <w:t>396</w:t>
            </w:r>
          </w:p>
        </w:tc>
        <w:tc>
          <w:tcPr>
            <w:tcW w:w="1701" w:type="dxa"/>
          </w:tcPr>
          <w:p w:rsidR="00D907AF" w:rsidRPr="0087485F" w:rsidRDefault="00D907AF" w:rsidP="00693109">
            <w:pPr>
              <w:spacing w:before="10" w:after="10"/>
              <w:ind w:right="459"/>
              <w:jc w:val="right"/>
              <w:rPr>
                <w:rFonts w:cstheme="minorHAnsi"/>
                <w:color w:val="000000"/>
                <w:sz w:val="20"/>
                <w:szCs w:val="20"/>
              </w:rPr>
            </w:pPr>
            <w:r w:rsidRPr="0087485F">
              <w:rPr>
                <w:rFonts w:cstheme="minorHAnsi"/>
                <w:color w:val="000000"/>
                <w:sz w:val="20"/>
                <w:szCs w:val="20"/>
              </w:rPr>
              <w:t>38.5</w:t>
            </w:r>
            <w:r w:rsidR="00083B50">
              <w:rPr>
                <w:rFonts w:cstheme="minorHAnsi"/>
                <w:color w:val="000000"/>
                <w:sz w:val="20"/>
                <w:szCs w:val="20"/>
              </w:rPr>
              <w:t>5</w:t>
            </w:r>
          </w:p>
        </w:tc>
      </w:tr>
      <w:tr w:rsidR="00D907AF" w:rsidRPr="0087485F" w:rsidTr="00693109">
        <w:tc>
          <w:tcPr>
            <w:tcW w:w="2943" w:type="dxa"/>
          </w:tcPr>
          <w:p w:rsidR="00D907AF" w:rsidRPr="0087485F" w:rsidRDefault="00D907AF" w:rsidP="00D907AF">
            <w:pPr>
              <w:spacing w:before="10" w:after="10"/>
              <w:rPr>
                <w:rFonts w:cstheme="minorHAnsi"/>
                <w:sz w:val="20"/>
                <w:szCs w:val="20"/>
              </w:rPr>
            </w:pPr>
            <w:r w:rsidRPr="0087485F">
              <w:rPr>
                <w:rFonts w:cstheme="minorHAnsi"/>
                <w:sz w:val="20"/>
                <w:szCs w:val="20"/>
              </w:rPr>
              <w:t xml:space="preserve">Year 12 certificate or equivalent  </w:t>
            </w:r>
          </w:p>
        </w:tc>
        <w:tc>
          <w:tcPr>
            <w:tcW w:w="1701" w:type="dxa"/>
          </w:tcPr>
          <w:p w:rsidR="00D907AF" w:rsidRPr="0087485F" w:rsidRDefault="00D907AF" w:rsidP="00693109">
            <w:pPr>
              <w:spacing w:before="10" w:after="10"/>
              <w:ind w:right="459"/>
              <w:jc w:val="right"/>
              <w:rPr>
                <w:rFonts w:cstheme="minorHAnsi"/>
                <w:sz w:val="20"/>
                <w:szCs w:val="20"/>
              </w:rPr>
            </w:pPr>
            <w:r w:rsidRPr="0087485F">
              <w:rPr>
                <w:rFonts w:cstheme="minorHAnsi"/>
                <w:sz w:val="20"/>
                <w:szCs w:val="20"/>
              </w:rPr>
              <w:t>145</w:t>
            </w:r>
          </w:p>
        </w:tc>
        <w:tc>
          <w:tcPr>
            <w:tcW w:w="1701" w:type="dxa"/>
          </w:tcPr>
          <w:p w:rsidR="00D907AF" w:rsidRPr="0087485F" w:rsidRDefault="00D907AF" w:rsidP="00693109">
            <w:pPr>
              <w:spacing w:before="10" w:after="10"/>
              <w:ind w:right="459"/>
              <w:jc w:val="right"/>
              <w:rPr>
                <w:rFonts w:cstheme="minorHAnsi"/>
                <w:color w:val="000000"/>
                <w:sz w:val="20"/>
                <w:szCs w:val="20"/>
              </w:rPr>
            </w:pPr>
            <w:r w:rsidRPr="0087485F">
              <w:rPr>
                <w:rFonts w:cstheme="minorHAnsi"/>
                <w:color w:val="000000"/>
                <w:sz w:val="20"/>
                <w:szCs w:val="20"/>
              </w:rPr>
              <w:t>14.1</w:t>
            </w:r>
          </w:p>
        </w:tc>
      </w:tr>
      <w:tr w:rsidR="00D907AF" w:rsidRPr="0087485F" w:rsidTr="00693109">
        <w:tc>
          <w:tcPr>
            <w:tcW w:w="2943" w:type="dxa"/>
          </w:tcPr>
          <w:p w:rsidR="00D907AF" w:rsidRPr="0087485F" w:rsidRDefault="00D907AF" w:rsidP="00D907AF">
            <w:pPr>
              <w:spacing w:before="10" w:after="10"/>
              <w:rPr>
                <w:rFonts w:cstheme="minorHAnsi"/>
                <w:sz w:val="20"/>
                <w:szCs w:val="20"/>
              </w:rPr>
            </w:pPr>
            <w:r w:rsidRPr="0087485F">
              <w:rPr>
                <w:rFonts w:cstheme="minorHAnsi"/>
                <w:sz w:val="20"/>
                <w:szCs w:val="20"/>
              </w:rPr>
              <w:t xml:space="preserve">Certificate I or II  </w:t>
            </w:r>
          </w:p>
        </w:tc>
        <w:tc>
          <w:tcPr>
            <w:tcW w:w="1701" w:type="dxa"/>
          </w:tcPr>
          <w:p w:rsidR="00D907AF" w:rsidRPr="0087485F" w:rsidRDefault="00D907AF" w:rsidP="00693109">
            <w:pPr>
              <w:spacing w:before="10" w:after="10"/>
              <w:ind w:right="459"/>
              <w:jc w:val="right"/>
              <w:rPr>
                <w:rFonts w:cstheme="minorHAnsi"/>
                <w:sz w:val="20"/>
                <w:szCs w:val="20"/>
              </w:rPr>
            </w:pPr>
            <w:r w:rsidRPr="0087485F">
              <w:rPr>
                <w:rFonts w:cstheme="minorHAnsi"/>
                <w:sz w:val="20"/>
                <w:szCs w:val="20"/>
              </w:rPr>
              <w:t>49</w:t>
            </w:r>
          </w:p>
        </w:tc>
        <w:tc>
          <w:tcPr>
            <w:tcW w:w="1701" w:type="dxa"/>
          </w:tcPr>
          <w:p w:rsidR="00D907AF" w:rsidRPr="0087485F" w:rsidRDefault="00D907AF" w:rsidP="00693109">
            <w:pPr>
              <w:spacing w:before="10" w:after="10"/>
              <w:ind w:right="459"/>
              <w:jc w:val="right"/>
              <w:rPr>
                <w:rFonts w:cstheme="minorHAnsi"/>
                <w:color w:val="000000"/>
                <w:sz w:val="20"/>
                <w:szCs w:val="20"/>
              </w:rPr>
            </w:pPr>
            <w:r w:rsidRPr="0087485F">
              <w:rPr>
                <w:rFonts w:cstheme="minorHAnsi"/>
                <w:color w:val="000000"/>
                <w:sz w:val="20"/>
                <w:szCs w:val="20"/>
              </w:rPr>
              <w:t>4.8</w:t>
            </w:r>
          </w:p>
        </w:tc>
      </w:tr>
      <w:tr w:rsidR="00D907AF" w:rsidRPr="0087485F" w:rsidTr="00693109">
        <w:tc>
          <w:tcPr>
            <w:tcW w:w="2943" w:type="dxa"/>
          </w:tcPr>
          <w:p w:rsidR="00D907AF" w:rsidRPr="0087485F" w:rsidRDefault="00D907AF" w:rsidP="00D907AF">
            <w:pPr>
              <w:spacing w:before="10" w:after="10"/>
              <w:rPr>
                <w:rFonts w:cstheme="minorHAnsi"/>
                <w:sz w:val="20"/>
                <w:szCs w:val="20"/>
              </w:rPr>
            </w:pPr>
            <w:r w:rsidRPr="0087485F">
              <w:rPr>
                <w:rFonts w:cstheme="minorHAnsi"/>
                <w:sz w:val="20"/>
                <w:szCs w:val="20"/>
              </w:rPr>
              <w:t xml:space="preserve">Certificate III  </w:t>
            </w:r>
          </w:p>
        </w:tc>
        <w:tc>
          <w:tcPr>
            <w:tcW w:w="1701" w:type="dxa"/>
          </w:tcPr>
          <w:p w:rsidR="00D907AF" w:rsidRPr="0087485F" w:rsidRDefault="00D907AF" w:rsidP="00693109">
            <w:pPr>
              <w:spacing w:before="10" w:after="10"/>
              <w:ind w:right="459"/>
              <w:jc w:val="right"/>
              <w:rPr>
                <w:rFonts w:cstheme="minorHAnsi"/>
                <w:sz w:val="20"/>
                <w:szCs w:val="20"/>
              </w:rPr>
            </w:pPr>
            <w:r w:rsidRPr="0087485F">
              <w:rPr>
                <w:rFonts w:cstheme="minorHAnsi"/>
                <w:sz w:val="20"/>
                <w:szCs w:val="20"/>
              </w:rPr>
              <w:t>76</w:t>
            </w:r>
          </w:p>
        </w:tc>
        <w:tc>
          <w:tcPr>
            <w:tcW w:w="1701" w:type="dxa"/>
          </w:tcPr>
          <w:p w:rsidR="00D907AF" w:rsidRPr="0087485F" w:rsidRDefault="00D907AF" w:rsidP="00693109">
            <w:pPr>
              <w:spacing w:before="10" w:after="10"/>
              <w:ind w:right="459"/>
              <w:jc w:val="right"/>
              <w:rPr>
                <w:rFonts w:cstheme="minorHAnsi"/>
                <w:color w:val="000000"/>
                <w:sz w:val="20"/>
                <w:szCs w:val="20"/>
              </w:rPr>
            </w:pPr>
            <w:r w:rsidRPr="0087485F">
              <w:rPr>
                <w:rFonts w:cstheme="minorHAnsi"/>
                <w:color w:val="000000"/>
                <w:sz w:val="20"/>
                <w:szCs w:val="20"/>
              </w:rPr>
              <w:t>7.4</w:t>
            </w:r>
          </w:p>
        </w:tc>
      </w:tr>
      <w:tr w:rsidR="00D907AF" w:rsidRPr="0087485F" w:rsidTr="00693109">
        <w:tc>
          <w:tcPr>
            <w:tcW w:w="2943" w:type="dxa"/>
          </w:tcPr>
          <w:p w:rsidR="00D907AF" w:rsidRPr="0087485F" w:rsidRDefault="00D907AF" w:rsidP="00D907AF">
            <w:pPr>
              <w:spacing w:before="10" w:after="10"/>
              <w:rPr>
                <w:rFonts w:cstheme="minorHAnsi"/>
                <w:sz w:val="20"/>
                <w:szCs w:val="20"/>
              </w:rPr>
            </w:pPr>
            <w:r w:rsidRPr="0087485F">
              <w:rPr>
                <w:rFonts w:cstheme="minorHAnsi"/>
                <w:sz w:val="20"/>
                <w:szCs w:val="20"/>
              </w:rPr>
              <w:t>Certificate IV</w:t>
            </w:r>
          </w:p>
        </w:tc>
        <w:tc>
          <w:tcPr>
            <w:tcW w:w="1701" w:type="dxa"/>
          </w:tcPr>
          <w:p w:rsidR="00D907AF" w:rsidRPr="0087485F" w:rsidRDefault="00D907AF" w:rsidP="00693109">
            <w:pPr>
              <w:spacing w:before="10" w:after="10"/>
              <w:ind w:right="459"/>
              <w:jc w:val="right"/>
              <w:rPr>
                <w:rFonts w:cstheme="minorHAnsi"/>
                <w:sz w:val="20"/>
                <w:szCs w:val="20"/>
              </w:rPr>
            </w:pPr>
            <w:r w:rsidRPr="0087485F">
              <w:rPr>
                <w:rFonts w:cstheme="minorHAnsi"/>
                <w:sz w:val="20"/>
                <w:szCs w:val="20"/>
              </w:rPr>
              <w:t>39</w:t>
            </w:r>
          </w:p>
        </w:tc>
        <w:tc>
          <w:tcPr>
            <w:tcW w:w="1701" w:type="dxa"/>
          </w:tcPr>
          <w:p w:rsidR="00D907AF" w:rsidRPr="0087485F" w:rsidRDefault="00D907AF" w:rsidP="00693109">
            <w:pPr>
              <w:spacing w:before="10" w:after="10"/>
              <w:ind w:right="459"/>
              <w:jc w:val="right"/>
              <w:rPr>
                <w:rFonts w:cstheme="minorHAnsi"/>
                <w:color w:val="000000"/>
                <w:sz w:val="20"/>
                <w:szCs w:val="20"/>
              </w:rPr>
            </w:pPr>
            <w:r w:rsidRPr="0087485F">
              <w:rPr>
                <w:rFonts w:cstheme="minorHAnsi"/>
                <w:color w:val="000000"/>
                <w:sz w:val="20"/>
                <w:szCs w:val="20"/>
              </w:rPr>
              <w:t>3.8</w:t>
            </w:r>
          </w:p>
        </w:tc>
      </w:tr>
      <w:tr w:rsidR="00D907AF" w:rsidRPr="0087485F" w:rsidTr="00693109">
        <w:tc>
          <w:tcPr>
            <w:tcW w:w="2943" w:type="dxa"/>
          </w:tcPr>
          <w:p w:rsidR="00D907AF" w:rsidRPr="0087485F" w:rsidRDefault="00D907AF" w:rsidP="00D907AF">
            <w:pPr>
              <w:spacing w:before="10" w:after="10"/>
              <w:rPr>
                <w:rFonts w:cstheme="minorHAnsi"/>
                <w:sz w:val="20"/>
                <w:szCs w:val="20"/>
              </w:rPr>
            </w:pPr>
            <w:r w:rsidRPr="0087485F">
              <w:rPr>
                <w:rFonts w:cstheme="minorHAnsi"/>
                <w:sz w:val="20"/>
                <w:szCs w:val="20"/>
              </w:rPr>
              <w:t>Diploma or Advanced Diploma</w:t>
            </w:r>
          </w:p>
        </w:tc>
        <w:tc>
          <w:tcPr>
            <w:tcW w:w="1701" w:type="dxa"/>
          </w:tcPr>
          <w:p w:rsidR="00D907AF" w:rsidRPr="0087485F" w:rsidRDefault="00D907AF" w:rsidP="00693109">
            <w:pPr>
              <w:spacing w:before="10" w:after="10"/>
              <w:ind w:right="459"/>
              <w:jc w:val="right"/>
              <w:rPr>
                <w:rFonts w:cstheme="minorHAnsi"/>
                <w:sz w:val="20"/>
                <w:szCs w:val="20"/>
              </w:rPr>
            </w:pPr>
            <w:r w:rsidRPr="0087485F">
              <w:rPr>
                <w:rFonts w:cstheme="minorHAnsi"/>
                <w:sz w:val="20"/>
                <w:szCs w:val="20"/>
              </w:rPr>
              <w:t>69</w:t>
            </w:r>
          </w:p>
        </w:tc>
        <w:tc>
          <w:tcPr>
            <w:tcW w:w="1701" w:type="dxa"/>
          </w:tcPr>
          <w:p w:rsidR="00D907AF" w:rsidRPr="0087485F" w:rsidRDefault="00D907AF" w:rsidP="00693109">
            <w:pPr>
              <w:spacing w:before="10" w:after="10"/>
              <w:ind w:right="459"/>
              <w:jc w:val="right"/>
              <w:rPr>
                <w:rFonts w:cstheme="minorHAnsi"/>
                <w:color w:val="000000"/>
                <w:sz w:val="20"/>
                <w:szCs w:val="20"/>
              </w:rPr>
            </w:pPr>
            <w:r w:rsidRPr="0087485F">
              <w:rPr>
                <w:rFonts w:cstheme="minorHAnsi"/>
                <w:color w:val="000000"/>
                <w:sz w:val="20"/>
                <w:szCs w:val="20"/>
              </w:rPr>
              <w:t>6.7</w:t>
            </w:r>
          </w:p>
        </w:tc>
      </w:tr>
      <w:tr w:rsidR="00D907AF" w:rsidRPr="0087485F" w:rsidTr="00693109">
        <w:tc>
          <w:tcPr>
            <w:tcW w:w="2943" w:type="dxa"/>
          </w:tcPr>
          <w:p w:rsidR="00D907AF" w:rsidRPr="0087485F" w:rsidRDefault="00D907AF" w:rsidP="00D907AF">
            <w:pPr>
              <w:spacing w:before="10" w:after="10"/>
              <w:rPr>
                <w:rFonts w:cstheme="minorHAnsi"/>
                <w:sz w:val="20"/>
                <w:szCs w:val="20"/>
              </w:rPr>
            </w:pPr>
            <w:r w:rsidRPr="0087485F">
              <w:rPr>
                <w:rFonts w:cstheme="minorHAnsi"/>
                <w:sz w:val="20"/>
                <w:szCs w:val="20"/>
              </w:rPr>
              <w:t xml:space="preserve">Bachelor degree  </w:t>
            </w:r>
          </w:p>
        </w:tc>
        <w:tc>
          <w:tcPr>
            <w:tcW w:w="1701" w:type="dxa"/>
          </w:tcPr>
          <w:p w:rsidR="00D907AF" w:rsidRPr="0087485F" w:rsidRDefault="00D907AF" w:rsidP="00693109">
            <w:pPr>
              <w:spacing w:before="10" w:after="10"/>
              <w:ind w:right="459"/>
              <w:jc w:val="right"/>
              <w:rPr>
                <w:rFonts w:cstheme="minorHAnsi"/>
                <w:sz w:val="20"/>
                <w:szCs w:val="20"/>
              </w:rPr>
            </w:pPr>
            <w:r w:rsidRPr="0087485F">
              <w:rPr>
                <w:rFonts w:cstheme="minorHAnsi"/>
                <w:sz w:val="20"/>
                <w:szCs w:val="20"/>
              </w:rPr>
              <w:t>61</w:t>
            </w:r>
          </w:p>
        </w:tc>
        <w:tc>
          <w:tcPr>
            <w:tcW w:w="1701" w:type="dxa"/>
          </w:tcPr>
          <w:p w:rsidR="00D907AF" w:rsidRPr="0087485F" w:rsidRDefault="00D907AF" w:rsidP="00693109">
            <w:pPr>
              <w:spacing w:before="10" w:after="10"/>
              <w:ind w:right="459"/>
              <w:jc w:val="right"/>
              <w:rPr>
                <w:rFonts w:cstheme="minorHAnsi"/>
                <w:color w:val="000000"/>
                <w:sz w:val="20"/>
                <w:szCs w:val="20"/>
              </w:rPr>
            </w:pPr>
            <w:r w:rsidRPr="0087485F">
              <w:rPr>
                <w:rFonts w:cstheme="minorHAnsi"/>
                <w:color w:val="000000"/>
                <w:sz w:val="20"/>
                <w:szCs w:val="20"/>
              </w:rPr>
              <w:t>5.9</w:t>
            </w:r>
          </w:p>
        </w:tc>
      </w:tr>
      <w:tr w:rsidR="00D907AF" w:rsidRPr="0087485F" w:rsidTr="00693109">
        <w:tc>
          <w:tcPr>
            <w:tcW w:w="2943" w:type="dxa"/>
          </w:tcPr>
          <w:p w:rsidR="00D907AF" w:rsidRPr="0087485F" w:rsidRDefault="00D907AF" w:rsidP="00D907AF">
            <w:pPr>
              <w:spacing w:before="10" w:after="10"/>
              <w:rPr>
                <w:rFonts w:cstheme="minorHAnsi"/>
                <w:sz w:val="20"/>
                <w:szCs w:val="20"/>
              </w:rPr>
            </w:pPr>
            <w:r w:rsidRPr="0087485F">
              <w:rPr>
                <w:rFonts w:cstheme="minorHAnsi"/>
                <w:sz w:val="20"/>
                <w:szCs w:val="20"/>
              </w:rPr>
              <w:t>Postgraduate degree</w:t>
            </w:r>
          </w:p>
        </w:tc>
        <w:tc>
          <w:tcPr>
            <w:tcW w:w="1701" w:type="dxa"/>
          </w:tcPr>
          <w:p w:rsidR="00D907AF" w:rsidRPr="0087485F" w:rsidRDefault="00D907AF" w:rsidP="00693109">
            <w:pPr>
              <w:spacing w:before="10" w:after="10"/>
              <w:ind w:right="459"/>
              <w:jc w:val="right"/>
              <w:rPr>
                <w:rFonts w:cstheme="minorHAnsi"/>
                <w:sz w:val="20"/>
                <w:szCs w:val="20"/>
              </w:rPr>
            </w:pPr>
            <w:r w:rsidRPr="0087485F">
              <w:rPr>
                <w:rFonts w:cstheme="minorHAnsi"/>
                <w:sz w:val="20"/>
                <w:szCs w:val="20"/>
              </w:rPr>
              <w:t>32</w:t>
            </w:r>
          </w:p>
        </w:tc>
        <w:tc>
          <w:tcPr>
            <w:tcW w:w="1701" w:type="dxa"/>
          </w:tcPr>
          <w:p w:rsidR="00D907AF" w:rsidRPr="0087485F" w:rsidRDefault="00D907AF" w:rsidP="00693109">
            <w:pPr>
              <w:spacing w:before="10" w:after="10"/>
              <w:ind w:right="459"/>
              <w:jc w:val="right"/>
              <w:rPr>
                <w:rFonts w:cstheme="minorHAnsi"/>
                <w:color w:val="000000"/>
                <w:sz w:val="20"/>
                <w:szCs w:val="20"/>
              </w:rPr>
            </w:pPr>
            <w:r w:rsidRPr="0087485F">
              <w:rPr>
                <w:rFonts w:cstheme="minorHAnsi"/>
                <w:color w:val="000000"/>
                <w:sz w:val="20"/>
                <w:szCs w:val="20"/>
              </w:rPr>
              <w:t>3.1</w:t>
            </w:r>
          </w:p>
        </w:tc>
      </w:tr>
      <w:tr w:rsidR="00D907AF" w:rsidRPr="0087485F" w:rsidTr="00693109">
        <w:tc>
          <w:tcPr>
            <w:tcW w:w="2943" w:type="dxa"/>
          </w:tcPr>
          <w:p w:rsidR="00D907AF" w:rsidRPr="0087485F" w:rsidRDefault="00D907AF" w:rsidP="00D907AF">
            <w:pPr>
              <w:spacing w:before="10" w:after="10"/>
              <w:rPr>
                <w:rFonts w:cstheme="minorHAnsi"/>
                <w:sz w:val="20"/>
                <w:szCs w:val="20"/>
              </w:rPr>
            </w:pPr>
            <w:r w:rsidRPr="0087485F">
              <w:rPr>
                <w:rFonts w:cstheme="minorHAnsi"/>
                <w:sz w:val="20"/>
                <w:szCs w:val="20"/>
              </w:rPr>
              <w:t>Other educational qualification</w:t>
            </w:r>
          </w:p>
        </w:tc>
        <w:tc>
          <w:tcPr>
            <w:tcW w:w="1701" w:type="dxa"/>
          </w:tcPr>
          <w:p w:rsidR="00D907AF" w:rsidRPr="0087485F" w:rsidRDefault="00D907AF" w:rsidP="00693109">
            <w:pPr>
              <w:spacing w:before="10" w:after="10"/>
              <w:ind w:right="459"/>
              <w:jc w:val="right"/>
              <w:rPr>
                <w:rFonts w:cstheme="minorHAnsi"/>
                <w:sz w:val="20"/>
                <w:szCs w:val="20"/>
              </w:rPr>
            </w:pPr>
            <w:r w:rsidRPr="0087485F">
              <w:rPr>
                <w:rFonts w:cstheme="minorHAnsi"/>
                <w:sz w:val="20"/>
                <w:szCs w:val="20"/>
              </w:rPr>
              <w:t>82</w:t>
            </w:r>
          </w:p>
        </w:tc>
        <w:tc>
          <w:tcPr>
            <w:tcW w:w="1701" w:type="dxa"/>
          </w:tcPr>
          <w:p w:rsidR="00D907AF" w:rsidRPr="0087485F" w:rsidRDefault="00D907AF" w:rsidP="00693109">
            <w:pPr>
              <w:spacing w:before="10" w:after="10"/>
              <w:ind w:right="459"/>
              <w:jc w:val="right"/>
              <w:rPr>
                <w:rFonts w:cstheme="minorHAnsi"/>
                <w:color w:val="000000"/>
                <w:sz w:val="20"/>
                <w:szCs w:val="20"/>
              </w:rPr>
            </w:pPr>
            <w:r w:rsidRPr="0087485F">
              <w:rPr>
                <w:rFonts w:cstheme="minorHAnsi"/>
                <w:color w:val="000000"/>
                <w:sz w:val="20"/>
                <w:szCs w:val="20"/>
              </w:rPr>
              <w:t>8.0</w:t>
            </w:r>
          </w:p>
        </w:tc>
      </w:tr>
      <w:tr w:rsidR="00D907AF" w:rsidRPr="0087485F" w:rsidTr="00693109">
        <w:tc>
          <w:tcPr>
            <w:tcW w:w="2943" w:type="dxa"/>
          </w:tcPr>
          <w:p w:rsidR="00D907AF" w:rsidRPr="0087485F" w:rsidRDefault="00D907AF" w:rsidP="00D907AF">
            <w:pPr>
              <w:spacing w:before="10" w:after="10"/>
              <w:rPr>
                <w:rFonts w:cstheme="minorHAnsi"/>
                <w:sz w:val="20"/>
                <w:szCs w:val="20"/>
              </w:rPr>
            </w:pPr>
            <w:r w:rsidRPr="0087485F">
              <w:rPr>
                <w:rFonts w:cstheme="minorHAnsi"/>
                <w:sz w:val="20"/>
                <w:szCs w:val="20"/>
              </w:rPr>
              <w:t>Don’t know</w:t>
            </w:r>
          </w:p>
        </w:tc>
        <w:tc>
          <w:tcPr>
            <w:tcW w:w="1701" w:type="dxa"/>
          </w:tcPr>
          <w:p w:rsidR="00D907AF" w:rsidRPr="0087485F" w:rsidRDefault="00D907AF" w:rsidP="00693109">
            <w:pPr>
              <w:spacing w:before="10" w:after="10"/>
              <w:ind w:right="459"/>
              <w:jc w:val="right"/>
              <w:rPr>
                <w:rFonts w:cstheme="minorHAnsi"/>
                <w:sz w:val="20"/>
                <w:szCs w:val="20"/>
              </w:rPr>
            </w:pPr>
            <w:r w:rsidRPr="0087485F">
              <w:rPr>
                <w:rFonts w:cstheme="minorHAnsi"/>
                <w:sz w:val="20"/>
                <w:szCs w:val="20"/>
              </w:rPr>
              <w:t>31</w:t>
            </w:r>
          </w:p>
        </w:tc>
        <w:tc>
          <w:tcPr>
            <w:tcW w:w="1701" w:type="dxa"/>
          </w:tcPr>
          <w:p w:rsidR="00D907AF" w:rsidRPr="0087485F" w:rsidRDefault="00D907AF" w:rsidP="00693109">
            <w:pPr>
              <w:spacing w:before="10" w:after="10"/>
              <w:ind w:right="459"/>
              <w:jc w:val="right"/>
              <w:rPr>
                <w:rFonts w:cstheme="minorHAnsi"/>
                <w:color w:val="000000"/>
                <w:sz w:val="20"/>
                <w:szCs w:val="20"/>
              </w:rPr>
            </w:pPr>
            <w:r w:rsidRPr="0087485F">
              <w:rPr>
                <w:rFonts w:cstheme="minorHAnsi"/>
                <w:color w:val="000000"/>
                <w:sz w:val="20"/>
                <w:szCs w:val="20"/>
              </w:rPr>
              <w:t>3.0</w:t>
            </w:r>
          </w:p>
        </w:tc>
      </w:tr>
      <w:tr w:rsidR="00D907AF" w:rsidRPr="0087485F" w:rsidTr="00693109">
        <w:tc>
          <w:tcPr>
            <w:tcW w:w="2943" w:type="dxa"/>
            <w:tcBorders>
              <w:bottom w:val="single" w:sz="4" w:space="0" w:color="auto"/>
            </w:tcBorders>
          </w:tcPr>
          <w:p w:rsidR="00D907AF" w:rsidRPr="0087485F" w:rsidRDefault="00D907AF" w:rsidP="00D907AF">
            <w:pPr>
              <w:spacing w:before="10" w:after="10"/>
              <w:rPr>
                <w:rFonts w:cstheme="minorHAnsi"/>
                <w:sz w:val="20"/>
                <w:szCs w:val="20"/>
              </w:rPr>
            </w:pPr>
            <w:r w:rsidRPr="0087485F">
              <w:rPr>
                <w:rFonts w:cstheme="minorHAnsi"/>
                <w:sz w:val="20"/>
                <w:szCs w:val="20"/>
              </w:rPr>
              <w:t xml:space="preserve">Missing </w:t>
            </w:r>
          </w:p>
        </w:tc>
        <w:tc>
          <w:tcPr>
            <w:tcW w:w="1701" w:type="dxa"/>
            <w:tcBorders>
              <w:bottom w:val="single" w:sz="4" w:space="0" w:color="auto"/>
            </w:tcBorders>
          </w:tcPr>
          <w:p w:rsidR="00D907AF" w:rsidRPr="0087485F" w:rsidRDefault="00D907AF" w:rsidP="00693109">
            <w:pPr>
              <w:spacing w:before="10" w:after="10"/>
              <w:ind w:right="459"/>
              <w:jc w:val="right"/>
              <w:rPr>
                <w:rFonts w:cstheme="minorHAnsi"/>
                <w:sz w:val="20"/>
                <w:szCs w:val="20"/>
              </w:rPr>
            </w:pPr>
            <w:r w:rsidRPr="0087485F">
              <w:rPr>
                <w:rFonts w:cstheme="minorHAnsi"/>
                <w:sz w:val="20"/>
                <w:szCs w:val="20"/>
              </w:rPr>
              <w:t>49</w:t>
            </w:r>
          </w:p>
        </w:tc>
        <w:tc>
          <w:tcPr>
            <w:tcW w:w="1701" w:type="dxa"/>
            <w:tcBorders>
              <w:bottom w:val="single" w:sz="4" w:space="0" w:color="auto"/>
            </w:tcBorders>
          </w:tcPr>
          <w:p w:rsidR="00D907AF" w:rsidRPr="0087485F" w:rsidRDefault="00D907AF" w:rsidP="00693109">
            <w:pPr>
              <w:spacing w:before="10" w:after="10"/>
              <w:ind w:right="459"/>
              <w:jc w:val="right"/>
              <w:rPr>
                <w:rFonts w:cstheme="minorHAnsi"/>
                <w:color w:val="000000"/>
                <w:sz w:val="20"/>
                <w:szCs w:val="20"/>
              </w:rPr>
            </w:pPr>
            <w:r w:rsidRPr="0087485F">
              <w:rPr>
                <w:rFonts w:cstheme="minorHAnsi"/>
                <w:color w:val="000000"/>
                <w:sz w:val="20"/>
                <w:szCs w:val="20"/>
              </w:rPr>
              <w:t>4.8</w:t>
            </w:r>
          </w:p>
        </w:tc>
      </w:tr>
      <w:tr w:rsidR="00D907AF" w:rsidRPr="0087485F" w:rsidTr="00693109">
        <w:tc>
          <w:tcPr>
            <w:tcW w:w="2943" w:type="dxa"/>
            <w:tcBorders>
              <w:top w:val="single" w:sz="4" w:space="0" w:color="auto"/>
              <w:bottom w:val="single" w:sz="4" w:space="0" w:color="auto"/>
            </w:tcBorders>
          </w:tcPr>
          <w:p w:rsidR="00D907AF" w:rsidRPr="0087485F" w:rsidRDefault="00D907AF" w:rsidP="00D907AF">
            <w:pPr>
              <w:spacing w:before="10" w:after="10"/>
              <w:rPr>
                <w:rFonts w:cstheme="minorHAnsi"/>
                <w:b/>
                <w:sz w:val="20"/>
                <w:szCs w:val="20"/>
              </w:rPr>
            </w:pPr>
            <w:r w:rsidRPr="0087485F">
              <w:rPr>
                <w:rFonts w:cstheme="minorHAnsi"/>
                <w:b/>
                <w:sz w:val="20"/>
                <w:szCs w:val="20"/>
              </w:rPr>
              <w:t>Total</w:t>
            </w:r>
          </w:p>
        </w:tc>
        <w:tc>
          <w:tcPr>
            <w:tcW w:w="1701" w:type="dxa"/>
            <w:tcBorders>
              <w:top w:val="single" w:sz="4" w:space="0" w:color="auto"/>
              <w:bottom w:val="single" w:sz="4" w:space="0" w:color="auto"/>
            </w:tcBorders>
          </w:tcPr>
          <w:p w:rsidR="00D907AF" w:rsidRPr="0087485F" w:rsidRDefault="00D907AF" w:rsidP="00693109">
            <w:pPr>
              <w:spacing w:before="10" w:after="10"/>
              <w:ind w:right="459"/>
              <w:jc w:val="right"/>
              <w:rPr>
                <w:rFonts w:cstheme="minorHAnsi"/>
                <w:b/>
                <w:sz w:val="20"/>
                <w:szCs w:val="20"/>
              </w:rPr>
            </w:pPr>
            <w:r w:rsidRPr="0087485F">
              <w:rPr>
                <w:rFonts w:cstheme="minorHAnsi"/>
                <w:b/>
                <w:sz w:val="20"/>
                <w:szCs w:val="20"/>
              </w:rPr>
              <w:t>1</w:t>
            </w:r>
            <w:r>
              <w:rPr>
                <w:rFonts w:cstheme="minorHAnsi"/>
                <w:b/>
                <w:sz w:val="20"/>
                <w:szCs w:val="20"/>
              </w:rPr>
              <w:t>,</w:t>
            </w:r>
            <w:r w:rsidRPr="0087485F">
              <w:rPr>
                <w:rFonts w:cstheme="minorHAnsi"/>
                <w:b/>
                <w:sz w:val="20"/>
                <w:szCs w:val="20"/>
              </w:rPr>
              <w:t>029</w:t>
            </w:r>
          </w:p>
        </w:tc>
        <w:tc>
          <w:tcPr>
            <w:tcW w:w="1701" w:type="dxa"/>
            <w:tcBorders>
              <w:top w:val="single" w:sz="4" w:space="0" w:color="auto"/>
              <w:bottom w:val="single" w:sz="4" w:space="0" w:color="auto"/>
            </w:tcBorders>
          </w:tcPr>
          <w:p w:rsidR="00D907AF" w:rsidRPr="0087485F" w:rsidRDefault="00D907AF" w:rsidP="00693109">
            <w:pPr>
              <w:spacing w:before="10" w:after="10"/>
              <w:ind w:right="459"/>
              <w:jc w:val="right"/>
              <w:rPr>
                <w:rFonts w:cstheme="minorHAnsi"/>
                <w:b/>
                <w:sz w:val="20"/>
                <w:szCs w:val="20"/>
              </w:rPr>
            </w:pPr>
            <w:r w:rsidRPr="0087485F">
              <w:rPr>
                <w:rFonts w:cstheme="minorHAnsi"/>
                <w:b/>
                <w:sz w:val="20"/>
                <w:szCs w:val="20"/>
              </w:rPr>
              <w:t>100</w:t>
            </w:r>
          </w:p>
        </w:tc>
      </w:tr>
    </w:tbl>
    <w:p w:rsidR="00D907AF" w:rsidRPr="00AC2B30" w:rsidRDefault="00D907AF" w:rsidP="001032EF">
      <w:pPr>
        <w:pStyle w:val="NILSReference"/>
      </w:pPr>
      <w:r w:rsidRPr="00AC2B30">
        <w:t xml:space="preserve">Note: </w:t>
      </w:r>
      <w:r>
        <w:t>trial and comparison aged 16 years and above</w:t>
      </w:r>
      <w:r w:rsidRPr="00E852D5">
        <w:t xml:space="preserve"> </w:t>
      </w:r>
      <w:r w:rsidRPr="00AC2B30">
        <w:t>not in education or in community based education</w:t>
      </w:r>
    </w:p>
    <w:p w:rsidR="00953EE5" w:rsidRDefault="00953EE5" w:rsidP="00D907AF">
      <w:pPr>
        <w:rPr>
          <w:rFonts w:cstheme="minorHAnsi"/>
        </w:rPr>
      </w:pPr>
    </w:p>
    <w:p w:rsidR="00D907AF" w:rsidRDefault="00D907AF" w:rsidP="00D907AF">
      <w:pPr>
        <w:rPr>
          <w:rFonts w:cstheme="minorHAnsi"/>
        </w:rPr>
      </w:pPr>
      <w:r>
        <w:rPr>
          <w:rFonts w:cstheme="minorHAnsi"/>
        </w:rPr>
        <w:t xml:space="preserve">Any changes in these levels that could be attributable to NDIS participation would provide direct evidence insofar as education has its own ‘consumption value’ and indirect evidence insofar as education can improve other personal objectives, for example, by enabling a higher quality labour market involvement. This evidence will be used by the </w:t>
      </w:r>
      <w:r w:rsidR="00190419">
        <w:rPr>
          <w:rFonts w:cstheme="minorHAnsi"/>
        </w:rPr>
        <w:t>e</w:t>
      </w:r>
      <w:r w:rsidR="00BD356D">
        <w:rPr>
          <w:rFonts w:cstheme="minorHAnsi"/>
        </w:rPr>
        <w:t>valuation</w:t>
      </w:r>
      <w:r>
        <w:rPr>
          <w:rFonts w:cstheme="minorHAnsi"/>
        </w:rPr>
        <w:t xml:space="preserve"> to judge the impact of the NDIS on present and future labour market aspirations, expectations and ultimately actual performance and the degree to which these lead to higher social and economic participation and </w:t>
      </w:r>
      <w:r w:rsidR="006953C6">
        <w:rPr>
          <w:rFonts w:cstheme="minorHAnsi"/>
        </w:rPr>
        <w:t>wellbeing</w:t>
      </w:r>
      <w:r>
        <w:rPr>
          <w:rFonts w:cstheme="minorHAnsi"/>
        </w:rPr>
        <w:t xml:space="preserve">. </w:t>
      </w:r>
    </w:p>
    <w:p w:rsidR="00953EE5" w:rsidRDefault="00953EE5" w:rsidP="00D907AF">
      <w:pPr>
        <w:rPr>
          <w:rFonts w:cstheme="minorHAnsi"/>
        </w:rPr>
      </w:pPr>
    </w:p>
    <w:p w:rsidR="00D907AF" w:rsidRDefault="00D907AF" w:rsidP="00D907AF">
      <w:pPr>
        <w:spacing w:after="120"/>
        <w:rPr>
          <w:rFonts w:cstheme="minorHAnsi"/>
        </w:rPr>
      </w:pPr>
      <w:r>
        <w:rPr>
          <w:rFonts w:cstheme="minorHAnsi"/>
        </w:rPr>
        <w:t xml:space="preserve">We cannot expect to see change in </w:t>
      </w:r>
      <w:r w:rsidR="00404EFB">
        <w:rPr>
          <w:rFonts w:cstheme="minorHAnsi"/>
        </w:rPr>
        <w:t xml:space="preserve">the highest level of education </w:t>
      </w:r>
      <w:r w:rsidR="00A05F0B">
        <w:rPr>
          <w:rFonts w:cstheme="minorHAnsi"/>
        </w:rPr>
        <w:t xml:space="preserve">achievement </w:t>
      </w:r>
      <w:r>
        <w:rPr>
          <w:rFonts w:cstheme="minorHAnsi"/>
        </w:rPr>
        <w:t xml:space="preserve">between the two waves of data collection. </w:t>
      </w:r>
      <w:r w:rsidR="00404EFB">
        <w:rPr>
          <w:rFonts w:cstheme="minorHAnsi"/>
        </w:rPr>
        <w:t xml:space="preserve">The survey will however identify uptake of study </w:t>
      </w:r>
      <w:r>
        <w:rPr>
          <w:rFonts w:cstheme="minorHAnsi"/>
        </w:rPr>
        <w:t xml:space="preserve">in the sampling of the second wave. Thus the overall data picture we aim to complete by the end of Wave 2, is (i) evidence on the educational outcome for those who were studying in Wave 1, (ii) evidence on the choices to study or not in Wave 2, for those who were not studying in Wave 1. The differences in the composition of these three distinct outcome-groups will inform the </w:t>
      </w:r>
      <w:r w:rsidR="00190419">
        <w:rPr>
          <w:rFonts w:cstheme="minorHAnsi"/>
        </w:rPr>
        <w:t>e</w:t>
      </w:r>
      <w:r w:rsidR="00BD356D">
        <w:rPr>
          <w:rFonts w:cstheme="minorHAnsi"/>
        </w:rPr>
        <w:t>valuation</w:t>
      </w:r>
      <w:r>
        <w:rPr>
          <w:rFonts w:cstheme="minorHAnsi"/>
        </w:rPr>
        <w:t>.</w:t>
      </w:r>
    </w:p>
    <w:p w:rsidR="00D907AF" w:rsidRPr="00FB5385" w:rsidRDefault="00D907AF" w:rsidP="00367B24">
      <w:pPr>
        <w:pStyle w:val="Heading3"/>
      </w:pPr>
      <w:bookmarkStart w:id="289" w:name="_Toc428280641"/>
      <w:bookmarkStart w:id="290" w:name="_Toc449955013"/>
      <w:r>
        <w:t xml:space="preserve">3.6.7 Part A – </w:t>
      </w:r>
      <w:r w:rsidRPr="00FB5385">
        <w:t>Employment</w:t>
      </w:r>
      <w:bookmarkEnd w:id="289"/>
      <w:bookmarkEnd w:id="290"/>
    </w:p>
    <w:p w:rsidR="00D907AF" w:rsidRDefault="00D907AF" w:rsidP="00D907AF">
      <w:pPr>
        <w:rPr>
          <w:rFonts w:cstheme="minorHAnsi"/>
        </w:rPr>
      </w:pPr>
      <w:r>
        <w:rPr>
          <w:rFonts w:cstheme="minorHAnsi"/>
        </w:rPr>
        <w:t xml:space="preserve">The questions on employment are only asked of the adult survey respondents. Of the 1,107 adult respondents, 222 (20 per cent) reported being in employment with 201 (18 per cent) reporting that they were employed and were at work in the current week. Twenty-one (2 per cent) reported that they were in an employment relationship but were not at work in the current week because of holidays, sickness or any other reason (such as maternity leave or workers compensation). Of the 222 people in employment, 79 (35.6 per cent) reported that they worked in an Australian Disability Enterprise (Table 3.32). </w:t>
      </w:r>
    </w:p>
    <w:p w:rsidR="00D907AF" w:rsidRPr="00233E8A" w:rsidRDefault="00D907AF" w:rsidP="0044684E">
      <w:pPr>
        <w:pStyle w:val="NILSTableHeading"/>
      </w:pPr>
      <w:bookmarkStart w:id="291" w:name="_Toc428280684"/>
      <w:bookmarkStart w:id="292" w:name="_Toc449955295"/>
      <w:r w:rsidRPr="00233E8A">
        <w:t>Table 3.</w:t>
      </w:r>
      <w:r>
        <w:t>32</w:t>
      </w:r>
      <w:r w:rsidRPr="00233E8A">
        <w:t>: Work in an Australian Disability Enterpr</w:t>
      </w:r>
      <w:r>
        <w:t>ise</w:t>
      </w:r>
      <w:bookmarkEnd w:id="291"/>
      <w:bookmarkEnd w:id="292"/>
      <w:r w:rsidRPr="00233E8A">
        <w:t xml:space="preserve"> </w:t>
      </w:r>
    </w:p>
    <w:tbl>
      <w:tblPr>
        <w:tblStyle w:val="TableGrid"/>
        <w:tblW w:w="0" w:type="auto"/>
        <w:tblLook w:val="04A0" w:firstRow="1" w:lastRow="0" w:firstColumn="1" w:lastColumn="0" w:noHBand="0" w:noVBand="1"/>
        <w:tblCaption w:val="Table 3.32 Work in an Australian Disability Enterprise "/>
      </w:tblPr>
      <w:tblGrid>
        <w:gridCol w:w="2802"/>
        <w:gridCol w:w="1842"/>
        <w:gridCol w:w="1134"/>
      </w:tblGrid>
      <w:tr w:rsidR="00D907AF" w:rsidRPr="0087485F" w:rsidTr="00A262BC">
        <w:trPr>
          <w:cantSplit/>
          <w:tblHeader/>
        </w:trPr>
        <w:tc>
          <w:tcPr>
            <w:tcW w:w="2802" w:type="dxa"/>
            <w:tcBorders>
              <w:top w:val="single" w:sz="4" w:space="0" w:color="auto"/>
              <w:bottom w:val="single" w:sz="4" w:space="0" w:color="auto"/>
            </w:tcBorders>
            <w:shd w:val="clear" w:color="auto" w:fill="auto"/>
          </w:tcPr>
          <w:p w:rsidR="00D907AF" w:rsidRPr="0087485F" w:rsidRDefault="00D907AF" w:rsidP="00D907AF">
            <w:pPr>
              <w:spacing w:before="10" w:after="10"/>
              <w:rPr>
                <w:rFonts w:cstheme="minorHAnsi"/>
                <w:sz w:val="20"/>
                <w:szCs w:val="20"/>
              </w:rPr>
            </w:pPr>
            <w:bookmarkStart w:id="293" w:name="Title_3_32"/>
            <w:bookmarkEnd w:id="293"/>
          </w:p>
        </w:tc>
        <w:tc>
          <w:tcPr>
            <w:tcW w:w="1842" w:type="dxa"/>
            <w:tcBorders>
              <w:top w:val="single" w:sz="4" w:space="0" w:color="auto"/>
              <w:bottom w:val="single" w:sz="4" w:space="0" w:color="auto"/>
            </w:tcBorders>
            <w:shd w:val="clear" w:color="auto" w:fill="auto"/>
          </w:tcPr>
          <w:p w:rsidR="00973989" w:rsidRDefault="00973989" w:rsidP="00D907AF">
            <w:pPr>
              <w:spacing w:before="10" w:after="10"/>
              <w:jc w:val="center"/>
              <w:rPr>
                <w:rFonts w:cstheme="minorHAnsi"/>
                <w:sz w:val="20"/>
                <w:szCs w:val="20"/>
              </w:rPr>
            </w:pPr>
            <w:r>
              <w:rPr>
                <w:rFonts w:cstheme="minorHAnsi"/>
                <w:sz w:val="20"/>
                <w:szCs w:val="20"/>
              </w:rPr>
              <w:t>Adults</w:t>
            </w:r>
            <w:r w:rsidR="007F28D4">
              <w:rPr>
                <w:rFonts w:cstheme="minorHAnsi"/>
                <w:sz w:val="20"/>
                <w:szCs w:val="20"/>
              </w:rPr>
              <w:t xml:space="preserve"> </w:t>
            </w:r>
            <w:r w:rsidR="00490B21">
              <w:rPr>
                <w:rFonts w:cstheme="minorHAnsi"/>
                <w:sz w:val="20"/>
                <w:szCs w:val="20"/>
              </w:rPr>
              <w:t>16+</w:t>
            </w:r>
          </w:p>
          <w:p w:rsidR="00D907AF" w:rsidRPr="0087485F" w:rsidRDefault="00D907AF" w:rsidP="00D907AF">
            <w:pPr>
              <w:spacing w:before="10" w:after="10"/>
              <w:jc w:val="center"/>
              <w:rPr>
                <w:rFonts w:cstheme="minorHAnsi"/>
                <w:sz w:val="20"/>
                <w:szCs w:val="20"/>
              </w:rPr>
            </w:pPr>
            <w:r w:rsidRPr="0087485F">
              <w:rPr>
                <w:rFonts w:cstheme="minorHAnsi"/>
                <w:sz w:val="20"/>
                <w:szCs w:val="20"/>
              </w:rPr>
              <w:t>Cases</w:t>
            </w:r>
          </w:p>
        </w:tc>
        <w:tc>
          <w:tcPr>
            <w:tcW w:w="1134" w:type="dxa"/>
            <w:tcBorders>
              <w:top w:val="single" w:sz="4" w:space="0" w:color="auto"/>
              <w:bottom w:val="single" w:sz="4" w:space="0" w:color="auto"/>
            </w:tcBorders>
            <w:shd w:val="clear" w:color="auto" w:fill="auto"/>
          </w:tcPr>
          <w:p w:rsidR="00973989" w:rsidRDefault="00973989" w:rsidP="00D907AF">
            <w:pPr>
              <w:spacing w:before="10" w:after="10"/>
              <w:jc w:val="center"/>
              <w:rPr>
                <w:rFonts w:cstheme="minorHAnsi"/>
                <w:sz w:val="20"/>
                <w:szCs w:val="20"/>
              </w:rPr>
            </w:pPr>
            <w:r>
              <w:rPr>
                <w:rFonts w:cstheme="minorHAnsi"/>
                <w:sz w:val="20"/>
                <w:szCs w:val="20"/>
              </w:rPr>
              <w:t>Adults</w:t>
            </w:r>
            <w:r w:rsidR="007F28D4">
              <w:rPr>
                <w:rFonts w:cstheme="minorHAnsi"/>
                <w:sz w:val="20"/>
                <w:szCs w:val="20"/>
              </w:rPr>
              <w:t xml:space="preserve"> </w:t>
            </w:r>
            <w:r w:rsidR="00490B21">
              <w:rPr>
                <w:rFonts w:cstheme="minorHAnsi"/>
                <w:sz w:val="20"/>
                <w:szCs w:val="20"/>
              </w:rPr>
              <w:t>16+</w:t>
            </w:r>
          </w:p>
          <w:p w:rsidR="00D907AF" w:rsidRPr="0087485F" w:rsidRDefault="00D907AF" w:rsidP="00D907AF">
            <w:pPr>
              <w:spacing w:before="10" w:after="10"/>
              <w:jc w:val="center"/>
              <w:rPr>
                <w:rFonts w:cstheme="minorHAnsi"/>
                <w:sz w:val="20"/>
                <w:szCs w:val="20"/>
              </w:rPr>
            </w:pPr>
            <w:r w:rsidRPr="0087485F">
              <w:rPr>
                <w:rFonts w:cstheme="minorHAnsi"/>
                <w:sz w:val="20"/>
                <w:szCs w:val="20"/>
              </w:rPr>
              <w:t>%</w:t>
            </w:r>
          </w:p>
        </w:tc>
      </w:tr>
      <w:tr w:rsidR="00D907AF" w:rsidRPr="00693109" w:rsidTr="00A262BC">
        <w:trPr>
          <w:cantSplit/>
          <w:tblHeader/>
        </w:trPr>
        <w:tc>
          <w:tcPr>
            <w:tcW w:w="2802" w:type="dxa"/>
            <w:shd w:val="clear" w:color="auto" w:fill="auto"/>
          </w:tcPr>
          <w:p w:rsidR="00D907AF" w:rsidRPr="0087485F" w:rsidRDefault="00D907AF" w:rsidP="00D907AF">
            <w:pPr>
              <w:spacing w:before="10" w:after="10"/>
              <w:rPr>
                <w:rFonts w:cstheme="minorHAnsi"/>
                <w:sz w:val="20"/>
                <w:szCs w:val="20"/>
              </w:rPr>
            </w:pPr>
            <w:r w:rsidRPr="0087485F">
              <w:rPr>
                <w:rFonts w:cstheme="minorHAnsi"/>
                <w:sz w:val="20"/>
                <w:szCs w:val="20"/>
              </w:rPr>
              <w:t>Yes</w:t>
            </w:r>
          </w:p>
        </w:tc>
        <w:tc>
          <w:tcPr>
            <w:tcW w:w="1842" w:type="dxa"/>
            <w:shd w:val="clear" w:color="auto" w:fill="auto"/>
          </w:tcPr>
          <w:p w:rsidR="00D907AF" w:rsidRPr="0087485F" w:rsidRDefault="00D907AF" w:rsidP="00884536">
            <w:pPr>
              <w:spacing w:before="10" w:after="10"/>
              <w:ind w:right="600"/>
              <w:jc w:val="right"/>
              <w:rPr>
                <w:rFonts w:cstheme="minorHAnsi"/>
                <w:sz w:val="20"/>
                <w:szCs w:val="20"/>
              </w:rPr>
            </w:pPr>
            <w:r w:rsidRPr="0087485F">
              <w:rPr>
                <w:rFonts w:cstheme="minorHAnsi"/>
                <w:sz w:val="20"/>
                <w:szCs w:val="20"/>
              </w:rPr>
              <w:t>79</w:t>
            </w:r>
          </w:p>
        </w:tc>
        <w:tc>
          <w:tcPr>
            <w:tcW w:w="1134" w:type="dxa"/>
            <w:shd w:val="clear" w:color="auto" w:fill="auto"/>
            <w:vAlign w:val="center"/>
          </w:tcPr>
          <w:p w:rsidR="00D907AF" w:rsidRPr="00693109" w:rsidRDefault="00D907AF" w:rsidP="00693109">
            <w:pPr>
              <w:spacing w:before="10" w:after="10"/>
              <w:ind w:right="227"/>
              <w:jc w:val="right"/>
              <w:rPr>
                <w:rFonts w:cstheme="minorHAnsi"/>
                <w:sz w:val="20"/>
                <w:szCs w:val="20"/>
              </w:rPr>
            </w:pPr>
            <w:r w:rsidRPr="00693109">
              <w:rPr>
                <w:rFonts w:cstheme="minorHAnsi"/>
                <w:sz w:val="20"/>
                <w:szCs w:val="20"/>
              </w:rPr>
              <w:t>35.6</w:t>
            </w:r>
          </w:p>
        </w:tc>
      </w:tr>
      <w:tr w:rsidR="00D907AF" w:rsidRPr="00693109" w:rsidTr="00A262BC">
        <w:trPr>
          <w:cantSplit/>
          <w:tblHeader/>
        </w:trPr>
        <w:tc>
          <w:tcPr>
            <w:tcW w:w="2802" w:type="dxa"/>
            <w:shd w:val="clear" w:color="auto" w:fill="auto"/>
          </w:tcPr>
          <w:p w:rsidR="00D907AF" w:rsidRPr="0087485F" w:rsidRDefault="00D907AF" w:rsidP="00D907AF">
            <w:pPr>
              <w:spacing w:before="10" w:after="10"/>
              <w:rPr>
                <w:rFonts w:cstheme="minorHAnsi"/>
                <w:sz w:val="20"/>
                <w:szCs w:val="20"/>
              </w:rPr>
            </w:pPr>
            <w:r w:rsidRPr="0087485F">
              <w:rPr>
                <w:rFonts w:cstheme="minorHAnsi"/>
                <w:sz w:val="20"/>
                <w:szCs w:val="20"/>
              </w:rPr>
              <w:t>No</w:t>
            </w:r>
          </w:p>
        </w:tc>
        <w:tc>
          <w:tcPr>
            <w:tcW w:w="1842" w:type="dxa"/>
            <w:shd w:val="clear" w:color="auto" w:fill="auto"/>
          </w:tcPr>
          <w:p w:rsidR="00D907AF" w:rsidRPr="0087485F" w:rsidRDefault="00D907AF" w:rsidP="00884536">
            <w:pPr>
              <w:spacing w:before="10" w:after="10"/>
              <w:ind w:right="600"/>
              <w:jc w:val="right"/>
              <w:rPr>
                <w:rFonts w:cstheme="minorHAnsi"/>
                <w:sz w:val="20"/>
                <w:szCs w:val="20"/>
              </w:rPr>
            </w:pPr>
            <w:r w:rsidRPr="0087485F">
              <w:rPr>
                <w:rFonts w:cstheme="minorHAnsi"/>
                <w:sz w:val="20"/>
                <w:szCs w:val="20"/>
              </w:rPr>
              <w:t>126</w:t>
            </w:r>
          </w:p>
        </w:tc>
        <w:tc>
          <w:tcPr>
            <w:tcW w:w="1134" w:type="dxa"/>
            <w:shd w:val="clear" w:color="auto" w:fill="auto"/>
            <w:vAlign w:val="center"/>
          </w:tcPr>
          <w:p w:rsidR="00D907AF" w:rsidRPr="00693109" w:rsidRDefault="00D907AF" w:rsidP="00693109">
            <w:pPr>
              <w:spacing w:before="10" w:after="10"/>
              <w:ind w:right="227"/>
              <w:jc w:val="right"/>
              <w:rPr>
                <w:rFonts w:cstheme="minorHAnsi"/>
                <w:sz w:val="20"/>
                <w:szCs w:val="20"/>
              </w:rPr>
            </w:pPr>
            <w:r w:rsidRPr="00693109">
              <w:rPr>
                <w:rFonts w:cstheme="minorHAnsi"/>
                <w:sz w:val="20"/>
                <w:szCs w:val="20"/>
              </w:rPr>
              <w:t>56.8</w:t>
            </w:r>
          </w:p>
        </w:tc>
      </w:tr>
      <w:tr w:rsidR="00D907AF" w:rsidRPr="00693109" w:rsidTr="00A262BC">
        <w:trPr>
          <w:cantSplit/>
          <w:tblHeader/>
        </w:trPr>
        <w:tc>
          <w:tcPr>
            <w:tcW w:w="2802" w:type="dxa"/>
          </w:tcPr>
          <w:p w:rsidR="00D907AF" w:rsidRPr="0087485F" w:rsidRDefault="00D907AF" w:rsidP="00D907AF">
            <w:pPr>
              <w:spacing w:before="10" w:after="10"/>
              <w:rPr>
                <w:rFonts w:cstheme="minorHAnsi"/>
                <w:sz w:val="20"/>
                <w:szCs w:val="20"/>
              </w:rPr>
            </w:pPr>
            <w:r w:rsidRPr="0087485F">
              <w:rPr>
                <w:rFonts w:cstheme="minorHAnsi"/>
                <w:sz w:val="20"/>
                <w:szCs w:val="20"/>
              </w:rPr>
              <w:t>Don’t know</w:t>
            </w:r>
          </w:p>
        </w:tc>
        <w:tc>
          <w:tcPr>
            <w:tcW w:w="1842" w:type="dxa"/>
          </w:tcPr>
          <w:p w:rsidR="00D907AF" w:rsidRPr="0087485F" w:rsidRDefault="00D907AF" w:rsidP="00884536">
            <w:pPr>
              <w:spacing w:before="10" w:after="10"/>
              <w:ind w:right="600"/>
              <w:jc w:val="right"/>
              <w:rPr>
                <w:rFonts w:cstheme="minorHAnsi"/>
                <w:sz w:val="20"/>
                <w:szCs w:val="20"/>
              </w:rPr>
            </w:pPr>
            <w:r w:rsidRPr="0087485F">
              <w:rPr>
                <w:rFonts w:cstheme="minorHAnsi"/>
                <w:sz w:val="20"/>
                <w:szCs w:val="20"/>
              </w:rPr>
              <w:t>13</w:t>
            </w:r>
          </w:p>
        </w:tc>
        <w:tc>
          <w:tcPr>
            <w:tcW w:w="1134" w:type="dxa"/>
          </w:tcPr>
          <w:p w:rsidR="00D907AF" w:rsidRPr="00693109" w:rsidRDefault="00D907AF" w:rsidP="00693109">
            <w:pPr>
              <w:spacing w:before="10" w:after="10"/>
              <w:ind w:right="227"/>
              <w:jc w:val="right"/>
              <w:rPr>
                <w:rFonts w:cstheme="minorHAnsi"/>
                <w:sz w:val="20"/>
                <w:szCs w:val="20"/>
              </w:rPr>
            </w:pPr>
            <w:r w:rsidRPr="00693109">
              <w:rPr>
                <w:rFonts w:cstheme="minorHAnsi"/>
                <w:sz w:val="20"/>
                <w:szCs w:val="20"/>
              </w:rPr>
              <w:t>5.9</w:t>
            </w:r>
          </w:p>
        </w:tc>
      </w:tr>
      <w:tr w:rsidR="00D907AF" w:rsidRPr="00693109" w:rsidTr="00A262BC">
        <w:trPr>
          <w:cantSplit/>
          <w:tblHeader/>
        </w:trPr>
        <w:tc>
          <w:tcPr>
            <w:tcW w:w="2802" w:type="dxa"/>
            <w:tcBorders>
              <w:bottom w:val="single" w:sz="4" w:space="0" w:color="auto"/>
            </w:tcBorders>
            <w:shd w:val="clear" w:color="auto" w:fill="auto"/>
          </w:tcPr>
          <w:p w:rsidR="00D907AF" w:rsidRPr="0087485F" w:rsidRDefault="00D907AF" w:rsidP="00D907AF">
            <w:pPr>
              <w:spacing w:before="10" w:after="10"/>
              <w:rPr>
                <w:rFonts w:cstheme="minorHAnsi"/>
                <w:sz w:val="20"/>
                <w:szCs w:val="20"/>
              </w:rPr>
            </w:pPr>
            <w:r w:rsidRPr="0087485F">
              <w:rPr>
                <w:rFonts w:cstheme="minorHAnsi"/>
                <w:sz w:val="20"/>
                <w:szCs w:val="20"/>
              </w:rPr>
              <w:t>Missing</w:t>
            </w:r>
          </w:p>
        </w:tc>
        <w:tc>
          <w:tcPr>
            <w:tcW w:w="1842" w:type="dxa"/>
            <w:tcBorders>
              <w:bottom w:val="single" w:sz="4" w:space="0" w:color="auto"/>
            </w:tcBorders>
            <w:shd w:val="clear" w:color="auto" w:fill="auto"/>
          </w:tcPr>
          <w:p w:rsidR="00D907AF" w:rsidRPr="0087485F" w:rsidRDefault="00D907AF" w:rsidP="00884536">
            <w:pPr>
              <w:spacing w:before="10" w:after="10"/>
              <w:ind w:right="600"/>
              <w:jc w:val="right"/>
              <w:rPr>
                <w:rFonts w:cstheme="minorHAnsi"/>
                <w:sz w:val="20"/>
                <w:szCs w:val="20"/>
              </w:rPr>
            </w:pPr>
            <w:r w:rsidRPr="0087485F">
              <w:rPr>
                <w:rFonts w:cstheme="minorHAnsi"/>
                <w:sz w:val="20"/>
                <w:szCs w:val="20"/>
              </w:rPr>
              <w:t>4</w:t>
            </w:r>
          </w:p>
        </w:tc>
        <w:tc>
          <w:tcPr>
            <w:tcW w:w="1134" w:type="dxa"/>
            <w:tcBorders>
              <w:bottom w:val="single" w:sz="4" w:space="0" w:color="auto"/>
            </w:tcBorders>
            <w:shd w:val="clear" w:color="auto" w:fill="auto"/>
            <w:vAlign w:val="center"/>
          </w:tcPr>
          <w:p w:rsidR="00D907AF" w:rsidRPr="00693109" w:rsidRDefault="00D907AF" w:rsidP="00693109">
            <w:pPr>
              <w:spacing w:before="10" w:after="10"/>
              <w:ind w:right="227"/>
              <w:jc w:val="right"/>
              <w:rPr>
                <w:rFonts w:cstheme="minorHAnsi"/>
                <w:sz w:val="20"/>
                <w:szCs w:val="20"/>
              </w:rPr>
            </w:pPr>
            <w:r w:rsidRPr="00693109">
              <w:rPr>
                <w:rFonts w:cstheme="minorHAnsi"/>
                <w:sz w:val="20"/>
                <w:szCs w:val="20"/>
              </w:rPr>
              <w:t>1.8</w:t>
            </w:r>
          </w:p>
        </w:tc>
      </w:tr>
      <w:tr w:rsidR="00D907AF" w:rsidRPr="00693109" w:rsidTr="00A262BC">
        <w:trPr>
          <w:cantSplit/>
          <w:tblHeader/>
        </w:trPr>
        <w:tc>
          <w:tcPr>
            <w:tcW w:w="2802" w:type="dxa"/>
            <w:tcBorders>
              <w:top w:val="single" w:sz="4" w:space="0" w:color="auto"/>
              <w:bottom w:val="single" w:sz="4" w:space="0" w:color="auto"/>
            </w:tcBorders>
            <w:shd w:val="clear" w:color="auto" w:fill="auto"/>
          </w:tcPr>
          <w:p w:rsidR="00D907AF" w:rsidRPr="0087485F" w:rsidRDefault="00D907AF" w:rsidP="00D907AF">
            <w:pPr>
              <w:spacing w:before="10" w:after="10"/>
              <w:rPr>
                <w:rFonts w:cstheme="minorHAnsi"/>
                <w:b/>
                <w:sz w:val="20"/>
                <w:szCs w:val="20"/>
              </w:rPr>
            </w:pPr>
            <w:r w:rsidRPr="0087485F">
              <w:rPr>
                <w:rFonts w:cstheme="minorHAnsi"/>
                <w:b/>
                <w:sz w:val="20"/>
                <w:szCs w:val="20"/>
              </w:rPr>
              <w:t>Total</w:t>
            </w:r>
          </w:p>
        </w:tc>
        <w:tc>
          <w:tcPr>
            <w:tcW w:w="1842" w:type="dxa"/>
            <w:tcBorders>
              <w:top w:val="single" w:sz="4" w:space="0" w:color="auto"/>
              <w:bottom w:val="single" w:sz="4" w:space="0" w:color="auto"/>
            </w:tcBorders>
            <w:shd w:val="clear" w:color="auto" w:fill="auto"/>
          </w:tcPr>
          <w:p w:rsidR="00D907AF" w:rsidRPr="0087485F" w:rsidRDefault="00D907AF" w:rsidP="00884536">
            <w:pPr>
              <w:spacing w:before="10" w:after="10"/>
              <w:ind w:right="600"/>
              <w:jc w:val="right"/>
              <w:rPr>
                <w:rFonts w:cstheme="minorHAnsi"/>
                <w:b/>
                <w:sz w:val="20"/>
                <w:szCs w:val="20"/>
              </w:rPr>
            </w:pPr>
            <w:r w:rsidRPr="0087485F">
              <w:rPr>
                <w:rFonts w:cstheme="minorHAnsi"/>
                <w:b/>
                <w:sz w:val="20"/>
                <w:szCs w:val="20"/>
              </w:rPr>
              <w:t>222</w:t>
            </w:r>
          </w:p>
        </w:tc>
        <w:tc>
          <w:tcPr>
            <w:tcW w:w="1134" w:type="dxa"/>
            <w:tcBorders>
              <w:top w:val="single" w:sz="4" w:space="0" w:color="auto"/>
              <w:bottom w:val="single" w:sz="4" w:space="0" w:color="auto"/>
            </w:tcBorders>
            <w:shd w:val="clear" w:color="auto" w:fill="auto"/>
          </w:tcPr>
          <w:p w:rsidR="00D907AF" w:rsidRPr="00693109" w:rsidRDefault="00D907AF" w:rsidP="00693109">
            <w:pPr>
              <w:spacing w:before="10" w:after="10"/>
              <w:ind w:right="227"/>
              <w:jc w:val="right"/>
              <w:rPr>
                <w:rFonts w:cstheme="minorHAnsi"/>
                <w:b/>
                <w:sz w:val="20"/>
                <w:szCs w:val="20"/>
              </w:rPr>
            </w:pPr>
            <w:r w:rsidRPr="00693109">
              <w:rPr>
                <w:rFonts w:cstheme="minorHAnsi"/>
                <w:b/>
                <w:sz w:val="20"/>
                <w:szCs w:val="20"/>
              </w:rPr>
              <w:t>100</w:t>
            </w:r>
          </w:p>
        </w:tc>
      </w:tr>
    </w:tbl>
    <w:p w:rsidR="00D907AF" w:rsidRPr="00B01305" w:rsidRDefault="00D907AF" w:rsidP="001032EF">
      <w:pPr>
        <w:pStyle w:val="NILSReference"/>
      </w:pPr>
      <w:r w:rsidRPr="00AC2B30">
        <w:t xml:space="preserve">Note: </w:t>
      </w:r>
      <w:r>
        <w:t>trial and comparison aged 16 years and above</w:t>
      </w:r>
      <w:r w:rsidRPr="00E852D5">
        <w:t xml:space="preserve"> in work</w:t>
      </w:r>
    </w:p>
    <w:p w:rsidR="00884536" w:rsidRDefault="00884536">
      <w:pPr>
        <w:rPr>
          <w:rFonts w:cstheme="minorHAnsi"/>
        </w:rPr>
      </w:pPr>
      <w:r>
        <w:rPr>
          <w:rFonts w:cstheme="minorHAnsi"/>
        </w:rPr>
        <w:br w:type="page"/>
      </w:r>
    </w:p>
    <w:p w:rsidR="00D907AF" w:rsidRDefault="00D907AF" w:rsidP="00D907AF">
      <w:pPr>
        <w:rPr>
          <w:rFonts w:cstheme="minorHAnsi"/>
        </w:rPr>
      </w:pPr>
      <w:r>
        <w:rPr>
          <w:rFonts w:cstheme="minorHAnsi"/>
        </w:rPr>
        <w:lastRenderedPageBreak/>
        <w:t xml:space="preserve">Figure 3.2 shows the distribution of hours worked. The most important statistic to look at is the mode, that is, the category that is most prevalent in the data. Figure 3.2 suggests that there is no clear mode, but rather there are two modes, one in the 11 - 15 hours per week range and another in the 36+ hours per week range. This is because, while the majority of employment is part time, there is also a sizeable minority of respondents who reported working full-time. This suggests that employment of people with disability can be very diverse and that further information should be sought. </w:t>
      </w:r>
      <w:r w:rsidR="00A05F0B">
        <w:rPr>
          <w:rFonts w:cstheme="minorHAnsi"/>
        </w:rPr>
        <w:t>A</w:t>
      </w:r>
      <w:r>
        <w:rPr>
          <w:rFonts w:cstheme="minorHAnsi"/>
        </w:rPr>
        <w:t>t this stage that the numbers are too small to draw any further conclusions and that we should have a better picture once the full Wave 1 information is at hand.</w:t>
      </w:r>
    </w:p>
    <w:p w:rsidR="00953EE5" w:rsidRDefault="00953EE5" w:rsidP="00D907AF">
      <w:pPr>
        <w:rPr>
          <w:rFonts w:cstheme="minorHAnsi"/>
        </w:rPr>
      </w:pPr>
    </w:p>
    <w:p w:rsidR="00D907AF" w:rsidRDefault="00D907AF" w:rsidP="00953EE5">
      <w:pPr>
        <w:pStyle w:val="NILSFigureTitle"/>
      </w:pPr>
      <w:bookmarkStart w:id="294" w:name="_Toc428280724"/>
      <w:bookmarkStart w:id="295" w:name="_Toc449956366"/>
      <w:r w:rsidRPr="00292676">
        <w:t xml:space="preserve">Figure 3.2: </w:t>
      </w:r>
      <w:r w:rsidRPr="00D66336">
        <w:t>Working</w:t>
      </w:r>
      <w:r w:rsidRPr="00292676">
        <w:t xml:space="preserve"> hours per </w:t>
      </w:r>
      <w:r w:rsidRPr="00953EE5">
        <w:t>week</w:t>
      </w:r>
      <w:r>
        <w:t xml:space="preserve"> in paid job</w:t>
      </w:r>
      <w:bookmarkEnd w:id="294"/>
      <w:bookmarkEnd w:id="295"/>
    </w:p>
    <w:p w:rsidR="00D907AF" w:rsidRDefault="00784C97" w:rsidP="00D907AF">
      <w:r>
        <w:rPr>
          <w:noProof/>
          <w:lang w:val="en-AU" w:eastAsia="en-AU"/>
        </w:rPr>
        <w:t xml:space="preserve"> </w:t>
      </w:r>
      <w:r w:rsidR="00D907AF" w:rsidRPr="00C63012">
        <w:rPr>
          <w:noProof/>
          <w:lang w:val="en-AU" w:eastAsia="en-AU"/>
        </w:rPr>
        <w:drawing>
          <wp:inline distT="0" distB="0" distL="0" distR="0" wp14:anchorId="5E96090E" wp14:editId="3CE63F32">
            <wp:extent cx="4584700" cy="2639695"/>
            <wp:effectExtent l="19050" t="19050" r="25400" b="27305"/>
            <wp:docPr id="430" name="Picture 430" descr="The bar graph shows the distribution of hours worked along the x axis and the frequency along the y axis.  &#10;Hours worked and frequency are1 to 5 hours 19, 6 to 10 hours 32, 11 to15 hours 34, 16 to 20 hours 29, 21 to 25 hours 27, 26 to30 18, 31 to 35 16 and over 36 hours 35.   Information regarding results in this graph is in preceding paragraph." title="Bar graph of people who are in paid jobs and the number of hours wor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84700" cy="2639695"/>
                    </a:xfrm>
                    <a:prstGeom prst="rect">
                      <a:avLst/>
                    </a:prstGeom>
                    <a:noFill/>
                    <a:ln>
                      <a:solidFill>
                        <a:schemeClr val="accent1"/>
                      </a:solidFill>
                    </a:ln>
                  </pic:spPr>
                </pic:pic>
              </a:graphicData>
            </a:graphic>
          </wp:inline>
        </w:drawing>
      </w:r>
    </w:p>
    <w:p w:rsidR="00D907AF" w:rsidRPr="00D0366E" w:rsidRDefault="00D907AF" w:rsidP="00D907AF">
      <w:pPr>
        <w:rPr>
          <w:sz w:val="18"/>
        </w:rPr>
      </w:pPr>
      <w:r w:rsidRPr="00D0366E">
        <w:rPr>
          <w:sz w:val="18"/>
        </w:rPr>
        <w:t>Note: trial and comparison aged 16 years and above in work</w:t>
      </w:r>
    </w:p>
    <w:p w:rsidR="00953EE5" w:rsidRDefault="00953EE5" w:rsidP="00D907AF"/>
    <w:p w:rsidR="00D907AF" w:rsidRDefault="00D907AF" w:rsidP="00D907AF">
      <w:pPr>
        <w:rPr>
          <w:rFonts w:cstheme="minorHAnsi"/>
        </w:rPr>
      </w:pPr>
      <w:r>
        <w:t>The current and past occupations are recorded in a free hand fashion in the data collection and are later converted into the 6-digit ANZSCO</w:t>
      </w:r>
      <w:r>
        <w:rPr>
          <w:rStyle w:val="FootnoteReference"/>
        </w:rPr>
        <w:footnoteReference w:id="20"/>
      </w:r>
      <w:r>
        <w:t xml:space="preserve"> code. A distribution at the 1-digit level is presented in Table 3.33. It shows that the currently employed are likely to be working in manual occupations, about half of whom (</w:t>
      </w:r>
      <w:r w:rsidRPr="00251BC2">
        <w:t>Table 3.34)</w:t>
      </w:r>
      <w:r>
        <w:t xml:space="preserve"> had their workplaces adapted to facilitate their employment. In some contrast, those not presently employed, but with previous employment, included more occupations in the managerial, professional or technical and trades occupations. However, </w:t>
      </w:r>
      <w:r w:rsidR="00A05F0B">
        <w:t>as previously noted</w:t>
      </w:r>
      <w:r>
        <w:rPr>
          <w:rFonts w:cstheme="minorHAnsi"/>
        </w:rPr>
        <w:t xml:space="preserve"> numbers are too small to draw any further conclusions </w:t>
      </w:r>
      <w:r w:rsidR="00A05F0B">
        <w:rPr>
          <w:rFonts w:cstheme="minorHAnsi"/>
        </w:rPr>
        <w:t xml:space="preserve">until </w:t>
      </w:r>
      <w:r>
        <w:rPr>
          <w:rFonts w:cstheme="minorHAnsi"/>
        </w:rPr>
        <w:t>the full Wave 1 information is at hand.</w:t>
      </w:r>
    </w:p>
    <w:p w:rsidR="00D907AF" w:rsidRDefault="00D907AF">
      <w:pPr>
        <w:rPr>
          <w:rFonts w:cstheme="minorHAnsi"/>
          <w:b/>
          <w:sz w:val="20"/>
          <w:szCs w:val="20"/>
        </w:rPr>
      </w:pPr>
    </w:p>
    <w:p w:rsidR="00884536" w:rsidRDefault="00884536">
      <w:pPr>
        <w:rPr>
          <w:b/>
          <w:sz w:val="20"/>
          <w:lang w:val="x-none"/>
        </w:rPr>
      </w:pPr>
      <w:bookmarkStart w:id="296" w:name="_Toc428280685"/>
      <w:r>
        <w:br w:type="page"/>
      </w:r>
    </w:p>
    <w:p w:rsidR="00D907AF" w:rsidRPr="00233E8A" w:rsidRDefault="00D907AF" w:rsidP="0044684E">
      <w:pPr>
        <w:pStyle w:val="NILSTableHeading"/>
      </w:pPr>
      <w:bookmarkStart w:id="297" w:name="_Toc449955296"/>
      <w:r w:rsidRPr="00233E8A">
        <w:lastRenderedPageBreak/>
        <w:t>Table 3.</w:t>
      </w:r>
      <w:r>
        <w:t>33</w:t>
      </w:r>
      <w:r w:rsidRPr="00233E8A">
        <w:t xml:space="preserve">: </w:t>
      </w:r>
      <w:r w:rsidRPr="00233E8A">
        <w:rPr>
          <w:rFonts w:hint="eastAsia"/>
        </w:rPr>
        <w:t>Current o</w:t>
      </w:r>
      <w:r w:rsidRPr="00233E8A">
        <w:t>ccupat</w:t>
      </w:r>
      <w:r>
        <w:t>ion</w:t>
      </w:r>
      <w:bookmarkEnd w:id="296"/>
      <w:bookmarkEnd w:id="297"/>
    </w:p>
    <w:tbl>
      <w:tblPr>
        <w:tblStyle w:val="TableGrid"/>
        <w:tblW w:w="9322" w:type="dxa"/>
        <w:tblLayout w:type="fixed"/>
        <w:tblLook w:val="04A0" w:firstRow="1" w:lastRow="0" w:firstColumn="1" w:lastColumn="0" w:noHBand="0" w:noVBand="1"/>
        <w:tblCaption w:val="Table 3.33 Current occupation"/>
        <w:tblDescription w:val="This table shows participants' current occupation or previous occupation if currently not employed."/>
      </w:tblPr>
      <w:tblGrid>
        <w:gridCol w:w="3652"/>
        <w:gridCol w:w="1276"/>
        <w:gridCol w:w="1275"/>
        <w:gridCol w:w="1559"/>
        <w:gridCol w:w="1560"/>
      </w:tblGrid>
      <w:tr w:rsidR="00D907AF" w:rsidRPr="0087485F" w:rsidTr="00770F55">
        <w:trPr>
          <w:tblHeader/>
        </w:trPr>
        <w:tc>
          <w:tcPr>
            <w:tcW w:w="3652" w:type="dxa"/>
            <w:tcBorders>
              <w:top w:val="single" w:sz="4" w:space="0" w:color="auto"/>
              <w:bottom w:val="single" w:sz="4" w:space="0" w:color="auto"/>
            </w:tcBorders>
            <w:shd w:val="clear" w:color="auto" w:fill="auto"/>
          </w:tcPr>
          <w:p w:rsidR="00D907AF" w:rsidRPr="0087485F" w:rsidRDefault="00D907AF" w:rsidP="00D907AF">
            <w:pPr>
              <w:spacing w:before="20" w:after="20"/>
              <w:rPr>
                <w:rFonts w:cstheme="minorHAnsi"/>
                <w:sz w:val="20"/>
                <w:szCs w:val="20"/>
              </w:rPr>
            </w:pPr>
            <w:bookmarkStart w:id="298" w:name="Title_3_33"/>
            <w:bookmarkEnd w:id="298"/>
          </w:p>
        </w:tc>
        <w:tc>
          <w:tcPr>
            <w:tcW w:w="1276" w:type="dxa"/>
            <w:tcBorders>
              <w:top w:val="single" w:sz="4" w:space="0" w:color="auto"/>
              <w:bottom w:val="single" w:sz="4" w:space="0" w:color="auto"/>
            </w:tcBorders>
            <w:shd w:val="clear" w:color="auto" w:fill="auto"/>
            <w:vAlign w:val="bottom"/>
          </w:tcPr>
          <w:p w:rsidR="00D907AF" w:rsidRPr="0087485F" w:rsidRDefault="000B100C" w:rsidP="001E3763">
            <w:pPr>
              <w:spacing w:before="20" w:after="20"/>
              <w:ind w:left="-108" w:right="-108"/>
              <w:jc w:val="center"/>
              <w:rPr>
                <w:rFonts w:cstheme="minorHAnsi"/>
                <w:sz w:val="20"/>
                <w:szCs w:val="20"/>
              </w:rPr>
            </w:pPr>
            <w:r w:rsidRPr="0087485F">
              <w:rPr>
                <w:rFonts w:cstheme="minorHAnsi"/>
                <w:sz w:val="20"/>
                <w:szCs w:val="20"/>
              </w:rPr>
              <w:t>Current occupation</w:t>
            </w:r>
            <w:r w:rsidR="001E3763">
              <w:rPr>
                <w:rFonts w:cstheme="minorHAnsi"/>
                <w:sz w:val="20"/>
                <w:szCs w:val="20"/>
              </w:rPr>
              <w:t xml:space="preserve"> Cases</w:t>
            </w:r>
          </w:p>
        </w:tc>
        <w:tc>
          <w:tcPr>
            <w:tcW w:w="1275" w:type="dxa"/>
            <w:tcBorders>
              <w:top w:val="single" w:sz="4" w:space="0" w:color="auto"/>
              <w:bottom w:val="single" w:sz="4" w:space="0" w:color="auto"/>
            </w:tcBorders>
            <w:shd w:val="clear" w:color="auto" w:fill="auto"/>
            <w:vAlign w:val="bottom"/>
          </w:tcPr>
          <w:p w:rsidR="00884536" w:rsidRDefault="000B100C" w:rsidP="00E6423A">
            <w:pPr>
              <w:spacing w:before="20" w:after="20"/>
              <w:ind w:right="-108"/>
              <w:jc w:val="center"/>
              <w:rPr>
                <w:rFonts w:cstheme="minorHAnsi"/>
                <w:sz w:val="20"/>
                <w:szCs w:val="20"/>
              </w:rPr>
            </w:pPr>
            <w:r w:rsidRPr="000B100C">
              <w:rPr>
                <w:rFonts w:cstheme="minorHAnsi"/>
                <w:sz w:val="20"/>
                <w:szCs w:val="20"/>
              </w:rPr>
              <w:t>Current occupati</w:t>
            </w:r>
            <w:r>
              <w:rPr>
                <w:rFonts w:cstheme="minorHAnsi"/>
                <w:sz w:val="20"/>
                <w:szCs w:val="20"/>
              </w:rPr>
              <w:t>on</w:t>
            </w:r>
          </w:p>
          <w:p w:rsidR="00D907AF" w:rsidRPr="0087485F" w:rsidRDefault="00D907AF" w:rsidP="00E6423A">
            <w:pPr>
              <w:spacing w:before="20" w:after="20"/>
              <w:ind w:right="-108"/>
              <w:jc w:val="center"/>
              <w:rPr>
                <w:rFonts w:cstheme="minorHAnsi"/>
                <w:sz w:val="20"/>
                <w:szCs w:val="20"/>
              </w:rPr>
            </w:pPr>
            <w:r w:rsidRPr="0087485F">
              <w:rPr>
                <w:rFonts w:cstheme="minorHAnsi"/>
                <w:sz w:val="20"/>
                <w:szCs w:val="20"/>
              </w:rPr>
              <w:t>%</w:t>
            </w:r>
          </w:p>
        </w:tc>
        <w:tc>
          <w:tcPr>
            <w:tcW w:w="1559" w:type="dxa"/>
            <w:tcBorders>
              <w:top w:val="single" w:sz="4" w:space="0" w:color="auto"/>
              <w:bottom w:val="single" w:sz="4" w:space="0" w:color="auto"/>
            </w:tcBorders>
            <w:shd w:val="clear" w:color="auto" w:fill="auto"/>
            <w:vAlign w:val="bottom"/>
          </w:tcPr>
          <w:p w:rsidR="00770F55" w:rsidRDefault="000B100C" w:rsidP="001E3763">
            <w:pPr>
              <w:spacing w:before="20" w:after="20"/>
              <w:jc w:val="center"/>
              <w:rPr>
                <w:rFonts w:cstheme="minorHAnsi"/>
                <w:sz w:val="20"/>
                <w:szCs w:val="20"/>
              </w:rPr>
            </w:pPr>
            <w:r w:rsidRPr="0087485F">
              <w:rPr>
                <w:rFonts w:cstheme="minorHAnsi"/>
                <w:sz w:val="20"/>
                <w:szCs w:val="20"/>
              </w:rPr>
              <w:t xml:space="preserve">Past occupation if presently </w:t>
            </w:r>
          </w:p>
          <w:p w:rsidR="001E3763" w:rsidRDefault="000B100C" w:rsidP="001E3763">
            <w:pPr>
              <w:spacing w:before="20" w:after="20"/>
              <w:jc w:val="center"/>
              <w:rPr>
                <w:rFonts w:cstheme="minorHAnsi"/>
                <w:sz w:val="20"/>
                <w:szCs w:val="20"/>
              </w:rPr>
            </w:pPr>
            <w:r w:rsidRPr="0087485F">
              <w:rPr>
                <w:rFonts w:cstheme="minorHAnsi"/>
                <w:sz w:val="20"/>
                <w:szCs w:val="20"/>
              </w:rPr>
              <w:t>not employed</w:t>
            </w:r>
            <w:r w:rsidR="001E3763">
              <w:rPr>
                <w:rFonts w:cstheme="minorHAnsi"/>
                <w:sz w:val="20"/>
                <w:szCs w:val="20"/>
              </w:rPr>
              <w:t xml:space="preserve"> </w:t>
            </w:r>
          </w:p>
          <w:p w:rsidR="00D907AF" w:rsidRPr="0087485F" w:rsidRDefault="001E3763" w:rsidP="001E3763">
            <w:pPr>
              <w:spacing w:before="20" w:after="20"/>
              <w:jc w:val="center"/>
              <w:rPr>
                <w:rFonts w:cstheme="minorHAnsi"/>
                <w:sz w:val="20"/>
                <w:szCs w:val="20"/>
              </w:rPr>
            </w:pPr>
            <w:r>
              <w:rPr>
                <w:rFonts w:cstheme="minorHAnsi"/>
                <w:sz w:val="20"/>
                <w:szCs w:val="20"/>
              </w:rPr>
              <w:t>Cases</w:t>
            </w:r>
          </w:p>
        </w:tc>
        <w:tc>
          <w:tcPr>
            <w:tcW w:w="1560" w:type="dxa"/>
            <w:tcBorders>
              <w:top w:val="single" w:sz="4" w:space="0" w:color="auto"/>
              <w:bottom w:val="single" w:sz="4" w:space="0" w:color="auto"/>
            </w:tcBorders>
            <w:shd w:val="clear" w:color="auto" w:fill="auto"/>
            <w:vAlign w:val="bottom"/>
          </w:tcPr>
          <w:p w:rsidR="00770F55" w:rsidRDefault="000B100C" w:rsidP="001E3763">
            <w:pPr>
              <w:spacing w:before="20" w:after="20"/>
              <w:jc w:val="center"/>
              <w:rPr>
                <w:rFonts w:cstheme="minorHAnsi"/>
                <w:sz w:val="20"/>
                <w:szCs w:val="20"/>
              </w:rPr>
            </w:pPr>
            <w:r w:rsidRPr="000B100C">
              <w:rPr>
                <w:rFonts w:cstheme="minorHAnsi"/>
                <w:sz w:val="20"/>
                <w:szCs w:val="20"/>
              </w:rPr>
              <w:t xml:space="preserve">Past occupation if presently </w:t>
            </w:r>
          </w:p>
          <w:p w:rsidR="000B100C" w:rsidRDefault="000B100C" w:rsidP="001E3763">
            <w:pPr>
              <w:spacing w:before="20" w:after="20"/>
              <w:jc w:val="center"/>
              <w:rPr>
                <w:rFonts w:cstheme="minorHAnsi"/>
                <w:sz w:val="20"/>
                <w:szCs w:val="20"/>
              </w:rPr>
            </w:pPr>
            <w:r w:rsidRPr="000B100C">
              <w:rPr>
                <w:rFonts w:cstheme="minorHAnsi"/>
                <w:sz w:val="20"/>
                <w:szCs w:val="20"/>
              </w:rPr>
              <w:t>not employed</w:t>
            </w:r>
          </w:p>
          <w:p w:rsidR="00D907AF" w:rsidRPr="0087485F" w:rsidRDefault="00D907AF" w:rsidP="001E3763">
            <w:pPr>
              <w:spacing w:before="20" w:after="20"/>
              <w:jc w:val="center"/>
              <w:rPr>
                <w:rFonts w:cstheme="minorHAnsi"/>
                <w:sz w:val="20"/>
                <w:szCs w:val="20"/>
              </w:rPr>
            </w:pPr>
            <w:r w:rsidRPr="0087485F">
              <w:rPr>
                <w:rFonts w:cstheme="minorHAnsi"/>
                <w:sz w:val="20"/>
                <w:szCs w:val="20"/>
              </w:rPr>
              <w:t>%</w:t>
            </w:r>
          </w:p>
        </w:tc>
      </w:tr>
      <w:tr w:rsidR="00D907AF" w:rsidRPr="0087485F" w:rsidTr="00770F55">
        <w:tc>
          <w:tcPr>
            <w:tcW w:w="3652" w:type="dxa"/>
            <w:shd w:val="clear" w:color="auto" w:fill="auto"/>
          </w:tcPr>
          <w:p w:rsidR="00D907AF" w:rsidRPr="0087485F" w:rsidRDefault="003A4676" w:rsidP="00D907AF">
            <w:pPr>
              <w:spacing w:before="20" w:after="20"/>
              <w:rPr>
                <w:rFonts w:cstheme="minorHAnsi"/>
                <w:sz w:val="20"/>
                <w:szCs w:val="20"/>
              </w:rPr>
            </w:pPr>
            <w:r>
              <w:rPr>
                <w:rFonts w:cstheme="minorHAnsi"/>
                <w:sz w:val="20"/>
                <w:szCs w:val="20"/>
              </w:rPr>
              <w:t>Manager</w:t>
            </w:r>
          </w:p>
        </w:tc>
        <w:tc>
          <w:tcPr>
            <w:tcW w:w="1276" w:type="dxa"/>
            <w:shd w:val="clear" w:color="auto" w:fill="auto"/>
            <w:vAlign w:val="center"/>
          </w:tcPr>
          <w:p w:rsidR="00D907AF" w:rsidRPr="0087485F" w:rsidRDefault="00D907AF" w:rsidP="00693109">
            <w:pPr>
              <w:spacing w:before="20" w:after="20"/>
              <w:ind w:right="239"/>
              <w:jc w:val="right"/>
              <w:rPr>
                <w:rFonts w:cstheme="minorHAnsi"/>
                <w:color w:val="000000"/>
                <w:sz w:val="20"/>
                <w:szCs w:val="20"/>
              </w:rPr>
            </w:pPr>
            <w:r w:rsidRPr="0087485F">
              <w:rPr>
                <w:rFonts w:cstheme="minorHAnsi"/>
                <w:color w:val="000000"/>
                <w:sz w:val="20"/>
                <w:szCs w:val="20"/>
              </w:rPr>
              <w:t>3</w:t>
            </w:r>
          </w:p>
        </w:tc>
        <w:tc>
          <w:tcPr>
            <w:tcW w:w="1275" w:type="dxa"/>
            <w:shd w:val="clear" w:color="auto" w:fill="auto"/>
            <w:vAlign w:val="center"/>
          </w:tcPr>
          <w:p w:rsidR="00D907AF" w:rsidRPr="0087485F" w:rsidRDefault="00D907AF" w:rsidP="00693109">
            <w:pPr>
              <w:spacing w:before="20" w:after="20"/>
              <w:ind w:right="239"/>
              <w:jc w:val="right"/>
              <w:rPr>
                <w:rFonts w:cstheme="minorHAnsi"/>
                <w:color w:val="000000"/>
                <w:sz w:val="20"/>
                <w:szCs w:val="20"/>
              </w:rPr>
            </w:pPr>
            <w:r w:rsidRPr="0087485F">
              <w:rPr>
                <w:rFonts w:cstheme="minorHAnsi"/>
                <w:color w:val="000000"/>
                <w:sz w:val="20"/>
                <w:szCs w:val="20"/>
              </w:rPr>
              <w:t>1.4</w:t>
            </w:r>
          </w:p>
        </w:tc>
        <w:tc>
          <w:tcPr>
            <w:tcW w:w="1559" w:type="dxa"/>
            <w:shd w:val="clear" w:color="auto" w:fill="auto"/>
            <w:vAlign w:val="center"/>
          </w:tcPr>
          <w:p w:rsidR="00D907AF" w:rsidRPr="0087485F" w:rsidRDefault="00D907AF" w:rsidP="00693109">
            <w:pPr>
              <w:spacing w:before="20" w:after="20"/>
              <w:ind w:right="523"/>
              <w:jc w:val="right"/>
              <w:rPr>
                <w:rFonts w:cstheme="minorHAnsi"/>
                <w:color w:val="000000"/>
                <w:sz w:val="20"/>
                <w:szCs w:val="20"/>
              </w:rPr>
            </w:pPr>
            <w:r w:rsidRPr="0087485F">
              <w:rPr>
                <w:rFonts w:cstheme="minorHAnsi"/>
                <w:color w:val="000000"/>
                <w:sz w:val="20"/>
                <w:szCs w:val="20"/>
              </w:rPr>
              <w:t>22</w:t>
            </w:r>
          </w:p>
        </w:tc>
        <w:tc>
          <w:tcPr>
            <w:tcW w:w="1560" w:type="dxa"/>
            <w:shd w:val="clear" w:color="auto" w:fill="auto"/>
            <w:vAlign w:val="center"/>
          </w:tcPr>
          <w:p w:rsidR="00D907AF" w:rsidRPr="0087485F" w:rsidRDefault="00D907AF" w:rsidP="00693109">
            <w:pPr>
              <w:spacing w:before="20" w:after="20"/>
              <w:ind w:right="459"/>
              <w:jc w:val="right"/>
              <w:rPr>
                <w:rFonts w:cstheme="minorHAnsi"/>
                <w:color w:val="000000"/>
                <w:sz w:val="20"/>
                <w:szCs w:val="20"/>
              </w:rPr>
            </w:pPr>
            <w:r w:rsidRPr="0087485F">
              <w:rPr>
                <w:rFonts w:cstheme="minorHAnsi"/>
                <w:color w:val="000000"/>
                <w:sz w:val="20"/>
                <w:szCs w:val="20"/>
              </w:rPr>
              <w:t>4.0</w:t>
            </w:r>
          </w:p>
        </w:tc>
      </w:tr>
      <w:tr w:rsidR="00D907AF" w:rsidRPr="0087485F" w:rsidTr="00770F55">
        <w:tc>
          <w:tcPr>
            <w:tcW w:w="3652"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Professionals</w:t>
            </w:r>
          </w:p>
        </w:tc>
        <w:tc>
          <w:tcPr>
            <w:tcW w:w="1276" w:type="dxa"/>
            <w:shd w:val="clear" w:color="auto" w:fill="auto"/>
            <w:vAlign w:val="center"/>
          </w:tcPr>
          <w:p w:rsidR="00D907AF" w:rsidRPr="0087485F" w:rsidRDefault="00D907AF" w:rsidP="00693109">
            <w:pPr>
              <w:spacing w:before="20" w:after="20"/>
              <w:ind w:right="239"/>
              <w:jc w:val="right"/>
              <w:rPr>
                <w:rFonts w:cstheme="minorHAnsi"/>
                <w:color w:val="000000"/>
                <w:sz w:val="20"/>
                <w:szCs w:val="20"/>
              </w:rPr>
            </w:pPr>
            <w:r w:rsidRPr="0087485F">
              <w:rPr>
                <w:rFonts w:cstheme="minorHAnsi"/>
                <w:color w:val="000000"/>
                <w:sz w:val="20"/>
                <w:szCs w:val="20"/>
              </w:rPr>
              <w:t>22</w:t>
            </w:r>
          </w:p>
        </w:tc>
        <w:tc>
          <w:tcPr>
            <w:tcW w:w="1275" w:type="dxa"/>
            <w:shd w:val="clear" w:color="auto" w:fill="auto"/>
            <w:vAlign w:val="center"/>
          </w:tcPr>
          <w:p w:rsidR="00D907AF" w:rsidRPr="0087485F" w:rsidRDefault="00D907AF" w:rsidP="00693109">
            <w:pPr>
              <w:spacing w:before="20" w:after="20"/>
              <w:ind w:right="239"/>
              <w:jc w:val="right"/>
              <w:rPr>
                <w:rFonts w:cstheme="minorHAnsi"/>
                <w:color w:val="000000"/>
                <w:sz w:val="20"/>
                <w:szCs w:val="20"/>
              </w:rPr>
            </w:pPr>
            <w:r w:rsidRPr="0087485F">
              <w:rPr>
                <w:rFonts w:cstheme="minorHAnsi"/>
                <w:color w:val="000000"/>
                <w:sz w:val="20"/>
                <w:szCs w:val="20"/>
              </w:rPr>
              <w:t>9.9</w:t>
            </w:r>
          </w:p>
        </w:tc>
        <w:tc>
          <w:tcPr>
            <w:tcW w:w="1559" w:type="dxa"/>
            <w:shd w:val="clear" w:color="auto" w:fill="auto"/>
            <w:vAlign w:val="center"/>
          </w:tcPr>
          <w:p w:rsidR="00D907AF" w:rsidRPr="0087485F" w:rsidRDefault="00D907AF" w:rsidP="00693109">
            <w:pPr>
              <w:spacing w:before="20" w:after="20"/>
              <w:ind w:right="523"/>
              <w:jc w:val="right"/>
              <w:rPr>
                <w:rFonts w:cstheme="minorHAnsi"/>
                <w:color w:val="000000"/>
                <w:sz w:val="20"/>
                <w:szCs w:val="20"/>
              </w:rPr>
            </w:pPr>
            <w:r w:rsidRPr="0087485F">
              <w:rPr>
                <w:rFonts w:cstheme="minorHAnsi"/>
                <w:color w:val="000000"/>
                <w:sz w:val="20"/>
                <w:szCs w:val="20"/>
              </w:rPr>
              <w:t>72</w:t>
            </w:r>
          </w:p>
        </w:tc>
        <w:tc>
          <w:tcPr>
            <w:tcW w:w="1560" w:type="dxa"/>
            <w:shd w:val="clear" w:color="auto" w:fill="auto"/>
            <w:vAlign w:val="center"/>
          </w:tcPr>
          <w:p w:rsidR="00D907AF" w:rsidRPr="0087485F" w:rsidRDefault="00D907AF" w:rsidP="00693109">
            <w:pPr>
              <w:spacing w:before="20" w:after="20"/>
              <w:ind w:right="459"/>
              <w:jc w:val="right"/>
              <w:rPr>
                <w:rFonts w:cstheme="minorHAnsi"/>
                <w:color w:val="000000"/>
                <w:sz w:val="20"/>
                <w:szCs w:val="20"/>
              </w:rPr>
            </w:pPr>
            <w:r w:rsidRPr="0087485F">
              <w:rPr>
                <w:rFonts w:cstheme="minorHAnsi"/>
                <w:color w:val="000000"/>
                <w:sz w:val="20"/>
                <w:szCs w:val="20"/>
              </w:rPr>
              <w:t>13.1</w:t>
            </w:r>
          </w:p>
        </w:tc>
      </w:tr>
      <w:tr w:rsidR="00D907AF" w:rsidRPr="0087485F" w:rsidTr="00770F55">
        <w:tc>
          <w:tcPr>
            <w:tcW w:w="3652" w:type="dxa"/>
            <w:shd w:val="clear" w:color="auto" w:fill="auto"/>
          </w:tcPr>
          <w:p w:rsidR="00D907AF" w:rsidRPr="0087485F" w:rsidRDefault="003A4676" w:rsidP="00D907AF">
            <w:pPr>
              <w:spacing w:before="20" w:after="20"/>
              <w:rPr>
                <w:rFonts w:cstheme="minorHAnsi"/>
                <w:sz w:val="20"/>
                <w:szCs w:val="20"/>
              </w:rPr>
            </w:pPr>
            <w:r>
              <w:rPr>
                <w:rFonts w:cstheme="minorHAnsi"/>
                <w:sz w:val="20"/>
                <w:szCs w:val="20"/>
              </w:rPr>
              <w:t>Technicians and Trades Worker</w:t>
            </w:r>
          </w:p>
        </w:tc>
        <w:tc>
          <w:tcPr>
            <w:tcW w:w="1276" w:type="dxa"/>
            <w:shd w:val="clear" w:color="auto" w:fill="auto"/>
            <w:vAlign w:val="center"/>
          </w:tcPr>
          <w:p w:rsidR="00D907AF" w:rsidRPr="0087485F" w:rsidRDefault="00D907AF" w:rsidP="00693109">
            <w:pPr>
              <w:spacing w:before="20" w:after="20"/>
              <w:ind w:right="239"/>
              <w:jc w:val="right"/>
              <w:rPr>
                <w:rFonts w:cstheme="minorHAnsi"/>
                <w:color w:val="000000"/>
                <w:sz w:val="20"/>
                <w:szCs w:val="20"/>
              </w:rPr>
            </w:pPr>
            <w:r w:rsidRPr="0087485F">
              <w:rPr>
                <w:rFonts w:cstheme="minorHAnsi"/>
                <w:color w:val="000000"/>
                <w:sz w:val="20"/>
                <w:szCs w:val="20"/>
              </w:rPr>
              <w:t>15</w:t>
            </w:r>
          </w:p>
        </w:tc>
        <w:tc>
          <w:tcPr>
            <w:tcW w:w="1275" w:type="dxa"/>
            <w:shd w:val="clear" w:color="auto" w:fill="auto"/>
            <w:vAlign w:val="center"/>
          </w:tcPr>
          <w:p w:rsidR="00D907AF" w:rsidRPr="0087485F" w:rsidRDefault="00D907AF" w:rsidP="00693109">
            <w:pPr>
              <w:spacing w:before="20" w:after="20"/>
              <w:ind w:right="239"/>
              <w:jc w:val="right"/>
              <w:rPr>
                <w:rFonts w:cstheme="minorHAnsi"/>
                <w:color w:val="000000"/>
                <w:sz w:val="20"/>
                <w:szCs w:val="20"/>
              </w:rPr>
            </w:pPr>
            <w:r w:rsidRPr="0087485F">
              <w:rPr>
                <w:rFonts w:cstheme="minorHAnsi"/>
                <w:color w:val="000000"/>
                <w:sz w:val="20"/>
                <w:szCs w:val="20"/>
              </w:rPr>
              <w:t>6.8</w:t>
            </w:r>
          </w:p>
        </w:tc>
        <w:tc>
          <w:tcPr>
            <w:tcW w:w="1559" w:type="dxa"/>
            <w:shd w:val="clear" w:color="auto" w:fill="auto"/>
            <w:vAlign w:val="center"/>
          </w:tcPr>
          <w:p w:rsidR="00D907AF" w:rsidRPr="0087485F" w:rsidRDefault="00D907AF" w:rsidP="00693109">
            <w:pPr>
              <w:spacing w:before="20" w:after="20"/>
              <w:ind w:right="523"/>
              <w:jc w:val="right"/>
              <w:rPr>
                <w:rFonts w:cstheme="minorHAnsi"/>
                <w:color w:val="000000"/>
                <w:sz w:val="20"/>
                <w:szCs w:val="20"/>
              </w:rPr>
            </w:pPr>
            <w:r w:rsidRPr="0087485F">
              <w:rPr>
                <w:rFonts w:cstheme="minorHAnsi"/>
                <w:color w:val="000000"/>
                <w:sz w:val="20"/>
                <w:szCs w:val="20"/>
              </w:rPr>
              <w:t>61</w:t>
            </w:r>
          </w:p>
        </w:tc>
        <w:tc>
          <w:tcPr>
            <w:tcW w:w="1560" w:type="dxa"/>
            <w:shd w:val="clear" w:color="auto" w:fill="auto"/>
            <w:vAlign w:val="center"/>
          </w:tcPr>
          <w:p w:rsidR="00D907AF" w:rsidRPr="0087485F" w:rsidRDefault="00D907AF" w:rsidP="00693109">
            <w:pPr>
              <w:spacing w:before="20" w:after="20"/>
              <w:ind w:right="459"/>
              <w:jc w:val="right"/>
              <w:rPr>
                <w:rFonts w:cstheme="minorHAnsi"/>
                <w:color w:val="000000"/>
                <w:sz w:val="20"/>
                <w:szCs w:val="20"/>
              </w:rPr>
            </w:pPr>
            <w:r w:rsidRPr="0087485F">
              <w:rPr>
                <w:rFonts w:cstheme="minorHAnsi"/>
                <w:color w:val="000000"/>
                <w:sz w:val="20"/>
                <w:szCs w:val="20"/>
              </w:rPr>
              <w:t>11.1</w:t>
            </w:r>
          </w:p>
        </w:tc>
      </w:tr>
      <w:tr w:rsidR="00D907AF" w:rsidRPr="0087485F" w:rsidTr="00770F55">
        <w:tc>
          <w:tcPr>
            <w:tcW w:w="3652" w:type="dxa"/>
            <w:shd w:val="clear" w:color="auto" w:fill="auto"/>
          </w:tcPr>
          <w:p w:rsidR="00D907AF" w:rsidRPr="0087485F" w:rsidRDefault="00D907AF" w:rsidP="005E0FBF">
            <w:pPr>
              <w:spacing w:before="20" w:after="20"/>
              <w:ind w:left="142" w:hanging="142"/>
              <w:rPr>
                <w:rFonts w:cstheme="minorHAnsi"/>
                <w:sz w:val="20"/>
                <w:szCs w:val="20"/>
              </w:rPr>
            </w:pPr>
            <w:r w:rsidRPr="0087485F">
              <w:rPr>
                <w:rFonts w:cstheme="minorHAnsi"/>
                <w:sz w:val="20"/>
                <w:szCs w:val="20"/>
              </w:rPr>
              <w:t>Commun</w:t>
            </w:r>
            <w:r w:rsidR="003A4676">
              <w:rPr>
                <w:rFonts w:cstheme="minorHAnsi"/>
                <w:sz w:val="20"/>
                <w:szCs w:val="20"/>
              </w:rPr>
              <w:t>ity and Personal Service Worker</w:t>
            </w:r>
          </w:p>
        </w:tc>
        <w:tc>
          <w:tcPr>
            <w:tcW w:w="1276" w:type="dxa"/>
            <w:shd w:val="clear" w:color="auto" w:fill="auto"/>
            <w:vAlign w:val="center"/>
          </w:tcPr>
          <w:p w:rsidR="00D907AF" w:rsidRPr="0087485F" w:rsidRDefault="00D907AF" w:rsidP="00693109">
            <w:pPr>
              <w:spacing w:before="20" w:after="20"/>
              <w:ind w:right="239"/>
              <w:jc w:val="right"/>
              <w:rPr>
                <w:rFonts w:cstheme="minorHAnsi"/>
                <w:color w:val="000000"/>
                <w:sz w:val="20"/>
                <w:szCs w:val="20"/>
              </w:rPr>
            </w:pPr>
            <w:r w:rsidRPr="0087485F">
              <w:rPr>
                <w:rFonts w:cstheme="minorHAnsi"/>
                <w:color w:val="000000"/>
                <w:sz w:val="20"/>
                <w:szCs w:val="20"/>
              </w:rPr>
              <w:t>18</w:t>
            </w:r>
          </w:p>
        </w:tc>
        <w:tc>
          <w:tcPr>
            <w:tcW w:w="1275" w:type="dxa"/>
            <w:shd w:val="clear" w:color="auto" w:fill="auto"/>
            <w:vAlign w:val="center"/>
          </w:tcPr>
          <w:p w:rsidR="00D907AF" w:rsidRPr="0087485F" w:rsidRDefault="00D907AF" w:rsidP="00693109">
            <w:pPr>
              <w:spacing w:before="20" w:after="20"/>
              <w:ind w:right="239"/>
              <w:jc w:val="right"/>
              <w:rPr>
                <w:rFonts w:cstheme="minorHAnsi"/>
                <w:color w:val="000000"/>
                <w:sz w:val="20"/>
                <w:szCs w:val="20"/>
              </w:rPr>
            </w:pPr>
            <w:r w:rsidRPr="0087485F">
              <w:rPr>
                <w:rFonts w:cstheme="minorHAnsi"/>
                <w:color w:val="000000"/>
                <w:sz w:val="20"/>
                <w:szCs w:val="20"/>
              </w:rPr>
              <w:t>8.1</w:t>
            </w:r>
          </w:p>
        </w:tc>
        <w:tc>
          <w:tcPr>
            <w:tcW w:w="1559" w:type="dxa"/>
            <w:shd w:val="clear" w:color="auto" w:fill="auto"/>
            <w:vAlign w:val="center"/>
          </w:tcPr>
          <w:p w:rsidR="00D907AF" w:rsidRPr="0087485F" w:rsidRDefault="00D907AF" w:rsidP="00693109">
            <w:pPr>
              <w:spacing w:before="20" w:after="20"/>
              <w:ind w:right="523"/>
              <w:jc w:val="right"/>
              <w:rPr>
                <w:rFonts w:cstheme="minorHAnsi"/>
                <w:color w:val="000000"/>
                <w:sz w:val="20"/>
                <w:szCs w:val="20"/>
              </w:rPr>
            </w:pPr>
            <w:r w:rsidRPr="0087485F">
              <w:rPr>
                <w:rFonts w:cstheme="minorHAnsi"/>
                <w:color w:val="000000"/>
                <w:sz w:val="20"/>
                <w:szCs w:val="20"/>
              </w:rPr>
              <w:t>62</w:t>
            </w:r>
          </w:p>
        </w:tc>
        <w:tc>
          <w:tcPr>
            <w:tcW w:w="1560" w:type="dxa"/>
            <w:shd w:val="clear" w:color="auto" w:fill="auto"/>
            <w:vAlign w:val="center"/>
          </w:tcPr>
          <w:p w:rsidR="00D907AF" w:rsidRPr="0087485F" w:rsidRDefault="00D907AF" w:rsidP="00693109">
            <w:pPr>
              <w:spacing w:before="20" w:after="20"/>
              <w:ind w:right="459"/>
              <w:jc w:val="right"/>
              <w:rPr>
                <w:rFonts w:cstheme="minorHAnsi"/>
                <w:color w:val="000000"/>
                <w:sz w:val="20"/>
                <w:szCs w:val="20"/>
              </w:rPr>
            </w:pPr>
            <w:r w:rsidRPr="0087485F">
              <w:rPr>
                <w:rFonts w:cstheme="minorHAnsi"/>
                <w:color w:val="000000"/>
                <w:sz w:val="20"/>
                <w:szCs w:val="20"/>
              </w:rPr>
              <w:t>11.3</w:t>
            </w:r>
          </w:p>
        </w:tc>
      </w:tr>
      <w:tr w:rsidR="00D907AF" w:rsidRPr="0087485F" w:rsidTr="00770F55">
        <w:tc>
          <w:tcPr>
            <w:tcW w:w="3652"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Cle</w:t>
            </w:r>
            <w:r w:rsidR="003A4676">
              <w:rPr>
                <w:rFonts w:cstheme="minorHAnsi"/>
                <w:sz w:val="20"/>
                <w:szCs w:val="20"/>
              </w:rPr>
              <w:t>rical and Administrative Worker</w:t>
            </w:r>
          </w:p>
        </w:tc>
        <w:tc>
          <w:tcPr>
            <w:tcW w:w="1276" w:type="dxa"/>
            <w:shd w:val="clear" w:color="auto" w:fill="auto"/>
            <w:vAlign w:val="center"/>
          </w:tcPr>
          <w:p w:rsidR="00D907AF" w:rsidRPr="0087485F" w:rsidRDefault="00D907AF" w:rsidP="00693109">
            <w:pPr>
              <w:spacing w:before="20" w:after="20"/>
              <w:ind w:right="239"/>
              <w:jc w:val="right"/>
              <w:rPr>
                <w:rFonts w:cstheme="minorHAnsi"/>
                <w:color w:val="000000"/>
                <w:sz w:val="20"/>
                <w:szCs w:val="20"/>
              </w:rPr>
            </w:pPr>
            <w:r w:rsidRPr="0087485F">
              <w:rPr>
                <w:rFonts w:cstheme="minorHAnsi"/>
                <w:color w:val="000000"/>
                <w:sz w:val="20"/>
                <w:szCs w:val="20"/>
              </w:rPr>
              <w:t>30</w:t>
            </w:r>
          </w:p>
        </w:tc>
        <w:tc>
          <w:tcPr>
            <w:tcW w:w="1275" w:type="dxa"/>
            <w:shd w:val="clear" w:color="auto" w:fill="auto"/>
            <w:vAlign w:val="center"/>
          </w:tcPr>
          <w:p w:rsidR="00D907AF" w:rsidRPr="0087485F" w:rsidRDefault="00D907AF" w:rsidP="00693109">
            <w:pPr>
              <w:spacing w:before="20" w:after="20"/>
              <w:ind w:right="239"/>
              <w:jc w:val="right"/>
              <w:rPr>
                <w:rFonts w:cstheme="minorHAnsi"/>
                <w:color w:val="000000"/>
                <w:sz w:val="20"/>
                <w:szCs w:val="20"/>
              </w:rPr>
            </w:pPr>
            <w:r w:rsidRPr="0087485F">
              <w:rPr>
                <w:rFonts w:cstheme="minorHAnsi"/>
                <w:color w:val="000000"/>
                <w:sz w:val="20"/>
                <w:szCs w:val="20"/>
              </w:rPr>
              <w:t>13.5</w:t>
            </w:r>
          </w:p>
        </w:tc>
        <w:tc>
          <w:tcPr>
            <w:tcW w:w="1559" w:type="dxa"/>
            <w:shd w:val="clear" w:color="auto" w:fill="auto"/>
            <w:vAlign w:val="center"/>
          </w:tcPr>
          <w:p w:rsidR="00D907AF" w:rsidRPr="0087485F" w:rsidRDefault="00D907AF" w:rsidP="00693109">
            <w:pPr>
              <w:spacing w:before="20" w:after="20"/>
              <w:ind w:right="523"/>
              <w:jc w:val="right"/>
              <w:rPr>
                <w:rFonts w:cstheme="minorHAnsi"/>
                <w:color w:val="000000"/>
                <w:sz w:val="20"/>
                <w:szCs w:val="20"/>
              </w:rPr>
            </w:pPr>
            <w:r w:rsidRPr="0087485F">
              <w:rPr>
                <w:rFonts w:cstheme="minorHAnsi"/>
                <w:color w:val="000000"/>
                <w:sz w:val="20"/>
                <w:szCs w:val="20"/>
              </w:rPr>
              <w:t>93</w:t>
            </w:r>
          </w:p>
        </w:tc>
        <w:tc>
          <w:tcPr>
            <w:tcW w:w="1560" w:type="dxa"/>
            <w:shd w:val="clear" w:color="auto" w:fill="auto"/>
            <w:vAlign w:val="center"/>
          </w:tcPr>
          <w:p w:rsidR="00D907AF" w:rsidRPr="0087485F" w:rsidRDefault="00D907AF" w:rsidP="00693109">
            <w:pPr>
              <w:spacing w:before="20" w:after="20"/>
              <w:ind w:right="459"/>
              <w:jc w:val="right"/>
              <w:rPr>
                <w:rFonts w:cstheme="minorHAnsi"/>
                <w:color w:val="000000"/>
                <w:sz w:val="20"/>
                <w:szCs w:val="20"/>
              </w:rPr>
            </w:pPr>
            <w:r w:rsidRPr="0087485F">
              <w:rPr>
                <w:rFonts w:cstheme="minorHAnsi"/>
                <w:color w:val="000000"/>
                <w:sz w:val="20"/>
                <w:szCs w:val="20"/>
              </w:rPr>
              <w:t>16.9</w:t>
            </w:r>
          </w:p>
        </w:tc>
      </w:tr>
      <w:tr w:rsidR="00D907AF" w:rsidRPr="0087485F" w:rsidTr="00770F55">
        <w:tc>
          <w:tcPr>
            <w:tcW w:w="3652" w:type="dxa"/>
            <w:shd w:val="clear" w:color="auto" w:fill="auto"/>
          </w:tcPr>
          <w:p w:rsidR="00D907AF" w:rsidRPr="0087485F" w:rsidRDefault="003A4676" w:rsidP="00D907AF">
            <w:pPr>
              <w:spacing w:before="20" w:after="20"/>
              <w:rPr>
                <w:rFonts w:cstheme="minorHAnsi"/>
                <w:sz w:val="20"/>
                <w:szCs w:val="20"/>
              </w:rPr>
            </w:pPr>
            <w:r>
              <w:rPr>
                <w:rFonts w:cstheme="minorHAnsi"/>
                <w:sz w:val="20"/>
                <w:szCs w:val="20"/>
              </w:rPr>
              <w:t>Sales Worker</w:t>
            </w:r>
          </w:p>
        </w:tc>
        <w:tc>
          <w:tcPr>
            <w:tcW w:w="1276" w:type="dxa"/>
            <w:shd w:val="clear" w:color="auto" w:fill="auto"/>
            <w:vAlign w:val="center"/>
          </w:tcPr>
          <w:p w:rsidR="00D907AF" w:rsidRPr="0087485F" w:rsidRDefault="00D907AF" w:rsidP="00693109">
            <w:pPr>
              <w:spacing w:before="20" w:after="20"/>
              <w:ind w:right="239"/>
              <w:jc w:val="right"/>
              <w:rPr>
                <w:rFonts w:cstheme="minorHAnsi"/>
                <w:color w:val="000000"/>
                <w:sz w:val="20"/>
                <w:szCs w:val="20"/>
              </w:rPr>
            </w:pPr>
            <w:r w:rsidRPr="0087485F">
              <w:rPr>
                <w:rFonts w:cstheme="minorHAnsi"/>
                <w:color w:val="000000"/>
                <w:sz w:val="20"/>
                <w:szCs w:val="20"/>
              </w:rPr>
              <w:t>11</w:t>
            </w:r>
          </w:p>
        </w:tc>
        <w:tc>
          <w:tcPr>
            <w:tcW w:w="1275" w:type="dxa"/>
            <w:shd w:val="clear" w:color="auto" w:fill="auto"/>
            <w:vAlign w:val="center"/>
          </w:tcPr>
          <w:p w:rsidR="00D907AF" w:rsidRPr="0087485F" w:rsidRDefault="00D907AF" w:rsidP="00693109">
            <w:pPr>
              <w:spacing w:before="20" w:after="20"/>
              <w:ind w:right="239"/>
              <w:jc w:val="right"/>
              <w:rPr>
                <w:rFonts w:cstheme="minorHAnsi"/>
                <w:color w:val="000000"/>
                <w:sz w:val="20"/>
                <w:szCs w:val="20"/>
              </w:rPr>
            </w:pPr>
            <w:r w:rsidRPr="0087485F">
              <w:rPr>
                <w:rFonts w:cstheme="minorHAnsi"/>
                <w:color w:val="000000"/>
                <w:sz w:val="20"/>
                <w:szCs w:val="20"/>
              </w:rPr>
              <w:t>5.0</w:t>
            </w:r>
          </w:p>
        </w:tc>
        <w:tc>
          <w:tcPr>
            <w:tcW w:w="1559" w:type="dxa"/>
            <w:shd w:val="clear" w:color="auto" w:fill="auto"/>
            <w:vAlign w:val="center"/>
          </w:tcPr>
          <w:p w:rsidR="00D907AF" w:rsidRPr="0087485F" w:rsidRDefault="00D907AF" w:rsidP="00693109">
            <w:pPr>
              <w:spacing w:before="20" w:after="20"/>
              <w:ind w:right="523"/>
              <w:jc w:val="right"/>
              <w:rPr>
                <w:rFonts w:cstheme="minorHAnsi"/>
                <w:color w:val="000000"/>
                <w:sz w:val="20"/>
                <w:szCs w:val="20"/>
              </w:rPr>
            </w:pPr>
            <w:r w:rsidRPr="0087485F">
              <w:rPr>
                <w:rFonts w:cstheme="minorHAnsi"/>
                <w:color w:val="000000"/>
                <w:sz w:val="20"/>
                <w:szCs w:val="20"/>
              </w:rPr>
              <w:t>34</w:t>
            </w:r>
          </w:p>
        </w:tc>
        <w:tc>
          <w:tcPr>
            <w:tcW w:w="1560" w:type="dxa"/>
            <w:shd w:val="clear" w:color="auto" w:fill="auto"/>
            <w:vAlign w:val="center"/>
          </w:tcPr>
          <w:p w:rsidR="00D907AF" w:rsidRPr="0087485F" w:rsidRDefault="00D907AF" w:rsidP="00693109">
            <w:pPr>
              <w:spacing w:before="20" w:after="20"/>
              <w:ind w:right="459"/>
              <w:jc w:val="right"/>
              <w:rPr>
                <w:rFonts w:cstheme="minorHAnsi"/>
                <w:color w:val="000000"/>
                <w:sz w:val="20"/>
                <w:szCs w:val="20"/>
              </w:rPr>
            </w:pPr>
            <w:r w:rsidRPr="0087485F">
              <w:rPr>
                <w:rFonts w:cstheme="minorHAnsi"/>
                <w:color w:val="000000"/>
                <w:sz w:val="20"/>
                <w:szCs w:val="20"/>
              </w:rPr>
              <w:t>6.2</w:t>
            </w:r>
          </w:p>
        </w:tc>
      </w:tr>
      <w:tr w:rsidR="00D907AF" w:rsidRPr="0087485F" w:rsidTr="00770F55">
        <w:tc>
          <w:tcPr>
            <w:tcW w:w="3652" w:type="dxa"/>
            <w:shd w:val="clear" w:color="auto" w:fill="auto"/>
          </w:tcPr>
          <w:p w:rsidR="00D907AF" w:rsidRPr="0087485F" w:rsidRDefault="003A4676" w:rsidP="00D907AF">
            <w:pPr>
              <w:spacing w:before="20" w:after="20"/>
              <w:rPr>
                <w:rFonts w:cstheme="minorHAnsi"/>
                <w:sz w:val="20"/>
                <w:szCs w:val="20"/>
              </w:rPr>
            </w:pPr>
            <w:r>
              <w:rPr>
                <w:rFonts w:cstheme="minorHAnsi"/>
                <w:sz w:val="20"/>
                <w:szCs w:val="20"/>
              </w:rPr>
              <w:t>Machinery Operators and Driver</w:t>
            </w:r>
          </w:p>
        </w:tc>
        <w:tc>
          <w:tcPr>
            <w:tcW w:w="1276" w:type="dxa"/>
            <w:shd w:val="clear" w:color="auto" w:fill="auto"/>
            <w:vAlign w:val="center"/>
          </w:tcPr>
          <w:p w:rsidR="00D907AF" w:rsidRPr="0087485F" w:rsidRDefault="00D907AF" w:rsidP="00693109">
            <w:pPr>
              <w:spacing w:before="20" w:after="20"/>
              <w:ind w:right="239"/>
              <w:jc w:val="right"/>
              <w:rPr>
                <w:rFonts w:cstheme="minorHAnsi"/>
                <w:color w:val="000000"/>
                <w:sz w:val="20"/>
                <w:szCs w:val="20"/>
              </w:rPr>
            </w:pPr>
            <w:r w:rsidRPr="0087485F">
              <w:rPr>
                <w:rFonts w:cstheme="minorHAnsi"/>
                <w:color w:val="000000"/>
                <w:sz w:val="20"/>
                <w:szCs w:val="20"/>
              </w:rPr>
              <w:t>4</w:t>
            </w:r>
          </w:p>
        </w:tc>
        <w:tc>
          <w:tcPr>
            <w:tcW w:w="1275" w:type="dxa"/>
            <w:shd w:val="clear" w:color="auto" w:fill="auto"/>
            <w:vAlign w:val="center"/>
          </w:tcPr>
          <w:p w:rsidR="00D907AF" w:rsidRPr="0087485F" w:rsidRDefault="00D907AF" w:rsidP="00693109">
            <w:pPr>
              <w:spacing w:before="20" w:after="20"/>
              <w:ind w:right="239"/>
              <w:jc w:val="right"/>
              <w:rPr>
                <w:rFonts w:cstheme="minorHAnsi"/>
                <w:color w:val="000000"/>
                <w:sz w:val="20"/>
                <w:szCs w:val="20"/>
              </w:rPr>
            </w:pPr>
            <w:r w:rsidRPr="0087485F">
              <w:rPr>
                <w:rFonts w:cstheme="minorHAnsi"/>
                <w:color w:val="000000"/>
                <w:sz w:val="20"/>
                <w:szCs w:val="20"/>
              </w:rPr>
              <w:t>1.8</w:t>
            </w:r>
          </w:p>
        </w:tc>
        <w:tc>
          <w:tcPr>
            <w:tcW w:w="1559" w:type="dxa"/>
            <w:shd w:val="clear" w:color="auto" w:fill="auto"/>
            <w:vAlign w:val="center"/>
          </w:tcPr>
          <w:p w:rsidR="00D907AF" w:rsidRPr="0087485F" w:rsidRDefault="00D907AF" w:rsidP="00693109">
            <w:pPr>
              <w:spacing w:before="20" w:after="20"/>
              <w:ind w:right="523"/>
              <w:jc w:val="right"/>
              <w:rPr>
                <w:rFonts w:cstheme="minorHAnsi"/>
                <w:color w:val="000000"/>
                <w:sz w:val="20"/>
                <w:szCs w:val="20"/>
              </w:rPr>
            </w:pPr>
            <w:r w:rsidRPr="0087485F">
              <w:rPr>
                <w:rFonts w:cstheme="minorHAnsi"/>
                <w:color w:val="000000"/>
                <w:sz w:val="20"/>
                <w:szCs w:val="20"/>
              </w:rPr>
              <w:t>43</w:t>
            </w:r>
          </w:p>
        </w:tc>
        <w:tc>
          <w:tcPr>
            <w:tcW w:w="1560" w:type="dxa"/>
            <w:shd w:val="clear" w:color="auto" w:fill="auto"/>
            <w:vAlign w:val="center"/>
          </w:tcPr>
          <w:p w:rsidR="00D907AF" w:rsidRPr="0087485F" w:rsidRDefault="00D907AF" w:rsidP="00693109">
            <w:pPr>
              <w:spacing w:before="20" w:after="20"/>
              <w:ind w:right="459"/>
              <w:jc w:val="right"/>
              <w:rPr>
                <w:rFonts w:cstheme="minorHAnsi"/>
                <w:color w:val="000000"/>
                <w:sz w:val="20"/>
                <w:szCs w:val="20"/>
              </w:rPr>
            </w:pPr>
            <w:r w:rsidRPr="0087485F">
              <w:rPr>
                <w:rFonts w:cstheme="minorHAnsi"/>
                <w:color w:val="000000"/>
                <w:sz w:val="20"/>
                <w:szCs w:val="20"/>
              </w:rPr>
              <w:t>7.8</w:t>
            </w:r>
          </w:p>
        </w:tc>
      </w:tr>
      <w:tr w:rsidR="00D907AF" w:rsidRPr="0087485F" w:rsidTr="00770F55">
        <w:tc>
          <w:tcPr>
            <w:tcW w:w="3652" w:type="dxa"/>
            <w:shd w:val="clear" w:color="auto" w:fill="auto"/>
          </w:tcPr>
          <w:p w:rsidR="00D907AF" w:rsidRPr="0087485F" w:rsidRDefault="003A4676" w:rsidP="00D907AF">
            <w:pPr>
              <w:spacing w:before="20" w:after="20"/>
              <w:rPr>
                <w:rFonts w:cstheme="minorHAnsi"/>
                <w:sz w:val="20"/>
                <w:szCs w:val="20"/>
              </w:rPr>
            </w:pPr>
            <w:r>
              <w:rPr>
                <w:rFonts w:cstheme="minorHAnsi"/>
                <w:sz w:val="20"/>
                <w:szCs w:val="20"/>
              </w:rPr>
              <w:t>Labourer</w:t>
            </w:r>
          </w:p>
        </w:tc>
        <w:tc>
          <w:tcPr>
            <w:tcW w:w="1276" w:type="dxa"/>
            <w:shd w:val="clear" w:color="auto" w:fill="auto"/>
            <w:vAlign w:val="center"/>
          </w:tcPr>
          <w:p w:rsidR="00D907AF" w:rsidRPr="0087485F" w:rsidRDefault="00D907AF" w:rsidP="00693109">
            <w:pPr>
              <w:spacing w:before="20" w:after="20"/>
              <w:ind w:right="239"/>
              <w:jc w:val="right"/>
              <w:rPr>
                <w:rFonts w:cstheme="minorHAnsi"/>
                <w:color w:val="000000"/>
                <w:sz w:val="20"/>
                <w:szCs w:val="20"/>
              </w:rPr>
            </w:pPr>
            <w:r w:rsidRPr="0087485F">
              <w:rPr>
                <w:rFonts w:cstheme="minorHAnsi"/>
                <w:color w:val="000000"/>
                <w:sz w:val="20"/>
                <w:szCs w:val="20"/>
              </w:rPr>
              <w:t>88</w:t>
            </w:r>
          </w:p>
        </w:tc>
        <w:tc>
          <w:tcPr>
            <w:tcW w:w="1275" w:type="dxa"/>
            <w:shd w:val="clear" w:color="auto" w:fill="auto"/>
            <w:vAlign w:val="center"/>
          </w:tcPr>
          <w:p w:rsidR="00D907AF" w:rsidRPr="0087485F" w:rsidRDefault="00D907AF" w:rsidP="00693109">
            <w:pPr>
              <w:spacing w:before="20" w:after="20"/>
              <w:ind w:right="239"/>
              <w:jc w:val="right"/>
              <w:rPr>
                <w:rFonts w:cstheme="minorHAnsi"/>
                <w:color w:val="000000"/>
                <w:sz w:val="20"/>
                <w:szCs w:val="20"/>
              </w:rPr>
            </w:pPr>
            <w:r w:rsidRPr="0087485F">
              <w:rPr>
                <w:rFonts w:cstheme="minorHAnsi"/>
                <w:color w:val="000000"/>
                <w:sz w:val="20"/>
                <w:szCs w:val="20"/>
              </w:rPr>
              <w:t>39.6</w:t>
            </w:r>
          </w:p>
        </w:tc>
        <w:tc>
          <w:tcPr>
            <w:tcW w:w="1559" w:type="dxa"/>
            <w:shd w:val="clear" w:color="auto" w:fill="auto"/>
            <w:vAlign w:val="center"/>
          </w:tcPr>
          <w:p w:rsidR="00D907AF" w:rsidRPr="0087485F" w:rsidRDefault="00D907AF" w:rsidP="00693109">
            <w:pPr>
              <w:spacing w:before="20" w:after="20"/>
              <w:ind w:right="523"/>
              <w:jc w:val="right"/>
              <w:rPr>
                <w:rFonts w:cstheme="minorHAnsi"/>
                <w:color w:val="000000"/>
                <w:sz w:val="20"/>
                <w:szCs w:val="20"/>
              </w:rPr>
            </w:pPr>
            <w:r w:rsidRPr="0087485F">
              <w:rPr>
                <w:rFonts w:cstheme="minorHAnsi"/>
                <w:color w:val="000000"/>
                <w:sz w:val="20"/>
                <w:szCs w:val="20"/>
              </w:rPr>
              <w:t>132</w:t>
            </w:r>
          </w:p>
        </w:tc>
        <w:tc>
          <w:tcPr>
            <w:tcW w:w="1560" w:type="dxa"/>
            <w:shd w:val="clear" w:color="auto" w:fill="auto"/>
            <w:vAlign w:val="center"/>
          </w:tcPr>
          <w:p w:rsidR="00D907AF" w:rsidRPr="0087485F" w:rsidRDefault="00D907AF" w:rsidP="00693109">
            <w:pPr>
              <w:spacing w:before="20" w:after="20"/>
              <w:ind w:right="459"/>
              <w:jc w:val="right"/>
              <w:rPr>
                <w:rFonts w:cstheme="minorHAnsi"/>
                <w:color w:val="000000"/>
                <w:sz w:val="20"/>
                <w:szCs w:val="20"/>
              </w:rPr>
            </w:pPr>
            <w:r w:rsidRPr="0087485F">
              <w:rPr>
                <w:rFonts w:cstheme="minorHAnsi"/>
                <w:color w:val="000000"/>
                <w:sz w:val="20"/>
                <w:szCs w:val="20"/>
              </w:rPr>
              <w:t>24.0</w:t>
            </w:r>
          </w:p>
        </w:tc>
      </w:tr>
      <w:tr w:rsidR="00D907AF" w:rsidRPr="0087485F" w:rsidTr="00770F55">
        <w:tc>
          <w:tcPr>
            <w:tcW w:w="3652" w:type="dxa"/>
            <w:shd w:val="clear" w:color="auto" w:fill="auto"/>
          </w:tcPr>
          <w:p w:rsidR="00D907AF" w:rsidRPr="0087485F" w:rsidRDefault="00076B21" w:rsidP="00D907AF">
            <w:pPr>
              <w:spacing w:before="20" w:after="20"/>
              <w:rPr>
                <w:rFonts w:cstheme="minorHAnsi"/>
                <w:sz w:val="20"/>
                <w:szCs w:val="20"/>
              </w:rPr>
            </w:pPr>
            <w:r>
              <w:rPr>
                <w:rFonts w:cstheme="minorHAnsi"/>
                <w:sz w:val="20"/>
                <w:szCs w:val="20"/>
              </w:rPr>
              <w:t>Miscellaneous</w:t>
            </w:r>
          </w:p>
        </w:tc>
        <w:tc>
          <w:tcPr>
            <w:tcW w:w="1276" w:type="dxa"/>
            <w:shd w:val="clear" w:color="auto" w:fill="auto"/>
            <w:vAlign w:val="center"/>
          </w:tcPr>
          <w:p w:rsidR="00D907AF" w:rsidRPr="0087485F" w:rsidRDefault="00D907AF" w:rsidP="00693109">
            <w:pPr>
              <w:spacing w:before="20" w:after="20"/>
              <w:ind w:right="239"/>
              <w:jc w:val="right"/>
              <w:rPr>
                <w:rFonts w:cstheme="minorHAnsi"/>
                <w:color w:val="000000"/>
                <w:sz w:val="20"/>
                <w:szCs w:val="20"/>
              </w:rPr>
            </w:pPr>
            <w:r w:rsidRPr="0087485F">
              <w:rPr>
                <w:rFonts w:cstheme="minorHAnsi"/>
                <w:color w:val="000000"/>
                <w:sz w:val="20"/>
                <w:szCs w:val="20"/>
              </w:rPr>
              <w:t>3</w:t>
            </w:r>
          </w:p>
        </w:tc>
        <w:tc>
          <w:tcPr>
            <w:tcW w:w="1275" w:type="dxa"/>
            <w:shd w:val="clear" w:color="auto" w:fill="auto"/>
            <w:vAlign w:val="center"/>
          </w:tcPr>
          <w:p w:rsidR="00D907AF" w:rsidRPr="0087485F" w:rsidRDefault="00D907AF" w:rsidP="00693109">
            <w:pPr>
              <w:spacing w:before="20" w:after="20"/>
              <w:ind w:right="239"/>
              <w:jc w:val="right"/>
              <w:rPr>
                <w:rFonts w:cstheme="minorHAnsi"/>
                <w:color w:val="000000"/>
                <w:sz w:val="20"/>
                <w:szCs w:val="20"/>
              </w:rPr>
            </w:pPr>
            <w:r w:rsidRPr="0087485F">
              <w:rPr>
                <w:rFonts w:cstheme="minorHAnsi"/>
                <w:color w:val="000000"/>
                <w:sz w:val="20"/>
                <w:szCs w:val="20"/>
              </w:rPr>
              <w:t>1.4</w:t>
            </w:r>
          </w:p>
        </w:tc>
        <w:tc>
          <w:tcPr>
            <w:tcW w:w="1559" w:type="dxa"/>
            <w:shd w:val="clear" w:color="auto" w:fill="auto"/>
            <w:vAlign w:val="center"/>
          </w:tcPr>
          <w:p w:rsidR="00D907AF" w:rsidRPr="0087485F" w:rsidRDefault="00D907AF" w:rsidP="00693109">
            <w:pPr>
              <w:spacing w:before="20" w:after="20"/>
              <w:ind w:right="523"/>
              <w:jc w:val="right"/>
              <w:rPr>
                <w:rFonts w:cstheme="minorHAnsi"/>
                <w:color w:val="000000"/>
                <w:sz w:val="20"/>
                <w:szCs w:val="20"/>
              </w:rPr>
            </w:pPr>
            <w:r w:rsidRPr="0087485F">
              <w:rPr>
                <w:rFonts w:cstheme="minorHAnsi"/>
                <w:color w:val="000000"/>
                <w:sz w:val="20"/>
                <w:szCs w:val="20"/>
              </w:rPr>
              <w:t>5</w:t>
            </w:r>
          </w:p>
        </w:tc>
        <w:tc>
          <w:tcPr>
            <w:tcW w:w="1560" w:type="dxa"/>
            <w:shd w:val="clear" w:color="auto" w:fill="auto"/>
            <w:vAlign w:val="center"/>
          </w:tcPr>
          <w:p w:rsidR="00D907AF" w:rsidRPr="0087485F" w:rsidRDefault="00D907AF" w:rsidP="00693109">
            <w:pPr>
              <w:spacing w:before="20" w:after="20"/>
              <w:ind w:right="459"/>
              <w:jc w:val="right"/>
              <w:rPr>
                <w:rFonts w:cstheme="minorHAnsi"/>
                <w:color w:val="000000"/>
                <w:sz w:val="20"/>
                <w:szCs w:val="20"/>
              </w:rPr>
            </w:pPr>
            <w:r w:rsidRPr="0087485F">
              <w:rPr>
                <w:rFonts w:cstheme="minorHAnsi"/>
                <w:color w:val="000000"/>
                <w:sz w:val="20"/>
                <w:szCs w:val="20"/>
              </w:rPr>
              <w:t>0.9</w:t>
            </w:r>
          </w:p>
        </w:tc>
      </w:tr>
      <w:tr w:rsidR="00D907AF" w:rsidRPr="0087485F" w:rsidTr="00770F55">
        <w:tc>
          <w:tcPr>
            <w:tcW w:w="3652" w:type="dxa"/>
          </w:tcPr>
          <w:p w:rsidR="00D907AF" w:rsidRPr="0087485F" w:rsidRDefault="00D907AF" w:rsidP="00E813C4">
            <w:pPr>
              <w:spacing w:before="20" w:after="20"/>
              <w:rPr>
                <w:rFonts w:cstheme="minorHAnsi"/>
                <w:sz w:val="20"/>
                <w:szCs w:val="20"/>
              </w:rPr>
            </w:pPr>
            <w:r w:rsidRPr="0087485F">
              <w:rPr>
                <w:rFonts w:cstheme="minorHAnsi"/>
                <w:sz w:val="20"/>
                <w:szCs w:val="20"/>
              </w:rPr>
              <w:t>Don’t know</w:t>
            </w:r>
          </w:p>
        </w:tc>
        <w:tc>
          <w:tcPr>
            <w:tcW w:w="1276" w:type="dxa"/>
          </w:tcPr>
          <w:p w:rsidR="00D907AF" w:rsidRPr="0087485F" w:rsidRDefault="00D907AF" w:rsidP="00693109">
            <w:pPr>
              <w:spacing w:before="20" w:after="20"/>
              <w:ind w:right="239"/>
              <w:jc w:val="right"/>
              <w:rPr>
                <w:rFonts w:cstheme="minorHAnsi"/>
                <w:color w:val="000000"/>
                <w:sz w:val="20"/>
                <w:szCs w:val="20"/>
              </w:rPr>
            </w:pPr>
            <w:r w:rsidRPr="0087485F">
              <w:rPr>
                <w:rFonts w:cstheme="minorHAnsi"/>
                <w:color w:val="000000"/>
                <w:sz w:val="20"/>
                <w:szCs w:val="20"/>
              </w:rPr>
              <w:t>4</w:t>
            </w:r>
          </w:p>
        </w:tc>
        <w:tc>
          <w:tcPr>
            <w:tcW w:w="1275" w:type="dxa"/>
          </w:tcPr>
          <w:p w:rsidR="00D907AF" w:rsidRPr="0087485F" w:rsidRDefault="00D907AF" w:rsidP="00693109">
            <w:pPr>
              <w:spacing w:before="20" w:after="20"/>
              <w:ind w:right="239"/>
              <w:jc w:val="right"/>
              <w:rPr>
                <w:rFonts w:cstheme="minorHAnsi"/>
                <w:color w:val="000000"/>
                <w:sz w:val="20"/>
                <w:szCs w:val="20"/>
              </w:rPr>
            </w:pPr>
            <w:r w:rsidRPr="0087485F">
              <w:rPr>
                <w:rFonts w:cstheme="minorHAnsi"/>
                <w:color w:val="000000"/>
                <w:sz w:val="20"/>
                <w:szCs w:val="20"/>
              </w:rPr>
              <w:t>1.8</w:t>
            </w:r>
          </w:p>
        </w:tc>
        <w:tc>
          <w:tcPr>
            <w:tcW w:w="1559" w:type="dxa"/>
          </w:tcPr>
          <w:p w:rsidR="00D907AF" w:rsidRPr="0087485F" w:rsidRDefault="00D907AF" w:rsidP="00693109">
            <w:pPr>
              <w:spacing w:before="20" w:after="20"/>
              <w:ind w:right="523"/>
              <w:jc w:val="right"/>
              <w:rPr>
                <w:rFonts w:cstheme="minorHAnsi"/>
                <w:color w:val="000000"/>
                <w:sz w:val="20"/>
                <w:szCs w:val="20"/>
              </w:rPr>
            </w:pPr>
            <w:r w:rsidRPr="0087485F">
              <w:rPr>
                <w:rFonts w:cstheme="minorHAnsi"/>
                <w:color w:val="000000"/>
                <w:sz w:val="20"/>
                <w:szCs w:val="20"/>
              </w:rPr>
              <w:t>7</w:t>
            </w:r>
          </w:p>
        </w:tc>
        <w:tc>
          <w:tcPr>
            <w:tcW w:w="1560" w:type="dxa"/>
          </w:tcPr>
          <w:p w:rsidR="00D907AF" w:rsidRPr="0087485F" w:rsidRDefault="00D907AF" w:rsidP="00693109">
            <w:pPr>
              <w:spacing w:before="20" w:after="20"/>
              <w:ind w:right="459"/>
              <w:jc w:val="right"/>
              <w:rPr>
                <w:rFonts w:cstheme="minorHAnsi"/>
                <w:color w:val="000000"/>
                <w:sz w:val="20"/>
                <w:szCs w:val="20"/>
              </w:rPr>
            </w:pPr>
            <w:r w:rsidRPr="0087485F">
              <w:rPr>
                <w:rFonts w:cstheme="minorHAnsi"/>
                <w:color w:val="000000"/>
                <w:sz w:val="20"/>
                <w:szCs w:val="20"/>
              </w:rPr>
              <w:t>1.3</w:t>
            </w:r>
          </w:p>
        </w:tc>
      </w:tr>
      <w:tr w:rsidR="00D907AF" w:rsidRPr="0087485F" w:rsidTr="00770F55">
        <w:tc>
          <w:tcPr>
            <w:tcW w:w="3652" w:type="dxa"/>
            <w:tcBorders>
              <w:bottom w:val="single" w:sz="4" w:space="0" w:color="auto"/>
            </w:tcBorders>
            <w:shd w:val="clear" w:color="auto" w:fill="auto"/>
          </w:tcPr>
          <w:p w:rsidR="00D907AF" w:rsidRPr="0087485F" w:rsidRDefault="00D907AF" w:rsidP="00E813C4">
            <w:pPr>
              <w:spacing w:before="20" w:after="20"/>
              <w:rPr>
                <w:rFonts w:cstheme="minorHAnsi"/>
                <w:sz w:val="20"/>
                <w:szCs w:val="20"/>
              </w:rPr>
            </w:pPr>
            <w:r w:rsidRPr="0087485F">
              <w:rPr>
                <w:rFonts w:cstheme="minorHAnsi"/>
                <w:sz w:val="20"/>
                <w:szCs w:val="20"/>
              </w:rPr>
              <w:t xml:space="preserve">Missing </w:t>
            </w:r>
          </w:p>
        </w:tc>
        <w:tc>
          <w:tcPr>
            <w:tcW w:w="1276" w:type="dxa"/>
            <w:tcBorders>
              <w:bottom w:val="single" w:sz="4" w:space="0" w:color="auto"/>
            </w:tcBorders>
            <w:shd w:val="clear" w:color="auto" w:fill="auto"/>
            <w:vAlign w:val="center"/>
          </w:tcPr>
          <w:p w:rsidR="00D907AF" w:rsidRPr="0087485F" w:rsidRDefault="00D907AF" w:rsidP="00693109">
            <w:pPr>
              <w:spacing w:before="20" w:after="20"/>
              <w:ind w:right="239"/>
              <w:jc w:val="right"/>
              <w:rPr>
                <w:rFonts w:cstheme="minorHAnsi"/>
                <w:color w:val="000000"/>
                <w:sz w:val="20"/>
                <w:szCs w:val="20"/>
              </w:rPr>
            </w:pPr>
            <w:r w:rsidRPr="0087485F">
              <w:rPr>
                <w:rFonts w:cstheme="minorHAnsi"/>
                <w:color w:val="000000"/>
                <w:sz w:val="20"/>
                <w:szCs w:val="20"/>
              </w:rPr>
              <w:t>24</w:t>
            </w:r>
          </w:p>
        </w:tc>
        <w:tc>
          <w:tcPr>
            <w:tcW w:w="1275" w:type="dxa"/>
            <w:tcBorders>
              <w:bottom w:val="single" w:sz="4" w:space="0" w:color="auto"/>
            </w:tcBorders>
            <w:shd w:val="clear" w:color="auto" w:fill="auto"/>
            <w:vAlign w:val="center"/>
          </w:tcPr>
          <w:p w:rsidR="00D907AF" w:rsidRPr="0087485F" w:rsidRDefault="00D907AF" w:rsidP="00693109">
            <w:pPr>
              <w:spacing w:before="20" w:after="20"/>
              <w:ind w:right="239"/>
              <w:jc w:val="right"/>
              <w:rPr>
                <w:rFonts w:cstheme="minorHAnsi"/>
                <w:color w:val="000000"/>
                <w:sz w:val="20"/>
                <w:szCs w:val="20"/>
              </w:rPr>
            </w:pPr>
            <w:r w:rsidRPr="0087485F">
              <w:rPr>
                <w:rFonts w:cstheme="minorHAnsi"/>
                <w:color w:val="000000"/>
                <w:sz w:val="20"/>
                <w:szCs w:val="20"/>
              </w:rPr>
              <w:t>10.8</w:t>
            </w:r>
          </w:p>
        </w:tc>
        <w:tc>
          <w:tcPr>
            <w:tcW w:w="1559" w:type="dxa"/>
            <w:tcBorders>
              <w:bottom w:val="single" w:sz="4" w:space="0" w:color="auto"/>
            </w:tcBorders>
            <w:shd w:val="clear" w:color="auto" w:fill="auto"/>
            <w:vAlign w:val="center"/>
          </w:tcPr>
          <w:p w:rsidR="00D907AF" w:rsidRPr="0087485F" w:rsidRDefault="00D907AF" w:rsidP="00693109">
            <w:pPr>
              <w:spacing w:before="20" w:after="20"/>
              <w:ind w:right="523"/>
              <w:jc w:val="right"/>
              <w:rPr>
                <w:rFonts w:cstheme="minorHAnsi"/>
                <w:color w:val="000000"/>
                <w:sz w:val="20"/>
                <w:szCs w:val="20"/>
              </w:rPr>
            </w:pPr>
            <w:r w:rsidRPr="0087485F">
              <w:rPr>
                <w:rFonts w:cstheme="minorHAnsi"/>
                <w:color w:val="000000"/>
                <w:sz w:val="20"/>
                <w:szCs w:val="20"/>
              </w:rPr>
              <w:t>20</w:t>
            </w:r>
          </w:p>
        </w:tc>
        <w:tc>
          <w:tcPr>
            <w:tcW w:w="1560" w:type="dxa"/>
            <w:tcBorders>
              <w:bottom w:val="single" w:sz="4" w:space="0" w:color="auto"/>
            </w:tcBorders>
            <w:shd w:val="clear" w:color="auto" w:fill="auto"/>
            <w:vAlign w:val="center"/>
          </w:tcPr>
          <w:p w:rsidR="00D907AF" w:rsidRPr="0087485F" w:rsidRDefault="00D907AF" w:rsidP="00693109">
            <w:pPr>
              <w:spacing w:before="20" w:after="20"/>
              <w:ind w:right="459"/>
              <w:jc w:val="right"/>
              <w:rPr>
                <w:rFonts w:cstheme="minorHAnsi"/>
                <w:color w:val="000000"/>
                <w:sz w:val="20"/>
                <w:szCs w:val="20"/>
              </w:rPr>
            </w:pPr>
            <w:r w:rsidRPr="0087485F">
              <w:rPr>
                <w:rFonts w:cstheme="minorHAnsi"/>
                <w:color w:val="000000"/>
                <w:sz w:val="20"/>
                <w:szCs w:val="20"/>
              </w:rPr>
              <w:t>3.6</w:t>
            </w:r>
          </w:p>
        </w:tc>
      </w:tr>
      <w:tr w:rsidR="00D907AF" w:rsidRPr="0087485F" w:rsidTr="00770F55">
        <w:tc>
          <w:tcPr>
            <w:tcW w:w="3652" w:type="dxa"/>
            <w:tcBorders>
              <w:top w:val="single" w:sz="4" w:space="0" w:color="auto"/>
              <w:bottom w:val="single" w:sz="4" w:space="0" w:color="auto"/>
            </w:tcBorders>
            <w:shd w:val="clear" w:color="auto" w:fill="auto"/>
          </w:tcPr>
          <w:p w:rsidR="00D907AF" w:rsidRPr="0087485F" w:rsidRDefault="00D907AF" w:rsidP="00D907AF">
            <w:pPr>
              <w:spacing w:before="20" w:after="20"/>
              <w:rPr>
                <w:rFonts w:cstheme="minorHAnsi"/>
                <w:b/>
                <w:sz w:val="20"/>
                <w:szCs w:val="20"/>
              </w:rPr>
            </w:pPr>
            <w:r w:rsidRPr="0087485F">
              <w:rPr>
                <w:rFonts w:cstheme="minorHAnsi"/>
                <w:b/>
                <w:sz w:val="20"/>
                <w:szCs w:val="20"/>
              </w:rPr>
              <w:t>Total</w:t>
            </w:r>
          </w:p>
        </w:tc>
        <w:tc>
          <w:tcPr>
            <w:tcW w:w="1276" w:type="dxa"/>
            <w:tcBorders>
              <w:top w:val="single" w:sz="4" w:space="0" w:color="auto"/>
              <w:bottom w:val="single" w:sz="4" w:space="0" w:color="auto"/>
            </w:tcBorders>
            <w:shd w:val="clear" w:color="auto" w:fill="auto"/>
          </w:tcPr>
          <w:p w:rsidR="00D907AF" w:rsidRPr="0087485F" w:rsidRDefault="00D907AF" w:rsidP="00693109">
            <w:pPr>
              <w:spacing w:before="20" w:after="20"/>
              <w:ind w:right="239"/>
              <w:jc w:val="right"/>
              <w:rPr>
                <w:rFonts w:cstheme="minorHAnsi"/>
                <w:b/>
                <w:sz w:val="20"/>
                <w:szCs w:val="20"/>
              </w:rPr>
            </w:pPr>
            <w:r w:rsidRPr="0087485F">
              <w:rPr>
                <w:rFonts w:cstheme="minorHAnsi"/>
                <w:b/>
                <w:sz w:val="20"/>
                <w:szCs w:val="20"/>
              </w:rPr>
              <w:t>222</w:t>
            </w:r>
          </w:p>
        </w:tc>
        <w:tc>
          <w:tcPr>
            <w:tcW w:w="1275" w:type="dxa"/>
            <w:tcBorders>
              <w:top w:val="single" w:sz="4" w:space="0" w:color="auto"/>
              <w:bottom w:val="single" w:sz="4" w:space="0" w:color="auto"/>
            </w:tcBorders>
            <w:shd w:val="clear" w:color="auto" w:fill="auto"/>
          </w:tcPr>
          <w:p w:rsidR="00D907AF" w:rsidRPr="0087485F" w:rsidRDefault="00D907AF" w:rsidP="00693109">
            <w:pPr>
              <w:spacing w:before="20" w:after="20"/>
              <w:ind w:right="239"/>
              <w:jc w:val="right"/>
              <w:rPr>
                <w:rFonts w:cstheme="minorHAnsi"/>
                <w:b/>
                <w:sz w:val="20"/>
                <w:szCs w:val="20"/>
              </w:rPr>
            </w:pPr>
            <w:r w:rsidRPr="0087485F">
              <w:rPr>
                <w:rFonts w:cstheme="minorHAnsi"/>
                <w:b/>
                <w:sz w:val="20"/>
                <w:szCs w:val="20"/>
              </w:rPr>
              <w:t>100</w:t>
            </w:r>
          </w:p>
        </w:tc>
        <w:tc>
          <w:tcPr>
            <w:tcW w:w="1559" w:type="dxa"/>
            <w:tcBorders>
              <w:top w:val="single" w:sz="4" w:space="0" w:color="auto"/>
              <w:bottom w:val="single" w:sz="4" w:space="0" w:color="auto"/>
            </w:tcBorders>
            <w:shd w:val="clear" w:color="auto" w:fill="auto"/>
          </w:tcPr>
          <w:p w:rsidR="00D907AF" w:rsidRPr="0087485F" w:rsidRDefault="00D907AF" w:rsidP="00693109">
            <w:pPr>
              <w:spacing w:before="20" w:after="20"/>
              <w:ind w:right="523"/>
              <w:jc w:val="right"/>
              <w:rPr>
                <w:rFonts w:cstheme="minorHAnsi"/>
                <w:b/>
                <w:sz w:val="20"/>
                <w:szCs w:val="20"/>
              </w:rPr>
            </w:pPr>
            <w:r w:rsidRPr="0087485F">
              <w:rPr>
                <w:rFonts w:cstheme="minorHAnsi"/>
                <w:b/>
                <w:sz w:val="20"/>
                <w:szCs w:val="20"/>
              </w:rPr>
              <w:t>551</w:t>
            </w:r>
          </w:p>
        </w:tc>
        <w:tc>
          <w:tcPr>
            <w:tcW w:w="1560" w:type="dxa"/>
            <w:tcBorders>
              <w:top w:val="single" w:sz="4" w:space="0" w:color="auto"/>
              <w:bottom w:val="single" w:sz="4" w:space="0" w:color="auto"/>
            </w:tcBorders>
            <w:shd w:val="clear" w:color="auto" w:fill="auto"/>
          </w:tcPr>
          <w:p w:rsidR="00D907AF" w:rsidRPr="0087485F" w:rsidRDefault="00D907AF" w:rsidP="00693109">
            <w:pPr>
              <w:spacing w:before="20" w:after="20"/>
              <w:ind w:right="459"/>
              <w:jc w:val="right"/>
              <w:rPr>
                <w:rFonts w:cstheme="minorHAnsi"/>
                <w:b/>
                <w:sz w:val="20"/>
                <w:szCs w:val="20"/>
              </w:rPr>
            </w:pPr>
            <w:r w:rsidRPr="0087485F">
              <w:rPr>
                <w:rFonts w:cstheme="minorHAnsi"/>
                <w:b/>
                <w:sz w:val="20"/>
                <w:szCs w:val="20"/>
              </w:rPr>
              <w:t>100</w:t>
            </w:r>
          </w:p>
        </w:tc>
      </w:tr>
    </w:tbl>
    <w:p w:rsidR="00D907AF" w:rsidRPr="00AC2B30" w:rsidRDefault="00D907AF" w:rsidP="001032EF">
      <w:pPr>
        <w:pStyle w:val="NILSReference"/>
      </w:pPr>
      <w:r w:rsidRPr="00AC2B30">
        <w:t xml:space="preserve">Note: </w:t>
      </w:r>
      <w:r>
        <w:t>trial and comparison aged 16 years and above</w:t>
      </w:r>
      <w:r w:rsidRPr="00E852D5">
        <w:t xml:space="preserve"> in work</w:t>
      </w:r>
    </w:p>
    <w:p w:rsidR="00D907AF" w:rsidRPr="007A06AB" w:rsidRDefault="00D907AF" w:rsidP="0044684E">
      <w:pPr>
        <w:pStyle w:val="NILSTableHeading"/>
      </w:pPr>
      <w:bookmarkStart w:id="299" w:name="_Toc428280686"/>
      <w:bookmarkStart w:id="300" w:name="_Toc449955297"/>
      <w:r w:rsidRPr="007A06AB">
        <w:t>Table 3.</w:t>
      </w:r>
      <w:r>
        <w:t>34</w:t>
      </w:r>
      <w:r w:rsidRPr="007A06AB">
        <w:t xml:space="preserve">: </w:t>
      </w:r>
      <w:r>
        <w:rPr>
          <w:rFonts w:hint="eastAsia"/>
        </w:rPr>
        <w:t xml:space="preserve">Work place adapted </w:t>
      </w:r>
      <w:r>
        <w:t>to facilitate</w:t>
      </w:r>
      <w:r>
        <w:rPr>
          <w:rFonts w:hint="eastAsia"/>
        </w:rPr>
        <w:t xml:space="preserve"> work</w:t>
      </w:r>
      <w:r>
        <w:t>ing</w:t>
      </w:r>
      <w:bookmarkEnd w:id="299"/>
      <w:bookmarkEnd w:id="300"/>
    </w:p>
    <w:tbl>
      <w:tblPr>
        <w:tblStyle w:val="TableGrid"/>
        <w:tblW w:w="0" w:type="auto"/>
        <w:tblLook w:val="04A0" w:firstRow="1" w:lastRow="0" w:firstColumn="1" w:lastColumn="0" w:noHBand="0" w:noVBand="1"/>
        <w:tblCaption w:val="Table 3.34 Work place adapted to facilitate working"/>
      </w:tblPr>
      <w:tblGrid>
        <w:gridCol w:w="1955"/>
        <w:gridCol w:w="988"/>
        <w:gridCol w:w="1144"/>
      </w:tblGrid>
      <w:tr w:rsidR="00D907AF" w:rsidRPr="0087485F" w:rsidTr="00693109">
        <w:trPr>
          <w:cantSplit/>
          <w:tblHeader/>
        </w:trPr>
        <w:tc>
          <w:tcPr>
            <w:tcW w:w="1955" w:type="dxa"/>
            <w:tcBorders>
              <w:top w:val="single" w:sz="4" w:space="0" w:color="auto"/>
              <w:bottom w:val="single" w:sz="4" w:space="0" w:color="auto"/>
            </w:tcBorders>
            <w:shd w:val="clear" w:color="auto" w:fill="auto"/>
          </w:tcPr>
          <w:p w:rsidR="00D907AF" w:rsidRPr="0087485F" w:rsidRDefault="00D907AF" w:rsidP="00693109">
            <w:pPr>
              <w:spacing w:before="20" w:after="20"/>
              <w:rPr>
                <w:rFonts w:cstheme="minorHAnsi"/>
                <w:sz w:val="20"/>
                <w:szCs w:val="20"/>
              </w:rPr>
            </w:pPr>
            <w:bookmarkStart w:id="301" w:name="Title_3_34"/>
            <w:bookmarkEnd w:id="301"/>
          </w:p>
        </w:tc>
        <w:tc>
          <w:tcPr>
            <w:tcW w:w="988" w:type="dxa"/>
            <w:tcBorders>
              <w:top w:val="single" w:sz="4" w:space="0" w:color="auto"/>
              <w:bottom w:val="single" w:sz="4" w:space="0" w:color="auto"/>
            </w:tcBorders>
            <w:shd w:val="clear" w:color="auto" w:fill="auto"/>
          </w:tcPr>
          <w:p w:rsidR="00D907AF" w:rsidRPr="0087485F" w:rsidRDefault="00D907AF" w:rsidP="006F7D3E">
            <w:pPr>
              <w:spacing w:before="20" w:after="20"/>
              <w:ind w:left="-250" w:right="-108"/>
              <w:jc w:val="center"/>
              <w:rPr>
                <w:rFonts w:cstheme="minorHAnsi"/>
                <w:sz w:val="20"/>
                <w:szCs w:val="20"/>
              </w:rPr>
            </w:pPr>
            <w:r w:rsidRPr="0087485F">
              <w:rPr>
                <w:rFonts w:cstheme="minorHAnsi"/>
                <w:sz w:val="20"/>
                <w:szCs w:val="20"/>
              </w:rPr>
              <w:t>Cases</w:t>
            </w:r>
          </w:p>
        </w:tc>
        <w:tc>
          <w:tcPr>
            <w:tcW w:w="1134" w:type="dxa"/>
            <w:tcBorders>
              <w:top w:val="single" w:sz="4" w:space="0" w:color="auto"/>
              <w:bottom w:val="single" w:sz="4" w:space="0" w:color="auto"/>
            </w:tcBorders>
            <w:shd w:val="clear" w:color="auto" w:fill="auto"/>
          </w:tcPr>
          <w:p w:rsidR="00D907AF" w:rsidRPr="0087485F" w:rsidRDefault="00D907AF" w:rsidP="009358A0">
            <w:pPr>
              <w:spacing w:before="20" w:after="20"/>
              <w:ind w:firstLine="34"/>
              <w:jc w:val="center"/>
              <w:rPr>
                <w:rFonts w:cstheme="minorHAnsi"/>
                <w:sz w:val="20"/>
                <w:szCs w:val="20"/>
              </w:rPr>
            </w:pPr>
            <w:r w:rsidRPr="0087485F">
              <w:rPr>
                <w:rFonts w:cstheme="minorHAnsi"/>
                <w:sz w:val="20"/>
                <w:szCs w:val="20"/>
              </w:rPr>
              <w:t>%</w:t>
            </w:r>
          </w:p>
        </w:tc>
      </w:tr>
      <w:tr w:rsidR="00D907AF" w:rsidRPr="0087485F" w:rsidTr="00693109">
        <w:tc>
          <w:tcPr>
            <w:tcW w:w="1955" w:type="dxa"/>
            <w:shd w:val="clear" w:color="auto" w:fill="auto"/>
          </w:tcPr>
          <w:p w:rsidR="00D907AF" w:rsidRPr="0087485F" w:rsidRDefault="00D907AF" w:rsidP="000C35DF">
            <w:pPr>
              <w:spacing w:before="20" w:after="20"/>
              <w:ind w:firstLine="142"/>
              <w:rPr>
                <w:rFonts w:cstheme="minorHAnsi"/>
                <w:sz w:val="20"/>
                <w:szCs w:val="20"/>
              </w:rPr>
            </w:pPr>
            <w:r w:rsidRPr="0087485F">
              <w:rPr>
                <w:rFonts w:cstheme="minorHAnsi"/>
                <w:sz w:val="20"/>
                <w:szCs w:val="20"/>
              </w:rPr>
              <w:t>Yes</w:t>
            </w:r>
          </w:p>
        </w:tc>
        <w:tc>
          <w:tcPr>
            <w:tcW w:w="988" w:type="dxa"/>
            <w:shd w:val="clear" w:color="auto" w:fill="auto"/>
          </w:tcPr>
          <w:p w:rsidR="00D907AF" w:rsidRPr="0087485F" w:rsidRDefault="00D907AF" w:rsidP="000C35DF">
            <w:pPr>
              <w:spacing w:before="20" w:after="20"/>
              <w:ind w:left="-249" w:right="284"/>
              <w:jc w:val="right"/>
              <w:rPr>
                <w:rFonts w:cstheme="minorHAnsi"/>
                <w:sz w:val="20"/>
                <w:szCs w:val="20"/>
              </w:rPr>
            </w:pPr>
            <w:r w:rsidRPr="0087485F">
              <w:rPr>
                <w:rFonts w:cstheme="minorHAnsi"/>
                <w:sz w:val="20"/>
                <w:szCs w:val="20"/>
              </w:rPr>
              <w:t>110</w:t>
            </w:r>
          </w:p>
        </w:tc>
        <w:tc>
          <w:tcPr>
            <w:tcW w:w="1134" w:type="dxa"/>
            <w:shd w:val="clear" w:color="auto" w:fill="auto"/>
            <w:vAlign w:val="center"/>
          </w:tcPr>
          <w:p w:rsidR="00D907AF" w:rsidRPr="0087485F" w:rsidRDefault="00D907AF" w:rsidP="000C35DF">
            <w:pPr>
              <w:tabs>
                <w:tab w:val="decimal" w:pos="459"/>
              </w:tabs>
              <w:spacing w:before="20" w:after="20"/>
              <w:ind w:left="-249" w:right="317"/>
              <w:jc w:val="right"/>
              <w:rPr>
                <w:rFonts w:cstheme="minorHAnsi"/>
                <w:color w:val="000000"/>
                <w:sz w:val="20"/>
                <w:szCs w:val="20"/>
              </w:rPr>
            </w:pPr>
            <w:r w:rsidRPr="0087485F">
              <w:rPr>
                <w:rFonts w:cstheme="minorHAnsi"/>
                <w:color w:val="000000"/>
                <w:sz w:val="20"/>
                <w:szCs w:val="20"/>
              </w:rPr>
              <w:t>49.6</w:t>
            </w:r>
          </w:p>
        </w:tc>
      </w:tr>
      <w:tr w:rsidR="00D907AF" w:rsidRPr="0087485F" w:rsidTr="00693109">
        <w:tc>
          <w:tcPr>
            <w:tcW w:w="1955" w:type="dxa"/>
            <w:shd w:val="clear" w:color="auto" w:fill="auto"/>
          </w:tcPr>
          <w:p w:rsidR="00D907AF" w:rsidRPr="0087485F" w:rsidRDefault="00D907AF" w:rsidP="000C35DF">
            <w:pPr>
              <w:spacing w:before="20" w:after="20"/>
              <w:ind w:firstLine="142"/>
              <w:rPr>
                <w:rFonts w:cstheme="minorHAnsi"/>
                <w:sz w:val="20"/>
                <w:szCs w:val="20"/>
              </w:rPr>
            </w:pPr>
            <w:r w:rsidRPr="0087485F">
              <w:rPr>
                <w:rFonts w:cstheme="minorHAnsi"/>
                <w:sz w:val="20"/>
                <w:szCs w:val="20"/>
              </w:rPr>
              <w:t>No</w:t>
            </w:r>
          </w:p>
        </w:tc>
        <w:tc>
          <w:tcPr>
            <w:tcW w:w="988" w:type="dxa"/>
            <w:shd w:val="clear" w:color="auto" w:fill="auto"/>
          </w:tcPr>
          <w:p w:rsidR="00D907AF" w:rsidRPr="0087485F" w:rsidRDefault="00D907AF" w:rsidP="000C35DF">
            <w:pPr>
              <w:spacing w:before="20" w:after="20"/>
              <w:ind w:left="-249" w:right="284"/>
              <w:jc w:val="right"/>
              <w:rPr>
                <w:rFonts w:cstheme="minorHAnsi"/>
                <w:sz w:val="20"/>
                <w:szCs w:val="20"/>
              </w:rPr>
            </w:pPr>
            <w:r w:rsidRPr="0087485F">
              <w:rPr>
                <w:rFonts w:cstheme="minorHAnsi"/>
                <w:sz w:val="20"/>
                <w:szCs w:val="20"/>
              </w:rPr>
              <w:t>94</w:t>
            </w:r>
          </w:p>
        </w:tc>
        <w:tc>
          <w:tcPr>
            <w:tcW w:w="1134" w:type="dxa"/>
            <w:shd w:val="clear" w:color="auto" w:fill="auto"/>
            <w:vAlign w:val="center"/>
          </w:tcPr>
          <w:p w:rsidR="00D907AF" w:rsidRPr="0087485F" w:rsidRDefault="00D907AF" w:rsidP="000C35DF">
            <w:pPr>
              <w:tabs>
                <w:tab w:val="decimal" w:pos="459"/>
              </w:tabs>
              <w:spacing w:before="20" w:after="20"/>
              <w:ind w:left="-249" w:right="317"/>
              <w:jc w:val="right"/>
              <w:rPr>
                <w:rFonts w:cstheme="minorHAnsi"/>
                <w:color w:val="000000"/>
                <w:sz w:val="20"/>
                <w:szCs w:val="20"/>
              </w:rPr>
            </w:pPr>
            <w:r w:rsidRPr="0087485F">
              <w:rPr>
                <w:rFonts w:cstheme="minorHAnsi"/>
                <w:color w:val="000000"/>
                <w:sz w:val="20"/>
                <w:szCs w:val="20"/>
              </w:rPr>
              <w:t>42.3</w:t>
            </w:r>
          </w:p>
        </w:tc>
      </w:tr>
      <w:tr w:rsidR="00D907AF" w:rsidRPr="0087485F" w:rsidTr="00693109">
        <w:tc>
          <w:tcPr>
            <w:tcW w:w="1955" w:type="dxa"/>
          </w:tcPr>
          <w:p w:rsidR="00D907AF" w:rsidRPr="0087485F" w:rsidRDefault="00D907AF" w:rsidP="000C35DF">
            <w:pPr>
              <w:spacing w:before="20" w:after="20"/>
              <w:ind w:firstLine="142"/>
              <w:rPr>
                <w:rFonts w:cstheme="minorHAnsi"/>
                <w:sz w:val="20"/>
                <w:szCs w:val="20"/>
              </w:rPr>
            </w:pPr>
            <w:r w:rsidRPr="0087485F">
              <w:rPr>
                <w:rFonts w:cstheme="minorHAnsi"/>
                <w:sz w:val="20"/>
                <w:szCs w:val="20"/>
              </w:rPr>
              <w:t>Don’t know</w:t>
            </w:r>
          </w:p>
        </w:tc>
        <w:tc>
          <w:tcPr>
            <w:tcW w:w="988" w:type="dxa"/>
          </w:tcPr>
          <w:p w:rsidR="00D907AF" w:rsidRPr="0087485F" w:rsidRDefault="00D907AF" w:rsidP="000C35DF">
            <w:pPr>
              <w:spacing w:before="20" w:after="20"/>
              <w:ind w:left="-249" w:right="284"/>
              <w:jc w:val="right"/>
              <w:rPr>
                <w:rFonts w:cstheme="minorHAnsi"/>
                <w:sz w:val="20"/>
                <w:szCs w:val="20"/>
              </w:rPr>
            </w:pPr>
            <w:r w:rsidRPr="0087485F">
              <w:rPr>
                <w:rFonts w:cstheme="minorHAnsi"/>
                <w:sz w:val="20"/>
                <w:szCs w:val="20"/>
              </w:rPr>
              <w:t>16</w:t>
            </w:r>
          </w:p>
        </w:tc>
        <w:tc>
          <w:tcPr>
            <w:tcW w:w="1134" w:type="dxa"/>
          </w:tcPr>
          <w:p w:rsidR="00D907AF" w:rsidRPr="0087485F" w:rsidRDefault="00D907AF" w:rsidP="000C35DF">
            <w:pPr>
              <w:tabs>
                <w:tab w:val="decimal" w:pos="459"/>
              </w:tabs>
              <w:spacing w:before="20" w:after="20"/>
              <w:ind w:left="-249" w:right="317"/>
              <w:jc w:val="right"/>
              <w:rPr>
                <w:rFonts w:cstheme="minorHAnsi"/>
                <w:color w:val="000000"/>
                <w:sz w:val="20"/>
                <w:szCs w:val="20"/>
              </w:rPr>
            </w:pPr>
            <w:r w:rsidRPr="0087485F">
              <w:rPr>
                <w:rFonts w:cstheme="minorHAnsi"/>
                <w:color w:val="000000"/>
                <w:sz w:val="20"/>
                <w:szCs w:val="20"/>
              </w:rPr>
              <w:t>7.2</w:t>
            </w:r>
          </w:p>
        </w:tc>
      </w:tr>
      <w:tr w:rsidR="00D907AF" w:rsidRPr="0087485F" w:rsidTr="00693109">
        <w:tc>
          <w:tcPr>
            <w:tcW w:w="1955" w:type="dxa"/>
            <w:tcBorders>
              <w:bottom w:val="single" w:sz="4" w:space="0" w:color="auto"/>
            </w:tcBorders>
            <w:shd w:val="clear" w:color="auto" w:fill="auto"/>
          </w:tcPr>
          <w:p w:rsidR="00D907AF" w:rsidRPr="0087485F" w:rsidRDefault="00D907AF" w:rsidP="000C35DF">
            <w:pPr>
              <w:spacing w:before="20" w:after="20"/>
              <w:ind w:firstLine="142"/>
              <w:rPr>
                <w:rFonts w:cstheme="minorHAnsi"/>
                <w:sz w:val="20"/>
                <w:szCs w:val="20"/>
              </w:rPr>
            </w:pPr>
            <w:r w:rsidRPr="0087485F">
              <w:rPr>
                <w:rFonts w:cstheme="minorHAnsi"/>
                <w:sz w:val="20"/>
                <w:szCs w:val="20"/>
              </w:rPr>
              <w:t>Missing</w:t>
            </w:r>
          </w:p>
        </w:tc>
        <w:tc>
          <w:tcPr>
            <w:tcW w:w="988" w:type="dxa"/>
            <w:tcBorders>
              <w:bottom w:val="single" w:sz="4" w:space="0" w:color="auto"/>
            </w:tcBorders>
            <w:shd w:val="clear" w:color="auto" w:fill="auto"/>
          </w:tcPr>
          <w:p w:rsidR="00D907AF" w:rsidRPr="0087485F" w:rsidRDefault="00D907AF" w:rsidP="000C35DF">
            <w:pPr>
              <w:spacing w:before="20" w:after="20"/>
              <w:ind w:left="-249" w:right="284"/>
              <w:jc w:val="right"/>
              <w:rPr>
                <w:rFonts w:cstheme="minorHAnsi"/>
                <w:sz w:val="20"/>
                <w:szCs w:val="20"/>
              </w:rPr>
            </w:pPr>
            <w:r w:rsidRPr="0087485F">
              <w:rPr>
                <w:rFonts w:cstheme="minorHAnsi"/>
                <w:sz w:val="20"/>
                <w:szCs w:val="20"/>
              </w:rPr>
              <w:t>2</w:t>
            </w:r>
          </w:p>
        </w:tc>
        <w:tc>
          <w:tcPr>
            <w:tcW w:w="1134" w:type="dxa"/>
            <w:tcBorders>
              <w:bottom w:val="single" w:sz="4" w:space="0" w:color="auto"/>
            </w:tcBorders>
            <w:shd w:val="clear" w:color="auto" w:fill="auto"/>
            <w:vAlign w:val="center"/>
          </w:tcPr>
          <w:p w:rsidR="00D907AF" w:rsidRPr="0087485F" w:rsidRDefault="00D907AF" w:rsidP="000C35DF">
            <w:pPr>
              <w:tabs>
                <w:tab w:val="decimal" w:pos="459"/>
              </w:tabs>
              <w:spacing w:before="20" w:after="20"/>
              <w:ind w:left="-249" w:right="317"/>
              <w:jc w:val="right"/>
              <w:rPr>
                <w:rFonts w:cstheme="minorHAnsi"/>
                <w:color w:val="000000"/>
                <w:sz w:val="20"/>
                <w:szCs w:val="20"/>
              </w:rPr>
            </w:pPr>
            <w:r w:rsidRPr="0087485F">
              <w:rPr>
                <w:rFonts w:cstheme="minorHAnsi"/>
                <w:color w:val="000000"/>
                <w:sz w:val="20"/>
                <w:szCs w:val="20"/>
              </w:rPr>
              <w:t>0.9</w:t>
            </w:r>
          </w:p>
        </w:tc>
      </w:tr>
      <w:tr w:rsidR="00D907AF" w:rsidRPr="0087485F" w:rsidTr="00693109">
        <w:tc>
          <w:tcPr>
            <w:tcW w:w="1955" w:type="dxa"/>
            <w:tcBorders>
              <w:top w:val="single" w:sz="4" w:space="0" w:color="auto"/>
              <w:bottom w:val="single" w:sz="4" w:space="0" w:color="auto"/>
            </w:tcBorders>
            <w:shd w:val="clear" w:color="auto" w:fill="auto"/>
          </w:tcPr>
          <w:p w:rsidR="00D907AF" w:rsidRPr="0087485F" w:rsidRDefault="00D907AF" w:rsidP="000C35DF">
            <w:pPr>
              <w:spacing w:before="20" w:after="20"/>
              <w:ind w:firstLine="142"/>
              <w:rPr>
                <w:rFonts w:cstheme="minorHAnsi"/>
                <w:b/>
                <w:sz w:val="20"/>
                <w:szCs w:val="20"/>
              </w:rPr>
            </w:pPr>
            <w:r w:rsidRPr="0087485F">
              <w:rPr>
                <w:rFonts w:cstheme="minorHAnsi"/>
                <w:b/>
                <w:sz w:val="20"/>
                <w:szCs w:val="20"/>
              </w:rPr>
              <w:t>Total</w:t>
            </w:r>
          </w:p>
        </w:tc>
        <w:tc>
          <w:tcPr>
            <w:tcW w:w="988" w:type="dxa"/>
            <w:tcBorders>
              <w:top w:val="single" w:sz="4" w:space="0" w:color="auto"/>
              <w:bottom w:val="single" w:sz="4" w:space="0" w:color="auto"/>
            </w:tcBorders>
            <w:shd w:val="clear" w:color="auto" w:fill="auto"/>
          </w:tcPr>
          <w:p w:rsidR="00D907AF" w:rsidRPr="0087485F" w:rsidRDefault="00D907AF" w:rsidP="000C35DF">
            <w:pPr>
              <w:spacing w:before="20" w:after="20"/>
              <w:ind w:left="-249" w:right="284"/>
              <w:jc w:val="right"/>
              <w:rPr>
                <w:rFonts w:cstheme="minorHAnsi"/>
                <w:b/>
                <w:sz w:val="20"/>
                <w:szCs w:val="20"/>
              </w:rPr>
            </w:pPr>
            <w:r w:rsidRPr="0087485F">
              <w:rPr>
                <w:rFonts w:cstheme="minorHAnsi"/>
                <w:b/>
                <w:sz w:val="20"/>
                <w:szCs w:val="20"/>
              </w:rPr>
              <w:t>222</w:t>
            </w:r>
          </w:p>
        </w:tc>
        <w:tc>
          <w:tcPr>
            <w:tcW w:w="1134" w:type="dxa"/>
            <w:tcBorders>
              <w:top w:val="single" w:sz="4" w:space="0" w:color="auto"/>
              <w:bottom w:val="single" w:sz="4" w:space="0" w:color="auto"/>
            </w:tcBorders>
            <w:shd w:val="clear" w:color="auto" w:fill="auto"/>
          </w:tcPr>
          <w:p w:rsidR="00D907AF" w:rsidRPr="0087485F" w:rsidRDefault="00D907AF" w:rsidP="000C35DF">
            <w:pPr>
              <w:tabs>
                <w:tab w:val="decimal" w:pos="459"/>
              </w:tabs>
              <w:spacing w:before="20" w:after="20"/>
              <w:ind w:left="-249" w:right="317"/>
              <w:jc w:val="right"/>
              <w:rPr>
                <w:rFonts w:cstheme="minorHAnsi"/>
                <w:b/>
                <w:sz w:val="20"/>
                <w:szCs w:val="20"/>
              </w:rPr>
            </w:pPr>
            <w:r w:rsidRPr="0087485F">
              <w:rPr>
                <w:rFonts w:cstheme="minorHAnsi"/>
                <w:b/>
                <w:sz w:val="20"/>
                <w:szCs w:val="20"/>
              </w:rPr>
              <w:t>100</w:t>
            </w:r>
          </w:p>
        </w:tc>
      </w:tr>
    </w:tbl>
    <w:p w:rsidR="00D907AF" w:rsidRPr="00E852D5" w:rsidRDefault="00D907AF" w:rsidP="001032EF">
      <w:pPr>
        <w:pStyle w:val="NILSReference"/>
      </w:pPr>
      <w:r w:rsidRPr="00E852D5">
        <w:t xml:space="preserve">Note: </w:t>
      </w:r>
      <w:r>
        <w:t>trial and comparison aged 16 years and above</w:t>
      </w:r>
      <w:r w:rsidRPr="00E852D5">
        <w:t xml:space="preserve"> in work</w:t>
      </w:r>
    </w:p>
    <w:p w:rsidR="00953EE5" w:rsidRDefault="00953EE5" w:rsidP="00D907AF"/>
    <w:p w:rsidR="00D907AF" w:rsidRDefault="00D907AF" w:rsidP="00D907AF">
      <w:r>
        <w:t xml:space="preserve">An important statistic arises from Table 3.35. When we look at all adult respondents who reported not presently working, we find a good majority (61.2 per cent) who reported that they had held a job sometime in the past. This finding is in general agreement with the employment literature where the labour force participation of people with disability is both volatile and changeable over time. </w:t>
      </w:r>
    </w:p>
    <w:p w:rsidR="00D907AF" w:rsidRPr="00233E8A" w:rsidRDefault="00D907AF" w:rsidP="0044684E">
      <w:pPr>
        <w:pStyle w:val="NILSTableHeading"/>
      </w:pPr>
      <w:bookmarkStart w:id="302" w:name="_Toc428280687"/>
      <w:bookmarkStart w:id="303" w:name="_Toc449955298"/>
      <w:r w:rsidRPr="00233E8A">
        <w:t>Ta</w:t>
      </w:r>
      <w:r w:rsidRPr="003258B5">
        <w:t>ble 3.</w:t>
      </w:r>
      <w:r w:rsidRPr="003258B5">
        <w:rPr>
          <w:rFonts w:hint="eastAsia"/>
        </w:rPr>
        <w:t>3</w:t>
      </w:r>
      <w:r w:rsidRPr="003258B5">
        <w:t>5: If</w:t>
      </w:r>
      <w:r w:rsidRPr="003258B5">
        <w:rPr>
          <w:rFonts w:hint="eastAsia"/>
        </w:rPr>
        <w:t xml:space="preserve"> presently </w:t>
      </w:r>
      <w:r w:rsidRPr="003258B5">
        <w:t xml:space="preserve">not </w:t>
      </w:r>
      <w:r w:rsidRPr="003258B5">
        <w:rPr>
          <w:rFonts w:hint="eastAsia"/>
        </w:rPr>
        <w:t>employed</w:t>
      </w:r>
      <w:r w:rsidRPr="003258B5">
        <w:t>,</w:t>
      </w:r>
      <w:r w:rsidRPr="003258B5">
        <w:rPr>
          <w:rFonts w:hint="eastAsia"/>
        </w:rPr>
        <w:t xml:space="preserve"> have ever had a job</w:t>
      </w:r>
      <w:r w:rsidRPr="003258B5">
        <w:t>?</w:t>
      </w:r>
      <w:bookmarkEnd w:id="302"/>
      <w:bookmarkEnd w:id="303"/>
      <w:r w:rsidRPr="00233E8A">
        <w:t xml:space="preserve"> </w:t>
      </w:r>
    </w:p>
    <w:tbl>
      <w:tblPr>
        <w:tblStyle w:val="TableGrid"/>
        <w:tblW w:w="0" w:type="auto"/>
        <w:tblLook w:val="04A0" w:firstRow="1" w:lastRow="0" w:firstColumn="1" w:lastColumn="0" w:noHBand="0" w:noVBand="1"/>
        <w:tblCaption w:val="Table 3.35 If presently not employed, have ever had a job? "/>
      </w:tblPr>
      <w:tblGrid>
        <w:gridCol w:w="1526"/>
        <w:gridCol w:w="1276"/>
        <w:gridCol w:w="1134"/>
      </w:tblGrid>
      <w:tr w:rsidR="00D907AF" w:rsidRPr="0087485F" w:rsidTr="000C35DF">
        <w:trPr>
          <w:cantSplit/>
          <w:tblHeader/>
        </w:trPr>
        <w:tc>
          <w:tcPr>
            <w:tcW w:w="1526" w:type="dxa"/>
            <w:tcBorders>
              <w:top w:val="single" w:sz="4" w:space="0" w:color="auto"/>
              <w:bottom w:val="single" w:sz="4" w:space="0" w:color="auto"/>
            </w:tcBorders>
            <w:shd w:val="clear" w:color="auto" w:fill="auto"/>
          </w:tcPr>
          <w:p w:rsidR="00D907AF" w:rsidRPr="0087485F" w:rsidRDefault="00D907AF" w:rsidP="00AA3C18">
            <w:pPr>
              <w:spacing w:before="20" w:after="20"/>
              <w:rPr>
                <w:rFonts w:cstheme="minorHAnsi"/>
                <w:sz w:val="20"/>
                <w:szCs w:val="20"/>
              </w:rPr>
            </w:pPr>
            <w:bookmarkStart w:id="304" w:name="Title_3_35"/>
            <w:bookmarkEnd w:id="304"/>
          </w:p>
        </w:tc>
        <w:tc>
          <w:tcPr>
            <w:tcW w:w="1276" w:type="dxa"/>
            <w:tcBorders>
              <w:top w:val="single" w:sz="4" w:space="0" w:color="auto"/>
              <w:bottom w:val="single" w:sz="4" w:space="0" w:color="auto"/>
            </w:tcBorders>
            <w:shd w:val="clear" w:color="auto" w:fill="auto"/>
          </w:tcPr>
          <w:p w:rsidR="00D907AF" w:rsidRPr="0087485F" w:rsidRDefault="00D907AF" w:rsidP="000C35DF">
            <w:pPr>
              <w:spacing w:before="20" w:after="20"/>
              <w:ind w:left="-250"/>
              <w:jc w:val="center"/>
              <w:rPr>
                <w:rFonts w:cstheme="minorHAnsi"/>
                <w:sz w:val="20"/>
                <w:szCs w:val="20"/>
              </w:rPr>
            </w:pPr>
            <w:r w:rsidRPr="0087485F">
              <w:rPr>
                <w:rFonts w:cstheme="minorHAnsi"/>
                <w:sz w:val="20"/>
                <w:szCs w:val="20"/>
              </w:rPr>
              <w:t>Cases</w:t>
            </w:r>
          </w:p>
        </w:tc>
        <w:tc>
          <w:tcPr>
            <w:tcW w:w="1134" w:type="dxa"/>
            <w:tcBorders>
              <w:top w:val="single" w:sz="4" w:space="0" w:color="auto"/>
              <w:bottom w:val="single" w:sz="4" w:space="0" w:color="auto"/>
            </w:tcBorders>
            <w:shd w:val="clear" w:color="auto" w:fill="auto"/>
          </w:tcPr>
          <w:p w:rsidR="00D907AF" w:rsidRPr="0087485F" w:rsidRDefault="00D907AF" w:rsidP="000C35DF">
            <w:pPr>
              <w:spacing w:before="20" w:after="20"/>
              <w:ind w:left="-250"/>
              <w:jc w:val="center"/>
              <w:rPr>
                <w:rFonts w:cstheme="minorHAnsi"/>
                <w:sz w:val="20"/>
                <w:szCs w:val="20"/>
              </w:rPr>
            </w:pPr>
            <w:r w:rsidRPr="0087485F">
              <w:rPr>
                <w:rFonts w:cstheme="minorHAnsi"/>
                <w:sz w:val="20"/>
                <w:szCs w:val="20"/>
              </w:rPr>
              <w:t>%</w:t>
            </w:r>
          </w:p>
        </w:tc>
      </w:tr>
      <w:tr w:rsidR="00D907AF" w:rsidRPr="0087485F" w:rsidTr="000C35DF">
        <w:tc>
          <w:tcPr>
            <w:tcW w:w="1526" w:type="dxa"/>
            <w:shd w:val="clear" w:color="auto" w:fill="auto"/>
          </w:tcPr>
          <w:p w:rsidR="00D907AF" w:rsidRPr="0087485F" w:rsidRDefault="00D907AF" w:rsidP="00AA3C18">
            <w:pPr>
              <w:spacing w:before="20" w:after="20"/>
              <w:rPr>
                <w:rFonts w:cstheme="minorHAnsi"/>
                <w:sz w:val="20"/>
                <w:szCs w:val="20"/>
              </w:rPr>
            </w:pPr>
            <w:r w:rsidRPr="0087485F">
              <w:rPr>
                <w:rFonts w:cstheme="minorHAnsi"/>
                <w:sz w:val="20"/>
                <w:szCs w:val="20"/>
              </w:rPr>
              <w:t>Yes</w:t>
            </w:r>
          </w:p>
        </w:tc>
        <w:tc>
          <w:tcPr>
            <w:tcW w:w="1276" w:type="dxa"/>
            <w:shd w:val="clear" w:color="auto" w:fill="auto"/>
          </w:tcPr>
          <w:p w:rsidR="00D907AF" w:rsidRPr="0087485F" w:rsidRDefault="00D907AF" w:rsidP="000C35DF">
            <w:pPr>
              <w:spacing w:before="20" w:after="20"/>
              <w:ind w:left="-250" w:right="459"/>
              <w:jc w:val="right"/>
              <w:rPr>
                <w:rFonts w:cstheme="minorHAnsi"/>
                <w:sz w:val="20"/>
                <w:szCs w:val="20"/>
              </w:rPr>
            </w:pPr>
            <w:r w:rsidRPr="0087485F">
              <w:rPr>
                <w:rFonts w:cstheme="minorHAnsi"/>
                <w:sz w:val="20"/>
                <w:szCs w:val="20"/>
              </w:rPr>
              <w:t>540</w:t>
            </w:r>
          </w:p>
        </w:tc>
        <w:tc>
          <w:tcPr>
            <w:tcW w:w="1134" w:type="dxa"/>
            <w:shd w:val="clear" w:color="auto" w:fill="auto"/>
            <w:vAlign w:val="center"/>
          </w:tcPr>
          <w:p w:rsidR="00D907AF" w:rsidRPr="0087485F" w:rsidRDefault="00D907AF" w:rsidP="000C35DF">
            <w:pPr>
              <w:spacing w:before="20" w:after="20"/>
              <w:ind w:left="-250" w:right="459"/>
              <w:jc w:val="right"/>
              <w:rPr>
                <w:rFonts w:ascii="Calibri" w:hAnsi="Calibri" w:cs="Calibri"/>
                <w:color w:val="000000"/>
                <w:sz w:val="20"/>
                <w:szCs w:val="20"/>
              </w:rPr>
            </w:pPr>
            <w:r w:rsidRPr="0087485F">
              <w:rPr>
                <w:rFonts w:ascii="Calibri" w:hAnsi="Calibri" w:cs="Calibri"/>
                <w:color w:val="000000"/>
                <w:sz w:val="20"/>
                <w:szCs w:val="20"/>
              </w:rPr>
              <w:t>61.2</w:t>
            </w:r>
          </w:p>
        </w:tc>
      </w:tr>
      <w:tr w:rsidR="00D907AF" w:rsidRPr="0087485F" w:rsidTr="000C35DF">
        <w:tc>
          <w:tcPr>
            <w:tcW w:w="1526" w:type="dxa"/>
            <w:shd w:val="clear" w:color="auto" w:fill="auto"/>
          </w:tcPr>
          <w:p w:rsidR="00D907AF" w:rsidRPr="0087485F" w:rsidRDefault="00D907AF" w:rsidP="00AA3C18">
            <w:pPr>
              <w:spacing w:before="20" w:after="20"/>
              <w:rPr>
                <w:rFonts w:cstheme="minorHAnsi"/>
                <w:sz w:val="20"/>
                <w:szCs w:val="20"/>
              </w:rPr>
            </w:pPr>
            <w:r w:rsidRPr="0087485F">
              <w:rPr>
                <w:rFonts w:cstheme="minorHAnsi"/>
                <w:sz w:val="20"/>
                <w:szCs w:val="20"/>
              </w:rPr>
              <w:t>No</w:t>
            </w:r>
          </w:p>
        </w:tc>
        <w:tc>
          <w:tcPr>
            <w:tcW w:w="1276" w:type="dxa"/>
            <w:shd w:val="clear" w:color="auto" w:fill="auto"/>
          </w:tcPr>
          <w:p w:rsidR="00D907AF" w:rsidRPr="0087485F" w:rsidRDefault="00D907AF" w:rsidP="000C35DF">
            <w:pPr>
              <w:spacing w:before="20" w:after="20"/>
              <w:ind w:left="-250" w:right="459"/>
              <w:jc w:val="right"/>
              <w:rPr>
                <w:rFonts w:cstheme="minorHAnsi"/>
                <w:sz w:val="20"/>
                <w:szCs w:val="20"/>
              </w:rPr>
            </w:pPr>
            <w:r w:rsidRPr="0087485F">
              <w:rPr>
                <w:rFonts w:cstheme="minorHAnsi"/>
                <w:sz w:val="20"/>
                <w:szCs w:val="20"/>
              </w:rPr>
              <w:t>330</w:t>
            </w:r>
          </w:p>
        </w:tc>
        <w:tc>
          <w:tcPr>
            <w:tcW w:w="1134" w:type="dxa"/>
            <w:shd w:val="clear" w:color="auto" w:fill="auto"/>
            <w:vAlign w:val="center"/>
          </w:tcPr>
          <w:p w:rsidR="00D907AF" w:rsidRPr="0087485F" w:rsidRDefault="00D907AF" w:rsidP="000C35DF">
            <w:pPr>
              <w:spacing w:before="20" w:after="20"/>
              <w:ind w:left="-250" w:right="459"/>
              <w:jc w:val="right"/>
              <w:rPr>
                <w:rFonts w:ascii="Calibri" w:hAnsi="Calibri" w:cs="Calibri"/>
                <w:color w:val="000000"/>
                <w:sz w:val="20"/>
                <w:szCs w:val="20"/>
              </w:rPr>
            </w:pPr>
            <w:r w:rsidRPr="0087485F">
              <w:rPr>
                <w:rFonts w:ascii="Calibri" w:hAnsi="Calibri" w:cs="Calibri"/>
                <w:color w:val="000000"/>
                <w:sz w:val="20"/>
                <w:szCs w:val="20"/>
              </w:rPr>
              <w:t>37.4</w:t>
            </w:r>
          </w:p>
        </w:tc>
      </w:tr>
      <w:tr w:rsidR="00D907AF" w:rsidRPr="0087485F" w:rsidTr="000C35DF">
        <w:tc>
          <w:tcPr>
            <w:tcW w:w="1526" w:type="dxa"/>
          </w:tcPr>
          <w:p w:rsidR="00D907AF" w:rsidRPr="0087485F" w:rsidRDefault="00D907AF" w:rsidP="00AA3C18">
            <w:pPr>
              <w:spacing w:before="20" w:after="20"/>
              <w:rPr>
                <w:rFonts w:cstheme="minorHAnsi"/>
                <w:sz w:val="20"/>
                <w:szCs w:val="20"/>
              </w:rPr>
            </w:pPr>
            <w:r w:rsidRPr="0087485F">
              <w:rPr>
                <w:rFonts w:cstheme="minorHAnsi"/>
                <w:sz w:val="20"/>
                <w:szCs w:val="20"/>
              </w:rPr>
              <w:t>Don’t know</w:t>
            </w:r>
          </w:p>
        </w:tc>
        <w:tc>
          <w:tcPr>
            <w:tcW w:w="1276" w:type="dxa"/>
          </w:tcPr>
          <w:p w:rsidR="00D907AF" w:rsidRPr="0087485F" w:rsidRDefault="00D907AF" w:rsidP="000C35DF">
            <w:pPr>
              <w:spacing w:before="20" w:after="20"/>
              <w:ind w:left="-250" w:right="459"/>
              <w:jc w:val="right"/>
              <w:rPr>
                <w:rFonts w:cstheme="minorHAnsi"/>
                <w:sz w:val="20"/>
                <w:szCs w:val="20"/>
              </w:rPr>
            </w:pPr>
            <w:r w:rsidRPr="0087485F">
              <w:rPr>
                <w:rFonts w:cstheme="minorHAnsi"/>
                <w:sz w:val="20"/>
                <w:szCs w:val="20"/>
              </w:rPr>
              <w:t>1</w:t>
            </w:r>
          </w:p>
        </w:tc>
        <w:tc>
          <w:tcPr>
            <w:tcW w:w="1134" w:type="dxa"/>
          </w:tcPr>
          <w:p w:rsidR="00D907AF" w:rsidRPr="0087485F" w:rsidRDefault="00D907AF" w:rsidP="000C35DF">
            <w:pPr>
              <w:spacing w:before="20" w:after="20"/>
              <w:ind w:left="-250" w:right="459"/>
              <w:jc w:val="right"/>
              <w:rPr>
                <w:rFonts w:ascii="Calibri" w:hAnsi="Calibri" w:cs="Calibri"/>
                <w:color w:val="000000"/>
                <w:sz w:val="20"/>
                <w:szCs w:val="20"/>
              </w:rPr>
            </w:pPr>
            <w:r w:rsidRPr="0087485F">
              <w:rPr>
                <w:rFonts w:ascii="Calibri" w:hAnsi="Calibri" w:cs="Calibri"/>
                <w:color w:val="000000"/>
                <w:sz w:val="20"/>
                <w:szCs w:val="20"/>
              </w:rPr>
              <w:t>0.1</w:t>
            </w:r>
          </w:p>
        </w:tc>
      </w:tr>
      <w:tr w:rsidR="00D907AF" w:rsidRPr="0087485F" w:rsidTr="000C35DF">
        <w:tc>
          <w:tcPr>
            <w:tcW w:w="1526" w:type="dxa"/>
            <w:tcBorders>
              <w:bottom w:val="single" w:sz="4" w:space="0" w:color="auto"/>
            </w:tcBorders>
            <w:shd w:val="clear" w:color="auto" w:fill="auto"/>
          </w:tcPr>
          <w:p w:rsidR="00D907AF" w:rsidRPr="0087485F" w:rsidRDefault="00D907AF" w:rsidP="00AA3C18">
            <w:pPr>
              <w:spacing w:before="20" w:after="20"/>
              <w:rPr>
                <w:rFonts w:cstheme="minorHAnsi"/>
                <w:sz w:val="20"/>
                <w:szCs w:val="20"/>
              </w:rPr>
            </w:pPr>
            <w:r w:rsidRPr="0087485F">
              <w:rPr>
                <w:rFonts w:cstheme="minorHAnsi"/>
                <w:sz w:val="20"/>
                <w:szCs w:val="20"/>
              </w:rPr>
              <w:t xml:space="preserve">Missing </w:t>
            </w:r>
          </w:p>
        </w:tc>
        <w:tc>
          <w:tcPr>
            <w:tcW w:w="1276" w:type="dxa"/>
            <w:tcBorders>
              <w:bottom w:val="single" w:sz="4" w:space="0" w:color="auto"/>
            </w:tcBorders>
            <w:shd w:val="clear" w:color="auto" w:fill="auto"/>
          </w:tcPr>
          <w:p w:rsidR="00D907AF" w:rsidRPr="0087485F" w:rsidRDefault="00D907AF" w:rsidP="000C35DF">
            <w:pPr>
              <w:spacing w:before="20" w:after="20"/>
              <w:ind w:left="-250" w:right="459"/>
              <w:jc w:val="right"/>
              <w:rPr>
                <w:rFonts w:cstheme="minorHAnsi"/>
                <w:sz w:val="20"/>
                <w:szCs w:val="20"/>
              </w:rPr>
            </w:pPr>
            <w:r w:rsidRPr="0087485F">
              <w:rPr>
                <w:rFonts w:cstheme="minorHAnsi"/>
                <w:sz w:val="20"/>
                <w:szCs w:val="20"/>
              </w:rPr>
              <w:t>11</w:t>
            </w:r>
          </w:p>
        </w:tc>
        <w:tc>
          <w:tcPr>
            <w:tcW w:w="1134" w:type="dxa"/>
            <w:tcBorders>
              <w:bottom w:val="single" w:sz="4" w:space="0" w:color="auto"/>
            </w:tcBorders>
            <w:shd w:val="clear" w:color="auto" w:fill="auto"/>
            <w:vAlign w:val="center"/>
          </w:tcPr>
          <w:p w:rsidR="00D907AF" w:rsidRPr="0087485F" w:rsidRDefault="00D907AF" w:rsidP="000C35DF">
            <w:pPr>
              <w:spacing w:before="20" w:after="20"/>
              <w:ind w:left="-250" w:right="459"/>
              <w:jc w:val="right"/>
              <w:rPr>
                <w:rFonts w:ascii="Calibri" w:hAnsi="Calibri" w:cs="Calibri"/>
                <w:color w:val="000000"/>
                <w:sz w:val="20"/>
                <w:szCs w:val="20"/>
              </w:rPr>
            </w:pPr>
            <w:r w:rsidRPr="0087485F">
              <w:rPr>
                <w:rFonts w:ascii="Calibri" w:hAnsi="Calibri" w:cs="Calibri"/>
                <w:color w:val="000000"/>
                <w:sz w:val="20"/>
                <w:szCs w:val="20"/>
              </w:rPr>
              <w:t>1.3</w:t>
            </w:r>
          </w:p>
        </w:tc>
      </w:tr>
      <w:tr w:rsidR="00D907AF" w:rsidRPr="0087485F" w:rsidTr="000C35DF">
        <w:tc>
          <w:tcPr>
            <w:tcW w:w="1526" w:type="dxa"/>
            <w:tcBorders>
              <w:top w:val="single" w:sz="4" w:space="0" w:color="auto"/>
              <w:bottom w:val="single" w:sz="4" w:space="0" w:color="auto"/>
            </w:tcBorders>
            <w:shd w:val="clear" w:color="auto" w:fill="auto"/>
          </w:tcPr>
          <w:p w:rsidR="00D907AF" w:rsidRPr="0087485F" w:rsidRDefault="00D907AF" w:rsidP="00AA3C18">
            <w:pPr>
              <w:spacing w:before="20" w:after="20"/>
              <w:rPr>
                <w:rFonts w:cstheme="minorHAnsi"/>
                <w:b/>
                <w:sz w:val="20"/>
                <w:szCs w:val="20"/>
              </w:rPr>
            </w:pPr>
            <w:r w:rsidRPr="0087485F">
              <w:rPr>
                <w:rFonts w:cstheme="minorHAnsi"/>
                <w:b/>
                <w:sz w:val="20"/>
                <w:szCs w:val="20"/>
              </w:rPr>
              <w:t>Total</w:t>
            </w:r>
          </w:p>
        </w:tc>
        <w:tc>
          <w:tcPr>
            <w:tcW w:w="1276" w:type="dxa"/>
            <w:tcBorders>
              <w:top w:val="single" w:sz="4" w:space="0" w:color="auto"/>
              <w:bottom w:val="single" w:sz="4" w:space="0" w:color="auto"/>
            </w:tcBorders>
            <w:shd w:val="clear" w:color="auto" w:fill="auto"/>
          </w:tcPr>
          <w:p w:rsidR="00D907AF" w:rsidRPr="0087485F" w:rsidRDefault="00D907AF" w:rsidP="000C35DF">
            <w:pPr>
              <w:spacing w:before="20" w:after="20"/>
              <w:ind w:left="-250" w:right="459"/>
              <w:jc w:val="right"/>
              <w:rPr>
                <w:rFonts w:cstheme="minorHAnsi"/>
                <w:b/>
                <w:sz w:val="20"/>
                <w:szCs w:val="20"/>
              </w:rPr>
            </w:pPr>
            <w:r w:rsidRPr="0087485F">
              <w:rPr>
                <w:rFonts w:cstheme="minorHAnsi"/>
                <w:b/>
                <w:sz w:val="20"/>
                <w:szCs w:val="20"/>
              </w:rPr>
              <w:t>882</w:t>
            </w:r>
          </w:p>
        </w:tc>
        <w:tc>
          <w:tcPr>
            <w:tcW w:w="1134" w:type="dxa"/>
            <w:tcBorders>
              <w:top w:val="single" w:sz="4" w:space="0" w:color="auto"/>
              <w:bottom w:val="single" w:sz="4" w:space="0" w:color="auto"/>
            </w:tcBorders>
            <w:shd w:val="clear" w:color="auto" w:fill="auto"/>
          </w:tcPr>
          <w:p w:rsidR="00D907AF" w:rsidRPr="0087485F" w:rsidRDefault="00D907AF" w:rsidP="000C35DF">
            <w:pPr>
              <w:spacing w:before="20" w:after="20"/>
              <w:ind w:left="-250" w:right="459"/>
              <w:jc w:val="right"/>
              <w:rPr>
                <w:rFonts w:cstheme="minorHAnsi"/>
                <w:b/>
                <w:sz w:val="20"/>
                <w:szCs w:val="20"/>
              </w:rPr>
            </w:pPr>
            <w:r w:rsidRPr="0087485F">
              <w:rPr>
                <w:rFonts w:cstheme="minorHAnsi"/>
                <w:b/>
                <w:sz w:val="20"/>
                <w:szCs w:val="20"/>
              </w:rPr>
              <w:t>100</w:t>
            </w:r>
          </w:p>
        </w:tc>
      </w:tr>
    </w:tbl>
    <w:p w:rsidR="00D907AF" w:rsidRPr="00E852D5" w:rsidRDefault="00D907AF" w:rsidP="006C7BE7">
      <w:pPr>
        <w:pStyle w:val="NILSTabletext"/>
      </w:pPr>
      <w:r w:rsidRPr="00E852D5">
        <w:t xml:space="preserve">Note: </w:t>
      </w:r>
      <w:r>
        <w:t>trial and comparison aged 16 years and above</w:t>
      </w:r>
      <w:r w:rsidRPr="00E852D5">
        <w:t xml:space="preserve"> not in work</w:t>
      </w:r>
    </w:p>
    <w:p w:rsidR="005B0003" w:rsidRDefault="005B0003">
      <w:pPr>
        <w:rPr>
          <w:rFonts w:eastAsia="Times" w:cstheme="minorHAnsi"/>
          <w:b/>
          <w:kern w:val="32"/>
          <w:sz w:val="24"/>
          <w:szCs w:val="28"/>
          <w:lang w:val="en-AU" w:eastAsia="zh-CN"/>
        </w:rPr>
      </w:pPr>
      <w:bookmarkStart w:id="305" w:name="_Toc428280642"/>
      <w:r>
        <w:br w:type="page"/>
      </w:r>
    </w:p>
    <w:p w:rsidR="00D907AF" w:rsidRPr="004D098E" w:rsidRDefault="00D907AF" w:rsidP="00367B24">
      <w:pPr>
        <w:pStyle w:val="Heading3"/>
      </w:pPr>
      <w:bookmarkStart w:id="306" w:name="_Toc449955014"/>
      <w:r>
        <w:lastRenderedPageBreak/>
        <w:t>3.6.8 Part A – Income</w:t>
      </w:r>
      <w:bookmarkEnd w:id="305"/>
      <w:bookmarkEnd w:id="306"/>
    </w:p>
    <w:p w:rsidR="00D907AF" w:rsidRDefault="00D907AF">
      <w:pPr>
        <w:rPr>
          <w:szCs w:val="24"/>
        </w:rPr>
      </w:pPr>
      <w:r>
        <w:rPr>
          <w:szCs w:val="24"/>
        </w:rPr>
        <w:t xml:space="preserve">Income is one of the core background pieces of information that our data collection generates. The role of income in participation is self-evident: most participation activities come at a financial cost and those with higher incomes can afford to do more than those with lower incomes. One of the core objectives of the NDIS is to make certain that people with disability who do not have high personal incomes will be able to participate through receipt of a reasonable level of supports. We elicit the different sources of income. </w:t>
      </w:r>
    </w:p>
    <w:p w:rsidR="00953EE5" w:rsidRDefault="00953EE5">
      <w:pPr>
        <w:rPr>
          <w:szCs w:val="24"/>
        </w:rPr>
      </w:pPr>
    </w:p>
    <w:p w:rsidR="00D907AF" w:rsidRDefault="00D907AF">
      <w:pPr>
        <w:rPr>
          <w:szCs w:val="24"/>
        </w:rPr>
      </w:pPr>
      <w:r>
        <w:rPr>
          <w:szCs w:val="24"/>
        </w:rPr>
        <w:t>The income of adult persons with disability is recorded by asking for the main source of income and other sources of income. After the source of income has been established we ask for the level of total personal income in the last financial year, before tax and other deductions. Finally, we ask for the combined income of all household members of both adult and child respondents.</w:t>
      </w:r>
    </w:p>
    <w:p w:rsidR="00953EE5" w:rsidRDefault="00953EE5">
      <w:pPr>
        <w:rPr>
          <w:szCs w:val="24"/>
        </w:rPr>
      </w:pPr>
    </w:p>
    <w:p w:rsidR="00D907AF" w:rsidRDefault="00D907AF">
      <w:pPr>
        <w:rPr>
          <w:szCs w:val="24"/>
        </w:rPr>
      </w:pPr>
      <w:r w:rsidRPr="006A4B2D">
        <w:rPr>
          <w:szCs w:val="24"/>
        </w:rPr>
        <w:t xml:space="preserve">Table 3.36 presents the category of the main source of income of the person with disability. After listing several well established categories, we allow the respondent to write into a box if they have any ‘Other Government pension or allowance’. This box could be analysed in depth. We also allow the respondent to write their ‘Other’ sources of income in an additional box. The two write in boxes serve two main purposes. First they provide us additional information in an almost interactive manner and in a granularity that reveals diversity that cannot be known in advance. Second, it works as a completeness check for the categories that the question includes in that, if the </w:t>
      </w:r>
      <w:r>
        <w:rPr>
          <w:szCs w:val="24"/>
        </w:rPr>
        <w:t>‘</w:t>
      </w:r>
      <w:r w:rsidRPr="006A4B2D">
        <w:rPr>
          <w:szCs w:val="24"/>
        </w:rPr>
        <w:t>Other</w:t>
      </w:r>
      <w:r>
        <w:rPr>
          <w:szCs w:val="24"/>
        </w:rPr>
        <w:t>’</w:t>
      </w:r>
      <w:r w:rsidRPr="006A4B2D">
        <w:rPr>
          <w:szCs w:val="24"/>
        </w:rPr>
        <w:t xml:space="preserve"> category is heavily populated, we know that the list is leaving much information unchecked. The list of categories we use is a standard list that is universally applied. </w:t>
      </w:r>
    </w:p>
    <w:p w:rsidR="00D907AF" w:rsidRPr="00233E8A" w:rsidRDefault="00D907AF" w:rsidP="0044684E">
      <w:pPr>
        <w:pStyle w:val="NILSTableHeading"/>
      </w:pPr>
      <w:bookmarkStart w:id="307" w:name="_Toc428280688"/>
      <w:bookmarkStart w:id="308" w:name="_Toc449955299"/>
      <w:r w:rsidRPr="00233E8A">
        <w:t>Tabl</w:t>
      </w:r>
      <w:r w:rsidRPr="003258B5">
        <w:t>e 3.</w:t>
      </w:r>
      <w:r w:rsidRPr="003258B5">
        <w:rPr>
          <w:rFonts w:hint="eastAsia"/>
        </w:rPr>
        <w:t>3</w:t>
      </w:r>
      <w:r w:rsidRPr="003258B5">
        <w:t>6</w:t>
      </w:r>
      <w:r w:rsidRPr="003258B5">
        <w:rPr>
          <w:rFonts w:hint="eastAsia"/>
        </w:rPr>
        <w:t>: Person with disability main source of income</w:t>
      </w:r>
      <w:bookmarkEnd w:id="307"/>
      <w:bookmarkEnd w:id="308"/>
      <w:r w:rsidRPr="00233E8A">
        <w:t xml:space="preserve"> </w:t>
      </w:r>
    </w:p>
    <w:tbl>
      <w:tblPr>
        <w:tblStyle w:val="TableGrid"/>
        <w:tblW w:w="0" w:type="auto"/>
        <w:tblLayout w:type="fixed"/>
        <w:tblLook w:val="04A0" w:firstRow="1" w:lastRow="0" w:firstColumn="1" w:lastColumn="0" w:noHBand="0" w:noVBand="1"/>
        <w:tblCaption w:val="Table 3.36 Person with disability main source of income "/>
      </w:tblPr>
      <w:tblGrid>
        <w:gridCol w:w="4077"/>
        <w:gridCol w:w="624"/>
        <w:gridCol w:w="709"/>
        <w:gridCol w:w="1077"/>
        <w:gridCol w:w="1134"/>
        <w:gridCol w:w="794"/>
        <w:gridCol w:w="765"/>
      </w:tblGrid>
      <w:tr w:rsidR="00D907AF" w:rsidRPr="0087485F" w:rsidTr="00A8574A">
        <w:trPr>
          <w:tblHeader/>
        </w:trPr>
        <w:tc>
          <w:tcPr>
            <w:tcW w:w="4077" w:type="dxa"/>
            <w:tcBorders>
              <w:top w:val="single" w:sz="4" w:space="0" w:color="auto"/>
              <w:bottom w:val="single" w:sz="4" w:space="0" w:color="auto"/>
            </w:tcBorders>
            <w:shd w:val="clear" w:color="auto" w:fill="auto"/>
          </w:tcPr>
          <w:p w:rsidR="00D907AF" w:rsidRPr="0087485F" w:rsidRDefault="00D907AF" w:rsidP="00AA3C18">
            <w:pPr>
              <w:spacing w:before="20" w:after="20"/>
              <w:rPr>
                <w:rFonts w:cstheme="minorHAnsi"/>
                <w:sz w:val="20"/>
                <w:szCs w:val="20"/>
              </w:rPr>
            </w:pPr>
            <w:bookmarkStart w:id="309" w:name="Title_3_36"/>
            <w:bookmarkEnd w:id="309"/>
          </w:p>
        </w:tc>
        <w:tc>
          <w:tcPr>
            <w:tcW w:w="624" w:type="dxa"/>
            <w:tcBorders>
              <w:top w:val="single" w:sz="4" w:space="0" w:color="auto"/>
              <w:bottom w:val="single" w:sz="4" w:space="0" w:color="auto"/>
            </w:tcBorders>
            <w:shd w:val="clear" w:color="auto" w:fill="auto"/>
          </w:tcPr>
          <w:p w:rsidR="00D907AF" w:rsidRPr="0087485F" w:rsidRDefault="00B70E27" w:rsidP="00AA3C18">
            <w:pPr>
              <w:spacing w:before="20" w:after="20"/>
              <w:ind w:left="-108" w:right="-108"/>
              <w:jc w:val="center"/>
              <w:rPr>
                <w:rFonts w:cstheme="minorHAnsi"/>
                <w:sz w:val="20"/>
                <w:szCs w:val="20"/>
              </w:rPr>
            </w:pPr>
            <w:r>
              <w:rPr>
                <w:rFonts w:cstheme="minorHAnsi"/>
                <w:sz w:val="20"/>
                <w:szCs w:val="20"/>
              </w:rPr>
              <w:t>Trial</w:t>
            </w:r>
            <w:r w:rsidR="004B0315">
              <w:rPr>
                <w:rFonts w:cstheme="minorHAnsi"/>
                <w:sz w:val="20"/>
                <w:szCs w:val="20"/>
              </w:rPr>
              <w:t xml:space="preserve"> Cases</w:t>
            </w:r>
          </w:p>
        </w:tc>
        <w:tc>
          <w:tcPr>
            <w:tcW w:w="709" w:type="dxa"/>
            <w:tcBorders>
              <w:top w:val="single" w:sz="4" w:space="0" w:color="auto"/>
              <w:bottom w:val="single" w:sz="4" w:space="0" w:color="auto"/>
            </w:tcBorders>
            <w:shd w:val="clear" w:color="auto" w:fill="auto"/>
          </w:tcPr>
          <w:p w:rsidR="00D907AF" w:rsidRPr="0087485F" w:rsidRDefault="00B70E27" w:rsidP="00AA3C18">
            <w:pPr>
              <w:spacing w:before="20" w:after="20"/>
              <w:jc w:val="center"/>
              <w:rPr>
                <w:rFonts w:cstheme="minorHAnsi"/>
                <w:sz w:val="20"/>
                <w:szCs w:val="20"/>
              </w:rPr>
            </w:pPr>
            <w:r w:rsidRPr="0087485F">
              <w:rPr>
                <w:rFonts w:cstheme="minorHAnsi"/>
                <w:sz w:val="20"/>
                <w:szCs w:val="20"/>
              </w:rPr>
              <w:t xml:space="preserve">Trial </w:t>
            </w:r>
            <w:r w:rsidR="00D907AF" w:rsidRPr="0087485F">
              <w:rPr>
                <w:rFonts w:cstheme="minorHAnsi"/>
                <w:sz w:val="20"/>
                <w:szCs w:val="20"/>
              </w:rPr>
              <w:t>%</w:t>
            </w:r>
          </w:p>
        </w:tc>
        <w:tc>
          <w:tcPr>
            <w:tcW w:w="1077" w:type="dxa"/>
            <w:tcBorders>
              <w:top w:val="single" w:sz="4" w:space="0" w:color="auto"/>
              <w:bottom w:val="single" w:sz="4" w:space="0" w:color="auto"/>
            </w:tcBorders>
            <w:shd w:val="clear" w:color="auto" w:fill="auto"/>
          </w:tcPr>
          <w:p w:rsidR="00D907AF" w:rsidRPr="0087485F" w:rsidRDefault="00B70E27" w:rsidP="00AA3C18">
            <w:pPr>
              <w:spacing w:before="20" w:after="20"/>
              <w:ind w:left="-108" w:right="-145"/>
              <w:jc w:val="center"/>
              <w:rPr>
                <w:rFonts w:cstheme="minorHAnsi"/>
                <w:sz w:val="20"/>
                <w:szCs w:val="20"/>
              </w:rPr>
            </w:pPr>
            <w:r>
              <w:rPr>
                <w:rFonts w:cstheme="minorHAnsi"/>
                <w:sz w:val="20"/>
                <w:szCs w:val="20"/>
              </w:rPr>
              <w:t>Comparison</w:t>
            </w:r>
            <w:r w:rsidR="004B0315">
              <w:rPr>
                <w:rFonts w:cstheme="minorHAnsi"/>
                <w:sz w:val="20"/>
                <w:szCs w:val="20"/>
              </w:rPr>
              <w:t xml:space="preserve"> Cases</w:t>
            </w:r>
          </w:p>
        </w:tc>
        <w:tc>
          <w:tcPr>
            <w:tcW w:w="1134" w:type="dxa"/>
            <w:tcBorders>
              <w:top w:val="single" w:sz="4" w:space="0" w:color="auto"/>
              <w:bottom w:val="single" w:sz="4" w:space="0" w:color="auto"/>
            </w:tcBorders>
            <w:shd w:val="clear" w:color="auto" w:fill="auto"/>
          </w:tcPr>
          <w:p w:rsidR="00D907AF" w:rsidRPr="0087485F" w:rsidRDefault="00B70E27" w:rsidP="00AA3C18">
            <w:pPr>
              <w:spacing w:before="20" w:after="20"/>
              <w:ind w:left="-71" w:right="-108"/>
              <w:jc w:val="center"/>
              <w:rPr>
                <w:rFonts w:cstheme="minorHAnsi"/>
                <w:sz w:val="20"/>
                <w:szCs w:val="20"/>
              </w:rPr>
            </w:pPr>
            <w:r w:rsidRPr="0087485F">
              <w:rPr>
                <w:rFonts w:cstheme="minorHAnsi"/>
                <w:sz w:val="20"/>
                <w:szCs w:val="20"/>
              </w:rPr>
              <w:t xml:space="preserve">Comparison </w:t>
            </w:r>
            <w:r w:rsidR="00D907AF" w:rsidRPr="0087485F">
              <w:rPr>
                <w:rFonts w:cstheme="minorHAnsi"/>
                <w:sz w:val="20"/>
                <w:szCs w:val="20"/>
              </w:rPr>
              <w:t>%</w:t>
            </w:r>
          </w:p>
        </w:tc>
        <w:tc>
          <w:tcPr>
            <w:tcW w:w="794" w:type="dxa"/>
            <w:tcBorders>
              <w:top w:val="single" w:sz="4" w:space="0" w:color="auto"/>
              <w:bottom w:val="single" w:sz="4" w:space="0" w:color="auto"/>
            </w:tcBorders>
            <w:shd w:val="clear" w:color="auto" w:fill="auto"/>
          </w:tcPr>
          <w:p w:rsidR="00D907AF" w:rsidRPr="0087485F" w:rsidRDefault="00B70E27" w:rsidP="00AA3C18">
            <w:pPr>
              <w:spacing w:before="20" w:after="20"/>
              <w:jc w:val="center"/>
              <w:rPr>
                <w:rFonts w:cstheme="minorHAnsi"/>
                <w:sz w:val="20"/>
                <w:szCs w:val="20"/>
              </w:rPr>
            </w:pPr>
            <w:r>
              <w:rPr>
                <w:rFonts w:cstheme="minorHAnsi"/>
                <w:sz w:val="20"/>
                <w:szCs w:val="20"/>
              </w:rPr>
              <w:t>Total</w:t>
            </w:r>
            <w:r w:rsidR="004B0315">
              <w:rPr>
                <w:rFonts w:cstheme="minorHAnsi"/>
                <w:sz w:val="20"/>
                <w:szCs w:val="20"/>
              </w:rPr>
              <w:t xml:space="preserve"> Cases</w:t>
            </w:r>
          </w:p>
        </w:tc>
        <w:tc>
          <w:tcPr>
            <w:tcW w:w="765" w:type="dxa"/>
            <w:tcBorders>
              <w:top w:val="single" w:sz="4" w:space="0" w:color="auto"/>
              <w:bottom w:val="single" w:sz="4" w:space="0" w:color="auto"/>
            </w:tcBorders>
            <w:shd w:val="clear" w:color="auto" w:fill="auto"/>
          </w:tcPr>
          <w:p w:rsidR="00CE2059" w:rsidRDefault="00B70E27" w:rsidP="00AA3C18">
            <w:pPr>
              <w:spacing w:before="20" w:after="20"/>
              <w:jc w:val="center"/>
              <w:rPr>
                <w:rFonts w:cstheme="minorHAnsi"/>
                <w:sz w:val="20"/>
                <w:szCs w:val="20"/>
              </w:rPr>
            </w:pPr>
            <w:r>
              <w:rPr>
                <w:rFonts w:cstheme="minorHAnsi"/>
                <w:sz w:val="20"/>
                <w:szCs w:val="20"/>
              </w:rPr>
              <w:t xml:space="preserve">Total </w:t>
            </w:r>
          </w:p>
          <w:p w:rsidR="00D907AF" w:rsidRPr="0087485F" w:rsidRDefault="00D907AF" w:rsidP="00AA3C18">
            <w:pPr>
              <w:spacing w:before="20" w:after="20"/>
              <w:jc w:val="center"/>
              <w:rPr>
                <w:rFonts w:cstheme="minorHAnsi"/>
                <w:sz w:val="20"/>
                <w:szCs w:val="20"/>
              </w:rPr>
            </w:pPr>
            <w:r w:rsidRPr="0087485F">
              <w:rPr>
                <w:rFonts w:cstheme="minorHAnsi"/>
                <w:sz w:val="20"/>
                <w:szCs w:val="20"/>
              </w:rPr>
              <w:t>%</w:t>
            </w:r>
          </w:p>
        </w:tc>
      </w:tr>
      <w:tr w:rsidR="00D907AF" w:rsidRPr="0087485F" w:rsidTr="00A8574A">
        <w:tc>
          <w:tcPr>
            <w:tcW w:w="4077" w:type="dxa"/>
            <w:shd w:val="clear" w:color="auto" w:fill="auto"/>
          </w:tcPr>
          <w:p w:rsidR="00D907AF" w:rsidRPr="0087485F" w:rsidRDefault="00D907AF" w:rsidP="00AA3C18">
            <w:pPr>
              <w:spacing w:before="20" w:after="20"/>
              <w:rPr>
                <w:rFonts w:cstheme="minorHAnsi"/>
                <w:sz w:val="20"/>
                <w:szCs w:val="20"/>
              </w:rPr>
            </w:pPr>
            <w:r w:rsidRPr="0087485F">
              <w:rPr>
                <w:rFonts w:cstheme="minorHAnsi"/>
                <w:sz w:val="20"/>
                <w:szCs w:val="20"/>
              </w:rPr>
              <w:t>Wages or salary</w:t>
            </w:r>
          </w:p>
        </w:tc>
        <w:tc>
          <w:tcPr>
            <w:tcW w:w="624" w:type="dxa"/>
            <w:shd w:val="clear" w:color="auto" w:fill="auto"/>
          </w:tcPr>
          <w:p w:rsidR="00D907AF" w:rsidRPr="0087485F" w:rsidRDefault="00D907AF" w:rsidP="00AA3C18">
            <w:pPr>
              <w:spacing w:before="20" w:after="20"/>
              <w:jc w:val="right"/>
              <w:rPr>
                <w:rFonts w:cstheme="minorHAnsi"/>
                <w:color w:val="000000"/>
                <w:sz w:val="20"/>
                <w:szCs w:val="20"/>
              </w:rPr>
            </w:pPr>
            <w:r w:rsidRPr="0087485F">
              <w:rPr>
                <w:rFonts w:cstheme="minorHAnsi"/>
                <w:color w:val="000000"/>
                <w:sz w:val="20"/>
                <w:szCs w:val="20"/>
              </w:rPr>
              <w:t>26</w:t>
            </w:r>
          </w:p>
        </w:tc>
        <w:tc>
          <w:tcPr>
            <w:tcW w:w="709" w:type="dxa"/>
            <w:shd w:val="clear" w:color="auto" w:fill="auto"/>
          </w:tcPr>
          <w:p w:rsidR="00D907AF" w:rsidRPr="0087485F" w:rsidRDefault="00D907AF" w:rsidP="00A80201">
            <w:pPr>
              <w:spacing w:before="20" w:after="20"/>
              <w:ind w:right="-57"/>
              <w:jc w:val="right"/>
              <w:rPr>
                <w:rFonts w:cstheme="minorHAnsi"/>
                <w:color w:val="000000"/>
                <w:sz w:val="20"/>
                <w:szCs w:val="20"/>
              </w:rPr>
            </w:pPr>
            <w:r w:rsidRPr="0087485F">
              <w:rPr>
                <w:rFonts w:cstheme="minorHAnsi"/>
                <w:color w:val="000000"/>
                <w:sz w:val="20"/>
                <w:szCs w:val="20"/>
              </w:rPr>
              <w:t>5.5</w:t>
            </w:r>
          </w:p>
        </w:tc>
        <w:tc>
          <w:tcPr>
            <w:tcW w:w="1077" w:type="dxa"/>
            <w:shd w:val="clear" w:color="auto" w:fill="auto"/>
          </w:tcPr>
          <w:p w:rsidR="00D907AF" w:rsidRPr="0087485F" w:rsidRDefault="00D907AF" w:rsidP="00AA3C18">
            <w:pPr>
              <w:spacing w:before="20" w:after="20"/>
              <w:ind w:right="170"/>
              <w:jc w:val="right"/>
              <w:rPr>
                <w:rFonts w:cstheme="minorHAnsi"/>
                <w:color w:val="000000"/>
                <w:sz w:val="20"/>
                <w:szCs w:val="20"/>
              </w:rPr>
            </w:pPr>
            <w:r w:rsidRPr="0087485F">
              <w:rPr>
                <w:rFonts w:cstheme="minorHAnsi"/>
                <w:color w:val="000000"/>
                <w:sz w:val="20"/>
                <w:szCs w:val="20"/>
              </w:rPr>
              <w:t>71</w:t>
            </w:r>
          </w:p>
        </w:tc>
        <w:tc>
          <w:tcPr>
            <w:tcW w:w="1134" w:type="dxa"/>
            <w:shd w:val="clear" w:color="auto" w:fill="auto"/>
          </w:tcPr>
          <w:p w:rsidR="00D907AF" w:rsidRPr="0087485F" w:rsidRDefault="00D907AF" w:rsidP="00B27677">
            <w:pPr>
              <w:spacing w:before="20" w:after="20"/>
              <w:ind w:right="227"/>
              <w:jc w:val="right"/>
              <w:rPr>
                <w:rFonts w:cstheme="minorHAnsi"/>
                <w:color w:val="000000"/>
                <w:sz w:val="20"/>
                <w:szCs w:val="20"/>
              </w:rPr>
            </w:pPr>
            <w:r w:rsidRPr="0087485F">
              <w:rPr>
                <w:rFonts w:cstheme="minorHAnsi"/>
                <w:color w:val="000000"/>
                <w:sz w:val="20"/>
                <w:szCs w:val="20"/>
              </w:rPr>
              <w:t>11.2</w:t>
            </w:r>
          </w:p>
        </w:tc>
        <w:tc>
          <w:tcPr>
            <w:tcW w:w="794" w:type="dxa"/>
            <w:shd w:val="clear" w:color="auto" w:fill="auto"/>
          </w:tcPr>
          <w:p w:rsidR="00D907AF" w:rsidRPr="0087485F" w:rsidRDefault="00D907AF" w:rsidP="00B27677">
            <w:pPr>
              <w:spacing w:before="20" w:after="20"/>
              <w:ind w:right="113"/>
              <w:jc w:val="right"/>
              <w:rPr>
                <w:rFonts w:cstheme="minorHAnsi"/>
                <w:color w:val="000000"/>
                <w:sz w:val="20"/>
                <w:szCs w:val="20"/>
              </w:rPr>
            </w:pPr>
            <w:r w:rsidRPr="0087485F">
              <w:rPr>
                <w:rFonts w:cstheme="minorHAnsi"/>
                <w:color w:val="000000"/>
                <w:sz w:val="20"/>
                <w:szCs w:val="20"/>
              </w:rPr>
              <w:t>97</w:t>
            </w:r>
          </w:p>
        </w:tc>
        <w:tc>
          <w:tcPr>
            <w:tcW w:w="765" w:type="dxa"/>
            <w:shd w:val="clear" w:color="auto" w:fill="auto"/>
          </w:tcPr>
          <w:p w:rsidR="00D907AF" w:rsidRPr="0087485F" w:rsidRDefault="00D907AF" w:rsidP="00AA3C18">
            <w:pPr>
              <w:spacing w:before="20" w:after="20"/>
              <w:jc w:val="right"/>
              <w:rPr>
                <w:rFonts w:cstheme="minorHAnsi"/>
                <w:color w:val="000000"/>
                <w:sz w:val="20"/>
                <w:szCs w:val="20"/>
              </w:rPr>
            </w:pPr>
            <w:r w:rsidRPr="0087485F">
              <w:rPr>
                <w:rFonts w:cstheme="minorHAnsi"/>
                <w:color w:val="000000"/>
                <w:sz w:val="20"/>
                <w:szCs w:val="20"/>
              </w:rPr>
              <w:t>8.8</w:t>
            </w:r>
          </w:p>
        </w:tc>
      </w:tr>
      <w:tr w:rsidR="00D907AF" w:rsidRPr="0087485F" w:rsidTr="00A8574A">
        <w:tc>
          <w:tcPr>
            <w:tcW w:w="4077" w:type="dxa"/>
            <w:shd w:val="clear" w:color="auto" w:fill="auto"/>
          </w:tcPr>
          <w:p w:rsidR="00D907AF" w:rsidRPr="0087485F" w:rsidRDefault="00D907AF" w:rsidP="00AA3C18">
            <w:pPr>
              <w:spacing w:before="20" w:after="20"/>
              <w:rPr>
                <w:rFonts w:cstheme="minorHAnsi"/>
                <w:sz w:val="20"/>
                <w:szCs w:val="20"/>
              </w:rPr>
            </w:pPr>
            <w:r w:rsidRPr="0087485F">
              <w:rPr>
                <w:rFonts w:cstheme="minorHAnsi"/>
                <w:sz w:val="20"/>
                <w:szCs w:val="20"/>
              </w:rPr>
              <w:t>Disability Support Pension (paid by Centrelink)</w:t>
            </w:r>
          </w:p>
        </w:tc>
        <w:tc>
          <w:tcPr>
            <w:tcW w:w="624" w:type="dxa"/>
            <w:shd w:val="clear" w:color="auto" w:fill="auto"/>
          </w:tcPr>
          <w:p w:rsidR="00D907AF" w:rsidRPr="0087485F" w:rsidRDefault="00D907AF" w:rsidP="00AA3C18">
            <w:pPr>
              <w:spacing w:before="20" w:after="20"/>
              <w:jc w:val="right"/>
              <w:rPr>
                <w:rFonts w:cstheme="minorHAnsi"/>
                <w:color w:val="000000"/>
                <w:sz w:val="20"/>
                <w:szCs w:val="20"/>
              </w:rPr>
            </w:pPr>
            <w:r w:rsidRPr="0087485F">
              <w:rPr>
                <w:rFonts w:cstheme="minorHAnsi"/>
                <w:color w:val="000000"/>
                <w:sz w:val="20"/>
                <w:szCs w:val="20"/>
              </w:rPr>
              <w:t>366</w:t>
            </w:r>
          </w:p>
        </w:tc>
        <w:tc>
          <w:tcPr>
            <w:tcW w:w="709" w:type="dxa"/>
            <w:shd w:val="clear" w:color="auto" w:fill="auto"/>
          </w:tcPr>
          <w:p w:rsidR="00D907AF" w:rsidRPr="0087485F" w:rsidRDefault="00D907AF" w:rsidP="00A80201">
            <w:pPr>
              <w:spacing w:before="20" w:after="20"/>
              <w:ind w:right="-57"/>
              <w:jc w:val="right"/>
              <w:rPr>
                <w:rFonts w:cstheme="minorHAnsi"/>
                <w:color w:val="000000"/>
                <w:sz w:val="20"/>
                <w:szCs w:val="20"/>
              </w:rPr>
            </w:pPr>
            <w:r w:rsidRPr="0087485F">
              <w:rPr>
                <w:rFonts w:cstheme="minorHAnsi"/>
                <w:color w:val="000000"/>
                <w:sz w:val="20"/>
                <w:szCs w:val="20"/>
              </w:rPr>
              <w:t>77.9</w:t>
            </w:r>
          </w:p>
        </w:tc>
        <w:tc>
          <w:tcPr>
            <w:tcW w:w="1077" w:type="dxa"/>
            <w:shd w:val="clear" w:color="auto" w:fill="auto"/>
          </w:tcPr>
          <w:p w:rsidR="00D907AF" w:rsidRPr="0087485F" w:rsidRDefault="00D907AF" w:rsidP="00AA3C18">
            <w:pPr>
              <w:spacing w:before="20" w:after="20"/>
              <w:ind w:right="170"/>
              <w:jc w:val="right"/>
              <w:rPr>
                <w:rFonts w:cstheme="minorHAnsi"/>
                <w:color w:val="000000"/>
                <w:sz w:val="20"/>
                <w:szCs w:val="20"/>
              </w:rPr>
            </w:pPr>
            <w:r w:rsidRPr="0087485F">
              <w:rPr>
                <w:rFonts w:cstheme="minorHAnsi"/>
                <w:color w:val="000000"/>
                <w:sz w:val="20"/>
                <w:szCs w:val="20"/>
              </w:rPr>
              <w:t>378</w:t>
            </w:r>
          </w:p>
        </w:tc>
        <w:tc>
          <w:tcPr>
            <w:tcW w:w="1134" w:type="dxa"/>
            <w:shd w:val="clear" w:color="auto" w:fill="auto"/>
          </w:tcPr>
          <w:p w:rsidR="00D907AF" w:rsidRPr="0087485F" w:rsidRDefault="00D907AF" w:rsidP="00B27677">
            <w:pPr>
              <w:spacing w:before="20" w:after="20"/>
              <w:ind w:right="227"/>
              <w:jc w:val="right"/>
              <w:rPr>
                <w:rFonts w:cstheme="minorHAnsi"/>
                <w:color w:val="000000"/>
                <w:sz w:val="20"/>
                <w:szCs w:val="20"/>
              </w:rPr>
            </w:pPr>
            <w:r w:rsidRPr="0087485F">
              <w:rPr>
                <w:rFonts w:cstheme="minorHAnsi"/>
                <w:color w:val="000000"/>
                <w:sz w:val="20"/>
                <w:szCs w:val="20"/>
              </w:rPr>
              <w:t>59.3</w:t>
            </w:r>
          </w:p>
        </w:tc>
        <w:tc>
          <w:tcPr>
            <w:tcW w:w="794" w:type="dxa"/>
            <w:shd w:val="clear" w:color="auto" w:fill="auto"/>
          </w:tcPr>
          <w:p w:rsidR="00D907AF" w:rsidRPr="0087485F" w:rsidRDefault="00D907AF" w:rsidP="00B27677">
            <w:pPr>
              <w:spacing w:before="20" w:after="20"/>
              <w:ind w:right="113"/>
              <w:jc w:val="right"/>
              <w:rPr>
                <w:rFonts w:cstheme="minorHAnsi"/>
                <w:color w:val="000000"/>
                <w:sz w:val="20"/>
                <w:szCs w:val="20"/>
              </w:rPr>
            </w:pPr>
            <w:r w:rsidRPr="0087485F">
              <w:rPr>
                <w:rFonts w:cstheme="minorHAnsi"/>
                <w:color w:val="000000"/>
                <w:sz w:val="20"/>
                <w:szCs w:val="20"/>
              </w:rPr>
              <w:t>744</w:t>
            </w:r>
          </w:p>
        </w:tc>
        <w:tc>
          <w:tcPr>
            <w:tcW w:w="765" w:type="dxa"/>
            <w:shd w:val="clear" w:color="auto" w:fill="auto"/>
          </w:tcPr>
          <w:p w:rsidR="00D907AF" w:rsidRPr="0087485F" w:rsidRDefault="00D907AF" w:rsidP="00AA3C18">
            <w:pPr>
              <w:spacing w:before="20" w:after="20"/>
              <w:jc w:val="right"/>
              <w:rPr>
                <w:rFonts w:cstheme="minorHAnsi"/>
                <w:color w:val="000000"/>
                <w:sz w:val="20"/>
                <w:szCs w:val="20"/>
              </w:rPr>
            </w:pPr>
            <w:r w:rsidRPr="0087485F">
              <w:rPr>
                <w:rFonts w:cstheme="minorHAnsi"/>
                <w:color w:val="000000"/>
                <w:sz w:val="20"/>
                <w:szCs w:val="20"/>
              </w:rPr>
              <w:t>67.2</w:t>
            </w:r>
          </w:p>
        </w:tc>
      </w:tr>
      <w:tr w:rsidR="00D907AF" w:rsidRPr="0087485F" w:rsidTr="00A8574A">
        <w:tc>
          <w:tcPr>
            <w:tcW w:w="4077" w:type="dxa"/>
            <w:shd w:val="clear" w:color="auto" w:fill="auto"/>
          </w:tcPr>
          <w:p w:rsidR="00D907AF" w:rsidRPr="0087485F" w:rsidRDefault="00D907AF" w:rsidP="00AA3C18">
            <w:pPr>
              <w:spacing w:before="20" w:after="20"/>
              <w:rPr>
                <w:rFonts w:cstheme="minorHAnsi"/>
                <w:sz w:val="20"/>
                <w:szCs w:val="20"/>
              </w:rPr>
            </w:pPr>
            <w:r w:rsidRPr="0087485F">
              <w:rPr>
                <w:rFonts w:cstheme="minorHAnsi"/>
                <w:sz w:val="20"/>
                <w:szCs w:val="20"/>
              </w:rPr>
              <w:t>Child Disability Assistance Payment</w:t>
            </w:r>
          </w:p>
        </w:tc>
        <w:tc>
          <w:tcPr>
            <w:tcW w:w="624" w:type="dxa"/>
            <w:shd w:val="clear" w:color="auto" w:fill="auto"/>
          </w:tcPr>
          <w:p w:rsidR="00D907AF" w:rsidRPr="0087485F" w:rsidRDefault="00D907AF" w:rsidP="00AA3C18">
            <w:pPr>
              <w:spacing w:before="20" w:after="20"/>
              <w:jc w:val="right"/>
              <w:rPr>
                <w:rFonts w:cstheme="minorHAnsi"/>
                <w:color w:val="000000"/>
                <w:sz w:val="20"/>
                <w:szCs w:val="20"/>
              </w:rPr>
            </w:pPr>
            <w:r w:rsidRPr="0087485F">
              <w:rPr>
                <w:rFonts w:cstheme="minorHAnsi"/>
                <w:color w:val="000000"/>
                <w:sz w:val="20"/>
                <w:szCs w:val="20"/>
              </w:rPr>
              <w:t>0</w:t>
            </w:r>
          </w:p>
        </w:tc>
        <w:tc>
          <w:tcPr>
            <w:tcW w:w="709" w:type="dxa"/>
            <w:shd w:val="clear" w:color="auto" w:fill="auto"/>
          </w:tcPr>
          <w:p w:rsidR="00D907AF" w:rsidRPr="0087485F" w:rsidRDefault="00D907AF" w:rsidP="00A80201">
            <w:pPr>
              <w:spacing w:before="20" w:after="20"/>
              <w:ind w:right="-57"/>
              <w:jc w:val="right"/>
              <w:rPr>
                <w:rFonts w:cstheme="minorHAnsi"/>
                <w:color w:val="000000"/>
                <w:sz w:val="20"/>
                <w:szCs w:val="20"/>
              </w:rPr>
            </w:pPr>
            <w:r w:rsidRPr="0087485F">
              <w:rPr>
                <w:rFonts w:cstheme="minorHAnsi"/>
                <w:color w:val="000000"/>
                <w:sz w:val="20"/>
                <w:szCs w:val="20"/>
              </w:rPr>
              <w:t>0.0</w:t>
            </w:r>
          </w:p>
        </w:tc>
        <w:tc>
          <w:tcPr>
            <w:tcW w:w="1077" w:type="dxa"/>
            <w:shd w:val="clear" w:color="auto" w:fill="auto"/>
          </w:tcPr>
          <w:p w:rsidR="00D907AF" w:rsidRPr="0087485F" w:rsidRDefault="00D907AF" w:rsidP="00AA3C18">
            <w:pPr>
              <w:spacing w:before="20" w:after="20"/>
              <w:ind w:right="170"/>
              <w:jc w:val="right"/>
              <w:rPr>
                <w:rFonts w:cstheme="minorHAnsi"/>
                <w:color w:val="000000"/>
                <w:sz w:val="20"/>
                <w:szCs w:val="20"/>
              </w:rPr>
            </w:pPr>
            <w:r w:rsidRPr="0087485F">
              <w:rPr>
                <w:rFonts w:cstheme="minorHAnsi"/>
                <w:color w:val="000000"/>
                <w:sz w:val="20"/>
                <w:szCs w:val="20"/>
              </w:rPr>
              <w:t>1</w:t>
            </w:r>
          </w:p>
        </w:tc>
        <w:tc>
          <w:tcPr>
            <w:tcW w:w="1134" w:type="dxa"/>
            <w:shd w:val="clear" w:color="auto" w:fill="auto"/>
          </w:tcPr>
          <w:p w:rsidR="00D907AF" w:rsidRPr="0087485F" w:rsidRDefault="00D907AF" w:rsidP="00B27677">
            <w:pPr>
              <w:spacing w:before="20" w:after="20"/>
              <w:ind w:right="227"/>
              <w:jc w:val="right"/>
              <w:rPr>
                <w:rFonts w:cstheme="minorHAnsi"/>
                <w:color w:val="000000"/>
                <w:sz w:val="20"/>
                <w:szCs w:val="20"/>
              </w:rPr>
            </w:pPr>
            <w:r w:rsidRPr="0087485F">
              <w:rPr>
                <w:rFonts w:cstheme="minorHAnsi"/>
                <w:color w:val="000000"/>
                <w:sz w:val="20"/>
                <w:szCs w:val="20"/>
              </w:rPr>
              <w:t>0.2</w:t>
            </w:r>
          </w:p>
        </w:tc>
        <w:tc>
          <w:tcPr>
            <w:tcW w:w="794" w:type="dxa"/>
            <w:shd w:val="clear" w:color="auto" w:fill="auto"/>
          </w:tcPr>
          <w:p w:rsidR="00D907AF" w:rsidRPr="0087485F" w:rsidRDefault="00D907AF" w:rsidP="00B27677">
            <w:pPr>
              <w:spacing w:before="20" w:after="20"/>
              <w:ind w:right="113"/>
              <w:jc w:val="right"/>
              <w:rPr>
                <w:rFonts w:cstheme="minorHAnsi"/>
                <w:color w:val="000000"/>
                <w:sz w:val="20"/>
                <w:szCs w:val="20"/>
              </w:rPr>
            </w:pPr>
            <w:r w:rsidRPr="0087485F">
              <w:rPr>
                <w:rFonts w:cstheme="minorHAnsi"/>
                <w:color w:val="000000"/>
                <w:sz w:val="20"/>
                <w:szCs w:val="20"/>
              </w:rPr>
              <w:t>1</w:t>
            </w:r>
          </w:p>
        </w:tc>
        <w:tc>
          <w:tcPr>
            <w:tcW w:w="765" w:type="dxa"/>
            <w:shd w:val="clear" w:color="auto" w:fill="auto"/>
          </w:tcPr>
          <w:p w:rsidR="00D907AF" w:rsidRPr="0087485F" w:rsidRDefault="00D907AF" w:rsidP="00AA3C18">
            <w:pPr>
              <w:spacing w:before="20" w:after="20"/>
              <w:jc w:val="right"/>
              <w:rPr>
                <w:rFonts w:cstheme="minorHAnsi"/>
                <w:color w:val="000000"/>
                <w:sz w:val="20"/>
                <w:szCs w:val="20"/>
              </w:rPr>
            </w:pPr>
            <w:r w:rsidRPr="0087485F">
              <w:rPr>
                <w:rFonts w:cstheme="minorHAnsi"/>
                <w:color w:val="000000"/>
                <w:sz w:val="20"/>
                <w:szCs w:val="20"/>
              </w:rPr>
              <w:t>0.1</w:t>
            </w:r>
          </w:p>
        </w:tc>
      </w:tr>
      <w:tr w:rsidR="00D907AF" w:rsidRPr="0087485F" w:rsidTr="00A8574A">
        <w:tc>
          <w:tcPr>
            <w:tcW w:w="4077" w:type="dxa"/>
            <w:shd w:val="clear" w:color="auto" w:fill="auto"/>
          </w:tcPr>
          <w:p w:rsidR="00D907AF" w:rsidRPr="0087485F" w:rsidRDefault="00D907AF" w:rsidP="00AA3C18">
            <w:pPr>
              <w:spacing w:before="20" w:after="20"/>
              <w:rPr>
                <w:rFonts w:cstheme="minorHAnsi"/>
                <w:sz w:val="20"/>
                <w:szCs w:val="20"/>
              </w:rPr>
            </w:pPr>
            <w:r w:rsidRPr="0087485F">
              <w:rPr>
                <w:rFonts w:cstheme="minorHAnsi"/>
                <w:sz w:val="20"/>
                <w:szCs w:val="20"/>
              </w:rPr>
              <w:t>Carer Payment</w:t>
            </w:r>
          </w:p>
        </w:tc>
        <w:tc>
          <w:tcPr>
            <w:tcW w:w="624" w:type="dxa"/>
            <w:shd w:val="clear" w:color="auto" w:fill="auto"/>
          </w:tcPr>
          <w:p w:rsidR="00D907AF" w:rsidRPr="0087485F" w:rsidRDefault="00D907AF" w:rsidP="00AA3C18">
            <w:pPr>
              <w:spacing w:before="20" w:after="20"/>
              <w:jc w:val="right"/>
              <w:rPr>
                <w:rFonts w:cstheme="minorHAnsi"/>
                <w:color w:val="000000"/>
                <w:sz w:val="20"/>
                <w:szCs w:val="20"/>
              </w:rPr>
            </w:pPr>
            <w:r w:rsidRPr="0087485F">
              <w:rPr>
                <w:rFonts w:cstheme="minorHAnsi"/>
                <w:color w:val="000000"/>
                <w:sz w:val="20"/>
                <w:szCs w:val="20"/>
              </w:rPr>
              <w:t>1</w:t>
            </w:r>
          </w:p>
        </w:tc>
        <w:tc>
          <w:tcPr>
            <w:tcW w:w="709" w:type="dxa"/>
            <w:shd w:val="clear" w:color="auto" w:fill="auto"/>
          </w:tcPr>
          <w:p w:rsidR="00D907AF" w:rsidRPr="0087485F" w:rsidRDefault="00D907AF" w:rsidP="00A80201">
            <w:pPr>
              <w:spacing w:before="20" w:after="20"/>
              <w:ind w:right="-57"/>
              <w:jc w:val="right"/>
              <w:rPr>
                <w:rFonts w:cstheme="minorHAnsi"/>
                <w:color w:val="000000"/>
                <w:sz w:val="20"/>
                <w:szCs w:val="20"/>
              </w:rPr>
            </w:pPr>
            <w:r w:rsidRPr="0087485F">
              <w:rPr>
                <w:rFonts w:cstheme="minorHAnsi"/>
                <w:color w:val="000000"/>
                <w:sz w:val="20"/>
                <w:szCs w:val="20"/>
              </w:rPr>
              <w:t>0.2</w:t>
            </w:r>
          </w:p>
        </w:tc>
        <w:tc>
          <w:tcPr>
            <w:tcW w:w="1077" w:type="dxa"/>
            <w:shd w:val="clear" w:color="auto" w:fill="auto"/>
          </w:tcPr>
          <w:p w:rsidR="00D907AF" w:rsidRPr="0087485F" w:rsidRDefault="00D907AF" w:rsidP="00AA3C18">
            <w:pPr>
              <w:spacing w:before="20" w:after="20"/>
              <w:ind w:right="170"/>
              <w:jc w:val="right"/>
              <w:rPr>
                <w:rFonts w:cstheme="minorHAnsi"/>
                <w:color w:val="000000"/>
                <w:sz w:val="20"/>
                <w:szCs w:val="20"/>
              </w:rPr>
            </w:pPr>
            <w:r w:rsidRPr="0087485F">
              <w:rPr>
                <w:rFonts w:cstheme="minorHAnsi"/>
                <w:color w:val="000000"/>
                <w:sz w:val="20"/>
                <w:szCs w:val="20"/>
              </w:rPr>
              <w:t>3</w:t>
            </w:r>
          </w:p>
        </w:tc>
        <w:tc>
          <w:tcPr>
            <w:tcW w:w="1134" w:type="dxa"/>
            <w:shd w:val="clear" w:color="auto" w:fill="auto"/>
          </w:tcPr>
          <w:p w:rsidR="00D907AF" w:rsidRPr="0087485F" w:rsidRDefault="00D907AF" w:rsidP="00B27677">
            <w:pPr>
              <w:spacing w:before="20" w:after="20"/>
              <w:ind w:right="227"/>
              <w:jc w:val="right"/>
              <w:rPr>
                <w:rFonts w:cstheme="minorHAnsi"/>
                <w:color w:val="000000"/>
                <w:sz w:val="20"/>
                <w:szCs w:val="20"/>
              </w:rPr>
            </w:pPr>
            <w:r w:rsidRPr="0087485F">
              <w:rPr>
                <w:rFonts w:cstheme="minorHAnsi"/>
                <w:color w:val="000000"/>
                <w:sz w:val="20"/>
                <w:szCs w:val="20"/>
              </w:rPr>
              <w:t>0.5</w:t>
            </w:r>
          </w:p>
        </w:tc>
        <w:tc>
          <w:tcPr>
            <w:tcW w:w="794" w:type="dxa"/>
            <w:shd w:val="clear" w:color="auto" w:fill="auto"/>
          </w:tcPr>
          <w:p w:rsidR="00D907AF" w:rsidRPr="0087485F" w:rsidRDefault="00D907AF" w:rsidP="00B27677">
            <w:pPr>
              <w:spacing w:before="20" w:after="20"/>
              <w:ind w:right="113"/>
              <w:jc w:val="right"/>
              <w:rPr>
                <w:rFonts w:cstheme="minorHAnsi"/>
                <w:color w:val="000000"/>
                <w:sz w:val="20"/>
                <w:szCs w:val="20"/>
              </w:rPr>
            </w:pPr>
            <w:r w:rsidRPr="0087485F">
              <w:rPr>
                <w:rFonts w:cstheme="minorHAnsi"/>
                <w:color w:val="000000"/>
                <w:sz w:val="20"/>
                <w:szCs w:val="20"/>
              </w:rPr>
              <w:t>4</w:t>
            </w:r>
          </w:p>
        </w:tc>
        <w:tc>
          <w:tcPr>
            <w:tcW w:w="765" w:type="dxa"/>
            <w:shd w:val="clear" w:color="auto" w:fill="auto"/>
          </w:tcPr>
          <w:p w:rsidR="00D907AF" w:rsidRPr="0087485F" w:rsidRDefault="00D907AF" w:rsidP="00AA3C18">
            <w:pPr>
              <w:spacing w:before="20" w:after="20"/>
              <w:jc w:val="right"/>
              <w:rPr>
                <w:rFonts w:cstheme="minorHAnsi"/>
                <w:color w:val="000000"/>
                <w:sz w:val="20"/>
                <w:szCs w:val="20"/>
              </w:rPr>
            </w:pPr>
            <w:r w:rsidRPr="0087485F">
              <w:rPr>
                <w:rFonts w:cstheme="minorHAnsi"/>
                <w:color w:val="000000"/>
                <w:sz w:val="20"/>
                <w:szCs w:val="20"/>
              </w:rPr>
              <w:t>0.4</w:t>
            </w:r>
          </w:p>
        </w:tc>
      </w:tr>
      <w:tr w:rsidR="00D907AF" w:rsidRPr="0087485F" w:rsidTr="00A8574A">
        <w:tc>
          <w:tcPr>
            <w:tcW w:w="4077" w:type="dxa"/>
            <w:shd w:val="clear" w:color="auto" w:fill="auto"/>
          </w:tcPr>
          <w:p w:rsidR="00D907AF" w:rsidRPr="0087485F" w:rsidRDefault="00D907AF" w:rsidP="00AA3C18">
            <w:pPr>
              <w:spacing w:before="20" w:after="20"/>
              <w:rPr>
                <w:rFonts w:cstheme="minorHAnsi"/>
                <w:sz w:val="20"/>
                <w:szCs w:val="20"/>
              </w:rPr>
            </w:pPr>
            <w:r w:rsidRPr="0087485F">
              <w:rPr>
                <w:rFonts w:cstheme="minorHAnsi"/>
                <w:sz w:val="20"/>
                <w:szCs w:val="20"/>
              </w:rPr>
              <w:t>Other Government pension or allowance</w:t>
            </w:r>
          </w:p>
        </w:tc>
        <w:tc>
          <w:tcPr>
            <w:tcW w:w="624" w:type="dxa"/>
            <w:shd w:val="clear" w:color="auto" w:fill="auto"/>
          </w:tcPr>
          <w:p w:rsidR="00D907AF" w:rsidRPr="0087485F" w:rsidRDefault="00D907AF" w:rsidP="00AA3C18">
            <w:pPr>
              <w:spacing w:before="20" w:after="20"/>
              <w:jc w:val="right"/>
              <w:rPr>
                <w:rFonts w:cstheme="minorHAnsi"/>
                <w:color w:val="000000"/>
                <w:sz w:val="20"/>
                <w:szCs w:val="20"/>
              </w:rPr>
            </w:pPr>
            <w:r w:rsidRPr="0087485F">
              <w:rPr>
                <w:rFonts w:cstheme="minorHAnsi"/>
                <w:color w:val="000000"/>
                <w:sz w:val="20"/>
                <w:szCs w:val="20"/>
              </w:rPr>
              <w:t>3</w:t>
            </w:r>
          </w:p>
        </w:tc>
        <w:tc>
          <w:tcPr>
            <w:tcW w:w="709" w:type="dxa"/>
            <w:shd w:val="clear" w:color="auto" w:fill="auto"/>
          </w:tcPr>
          <w:p w:rsidR="00D907AF" w:rsidRPr="0087485F" w:rsidRDefault="00D907AF" w:rsidP="00A80201">
            <w:pPr>
              <w:spacing w:before="20" w:after="20"/>
              <w:ind w:right="-57"/>
              <w:jc w:val="right"/>
              <w:rPr>
                <w:rFonts w:cstheme="minorHAnsi"/>
                <w:color w:val="000000"/>
                <w:sz w:val="20"/>
                <w:szCs w:val="20"/>
              </w:rPr>
            </w:pPr>
            <w:r w:rsidRPr="0087485F">
              <w:rPr>
                <w:rFonts w:cstheme="minorHAnsi"/>
                <w:color w:val="000000"/>
                <w:sz w:val="20"/>
                <w:szCs w:val="20"/>
              </w:rPr>
              <w:t>0.6</w:t>
            </w:r>
          </w:p>
        </w:tc>
        <w:tc>
          <w:tcPr>
            <w:tcW w:w="1077" w:type="dxa"/>
            <w:shd w:val="clear" w:color="auto" w:fill="auto"/>
          </w:tcPr>
          <w:p w:rsidR="00D907AF" w:rsidRPr="0087485F" w:rsidRDefault="00D907AF" w:rsidP="00AA3C18">
            <w:pPr>
              <w:spacing w:before="20" w:after="20"/>
              <w:ind w:right="170"/>
              <w:jc w:val="right"/>
              <w:rPr>
                <w:rFonts w:cstheme="minorHAnsi"/>
                <w:color w:val="000000"/>
                <w:sz w:val="20"/>
                <w:szCs w:val="20"/>
              </w:rPr>
            </w:pPr>
            <w:r w:rsidRPr="0087485F">
              <w:rPr>
                <w:rFonts w:cstheme="minorHAnsi"/>
                <w:color w:val="000000"/>
                <w:sz w:val="20"/>
                <w:szCs w:val="20"/>
              </w:rPr>
              <w:t>25</w:t>
            </w:r>
          </w:p>
        </w:tc>
        <w:tc>
          <w:tcPr>
            <w:tcW w:w="1134" w:type="dxa"/>
            <w:shd w:val="clear" w:color="auto" w:fill="auto"/>
          </w:tcPr>
          <w:p w:rsidR="00D907AF" w:rsidRPr="0087485F" w:rsidRDefault="00D907AF" w:rsidP="00B27677">
            <w:pPr>
              <w:spacing w:before="20" w:after="20"/>
              <w:ind w:right="227"/>
              <w:jc w:val="right"/>
              <w:rPr>
                <w:rFonts w:cstheme="minorHAnsi"/>
                <w:color w:val="000000"/>
                <w:sz w:val="20"/>
                <w:szCs w:val="20"/>
              </w:rPr>
            </w:pPr>
            <w:r w:rsidRPr="0087485F">
              <w:rPr>
                <w:rFonts w:cstheme="minorHAnsi"/>
                <w:color w:val="000000"/>
                <w:sz w:val="20"/>
                <w:szCs w:val="20"/>
              </w:rPr>
              <w:t>3.9</w:t>
            </w:r>
          </w:p>
        </w:tc>
        <w:tc>
          <w:tcPr>
            <w:tcW w:w="794" w:type="dxa"/>
            <w:shd w:val="clear" w:color="auto" w:fill="auto"/>
          </w:tcPr>
          <w:p w:rsidR="00D907AF" w:rsidRPr="0087485F" w:rsidRDefault="00D907AF" w:rsidP="00B27677">
            <w:pPr>
              <w:spacing w:before="20" w:after="20"/>
              <w:ind w:right="113"/>
              <w:jc w:val="right"/>
              <w:rPr>
                <w:rFonts w:cstheme="minorHAnsi"/>
                <w:color w:val="000000"/>
                <w:sz w:val="20"/>
                <w:szCs w:val="20"/>
              </w:rPr>
            </w:pPr>
            <w:r w:rsidRPr="0087485F">
              <w:rPr>
                <w:rFonts w:cstheme="minorHAnsi"/>
                <w:color w:val="000000"/>
                <w:sz w:val="20"/>
                <w:szCs w:val="20"/>
              </w:rPr>
              <w:t>28</w:t>
            </w:r>
          </w:p>
        </w:tc>
        <w:tc>
          <w:tcPr>
            <w:tcW w:w="765" w:type="dxa"/>
            <w:shd w:val="clear" w:color="auto" w:fill="auto"/>
          </w:tcPr>
          <w:p w:rsidR="00D907AF" w:rsidRPr="0087485F" w:rsidRDefault="00D907AF" w:rsidP="00AA3C18">
            <w:pPr>
              <w:spacing w:before="20" w:after="20"/>
              <w:jc w:val="right"/>
              <w:rPr>
                <w:rFonts w:cstheme="minorHAnsi"/>
                <w:color w:val="000000"/>
                <w:sz w:val="20"/>
                <w:szCs w:val="20"/>
              </w:rPr>
            </w:pPr>
            <w:r w:rsidRPr="0087485F">
              <w:rPr>
                <w:rFonts w:cstheme="minorHAnsi"/>
                <w:color w:val="000000"/>
                <w:sz w:val="20"/>
                <w:szCs w:val="20"/>
              </w:rPr>
              <w:t>2.5</w:t>
            </w:r>
          </w:p>
        </w:tc>
      </w:tr>
      <w:tr w:rsidR="00D907AF" w:rsidRPr="0087485F" w:rsidTr="00A8574A">
        <w:tc>
          <w:tcPr>
            <w:tcW w:w="4077" w:type="dxa"/>
            <w:shd w:val="clear" w:color="auto" w:fill="auto"/>
          </w:tcPr>
          <w:p w:rsidR="00D907AF" w:rsidRPr="0087485F" w:rsidRDefault="00D907AF" w:rsidP="00AA3C18">
            <w:pPr>
              <w:spacing w:before="20" w:after="20"/>
              <w:rPr>
                <w:rFonts w:cstheme="minorHAnsi"/>
                <w:sz w:val="20"/>
                <w:szCs w:val="20"/>
              </w:rPr>
            </w:pPr>
            <w:r w:rsidRPr="0087485F">
              <w:rPr>
                <w:rFonts w:cstheme="minorHAnsi"/>
                <w:sz w:val="20"/>
                <w:szCs w:val="20"/>
              </w:rPr>
              <w:t>Superannuation, an annuity or private pension</w:t>
            </w:r>
          </w:p>
        </w:tc>
        <w:tc>
          <w:tcPr>
            <w:tcW w:w="624" w:type="dxa"/>
            <w:shd w:val="clear" w:color="auto" w:fill="auto"/>
          </w:tcPr>
          <w:p w:rsidR="00D907AF" w:rsidRPr="0087485F" w:rsidRDefault="00D907AF" w:rsidP="00AA3C18">
            <w:pPr>
              <w:spacing w:before="20" w:after="20"/>
              <w:jc w:val="right"/>
              <w:rPr>
                <w:rFonts w:cstheme="minorHAnsi"/>
                <w:color w:val="000000"/>
                <w:sz w:val="20"/>
                <w:szCs w:val="20"/>
              </w:rPr>
            </w:pPr>
            <w:r w:rsidRPr="0087485F">
              <w:rPr>
                <w:rFonts w:cstheme="minorHAnsi"/>
                <w:color w:val="000000"/>
                <w:sz w:val="20"/>
                <w:szCs w:val="20"/>
              </w:rPr>
              <w:t>13</w:t>
            </w:r>
          </w:p>
        </w:tc>
        <w:tc>
          <w:tcPr>
            <w:tcW w:w="709" w:type="dxa"/>
            <w:shd w:val="clear" w:color="auto" w:fill="auto"/>
          </w:tcPr>
          <w:p w:rsidR="00D907AF" w:rsidRPr="0087485F" w:rsidRDefault="00D907AF" w:rsidP="00A80201">
            <w:pPr>
              <w:spacing w:before="20" w:after="20"/>
              <w:ind w:right="-57"/>
              <w:jc w:val="right"/>
              <w:rPr>
                <w:rFonts w:cstheme="minorHAnsi"/>
                <w:color w:val="000000"/>
                <w:sz w:val="20"/>
                <w:szCs w:val="20"/>
              </w:rPr>
            </w:pPr>
            <w:r w:rsidRPr="0087485F">
              <w:rPr>
                <w:rFonts w:cstheme="minorHAnsi"/>
                <w:color w:val="000000"/>
                <w:sz w:val="20"/>
                <w:szCs w:val="20"/>
              </w:rPr>
              <w:t>2.8</w:t>
            </w:r>
          </w:p>
        </w:tc>
        <w:tc>
          <w:tcPr>
            <w:tcW w:w="1077" w:type="dxa"/>
            <w:shd w:val="clear" w:color="auto" w:fill="auto"/>
          </w:tcPr>
          <w:p w:rsidR="00D907AF" w:rsidRPr="0087485F" w:rsidRDefault="00D907AF" w:rsidP="00AA3C18">
            <w:pPr>
              <w:spacing w:before="20" w:after="20"/>
              <w:ind w:right="170"/>
              <w:jc w:val="right"/>
              <w:rPr>
                <w:rFonts w:cstheme="minorHAnsi"/>
                <w:color w:val="000000"/>
                <w:sz w:val="20"/>
                <w:szCs w:val="20"/>
              </w:rPr>
            </w:pPr>
            <w:r w:rsidRPr="0087485F">
              <w:rPr>
                <w:rFonts w:cstheme="minorHAnsi"/>
                <w:color w:val="000000"/>
                <w:sz w:val="20"/>
                <w:szCs w:val="20"/>
              </w:rPr>
              <w:t>26</w:t>
            </w:r>
          </w:p>
        </w:tc>
        <w:tc>
          <w:tcPr>
            <w:tcW w:w="1134" w:type="dxa"/>
            <w:shd w:val="clear" w:color="auto" w:fill="auto"/>
          </w:tcPr>
          <w:p w:rsidR="00D907AF" w:rsidRPr="0087485F" w:rsidRDefault="00D907AF" w:rsidP="00B27677">
            <w:pPr>
              <w:spacing w:before="20" w:after="20"/>
              <w:ind w:right="227"/>
              <w:jc w:val="right"/>
              <w:rPr>
                <w:rFonts w:cstheme="minorHAnsi"/>
                <w:color w:val="000000"/>
                <w:sz w:val="20"/>
                <w:szCs w:val="20"/>
              </w:rPr>
            </w:pPr>
            <w:r w:rsidRPr="0087485F">
              <w:rPr>
                <w:rFonts w:cstheme="minorHAnsi"/>
                <w:color w:val="000000"/>
                <w:sz w:val="20"/>
                <w:szCs w:val="20"/>
              </w:rPr>
              <w:t>4.1</w:t>
            </w:r>
          </w:p>
        </w:tc>
        <w:tc>
          <w:tcPr>
            <w:tcW w:w="794" w:type="dxa"/>
            <w:shd w:val="clear" w:color="auto" w:fill="auto"/>
          </w:tcPr>
          <w:p w:rsidR="00D907AF" w:rsidRPr="0087485F" w:rsidRDefault="00D907AF" w:rsidP="00B27677">
            <w:pPr>
              <w:spacing w:before="20" w:after="20"/>
              <w:ind w:right="113"/>
              <w:jc w:val="right"/>
              <w:rPr>
                <w:rFonts w:cstheme="minorHAnsi"/>
                <w:color w:val="000000"/>
                <w:sz w:val="20"/>
                <w:szCs w:val="20"/>
              </w:rPr>
            </w:pPr>
            <w:r w:rsidRPr="0087485F">
              <w:rPr>
                <w:rFonts w:cstheme="minorHAnsi"/>
                <w:color w:val="000000"/>
                <w:sz w:val="20"/>
                <w:szCs w:val="20"/>
              </w:rPr>
              <w:t>39</w:t>
            </w:r>
          </w:p>
        </w:tc>
        <w:tc>
          <w:tcPr>
            <w:tcW w:w="765" w:type="dxa"/>
            <w:shd w:val="clear" w:color="auto" w:fill="auto"/>
          </w:tcPr>
          <w:p w:rsidR="00D907AF" w:rsidRPr="0087485F" w:rsidRDefault="00D907AF" w:rsidP="00AA3C18">
            <w:pPr>
              <w:spacing w:before="20" w:after="20"/>
              <w:jc w:val="right"/>
              <w:rPr>
                <w:rFonts w:cstheme="minorHAnsi"/>
                <w:color w:val="000000"/>
                <w:sz w:val="20"/>
                <w:szCs w:val="20"/>
              </w:rPr>
            </w:pPr>
            <w:r w:rsidRPr="0087485F">
              <w:rPr>
                <w:rFonts w:cstheme="minorHAnsi"/>
                <w:color w:val="000000"/>
                <w:sz w:val="20"/>
                <w:szCs w:val="20"/>
              </w:rPr>
              <w:t>3.5</w:t>
            </w:r>
          </w:p>
        </w:tc>
      </w:tr>
      <w:tr w:rsidR="00D907AF" w:rsidRPr="0087485F" w:rsidTr="00A8574A">
        <w:tc>
          <w:tcPr>
            <w:tcW w:w="4077" w:type="dxa"/>
            <w:shd w:val="clear" w:color="auto" w:fill="auto"/>
          </w:tcPr>
          <w:p w:rsidR="00D907AF" w:rsidRPr="0087485F" w:rsidRDefault="00D907AF" w:rsidP="00AA3C18">
            <w:pPr>
              <w:spacing w:before="20" w:after="20"/>
              <w:rPr>
                <w:rFonts w:cstheme="minorHAnsi"/>
                <w:sz w:val="20"/>
                <w:szCs w:val="20"/>
              </w:rPr>
            </w:pPr>
            <w:r w:rsidRPr="0087485F">
              <w:rPr>
                <w:rFonts w:cstheme="minorHAnsi"/>
                <w:sz w:val="20"/>
                <w:szCs w:val="20"/>
              </w:rPr>
              <w:t>Compensation/Insurance pay-out</w:t>
            </w:r>
          </w:p>
        </w:tc>
        <w:tc>
          <w:tcPr>
            <w:tcW w:w="624" w:type="dxa"/>
            <w:shd w:val="clear" w:color="auto" w:fill="auto"/>
          </w:tcPr>
          <w:p w:rsidR="00D907AF" w:rsidRPr="0087485F" w:rsidRDefault="00D907AF" w:rsidP="00AA3C18">
            <w:pPr>
              <w:spacing w:before="20" w:after="20"/>
              <w:jc w:val="right"/>
              <w:rPr>
                <w:rFonts w:cstheme="minorHAnsi"/>
                <w:color w:val="000000"/>
                <w:sz w:val="20"/>
                <w:szCs w:val="20"/>
              </w:rPr>
            </w:pPr>
            <w:r w:rsidRPr="0087485F">
              <w:rPr>
                <w:rFonts w:cstheme="minorHAnsi"/>
                <w:color w:val="000000"/>
                <w:sz w:val="20"/>
                <w:szCs w:val="20"/>
              </w:rPr>
              <w:t>4</w:t>
            </w:r>
          </w:p>
        </w:tc>
        <w:tc>
          <w:tcPr>
            <w:tcW w:w="709" w:type="dxa"/>
            <w:shd w:val="clear" w:color="auto" w:fill="auto"/>
          </w:tcPr>
          <w:p w:rsidR="00D907AF" w:rsidRPr="0087485F" w:rsidRDefault="00D907AF" w:rsidP="00A80201">
            <w:pPr>
              <w:spacing w:before="20" w:after="20"/>
              <w:ind w:right="-57"/>
              <w:jc w:val="right"/>
              <w:rPr>
                <w:rFonts w:cstheme="minorHAnsi"/>
                <w:color w:val="000000"/>
                <w:sz w:val="20"/>
                <w:szCs w:val="20"/>
              </w:rPr>
            </w:pPr>
            <w:r w:rsidRPr="0087485F">
              <w:rPr>
                <w:rFonts w:cstheme="minorHAnsi"/>
                <w:color w:val="000000"/>
                <w:sz w:val="20"/>
                <w:szCs w:val="20"/>
              </w:rPr>
              <w:t>0.9</w:t>
            </w:r>
          </w:p>
        </w:tc>
        <w:tc>
          <w:tcPr>
            <w:tcW w:w="1077" w:type="dxa"/>
            <w:shd w:val="clear" w:color="auto" w:fill="auto"/>
          </w:tcPr>
          <w:p w:rsidR="00D907AF" w:rsidRPr="0087485F" w:rsidRDefault="00D907AF" w:rsidP="00AA3C18">
            <w:pPr>
              <w:spacing w:before="20" w:after="20"/>
              <w:ind w:right="170"/>
              <w:jc w:val="right"/>
              <w:rPr>
                <w:rFonts w:cstheme="minorHAnsi"/>
                <w:color w:val="000000"/>
                <w:sz w:val="20"/>
                <w:szCs w:val="20"/>
              </w:rPr>
            </w:pPr>
            <w:r w:rsidRPr="0087485F">
              <w:rPr>
                <w:rFonts w:cstheme="minorHAnsi"/>
                <w:color w:val="000000"/>
                <w:sz w:val="20"/>
                <w:szCs w:val="20"/>
              </w:rPr>
              <w:t>16</w:t>
            </w:r>
          </w:p>
        </w:tc>
        <w:tc>
          <w:tcPr>
            <w:tcW w:w="1134" w:type="dxa"/>
            <w:shd w:val="clear" w:color="auto" w:fill="auto"/>
          </w:tcPr>
          <w:p w:rsidR="00D907AF" w:rsidRPr="0087485F" w:rsidRDefault="00D907AF" w:rsidP="00B27677">
            <w:pPr>
              <w:spacing w:before="20" w:after="20"/>
              <w:ind w:right="227"/>
              <w:jc w:val="right"/>
              <w:rPr>
                <w:rFonts w:cstheme="minorHAnsi"/>
                <w:color w:val="000000"/>
                <w:sz w:val="20"/>
                <w:szCs w:val="20"/>
              </w:rPr>
            </w:pPr>
            <w:r w:rsidRPr="0087485F">
              <w:rPr>
                <w:rFonts w:cstheme="minorHAnsi"/>
                <w:color w:val="000000"/>
                <w:sz w:val="20"/>
                <w:szCs w:val="20"/>
              </w:rPr>
              <w:t>2.5</w:t>
            </w:r>
          </w:p>
        </w:tc>
        <w:tc>
          <w:tcPr>
            <w:tcW w:w="794" w:type="dxa"/>
            <w:shd w:val="clear" w:color="auto" w:fill="auto"/>
          </w:tcPr>
          <w:p w:rsidR="00D907AF" w:rsidRPr="0087485F" w:rsidRDefault="00D907AF" w:rsidP="00B27677">
            <w:pPr>
              <w:spacing w:before="20" w:after="20"/>
              <w:ind w:right="113"/>
              <w:jc w:val="right"/>
              <w:rPr>
                <w:rFonts w:cstheme="minorHAnsi"/>
                <w:color w:val="000000"/>
                <w:sz w:val="20"/>
                <w:szCs w:val="20"/>
              </w:rPr>
            </w:pPr>
            <w:r w:rsidRPr="0087485F">
              <w:rPr>
                <w:rFonts w:cstheme="minorHAnsi"/>
                <w:color w:val="000000"/>
                <w:sz w:val="20"/>
                <w:szCs w:val="20"/>
              </w:rPr>
              <w:t>20</w:t>
            </w:r>
          </w:p>
        </w:tc>
        <w:tc>
          <w:tcPr>
            <w:tcW w:w="765" w:type="dxa"/>
            <w:shd w:val="clear" w:color="auto" w:fill="auto"/>
          </w:tcPr>
          <w:p w:rsidR="00D907AF" w:rsidRPr="0087485F" w:rsidRDefault="00D907AF" w:rsidP="00AA3C18">
            <w:pPr>
              <w:spacing w:before="20" w:after="20"/>
              <w:jc w:val="right"/>
              <w:rPr>
                <w:rFonts w:cstheme="minorHAnsi"/>
                <w:color w:val="000000"/>
                <w:sz w:val="20"/>
                <w:szCs w:val="20"/>
              </w:rPr>
            </w:pPr>
            <w:r w:rsidRPr="0087485F">
              <w:rPr>
                <w:rFonts w:cstheme="minorHAnsi"/>
                <w:color w:val="000000"/>
                <w:sz w:val="20"/>
                <w:szCs w:val="20"/>
              </w:rPr>
              <w:t>1.8</w:t>
            </w:r>
          </w:p>
        </w:tc>
      </w:tr>
      <w:tr w:rsidR="00D907AF" w:rsidRPr="0087485F" w:rsidTr="00A8574A">
        <w:tc>
          <w:tcPr>
            <w:tcW w:w="4077" w:type="dxa"/>
            <w:shd w:val="clear" w:color="auto" w:fill="auto"/>
          </w:tcPr>
          <w:p w:rsidR="00D907AF" w:rsidRPr="0087485F" w:rsidRDefault="00D907AF" w:rsidP="00AA3C18">
            <w:pPr>
              <w:spacing w:before="20" w:after="20"/>
              <w:rPr>
                <w:rFonts w:cstheme="minorHAnsi"/>
                <w:sz w:val="20"/>
                <w:szCs w:val="20"/>
              </w:rPr>
            </w:pPr>
            <w:r w:rsidRPr="0087485F">
              <w:rPr>
                <w:rFonts w:cstheme="minorHAnsi"/>
                <w:sz w:val="20"/>
                <w:szCs w:val="20"/>
              </w:rPr>
              <w:t>Dividends and interest from shares</w:t>
            </w:r>
          </w:p>
        </w:tc>
        <w:tc>
          <w:tcPr>
            <w:tcW w:w="624" w:type="dxa"/>
            <w:shd w:val="clear" w:color="auto" w:fill="auto"/>
          </w:tcPr>
          <w:p w:rsidR="00D907AF" w:rsidRPr="0087485F" w:rsidRDefault="00D907AF" w:rsidP="00AA3C18">
            <w:pPr>
              <w:spacing w:before="20" w:after="20"/>
              <w:jc w:val="right"/>
              <w:rPr>
                <w:rFonts w:cstheme="minorHAnsi"/>
                <w:color w:val="000000"/>
                <w:sz w:val="20"/>
                <w:szCs w:val="20"/>
              </w:rPr>
            </w:pPr>
            <w:r w:rsidRPr="0087485F">
              <w:rPr>
                <w:rFonts w:cstheme="minorHAnsi"/>
                <w:color w:val="000000"/>
                <w:sz w:val="20"/>
                <w:szCs w:val="20"/>
              </w:rPr>
              <w:t>2</w:t>
            </w:r>
          </w:p>
        </w:tc>
        <w:tc>
          <w:tcPr>
            <w:tcW w:w="709" w:type="dxa"/>
            <w:shd w:val="clear" w:color="auto" w:fill="auto"/>
          </w:tcPr>
          <w:p w:rsidR="00D907AF" w:rsidRPr="0087485F" w:rsidRDefault="00D907AF" w:rsidP="00A80201">
            <w:pPr>
              <w:spacing w:before="20" w:after="20"/>
              <w:ind w:right="-57"/>
              <w:jc w:val="right"/>
              <w:rPr>
                <w:rFonts w:cstheme="minorHAnsi"/>
                <w:color w:val="000000"/>
                <w:sz w:val="20"/>
                <w:szCs w:val="20"/>
              </w:rPr>
            </w:pPr>
            <w:r w:rsidRPr="0087485F">
              <w:rPr>
                <w:rFonts w:cstheme="minorHAnsi"/>
                <w:color w:val="000000"/>
                <w:sz w:val="20"/>
                <w:szCs w:val="20"/>
              </w:rPr>
              <w:t>0.4</w:t>
            </w:r>
          </w:p>
        </w:tc>
        <w:tc>
          <w:tcPr>
            <w:tcW w:w="1077" w:type="dxa"/>
            <w:shd w:val="clear" w:color="auto" w:fill="auto"/>
          </w:tcPr>
          <w:p w:rsidR="00D907AF" w:rsidRPr="0087485F" w:rsidRDefault="00D907AF" w:rsidP="00AA3C18">
            <w:pPr>
              <w:spacing w:before="20" w:after="20"/>
              <w:ind w:right="170"/>
              <w:jc w:val="right"/>
              <w:rPr>
                <w:rFonts w:cstheme="minorHAnsi"/>
                <w:color w:val="000000"/>
                <w:sz w:val="20"/>
                <w:szCs w:val="20"/>
              </w:rPr>
            </w:pPr>
            <w:r w:rsidRPr="0087485F">
              <w:rPr>
                <w:rFonts w:cstheme="minorHAnsi"/>
                <w:color w:val="000000"/>
                <w:sz w:val="20"/>
                <w:szCs w:val="20"/>
              </w:rPr>
              <w:t>2</w:t>
            </w:r>
          </w:p>
        </w:tc>
        <w:tc>
          <w:tcPr>
            <w:tcW w:w="1134" w:type="dxa"/>
            <w:shd w:val="clear" w:color="auto" w:fill="auto"/>
          </w:tcPr>
          <w:p w:rsidR="00D907AF" w:rsidRPr="0087485F" w:rsidRDefault="00D907AF" w:rsidP="00B27677">
            <w:pPr>
              <w:spacing w:before="20" w:after="20"/>
              <w:ind w:right="227"/>
              <w:jc w:val="right"/>
              <w:rPr>
                <w:rFonts w:cstheme="minorHAnsi"/>
                <w:color w:val="000000"/>
                <w:sz w:val="20"/>
                <w:szCs w:val="20"/>
              </w:rPr>
            </w:pPr>
            <w:r w:rsidRPr="0087485F">
              <w:rPr>
                <w:rFonts w:cstheme="minorHAnsi"/>
                <w:color w:val="000000"/>
                <w:sz w:val="20"/>
                <w:szCs w:val="20"/>
              </w:rPr>
              <w:t>0.3</w:t>
            </w:r>
          </w:p>
        </w:tc>
        <w:tc>
          <w:tcPr>
            <w:tcW w:w="794" w:type="dxa"/>
            <w:shd w:val="clear" w:color="auto" w:fill="auto"/>
          </w:tcPr>
          <w:p w:rsidR="00D907AF" w:rsidRPr="0087485F" w:rsidRDefault="00D907AF" w:rsidP="00B27677">
            <w:pPr>
              <w:spacing w:before="20" w:after="20"/>
              <w:ind w:right="113"/>
              <w:jc w:val="right"/>
              <w:rPr>
                <w:rFonts w:cstheme="minorHAnsi"/>
                <w:color w:val="000000"/>
                <w:sz w:val="20"/>
                <w:szCs w:val="20"/>
              </w:rPr>
            </w:pPr>
            <w:r w:rsidRPr="0087485F">
              <w:rPr>
                <w:rFonts w:cstheme="minorHAnsi"/>
                <w:color w:val="000000"/>
                <w:sz w:val="20"/>
                <w:szCs w:val="20"/>
              </w:rPr>
              <w:t>4</w:t>
            </w:r>
          </w:p>
        </w:tc>
        <w:tc>
          <w:tcPr>
            <w:tcW w:w="765" w:type="dxa"/>
            <w:shd w:val="clear" w:color="auto" w:fill="auto"/>
          </w:tcPr>
          <w:p w:rsidR="00D907AF" w:rsidRPr="0087485F" w:rsidRDefault="00D907AF" w:rsidP="00AA3C18">
            <w:pPr>
              <w:spacing w:before="20" w:after="20"/>
              <w:jc w:val="right"/>
              <w:rPr>
                <w:rFonts w:cstheme="minorHAnsi"/>
                <w:color w:val="000000"/>
                <w:sz w:val="20"/>
                <w:szCs w:val="20"/>
              </w:rPr>
            </w:pPr>
            <w:r w:rsidRPr="0087485F">
              <w:rPr>
                <w:rFonts w:cstheme="minorHAnsi"/>
                <w:color w:val="000000"/>
                <w:sz w:val="20"/>
                <w:szCs w:val="20"/>
              </w:rPr>
              <w:t>0.4</w:t>
            </w:r>
          </w:p>
        </w:tc>
      </w:tr>
      <w:tr w:rsidR="00D907AF" w:rsidRPr="0087485F" w:rsidTr="00A8574A">
        <w:tc>
          <w:tcPr>
            <w:tcW w:w="4077" w:type="dxa"/>
            <w:shd w:val="clear" w:color="auto" w:fill="auto"/>
          </w:tcPr>
          <w:p w:rsidR="00D907AF" w:rsidRPr="0087485F" w:rsidRDefault="00D907AF" w:rsidP="00AA3C18">
            <w:pPr>
              <w:spacing w:before="20" w:after="20"/>
              <w:rPr>
                <w:rFonts w:cstheme="minorHAnsi"/>
                <w:sz w:val="20"/>
                <w:szCs w:val="20"/>
              </w:rPr>
            </w:pPr>
            <w:r w:rsidRPr="0087485F">
              <w:rPr>
                <w:rFonts w:cstheme="minorHAnsi"/>
                <w:sz w:val="20"/>
                <w:szCs w:val="20"/>
              </w:rPr>
              <w:t>Other</w:t>
            </w:r>
          </w:p>
        </w:tc>
        <w:tc>
          <w:tcPr>
            <w:tcW w:w="624" w:type="dxa"/>
            <w:shd w:val="clear" w:color="auto" w:fill="auto"/>
          </w:tcPr>
          <w:p w:rsidR="00D907AF" w:rsidRPr="0087485F" w:rsidRDefault="00D907AF" w:rsidP="00AA3C18">
            <w:pPr>
              <w:spacing w:before="20" w:after="20"/>
              <w:jc w:val="right"/>
              <w:rPr>
                <w:rFonts w:cstheme="minorHAnsi"/>
                <w:color w:val="000000"/>
                <w:sz w:val="20"/>
                <w:szCs w:val="20"/>
              </w:rPr>
            </w:pPr>
            <w:r w:rsidRPr="0087485F">
              <w:rPr>
                <w:rFonts w:cstheme="minorHAnsi"/>
                <w:color w:val="000000"/>
                <w:sz w:val="20"/>
                <w:szCs w:val="20"/>
              </w:rPr>
              <w:t>7</w:t>
            </w:r>
          </w:p>
        </w:tc>
        <w:tc>
          <w:tcPr>
            <w:tcW w:w="709" w:type="dxa"/>
            <w:shd w:val="clear" w:color="auto" w:fill="auto"/>
          </w:tcPr>
          <w:p w:rsidR="00D907AF" w:rsidRPr="0087485F" w:rsidRDefault="00D907AF" w:rsidP="00A80201">
            <w:pPr>
              <w:spacing w:before="20" w:after="20"/>
              <w:ind w:right="-57"/>
              <w:jc w:val="right"/>
              <w:rPr>
                <w:rFonts w:cstheme="minorHAnsi"/>
                <w:color w:val="000000"/>
                <w:sz w:val="20"/>
                <w:szCs w:val="20"/>
              </w:rPr>
            </w:pPr>
            <w:r w:rsidRPr="0087485F">
              <w:rPr>
                <w:rFonts w:cstheme="minorHAnsi"/>
                <w:color w:val="000000"/>
                <w:sz w:val="20"/>
                <w:szCs w:val="20"/>
              </w:rPr>
              <w:t>1.5</w:t>
            </w:r>
          </w:p>
        </w:tc>
        <w:tc>
          <w:tcPr>
            <w:tcW w:w="1077" w:type="dxa"/>
            <w:shd w:val="clear" w:color="auto" w:fill="auto"/>
          </w:tcPr>
          <w:p w:rsidR="00D907AF" w:rsidRPr="0087485F" w:rsidRDefault="00D907AF" w:rsidP="00AA3C18">
            <w:pPr>
              <w:spacing w:before="20" w:after="20"/>
              <w:ind w:right="170"/>
              <w:jc w:val="right"/>
              <w:rPr>
                <w:rFonts w:cstheme="minorHAnsi"/>
                <w:color w:val="000000"/>
                <w:sz w:val="20"/>
                <w:szCs w:val="20"/>
              </w:rPr>
            </w:pPr>
            <w:r w:rsidRPr="0087485F">
              <w:rPr>
                <w:rFonts w:cstheme="minorHAnsi"/>
                <w:color w:val="000000"/>
                <w:sz w:val="20"/>
                <w:szCs w:val="20"/>
              </w:rPr>
              <w:t>14</w:t>
            </w:r>
          </w:p>
        </w:tc>
        <w:tc>
          <w:tcPr>
            <w:tcW w:w="1134" w:type="dxa"/>
            <w:shd w:val="clear" w:color="auto" w:fill="auto"/>
          </w:tcPr>
          <w:p w:rsidR="00D907AF" w:rsidRPr="0087485F" w:rsidRDefault="00D907AF" w:rsidP="00B27677">
            <w:pPr>
              <w:spacing w:before="20" w:after="20"/>
              <w:ind w:right="227"/>
              <w:jc w:val="right"/>
              <w:rPr>
                <w:rFonts w:cstheme="minorHAnsi"/>
                <w:color w:val="000000"/>
                <w:sz w:val="20"/>
                <w:szCs w:val="20"/>
              </w:rPr>
            </w:pPr>
            <w:r w:rsidRPr="0087485F">
              <w:rPr>
                <w:rFonts w:cstheme="minorHAnsi"/>
                <w:color w:val="000000"/>
                <w:sz w:val="20"/>
                <w:szCs w:val="20"/>
              </w:rPr>
              <w:t>2.2</w:t>
            </w:r>
          </w:p>
        </w:tc>
        <w:tc>
          <w:tcPr>
            <w:tcW w:w="794" w:type="dxa"/>
            <w:shd w:val="clear" w:color="auto" w:fill="auto"/>
          </w:tcPr>
          <w:p w:rsidR="00D907AF" w:rsidRPr="0087485F" w:rsidRDefault="00D907AF" w:rsidP="00B27677">
            <w:pPr>
              <w:spacing w:before="20" w:after="20"/>
              <w:ind w:right="113"/>
              <w:jc w:val="right"/>
              <w:rPr>
                <w:rFonts w:cstheme="minorHAnsi"/>
                <w:color w:val="000000"/>
                <w:sz w:val="20"/>
                <w:szCs w:val="20"/>
              </w:rPr>
            </w:pPr>
            <w:r w:rsidRPr="0087485F">
              <w:rPr>
                <w:rFonts w:cstheme="minorHAnsi"/>
                <w:color w:val="000000"/>
                <w:sz w:val="20"/>
                <w:szCs w:val="20"/>
              </w:rPr>
              <w:t>21</w:t>
            </w:r>
          </w:p>
        </w:tc>
        <w:tc>
          <w:tcPr>
            <w:tcW w:w="765" w:type="dxa"/>
            <w:shd w:val="clear" w:color="auto" w:fill="auto"/>
          </w:tcPr>
          <w:p w:rsidR="00D907AF" w:rsidRPr="0087485F" w:rsidRDefault="00D907AF" w:rsidP="00AA3C18">
            <w:pPr>
              <w:spacing w:before="20" w:after="20"/>
              <w:jc w:val="right"/>
              <w:rPr>
                <w:rFonts w:cstheme="minorHAnsi"/>
                <w:color w:val="000000"/>
                <w:sz w:val="20"/>
                <w:szCs w:val="20"/>
              </w:rPr>
            </w:pPr>
            <w:r w:rsidRPr="0087485F">
              <w:rPr>
                <w:rFonts w:cstheme="minorHAnsi"/>
                <w:color w:val="000000"/>
                <w:sz w:val="20"/>
                <w:szCs w:val="20"/>
              </w:rPr>
              <w:t>1.9</w:t>
            </w:r>
          </w:p>
        </w:tc>
      </w:tr>
      <w:tr w:rsidR="00D907AF" w:rsidRPr="0087485F" w:rsidTr="00A8574A">
        <w:tc>
          <w:tcPr>
            <w:tcW w:w="4077" w:type="dxa"/>
            <w:shd w:val="clear" w:color="auto" w:fill="auto"/>
          </w:tcPr>
          <w:p w:rsidR="00D907AF" w:rsidRPr="0087485F" w:rsidRDefault="00D907AF" w:rsidP="00AA3C18">
            <w:pPr>
              <w:spacing w:before="20" w:after="20"/>
              <w:rPr>
                <w:rFonts w:cstheme="minorHAnsi"/>
                <w:sz w:val="20"/>
                <w:szCs w:val="20"/>
              </w:rPr>
            </w:pPr>
            <w:r w:rsidRPr="0087485F">
              <w:rPr>
                <w:rFonts w:cstheme="minorHAnsi"/>
                <w:sz w:val="20"/>
                <w:szCs w:val="20"/>
              </w:rPr>
              <w:t>Newstart allowance</w:t>
            </w:r>
          </w:p>
        </w:tc>
        <w:tc>
          <w:tcPr>
            <w:tcW w:w="624" w:type="dxa"/>
            <w:shd w:val="clear" w:color="auto" w:fill="auto"/>
          </w:tcPr>
          <w:p w:rsidR="00D907AF" w:rsidRPr="0087485F" w:rsidRDefault="00D907AF" w:rsidP="00AA3C18">
            <w:pPr>
              <w:spacing w:before="20" w:after="20"/>
              <w:jc w:val="right"/>
              <w:rPr>
                <w:rFonts w:cstheme="minorHAnsi"/>
                <w:color w:val="000000"/>
                <w:sz w:val="20"/>
                <w:szCs w:val="20"/>
              </w:rPr>
            </w:pPr>
            <w:r w:rsidRPr="0087485F">
              <w:rPr>
                <w:rFonts w:cstheme="minorHAnsi"/>
                <w:color w:val="000000"/>
                <w:sz w:val="20"/>
                <w:szCs w:val="20"/>
              </w:rPr>
              <w:t>0</w:t>
            </w:r>
          </w:p>
        </w:tc>
        <w:tc>
          <w:tcPr>
            <w:tcW w:w="709" w:type="dxa"/>
            <w:shd w:val="clear" w:color="auto" w:fill="auto"/>
          </w:tcPr>
          <w:p w:rsidR="00D907AF" w:rsidRPr="0087485F" w:rsidRDefault="00D907AF" w:rsidP="00A80201">
            <w:pPr>
              <w:spacing w:before="20" w:after="20"/>
              <w:ind w:right="-57"/>
              <w:jc w:val="right"/>
              <w:rPr>
                <w:rFonts w:cstheme="minorHAnsi"/>
                <w:color w:val="000000"/>
                <w:sz w:val="20"/>
                <w:szCs w:val="20"/>
              </w:rPr>
            </w:pPr>
            <w:r w:rsidRPr="0087485F">
              <w:rPr>
                <w:rFonts w:cstheme="minorHAnsi"/>
                <w:color w:val="000000"/>
                <w:sz w:val="20"/>
                <w:szCs w:val="20"/>
              </w:rPr>
              <w:t>0.0</w:t>
            </w:r>
          </w:p>
        </w:tc>
        <w:tc>
          <w:tcPr>
            <w:tcW w:w="1077" w:type="dxa"/>
            <w:shd w:val="clear" w:color="auto" w:fill="auto"/>
          </w:tcPr>
          <w:p w:rsidR="00D907AF" w:rsidRPr="0087485F" w:rsidRDefault="00D907AF" w:rsidP="00AA3C18">
            <w:pPr>
              <w:spacing w:before="20" w:after="20"/>
              <w:ind w:right="170"/>
              <w:jc w:val="right"/>
              <w:rPr>
                <w:rFonts w:cstheme="minorHAnsi"/>
                <w:color w:val="000000"/>
                <w:sz w:val="20"/>
                <w:szCs w:val="20"/>
              </w:rPr>
            </w:pPr>
            <w:r w:rsidRPr="0087485F">
              <w:rPr>
                <w:rFonts w:cstheme="minorHAnsi"/>
                <w:color w:val="000000"/>
                <w:sz w:val="20"/>
                <w:szCs w:val="20"/>
              </w:rPr>
              <w:t>15</w:t>
            </w:r>
          </w:p>
        </w:tc>
        <w:tc>
          <w:tcPr>
            <w:tcW w:w="1134" w:type="dxa"/>
            <w:shd w:val="clear" w:color="auto" w:fill="auto"/>
          </w:tcPr>
          <w:p w:rsidR="00D907AF" w:rsidRPr="0087485F" w:rsidRDefault="00D907AF" w:rsidP="00B27677">
            <w:pPr>
              <w:spacing w:before="20" w:after="20"/>
              <w:ind w:right="227"/>
              <w:jc w:val="right"/>
              <w:rPr>
                <w:rFonts w:cstheme="minorHAnsi"/>
                <w:color w:val="000000"/>
                <w:sz w:val="20"/>
                <w:szCs w:val="20"/>
              </w:rPr>
            </w:pPr>
            <w:r w:rsidRPr="0087485F">
              <w:rPr>
                <w:rFonts w:cstheme="minorHAnsi"/>
                <w:color w:val="000000"/>
                <w:sz w:val="20"/>
                <w:szCs w:val="20"/>
              </w:rPr>
              <w:t>2.4</w:t>
            </w:r>
          </w:p>
        </w:tc>
        <w:tc>
          <w:tcPr>
            <w:tcW w:w="794" w:type="dxa"/>
            <w:shd w:val="clear" w:color="auto" w:fill="auto"/>
          </w:tcPr>
          <w:p w:rsidR="00D907AF" w:rsidRPr="0087485F" w:rsidRDefault="00D907AF" w:rsidP="00B27677">
            <w:pPr>
              <w:spacing w:before="20" w:after="20"/>
              <w:ind w:right="113"/>
              <w:jc w:val="right"/>
              <w:rPr>
                <w:rFonts w:cstheme="minorHAnsi"/>
                <w:color w:val="000000"/>
                <w:sz w:val="20"/>
                <w:szCs w:val="20"/>
              </w:rPr>
            </w:pPr>
            <w:r w:rsidRPr="0087485F">
              <w:rPr>
                <w:rFonts w:cstheme="minorHAnsi"/>
                <w:color w:val="000000"/>
                <w:sz w:val="20"/>
                <w:szCs w:val="20"/>
              </w:rPr>
              <w:t>15</w:t>
            </w:r>
          </w:p>
        </w:tc>
        <w:tc>
          <w:tcPr>
            <w:tcW w:w="765" w:type="dxa"/>
            <w:shd w:val="clear" w:color="auto" w:fill="auto"/>
          </w:tcPr>
          <w:p w:rsidR="00D907AF" w:rsidRPr="0087485F" w:rsidRDefault="00D907AF" w:rsidP="00AA3C18">
            <w:pPr>
              <w:spacing w:before="20" w:after="20"/>
              <w:jc w:val="right"/>
              <w:rPr>
                <w:rFonts w:cstheme="minorHAnsi"/>
                <w:color w:val="000000"/>
                <w:sz w:val="20"/>
                <w:szCs w:val="20"/>
              </w:rPr>
            </w:pPr>
            <w:r w:rsidRPr="0087485F">
              <w:rPr>
                <w:rFonts w:cstheme="minorHAnsi"/>
                <w:color w:val="000000"/>
                <w:sz w:val="20"/>
                <w:szCs w:val="20"/>
              </w:rPr>
              <w:t>1.4</w:t>
            </w:r>
          </w:p>
        </w:tc>
      </w:tr>
      <w:tr w:rsidR="00D907AF" w:rsidRPr="0087485F" w:rsidTr="00A8574A">
        <w:tc>
          <w:tcPr>
            <w:tcW w:w="4077" w:type="dxa"/>
            <w:shd w:val="clear" w:color="auto" w:fill="auto"/>
          </w:tcPr>
          <w:p w:rsidR="00D907AF" w:rsidRPr="0087485F" w:rsidRDefault="00D907AF" w:rsidP="00AA3C18">
            <w:pPr>
              <w:spacing w:before="20" w:after="20"/>
              <w:rPr>
                <w:rFonts w:cstheme="minorHAnsi"/>
                <w:sz w:val="20"/>
                <w:szCs w:val="20"/>
              </w:rPr>
            </w:pPr>
            <w:r w:rsidRPr="0087485F">
              <w:rPr>
                <w:rFonts w:cstheme="minorHAnsi"/>
                <w:sz w:val="20"/>
                <w:szCs w:val="20"/>
              </w:rPr>
              <w:t>Partner allowance</w:t>
            </w:r>
          </w:p>
        </w:tc>
        <w:tc>
          <w:tcPr>
            <w:tcW w:w="624" w:type="dxa"/>
            <w:shd w:val="clear" w:color="auto" w:fill="auto"/>
          </w:tcPr>
          <w:p w:rsidR="00D907AF" w:rsidRPr="0087485F" w:rsidRDefault="00D907AF" w:rsidP="00AA3C18">
            <w:pPr>
              <w:spacing w:before="20" w:after="20"/>
              <w:jc w:val="right"/>
              <w:rPr>
                <w:rFonts w:cstheme="minorHAnsi"/>
                <w:color w:val="000000"/>
                <w:sz w:val="20"/>
                <w:szCs w:val="20"/>
              </w:rPr>
            </w:pPr>
            <w:r w:rsidRPr="0087485F">
              <w:rPr>
                <w:rFonts w:cstheme="minorHAnsi"/>
                <w:color w:val="000000"/>
                <w:sz w:val="20"/>
                <w:szCs w:val="20"/>
              </w:rPr>
              <w:t>0</w:t>
            </w:r>
          </w:p>
        </w:tc>
        <w:tc>
          <w:tcPr>
            <w:tcW w:w="709" w:type="dxa"/>
            <w:shd w:val="clear" w:color="auto" w:fill="auto"/>
          </w:tcPr>
          <w:p w:rsidR="00D907AF" w:rsidRPr="0087485F" w:rsidRDefault="00D907AF" w:rsidP="00A80201">
            <w:pPr>
              <w:spacing w:before="20" w:after="20"/>
              <w:ind w:right="-57"/>
              <w:jc w:val="right"/>
              <w:rPr>
                <w:rFonts w:cstheme="minorHAnsi"/>
                <w:color w:val="000000"/>
                <w:sz w:val="20"/>
                <w:szCs w:val="20"/>
              </w:rPr>
            </w:pPr>
            <w:r w:rsidRPr="0087485F">
              <w:rPr>
                <w:rFonts w:cstheme="minorHAnsi"/>
                <w:color w:val="000000"/>
                <w:sz w:val="20"/>
                <w:szCs w:val="20"/>
              </w:rPr>
              <w:t>0.0</w:t>
            </w:r>
          </w:p>
        </w:tc>
        <w:tc>
          <w:tcPr>
            <w:tcW w:w="1077" w:type="dxa"/>
            <w:shd w:val="clear" w:color="auto" w:fill="auto"/>
          </w:tcPr>
          <w:p w:rsidR="00D907AF" w:rsidRPr="0087485F" w:rsidRDefault="00D907AF" w:rsidP="00AA3C18">
            <w:pPr>
              <w:spacing w:before="20" w:after="20"/>
              <w:ind w:right="170"/>
              <w:jc w:val="right"/>
              <w:rPr>
                <w:rFonts w:cstheme="minorHAnsi"/>
                <w:color w:val="000000"/>
                <w:sz w:val="20"/>
                <w:szCs w:val="20"/>
              </w:rPr>
            </w:pPr>
            <w:r w:rsidRPr="0087485F">
              <w:rPr>
                <w:rFonts w:cstheme="minorHAnsi"/>
                <w:color w:val="000000"/>
                <w:sz w:val="20"/>
                <w:szCs w:val="20"/>
              </w:rPr>
              <w:t>2</w:t>
            </w:r>
          </w:p>
        </w:tc>
        <w:tc>
          <w:tcPr>
            <w:tcW w:w="1134" w:type="dxa"/>
            <w:shd w:val="clear" w:color="auto" w:fill="auto"/>
          </w:tcPr>
          <w:p w:rsidR="00D907AF" w:rsidRPr="0087485F" w:rsidRDefault="00D907AF" w:rsidP="00B27677">
            <w:pPr>
              <w:spacing w:before="20" w:after="20"/>
              <w:ind w:right="227"/>
              <w:jc w:val="right"/>
              <w:rPr>
                <w:rFonts w:cstheme="minorHAnsi"/>
                <w:color w:val="000000"/>
                <w:sz w:val="20"/>
                <w:szCs w:val="20"/>
              </w:rPr>
            </w:pPr>
            <w:r w:rsidRPr="0087485F">
              <w:rPr>
                <w:rFonts w:cstheme="minorHAnsi"/>
                <w:color w:val="000000"/>
                <w:sz w:val="20"/>
                <w:szCs w:val="20"/>
              </w:rPr>
              <w:t>0.3</w:t>
            </w:r>
          </w:p>
        </w:tc>
        <w:tc>
          <w:tcPr>
            <w:tcW w:w="794" w:type="dxa"/>
            <w:shd w:val="clear" w:color="auto" w:fill="auto"/>
          </w:tcPr>
          <w:p w:rsidR="00D907AF" w:rsidRPr="0087485F" w:rsidRDefault="00D907AF" w:rsidP="00B27677">
            <w:pPr>
              <w:spacing w:before="20" w:after="20"/>
              <w:ind w:right="113"/>
              <w:jc w:val="right"/>
              <w:rPr>
                <w:rFonts w:cstheme="minorHAnsi"/>
                <w:color w:val="000000"/>
                <w:sz w:val="20"/>
                <w:szCs w:val="20"/>
              </w:rPr>
            </w:pPr>
            <w:r w:rsidRPr="0087485F">
              <w:rPr>
                <w:rFonts w:cstheme="minorHAnsi"/>
                <w:color w:val="000000"/>
                <w:sz w:val="20"/>
                <w:szCs w:val="20"/>
              </w:rPr>
              <w:t>2</w:t>
            </w:r>
          </w:p>
        </w:tc>
        <w:tc>
          <w:tcPr>
            <w:tcW w:w="765" w:type="dxa"/>
            <w:shd w:val="clear" w:color="auto" w:fill="auto"/>
          </w:tcPr>
          <w:p w:rsidR="00D907AF" w:rsidRPr="0087485F" w:rsidRDefault="00D907AF" w:rsidP="00AA3C18">
            <w:pPr>
              <w:spacing w:before="20" w:after="20"/>
              <w:jc w:val="right"/>
              <w:rPr>
                <w:rFonts w:cstheme="minorHAnsi"/>
                <w:color w:val="000000"/>
                <w:sz w:val="20"/>
                <w:szCs w:val="20"/>
              </w:rPr>
            </w:pPr>
            <w:r w:rsidRPr="0087485F">
              <w:rPr>
                <w:rFonts w:cstheme="minorHAnsi"/>
                <w:color w:val="000000"/>
                <w:sz w:val="20"/>
                <w:szCs w:val="20"/>
              </w:rPr>
              <w:t>0.2</w:t>
            </w:r>
          </w:p>
        </w:tc>
      </w:tr>
      <w:tr w:rsidR="00D907AF" w:rsidRPr="0087485F" w:rsidTr="00A8574A">
        <w:tc>
          <w:tcPr>
            <w:tcW w:w="4077" w:type="dxa"/>
            <w:shd w:val="clear" w:color="auto" w:fill="auto"/>
          </w:tcPr>
          <w:p w:rsidR="00D907AF" w:rsidRPr="0087485F" w:rsidRDefault="00D907AF" w:rsidP="00AA3C18">
            <w:pPr>
              <w:spacing w:before="20" w:after="20"/>
              <w:rPr>
                <w:rFonts w:cstheme="minorHAnsi"/>
                <w:sz w:val="20"/>
                <w:szCs w:val="20"/>
              </w:rPr>
            </w:pPr>
            <w:r w:rsidRPr="0087485F">
              <w:rPr>
                <w:rFonts w:cstheme="minorHAnsi"/>
                <w:sz w:val="20"/>
                <w:szCs w:val="20"/>
              </w:rPr>
              <w:t>Australian Age Pension</w:t>
            </w:r>
          </w:p>
        </w:tc>
        <w:tc>
          <w:tcPr>
            <w:tcW w:w="624" w:type="dxa"/>
            <w:shd w:val="clear" w:color="auto" w:fill="auto"/>
          </w:tcPr>
          <w:p w:rsidR="00D907AF" w:rsidRPr="0087485F" w:rsidRDefault="00D907AF" w:rsidP="00AA3C18">
            <w:pPr>
              <w:spacing w:before="20" w:after="20"/>
              <w:jc w:val="right"/>
              <w:rPr>
                <w:rFonts w:cstheme="minorHAnsi"/>
                <w:color w:val="000000"/>
                <w:sz w:val="20"/>
                <w:szCs w:val="20"/>
              </w:rPr>
            </w:pPr>
            <w:r w:rsidRPr="0087485F">
              <w:rPr>
                <w:rFonts w:cstheme="minorHAnsi"/>
                <w:color w:val="000000"/>
                <w:sz w:val="20"/>
                <w:szCs w:val="20"/>
              </w:rPr>
              <w:t>2</w:t>
            </w:r>
          </w:p>
        </w:tc>
        <w:tc>
          <w:tcPr>
            <w:tcW w:w="709" w:type="dxa"/>
            <w:shd w:val="clear" w:color="auto" w:fill="auto"/>
          </w:tcPr>
          <w:p w:rsidR="00D907AF" w:rsidRPr="0087485F" w:rsidRDefault="00D907AF" w:rsidP="00A80201">
            <w:pPr>
              <w:spacing w:before="20" w:after="20"/>
              <w:ind w:right="-57"/>
              <w:jc w:val="right"/>
              <w:rPr>
                <w:rFonts w:cstheme="minorHAnsi"/>
                <w:color w:val="000000"/>
                <w:sz w:val="20"/>
                <w:szCs w:val="20"/>
              </w:rPr>
            </w:pPr>
            <w:r w:rsidRPr="0087485F">
              <w:rPr>
                <w:rFonts w:cstheme="minorHAnsi"/>
                <w:color w:val="000000"/>
                <w:sz w:val="20"/>
                <w:szCs w:val="20"/>
              </w:rPr>
              <w:t>0.4</w:t>
            </w:r>
          </w:p>
        </w:tc>
        <w:tc>
          <w:tcPr>
            <w:tcW w:w="1077" w:type="dxa"/>
            <w:shd w:val="clear" w:color="auto" w:fill="auto"/>
          </w:tcPr>
          <w:p w:rsidR="00D907AF" w:rsidRPr="0087485F" w:rsidRDefault="00D907AF" w:rsidP="00AA3C18">
            <w:pPr>
              <w:spacing w:before="20" w:after="20"/>
              <w:ind w:right="170"/>
              <w:jc w:val="right"/>
              <w:rPr>
                <w:rFonts w:cstheme="minorHAnsi"/>
                <w:color w:val="000000"/>
                <w:sz w:val="20"/>
                <w:szCs w:val="20"/>
              </w:rPr>
            </w:pPr>
            <w:r w:rsidRPr="0087485F">
              <w:rPr>
                <w:rFonts w:cstheme="minorHAnsi"/>
                <w:color w:val="000000"/>
                <w:sz w:val="20"/>
                <w:szCs w:val="20"/>
              </w:rPr>
              <w:t>11</w:t>
            </w:r>
          </w:p>
        </w:tc>
        <w:tc>
          <w:tcPr>
            <w:tcW w:w="1134" w:type="dxa"/>
            <w:shd w:val="clear" w:color="auto" w:fill="auto"/>
          </w:tcPr>
          <w:p w:rsidR="00D907AF" w:rsidRPr="0087485F" w:rsidRDefault="00D907AF" w:rsidP="00B27677">
            <w:pPr>
              <w:spacing w:before="20" w:after="20"/>
              <w:ind w:right="227"/>
              <w:jc w:val="right"/>
              <w:rPr>
                <w:rFonts w:cstheme="minorHAnsi"/>
                <w:color w:val="000000"/>
                <w:sz w:val="20"/>
                <w:szCs w:val="20"/>
              </w:rPr>
            </w:pPr>
            <w:r w:rsidRPr="0087485F">
              <w:rPr>
                <w:rFonts w:cstheme="minorHAnsi"/>
                <w:color w:val="000000"/>
                <w:sz w:val="20"/>
                <w:szCs w:val="20"/>
              </w:rPr>
              <w:t>1.7</w:t>
            </w:r>
          </w:p>
        </w:tc>
        <w:tc>
          <w:tcPr>
            <w:tcW w:w="794" w:type="dxa"/>
            <w:shd w:val="clear" w:color="auto" w:fill="auto"/>
          </w:tcPr>
          <w:p w:rsidR="00D907AF" w:rsidRPr="0087485F" w:rsidRDefault="00D907AF" w:rsidP="00B27677">
            <w:pPr>
              <w:spacing w:before="20" w:after="20"/>
              <w:ind w:right="113"/>
              <w:jc w:val="right"/>
              <w:rPr>
                <w:rFonts w:cstheme="minorHAnsi"/>
                <w:color w:val="000000"/>
                <w:sz w:val="20"/>
                <w:szCs w:val="20"/>
              </w:rPr>
            </w:pPr>
            <w:r w:rsidRPr="0087485F">
              <w:rPr>
                <w:rFonts w:cstheme="minorHAnsi"/>
                <w:color w:val="000000"/>
                <w:sz w:val="20"/>
                <w:szCs w:val="20"/>
              </w:rPr>
              <w:t>13</w:t>
            </w:r>
          </w:p>
        </w:tc>
        <w:tc>
          <w:tcPr>
            <w:tcW w:w="765" w:type="dxa"/>
            <w:shd w:val="clear" w:color="auto" w:fill="auto"/>
          </w:tcPr>
          <w:p w:rsidR="00D907AF" w:rsidRPr="0087485F" w:rsidRDefault="00D907AF" w:rsidP="00AA3C18">
            <w:pPr>
              <w:spacing w:before="20" w:after="20"/>
              <w:jc w:val="right"/>
              <w:rPr>
                <w:rFonts w:cstheme="minorHAnsi"/>
                <w:color w:val="000000"/>
                <w:sz w:val="20"/>
                <w:szCs w:val="20"/>
              </w:rPr>
            </w:pPr>
            <w:r w:rsidRPr="0087485F">
              <w:rPr>
                <w:rFonts w:cstheme="minorHAnsi"/>
                <w:color w:val="000000"/>
                <w:sz w:val="20"/>
                <w:szCs w:val="20"/>
              </w:rPr>
              <w:t>1.2</w:t>
            </w:r>
          </w:p>
        </w:tc>
      </w:tr>
      <w:tr w:rsidR="00D907AF" w:rsidRPr="0087485F" w:rsidTr="00A8574A">
        <w:tc>
          <w:tcPr>
            <w:tcW w:w="4077" w:type="dxa"/>
            <w:shd w:val="clear" w:color="auto" w:fill="auto"/>
          </w:tcPr>
          <w:p w:rsidR="00D907AF" w:rsidRPr="0087485F" w:rsidRDefault="00D907AF" w:rsidP="00AA3C18">
            <w:pPr>
              <w:spacing w:before="20" w:after="20"/>
              <w:rPr>
                <w:rFonts w:cstheme="minorHAnsi"/>
                <w:sz w:val="20"/>
                <w:szCs w:val="20"/>
              </w:rPr>
            </w:pPr>
            <w:r w:rsidRPr="0087485F">
              <w:rPr>
                <w:rFonts w:cstheme="minorHAnsi"/>
                <w:sz w:val="20"/>
                <w:szCs w:val="20"/>
              </w:rPr>
              <w:t>None</w:t>
            </w:r>
          </w:p>
        </w:tc>
        <w:tc>
          <w:tcPr>
            <w:tcW w:w="624" w:type="dxa"/>
            <w:shd w:val="clear" w:color="auto" w:fill="auto"/>
          </w:tcPr>
          <w:p w:rsidR="00D907AF" w:rsidRPr="0087485F" w:rsidRDefault="00D907AF" w:rsidP="00AA3C18">
            <w:pPr>
              <w:spacing w:before="20" w:after="20"/>
              <w:jc w:val="right"/>
              <w:rPr>
                <w:rFonts w:cstheme="minorHAnsi"/>
                <w:color w:val="000000"/>
                <w:sz w:val="20"/>
                <w:szCs w:val="20"/>
              </w:rPr>
            </w:pPr>
            <w:r w:rsidRPr="0087485F">
              <w:rPr>
                <w:rFonts w:cstheme="minorHAnsi"/>
                <w:color w:val="000000"/>
                <w:sz w:val="20"/>
                <w:szCs w:val="20"/>
              </w:rPr>
              <w:t>13</w:t>
            </w:r>
          </w:p>
        </w:tc>
        <w:tc>
          <w:tcPr>
            <w:tcW w:w="709" w:type="dxa"/>
            <w:shd w:val="clear" w:color="auto" w:fill="auto"/>
          </w:tcPr>
          <w:p w:rsidR="00D907AF" w:rsidRPr="0087485F" w:rsidRDefault="00D907AF" w:rsidP="00A80201">
            <w:pPr>
              <w:spacing w:before="20" w:after="20"/>
              <w:ind w:right="-57"/>
              <w:jc w:val="right"/>
              <w:rPr>
                <w:rFonts w:cstheme="minorHAnsi"/>
                <w:color w:val="000000"/>
                <w:sz w:val="20"/>
                <w:szCs w:val="20"/>
              </w:rPr>
            </w:pPr>
            <w:r w:rsidRPr="0087485F">
              <w:rPr>
                <w:rFonts w:cstheme="minorHAnsi"/>
                <w:color w:val="000000"/>
                <w:sz w:val="20"/>
                <w:szCs w:val="20"/>
              </w:rPr>
              <w:t>2.8</w:t>
            </w:r>
          </w:p>
        </w:tc>
        <w:tc>
          <w:tcPr>
            <w:tcW w:w="1077" w:type="dxa"/>
            <w:shd w:val="clear" w:color="auto" w:fill="auto"/>
          </w:tcPr>
          <w:p w:rsidR="00D907AF" w:rsidRPr="0087485F" w:rsidRDefault="00D907AF" w:rsidP="00AA3C18">
            <w:pPr>
              <w:spacing w:before="20" w:after="20"/>
              <w:ind w:right="170"/>
              <w:jc w:val="right"/>
              <w:rPr>
                <w:rFonts w:cstheme="minorHAnsi"/>
                <w:color w:val="000000"/>
                <w:sz w:val="20"/>
                <w:szCs w:val="20"/>
              </w:rPr>
            </w:pPr>
            <w:r w:rsidRPr="0087485F">
              <w:rPr>
                <w:rFonts w:cstheme="minorHAnsi"/>
                <w:color w:val="000000"/>
                <w:sz w:val="20"/>
                <w:szCs w:val="20"/>
              </w:rPr>
              <w:t>20</w:t>
            </w:r>
          </w:p>
        </w:tc>
        <w:tc>
          <w:tcPr>
            <w:tcW w:w="1134" w:type="dxa"/>
            <w:shd w:val="clear" w:color="auto" w:fill="auto"/>
          </w:tcPr>
          <w:p w:rsidR="00D907AF" w:rsidRPr="0087485F" w:rsidRDefault="00D907AF" w:rsidP="00B27677">
            <w:pPr>
              <w:spacing w:before="20" w:after="20"/>
              <w:ind w:right="227"/>
              <w:jc w:val="right"/>
              <w:rPr>
                <w:rFonts w:cstheme="minorHAnsi"/>
                <w:color w:val="000000"/>
                <w:sz w:val="20"/>
                <w:szCs w:val="20"/>
              </w:rPr>
            </w:pPr>
            <w:r w:rsidRPr="0087485F">
              <w:rPr>
                <w:rFonts w:cstheme="minorHAnsi"/>
                <w:color w:val="000000"/>
                <w:sz w:val="20"/>
                <w:szCs w:val="20"/>
              </w:rPr>
              <w:t>3.1</w:t>
            </w:r>
          </w:p>
        </w:tc>
        <w:tc>
          <w:tcPr>
            <w:tcW w:w="794" w:type="dxa"/>
            <w:shd w:val="clear" w:color="auto" w:fill="auto"/>
          </w:tcPr>
          <w:p w:rsidR="00D907AF" w:rsidRPr="0087485F" w:rsidRDefault="00D907AF" w:rsidP="00B27677">
            <w:pPr>
              <w:spacing w:before="20" w:after="20"/>
              <w:ind w:right="113"/>
              <w:jc w:val="right"/>
              <w:rPr>
                <w:rFonts w:cstheme="minorHAnsi"/>
                <w:color w:val="000000"/>
                <w:sz w:val="20"/>
                <w:szCs w:val="20"/>
              </w:rPr>
            </w:pPr>
            <w:r w:rsidRPr="0087485F">
              <w:rPr>
                <w:rFonts w:cstheme="minorHAnsi"/>
                <w:color w:val="000000"/>
                <w:sz w:val="20"/>
                <w:szCs w:val="20"/>
              </w:rPr>
              <w:t>33</w:t>
            </w:r>
          </w:p>
        </w:tc>
        <w:tc>
          <w:tcPr>
            <w:tcW w:w="765" w:type="dxa"/>
            <w:shd w:val="clear" w:color="auto" w:fill="auto"/>
          </w:tcPr>
          <w:p w:rsidR="00D907AF" w:rsidRPr="0087485F" w:rsidRDefault="00D907AF" w:rsidP="00AA3C18">
            <w:pPr>
              <w:spacing w:before="20" w:after="20"/>
              <w:jc w:val="right"/>
              <w:rPr>
                <w:rFonts w:cstheme="minorHAnsi"/>
                <w:color w:val="000000"/>
                <w:sz w:val="20"/>
                <w:szCs w:val="20"/>
              </w:rPr>
            </w:pPr>
            <w:r w:rsidRPr="0087485F">
              <w:rPr>
                <w:rFonts w:cstheme="minorHAnsi"/>
                <w:color w:val="000000"/>
                <w:sz w:val="20"/>
                <w:szCs w:val="20"/>
              </w:rPr>
              <w:t>3.0</w:t>
            </w:r>
          </w:p>
        </w:tc>
      </w:tr>
      <w:tr w:rsidR="00D907AF" w:rsidRPr="0087485F" w:rsidTr="00A8574A">
        <w:tc>
          <w:tcPr>
            <w:tcW w:w="4077" w:type="dxa"/>
          </w:tcPr>
          <w:p w:rsidR="00D907AF" w:rsidRPr="0087485F" w:rsidRDefault="00D907AF" w:rsidP="00AA3C18">
            <w:pPr>
              <w:spacing w:before="20" w:after="20"/>
              <w:rPr>
                <w:rFonts w:cstheme="minorHAnsi"/>
                <w:sz w:val="20"/>
                <w:szCs w:val="20"/>
              </w:rPr>
            </w:pPr>
            <w:r w:rsidRPr="0087485F">
              <w:rPr>
                <w:rFonts w:cstheme="minorHAnsi"/>
                <w:sz w:val="20"/>
                <w:szCs w:val="20"/>
              </w:rPr>
              <w:t>Don’t know</w:t>
            </w:r>
          </w:p>
        </w:tc>
        <w:tc>
          <w:tcPr>
            <w:tcW w:w="624" w:type="dxa"/>
          </w:tcPr>
          <w:p w:rsidR="00D907AF" w:rsidRPr="0087485F" w:rsidRDefault="00D907AF" w:rsidP="00AA3C18">
            <w:pPr>
              <w:spacing w:before="20" w:after="20"/>
              <w:jc w:val="right"/>
              <w:rPr>
                <w:rFonts w:cstheme="minorHAnsi"/>
                <w:color w:val="000000"/>
                <w:sz w:val="20"/>
                <w:szCs w:val="20"/>
              </w:rPr>
            </w:pPr>
            <w:r w:rsidRPr="0087485F">
              <w:rPr>
                <w:rFonts w:cstheme="minorHAnsi"/>
                <w:color w:val="000000"/>
                <w:sz w:val="20"/>
                <w:szCs w:val="20"/>
              </w:rPr>
              <w:t>0</w:t>
            </w:r>
          </w:p>
        </w:tc>
        <w:tc>
          <w:tcPr>
            <w:tcW w:w="709" w:type="dxa"/>
          </w:tcPr>
          <w:p w:rsidR="00D907AF" w:rsidRPr="0087485F" w:rsidRDefault="00D907AF" w:rsidP="00A80201">
            <w:pPr>
              <w:spacing w:before="20" w:after="20"/>
              <w:ind w:right="-57"/>
              <w:jc w:val="right"/>
              <w:rPr>
                <w:rFonts w:cstheme="minorHAnsi"/>
                <w:color w:val="000000"/>
                <w:sz w:val="20"/>
                <w:szCs w:val="20"/>
              </w:rPr>
            </w:pPr>
            <w:r w:rsidRPr="0087485F">
              <w:rPr>
                <w:rFonts w:cstheme="minorHAnsi"/>
                <w:color w:val="000000"/>
                <w:sz w:val="20"/>
                <w:szCs w:val="20"/>
              </w:rPr>
              <w:t>0.0</w:t>
            </w:r>
          </w:p>
        </w:tc>
        <w:tc>
          <w:tcPr>
            <w:tcW w:w="1077" w:type="dxa"/>
          </w:tcPr>
          <w:p w:rsidR="00D907AF" w:rsidRPr="0087485F" w:rsidRDefault="00D907AF" w:rsidP="00AA3C18">
            <w:pPr>
              <w:spacing w:before="20" w:after="20"/>
              <w:ind w:right="170"/>
              <w:jc w:val="right"/>
              <w:rPr>
                <w:rFonts w:cstheme="minorHAnsi"/>
                <w:color w:val="000000"/>
                <w:sz w:val="20"/>
                <w:szCs w:val="20"/>
              </w:rPr>
            </w:pPr>
            <w:r w:rsidRPr="0087485F">
              <w:rPr>
                <w:rFonts w:cstheme="minorHAnsi"/>
                <w:color w:val="000000"/>
                <w:sz w:val="20"/>
                <w:szCs w:val="20"/>
              </w:rPr>
              <w:t>11</w:t>
            </w:r>
          </w:p>
        </w:tc>
        <w:tc>
          <w:tcPr>
            <w:tcW w:w="1134" w:type="dxa"/>
          </w:tcPr>
          <w:p w:rsidR="00D907AF" w:rsidRPr="0087485F" w:rsidRDefault="00D907AF" w:rsidP="00B27677">
            <w:pPr>
              <w:spacing w:before="20" w:after="20"/>
              <w:ind w:right="227"/>
              <w:jc w:val="right"/>
              <w:rPr>
                <w:rFonts w:cstheme="minorHAnsi"/>
                <w:color w:val="000000"/>
                <w:sz w:val="20"/>
                <w:szCs w:val="20"/>
              </w:rPr>
            </w:pPr>
            <w:r w:rsidRPr="0087485F">
              <w:rPr>
                <w:rFonts w:cstheme="minorHAnsi"/>
                <w:color w:val="000000"/>
                <w:sz w:val="20"/>
                <w:szCs w:val="20"/>
              </w:rPr>
              <w:t>1.7</w:t>
            </w:r>
          </w:p>
        </w:tc>
        <w:tc>
          <w:tcPr>
            <w:tcW w:w="794" w:type="dxa"/>
          </w:tcPr>
          <w:p w:rsidR="00D907AF" w:rsidRPr="0087485F" w:rsidRDefault="00D907AF" w:rsidP="00B27677">
            <w:pPr>
              <w:spacing w:before="20" w:after="20"/>
              <w:ind w:right="113"/>
              <w:jc w:val="right"/>
              <w:rPr>
                <w:rFonts w:cstheme="minorHAnsi"/>
                <w:color w:val="000000"/>
                <w:sz w:val="20"/>
                <w:szCs w:val="20"/>
              </w:rPr>
            </w:pPr>
            <w:r w:rsidRPr="0087485F">
              <w:rPr>
                <w:rFonts w:cstheme="minorHAnsi"/>
                <w:color w:val="000000"/>
                <w:sz w:val="20"/>
                <w:szCs w:val="20"/>
              </w:rPr>
              <w:t>11</w:t>
            </w:r>
          </w:p>
        </w:tc>
        <w:tc>
          <w:tcPr>
            <w:tcW w:w="765" w:type="dxa"/>
          </w:tcPr>
          <w:p w:rsidR="00D907AF" w:rsidRPr="0087485F" w:rsidRDefault="00D907AF" w:rsidP="00AA3C18">
            <w:pPr>
              <w:spacing w:before="20" w:after="20"/>
              <w:jc w:val="right"/>
              <w:rPr>
                <w:rFonts w:cstheme="minorHAnsi"/>
                <w:color w:val="000000"/>
                <w:sz w:val="20"/>
                <w:szCs w:val="20"/>
              </w:rPr>
            </w:pPr>
            <w:r w:rsidRPr="0087485F">
              <w:rPr>
                <w:rFonts w:cstheme="minorHAnsi"/>
                <w:color w:val="000000"/>
                <w:sz w:val="20"/>
                <w:szCs w:val="20"/>
              </w:rPr>
              <w:t>1.0</w:t>
            </w:r>
          </w:p>
        </w:tc>
      </w:tr>
      <w:tr w:rsidR="00D907AF" w:rsidRPr="0087485F" w:rsidTr="00A8574A">
        <w:tc>
          <w:tcPr>
            <w:tcW w:w="4077" w:type="dxa"/>
            <w:shd w:val="clear" w:color="auto" w:fill="auto"/>
          </w:tcPr>
          <w:p w:rsidR="00D907AF" w:rsidRPr="0087485F" w:rsidRDefault="00D907AF" w:rsidP="00AA3C18">
            <w:pPr>
              <w:spacing w:before="20" w:after="20"/>
              <w:rPr>
                <w:rFonts w:cstheme="minorHAnsi"/>
                <w:sz w:val="20"/>
                <w:szCs w:val="20"/>
              </w:rPr>
            </w:pPr>
            <w:r w:rsidRPr="0087485F">
              <w:rPr>
                <w:rFonts w:cstheme="minorHAnsi"/>
                <w:sz w:val="20"/>
                <w:szCs w:val="20"/>
              </w:rPr>
              <w:t>Missing</w:t>
            </w:r>
          </w:p>
        </w:tc>
        <w:tc>
          <w:tcPr>
            <w:tcW w:w="624" w:type="dxa"/>
            <w:shd w:val="clear" w:color="auto" w:fill="auto"/>
          </w:tcPr>
          <w:p w:rsidR="00D907AF" w:rsidRPr="0087485F" w:rsidRDefault="00D907AF" w:rsidP="00AA3C18">
            <w:pPr>
              <w:spacing w:before="20" w:after="20"/>
              <w:jc w:val="right"/>
              <w:rPr>
                <w:rFonts w:cstheme="minorHAnsi"/>
                <w:color w:val="000000"/>
                <w:sz w:val="20"/>
                <w:szCs w:val="20"/>
              </w:rPr>
            </w:pPr>
            <w:r w:rsidRPr="0087485F">
              <w:rPr>
                <w:rFonts w:cstheme="minorHAnsi"/>
                <w:color w:val="000000"/>
                <w:sz w:val="20"/>
                <w:szCs w:val="20"/>
              </w:rPr>
              <w:t>33</w:t>
            </w:r>
          </w:p>
        </w:tc>
        <w:tc>
          <w:tcPr>
            <w:tcW w:w="709" w:type="dxa"/>
            <w:shd w:val="clear" w:color="auto" w:fill="auto"/>
          </w:tcPr>
          <w:p w:rsidR="00D907AF" w:rsidRPr="0087485F" w:rsidRDefault="00D907AF" w:rsidP="00A80201">
            <w:pPr>
              <w:spacing w:before="20" w:after="20"/>
              <w:ind w:right="-57"/>
              <w:jc w:val="right"/>
              <w:rPr>
                <w:rFonts w:cstheme="minorHAnsi"/>
                <w:color w:val="000000"/>
                <w:sz w:val="20"/>
                <w:szCs w:val="20"/>
              </w:rPr>
            </w:pPr>
            <w:r w:rsidRPr="0087485F">
              <w:rPr>
                <w:rFonts w:cstheme="minorHAnsi"/>
                <w:color w:val="000000"/>
                <w:sz w:val="20"/>
                <w:szCs w:val="20"/>
              </w:rPr>
              <w:t>7.0</w:t>
            </w:r>
          </w:p>
        </w:tc>
        <w:tc>
          <w:tcPr>
            <w:tcW w:w="1077" w:type="dxa"/>
            <w:shd w:val="clear" w:color="auto" w:fill="auto"/>
          </w:tcPr>
          <w:p w:rsidR="00D907AF" w:rsidRPr="0087485F" w:rsidRDefault="00D907AF" w:rsidP="00AA3C18">
            <w:pPr>
              <w:spacing w:before="20" w:after="20"/>
              <w:ind w:right="170"/>
              <w:jc w:val="right"/>
              <w:rPr>
                <w:rFonts w:cstheme="minorHAnsi"/>
                <w:color w:val="000000"/>
                <w:sz w:val="20"/>
                <w:szCs w:val="20"/>
              </w:rPr>
            </w:pPr>
            <w:r w:rsidRPr="0087485F">
              <w:rPr>
                <w:rFonts w:cstheme="minorHAnsi"/>
                <w:color w:val="000000"/>
                <w:sz w:val="20"/>
                <w:szCs w:val="20"/>
              </w:rPr>
              <w:t>42</w:t>
            </w:r>
          </w:p>
        </w:tc>
        <w:tc>
          <w:tcPr>
            <w:tcW w:w="1134" w:type="dxa"/>
            <w:shd w:val="clear" w:color="auto" w:fill="auto"/>
          </w:tcPr>
          <w:p w:rsidR="00D907AF" w:rsidRPr="0087485F" w:rsidRDefault="00D907AF" w:rsidP="00B27677">
            <w:pPr>
              <w:spacing w:before="20" w:after="20"/>
              <w:ind w:right="227"/>
              <w:jc w:val="right"/>
              <w:rPr>
                <w:rFonts w:cstheme="minorHAnsi"/>
                <w:color w:val="000000"/>
                <w:sz w:val="20"/>
                <w:szCs w:val="20"/>
              </w:rPr>
            </w:pPr>
            <w:r w:rsidRPr="0087485F">
              <w:rPr>
                <w:rFonts w:cstheme="minorHAnsi"/>
                <w:color w:val="000000"/>
                <w:sz w:val="20"/>
                <w:szCs w:val="20"/>
              </w:rPr>
              <w:t>6.6</w:t>
            </w:r>
          </w:p>
        </w:tc>
        <w:tc>
          <w:tcPr>
            <w:tcW w:w="794" w:type="dxa"/>
            <w:shd w:val="clear" w:color="auto" w:fill="auto"/>
          </w:tcPr>
          <w:p w:rsidR="00D907AF" w:rsidRPr="0087485F" w:rsidRDefault="00D907AF" w:rsidP="00B27677">
            <w:pPr>
              <w:spacing w:before="20" w:after="20"/>
              <w:ind w:right="113"/>
              <w:jc w:val="right"/>
              <w:rPr>
                <w:rFonts w:cstheme="minorHAnsi"/>
                <w:color w:val="000000"/>
                <w:sz w:val="20"/>
                <w:szCs w:val="20"/>
              </w:rPr>
            </w:pPr>
            <w:r w:rsidRPr="0087485F">
              <w:rPr>
                <w:rFonts w:cstheme="minorHAnsi"/>
                <w:color w:val="000000"/>
                <w:sz w:val="20"/>
                <w:szCs w:val="20"/>
              </w:rPr>
              <w:t>75</w:t>
            </w:r>
          </w:p>
        </w:tc>
        <w:tc>
          <w:tcPr>
            <w:tcW w:w="765" w:type="dxa"/>
            <w:shd w:val="clear" w:color="auto" w:fill="auto"/>
          </w:tcPr>
          <w:p w:rsidR="00D907AF" w:rsidRPr="0087485F" w:rsidRDefault="00D907AF" w:rsidP="00AA3C18">
            <w:pPr>
              <w:spacing w:before="20" w:after="20"/>
              <w:jc w:val="right"/>
              <w:rPr>
                <w:rFonts w:cstheme="minorHAnsi"/>
                <w:color w:val="000000"/>
                <w:sz w:val="20"/>
                <w:szCs w:val="20"/>
              </w:rPr>
            </w:pPr>
            <w:r w:rsidRPr="0087485F">
              <w:rPr>
                <w:rFonts w:cstheme="minorHAnsi"/>
                <w:color w:val="000000"/>
                <w:sz w:val="20"/>
                <w:szCs w:val="20"/>
              </w:rPr>
              <w:t>6.8</w:t>
            </w:r>
          </w:p>
        </w:tc>
      </w:tr>
      <w:tr w:rsidR="00D907AF" w:rsidRPr="0087485F" w:rsidTr="00A8574A">
        <w:tc>
          <w:tcPr>
            <w:tcW w:w="4077" w:type="dxa"/>
            <w:tcBorders>
              <w:top w:val="single" w:sz="4" w:space="0" w:color="auto"/>
              <w:bottom w:val="single" w:sz="4" w:space="0" w:color="auto"/>
            </w:tcBorders>
            <w:shd w:val="clear" w:color="auto" w:fill="auto"/>
          </w:tcPr>
          <w:p w:rsidR="00D907AF" w:rsidRPr="0087485F" w:rsidRDefault="00D907AF" w:rsidP="00AA3C18">
            <w:pPr>
              <w:spacing w:before="20" w:after="20"/>
              <w:rPr>
                <w:rFonts w:cstheme="minorHAnsi"/>
                <w:b/>
                <w:sz w:val="20"/>
                <w:szCs w:val="20"/>
              </w:rPr>
            </w:pPr>
            <w:r w:rsidRPr="0087485F">
              <w:rPr>
                <w:rFonts w:cstheme="minorHAnsi"/>
                <w:b/>
                <w:sz w:val="20"/>
                <w:szCs w:val="20"/>
              </w:rPr>
              <w:t>Total</w:t>
            </w:r>
          </w:p>
        </w:tc>
        <w:tc>
          <w:tcPr>
            <w:tcW w:w="624" w:type="dxa"/>
            <w:tcBorders>
              <w:top w:val="single" w:sz="4" w:space="0" w:color="auto"/>
              <w:bottom w:val="single" w:sz="4" w:space="0" w:color="auto"/>
            </w:tcBorders>
            <w:shd w:val="clear" w:color="auto" w:fill="auto"/>
          </w:tcPr>
          <w:p w:rsidR="00D907AF" w:rsidRPr="0087485F" w:rsidRDefault="00D907AF" w:rsidP="00AA3C18">
            <w:pPr>
              <w:spacing w:before="20" w:after="20"/>
              <w:jc w:val="right"/>
              <w:rPr>
                <w:rFonts w:cstheme="minorHAnsi"/>
                <w:b/>
                <w:color w:val="000000"/>
                <w:sz w:val="20"/>
                <w:szCs w:val="20"/>
              </w:rPr>
            </w:pPr>
            <w:r w:rsidRPr="0087485F">
              <w:rPr>
                <w:rFonts w:cstheme="minorHAnsi"/>
                <w:b/>
                <w:color w:val="000000"/>
                <w:sz w:val="20"/>
                <w:szCs w:val="20"/>
              </w:rPr>
              <w:t>470</w:t>
            </w:r>
          </w:p>
        </w:tc>
        <w:tc>
          <w:tcPr>
            <w:tcW w:w="709" w:type="dxa"/>
            <w:tcBorders>
              <w:top w:val="single" w:sz="4" w:space="0" w:color="auto"/>
              <w:bottom w:val="single" w:sz="4" w:space="0" w:color="auto"/>
            </w:tcBorders>
            <w:shd w:val="clear" w:color="auto" w:fill="auto"/>
          </w:tcPr>
          <w:p w:rsidR="00D907AF" w:rsidRPr="0087485F" w:rsidRDefault="00D907AF" w:rsidP="00A80201">
            <w:pPr>
              <w:spacing w:before="20" w:after="20"/>
              <w:ind w:right="-57"/>
              <w:jc w:val="right"/>
              <w:rPr>
                <w:rFonts w:cstheme="minorHAnsi"/>
                <w:b/>
                <w:color w:val="000000"/>
                <w:sz w:val="20"/>
                <w:szCs w:val="20"/>
              </w:rPr>
            </w:pPr>
            <w:r w:rsidRPr="0087485F">
              <w:rPr>
                <w:rFonts w:cstheme="minorHAnsi"/>
                <w:b/>
                <w:color w:val="000000"/>
                <w:sz w:val="20"/>
                <w:szCs w:val="20"/>
              </w:rPr>
              <w:t>100</w:t>
            </w:r>
          </w:p>
        </w:tc>
        <w:tc>
          <w:tcPr>
            <w:tcW w:w="1077" w:type="dxa"/>
            <w:tcBorders>
              <w:top w:val="single" w:sz="4" w:space="0" w:color="auto"/>
              <w:bottom w:val="single" w:sz="4" w:space="0" w:color="auto"/>
            </w:tcBorders>
            <w:shd w:val="clear" w:color="auto" w:fill="auto"/>
          </w:tcPr>
          <w:p w:rsidR="00D907AF" w:rsidRPr="0087485F" w:rsidRDefault="00D907AF" w:rsidP="00AA3C18">
            <w:pPr>
              <w:spacing w:before="20" w:after="20"/>
              <w:ind w:right="170"/>
              <w:jc w:val="right"/>
              <w:rPr>
                <w:rFonts w:cstheme="minorHAnsi"/>
                <w:b/>
                <w:color w:val="000000"/>
                <w:sz w:val="20"/>
                <w:szCs w:val="20"/>
              </w:rPr>
            </w:pPr>
            <w:r w:rsidRPr="0087485F">
              <w:rPr>
                <w:rFonts w:cstheme="minorHAnsi"/>
                <w:b/>
                <w:color w:val="000000"/>
                <w:sz w:val="20"/>
                <w:szCs w:val="20"/>
              </w:rPr>
              <w:t>637</w:t>
            </w:r>
          </w:p>
        </w:tc>
        <w:tc>
          <w:tcPr>
            <w:tcW w:w="1134" w:type="dxa"/>
            <w:tcBorders>
              <w:top w:val="single" w:sz="4" w:space="0" w:color="auto"/>
              <w:bottom w:val="single" w:sz="4" w:space="0" w:color="auto"/>
            </w:tcBorders>
            <w:shd w:val="clear" w:color="auto" w:fill="auto"/>
          </w:tcPr>
          <w:p w:rsidR="00D907AF" w:rsidRPr="0087485F" w:rsidRDefault="00D907AF" w:rsidP="00B27677">
            <w:pPr>
              <w:spacing w:before="20" w:after="20"/>
              <w:ind w:right="227"/>
              <w:jc w:val="right"/>
              <w:rPr>
                <w:rFonts w:cstheme="minorHAnsi"/>
                <w:b/>
                <w:color w:val="000000"/>
                <w:sz w:val="20"/>
                <w:szCs w:val="20"/>
              </w:rPr>
            </w:pPr>
            <w:r w:rsidRPr="0087485F">
              <w:rPr>
                <w:rFonts w:cstheme="minorHAnsi"/>
                <w:b/>
                <w:color w:val="000000"/>
                <w:sz w:val="20"/>
                <w:szCs w:val="20"/>
              </w:rPr>
              <w:t>100</w:t>
            </w:r>
          </w:p>
        </w:tc>
        <w:tc>
          <w:tcPr>
            <w:tcW w:w="794" w:type="dxa"/>
            <w:tcBorders>
              <w:top w:val="single" w:sz="4" w:space="0" w:color="auto"/>
              <w:bottom w:val="single" w:sz="4" w:space="0" w:color="auto"/>
            </w:tcBorders>
            <w:shd w:val="clear" w:color="auto" w:fill="auto"/>
          </w:tcPr>
          <w:p w:rsidR="00D907AF" w:rsidRPr="0087485F" w:rsidRDefault="00D907AF" w:rsidP="00B27677">
            <w:pPr>
              <w:spacing w:before="20" w:after="20"/>
              <w:ind w:right="113"/>
              <w:jc w:val="right"/>
              <w:rPr>
                <w:rFonts w:cstheme="minorHAnsi"/>
                <w:b/>
                <w:color w:val="000000"/>
                <w:sz w:val="20"/>
                <w:szCs w:val="20"/>
              </w:rPr>
            </w:pPr>
            <w:r w:rsidRPr="0087485F">
              <w:rPr>
                <w:rFonts w:cstheme="minorHAnsi"/>
                <w:b/>
                <w:color w:val="000000"/>
                <w:sz w:val="20"/>
                <w:szCs w:val="20"/>
              </w:rPr>
              <w:t>1</w:t>
            </w:r>
            <w:r>
              <w:rPr>
                <w:rFonts w:cstheme="minorHAnsi"/>
                <w:b/>
                <w:color w:val="000000"/>
                <w:sz w:val="20"/>
                <w:szCs w:val="20"/>
              </w:rPr>
              <w:t>,</w:t>
            </w:r>
            <w:r w:rsidRPr="0087485F">
              <w:rPr>
                <w:rFonts w:cstheme="minorHAnsi"/>
                <w:b/>
                <w:color w:val="000000"/>
                <w:sz w:val="20"/>
                <w:szCs w:val="20"/>
              </w:rPr>
              <w:t>107</w:t>
            </w:r>
          </w:p>
        </w:tc>
        <w:tc>
          <w:tcPr>
            <w:tcW w:w="765" w:type="dxa"/>
            <w:tcBorders>
              <w:top w:val="single" w:sz="4" w:space="0" w:color="auto"/>
              <w:bottom w:val="single" w:sz="4" w:space="0" w:color="auto"/>
            </w:tcBorders>
            <w:shd w:val="clear" w:color="auto" w:fill="auto"/>
          </w:tcPr>
          <w:p w:rsidR="00D907AF" w:rsidRPr="0087485F" w:rsidRDefault="00D907AF" w:rsidP="00AA3C18">
            <w:pPr>
              <w:spacing w:before="20" w:after="20"/>
              <w:jc w:val="right"/>
              <w:rPr>
                <w:rFonts w:cstheme="minorHAnsi"/>
                <w:b/>
                <w:color w:val="000000"/>
                <w:sz w:val="20"/>
                <w:szCs w:val="20"/>
              </w:rPr>
            </w:pPr>
            <w:r w:rsidRPr="0087485F">
              <w:rPr>
                <w:rFonts w:cstheme="minorHAnsi"/>
                <w:b/>
                <w:color w:val="000000"/>
                <w:sz w:val="20"/>
                <w:szCs w:val="20"/>
              </w:rPr>
              <w:t>100</w:t>
            </w:r>
          </w:p>
        </w:tc>
      </w:tr>
    </w:tbl>
    <w:p w:rsidR="00D907AF" w:rsidRPr="00E852D5" w:rsidRDefault="00D907AF" w:rsidP="006C7BE7">
      <w:pPr>
        <w:pStyle w:val="NILSTabletext"/>
      </w:pPr>
      <w:r w:rsidRPr="00E852D5">
        <w:t xml:space="preserve">Note: </w:t>
      </w:r>
      <w:r>
        <w:t xml:space="preserve">trial and comparison aged 16 years and above </w:t>
      </w:r>
    </w:p>
    <w:p w:rsidR="00D907AF" w:rsidRDefault="00D907AF" w:rsidP="00D907AF">
      <w:r>
        <w:t xml:space="preserve">Table 3.36 suggests that the main source of income is overwhelmingly a Disability Support Pension paid by Centrelink (67.2 per cent), the only distinct further sources of some noticeable frequency being wages or salary (8.8 per cent) and Superannuation (3.5 per cent). </w:t>
      </w:r>
      <w:r w:rsidR="00A05F0B">
        <w:t>T</w:t>
      </w:r>
      <w:r>
        <w:t>he proportion of respondents who left this question unanswered (missing) is 6.8 per cent, which, given the sensitivity of this type of information we consider to be very low.</w:t>
      </w:r>
    </w:p>
    <w:p w:rsidR="00D907AF" w:rsidRDefault="00D907AF" w:rsidP="00D907AF">
      <w:r>
        <w:lastRenderedPageBreak/>
        <w:t>The same exercise was carried out in Table 3.37 which reports if there are any other sources of income. This question is typically not answered as frequently or as precisely as the main source of income and it is not surprising that the ‘</w:t>
      </w:r>
      <w:r w:rsidRPr="000C4CC1">
        <w:t>Other</w:t>
      </w:r>
      <w:r>
        <w:t>’ categories are heavily populated. We do not consider this to be problematic. We note that the wages or salary category is sizeable at around the 5 per cent mark (there are presumably people who work part time and other supports are their main source of income). We also note that Disability Support Pension sits at the 6 per cent mark, indicating that these respondents top up their income this way.</w:t>
      </w:r>
    </w:p>
    <w:p w:rsidR="00953EE5" w:rsidRDefault="00953EE5" w:rsidP="00D907AF"/>
    <w:p w:rsidR="00D907AF" w:rsidRPr="00233E8A" w:rsidRDefault="00D907AF" w:rsidP="0044684E">
      <w:pPr>
        <w:pStyle w:val="NILSTableHeading"/>
      </w:pPr>
      <w:bookmarkStart w:id="310" w:name="_Toc428280689"/>
      <w:bookmarkStart w:id="311" w:name="_Toc449955300"/>
      <w:r w:rsidRPr="00233E8A">
        <w:t>Table 3.</w:t>
      </w:r>
      <w:r w:rsidRPr="00233E8A">
        <w:rPr>
          <w:rFonts w:hint="eastAsia"/>
        </w:rPr>
        <w:t>3</w:t>
      </w:r>
      <w:r>
        <w:t>7</w:t>
      </w:r>
      <w:r w:rsidRPr="00233E8A">
        <w:rPr>
          <w:rFonts w:hint="eastAsia"/>
        </w:rPr>
        <w:t xml:space="preserve">: </w:t>
      </w:r>
      <w:r>
        <w:t>S</w:t>
      </w:r>
      <w:r w:rsidRPr="00233E8A">
        <w:rPr>
          <w:rFonts w:hint="eastAsia"/>
        </w:rPr>
        <w:t>ource</w:t>
      </w:r>
      <w:r>
        <w:t>s</w:t>
      </w:r>
      <w:r w:rsidRPr="00233E8A">
        <w:rPr>
          <w:rFonts w:hint="eastAsia"/>
        </w:rPr>
        <w:t xml:space="preserve"> of </w:t>
      </w:r>
      <w:r>
        <w:t xml:space="preserve">additional </w:t>
      </w:r>
      <w:r w:rsidRPr="00233E8A">
        <w:rPr>
          <w:rFonts w:hint="eastAsia"/>
        </w:rPr>
        <w:t xml:space="preserve">income </w:t>
      </w:r>
      <w:r>
        <w:t>of a person with disability</w:t>
      </w:r>
      <w:bookmarkEnd w:id="310"/>
      <w:bookmarkEnd w:id="311"/>
    </w:p>
    <w:tbl>
      <w:tblPr>
        <w:tblStyle w:val="TableGrid"/>
        <w:tblW w:w="0" w:type="auto"/>
        <w:tblLayout w:type="fixed"/>
        <w:tblLook w:val="04A0" w:firstRow="1" w:lastRow="0" w:firstColumn="1" w:lastColumn="0" w:noHBand="0" w:noVBand="1"/>
        <w:tblCaption w:val="Table 3.37 Sources of additional income of a person with disability"/>
      </w:tblPr>
      <w:tblGrid>
        <w:gridCol w:w="4077"/>
        <w:gridCol w:w="567"/>
        <w:gridCol w:w="709"/>
        <w:gridCol w:w="1276"/>
        <w:gridCol w:w="992"/>
        <w:gridCol w:w="709"/>
        <w:gridCol w:w="709"/>
      </w:tblGrid>
      <w:tr w:rsidR="00D907AF" w:rsidRPr="0087485F" w:rsidTr="003E471E">
        <w:trPr>
          <w:tblHeader/>
        </w:trPr>
        <w:tc>
          <w:tcPr>
            <w:tcW w:w="4077" w:type="dxa"/>
            <w:tcBorders>
              <w:top w:val="single" w:sz="4" w:space="0" w:color="auto"/>
              <w:bottom w:val="single" w:sz="4" w:space="0" w:color="auto"/>
            </w:tcBorders>
            <w:shd w:val="clear" w:color="auto" w:fill="auto"/>
          </w:tcPr>
          <w:p w:rsidR="00D907AF" w:rsidRPr="0087485F" w:rsidRDefault="00D907AF" w:rsidP="003E471E">
            <w:pPr>
              <w:spacing w:before="20" w:after="20"/>
              <w:rPr>
                <w:rFonts w:cstheme="minorHAnsi"/>
                <w:sz w:val="20"/>
                <w:szCs w:val="20"/>
              </w:rPr>
            </w:pPr>
            <w:bookmarkStart w:id="312" w:name="Title_3_37"/>
            <w:bookmarkEnd w:id="312"/>
          </w:p>
        </w:tc>
        <w:tc>
          <w:tcPr>
            <w:tcW w:w="567" w:type="dxa"/>
            <w:tcBorders>
              <w:top w:val="single" w:sz="4" w:space="0" w:color="auto"/>
              <w:bottom w:val="single" w:sz="4" w:space="0" w:color="auto"/>
            </w:tcBorders>
            <w:shd w:val="clear" w:color="auto" w:fill="auto"/>
          </w:tcPr>
          <w:p w:rsidR="00D907AF" w:rsidRPr="0087485F" w:rsidRDefault="00783AE3" w:rsidP="003E471E">
            <w:pPr>
              <w:spacing w:before="20" w:after="20"/>
              <w:ind w:left="-108" w:right="-108"/>
              <w:jc w:val="center"/>
              <w:rPr>
                <w:rFonts w:cstheme="minorHAnsi"/>
                <w:sz w:val="20"/>
                <w:szCs w:val="20"/>
              </w:rPr>
            </w:pPr>
            <w:r>
              <w:rPr>
                <w:rFonts w:cstheme="minorHAnsi"/>
                <w:sz w:val="20"/>
                <w:szCs w:val="20"/>
              </w:rPr>
              <w:t>Trial</w:t>
            </w:r>
            <w:r w:rsidR="00FA0391">
              <w:rPr>
                <w:rFonts w:cstheme="minorHAnsi"/>
                <w:sz w:val="20"/>
                <w:szCs w:val="20"/>
              </w:rPr>
              <w:t xml:space="preserve"> Cases</w:t>
            </w:r>
          </w:p>
        </w:tc>
        <w:tc>
          <w:tcPr>
            <w:tcW w:w="709" w:type="dxa"/>
            <w:tcBorders>
              <w:top w:val="single" w:sz="4" w:space="0" w:color="auto"/>
              <w:bottom w:val="single" w:sz="4" w:space="0" w:color="auto"/>
            </w:tcBorders>
            <w:shd w:val="clear" w:color="auto" w:fill="auto"/>
          </w:tcPr>
          <w:p w:rsidR="00D907AF" w:rsidRPr="0087485F" w:rsidRDefault="00783AE3" w:rsidP="003E471E">
            <w:pPr>
              <w:spacing w:before="20" w:after="20"/>
              <w:jc w:val="center"/>
              <w:rPr>
                <w:rFonts w:cstheme="minorHAnsi"/>
                <w:sz w:val="20"/>
                <w:szCs w:val="20"/>
              </w:rPr>
            </w:pPr>
            <w:r w:rsidRPr="0087485F">
              <w:rPr>
                <w:rFonts w:cstheme="minorHAnsi"/>
                <w:sz w:val="20"/>
                <w:szCs w:val="20"/>
              </w:rPr>
              <w:t xml:space="preserve">Trial </w:t>
            </w:r>
            <w:r w:rsidR="00D907AF" w:rsidRPr="0087485F">
              <w:rPr>
                <w:rFonts w:cstheme="minorHAnsi"/>
                <w:sz w:val="20"/>
                <w:szCs w:val="20"/>
              </w:rPr>
              <w:t>%</w:t>
            </w:r>
          </w:p>
        </w:tc>
        <w:tc>
          <w:tcPr>
            <w:tcW w:w="1276" w:type="dxa"/>
            <w:tcBorders>
              <w:top w:val="single" w:sz="4" w:space="0" w:color="auto"/>
              <w:bottom w:val="single" w:sz="4" w:space="0" w:color="auto"/>
            </w:tcBorders>
            <w:shd w:val="clear" w:color="auto" w:fill="auto"/>
          </w:tcPr>
          <w:p w:rsidR="00D907AF" w:rsidRPr="0087485F" w:rsidRDefault="00783AE3" w:rsidP="003E471E">
            <w:pPr>
              <w:spacing w:before="20" w:after="20"/>
              <w:ind w:left="-108" w:right="-155"/>
              <w:jc w:val="center"/>
              <w:rPr>
                <w:rFonts w:cstheme="minorHAnsi"/>
                <w:sz w:val="20"/>
                <w:szCs w:val="20"/>
              </w:rPr>
            </w:pPr>
            <w:r>
              <w:rPr>
                <w:rFonts w:cstheme="minorHAnsi"/>
                <w:sz w:val="20"/>
                <w:szCs w:val="20"/>
              </w:rPr>
              <w:t>Comparison</w:t>
            </w:r>
            <w:r w:rsidR="00FA0391">
              <w:rPr>
                <w:rFonts w:cstheme="minorHAnsi"/>
                <w:sz w:val="20"/>
                <w:szCs w:val="20"/>
              </w:rPr>
              <w:t xml:space="preserve"> Cases</w:t>
            </w:r>
          </w:p>
        </w:tc>
        <w:tc>
          <w:tcPr>
            <w:tcW w:w="992" w:type="dxa"/>
            <w:tcBorders>
              <w:top w:val="single" w:sz="4" w:space="0" w:color="auto"/>
              <w:bottom w:val="single" w:sz="4" w:space="0" w:color="auto"/>
            </w:tcBorders>
            <w:shd w:val="clear" w:color="auto" w:fill="auto"/>
          </w:tcPr>
          <w:p w:rsidR="00D907AF" w:rsidRPr="0087485F" w:rsidRDefault="00783AE3" w:rsidP="003E471E">
            <w:pPr>
              <w:spacing w:before="20" w:after="20"/>
              <w:ind w:left="-108" w:right="-108"/>
              <w:jc w:val="center"/>
              <w:rPr>
                <w:rFonts w:cstheme="minorHAnsi"/>
                <w:sz w:val="20"/>
                <w:szCs w:val="20"/>
              </w:rPr>
            </w:pPr>
            <w:r w:rsidRPr="0087485F">
              <w:rPr>
                <w:rFonts w:cstheme="minorHAnsi"/>
                <w:sz w:val="20"/>
                <w:szCs w:val="20"/>
              </w:rPr>
              <w:t xml:space="preserve">Comparison </w:t>
            </w:r>
            <w:r w:rsidR="00D907AF" w:rsidRPr="0087485F">
              <w:rPr>
                <w:rFonts w:cstheme="minorHAnsi"/>
                <w:sz w:val="20"/>
                <w:szCs w:val="20"/>
              </w:rPr>
              <w:t>%</w:t>
            </w:r>
          </w:p>
        </w:tc>
        <w:tc>
          <w:tcPr>
            <w:tcW w:w="709" w:type="dxa"/>
            <w:tcBorders>
              <w:top w:val="single" w:sz="4" w:space="0" w:color="auto"/>
              <w:bottom w:val="single" w:sz="4" w:space="0" w:color="auto"/>
            </w:tcBorders>
            <w:shd w:val="clear" w:color="auto" w:fill="auto"/>
          </w:tcPr>
          <w:p w:rsidR="00D907AF" w:rsidRPr="0087485F" w:rsidRDefault="00783AE3" w:rsidP="003E471E">
            <w:pPr>
              <w:spacing w:before="20" w:after="20"/>
              <w:jc w:val="center"/>
              <w:rPr>
                <w:rFonts w:cstheme="minorHAnsi"/>
                <w:sz w:val="20"/>
                <w:szCs w:val="20"/>
              </w:rPr>
            </w:pPr>
            <w:r>
              <w:rPr>
                <w:rFonts w:cstheme="minorHAnsi"/>
                <w:sz w:val="20"/>
                <w:szCs w:val="20"/>
              </w:rPr>
              <w:t>Total</w:t>
            </w:r>
            <w:r w:rsidR="00FA0391">
              <w:rPr>
                <w:rFonts w:cstheme="minorHAnsi"/>
                <w:sz w:val="20"/>
                <w:szCs w:val="20"/>
              </w:rPr>
              <w:t xml:space="preserve"> Cases</w:t>
            </w:r>
          </w:p>
        </w:tc>
        <w:tc>
          <w:tcPr>
            <w:tcW w:w="709" w:type="dxa"/>
            <w:tcBorders>
              <w:top w:val="single" w:sz="4" w:space="0" w:color="auto"/>
              <w:bottom w:val="single" w:sz="4" w:space="0" w:color="auto"/>
            </w:tcBorders>
            <w:shd w:val="clear" w:color="auto" w:fill="auto"/>
          </w:tcPr>
          <w:p w:rsidR="00D907AF" w:rsidRPr="0087485F" w:rsidRDefault="00783AE3" w:rsidP="003E471E">
            <w:pPr>
              <w:spacing w:before="20" w:after="20"/>
              <w:jc w:val="center"/>
              <w:rPr>
                <w:rFonts w:cstheme="minorHAnsi"/>
                <w:sz w:val="20"/>
                <w:szCs w:val="20"/>
              </w:rPr>
            </w:pPr>
            <w:r w:rsidRPr="0087485F">
              <w:rPr>
                <w:rFonts w:cstheme="minorHAnsi"/>
                <w:sz w:val="20"/>
                <w:szCs w:val="20"/>
              </w:rPr>
              <w:t xml:space="preserve">Total </w:t>
            </w:r>
            <w:r w:rsidR="00D907AF" w:rsidRPr="0087485F">
              <w:rPr>
                <w:rFonts w:cstheme="minorHAnsi"/>
                <w:sz w:val="20"/>
                <w:szCs w:val="20"/>
              </w:rPr>
              <w:t>%</w:t>
            </w:r>
          </w:p>
        </w:tc>
      </w:tr>
      <w:tr w:rsidR="00D907AF" w:rsidRPr="0087485F" w:rsidTr="003E471E">
        <w:tc>
          <w:tcPr>
            <w:tcW w:w="4077" w:type="dxa"/>
            <w:shd w:val="clear" w:color="auto" w:fill="auto"/>
          </w:tcPr>
          <w:p w:rsidR="00D907AF" w:rsidRPr="0087485F" w:rsidRDefault="00D907AF" w:rsidP="003E471E">
            <w:pPr>
              <w:spacing w:before="20" w:after="20"/>
              <w:rPr>
                <w:rFonts w:cstheme="minorHAnsi"/>
                <w:sz w:val="20"/>
                <w:szCs w:val="20"/>
              </w:rPr>
            </w:pPr>
            <w:r w:rsidRPr="0087485F">
              <w:rPr>
                <w:rFonts w:cstheme="minorHAnsi"/>
                <w:sz w:val="20"/>
                <w:szCs w:val="20"/>
              </w:rPr>
              <w:t>Wages or salary</w:t>
            </w:r>
          </w:p>
        </w:tc>
        <w:tc>
          <w:tcPr>
            <w:tcW w:w="567"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25</w:t>
            </w:r>
          </w:p>
        </w:tc>
        <w:tc>
          <w:tcPr>
            <w:tcW w:w="709"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5.3</w:t>
            </w:r>
          </w:p>
        </w:tc>
        <w:tc>
          <w:tcPr>
            <w:tcW w:w="1276" w:type="dxa"/>
            <w:shd w:val="clear" w:color="auto" w:fill="auto"/>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30</w:t>
            </w:r>
          </w:p>
        </w:tc>
        <w:tc>
          <w:tcPr>
            <w:tcW w:w="992" w:type="dxa"/>
            <w:shd w:val="clear" w:color="auto" w:fill="auto"/>
            <w:vAlign w:val="center"/>
          </w:tcPr>
          <w:p w:rsidR="00D907AF" w:rsidRPr="0087485F" w:rsidRDefault="00D907AF" w:rsidP="007C63E4">
            <w:pPr>
              <w:spacing w:before="20" w:after="20"/>
              <w:ind w:right="284"/>
              <w:jc w:val="right"/>
              <w:rPr>
                <w:rFonts w:cstheme="minorHAnsi"/>
                <w:color w:val="000000"/>
                <w:sz w:val="20"/>
                <w:szCs w:val="20"/>
              </w:rPr>
            </w:pPr>
            <w:r w:rsidRPr="0087485F">
              <w:rPr>
                <w:rFonts w:cstheme="minorHAnsi"/>
                <w:color w:val="000000"/>
                <w:sz w:val="20"/>
                <w:szCs w:val="20"/>
              </w:rPr>
              <w:t>4.7</w:t>
            </w:r>
          </w:p>
        </w:tc>
        <w:tc>
          <w:tcPr>
            <w:tcW w:w="709"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55</w:t>
            </w:r>
          </w:p>
        </w:tc>
        <w:tc>
          <w:tcPr>
            <w:tcW w:w="709" w:type="dxa"/>
            <w:shd w:val="clear" w:color="auto" w:fill="auto"/>
            <w:vAlign w:val="center"/>
          </w:tcPr>
          <w:p w:rsidR="00D907AF" w:rsidRPr="0087485F" w:rsidRDefault="00D907AF" w:rsidP="003E471E">
            <w:pPr>
              <w:spacing w:before="20" w:after="20"/>
              <w:ind w:right="57"/>
              <w:jc w:val="right"/>
              <w:rPr>
                <w:rFonts w:cstheme="minorHAnsi"/>
                <w:color w:val="000000"/>
                <w:sz w:val="20"/>
                <w:szCs w:val="20"/>
              </w:rPr>
            </w:pPr>
            <w:r w:rsidRPr="0087485F">
              <w:rPr>
                <w:rFonts w:cstheme="minorHAnsi"/>
                <w:color w:val="000000"/>
                <w:sz w:val="20"/>
                <w:szCs w:val="20"/>
              </w:rPr>
              <w:t>5.0</w:t>
            </w:r>
          </w:p>
        </w:tc>
      </w:tr>
      <w:tr w:rsidR="00D907AF" w:rsidRPr="0087485F" w:rsidTr="003E471E">
        <w:tc>
          <w:tcPr>
            <w:tcW w:w="4077" w:type="dxa"/>
            <w:shd w:val="clear" w:color="auto" w:fill="auto"/>
          </w:tcPr>
          <w:p w:rsidR="00D907AF" w:rsidRPr="0087485F" w:rsidRDefault="00D907AF" w:rsidP="003E471E">
            <w:pPr>
              <w:spacing w:before="20" w:after="20"/>
              <w:rPr>
                <w:rFonts w:cstheme="minorHAnsi"/>
                <w:sz w:val="20"/>
                <w:szCs w:val="20"/>
              </w:rPr>
            </w:pPr>
            <w:r w:rsidRPr="0087485F">
              <w:rPr>
                <w:rFonts w:cstheme="minorHAnsi"/>
                <w:sz w:val="20"/>
                <w:szCs w:val="20"/>
              </w:rPr>
              <w:t>Disability Support Pension (paid by Centrelink)</w:t>
            </w:r>
          </w:p>
        </w:tc>
        <w:tc>
          <w:tcPr>
            <w:tcW w:w="567"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26</w:t>
            </w:r>
          </w:p>
        </w:tc>
        <w:tc>
          <w:tcPr>
            <w:tcW w:w="709"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5.5</w:t>
            </w:r>
          </w:p>
        </w:tc>
        <w:tc>
          <w:tcPr>
            <w:tcW w:w="1276" w:type="dxa"/>
            <w:shd w:val="clear" w:color="auto" w:fill="auto"/>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40</w:t>
            </w:r>
          </w:p>
        </w:tc>
        <w:tc>
          <w:tcPr>
            <w:tcW w:w="992" w:type="dxa"/>
            <w:shd w:val="clear" w:color="auto" w:fill="auto"/>
            <w:vAlign w:val="center"/>
          </w:tcPr>
          <w:p w:rsidR="00D907AF" w:rsidRPr="0087485F" w:rsidRDefault="00D907AF" w:rsidP="007C63E4">
            <w:pPr>
              <w:spacing w:before="20" w:after="20"/>
              <w:ind w:right="284"/>
              <w:jc w:val="right"/>
              <w:rPr>
                <w:rFonts w:cstheme="minorHAnsi"/>
                <w:color w:val="000000"/>
                <w:sz w:val="20"/>
                <w:szCs w:val="20"/>
              </w:rPr>
            </w:pPr>
            <w:r w:rsidRPr="0087485F">
              <w:rPr>
                <w:rFonts w:cstheme="minorHAnsi"/>
                <w:color w:val="000000"/>
                <w:sz w:val="20"/>
                <w:szCs w:val="20"/>
              </w:rPr>
              <w:t>6.3</w:t>
            </w:r>
          </w:p>
        </w:tc>
        <w:tc>
          <w:tcPr>
            <w:tcW w:w="709"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66</w:t>
            </w:r>
          </w:p>
        </w:tc>
        <w:tc>
          <w:tcPr>
            <w:tcW w:w="709" w:type="dxa"/>
            <w:shd w:val="clear" w:color="auto" w:fill="auto"/>
            <w:vAlign w:val="center"/>
          </w:tcPr>
          <w:p w:rsidR="00D907AF" w:rsidRPr="0087485F" w:rsidRDefault="00D907AF" w:rsidP="003E471E">
            <w:pPr>
              <w:spacing w:before="20" w:after="20"/>
              <w:ind w:right="57"/>
              <w:jc w:val="right"/>
              <w:rPr>
                <w:rFonts w:cstheme="minorHAnsi"/>
                <w:color w:val="000000"/>
                <w:sz w:val="20"/>
                <w:szCs w:val="20"/>
              </w:rPr>
            </w:pPr>
            <w:r w:rsidRPr="0087485F">
              <w:rPr>
                <w:rFonts w:cstheme="minorHAnsi"/>
                <w:color w:val="000000"/>
                <w:sz w:val="20"/>
                <w:szCs w:val="20"/>
              </w:rPr>
              <w:t>6.0</w:t>
            </w:r>
          </w:p>
        </w:tc>
      </w:tr>
      <w:tr w:rsidR="00D907AF" w:rsidRPr="0087485F" w:rsidTr="003E471E">
        <w:tc>
          <w:tcPr>
            <w:tcW w:w="4077" w:type="dxa"/>
            <w:shd w:val="clear" w:color="auto" w:fill="auto"/>
          </w:tcPr>
          <w:p w:rsidR="00D907AF" w:rsidRPr="0087485F" w:rsidRDefault="00D907AF" w:rsidP="003E471E">
            <w:pPr>
              <w:spacing w:before="20" w:after="20"/>
              <w:rPr>
                <w:rFonts w:cstheme="minorHAnsi"/>
                <w:sz w:val="20"/>
                <w:szCs w:val="20"/>
              </w:rPr>
            </w:pPr>
            <w:r w:rsidRPr="0087485F">
              <w:rPr>
                <w:rFonts w:cstheme="minorHAnsi"/>
                <w:sz w:val="20"/>
                <w:szCs w:val="20"/>
              </w:rPr>
              <w:t>Child Disability Assistance Payment</w:t>
            </w:r>
          </w:p>
        </w:tc>
        <w:tc>
          <w:tcPr>
            <w:tcW w:w="567"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0</w:t>
            </w:r>
          </w:p>
        </w:tc>
        <w:tc>
          <w:tcPr>
            <w:tcW w:w="709"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0.0</w:t>
            </w:r>
          </w:p>
        </w:tc>
        <w:tc>
          <w:tcPr>
            <w:tcW w:w="1276" w:type="dxa"/>
            <w:shd w:val="clear" w:color="auto" w:fill="auto"/>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1</w:t>
            </w:r>
          </w:p>
        </w:tc>
        <w:tc>
          <w:tcPr>
            <w:tcW w:w="992" w:type="dxa"/>
            <w:shd w:val="clear" w:color="auto" w:fill="auto"/>
            <w:vAlign w:val="center"/>
          </w:tcPr>
          <w:p w:rsidR="00D907AF" w:rsidRPr="0087485F" w:rsidRDefault="00D907AF" w:rsidP="007C63E4">
            <w:pPr>
              <w:spacing w:before="20" w:after="20"/>
              <w:ind w:right="284"/>
              <w:jc w:val="right"/>
              <w:rPr>
                <w:rFonts w:cstheme="minorHAnsi"/>
                <w:color w:val="000000"/>
                <w:sz w:val="20"/>
                <w:szCs w:val="20"/>
              </w:rPr>
            </w:pPr>
            <w:r w:rsidRPr="0087485F">
              <w:rPr>
                <w:rFonts w:cstheme="minorHAnsi"/>
                <w:color w:val="000000"/>
                <w:sz w:val="20"/>
                <w:szCs w:val="20"/>
              </w:rPr>
              <w:t>0.2</w:t>
            </w:r>
          </w:p>
        </w:tc>
        <w:tc>
          <w:tcPr>
            <w:tcW w:w="709"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1</w:t>
            </w:r>
          </w:p>
        </w:tc>
        <w:tc>
          <w:tcPr>
            <w:tcW w:w="709" w:type="dxa"/>
            <w:shd w:val="clear" w:color="auto" w:fill="auto"/>
            <w:vAlign w:val="center"/>
          </w:tcPr>
          <w:p w:rsidR="00D907AF" w:rsidRPr="0087485F" w:rsidRDefault="00D907AF" w:rsidP="003E471E">
            <w:pPr>
              <w:spacing w:before="20" w:after="20"/>
              <w:ind w:right="57"/>
              <w:jc w:val="right"/>
              <w:rPr>
                <w:rFonts w:cstheme="minorHAnsi"/>
                <w:color w:val="000000"/>
                <w:sz w:val="20"/>
                <w:szCs w:val="20"/>
              </w:rPr>
            </w:pPr>
            <w:r w:rsidRPr="0087485F">
              <w:rPr>
                <w:rFonts w:cstheme="minorHAnsi"/>
                <w:color w:val="000000"/>
                <w:sz w:val="20"/>
                <w:szCs w:val="20"/>
              </w:rPr>
              <w:t>0.1</w:t>
            </w:r>
          </w:p>
        </w:tc>
      </w:tr>
      <w:tr w:rsidR="00D907AF" w:rsidRPr="0087485F" w:rsidTr="003E471E">
        <w:tc>
          <w:tcPr>
            <w:tcW w:w="4077" w:type="dxa"/>
            <w:shd w:val="clear" w:color="auto" w:fill="auto"/>
          </w:tcPr>
          <w:p w:rsidR="00D907AF" w:rsidRPr="0087485F" w:rsidRDefault="00D907AF" w:rsidP="003E471E">
            <w:pPr>
              <w:spacing w:before="20" w:after="20"/>
              <w:rPr>
                <w:rFonts w:cstheme="minorHAnsi"/>
                <w:sz w:val="20"/>
                <w:szCs w:val="20"/>
              </w:rPr>
            </w:pPr>
            <w:r w:rsidRPr="0087485F">
              <w:rPr>
                <w:rFonts w:cstheme="minorHAnsi"/>
                <w:sz w:val="20"/>
                <w:szCs w:val="20"/>
              </w:rPr>
              <w:t>Youth Disability Supplement</w:t>
            </w:r>
          </w:p>
        </w:tc>
        <w:tc>
          <w:tcPr>
            <w:tcW w:w="567"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1</w:t>
            </w:r>
          </w:p>
        </w:tc>
        <w:tc>
          <w:tcPr>
            <w:tcW w:w="709"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0.2</w:t>
            </w:r>
          </w:p>
        </w:tc>
        <w:tc>
          <w:tcPr>
            <w:tcW w:w="1276" w:type="dxa"/>
            <w:shd w:val="clear" w:color="auto" w:fill="auto"/>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3</w:t>
            </w:r>
          </w:p>
        </w:tc>
        <w:tc>
          <w:tcPr>
            <w:tcW w:w="992" w:type="dxa"/>
            <w:shd w:val="clear" w:color="auto" w:fill="auto"/>
            <w:vAlign w:val="center"/>
          </w:tcPr>
          <w:p w:rsidR="00D907AF" w:rsidRPr="0087485F" w:rsidRDefault="00D907AF" w:rsidP="007C63E4">
            <w:pPr>
              <w:spacing w:before="20" w:after="20"/>
              <w:ind w:right="284"/>
              <w:jc w:val="right"/>
              <w:rPr>
                <w:rFonts w:cstheme="minorHAnsi"/>
                <w:color w:val="000000"/>
                <w:sz w:val="20"/>
                <w:szCs w:val="20"/>
              </w:rPr>
            </w:pPr>
            <w:r w:rsidRPr="0087485F">
              <w:rPr>
                <w:rFonts w:cstheme="minorHAnsi"/>
                <w:color w:val="000000"/>
                <w:sz w:val="20"/>
                <w:szCs w:val="20"/>
              </w:rPr>
              <w:t>0.5</w:t>
            </w:r>
          </w:p>
        </w:tc>
        <w:tc>
          <w:tcPr>
            <w:tcW w:w="709"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4</w:t>
            </w:r>
          </w:p>
        </w:tc>
        <w:tc>
          <w:tcPr>
            <w:tcW w:w="709" w:type="dxa"/>
            <w:shd w:val="clear" w:color="auto" w:fill="auto"/>
            <w:vAlign w:val="center"/>
          </w:tcPr>
          <w:p w:rsidR="00D907AF" w:rsidRPr="0087485F" w:rsidRDefault="00D907AF" w:rsidP="003E471E">
            <w:pPr>
              <w:spacing w:before="20" w:after="20"/>
              <w:ind w:right="57"/>
              <w:jc w:val="right"/>
              <w:rPr>
                <w:rFonts w:cstheme="minorHAnsi"/>
                <w:color w:val="000000"/>
                <w:sz w:val="20"/>
                <w:szCs w:val="20"/>
              </w:rPr>
            </w:pPr>
            <w:r w:rsidRPr="0087485F">
              <w:rPr>
                <w:rFonts w:cstheme="minorHAnsi"/>
                <w:color w:val="000000"/>
                <w:sz w:val="20"/>
                <w:szCs w:val="20"/>
              </w:rPr>
              <w:t>0.4</w:t>
            </w:r>
          </w:p>
        </w:tc>
      </w:tr>
      <w:tr w:rsidR="00D907AF" w:rsidRPr="0087485F" w:rsidTr="003E471E">
        <w:tc>
          <w:tcPr>
            <w:tcW w:w="4077" w:type="dxa"/>
            <w:shd w:val="clear" w:color="auto" w:fill="auto"/>
          </w:tcPr>
          <w:p w:rsidR="00D907AF" w:rsidRPr="0087485F" w:rsidRDefault="00D907AF" w:rsidP="003E471E">
            <w:pPr>
              <w:spacing w:before="20" w:after="20"/>
              <w:rPr>
                <w:rFonts w:cstheme="minorHAnsi"/>
                <w:sz w:val="20"/>
                <w:szCs w:val="20"/>
              </w:rPr>
            </w:pPr>
            <w:r w:rsidRPr="0087485F">
              <w:rPr>
                <w:rFonts w:cstheme="minorHAnsi"/>
                <w:sz w:val="20"/>
                <w:szCs w:val="20"/>
              </w:rPr>
              <w:t>Carer Allowance</w:t>
            </w:r>
          </w:p>
        </w:tc>
        <w:tc>
          <w:tcPr>
            <w:tcW w:w="567"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5</w:t>
            </w:r>
          </w:p>
        </w:tc>
        <w:tc>
          <w:tcPr>
            <w:tcW w:w="709"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1.1</w:t>
            </w:r>
          </w:p>
        </w:tc>
        <w:tc>
          <w:tcPr>
            <w:tcW w:w="1276" w:type="dxa"/>
            <w:shd w:val="clear" w:color="auto" w:fill="auto"/>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10</w:t>
            </w:r>
          </w:p>
        </w:tc>
        <w:tc>
          <w:tcPr>
            <w:tcW w:w="992" w:type="dxa"/>
            <w:shd w:val="clear" w:color="auto" w:fill="auto"/>
            <w:vAlign w:val="center"/>
          </w:tcPr>
          <w:p w:rsidR="00D907AF" w:rsidRPr="0087485F" w:rsidRDefault="00D907AF" w:rsidP="007C63E4">
            <w:pPr>
              <w:spacing w:before="20" w:after="20"/>
              <w:ind w:right="284"/>
              <w:jc w:val="right"/>
              <w:rPr>
                <w:rFonts w:cstheme="minorHAnsi"/>
                <w:color w:val="000000"/>
                <w:sz w:val="20"/>
                <w:szCs w:val="20"/>
              </w:rPr>
            </w:pPr>
            <w:r w:rsidRPr="0087485F">
              <w:rPr>
                <w:rFonts w:cstheme="minorHAnsi"/>
                <w:color w:val="000000"/>
                <w:sz w:val="20"/>
                <w:szCs w:val="20"/>
              </w:rPr>
              <w:t>1.6</w:t>
            </w:r>
          </w:p>
        </w:tc>
        <w:tc>
          <w:tcPr>
            <w:tcW w:w="709"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15</w:t>
            </w:r>
          </w:p>
        </w:tc>
        <w:tc>
          <w:tcPr>
            <w:tcW w:w="709" w:type="dxa"/>
            <w:shd w:val="clear" w:color="auto" w:fill="auto"/>
            <w:vAlign w:val="center"/>
          </w:tcPr>
          <w:p w:rsidR="00D907AF" w:rsidRPr="0087485F" w:rsidRDefault="00D907AF" w:rsidP="003E471E">
            <w:pPr>
              <w:spacing w:before="20" w:after="20"/>
              <w:ind w:right="57"/>
              <w:jc w:val="right"/>
              <w:rPr>
                <w:rFonts w:cstheme="minorHAnsi"/>
                <w:color w:val="000000"/>
                <w:sz w:val="20"/>
                <w:szCs w:val="20"/>
              </w:rPr>
            </w:pPr>
            <w:r w:rsidRPr="0087485F">
              <w:rPr>
                <w:rFonts w:cstheme="minorHAnsi"/>
                <w:color w:val="000000"/>
                <w:sz w:val="20"/>
                <w:szCs w:val="20"/>
              </w:rPr>
              <w:t>1.4</w:t>
            </w:r>
          </w:p>
        </w:tc>
      </w:tr>
      <w:tr w:rsidR="00D907AF" w:rsidRPr="0087485F" w:rsidTr="003E471E">
        <w:tc>
          <w:tcPr>
            <w:tcW w:w="4077" w:type="dxa"/>
            <w:shd w:val="clear" w:color="auto" w:fill="auto"/>
          </w:tcPr>
          <w:p w:rsidR="00D907AF" w:rsidRPr="0087485F" w:rsidRDefault="00D907AF" w:rsidP="003E471E">
            <w:pPr>
              <w:spacing w:before="20" w:after="20"/>
              <w:rPr>
                <w:rFonts w:cstheme="minorHAnsi"/>
                <w:sz w:val="20"/>
                <w:szCs w:val="20"/>
              </w:rPr>
            </w:pPr>
            <w:r w:rsidRPr="0087485F">
              <w:rPr>
                <w:rFonts w:cstheme="minorHAnsi"/>
                <w:sz w:val="20"/>
                <w:szCs w:val="20"/>
              </w:rPr>
              <w:t>Carer Payment</w:t>
            </w:r>
          </w:p>
        </w:tc>
        <w:tc>
          <w:tcPr>
            <w:tcW w:w="567"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2</w:t>
            </w:r>
          </w:p>
        </w:tc>
        <w:tc>
          <w:tcPr>
            <w:tcW w:w="709"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0.4</w:t>
            </w:r>
          </w:p>
        </w:tc>
        <w:tc>
          <w:tcPr>
            <w:tcW w:w="1276" w:type="dxa"/>
            <w:shd w:val="clear" w:color="auto" w:fill="auto"/>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8</w:t>
            </w:r>
          </w:p>
        </w:tc>
        <w:tc>
          <w:tcPr>
            <w:tcW w:w="992" w:type="dxa"/>
            <w:shd w:val="clear" w:color="auto" w:fill="auto"/>
            <w:vAlign w:val="center"/>
          </w:tcPr>
          <w:p w:rsidR="00D907AF" w:rsidRPr="0087485F" w:rsidRDefault="00D907AF" w:rsidP="007C63E4">
            <w:pPr>
              <w:spacing w:before="20" w:after="20"/>
              <w:ind w:right="284"/>
              <w:jc w:val="right"/>
              <w:rPr>
                <w:rFonts w:cstheme="minorHAnsi"/>
                <w:color w:val="000000"/>
                <w:sz w:val="20"/>
                <w:szCs w:val="20"/>
              </w:rPr>
            </w:pPr>
            <w:r w:rsidRPr="0087485F">
              <w:rPr>
                <w:rFonts w:cstheme="minorHAnsi"/>
                <w:color w:val="000000"/>
                <w:sz w:val="20"/>
                <w:szCs w:val="20"/>
              </w:rPr>
              <w:t>1.3</w:t>
            </w:r>
          </w:p>
        </w:tc>
        <w:tc>
          <w:tcPr>
            <w:tcW w:w="709"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10</w:t>
            </w:r>
          </w:p>
        </w:tc>
        <w:tc>
          <w:tcPr>
            <w:tcW w:w="709" w:type="dxa"/>
            <w:shd w:val="clear" w:color="auto" w:fill="auto"/>
            <w:vAlign w:val="center"/>
          </w:tcPr>
          <w:p w:rsidR="00D907AF" w:rsidRPr="0087485F" w:rsidRDefault="00D907AF" w:rsidP="003E471E">
            <w:pPr>
              <w:spacing w:before="20" w:after="20"/>
              <w:ind w:right="57"/>
              <w:jc w:val="right"/>
              <w:rPr>
                <w:rFonts w:cstheme="minorHAnsi"/>
                <w:color w:val="000000"/>
                <w:sz w:val="20"/>
                <w:szCs w:val="20"/>
              </w:rPr>
            </w:pPr>
            <w:r w:rsidRPr="0087485F">
              <w:rPr>
                <w:rFonts w:cstheme="minorHAnsi"/>
                <w:color w:val="000000"/>
                <w:sz w:val="20"/>
                <w:szCs w:val="20"/>
              </w:rPr>
              <w:t>0.9</w:t>
            </w:r>
          </w:p>
        </w:tc>
      </w:tr>
      <w:tr w:rsidR="00D907AF" w:rsidRPr="0087485F" w:rsidTr="003E471E">
        <w:tc>
          <w:tcPr>
            <w:tcW w:w="4077" w:type="dxa"/>
            <w:shd w:val="clear" w:color="auto" w:fill="auto"/>
          </w:tcPr>
          <w:p w:rsidR="00D907AF" w:rsidRPr="0087485F" w:rsidRDefault="00D907AF" w:rsidP="003E471E">
            <w:pPr>
              <w:spacing w:before="20" w:after="20"/>
              <w:rPr>
                <w:rFonts w:cstheme="minorHAnsi"/>
                <w:sz w:val="20"/>
                <w:szCs w:val="20"/>
              </w:rPr>
            </w:pPr>
            <w:r w:rsidRPr="0087485F">
              <w:rPr>
                <w:rFonts w:cstheme="minorHAnsi"/>
                <w:sz w:val="20"/>
                <w:szCs w:val="20"/>
              </w:rPr>
              <w:t>Other Government pension or allowance</w:t>
            </w:r>
          </w:p>
        </w:tc>
        <w:tc>
          <w:tcPr>
            <w:tcW w:w="567"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10</w:t>
            </w:r>
          </w:p>
        </w:tc>
        <w:tc>
          <w:tcPr>
            <w:tcW w:w="709"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2.1</w:t>
            </w:r>
          </w:p>
        </w:tc>
        <w:tc>
          <w:tcPr>
            <w:tcW w:w="1276" w:type="dxa"/>
            <w:shd w:val="clear" w:color="auto" w:fill="auto"/>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27</w:t>
            </w:r>
          </w:p>
        </w:tc>
        <w:tc>
          <w:tcPr>
            <w:tcW w:w="992" w:type="dxa"/>
            <w:shd w:val="clear" w:color="auto" w:fill="auto"/>
            <w:vAlign w:val="center"/>
          </w:tcPr>
          <w:p w:rsidR="00D907AF" w:rsidRPr="0087485F" w:rsidRDefault="00D907AF" w:rsidP="007C63E4">
            <w:pPr>
              <w:spacing w:before="20" w:after="20"/>
              <w:ind w:right="284"/>
              <w:jc w:val="right"/>
              <w:rPr>
                <w:rFonts w:cstheme="minorHAnsi"/>
                <w:color w:val="000000"/>
                <w:sz w:val="20"/>
                <w:szCs w:val="20"/>
              </w:rPr>
            </w:pPr>
            <w:r w:rsidRPr="0087485F">
              <w:rPr>
                <w:rFonts w:cstheme="minorHAnsi"/>
                <w:color w:val="000000"/>
                <w:sz w:val="20"/>
                <w:szCs w:val="20"/>
              </w:rPr>
              <w:t>4.2</w:t>
            </w:r>
          </w:p>
        </w:tc>
        <w:tc>
          <w:tcPr>
            <w:tcW w:w="709"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37</w:t>
            </w:r>
          </w:p>
        </w:tc>
        <w:tc>
          <w:tcPr>
            <w:tcW w:w="709" w:type="dxa"/>
            <w:shd w:val="clear" w:color="auto" w:fill="auto"/>
            <w:vAlign w:val="center"/>
          </w:tcPr>
          <w:p w:rsidR="00D907AF" w:rsidRPr="0087485F" w:rsidRDefault="00D907AF" w:rsidP="003E471E">
            <w:pPr>
              <w:spacing w:before="20" w:after="20"/>
              <w:ind w:right="57"/>
              <w:jc w:val="right"/>
              <w:rPr>
                <w:rFonts w:cstheme="minorHAnsi"/>
                <w:color w:val="000000"/>
                <w:sz w:val="20"/>
                <w:szCs w:val="20"/>
              </w:rPr>
            </w:pPr>
            <w:r w:rsidRPr="0087485F">
              <w:rPr>
                <w:rFonts w:cstheme="minorHAnsi"/>
                <w:color w:val="000000"/>
                <w:sz w:val="20"/>
                <w:szCs w:val="20"/>
              </w:rPr>
              <w:t>3.3</w:t>
            </w:r>
          </w:p>
        </w:tc>
      </w:tr>
      <w:tr w:rsidR="00D907AF" w:rsidRPr="0087485F" w:rsidTr="003E471E">
        <w:tc>
          <w:tcPr>
            <w:tcW w:w="4077" w:type="dxa"/>
            <w:shd w:val="clear" w:color="auto" w:fill="auto"/>
          </w:tcPr>
          <w:p w:rsidR="00D907AF" w:rsidRPr="0087485F" w:rsidRDefault="00D907AF" w:rsidP="003E471E">
            <w:pPr>
              <w:spacing w:before="20" w:after="20"/>
              <w:rPr>
                <w:rFonts w:cstheme="minorHAnsi"/>
                <w:sz w:val="20"/>
                <w:szCs w:val="20"/>
              </w:rPr>
            </w:pPr>
            <w:r w:rsidRPr="0087485F">
              <w:rPr>
                <w:rFonts w:cstheme="minorHAnsi"/>
                <w:sz w:val="20"/>
                <w:szCs w:val="20"/>
              </w:rPr>
              <w:t>Superannuation, an annuity or private pension</w:t>
            </w:r>
          </w:p>
        </w:tc>
        <w:tc>
          <w:tcPr>
            <w:tcW w:w="567"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11</w:t>
            </w:r>
          </w:p>
        </w:tc>
        <w:tc>
          <w:tcPr>
            <w:tcW w:w="709"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2.3</w:t>
            </w:r>
          </w:p>
        </w:tc>
        <w:tc>
          <w:tcPr>
            <w:tcW w:w="1276" w:type="dxa"/>
            <w:shd w:val="clear" w:color="auto" w:fill="auto"/>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18</w:t>
            </w:r>
          </w:p>
        </w:tc>
        <w:tc>
          <w:tcPr>
            <w:tcW w:w="992" w:type="dxa"/>
            <w:shd w:val="clear" w:color="auto" w:fill="auto"/>
            <w:vAlign w:val="center"/>
          </w:tcPr>
          <w:p w:rsidR="00D907AF" w:rsidRPr="0087485F" w:rsidRDefault="00D907AF" w:rsidP="007C63E4">
            <w:pPr>
              <w:spacing w:before="20" w:after="20"/>
              <w:ind w:right="284"/>
              <w:jc w:val="right"/>
              <w:rPr>
                <w:rFonts w:cstheme="minorHAnsi"/>
                <w:color w:val="000000"/>
                <w:sz w:val="20"/>
                <w:szCs w:val="20"/>
              </w:rPr>
            </w:pPr>
            <w:r w:rsidRPr="0087485F">
              <w:rPr>
                <w:rFonts w:cstheme="minorHAnsi"/>
                <w:color w:val="000000"/>
                <w:sz w:val="20"/>
                <w:szCs w:val="20"/>
              </w:rPr>
              <w:t>2.8</w:t>
            </w:r>
          </w:p>
        </w:tc>
        <w:tc>
          <w:tcPr>
            <w:tcW w:w="709"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29</w:t>
            </w:r>
          </w:p>
        </w:tc>
        <w:tc>
          <w:tcPr>
            <w:tcW w:w="709" w:type="dxa"/>
            <w:shd w:val="clear" w:color="auto" w:fill="auto"/>
            <w:vAlign w:val="center"/>
          </w:tcPr>
          <w:p w:rsidR="00D907AF" w:rsidRPr="0087485F" w:rsidRDefault="00D907AF" w:rsidP="003E471E">
            <w:pPr>
              <w:spacing w:before="20" w:after="20"/>
              <w:ind w:right="57"/>
              <w:jc w:val="right"/>
              <w:rPr>
                <w:rFonts w:cstheme="minorHAnsi"/>
                <w:color w:val="000000"/>
                <w:sz w:val="20"/>
                <w:szCs w:val="20"/>
              </w:rPr>
            </w:pPr>
            <w:r w:rsidRPr="0087485F">
              <w:rPr>
                <w:rFonts w:cstheme="minorHAnsi"/>
                <w:color w:val="000000"/>
                <w:sz w:val="20"/>
                <w:szCs w:val="20"/>
              </w:rPr>
              <w:t>2.6</w:t>
            </w:r>
          </w:p>
        </w:tc>
      </w:tr>
      <w:tr w:rsidR="00D907AF" w:rsidRPr="0087485F" w:rsidTr="003E471E">
        <w:tc>
          <w:tcPr>
            <w:tcW w:w="4077" w:type="dxa"/>
            <w:shd w:val="clear" w:color="auto" w:fill="auto"/>
          </w:tcPr>
          <w:p w:rsidR="00D907AF" w:rsidRPr="0087485F" w:rsidRDefault="00D907AF" w:rsidP="003E471E">
            <w:pPr>
              <w:spacing w:before="20" w:after="20"/>
              <w:rPr>
                <w:rFonts w:cstheme="minorHAnsi"/>
                <w:sz w:val="20"/>
                <w:szCs w:val="20"/>
              </w:rPr>
            </w:pPr>
            <w:r w:rsidRPr="0087485F">
              <w:rPr>
                <w:rFonts w:cstheme="minorHAnsi"/>
                <w:sz w:val="20"/>
                <w:szCs w:val="20"/>
              </w:rPr>
              <w:t>Compensation/Insurance pay-out</w:t>
            </w:r>
          </w:p>
        </w:tc>
        <w:tc>
          <w:tcPr>
            <w:tcW w:w="567"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2</w:t>
            </w:r>
          </w:p>
        </w:tc>
        <w:tc>
          <w:tcPr>
            <w:tcW w:w="709"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0.4</w:t>
            </w:r>
          </w:p>
        </w:tc>
        <w:tc>
          <w:tcPr>
            <w:tcW w:w="1276" w:type="dxa"/>
            <w:shd w:val="clear" w:color="auto" w:fill="auto"/>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2</w:t>
            </w:r>
          </w:p>
        </w:tc>
        <w:tc>
          <w:tcPr>
            <w:tcW w:w="992" w:type="dxa"/>
            <w:shd w:val="clear" w:color="auto" w:fill="auto"/>
            <w:vAlign w:val="center"/>
          </w:tcPr>
          <w:p w:rsidR="00D907AF" w:rsidRPr="0087485F" w:rsidRDefault="00D907AF" w:rsidP="007C63E4">
            <w:pPr>
              <w:spacing w:before="20" w:after="20"/>
              <w:ind w:right="284"/>
              <w:jc w:val="right"/>
              <w:rPr>
                <w:rFonts w:cstheme="minorHAnsi"/>
                <w:color w:val="000000"/>
                <w:sz w:val="20"/>
                <w:szCs w:val="20"/>
              </w:rPr>
            </w:pPr>
            <w:r w:rsidRPr="0087485F">
              <w:rPr>
                <w:rFonts w:cstheme="minorHAnsi"/>
                <w:color w:val="000000"/>
                <w:sz w:val="20"/>
                <w:szCs w:val="20"/>
              </w:rPr>
              <w:t>0.3</w:t>
            </w:r>
          </w:p>
        </w:tc>
        <w:tc>
          <w:tcPr>
            <w:tcW w:w="709"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4</w:t>
            </w:r>
          </w:p>
        </w:tc>
        <w:tc>
          <w:tcPr>
            <w:tcW w:w="709" w:type="dxa"/>
            <w:shd w:val="clear" w:color="auto" w:fill="auto"/>
            <w:vAlign w:val="center"/>
          </w:tcPr>
          <w:p w:rsidR="00D907AF" w:rsidRPr="0087485F" w:rsidRDefault="00D907AF" w:rsidP="003E471E">
            <w:pPr>
              <w:spacing w:before="20" w:after="20"/>
              <w:ind w:right="57"/>
              <w:jc w:val="right"/>
              <w:rPr>
                <w:rFonts w:cstheme="minorHAnsi"/>
                <w:color w:val="000000"/>
                <w:sz w:val="20"/>
                <w:szCs w:val="20"/>
              </w:rPr>
            </w:pPr>
            <w:r w:rsidRPr="0087485F">
              <w:rPr>
                <w:rFonts w:cstheme="minorHAnsi"/>
                <w:color w:val="000000"/>
                <w:sz w:val="20"/>
                <w:szCs w:val="20"/>
              </w:rPr>
              <w:t>0.4</w:t>
            </w:r>
          </w:p>
        </w:tc>
      </w:tr>
      <w:tr w:rsidR="00D907AF" w:rsidRPr="0087485F" w:rsidTr="003E471E">
        <w:tc>
          <w:tcPr>
            <w:tcW w:w="4077" w:type="dxa"/>
            <w:shd w:val="clear" w:color="auto" w:fill="auto"/>
          </w:tcPr>
          <w:p w:rsidR="00D907AF" w:rsidRPr="0087485F" w:rsidRDefault="00D907AF" w:rsidP="003E471E">
            <w:pPr>
              <w:spacing w:before="20" w:after="20"/>
              <w:rPr>
                <w:rFonts w:cstheme="minorHAnsi"/>
                <w:sz w:val="20"/>
                <w:szCs w:val="20"/>
              </w:rPr>
            </w:pPr>
            <w:r w:rsidRPr="0087485F">
              <w:rPr>
                <w:rFonts w:cstheme="minorHAnsi"/>
                <w:sz w:val="20"/>
                <w:szCs w:val="20"/>
              </w:rPr>
              <w:t>Dividends and interest from shares</w:t>
            </w:r>
          </w:p>
        </w:tc>
        <w:tc>
          <w:tcPr>
            <w:tcW w:w="567"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14</w:t>
            </w:r>
          </w:p>
        </w:tc>
        <w:tc>
          <w:tcPr>
            <w:tcW w:w="709"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3.0</w:t>
            </w:r>
          </w:p>
        </w:tc>
        <w:tc>
          <w:tcPr>
            <w:tcW w:w="1276" w:type="dxa"/>
            <w:shd w:val="clear" w:color="auto" w:fill="auto"/>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19</w:t>
            </w:r>
          </w:p>
        </w:tc>
        <w:tc>
          <w:tcPr>
            <w:tcW w:w="992" w:type="dxa"/>
            <w:shd w:val="clear" w:color="auto" w:fill="auto"/>
            <w:vAlign w:val="center"/>
          </w:tcPr>
          <w:p w:rsidR="00D907AF" w:rsidRPr="0087485F" w:rsidRDefault="00D907AF" w:rsidP="007C63E4">
            <w:pPr>
              <w:spacing w:before="20" w:after="20"/>
              <w:ind w:right="284"/>
              <w:jc w:val="right"/>
              <w:rPr>
                <w:rFonts w:cstheme="minorHAnsi"/>
                <w:color w:val="000000"/>
                <w:sz w:val="20"/>
                <w:szCs w:val="20"/>
              </w:rPr>
            </w:pPr>
            <w:r w:rsidRPr="0087485F">
              <w:rPr>
                <w:rFonts w:cstheme="minorHAnsi"/>
                <w:color w:val="000000"/>
                <w:sz w:val="20"/>
                <w:szCs w:val="20"/>
              </w:rPr>
              <w:t>3.0</w:t>
            </w:r>
          </w:p>
        </w:tc>
        <w:tc>
          <w:tcPr>
            <w:tcW w:w="709"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33</w:t>
            </w:r>
          </w:p>
        </w:tc>
        <w:tc>
          <w:tcPr>
            <w:tcW w:w="709" w:type="dxa"/>
            <w:shd w:val="clear" w:color="auto" w:fill="auto"/>
            <w:vAlign w:val="center"/>
          </w:tcPr>
          <w:p w:rsidR="00D907AF" w:rsidRPr="0087485F" w:rsidRDefault="00D907AF" w:rsidP="003E471E">
            <w:pPr>
              <w:spacing w:before="20" w:after="20"/>
              <w:ind w:right="57"/>
              <w:jc w:val="right"/>
              <w:rPr>
                <w:rFonts w:cstheme="minorHAnsi"/>
                <w:color w:val="000000"/>
                <w:sz w:val="20"/>
                <w:szCs w:val="20"/>
              </w:rPr>
            </w:pPr>
            <w:r w:rsidRPr="0087485F">
              <w:rPr>
                <w:rFonts w:cstheme="minorHAnsi"/>
                <w:color w:val="000000"/>
                <w:sz w:val="20"/>
                <w:szCs w:val="20"/>
              </w:rPr>
              <w:t>3.0</w:t>
            </w:r>
          </w:p>
        </w:tc>
      </w:tr>
      <w:tr w:rsidR="00D907AF" w:rsidRPr="0087485F" w:rsidTr="003E471E">
        <w:tc>
          <w:tcPr>
            <w:tcW w:w="4077" w:type="dxa"/>
            <w:shd w:val="clear" w:color="auto" w:fill="auto"/>
          </w:tcPr>
          <w:p w:rsidR="00D907AF" w:rsidRPr="0087485F" w:rsidRDefault="00D907AF" w:rsidP="003E471E">
            <w:pPr>
              <w:spacing w:before="20" w:after="20"/>
              <w:rPr>
                <w:rFonts w:cstheme="minorHAnsi"/>
                <w:sz w:val="20"/>
                <w:szCs w:val="20"/>
              </w:rPr>
            </w:pPr>
            <w:r w:rsidRPr="0087485F">
              <w:rPr>
                <w:rFonts w:cstheme="minorHAnsi"/>
                <w:sz w:val="20"/>
                <w:szCs w:val="20"/>
              </w:rPr>
              <w:t xml:space="preserve">Other </w:t>
            </w:r>
          </w:p>
        </w:tc>
        <w:tc>
          <w:tcPr>
            <w:tcW w:w="567"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29</w:t>
            </w:r>
          </w:p>
        </w:tc>
        <w:tc>
          <w:tcPr>
            <w:tcW w:w="709"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6.2</w:t>
            </w:r>
          </w:p>
        </w:tc>
        <w:tc>
          <w:tcPr>
            <w:tcW w:w="1276" w:type="dxa"/>
            <w:shd w:val="clear" w:color="auto" w:fill="auto"/>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38</w:t>
            </w:r>
          </w:p>
        </w:tc>
        <w:tc>
          <w:tcPr>
            <w:tcW w:w="992" w:type="dxa"/>
            <w:shd w:val="clear" w:color="auto" w:fill="auto"/>
            <w:vAlign w:val="center"/>
          </w:tcPr>
          <w:p w:rsidR="00D907AF" w:rsidRPr="0087485F" w:rsidRDefault="00D907AF" w:rsidP="007C63E4">
            <w:pPr>
              <w:spacing w:before="20" w:after="20"/>
              <w:ind w:right="284"/>
              <w:jc w:val="right"/>
              <w:rPr>
                <w:rFonts w:cstheme="minorHAnsi"/>
                <w:color w:val="000000"/>
                <w:sz w:val="20"/>
                <w:szCs w:val="20"/>
              </w:rPr>
            </w:pPr>
            <w:r w:rsidRPr="0087485F">
              <w:rPr>
                <w:rFonts w:cstheme="minorHAnsi"/>
                <w:color w:val="000000"/>
                <w:sz w:val="20"/>
                <w:szCs w:val="20"/>
              </w:rPr>
              <w:t>6.0</w:t>
            </w:r>
          </w:p>
        </w:tc>
        <w:tc>
          <w:tcPr>
            <w:tcW w:w="709"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67</w:t>
            </w:r>
          </w:p>
        </w:tc>
        <w:tc>
          <w:tcPr>
            <w:tcW w:w="709" w:type="dxa"/>
            <w:shd w:val="clear" w:color="auto" w:fill="auto"/>
            <w:vAlign w:val="center"/>
          </w:tcPr>
          <w:p w:rsidR="00D907AF" w:rsidRPr="0087485F" w:rsidRDefault="00D907AF" w:rsidP="003E471E">
            <w:pPr>
              <w:spacing w:before="20" w:after="20"/>
              <w:ind w:right="57"/>
              <w:jc w:val="right"/>
              <w:rPr>
                <w:rFonts w:cstheme="minorHAnsi"/>
                <w:color w:val="000000"/>
                <w:sz w:val="20"/>
                <w:szCs w:val="20"/>
              </w:rPr>
            </w:pPr>
            <w:r w:rsidRPr="0087485F">
              <w:rPr>
                <w:rFonts w:cstheme="minorHAnsi"/>
                <w:color w:val="000000"/>
                <w:sz w:val="20"/>
                <w:szCs w:val="20"/>
              </w:rPr>
              <w:t>6.1</w:t>
            </w:r>
          </w:p>
        </w:tc>
      </w:tr>
      <w:tr w:rsidR="00D907AF" w:rsidRPr="0087485F" w:rsidTr="003E471E">
        <w:tc>
          <w:tcPr>
            <w:tcW w:w="4077" w:type="dxa"/>
            <w:shd w:val="clear" w:color="auto" w:fill="auto"/>
          </w:tcPr>
          <w:p w:rsidR="00D907AF" w:rsidRPr="0087485F" w:rsidRDefault="00D907AF" w:rsidP="003E471E">
            <w:pPr>
              <w:spacing w:before="20" w:after="20"/>
              <w:rPr>
                <w:rFonts w:cstheme="minorHAnsi"/>
                <w:sz w:val="20"/>
                <w:szCs w:val="20"/>
              </w:rPr>
            </w:pPr>
            <w:r w:rsidRPr="0087485F">
              <w:rPr>
                <w:rFonts w:cstheme="minorHAnsi"/>
                <w:sz w:val="20"/>
                <w:szCs w:val="20"/>
              </w:rPr>
              <w:t>D</w:t>
            </w:r>
            <w:r>
              <w:rPr>
                <w:rFonts w:cstheme="minorHAnsi"/>
                <w:sz w:val="20"/>
                <w:szCs w:val="20"/>
              </w:rPr>
              <w:t>o not know</w:t>
            </w:r>
          </w:p>
        </w:tc>
        <w:tc>
          <w:tcPr>
            <w:tcW w:w="567"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2</w:t>
            </w:r>
          </w:p>
        </w:tc>
        <w:tc>
          <w:tcPr>
            <w:tcW w:w="709"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0.4</w:t>
            </w:r>
          </w:p>
        </w:tc>
        <w:tc>
          <w:tcPr>
            <w:tcW w:w="1276" w:type="dxa"/>
            <w:shd w:val="clear" w:color="auto" w:fill="auto"/>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5</w:t>
            </w:r>
          </w:p>
        </w:tc>
        <w:tc>
          <w:tcPr>
            <w:tcW w:w="992" w:type="dxa"/>
            <w:shd w:val="clear" w:color="auto" w:fill="auto"/>
            <w:vAlign w:val="center"/>
          </w:tcPr>
          <w:p w:rsidR="00D907AF" w:rsidRPr="0087485F" w:rsidRDefault="00D907AF" w:rsidP="007C63E4">
            <w:pPr>
              <w:spacing w:before="20" w:after="20"/>
              <w:ind w:right="284"/>
              <w:jc w:val="right"/>
              <w:rPr>
                <w:rFonts w:cstheme="minorHAnsi"/>
                <w:color w:val="000000"/>
                <w:sz w:val="20"/>
                <w:szCs w:val="20"/>
              </w:rPr>
            </w:pPr>
            <w:r w:rsidRPr="0087485F">
              <w:rPr>
                <w:rFonts w:cstheme="minorHAnsi"/>
                <w:color w:val="000000"/>
                <w:sz w:val="20"/>
                <w:szCs w:val="20"/>
              </w:rPr>
              <w:t>0.8</w:t>
            </w:r>
          </w:p>
        </w:tc>
        <w:tc>
          <w:tcPr>
            <w:tcW w:w="709"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7</w:t>
            </w:r>
          </w:p>
        </w:tc>
        <w:tc>
          <w:tcPr>
            <w:tcW w:w="709" w:type="dxa"/>
            <w:shd w:val="clear" w:color="auto" w:fill="auto"/>
            <w:vAlign w:val="center"/>
          </w:tcPr>
          <w:p w:rsidR="00D907AF" w:rsidRPr="0087485F" w:rsidRDefault="00D907AF" w:rsidP="003E471E">
            <w:pPr>
              <w:spacing w:before="20" w:after="20"/>
              <w:ind w:right="57"/>
              <w:jc w:val="right"/>
              <w:rPr>
                <w:rFonts w:cstheme="minorHAnsi"/>
                <w:color w:val="000000"/>
                <w:sz w:val="20"/>
                <w:szCs w:val="20"/>
              </w:rPr>
            </w:pPr>
            <w:r w:rsidRPr="0087485F">
              <w:rPr>
                <w:rFonts w:cstheme="minorHAnsi"/>
                <w:color w:val="000000"/>
                <w:sz w:val="20"/>
                <w:szCs w:val="20"/>
              </w:rPr>
              <w:t>0.6</w:t>
            </w:r>
          </w:p>
        </w:tc>
      </w:tr>
      <w:tr w:rsidR="00D907AF" w:rsidRPr="0087485F" w:rsidTr="003E471E">
        <w:tc>
          <w:tcPr>
            <w:tcW w:w="4077" w:type="dxa"/>
            <w:shd w:val="clear" w:color="auto" w:fill="auto"/>
          </w:tcPr>
          <w:p w:rsidR="00D907AF" w:rsidRPr="0087485F" w:rsidRDefault="00D907AF" w:rsidP="003E471E">
            <w:pPr>
              <w:spacing w:before="20" w:after="20"/>
              <w:rPr>
                <w:rFonts w:cstheme="minorHAnsi"/>
                <w:sz w:val="20"/>
                <w:szCs w:val="20"/>
              </w:rPr>
            </w:pPr>
            <w:r w:rsidRPr="0087485F">
              <w:rPr>
                <w:rFonts w:cstheme="minorHAnsi"/>
                <w:sz w:val="20"/>
                <w:szCs w:val="20"/>
              </w:rPr>
              <w:t>Prefer not to say</w:t>
            </w:r>
          </w:p>
        </w:tc>
        <w:tc>
          <w:tcPr>
            <w:tcW w:w="567"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6</w:t>
            </w:r>
          </w:p>
        </w:tc>
        <w:tc>
          <w:tcPr>
            <w:tcW w:w="709"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1.3</w:t>
            </w:r>
          </w:p>
        </w:tc>
        <w:tc>
          <w:tcPr>
            <w:tcW w:w="1276" w:type="dxa"/>
            <w:shd w:val="clear" w:color="auto" w:fill="auto"/>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5</w:t>
            </w:r>
          </w:p>
        </w:tc>
        <w:tc>
          <w:tcPr>
            <w:tcW w:w="992" w:type="dxa"/>
            <w:shd w:val="clear" w:color="auto" w:fill="auto"/>
            <w:vAlign w:val="center"/>
          </w:tcPr>
          <w:p w:rsidR="00D907AF" w:rsidRPr="0087485F" w:rsidRDefault="00D907AF" w:rsidP="007C63E4">
            <w:pPr>
              <w:spacing w:before="20" w:after="20"/>
              <w:ind w:right="284"/>
              <w:jc w:val="right"/>
              <w:rPr>
                <w:rFonts w:cstheme="minorHAnsi"/>
                <w:color w:val="000000"/>
                <w:sz w:val="20"/>
                <w:szCs w:val="20"/>
              </w:rPr>
            </w:pPr>
            <w:r w:rsidRPr="0087485F">
              <w:rPr>
                <w:rFonts w:cstheme="minorHAnsi"/>
                <w:color w:val="000000"/>
                <w:sz w:val="20"/>
                <w:szCs w:val="20"/>
              </w:rPr>
              <w:t>0.8</w:t>
            </w:r>
          </w:p>
        </w:tc>
        <w:tc>
          <w:tcPr>
            <w:tcW w:w="709"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11</w:t>
            </w:r>
          </w:p>
        </w:tc>
        <w:tc>
          <w:tcPr>
            <w:tcW w:w="709" w:type="dxa"/>
            <w:shd w:val="clear" w:color="auto" w:fill="auto"/>
            <w:vAlign w:val="center"/>
          </w:tcPr>
          <w:p w:rsidR="00D907AF" w:rsidRPr="0087485F" w:rsidRDefault="00D907AF" w:rsidP="003E471E">
            <w:pPr>
              <w:spacing w:before="20" w:after="20"/>
              <w:ind w:right="57"/>
              <w:jc w:val="right"/>
              <w:rPr>
                <w:rFonts w:cstheme="minorHAnsi"/>
                <w:color w:val="000000"/>
                <w:sz w:val="20"/>
                <w:szCs w:val="20"/>
              </w:rPr>
            </w:pPr>
            <w:r w:rsidRPr="0087485F">
              <w:rPr>
                <w:rFonts w:cstheme="minorHAnsi"/>
                <w:color w:val="000000"/>
                <w:sz w:val="20"/>
                <w:szCs w:val="20"/>
              </w:rPr>
              <w:t>1.0</w:t>
            </w:r>
          </w:p>
        </w:tc>
      </w:tr>
      <w:tr w:rsidR="00D907AF" w:rsidRPr="0087485F" w:rsidTr="003E471E">
        <w:tc>
          <w:tcPr>
            <w:tcW w:w="4077" w:type="dxa"/>
            <w:shd w:val="clear" w:color="auto" w:fill="auto"/>
          </w:tcPr>
          <w:p w:rsidR="00D907AF" w:rsidRPr="0087485F" w:rsidRDefault="00D907AF" w:rsidP="003E471E">
            <w:pPr>
              <w:spacing w:before="20" w:after="20"/>
              <w:rPr>
                <w:rFonts w:cstheme="minorHAnsi"/>
                <w:sz w:val="20"/>
                <w:szCs w:val="20"/>
              </w:rPr>
            </w:pPr>
            <w:r w:rsidRPr="0087485F">
              <w:rPr>
                <w:rFonts w:cstheme="minorHAnsi"/>
                <w:sz w:val="20"/>
                <w:szCs w:val="20"/>
              </w:rPr>
              <w:t>Newstart allowance</w:t>
            </w:r>
          </w:p>
        </w:tc>
        <w:tc>
          <w:tcPr>
            <w:tcW w:w="567"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1</w:t>
            </w:r>
          </w:p>
        </w:tc>
        <w:tc>
          <w:tcPr>
            <w:tcW w:w="709"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0.2</w:t>
            </w:r>
          </w:p>
        </w:tc>
        <w:tc>
          <w:tcPr>
            <w:tcW w:w="1276" w:type="dxa"/>
            <w:shd w:val="clear" w:color="auto" w:fill="auto"/>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2</w:t>
            </w:r>
          </w:p>
        </w:tc>
        <w:tc>
          <w:tcPr>
            <w:tcW w:w="992" w:type="dxa"/>
            <w:shd w:val="clear" w:color="auto" w:fill="auto"/>
            <w:vAlign w:val="center"/>
          </w:tcPr>
          <w:p w:rsidR="00D907AF" w:rsidRPr="0087485F" w:rsidRDefault="00D907AF" w:rsidP="007C63E4">
            <w:pPr>
              <w:spacing w:before="20" w:after="20"/>
              <w:ind w:right="284"/>
              <w:jc w:val="right"/>
              <w:rPr>
                <w:rFonts w:cstheme="minorHAnsi"/>
                <w:color w:val="000000"/>
                <w:sz w:val="20"/>
                <w:szCs w:val="20"/>
              </w:rPr>
            </w:pPr>
            <w:r w:rsidRPr="0087485F">
              <w:rPr>
                <w:rFonts w:cstheme="minorHAnsi"/>
                <w:color w:val="000000"/>
                <w:sz w:val="20"/>
                <w:szCs w:val="20"/>
              </w:rPr>
              <w:t>0.3</w:t>
            </w:r>
          </w:p>
        </w:tc>
        <w:tc>
          <w:tcPr>
            <w:tcW w:w="709"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3</w:t>
            </w:r>
          </w:p>
        </w:tc>
        <w:tc>
          <w:tcPr>
            <w:tcW w:w="709" w:type="dxa"/>
            <w:shd w:val="clear" w:color="auto" w:fill="auto"/>
            <w:vAlign w:val="center"/>
          </w:tcPr>
          <w:p w:rsidR="00D907AF" w:rsidRPr="0087485F" w:rsidRDefault="00D907AF" w:rsidP="003E471E">
            <w:pPr>
              <w:spacing w:before="20" w:after="20"/>
              <w:ind w:right="57"/>
              <w:jc w:val="right"/>
              <w:rPr>
                <w:rFonts w:cstheme="minorHAnsi"/>
                <w:color w:val="000000"/>
                <w:sz w:val="20"/>
                <w:szCs w:val="20"/>
              </w:rPr>
            </w:pPr>
            <w:r w:rsidRPr="0087485F">
              <w:rPr>
                <w:rFonts w:cstheme="minorHAnsi"/>
                <w:color w:val="000000"/>
                <w:sz w:val="20"/>
                <w:szCs w:val="20"/>
              </w:rPr>
              <w:t>0.3</w:t>
            </w:r>
          </w:p>
        </w:tc>
      </w:tr>
      <w:tr w:rsidR="00D907AF" w:rsidRPr="0087485F" w:rsidTr="003E471E">
        <w:tc>
          <w:tcPr>
            <w:tcW w:w="4077" w:type="dxa"/>
            <w:shd w:val="clear" w:color="auto" w:fill="auto"/>
          </w:tcPr>
          <w:p w:rsidR="00D907AF" w:rsidRPr="0087485F" w:rsidRDefault="00D907AF" w:rsidP="003E471E">
            <w:pPr>
              <w:spacing w:before="20" w:after="20"/>
              <w:rPr>
                <w:rFonts w:cstheme="minorHAnsi"/>
                <w:sz w:val="20"/>
                <w:szCs w:val="20"/>
              </w:rPr>
            </w:pPr>
            <w:r w:rsidRPr="0087485F">
              <w:rPr>
                <w:rFonts w:cstheme="minorHAnsi"/>
                <w:sz w:val="20"/>
                <w:szCs w:val="20"/>
              </w:rPr>
              <w:t>Partner allowance</w:t>
            </w:r>
          </w:p>
        </w:tc>
        <w:tc>
          <w:tcPr>
            <w:tcW w:w="567"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0</w:t>
            </w:r>
          </w:p>
        </w:tc>
        <w:tc>
          <w:tcPr>
            <w:tcW w:w="709"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0.0</w:t>
            </w:r>
          </w:p>
        </w:tc>
        <w:tc>
          <w:tcPr>
            <w:tcW w:w="1276" w:type="dxa"/>
            <w:shd w:val="clear" w:color="auto" w:fill="auto"/>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0</w:t>
            </w:r>
          </w:p>
        </w:tc>
        <w:tc>
          <w:tcPr>
            <w:tcW w:w="992" w:type="dxa"/>
            <w:shd w:val="clear" w:color="auto" w:fill="auto"/>
            <w:vAlign w:val="center"/>
          </w:tcPr>
          <w:p w:rsidR="00D907AF" w:rsidRPr="0087485F" w:rsidRDefault="00D907AF" w:rsidP="007C63E4">
            <w:pPr>
              <w:spacing w:before="20" w:after="20"/>
              <w:ind w:right="284"/>
              <w:jc w:val="right"/>
              <w:rPr>
                <w:rFonts w:cstheme="minorHAnsi"/>
                <w:color w:val="000000"/>
                <w:sz w:val="20"/>
                <w:szCs w:val="20"/>
              </w:rPr>
            </w:pPr>
            <w:r w:rsidRPr="0087485F">
              <w:rPr>
                <w:rFonts w:cstheme="minorHAnsi"/>
                <w:color w:val="000000"/>
                <w:sz w:val="20"/>
                <w:szCs w:val="20"/>
              </w:rPr>
              <w:t>0.0</w:t>
            </w:r>
          </w:p>
        </w:tc>
        <w:tc>
          <w:tcPr>
            <w:tcW w:w="709"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0</w:t>
            </w:r>
          </w:p>
        </w:tc>
        <w:tc>
          <w:tcPr>
            <w:tcW w:w="709" w:type="dxa"/>
            <w:shd w:val="clear" w:color="auto" w:fill="auto"/>
            <w:vAlign w:val="center"/>
          </w:tcPr>
          <w:p w:rsidR="00D907AF" w:rsidRPr="0087485F" w:rsidRDefault="00D907AF" w:rsidP="003E471E">
            <w:pPr>
              <w:spacing w:before="20" w:after="20"/>
              <w:ind w:right="57"/>
              <w:jc w:val="right"/>
              <w:rPr>
                <w:rFonts w:cstheme="minorHAnsi"/>
                <w:color w:val="000000"/>
                <w:sz w:val="20"/>
                <w:szCs w:val="20"/>
              </w:rPr>
            </w:pPr>
            <w:r w:rsidRPr="0087485F">
              <w:rPr>
                <w:rFonts w:cstheme="minorHAnsi"/>
                <w:color w:val="000000"/>
                <w:sz w:val="20"/>
                <w:szCs w:val="20"/>
              </w:rPr>
              <w:t>0.0</w:t>
            </w:r>
          </w:p>
        </w:tc>
      </w:tr>
      <w:tr w:rsidR="00D907AF" w:rsidRPr="0087485F" w:rsidTr="003E471E">
        <w:tc>
          <w:tcPr>
            <w:tcW w:w="4077" w:type="dxa"/>
            <w:shd w:val="clear" w:color="auto" w:fill="auto"/>
          </w:tcPr>
          <w:p w:rsidR="00D907AF" w:rsidRPr="0087485F" w:rsidRDefault="00D907AF" w:rsidP="003E471E">
            <w:pPr>
              <w:spacing w:before="20" w:after="20"/>
              <w:rPr>
                <w:rFonts w:cstheme="minorHAnsi"/>
                <w:sz w:val="20"/>
                <w:szCs w:val="20"/>
              </w:rPr>
            </w:pPr>
            <w:r w:rsidRPr="0087485F">
              <w:rPr>
                <w:rFonts w:cstheme="minorHAnsi"/>
                <w:sz w:val="20"/>
                <w:szCs w:val="20"/>
              </w:rPr>
              <w:t>Sickness allowance</w:t>
            </w:r>
          </w:p>
        </w:tc>
        <w:tc>
          <w:tcPr>
            <w:tcW w:w="567"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0</w:t>
            </w:r>
          </w:p>
        </w:tc>
        <w:tc>
          <w:tcPr>
            <w:tcW w:w="709"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0.0</w:t>
            </w:r>
          </w:p>
        </w:tc>
        <w:tc>
          <w:tcPr>
            <w:tcW w:w="1276" w:type="dxa"/>
            <w:shd w:val="clear" w:color="auto" w:fill="auto"/>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0</w:t>
            </w:r>
          </w:p>
        </w:tc>
        <w:tc>
          <w:tcPr>
            <w:tcW w:w="992" w:type="dxa"/>
            <w:shd w:val="clear" w:color="auto" w:fill="auto"/>
            <w:vAlign w:val="center"/>
          </w:tcPr>
          <w:p w:rsidR="00D907AF" w:rsidRPr="0087485F" w:rsidRDefault="00D907AF" w:rsidP="007C63E4">
            <w:pPr>
              <w:spacing w:before="20" w:after="20"/>
              <w:ind w:right="284"/>
              <w:jc w:val="right"/>
              <w:rPr>
                <w:rFonts w:cstheme="minorHAnsi"/>
                <w:color w:val="000000"/>
                <w:sz w:val="20"/>
                <w:szCs w:val="20"/>
              </w:rPr>
            </w:pPr>
            <w:r w:rsidRPr="0087485F">
              <w:rPr>
                <w:rFonts w:cstheme="minorHAnsi"/>
                <w:color w:val="000000"/>
                <w:sz w:val="20"/>
                <w:szCs w:val="20"/>
              </w:rPr>
              <w:t>0.0</w:t>
            </w:r>
          </w:p>
        </w:tc>
        <w:tc>
          <w:tcPr>
            <w:tcW w:w="709"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0</w:t>
            </w:r>
          </w:p>
        </w:tc>
        <w:tc>
          <w:tcPr>
            <w:tcW w:w="709" w:type="dxa"/>
            <w:shd w:val="clear" w:color="auto" w:fill="auto"/>
            <w:vAlign w:val="center"/>
          </w:tcPr>
          <w:p w:rsidR="00D907AF" w:rsidRPr="0087485F" w:rsidRDefault="00D907AF" w:rsidP="003E471E">
            <w:pPr>
              <w:spacing w:before="20" w:after="20"/>
              <w:ind w:right="57"/>
              <w:jc w:val="right"/>
              <w:rPr>
                <w:rFonts w:cstheme="minorHAnsi"/>
                <w:color w:val="000000"/>
                <w:sz w:val="20"/>
                <w:szCs w:val="20"/>
              </w:rPr>
            </w:pPr>
            <w:r w:rsidRPr="0087485F">
              <w:rPr>
                <w:rFonts w:cstheme="minorHAnsi"/>
                <w:color w:val="000000"/>
                <w:sz w:val="20"/>
                <w:szCs w:val="20"/>
              </w:rPr>
              <w:t>0.0</w:t>
            </w:r>
          </w:p>
        </w:tc>
      </w:tr>
      <w:tr w:rsidR="00D907AF" w:rsidRPr="0087485F" w:rsidTr="003E471E">
        <w:tc>
          <w:tcPr>
            <w:tcW w:w="4077" w:type="dxa"/>
            <w:shd w:val="clear" w:color="auto" w:fill="auto"/>
          </w:tcPr>
          <w:p w:rsidR="00D907AF" w:rsidRPr="0087485F" w:rsidRDefault="00D907AF" w:rsidP="003E471E">
            <w:pPr>
              <w:spacing w:before="20" w:after="20"/>
              <w:rPr>
                <w:rFonts w:cstheme="minorHAnsi"/>
                <w:sz w:val="20"/>
                <w:szCs w:val="20"/>
              </w:rPr>
            </w:pPr>
            <w:r w:rsidRPr="0087485F">
              <w:rPr>
                <w:rFonts w:cstheme="minorHAnsi"/>
                <w:sz w:val="20"/>
                <w:szCs w:val="20"/>
              </w:rPr>
              <w:t>Australian Age Pension</w:t>
            </w:r>
          </w:p>
        </w:tc>
        <w:tc>
          <w:tcPr>
            <w:tcW w:w="567"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1</w:t>
            </w:r>
          </w:p>
        </w:tc>
        <w:tc>
          <w:tcPr>
            <w:tcW w:w="709"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0.2</w:t>
            </w:r>
          </w:p>
        </w:tc>
        <w:tc>
          <w:tcPr>
            <w:tcW w:w="1276" w:type="dxa"/>
            <w:shd w:val="clear" w:color="auto" w:fill="auto"/>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1</w:t>
            </w:r>
          </w:p>
        </w:tc>
        <w:tc>
          <w:tcPr>
            <w:tcW w:w="992" w:type="dxa"/>
            <w:shd w:val="clear" w:color="auto" w:fill="auto"/>
            <w:vAlign w:val="center"/>
          </w:tcPr>
          <w:p w:rsidR="00D907AF" w:rsidRPr="0087485F" w:rsidRDefault="00D907AF" w:rsidP="007C63E4">
            <w:pPr>
              <w:spacing w:before="20" w:after="20"/>
              <w:ind w:right="284"/>
              <w:jc w:val="right"/>
              <w:rPr>
                <w:rFonts w:cstheme="minorHAnsi"/>
                <w:color w:val="000000"/>
                <w:sz w:val="20"/>
                <w:szCs w:val="20"/>
              </w:rPr>
            </w:pPr>
            <w:r w:rsidRPr="0087485F">
              <w:rPr>
                <w:rFonts w:cstheme="minorHAnsi"/>
                <w:color w:val="000000"/>
                <w:sz w:val="20"/>
                <w:szCs w:val="20"/>
              </w:rPr>
              <w:t>0.2</w:t>
            </w:r>
          </w:p>
        </w:tc>
        <w:tc>
          <w:tcPr>
            <w:tcW w:w="709"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2</w:t>
            </w:r>
          </w:p>
        </w:tc>
        <w:tc>
          <w:tcPr>
            <w:tcW w:w="709" w:type="dxa"/>
            <w:shd w:val="clear" w:color="auto" w:fill="auto"/>
            <w:vAlign w:val="center"/>
          </w:tcPr>
          <w:p w:rsidR="00D907AF" w:rsidRPr="0087485F" w:rsidRDefault="00D907AF" w:rsidP="003E471E">
            <w:pPr>
              <w:spacing w:before="20" w:after="20"/>
              <w:ind w:right="57"/>
              <w:jc w:val="right"/>
              <w:rPr>
                <w:rFonts w:cstheme="minorHAnsi"/>
                <w:color w:val="000000"/>
                <w:sz w:val="20"/>
                <w:szCs w:val="20"/>
              </w:rPr>
            </w:pPr>
            <w:r w:rsidRPr="0087485F">
              <w:rPr>
                <w:rFonts w:cstheme="minorHAnsi"/>
                <w:color w:val="000000"/>
                <w:sz w:val="20"/>
                <w:szCs w:val="20"/>
              </w:rPr>
              <w:t>0.2</w:t>
            </w:r>
          </w:p>
        </w:tc>
      </w:tr>
      <w:tr w:rsidR="00D907AF" w:rsidRPr="0087485F" w:rsidTr="003E471E">
        <w:tc>
          <w:tcPr>
            <w:tcW w:w="4077" w:type="dxa"/>
            <w:shd w:val="clear" w:color="auto" w:fill="auto"/>
          </w:tcPr>
          <w:p w:rsidR="00D907AF" w:rsidRPr="0087485F" w:rsidRDefault="00D907AF" w:rsidP="003E471E">
            <w:pPr>
              <w:spacing w:before="20" w:after="20"/>
              <w:rPr>
                <w:rFonts w:cstheme="minorHAnsi"/>
                <w:sz w:val="20"/>
                <w:szCs w:val="20"/>
              </w:rPr>
            </w:pPr>
            <w:r w:rsidRPr="0087485F">
              <w:rPr>
                <w:rFonts w:cstheme="minorHAnsi"/>
                <w:sz w:val="20"/>
                <w:szCs w:val="20"/>
              </w:rPr>
              <w:t>No other sources of personal income</w:t>
            </w:r>
          </w:p>
        </w:tc>
        <w:tc>
          <w:tcPr>
            <w:tcW w:w="567"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144</w:t>
            </w:r>
          </w:p>
        </w:tc>
        <w:tc>
          <w:tcPr>
            <w:tcW w:w="709"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30.6</w:t>
            </w:r>
          </w:p>
        </w:tc>
        <w:tc>
          <w:tcPr>
            <w:tcW w:w="1276" w:type="dxa"/>
            <w:shd w:val="clear" w:color="auto" w:fill="auto"/>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206</w:t>
            </w:r>
          </w:p>
        </w:tc>
        <w:tc>
          <w:tcPr>
            <w:tcW w:w="992" w:type="dxa"/>
            <w:shd w:val="clear" w:color="auto" w:fill="auto"/>
            <w:vAlign w:val="center"/>
          </w:tcPr>
          <w:p w:rsidR="00D907AF" w:rsidRPr="0087485F" w:rsidRDefault="00D907AF" w:rsidP="007C63E4">
            <w:pPr>
              <w:spacing w:before="20" w:after="20"/>
              <w:ind w:right="284"/>
              <w:jc w:val="right"/>
              <w:rPr>
                <w:rFonts w:cstheme="minorHAnsi"/>
                <w:color w:val="000000"/>
                <w:sz w:val="20"/>
                <w:szCs w:val="20"/>
              </w:rPr>
            </w:pPr>
            <w:r w:rsidRPr="0087485F">
              <w:rPr>
                <w:rFonts w:cstheme="minorHAnsi"/>
                <w:color w:val="000000"/>
                <w:sz w:val="20"/>
                <w:szCs w:val="20"/>
              </w:rPr>
              <w:t>32.3</w:t>
            </w:r>
          </w:p>
        </w:tc>
        <w:tc>
          <w:tcPr>
            <w:tcW w:w="709"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350</w:t>
            </w:r>
          </w:p>
        </w:tc>
        <w:tc>
          <w:tcPr>
            <w:tcW w:w="709" w:type="dxa"/>
            <w:shd w:val="clear" w:color="auto" w:fill="auto"/>
            <w:vAlign w:val="center"/>
          </w:tcPr>
          <w:p w:rsidR="00D907AF" w:rsidRPr="0087485F" w:rsidRDefault="00D907AF" w:rsidP="003E471E">
            <w:pPr>
              <w:spacing w:before="20" w:after="20"/>
              <w:ind w:right="57"/>
              <w:jc w:val="right"/>
              <w:rPr>
                <w:rFonts w:cstheme="minorHAnsi"/>
                <w:color w:val="000000"/>
                <w:sz w:val="20"/>
                <w:szCs w:val="20"/>
              </w:rPr>
            </w:pPr>
            <w:r w:rsidRPr="0087485F">
              <w:rPr>
                <w:rFonts w:cstheme="minorHAnsi"/>
                <w:color w:val="000000"/>
                <w:sz w:val="20"/>
                <w:szCs w:val="20"/>
              </w:rPr>
              <w:t>31.6</w:t>
            </w:r>
          </w:p>
        </w:tc>
      </w:tr>
      <w:tr w:rsidR="00D907AF" w:rsidRPr="0087485F" w:rsidTr="003E471E">
        <w:tc>
          <w:tcPr>
            <w:tcW w:w="4077" w:type="dxa"/>
            <w:shd w:val="clear" w:color="auto" w:fill="auto"/>
          </w:tcPr>
          <w:p w:rsidR="00D907AF" w:rsidRPr="0087485F" w:rsidRDefault="00D907AF" w:rsidP="003E471E">
            <w:pPr>
              <w:spacing w:before="20" w:after="20"/>
              <w:rPr>
                <w:rFonts w:cstheme="minorHAnsi"/>
                <w:sz w:val="20"/>
                <w:szCs w:val="20"/>
              </w:rPr>
            </w:pPr>
            <w:r w:rsidRPr="0087485F">
              <w:rPr>
                <w:rFonts w:cstheme="minorHAnsi"/>
                <w:sz w:val="20"/>
                <w:szCs w:val="20"/>
              </w:rPr>
              <w:t xml:space="preserve">Other government pension </w:t>
            </w:r>
          </w:p>
        </w:tc>
        <w:tc>
          <w:tcPr>
            <w:tcW w:w="567"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10</w:t>
            </w:r>
          </w:p>
        </w:tc>
        <w:tc>
          <w:tcPr>
            <w:tcW w:w="709"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2.1</w:t>
            </w:r>
          </w:p>
        </w:tc>
        <w:tc>
          <w:tcPr>
            <w:tcW w:w="1276" w:type="dxa"/>
            <w:shd w:val="clear" w:color="auto" w:fill="auto"/>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27</w:t>
            </w:r>
          </w:p>
        </w:tc>
        <w:tc>
          <w:tcPr>
            <w:tcW w:w="992" w:type="dxa"/>
            <w:shd w:val="clear" w:color="auto" w:fill="auto"/>
            <w:vAlign w:val="center"/>
          </w:tcPr>
          <w:p w:rsidR="00D907AF" w:rsidRPr="0087485F" w:rsidRDefault="00D907AF" w:rsidP="007C63E4">
            <w:pPr>
              <w:spacing w:before="20" w:after="20"/>
              <w:ind w:right="284"/>
              <w:jc w:val="right"/>
              <w:rPr>
                <w:rFonts w:cstheme="minorHAnsi"/>
                <w:color w:val="000000"/>
                <w:sz w:val="20"/>
                <w:szCs w:val="20"/>
              </w:rPr>
            </w:pPr>
            <w:r w:rsidRPr="0087485F">
              <w:rPr>
                <w:rFonts w:cstheme="minorHAnsi"/>
                <w:color w:val="000000"/>
                <w:sz w:val="20"/>
                <w:szCs w:val="20"/>
              </w:rPr>
              <w:t>4.2</w:t>
            </w:r>
          </w:p>
        </w:tc>
        <w:tc>
          <w:tcPr>
            <w:tcW w:w="709"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37</w:t>
            </w:r>
          </w:p>
        </w:tc>
        <w:tc>
          <w:tcPr>
            <w:tcW w:w="709" w:type="dxa"/>
            <w:shd w:val="clear" w:color="auto" w:fill="auto"/>
            <w:vAlign w:val="center"/>
          </w:tcPr>
          <w:p w:rsidR="00D907AF" w:rsidRPr="0087485F" w:rsidRDefault="00D907AF" w:rsidP="003E471E">
            <w:pPr>
              <w:spacing w:before="20" w:after="20"/>
              <w:ind w:right="57"/>
              <w:jc w:val="right"/>
              <w:rPr>
                <w:rFonts w:cstheme="minorHAnsi"/>
                <w:color w:val="000000"/>
                <w:sz w:val="20"/>
                <w:szCs w:val="20"/>
              </w:rPr>
            </w:pPr>
            <w:r w:rsidRPr="0087485F">
              <w:rPr>
                <w:rFonts w:cstheme="minorHAnsi"/>
                <w:color w:val="000000"/>
                <w:sz w:val="20"/>
                <w:szCs w:val="20"/>
              </w:rPr>
              <w:t>3.3</w:t>
            </w:r>
          </w:p>
        </w:tc>
      </w:tr>
      <w:tr w:rsidR="00D907AF" w:rsidRPr="0087485F" w:rsidTr="003E471E">
        <w:tc>
          <w:tcPr>
            <w:tcW w:w="4077" w:type="dxa"/>
            <w:shd w:val="clear" w:color="auto" w:fill="auto"/>
          </w:tcPr>
          <w:p w:rsidR="00D907AF" w:rsidRPr="0087485F" w:rsidRDefault="00D907AF" w:rsidP="003E471E">
            <w:pPr>
              <w:spacing w:before="20" w:after="20"/>
              <w:rPr>
                <w:rFonts w:cstheme="minorHAnsi"/>
                <w:sz w:val="20"/>
                <w:szCs w:val="20"/>
              </w:rPr>
            </w:pPr>
            <w:r w:rsidRPr="0087485F">
              <w:rPr>
                <w:rFonts w:cstheme="minorHAnsi"/>
                <w:sz w:val="20"/>
                <w:szCs w:val="20"/>
              </w:rPr>
              <w:t>Other source of income</w:t>
            </w:r>
          </w:p>
        </w:tc>
        <w:tc>
          <w:tcPr>
            <w:tcW w:w="567"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29</w:t>
            </w:r>
          </w:p>
        </w:tc>
        <w:tc>
          <w:tcPr>
            <w:tcW w:w="709"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6.2</w:t>
            </w:r>
          </w:p>
        </w:tc>
        <w:tc>
          <w:tcPr>
            <w:tcW w:w="1276" w:type="dxa"/>
            <w:shd w:val="clear" w:color="auto" w:fill="auto"/>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39</w:t>
            </w:r>
          </w:p>
        </w:tc>
        <w:tc>
          <w:tcPr>
            <w:tcW w:w="992" w:type="dxa"/>
            <w:shd w:val="clear" w:color="auto" w:fill="auto"/>
            <w:vAlign w:val="center"/>
          </w:tcPr>
          <w:p w:rsidR="00D907AF" w:rsidRPr="0087485F" w:rsidRDefault="00D907AF" w:rsidP="007C63E4">
            <w:pPr>
              <w:spacing w:before="20" w:after="20"/>
              <w:ind w:right="284"/>
              <w:jc w:val="right"/>
              <w:rPr>
                <w:rFonts w:cstheme="minorHAnsi"/>
                <w:color w:val="000000"/>
                <w:sz w:val="20"/>
                <w:szCs w:val="20"/>
              </w:rPr>
            </w:pPr>
            <w:r w:rsidRPr="0087485F">
              <w:rPr>
                <w:rFonts w:cstheme="minorHAnsi"/>
                <w:color w:val="000000"/>
                <w:sz w:val="20"/>
                <w:szCs w:val="20"/>
              </w:rPr>
              <w:t>6.1</w:t>
            </w:r>
          </w:p>
        </w:tc>
        <w:tc>
          <w:tcPr>
            <w:tcW w:w="709"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69</w:t>
            </w:r>
          </w:p>
        </w:tc>
        <w:tc>
          <w:tcPr>
            <w:tcW w:w="709" w:type="dxa"/>
            <w:shd w:val="clear" w:color="auto" w:fill="auto"/>
            <w:vAlign w:val="center"/>
          </w:tcPr>
          <w:p w:rsidR="00D907AF" w:rsidRPr="0087485F" w:rsidRDefault="00D907AF" w:rsidP="003E471E">
            <w:pPr>
              <w:spacing w:before="20" w:after="20"/>
              <w:ind w:right="57"/>
              <w:jc w:val="right"/>
              <w:rPr>
                <w:rFonts w:cstheme="minorHAnsi"/>
                <w:color w:val="000000"/>
                <w:sz w:val="20"/>
                <w:szCs w:val="20"/>
              </w:rPr>
            </w:pPr>
            <w:r w:rsidRPr="0087485F">
              <w:rPr>
                <w:rFonts w:cstheme="minorHAnsi"/>
                <w:color w:val="000000"/>
                <w:sz w:val="20"/>
                <w:szCs w:val="20"/>
              </w:rPr>
              <w:t>6.2</w:t>
            </w:r>
          </w:p>
        </w:tc>
      </w:tr>
      <w:tr w:rsidR="00D907AF" w:rsidRPr="0087485F" w:rsidTr="003E471E">
        <w:tc>
          <w:tcPr>
            <w:tcW w:w="4077" w:type="dxa"/>
            <w:shd w:val="clear" w:color="auto" w:fill="auto"/>
          </w:tcPr>
          <w:p w:rsidR="00D907AF" w:rsidRPr="0087485F" w:rsidRDefault="00D907AF" w:rsidP="003E471E">
            <w:pPr>
              <w:spacing w:before="20" w:after="20"/>
              <w:rPr>
                <w:rFonts w:cstheme="minorHAnsi"/>
                <w:sz w:val="20"/>
                <w:szCs w:val="20"/>
              </w:rPr>
            </w:pPr>
            <w:r w:rsidRPr="0087485F">
              <w:rPr>
                <w:rFonts w:cstheme="minorHAnsi"/>
                <w:sz w:val="20"/>
                <w:szCs w:val="20"/>
              </w:rPr>
              <w:t>Other (does not apply/missing)</w:t>
            </w:r>
          </w:p>
        </w:tc>
        <w:tc>
          <w:tcPr>
            <w:tcW w:w="567"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152</w:t>
            </w:r>
          </w:p>
        </w:tc>
        <w:tc>
          <w:tcPr>
            <w:tcW w:w="709"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32.3</w:t>
            </w:r>
          </w:p>
        </w:tc>
        <w:tc>
          <w:tcPr>
            <w:tcW w:w="1276" w:type="dxa"/>
            <w:shd w:val="clear" w:color="auto" w:fill="auto"/>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156</w:t>
            </w:r>
          </w:p>
        </w:tc>
        <w:tc>
          <w:tcPr>
            <w:tcW w:w="992" w:type="dxa"/>
            <w:shd w:val="clear" w:color="auto" w:fill="auto"/>
            <w:vAlign w:val="center"/>
          </w:tcPr>
          <w:p w:rsidR="00D907AF" w:rsidRPr="0087485F" w:rsidRDefault="00D907AF" w:rsidP="007C63E4">
            <w:pPr>
              <w:spacing w:before="20" w:after="20"/>
              <w:ind w:right="284"/>
              <w:jc w:val="right"/>
              <w:rPr>
                <w:rFonts w:cstheme="minorHAnsi"/>
                <w:color w:val="000000"/>
                <w:sz w:val="20"/>
                <w:szCs w:val="20"/>
              </w:rPr>
            </w:pPr>
            <w:r w:rsidRPr="0087485F">
              <w:rPr>
                <w:rFonts w:cstheme="minorHAnsi"/>
                <w:color w:val="000000"/>
                <w:sz w:val="20"/>
                <w:szCs w:val="20"/>
              </w:rPr>
              <w:t>24.5</w:t>
            </w:r>
          </w:p>
        </w:tc>
        <w:tc>
          <w:tcPr>
            <w:tcW w:w="709" w:type="dxa"/>
            <w:shd w:val="clear" w:color="auto" w:fill="auto"/>
            <w:vAlign w:val="center"/>
          </w:tcPr>
          <w:p w:rsidR="00D907AF" w:rsidRPr="0087485F" w:rsidRDefault="00D907AF" w:rsidP="003E471E">
            <w:pPr>
              <w:spacing w:before="20" w:after="20"/>
              <w:jc w:val="right"/>
              <w:rPr>
                <w:rFonts w:cstheme="minorHAnsi"/>
                <w:color w:val="000000"/>
                <w:sz w:val="20"/>
                <w:szCs w:val="20"/>
              </w:rPr>
            </w:pPr>
            <w:r w:rsidRPr="0087485F">
              <w:rPr>
                <w:rFonts w:cstheme="minorHAnsi"/>
                <w:color w:val="000000"/>
                <w:sz w:val="20"/>
                <w:szCs w:val="20"/>
              </w:rPr>
              <w:t>307</w:t>
            </w:r>
          </w:p>
        </w:tc>
        <w:tc>
          <w:tcPr>
            <w:tcW w:w="709" w:type="dxa"/>
            <w:shd w:val="clear" w:color="auto" w:fill="auto"/>
            <w:vAlign w:val="center"/>
          </w:tcPr>
          <w:p w:rsidR="00D907AF" w:rsidRPr="0087485F" w:rsidRDefault="00D907AF" w:rsidP="003E471E">
            <w:pPr>
              <w:spacing w:before="20" w:after="20"/>
              <w:ind w:right="57"/>
              <w:jc w:val="right"/>
              <w:rPr>
                <w:rFonts w:cstheme="minorHAnsi"/>
                <w:color w:val="000000"/>
                <w:sz w:val="20"/>
                <w:szCs w:val="20"/>
              </w:rPr>
            </w:pPr>
            <w:r w:rsidRPr="0087485F">
              <w:rPr>
                <w:rFonts w:cstheme="minorHAnsi"/>
                <w:color w:val="000000"/>
                <w:sz w:val="20"/>
                <w:szCs w:val="20"/>
              </w:rPr>
              <w:t>27.7</w:t>
            </w:r>
          </w:p>
        </w:tc>
      </w:tr>
      <w:tr w:rsidR="00D907AF" w:rsidRPr="0087485F" w:rsidTr="003E471E">
        <w:tc>
          <w:tcPr>
            <w:tcW w:w="4077" w:type="dxa"/>
            <w:tcBorders>
              <w:top w:val="single" w:sz="4" w:space="0" w:color="auto"/>
              <w:bottom w:val="single" w:sz="4" w:space="0" w:color="auto"/>
            </w:tcBorders>
            <w:shd w:val="clear" w:color="auto" w:fill="auto"/>
          </w:tcPr>
          <w:p w:rsidR="00D907AF" w:rsidRPr="0087485F" w:rsidRDefault="00D907AF" w:rsidP="003E471E">
            <w:pPr>
              <w:spacing w:before="20" w:after="20"/>
              <w:rPr>
                <w:rFonts w:cstheme="minorHAnsi"/>
                <w:b/>
                <w:sz w:val="20"/>
                <w:szCs w:val="20"/>
              </w:rPr>
            </w:pPr>
            <w:r w:rsidRPr="0087485F">
              <w:rPr>
                <w:rFonts w:cstheme="minorHAnsi"/>
                <w:b/>
                <w:sz w:val="20"/>
                <w:szCs w:val="20"/>
              </w:rPr>
              <w:t>Total</w:t>
            </w:r>
          </w:p>
        </w:tc>
        <w:tc>
          <w:tcPr>
            <w:tcW w:w="567" w:type="dxa"/>
            <w:tcBorders>
              <w:top w:val="single" w:sz="4" w:space="0" w:color="auto"/>
              <w:bottom w:val="single" w:sz="4" w:space="0" w:color="auto"/>
            </w:tcBorders>
            <w:shd w:val="clear" w:color="auto" w:fill="auto"/>
            <w:vAlign w:val="center"/>
          </w:tcPr>
          <w:p w:rsidR="00D907AF" w:rsidRPr="0087485F" w:rsidRDefault="00D907AF" w:rsidP="003E471E">
            <w:pPr>
              <w:spacing w:before="20" w:after="20"/>
              <w:jc w:val="right"/>
              <w:rPr>
                <w:rFonts w:cstheme="minorHAnsi"/>
                <w:b/>
                <w:color w:val="000000"/>
                <w:sz w:val="20"/>
                <w:szCs w:val="20"/>
              </w:rPr>
            </w:pPr>
            <w:r w:rsidRPr="0087485F">
              <w:rPr>
                <w:rFonts w:cstheme="minorHAnsi"/>
                <w:b/>
                <w:color w:val="000000"/>
                <w:sz w:val="20"/>
                <w:szCs w:val="20"/>
              </w:rPr>
              <w:t>470</w:t>
            </w:r>
          </w:p>
        </w:tc>
        <w:tc>
          <w:tcPr>
            <w:tcW w:w="709" w:type="dxa"/>
            <w:tcBorders>
              <w:top w:val="single" w:sz="4" w:space="0" w:color="auto"/>
              <w:bottom w:val="single" w:sz="4" w:space="0" w:color="auto"/>
            </w:tcBorders>
            <w:shd w:val="clear" w:color="auto" w:fill="auto"/>
            <w:vAlign w:val="center"/>
          </w:tcPr>
          <w:p w:rsidR="00D907AF" w:rsidRPr="0087485F" w:rsidRDefault="00D907AF" w:rsidP="003E471E">
            <w:pPr>
              <w:spacing w:before="20" w:after="20"/>
              <w:jc w:val="right"/>
              <w:rPr>
                <w:rFonts w:cstheme="minorHAnsi"/>
                <w:b/>
                <w:color w:val="000000"/>
                <w:sz w:val="20"/>
                <w:szCs w:val="20"/>
              </w:rPr>
            </w:pPr>
            <w:r w:rsidRPr="0087485F">
              <w:rPr>
                <w:rFonts w:cstheme="minorHAnsi"/>
                <w:b/>
                <w:color w:val="000000"/>
                <w:sz w:val="20"/>
                <w:szCs w:val="20"/>
              </w:rPr>
              <w:t>100</w:t>
            </w:r>
          </w:p>
        </w:tc>
        <w:tc>
          <w:tcPr>
            <w:tcW w:w="1276" w:type="dxa"/>
            <w:tcBorders>
              <w:top w:val="single" w:sz="4" w:space="0" w:color="auto"/>
              <w:bottom w:val="single" w:sz="4" w:space="0" w:color="auto"/>
            </w:tcBorders>
            <w:shd w:val="clear" w:color="auto" w:fill="auto"/>
            <w:vAlign w:val="center"/>
          </w:tcPr>
          <w:p w:rsidR="00D907AF" w:rsidRPr="0087485F" w:rsidRDefault="00D907AF" w:rsidP="007C63E4">
            <w:pPr>
              <w:spacing w:before="20" w:after="20"/>
              <w:ind w:right="340"/>
              <w:jc w:val="right"/>
              <w:rPr>
                <w:rFonts w:cstheme="minorHAnsi"/>
                <w:b/>
                <w:color w:val="000000"/>
                <w:sz w:val="20"/>
                <w:szCs w:val="20"/>
              </w:rPr>
            </w:pPr>
            <w:r w:rsidRPr="0087485F">
              <w:rPr>
                <w:rFonts w:cstheme="minorHAnsi"/>
                <w:b/>
                <w:color w:val="000000"/>
                <w:sz w:val="20"/>
                <w:szCs w:val="20"/>
              </w:rPr>
              <w:t>637</w:t>
            </w:r>
          </w:p>
        </w:tc>
        <w:tc>
          <w:tcPr>
            <w:tcW w:w="992" w:type="dxa"/>
            <w:tcBorders>
              <w:top w:val="single" w:sz="4" w:space="0" w:color="auto"/>
              <w:bottom w:val="single" w:sz="4" w:space="0" w:color="auto"/>
            </w:tcBorders>
            <w:shd w:val="clear" w:color="auto" w:fill="auto"/>
            <w:vAlign w:val="center"/>
          </w:tcPr>
          <w:p w:rsidR="00D907AF" w:rsidRPr="0087485F" w:rsidRDefault="00D907AF" w:rsidP="007C63E4">
            <w:pPr>
              <w:spacing w:before="20" w:after="20"/>
              <w:ind w:right="284"/>
              <w:jc w:val="right"/>
              <w:rPr>
                <w:rFonts w:cstheme="minorHAnsi"/>
                <w:b/>
                <w:color w:val="000000"/>
                <w:sz w:val="20"/>
                <w:szCs w:val="20"/>
              </w:rPr>
            </w:pPr>
            <w:r w:rsidRPr="0087485F">
              <w:rPr>
                <w:rFonts w:cstheme="minorHAnsi"/>
                <w:b/>
                <w:color w:val="000000"/>
                <w:sz w:val="20"/>
                <w:szCs w:val="20"/>
              </w:rPr>
              <w:t>100</w:t>
            </w:r>
          </w:p>
        </w:tc>
        <w:tc>
          <w:tcPr>
            <w:tcW w:w="709" w:type="dxa"/>
            <w:tcBorders>
              <w:top w:val="single" w:sz="4" w:space="0" w:color="auto"/>
              <w:bottom w:val="single" w:sz="4" w:space="0" w:color="auto"/>
            </w:tcBorders>
            <w:shd w:val="clear" w:color="auto" w:fill="auto"/>
            <w:vAlign w:val="center"/>
          </w:tcPr>
          <w:p w:rsidR="00D907AF" w:rsidRPr="0087485F" w:rsidRDefault="00D907AF" w:rsidP="003E471E">
            <w:pPr>
              <w:spacing w:before="20" w:after="20"/>
              <w:jc w:val="right"/>
              <w:rPr>
                <w:rFonts w:cstheme="minorHAnsi"/>
                <w:b/>
                <w:color w:val="000000"/>
                <w:sz w:val="20"/>
                <w:szCs w:val="20"/>
              </w:rPr>
            </w:pPr>
            <w:r w:rsidRPr="0087485F">
              <w:rPr>
                <w:rFonts w:cstheme="minorHAnsi"/>
                <w:b/>
                <w:color w:val="000000"/>
                <w:sz w:val="20"/>
                <w:szCs w:val="20"/>
              </w:rPr>
              <w:t>1</w:t>
            </w:r>
            <w:r>
              <w:rPr>
                <w:rFonts w:cstheme="minorHAnsi"/>
                <w:b/>
                <w:color w:val="000000"/>
                <w:sz w:val="20"/>
                <w:szCs w:val="20"/>
              </w:rPr>
              <w:t>,</w:t>
            </w:r>
            <w:r w:rsidRPr="0087485F">
              <w:rPr>
                <w:rFonts w:cstheme="minorHAnsi"/>
                <w:b/>
                <w:color w:val="000000"/>
                <w:sz w:val="20"/>
                <w:szCs w:val="20"/>
              </w:rPr>
              <w:t>107</w:t>
            </w:r>
          </w:p>
        </w:tc>
        <w:tc>
          <w:tcPr>
            <w:tcW w:w="709" w:type="dxa"/>
            <w:tcBorders>
              <w:top w:val="single" w:sz="4" w:space="0" w:color="auto"/>
              <w:bottom w:val="single" w:sz="4" w:space="0" w:color="auto"/>
            </w:tcBorders>
            <w:shd w:val="clear" w:color="auto" w:fill="auto"/>
            <w:vAlign w:val="center"/>
          </w:tcPr>
          <w:p w:rsidR="00D907AF" w:rsidRPr="0087485F" w:rsidRDefault="00D907AF" w:rsidP="003E471E">
            <w:pPr>
              <w:spacing w:before="20" w:after="20"/>
              <w:ind w:right="57"/>
              <w:jc w:val="right"/>
              <w:rPr>
                <w:rFonts w:cstheme="minorHAnsi"/>
                <w:b/>
                <w:color w:val="000000"/>
                <w:sz w:val="20"/>
                <w:szCs w:val="20"/>
              </w:rPr>
            </w:pPr>
            <w:r w:rsidRPr="0087485F">
              <w:rPr>
                <w:rFonts w:cstheme="minorHAnsi"/>
                <w:b/>
                <w:color w:val="000000"/>
                <w:sz w:val="20"/>
                <w:szCs w:val="20"/>
              </w:rPr>
              <w:t>100</w:t>
            </w:r>
          </w:p>
        </w:tc>
      </w:tr>
    </w:tbl>
    <w:p w:rsidR="00D907AF" w:rsidRPr="00E852D5" w:rsidRDefault="00D907AF" w:rsidP="006C7BE7">
      <w:pPr>
        <w:pStyle w:val="NILSTabletext"/>
      </w:pPr>
      <w:r w:rsidRPr="00E852D5">
        <w:t xml:space="preserve">Note: </w:t>
      </w:r>
      <w:r>
        <w:t>trial and comparison aged 16 years and above</w:t>
      </w:r>
    </w:p>
    <w:p w:rsidR="00D907AF" w:rsidRDefault="00D907AF" w:rsidP="00D907AF">
      <w:r>
        <w:t xml:space="preserve">The next two Tables 3.38 and 3.39 report the level of personal and combined household income. This is asked in income brackets, as this method is known to increase the precision of the answer and the response rate, as people who may know the exact level of their income are often reluctant to reveal it and other people simply do not remember the exact figure but are familiar with the range. We have expressed the categories as annual incomes (and also presented the fortnightly equivalent). The preliminary picture we see in Tables </w:t>
      </w:r>
      <w:r w:rsidRPr="00661143">
        <w:t>3.38 and 3.39</w:t>
      </w:r>
      <w:r>
        <w:t xml:space="preserve"> may change as the sample size increases</w:t>
      </w:r>
      <w:r w:rsidR="00775306">
        <w:t>. As well</w:t>
      </w:r>
      <w:r w:rsidR="00985D09">
        <w:t>, average</w:t>
      </w:r>
      <w:r>
        <w:t xml:space="preserve"> income statistics can conceal much diversity. The detailed picture of income will be developed in the second report which will be based on the full Wave 1 sample and will include multivariate statistical analysis of personal and household income and other related information at the personal and household level that will be developed through the linking of the person data with the family and carer data as well. </w:t>
      </w:r>
    </w:p>
    <w:p w:rsidR="00D907AF" w:rsidRPr="006C0603" w:rsidRDefault="00D907AF" w:rsidP="0078010E">
      <w:bookmarkStart w:id="313" w:name="_Toc428280690"/>
      <w:r>
        <w:br w:type="page"/>
      </w:r>
      <w:r w:rsidRPr="006C0603">
        <w:lastRenderedPageBreak/>
        <w:t>Table 3.3</w:t>
      </w:r>
      <w:r>
        <w:t>8</w:t>
      </w:r>
      <w:r w:rsidRPr="006C0603">
        <w:t xml:space="preserve">: Total </w:t>
      </w:r>
      <w:r>
        <w:t>person with disability</w:t>
      </w:r>
      <w:r w:rsidRPr="006C0603">
        <w:t xml:space="preserve"> personal income for the last year</w:t>
      </w:r>
      <w:bookmarkEnd w:id="313"/>
      <w:r w:rsidRPr="006C0603">
        <w:t xml:space="preserve"> </w:t>
      </w:r>
    </w:p>
    <w:tbl>
      <w:tblPr>
        <w:tblStyle w:val="TableGrid"/>
        <w:tblW w:w="9039" w:type="dxa"/>
        <w:tblLayout w:type="fixed"/>
        <w:tblLook w:val="04A0" w:firstRow="1" w:lastRow="0" w:firstColumn="1" w:lastColumn="0" w:noHBand="0" w:noVBand="1"/>
        <w:tblCaption w:val="Table 3.38 Total person with disability personal income for the last year "/>
      </w:tblPr>
      <w:tblGrid>
        <w:gridCol w:w="4219"/>
        <w:gridCol w:w="567"/>
        <w:gridCol w:w="709"/>
        <w:gridCol w:w="1134"/>
        <w:gridCol w:w="992"/>
        <w:gridCol w:w="709"/>
        <w:gridCol w:w="709"/>
      </w:tblGrid>
      <w:tr w:rsidR="00BA6D28" w:rsidRPr="0087485F" w:rsidTr="000C35DF">
        <w:trPr>
          <w:cantSplit/>
          <w:tblHeader/>
        </w:trPr>
        <w:tc>
          <w:tcPr>
            <w:tcW w:w="4219" w:type="dxa"/>
            <w:tcBorders>
              <w:top w:val="single" w:sz="4" w:space="0" w:color="auto"/>
              <w:bottom w:val="single" w:sz="4" w:space="0" w:color="auto"/>
            </w:tcBorders>
            <w:shd w:val="clear" w:color="auto" w:fill="auto"/>
          </w:tcPr>
          <w:p w:rsidR="00BA6D28" w:rsidRPr="0087485F" w:rsidRDefault="00BA6D28" w:rsidP="001C161D">
            <w:pPr>
              <w:spacing w:before="20" w:after="20"/>
              <w:rPr>
                <w:rFonts w:cstheme="minorHAnsi"/>
                <w:sz w:val="20"/>
                <w:szCs w:val="20"/>
              </w:rPr>
            </w:pPr>
            <w:bookmarkStart w:id="314" w:name="Title_3_38"/>
            <w:bookmarkEnd w:id="314"/>
          </w:p>
        </w:tc>
        <w:tc>
          <w:tcPr>
            <w:tcW w:w="567" w:type="dxa"/>
            <w:tcBorders>
              <w:top w:val="single" w:sz="4" w:space="0" w:color="auto"/>
              <w:bottom w:val="single" w:sz="4" w:space="0" w:color="auto"/>
            </w:tcBorders>
            <w:shd w:val="clear" w:color="auto" w:fill="auto"/>
          </w:tcPr>
          <w:p w:rsidR="00BA6D28" w:rsidRPr="0087485F" w:rsidRDefault="00BA6D28" w:rsidP="00D2037A">
            <w:pPr>
              <w:spacing w:before="20" w:after="20"/>
              <w:ind w:left="-108" w:right="-108"/>
              <w:jc w:val="center"/>
              <w:rPr>
                <w:rFonts w:cstheme="minorHAnsi"/>
                <w:sz w:val="20"/>
                <w:szCs w:val="20"/>
              </w:rPr>
            </w:pPr>
            <w:r>
              <w:rPr>
                <w:rFonts w:cstheme="minorHAnsi"/>
                <w:sz w:val="20"/>
                <w:szCs w:val="20"/>
              </w:rPr>
              <w:t>Tria</w:t>
            </w:r>
            <w:r w:rsidR="00D2037A">
              <w:rPr>
                <w:rFonts w:cstheme="minorHAnsi"/>
                <w:sz w:val="20"/>
                <w:szCs w:val="20"/>
              </w:rPr>
              <w:t>l Cases</w:t>
            </w:r>
          </w:p>
        </w:tc>
        <w:tc>
          <w:tcPr>
            <w:tcW w:w="709" w:type="dxa"/>
            <w:tcBorders>
              <w:top w:val="single" w:sz="4" w:space="0" w:color="auto"/>
              <w:bottom w:val="single" w:sz="4" w:space="0" w:color="auto"/>
            </w:tcBorders>
            <w:shd w:val="clear" w:color="auto" w:fill="auto"/>
          </w:tcPr>
          <w:p w:rsidR="00BA6D28" w:rsidRPr="0087485F" w:rsidRDefault="00BA6D28" w:rsidP="00BA6D28">
            <w:pPr>
              <w:spacing w:before="20" w:after="20"/>
              <w:jc w:val="center"/>
              <w:rPr>
                <w:rFonts w:cstheme="minorHAnsi"/>
                <w:sz w:val="20"/>
                <w:szCs w:val="20"/>
              </w:rPr>
            </w:pPr>
            <w:r w:rsidRPr="0087485F">
              <w:rPr>
                <w:rFonts w:cstheme="minorHAnsi"/>
                <w:sz w:val="20"/>
                <w:szCs w:val="20"/>
              </w:rPr>
              <w:t>Trial %</w:t>
            </w:r>
          </w:p>
        </w:tc>
        <w:tc>
          <w:tcPr>
            <w:tcW w:w="1134" w:type="dxa"/>
            <w:tcBorders>
              <w:top w:val="single" w:sz="4" w:space="0" w:color="auto"/>
              <w:bottom w:val="single" w:sz="4" w:space="0" w:color="auto"/>
            </w:tcBorders>
            <w:shd w:val="clear" w:color="auto" w:fill="auto"/>
          </w:tcPr>
          <w:p w:rsidR="00BA6D28" w:rsidRPr="0087485F" w:rsidRDefault="00BA6D28" w:rsidP="00BA6D28">
            <w:pPr>
              <w:spacing w:before="20" w:after="20"/>
              <w:ind w:left="-118" w:right="-108" w:firstLine="10"/>
              <w:jc w:val="center"/>
              <w:rPr>
                <w:rFonts w:cstheme="minorHAnsi"/>
                <w:sz w:val="20"/>
                <w:szCs w:val="20"/>
              </w:rPr>
            </w:pPr>
            <w:r>
              <w:rPr>
                <w:rFonts w:cstheme="minorHAnsi"/>
                <w:sz w:val="20"/>
                <w:szCs w:val="20"/>
              </w:rPr>
              <w:t>Comparison</w:t>
            </w:r>
            <w:r w:rsidR="00D2037A">
              <w:rPr>
                <w:rFonts w:cstheme="minorHAnsi"/>
                <w:sz w:val="20"/>
                <w:szCs w:val="20"/>
              </w:rPr>
              <w:t xml:space="preserve"> Cases</w:t>
            </w:r>
          </w:p>
        </w:tc>
        <w:tc>
          <w:tcPr>
            <w:tcW w:w="992" w:type="dxa"/>
            <w:tcBorders>
              <w:top w:val="single" w:sz="4" w:space="0" w:color="auto"/>
              <w:bottom w:val="single" w:sz="4" w:space="0" w:color="auto"/>
            </w:tcBorders>
            <w:shd w:val="clear" w:color="auto" w:fill="auto"/>
          </w:tcPr>
          <w:p w:rsidR="00BA6D28" w:rsidRPr="0087485F" w:rsidRDefault="00BA6D28" w:rsidP="00BA6D28">
            <w:pPr>
              <w:spacing w:before="20" w:after="20"/>
              <w:ind w:right="-108" w:hanging="108"/>
              <w:jc w:val="center"/>
              <w:rPr>
                <w:rFonts w:cstheme="minorHAnsi"/>
                <w:sz w:val="20"/>
                <w:szCs w:val="20"/>
              </w:rPr>
            </w:pPr>
            <w:r w:rsidRPr="0087485F">
              <w:rPr>
                <w:rFonts w:cstheme="minorHAnsi"/>
                <w:sz w:val="20"/>
                <w:szCs w:val="20"/>
              </w:rPr>
              <w:t>Comparison</w:t>
            </w:r>
            <w:r>
              <w:rPr>
                <w:rFonts w:cstheme="minorHAnsi"/>
                <w:sz w:val="20"/>
                <w:szCs w:val="20"/>
              </w:rPr>
              <w:t xml:space="preserve"> </w:t>
            </w:r>
            <w:r w:rsidRPr="0087485F">
              <w:rPr>
                <w:rFonts w:cstheme="minorHAnsi"/>
                <w:sz w:val="20"/>
                <w:szCs w:val="20"/>
              </w:rPr>
              <w:t xml:space="preserve"> %</w:t>
            </w:r>
          </w:p>
        </w:tc>
        <w:tc>
          <w:tcPr>
            <w:tcW w:w="709" w:type="dxa"/>
            <w:tcBorders>
              <w:top w:val="single" w:sz="4" w:space="0" w:color="auto"/>
              <w:bottom w:val="single" w:sz="4" w:space="0" w:color="auto"/>
            </w:tcBorders>
            <w:shd w:val="clear" w:color="auto" w:fill="auto"/>
          </w:tcPr>
          <w:p w:rsidR="00BA6D28" w:rsidRPr="0087485F" w:rsidRDefault="00BA6D28" w:rsidP="00BA6D28">
            <w:pPr>
              <w:spacing w:before="20" w:after="20"/>
              <w:jc w:val="center"/>
              <w:rPr>
                <w:rFonts w:cstheme="minorHAnsi"/>
                <w:sz w:val="20"/>
                <w:szCs w:val="20"/>
              </w:rPr>
            </w:pPr>
            <w:r>
              <w:rPr>
                <w:rFonts w:cstheme="minorHAnsi"/>
                <w:sz w:val="20"/>
                <w:szCs w:val="20"/>
              </w:rPr>
              <w:t>Total</w:t>
            </w:r>
            <w:r w:rsidR="00D2037A">
              <w:rPr>
                <w:rFonts w:cstheme="minorHAnsi"/>
                <w:sz w:val="20"/>
                <w:szCs w:val="20"/>
              </w:rPr>
              <w:t xml:space="preserve"> Cases</w:t>
            </w:r>
          </w:p>
        </w:tc>
        <w:tc>
          <w:tcPr>
            <w:tcW w:w="709" w:type="dxa"/>
            <w:tcBorders>
              <w:top w:val="single" w:sz="4" w:space="0" w:color="auto"/>
              <w:bottom w:val="single" w:sz="4" w:space="0" w:color="auto"/>
            </w:tcBorders>
            <w:shd w:val="clear" w:color="auto" w:fill="auto"/>
          </w:tcPr>
          <w:p w:rsidR="00BA6D28" w:rsidRPr="0087485F" w:rsidRDefault="00BA6D28" w:rsidP="00BA6D28">
            <w:pPr>
              <w:spacing w:before="20" w:after="20"/>
              <w:jc w:val="center"/>
              <w:rPr>
                <w:rFonts w:cstheme="minorHAnsi"/>
                <w:sz w:val="20"/>
                <w:szCs w:val="20"/>
              </w:rPr>
            </w:pPr>
            <w:r w:rsidRPr="0087485F">
              <w:rPr>
                <w:rFonts w:cstheme="minorHAnsi"/>
                <w:sz w:val="20"/>
                <w:szCs w:val="20"/>
              </w:rPr>
              <w:t>Total %</w:t>
            </w:r>
          </w:p>
        </w:tc>
      </w:tr>
      <w:tr w:rsidR="00BA6D28" w:rsidRPr="0087485F" w:rsidTr="001F2934">
        <w:tc>
          <w:tcPr>
            <w:tcW w:w="4219" w:type="dxa"/>
            <w:shd w:val="clear" w:color="auto" w:fill="auto"/>
          </w:tcPr>
          <w:p w:rsidR="00BA6D28" w:rsidRPr="0087485F" w:rsidRDefault="00BA6D28" w:rsidP="001032EF">
            <w:pPr>
              <w:spacing w:before="20" w:after="20"/>
              <w:rPr>
                <w:rFonts w:cstheme="minorHAnsi"/>
                <w:sz w:val="20"/>
                <w:szCs w:val="20"/>
              </w:rPr>
            </w:pPr>
            <w:r w:rsidRPr="0087485F">
              <w:rPr>
                <w:rFonts w:cstheme="minorHAnsi"/>
                <w:sz w:val="20"/>
                <w:szCs w:val="20"/>
              </w:rPr>
              <w:t>$1 - $9,999 ($1 - $379 per fortnight)</w:t>
            </w:r>
          </w:p>
        </w:tc>
        <w:tc>
          <w:tcPr>
            <w:tcW w:w="567" w:type="dxa"/>
            <w:shd w:val="clear" w:color="auto" w:fill="auto"/>
            <w:vAlign w:val="center"/>
          </w:tcPr>
          <w:p w:rsidR="00BA6D28" w:rsidRPr="0087485F" w:rsidRDefault="00BA6D28" w:rsidP="001032EF">
            <w:pPr>
              <w:spacing w:before="20" w:after="20"/>
              <w:jc w:val="right"/>
              <w:rPr>
                <w:rFonts w:cstheme="minorHAnsi"/>
                <w:color w:val="000000"/>
                <w:sz w:val="20"/>
                <w:szCs w:val="20"/>
              </w:rPr>
            </w:pPr>
            <w:r w:rsidRPr="0087485F">
              <w:rPr>
                <w:rFonts w:cstheme="minorHAnsi"/>
                <w:color w:val="000000"/>
                <w:sz w:val="20"/>
                <w:szCs w:val="20"/>
              </w:rPr>
              <w:t>60</w:t>
            </w:r>
          </w:p>
        </w:tc>
        <w:tc>
          <w:tcPr>
            <w:tcW w:w="709" w:type="dxa"/>
            <w:shd w:val="clear" w:color="auto" w:fill="auto"/>
            <w:vAlign w:val="center"/>
          </w:tcPr>
          <w:p w:rsidR="00BA6D28" w:rsidRPr="0087485F" w:rsidRDefault="00BA6D28" w:rsidP="001032EF">
            <w:pPr>
              <w:spacing w:before="20" w:after="20"/>
              <w:jc w:val="right"/>
              <w:rPr>
                <w:rFonts w:cstheme="minorHAnsi"/>
                <w:color w:val="000000"/>
                <w:sz w:val="20"/>
                <w:szCs w:val="20"/>
              </w:rPr>
            </w:pPr>
            <w:r w:rsidRPr="0087485F">
              <w:rPr>
                <w:rFonts w:cstheme="minorHAnsi"/>
                <w:color w:val="000000"/>
                <w:sz w:val="20"/>
                <w:szCs w:val="20"/>
              </w:rPr>
              <w:t>13.6</w:t>
            </w:r>
          </w:p>
        </w:tc>
        <w:tc>
          <w:tcPr>
            <w:tcW w:w="1134" w:type="dxa"/>
            <w:shd w:val="clear" w:color="auto" w:fill="auto"/>
            <w:vAlign w:val="center"/>
          </w:tcPr>
          <w:p w:rsidR="00BA6D28" w:rsidRPr="0087485F" w:rsidRDefault="00BA6D28" w:rsidP="000C35DF">
            <w:pPr>
              <w:spacing w:before="20" w:after="20"/>
              <w:ind w:right="170"/>
              <w:jc w:val="right"/>
              <w:rPr>
                <w:rFonts w:cstheme="minorHAnsi"/>
                <w:color w:val="000000"/>
                <w:sz w:val="20"/>
                <w:szCs w:val="20"/>
              </w:rPr>
            </w:pPr>
            <w:r w:rsidRPr="0087485F">
              <w:rPr>
                <w:rFonts w:cstheme="minorHAnsi"/>
                <w:color w:val="000000"/>
                <w:sz w:val="20"/>
                <w:szCs w:val="20"/>
              </w:rPr>
              <w:t>101</w:t>
            </w:r>
          </w:p>
        </w:tc>
        <w:tc>
          <w:tcPr>
            <w:tcW w:w="992" w:type="dxa"/>
            <w:shd w:val="clear" w:color="auto" w:fill="auto"/>
            <w:vAlign w:val="center"/>
          </w:tcPr>
          <w:p w:rsidR="00BA6D28" w:rsidRPr="0087485F" w:rsidRDefault="00BA6D28" w:rsidP="000C35DF">
            <w:pPr>
              <w:spacing w:before="20" w:after="20"/>
              <w:ind w:right="170"/>
              <w:jc w:val="right"/>
              <w:rPr>
                <w:rFonts w:cstheme="minorHAnsi"/>
                <w:color w:val="000000"/>
                <w:sz w:val="20"/>
                <w:szCs w:val="20"/>
              </w:rPr>
            </w:pPr>
            <w:r w:rsidRPr="0087485F">
              <w:rPr>
                <w:rFonts w:cstheme="minorHAnsi"/>
                <w:color w:val="000000"/>
                <w:sz w:val="20"/>
                <w:szCs w:val="20"/>
              </w:rPr>
              <w:t>16.6</w:t>
            </w:r>
          </w:p>
        </w:tc>
        <w:tc>
          <w:tcPr>
            <w:tcW w:w="709" w:type="dxa"/>
            <w:shd w:val="clear" w:color="auto" w:fill="auto"/>
            <w:vAlign w:val="center"/>
          </w:tcPr>
          <w:p w:rsidR="00BA6D28" w:rsidRPr="0087485F" w:rsidRDefault="00BA6D28" w:rsidP="001032EF">
            <w:pPr>
              <w:spacing w:before="20" w:after="20"/>
              <w:jc w:val="right"/>
              <w:rPr>
                <w:rFonts w:cstheme="minorHAnsi"/>
                <w:color w:val="000000"/>
                <w:sz w:val="20"/>
                <w:szCs w:val="20"/>
              </w:rPr>
            </w:pPr>
            <w:r w:rsidRPr="0087485F">
              <w:rPr>
                <w:rFonts w:cstheme="minorHAnsi"/>
                <w:color w:val="000000"/>
                <w:sz w:val="20"/>
                <w:szCs w:val="20"/>
              </w:rPr>
              <w:t>161</w:t>
            </w:r>
          </w:p>
        </w:tc>
        <w:tc>
          <w:tcPr>
            <w:tcW w:w="709" w:type="dxa"/>
            <w:shd w:val="clear" w:color="auto" w:fill="auto"/>
            <w:vAlign w:val="center"/>
          </w:tcPr>
          <w:p w:rsidR="00BA6D28" w:rsidRPr="0087485F" w:rsidRDefault="00BA6D28" w:rsidP="001032EF">
            <w:pPr>
              <w:spacing w:before="20" w:after="20"/>
              <w:jc w:val="right"/>
              <w:rPr>
                <w:rFonts w:cstheme="minorHAnsi"/>
                <w:color w:val="000000"/>
                <w:sz w:val="20"/>
                <w:szCs w:val="20"/>
              </w:rPr>
            </w:pPr>
            <w:r w:rsidRPr="0087485F">
              <w:rPr>
                <w:rFonts w:cstheme="minorHAnsi"/>
                <w:color w:val="000000"/>
                <w:sz w:val="20"/>
                <w:szCs w:val="20"/>
              </w:rPr>
              <w:t>15.4</w:t>
            </w:r>
          </w:p>
        </w:tc>
      </w:tr>
      <w:tr w:rsidR="00BA6D28" w:rsidRPr="0087485F" w:rsidTr="001F2934">
        <w:tc>
          <w:tcPr>
            <w:tcW w:w="4219" w:type="dxa"/>
            <w:shd w:val="clear" w:color="auto" w:fill="auto"/>
          </w:tcPr>
          <w:p w:rsidR="00BA6D28" w:rsidRPr="0087485F" w:rsidRDefault="00BA6D28" w:rsidP="001032EF">
            <w:pPr>
              <w:spacing w:before="20" w:after="20"/>
              <w:rPr>
                <w:rFonts w:cstheme="minorHAnsi"/>
                <w:sz w:val="20"/>
                <w:szCs w:val="20"/>
              </w:rPr>
            </w:pPr>
            <w:r w:rsidRPr="0087485F">
              <w:rPr>
                <w:rFonts w:cstheme="minorHAnsi"/>
                <w:sz w:val="20"/>
                <w:szCs w:val="20"/>
              </w:rPr>
              <w:t>$10,000 - $19,999 ($380 - $759 per fortnight)</w:t>
            </w:r>
          </w:p>
        </w:tc>
        <w:tc>
          <w:tcPr>
            <w:tcW w:w="567" w:type="dxa"/>
            <w:shd w:val="clear" w:color="auto" w:fill="auto"/>
            <w:vAlign w:val="center"/>
          </w:tcPr>
          <w:p w:rsidR="00BA6D28" w:rsidRPr="0087485F" w:rsidRDefault="00BA6D28" w:rsidP="001032EF">
            <w:pPr>
              <w:spacing w:before="20" w:after="20"/>
              <w:jc w:val="right"/>
              <w:rPr>
                <w:rFonts w:cstheme="minorHAnsi"/>
                <w:color w:val="000000"/>
                <w:sz w:val="20"/>
                <w:szCs w:val="20"/>
              </w:rPr>
            </w:pPr>
            <w:r w:rsidRPr="0087485F">
              <w:rPr>
                <w:rFonts w:cstheme="minorHAnsi"/>
                <w:color w:val="000000"/>
                <w:sz w:val="20"/>
                <w:szCs w:val="20"/>
              </w:rPr>
              <w:t>136</w:t>
            </w:r>
          </w:p>
        </w:tc>
        <w:tc>
          <w:tcPr>
            <w:tcW w:w="709" w:type="dxa"/>
            <w:shd w:val="clear" w:color="auto" w:fill="auto"/>
            <w:vAlign w:val="center"/>
          </w:tcPr>
          <w:p w:rsidR="00BA6D28" w:rsidRPr="0087485F" w:rsidRDefault="00BA6D28" w:rsidP="001032EF">
            <w:pPr>
              <w:spacing w:before="20" w:after="20"/>
              <w:jc w:val="right"/>
              <w:rPr>
                <w:rFonts w:cstheme="minorHAnsi"/>
                <w:color w:val="000000"/>
                <w:sz w:val="20"/>
                <w:szCs w:val="20"/>
              </w:rPr>
            </w:pPr>
            <w:r w:rsidRPr="0087485F">
              <w:rPr>
                <w:rFonts w:cstheme="minorHAnsi"/>
                <w:color w:val="000000"/>
                <w:sz w:val="20"/>
                <w:szCs w:val="20"/>
              </w:rPr>
              <w:t>30.9</w:t>
            </w:r>
          </w:p>
        </w:tc>
        <w:tc>
          <w:tcPr>
            <w:tcW w:w="1134" w:type="dxa"/>
            <w:shd w:val="clear" w:color="auto" w:fill="auto"/>
            <w:vAlign w:val="center"/>
          </w:tcPr>
          <w:p w:rsidR="00BA6D28" w:rsidRPr="0087485F" w:rsidRDefault="00BA6D28" w:rsidP="000C35DF">
            <w:pPr>
              <w:spacing w:before="20" w:after="20"/>
              <w:ind w:right="170"/>
              <w:jc w:val="right"/>
              <w:rPr>
                <w:rFonts w:cstheme="minorHAnsi"/>
                <w:color w:val="000000"/>
                <w:sz w:val="20"/>
                <w:szCs w:val="20"/>
              </w:rPr>
            </w:pPr>
            <w:r w:rsidRPr="0087485F">
              <w:rPr>
                <w:rFonts w:cstheme="minorHAnsi"/>
                <w:color w:val="000000"/>
                <w:sz w:val="20"/>
                <w:szCs w:val="20"/>
              </w:rPr>
              <w:t>177</w:t>
            </w:r>
          </w:p>
        </w:tc>
        <w:tc>
          <w:tcPr>
            <w:tcW w:w="992" w:type="dxa"/>
            <w:shd w:val="clear" w:color="auto" w:fill="auto"/>
            <w:vAlign w:val="center"/>
          </w:tcPr>
          <w:p w:rsidR="00BA6D28" w:rsidRPr="0087485F" w:rsidRDefault="00BA6D28" w:rsidP="000C35DF">
            <w:pPr>
              <w:spacing w:before="20" w:after="20"/>
              <w:ind w:right="170"/>
              <w:jc w:val="right"/>
              <w:rPr>
                <w:rFonts w:cstheme="minorHAnsi"/>
                <w:color w:val="000000"/>
                <w:sz w:val="20"/>
                <w:szCs w:val="20"/>
              </w:rPr>
            </w:pPr>
            <w:r w:rsidRPr="0087485F">
              <w:rPr>
                <w:rFonts w:cstheme="minorHAnsi"/>
                <w:color w:val="000000"/>
                <w:sz w:val="20"/>
                <w:szCs w:val="20"/>
              </w:rPr>
              <w:t>29.1</w:t>
            </w:r>
          </w:p>
        </w:tc>
        <w:tc>
          <w:tcPr>
            <w:tcW w:w="709" w:type="dxa"/>
            <w:shd w:val="clear" w:color="auto" w:fill="auto"/>
            <w:vAlign w:val="center"/>
          </w:tcPr>
          <w:p w:rsidR="00BA6D28" w:rsidRPr="0087485F" w:rsidRDefault="00BA6D28" w:rsidP="001032EF">
            <w:pPr>
              <w:spacing w:before="20" w:after="20"/>
              <w:jc w:val="right"/>
              <w:rPr>
                <w:rFonts w:cstheme="minorHAnsi"/>
                <w:color w:val="000000"/>
                <w:sz w:val="20"/>
                <w:szCs w:val="20"/>
              </w:rPr>
            </w:pPr>
            <w:r w:rsidRPr="0087485F">
              <w:rPr>
                <w:rFonts w:cstheme="minorHAnsi"/>
                <w:color w:val="000000"/>
                <w:sz w:val="20"/>
                <w:szCs w:val="20"/>
              </w:rPr>
              <w:t>313</w:t>
            </w:r>
          </w:p>
        </w:tc>
        <w:tc>
          <w:tcPr>
            <w:tcW w:w="709" w:type="dxa"/>
            <w:shd w:val="clear" w:color="auto" w:fill="auto"/>
            <w:vAlign w:val="center"/>
          </w:tcPr>
          <w:p w:rsidR="00BA6D28" w:rsidRPr="0087485F" w:rsidRDefault="00BA6D28" w:rsidP="001032EF">
            <w:pPr>
              <w:spacing w:before="20" w:after="20"/>
              <w:jc w:val="right"/>
              <w:rPr>
                <w:rFonts w:cstheme="minorHAnsi"/>
                <w:color w:val="000000"/>
                <w:sz w:val="20"/>
                <w:szCs w:val="20"/>
              </w:rPr>
            </w:pPr>
            <w:r w:rsidRPr="0087485F">
              <w:rPr>
                <w:rFonts w:cstheme="minorHAnsi"/>
                <w:color w:val="000000"/>
                <w:sz w:val="20"/>
                <w:szCs w:val="20"/>
              </w:rPr>
              <w:t>29.8</w:t>
            </w:r>
          </w:p>
        </w:tc>
      </w:tr>
      <w:tr w:rsidR="00BA6D28" w:rsidRPr="0087485F" w:rsidTr="001F2934">
        <w:tc>
          <w:tcPr>
            <w:tcW w:w="4219" w:type="dxa"/>
            <w:shd w:val="clear" w:color="auto" w:fill="auto"/>
          </w:tcPr>
          <w:p w:rsidR="00BA6D28" w:rsidRPr="0087485F" w:rsidRDefault="00BA6D28" w:rsidP="001032EF">
            <w:pPr>
              <w:spacing w:before="20" w:after="20"/>
              <w:rPr>
                <w:rFonts w:cstheme="minorHAnsi"/>
                <w:sz w:val="20"/>
                <w:szCs w:val="20"/>
              </w:rPr>
            </w:pPr>
            <w:r w:rsidRPr="0087485F">
              <w:rPr>
                <w:rFonts w:cstheme="minorHAnsi"/>
                <w:sz w:val="20"/>
                <w:szCs w:val="20"/>
              </w:rPr>
              <w:t>$20,000 - $29,999 ($760 - $1159 per fortnight)</w:t>
            </w:r>
          </w:p>
        </w:tc>
        <w:tc>
          <w:tcPr>
            <w:tcW w:w="567" w:type="dxa"/>
            <w:shd w:val="clear" w:color="auto" w:fill="auto"/>
            <w:vAlign w:val="center"/>
          </w:tcPr>
          <w:p w:rsidR="00BA6D28" w:rsidRPr="0087485F" w:rsidRDefault="00BA6D28" w:rsidP="001032EF">
            <w:pPr>
              <w:spacing w:before="20" w:after="20"/>
              <w:jc w:val="right"/>
              <w:rPr>
                <w:rFonts w:cstheme="minorHAnsi"/>
                <w:color w:val="000000"/>
                <w:sz w:val="20"/>
                <w:szCs w:val="20"/>
              </w:rPr>
            </w:pPr>
            <w:r w:rsidRPr="0087485F">
              <w:rPr>
                <w:rFonts w:cstheme="minorHAnsi"/>
                <w:color w:val="000000"/>
                <w:sz w:val="20"/>
                <w:szCs w:val="20"/>
              </w:rPr>
              <w:t>134</w:t>
            </w:r>
          </w:p>
        </w:tc>
        <w:tc>
          <w:tcPr>
            <w:tcW w:w="709" w:type="dxa"/>
            <w:shd w:val="clear" w:color="auto" w:fill="auto"/>
            <w:vAlign w:val="center"/>
          </w:tcPr>
          <w:p w:rsidR="00BA6D28" w:rsidRPr="0087485F" w:rsidRDefault="00BA6D28" w:rsidP="001032EF">
            <w:pPr>
              <w:spacing w:before="20" w:after="20"/>
              <w:jc w:val="right"/>
              <w:rPr>
                <w:rFonts w:cstheme="minorHAnsi"/>
                <w:color w:val="000000"/>
                <w:sz w:val="20"/>
                <w:szCs w:val="20"/>
              </w:rPr>
            </w:pPr>
            <w:r w:rsidRPr="0087485F">
              <w:rPr>
                <w:rFonts w:cstheme="minorHAnsi"/>
                <w:color w:val="000000"/>
                <w:sz w:val="20"/>
                <w:szCs w:val="20"/>
              </w:rPr>
              <w:t>30.5</w:t>
            </w:r>
          </w:p>
        </w:tc>
        <w:tc>
          <w:tcPr>
            <w:tcW w:w="1134" w:type="dxa"/>
            <w:shd w:val="clear" w:color="auto" w:fill="auto"/>
            <w:vAlign w:val="center"/>
          </w:tcPr>
          <w:p w:rsidR="00BA6D28" w:rsidRPr="0087485F" w:rsidRDefault="00BA6D28" w:rsidP="000C35DF">
            <w:pPr>
              <w:spacing w:before="20" w:after="20"/>
              <w:ind w:right="170"/>
              <w:jc w:val="right"/>
              <w:rPr>
                <w:rFonts w:cstheme="minorHAnsi"/>
                <w:color w:val="000000"/>
                <w:sz w:val="20"/>
                <w:szCs w:val="20"/>
              </w:rPr>
            </w:pPr>
            <w:r w:rsidRPr="0087485F">
              <w:rPr>
                <w:rFonts w:cstheme="minorHAnsi"/>
                <w:color w:val="000000"/>
                <w:sz w:val="20"/>
                <w:szCs w:val="20"/>
              </w:rPr>
              <w:t>150</w:t>
            </w:r>
          </w:p>
        </w:tc>
        <w:tc>
          <w:tcPr>
            <w:tcW w:w="992" w:type="dxa"/>
            <w:shd w:val="clear" w:color="auto" w:fill="auto"/>
            <w:vAlign w:val="center"/>
          </w:tcPr>
          <w:p w:rsidR="00BA6D28" w:rsidRPr="0087485F" w:rsidRDefault="00BA6D28" w:rsidP="000C35DF">
            <w:pPr>
              <w:spacing w:before="20" w:after="20"/>
              <w:ind w:right="170"/>
              <w:jc w:val="right"/>
              <w:rPr>
                <w:rFonts w:cstheme="minorHAnsi"/>
                <w:color w:val="000000"/>
                <w:sz w:val="20"/>
                <w:szCs w:val="20"/>
              </w:rPr>
            </w:pPr>
            <w:r w:rsidRPr="0087485F">
              <w:rPr>
                <w:rFonts w:cstheme="minorHAnsi"/>
                <w:color w:val="000000"/>
                <w:sz w:val="20"/>
                <w:szCs w:val="20"/>
              </w:rPr>
              <w:t>24.6</w:t>
            </w:r>
          </w:p>
        </w:tc>
        <w:tc>
          <w:tcPr>
            <w:tcW w:w="709" w:type="dxa"/>
            <w:shd w:val="clear" w:color="auto" w:fill="auto"/>
            <w:vAlign w:val="center"/>
          </w:tcPr>
          <w:p w:rsidR="00BA6D28" w:rsidRPr="0087485F" w:rsidRDefault="00BA6D28" w:rsidP="001032EF">
            <w:pPr>
              <w:spacing w:before="20" w:after="20"/>
              <w:jc w:val="right"/>
              <w:rPr>
                <w:rFonts w:cstheme="minorHAnsi"/>
                <w:color w:val="000000"/>
                <w:sz w:val="20"/>
                <w:szCs w:val="20"/>
              </w:rPr>
            </w:pPr>
            <w:r w:rsidRPr="0087485F">
              <w:rPr>
                <w:rFonts w:cstheme="minorHAnsi"/>
                <w:color w:val="000000"/>
                <w:sz w:val="20"/>
                <w:szCs w:val="20"/>
              </w:rPr>
              <w:t>284</w:t>
            </w:r>
          </w:p>
        </w:tc>
        <w:tc>
          <w:tcPr>
            <w:tcW w:w="709" w:type="dxa"/>
            <w:shd w:val="clear" w:color="auto" w:fill="auto"/>
            <w:vAlign w:val="center"/>
          </w:tcPr>
          <w:p w:rsidR="00BA6D28" w:rsidRPr="0087485F" w:rsidRDefault="00BA6D28" w:rsidP="001032EF">
            <w:pPr>
              <w:spacing w:before="20" w:after="20"/>
              <w:jc w:val="right"/>
              <w:rPr>
                <w:rFonts w:cstheme="minorHAnsi"/>
                <w:color w:val="000000"/>
                <w:sz w:val="20"/>
                <w:szCs w:val="20"/>
              </w:rPr>
            </w:pPr>
            <w:r w:rsidRPr="0087485F">
              <w:rPr>
                <w:rFonts w:cstheme="minorHAnsi"/>
                <w:color w:val="000000"/>
                <w:sz w:val="20"/>
                <w:szCs w:val="20"/>
              </w:rPr>
              <w:t>27.1</w:t>
            </w:r>
          </w:p>
        </w:tc>
      </w:tr>
      <w:tr w:rsidR="00BA6D28" w:rsidRPr="0087485F" w:rsidTr="001F2934">
        <w:tc>
          <w:tcPr>
            <w:tcW w:w="4219" w:type="dxa"/>
            <w:shd w:val="clear" w:color="auto" w:fill="auto"/>
          </w:tcPr>
          <w:p w:rsidR="00BA6D28" w:rsidRPr="0087485F" w:rsidRDefault="00BA6D28" w:rsidP="001032EF">
            <w:pPr>
              <w:spacing w:before="20" w:after="20"/>
              <w:rPr>
                <w:rFonts w:cstheme="minorHAnsi"/>
                <w:sz w:val="20"/>
                <w:szCs w:val="20"/>
              </w:rPr>
            </w:pPr>
            <w:r w:rsidRPr="0087485F">
              <w:rPr>
                <w:rFonts w:cstheme="minorHAnsi"/>
                <w:sz w:val="20"/>
                <w:szCs w:val="20"/>
              </w:rPr>
              <w:t>$30,000 - $39,999 ($1160 - $1539 per fortnight)</w:t>
            </w:r>
          </w:p>
        </w:tc>
        <w:tc>
          <w:tcPr>
            <w:tcW w:w="567" w:type="dxa"/>
            <w:shd w:val="clear" w:color="auto" w:fill="auto"/>
            <w:vAlign w:val="center"/>
          </w:tcPr>
          <w:p w:rsidR="00BA6D28" w:rsidRPr="0087485F" w:rsidRDefault="00BA6D28" w:rsidP="001032EF">
            <w:pPr>
              <w:spacing w:before="20" w:after="20"/>
              <w:jc w:val="right"/>
              <w:rPr>
                <w:rFonts w:cstheme="minorHAnsi"/>
                <w:color w:val="000000"/>
                <w:sz w:val="20"/>
                <w:szCs w:val="20"/>
              </w:rPr>
            </w:pPr>
            <w:r w:rsidRPr="0087485F">
              <w:rPr>
                <w:rFonts w:cstheme="minorHAnsi"/>
                <w:color w:val="000000"/>
                <w:sz w:val="20"/>
                <w:szCs w:val="20"/>
              </w:rPr>
              <w:t>15</w:t>
            </w:r>
          </w:p>
        </w:tc>
        <w:tc>
          <w:tcPr>
            <w:tcW w:w="709" w:type="dxa"/>
            <w:shd w:val="clear" w:color="auto" w:fill="auto"/>
            <w:vAlign w:val="center"/>
          </w:tcPr>
          <w:p w:rsidR="00BA6D28" w:rsidRPr="0087485F" w:rsidRDefault="00BA6D28" w:rsidP="001032EF">
            <w:pPr>
              <w:spacing w:before="20" w:after="20"/>
              <w:jc w:val="right"/>
              <w:rPr>
                <w:rFonts w:cstheme="minorHAnsi"/>
                <w:color w:val="000000"/>
                <w:sz w:val="20"/>
                <w:szCs w:val="20"/>
              </w:rPr>
            </w:pPr>
            <w:r w:rsidRPr="0087485F">
              <w:rPr>
                <w:rFonts w:cstheme="minorHAnsi"/>
                <w:color w:val="000000"/>
                <w:sz w:val="20"/>
                <w:szCs w:val="20"/>
              </w:rPr>
              <w:t>3.4</w:t>
            </w:r>
          </w:p>
        </w:tc>
        <w:tc>
          <w:tcPr>
            <w:tcW w:w="1134" w:type="dxa"/>
            <w:shd w:val="clear" w:color="auto" w:fill="auto"/>
            <w:vAlign w:val="center"/>
          </w:tcPr>
          <w:p w:rsidR="00BA6D28" w:rsidRPr="0087485F" w:rsidRDefault="00BA6D28" w:rsidP="000C35DF">
            <w:pPr>
              <w:spacing w:before="20" w:after="20"/>
              <w:ind w:right="170"/>
              <w:jc w:val="right"/>
              <w:rPr>
                <w:rFonts w:cstheme="minorHAnsi"/>
                <w:color w:val="000000"/>
                <w:sz w:val="20"/>
                <w:szCs w:val="20"/>
              </w:rPr>
            </w:pPr>
            <w:r w:rsidRPr="0087485F">
              <w:rPr>
                <w:rFonts w:cstheme="minorHAnsi"/>
                <w:color w:val="000000"/>
                <w:sz w:val="20"/>
                <w:szCs w:val="20"/>
              </w:rPr>
              <w:t>31</w:t>
            </w:r>
          </w:p>
        </w:tc>
        <w:tc>
          <w:tcPr>
            <w:tcW w:w="992" w:type="dxa"/>
            <w:shd w:val="clear" w:color="auto" w:fill="auto"/>
            <w:vAlign w:val="center"/>
          </w:tcPr>
          <w:p w:rsidR="00BA6D28" w:rsidRPr="0087485F" w:rsidRDefault="00BA6D28" w:rsidP="000C35DF">
            <w:pPr>
              <w:spacing w:before="20" w:after="20"/>
              <w:ind w:right="170"/>
              <w:jc w:val="right"/>
              <w:rPr>
                <w:rFonts w:cstheme="minorHAnsi"/>
                <w:color w:val="000000"/>
                <w:sz w:val="20"/>
                <w:szCs w:val="20"/>
              </w:rPr>
            </w:pPr>
            <w:r w:rsidRPr="0087485F">
              <w:rPr>
                <w:rFonts w:cstheme="minorHAnsi"/>
                <w:color w:val="000000"/>
                <w:sz w:val="20"/>
                <w:szCs w:val="20"/>
              </w:rPr>
              <w:t>5.1</w:t>
            </w:r>
          </w:p>
        </w:tc>
        <w:tc>
          <w:tcPr>
            <w:tcW w:w="709" w:type="dxa"/>
            <w:shd w:val="clear" w:color="auto" w:fill="auto"/>
            <w:vAlign w:val="center"/>
          </w:tcPr>
          <w:p w:rsidR="00BA6D28" w:rsidRPr="0087485F" w:rsidRDefault="00BA6D28" w:rsidP="001032EF">
            <w:pPr>
              <w:spacing w:before="20" w:after="20"/>
              <w:jc w:val="right"/>
              <w:rPr>
                <w:rFonts w:cstheme="minorHAnsi"/>
                <w:color w:val="000000"/>
                <w:sz w:val="20"/>
                <w:szCs w:val="20"/>
              </w:rPr>
            </w:pPr>
            <w:r w:rsidRPr="0087485F">
              <w:rPr>
                <w:rFonts w:cstheme="minorHAnsi"/>
                <w:color w:val="000000"/>
                <w:sz w:val="20"/>
                <w:szCs w:val="20"/>
              </w:rPr>
              <w:t>46</w:t>
            </w:r>
          </w:p>
        </w:tc>
        <w:tc>
          <w:tcPr>
            <w:tcW w:w="709" w:type="dxa"/>
            <w:shd w:val="clear" w:color="auto" w:fill="auto"/>
            <w:vAlign w:val="center"/>
          </w:tcPr>
          <w:p w:rsidR="00BA6D28" w:rsidRPr="0087485F" w:rsidRDefault="00BA6D28" w:rsidP="001032EF">
            <w:pPr>
              <w:spacing w:before="20" w:after="20"/>
              <w:jc w:val="right"/>
              <w:rPr>
                <w:rFonts w:cstheme="minorHAnsi"/>
                <w:color w:val="000000"/>
                <w:sz w:val="20"/>
                <w:szCs w:val="20"/>
              </w:rPr>
            </w:pPr>
            <w:r w:rsidRPr="0087485F">
              <w:rPr>
                <w:rFonts w:cstheme="minorHAnsi"/>
                <w:color w:val="000000"/>
                <w:sz w:val="20"/>
                <w:szCs w:val="20"/>
              </w:rPr>
              <w:t>4.4</w:t>
            </w:r>
          </w:p>
        </w:tc>
      </w:tr>
      <w:tr w:rsidR="00BA6D28" w:rsidRPr="0087485F" w:rsidTr="001F2934">
        <w:tc>
          <w:tcPr>
            <w:tcW w:w="4219" w:type="dxa"/>
            <w:shd w:val="clear" w:color="auto" w:fill="auto"/>
          </w:tcPr>
          <w:p w:rsidR="00BA6D28" w:rsidRPr="0087485F" w:rsidRDefault="00BA6D28" w:rsidP="001032EF">
            <w:pPr>
              <w:spacing w:before="20" w:after="20"/>
              <w:rPr>
                <w:rFonts w:cstheme="minorHAnsi"/>
                <w:sz w:val="20"/>
                <w:szCs w:val="20"/>
              </w:rPr>
            </w:pPr>
            <w:r w:rsidRPr="0087485F">
              <w:rPr>
                <w:rFonts w:cstheme="minorHAnsi"/>
                <w:sz w:val="20"/>
                <w:szCs w:val="20"/>
              </w:rPr>
              <w:t>$40,000 +</w:t>
            </w:r>
            <w:r>
              <w:rPr>
                <w:rFonts w:cstheme="minorHAnsi"/>
                <w:sz w:val="20"/>
                <w:szCs w:val="20"/>
              </w:rPr>
              <w:t xml:space="preserve"> </w:t>
            </w:r>
            <w:r w:rsidRPr="0087485F">
              <w:rPr>
                <w:rFonts w:cstheme="minorHAnsi"/>
                <w:sz w:val="20"/>
                <w:szCs w:val="20"/>
              </w:rPr>
              <w:t>($1540</w:t>
            </w:r>
            <w:r>
              <w:rPr>
                <w:rFonts w:cstheme="minorHAnsi"/>
                <w:sz w:val="20"/>
                <w:szCs w:val="20"/>
              </w:rPr>
              <w:t xml:space="preserve"> + per fortnight)</w:t>
            </w:r>
          </w:p>
        </w:tc>
        <w:tc>
          <w:tcPr>
            <w:tcW w:w="567" w:type="dxa"/>
            <w:shd w:val="clear" w:color="auto" w:fill="auto"/>
            <w:vAlign w:val="center"/>
          </w:tcPr>
          <w:p w:rsidR="00BA6D28" w:rsidRPr="0087485F" w:rsidRDefault="00BA6D28" w:rsidP="001032EF">
            <w:pPr>
              <w:spacing w:before="20" w:after="20"/>
              <w:jc w:val="right"/>
              <w:rPr>
                <w:rFonts w:ascii="Calibri" w:hAnsi="Calibri" w:cs="Calibri"/>
                <w:color w:val="000000"/>
                <w:sz w:val="20"/>
                <w:szCs w:val="20"/>
              </w:rPr>
            </w:pPr>
            <w:r w:rsidRPr="0087485F">
              <w:rPr>
                <w:rFonts w:ascii="Calibri" w:hAnsi="Calibri" w:cs="Calibri"/>
                <w:color w:val="000000"/>
                <w:sz w:val="20"/>
                <w:szCs w:val="20"/>
              </w:rPr>
              <w:t>15</w:t>
            </w:r>
          </w:p>
        </w:tc>
        <w:tc>
          <w:tcPr>
            <w:tcW w:w="709" w:type="dxa"/>
            <w:shd w:val="clear" w:color="auto" w:fill="auto"/>
            <w:vAlign w:val="center"/>
          </w:tcPr>
          <w:p w:rsidR="00BA6D28" w:rsidRPr="0087485F" w:rsidRDefault="00BA6D28" w:rsidP="001032EF">
            <w:pPr>
              <w:spacing w:before="20" w:after="20"/>
              <w:jc w:val="right"/>
              <w:rPr>
                <w:rFonts w:ascii="Calibri" w:hAnsi="Calibri" w:cs="Calibri"/>
                <w:color w:val="000000"/>
                <w:sz w:val="20"/>
                <w:szCs w:val="20"/>
              </w:rPr>
            </w:pPr>
            <w:r w:rsidRPr="0087485F">
              <w:rPr>
                <w:rFonts w:ascii="Calibri" w:hAnsi="Calibri" w:cs="Calibri"/>
                <w:color w:val="000000"/>
                <w:sz w:val="20"/>
                <w:szCs w:val="20"/>
              </w:rPr>
              <w:t>3.4</w:t>
            </w:r>
          </w:p>
        </w:tc>
        <w:tc>
          <w:tcPr>
            <w:tcW w:w="1134" w:type="dxa"/>
            <w:shd w:val="clear" w:color="auto" w:fill="auto"/>
            <w:vAlign w:val="center"/>
          </w:tcPr>
          <w:p w:rsidR="00BA6D28" w:rsidRPr="0087485F" w:rsidRDefault="00BA6D28" w:rsidP="000C35DF">
            <w:pPr>
              <w:spacing w:before="20" w:after="20"/>
              <w:ind w:right="170"/>
              <w:jc w:val="right"/>
              <w:rPr>
                <w:rFonts w:ascii="Calibri" w:hAnsi="Calibri" w:cs="Calibri"/>
                <w:color w:val="000000"/>
                <w:sz w:val="20"/>
                <w:szCs w:val="20"/>
              </w:rPr>
            </w:pPr>
            <w:r w:rsidRPr="0087485F">
              <w:rPr>
                <w:rFonts w:ascii="Calibri" w:hAnsi="Calibri" w:cs="Calibri"/>
                <w:color w:val="000000"/>
                <w:sz w:val="20"/>
                <w:szCs w:val="20"/>
              </w:rPr>
              <w:t>53</w:t>
            </w:r>
          </w:p>
        </w:tc>
        <w:tc>
          <w:tcPr>
            <w:tcW w:w="992" w:type="dxa"/>
            <w:shd w:val="clear" w:color="auto" w:fill="auto"/>
            <w:vAlign w:val="center"/>
          </w:tcPr>
          <w:p w:rsidR="00BA6D28" w:rsidRPr="000C35DF" w:rsidRDefault="00BA6D28" w:rsidP="000C35DF">
            <w:pPr>
              <w:spacing w:before="20" w:after="20"/>
              <w:ind w:right="170"/>
              <w:jc w:val="right"/>
              <w:rPr>
                <w:rFonts w:cstheme="minorHAnsi"/>
                <w:color w:val="000000"/>
                <w:sz w:val="20"/>
                <w:szCs w:val="20"/>
              </w:rPr>
            </w:pPr>
            <w:r w:rsidRPr="000C35DF">
              <w:rPr>
                <w:rFonts w:cstheme="minorHAnsi"/>
                <w:color w:val="000000"/>
                <w:sz w:val="20"/>
                <w:szCs w:val="20"/>
              </w:rPr>
              <w:t>8.7</w:t>
            </w:r>
          </w:p>
        </w:tc>
        <w:tc>
          <w:tcPr>
            <w:tcW w:w="709" w:type="dxa"/>
            <w:shd w:val="clear" w:color="auto" w:fill="auto"/>
            <w:vAlign w:val="center"/>
          </w:tcPr>
          <w:p w:rsidR="00BA6D28" w:rsidRPr="0087485F" w:rsidRDefault="00BA6D28" w:rsidP="001032EF">
            <w:pPr>
              <w:spacing w:before="20" w:after="20"/>
              <w:jc w:val="right"/>
              <w:rPr>
                <w:rFonts w:ascii="Calibri" w:hAnsi="Calibri" w:cs="Calibri"/>
                <w:color w:val="000000"/>
                <w:sz w:val="20"/>
                <w:szCs w:val="20"/>
              </w:rPr>
            </w:pPr>
            <w:r w:rsidRPr="0087485F">
              <w:rPr>
                <w:rFonts w:ascii="Calibri" w:hAnsi="Calibri" w:cs="Calibri"/>
                <w:color w:val="000000"/>
                <w:sz w:val="20"/>
                <w:szCs w:val="20"/>
              </w:rPr>
              <w:t>68</w:t>
            </w:r>
          </w:p>
        </w:tc>
        <w:tc>
          <w:tcPr>
            <w:tcW w:w="709" w:type="dxa"/>
            <w:shd w:val="clear" w:color="auto" w:fill="auto"/>
            <w:vAlign w:val="center"/>
          </w:tcPr>
          <w:p w:rsidR="00BA6D28" w:rsidRPr="0087485F" w:rsidRDefault="00BA6D28" w:rsidP="001032EF">
            <w:pPr>
              <w:spacing w:before="20" w:after="20"/>
              <w:jc w:val="right"/>
              <w:rPr>
                <w:rFonts w:ascii="Calibri" w:hAnsi="Calibri" w:cs="Calibri"/>
                <w:color w:val="000000"/>
                <w:sz w:val="20"/>
                <w:szCs w:val="20"/>
              </w:rPr>
            </w:pPr>
            <w:r w:rsidRPr="0087485F">
              <w:rPr>
                <w:rFonts w:ascii="Calibri" w:hAnsi="Calibri" w:cs="Calibri"/>
                <w:color w:val="000000"/>
                <w:sz w:val="20"/>
                <w:szCs w:val="20"/>
              </w:rPr>
              <w:t>6.5</w:t>
            </w:r>
          </w:p>
        </w:tc>
      </w:tr>
      <w:tr w:rsidR="00BA6D28" w:rsidRPr="0087485F" w:rsidTr="001F2934">
        <w:tc>
          <w:tcPr>
            <w:tcW w:w="4219" w:type="dxa"/>
          </w:tcPr>
          <w:p w:rsidR="00BA6D28" w:rsidRPr="0087485F" w:rsidRDefault="00BA6D28" w:rsidP="001032EF">
            <w:pPr>
              <w:spacing w:before="20" w:after="20"/>
              <w:rPr>
                <w:rFonts w:cstheme="minorHAnsi"/>
                <w:sz w:val="20"/>
                <w:szCs w:val="20"/>
              </w:rPr>
            </w:pPr>
            <w:r w:rsidRPr="0087485F">
              <w:rPr>
                <w:rFonts w:cstheme="minorHAnsi"/>
                <w:sz w:val="20"/>
                <w:szCs w:val="20"/>
              </w:rPr>
              <w:t>Don’t know</w:t>
            </w:r>
          </w:p>
        </w:tc>
        <w:tc>
          <w:tcPr>
            <w:tcW w:w="567" w:type="dxa"/>
          </w:tcPr>
          <w:p w:rsidR="00BA6D28" w:rsidRPr="0087485F" w:rsidRDefault="00BA6D28" w:rsidP="001032EF">
            <w:pPr>
              <w:spacing w:before="20" w:after="20"/>
              <w:jc w:val="right"/>
              <w:rPr>
                <w:rFonts w:cstheme="minorHAnsi"/>
                <w:color w:val="000000"/>
                <w:sz w:val="20"/>
                <w:szCs w:val="20"/>
              </w:rPr>
            </w:pPr>
            <w:r w:rsidRPr="0087485F">
              <w:rPr>
                <w:rFonts w:cstheme="minorHAnsi"/>
                <w:color w:val="000000"/>
                <w:sz w:val="20"/>
                <w:szCs w:val="20"/>
              </w:rPr>
              <w:t>80</w:t>
            </w:r>
          </w:p>
        </w:tc>
        <w:tc>
          <w:tcPr>
            <w:tcW w:w="709" w:type="dxa"/>
          </w:tcPr>
          <w:p w:rsidR="00BA6D28" w:rsidRPr="0087485F" w:rsidRDefault="00BA6D28" w:rsidP="001032EF">
            <w:pPr>
              <w:spacing w:before="20" w:after="20"/>
              <w:jc w:val="right"/>
              <w:rPr>
                <w:rFonts w:cstheme="minorHAnsi"/>
                <w:color w:val="000000"/>
                <w:sz w:val="20"/>
                <w:szCs w:val="20"/>
              </w:rPr>
            </w:pPr>
            <w:r w:rsidRPr="0087485F">
              <w:rPr>
                <w:rFonts w:cstheme="minorHAnsi"/>
                <w:color w:val="000000"/>
                <w:sz w:val="20"/>
                <w:szCs w:val="20"/>
              </w:rPr>
              <w:t>18.2</w:t>
            </w:r>
          </w:p>
        </w:tc>
        <w:tc>
          <w:tcPr>
            <w:tcW w:w="1134" w:type="dxa"/>
          </w:tcPr>
          <w:p w:rsidR="00BA6D28" w:rsidRPr="0087485F" w:rsidRDefault="00BA6D28" w:rsidP="000C35DF">
            <w:pPr>
              <w:spacing w:before="20" w:after="20"/>
              <w:ind w:right="170"/>
              <w:jc w:val="right"/>
              <w:rPr>
                <w:rFonts w:cstheme="minorHAnsi"/>
                <w:color w:val="000000"/>
                <w:sz w:val="20"/>
                <w:szCs w:val="20"/>
              </w:rPr>
            </w:pPr>
            <w:r w:rsidRPr="0087485F">
              <w:rPr>
                <w:rFonts w:cstheme="minorHAnsi"/>
                <w:color w:val="000000"/>
                <w:sz w:val="20"/>
                <w:szCs w:val="20"/>
              </w:rPr>
              <w:t>97</w:t>
            </w:r>
          </w:p>
        </w:tc>
        <w:tc>
          <w:tcPr>
            <w:tcW w:w="992" w:type="dxa"/>
          </w:tcPr>
          <w:p w:rsidR="00BA6D28" w:rsidRPr="0087485F" w:rsidRDefault="00BA6D28" w:rsidP="000C35DF">
            <w:pPr>
              <w:spacing w:before="20" w:after="20"/>
              <w:ind w:right="170"/>
              <w:jc w:val="right"/>
              <w:rPr>
                <w:rFonts w:cstheme="minorHAnsi"/>
                <w:color w:val="000000"/>
                <w:sz w:val="20"/>
                <w:szCs w:val="20"/>
              </w:rPr>
            </w:pPr>
            <w:r w:rsidRPr="0087485F">
              <w:rPr>
                <w:rFonts w:cstheme="minorHAnsi"/>
                <w:color w:val="000000"/>
                <w:sz w:val="20"/>
                <w:szCs w:val="20"/>
              </w:rPr>
              <w:t>15.9</w:t>
            </w:r>
          </w:p>
        </w:tc>
        <w:tc>
          <w:tcPr>
            <w:tcW w:w="709" w:type="dxa"/>
          </w:tcPr>
          <w:p w:rsidR="00BA6D28" w:rsidRPr="0087485F" w:rsidRDefault="00BA6D28" w:rsidP="001032EF">
            <w:pPr>
              <w:spacing w:before="20" w:after="20"/>
              <w:jc w:val="right"/>
              <w:rPr>
                <w:rFonts w:cstheme="minorHAnsi"/>
                <w:color w:val="000000"/>
                <w:sz w:val="20"/>
                <w:szCs w:val="20"/>
              </w:rPr>
            </w:pPr>
            <w:r w:rsidRPr="0087485F">
              <w:rPr>
                <w:rFonts w:cstheme="minorHAnsi"/>
                <w:color w:val="000000"/>
                <w:sz w:val="20"/>
                <w:szCs w:val="20"/>
              </w:rPr>
              <w:t>177</w:t>
            </w:r>
          </w:p>
        </w:tc>
        <w:tc>
          <w:tcPr>
            <w:tcW w:w="709" w:type="dxa"/>
          </w:tcPr>
          <w:p w:rsidR="00BA6D28" w:rsidRPr="0087485F" w:rsidRDefault="00BA6D28" w:rsidP="001032EF">
            <w:pPr>
              <w:spacing w:before="20" w:after="20"/>
              <w:jc w:val="right"/>
              <w:rPr>
                <w:rFonts w:cstheme="minorHAnsi"/>
                <w:color w:val="000000"/>
                <w:sz w:val="20"/>
                <w:szCs w:val="20"/>
              </w:rPr>
            </w:pPr>
            <w:r w:rsidRPr="0087485F">
              <w:rPr>
                <w:rFonts w:cstheme="minorHAnsi"/>
                <w:color w:val="000000"/>
                <w:sz w:val="20"/>
                <w:szCs w:val="20"/>
              </w:rPr>
              <w:t>16.9</w:t>
            </w:r>
          </w:p>
        </w:tc>
      </w:tr>
      <w:tr w:rsidR="00BA6D28" w:rsidRPr="0087485F" w:rsidTr="001F2934">
        <w:tc>
          <w:tcPr>
            <w:tcW w:w="4219" w:type="dxa"/>
            <w:tcBorders>
              <w:top w:val="single" w:sz="4" w:space="0" w:color="auto"/>
              <w:bottom w:val="single" w:sz="4" w:space="0" w:color="auto"/>
            </w:tcBorders>
            <w:shd w:val="clear" w:color="auto" w:fill="auto"/>
          </w:tcPr>
          <w:p w:rsidR="00BA6D28" w:rsidRPr="0087485F" w:rsidRDefault="00BA6D28" w:rsidP="001032EF">
            <w:pPr>
              <w:spacing w:before="20" w:after="20"/>
              <w:rPr>
                <w:rFonts w:cstheme="minorHAnsi"/>
                <w:b/>
                <w:sz w:val="20"/>
                <w:szCs w:val="20"/>
              </w:rPr>
            </w:pPr>
            <w:r w:rsidRPr="0087485F">
              <w:rPr>
                <w:rFonts w:cstheme="minorHAnsi"/>
                <w:b/>
                <w:sz w:val="20"/>
                <w:szCs w:val="20"/>
              </w:rPr>
              <w:t>Total</w:t>
            </w:r>
          </w:p>
        </w:tc>
        <w:tc>
          <w:tcPr>
            <w:tcW w:w="567" w:type="dxa"/>
            <w:tcBorders>
              <w:top w:val="single" w:sz="4" w:space="0" w:color="auto"/>
              <w:bottom w:val="single" w:sz="4" w:space="0" w:color="auto"/>
            </w:tcBorders>
            <w:shd w:val="clear" w:color="auto" w:fill="auto"/>
          </w:tcPr>
          <w:p w:rsidR="00BA6D28" w:rsidRPr="0087485F" w:rsidRDefault="00BA6D28" w:rsidP="001032EF">
            <w:pPr>
              <w:spacing w:before="20" w:after="20"/>
              <w:jc w:val="right"/>
              <w:rPr>
                <w:rFonts w:cstheme="minorHAnsi"/>
                <w:b/>
                <w:color w:val="000000"/>
                <w:sz w:val="20"/>
                <w:szCs w:val="20"/>
              </w:rPr>
            </w:pPr>
            <w:r w:rsidRPr="0087485F">
              <w:rPr>
                <w:rFonts w:cstheme="minorHAnsi"/>
                <w:b/>
                <w:color w:val="000000"/>
                <w:sz w:val="20"/>
                <w:szCs w:val="20"/>
              </w:rPr>
              <w:t>440</w:t>
            </w:r>
          </w:p>
        </w:tc>
        <w:tc>
          <w:tcPr>
            <w:tcW w:w="709" w:type="dxa"/>
            <w:tcBorders>
              <w:top w:val="single" w:sz="4" w:space="0" w:color="auto"/>
              <w:bottom w:val="single" w:sz="4" w:space="0" w:color="auto"/>
            </w:tcBorders>
            <w:shd w:val="clear" w:color="auto" w:fill="auto"/>
          </w:tcPr>
          <w:p w:rsidR="00BA6D28" w:rsidRPr="0087485F" w:rsidRDefault="00BA6D28" w:rsidP="001032EF">
            <w:pPr>
              <w:spacing w:before="20" w:after="20"/>
              <w:jc w:val="right"/>
              <w:rPr>
                <w:rFonts w:cstheme="minorHAnsi"/>
                <w:b/>
                <w:color w:val="000000"/>
                <w:sz w:val="20"/>
                <w:szCs w:val="20"/>
              </w:rPr>
            </w:pPr>
            <w:r w:rsidRPr="0087485F">
              <w:rPr>
                <w:rFonts w:cstheme="minorHAnsi"/>
                <w:b/>
                <w:color w:val="000000"/>
                <w:sz w:val="20"/>
                <w:szCs w:val="20"/>
              </w:rPr>
              <w:t>100</w:t>
            </w:r>
          </w:p>
        </w:tc>
        <w:tc>
          <w:tcPr>
            <w:tcW w:w="1134" w:type="dxa"/>
            <w:tcBorders>
              <w:top w:val="single" w:sz="4" w:space="0" w:color="auto"/>
              <w:bottom w:val="single" w:sz="4" w:space="0" w:color="auto"/>
            </w:tcBorders>
            <w:shd w:val="clear" w:color="auto" w:fill="auto"/>
          </w:tcPr>
          <w:p w:rsidR="00BA6D28" w:rsidRPr="0087485F" w:rsidRDefault="00BA6D28" w:rsidP="000C35DF">
            <w:pPr>
              <w:spacing w:before="20" w:after="20"/>
              <w:ind w:right="170"/>
              <w:jc w:val="right"/>
              <w:rPr>
                <w:rFonts w:cstheme="minorHAnsi"/>
                <w:b/>
                <w:color w:val="000000"/>
                <w:sz w:val="20"/>
                <w:szCs w:val="20"/>
              </w:rPr>
            </w:pPr>
            <w:r w:rsidRPr="0087485F">
              <w:rPr>
                <w:rFonts w:cstheme="minorHAnsi"/>
                <w:b/>
                <w:color w:val="000000"/>
                <w:sz w:val="20"/>
                <w:szCs w:val="20"/>
              </w:rPr>
              <w:t>609</w:t>
            </w:r>
          </w:p>
        </w:tc>
        <w:tc>
          <w:tcPr>
            <w:tcW w:w="992" w:type="dxa"/>
            <w:tcBorders>
              <w:top w:val="single" w:sz="4" w:space="0" w:color="auto"/>
              <w:bottom w:val="single" w:sz="4" w:space="0" w:color="auto"/>
            </w:tcBorders>
            <w:shd w:val="clear" w:color="auto" w:fill="auto"/>
          </w:tcPr>
          <w:p w:rsidR="00BA6D28" w:rsidRPr="000C35DF" w:rsidRDefault="00BA6D28" w:rsidP="000C35DF">
            <w:pPr>
              <w:spacing w:before="20" w:after="20"/>
              <w:ind w:right="170"/>
              <w:jc w:val="right"/>
              <w:rPr>
                <w:rFonts w:cstheme="minorHAnsi"/>
                <w:b/>
                <w:color w:val="000000"/>
                <w:sz w:val="20"/>
                <w:szCs w:val="20"/>
              </w:rPr>
            </w:pPr>
            <w:r w:rsidRPr="000C35DF">
              <w:rPr>
                <w:rFonts w:cstheme="minorHAnsi"/>
                <w:b/>
                <w:color w:val="000000"/>
                <w:sz w:val="20"/>
                <w:szCs w:val="20"/>
              </w:rPr>
              <w:t>100</w:t>
            </w:r>
          </w:p>
        </w:tc>
        <w:tc>
          <w:tcPr>
            <w:tcW w:w="709" w:type="dxa"/>
            <w:tcBorders>
              <w:top w:val="single" w:sz="4" w:space="0" w:color="auto"/>
              <w:bottom w:val="single" w:sz="4" w:space="0" w:color="auto"/>
            </w:tcBorders>
            <w:shd w:val="clear" w:color="auto" w:fill="auto"/>
          </w:tcPr>
          <w:p w:rsidR="00BA6D28" w:rsidRPr="0087485F" w:rsidRDefault="00BA6D28" w:rsidP="001032EF">
            <w:pPr>
              <w:spacing w:before="20" w:after="20"/>
              <w:jc w:val="right"/>
              <w:rPr>
                <w:rFonts w:cstheme="minorHAnsi"/>
                <w:b/>
                <w:color w:val="000000"/>
                <w:sz w:val="20"/>
                <w:szCs w:val="20"/>
              </w:rPr>
            </w:pPr>
            <w:r w:rsidRPr="0087485F">
              <w:rPr>
                <w:rFonts w:cstheme="minorHAnsi"/>
                <w:b/>
                <w:color w:val="000000"/>
                <w:sz w:val="20"/>
                <w:szCs w:val="20"/>
              </w:rPr>
              <w:t>1</w:t>
            </w:r>
            <w:r>
              <w:rPr>
                <w:rFonts w:cstheme="minorHAnsi"/>
                <w:b/>
                <w:color w:val="000000"/>
                <w:sz w:val="20"/>
                <w:szCs w:val="20"/>
              </w:rPr>
              <w:t>,</w:t>
            </w:r>
            <w:r w:rsidRPr="0087485F">
              <w:rPr>
                <w:rFonts w:cstheme="minorHAnsi"/>
                <w:b/>
                <w:color w:val="000000"/>
                <w:sz w:val="20"/>
                <w:szCs w:val="20"/>
              </w:rPr>
              <w:t>049</w:t>
            </w:r>
          </w:p>
        </w:tc>
        <w:tc>
          <w:tcPr>
            <w:tcW w:w="709" w:type="dxa"/>
            <w:tcBorders>
              <w:top w:val="single" w:sz="4" w:space="0" w:color="auto"/>
              <w:bottom w:val="single" w:sz="4" w:space="0" w:color="auto"/>
            </w:tcBorders>
            <w:shd w:val="clear" w:color="auto" w:fill="auto"/>
          </w:tcPr>
          <w:p w:rsidR="00BA6D28" w:rsidRPr="0087485F" w:rsidRDefault="00BA6D28" w:rsidP="001032EF">
            <w:pPr>
              <w:spacing w:before="20" w:after="20"/>
              <w:jc w:val="right"/>
              <w:rPr>
                <w:rFonts w:cstheme="minorHAnsi"/>
                <w:b/>
                <w:color w:val="000000"/>
                <w:sz w:val="20"/>
                <w:szCs w:val="20"/>
              </w:rPr>
            </w:pPr>
            <w:r w:rsidRPr="0087485F">
              <w:rPr>
                <w:rFonts w:cstheme="minorHAnsi"/>
                <w:b/>
                <w:color w:val="000000"/>
                <w:sz w:val="20"/>
                <w:szCs w:val="20"/>
              </w:rPr>
              <w:t>100</w:t>
            </w:r>
          </w:p>
        </w:tc>
      </w:tr>
    </w:tbl>
    <w:p w:rsidR="00D907AF" w:rsidRPr="00E852D5" w:rsidRDefault="00D907AF" w:rsidP="006C7BE7">
      <w:pPr>
        <w:pStyle w:val="NILSTabletext"/>
      </w:pPr>
      <w:r w:rsidRPr="00E852D5">
        <w:t xml:space="preserve">Note: </w:t>
      </w:r>
      <w:r>
        <w:t>trial and comparison aged 16 years and above</w:t>
      </w:r>
      <w:r w:rsidRPr="00E852D5">
        <w:t xml:space="preserve"> </w:t>
      </w:r>
    </w:p>
    <w:p w:rsidR="00D907AF" w:rsidRDefault="00D907AF" w:rsidP="00D907AF">
      <w:r>
        <w:t xml:space="preserve">Notwithstanding the </w:t>
      </w:r>
      <w:r w:rsidR="00775306">
        <w:t>need for</w:t>
      </w:r>
      <w:r>
        <w:t xml:space="preserve"> caution, the distribution of income shows that the majority of persons with disability are recipients of very low incomes. Close to 20 per cent of all respondents reported that they do not know their income. About 75 per cent reported their before-tax annual income to be below $30,000, with less than 5 per cent between $30,000 and $39,999. Very few people with disability reported an income of more than $40,000. This income distribution should be read alongside with the main source of income being government supports (Tables </w:t>
      </w:r>
      <w:r w:rsidRPr="00475928">
        <w:t>3.3</w:t>
      </w:r>
      <w:r>
        <w:t>6</w:t>
      </w:r>
      <w:r w:rsidRPr="00475928">
        <w:t xml:space="preserve"> and 3.3</w:t>
      </w:r>
      <w:r>
        <w:t xml:space="preserve">7), with the low employment rate (start of section 3.6.7 and Table </w:t>
      </w:r>
      <w:r w:rsidRPr="00475928">
        <w:t>3.3</w:t>
      </w:r>
      <w:r>
        <w:t>2</w:t>
      </w:r>
      <w:r w:rsidRPr="00475928">
        <w:t>)</w:t>
      </w:r>
      <w:r>
        <w:t xml:space="preserve"> and the large proportion of those employed who work fewer than 15 hours per week (Figure 3.2).</w:t>
      </w:r>
    </w:p>
    <w:p w:rsidR="00953EE5" w:rsidRDefault="00953EE5" w:rsidP="00D907AF"/>
    <w:p w:rsidR="00D907AF" w:rsidRDefault="00D907AF" w:rsidP="00D907AF">
      <w:r>
        <w:t>Table 3.39 shows the combined household income and paints a different picture. About the same proportion of people reported that they do not know their household income. Now that the whole household income is taken into account, the emerging preliminary picture is that the households of people with disability are still below the national average</w:t>
      </w:r>
      <w:r>
        <w:rPr>
          <w:rStyle w:val="FootnoteReference"/>
        </w:rPr>
        <w:footnoteReference w:id="21"/>
      </w:r>
      <w:r>
        <w:t xml:space="preserve">, but not by much. With the whole sample at hand we will examine this picture more closely. </w:t>
      </w:r>
    </w:p>
    <w:p w:rsidR="00953EE5" w:rsidRDefault="00953EE5" w:rsidP="00D907AF"/>
    <w:p w:rsidR="00D907AF" w:rsidRPr="00233E8A" w:rsidRDefault="00D907AF" w:rsidP="0044684E">
      <w:pPr>
        <w:pStyle w:val="NILSTableHeading"/>
      </w:pPr>
      <w:bookmarkStart w:id="315" w:name="_Toc428280691"/>
      <w:bookmarkStart w:id="316" w:name="_Toc449955301"/>
      <w:r>
        <w:rPr>
          <w:rFonts w:hint="eastAsia"/>
        </w:rPr>
        <w:t>Table 3.39</w:t>
      </w:r>
      <w:r w:rsidRPr="00233E8A">
        <w:rPr>
          <w:rFonts w:hint="eastAsia"/>
        </w:rPr>
        <w:t>: Tot</w:t>
      </w:r>
      <w:r w:rsidRPr="003258B5">
        <w:rPr>
          <w:rFonts w:hint="eastAsia"/>
        </w:rPr>
        <w:t>al person with disability h</w:t>
      </w:r>
      <w:r w:rsidRPr="00233E8A">
        <w:rPr>
          <w:rFonts w:hint="eastAsia"/>
        </w:rPr>
        <w:t>ousehold income for the last year</w:t>
      </w:r>
      <w:bookmarkEnd w:id="315"/>
      <w:bookmarkEnd w:id="316"/>
      <w:r w:rsidRPr="00233E8A">
        <w:rPr>
          <w:rFonts w:hint="eastAsia"/>
        </w:rPr>
        <w:t xml:space="preserve"> </w:t>
      </w:r>
    </w:p>
    <w:tbl>
      <w:tblPr>
        <w:tblStyle w:val="TableGrid"/>
        <w:tblW w:w="9180" w:type="dxa"/>
        <w:tblLayout w:type="fixed"/>
        <w:tblLook w:val="04A0" w:firstRow="1" w:lastRow="0" w:firstColumn="1" w:lastColumn="0" w:noHBand="0" w:noVBand="1"/>
        <w:tblCaption w:val="Table 3.39 Total person with disability household income for the last year "/>
      </w:tblPr>
      <w:tblGrid>
        <w:gridCol w:w="4361"/>
        <w:gridCol w:w="567"/>
        <w:gridCol w:w="709"/>
        <w:gridCol w:w="992"/>
        <w:gridCol w:w="1134"/>
        <w:gridCol w:w="709"/>
        <w:gridCol w:w="708"/>
      </w:tblGrid>
      <w:tr w:rsidR="00D907AF" w:rsidRPr="0087485F" w:rsidTr="000C35DF">
        <w:trPr>
          <w:cantSplit/>
          <w:tblHeader/>
        </w:trPr>
        <w:tc>
          <w:tcPr>
            <w:tcW w:w="4361" w:type="dxa"/>
            <w:tcBorders>
              <w:top w:val="single" w:sz="4" w:space="0" w:color="auto"/>
              <w:bottom w:val="single" w:sz="4" w:space="0" w:color="auto"/>
            </w:tcBorders>
            <w:shd w:val="clear" w:color="auto" w:fill="auto"/>
            <w:vAlign w:val="center"/>
          </w:tcPr>
          <w:p w:rsidR="00D907AF" w:rsidRPr="0087485F" w:rsidRDefault="00D907AF" w:rsidP="00250681">
            <w:pPr>
              <w:spacing w:before="20" w:after="20"/>
              <w:rPr>
                <w:rFonts w:cstheme="minorHAnsi"/>
                <w:sz w:val="20"/>
                <w:szCs w:val="20"/>
              </w:rPr>
            </w:pPr>
            <w:bookmarkStart w:id="317" w:name="Title_3_39"/>
            <w:bookmarkEnd w:id="317"/>
          </w:p>
        </w:tc>
        <w:tc>
          <w:tcPr>
            <w:tcW w:w="567" w:type="dxa"/>
            <w:tcBorders>
              <w:top w:val="single" w:sz="4" w:space="0" w:color="auto"/>
              <w:bottom w:val="single" w:sz="4" w:space="0" w:color="auto"/>
            </w:tcBorders>
            <w:shd w:val="clear" w:color="auto" w:fill="auto"/>
          </w:tcPr>
          <w:p w:rsidR="00D907AF" w:rsidRPr="0087485F" w:rsidRDefault="005E14E5" w:rsidP="00304963">
            <w:pPr>
              <w:spacing w:before="20" w:after="20"/>
              <w:ind w:left="-108" w:right="-108"/>
              <w:jc w:val="center"/>
              <w:rPr>
                <w:rFonts w:cstheme="minorHAnsi"/>
                <w:sz w:val="20"/>
                <w:szCs w:val="20"/>
              </w:rPr>
            </w:pPr>
            <w:r>
              <w:rPr>
                <w:rFonts w:cstheme="minorHAnsi"/>
                <w:sz w:val="20"/>
                <w:szCs w:val="20"/>
              </w:rPr>
              <w:t>Trial</w:t>
            </w:r>
            <w:r w:rsidR="00D80153">
              <w:rPr>
                <w:rFonts w:cstheme="minorHAnsi"/>
                <w:sz w:val="20"/>
                <w:szCs w:val="20"/>
              </w:rPr>
              <w:t xml:space="preserve"> Cases</w:t>
            </w:r>
          </w:p>
        </w:tc>
        <w:tc>
          <w:tcPr>
            <w:tcW w:w="709" w:type="dxa"/>
            <w:tcBorders>
              <w:top w:val="single" w:sz="4" w:space="0" w:color="auto"/>
              <w:bottom w:val="single" w:sz="4" w:space="0" w:color="auto"/>
            </w:tcBorders>
            <w:shd w:val="clear" w:color="auto" w:fill="auto"/>
          </w:tcPr>
          <w:p w:rsidR="00D907AF" w:rsidRPr="0087485F" w:rsidRDefault="005E14E5" w:rsidP="00622527">
            <w:pPr>
              <w:spacing w:before="20" w:after="20"/>
              <w:jc w:val="center"/>
              <w:rPr>
                <w:rFonts w:cstheme="minorHAnsi"/>
                <w:sz w:val="20"/>
                <w:szCs w:val="20"/>
              </w:rPr>
            </w:pPr>
            <w:r w:rsidRPr="0087485F">
              <w:rPr>
                <w:rFonts w:cstheme="minorHAnsi"/>
                <w:sz w:val="20"/>
                <w:szCs w:val="20"/>
              </w:rPr>
              <w:t xml:space="preserve">Trial </w:t>
            </w:r>
            <w:r w:rsidR="00D907AF" w:rsidRPr="0087485F">
              <w:rPr>
                <w:rFonts w:cstheme="minorHAnsi"/>
                <w:sz w:val="20"/>
                <w:szCs w:val="20"/>
              </w:rPr>
              <w:t>%</w:t>
            </w:r>
          </w:p>
        </w:tc>
        <w:tc>
          <w:tcPr>
            <w:tcW w:w="992" w:type="dxa"/>
            <w:tcBorders>
              <w:top w:val="single" w:sz="4" w:space="0" w:color="auto"/>
              <w:bottom w:val="single" w:sz="4" w:space="0" w:color="auto"/>
            </w:tcBorders>
            <w:shd w:val="clear" w:color="auto" w:fill="auto"/>
          </w:tcPr>
          <w:p w:rsidR="00D907AF" w:rsidRPr="0087485F" w:rsidRDefault="005E14E5" w:rsidP="00622527">
            <w:pPr>
              <w:spacing w:before="20" w:after="20"/>
              <w:ind w:right="-108" w:hanging="108"/>
              <w:jc w:val="center"/>
              <w:rPr>
                <w:rFonts w:cstheme="minorHAnsi"/>
                <w:sz w:val="20"/>
                <w:szCs w:val="20"/>
              </w:rPr>
            </w:pPr>
            <w:r>
              <w:rPr>
                <w:rFonts w:cstheme="minorHAnsi"/>
                <w:sz w:val="20"/>
                <w:szCs w:val="20"/>
              </w:rPr>
              <w:t>Comparison</w:t>
            </w:r>
            <w:r w:rsidR="00D80153">
              <w:rPr>
                <w:rFonts w:cstheme="minorHAnsi"/>
                <w:sz w:val="20"/>
                <w:szCs w:val="20"/>
              </w:rPr>
              <w:t xml:space="preserve"> Cases</w:t>
            </w:r>
          </w:p>
        </w:tc>
        <w:tc>
          <w:tcPr>
            <w:tcW w:w="1134" w:type="dxa"/>
            <w:tcBorders>
              <w:top w:val="single" w:sz="4" w:space="0" w:color="auto"/>
              <w:bottom w:val="single" w:sz="4" w:space="0" w:color="auto"/>
            </w:tcBorders>
            <w:shd w:val="clear" w:color="auto" w:fill="auto"/>
          </w:tcPr>
          <w:p w:rsidR="00D907AF" w:rsidRPr="0087485F" w:rsidRDefault="005E14E5" w:rsidP="00622527">
            <w:pPr>
              <w:spacing w:before="20" w:after="20"/>
              <w:ind w:right="-108" w:hanging="108"/>
              <w:jc w:val="center"/>
              <w:rPr>
                <w:rFonts w:cstheme="minorHAnsi"/>
                <w:sz w:val="20"/>
                <w:szCs w:val="20"/>
              </w:rPr>
            </w:pPr>
            <w:r w:rsidRPr="0087485F">
              <w:rPr>
                <w:rFonts w:cstheme="minorHAnsi"/>
                <w:sz w:val="20"/>
                <w:szCs w:val="20"/>
              </w:rPr>
              <w:t>Comparison</w:t>
            </w:r>
            <w:r>
              <w:rPr>
                <w:rFonts w:cstheme="minorHAnsi"/>
                <w:sz w:val="20"/>
                <w:szCs w:val="20"/>
              </w:rPr>
              <w:t xml:space="preserve"> </w:t>
            </w:r>
            <w:r w:rsidRPr="0087485F">
              <w:rPr>
                <w:rFonts w:cstheme="minorHAnsi"/>
                <w:sz w:val="20"/>
                <w:szCs w:val="20"/>
              </w:rPr>
              <w:t xml:space="preserve"> </w:t>
            </w:r>
            <w:r w:rsidR="00D907AF" w:rsidRPr="0087485F">
              <w:rPr>
                <w:rFonts w:cstheme="minorHAnsi"/>
                <w:sz w:val="20"/>
                <w:szCs w:val="20"/>
              </w:rPr>
              <w:t>%</w:t>
            </w:r>
          </w:p>
        </w:tc>
        <w:tc>
          <w:tcPr>
            <w:tcW w:w="709" w:type="dxa"/>
            <w:tcBorders>
              <w:top w:val="single" w:sz="4" w:space="0" w:color="auto"/>
              <w:bottom w:val="single" w:sz="4" w:space="0" w:color="auto"/>
            </w:tcBorders>
            <w:shd w:val="clear" w:color="auto" w:fill="auto"/>
          </w:tcPr>
          <w:p w:rsidR="00D907AF" w:rsidRPr="0087485F" w:rsidRDefault="005E14E5" w:rsidP="00622527">
            <w:pPr>
              <w:spacing w:before="20" w:after="20"/>
              <w:jc w:val="center"/>
              <w:rPr>
                <w:rFonts w:cstheme="minorHAnsi"/>
                <w:sz w:val="20"/>
                <w:szCs w:val="20"/>
              </w:rPr>
            </w:pPr>
            <w:r>
              <w:rPr>
                <w:rFonts w:cstheme="minorHAnsi"/>
                <w:sz w:val="20"/>
                <w:szCs w:val="20"/>
              </w:rPr>
              <w:t>Total</w:t>
            </w:r>
            <w:r w:rsidR="00D80153">
              <w:rPr>
                <w:rFonts w:cstheme="minorHAnsi"/>
                <w:sz w:val="20"/>
                <w:szCs w:val="20"/>
              </w:rPr>
              <w:t xml:space="preserve"> Cases</w:t>
            </w:r>
          </w:p>
        </w:tc>
        <w:tc>
          <w:tcPr>
            <w:tcW w:w="708" w:type="dxa"/>
            <w:tcBorders>
              <w:top w:val="single" w:sz="4" w:space="0" w:color="auto"/>
              <w:bottom w:val="single" w:sz="4" w:space="0" w:color="auto"/>
            </w:tcBorders>
            <w:shd w:val="clear" w:color="auto" w:fill="auto"/>
          </w:tcPr>
          <w:p w:rsidR="00D907AF" w:rsidRPr="0087485F" w:rsidRDefault="005E14E5" w:rsidP="00622527">
            <w:pPr>
              <w:spacing w:before="20" w:after="20"/>
              <w:jc w:val="center"/>
              <w:rPr>
                <w:rFonts w:cstheme="minorHAnsi"/>
                <w:sz w:val="20"/>
                <w:szCs w:val="20"/>
              </w:rPr>
            </w:pPr>
            <w:r w:rsidRPr="0087485F">
              <w:rPr>
                <w:rFonts w:cstheme="minorHAnsi"/>
                <w:sz w:val="20"/>
                <w:szCs w:val="20"/>
              </w:rPr>
              <w:t xml:space="preserve">Total </w:t>
            </w:r>
            <w:r w:rsidR="00D907AF" w:rsidRPr="0087485F">
              <w:rPr>
                <w:rFonts w:cstheme="minorHAnsi"/>
                <w:sz w:val="20"/>
                <w:szCs w:val="20"/>
              </w:rPr>
              <w:t>%</w:t>
            </w:r>
          </w:p>
        </w:tc>
      </w:tr>
      <w:tr w:rsidR="00D907AF" w:rsidRPr="0087485F" w:rsidTr="00304963">
        <w:tc>
          <w:tcPr>
            <w:tcW w:w="4361"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$1 - $9,999 ($1 - $379 per fortnight)</w:t>
            </w:r>
          </w:p>
        </w:tc>
        <w:tc>
          <w:tcPr>
            <w:tcW w:w="567"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18</w:t>
            </w:r>
          </w:p>
        </w:tc>
        <w:tc>
          <w:tcPr>
            <w:tcW w:w="709"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2.3</w:t>
            </w:r>
          </w:p>
        </w:tc>
        <w:tc>
          <w:tcPr>
            <w:tcW w:w="992" w:type="dxa"/>
            <w:shd w:val="clear" w:color="auto" w:fill="auto"/>
            <w:vAlign w:val="center"/>
          </w:tcPr>
          <w:p w:rsidR="00D907AF" w:rsidRPr="0087485F" w:rsidRDefault="00D907AF" w:rsidP="000C35DF">
            <w:pPr>
              <w:spacing w:before="20" w:after="20"/>
              <w:ind w:right="170"/>
              <w:jc w:val="right"/>
              <w:rPr>
                <w:rFonts w:cstheme="minorHAnsi"/>
                <w:color w:val="000000"/>
                <w:sz w:val="20"/>
                <w:szCs w:val="20"/>
              </w:rPr>
            </w:pPr>
            <w:r w:rsidRPr="0087485F">
              <w:rPr>
                <w:rFonts w:cstheme="minorHAnsi"/>
                <w:color w:val="000000"/>
                <w:sz w:val="20"/>
                <w:szCs w:val="20"/>
              </w:rPr>
              <w:t>20</w:t>
            </w:r>
          </w:p>
        </w:tc>
        <w:tc>
          <w:tcPr>
            <w:tcW w:w="1134" w:type="dxa"/>
            <w:shd w:val="clear" w:color="auto" w:fill="auto"/>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2.2</w:t>
            </w:r>
          </w:p>
        </w:tc>
        <w:tc>
          <w:tcPr>
            <w:tcW w:w="709"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38</w:t>
            </w:r>
          </w:p>
        </w:tc>
        <w:tc>
          <w:tcPr>
            <w:tcW w:w="708"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2.2</w:t>
            </w:r>
          </w:p>
        </w:tc>
      </w:tr>
      <w:tr w:rsidR="00D907AF" w:rsidRPr="0087485F" w:rsidTr="00304963">
        <w:tc>
          <w:tcPr>
            <w:tcW w:w="4361"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$10,000 - $19,999 ($380 - $759 per fortnight)</w:t>
            </w:r>
          </w:p>
        </w:tc>
        <w:tc>
          <w:tcPr>
            <w:tcW w:w="567"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54</w:t>
            </w:r>
          </w:p>
        </w:tc>
        <w:tc>
          <w:tcPr>
            <w:tcW w:w="709"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6.7</w:t>
            </w:r>
          </w:p>
        </w:tc>
        <w:tc>
          <w:tcPr>
            <w:tcW w:w="992" w:type="dxa"/>
            <w:shd w:val="clear" w:color="auto" w:fill="auto"/>
            <w:vAlign w:val="center"/>
          </w:tcPr>
          <w:p w:rsidR="00D907AF" w:rsidRPr="0087485F" w:rsidRDefault="00D907AF" w:rsidP="000C35DF">
            <w:pPr>
              <w:spacing w:before="20" w:after="20"/>
              <w:ind w:right="170"/>
              <w:jc w:val="right"/>
              <w:rPr>
                <w:rFonts w:cstheme="minorHAnsi"/>
                <w:color w:val="000000"/>
                <w:sz w:val="20"/>
                <w:szCs w:val="20"/>
              </w:rPr>
            </w:pPr>
            <w:r w:rsidRPr="0087485F">
              <w:rPr>
                <w:rFonts w:cstheme="minorHAnsi"/>
                <w:color w:val="000000"/>
                <w:sz w:val="20"/>
                <w:szCs w:val="20"/>
              </w:rPr>
              <w:t>84</w:t>
            </w:r>
          </w:p>
        </w:tc>
        <w:tc>
          <w:tcPr>
            <w:tcW w:w="1134" w:type="dxa"/>
            <w:shd w:val="clear" w:color="auto" w:fill="auto"/>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9.2</w:t>
            </w:r>
          </w:p>
        </w:tc>
        <w:tc>
          <w:tcPr>
            <w:tcW w:w="709"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138</w:t>
            </w:r>
          </w:p>
        </w:tc>
        <w:tc>
          <w:tcPr>
            <w:tcW w:w="708"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8.0</w:t>
            </w:r>
          </w:p>
        </w:tc>
      </w:tr>
      <w:tr w:rsidR="00D907AF" w:rsidRPr="0087485F" w:rsidTr="00304963">
        <w:tc>
          <w:tcPr>
            <w:tcW w:w="4361"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$20,000 - $29,999 ($760 - $1159 per fortnight)</w:t>
            </w:r>
          </w:p>
        </w:tc>
        <w:tc>
          <w:tcPr>
            <w:tcW w:w="567"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99</w:t>
            </w:r>
          </w:p>
        </w:tc>
        <w:tc>
          <w:tcPr>
            <w:tcW w:w="709"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12.4</w:t>
            </w:r>
          </w:p>
        </w:tc>
        <w:tc>
          <w:tcPr>
            <w:tcW w:w="992" w:type="dxa"/>
            <w:shd w:val="clear" w:color="auto" w:fill="auto"/>
            <w:vAlign w:val="center"/>
          </w:tcPr>
          <w:p w:rsidR="00D907AF" w:rsidRPr="0087485F" w:rsidRDefault="00D907AF" w:rsidP="000C35DF">
            <w:pPr>
              <w:spacing w:before="20" w:after="20"/>
              <w:ind w:right="170"/>
              <w:jc w:val="right"/>
              <w:rPr>
                <w:rFonts w:cstheme="minorHAnsi"/>
                <w:color w:val="000000"/>
                <w:sz w:val="20"/>
                <w:szCs w:val="20"/>
              </w:rPr>
            </w:pPr>
            <w:r w:rsidRPr="0087485F">
              <w:rPr>
                <w:rFonts w:cstheme="minorHAnsi"/>
                <w:color w:val="000000"/>
                <w:sz w:val="20"/>
                <w:szCs w:val="20"/>
              </w:rPr>
              <w:t>131</w:t>
            </w:r>
          </w:p>
        </w:tc>
        <w:tc>
          <w:tcPr>
            <w:tcW w:w="1134" w:type="dxa"/>
            <w:shd w:val="clear" w:color="auto" w:fill="auto"/>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14.3</w:t>
            </w:r>
          </w:p>
        </w:tc>
        <w:tc>
          <w:tcPr>
            <w:tcW w:w="709"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230</w:t>
            </w:r>
          </w:p>
        </w:tc>
        <w:tc>
          <w:tcPr>
            <w:tcW w:w="708"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13.4</w:t>
            </w:r>
          </w:p>
        </w:tc>
      </w:tr>
      <w:tr w:rsidR="00D907AF" w:rsidRPr="0087485F" w:rsidTr="00304963">
        <w:tc>
          <w:tcPr>
            <w:tcW w:w="4361"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$30,000 - $39,999 ($1160 - $1539 per fortnight)</w:t>
            </w:r>
          </w:p>
        </w:tc>
        <w:tc>
          <w:tcPr>
            <w:tcW w:w="567"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68</w:t>
            </w:r>
          </w:p>
        </w:tc>
        <w:tc>
          <w:tcPr>
            <w:tcW w:w="709"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8.5</w:t>
            </w:r>
          </w:p>
        </w:tc>
        <w:tc>
          <w:tcPr>
            <w:tcW w:w="992" w:type="dxa"/>
            <w:shd w:val="clear" w:color="auto" w:fill="auto"/>
            <w:vAlign w:val="center"/>
          </w:tcPr>
          <w:p w:rsidR="00D907AF" w:rsidRPr="0087485F" w:rsidRDefault="00D907AF" w:rsidP="000C35DF">
            <w:pPr>
              <w:spacing w:before="20" w:after="20"/>
              <w:ind w:right="170"/>
              <w:jc w:val="right"/>
              <w:rPr>
                <w:rFonts w:cstheme="minorHAnsi"/>
                <w:color w:val="000000"/>
                <w:sz w:val="20"/>
                <w:szCs w:val="20"/>
              </w:rPr>
            </w:pPr>
            <w:r w:rsidRPr="0087485F">
              <w:rPr>
                <w:rFonts w:cstheme="minorHAnsi"/>
                <w:color w:val="000000"/>
                <w:sz w:val="20"/>
                <w:szCs w:val="20"/>
              </w:rPr>
              <w:t>90</w:t>
            </w:r>
          </w:p>
        </w:tc>
        <w:tc>
          <w:tcPr>
            <w:tcW w:w="1134" w:type="dxa"/>
            <w:shd w:val="clear" w:color="auto" w:fill="auto"/>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9.8</w:t>
            </w:r>
          </w:p>
        </w:tc>
        <w:tc>
          <w:tcPr>
            <w:tcW w:w="709"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158</w:t>
            </w:r>
          </w:p>
        </w:tc>
        <w:tc>
          <w:tcPr>
            <w:tcW w:w="708"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9.2</w:t>
            </w:r>
          </w:p>
        </w:tc>
      </w:tr>
      <w:tr w:rsidR="00D907AF" w:rsidRPr="0087485F" w:rsidTr="00304963">
        <w:tc>
          <w:tcPr>
            <w:tcW w:w="4361"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$40,000 - $49,999 ($1540 - $1919 per fortnight)</w:t>
            </w:r>
          </w:p>
        </w:tc>
        <w:tc>
          <w:tcPr>
            <w:tcW w:w="567"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58</w:t>
            </w:r>
          </w:p>
        </w:tc>
        <w:tc>
          <w:tcPr>
            <w:tcW w:w="709"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7.2</w:t>
            </w:r>
          </w:p>
        </w:tc>
        <w:tc>
          <w:tcPr>
            <w:tcW w:w="992" w:type="dxa"/>
            <w:shd w:val="clear" w:color="auto" w:fill="auto"/>
            <w:vAlign w:val="center"/>
          </w:tcPr>
          <w:p w:rsidR="00D907AF" w:rsidRPr="0087485F" w:rsidRDefault="00D907AF" w:rsidP="000C35DF">
            <w:pPr>
              <w:spacing w:before="20" w:after="20"/>
              <w:ind w:right="170"/>
              <w:jc w:val="right"/>
              <w:rPr>
                <w:rFonts w:cstheme="minorHAnsi"/>
                <w:color w:val="000000"/>
                <w:sz w:val="20"/>
                <w:szCs w:val="20"/>
              </w:rPr>
            </w:pPr>
            <w:r w:rsidRPr="0087485F">
              <w:rPr>
                <w:rFonts w:cstheme="minorHAnsi"/>
                <w:color w:val="000000"/>
                <w:sz w:val="20"/>
                <w:szCs w:val="20"/>
              </w:rPr>
              <w:t>65</w:t>
            </w:r>
          </w:p>
        </w:tc>
        <w:tc>
          <w:tcPr>
            <w:tcW w:w="1134" w:type="dxa"/>
            <w:shd w:val="clear" w:color="auto" w:fill="auto"/>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7.1</w:t>
            </w:r>
          </w:p>
        </w:tc>
        <w:tc>
          <w:tcPr>
            <w:tcW w:w="709"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123</w:t>
            </w:r>
          </w:p>
        </w:tc>
        <w:tc>
          <w:tcPr>
            <w:tcW w:w="708"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7.2</w:t>
            </w:r>
          </w:p>
        </w:tc>
      </w:tr>
      <w:tr w:rsidR="00D907AF" w:rsidRPr="0087485F" w:rsidTr="00304963">
        <w:tc>
          <w:tcPr>
            <w:tcW w:w="4361"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$50,000 - $59,999 ($1920 - $2299 per fortnight)</w:t>
            </w:r>
          </w:p>
        </w:tc>
        <w:tc>
          <w:tcPr>
            <w:tcW w:w="567"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65</w:t>
            </w:r>
          </w:p>
        </w:tc>
        <w:tc>
          <w:tcPr>
            <w:tcW w:w="709"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8.1</w:t>
            </w:r>
          </w:p>
        </w:tc>
        <w:tc>
          <w:tcPr>
            <w:tcW w:w="992" w:type="dxa"/>
            <w:shd w:val="clear" w:color="auto" w:fill="auto"/>
            <w:vAlign w:val="center"/>
          </w:tcPr>
          <w:p w:rsidR="00D907AF" w:rsidRPr="0087485F" w:rsidRDefault="00D907AF" w:rsidP="000C35DF">
            <w:pPr>
              <w:spacing w:before="20" w:after="20"/>
              <w:ind w:right="170"/>
              <w:jc w:val="right"/>
              <w:rPr>
                <w:rFonts w:cstheme="minorHAnsi"/>
                <w:color w:val="000000"/>
                <w:sz w:val="20"/>
                <w:szCs w:val="20"/>
              </w:rPr>
            </w:pPr>
            <w:r w:rsidRPr="0087485F">
              <w:rPr>
                <w:rFonts w:cstheme="minorHAnsi"/>
                <w:color w:val="000000"/>
                <w:sz w:val="20"/>
                <w:szCs w:val="20"/>
              </w:rPr>
              <w:t>47</w:t>
            </w:r>
          </w:p>
        </w:tc>
        <w:tc>
          <w:tcPr>
            <w:tcW w:w="1134" w:type="dxa"/>
            <w:shd w:val="clear" w:color="auto" w:fill="auto"/>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5.1</w:t>
            </w:r>
          </w:p>
        </w:tc>
        <w:tc>
          <w:tcPr>
            <w:tcW w:w="709"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112</w:t>
            </w:r>
          </w:p>
        </w:tc>
        <w:tc>
          <w:tcPr>
            <w:tcW w:w="708"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6.5</w:t>
            </w:r>
          </w:p>
        </w:tc>
      </w:tr>
      <w:tr w:rsidR="00D907AF" w:rsidRPr="0087485F" w:rsidTr="00304963">
        <w:tc>
          <w:tcPr>
            <w:tcW w:w="4361"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$60,000 - $79,999 ($2300 - $3059 per fortnight)</w:t>
            </w:r>
          </w:p>
        </w:tc>
        <w:tc>
          <w:tcPr>
            <w:tcW w:w="567"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72</w:t>
            </w:r>
          </w:p>
        </w:tc>
        <w:tc>
          <w:tcPr>
            <w:tcW w:w="709"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9.0</w:t>
            </w:r>
          </w:p>
        </w:tc>
        <w:tc>
          <w:tcPr>
            <w:tcW w:w="992" w:type="dxa"/>
            <w:shd w:val="clear" w:color="auto" w:fill="auto"/>
            <w:vAlign w:val="center"/>
          </w:tcPr>
          <w:p w:rsidR="00D907AF" w:rsidRPr="0087485F" w:rsidRDefault="00D907AF" w:rsidP="000C35DF">
            <w:pPr>
              <w:spacing w:before="20" w:after="20"/>
              <w:ind w:right="170"/>
              <w:jc w:val="right"/>
              <w:rPr>
                <w:rFonts w:cstheme="minorHAnsi"/>
                <w:color w:val="000000"/>
                <w:sz w:val="20"/>
                <w:szCs w:val="20"/>
              </w:rPr>
            </w:pPr>
            <w:r w:rsidRPr="0087485F">
              <w:rPr>
                <w:rFonts w:cstheme="minorHAnsi"/>
                <w:color w:val="000000"/>
                <w:sz w:val="20"/>
                <w:szCs w:val="20"/>
              </w:rPr>
              <w:t>105</w:t>
            </w:r>
          </w:p>
        </w:tc>
        <w:tc>
          <w:tcPr>
            <w:tcW w:w="1134" w:type="dxa"/>
            <w:shd w:val="clear" w:color="auto" w:fill="auto"/>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11.5</w:t>
            </w:r>
          </w:p>
        </w:tc>
        <w:tc>
          <w:tcPr>
            <w:tcW w:w="709"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177</w:t>
            </w:r>
          </w:p>
        </w:tc>
        <w:tc>
          <w:tcPr>
            <w:tcW w:w="708"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10.3</w:t>
            </w:r>
          </w:p>
        </w:tc>
      </w:tr>
      <w:tr w:rsidR="00D907AF" w:rsidRPr="0087485F" w:rsidTr="00304963">
        <w:tc>
          <w:tcPr>
            <w:tcW w:w="4361"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$80,000 - $99,999 ($3060 - $</w:t>
            </w:r>
            <w:r>
              <w:rPr>
                <w:rFonts w:cstheme="minorHAnsi"/>
                <w:sz w:val="20"/>
                <w:szCs w:val="20"/>
              </w:rPr>
              <w:t>3</w:t>
            </w:r>
            <w:r w:rsidRPr="0087485F">
              <w:rPr>
                <w:rFonts w:cstheme="minorHAnsi"/>
                <w:sz w:val="20"/>
                <w:szCs w:val="20"/>
              </w:rPr>
              <w:t>839 per fortnight)</w:t>
            </w:r>
          </w:p>
        </w:tc>
        <w:tc>
          <w:tcPr>
            <w:tcW w:w="567"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78</w:t>
            </w:r>
          </w:p>
        </w:tc>
        <w:tc>
          <w:tcPr>
            <w:tcW w:w="709"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9.7</w:t>
            </w:r>
          </w:p>
        </w:tc>
        <w:tc>
          <w:tcPr>
            <w:tcW w:w="992" w:type="dxa"/>
            <w:shd w:val="clear" w:color="auto" w:fill="auto"/>
            <w:vAlign w:val="center"/>
          </w:tcPr>
          <w:p w:rsidR="00D907AF" w:rsidRPr="0087485F" w:rsidRDefault="00D907AF" w:rsidP="000C35DF">
            <w:pPr>
              <w:spacing w:before="20" w:after="20"/>
              <w:ind w:right="170"/>
              <w:jc w:val="right"/>
              <w:rPr>
                <w:rFonts w:cstheme="minorHAnsi"/>
                <w:color w:val="000000"/>
                <w:sz w:val="20"/>
                <w:szCs w:val="20"/>
              </w:rPr>
            </w:pPr>
            <w:r w:rsidRPr="0087485F">
              <w:rPr>
                <w:rFonts w:cstheme="minorHAnsi"/>
                <w:color w:val="000000"/>
                <w:sz w:val="20"/>
                <w:szCs w:val="20"/>
              </w:rPr>
              <w:t>71</w:t>
            </w:r>
          </w:p>
        </w:tc>
        <w:tc>
          <w:tcPr>
            <w:tcW w:w="1134" w:type="dxa"/>
            <w:shd w:val="clear" w:color="auto" w:fill="auto"/>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7.8</w:t>
            </w:r>
          </w:p>
        </w:tc>
        <w:tc>
          <w:tcPr>
            <w:tcW w:w="709"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149</w:t>
            </w:r>
          </w:p>
        </w:tc>
        <w:tc>
          <w:tcPr>
            <w:tcW w:w="708"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8.7</w:t>
            </w:r>
          </w:p>
        </w:tc>
      </w:tr>
      <w:tr w:rsidR="00D907AF" w:rsidRPr="0087485F" w:rsidTr="00304963">
        <w:tc>
          <w:tcPr>
            <w:tcW w:w="4361"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$100,000 - $124,999 ($3840 - $4799 per fortnight)</w:t>
            </w:r>
          </w:p>
        </w:tc>
        <w:tc>
          <w:tcPr>
            <w:tcW w:w="567"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54</w:t>
            </w:r>
          </w:p>
        </w:tc>
        <w:tc>
          <w:tcPr>
            <w:tcW w:w="709"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6.7</w:t>
            </w:r>
          </w:p>
        </w:tc>
        <w:tc>
          <w:tcPr>
            <w:tcW w:w="992" w:type="dxa"/>
            <w:shd w:val="clear" w:color="auto" w:fill="auto"/>
            <w:vAlign w:val="center"/>
          </w:tcPr>
          <w:p w:rsidR="00D907AF" w:rsidRPr="0087485F" w:rsidRDefault="00D907AF" w:rsidP="000C35DF">
            <w:pPr>
              <w:spacing w:before="20" w:after="20"/>
              <w:ind w:right="170"/>
              <w:jc w:val="right"/>
              <w:rPr>
                <w:rFonts w:cstheme="minorHAnsi"/>
                <w:color w:val="000000"/>
                <w:sz w:val="20"/>
                <w:szCs w:val="20"/>
              </w:rPr>
            </w:pPr>
            <w:r w:rsidRPr="0087485F">
              <w:rPr>
                <w:rFonts w:cstheme="minorHAnsi"/>
                <w:color w:val="000000"/>
                <w:sz w:val="20"/>
                <w:szCs w:val="20"/>
              </w:rPr>
              <w:t>51</w:t>
            </w:r>
          </w:p>
        </w:tc>
        <w:tc>
          <w:tcPr>
            <w:tcW w:w="1134" w:type="dxa"/>
            <w:shd w:val="clear" w:color="auto" w:fill="auto"/>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5.6</w:t>
            </w:r>
          </w:p>
        </w:tc>
        <w:tc>
          <w:tcPr>
            <w:tcW w:w="709"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105</w:t>
            </w:r>
          </w:p>
        </w:tc>
        <w:tc>
          <w:tcPr>
            <w:tcW w:w="708"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6.1</w:t>
            </w:r>
          </w:p>
        </w:tc>
      </w:tr>
      <w:tr w:rsidR="00D907AF" w:rsidRPr="0087485F" w:rsidTr="00304963">
        <w:tc>
          <w:tcPr>
            <w:tcW w:w="4361"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$125,000 - $149,999 ($4800 - $5759 per fortnight)</w:t>
            </w:r>
          </w:p>
        </w:tc>
        <w:tc>
          <w:tcPr>
            <w:tcW w:w="567"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40</w:t>
            </w:r>
          </w:p>
        </w:tc>
        <w:tc>
          <w:tcPr>
            <w:tcW w:w="709"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5.0</w:t>
            </w:r>
          </w:p>
        </w:tc>
        <w:tc>
          <w:tcPr>
            <w:tcW w:w="992" w:type="dxa"/>
            <w:shd w:val="clear" w:color="auto" w:fill="auto"/>
            <w:vAlign w:val="center"/>
          </w:tcPr>
          <w:p w:rsidR="00D907AF" w:rsidRPr="0087485F" w:rsidRDefault="00D907AF" w:rsidP="000C35DF">
            <w:pPr>
              <w:spacing w:before="20" w:after="20"/>
              <w:ind w:right="170"/>
              <w:jc w:val="right"/>
              <w:rPr>
                <w:rFonts w:cstheme="minorHAnsi"/>
                <w:color w:val="000000"/>
                <w:sz w:val="20"/>
                <w:szCs w:val="20"/>
              </w:rPr>
            </w:pPr>
            <w:r w:rsidRPr="0087485F">
              <w:rPr>
                <w:rFonts w:cstheme="minorHAnsi"/>
                <w:color w:val="000000"/>
                <w:sz w:val="20"/>
                <w:szCs w:val="20"/>
              </w:rPr>
              <w:t>32</w:t>
            </w:r>
          </w:p>
        </w:tc>
        <w:tc>
          <w:tcPr>
            <w:tcW w:w="1134" w:type="dxa"/>
            <w:shd w:val="clear" w:color="auto" w:fill="auto"/>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3.5</w:t>
            </w:r>
          </w:p>
        </w:tc>
        <w:tc>
          <w:tcPr>
            <w:tcW w:w="709"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72</w:t>
            </w:r>
          </w:p>
        </w:tc>
        <w:tc>
          <w:tcPr>
            <w:tcW w:w="708"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4.2</w:t>
            </w:r>
          </w:p>
        </w:tc>
      </w:tr>
      <w:tr w:rsidR="00D907AF" w:rsidRPr="0087485F" w:rsidTr="00304963">
        <w:tc>
          <w:tcPr>
            <w:tcW w:w="4361" w:type="dxa"/>
          </w:tcPr>
          <w:p w:rsidR="00D907AF" w:rsidRPr="0087485F" w:rsidRDefault="00D907AF" w:rsidP="00D907AF">
            <w:pPr>
              <w:spacing w:before="20" w:after="20"/>
              <w:rPr>
                <w:rFonts w:cstheme="minorHAnsi"/>
                <w:sz w:val="20"/>
                <w:szCs w:val="20"/>
              </w:rPr>
            </w:pPr>
            <w:r w:rsidRPr="0087485F">
              <w:rPr>
                <w:rFonts w:cstheme="minorHAnsi"/>
                <w:sz w:val="20"/>
                <w:szCs w:val="20"/>
              </w:rPr>
              <w:t>$150,000 or more ($5760 or more per fortnight)</w:t>
            </w:r>
          </w:p>
        </w:tc>
        <w:tc>
          <w:tcPr>
            <w:tcW w:w="567" w:type="dxa"/>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38</w:t>
            </w:r>
          </w:p>
        </w:tc>
        <w:tc>
          <w:tcPr>
            <w:tcW w:w="709" w:type="dxa"/>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4.7</w:t>
            </w:r>
          </w:p>
        </w:tc>
        <w:tc>
          <w:tcPr>
            <w:tcW w:w="992" w:type="dxa"/>
          </w:tcPr>
          <w:p w:rsidR="00D907AF" w:rsidRPr="0087485F" w:rsidRDefault="00D907AF" w:rsidP="000C35DF">
            <w:pPr>
              <w:spacing w:before="20" w:after="20"/>
              <w:ind w:right="170"/>
              <w:jc w:val="right"/>
              <w:rPr>
                <w:rFonts w:cstheme="minorHAnsi"/>
                <w:color w:val="000000"/>
                <w:sz w:val="20"/>
                <w:szCs w:val="20"/>
              </w:rPr>
            </w:pPr>
            <w:r w:rsidRPr="0087485F">
              <w:rPr>
                <w:rFonts w:cstheme="minorHAnsi"/>
                <w:color w:val="000000"/>
                <w:sz w:val="20"/>
                <w:szCs w:val="20"/>
              </w:rPr>
              <w:t>42</w:t>
            </w:r>
          </w:p>
        </w:tc>
        <w:tc>
          <w:tcPr>
            <w:tcW w:w="1134" w:type="dxa"/>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4.6</w:t>
            </w:r>
          </w:p>
        </w:tc>
        <w:tc>
          <w:tcPr>
            <w:tcW w:w="709" w:type="dxa"/>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80</w:t>
            </w:r>
          </w:p>
        </w:tc>
        <w:tc>
          <w:tcPr>
            <w:tcW w:w="708" w:type="dxa"/>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4.7</w:t>
            </w:r>
          </w:p>
        </w:tc>
      </w:tr>
      <w:tr w:rsidR="00D907AF" w:rsidRPr="0087485F" w:rsidTr="00304963">
        <w:tc>
          <w:tcPr>
            <w:tcW w:w="4361" w:type="dxa"/>
          </w:tcPr>
          <w:p w:rsidR="00D907AF" w:rsidRPr="0087485F" w:rsidRDefault="00D907AF" w:rsidP="00D907AF">
            <w:pPr>
              <w:spacing w:before="20" w:after="20"/>
              <w:rPr>
                <w:rFonts w:cstheme="minorHAnsi"/>
                <w:sz w:val="20"/>
                <w:szCs w:val="20"/>
              </w:rPr>
            </w:pPr>
            <w:r w:rsidRPr="0087485F">
              <w:rPr>
                <w:rFonts w:cstheme="minorHAnsi"/>
                <w:sz w:val="20"/>
                <w:szCs w:val="20"/>
              </w:rPr>
              <w:t>Don’t know</w:t>
            </w:r>
          </w:p>
        </w:tc>
        <w:tc>
          <w:tcPr>
            <w:tcW w:w="567" w:type="dxa"/>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157</w:t>
            </w:r>
          </w:p>
        </w:tc>
        <w:tc>
          <w:tcPr>
            <w:tcW w:w="709" w:type="dxa"/>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19.6</w:t>
            </w:r>
          </w:p>
        </w:tc>
        <w:tc>
          <w:tcPr>
            <w:tcW w:w="992" w:type="dxa"/>
          </w:tcPr>
          <w:p w:rsidR="00D907AF" w:rsidRPr="0087485F" w:rsidRDefault="00D907AF" w:rsidP="000C35DF">
            <w:pPr>
              <w:spacing w:before="20" w:after="20"/>
              <w:ind w:right="170"/>
              <w:jc w:val="right"/>
              <w:rPr>
                <w:rFonts w:cstheme="minorHAnsi"/>
                <w:color w:val="000000"/>
                <w:sz w:val="20"/>
                <w:szCs w:val="20"/>
              </w:rPr>
            </w:pPr>
            <w:r w:rsidRPr="0087485F">
              <w:rPr>
                <w:rFonts w:cstheme="minorHAnsi"/>
                <w:color w:val="000000"/>
                <w:sz w:val="20"/>
                <w:szCs w:val="20"/>
              </w:rPr>
              <w:t>177</w:t>
            </w:r>
          </w:p>
        </w:tc>
        <w:tc>
          <w:tcPr>
            <w:tcW w:w="1134" w:type="dxa"/>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19.3</w:t>
            </w:r>
          </w:p>
        </w:tc>
        <w:tc>
          <w:tcPr>
            <w:tcW w:w="709" w:type="dxa"/>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334</w:t>
            </w:r>
          </w:p>
        </w:tc>
        <w:tc>
          <w:tcPr>
            <w:tcW w:w="708" w:type="dxa"/>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19.5</w:t>
            </w:r>
          </w:p>
        </w:tc>
      </w:tr>
      <w:tr w:rsidR="00D907AF" w:rsidRPr="0087485F" w:rsidTr="00304963">
        <w:tc>
          <w:tcPr>
            <w:tcW w:w="4361" w:type="dxa"/>
            <w:tcBorders>
              <w:top w:val="single" w:sz="4" w:space="0" w:color="auto"/>
              <w:bottom w:val="single" w:sz="4" w:space="0" w:color="auto"/>
            </w:tcBorders>
            <w:shd w:val="clear" w:color="auto" w:fill="auto"/>
          </w:tcPr>
          <w:p w:rsidR="00D907AF" w:rsidRPr="0087485F" w:rsidRDefault="00D907AF" w:rsidP="00D907AF">
            <w:pPr>
              <w:spacing w:before="20" w:after="20"/>
              <w:rPr>
                <w:rFonts w:cstheme="minorHAnsi"/>
                <w:b/>
                <w:sz w:val="20"/>
                <w:szCs w:val="20"/>
              </w:rPr>
            </w:pPr>
            <w:r w:rsidRPr="0087485F">
              <w:rPr>
                <w:rFonts w:cstheme="minorHAnsi"/>
                <w:b/>
                <w:sz w:val="20"/>
                <w:szCs w:val="20"/>
              </w:rPr>
              <w:t>Total</w:t>
            </w:r>
          </w:p>
        </w:tc>
        <w:tc>
          <w:tcPr>
            <w:tcW w:w="567" w:type="dxa"/>
            <w:tcBorders>
              <w:top w:val="single" w:sz="4" w:space="0" w:color="auto"/>
              <w:bottom w:val="single" w:sz="4" w:space="0" w:color="auto"/>
            </w:tcBorders>
            <w:shd w:val="clear" w:color="auto" w:fill="auto"/>
            <w:vAlign w:val="center"/>
          </w:tcPr>
          <w:p w:rsidR="00D907AF" w:rsidRPr="0087485F" w:rsidRDefault="00D907AF" w:rsidP="00D907AF">
            <w:pPr>
              <w:spacing w:before="20" w:after="20"/>
              <w:jc w:val="right"/>
              <w:rPr>
                <w:rFonts w:cstheme="minorHAnsi"/>
                <w:b/>
                <w:color w:val="000000"/>
                <w:sz w:val="20"/>
                <w:szCs w:val="20"/>
              </w:rPr>
            </w:pPr>
            <w:r w:rsidRPr="0087485F">
              <w:rPr>
                <w:rFonts w:cstheme="minorHAnsi"/>
                <w:b/>
                <w:color w:val="000000"/>
                <w:sz w:val="20"/>
                <w:szCs w:val="20"/>
              </w:rPr>
              <w:t>801</w:t>
            </w:r>
          </w:p>
        </w:tc>
        <w:tc>
          <w:tcPr>
            <w:tcW w:w="709" w:type="dxa"/>
            <w:tcBorders>
              <w:top w:val="single" w:sz="4" w:space="0" w:color="auto"/>
              <w:bottom w:val="single" w:sz="4" w:space="0" w:color="auto"/>
            </w:tcBorders>
            <w:shd w:val="clear" w:color="auto" w:fill="auto"/>
            <w:vAlign w:val="center"/>
          </w:tcPr>
          <w:p w:rsidR="00D907AF" w:rsidRPr="0087485F" w:rsidRDefault="00D907AF" w:rsidP="00D907AF">
            <w:pPr>
              <w:spacing w:before="20" w:after="20"/>
              <w:jc w:val="right"/>
              <w:rPr>
                <w:rFonts w:cstheme="minorHAnsi"/>
                <w:b/>
                <w:color w:val="000000"/>
                <w:sz w:val="20"/>
                <w:szCs w:val="20"/>
              </w:rPr>
            </w:pPr>
            <w:r w:rsidRPr="0087485F">
              <w:rPr>
                <w:rFonts w:cstheme="minorHAnsi"/>
                <w:b/>
                <w:color w:val="000000"/>
                <w:sz w:val="20"/>
                <w:szCs w:val="20"/>
              </w:rPr>
              <w:t>100</w:t>
            </w:r>
          </w:p>
        </w:tc>
        <w:tc>
          <w:tcPr>
            <w:tcW w:w="992" w:type="dxa"/>
            <w:tcBorders>
              <w:top w:val="single" w:sz="4" w:space="0" w:color="auto"/>
              <w:bottom w:val="single" w:sz="4" w:space="0" w:color="auto"/>
            </w:tcBorders>
            <w:shd w:val="clear" w:color="auto" w:fill="auto"/>
            <w:vAlign w:val="center"/>
          </w:tcPr>
          <w:p w:rsidR="00D907AF" w:rsidRPr="0087485F" w:rsidRDefault="00D907AF" w:rsidP="000C35DF">
            <w:pPr>
              <w:spacing w:before="20" w:after="20"/>
              <w:ind w:right="170"/>
              <w:jc w:val="right"/>
              <w:rPr>
                <w:rFonts w:cstheme="minorHAnsi"/>
                <w:b/>
                <w:color w:val="000000"/>
                <w:sz w:val="20"/>
                <w:szCs w:val="20"/>
              </w:rPr>
            </w:pPr>
            <w:r w:rsidRPr="0087485F">
              <w:rPr>
                <w:rFonts w:cstheme="minorHAnsi"/>
                <w:b/>
                <w:color w:val="000000"/>
                <w:sz w:val="20"/>
                <w:szCs w:val="20"/>
              </w:rPr>
              <w:t>915</w:t>
            </w:r>
          </w:p>
        </w:tc>
        <w:tc>
          <w:tcPr>
            <w:tcW w:w="1134" w:type="dxa"/>
            <w:tcBorders>
              <w:top w:val="single" w:sz="4" w:space="0" w:color="auto"/>
              <w:bottom w:val="single" w:sz="4" w:space="0" w:color="auto"/>
            </w:tcBorders>
            <w:shd w:val="clear" w:color="auto" w:fill="auto"/>
            <w:vAlign w:val="center"/>
          </w:tcPr>
          <w:p w:rsidR="00D907AF" w:rsidRPr="000C35DF" w:rsidRDefault="00D907AF" w:rsidP="00AA3C18">
            <w:pPr>
              <w:spacing w:before="20" w:after="20"/>
              <w:ind w:right="227"/>
              <w:jc w:val="right"/>
              <w:rPr>
                <w:rFonts w:cstheme="minorHAnsi"/>
                <w:b/>
                <w:color w:val="000000"/>
                <w:sz w:val="20"/>
                <w:szCs w:val="20"/>
              </w:rPr>
            </w:pPr>
            <w:r w:rsidRPr="000C35DF">
              <w:rPr>
                <w:rFonts w:cstheme="minorHAnsi"/>
                <w:b/>
                <w:color w:val="000000"/>
                <w:sz w:val="20"/>
                <w:szCs w:val="20"/>
              </w:rPr>
              <w:t>100</w:t>
            </w:r>
          </w:p>
        </w:tc>
        <w:tc>
          <w:tcPr>
            <w:tcW w:w="709" w:type="dxa"/>
            <w:tcBorders>
              <w:top w:val="single" w:sz="4" w:space="0" w:color="auto"/>
              <w:bottom w:val="single" w:sz="4" w:space="0" w:color="auto"/>
            </w:tcBorders>
            <w:shd w:val="clear" w:color="auto" w:fill="auto"/>
            <w:vAlign w:val="center"/>
          </w:tcPr>
          <w:p w:rsidR="00D907AF" w:rsidRPr="0087485F" w:rsidRDefault="00D907AF" w:rsidP="00D907AF">
            <w:pPr>
              <w:spacing w:before="20" w:after="20"/>
              <w:jc w:val="right"/>
              <w:rPr>
                <w:rFonts w:cstheme="minorHAnsi"/>
                <w:b/>
                <w:color w:val="000000"/>
                <w:sz w:val="20"/>
                <w:szCs w:val="20"/>
              </w:rPr>
            </w:pPr>
            <w:r w:rsidRPr="0087485F">
              <w:rPr>
                <w:rFonts w:cstheme="minorHAnsi"/>
                <w:b/>
                <w:color w:val="000000"/>
                <w:sz w:val="20"/>
                <w:szCs w:val="20"/>
              </w:rPr>
              <w:t>1</w:t>
            </w:r>
            <w:r>
              <w:rPr>
                <w:rFonts w:cstheme="minorHAnsi"/>
                <w:b/>
                <w:color w:val="000000"/>
                <w:sz w:val="20"/>
                <w:szCs w:val="20"/>
              </w:rPr>
              <w:t>,</w:t>
            </w:r>
            <w:r w:rsidRPr="0087485F">
              <w:rPr>
                <w:rFonts w:cstheme="minorHAnsi"/>
                <w:b/>
                <w:color w:val="000000"/>
                <w:sz w:val="20"/>
                <w:szCs w:val="20"/>
              </w:rPr>
              <w:t>716</w:t>
            </w:r>
          </w:p>
        </w:tc>
        <w:tc>
          <w:tcPr>
            <w:tcW w:w="708" w:type="dxa"/>
            <w:tcBorders>
              <w:top w:val="single" w:sz="4" w:space="0" w:color="auto"/>
              <w:bottom w:val="single" w:sz="4" w:space="0" w:color="auto"/>
            </w:tcBorders>
            <w:shd w:val="clear" w:color="auto" w:fill="auto"/>
            <w:vAlign w:val="center"/>
          </w:tcPr>
          <w:p w:rsidR="00D907AF" w:rsidRPr="0087485F" w:rsidRDefault="00D907AF" w:rsidP="00D907AF">
            <w:pPr>
              <w:spacing w:before="20" w:after="20"/>
              <w:jc w:val="right"/>
              <w:rPr>
                <w:rFonts w:cstheme="minorHAnsi"/>
                <w:b/>
                <w:color w:val="000000"/>
                <w:sz w:val="20"/>
                <w:szCs w:val="20"/>
              </w:rPr>
            </w:pPr>
            <w:r w:rsidRPr="0087485F">
              <w:rPr>
                <w:rFonts w:cstheme="minorHAnsi"/>
                <w:b/>
                <w:color w:val="000000"/>
                <w:sz w:val="20"/>
                <w:szCs w:val="20"/>
              </w:rPr>
              <w:t>100</w:t>
            </w:r>
          </w:p>
        </w:tc>
      </w:tr>
    </w:tbl>
    <w:p w:rsidR="00D907AF" w:rsidRPr="00E852D5" w:rsidRDefault="00D907AF" w:rsidP="006C7BE7">
      <w:pPr>
        <w:pStyle w:val="NILSTabletext"/>
      </w:pPr>
      <w:r w:rsidRPr="00E852D5">
        <w:t xml:space="preserve">Note: </w:t>
      </w:r>
      <w:r>
        <w:t>trial and comparison all ages</w:t>
      </w:r>
    </w:p>
    <w:p w:rsidR="00E5752D" w:rsidRDefault="00E5752D">
      <w:pPr>
        <w:rPr>
          <w:rFonts w:eastAsia="Times" w:cstheme="minorHAnsi"/>
          <w:b/>
          <w:kern w:val="32"/>
          <w:sz w:val="24"/>
          <w:szCs w:val="28"/>
          <w:lang w:val="en-AU" w:eastAsia="zh-CN"/>
        </w:rPr>
      </w:pPr>
      <w:bookmarkStart w:id="318" w:name="_Toc428280643"/>
      <w:r>
        <w:br w:type="page"/>
      </w:r>
    </w:p>
    <w:p w:rsidR="00D907AF" w:rsidRPr="004D098E" w:rsidRDefault="00D907AF" w:rsidP="00367B24">
      <w:pPr>
        <w:pStyle w:val="Heading3"/>
      </w:pPr>
      <w:bookmarkStart w:id="319" w:name="_Toc449955015"/>
      <w:r>
        <w:lastRenderedPageBreak/>
        <w:t>3.6.9 Part B – Overview</w:t>
      </w:r>
      <w:bookmarkEnd w:id="318"/>
      <w:bookmarkEnd w:id="319"/>
    </w:p>
    <w:p w:rsidR="00D907AF" w:rsidRDefault="00D907AF" w:rsidP="00D907AF">
      <w:r>
        <w:t>In this section, we turn to presenting the preliminary findings from the early NDIS Survey responses to the second part of the survey, Part B. Whereas Part A described above collected factual information from survey respondents, Part B is concerned with opinions, perceptions and aspirations. Specifically, Part B is divided into six sections, recording:</w:t>
      </w:r>
    </w:p>
    <w:p w:rsidR="00D907AF" w:rsidRDefault="00D26992" w:rsidP="00D907AF">
      <w:pPr>
        <w:pStyle w:val="NILStextbulleted"/>
        <w:spacing w:before="120" w:after="60"/>
      </w:pPr>
      <w:r>
        <w:t>social participation and well</w:t>
      </w:r>
      <w:r w:rsidR="00D907AF">
        <w:t>being</w:t>
      </w:r>
    </w:p>
    <w:p w:rsidR="00D907AF" w:rsidRDefault="00D907AF" w:rsidP="00D907AF">
      <w:pPr>
        <w:pStyle w:val="NILStextbulleted"/>
        <w:spacing w:before="60" w:after="60"/>
      </w:pPr>
      <w:r>
        <w:t>education aspirations</w:t>
      </w:r>
    </w:p>
    <w:p w:rsidR="00D907AF" w:rsidRDefault="00D907AF" w:rsidP="00D907AF">
      <w:pPr>
        <w:pStyle w:val="NILStextbulleted"/>
        <w:spacing w:before="60" w:after="60"/>
      </w:pPr>
      <w:r>
        <w:t>employment aspirations</w:t>
      </w:r>
    </w:p>
    <w:p w:rsidR="00D907AF" w:rsidRDefault="00D907AF" w:rsidP="00D907AF">
      <w:pPr>
        <w:pStyle w:val="NILStextbulleted"/>
        <w:spacing w:before="60" w:after="60"/>
      </w:pPr>
      <w:r>
        <w:t>living and housing</w:t>
      </w:r>
    </w:p>
    <w:p w:rsidR="00D907AF" w:rsidRDefault="00D907AF" w:rsidP="00D907AF">
      <w:pPr>
        <w:pStyle w:val="NILStextbulleted"/>
        <w:spacing w:before="60" w:after="60"/>
      </w:pPr>
      <w:r>
        <w:t>past disability supports</w:t>
      </w:r>
    </w:p>
    <w:p w:rsidR="00D907AF" w:rsidRDefault="00D907AF" w:rsidP="00D907AF">
      <w:pPr>
        <w:pStyle w:val="NILStextbulleted"/>
        <w:spacing w:before="60" w:after="240"/>
      </w:pPr>
      <w:r>
        <w:t>disability supports, including in the NDIS.</w:t>
      </w:r>
    </w:p>
    <w:p w:rsidR="00D907AF" w:rsidRDefault="00D907AF" w:rsidP="00D907AF">
      <w:r>
        <w:t xml:space="preserve">Part B questions were not asked of the 502 children less than 8 years of age as they were deemed too young to take part personally in a survey. All remaining respondents were offered the option of answering the standard Part B </w:t>
      </w:r>
      <w:r w:rsidRPr="00491A04">
        <w:t>questionnaire 1,11</w:t>
      </w:r>
      <w:r>
        <w:t>2</w:t>
      </w:r>
      <w:r w:rsidRPr="00491A04">
        <w:t xml:space="preserve"> (79.8</w:t>
      </w:r>
      <w:r>
        <w:t xml:space="preserve"> per cent</w:t>
      </w:r>
      <w:r w:rsidRPr="00491A04">
        <w:t>)</w:t>
      </w:r>
      <w:r>
        <w:t xml:space="preserve"> </w:t>
      </w:r>
      <w:r w:rsidRPr="00491A04">
        <w:t>or the Easy English questionnaire 281 (20.2</w:t>
      </w:r>
      <w:r>
        <w:t xml:space="preserve"> per cent</w:t>
      </w:r>
      <w:r w:rsidRPr="00491A04">
        <w:t>)</w:t>
      </w:r>
      <w:r>
        <w:t xml:space="preserve">. </w:t>
      </w:r>
      <w:r w:rsidRPr="00B01305">
        <w:t>Th</w:t>
      </w:r>
      <w:r>
        <w:t>e</w:t>
      </w:r>
      <w:r w:rsidRPr="00B01305">
        <w:t xml:space="preserve"> section</w:t>
      </w:r>
      <w:r>
        <w:t xml:space="preserve"> below</w:t>
      </w:r>
      <w:r w:rsidRPr="00B01305">
        <w:t xml:space="preserve"> begins with </w:t>
      </w:r>
      <w:r>
        <w:t xml:space="preserve">the description of the </w:t>
      </w:r>
      <w:r w:rsidRPr="00B01305">
        <w:t xml:space="preserve">responses from the </w:t>
      </w:r>
      <w:r>
        <w:t>s</w:t>
      </w:r>
      <w:r w:rsidRPr="00B01305">
        <w:t>tandard questionnaires.</w:t>
      </w:r>
    </w:p>
    <w:p w:rsidR="00D907AF" w:rsidRPr="004D098E" w:rsidRDefault="00D907AF" w:rsidP="00367B24">
      <w:pPr>
        <w:pStyle w:val="Heading3"/>
      </w:pPr>
      <w:bookmarkStart w:id="320" w:name="_Toc428280644"/>
      <w:bookmarkStart w:id="321" w:name="_Toc449955016"/>
      <w:r>
        <w:t xml:space="preserve">3.6.10 Part B – Social participation and </w:t>
      </w:r>
      <w:r w:rsidR="006953C6">
        <w:t>wellbeing</w:t>
      </w:r>
      <w:bookmarkEnd w:id="320"/>
      <w:bookmarkEnd w:id="321"/>
    </w:p>
    <w:p w:rsidR="00D907AF" w:rsidRDefault="00D907AF" w:rsidP="00D907AF">
      <w:pPr>
        <w:rPr>
          <w:rFonts w:cstheme="minorHAnsi"/>
        </w:rPr>
      </w:pPr>
      <w:r>
        <w:rPr>
          <w:rFonts w:cstheme="minorHAnsi"/>
        </w:rPr>
        <w:t xml:space="preserve">The NDIS </w:t>
      </w:r>
      <w:r w:rsidR="007E7729">
        <w:rPr>
          <w:rFonts w:cstheme="minorHAnsi"/>
        </w:rPr>
        <w:t xml:space="preserve">aims </w:t>
      </w:r>
      <w:r>
        <w:rPr>
          <w:rFonts w:cstheme="minorHAnsi"/>
        </w:rPr>
        <w:t xml:space="preserve">to enhance the activities of people with disability. A core task of the </w:t>
      </w:r>
      <w:r w:rsidR="00190419">
        <w:rPr>
          <w:rFonts w:cstheme="minorHAnsi"/>
        </w:rPr>
        <w:t>e</w:t>
      </w:r>
      <w:r w:rsidR="00BD356D">
        <w:rPr>
          <w:rFonts w:cstheme="minorHAnsi"/>
        </w:rPr>
        <w:t>valuation</w:t>
      </w:r>
      <w:r>
        <w:rPr>
          <w:rFonts w:cstheme="minorHAnsi"/>
        </w:rPr>
        <w:t xml:space="preserve"> is to understand the degree to which the introduction of the NDIS has increased social and economic participation and </w:t>
      </w:r>
      <w:r w:rsidR="006953C6">
        <w:rPr>
          <w:rFonts w:cstheme="minorHAnsi"/>
        </w:rPr>
        <w:t>wellbeing</w:t>
      </w:r>
      <w:r>
        <w:rPr>
          <w:rFonts w:cstheme="minorHAnsi"/>
        </w:rPr>
        <w:t xml:space="preserve">. There are many facets of participation and </w:t>
      </w:r>
      <w:r w:rsidR="006953C6">
        <w:rPr>
          <w:rFonts w:cstheme="minorHAnsi"/>
        </w:rPr>
        <w:t>wellbeing</w:t>
      </w:r>
      <w:r>
        <w:rPr>
          <w:rFonts w:cstheme="minorHAnsi"/>
        </w:rPr>
        <w:t xml:space="preserve"> is a very complex concept. </w:t>
      </w:r>
    </w:p>
    <w:p w:rsidR="003E1771" w:rsidRDefault="003E1771" w:rsidP="00D907AF">
      <w:pPr>
        <w:rPr>
          <w:rFonts w:cstheme="minorHAnsi"/>
        </w:rPr>
      </w:pPr>
    </w:p>
    <w:p w:rsidR="00D907AF" w:rsidRDefault="003E1771" w:rsidP="00D907AF">
      <w:pPr>
        <w:rPr>
          <w:rFonts w:cstheme="minorHAnsi"/>
        </w:rPr>
      </w:pPr>
      <w:r>
        <w:rPr>
          <w:rFonts w:cstheme="minorHAnsi"/>
        </w:rPr>
        <w:t>The survey asks</w:t>
      </w:r>
      <w:r w:rsidR="00D907AF">
        <w:rPr>
          <w:rFonts w:cstheme="minorHAnsi"/>
        </w:rPr>
        <w:t xml:space="preserve"> about the activities the respondents have done recently (Table 3.40</w:t>
      </w:r>
      <w:r w:rsidR="00D907AF" w:rsidRPr="007D05FC">
        <w:rPr>
          <w:rFonts w:cstheme="minorHAnsi"/>
        </w:rPr>
        <w:t>)</w:t>
      </w:r>
      <w:r>
        <w:rPr>
          <w:rFonts w:cstheme="minorHAnsi"/>
        </w:rPr>
        <w:t xml:space="preserve"> without reference to a </w:t>
      </w:r>
      <w:r w:rsidR="00D907AF">
        <w:rPr>
          <w:rFonts w:cstheme="minorHAnsi"/>
        </w:rPr>
        <w:t>specific timeline (such as ‘in the last month’)</w:t>
      </w:r>
      <w:r w:rsidR="00C473C2">
        <w:rPr>
          <w:rFonts w:cstheme="minorHAnsi"/>
        </w:rPr>
        <w:t xml:space="preserve"> to improve</w:t>
      </w:r>
      <w:r w:rsidR="00D907AF">
        <w:rPr>
          <w:rFonts w:cstheme="minorHAnsi"/>
        </w:rPr>
        <w:t xml:space="preserve"> accessibility. </w:t>
      </w:r>
      <w:r w:rsidR="00C473C2">
        <w:rPr>
          <w:rFonts w:cstheme="minorHAnsi"/>
        </w:rPr>
        <w:t xml:space="preserve">The survey also </w:t>
      </w:r>
      <w:r w:rsidR="00D907AF">
        <w:rPr>
          <w:rFonts w:cstheme="minorHAnsi"/>
        </w:rPr>
        <w:t>ask</w:t>
      </w:r>
      <w:r w:rsidR="00C473C2">
        <w:rPr>
          <w:rFonts w:cstheme="minorHAnsi"/>
        </w:rPr>
        <w:t xml:space="preserve">s respondents to indicate </w:t>
      </w:r>
      <w:r w:rsidR="00D907AF">
        <w:rPr>
          <w:rFonts w:cstheme="minorHAnsi"/>
        </w:rPr>
        <w:t xml:space="preserve">from the same list </w:t>
      </w:r>
      <w:r w:rsidR="00A66B2F">
        <w:rPr>
          <w:rFonts w:cstheme="minorHAnsi"/>
        </w:rPr>
        <w:t>which</w:t>
      </w:r>
      <w:r w:rsidR="00D907AF">
        <w:rPr>
          <w:rFonts w:cstheme="minorHAnsi"/>
        </w:rPr>
        <w:t xml:space="preserve"> activities </w:t>
      </w:r>
      <w:r w:rsidR="00C473C2">
        <w:rPr>
          <w:rFonts w:cstheme="minorHAnsi"/>
        </w:rPr>
        <w:t xml:space="preserve">they </w:t>
      </w:r>
      <w:r w:rsidR="00D907AF">
        <w:rPr>
          <w:rFonts w:cstheme="minorHAnsi"/>
        </w:rPr>
        <w:t xml:space="preserve">would </w:t>
      </w:r>
      <w:r w:rsidR="00A66B2F">
        <w:rPr>
          <w:rFonts w:cstheme="minorHAnsi"/>
        </w:rPr>
        <w:t xml:space="preserve">most </w:t>
      </w:r>
      <w:r w:rsidR="00D907AF">
        <w:rPr>
          <w:rFonts w:cstheme="minorHAnsi"/>
        </w:rPr>
        <w:t>like to do in the coming year (Table 3.41). Both questions about current and future activities include a write-in box where ‘other activities’ can be mentioned and commented on.</w:t>
      </w:r>
    </w:p>
    <w:p w:rsidR="00953EE5" w:rsidRDefault="00953EE5" w:rsidP="00D907AF">
      <w:pPr>
        <w:rPr>
          <w:rFonts w:cstheme="minorHAnsi"/>
        </w:rPr>
      </w:pPr>
    </w:p>
    <w:p w:rsidR="00D907AF" w:rsidRPr="006A08A0" w:rsidRDefault="00D907AF" w:rsidP="0044684E">
      <w:pPr>
        <w:pStyle w:val="NILSTableHeading"/>
      </w:pPr>
      <w:bookmarkStart w:id="322" w:name="_Toc428280692"/>
      <w:bookmarkStart w:id="323" w:name="_Toc449955302"/>
      <w:r>
        <w:rPr>
          <w:rFonts w:hint="eastAsia"/>
        </w:rPr>
        <w:t>Table 3.40</w:t>
      </w:r>
      <w:r w:rsidRPr="006A08A0">
        <w:rPr>
          <w:rFonts w:hint="eastAsia"/>
        </w:rPr>
        <w:t>: Activities that you have done recently</w:t>
      </w:r>
      <w:bookmarkEnd w:id="322"/>
      <w:bookmarkEnd w:id="323"/>
      <w:r w:rsidRPr="006A08A0">
        <w:rPr>
          <w:rFonts w:hint="eastAsia"/>
        </w:rPr>
        <w:t xml:space="preserve"> </w:t>
      </w:r>
    </w:p>
    <w:tbl>
      <w:tblPr>
        <w:tblStyle w:val="TableGrid"/>
        <w:tblW w:w="8898" w:type="dxa"/>
        <w:shd w:val="clear" w:color="auto" w:fill="FFFFFF" w:themeFill="background1"/>
        <w:tblLayout w:type="fixed"/>
        <w:tblLook w:val="04A0" w:firstRow="1" w:lastRow="0" w:firstColumn="1" w:lastColumn="0" w:noHBand="0" w:noVBand="1"/>
        <w:tblCaption w:val="Table 3.40 Activities that you have done recently "/>
        <w:tblDescription w:val="This table shows the recent activities of respondents."/>
      </w:tblPr>
      <w:tblGrid>
        <w:gridCol w:w="6415"/>
        <w:gridCol w:w="923"/>
        <w:gridCol w:w="1560"/>
      </w:tblGrid>
      <w:tr w:rsidR="00D907AF" w:rsidRPr="0087485F" w:rsidTr="003E471E">
        <w:trPr>
          <w:tblHeader/>
        </w:trPr>
        <w:tc>
          <w:tcPr>
            <w:tcW w:w="6415" w:type="dxa"/>
            <w:tcBorders>
              <w:top w:val="single" w:sz="4" w:space="0" w:color="auto"/>
              <w:bottom w:val="single" w:sz="4" w:space="0" w:color="auto"/>
            </w:tcBorders>
            <w:shd w:val="clear" w:color="auto" w:fill="FFFFFF" w:themeFill="background1"/>
          </w:tcPr>
          <w:p w:rsidR="00D907AF" w:rsidRPr="0087485F" w:rsidRDefault="00D907AF" w:rsidP="003E471E">
            <w:pPr>
              <w:spacing w:before="20" w:after="20"/>
              <w:rPr>
                <w:rFonts w:cstheme="minorHAnsi"/>
                <w:sz w:val="20"/>
                <w:szCs w:val="20"/>
              </w:rPr>
            </w:pPr>
            <w:bookmarkStart w:id="324" w:name="Title_3_40"/>
            <w:bookmarkEnd w:id="324"/>
          </w:p>
        </w:tc>
        <w:tc>
          <w:tcPr>
            <w:tcW w:w="923" w:type="dxa"/>
            <w:tcBorders>
              <w:top w:val="single" w:sz="4" w:space="0" w:color="auto"/>
              <w:bottom w:val="single" w:sz="4" w:space="0" w:color="auto"/>
            </w:tcBorders>
            <w:shd w:val="clear" w:color="auto" w:fill="FFFFFF" w:themeFill="background1"/>
          </w:tcPr>
          <w:p w:rsidR="00884536" w:rsidRDefault="000752D2" w:rsidP="003E471E">
            <w:pPr>
              <w:spacing w:before="20" w:after="20"/>
              <w:jc w:val="center"/>
              <w:rPr>
                <w:rFonts w:cstheme="minorHAnsi"/>
                <w:sz w:val="20"/>
                <w:szCs w:val="20"/>
              </w:rPr>
            </w:pPr>
            <w:r w:rsidRPr="0087485F">
              <w:rPr>
                <w:rFonts w:cstheme="minorHAnsi"/>
                <w:sz w:val="20"/>
                <w:szCs w:val="20"/>
              </w:rPr>
              <w:t xml:space="preserve">Trial </w:t>
            </w:r>
          </w:p>
          <w:p w:rsidR="00D907AF" w:rsidRPr="0087485F" w:rsidRDefault="00D907AF" w:rsidP="003E471E">
            <w:pPr>
              <w:spacing w:before="20" w:after="20"/>
              <w:jc w:val="center"/>
              <w:rPr>
                <w:rFonts w:cstheme="minorHAnsi"/>
                <w:sz w:val="20"/>
                <w:szCs w:val="20"/>
              </w:rPr>
            </w:pPr>
            <w:r w:rsidRPr="0087485F">
              <w:rPr>
                <w:rFonts w:cstheme="minorHAnsi"/>
                <w:sz w:val="20"/>
                <w:szCs w:val="20"/>
              </w:rPr>
              <w:t>%</w:t>
            </w:r>
          </w:p>
        </w:tc>
        <w:tc>
          <w:tcPr>
            <w:tcW w:w="1560" w:type="dxa"/>
            <w:tcBorders>
              <w:top w:val="single" w:sz="4" w:space="0" w:color="auto"/>
              <w:bottom w:val="single" w:sz="4" w:space="0" w:color="auto"/>
            </w:tcBorders>
            <w:shd w:val="clear" w:color="auto" w:fill="FFFFFF" w:themeFill="background1"/>
          </w:tcPr>
          <w:p w:rsidR="00884536" w:rsidRDefault="000752D2" w:rsidP="003E471E">
            <w:pPr>
              <w:spacing w:before="20" w:after="20"/>
              <w:jc w:val="center"/>
              <w:rPr>
                <w:rFonts w:cstheme="minorHAnsi"/>
                <w:sz w:val="20"/>
                <w:szCs w:val="20"/>
              </w:rPr>
            </w:pPr>
            <w:r w:rsidRPr="0087485F">
              <w:rPr>
                <w:rFonts w:cstheme="minorHAnsi"/>
                <w:sz w:val="20"/>
                <w:szCs w:val="20"/>
              </w:rPr>
              <w:t xml:space="preserve">Comparison </w:t>
            </w:r>
          </w:p>
          <w:p w:rsidR="00D907AF" w:rsidRPr="0087485F" w:rsidRDefault="00D907AF" w:rsidP="003E471E">
            <w:pPr>
              <w:spacing w:before="20" w:after="20"/>
              <w:jc w:val="center"/>
              <w:rPr>
                <w:rFonts w:cstheme="minorHAnsi"/>
                <w:sz w:val="20"/>
                <w:szCs w:val="20"/>
              </w:rPr>
            </w:pPr>
            <w:r w:rsidRPr="0087485F">
              <w:rPr>
                <w:rFonts w:cstheme="minorHAnsi"/>
                <w:sz w:val="20"/>
                <w:szCs w:val="20"/>
              </w:rPr>
              <w:t>%</w:t>
            </w:r>
          </w:p>
        </w:tc>
      </w:tr>
      <w:tr w:rsidR="00D907AF" w:rsidRPr="0087485F" w:rsidTr="003E471E">
        <w:tc>
          <w:tcPr>
            <w:tcW w:w="6415" w:type="dxa"/>
            <w:shd w:val="clear" w:color="auto" w:fill="FFFFFF" w:themeFill="background1"/>
            <w:vAlign w:val="center"/>
          </w:tcPr>
          <w:p w:rsidR="00D907AF" w:rsidRPr="0087485F" w:rsidRDefault="00D907AF" w:rsidP="003E471E">
            <w:pPr>
              <w:spacing w:before="20" w:after="20"/>
              <w:rPr>
                <w:rFonts w:cstheme="minorHAnsi"/>
                <w:sz w:val="20"/>
                <w:szCs w:val="20"/>
              </w:rPr>
            </w:pPr>
            <w:r w:rsidRPr="0087485F">
              <w:rPr>
                <w:rFonts w:cstheme="minorHAnsi"/>
                <w:sz w:val="20"/>
                <w:szCs w:val="20"/>
              </w:rPr>
              <w:t>Spent time with family at home</w:t>
            </w:r>
          </w:p>
        </w:tc>
        <w:tc>
          <w:tcPr>
            <w:tcW w:w="923" w:type="dxa"/>
            <w:shd w:val="clear" w:color="auto" w:fill="FFFFFF" w:themeFill="background1"/>
            <w:vAlign w:val="center"/>
          </w:tcPr>
          <w:p w:rsidR="00D907AF" w:rsidRPr="0087485F" w:rsidRDefault="00D907AF" w:rsidP="003E471E">
            <w:pPr>
              <w:spacing w:before="20" w:after="20"/>
              <w:ind w:right="176"/>
              <w:jc w:val="right"/>
              <w:rPr>
                <w:rFonts w:cstheme="minorHAnsi"/>
                <w:color w:val="000000"/>
                <w:sz w:val="20"/>
                <w:szCs w:val="20"/>
              </w:rPr>
            </w:pPr>
            <w:r w:rsidRPr="0087485F">
              <w:rPr>
                <w:rFonts w:cstheme="minorHAnsi"/>
                <w:color w:val="000000"/>
                <w:sz w:val="20"/>
                <w:szCs w:val="20"/>
              </w:rPr>
              <w:t>88.1</w:t>
            </w:r>
          </w:p>
        </w:tc>
        <w:tc>
          <w:tcPr>
            <w:tcW w:w="1560" w:type="dxa"/>
            <w:shd w:val="clear" w:color="auto" w:fill="FFFFFF" w:themeFill="background1"/>
            <w:vAlign w:val="center"/>
          </w:tcPr>
          <w:p w:rsidR="00D907AF" w:rsidRPr="0087485F" w:rsidRDefault="00D907AF" w:rsidP="003E471E">
            <w:pPr>
              <w:spacing w:before="20" w:after="20"/>
              <w:ind w:right="459"/>
              <w:jc w:val="right"/>
              <w:rPr>
                <w:rFonts w:cstheme="minorHAnsi"/>
                <w:color w:val="000000"/>
                <w:sz w:val="20"/>
                <w:szCs w:val="20"/>
              </w:rPr>
            </w:pPr>
            <w:r w:rsidRPr="0087485F">
              <w:rPr>
                <w:rFonts w:cstheme="minorHAnsi"/>
                <w:color w:val="000000"/>
                <w:sz w:val="20"/>
                <w:szCs w:val="20"/>
              </w:rPr>
              <w:t>83.2</w:t>
            </w:r>
          </w:p>
        </w:tc>
      </w:tr>
      <w:tr w:rsidR="00D907AF" w:rsidRPr="0087485F" w:rsidTr="003E471E">
        <w:tc>
          <w:tcPr>
            <w:tcW w:w="6415" w:type="dxa"/>
            <w:shd w:val="clear" w:color="auto" w:fill="FFFFFF" w:themeFill="background1"/>
            <w:vAlign w:val="center"/>
          </w:tcPr>
          <w:p w:rsidR="00D907AF" w:rsidRPr="0087485F" w:rsidRDefault="00D907AF" w:rsidP="003E471E">
            <w:pPr>
              <w:spacing w:before="20" w:after="20"/>
              <w:rPr>
                <w:rFonts w:cstheme="minorHAnsi"/>
                <w:sz w:val="20"/>
                <w:szCs w:val="20"/>
              </w:rPr>
            </w:pPr>
            <w:r w:rsidRPr="0087485F">
              <w:rPr>
                <w:rFonts w:cstheme="minorHAnsi"/>
                <w:sz w:val="20"/>
                <w:szCs w:val="20"/>
              </w:rPr>
              <w:t>Spent time with friends at home</w:t>
            </w:r>
          </w:p>
        </w:tc>
        <w:tc>
          <w:tcPr>
            <w:tcW w:w="923" w:type="dxa"/>
            <w:shd w:val="clear" w:color="auto" w:fill="FFFFFF" w:themeFill="background1"/>
            <w:vAlign w:val="center"/>
          </w:tcPr>
          <w:p w:rsidR="00D907AF" w:rsidRPr="0087485F" w:rsidRDefault="00D907AF" w:rsidP="003E471E">
            <w:pPr>
              <w:spacing w:before="20" w:after="20"/>
              <w:ind w:right="176"/>
              <w:jc w:val="right"/>
              <w:rPr>
                <w:rFonts w:cstheme="minorHAnsi"/>
                <w:color w:val="000000"/>
                <w:sz w:val="20"/>
                <w:szCs w:val="20"/>
              </w:rPr>
            </w:pPr>
            <w:r w:rsidRPr="0087485F">
              <w:rPr>
                <w:rFonts w:cstheme="minorHAnsi"/>
                <w:color w:val="000000"/>
                <w:sz w:val="20"/>
                <w:szCs w:val="20"/>
              </w:rPr>
              <w:t>33.9</w:t>
            </w:r>
          </w:p>
        </w:tc>
        <w:tc>
          <w:tcPr>
            <w:tcW w:w="1560" w:type="dxa"/>
            <w:shd w:val="clear" w:color="auto" w:fill="FFFFFF" w:themeFill="background1"/>
            <w:vAlign w:val="center"/>
          </w:tcPr>
          <w:p w:rsidR="00D907AF" w:rsidRPr="0087485F" w:rsidRDefault="00D907AF" w:rsidP="003E471E">
            <w:pPr>
              <w:spacing w:before="20" w:after="20"/>
              <w:ind w:right="459"/>
              <w:jc w:val="right"/>
              <w:rPr>
                <w:rFonts w:cstheme="minorHAnsi"/>
                <w:color w:val="000000"/>
                <w:sz w:val="20"/>
                <w:szCs w:val="20"/>
              </w:rPr>
            </w:pPr>
            <w:r w:rsidRPr="0087485F">
              <w:rPr>
                <w:rFonts w:cstheme="minorHAnsi"/>
                <w:color w:val="000000"/>
                <w:sz w:val="20"/>
                <w:szCs w:val="20"/>
              </w:rPr>
              <w:t>36.8</w:t>
            </w:r>
          </w:p>
        </w:tc>
      </w:tr>
      <w:tr w:rsidR="00D907AF" w:rsidRPr="0087485F" w:rsidTr="003E471E">
        <w:tc>
          <w:tcPr>
            <w:tcW w:w="6415" w:type="dxa"/>
            <w:shd w:val="clear" w:color="auto" w:fill="FFFFFF" w:themeFill="background1"/>
            <w:vAlign w:val="center"/>
          </w:tcPr>
          <w:p w:rsidR="00D907AF" w:rsidRPr="0087485F" w:rsidRDefault="00D907AF" w:rsidP="003E471E">
            <w:pPr>
              <w:spacing w:before="20" w:after="20"/>
              <w:rPr>
                <w:rFonts w:cstheme="minorHAnsi"/>
                <w:sz w:val="20"/>
                <w:szCs w:val="20"/>
              </w:rPr>
            </w:pPr>
            <w:r w:rsidRPr="0087485F">
              <w:rPr>
                <w:rFonts w:cstheme="minorHAnsi"/>
                <w:sz w:val="20"/>
                <w:szCs w:val="20"/>
              </w:rPr>
              <w:t>Spent time with family outside the home</w:t>
            </w:r>
          </w:p>
        </w:tc>
        <w:tc>
          <w:tcPr>
            <w:tcW w:w="923" w:type="dxa"/>
            <w:shd w:val="clear" w:color="auto" w:fill="FFFFFF" w:themeFill="background1"/>
            <w:vAlign w:val="center"/>
          </w:tcPr>
          <w:p w:rsidR="00D907AF" w:rsidRPr="0087485F" w:rsidRDefault="00D907AF" w:rsidP="003E471E">
            <w:pPr>
              <w:spacing w:before="20" w:after="20"/>
              <w:ind w:right="176"/>
              <w:jc w:val="right"/>
              <w:rPr>
                <w:rFonts w:cstheme="minorHAnsi"/>
                <w:color w:val="000000"/>
                <w:sz w:val="20"/>
                <w:szCs w:val="20"/>
              </w:rPr>
            </w:pPr>
            <w:r w:rsidRPr="0087485F">
              <w:rPr>
                <w:rFonts w:cstheme="minorHAnsi"/>
                <w:color w:val="000000"/>
                <w:sz w:val="20"/>
                <w:szCs w:val="20"/>
              </w:rPr>
              <w:t>75.6</w:t>
            </w:r>
          </w:p>
        </w:tc>
        <w:tc>
          <w:tcPr>
            <w:tcW w:w="1560" w:type="dxa"/>
            <w:shd w:val="clear" w:color="auto" w:fill="FFFFFF" w:themeFill="background1"/>
            <w:vAlign w:val="center"/>
          </w:tcPr>
          <w:p w:rsidR="00D907AF" w:rsidRPr="0087485F" w:rsidRDefault="00D907AF" w:rsidP="003E471E">
            <w:pPr>
              <w:spacing w:before="20" w:after="20"/>
              <w:ind w:right="459"/>
              <w:jc w:val="right"/>
              <w:rPr>
                <w:rFonts w:cstheme="minorHAnsi"/>
                <w:color w:val="000000"/>
                <w:sz w:val="20"/>
                <w:szCs w:val="20"/>
              </w:rPr>
            </w:pPr>
            <w:r w:rsidRPr="0087485F">
              <w:rPr>
                <w:rFonts w:cstheme="minorHAnsi"/>
                <w:color w:val="000000"/>
                <w:sz w:val="20"/>
                <w:szCs w:val="20"/>
              </w:rPr>
              <w:t>68.3</w:t>
            </w:r>
          </w:p>
        </w:tc>
      </w:tr>
      <w:tr w:rsidR="00D907AF" w:rsidRPr="0087485F" w:rsidTr="003E471E">
        <w:tc>
          <w:tcPr>
            <w:tcW w:w="6415" w:type="dxa"/>
            <w:shd w:val="clear" w:color="auto" w:fill="FFFFFF" w:themeFill="background1"/>
            <w:vAlign w:val="center"/>
          </w:tcPr>
          <w:p w:rsidR="00D907AF" w:rsidRPr="0087485F" w:rsidRDefault="00D907AF" w:rsidP="003E471E">
            <w:pPr>
              <w:spacing w:before="20" w:after="20"/>
              <w:rPr>
                <w:rFonts w:cstheme="minorHAnsi"/>
                <w:sz w:val="20"/>
                <w:szCs w:val="20"/>
              </w:rPr>
            </w:pPr>
            <w:r w:rsidRPr="0087485F">
              <w:rPr>
                <w:rFonts w:cstheme="minorHAnsi"/>
                <w:sz w:val="20"/>
                <w:szCs w:val="20"/>
              </w:rPr>
              <w:t>Spent time with friends outside the home</w:t>
            </w:r>
          </w:p>
        </w:tc>
        <w:tc>
          <w:tcPr>
            <w:tcW w:w="923" w:type="dxa"/>
            <w:shd w:val="clear" w:color="auto" w:fill="FFFFFF" w:themeFill="background1"/>
            <w:vAlign w:val="center"/>
          </w:tcPr>
          <w:p w:rsidR="00D907AF" w:rsidRPr="0087485F" w:rsidRDefault="00D907AF" w:rsidP="003E471E">
            <w:pPr>
              <w:spacing w:before="20" w:after="20"/>
              <w:ind w:right="176"/>
              <w:jc w:val="right"/>
              <w:rPr>
                <w:rFonts w:cstheme="minorHAnsi"/>
                <w:color w:val="000000"/>
                <w:sz w:val="20"/>
                <w:szCs w:val="20"/>
              </w:rPr>
            </w:pPr>
            <w:r w:rsidRPr="0087485F">
              <w:rPr>
                <w:rFonts w:cstheme="minorHAnsi"/>
                <w:color w:val="000000"/>
                <w:sz w:val="20"/>
                <w:szCs w:val="20"/>
              </w:rPr>
              <w:t>56.5</w:t>
            </w:r>
          </w:p>
        </w:tc>
        <w:tc>
          <w:tcPr>
            <w:tcW w:w="1560" w:type="dxa"/>
            <w:shd w:val="clear" w:color="auto" w:fill="FFFFFF" w:themeFill="background1"/>
            <w:vAlign w:val="center"/>
          </w:tcPr>
          <w:p w:rsidR="00D907AF" w:rsidRPr="0087485F" w:rsidRDefault="00D907AF" w:rsidP="003E471E">
            <w:pPr>
              <w:spacing w:before="20" w:after="20"/>
              <w:ind w:right="459"/>
              <w:jc w:val="right"/>
              <w:rPr>
                <w:rFonts w:cstheme="minorHAnsi"/>
                <w:color w:val="000000"/>
                <w:sz w:val="20"/>
                <w:szCs w:val="20"/>
              </w:rPr>
            </w:pPr>
            <w:r w:rsidRPr="0087485F">
              <w:rPr>
                <w:rFonts w:cstheme="minorHAnsi"/>
                <w:color w:val="000000"/>
                <w:sz w:val="20"/>
                <w:szCs w:val="20"/>
              </w:rPr>
              <w:t>56.3</w:t>
            </w:r>
          </w:p>
        </w:tc>
      </w:tr>
      <w:tr w:rsidR="00D907AF" w:rsidRPr="0087485F" w:rsidTr="003E471E">
        <w:tc>
          <w:tcPr>
            <w:tcW w:w="6415" w:type="dxa"/>
            <w:shd w:val="clear" w:color="auto" w:fill="FFFFFF" w:themeFill="background1"/>
            <w:vAlign w:val="center"/>
          </w:tcPr>
          <w:p w:rsidR="00D907AF" w:rsidRPr="0087485F" w:rsidRDefault="00D907AF" w:rsidP="003E471E">
            <w:pPr>
              <w:spacing w:before="20" w:after="20"/>
              <w:rPr>
                <w:rFonts w:cstheme="minorHAnsi"/>
                <w:sz w:val="20"/>
                <w:szCs w:val="20"/>
              </w:rPr>
            </w:pPr>
            <w:r w:rsidRPr="0087485F">
              <w:rPr>
                <w:rFonts w:cstheme="minorHAnsi"/>
                <w:sz w:val="20"/>
                <w:szCs w:val="20"/>
              </w:rPr>
              <w:t>Used the internet for social networking and emailing</w:t>
            </w:r>
          </w:p>
        </w:tc>
        <w:tc>
          <w:tcPr>
            <w:tcW w:w="923" w:type="dxa"/>
            <w:shd w:val="clear" w:color="auto" w:fill="FFFFFF" w:themeFill="background1"/>
            <w:vAlign w:val="center"/>
          </w:tcPr>
          <w:p w:rsidR="00D907AF" w:rsidRPr="0087485F" w:rsidRDefault="00D907AF" w:rsidP="003E471E">
            <w:pPr>
              <w:spacing w:before="20" w:after="20"/>
              <w:ind w:right="176"/>
              <w:jc w:val="right"/>
              <w:rPr>
                <w:rFonts w:cstheme="minorHAnsi"/>
                <w:color w:val="000000"/>
                <w:sz w:val="20"/>
                <w:szCs w:val="20"/>
              </w:rPr>
            </w:pPr>
            <w:r w:rsidRPr="0087485F">
              <w:rPr>
                <w:rFonts w:cstheme="minorHAnsi"/>
                <w:color w:val="000000"/>
                <w:sz w:val="20"/>
                <w:szCs w:val="20"/>
              </w:rPr>
              <w:t>41.5</w:t>
            </w:r>
          </w:p>
        </w:tc>
        <w:tc>
          <w:tcPr>
            <w:tcW w:w="1560" w:type="dxa"/>
            <w:shd w:val="clear" w:color="auto" w:fill="FFFFFF" w:themeFill="background1"/>
            <w:vAlign w:val="center"/>
          </w:tcPr>
          <w:p w:rsidR="00D907AF" w:rsidRPr="0087485F" w:rsidRDefault="00D907AF" w:rsidP="003E471E">
            <w:pPr>
              <w:spacing w:before="20" w:after="20"/>
              <w:ind w:right="459"/>
              <w:jc w:val="right"/>
              <w:rPr>
                <w:rFonts w:cstheme="minorHAnsi"/>
                <w:color w:val="000000"/>
                <w:sz w:val="20"/>
                <w:szCs w:val="20"/>
              </w:rPr>
            </w:pPr>
            <w:r w:rsidRPr="0087485F">
              <w:rPr>
                <w:rFonts w:cstheme="minorHAnsi"/>
                <w:color w:val="000000"/>
                <w:sz w:val="20"/>
                <w:szCs w:val="20"/>
              </w:rPr>
              <w:t>45.1</w:t>
            </w:r>
          </w:p>
        </w:tc>
      </w:tr>
      <w:tr w:rsidR="00D907AF" w:rsidRPr="0087485F" w:rsidTr="003E471E">
        <w:tc>
          <w:tcPr>
            <w:tcW w:w="6415" w:type="dxa"/>
            <w:shd w:val="clear" w:color="auto" w:fill="FFFFFF" w:themeFill="background1"/>
            <w:vAlign w:val="center"/>
          </w:tcPr>
          <w:p w:rsidR="00D907AF" w:rsidRPr="0087485F" w:rsidRDefault="00D907AF" w:rsidP="003E471E">
            <w:pPr>
              <w:spacing w:before="20" w:after="20"/>
              <w:rPr>
                <w:rFonts w:cstheme="minorHAnsi"/>
                <w:sz w:val="20"/>
                <w:szCs w:val="20"/>
              </w:rPr>
            </w:pPr>
            <w:r w:rsidRPr="0087485F">
              <w:rPr>
                <w:rFonts w:cstheme="minorHAnsi"/>
                <w:sz w:val="20"/>
                <w:szCs w:val="20"/>
              </w:rPr>
              <w:t>Used the internet for shopping, arranging appointments, booking meetings</w:t>
            </w:r>
          </w:p>
        </w:tc>
        <w:tc>
          <w:tcPr>
            <w:tcW w:w="923" w:type="dxa"/>
            <w:shd w:val="clear" w:color="auto" w:fill="FFFFFF" w:themeFill="background1"/>
            <w:vAlign w:val="center"/>
          </w:tcPr>
          <w:p w:rsidR="00D907AF" w:rsidRPr="0087485F" w:rsidRDefault="00D907AF" w:rsidP="003E471E">
            <w:pPr>
              <w:spacing w:before="20" w:after="20"/>
              <w:ind w:right="176"/>
              <w:jc w:val="right"/>
              <w:rPr>
                <w:rFonts w:cstheme="minorHAnsi"/>
                <w:color w:val="000000"/>
                <w:sz w:val="20"/>
                <w:szCs w:val="20"/>
              </w:rPr>
            </w:pPr>
            <w:r w:rsidRPr="0087485F">
              <w:rPr>
                <w:rFonts w:cstheme="minorHAnsi"/>
                <w:color w:val="000000"/>
                <w:sz w:val="20"/>
                <w:szCs w:val="20"/>
              </w:rPr>
              <w:t>17.5</w:t>
            </w:r>
          </w:p>
        </w:tc>
        <w:tc>
          <w:tcPr>
            <w:tcW w:w="1560" w:type="dxa"/>
            <w:shd w:val="clear" w:color="auto" w:fill="FFFFFF" w:themeFill="background1"/>
            <w:vAlign w:val="center"/>
          </w:tcPr>
          <w:p w:rsidR="00D907AF" w:rsidRPr="0087485F" w:rsidRDefault="00D907AF" w:rsidP="003E471E">
            <w:pPr>
              <w:spacing w:before="20" w:after="20"/>
              <w:ind w:right="459"/>
              <w:jc w:val="right"/>
              <w:rPr>
                <w:rFonts w:cstheme="minorHAnsi"/>
                <w:color w:val="000000"/>
                <w:sz w:val="20"/>
                <w:szCs w:val="20"/>
              </w:rPr>
            </w:pPr>
            <w:r w:rsidRPr="0087485F">
              <w:rPr>
                <w:rFonts w:cstheme="minorHAnsi"/>
                <w:color w:val="000000"/>
                <w:sz w:val="20"/>
                <w:szCs w:val="20"/>
              </w:rPr>
              <w:t>17.4</w:t>
            </w:r>
          </w:p>
        </w:tc>
      </w:tr>
      <w:tr w:rsidR="00D907AF" w:rsidRPr="0087485F" w:rsidTr="003E471E">
        <w:tc>
          <w:tcPr>
            <w:tcW w:w="6415" w:type="dxa"/>
            <w:shd w:val="clear" w:color="auto" w:fill="FFFFFF" w:themeFill="background1"/>
            <w:vAlign w:val="center"/>
          </w:tcPr>
          <w:p w:rsidR="00D907AF" w:rsidRPr="0087485F" w:rsidRDefault="00D907AF" w:rsidP="003E471E">
            <w:pPr>
              <w:spacing w:before="20" w:after="20"/>
              <w:rPr>
                <w:rFonts w:cstheme="minorHAnsi"/>
                <w:sz w:val="20"/>
                <w:szCs w:val="20"/>
              </w:rPr>
            </w:pPr>
            <w:r w:rsidRPr="0087485F">
              <w:rPr>
                <w:rFonts w:cstheme="minorHAnsi"/>
                <w:sz w:val="20"/>
                <w:szCs w:val="20"/>
              </w:rPr>
              <w:t>Played sports, went for a walk or went swimming</w:t>
            </w:r>
          </w:p>
        </w:tc>
        <w:tc>
          <w:tcPr>
            <w:tcW w:w="923" w:type="dxa"/>
            <w:shd w:val="clear" w:color="auto" w:fill="FFFFFF" w:themeFill="background1"/>
            <w:vAlign w:val="center"/>
          </w:tcPr>
          <w:p w:rsidR="00D907AF" w:rsidRPr="0087485F" w:rsidRDefault="00D907AF" w:rsidP="003E471E">
            <w:pPr>
              <w:spacing w:before="20" w:after="20"/>
              <w:ind w:right="176"/>
              <w:jc w:val="right"/>
              <w:rPr>
                <w:rFonts w:cstheme="minorHAnsi"/>
                <w:color w:val="000000"/>
                <w:sz w:val="20"/>
                <w:szCs w:val="20"/>
              </w:rPr>
            </w:pPr>
            <w:r w:rsidRPr="0087485F">
              <w:rPr>
                <w:rFonts w:cstheme="minorHAnsi"/>
                <w:color w:val="000000"/>
                <w:sz w:val="20"/>
                <w:szCs w:val="20"/>
              </w:rPr>
              <w:t>54.5</w:t>
            </w:r>
          </w:p>
        </w:tc>
        <w:tc>
          <w:tcPr>
            <w:tcW w:w="1560" w:type="dxa"/>
            <w:shd w:val="clear" w:color="auto" w:fill="FFFFFF" w:themeFill="background1"/>
            <w:vAlign w:val="center"/>
          </w:tcPr>
          <w:p w:rsidR="00D907AF" w:rsidRPr="0087485F" w:rsidRDefault="00D907AF" w:rsidP="003E471E">
            <w:pPr>
              <w:spacing w:before="20" w:after="20"/>
              <w:ind w:right="459"/>
              <w:jc w:val="right"/>
              <w:rPr>
                <w:rFonts w:cstheme="minorHAnsi"/>
                <w:color w:val="000000"/>
                <w:sz w:val="20"/>
                <w:szCs w:val="20"/>
              </w:rPr>
            </w:pPr>
            <w:r w:rsidRPr="0087485F">
              <w:rPr>
                <w:rFonts w:cstheme="minorHAnsi"/>
                <w:color w:val="000000"/>
                <w:sz w:val="20"/>
                <w:szCs w:val="20"/>
              </w:rPr>
              <w:t>52.4</w:t>
            </w:r>
          </w:p>
        </w:tc>
      </w:tr>
      <w:tr w:rsidR="00D907AF" w:rsidRPr="0087485F" w:rsidTr="003E471E">
        <w:tc>
          <w:tcPr>
            <w:tcW w:w="6415" w:type="dxa"/>
            <w:shd w:val="clear" w:color="auto" w:fill="FFFFFF" w:themeFill="background1"/>
            <w:vAlign w:val="center"/>
          </w:tcPr>
          <w:p w:rsidR="00D907AF" w:rsidRPr="0087485F" w:rsidRDefault="00D907AF" w:rsidP="003E471E">
            <w:pPr>
              <w:spacing w:before="20" w:after="20"/>
              <w:rPr>
                <w:rFonts w:cstheme="minorHAnsi"/>
                <w:sz w:val="20"/>
                <w:szCs w:val="20"/>
              </w:rPr>
            </w:pPr>
            <w:r w:rsidRPr="0087485F">
              <w:rPr>
                <w:rFonts w:cstheme="minorHAnsi"/>
                <w:sz w:val="20"/>
                <w:szCs w:val="20"/>
              </w:rPr>
              <w:t>Went to see a show or movie, or went out for food or drinks</w:t>
            </w:r>
          </w:p>
        </w:tc>
        <w:tc>
          <w:tcPr>
            <w:tcW w:w="923" w:type="dxa"/>
            <w:shd w:val="clear" w:color="auto" w:fill="FFFFFF" w:themeFill="background1"/>
            <w:vAlign w:val="center"/>
          </w:tcPr>
          <w:p w:rsidR="00D907AF" w:rsidRPr="0087485F" w:rsidRDefault="00D907AF" w:rsidP="003E471E">
            <w:pPr>
              <w:spacing w:before="20" w:after="20"/>
              <w:ind w:right="176"/>
              <w:jc w:val="right"/>
              <w:rPr>
                <w:rFonts w:cstheme="minorHAnsi"/>
                <w:color w:val="000000"/>
                <w:sz w:val="20"/>
                <w:szCs w:val="20"/>
              </w:rPr>
            </w:pPr>
            <w:r w:rsidRPr="0087485F">
              <w:rPr>
                <w:rFonts w:cstheme="minorHAnsi"/>
                <w:color w:val="000000"/>
                <w:sz w:val="20"/>
                <w:szCs w:val="20"/>
              </w:rPr>
              <w:t>64.1</w:t>
            </w:r>
          </w:p>
        </w:tc>
        <w:tc>
          <w:tcPr>
            <w:tcW w:w="1560" w:type="dxa"/>
            <w:shd w:val="clear" w:color="auto" w:fill="FFFFFF" w:themeFill="background1"/>
            <w:vAlign w:val="center"/>
          </w:tcPr>
          <w:p w:rsidR="00D907AF" w:rsidRPr="0087485F" w:rsidRDefault="00D907AF" w:rsidP="003E471E">
            <w:pPr>
              <w:spacing w:before="20" w:after="20"/>
              <w:ind w:right="459"/>
              <w:jc w:val="right"/>
              <w:rPr>
                <w:rFonts w:cstheme="minorHAnsi"/>
                <w:color w:val="000000"/>
                <w:sz w:val="20"/>
                <w:szCs w:val="20"/>
              </w:rPr>
            </w:pPr>
            <w:r w:rsidRPr="0087485F">
              <w:rPr>
                <w:rFonts w:cstheme="minorHAnsi"/>
                <w:color w:val="000000"/>
                <w:sz w:val="20"/>
                <w:szCs w:val="20"/>
              </w:rPr>
              <w:t>54.7</w:t>
            </w:r>
          </w:p>
        </w:tc>
      </w:tr>
      <w:tr w:rsidR="00D907AF" w:rsidRPr="0087485F" w:rsidTr="003E471E">
        <w:tc>
          <w:tcPr>
            <w:tcW w:w="6415" w:type="dxa"/>
            <w:shd w:val="clear" w:color="auto" w:fill="FFFFFF" w:themeFill="background1"/>
            <w:vAlign w:val="center"/>
          </w:tcPr>
          <w:p w:rsidR="00D907AF" w:rsidRPr="0087485F" w:rsidRDefault="00D907AF" w:rsidP="003E471E">
            <w:pPr>
              <w:spacing w:before="20" w:after="20"/>
              <w:rPr>
                <w:rFonts w:cstheme="minorHAnsi"/>
                <w:sz w:val="20"/>
                <w:szCs w:val="20"/>
              </w:rPr>
            </w:pPr>
            <w:r w:rsidRPr="0087485F">
              <w:rPr>
                <w:rFonts w:cstheme="minorHAnsi"/>
                <w:sz w:val="20"/>
                <w:szCs w:val="20"/>
              </w:rPr>
              <w:t>Went on a holiday</w:t>
            </w:r>
          </w:p>
        </w:tc>
        <w:tc>
          <w:tcPr>
            <w:tcW w:w="923" w:type="dxa"/>
            <w:shd w:val="clear" w:color="auto" w:fill="FFFFFF" w:themeFill="background1"/>
            <w:vAlign w:val="center"/>
          </w:tcPr>
          <w:p w:rsidR="00D907AF" w:rsidRPr="0087485F" w:rsidRDefault="00D907AF" w:rsidP="003E471E">
            <w:pPr>
              <w:spacing w:before="20" w:after="20"/>
              <w:ind w:right="176"/>
              <w:jc w:val="right"/>
              <w:rPr>
                <w:rFonts w:cstheme="minorHAnsi"/>
                <w:color w:val="000000"/>
                <w:sz w:val="20"/>
                <w:szCs w:val="20"/>
              </w:rPr>
            </w:pPr>
            <w:r w:rsidRPr="0087485F">
              <w:rPr>
                <w:rFonts w:cstheme="minorHAnsi"/>
                <w:color w:val="000000"/>
                <w:sz w:val="20"/>
                <w:szCs w:val="20"/>
              </w:rPr>
              <w:t>22.9</w:t>
            </w:r>
          </w:p>
        </w:tc>
        <w:tc>
          <w:tcPr>
            <w:tcW w:w="1560" w:type="dxa"/>
            <w:shd w:val="clear" w:color="auto" w:fill="FFFFFF" w:themeFill="background1"/>
            <w:vAlign w:val="center"/>
          </w:tcPr>
          <w:p w:rsidR="00D907AF" w:rsidRPr="0087485F" w:rsidRDefault="00D907AF" w:rsidP="003E471E">
            <w:pPr>
              <w:spacing w:before="20" w:after="20"/>
              <w:ind w:right="459"/>
              <w:jc w:val="right"/>
              <w:rPr>
                <w:rFonts w:cstheme="minorHAnsi"/>
                <w:color w:val="000000"/>
                <w:sz w:val="20"/>
                <w:szCs w:val="20"/>
              </w:rPr>
            </w:pPr>
            <w:r w:rsidRPr="0087485F">
              <w:rPr>
                <w:rFonts w:cstheme="minorHAnsi"/>
                <w:color w:val="000000"/>
                <w:sz w:val="20"/>
                <w:szCs w:val="20"/>
              </w:rPr>
              <w:t>20.6</w:t>
            </w:r>
          </w:p>
        </w:tc>
      </w:tr>
      <w:tr w:rsidR="00D907AF" w:rsidRPr="0087485F" w:rsidTr="003E471E">
        <w:tc>
          <w:tcPr>
            <w:tcW w:w="6415" w:type="dxa"/>
            <w:shd w:val="clear" w:color="auto" w:fill="FFFFFF" w:themeFill="background1"/>
            <w:vAlign w:val="center"/>
          </w:tcPr>
          <w:p w:rsidR="00D907AF" w:rsidRPr="0087485F" w:rsidRDefault="00D907AF" w:rsidP="003E471E">
            <w:pPr>
              <w:spacing w:before="20" w:after="20"/>
              <w:rPr>
                <w:rFonts w:cstheme="minorHAnsi"/>
                <w:sz w:val="20"/>
                <w:szCs w:val="20"/>
              </w:rPr>
            </w:pPr>
            <w:r w:rsidRPr="0087485F">
              <w:rPr>
                <w:rFonts w:cstheme="minorHAnsi"/>
                <w:sz w:val="20"/>
                <w:szCs w:val="20"/>
              </w:rPr>
              <w:t>Other social or leisure activities</w:t>
            </w:r>
          </w:p>
        </w:tc>
        <w:tc>
          <w:tcPr>
            <w:tcW w:w="923" w:type="dxa"/>
            <w:shd w:val="clear" w:color="auto" w:fill="FFFFFF" w:themeFill="background1"/>
            <w:vAlign w:val="center"/>
          </w:tcPr>
          <w:p w:rsidR="00D907AF" w:rsidRPr="0087485F" w:rsidRDefault="00D907AF" w:rsidP="003E471E">
            <w:pPr>
              <w:spacing w:before="20" w:after="20"/>
              <w:ind w:right="176"/>
              <w:jc w:val="right"/>
              <w:rPr>
                <w:rFonts w:cstheme="minorHAnsi"/>
                <w:color w:val="000000"/>
                <w:sz w:val="20"/>
                <w:szCs w:val="20"/>
              </w:rPr>
            </w:pPr>
            <w:r w:rsidRPr="0087485F">
              <w:rPr>
                <w:rFonts w:cstheme="minorHAnsi"/>
                <w:color w:val="000000"/>
                <w:sz w:val="20"/>
                <w:szCs w:val="20"/>
              </w:rPr>
              <w:t>22.2</w:t>
            </w:r>
          </w:p>
        </w:tc>
        <w:tc>
          <w:tcPr>
            <w:tcW w:w="1560" w:type="dxa"/>
            <w:shd w:val="clear" w:color="auto" w:fill="FFFFFF" w:themeFill="background1"/>
            <w:vAlign w:val="center"/>
          </w:tcPr>
          <w:p w:rsidR="00D907AF" w:rsidRPr="0087485F" w:rsidRDefault="00D907AF" w:rsidP="003E471E">
            <w:pPr>
              <w:spacing w:before="20" w:after="20"/>
              <w:ind w:right="459"/>
              <w:jc w:val="right"/>
              <w:rPr>
                <w:rFonts w:cstheme="minorHAnsi"/>
                <w:color w:val="000000"/>
                <w:sz w:val="20"/>
                <w:szCs w:val="20"/>
              </w:rPr>
            </w:pPr>
            <w:r w:rsidRPr="0087485F">
              <w:rPr>
                <w:rFonts w:cstheme="minorHAnsi"/>
                <w:color w:val="000000"/>
                <w:sz w:val="20"/>
                <w:szCs w:val="20"/>
              </w:rPr>
              <w:t>20.4</w:t>
            </w:r>
          </w:p>
        </w:tc>
      </w:tr>
      <w:tr w:rsidR="00D907AF" w:rsidRPr="0087485F" w:rsidTr="003E471E">
        <w:tc>
          <w:tcPr>
            <w:tcW w:w="6415" w:type="dxa"/>
            <w:tcBorders>
              <w:top w:val="single" w:sz="4" w:space="0" w:color="auto"/>
              <w:bottom w:val="single" w:sz="4" w:space="0" w:color="auto"/>
            </w:tcBorders>
            <w:shd w:val="clear" w:color="auto" w:fill="FFFFFF" w:themeFill="background1"/>
            <w:vAlign w:val="center"/>
          </w:tcPr>
          <w:p w:rsidR="00D907AF" w:rsidRPr="0087485F" w:rsidRDefault="00D907AF" w:rsidP="003E471E">
            <w:pPr>
              <w:spacing w:before="20" w:after="20"/>
              <w:rPr>
                <w:rFonts w:cstheme="minorHAnsi"/>
                <w:b/>
                <w:sz w:val="20"/>
                <w:szCs w:val="20"/>
              </w:rPr>
            </w:pPr>
            <w:r w:rsidRPr="0087485F">
              <w:rPr>
                <w:rFonts w:cstheme="minorHAnsi"/>
                <w:b/>
                <w:sz w:val="20"/>
                <w:szCs w:val="20"/>
              </w:rPr>
              <w:t>Total</w:t>
            </w:r>
          </w:p>
        </w:tc>
        <w:tc>
          <w:tcPr>
            <w:tcW w:w="923" w:type="dxa"/>
            <w:tcBorders>
              <w:top w:val="single" w:sz="4" w:space="0" w:color="auto"/>
              <w:bottom w:val="single" w:sz="4" w:space="0" w:color="auto"/>
            </w:tcBorders>
            <w:shd w:val="clear" w:color="auto" w:fill="FFFFFF" w:themeFill="background1"/>
            <w:vAlign w:val="center"/>
          </w:tcPr>
          <w:p w:rsidR="00D907AF" w:rsidRPr="0087485F" w:rsidRDefault="00D907AF" w:rsidP="003E471E">
            <w:pPr>
              <w:spacing w:before="20" w:after="20"/>
              <w:ind w:right="176"/>
              <w:jc w:val="right"/>
              <w:rPr>
                <w:rFonts w:cstheme="minorHAnsi"/>
                <w:b/>
                <w:color w:val="000000"/>
                <w:sz w:val="20"/>
                <w:szCs w:val="20"/>
              </w:rPr>
            </w:pPr>
            <w:r w:rsidRPr="0087485F">
              <w:rPr>
                <w:rFonts w:cstheme="minorHAnsi"/>
                <w:b/>
                <w:color w:val="000000"/>
                <w:sz w:val="20"/>
                <w:szCs w:val="20"/>
              </w:rPr>
              <w:t>446</w:t>
            </w:r>
          </w:p>
        </w:tc>
        <w:tc>
          <w:tcPr>
            <w:tcW w:w="1560" w:type="dxa"/>
            <w:tcBorders>
              <w:top w:val="single" w:sz="4" w:space="0" w:color="auto"/>
              <w:bottom w:val="single" w:sz="4" w:space="0" w:color="auto"/>
            </w:tcBorders>
            <w:shd w:val="clear" w:color="auto" w:fill="FFFFFF" w:themeFill="background1"/>
            <w:vAlign w:val="center"/>
          </w:tcPr>
          <w:p w:rsidR="00D907AF" w:rsidRPr="0087485F" w:rsidRDefault="00D907AF" w:rsidP="003E471E">
            <w:pPr>
              <w:spacing w:before="20" w:after="20"/>
              <w:ind w:right="459"/>
              <w:jc w:val="right"/>
              <w:rPr>
                <w:rFonts w:cstheme="minorHAnsi"/>
                <w:b/>
                <w:color w:val="000000"/>
                <w:sz w:val="20"/>
                <w:szCs w:val="20"/>
              </w:rPr>
            </w:pPr>
            <w:r w:rsidRPr="0087485F">
              <w:rPr>
                <w:rFonts w:cstheme="minorHAnsi"/>
                <w:b/>
                <w:color w:val="000000"/>
                <w:sz w:val="20"/>
                <w:szCs w:val="20"/>
              </w:rPr>
              <w:t>666</w:t>
            </w:r>
          </w:p>
        </w:tc>
      </w:tr>
    </w:tbl>
    <w:p w:rsidR="00D907AF" w:rsidRPr="00E852D5" w:rsidRDefault="00D907AF" w:rsidP="006C7BE7">
      <w:pPr>
        <w:pStyle w:val="NILSTabletext"/>
      </w:pPr>
      <w:r w:rsidRPr="00E852D5">
        <w:t xml:space="preserve">Note: </w:t>
      </w:r>
      <w:r>
        <w:t>trial and comparison s</w:t>
      </w:r>
      <w:r w:rsidRPr="00B01305">
        <w:t>tandard</w:t>
      </w:r>
      <w:r>
        <w:t xml:space="preserve"> questionnaire 8 years and above; ‘Total’ indicates the number of respondents to answer this question; multiple response question; percentages do not add to 100.</w:t>
      </w:r>
    </w:p>
    <w:p w:rsidR="00AE1BEE" w:rsidRDefault="00AE1BEE" w:rsidP="00D907AF">
      <w:pPr>
        <w:rPr>
          <w:rFonts w:cstheme="minorHAnsi"/>
        </w:rPr>
      </w:pPr>
    </w:p>
    <w:p w:rsidR="00D907AF" w:rsidRDefault="00D907AF" w:rsidP="00D907AF">
      <w:pPr>
        <w:rPr>
          <w:rFonts w:cstheme="minorHAnsi"/>
        </w:rPr>
      </w:pPr>
      <w:r w:rsidRPr="00661143">
        <w:rPr>
          <w:rFonts w:cstheme="minorHAnsi"/>
        </w:rPr>
        <w:t>Table 3.40</w:t>
      </w:r>
      <w:r>
        <w:rPr>
          <w:rFonts w:cstheme="minorHAnsi"/>
        </w:rPr>
        <w:t xml:space="preserve"> presents fairly similar patterns of recent activities among the trial and the comparison groups, both reporting above all having spent time with their family inside and outside the home. More have met friends outside the home than inside; and more than half had gone out to shows, movies or meals, or had taken part in physical activities. The percentages presented here are based on a total of 4.64 responses per person.</w:t>
      </w:r>
    </w:p>
    <w:p w:rsidR="00953EE5" w:rsidRPr="009B60FB" w:rsidRDefault="00953EE5" w:rsidP="003E471E">
      <w:pPr>
        <w:jc w:val="center"/>
        <w:rPr>
          <w:rFonts w:cstheme="minorHAnsi"/>
        </w:rPr>
      </w:pPr>
    </w:p>
    <w:p w:rsidR="00D907AF" w:rsidRDefault="00D907AF" w:rsidP="00D907AF">
      <w:pPr>
        <w:rPr>
          <w:rFonts w:cstheme="minorHAnsi"/>
        </w:rPr>
      </w:pPr>
      <w:r>
        <w:rPr>
          <w:rFonts w:cstheme="minorHAnsi"/>
        </w:rPr>
        <w:t xml:space="preserve">Aspirations for future activities are also fairly similar in the trial and the comparison groups. The percentages presented in Table 3.41 are based on a total of 3.08 responses per person. It is important to understand that the fact that respondents were asked to nominate just three activities that they would most like to do in the future explains in part the lower percentage response rates for aspirations when compared to actual, past activities. However, this is not a general rule as going on holiday is by far the most frequently reported desired future activity and one of the least frequented actual experiences. Going out to shows, movie or meals, and going on holiday were reported as the most desirable future activities. </w:t>
      </w:r>
      <w:r w:rsidR="007E7729">
        <w:rPr>
          <w:rFonts w:cstheme="minorHAnsi"/>
        </w:rPr>
        <w:t>The</w:t>
      </w:r>
      <w:r>
        <w:rPr>
          <w:rFonts w:cstheme="minorHAnsi"/>
        </w:rPr>
        <w:t xml:space="preserve"> comparison of these percentages </w:t>
      </w:r>
      <w:r w:rsidR="007E7729">
        <w:rPr>
          <w:rFonts w:cstheme="minorHAnsi"/>
        </w:rPr>
        <w:t xml:space="preserve">however, </w:t>
      </w:r>
      <w:r>
        <w:rPr>
          <w:rFonts w:cstheme="minorHAnsi"/>
        </w:rPr>
        <w:t>can be inaccurate and the only way to understand these differences will be through the analysis of data</w:t>
      </w:r>
      <w:r w:rsidRPr="008821F0">
        <w:rPr>
          <w:rFonts w:cstheme="minorHAnsi"/>
        </w:rPr>
        <w:t xml:space="preserve"> </w:t>
      </w:r>
      <w:r>
        <w:rPr>
          <w:rFonts w:cstheme="minorHAnsi"/>
        </w:rPr>
        <w:t xml:space="preserve">at the individual level. </w:t>
      </w:r>
    </w:p>
    <w:p w:rsidR="00953EE5" w:rsidRDefault="00953EE5" w:rsidP="00D907AF">
      <w:pPr>
        <w:rPr>
          <w:rFonts w:cstheme="minorHAnsi"/>
        </w:rPr>
      </w:pPr>
    </w:p>
    <w:p w:rsidR="00D907AF" w:rsidRPr="006A08A0" w:rsidRDefault="00D907AF" w:rsidP="0044684E">
      <w:pPr>
        <w:pStyle w:val="NILSTableHeading"/>
      </w:pPr>
      <w:bookmarkStart w:id="325" w:name="_Toc428280693"/>
      <w:bookmarkStart w:id="326" w:name="_Toc449955303"/>
      <w:r>
        <w:rPr>
          <w:rFonts w:hint="eastAsia"/>
        </w:rPr>
        <w:t>Table 3.</w:t>
      </w:r>
      <w:r>
        <w:t>41</w:t>
      </w:r>
      <w:r w:rsidRPr="006A08A0">
        <w:rPr>
          <w:rFonts w:hint="eastAsia"/>
        </w:rPr>
        <w:t>: Activitie</w:t>
      </w:r>
      <w:r w:rsidRPr="00115997">
        <w:rPr>
          <w:rFonts w:hint="eastAsia"/>
        </w:rPr>
        <w:t>s (</w:t>
      </w:r>
      <w:r w:rsidRPr="00115997">
        <w:t xml:space="preserve">top three) </w:t>
      </w:r>
      <w:r w:rsidRPr="00115997">
        <w:rPr>
          <w:rFonts w:hint="eastAsia"/>
        </w:rPr>
        <w:t>yo</w:t>
      </w:r>
      <w:r w:rsidRPr="006A08A0">
        <w:rPr>
          <w:rFonts w:hint="eastAsia"/>
        </w:rPr>
        <w:t xml:space="preserve">u </w:t>
      </w:r>
      <w:r>
        <w:t xml:space="preserve">would </w:t>
      </w:r>
      <w:r w:rsidRPr="006A08A0">
        <w:rPr>
          <w:rFonts w:hint="eastAsia"/>
        </w:rPr>
        <w:t>most like to do in the coming years</w:t>
      </w:r>
      <w:bookmarkEnd w:id="325"/>
      <w:bookmarkEnd w:id="326"/>
      <w:r w:rsidRPr="006A08A0">
        <w:rPr>
          <w:rFonts w:hint="eastAsia"/>
        </w:rPr>
        <w:t xml:space="preserve"> </w:t>
      </w:r>
    </w:p>
    <w:tbl>
      <w:tblPr>
        <w:tblStyle w:val="TableGrid"/>
        <w:tblW w:w="8719" w:type="dxa"/>
        <w:shd w:val="clear" w:color="auto" w:fill="FFFFFF" w:themeFill="background1"/>
        <w:tblLayout w:type="fixed"/>
        <w:tblLook w:val="04A0" w:firstRow="1" w:lastRow="0" w:firstColumn="1" w:lastColumn="0" w:noHBand="0" w:noVBand="1"/>
        <w:tblCaption w:val="Table 3.41 Activities (top three) you would most like to do in the coming years "/>
      </w:tblPr>
      <w:tblGrid>
        <w:gridCol w:w="6310"/>
        <w:gridCol w:w="886"/>
        <w:gridCol w:w="1523"/>
      </w:tblGrid>
      <w:tr w:rsidR="00D907AF" w:rsidRPr="0087485F" w:rsidTr="003E471E">
        <w:trPr>
          <w:tblHeader/>
        </w:trPr>
        <w:tc>
          <w:tcPr>
            <w:tcW w:w="6310" w:type="dxa"/>
            <w:tcBorders>
              <w:top w:val="single" w:sz="4" w:space="0" w:color="auto"/>
              <w:bottom w:val="single" w:sz="4" w:space="0" w:color="auto"/>
            </w:tcBorders>
            <w:shd w:val="clear" w:color="auto" w:fill="FFFFFF" w:themeFill="background1"/>
          </w:tcPr>
          <w:p w:rsidR="00D907AF" w:rsidRPr="0087485F" w:rsidRDefault="00D907AF" w:rsidP="00D907AF">
            <w:pPr>
              <w:spacing w:before="20" w:after="20"/>
              <w:rPr>
                <w:rFonts w:cstheme="minorHAnsi"/>
                <w:sz w:val="20"/>
                <w:szCs w:val="20"/>
              </w:rPr>
            </w:pPr>
            <w:bookmarkStart w:id="327" w:name="Title_3_41"/>
            <w:bookmarkEnd w:id="327"/>
          </w:p>
        </w:tc>
        <w:tc>
          <w:tcPr>
            <w:tcW w:w="886" w:type="dxa"/>
            <w:tcBorders>
              <w:top w:val="single" w:sz="4" w:space="0" w:color="auto"/>
              <w:bottom w:val="single" w:sz="4" w:space="0" w:color="auto"/>
            </w:tcBorders>
            <w:shd w:val="clear" w:color="auto" w:fill="FFFFFF" w:themeFill="background1"/>
          </w:tcPr>
          <w:p w:rsidR="00884536" w:rsidRDefault="001020CB" w:rsidP="00D907AF">
            <w:pPr>
              <w:spacing w:before="20" w:after="20"/>
              <w:jc w:val="center"/>
              <w:rPr>
                <w:rFonts w:cstheme="minorHAnsi"/>
                <w:sz w:val="20"/>
                <w:szCs w:val="20"/>
              </w:rPr>
            </w:pPr>
            <w:r w:rsidRPr="0087485F">
              <w:rPr>
                <w:rFonts w:cstheme="minorHAnsi"/>
                <w:sz w:val="20"/>
                <w:szCs w:val="20"/>
              </w:rPr>
              <w:t>Trial</w:t>
            </w:r>
          </w:p>
          <w:p w:rsidR="00D907AF" w:rsidRPr="0087485F" w:rsidRDefault="00D907AF" w:rsidP="00D907AF">
            <w:pPr>
              <w:spacing w:before="20" w:after="20"/>
              <w:jc w:val="center"/>
              <w:rPr>
                <w:rFonts w:cstheme="minorHAnsi"/>
                <w:sz w:val="20"/>
                <w:szCs w:val="20"/>
              </w:rPr>
            </w:pPr>
            <w:r w:rsidRPr="0087485F">
              <w:rPr>
                <w:rFonts w:cstheme="minorHAnsi"/>
                <w:sz w:val="20"/>
                <w:szCs w:val="20"/>
              </w:rPr>
              <w:t>%</w:t>
            </w:r>
          </w:p>
        </w:tc>
        <w:tc>
          <w:tcPr>
            <w:tcW w:w="1523" w:type="dxa"/>
            <w:tcBorders>
              <w:top w:val="single" w:sz="4" w:space="0" w:color="auto"/>
              <w:bottom w:val="single" w:sz="4" w:space="0" w:color="auto"/>
            </w:tcBorders>
            <w:shd w:val="clear" w:color="auto" w:fill="FFFFFF" w:themeFill="background1"/>
          </w:tcPr>
          <w:p w:rsidR="00884536" w:rsidRDefault="001020CB" w:rsidP="00D907AF">
            <w:pPr>
              <w:spacing w:before="20" w:after="20"/>
              <w:jc w:val="center"/>
              <w:rPr>
                <w:rFonts w:cstheme="minorHAnsi"/>
                <w:sz w:val="20"/>
                <w:szCs w:val="20"/>
              </w:rPr>
            </w:pPr>
            <w:r w:rsidRPr="0087485F">
              <w:rPr>
                <w:rFonts w:cstheme="minorHAnsi"/>
                <w:sz w:val="20"/>
                <w:szCs w:val="20"/>
              </w:rPr>
              <w:t xml:space="preserve">Comparison </w:t>
            </w:r>
          </w:p>
          <w:p w:rsidR="00D907AF" w:rsidRPr="0087485F" w:rsidRDefault="00D907AF" w:rsidP="00D907AF">
            <w:pPr>
              <w:spacing w:before="20" w:after="20"/>
              <w:jc w:val="center"/>
              <w:rPr>
                <w:rFonts w:cstheme="minorHAnsi"/>
                <w:sz w:val="20"/>
                <w:szCs w:val="20"/>
              </w:rPr>
            </w:pPr>
            <w:r w:rsidRPr="0087485F">
              <w:rPr>
                <w:rFonts w:cstheme="minorHAnsi"/>
                <w:sz w:val="20"/>
                <w:szCs w:val="20"/>
              </w:rPr>
              <w:t>%</w:t>
            </w:r>
          </w:p>
        </w:tc>
      </w:tr>
      <w:tr w:rsidR="00D907AF" w:rsidRPr="0087485F" w:rsidTr="003E471E">
        <w:tc>
          <w:tcPr>
            <w:tcW w:w="6310" w:type="dxa"/>
            <w:shd w:val="clear" w:color="auto" w:fill="FFFFFF" w:themeFill="background1"/>
          </w:tcPr>
          <w:p w:rsidR="00D907AF" w:rsidRPr="0087485F" w:rsidRDefault="00D907AF" w:rsidP="009C791E">
            <w:pPr>
              <w:spacing w:before="20" w:after="20"/>
              <w:rPr>
                <w:rFonts w:cstheme="minorHAnsi"/>
                <w:sz w:val="20"/>
                <w:szCs w:val="20"/>
              </w:rPr>
            </w:pPr>
            <w:r w:rsidRPr="0087485F">
              <w:rPr>
                <w:rFonts w:cstheme="minorHAnsi"/>
                <w:sz w:val="20"/>
                <w:szCs w:val="20"/>
              </w:rPr>
              <w:t>Spend time with family at home</w:t>
            </w:r>
          </w:p>
        </w:tc>
        <w:tc>
          <w:tcPr>
            <w:tcW w:w="886" w:type="dxa"/>
            <w:shd w:val="clear" w:color="auto" w:fill="FFFFFF" w:themeFill="background1"/>
          </w:tcPr>
          <w:p w:rsidR="00D907AF" w:rsidRPr="0087485F" w:rsidRDefault="00D907AF" w:rsidP="003E471E">
            <w:pPr>
              <w:spacing w:before="20" w:after="20"/>
              <w:ind w:right="113"/>
              <w:jc w:val="right"/>
              <w:rPr>
                <w:rFonts w:cstheme="minorHAnsi"/>
                <w:color w:val="000000"/>
                <w:sz w:val="20"/>
                <w:szCs w:val="20"/>
              </w:rPr>
            </w:pPr>
            <w:r w:rsidRPr="0087485F">
              <w:rPr>
                <w:rFonts w:cstheme="minorHAnsi"/>
                <w:color w:val="000000"/>
                <w:sz w:val="20"/>
                <w:szCs w:val="20"/>
              </w:rPr>
              <w:t>46.4</w:t>
            </w:r>
          </w:p>
        </w:tc>
        <w:tc>
          <w:tcPr>
            <w:tcW w:w="1523" w:type="dxa"/>
            <w:shd w:val="clear" w:color="auto" w:fill="FFFFFF" w:themeFill="background1"/>
          </w:tcPr>
          <w:p w:rsidR="00D907AF" w:rsidRPr="0087485F" w:rsidRDefault="00D907AF" w:rsidP="003E471E">
            <w:pPr>
              <w:spacing w:before="20" w:after="20"/>
              <w:ind w:right="397"/>
              <w:jc w:val="right"/>
              <w:rPr>
                <w:rFonts w:cstheme="minorHAnsi"/>
                <w:color w:val="000000"/>
                <w:sz w:val="20"/>
                <w:szCs w:val="20"/>
              </w:rPr>
            </w:pPr>
            <w:r w:rsidRPr="0087485F">
              <w:rPr>
                <w:rFonts w:cstheme="minorHAnsi"/>
                <w:color w:val="000000"/>
                <w:sz w:val="20"/>
                <w:szCs w:val="20"/>
              </w:rPr>
              <w:t>45.1</w:t>
            </w:r>
          </w:p>
        </w:tc>
      </w:tr>
      <w:tr w:rsidR="00D907AF" w:rsidRPr="0087485F" w:rsidTr="003E471E">
        <w:tc>
          <w:tcPr>
            <w:tcW w:w="6310" w:type="dxa"/>
            <w:shd w:val="clear" w:color="auto" w:fill="FFFFFF" w:themeFill="background1"/>
          </w:tcPr>
          <w:p w:rsidR="00D907AF" w:rsidRPr="0087485F" w:rsidRDefault="00D907AF" w:rsidP="009C791E">
            <w:pPr>
              <w:spacing w:before="20" w:after="20"/>
              <w:rPr>
                <w:rFonts w:cstheme="minorHAnsi"/>
                <w:sz w:val="20"/>
                <w:szCs w:val="20"/>
              </w:rPr>
            </w:pPr>
            <w:r w:rsidRPr="0087485F">
              <w:rPr>
                <w:rFonts w:cstheme="minorHAnsi"/>
                <w:sz w:val="20"/>
                <w:szCs w:val="20"/>
              </w:rPr>
              <w:t>Spend time with friends at home</w:t>
            </w:r>
          </w:p>
        </w:tc>
        <w:tc>
          <w:tcPr>
            <w:tcW w:w="886" w:type="dxa"/>
            <w:shd w:val="clear" w:color="auto" w:fill="FFFFFF" w:themeFill="background1"/>
          </w:tcPr>
          <w:p w:rsidR="00D907AF" w:rsidRPr="0087485F" w:rsidRDefault="00D907AF" w:rsidP="003E471E">
            <w:pPr>
              <w:spacing w:before="20" w:after="20"/>
              <w:ind w:right="113"/>
              <w:jc w:val="right"/>
              <w:rPr>
                <w:rFonts w:cstheme="minorHAnsi"/>
                <w:color w:val="000000"/>
                <w:sz w:val="20"/>
                <w:szCs w:val="20"/>
              </w:rPr>
            </w:pPr>
            <w:r w:rsidRPr="0087485F">
              <w:rPr>
                <w:rFonts w:cstheme="minorHAnsi"/>
                <w:color w:val="000000"/>
                <w:sz w:val="20"/>
                <w:szCs w:val="20"/>
              </w:rPr>
              <w:t>17.5</w:t>
            </w:r>
          </w:p>
        </w:tc>
        <w:tc>
          <w:tcPr>
            <w:tcW w:w="1523" w:type="dxa"/>
            <w:shd w:val="clear" w:color="auto" w:fill="FFFFFF" w:themeFill="background1"/>
          </w:tcPr>
          <w:p w:rsidR="00D907AF" w:rsidRPr="0087485F" w:rsidRDefault="00D907AF" w:rsidP="003E471E">
            <w:pPr>
              <w:spacing w:before="20" w:after="20"/>
              <w:ind w:right="397"/>
              <w:jc w:val="right"/>
              <w:rPr>
                <w:rFonts w:cstheme="minorHAnsi"/>
                <w:color w:val="000000"/>
                <w:sz w:val="20"/>
                <w:szCs w:val="20"/>
              </w:rPr>
            </w:pPr>
            <w:r w:rsidRPr="0087485F">
              <w:rPr>
                <w:rFonts w:cstheme="minorHAnsi"/>
                <w:color w:val="000000"/>
                <w:sz w:val="20"/>
                <w:szCs w:val="20"/>
              </w:rPr>
              <w:t>20.4</w:t>
            </w:r>
          </w:p>
        </w:tc>
      </w:tr>
      <w:tr w:rsidR="00D907AF" w:rsidRPr="0087485F" w:rsidTr="003E471E">
        <w:tc>
          <w:tcPr>
            <w:tcW w:w="6310" w:type="dxa"/>
            <w:shd w:val="clear" w:color="auto" w:fill="FFFFFF" w:themeFill="background1"/>
          </w:tcPr>
          <w:p w:rsidR="00D907AF" w:rsidRPr="0087485F" w:rsidRDefault="00D907AF" w:rsidP="009C791E">
            <w:pPr>
              <w:spacing w:before="20" w:after="20"/>
              <w:rPr>
                <w:rFonts w:cstheme="minorHAnsi"/>
                <w:sz w:val="20"/>
                <w:szCs w:val="20"/>
              </w:rPr>
            </w:pPr>
            <w:r w:rsidRPr="0087485F">
              <w:rPr>
                <w:rFonts w:cstheme="minorHAnsi"/>
                <w:sz w:val="20"/>
                <w:szCs w:val="20"/>
              </w:rPr>
              <w:t>Spend time with family outside the home</w:t>
            </w:r>
          </w:p>
        </w:tc>
        <w:tc>
          <w:tcPr>
            <w:tcW w:w="886" w:type="dxa"/>
            <w:shd w:val="clear" w:color="auto" w:fill="FFFFFF" w:themeFill="background1"/>
          </w:tcPr>
          <w:p w:rsidR="00D907AF" w:rsidRPr="0087485F" w:rsidRDefault="00D907AF" w:rsidP="003E471E">
            <w:pPr>
              <w:spacing w:before="20" w:after="20"/>
              <w:ind w:right="113"/>
              <w:jc w:val="right"/>
              <w:rPr>
                <w:rFonts w:cstheme="minorHAnsi"/>
                <w:color w:val="000000"/>
                <w:sz w:val="20"/>
                <w:szCs w:val="20"/>
              </w:rPr>
            </w:pPr>
            <w:r w:rsidRPr="0087485F">
              <w:rPr>
                <w:rFonts w:cstheme="minorHAnsi"/>
                <w:color w:val="000000"/>
                <w:sz w:val="20"/>
                <w:szCs w:val="20"/>
              </w:rPr>
              <w:t>40.6</w:t>
            </w:r>
          </w:p>
        </w:tc>
        <w:tc>
          <w:tcPr>
            <w:tcW w:w="1523" w:type="dxa"/>
            <w:shd w:val="clear" w:color="auto" w:fill="FFFFFF" w:themeFill="background1"/>
          </w:tcPr>
          <w:p w:rsidR="00D907AF" w:rsidRPr="0087485F" w:rsidRDefault="00D907AF" w:rsidP="003E471E">
            <w:pPr>
              <w:spacing w:before="20" w:after="20"/>
              <w:ind w:right="397"/>
              <w:jc w:val="right"/>
              <w:rPr>
                <w:rFonts w:cstheme="minorHAnsi"/>
                <w:color w:val="000000"/>
                <w:sz w:val="20"/>
                <w:szCs w:val="20"/>
              </w:rPr>
            </w:pPr>
            <w:r w:rsidRPr="0087485F">
              <w:rPr>
                <w:rFonts w:cstheme="minorHAnsi"/>
                <w:color w:val="000000"/>
                <w:sz w:val="20"/>
                <w:szCs w:val="20"/>
              </w:rPr>
              <w:t>39.5</w:t>
            </w:r>
          </w:p>
        </w:tc>
      </w:tr>
      <w:tr w:rsidR="00D907AF" w:rsidRPr="0087485F" w:rsidTr="003E471E">
        <w:tc>
          <w:tcPr>
            <w:tcW w:w="6310" w:type="dxa"/>
            <w:shd w:val="clear" w:color="auto" w:fill="FFFFFF" w:themeFill="background1"/>
          </w:tcPr>
          <w:p w:rsidR="00D907AF" w:rsidRPr="0087485F" w:rsidRDefault="00D907AF" w:rsidP="009C791E">
            <w:pPr>
              <w:spacing w:before="20" w:after="20"/>
              <w:rPr>
                <w:rFonts w:cstheme="minorHAnsi"/>
                <w:sz w:val="20"/>
                <w:szCs w:val="20"/>
              </w:rPr>
            </w:pPr>
            <w:r w:rsidRPr="0087485F">
              <w:rPr>
                <w:rFonts w:cstheme="minorHAnsi"/>
                <w:sz w:val="20"/>
                <w:szCs w:val="20"/>
              </w:rPr>
              <w:t>Spend time with friends outside the home</w:t>
            </w:r>
          </w:p>
        </w:tc>
        <w:tc>
          <w:tcPr>
            <w:tcW w:w="886" w:type="dxa"/>
            <w:shd w:val="clear" w:color="auto" w:fill="FFFFFF" w:themeFill="background1"/>
          </w:tcPr>
          <w:p w:rsidR="00D907AF" w:rsidRPr="0087485F" w:rsidRDefault="00D907AF" w:rsidP="003E471E">
            <w:pPr>
              <w:spacing w:before="20" w:after="20"/>
              <w:ind w:right="113"/>
              <w:jc w:val="right"/>
              <w:rPr>
                <w:rFonts w:cstheme="minorHAnsi"/>
                <w:color w:val="000000"/>
                <w:sz w:val="20"/>
                <w:szCs w:val="20"/>
              </w:rPr>
            </w:pPr>
            <w:r w:rsidRPr="0087485F">
              <w:rPr>
                <w:rFonts w:cstheme="minorHAnsi"/>
                <w:color w:val="000000"/>
                <w:sz w:val="20"/>
                <w:szCs w:val="20"/>
              </w:rPr>
              <w:t>36.8</w:t>
            </w:r>
          </w:p>
        </w:tc>
        <w:tc>
          <w:tcPr>
            <w:tcW w:w="1523" w:type="dxa"/>
            <w:shd w:val="clear" w:color="auto" w:fill="FFFFFF" w:themeFill="background1"/>
          </w:tcPr>
          <w:p w:rsidR="00D907AF" w:rsidRPr="0087485F" w:rsidRDefault="00D907AF" w:rsidP="003E471E">
            <w:pPr>
              <w:spacing w:before="20" w:after="20"/>
              <w:ind w:right="397"/>
              <w:jc w:val="right"/>
              <w:rPr>
                <w:rFonts w:cstheme="minorHAnsi"/>
                <w:color w:val="000000"/>
                <w:sz w:val="20"/>
                <w:szCs w:val="20"/>
              </w:rPr>
            </w:pPr>
            <w:r w:rsidRPr="0087485F">
              <w:rPr>
                <w:rFonts w:cstheme="minorHAnsi"/>
                <w:color w:val="000000"/>
                <w:sz w:val="20"/>
                <w:szCs w:val="20"/>
              </w:rPr>
              <w:t>36.3</w:t>
            </w:r>
          </w:p>
        </w:tc>
      </w:tr>
      <w:tr w:rsidR="00D907AF" w:rsidRPr="0087485F" w:rsidTr="003E471E">
        <w:tc>
          <w:tcPr>
            <w:tcW w:w="6310" w:type="dxa"/>
            <w:shd w:val="clear" w:color="auto" w:fill="FFFFFF" w:themeFill="background1"/>
          </w:tcPr>
          <w:p w:rsidR="00D907AF" w:rsidRPr="0087485F" w:rsidRDefault="00D907AF" w:rsidP="009C791E">
            <w:pPr>
              <w:spacing w:before="20" w:after="20"/>
              <w:rPr>
                <w:rFonts w:cstheme="minorHAnsi"/>
                <w:sz w:val="20"/>
                <w:szCs w:val="20"/>
              </w:rPr>
            </w:pPr>
            <w:r w:rsidRPr="0087485F">
              <w:rPr>
                <w:rFonts w:cstheme="minorHAnsi"/>
                <w:sz w:val="20"/>
                <w:szCs w:val="20"/>
              </w:rPr>
              <w:t>Use the internet for social networking and emailing</w:t>
            </w:r>
          </w:p>
        </w:tc>
        <w:tc>
          <w:tcPr>
            <w:tcW w:w="886" w:type="dxa"/>
            <w:shd w:val="clear" w:color="auto" w:fill="FFFFFF" w:themeFill="background1"/>
          </w:tcPr>
          <w:p w:rsidR="00D907AF" w:rsidRPr="0087485F" w:rsidRDefault="00D907AF" w:rsidP="003E471E">
            <w:pPr>
              <w:spacing w:before="20" w:after="20"/>
              <w:ind w:right="113"/>
              <w:jc w:val="right"/>
              <w:rPr>
                <w:rFonts w:cstheme="minorHAnsi"/>
                <w:color w:val="000000"/>
                <w:sz w:val="20"/>
                <w:szCs w:val="20"/>
              </w:rPr>
            </w:pPr>
            <w:r w:rsidRPr="0087485F">
              <w:rPr>
                <w:rFonts w:cstheme="minorHAnsi"/>
                <w:color w:val="000000"/>
                <w:sz w:val="20"/>
                <w:szCs w:val="20"/>
              </w:rPr>
              <w:t>15.0</w:t>
            </w:r>
          </w:p>
        </w:tc>
        <w:tc>
          <w:tcPr>
            <w:tcW w:w="1523" w:type="dxa"/>
            <w:shd w:val="clear" w:color="auto" w:fill="FFFFFF" w:themeFill="background1"/>
          </w:tcPr>
          <w:p w:rsidR="00D907AF" w:rsidRPr="0087485F" w:rsidRDefault="00D907AF" w:rsidP="003E471E">
            <w:pPr>
              <w:spacing w:before="20" w:after="20"/>
              <w:ind w:right="397"/>
              <w:jc w:val="right"/>
              <w:rPr>
                <w:rFonts w:cstheme="minorHAnsi"/>
                <w:color w:val="000000"/>
                <w:sz w:val="20"/>
                <w:szCs w:val="20"/>
              </w:rPr>
            </w:pPr>
            <w:r w:rsidRPr="0087485F">
              <w:rPr>
                <w:rFonts w:cstheme="minorHAnsi"/>
                <w:color w:val="000000"/>
                <w:sz w:val="20"/>
                <w:szCs w:val="20"/>
              </w:rPr>
              <w:t>15.9</w:t>
            </w:r>
          </w:p>
        </w:tc>
      </w:tr>
      <w:tr w:rsidR="00D907AF" w:rsidRPr="0087485F" w:rsidTr="003E471E">
        <w:tc>
          <w:tcPr>
            <w:tcW w:w="6310" w:type="dxa"/>
            <w:shd w:val="clear" w:color="auto" w:fill="FFFFFF" w:themeFill="background1"/>
          </w:tcPr>
          <w:p w:rsidR="00D907AF" w:rsidRPr="0087485F" w:rsidRDefault="00D907AF" w:rsidP="009C791E">
            <w:pPr>
              <w:spacing w:before="20" w:after="20"/>
              <w:rPr>
                <w:rFonts w:cstheme="minorHAnsi"/>
                <w:sz w:val="20"/>
                <w:szCs w:val="20"/>
              </w:rPr>
            </w:pPr>
            <w:r w:rsidRPr="0087485F">
              <w:rPr>
                <w:rFonts w:cstheme="minorHAnsi"/>
                <w:sz w:val="20"/>
                <w:szCs w:val="20"/>
              </w:rPr>
              <w:t>Use the internet for shopping, arranging appointments, booking meetings</w:t>
            </w:r>
          </w:p>
        </w:tc>
        <w:tc>
          <w:tcPr>
            <w:tcW w:w="886" w:type="dxa"/>
            <w:shd w:val="clear" w:color="auto" w:fill="FFFFFF" w:themeFill="background1"/>
          </w:tcPr>
          <w:p w:rsidR="00D907AF" w:rsidRPr="0087485F" w:rsidRDefault="00D907AF" w:rsidP="003E471E">
            <w:pPr>
              <w:spacing w:before="20" w:after="20"/>
              <w:ind w:right="113"/>
              <w:jc w:val="right"/>
              <w:rPr>
                <w:rFonts w:cstheme="minorHAnsi"/>
                <w:color w:val="000000"/>
                <w:sz w:val="20"/>
                <w:szCs w:val="20"/>
              </w:rPr>
            </w:pPr>
            <w:r w:rsidRPr="0087485F">
              <w:rPr>
                <w:rFonts w:cstheme="minorHAnsi"/>
                <w:color w:val="000000"/>
                <w:sz w:val="20"/>
                <w:szCs w:val="20"/>
              </w:rPr>
              <w:t>4.7</w:t>
            </w:r>
          </w:p>
        </w:tc>
        <w:tc>
          <w:tcPr>
            <w:tcW w:w="1523" w:type="dxa"/>
            <w:shd w:val="clear" w:color="auto" w:fill="FFFFFF" w:themeFill="background1"/>
          </w:tcPr>
          <w:p w:rsidR="00D907AF" w:rsidRPr="0087485F" w:rsidRDefault="00D907AF" w:rsidP="003E471E">
            <w:pPr>
              <w:spacing w:before="20" w:after="20"/>
              <w:ind w:right="397"/>
              <w:jc w:val="right"/>
              <w:rPr>
                <w:rFonts w:cstheme="minorHAnsi"/>
                <w:color w:val="000000"/>
                <w:sz w:val="20"/>
                <w:szCs w:val="20"/>
              </w:rPr>
            </w:pPr>
            <w:r w:rsidRPr="0087485F">
              <w:rPr>
                <w:rFonts w:cstheme="minorHAnsi"/>
                <w:color w:val="000000"/>
                <w:sz w:val="20"/>
                <w:szCs w:val="20"/>
              </w:rPr>
              <w:t>5.3</w:t>
            </w:r>
          </w:p>
        </w:tc>
      </w:tr>
      <w:tr w:rsidR="00D907AF" w:rsidRPr="0087485F" w:rsidTr="003E471E">
        <w:tc>
          <w:tcPr>
            <w:tcW w:w="6310" w:type="dxa"/>
            <w:shd w:val="clear" w:color="auto" w:fill="FFFFFF" w:themeFill="background1"/>
          </w:tcPr>
          <w:p w:rsidR="00D907AF" w:rsidRPr="0087485F" w:rsidRDefault="00D907AF" w:rsidP="009C791E">
            <w:pPr>
              <w:spacing w:before="20" w:after="20"/>
              <w:rPr>
                <w:rFonts w:cstheme="minorHAnsi"/>
                <w:sz w:val="20"/>
                <w:szCs w:val="20"/>
              </w:rPr>
            </w:pPr>
            <w:r w:rsidRPr="0087485F">
              <w:rPr>
                <w:rFonts w:cstheme="minorHAnsi"/>
                <w:sz w:val="20"/>
                <w:szCs w:val="20"/>
              </w:rPr>
              <w:t>Play sports, go for a walk or go swimming</w:t>
            </w:r>
          </w:p>
        </w:tc>
        <w:tc>
          <w:tcPr>
            <w:tcW w:w="886" w:type="dxa"/>
            <w:shd w:val="clear" w:color="auto" w:fill="FFFFFF" w:themeFill="background1"/>
          </w:tcPr>
          <w:p w:rsidR="00D907AF" w:rsidRPr="0087485F" w:rsidRDefault="00D907AF" w:rsidP="003E471E">
            <w:pPr>
              <w:spacing w:before="20" w:after="20"/>
              <w:ind w:right="113"/>
              <w:jc w:val="right"/>
              <w:rPr>
                <w:rFonts w:cstheme="minorHAnsi"/>
                <w:color w:val="000000"/>
                <w:sz w:val="20"/>
                <w:szCs w:val="20"/>
              </w:rPr>
            </w:pPr>
            <w:r w:rsidRPr="0087485F">
              <w:rPr>
                <w:rFonts w:cstheme="minorHAnsi"/>
                <w:color w:val="000000"/>
                <w:sz w:val="20"/>
                <w:szCs w:val="20"/>
              </w:rPr>
              <w:t>36.6</w:t>
            </w:r>
          </w:p>
        </w:tc>
        <w:tc>
          <w:tcPr>
            <w:tcW w:w="1523" w:type="dxa"/>
            <w:shd w:val="clear" w:color="auto" w:fill="FFFFFF" w:themeFill="background1"/>
          </w:tcPr>
          <w:p w:rsidR="00D907AF" w:rsidRPr="0087485F" w:rsidRDefault="00D907AF" w:rsidP="003E471E">
            <w:pPr>
              <w:spacing w:before="20" w:after="20"/>
              <w:ind w:right="397"/>
              <w:jc w:val="right"/>
              <w:rPr>
                <w:rFonts w:cstheme="minorHAnsi"/>
                <w:color w:val="000000"/>
                <w:sz w:val="20"/>
                <w:szCs w:val="20"/>
              </w:rPr>
            </w:pPr>
            <w:r w:rsidRPr="0087485F">
              <w:rPr>
                <w:rFonts w:cstheme="minorHAnsi"/>
                <w:color w:val="000000"/>
                <w:sz w:val="20"/>
                <w:szCs w:val="20"/>
              </w:rPr>
              <w:t>33.6</w:t>
            </w:r>
          </w:p>
        </w:tc>
      </w:tr>
      <w:tr w:rsidR="00D907AF" w:rsidRPr="0087485F" w:rsidTr="003E471E">
        <w:tc>
          <w:tcPr>
            <w:tcW w:w="6310" w:type="dxa"/>
            <w:shd w:val="clear" w:color="auto" w:fill="FFFFFF" w:themeFill="background1"/>
          </w:tcPr>
          <w:p w:rsidR="00D907AF" w:rsidRPr="0087485F" w:rsidRDefault="00D907AF" w:rsidP="009C791E">
            <w:pPr>
              <w:spacing w:before="20" w:after="20"/>
              <w:rPr>
                <w:rFonts w:cstheme="minorHAnsi"/>
                <w:sz w:val="20"/>
                <w:szCs w:val="20"/>
              </w:rPr>
            </w:pPr>
            <w:r w:rsidRPr="0087485F">
              <w:rPr>
                <w:rFonts w:cstheme="minorHAnsi"/>
                <w:sz w:val="20"/>
                <w:szCs w:val="20"/>
              </w:rPr>
              <w:t>Go to see a show or movie, or go out for food or drinks</w:t>
            </w:r>
          </w:p>
        </w:tc>
        <w:tc>
          <w:tcPr>
            <w:tcW w:w="886" w:type="dxa"/>
            <w:shd w:val="clear" w:color="auto" w:fill="FFFFFF" w:themeFill="background1"/>
          </w:tcPr>
          <w:p w:rsidR="00D907AF" w:rsidRPr="0087485F" w:rsidRDefault="00D907AF" w:rsidP="003E471E">
            <w:pPr>
              <w:spacing w:before="20" w:after="20"/>
              <w:ind w:right="113"/>
              <w:jc w:val="right"/>
              <w:rPr>
                <w:rFonts w:cstheme="minorHAnsi"/>
                <w:color w:val="000000"/>
                <w:sz w:val="20"/>
                <w:szCs w:val="20"/>
              </w:rPr>
            </w:pPr>
            <w:r w:rsidRPr="0087485F">
              <w:rPr>
                <w:rFonts w:cstheme="minorHAnsi"/>
                <w:color w:val="000000"/>
                <w:sz w:val="20"/>
                <w:szCs w:val="20"/>
              </w:rPr>
              <w:t>52.2</w:t>
            </w:r>
          </w:p>
        </w:tc>
        <w:tc>
          <w:tcPr>
            <w:tcW w:w="1523" w:type="dxa"/>
            <w:shd w:val="clear" w:color="auto" w:fill="FFFFFF" w:themeFill="background1"/>
          </w:tcPr>
          <w:p w:rsidR="00D907AF" w:rsidRPr="0087485F" w:rsidRDefault="00D907AF" w:rsidP="003E471E">
            <w:pPr>
              <w:spacing w:before="20" w:after="20"/>
              <w:ind w:right="397"/>
              <w:jc w:val="right"/>
              <w:rPr>
                <w:rFonts w:cstheme="minorHAnsi"/>
                <w:color w:val="000000"/>
                <w:sz w:val="20"/>
                <w:szCs w:val="20"/>
              </w:rPr>
            </w:pPr>
            <w:r w:rsidRPr="0087485F">
              <w:rPr>
                <w:rFonts w:cstheme="minorHAnsi"/>
                <w:color w:val="000000"/>
                <w:sz w:val="20"/>
                <w:szCs w:val="20"/>
              </w:rPr>
              <w:t>38.4</w:t>
            </w:r>
          </w:p>
        </w:tc>
      </w:tr>
      <w:tr w:rsidR="00D907AF" w:rsidRPr="0087485F" w:rsidTr="003E471E">
        <w:tc>
          <w:tcPr>
            <w:tcW w:w="6310" w:type="dxa"/>
            <w:shd w:val="clear" w:color="auto" w:fill="FFFFFF" w:themeFill="background1"/>
          </w:tcPr>
          <w:p w:rsidR="00D907AF" w:rsidRPr="0087485F" w:rsidRDefault="00D907AF" w:rsidP="009C791E">
            <w:pPr>
              <w:spacing w:before="20" w:after="20"/>
              <w:rPr>
                <w:rFonts w:cstheme="minorHAnsi"/>
                <w:sz w:val="20"/>
                <w:szCs w:val="20"/>
              </w:rPr>
            </w:pPr>
            <w:r w:rsidRPr="0087485F">
              <w:rPr>
                <w:rFonts w:cstheme="minorHAnsi"/>
                <w:sz w:val="20"/>
                <w:szCs w:val="20"/>
              </w:rPr>
              <w:t>Go on a holiday</w:t>
            </w:r>
          </w:p>
        </w:tc>
        <w:tc>
          <w:tcPr>
            <w:tcW w:w="886" w:type="dxa"/>
            <w:shd w:val="clear" w:color="auto" w:fill="FFFFFF" w:themeFill="background1"/>
          </w:tcPr>
          <w:p w:rsidR="00D907AF" w:rsidRPr="0087485F" w:rsidRDefault="00D907AF" w:rsidP="003E471E">
            <w:pPr>
              <w:spacing w:before="20" w:after="20"/>
              <w:ind w:right="113"/>
              <w:jc w:val="right"/>
              <w:rPr>
                <w:rFonts w:cstheme="minorHAnsi"/>
                <w:color w:val="000000"/>
                <w:sz w:val="20"/>
                <w:szCs w:val="20"/>
              </w:rPr>
            </w:pPr>
            <w:r w:rsidRPr="0087485F">
              <w:rPr>
                <w:rFonts w:cstheme="minorHAnsi"/>
                <w:color w:val="000000"/>
                <w:sz w:val="20"/>
                <w:szCs w:val="20"/>
              </w:rPr>
              <w:t>52.0</w:t>
            </w:r>
          </w:p>
        </w:tc>
        <w:tc>
          <w:tcPr>
            <w:tcW w:w="1523" w:type="dxa"/>
            <w:shd w:val="clear" w:color="auto" w:fill="FFFFFF" w:themeFill="background1"/>
          </w:tcPr>
          <w:p w:rsidR="00D907AF" w:rsidRPr="0087485F" w:rsidRDefault="00D907AF" w:rsidP="003E471E">
            <w:pPr>
              <w:spacing w:before="20" w:after="20"/>
              <w:ind w:right="397"/>
              <w:jc w:val="right"/>
              <w:rPr>
                <w:rFonts w:cstheme="minorHAnsi"/>
                <w:color w:val="000000"/>
                <w:sz w:val="20"/>
                <w:szCs w:val="20"/>
              </w:rPr>
            </w:pPr>
            <w:r w:rsidRPr="0087485F">
              <w:rPr>
                <w:rFonts w:cstheme="minorHAnsi"/>
                <w:color w:val="000000"/>
                <w:sz w:val="20"/>
                <w:szCs w:val="20"/>
              </w:rPr>
              <w:t>49.6</w:t>
            </w:r>
          </w:p>
        </w:tc>
      </w:tr>
      <w:tr w:rsidR="00D907AF" w:rsidRPr="0087485F" w:rsidTr="003E471E">
        <w:tc>
          <w:tcPr>
            <w:tcW w:w="6310" w:type="dxa"/>
            <w:shd w:val="clear" w:color="auto" w:fill="FFFFFF" w:themeFill="background1"/>
          </w:tcPr>
          <w:p w:rsidR="00D907AF" w:rsidRPr="0087485F" w:rsidRDefault="00D907AF" w:rsidP="009C791E">
            <w:pPr>
              <w:spacing w:before="20" w:after="20"/>
              <w:rPr>
                <w:rFonts w:cstheme="minorHAnsi"/>
                <w:sz w:val="20"/>
                <w:szCs w:val="20"/>
              </w:rPr>
            </w:pPr>
            <w:r w:rsidRPr="0087485F">
              <w:rPr>
                <w:rFonts w:cstheme="minorHAnsi"/>
                <w:sz w:val="20"/>
                <w:szCs w:val="20"/>
              </w:rPr>
              <w:t>Other social or leisure activities</w:t>
            </w:r>
          </w:p>
        </w:tc>
        <w:tc>
          <w:tcPr>
            <w:tcW w:w="886" w:type="dxa"/>
            <w:shd w:val="clear" w:color="auto" w:fill="FFFFFF" w:themeFill="background1"/>
          </w:tcPr>
          <w:p w:rsidR="00D907AF" w:rsidRPr="0087485F" w:rsidRDefault="00D907AF" w:rsidP="003E471E">
            <w:pPr>
              <w:spacing w:before="20" w:after="20"/>
              <w:ind w:right="113"/>
              <w:jc w:val="right"/>
              <w:rPr>
                <w:rFonts w:cstheme="minorHAnsi"/>
                <w:color w:val="000000"/>
                <w:sz w:val="20"/>
                <w:szCs w:val="20"/>
              </w:rPr>
            </w:pPr>
            <w:r w:rsidRPr="0087485F">
              <w:rPr>
                <w:rFonts w:cstheme="minorHAnsi"/>
                <w:color w:val="000000"/>
                <w:sz w:val="20"/>
                <w:szCs w:val="20"/>
              </w:rPr>
              <w:t>17.7</w:t>
            </w:r>
          </w:p>
        </w:tc>
        <w:tc>
          <w:tcPr>
            <w:tcW w:w="1523" w:type="dxa"/>
            <w:shd w:val="clear" w:color="auto" w:fill="FFFFFF" w:themeFill="background1"/>
          </w:tcPr>
          <w:p w:rsidR="00D907AF" w:rsidRPr="0087485F" w:rsidRDefault="00D907AF" w:rsidP="003E471E">
            <w:pPr>
              <w:spacing w:before="20" w:after="20"/>
              <w:ind w:right="397"/>
              <w:jc w:val="right"/>
              <w:rPr>
                <w:rFonts w:cstheme="minorHAnsi"/>
                <w:color w:val="000000"/>
                <w:sz w:val="20"/>
                <w:szCs w:val="20"/>
              </w:rPr>
            </w:pPr>
            <w:r w:rsidRPr="0087485F">
              <w:rPr>
                <w:rFonts w:cstheme="minorHAnsi"/>
                <w:color w:val="000000"/>
                <w:sz w:val="20"/>
                <w:szCs w:val="20"/>
              </w:rPr>
              <w:t>16.4</w:t>
            </w:r>
          </w:p>
        </w:tc>
      </w:tr>
      <w:tr w:rsidR="00D907AF" w:rsidRPr="0087485F" w:rsidTr="00B00424">
        <w:trPr>
          <w:trHeight w:val="397"/>
        </w:trPr>
        <w:tc>
          <w:tcPr>
            <w:tcW w:w="6310" w:type="dxa"/>
            <w:tcBorders>
              <w:top w:val="single" w:sz="4" w:space="0" w:color="auto"/>
              <w:bottom w:val="single" w:sz="4" w:space="0" w:color="auto"/>
            </w:tcBorders>
            <w:shd w:val="clear" w:color="auto" w:fill="FFFFFF" w:themeFill="background1"/>
            <w:vAlign w:val="center"/>
          </w:tcPr>
          <w:p w:rsidR="00D907AF" w:rsidRPr="0087485F" w:rsidRDefault="00D907AF" w:rsidP="00B00424">
            <w:pPr>
              <w:spacing w:before="20" w:after="20"/>
              <w:rPr>
                <w:rFonts w:cstheme="minorHAnsi"/>
                <w:b/>
                <w:sz w:val="20"/>
                <w:szCs w:val="20"/>
              </w:rPr>
            </w:pPr>
            <w:r w:rsidRPr="0087485F">
              <w:rPr>
                <w:rFonts w:cstheme="minorHAnsi"/>
                <w:b/>
                <w:sz w:val="20"/>
                <w:szCs w:val="20"/>
              </w:rPr>
              <w:t>Total</w:t>
            </w:r>
            <w:r w:rsidR="00B00424">
              <w:rPr>
                <w:rFonts w:cstheme="minorHAnsi"/>
                <w:b/>
                <w:sz w:val="20"/>
                <w:szCs w:val="20"/>
              </w:rPr>
              <w:t xml:space="preserve"> number of respondents</w:t>
            </w:r>
          </w:p>
        </w:tc>
        <w:tc>
          <w:tcPr>
            <w:tcW w:w="886" w:type="dxa"/>
            <w:tcBorders>
              <w:top w:val="single" w:sz="4" w:space="0" w:color="auto"/>
              <w:bottom w:val="single" w:sz="4" w:space="0" w:color="auto"/>
            </w:tcBorders>
            <w:shd w:val="clear" w:color="auto" w:fill="FFFFFF" w:themeFill="background1"/>
            <w:vAlign w:val="center"/>
          </w:tcPr>
          <w:p w:rsidR="00D907AF" w:rsidRPr="0087485F" w:rsidRDefault="00D907AF" w:rsidP="00B00424">
            <w:pPr>
              <w:spacing w:before="20" w:after="20"/>
              <w:ind w:right="113"/>
              <w:jc w:val="right"/>
              <w:rPr>
                <w:rFonts w:cstheme="minorHAnsi"/>
                <w:b/>
                <w:color w:val="000000"/>
                <w:sz w:val="20"/>
                <w:szCs w:val="20"/>
              </w:rPr>
            </w:pPr>
            <w:r w:rsidRPr="0087485F">
              <w:rPr>
                <w:rFonts w:cstheme="minorHAnsi"/>
                <w:b/>
                <w:color w:val="000000"/>
                <w:sz w:val="20"/>
                <w:szCs w:val="20"/>
              </w:rPr>
              <w:t>446</w:t>
            </w:r>
          </w:p>
        </w:tc>
        <w:tc>
          <w:tcPr>
            <w:tcW w:w="1523" w:type="dxa"/>
            <w:tcBorders>
              <w:top w:val="single" w:sz="4" w:space="0" w:color="auto"/>
              <w:bottom w:val="single" w:sz="4" w:space="0" w:color="auto"/>
            </w:tcBorders>
            <w:shd w:val="clear" w:color="auto" w:fill="FFFFFF" w:themeFill="background1"/>
            <w:vAlign w:val="center"/>
          </w:tcPr>
          <w:p w:rsidR="00D907AF" w:rsidRPr="0087485F" w:rsidRDefault="00D907AF" w:rsidP="00B00424">
            <w:pPr>
              <w:spacing w:before="20" w:after="20"/>
              <w:ind w:right="397"/>
              <w:jc w:val="right"/>
              <w:rPr>
                <w:rFonts w:cstheme="minorHAnsi"/>
                <w:b/>
                <w:color w:val="000000"/>
                <w:sz w:val="20"/>
                <w:szCs w:val="20"/>
              </w:rPr>
            </w:pPr>
            <w:r w:rsidRPr="0087485F">
              <w:rPr>
                <w:rFonts w:cstheme="minorHAnsi"/>
                <w:b/>
                <w:color w:val="000000"/>
                <w:sz w:val="20"/>
                <w:szCs w:val="20"/>
              </w:rPr>
              <w:t>666</w:t>
            </w:r>
          </w:p>
        </w:tc>
      </w:tr>
    </w:tbl>
    <w:p w:rsidR="00D907AF" w:rsidRPr="00E852D5" w:rsidRDefault="00D907AF" w:rsidP="006C7BE7">
      <w:pPr>
        <w:pStyle w:val="NILSTabletext"/>
      </w:pPr>
      <w:r w:rsidRPr="00E852D5">
        <w:t xml:space="preserve">Note: </w:t>
      </w:r>
      <w:r>
        <w:t>trial and comparison s</w:t>
      </w:r>
      <w:r w:rsidRPr="00B01305">
        <w:t>tandard</w:t>
      </w:r>
      <w:r>
        <w:t xml:space="preserve"> questionnaire 8 years and above; ‘Total’ indicates the number of respondents to answer this question; multiple response question; percentages do not add to 100.</w:t>
      </w:r>
    </w:p>
    <w:p w:rsidR="00953EE5" w:rsidRDefault="00953EE5" w:rsidP="00D907AF"/>
    <w:p w:rsidR="00D907AF" w:rsidRDefault="00D907AF" w:rsidP="00D907AF">
      <w:r>
        <w:t xml:space="preserve">The two questions in Tables 3.40 and 3.41 above will provide a solid benchmark about the ‘starting point’ of our information collection. The difference between current activities and future/planned/ desired activities is reported here. Wave 2 collection will ask about the same activities and report changes in </w:t>
      </w:r>
      <w:r w:rsidRPr="00D43D0C">
        <w:rPr>
          <w:b/>
        </w:rPr>
        <w:t>actual</w:t>
      </w:r>
      <w:r>
        <w:t xml:space="preserve"> activities and also changes in the difference between actual and desired activities.</w:t>
      </w:r>
    </w:p>
    <w:p w:rsidR="00953EE5" w:rsidRDefault="00953EE5" w:rsidP="00D907AF"/>
    <w:p w:rsidR="00D907AF" w:rsidRDefault="00D907AF" w:rsidP="00D907AF">
      <w:r>
        <w:t xml:space="preserve">An important aspect of the NDIS is its explicit objective to remove barriers and hurdles faced by people with disability in their everyday life, presented in Table 3.42. Straight after asking for actual and desired future activities (when the juxtaposition of current wide future/planned activities is fresh in the minds of respondents) </w:t>
      </w:r>
      <w:r w:rsidR="007E7729">
        <w:t xml:space="preserve">respondents are </w:t>
      </w:r>
      <w:r>
        <w:t>ask</w:t>
      </w:r>
      <w:r w:rsidR="007E7729">
        <w:t>ed</w:t>
      </w:r>
      <w:r>
        <w:t xml:space="preserve"> to think about any hurdles that may make their future activities hard to achieve. The survey offers a comprehensive list of potential hurdles and also provides the option of a write-in box to capture diversity where this may be present. </w:t>
      </w:r>
    </w:p>
    <w:p w:rsidR="00D907AF" w:rsidRDefault="00D907AF">
      <w:pPr>
        <w:rPr>
          <w:rFonts w:cstheme="minorHAnsi"/>
          <w:b/>
          <w:sz w:val="20"/>
          <w:szCs w:val="20"/>
        </w:rPr>
      </w:pPr>
      <w:bookmarkStart w:id="328" w:name="_Toc428280694"/>
      <w:r>
        <w:br w:type="page"/>
      </w:r>
    </w:p>
    <w:p w:rsidR="00D907AF" w:rsidRPr="006A08A0" w:rsidRDefault="00D907AF" w:rsidP="0044684E">
      <w:pPr>
        <w:pStyle w:val="NILSTableHeading"/>
      </w:pPr>
      <w:bookmarkStart w:id="329" w:name="_Toc449955304"/>
      <w:r w:rsidRPr="006A08A0">
        <w:rPr>
          <w:rFonts w:hint="eastAsia"/>
        </w:rPr>
        <w:lastRenderedPageBreak/>
        <w:t>Table 3.</w:t>
      </w:r>
      <w:r>
        <w:t>42</w:t>
      </w:r>
      <w:r w:rsidRPr="006A08A0">
        <w:rPr>
          <w:rFonts w:hint="eastAsia"/>
        </w:rPr>
        <w:t xml:space="preserve">: </w:t>
      </w:r>
      <w:r w:rsidRPr="00B26A57">
        <w:rPr>
          <w:rFonts w:hint="eastAsia"/>
        </w:rPr>
        <w:t>Hurdles</w:t>
      </w:r>
      <w:r w:rsidRPr="006A08A0">
        <w:rPr>
          <w:rFonts w:hint="eastAsia"/>
        </w:rPr>
        <w:t xml:space="preserve"> to do</w:t>
      </w:r>
      <w:r>
        <w:t>ing</w:t>
      </w:r>
      <w:r w:rsidRPr="006A08A0">
        <w:rPr>
          <w:rFonts w:hint="eastAsia"/>
        </w:rPr>
        <w:t xml:space="preserve"> things in the coming year</w:t>
      </w:r>
      <w:bookmarkEnd w:id="328"/>
      <w:bookmarkEnd w:id="329"/>
    </w:p>
    <w:tbl>
      <w:tblPr>
        <w:tblStyle w:val="TableGrid"/>
        <w:tblW w:w="7054" w:type="dxa"/>
        <w:shd w:val="clear" w:color="auto" w:fill="FFFFFF" w:themeFill="background1"/>
        <w:tblLayout w:type="fixed"/>
        <w:tblLook w:val="04A0" w:firstRow="1" w:lastRow="0" w:firstColumn="1" w:lastColumn="0" w:noHBand="0" w:noVBand="1"/>
        <w:tblCaption w:val="Table 3.42 Hurdles to doing things in the coming year"/>
      </w:tblPr>
      <w:tblGrid>
        <w:gridCol w:w="4644"/>
        <w:gridCol w:w="993"/>
        <w:gridCol w:w="1417"/>
      </w:tblGrid>
      <w:tr w:rsidR="00D907AF" w:rsidRPr="0087485F" w:rsidTr="002A2650">
        <w:trPr>
          <w:cantSplit/>
          <w:tblHeader/>
        </w:trPr>
        <w:tc>
          <w:tcPr>
            <w:tcW w:w="4644" w:type="dxa"/>
            <w:tcBorders>
              <w:top w:val="single" w:sz="4" w:space="0" w:color="auto"/>
              <w:bottom w:val="single" w:sz="4" w:space="0" w:color="auto"/>
            </w:tcBorders>
            <w:shd w:val="clear" w:color="auto" w:fill="FFFFFF" w:themeFill="background1"/>
          </w:tcPr>
          <w:p w:rsidR="00D907AF" w:rsidRPr="0087485F" w:rsidRDefault="00D907AF" w:rsidP="00D907AF">
            <w:pPr>
              <w:spacing w:before="20" w:after="20"/>
              <w:rPr>
                <w:rFonts w:cstheme="minorHAnsi"/>
                <w:sz w:val="20"/>
                <w:szCs w:val="20"/>
              </w:rPr>
            </w:pPr>
            <w:bookmarkStart w:id="330" w:name="Title_3_42"/>
            <w:bookmarkEnd w:id="330"/>
          </w:p>
        </w:tc>
        <w:tc>
          <w:tcPr>
            <w:tcW w:w="993" w:type="dxa"/>
            <w:tcBorders>
              <w:top w:val="single" w:sz="4" w:space="0" w:color="auto"/>
              <w:bottom w:val="single" w:sz="4" w:space="0" w:color="auto"/>
            </w:tcBorders>
            <w:shd w:val="clear" w:color="auto" w:fill="FFFFFF" w:themeFill="background1"/>
          </w:tcPr>
          <w:p w:rsidR="00884536" w:rsidRDefault="00B967BD" w:rsidP="00D907AF">
            <w:pPr>
              <w:spacing w:before="20" w:after="20"/>
              <w:jc w:val="center"/>
              <w:rPr>
                <w:rFonts w:cstheme="minorHAnsi"/>
                <w:sz w:val="20"/>
                <w:szCs w:val="20"/>
              </w:rPr>
            </w:pPr>
            <w:r>
              <w:rPr>
                <w:rFonts w:cstheme="minorHAnsi"/>
                <w:sz w:val="20"/>
                <w:szCs w:val="20"/>
              </w:rPr>
              <w:t xml:space="preserve">Trial </w:t>
            </w:r>
          </w:p>
          <w:p w:rsidR="00D907AF" w:rsidRPr="0087485F" w:rsidRDefault="00D907AF" w:rsidP="00D907AF">
            <w:pPr>
              <w:spacing w:before="20" w:after="20"/>
              <w:jc w:val="center"/>
              <w:rPr>
                <w:rFonts w:cstheme="minorHAnsi"/>
                <w:sz w:val="20"/>
                <w:szCs w:val="20"/>
              </w:rPr>
            </w:pPr>
            <w:r w:rsidRPr="0087485F">
              <w:rPr>
                <w:rFonts w:cstheme="minorHAnsi"/>
                <w:sz w:val="20"/>
                <w:szCs w:val="20"/>
              </w:rPr>
              <w:t>%</w:t>
            </w:r>
          </w:p>
        </w:tc>
        <w:tc>
          <w:tcPr>
            <w:tcW w:w="1417" w:type="dxa"/>
            <w:tcBorders>
              <w:top w:val="single" w:sz="4" w:space="0" w:color="auto"/>
              <w:bottom w:val="single" w:sz="4" w:space="0" w:color="auto"/>
            </w:tcBorders>
            <w:shd w:val="clear" w:color="auto" w:fill="FFFFFF" w:themeFill="background1"/>
          </w:tcPr>
          <w:p w:rsidR="00884536" w:rsidRDefault="00B967BD" w:rsidP="00D907AF">
            <w:pPr>
              <w:spacing w:before="20" w:after="20"/>
              <w:jc w:val="center"/>
              <w:rPr>
                <w:rFonts w:cstheme="minorHAnsi"/>
                <w:sz w:val="20"/>
                <w:szCs w:val="20"/>
              </w:rPr>
            </w:pPr>
            <w:r>
              <w:rPr>
                <w:rFonts w:cstheme="minorHAnsi"/>
                <w:sz w:val="20"/>
                <w:szCs w:val="20"/>
              </w:rPr>
              <w:t xml:space="preserve">Comparison </w:t>
            </w:r>
          </w:p>
          <w:p w:rsidR="00D907AF" w:rsidRPr="0087485F" w:rsidRDefault="00D907AF" w:rsidP="00D907AF">
            <w:pPr>
              <w:spacing w:before="20" w:after="20"/>
              <w:jc w:val="center"/>
              <w:rPr>
                <w:rFonts w:cstheme="minorHAnsi"/>
                <w:sz w:val="20"/>
                <w:szCs w:val="20"/>
              </w:rPr>
            </w:pPr>
            <w:r w:rsidRPr="0087485F">
              <w:rPr>
                <w:rFonts w:cstheme="minorHAnsi"/>
                <w:sz w:val="20"/>
                <w:szCs w:val="20"/>
              </w:rPr>
              <w:t>%</w:t>
            </w:r>
          </w:p>
        </w:tc>
      </w:tr>
      <w:tr w:rsidR="00D907AF" w:rsidRPr="0087485F" w:rsidTr="00D907AF">
        <w:tc>
          <w:tcPr>
            <w:tcW w:w="4644" w:type="dxa"/>
            <w:shd w:val="clear" w:color="auto" w:fill="FFFFFF" w:themeFill="background1"/>
          </w:tcPr>
          <w:p w:rsidR="00D907AF" w:rsidRPr="0087485F" w:rsidRDefault="00D907AF" w:rsidP="00D907AF">
            <w:pPr>
              <w:spacing w:before="20" w:after="20"/>
              <w:rPr>
                <w:rFonts w:cstheme="minorHAnsi"/>
                <w:sz w:val="20"/>
                <w:szCs w:val="20"/>
              </w:rPr>
            </w:pPr>
            <w:r w:rsidRPr="0087485F">
              <w:rPr>
                <w:rFonts w:cstheme="minorHAnsi"/>
                <w:sz w:val="20"/>
                <w:szCs w:val="20"/>
              </w:rPr>
              <w:t>It is not easy to get into buildings</w:t>
            </w:r>
          </w:p>
        </w:tc>
        <w:tc>
          <w:tcPr>
            <w:tcW w:w="993" w:type="dxa"/>
            <w:shd w:val="clear" w:color="auto" w:fill="FFFFFF" w:themeFill="background1"/>
            <w:vAlign w:val="center"/>
          </w:tcPr>
          <w:p w:rsidR="00D907AF" w:rsidRPr="0087485F" w:rsidRDefault="00D907AF" w:rsidP="003E471E">
            <w:pPr>
              <w:spacing w:before="20" w:after="20"/>
              <w:ind w:right="113"/>
              <w:jc w:val="right"/>
              <w:rPr>
                <w:rFonts w:cstheme="minorHAnsi"/>
                <w:color w:val="000000"/>
                <w:sz w:val="20"/>
                <w:szCs w:val="20"/>
              </w:rPr>
            </w:pPr>
            <w:r w:rsidRPr="0087485F">
              <w:rPr>
                <w:rFonts w:cstheme="minorHAnsi"/>
                <w:color w:val="000000"/>
                <w:sz w:val="20"/>
                <w:szCs w:val="20"/>
              </w:rPr>
              <w:t>26.7</w:t>
            </w:r>
          </w:p>
        </w:tc>
        <w:tc>
          <w:tcPr>
            <w:tcW w:w="1417" w:type="dxa"/>
            <w:shd w:val="clear" w:color="auto" w:fill="FFFFFF" w:themeFill="background1"/>
            <w:vAlign w:val="center"/>
          </w:tcPr>
          <w:p w:rsidR="00D907AF" w:rsidRPr="0087485F" w:rsidRDefault="00D907AF" w:rsidP="003E471E">
            <w:pPr>
              <w:spacing w:before="20" w:after="20"/>
              <w:ind w:right="397"/>
              <w:jc w:val="right"/>
              <w:rPr>
                <w:rFonts w:cstheme="minorHAnsi"/>
                <w:color w:val="000000"/>
                <w:sz w:val="20"/>
                <w:szCs w:val="20"/>
              </w:rPr>
            </w:pPr>
            <w:r w:rsidRPr="0087485F">
              <w:rPr>
                <w:rFonts w:cstheme="minorHAnsi"/>
                <w:color w:val="000000"/>
                <w:sz w:val="20"/>
                <w:szCs w:val="20"/>
              </w:rPr>
              <w:t>18.5</w:t>
            </w:r>
          </w:p>
        </w:tc>
      </w:tr>
      <w:tr w:rsidR="00D907AF" w:rsidRPr="0087485F" w:rsidTr="00D907AF">
        <w:tc>
          <w:tcPr>
            <w:tcW w:w="4644" w:type="dxa"/>
            <w:shd w:val="clear" w:color="auto" w:fill="FFFFFF" w:themeFill="background1"/>
          </w:tcPr>
          <w:p w:rsidR="00D907AF" w:rsidRPr="0087485F" w:rsidRDefault="00D907AF" w:rsidP="00D907AF">
            <w:pPr>
              <w:spacing w:before="20" w:after="20"/>
              <w:rPr>
                <w:rFonts w:cstheme="minorHAnsi"/>
                <w:sz w:val="20"/>
                <w:szCs w:val="20"/>
              </w:rPr>
            </w:pPr>
            <w:r w:rsidRPr="0087485F">
              <w:rPr>
                <w:rFonts w:cstheme="minorHAnsi"/>
                <w:sz w:val="20"/>
                <w:szCs w:val="20"/>
              </w:rPr>
              <w:t>Has no transport</w:t>
            </w:r>
          </w:p>
        </w:tc>
        <w:tc>
          <w:tcPr>
            <w:tcW w:w="993" w:type="dxa"/>
            <w:shd w:val="clear" w:color="auto" w:fill="FFFFFF" w:themeFill="background1"/>
            <w:vAlign w:val="center"/>
          </w:tcPr>
          <w:p w:rsidR="00D907AF" w:rsidRPr="0087485F" w:rsidRDefault="00D907AF" w:rsidP="003E471E">
            <w:pPr>
              <w:spacing w:before="20" w:after="20"/>
              <w:ind w:right="113"/>
              <w:jc w:val="right"/>
              <w:rPr>
                <w:rFonts w:cstheme="minorHAnsi"/>
                <w:color w:val="000000"/>
                <w:sz w:val="20"/>
                <w:szCs w:val="20"/>
              </w:rPr>
            </w:pPr>
            <w:r w:rsidRPr="0087485F">
              <w:rPr>
                <w:rFonts w:cstheme="minorHAnsi"/>
                <w:color w:val="000000"/>
                <w:sz w:val="20"/>
                <w:szCs w:val="20"/>
              </w:rPr>
              <w:t>23.5</w:t>
            </w:r>
          </w:p>
        </w:tc>
        <w:tc>
          <w:tcPr>
            <w:tcW w:w="1417" w:type="dxa"/>
            <w:shd w:val="clear" w:color="auto" w:fill="FFFFFF" w:themeFill="background1"/>
            <w:vAlign w:val="center"/>
          </w:tcPr>
          <w:p w:rsidR="00D907AF" w:rsidRPr="0087485F" w:rsidRDefault="00D907AF" w:rsidP="003E471E">
            <w:pPr>
              <w:spacing w:before="20" w:after="20"/>
              <w:ind w:right="397"/>
              <w:jc w:val="right"/>
              <w:rPr>
                <w:rFonts w:cstheme="minorHAnsi"/>
                <w:color w:val="000000"/>
                <w:sz w:val="20"/>
                <w:szCs w:val="20"/>
              </w:rPr>
            </w:pPr>
            <w:r w:rsidRPr="0087485F">
              <w:rPr>
                <w:rFonts w:cstheme="minorHAnsi"/>
                <w:color w:val="000000"/>
                <w:sz w:val="20"/>
                <w:szCs w:val="20"/>
              </w:rPr>
              <w:t>21.9</w:t>
            </w:r>
          </w:p>
        </w:tc>
      </w:tr>
      <w:tr w:rsidR="00D907AF" w:rsidRPr="0087485F" w:rsidTr="00D907AF">
        <w:tc>
          <w:tcPr>
            <w:tcW w:w="4644" w:type="dxa"/>
            <w:shd w:val="clear" w:color="auto" w:fill="FFFFFF" w:themeFill="background1"/>
          </w:tcPr>
          <w:p w:rsidR="00D907AF" w:rsidRPr="0087485F" w:rsidRDefault="00D907AF" w:rsidP="00D907AF">
            <w:pPr>
              <w:spacing w:before="20" w:after="20"/>
              <w:rPr>
                <w:rFonts w:cstheme="minorHAnsi"/>
                <w:sz w:val="20"/>
                <w:szCs w:val="20"/>
              </w:rPr>
            </w:pPr>
            <w:r w:rsidRPr="0087485F">
              <w:rPr>
                <w:rFonts w:cstheme="minorHAnsi"/>
                <w:sz w:val="20"/>
                <w:szCs w:val="20"/>
              </w:rPr>
              <w:t>It costs too much</w:t>
            </w:r>
          </w:p>
        </w:tc>
        <w:tc>
          <w:tcPr>
            <w:tcW w:w="993" w:type="dxa"/>
            <w:shd w:val="clear" w:color="auto" w:fill="FFFFFF" w:themeFill="background1"/>
            <w:vAlign w:val="center"/>
          </w:tcPr>
          <w:p w:rsidR="00D907AF" w:rsidRPr="0087485F" w:rsidRDefault="00D907AF" w:rsidP="003E471E">
            <w:pPr>
              <w:spacing w:before="20" w:after="20"/>
              <w:ind w:right="113"/>
              <w:jc w:val="right"/>
              <w:rPr>
                <w:rFonts w:cstheme="minorHAnsi"/>
                <w:color w:val="000000"/>
                <w:sz w:val="20"/>
                <w:szCs w:val="20"/>
              </w:rPr>
            </w:pPr>
            <w:r w:rsidRPr="0087485F">
              <w:rPr>
                <w:rFonts w:cstheme="minorHAnsi"/>
                <w:color w:val="000000"/>
                <w:sz w:val="20"/>
                <w:szCs w:val="20"/>
              </w:rPr>
              <w:t>33.2</w:t>
            </w:r>
          </w:p>
        </w:tc>
        <w:tc>
          <w:tcPr>
            <w:tcW w:w="1417" w:type="dxa"/>
            <w:shd w:val="clear" w:color="auto" w:fill="FFFFFF" w:themeFill="background1"/>
            <w:vAlign w:val="center"/>
          </w:tcPr>
          <w:p w:rsidR="00D907AF" w:rsidRPr="0087485F" w:rsidRDefault="00D907AF" w:rsidP="003E471E">
            <w:pPr>
              <w:spacing w:before="20" w:after="20"/>
              <w:ind w:right="397"/>
              <w:jc w:val="right"/>
              <w:rPr>
                <w:rFonts w:cstheme="minorHAnsi"/>
                <w:color w:val="000000"/>
                <w:sz w:val="20"/>
                <w:szCs w:val="20"/>
              </w:rPr>
            </w:pPr>
            <w:r w:rsidRPr="0087485F">
              <w:rPr>
                <w:rFonts w:cstheme="minorHAnsi"/>
                <w:color w:val="000000"/>
                <w:sz w:val="20"/>
                <w:szCs w:val="20"/>
              </w:rPr>
              <w:t>46.1</w:t>
            </w:r>
          </w:p>
        </w:tc>
      </w:tr>
      <w:tr w:rsidR="00D907AF" w:rsidRPr="0087485F" w:rsidTr="00D907AF">
        <w:tc>
          <w:tcPr>
            <w:tcW w:w="4644" w:type="dxa"/>
            <w:shd w:val="clear" w:color="auto" w:fill="FFFFFF" w:themeFill="background1"/>
          </w:tcPr>
          <w:p w:rsidR="00D907AF" w:rsidRPr="0087485F" w:rsidRDefault="00D907AF" w:rsidP="00D907AF">
            <w:pPr>
              <w:spacing w:before="20" w:after="20"/>
              <w:rPr>
                <w:rFonts w:cstheme="minorHAnsi"/>
                <w:sz w:val="20"/>
                <w:szCs w:val="20"/>
              </w:rPr>
            </w:pPr>
            <w:r w:rsidRPr="0087485F">
              <w:rPr>
                <w:rFonts w:cstheme="minorHAnsi"/>
                <w:sz w:val="20"/>
                <w:szCs w:val="20"/>
              </w:rPr>
              <w:t>Doesn't feel safe</w:t>
            </w:r>
          </w:p>
        </w:tc>
        <w:tc>
          <w:tcPr>
            <w:tcW w:w="993" w:type="dxa"/>
            <w:shd w:val="clear" w:color="auto" w:fill="FFFFFF" w:themeFill="background1"/>
            <w:vAlign w:val="center"/>
          </w:tcPr>
          <w:p w:rsidR="00D907AF" w:rsidRPr="0087485F" w:rsidRDefault="00D907AF" w:rsidP="003E471E">
            <w:pPr>
              <w:spacing w:before="20" w:after="20"/>
              <w:ind w:right="113"/>
              <w:jc w:val="right"/>
              <w:rPr>
                <w:rFonts w:cstheme="minorHAnsi"/>
                <w:color w:val="000000"/>
                <w:sz w:val="20"/>
                <w:szCs w:val="20"/>
              </w:rPr>
            </w:pPr>
            <w:r w:rsidRPr="0087485F">
              <w:rPr>
                <w:rFonts w:cstheme="minorHAnsi"/>
                <w:color w:val="000000"/>
                <w:sz w:val="20"/>
                <w:szCs w:val="20"/>
              </w:rPr>
              <w:t>24.9</w:t>
            </w:r>
          </w:p>
        </w:tc>
        <w:tc>
          <w:tcPr>
            <w:tcW w:w="1417" w:type="dxa"/>
            <w:shd w:val="clear" w:color="auto" w:fill="FFFFFF" w:themeFill="background1"/>
            <w:vAlign w:val="center"/>
          </w:tcPr>
          <w:p w:rsidR="00D907AF" w:rsidRPr="0087485F" w:rsidRDefault="00D907AF" w:rsidP="003E471E">
            <w:pPr>
              <w:spacing w:before="20" w:after="20"/>
              <w:ind w:right="397"/>
              <w:jc w:val="right"/>
              <w:rPr>
                <w:rFonts w:cstheme="minorHAnsi"/>
                <w:color w:val="000000"/>
                <w:sz w:val="20"/>
                <w:szCs w:val="20"/>
              </w:rPr>
            </w:pPr>
            <w:r w:rsidRPr="0087485F">
              <w:rPr>
                <w:rFonts w:cstheme="minorHAnsi"/>
                <w:color w:val="000000"/>
                <w:sz w:val="20"/>
                <w:szCs w:val="20"/>
              </w:rPr>
              <w:t>22.2</w:t>
            </w:r>
          </w:p>
        </w:tc>
      </w:tr>
      <w:tr w:rsidR="00D907AF" w:rsidRPr="0087485F" w:rsidTr="00D907AF">
        <w:tc>
          <w:tcPr>
            <w:tcW w:w="4644" w:type="dxa"/>
            <w:shd w:val="clear" w:color="auto" w:fill="FFFFFF" w:themeFill="background1"/>
          </w:tcPr>
          <w:p w:rsidR="00D907AF" w:rsidRPr="0087485F" w:rsidRDefault="00D907AF" w:rsidP="00D907AF">
            <w:pPr>
              <w:spacing w:before="20" w:after="20"/>
              <w:rPr>
                <w:rFonts w:cstheme="minorHAnsi"/>
                <w:sz w:val="20"/>
                <w:szCs w:val="20"/>
              </w:rPr>
            </w:pPr>
            <w:r w:rsidRPr="0087485F">
              <w:rPr>
                <w:rFonts w:cstheme="minorHAnsi"/>
                <w:sz w:val="20"/>
                <w:szCs w:val="20"/>
              </w:rPr>
              <w:t>Other people do not make him/her feel welcome</w:t>
            </w:r>
          </w:p>
        </w:tc>
        <w:tc>
          <w:tcPr>
            <w:tcW w:w="993" w:type="dxa"/>
            <w:shd w:val="clear" w:color="auto" w:fill="FFFFFF" w:themeFill="background1"/>
            <w:vAlign w:val="center"/>
          </w:tcPr>
          <w:p w:rsidR="00D907AF" w:rsidRPr="0087485F" w:rsidRDefault="00D907AF" w:rsidP="003E471E">
            <w:pPr>
              <w:spacing w:before="20" w:after="20"/>
              <w:ind w:right="113"/>
              <w:jc w:val="right"/>
              <w:rPr>
                <w:rFonts w:cstheme="minorHAnsi"/>
                <w:color w:val="000000"/>
                <w:sz w:val="20"/>
                <w:szCs w:val="20"/>
              </w:rPr>
            </w:pPr>
            <w:r w:rsidRPr="0087485F">
              <w:rPr>
                <w:rFonts w:cstheme="minorHAnsi"/>
                <w:color w:val="000000"/>
                <w:sz w:val="20"/>
                <w:szCs w:val="20"/>
              </w:rPr>
              <w:t>16.1</w:t>
            </w:r>
          </w:p>
        </w:tc>
        <w:tc>
          <w:tcPr>
            <w:tcW w:w="1417" w:type="dxa"/>
            <w:shd w:val="clear" w:color="auto" w:fill="FFFFFF" w:themeFill="background1"/>
            <w:vAlign w:val="center"/>
          </w:tcPr>
          <w:p w:rsidR="00D907AF" w:rsidRPr="0087485F" w:rsidRDefault="00D907AF" w:rsidP="003E471E">
            <w:pPr>
              <w:spacing w:before="20" w:after="20"/>
              <w:ind w:right="397"/>
              <w:jc w:val="right"/>
              <w:rPr>
                <w:rFonts w:cstheme="minorHAnsi"/>
                <w:color w:val="000000"/>
                <w:sz w:val="20"/>
                <w:szCs w:val="20"/>
              </w:rPr>
            </w:pPr>
            <w:r w:rsidRPr="0087485F">
              <w:rPr>
                <w:rFonts w:cstheme="minorHAnsi"/>
                <w:color w:val="000000"/>
                <w:sz w:val="20"/>
                <w:szCs w:val="20"/>
              </w:rPr>
              <w:t>17.3</w:t>
            </w:r>
          </w:p>
        </w:tc>
      </w:tr>
      <w:tr w:rsidR="00D907AF" w:rsidRPr="0087485F" w:rsidTr="00D907AF">
        <w:tc>
          <w:tcPr>
            <w:tcW w:w="4644" w:type="dxa"/>
            <w:shd w:val="clear" w:color="auto" w:fill="FFFFFF" w:themeFill="background1"/>
          </w:tcPr>
          <w:p w:rsidR="00D907AF" w:rsidRPr="0087485F" w:rsidRDefault="00D907AF" w:rsidP="00D907AF">
            <w:pPr>
              <w:spacing w:before="20" w:after="20"/>
              <w:rPr>
                <w:rFonts w:cstheme="minorHAnsi"/>
                <w:sz w:val="20"/>
                <w:szCs w:val="20"/>
              </w:rPr>
            </w:pPr>
            <w:r w:rsidRPr="0087485F">
              <w:rPr>
                <w:rFonts w:cstheme="minorHAnsi"/>
                <w:sz w:val="20"/>
                <w:szCs w:val="20"/>
              </w:rPr>
              <w:t>Other people cannot understand him/her easily</w:t>
            </w:r>
          </w:p>
        </w:tc>
        <w:tc>
          <w:tcPr>
            <w:tcW w:w="993" w:type="dxa"/>
            <w:shd w:val="clear" w:color="auto" w:fill="FFFFFF" w:themeFill="background1"/>
            <w:vAlign w:val="center"/>
          </w:tcPr>
          <w:p w:rsidR="00D907AF" w:rsidRPr="0087485F" w:rsidRDefault="00D907AF" w:rsidP="003E471E">
            <w:pPr>
              <w:spacing w:before="20" w:after="20"/>
              <w:ind w:right="113"/>
              <w:jc w:val="right"/>
              <w:rPr>
                <w:rFonts w:cstheme="minorHAnsi"/>
                <w:color w:val="000000"/>
                <w:sz w:val="20"/>
                <w:szCs w:val="20"/>
              </w:rPr>
            </w:pPr>
            <w:r w:rsidRPr="0087485F">
              <w:rPr>
                <w:rFonts w:cstheme="minorHAnsi"/>
                <w:color w:val="000000"/>
                <w:sz w:val="20"/>
                <w:szCs w:val="20"/>
              </w:rPr>
              <w:t>36.1</w:t>
            </w:r>
          </w:p>
        </w:tc>
        <w:tc>
          <w:tcPr>
            <w:tcW w:w="1417" w:type="dxa"/>
            <w:shd w:val="clear" w:color="auto" w:fill="FFFFFF" w:themeFill="background1"/>
            <w:vAlign w:val="center"/>
          </w:tcPr>
          <w:p w:rsidR="00D907AF" w:rsidRPr="0087485F" w:rsidRDefault="00D907AF" w:rsidP="003E471E">
            <w:pPr>
              <w:spacing w:before="20" w:after="20"/>
              <w:ind w:right="397"/>
              <w:jc w:val="right"/>
              <w:rPr>
                <w:rFonts w:cstheme="minorHAnsi"/>
                <w:color w:val="000000"/>
                <w:sz w:val="20"/>
                <w:szCs w:val="20"/>
              </w:rPr>
            </w:pPr>
            <w:r w:rsidRPr="0087485F">
              <w:rPr>
                <w:rFonts w:cstheme="minorHAnsi"/>
                <w:color w:val="000000"/>
                <w:sz w:val="20"/>
                <w:szCs w:val="20"/>
              </w:rPr>
              <w:t>34.2</w:t>
            </w:r>
          </w:p>
        </w:tc>
      </w:tr>
      <w:tr w:rsidR="00D907AF" w:rsidRPr="0087485F" w:rsidTr="00D907AF">
        <w:tc>
          <w:tcPr>
            <w:tcW w:w="4644" w:type="dxa"/>
            <w:shd w:val="clear" w:color="auto" w:fill="FFFFFF" w:themeFill="background1"/>
          </w:tcPr>
          <w:p w:rsidR="00D907AF" w:rsidRPr="0087485F" w:rsidRDefault="00D907AF" w:rsidP="00D907AF">
            <w:pPr>
              <w:spacing w:before="20" w:after="20"/>
              <w:rPr>
                <w:rFonts w:cstheme="minorHAnsi"/>
                <w:sz w:val="20"/>
                <w:szCs w:val="20"/>
              </w:rPr>
            </w:pPr>
            <w:r w:rsidRPr="0087485F">
              <w:rPr>
                <w:rFonts w:cstheme="minorHAnsi"/>
                <w:sz w:val="20"/>
                <w:szCs w:val="20"/>
              </w:rPr>
              <w:t>Finds it hard to understand others</w:t>
            </w:r>
          </w:p>
        </w:tc>
        <w:tc>
          <w:tcPr>
            <w:tcW w:w="993" w:type="dxa"/>
            <w:shd w:val="clear" w:color="auto" w:fill="FFFFFF" w:themeFill="background1"/>
            <w:vAlign w:val="center"/>
          </w:tcPr>
          <w:p w:rsidR="00D907AF" w:rsidRPr="0087485F" w:rsidRDefault="00D907AF" w:rsidP="003E471E">
            <w:pPr>
              <w:spacing w:before="20" w:after="20"/>
              <w:ind w:right="113"/>
              <w:jc w:val="right"/>
              <w:rPr>
                <w:rFonts w:cstheme="minorHAnsi"/>
                <w:color w:val="000000"/>
                <w:sz w:val="20"/>
                <w:szCs w:val="20"/>
              </w:rPr>
            </w:pPr>
            <w:r w:rsidRPr="0087485F">
              <w:rPr>
                <w:rFonts w:cstheme="minorHAnsi"/>
                <w:color w:val="000000"/>
                <w:sz w:val="20"/>
                <w:szCs w:val="20"/>
              </w:rPr>
              <w:t>23.8</w:t>
            </w:r>
          </w:p>
        </w:tc>
        <w:tc>
          <w:tcPr>
            <w:tcW w:w="1417" w:type="dxa"/>
            <w:shd w:val="clear" w:color="auto" w:fill="FFFFFF" w:themeFill="background1"/>
            <w:vAlign w:val="center"/>
          </w:tcPr>
          <w:p w:rsidR="00D907AF" w:rsidRPr="0087485F" w:rsidRDefault="00D907AF" w:rsidP="003E471E">
            <w:pPr>
              <w:spacing w:before="20" w:after="20"/>
              <w:ind w:right="397"/>
              <w:jc w:val="right"/>
              <w:rPr>
                <w:rFonts w:cstheme="minorHAnsi"/>
                <w:color w:val="000000"/>
                <w:sz w:val="20"/>
                <w:szCs w:val="20"/>
              </w:rPr>
            </w:pPr>
            <w:r w:rsidRPr="0087485F">
              <w:rPr>
                <w:rFonts w:cstheme="minorHAnsi"/>
                <w:color w:val="000000"/>
                <w:sz w:val="20"/>
                <w:szCs w:val="20"/>
              </w:rPr>
              <w:t>23.0</w:t>
            </w:r>
          </w:p>
        </w:tc>
      </w:tr>
      <w:tr w:rsidR="00D907AF" w:rsidRPr="0087485F" w:rsidTr="00D907AF">
        <w:tc>
          <w:tcPr>
            <w:tcW w:w="4644" w:type="dxa"/>
            <w:shd w:val="clear" w:color="auto" w:fill="FFFFFF" w:themeFill="background1"/>
          </w:tcPr>
          <w:p w:rsidR="00D907AF" w:rsidRPr="0087485F" w:rsidRDefault="00D907AF" w:rsidP="00D907AF">
            <w:pPr>
              <w:spacing w:before="20" w:after="20"/>
              <w:rPr>
                <w:rFonts w:cstheme="minorHAnsi"/>
                <w:sz w:val="20"/>
                <w:szCs w:val="20"/>
              </w:rPr>
            </w:pPr>
            <w:r w:rsidRPr="0087485F">
              <w:rPr>
                <w:rFonts w:cstheme="minorHAnsi"/>
                <w:sz w:val="20"/>
                <w:szCs w:val="20"/>
              </w:rPr>
              <w:t>It requires too much organisation</w:t>
            </w:r>
          </w:p>
        </w:tc>
        <w:tc>
          <w:tcPr>
            <w:tcW w:w="993" w:type="dxa"/>
            <w:shd w:val="clear" w:color="auto" w:fill="FFFFFF" w:themeFill="background1"/>
            <w:vAlign w:val="center"/>
          </w:tcPr>
          <w:p w:rsidR="00D907AF" w:rsidRPr="0087485F" w:rsidRDefault="00D907AF" w:rsidP="003E471E">
            <w:pPr>
              <w:spacing w:before="20" w:after="20"/>
              <w:ind w:right="113"/>
              <w:jc w:val="right"/>
              <w:rPr>
                <w:rFonts w:cstheme="minorHAnsi"/>
                <w:color w:val="000000"/>
                <w:sz w:val="20"/>
                <w:szCs w:val="20"/>
              </w:rPr>
            </w:pPr>
            <w:r w:rsidRPr="0087485F">
              <w:rPr>
                <w:rFonts w:cstheme="minorHAnsi"/>
                <w:color w:val="000000"/>
                <w:sz w:val="20"/>
                <w:szCs w:val="20"/>
              </w:rPr>
              <w:t>25.3</w:t>
            </w:r>
          </w:p>
        </w:tc>
        <w:tc>
          <w:tcPr>
            <w:tcW w:w="1417" w:type="dxa"/>
            <w:shd w:val="clear" w:color="auto" w:fill="FFFFFF" w:themeFill="background1"/>
            <w:vAlign w:val="center"/>
          </w:tcPr>
          <w:p w:rsidR="00D907AF" w:rsidRPr="0087485F" w:rsidRDefault="00D907AF" w:rsidP="003E471E">
            <w:pPr>
              <w:spacing w:before="20" w:after="20"/>
              <w:ind w:right="397"/>
              <w:jc w:val="right"/>
              <w:rPr>
                <w:rFonts w:cstheme="minorHAnsi"/>
                <w:color w:val="000000"/>
                <w:sz w:val="20"/>
                <w:szCs w:val="20"/>
              </w:rPr>
            </w:pPr>
            <w:r w:rsidRPr="0087485F">
              <w:rPr>
                <w:rFonts w:cstheme="minorHAnsi"/>
                <w:color w:val="000000"/>
                <w:sz w:val="20"/>
                <w:szCs w:val="20"/>
              </w:rPr>
              <w:t>25.5</w:t>
            </w:r>
          </w:p>
        </w:tc>
      </w:tr>
      <w:tr w:rsidR="00D907AF" w:rsidRPr="0087485F" w:rsidTr="00D907AF">
        <w:tc>
          <w:tcPr>
            <w:tcW w:w="4644" w:type="dxa"/>
            <w:shd w:val="clear" w:color="auto" w:fill="FFFFFF" w:themeFill="background1"/>
          </w:tcPr>
          <w:p w:rsidR="00D907AF" w:rsidRPr="0087485F" w:rsidRDefault="00D907AF" w:rsidP="00D907AF">
            <w:pPr>
              <w:spacing w:before="20" w:after="20"/>
              <w:rPr>
                <w:rFonts w:cstheme="minorHAnsi"/>
                <w:sz w:val="20"/>
                <w:szCs w:val="20"/>
              </w:rPr>
            </w:pPr>
            <w:r w:rsidRPr="0087485F">
              <w:rPr>
                <w:rFonts w:cstheme="minorHAnsi"/>
                <w:sz w:val="20"/>
                <w:szCs w:val="20"/>
              </w:rPr>
              <w:t>It takes too much time to arrange supports</w:t>
            </w:r>
          </w:p>
        </w:tc>
        <w:tc>
          <w:tcPr>
            <w:tcW w:w="993" w:type="dxa"/>
            <w:shd w:val="clear" w:color="auto" w:fill="FFFFFF" w:themeFill="background1"/>
            <w:vAlign w:val="center"/>
          </w:tcPr>
          <w:p w:rsidR="00D907AF" w:rsidRPr="0087485F" w:rsidRDefault="00D907AF" w:rsidP="003E471E">
            <w:pPr>
              <w:spacing w:before="20" w:after="20"/>
              <w:ind w:right="113"/>
              <w:jc w:val="right"/>
              <w:rPr>
                <w:rFonts w:cstheme="minorHAnsi"/>
                <w:color w:val="000000"/>
                <w:sz w:val="20"/>
                <w:szCs w:val="20"/>
              </w:rPr>
            </w:pPr>
            <w:r w:rsidRPr="0087485F">
              <w:rPr>
                <w:rFonts w:cstheme="minorHAnsi"/>
                <w:color w:val="000000"/>
                <w:sz w:val="20"/>
                <w:szCs w:val="20"/>
              </w:rPr>
              <w:t>16.8</w:t>
            </w:r>
          </w:p>
        </w:tc>
        <w:tc>
          <w:tcPr>
            <w:tcW w:w="1417" w:type="dxa"/>
            <w:shd w:val="clear" w:color="auto" w:fill="FFFFFF" w:themeFill="background1"/>
            <w:vAlign w:val="center"/>
          </w:tcPr>
          <w:p w:rsidR="00D907AF" w:rsidRPr="0087485F" w:rsidRDefault="00D907AF" w:rsidP="003E471E">
            <w:pPr>
              <w:spacing w:before="20" w:after="20"/>
              <w:ind w:right="397"/>
              <w:jc w:val="right"/>
              <w:rPr>
                <w:rFonts w:cstheme="minorHAnsi"/>
                <w:color w:val="000000"/>
                <w:sz w:val="20"/>
                <w:szCs w:val="20"/>
              </w:rPr>
            </w:pPr>
            <w:r w:rsidRPr="0087485F">
              <w:rPr>
                <w:rFonts w:cstheme="minorHAnsi"/>
                <w:color w:val="000000"/>
                <w:sz w:val="20"/>
                <w:szCs w:val="20"/>
              </w:rPr>
              <w:t>13.4</w:t>
            </w:r>
          </w:p>
        </w:tc>
      </w:tr>
      <w:tr w:rsidR="00D907AF" w:rsidRPr="0087485F" w:rsidTr="00D907AF">
        <w:tc>
          <w:tcPr>
            <w:tcW w:w="4644" w:type="dxa"/>
            <w:shd w:val="clear" w:color="auto" w:fill="FFFFFF" w:themeFill="background1"/>
          </w:tcPr>
          <w:p w:rsidR="00D907AF" w:rsidRPr="0087485F" w:rsidRDefault="00D907AF" w:rsidP="00D907AF">
            <w:pPr>
              <w:spacing w:before="20" w:after="20"/>
              <w:rPr>
                <w:rFonts w:cstheme="minorHAnsi"/>
                <w:sz w:val="20"/>
                <w:szCs w:val="20"/>
              </w:rPr>
            </w:pPr>
            <w:r w:rsidRPr="0087485F">
              <w:rPr>
                <w:rFonts w:cstheme="minorHAnsi"/>
                <w:sz w:val="20"/>
                <w:szCs w:val="20"/>
              </w:rPr>
              <w:t>Doesn't have anyone to support</w:t>
            </w:r>
          </w:p>
        </w:tc>
        <w:tc>
          <w:tcPr>
            <w:tcW w:w="993" w:type="dxa"/>
            <w:shd w:val="clear" w:color="auto" w:fill="FFFFFF" w:themeFill="background1"/>
            <w:vAlign w:val="center"/>
          </w:tcPr>
          <w:p w:rsidR="00D907AF" w:rsidRPr="0087485F" w:rsidRDefault="00D907AF" w:rsidP="003E471E">
            <w:pPr>
              <w:spacing w:before="20" w:after="20"/>
              <w:ind w:right="113"/>
              <w:jc w:val="right"/>
              <w:rPr>
                <w:rFonts w:cstheme="minorHAnsi"/>
                <w:color w:val="000000"/>
                <w:sz w:val="20"/>
                <w:szCs w:val="20"/>
              </w:rPr>
            </w:pPr>
            <w:r w:rsidRPr="0087485F">
              <w:rPr>
                <w:rFonts w:cstheme="minorHAnsi"/>
                <w:color w:val="000000"/>
                <w:sz w:val="20"/>
                <w:szCs w:val="20"/>
              </w:rPr>
              <w:t>8.1</w:t>
            </w:r>
          </w:p>
        </w:tc>
        <w:tc>
          <w:tcPr>
            <w:tcW w:w="1417" w:type="dxa"/>
            <w:shd w:val="clear" w:color="auto" w:fill="FFFFFF" w:themeFill="background1"/>
            <w:vAlign w:val="center"/>
          </w:tcPr>
          <w:p w:rsidR="00D907AF" w:rsidRPr="0087485F" w:rsidRDefault="00D907AF" w:rsidP="003E471E">
            <w:pPr>
              <w:spacing w:before="20" w:after="20"/>
              <w:ind w:right="397"/>
              <w:jc w:val="right"/>
              <w:rPr>
                <w:rFonts w:cstheme="minorHAnsi"/>
                <w:color w:val="000000"/>
                <w:sz w:val="20"/>
                <w:szCs w:val="20"/>
              </w:rPr>
            </w:pPr>
            <w:r w:rsidRPr="0087485F">
              <w:rPr>
                <w:rFonts w:cstheme="minorHAnsi"/>
                <w:color w:val="000000"/>
                <w:sz w:val="20"/>
                <w:szCs w:val="20"/>
              </w:rPr>
              <w:t>9.9</w:t>
            </w:r>
          </w:p>
        </w:tc>
      </w:tr>
      <w:tr w:rsidR="00D907AF" w:rsidRPr="0087485F" w:rsidTr="00D907AF">
        <w:tc>
          <w:tcPr>
            <w:tcW w:w="4644" w:type="dxa"/>
            <w:tcBorders>
              <w:top w:val="single" w:sz="4" w:space="0" w:color="auto"/>
              <w:bottom w:val="single" w:sz="4" w:space="0" w:color="auto"/>
            </w:tcBorders>
            <w:shd w:val="clear" w:color="auto" w:fill="FFFFFF" w:themeFill="background1"/>
          </w:tcPr>
          <w:p w:rsidR="00D907AF" w:rsidRPr="0087485F" w:rsidRDefault="00D907AF" w:rsidP="00D907AF">
            <w:pPr>
              <w:spacing w:before="20" w:after="20"/>
              <w:rPr>
                <w:rFonts w:cstheme="minorHAnsi"/>
                <w:b/>
                <w:sz w:val="20"/>
                <w:szCs w:val="20"/>
              </w:rPr>
            </w:pPr>
            <w:r w:rsidRPr="0087485F">
              <w:rPr>
                <w:rFonts w:cstheme="minorHAnsi"/>
                <w:b/>
                <w:sz w:val="20"/>
                <w:szCs w:val="20"/>
              </w:rPr>
              <w:t>Total</w:t>
            </w:r>
          </w:p>
        </w:tc>
        <w:tc>
          <w:tcPr>
            <w:tcW w:w="993" w:type="dxa"/>
            <w:tcBorders>
              <w:top w:val="single" w:sz="4" w:space="0" w:color="auto"/>
              <w:bottom w:val="single" w:sz="4" w:space="0" w:color="auto"/>
            </w:tcBorders>
            <w:shd w:val="clear" w:color="auto" w:fill="FFFFFF" w:themeFill="background1"/>
            <w:vAlign w:val="center"/>
          </w:tcPr>
          <w:p w:rsidR="00D907AF" w:rsidRPr="003E471E" w:rsidRDefault="00D907AF" w:rsidP="003E471E">
            <w:pPr>
              <w:spacing w:before="20" w:after="20"/>
              <w:ind w:right="113"/>
              <w:jc w:val="right"/>
              <w:rPr>
                <w:rFonts w:cstheme="minorHAnsi"/>
                <w:b/>
                <w:color w:val="000000"/>
                <w:sz w:val="20"/>
                <w:szCs w:val="20"/>
              </w:rPr>
            </w:pPr>
            <w:r w:rsidRPr="003E471E">
              <w:rPr>
                <w:rFonts w:cstheme="minorHAnsi"/>
                <w:b/>
                <w:color w:val="000000"/>
                <w:sz w:val="20"/>
                <w:szCs w:val="20"/>
              </w:rPr>
              <w:t>446</w:t>
            </w:r>
          </w:p>
        </w:tc>
        <w:tc>
          <w:tcPr>
            <w:tcW w:w="1417" w:type="dxa"/>
            <w:tcBorders>
              <w:top w:val="single" w:sz="4" w:space="0" w:color="auto"/>
              <w:bottom w:val="single" w:sz="4" w:space="0" w:color="auto"/>
            </w:tcBorders>
            <w:shd w:val="clear" w:color="auto" w:fill="FFFFFF" w:themeFill="background1"/>
            <w:vAlign w:val="center"/>
          </w:tcPr>
          <w:p w:rsidR="00D907AF" w:rsidRPr="003E471E" w:rsidRDefault="00D907AF" w:rsidP="003E471E">
            <w:pPr>
              <w:spacing w:before="20" w:after="20"/>
              <w:ind w:right="397"/>
              <w:jc w:val="right"/>
              <w:rPr>
                <w:rFonts w:cstheme="minorHAnsi"/>
                <w:b/>
                <w:color w:val="000000"/>
                <w:sz w:val="20"/>
                <w:szCs w:val="20"/>
              </w:rPr>
            </w:pPr>
            <w:r w:rsidRPr="003E471E">
              <w:rPr>
                <w:rFonts w:cstheme="minorHAnsi"/>
                <w:b/>
                <w:color w:val="000000"/>
                <w:sz w:val="20"/>
                <w:szCs w:val="20"/>
              </w:rPr>
              <w:t>666</w:t>
            </w:r>
          </w:p>
        </w:tc>
      </w:tr>
    </w:tbl>
    <w:p w:rsidR="00D907AF" w:rsidRPr="00E852D5" w:rsidRDefault="00D907AF" w:rsidP="006C7BE7">
      <w:pPr>
        <w:pStyle w:val="NILSTabletext"/>
      </w:pPr>
      <w:r w:rsidRPr="00E852D5">
        <w:t xml:space="preserve">Note: </w:t>
      </w:r>
      <w:r>
        <w:t>trial and comparison s</w:t>
      </w:r>
      <w:r w:rsidRPr="00B01305">
        <w:t>tandard</w:t>
      </w:r>
      <w:r>
        <w:t xml:space="preserve"> questionnaire 8 years and above; ‘Total’ indicates the number of respondents to answer this question; multiple response question; percentages do not add to 100.</w:t>
      </w:r>
    </w:p>
    <w:p w:rsidR="00D907AF" w:rsidRDefault="006953C6" w:rsidP="00D907AF">
      <w:r>
        <w:t>Wellbeing</w:t>
      </w:r>
      <w:r w:rsidR="00D907AF" w:rsidRPr="000339AF">
        <w:t xml:space="preserve"> questions are part of a battery of validated questions incorporated into the NDIS Survey. These questions have been designed to lend themselves to aggregated analysis, where a combined score across all component statements is calculated, using a validated methodology. This allows more robust assessments of </w:t>
      </w:r>
      <w:r>
        <w:t>wellbeing</w:t>
      </w:r>
      <w:r w:rsidR="00D907AF" w:rsidRPr="000339AF">
        <w:t xml:space="preserve"> to be formulated, and will be undertaken for the response sample after the completion of Wave 1 data collection.</w:t>
      </w:r>
    </w:p>
    <w:p w:rsidR="00953EE5" w:rsidRDefault="00953EE5" w:rsidP="00D907AF"/>
    <w:p w:rsidR="00D907AF" w:rsidRDefault="00D907AF" w:rsidP="00D907AF">
      <w:r>
        <w:t xml:space="preserve">The questionnaire provides a detailed set of statements where respondents are asked to rate their agreement or disagreement with a large number of </w:t>
      </w:r>
      <w:r w:rsidR="006953C6">
        <w:t>wellbeing</w:t>
      </w:r>
      <w:r>
        <w:t xml:space="preserve"> statements that fall into three broad categories:</w:t>
      </w:r>
    </w:p>
    <w:p w:rsidR="001A6B65" w:rsidRDefault="001A6B65" w:rsidP="00D907AF"/>
    <w:p w:rsidR="00D907AF" w:rsidRDefault="00D907AF" w:rsidP="00AF5E38">
      <w:pPr>
        <w:pStyle w:val="Bullets"/>
        <w:numPr>
          <w:ilvl w:val="0"/>
          <w:numId w:val="18"/>
        </w:numPr>
        <w:spacing w:before="0"/>
      </w:pPr>
      <w:r>
        <w:t>statements about themselves and how they feel</w:t>
      </w:r>
    </w:p>
    <w:p w:rsidR="00D907AF" w:rsidRDefault="00D907AF" w:rsidP="00AF5E38">
      <w:pPr>
        <w:pStyle w:val="Bullets"/>
        <w:numPr>
          <w:ilvl w:val="0"/>
          <w:numId w:val="18"/>
        </w:numPr>
        <w:spacing w:before="0"/>
      </w:pPr>
      <w:r>
        <w:t>questions about how happy they feel about things in their lives</w:t>
      </w:r>
    </w:p>
    <w:p w:rsidR="00D907AF" w:rsidRDefault="00D907AF" w:rsidP="00AF5E38">
      <w:pPr>
        <w:pStyle w:val="Bullets"/>
        <w:numPr>
          <w:ilvl w:val="0"/>
          <w:numId w:val="18"/>
        </w:numPr>
        <w:spacing w:before="0"/>
      </w:pPr>
      <w:r>
        <w:t>descriptions about how much support they get from other people.</w:t>
      </w:r>
    </w:p>
    <w:p w:rsidR="00953EE5" w:rsidRDefault="00953EE5" w:rsidP="00D907AF"/>
    <w:p w:rsidR="00D907AF" w:rsidRDefault="00D907AF" w:rsidP="00D907AF">
      <w:r>
        <w:t>These three categories are presented in Figures 3.3a - f, 3.4a - g, and 3.5a - e and are briefly discussed. These figures present responses of agreement or disagreement with a specific statement on a scale from 0 (completely disagree) to 10 (completely agree). They are all presented in a way that suggests and encourages an interpretation which would mean that 5 would be an answer implying ‘indifference’ or no strong opinion in either direction, but does not force it by stating this in the questionnaire. The answers to these questions are important in themselves as an indication of where we are at this present point in time, but will also be very important for measuring any improvements the NDIS may bring on this front.</w:t>
      </w:r>
    </w:p>
    <w:p w:rsidR="00D907AF" w:rsidRDefault="00D907AF">
      <w:r>
        <w:br w:type="page"/>
      </w:r>
    </w:p>
    <w:p w:rsidR="00D907AF" w:rsidRPr="00FB1503" w:rsidRDefault="00D907AF" w:rsidP="00953EE5">
      <w:pPr>
        <w:spacing w:after="120"/>
        <w:rPr>
          <w:b/>
        </w:rPr>
      </w:pPr>
      <w:r w:rsidRPr="00FB1503">
        <w:rPr>
          <w:b/>
        </w:rPr>
        <w:lastRenderedPageBreak/>
        <w:t>Box 3.1: Interpreting Figures 3.3, 3.4 and 3.5</w:t>
      </w:r>
    </w:p>
    <w:p w:rsidR="00D907AF" w:rsidRDefault="00D907AF" w:rsidP="00953EE5">
      <w:pPr>
        <w:pBdr>
          <w:top w:val="single" w:sz="4" w:space="1" w:color="auto"/>
          <w:left w:val="single" w:sz="4" w:space="4" w:color="auto"/>
          <w:bottom w:val="single" w:sz="4" w:space="1" w:color="auto"/>
          <w:right w:val="single" w:sz="4" w:space="4" w:color="auto"/>
        </w:pBdr>
      </w:pPr>
      <w:r>
        <w:t xml:space="preserve">The taller the bar above each possible answer, the more people have responded with this answer. A practical way to absorb the message from each of these figures is to focus on the shape of the figure as a whole and note where its weight is concentrated. It is not necessary to pay much attention on individual specific categories and their numbers in the first instance. </w:t>
      </w:r>
    </w:p>
    <w:p w:rsidR="00953EE5" w:rsidRDefault="00953EE5" w:rsidP="00953EE5">
      <w:pPr>
        <w:pBdr>
          <w:top w:val="single" w:sz="4" w:space="1" w:color="auto"/>
          <w:left w:val="single" w:sz="4" w:space="4" w:color="auto"/>
          <w:bottom w:val="single" w:sz="4" w:space="1" w:color="auto"/>
          <w:right w:val="single" w:sz="4" w:space="4" w:color="auto"/>
        </w:pBdr>
      </w:pPr>
    </w:p>
    <w:p w:rsidR="00D907AF" w:rsidRDefault="00D907AF" w:rsidP="00D907AF">
      <w:pPr>
        <w:pBdr>
          <w:top w:val="single" w:sz="4" w:space="1" w:color="auto"/>
          <w:left w:val="single" w:sz="4" w:space="4" w:color="auto"/>
          <w:bottom w:val="single" w:sz="4" w:space="1" w:color="auto"/>
          <w:right w:val="single" w:sz="4" w:space="4" w:color="auto"/>
        </w:pBdr>
      </w:pPr>
      <w:r>
        <w:t xml:space="preserve">If the ‘weight’ of the bars is on the left side (a left skew), there is a lot of disagreement. If it is on the right (a right skew), there is a lot of agreement. A strong presence in the middle suggests that many people do not have strong feelings about this matter. If all categories appear to be roughly equally populated (a uniform distribution) then opinions and perceptions are very diverse without any specific category being dominant. Finally, if the far left and the far right are well-populated with an empty middle (what we call a bimodal distribution) there are strong and polarised views on this matter. </w:t>
      </w:r>
    </w:p>
    <w:p w:rsidR="00953EE5" w:rsidRDefault="00953EE5" w:rsidP="00D907AF">
      <w:pPr>
        <w:pBdr>
          <w:top w:val="single" w:sz="4" w:space="1" w:color="auto"/>
          <w:left w:val="single" w:sz="4" w:space="4" w:color="auto"/>
          <w:bottom w:val="single" w:sz="4" w:space="1" w:color="auto"/>
          <w:right w:val="single" w:sz="4" w:space="4" w:color="auto"/>
        </w:pBdr>
      </w:pPr>
    </w:p>
    <w:p w:rsidR="00D907AF" w:rsidRDefault="007E7729" w:rsidP="00D907AF">
      <w:pPr>
        <w:pBdr>
          <w:top w:val="single" w:sz="4" w:space="1" w:color="auto"/>
          <w:left w:val="single" w:sz="4" w:space="4" w:color="auto"/>
          <w:bottom w:val="single" w:sz="4" w:space="1" w:color="auto"/>
          <w:right w:val="single" w:sz="4" w:space="4" w:color="auto"/>
        </w:pBdr>
      </w:pPr>
      <w:r>
        <w:t xml:space="preserve">The following notes aid </w:t>
      </w:r>
      <w:r w:rsidR="00D907AF">
        <w:t>interpretation</w:t>
      </w:r>
      <w:r>
        <w:t>. F</w:t>
      </w:r>
      <w:r w:rsidR="00D907AF">
        <w:t xml:space="preserve">irst, the 0-10 ‘ordinal scale’ cannot be interpreted as a ‘cardinal’ scale. That is, an (agreement strength) distance of 2 (for example between 4 and 6) is neither double as strong as a distance of 4 (for example between 5 and 9), nor equally strong as another distance of 2 (for example between 5 and 7, or 1 and 3). The scale simply says that 0 represents the strongest disagreement and 10 the strongest agreement and that the numbers 1 to 9 in between are in ascending order in terms of agreement. An implication of this is that, although the comparison group’s answers </w:t>
      </w:r>
      <w:r>
        <w:t xml:space="preserve">are presented </w:t>
      </w:r>
      <w:r w:rsidR="00D907AF">
        <w:t xml:space="preserve">next to the trial ones, these are only loosely comparable. The reader should </w:t>
      </w:r>
      <w:r>
        <w:t>not</w:t>
      </w:r>
      <w:r w:rsidR="00D907AF">
        <w:t xml:space="preserve"> mak</w:t>
      </w:r>
      <w:r>
        <w:t>e</w:t>
      </w:r>
      <w:r w:rsidR="00D907AF">
        <w:t xml:space="preserve"> direct and precise comparison between any two specific such numbers. Finally, given that these answers will depend strongly on several factors, including the specific disability of the respondent, precise and specific comparisons cannot be made using the aggregated picture presented in the graphs. </w:t>
      </w:r>
    </w:p>
    <w:p w:rsidR="00D907AF" w:rsidRDefault="00D907AF" w:rsidP="00367B24">
      <w:pPr>
        <w:pStyle w:val="Heading40"/>
      </w:pPr>
      <w:bookmarkStart w:id="331" w:name="_Toc428280645"/>
      <w:bookmarkStart w:id="332" w:name="_Toc449955017"/>
      <w:r>
        <w:t xml:space="preserve">3.6.10.1 </w:t>
      </w:r>
      <w:r w:rsidRPr="00660446">
        <w:rPr>
          <w:rFonts w:ascii="Calibri" w:hAnsi="Calibri"/>
        </w:rPr>
        <w:t>Statements</w:t>
      </w:r>
      <w:r>
        <w:t xml:space="preserve"> about yourself and how you feel</w:t>
      </w:r>
      <w:bookmarkEnd w:id="331"/>
      <w:bookmarkEnd w:id="332"/>
    </w:p>
    <w:p w:rsidR="00D907AF" w:rsidRDefault="00D907AF" w:rsidP="00D907AF">
      <w:r w:rsidRPr="00BC205E">
        <w:t xml:space="preserve">Statements about </w:t>
      </w:r>
      <w:r>
        <w:t>‘</w:t>
      </w:r>
      <w:r w:rsidRPr="00BC205E">
        <w:t>yourself and how you feel</w:t>
      </w:r>
      <w:r>
        <w:t>’</w:t>
      </w:r>
      <w:r w:rsidRPr="00BC205E">
        <w:t xml:space="preserve"> are presented in Figures 3.3a to 3.3</w:t>
      </w:r>
      <w:r>
        <w:rPr>
          <w:rFonts w:hint="eastAsia"/>
        </w:rPr>
        <w:t>f</w:t>
      </w:r>
      <w:r>
        <w:t>. This report presents responses to individual statements only, which serves to illustrate the general patterns in the data. However these statements contain much more information when they are analysed</w:t>
      </w:r>
      <w:r w:rsidR="007E7729">
        <w:t xml:space="preserve"> as</w:t>
      </w:r>
      <w:r>
        <w:t xml:space="preserve"> part of a set of validated questions. This allows for an overall assessment of </w:t>
      </w:r>
      <w:r w:rsidR="006953C6">
        <w:t>wellbeing</w:t>
      </w:r>
      <w:r>
        <w:t xml:space="preserve"> to be derived. These calculations will be undertaken for the response sample after the completion of Wave 1 data collection.</w:t>
      </w:r>
    </w:p>
    <w:p w:rsidR="00953EE5" w:rsidRPr="00BC205E" w:rsidRDefault="00953EE5" w:rsidP="00D907AF"/>
    <w:p w:rsidR="00D907AF" w:rsidRDefault="00D907AF" w:rsidP="00D907AF">
      <w:r>
        <w:t xml:space="preserve">Figure 3.3a suggests that respondents felt generally very positive about themselves. Most of the answers are bunched in the right of the figure and, importantly the bottom three categories are not well populated for both trial and comparison group. </w:t>
      </w:r>
    </w:p>
    <w:p w:rsidR="00953EE5" w:rsidRDefault="00953EE5" w:rsidP="00D907AF"/>
    <w:p w:rsidR="00D907AF" w:rsidRDefault="00D907AF" w:rsidP="00D907AF">
      <w:pPr>
        <w:pStyle w:val="NILSFigureTitle"/>
      </w:pPr>
      <w:bookmarkStart w:id="333" w:name="_Toc428280725"/>
      <w:bookmarkStart w:id="334" w:name="_Toc449956367"/>
      <w:r w:rsidRPr="002D3565">
        <w:t>Figure 3.3a</w:t>
      </w:r>
      <w:r>
        <w:t>: How respondent feels</w:t>
      </w:r>
      <w:bookmarkEnd w:id="333"/>
      <w:bookmarkEnd w:id="334"/>
    </w:p>
    <w:p w:rsidR="00D907AF" w:rsidRPr="002D3565" w:rsidRDefault="00855A10" w:rsidP="00D907AF">
      <w:pPr>
        <w:jc w:val="center"/>
        <w:rPr>
          <w:b/>
        </w:rPr>
      </w:pPr>
      <w:r w:rsidRPr="00855A10">
        <w:rPr>
          <w:noProof/>
          <w:lang w:val="en-AU" w:eastAsia="en-AU"/>
        </w:rPr>
        <w:t xml:space="preserve">% of useable sample </w:t>
      </w:r>
      <w:r w:rsidR="00D907AF" w:rsidRPr="00FB3F3A">
        <w:rPr>
          <w:noProof/>
          <w:lang w:val="en-AU" w:eastAsia="en-AU"/>
        </w:rPr>
        <w:drawing>
          <wp:inline distT="0" distB="0" distL="0" distR="0" wp14:anchorId="68132439" wp14:editId="41618E5A">
            <wp:extent cx="5759450" cy="1600833"/>
            <wp:effectExtent l="0" t="0" r="0" b="0"/>
            <wp:docPr id="290" name="Picture 290" descr="The bar graph shows the distribution of responses, 0 is completely disagree and 10 is completely agree.  The graph compares Trial and Comparison responses.  The x axis is the satisfaction scale 0 to 10 and the y axis is the frequency.    Information regarding results in this graph is in preceding paragraph." title="Figure 3.3a: Survey responses to statement &quot;In general, I feel very positive about myself&quot; on a scale of 1 t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9450" cy="1600833"/>
                    </a:xfrm>
                    <a:prstGeom prst="rect">
                      <a:avLst/>
                    </a:prstGeom>
                    <a:noFill/>
                    <a:ln>
                      <a:noFill/>
                    </a:ln>
                  </pic:spPr>
                </pic:pic>
              </a:graphicData>
            </a:graphic>
          </wp:inline>
        </w:drawing>
      </w:r>
    </w:p>
    <w:p w:rsidR="00953EE5" w:rsidRDefault="00D907AF" w:rsidP="006C7BE7">
      <w:pPr>
        <w:pStyle w:val="NILSTabletext"/>
      </w:pPr>
      <w:r w:rsidRPr="00805795">
        <w:t xml:space="preserve">Note: </w:t>
      </w:r>
      <w:r>
        <w:t>t</w:t>
      </w:r>
      <w:r w:rsidRPr="00597AA2">
        <w:t xml:space="preserve">rial and </w:t>
      </w:r>
      <w:r>
        <w:t>c</w:t>
      </w:r>
      <w:r w:rsidRPr="00597AA2">
        <w:t xml:space="preserve">omparison </w:t>
      </w:r>
      <w:r>
        <w:t>s</w:t>
      </w:r>
      <w:r w:rsidRPr="00597AA2">
        <w:t>tandard questionnaire</w:t>
      </w:r>
      <w:r>
        <w:t xml:space="preserve"> aged 8 years </w:t>
      </w:r>
      <w:r w:rsidRPr="00660446">
        <w:t>and above</w:t>
      </w:r>
      <w:r>
        <w:t xml:space="preserve"> </w:t>
      </w:r>
    </w:p>
    <w:p w:rsidR="00D907AF" w:rsidRDefault="00D907AF" w:rsidP="00D907AF">
      <w:r>
        <w:lastRenderedPageBreak/>
        <w:t>Figure 3.3b measures the uncertainty people may be feeling about the future. Although the answers are still bunched in the right of the figure, the right bunching is weaker and there is a stronger presence of people in the bottom three categories.</w:t>
      </w:r>
    </w:p>
    <w:p w:rsidR="00953EE5" w:rsidRDefault="00953EE5" w:rsidP="00D907AF"/>
    <w:p w:rsidR="00884536" w:rsidRDefault="00884536" w:rsidP="00D907AF"/>
    <w:p w:rsidR="00D907AF" w:rsidRPr="002D3565" w:rsidRDefault="00D907AF" w:rsidP="00D907AF">
      <w:pPr>
        <w:pStyle w:val="NILSFigureTitle"/>
      </w:pPr>
      <w:bookmarkStart w:id="335" w:name="_Toc428280726"/>
      <w:bookmarkStart w:id="336" w:name="_Toc449956368"/>
      <w:r w:rsidRPr="002D3565">
        <w:t>Figure 3.3</w:t>
      </w:r>
      <w:r>
        <w:t>b: How respondent feels</w:t>
      </w:r>
      <w:bookmarkEnd w:id="335"/>
      <w:bookmarkEnd w:id="336"/>
    </w:p>
    <w:p w:rsidR="00D907AF" w:rsidRDefault="00D907AF" w:rsidP="00D907AF">
      <w:r w:rsidRPr="00FB3F3A">
        <w:rPr>
          <w:noProof/>
          <w:lang w:val="en-AU" w:eastAsia="en-AU"/>
        </w:rPr>
        <w:drawing>
          <wp:inline distT="0" distB="0" distL="0" distR="0" wp14:anchorId="569EDEE5" wp14:editId="27D9ECFB">
            <wp:extent cx="5759450" cy="1600833"/>
            <wp:effectExtent l="0" t="0" r="0" b="0"/>
            <wp:docPr id="291" name="Picture 291" descr="The bar graph shows the distribution of responses, 0 is completely disagree and 10 is completely agree.  The graph compares Trial and Comparison responses.  The x axis is the satisfaction scale 0 to 10 and the y axis is the frequency.    Information regarding results in this graph is in preceding paragraph." title="Figure 3.3b: Bar graph showing responses to the statement &quot;I feel everything is going to be OK in the future&quot; on a scale of 1 t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9450" cy="1600833"/>
                    </a:xfrm>
                    <a:prstGeom prst="rect">
                      <a:avLst/>
                    </a:prstGeom>
                    <a:noFill/>
                    <a:ln>
                      <a:noFill/>
                    </a:ln>
                  </pic:spPr>
                </pic:pic>
              </a:graphicData>
            </a:graphic>
          </wp:inline>
        </w:drawing>
      </w:r>
    </w:p>
    <w:p w:rsidR="00C26283" w:rsidRDefault="00D907AF" w:rsidP="00C26283">
      <w:pPr>
        <w:pStyle w:val="NILSTabletext"/>
      </w:pPr>
      <w:r w:rsidRPr="00805795">
        <w:t xml:space="preserve">Note: </w:t>
      </w:r>
      <w:r>
        <w:t>t</w:t>
      </w:r>
      <w:r w:rsidRPr="00597AA2">
        <w:t xml:space="preserve">rial and </w:t>
      </w:r>
      <w:r>
        <w:t>c</w:t>
      </w:r>
      <w:r w:rsidRPr="00597AA2">
        <w:t xml:space="preserve">omparison </w:t>
      </w:r>
      <w:r>
        <w:t>s</w:t>
      </w:r>
      <w:r w:rsidRPr="00597AA2">
        <w:t>tandard questionnaire</w:t>
      </w:r>
      <w:r>
        <w:t xml:space="preserve"> aged 8 years </w:t>
      </w:r>
      <w:r w:rsidRPr="00660446">
        <w:t>and above</w:t>
      </w:r>
      <w:r>
        <w:t xml:space="preserve"> </w:t>
      </w:r>
    </w:p>
    <w:p w:rsidR="00D907AF" w:rsidRDefault="00D907AF" w:rsidP="00C26283">
      <w:pPr>
        <w:pStyle w:val="NILSTabletext"/>
      </w:pPr>
      <w:r>
        <w:t>Figure 3.3c measures the feeling of freedom felt by respondents to ‘choose the things they want to do’. This picture too gives a positive message, with a notable peak at the complete agreement point.</w:t>
      </w:r>
    </w:p>
    <w:p w:rsidR="00953EE5" w:rsidRDefault="00953EE5" w:rsidP="00D907AF"/>
    <w:p w:rsidR="00D907AF" w:rsidRPr="002D3565" w:rsidRDefault="00D907AF" w:rsidP="00D907AF">
      <w:pPr>
        <w:pStyle w:val="NILSFigureTitle"/>
      </w:pPr>
      <w:bookmarkStart w:id="337" w:name="_Toc428280727"/>
      <w:bookmarkStart w:id="338" w:name="_Toc449956369"/>
      <w:r w:rsidRPr="002D3565">
        <w:t>Figure 3.3</w:t>
      </w:r>
      <w:r>
        <w:rPr>
          <w:rFonts w:hint="eastAsia"/>
        </w:rPr>
        <w:t>c</w:t>
      </w:r>
      <w:r>
        <w:t>: How respondent feels</w:t>
      </w:r>
      <w:bookmarkEnd w:id="337"/>
      <w:bookmarkEnd w:id="338"/>
    </w:p>
    <w:p w:rsidR="00D907AF" w:rsidRDefault="00D907AF" w:rsidP="00D907AF">
      <w:r w:rsidRPr="00FB3F3A">
        <w:rPr>
          <w:noProof/>
          <w:lang w:val="en-AU" w:eastAsia="en-AU"/>
        </w:rPr>
        <w:drawing>
          <wp:inline distT="0" distB="0" distL="0" distR="0" wp14:anchorId="6E652156" wp14:editId="38BCDD60">
            <wp:extent cx="5759450" cy="1600833"/>
            <wp:effectExtent l="0" t="0" r="0" b="0"/>
            <wp:docPr id="292" name="Picture 292" descr="The bar graph shows the distribution of responses, 0 is completely disagree and 10 is completely agree.  The graph compares Trial and Comparison responses.  The x axis is the satisfaction scale 0 to 10 and the y axis is the frequency.    Information regarding results in this graph is in preceding paragraph." title="Figure 3.3c: Survey responses to statement &quot;I am free to choose the things that I want to do myself&quot; on a scale of 1 t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59450" cy="1600833"/>
                    </a:xfrm>
                    <a:prstGeom prst="rect">
                      <a:avLst/>
                    </a:prstGeom>
                    <a:noFill/>
                    <a:ln>
                      <a:noFill/>
                    </a:ln>
                  </pic:spPr>
                </pic:pic>
              </a:graphicData>
            </a:graphic>
          </wp:inline>
        </w:drawing>
      </w:r>
    </w:p>
    <w:p w:rsidR="00D907AF" w:rsidRDefault="00D907AF" w:rsidP="006C7BE7">
      <w:pPr>
        <w:pStyle w:val="NILSTabletext"/>
      </w:pPr>
      <w:r w:rsidRPr="00805795">
        <w:t xml:space="preserve">Note: </w:t>
      </w:r>
      <w:r>
        <w:t>t</w:t>
      </w:r>
      <w:r w:rsidRPr="00597AA2">
        <w:t xml:space="preserve">rial and </w:t>
      </w:r>
      <w:r>
        <w:t>c</w:t>
      </w:r>
      <w:r w:rsidRPr="00597AA2">
        <w:t xml:space="preserve">omparison </w:t>
      </w:r>
      <w:r>
        <w:t>s</w:t>
      </w:r>
      <w:r w:rsidRPr="00597AA2">
        <w:t>tandard questionnaire</w:t>
      </w:r>
      <w:r>
        <w:t xml:space="preserve"> aged 8 years </w:t>
      </w:r>
      <w:r w:rsidRPr="00660446">
        <w:t>and above</w:t>
      </w:r>
      <w:r>
        <w:t xml:space="preserve"> </w:t>
      </w:r>
    </w:p>
    <w:p w:rsidR="00D907AF" w:rsidRDefault="00D907AF" w:rsidP="00D907AF">
      <w:r>
        <w:t>Figure 3.3</w:t>
      </w:r>
      <w:r>
        <w:rPr>
          <w:rFonts w:hint="eastAsia"/>
        </w:rPr>
        <w:t>d</w:t>
      </w:r>
      <w:r>
        <w:t xml:space="preserve"> suggests people with disability report having a very positive feeling about doing meaningful and important things in their lives. This is probably the most positive of all six statements about how respondents reported feeling.</w:t>
      </w:r>
    </w:p>
    <w:p w:rsidR="00953EE5" w:rsidRDefault="00953EE5" w:rsidP="00D907AF"/>
    <w:p w:rsidR="00D907AF" w:rsidRPr="00884536" w:rsidRDefault="00D907AF" w:rsidP="00884536">
      <w:pPr>
        <w:pStyle w:val="NILSFigureTitle"/>
      </w:pPr>
      <w:bookmarkStart w:id="339" w:name="_Toc428280728"/>
      <w:bookmarkStart w:id="340" w:name="_Toc449956370"/>
      <w:r w:rsidRPr="002D3565">
        <w:t>Figure 3.3</w:t>
      </w:r>
      <w:r>
        <w:rPr>
          <w:rFonts w:hint="eastAsia"/>
        </w:rPr>
        <w:t>d</w:t>
      </w:r>
      <w:r>
        <w:t>: How respondent feels</w:t>
      </w:r>
      <w:bookmarkEnd w:id="339"/>
      <w:bookmarkEnd w:id="340"/>
    </w:p>
    <w:p w:rsidR="00D907AF" w:rsidRDefault="00D907AF" w:rsidP="00D907AF">
      <w:r w:rsidRPr="00FB3F3A">
        <w:rPr>
          <w:noProof/>
          <w:lang w:val="en-AU" w:eastAsia="en-AU"/>
        </w:rPr>
        <w:drawing>
          <wp:inline distT="0" distB="0" distL="0" distR="0" wp14:anchorId="40856C63" wp14:editId="599BFADD">
            <wp:extent cx="5759450" cy="1600833"/>
            <wp:effectExtent l="0" t="0" r="0" b="0"/>
            <wp:docPr id="294" name="Picture 294" descr="The bar graph shows the distribution of responses, 0 is completely disagree and 10 is completely agree.  The graph compares Trial and Comparison responses.  The x axis is the satisfaction scale 0 to 10 and the y axis is the frequency.    Information regarding results in this graph is inpreceding paragraph." title="Figure 3.3d: Bar graph showing responses to the statement &quot;I generally feel that what I do in my life is important/means something&quot; on a scale of 1 t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59450" cy="1600833"/>
                    </a:xfrm>
                    <a:prstGeom prst="rect">
                      <a:avLst/>
                    </a:prstGeom>
                    <a:noFill/>
                    <a:ln>
                      <a:noFill/>
                    </a:ln>
                  </pic:spPr>
                </pic:pic>
              </a:graphicData>
            </a:graphic>
          </wp:inline>
        </w:drawing>
      </w:r>
    </w:p>
    <w:p w:rsidR="00D907AF" w:rsidRDefault="00D907AF" w:rsidP="006C7BE7">
      <w:pPr>
        <w:pStyle w:val="NILSTabletext"/>
      </w:pPr>
      <w:r w:rsidRPr="00805795">
        <w:t xml:space="preserve">Note: </w:t>
      </w:r>
      <w:r>
        <w:t>t</w:t>
      </w:r>
      <w:r w:rsidRPr="00597AA2">
        <w:t xml:space="preserve">rial and </w:t>
      </w:r>
      <w:r>
        <w:t>c</w:t>
      </w:r>
      <w:r w:rsidRPr="00597AA2">
        <w:t xml:space="preserve">omparison </w:t>
      </w:r>
      <w:r>
        <w:t>s</w:t>
      </w:r>
      <w:r w:rsidRPr="00597AA2">
        <w:t>tandard questionnaire</w:t>
      </w:r>
      <w:r>
        <w:t xml:space="preserve"> aged 8 years </w:t>
      </w:r>
      <w:r w:rsidRPr="00660446">
        <w:t>and above</w:t>
      </w:r>
      <w:r>
        <w:t xml:space="preserve"> </w:t>
      </w:r>
    </w:p>
    <w:p w:rsidR="00953EE5" w:rsidRDefault="00953EE5" w:rsidP="00D907AF"/>
    <w:p w:rsidR="00D907AF" w:rsidRDefault="00D907AF" w:rsidP="00D907AF">
      <w:r>
        <w:lastRenderedPageBreak/>
        <w:t>Figure 3.3</w:t>
      </w:r>
      <w:r>
        <w:rPr>
          <w:rFonts w:hint="eastAsia"/>
        </w:rPr>
        <w:t>e</w:t>
      </w:r>
      <w:r>
        <w:t xml:space="preserve"> suggests a similar positive feeling expressed about achievement, but the difference at the very top agreement categories is notable (the feeling of purpose is much higher than that of daily achievement). This suggests a situation where people feel they lead a meaningful and purposeful life, but that high level of purpose is not equally matched by feelings of achievement.</w:t>
      </w:r>
    </w:p>
    <w:p w:rsidR="00953EE5" w:rsidRDefault="00953EE5" w:rsidP="00D907AF"/>
    <w:p w:rsidR="00D907AF" w:rsidRPr="002D3565" w:rsidRDefault="00D907AF" w:rsidP="00D907AF">
      <w:pPr>
        <w:pStyle w:val="NILSFigureTitle"/>
      </w:pPr>
      <w:bookmarkStart w:id="341" w:name="_Toc428280729"/>
      <w:bookmarkStart w:id="342" w:name="_Toc449956371"/>
      <w:r w:rsidRPr="00660446">
        <w:t>Figure</w:t>
      </w:r>
      <w:r w:rsidRPr="002D3565">
        <w:t xml:space="preserve"> 3.3</w:t>
      </w:r>
      <w:r>
        <w:rPr>
          <w:rFonts w:hint="eastAsia"/>
        </w:rPr>
        <w:t>e</w:t>
      </w:r>
      <w:r>
        <w:t>: How respondent feels</w:t>
      </w:r>
      <w:bookmarkEnd w:id="341"/>
      <w:bookmarkEnd w:id="342"/>
    </w:p>
    <w:p w:rsidR="00D907AF" w:rsidRDefault="00D907AF" w:rsidP="00D907AF">
      <w:r w:rsidRPr="00FB3F3A">
        <w:rPr>
          <w:noProof/>
          <w:lang w:val="en-AU" w:eastAsia="en-AU"/>
        </w:rPr>
        <w:drawing>
          <wp:inline distT="0" distB="0" distL="0" distR="0" wp14:anchorId="4FF3D583" wp14:editId="5852EBA3">
            <wp:extent cx="5759450" cy="1600833"/>
            <wp:effectExtent l="0" t="0" r="0" b="0"/>
            <wp:docPr id="296" name="Picture 296" descr="The bar graph shows the distribution of responses, 0 is completely disagree and 10 is completely agree.  The graph compares Trial and Comparison responses.  The x axis is the satisfaction scale 0 to 10 and the y axis is the frequency.   Information regarding results in this graph is inpreceding paragraph." title="Figure 3.3e: Bar graph showing responses to the statement &quot;Most days I get a sense that I have achieved something&quot; on a scale of 1 t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9450" cy="1600833"/>
                    </a:xfrm>
                    <a:prstGeom prst="rect">
                      <a:avLst/>
                    </a:prstGeom>
                    <a:noFill/>
                    <a:ln>
                      <a:noFill/>
                    </a:ln>
                  </pic:spPr>
                </pic:pic>
              </a:graphicData>
            </a:graphic>
          </wp:inline>
        </w:drawing>
      </w:r>
    </w:p>
    <w:p w:rsidR="00D907AF" w:rsidRDefault="00D907AF" w:rsidP="006C7BE7">
      <w:pPr>
        <w:pStyle w:val="NILSTabletext"/>
      </w:pPr>
      <w:r w:rsidRPr="00805795">
        <w:t xml:space="preserve">Note: </w:t>
      </w:r>
      <w:r>
        <w:t>t</w:t>
      </w:r>
      <w:r w:rsidRPr="00597AA2">
        <w:t xml:space="preserve">rial and </w:t>
      </w:r>
      <w:r>
        <w:t>c</w:t>
      </w:r>
      <w:r w:rsidRPr="00597AA2">
        <w:t xml:space="preserve">omparison </w:t>
      </w:r>
      <w:r>
        <w:t>s</w:t>
      </w:r>
      <w:r w:rsidRPr="00597AA2">
        <w:t>tandard questionnaire</w:t>
      </w:r>
      <w:r>
        <w:t xml:space="preserve"> aged 8 years </w:t>
      </w:r>
      <w:r w:rsidRPr="00660446">
        <w:t>and above</w:t>
      </w:r>
      <w:r>
        <w:t xml:space="preserve"> </w:t>
      </w:r>
    </w:p>
    <w:p w:rsidR="00953EE5" w:rsidRDefault="00953EE5" w:rsidP="00D907AF"/>
    <w:p w:rsidR="00D907AF" w:rsidRDefault="00D907AF" w:rsidP="00D907AF">
      <w:r>
        <w:t>A gap between having a life with purpose and a life of achievement can be related to the opportunities and the barriers that people encounter in their lives. Figure 3.3</w:t>
      </w:r>
      <w:r>
        <w:rPr>
          <w:rFonts w:hint="eastAsia"/>
        </w:rPr>
        <w:t>f</w:t>
      </w:r>
      <w:r>
        <w:t xml:space="preserve"> suggests that a large majority of respondents think it takes them a long time to get over things that went wrong in their lives. The question that further analysis of this data will need to address is whether disability in general, or specific types of disability contribute to the long time to get over things that went wrong and, ultimately, if the NDIS can contribute towards changing this.</w:t>
      </w:r>
    </w:p>
    <w:p w:rsidR="00953EE5" w:rsidRDefault="00953EE5" w:rsidP="00D907AF"/>
    <w:p w:rsidR="00D907AF" w:rsidRPr="002D3565" w:rsidRDefault="00D907AF" w:rsidP="00D907AF">
      <w:pPr>
        <w:pStyle w:val="NILSFigureTitle"/>
      </w:pPr>
      <w:bookmarkStart w:id="343" w:name="_Toc428280730"/>
      <w:bookmarkStart w:id="344" w:name="_Toc449956372"/>
      <w:r w:rsidRPr="002D3565">
        <w:t>Figure 3.3</w:t>
      </w:r>
      <w:r>
        <w:rPr>
          <w:rFonts w:hint="eastAsia"/>
        </w:rPr>
        <w:t>f</w:t>
      </w:r>
      <w:r>
        <w:t>: How respondent feels</w:t>
      </w:r>
      <w:bookmarkEnd w:id="343"/>
      <w:bookmarkEnd w:id="344"/>
    </w:p>
    <w:p w:rsidR="00D907AF" w:rsidRDefault="00D907AF" w:rsidP="00D907AF">
      <w:r w:rsidRPr="00FB3F3A">
        <w:rPr>
          <w:noProof/>
          <w:lang w:val="en-AU" w:eastAsia="en-AU"/>
        </w:rPr>
        <w:drawing>
          <wp:inline distT="0" distB="0" distL="0" distR="0" wp14:anchorId="0026BF62" wp14:editId="6988CD0B">
            <wp:extent cx="5759450" cy="1600833"/>
            <wp:effectExtent l="0" t="0" r="0" b="0"/>
            <wp:docPr id="315" name="Picture 315" descr="The bar graph shows the distribution of responses, 0 is completely disagree and 10 is completely agree.  The graph compares Trial and Comparison responses.  The x axis is the satisfaction scale 0 to 10 and the y axis is the frequency.   Information regarding results in this graph is in preceding paragraph." title="Figure 3.3f: Bar graph showing responses to the statement &quot;When things go wrong in my life it generally takes me a long time to get over it&quot; on a scale of 0 t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59450" cy="1600833"/>
                    </a:xfrm>
                    <a:prstGeom prst="rect">
                      <a:avLst/>
                    </a:prstGeom>
                    <a:noFill/>
                    <a:ln>
                      <a:noFill/>
                    </a:ln>
                  </pic:spPr>
                </pic:pic>
              </a:graphicData>
            </a:graphic>
          </wp:inline>
        </w:drawing>
      </w:r>
    </w:p>
    <w:p w:rsidR="00D907AF" w:rsidRDefault="00D907AF" w:rsidP="006C7BE7">
      <w:pPr>
        <w:pStyle w:val="NILSTabletext"/>
      </w:pPr>
      <w:r w:rsidRPr="00805795">
        <w:t xml:space="preserve">Note: </w:t>
      </w:r>
      <w:r>
        <w:t>t</w:t>
      </w:r>
      <w:r w:rsidRPr="00597AA2">
        <w:t xml:space="preserve">rial and </w:t>
      </w:r>
      <w:r>
        <w:t>c</w:t>
      </w:r>
      <w:r w:rsidRPr="00597AA2">
        <w:t xml:space="preserve">omparison </w:t>
      </w:r>
      <w:r>
        <w:t>s</w:t>
      </w:r>
      <w:r w:rsidRPr="00597AA2">
        <w:t>tandard questionnaire</w:t>
      </w:r>
      <w:r>
        <w:t xml:space="preserve"> aged 8 years </w:t>
      </w:r>
      <w:r w:rsidRPr="00660446">
        <w:t>and above</w:t>
      </w:r>
      <w:r>
        <w:t xml:space="preserve"> </w:t>
      </w:r>
    </w:p>
    <w:p w:rsidR="00D907AF" w:rsidRDefault="00D907AF" w:rsidP="00D907AF">
      <w:r>
        <w:t xml:space="preserve">The next set of questions is about how happy respondent feel about things in their life. The focus here remains on general feelings about </w:t>
      </w:r>
      <w:r w:rsidR="006953C6">
        <w:t>wellbeing</w:t>
      </w:r>
      <w:r>
        <w:t>, but this time we switch to slightly more concrete matters and in some instances on matters that could even be quantified, such as money.</w:t>
      </w:r>
    </w:p>
    <w:p w:rsidR="00B50526" w:rsidRDefault="00B50526">
      <w:pPr>
        <w:rPr>
          <w:rFonts w:eastAsia="Times" w:cstheme="minorHAnsi"/>
          <w:b/>
          <w:kern w:val="32"/>
          <w:szCs w:val="28"/>
          <w:lang w:val="en-AU" w:eastAsia="zh-CN"/>
        </w:rPr>
      </w:pPr>
      <w:bookmarkStart w:id="345" w:name="_Toc428280646"/>
      <w:r>
        <w:br w:type="page"/>
      </w:r>
    </w:p>
    <w:p w:rsidR="00D907AF" w:rsidRPr="00BC205E" w:rsidRDefault="00D907AF" w:rsidP="00367B24">
      <w:pPr>
        <w:pStyle w:val="Heading40"/>
      </w:pPr>
      <w:bookmarkStart w:id="346" w:name="_Toc449955018"/>
      <w:r w:rsidRPr="00BC205E">
        <w:lastRenderedPageBreak/>
        <w:t>3.</w:t>
      </w:r>
      <w:r>
        <w:t>6.10.2</w:t>
      </w:r>
      <w:r w:rsidRPr="00BC205E">
        <w:t xml:space="preserve"> Statements about how happy respondents feel about things in their life</w:t>
      </w:r>
      <w:bookmarkEnd w:id="345"/>
      <w:bookmarkEnd w:id="346"/>
    </w:p>
    <w:p w:rsidR="00D907AF" w:rsidRDefault="00D907AF" w:rsidP="00D907AF">
      <w:r>
        <w:t xml:space="preserve">Figure 3.4a suggests a general high level of </w:t>
      </w:r>
      <w:r w:rsidR="006953C6">
        <w:t>wellbeing</w:t>
      </w:r>
      <w:r>
        <w:t xml:space="preserve"> being reported by respondents. We note the strong presence of the top three categories (especially the ‘completely happy’ one) and the very low presence in all four bottom categories.</w:t>
      </w:r>
    </w:p>
    <w:p w:rsidR="00953EE5" w:rsidRDefault="00953EE5" w:rsidP="00D907AF"/>
    <w:p w:rsidR="00D907AF" w:rsidRDefault="00D907AF" w:rsidP="00D907AF">
      <w:pPr>
        <w:pStyle w:val="NILSFigureTitle"/>
      </w:pPr>
      <w:bookmarkStart w:id="347" w:name="_Toc428280731"/>
      <w:bookmarkStart w:id="348" w:name="_Toc449956373"/>
      <w:r w:rsidRPr="002D3565">
        <w:t>Figure 3.</w:t>
      </w:r>
      <w:r>
        <w:t>4a: Happiness about things in life</w:t>
      </w:r>
      <w:bookmarkEnd w:id="347"/>
      <w:bookmarkEnd w:id="348"/>
    </w:p>
    <w:p w:rsidR="00D907AF" w:rsidRDefault="00D907AF" w:rsidP="00D907AF">
      <w:r w:rsidRPr="008D771D">
        <w:rPr>
          <w:noProof/>
          <w:lang w:val="en-AU" w:eastAsia="en-AU"/>
        </w:rPr>
        <w:drawing>
          <wp:inline distT="0" distB="0" distL="0" distR="0" wp14:anchorId="402F12E9" wp14:editId="68F55CCB">
            <wp:extent cx="5731510" cy="1594231"/>
            <wp:effectExtent l="0" t="0" r="2540" b="6350"/>
            <wp:docPr id="1" name="Picture 1" descr="The bar graph shows the distribution of responses on a scale from 0 not at all happy to 10 completely happy.  The graph compares Trial and Comparison responses.  The x axis is the satisfaction scale 0 to 10 and the y axis is the frequency.    Information regarding results in this graph is in preceding paragraph." title="Figure 3.4a: Bar graph showing responses to the question &quot;How happy are you about the things you have? For example the money you have and the things you own?&quot; on a scale of 1 t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31510" cy="1594231"/>
                    </a:xfrm>
                    <a:prstGeom prst="rect">
                      <a:avLst/>
                    </a:prstGeom>
                    <a:noFill/>
                    <a:ln>
                      <a:noFill/>
                    </a:ln>
                  </pic:spPr>
                </pic:pic>
              </a:graphicData>
            </a:graphic>
          </wp:inline>
        </w:drawing>
      </w:r>
    </w:p>
    <w:p w:rsidR="001B28D3" w:rsidRDefault="00D907AF" w:rsidP="00C26283">
      <w:pPr>
        <w:pStyle w:val="NILSTabletext"/>
      </w:pPr>
      <w:r w:rsidRPr="00805795">
        <w:t xml:space="preserve">Note: </w:t>
      </w:r>
      <w:r>
        <w:t>t</w:t>
      </w:r>
      <w:r w:rsidRPr="00597AA2">
        <w:t xml:space="preserve">rial and </w:t>
      </w:r>
      <w:r>
        <w:t>c</w:t>
      </w:r>
      <w:r w:rsidRPr="00597AA2">
        <w:t xml:space="preserve">omparison </w:t>
      </w:r>
      <w:r>
        <w:t>s</w:t>
      </w:r>
      <w:r w:rsidRPr="00597AA2">
        <w:t>tandard questionnaire</w:t>
      </w:r>
      <w:r>
        <w:t xml:space="preserve"> aged 8 years </w:t>
      </w:r>
      <w:r w:rsidRPr="00660446">
        <w:t>and above</w:t>
      </w:r>
      <w:r>
        <w:t xml:space="preserve"> </w:t>
      </w:r>
    </w:p>
    <w:p w:rsidR="00D907AF" w:rsidRDefault="00D907AF" w:rsidP="00D907AF">
      <w:r>
        <w:t xml:space="preserve">Figure 3.4b presents a less positive picture about the contribution of health to the feelings of respondents about their overall </w:t>
      </w:r>
      <w:r w:rsidR="006953C6">
        <w:t>wellbeing</w:t>
      </w:r>
      <w:r>
        <w:t>. One could argue that there are more respondents who suggested a higher level of happiness, but it is worth noting that the top two categories are visibly less populated. The most notable aspect of this Figure is that many respondents reported being not happy with their health with about a quarter being located in the bottom four categories and most notably 8 per cent reporting they are ‘Not at all happy’.</w:t>
      </w:r>
    </w:p>
    <w:p w:rsidR="00953EE5" w:rsidRDefault="00953EE5" w:rsidP="00D907AF"/>
    <w:p w:rsidR="00F52BBD" w:rsidRDefault="00D907AF" w:rsidP="00F706AC">
      <w:pPr>
        <w:pStyle w:val="NILSFigureTitle"/>
      </w:pPr>
      <w:bookmarkStart w:id="349" w:name="_Toc428280732"/>
      <w:bookmarkStart w:id="350" w:name="_Toc449956374"/>
      <w:r w:rsidRPr="002D3565">
        <w:t>Figure 3.</w:t>
      </w:r>
      <w:r>
        <w:t>4b: Happiness about things in life</w:t>
      </w:r>
      <w:bookmarkEnd w:id="349"/>
      <w:bookmarkEnd w:id="350"/>
    </w:p>
    <w:p w:rsidR="00D907AF" w:rsidRDefault="00D907AF" w:rsidP="00F706AC">
      <w:pPr>
        <w:pStyle w:val="NILSFigureTitle"/>
        <w:rPr>
          <w:noProof/>
          <w:lang w:val="en-AU" w:eastAsia="en-AU"/>
        </w:rPr>
      </w:pPr>
    </w:p>
    <w:p w:rsidR="00D907AF" w:rsidRDefault="00F52BBD" w:rsidP="006C7BE7">
      <w:pPr>
        <w:pStyle w:val="NILSTabletext"/>
      </w:pPr>
      <w:r w:rsidRPr="00545835">
        <w:rPr>
          <w:noProof/>
          <w:lang w:val="en-AU" w:eastAsia="en-AU"/>
        </w:rPr>
        <w:drawing>
          <wp:inline distT="0" distB="0" distL="0" distR="0" wp14:anchorId="27F5C405" wp14:editId="1A6DB95A">
            <wp:extent cx="5759450" cy="1600200"/>
            <wp:effectExtent l="0" t="0" r="0" b="0"/>
            <wp:docPr id="8" name="Picture 8" descr="The bar graph shows the distribution of responses on a scale from 0 not at all happy to 10 completely happy.  The graph compares Trial and Comparison responses.  The x axis is the satisfaction scale 0 to 10 and the y axis is the frequency.    Information regarding results in this graph is in preceding paragraph." title="Figure 3.4b Bar graph showing responses to the question &quot;How happy are you with your health? on a scale of 0 t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59450" cy="1600200"/>
                    </a:xfrm>
                    <a:prstGeom prst="rect">
                      <a:avLst/>
                    </a:prstGeom>
                    <a:noFill/>
                    <a:ln>
                      <a:noFill/>
                    </a:ln>
                  </pic:spPr>
                </pic:pic>
              </a:graphicData>
            </a:graphic>
          </wp:inline>
        </w:drawing>
      </w:r>
      <w:r w:rsidR="00D907AF" w:rsidRPr="00805795">
        <w:t xml:space="preserve">Note: </w:t>
      </w:r>
      <w:r w:rsidR="00D907AF">
        <w:t>t</w:t>
      </w:r>
      <w:r w:rsidR="00D907AF" w:rsidRPr="00597AA2">
        <w:t xml:space="preserve">rial and </w:t>
      </w:r>
      <w:r w:rsidR="00D907AF">
        <w:t>c</w:t>
      </w:r>
      <w:r w:rsidR="00D907AF" w:rsidRPr="00597AA2">
        <w:t xml:space="preserve">omparison </w:t>
      </w:r>
      <w:r w:rsidR="00D907AF">
        <w:t>s</w:t>
      </w:r>
      <w:r w:rsidR="00D907AF" w:rsidRPr="00597AA2">
        <w:t>tandard questionnaire</w:t>
      </w:r>
      <w:r w:rsidR="00D907AF">
        <w:t xml:space="preserve"> aged 8 years </w:t>
      </w:r>
      <w:r w:rsidR="00D907AF" w:rsidRPr="00660446">
        <w:t>and above</w:t>
      </w:r>
      <w:r w:rsidR="00D907AF">
        <w:t xml:space="preserve"> </w:t>
      </w:r>
    </w:p>
    <w:p w:rsidR="00953EE5" w:rsidRDefault="00D907AF">
      <w:r>
        <w:t xml:space="preserve">Figure 3.4c suggests that few respondents were not at all or completely happy about the things they want to be good at, noting around 5 per cent reported not being happy at all. This question is in part a ‘happiness with achievement’ measure and responses are concentrated in the middle, with a clear weight in the moderately above average happy categories. </w:t>
      </w:r>
      <w:bookmarkStart w:id="351" w:name="_Toc428280733"/>
    </w:p>
    <w:p w:rsidR="00B50526" w:rsidRDefault="00B50526">
      <w:pPr>
        <w:rPr>
          <w:rFonts w:eastAsia="Times New Roman"/>
          <w:b/>
          <w:sz w:val="20"/>
          <w:lang w:val="en-US"/>
        </w:rPr>
      </w:pPr>
      <w:r>
        <w:br w:type="page"/>
      </w:r>
    </w:p>
    <w:p w:rsidR="00D907AF" w:rsidRPr="002D3565" w:rsidRDefault="00D907AF" w:rsidP="00D907AF">
      <w:pPr>
        <w:pStyle w:val="NILSFigureTitle"/>
      </w:pPr>
      <w:bookmarkStart w:id="352" w:name="_Toc449956375"/>
      <w:r w:rsidRPr="002D3565">
        <w:lastRenderedPageBreak/>
        <w:t>Figure 3.</w:t>
      </w:r>
      <w:r>
        <w:t>4c: Happiness about things in life</w:t>
      </w:r>
      <w:bookmarkEnd w:id="351"/>
      <w:bookmarkEnd w:id="352"/>
    </w:p>
    <w:p w:rsidR="00D907AF" w:rsidRDefault="00D907AF" w:rsidP="00D907AF">
      <w:r w:rsidRPr="00545835">
        <w:rPr>
          <w:noProof/>
          <w:lang w:val="en-AU" w:eastAsia="en-AU"/>
        </w:rPr>
        <w:drawing>
          <wp:inline distT="0" distB="0" distL="0" distR="0" wp14:anchorId="7E6C7ABF" wp14:editId="22ADF56A">
            <wp:extent cx="5759450" cy="1600833"/>
            <wp:effectExtent l="0" t="0" r="0" b="0"/>
            <wp:docPr id="175" name="Picture 175" descr="The bar graph shows the distribution of responses on a scale from 0 not at all happy to 10 completely happy.  The graph compares Trial and Comparison responses.  The x axis is the satisfaction scale 0 to 10 and the y axis is the frequency.  Information regarding results in this graph is in preceding paragraph." title="Figure 3.4c: Bar graph showing the responses to the question &quot;How happy are you with the things you want to be good at?&quot; on a scale of 0 t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9450" cy="1600833"/>
                    </a:xfrm>
                    <a:prstGeom prst="rect">
                      <a:avLst/>
                    </a:prstGeom>
                    <a:noFill/>
                    <a:ln>
                      <a:noFill/>
                    </a:ln>
                  </pic:spPr>
                </pic:pic>
              </a:graphicData>
            </a:graphic>
          </wp:inline>
        </w:drawing>
      </w:r>
    </w:p>
    <w:p w:rsidR="001B28D3" w:rsidRDefault="00D907AF" w:rsidP="00056A5A">
      <w:pPr>
        <w:pStyle w:val="NILSTabletext"/>
      </w:pPr>
      <w:r w:rsidRPr="00805795">
        <w:t xml:space="preserve">Note: </w:t>
      </w:r>
      <w:r>
        <w:t>t</w:t>
      </w:r>
      <w:r w:rsidRPr="00597AA2">
        <w:t xml:space="preserve">rial and </w:t>
      </w:r>
      <w:r>
        <w:t>c</w:t>
      </w:r>
      <w:r w:rsidRPr="00597AA2">
        <w:t xml:space="preserve">omparison </w:t>
      </w:r>
      <w:r>
        <w:t>s</w:t>
      </w:r>
      <w:r w:rsidRPr="00597AA2">
        <w:t>tandard questionnaire</w:t>
      </w:r>
      <w:r>
        <w:t xml:space="preserve"> aged 8 years </w:t>
      </w:r>
      <w:r w:rsidRPr="00660446">
        <w:t>and above</w:t>
      </w:r>
      <w:r>
        <w:t xml:space="preserve"> </w:t>
      </w:r>
    </w:p>
    <w:p w:rsidR="00884536" w:rsidRDefault="00884536" w:rsidP="00D907AF"/>
    <w:p w:rsidR="00D907AF" w:rsidRDefault="00D907AF" w:rsidP="00D907AF">
      <w:r>
        <w:t>Figure 3.4d suggests that respondents felt very happy with the way they get on with people they know. It is noteworthy that the top four categories are populated by approximately 75 per cent of all respondents and about 10 per cent populated the bottom four categories.</w:t>
      </w:r>
    </w:p>
    <w:p w:rsidR="00953EE5" w:rsidRPr="002D3565" w:rsidRDefault="00953EE5" w:rsidP="00D907AF"/>
    <w:p w:rsidR="00D907AF" w:rsidRPr="002D3565" w:rsidRDefault="00D907AF" w:rsidP="00D907AF">
      <w:pPr>
        <w:pStyle w:val="NILSFigureTitle"/>
      </w:pPr>
      <w:bookmarkStart w:id="353" w:name="_Toc428280734"/>
      <w:bookmarkStart w:id="354" w:name="_Toc449956376"/>
      <w:r w:rsidRPr="002D3565">
        <w:t>Figure 3.</w:t>
      </w:r>
      <w:r>
        <w:t>4d: Happiness about things in life</w:t>
      </w:r>
      <w:bookmarkEnd w:id="353"/>
      <w:bookmarkEnd w:id="354"/>
    </w:p>
    <w:p w:rsidR="00D907AF" w:rsidRDefault="00D907AF" w:rsidP="00D907AF">
      <w:r w:rsidRPr="00545835">
        <w:rPr>
          <w:noProof/>
          <w:lang w:val="en-AU" w:eastAsia="en-AU"/>
        </w:rPr>
        <w:drawing>
          <wp:inline distT="0" distB="0" distL="0" distR="0" wp14:anchorId="06AC98EF" wp14:editId="2673CFDC">
            <wp:extent cx="5759450" cy="1600833"/>
            <wp:effectExtent l="0" t="0" r="0" b="0"/>
            <wp:docPr id="177" name="Picture 177" descr="The bar graph shows the distribution of responses on a scale from 0 not at all happy to 10 completely happy.  The graph compares Trial and Comparison responses.  The x axis is the satisfaction scale 0 to 10 and the y axis is the frequency. Information regarding results in this graph is in preceding paragraph." title="Figure 3.4d: Bar graph showing responses to question: &quot;How happy are you with getting on with the people you know?&quot; on a scale of 0 t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59450" cy="1600833"/>
                    </a:xfrm>
                    <a:prstGeom prst="rect">
                      <a:avLst/>
                    </a:prstGeom>
                    <a:noFill/>
                    <a:ln>
                      <a:noFill/>
                    </a:ln>
                  </pic:spPr>
                </pic:pic>
              </a:graphicData>
            </a:graphic>
          </wp:inline>
        </w:drawing>
      </w:r>
    </w:p>
    <w:p w:rsidR="00056A5A" w:rsidRDefault="00D907AF" w:rsidP="00056A5A">
      <w:pPr>
        <w:pStyle w:val="NILSTabletext"/>
      </w:pPr>
      <w:r w:rsidRPr="00805795">
        <w:t xml:space="preserve">Note: </w:t>
      </w:r>
      <w:r>
        <w:t>t</w:t>
      </w:r>
      <w:r w:rsidRPr="00597AA2">
        <w:t xml:space="preserve">rial and </w:t>
      </w:r>
      <w:r>
        <w:t>c</w:t>
      </w:r>
      <w:r w:rsidRPr="00597AA2">
        <w:t xml:space="preserve">omparison </w:t>
      </w:r>
      <w:r>
        <w:t>s</w:t>
      </w:r>
      <w:r w:rsidRPr="00597AA2">
        <w:t>tandard questionnaire</w:t>
      </w:r>
      <w:r>
        <w:t xml:space="preserve"> aged 8 years </w:t>
      </w:r>
      <w:r w:rsidRPr="00660446">
        <w:t>and above</w:t>
      </w:r>
    </w:p>
    <w:p w:rsidR="00953EE5" w:rsidRDefault="00D907AF" w:rsidP="003C6952">
      <w:pPr>
        <w:pStyle w:val="NILSTabletext"/>
      </w:pPr>
      <w:r>
        <w:t>Figure 3.4e suggests that respondents were generally happy about their safety, with small numbers expressing unhappiness about it and for those who do, it is mostly moderate.</w:t>
      </w:r>
    </w:p>
    <w:p w:rsidR="00D907AF" w:rsidRDefault="00D907AF" w:rsidP="00D907AF">
      <w:pPr>
        <w:pStyle w:val="NILSFigureTitle"/>
      </w:pPr>
      <w:bookmarkStart w:id="355" w:name="_Toc428280735"/>
      <w:bookmarkStart w:id="356" w:name="_Toc449956377"/>
      <w:r w:rsidRPr="002D3565">
        <w:t>Figure 3.</w:t>
      </w:r>
      <w:r>
        <w:t>4e: Happiness about things in life</w:t>
      </w:r>
      <w:bookmarkEnd w:id="355"/>
      <w:bookmarkEnd w:id="356"/>
    </w:p>
    <w:p w:rsidR="00D907AF" w:rsidRPr="002D3565" w:rsidRDefault="00D907AF" w:rsidP="00D907AF">
      <w:pPr>
        <w:jc w:val="center"/>
        <w:rPr>
          <w:b/>
        </w:rPr>
      </w:pPr>
      <w:r w:rsidRPr="00545835">
        <w:rPr>
          <w:noProof/>
          <w:lang w:val="en-AU" w:eastAsia="en-AU"/>
        </w:rPr>
        <w:drawing>
          <wp:inline distT="0" distB="0" distL="0" distR="0" wp14:anchorId="43F9E5E4" wp14:editId="64F533CB">
            <wp:extent cx="5757173" cy="1600200"/>
            <wp:effectExtent l="0" t="0" r="0" b="0"/>
            <wp:docPr id="178" name="Picture 178" descr="The bar graph shows the distribution of responses on a scale from 0 not at all happy to 10 completely happy.  The graph compares Trial and Comparison responses.  The x axis is the satisfaction scale 0 to 10 and the y axis is the frequency. Information regarding results in this graph is in preceding paragraph.&#10;" title="Figure 3.4e: Bar graph showing responses to the question &quot;How happy are you with how safe you feel?&quot; on a scale of 1 t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66553" cy="1602807"/>
                    </a:xfrm>
                    <a:prstGeom prst="rect">
                      <a:avLst/>
                    </a:prstGeom>
                    <a:noFill/>
                    <a:ln>
                      <a:noFill/>
                    </a:ln>
                  </pic:spPr>
                </pic:pic>
              </a:graphicData>
            </a:graphic>
          </wp:inline>
        </w:drawing>
      </w:r>
    </w:p>
    <w:p w:rsidR="00D907AF" w:rsidRDefault="00D907AF" w:rsidP="006C7BE7">
      <w:pPr>
        <w:pStyle w:val="NILSTabletext"/>
      </w:pPr>
      <w:r w:rsidRPr="00805795">
        <w:t xml:space="preserve">Note: </w:t>
      </w:r>
      <w:r>
        <w:t>t</w:t>
      </w:r>
      <w:r w:rsidRPr="00597AA2">
        <w:t xml:space="preserve">rial and </w:t>
      </w:r>
      <w:r>
        <w:t>c</w:t>
      </w:r>
      <w:r w:rsidRPr="00597AA2">
        <w:t xml:space="preserve">omparison </w:t>
      </w:r>
      <w:r>
        <w:t>s</w:t>
      </w:r>
      <w:r w:rsidRPr="00597AA2">
        <w:t>tandard questionnaire</w:t>
      </w:r>
      <w:r>
        <w:t xml:space="preserve"> aged 8 years </w:t>
      </w:r>
      <w:r w:rsidRPr="00660446">
        <w:t>and above</w:t>
      </w:r>
      <w:r>
        <w:t xml:space="preserve"> </w:t>
      </w:r>
    </w:p>
    <w:p w:rsidR="00B50526" w:rsidRDefault="00B50526">
      <w:r>
        <w:br w:type="page"/>
      </w:r>
    </w:p>
    <w:p w:rsidR="00953EE5" w:rsidRDefault="00D907AF">
      <w:r>
        <w:lastRenderedPageBreak/>
        <w:t>Similarly, Figure 3.4f suggests that respondents were mostly happy about doing things away from home.</w:t>
      </w:r>
      <w:bookmarkStart w:id="357" w:name="_Toc428280736"/>
    </w:p>
    <w:p w:rsidR="003C6952" w:rsidRDefault="003C6952">
      <w:pPr>
        <w:rPr>
          <w:rFonts w:eastAsia="Times New Roman"/>
          <w:b/>
          <w:sz w:val="20"/>
          <w:lang w:val="en-US"/>
        </w:rPr>
      </w:pPr>
    </w:p>
    <w:p w:rsidR="00D907AF" w:rsidRPr="00545835" w:rsidRDefault="00D907AF" w:rsidP="00D907AF">
      <w:pPr>
        <w:pStyle w:val="NILSFigureTitle"/>
      </w:pPr>
      <w:bookmarkStart w:id="358" w:name="_Toc449956378"/>
      <w:r w:rsidRPr="002D3565">
        <w:t>Figure 3.</w:t>
      </w:r>
      <w:r>
        <w:t>4f: Happiness about things in life</w:t>
      </w:r>
      <w:bookmarkEnd w:id="357"/>
      <w:bookmarkEnd w:id="358"/>
    </w:p>
    <w:p w:rsidR="00D907AF" w:rsidRDefault="00D907AF" w:rsidP="00D907AF">
      <w:r w:rsidRPr="00545835">
        <w:rPr>
          <w:noProof/>
          <w:lang w:val="en-AU" w:eastAsia="en-AU"/>
        </w:rPr>
        <w:drawing>
          <wp:inline distT="0" distB="0" distL="0" distR="0" wp14:anchorId="2DD0D607" wp14:editId="3FAF97DF">
            <wp:extent cx="5759450" cy="1600833"/>
            <wp:effectExtent l="0" t="0" r="0" b="0"/>
            <wp:docPr id="179" name="Picture 179" descr="The bar graph shows the distribution of responses on a scale from 0 not at all happy to 10 completely happy.  The graph compares Trial and Comparison responses.  The x axis is the satisfaction scale 0 to 10 and the y axis is the frequency.  Information regarding results in this graph is in preceding paragraph." title="Figure 3.4f: Bar graph showing responses to the question &quot;How happy are you about doing things away from your home?&quot; on a scale of 1 t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59450" cy="1600833"/>
                    </a:xfrm>
                    <a:prstGeom prst="rect">
                      <a:avLst/>
                    </a:prstGeom>
                    <a:noFill/>
                    <a:ln>
                      <a:noFill/>
                    </a:ln>
                  </pic:spPr>
                </pic:pic>
              </a:graphicData>
            </a:graphic>
          </wp:inline>
        </w:drawing>
      </w:r>
    </w:p>
    <w:p w:rsidR="00D907AF" w:rsidRDefault="00D907AF" w:rsidP="006C7BE7">
      <w:pPr>
        <w:pStyle w:val="NILSTabletext"/>
      </w:pPr>
      <w:r w:rsidRPr="00805795">
        <w:t xml:space="preserve">Note: </w:t>
      </w:r>
      <w:r>
        <w:t>t</w:t>
      </w:r>
      <w:r w:rsidRPr="00597AA2">
        <w:t xml:space="preserve">rial and </w:t>
      </w:r>
      <w:r>
        <w:t>c</w:t>
      </w:r>
      <w:r w:rsidRPr="00597AA2">
        <w:t xml:space="preserve">omparison </w:t>
      </w:r>
      <w:r>
        <w:t>s</w:t>
      </w:r>
      <w:r w:rsidRPr="00597AA2">
        <w:t>tandard questionnaire</w:t>
      </w:r>
      <w:r>
        <w:t xml:space="preserve"> aged 8 years </w:t>
      </w:r>
      <w:r w:rsidRPr="00660446">
        <w:t>and above</w:t>
      </w:r>
      <w:r>
        <w:t xml:space="preserve"> </w:t>
      </w:r>
    </w:p>
    <w:p w:rsidR="00D907AF" w:rsidRDefault="00D907AF" w:rsidP="00D907AF">
      <w:r>
        <w:t>Figure 3.4g presents the answers to how happy respondents feel about what might happen to them in later life. The broad picture is one of considerable unhappiness about the uncertainty of what the future may hold. There are many reasons why the future may be worrying. Worries may be related to age, family circumstances, specific disability reasons and much more. We note that many of these reasons will be inter-related which suggests that they should be examined using multivariate regression methodologies.</w:t>
      </w:r>
    </w:p>
    <w:p w:rsidR="001B28D3" w:rsidRDefault="001B28D3" w:rsidP="00D907AF">
      <w:pPr>
        <w:pStyle w:val="NILSFigureTitle"/>
      </w:pPr>
      <w:bookmarkStart w:id="359" w:name="_Toc428280737"/>
    </w:p>
    <w:p w:rsidR="00D907AF" w:rsidRPr="002D3565" w:rsidRDefault="00D907AF" w:rsidP="00D907AF">
      <w:pPr>
        <w:pStyle w:val="NILSFigureTitle"/>
      </w:pPr>
      <w:bookmarkStart w:id="360" w:name="_Toc449956379"/>
      <w:r w:rsidRPr="002D3565">
        <w:t>Figure 3.</w:t>
      </w:r>
      <w:r>
        <w:t>4g: Happiness about things in life</w:t>
      </w:r>
      <w:bookmarkEnd w:id="359"/>
      <w:bookmarkEnd w:id="360"/>
    </w:p>
    <w:p w:rsidR="00D907AF" w:rsidRDefault="00D907AF" w:rsidP="00D907AF">
      <w:r w:rsidRPr="00545835">
        <w:rPr>
          <w:noProof/>
          <w:lang w:val="en-AU" w:eastAsia="en-AU"/>
        </w:rPr>
        <w:drawing>
          <wp:inline distT="0" distB="0" distL="0" distR="0" wp14:anchorId="4E620ADF" wp14:editId="2247E415">
            <wp:extent cx="5759450" cy="1600833"/>
            <wp:effectExtent l="0" t="0" r="0" b="0"/>
            <wp:docPr id="180" name="Picture 180" descr="The bar graph shows the distribution of responses on a scale from 0 not at all happy to 10 completely happy.  The graph compares Trial and Comparison responses.  The x axis is the satisfaction scale 0 to 10 and the y axis is the frequency. Information regarding results in this graph is in preceding paragraph." title="Figure 3.4g: Bar graph showing responses to the question &quot;How happy are you about what may happen to you later on in life?&quot; on a scale of 1 t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59450" cy="1600833"/>
                    </a:xfrm>
                    <a:prstGeom prst="rect">
                      <a:avLst/>
                    </a:prstGeom>
                    <a:noFill/>
                    <a:ln>
                      <a:noFill/>
                    </a:ln>
                  </pic:spPr>
                </pic:pic>
              </a:graphicData>
            </a:graphic>
          </wp:inline>
        </w:drawing>
      </w:r>
    </w:p>
    <w:p w:rsidR="00D907AF" w:rsidRDefault="00D907AF" w:rsidP="006C7BE7">
      <w:pPr>
        <w:pStyle w:val="NILSTabletext"/>
      </w:pPr>
      <w:r w:rsidRPr="00805795">
        <w:t xml:space="preserve">Note: </w:t>
      </w:r>
      <w:r>
        <w:t>t</w:t>
      </w:r>
      <w:r w:rsidRPr="00597AA2">
        <w:t xml:space="preserve">rial and </w:t>
      </w:r>
      <w:r>
        <w:t>c</w:t>
      </w:r>
      <w:r w:rsidRPr="00597AA2">
        <w:t xml:space="preserve">omparison </w:t>
      </w:r>
      <w:r>
        <w:t>s</w:t>
      </w:r>
      <w:r w:rsidRPr="00597AA2">
        <w:t>tandard questionnaire</w:t>
      </w:r>
      <w:r>
        <w:t xml:space="preserve"> aged 8 years </w:t>
      </w:r>
      <w:r w:rsidRPr="00660446">
        <w:t>and above</w:t>
      </w:r>
      <w:r>
        <w:t xml:space="preserve"> </w:t>
      </w:r>
    </w:p>
    <w:p w:rsidR="00953EE5" w:rsidRDefault="00953EE5" w:rsidP="00D907AF"/>
    <w:p w:rsidR="00D907AF" w:rsidRDefault="00D907AF" w:rsidP="00D907AF">
      <w:r w:rsidRPr="000C63B5">
        <w:t xml:space="preserve">With the exception of a large proportion of respondents </w:t>
      </w:r>
      <w:r>
        <w:t xml:space="preserve">reporting </w:t>
      </w:r>
      <w:r w:rsidRPr="000C63B5">
        <w:t xml:space="preserve">being unhappy about their health and being unhappy about the uncertainties they may face in later life, the overall happiness picture arising from Figure 3.4a to 3.4g is positive. </w:t>
      </w:r>
    </w:p>
    <w:p w:rsidR="00D907AF" w:rsidRPr="00590137" w:rsidRDefault="00D907AF" w:rsidP="00367B24">
      <w:pPr>
        <w:pStyle w:val="Heading40"/>
      </w:pPr>
      <w:bookmarkStart w:id="361" w:name="_Toc428280647"/>
      <w:bookmarkStart w:id="362" w:name="_Toc449955019"/>
      <w:r>
        <w:t>3.6.10.3</w:t>
      </w:r>
      <w:r w:rsidRPr="00590137">
        <w:t xml:space="preserve"> </w:t>
      </w:r>
      <w:r>
        <w:t xml:space="preserve">Statements about support </w:t>
      </w:r>
      <w:r w:rsidRPr="00590137">
        <w:t xml:space="preserve">respondents </w:t>
      </w:r>
      <w:r>
        <w:t>feel they have</w:t>
      </w:r>
      <w:r w:rsidRPr="00590137">
        <w:t xml:space="preserve"> from other people</w:t>
      </w:r>
      <w:bookmarkEnd w:id="361"/>
      <w:bookmarkEnd w:id="362"/>
    </w:p>
    <w:p w:rsidR="00953EE5" w:rsidRDefault="00D907AF">
      <w:r>
        <w:t xml:space="preserve">The people who support people with disability directly or indirectly make a vital contribution to their lives. The following suite of questions elicits the extent to which people with disability feel they have both emotional and practical support from people around them. Figure 3.5a asks if the respondent has lots of friends. The answers are probably the most variable and most evenly spread in all participation and </w:t>
      </w:r>
      <w:r w:rsidR="006953C6">
        <w:t>wellbeing</w:t>
      </w:r>
      <w:r>
        <w:t xml:space="preserve"> questions. The weight of the answers lies in the negative side - the majority of all respondents generally disagreeing with the statement that they have a lot of friends. Yet, a large minority agreed with this statement, with a notable 10 per cent of respondents completely agreeing. This is an important picture which will need to be unpacked at the analysis stage. </w:t>
      </w:r>
      <w:bookmarkStart w:id="363" w:name="_Toc428280738"/>
    </w:p>
    <w:p w:rsidR="00C23932" w:rsidRDefault="00C23932">
      <w:pPr>
        <w:rPr>
          <w:rFonts w:eastAsia="Times New Roman"/>
          <w:b/>
          <w:sz w:val="20"/>
          <w:lang w:val="en-US"/>
        </w:rPr>
      </w:pPr>
    </w:p>
    <w:p w:rsidR="00D907AF" w:rsidRDefault="00D907AF" w:rsidP="00D907AF">
      <w:pPr>
        <w:pStyle w:val="NILSFigureTitle"/>
      </w:pPr>
      <w:bookmarkStart w:id="364" w:name="_Toc449956380"/>
      <w:r w:rsidRPr="00660446">
        <w:lastRenderedPageBreak/>
        <w:t>Figure 3.</w:t>
      </w:r>
      <w:r>
        <w:t>5</w:t>
      </w:r>
      <w:r w:rsidRPr="00660446">
        <w:t>a</w:t>
      </w:r>
      <w:r>
        <w:t>: Support from others</w:t>
      </w:r>
      <w:bookmarkEnd w:id="363"/>
      <w:bookmarkEnd w:id="364"/>
    </w:p>
    <w:p w:rsidR="00D907AF" w:rsidRDefault="00D907AF" w:rsidP="00D907AF">
      <w:r w:rsidRPr="00012DBE">
        <w:rPr>
          <w:noProof/>
          <w:lang w:val="en-AU" w:eastAsia="en-AU"/>
        </w:rPr>
        <w:drawing>
          <wp:inline distT="0" distB="0" distL="0" distR="0" wp14:anchorId="3B05AFA7" wp14:editId="64307215">
            <wp:extent cx="5759450" cy="1600833"/>
            <wp:effectExtent l="0" t="0" r="0" b="0"/>
            <wp:docPr id="182" name="Picture 182" descr="The bar graph shows the distribution of responses, 0 is completely disagree and 10 is completely agree.  The graph compares Trial and Comparison responses.  The x axis is the satisfaction scale 0 to 10 and the y axis is the frequency.  Information regarding results in this graph is in preceding paragraph." title="Figure 3.5a: Bar graph showing responses to the statement &quot;I seem to have a lot of friends&quot; on a scale of 1 t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59450" cy="1600833"/>
                    </a:xfrm>
                    <a:prstGeom prst="rect">
                      <a:avLst/>
                    </a:prstGeom>
                    <a:noFill/>
                    <a:ln>
                      <a:noFill/>
                    </a:ln>
                  </pic:spPr>
                </pic:pic>
              </a:graphicData>
            </a:graphic>
          </wp:inline>
        </w:drawing>
      </w:r>
    </w:p>
    <w:p w:rsidR="001B28D3" w:rsidRDefault="00D907AF" w:rsidP="00BD5E71">
      <w:pPr>
        <w:pStyle w:val="NILSTabletext"/>
      </w:pPr>
      <w:r w:rsidRPr="00805795">
        <w:t xml:space="preserve">Note: </w:t>
      </w:r>
      <w:r>
        <w:t>t</w:t>
      </w:r>
      <w:r w:rsidRPr="00597AA2">
        <w:t xml:space="preserve">rial and </w:t>
      </w:r>
      <w:r>
        <w:t>c</w:t>
      </w:r>
      <w:r w:rsidRPr="00597AA2">
        <w:t xml:space="preserve">omparison </w:t>
      </w:r>
      <w:r>
        <w:t>s</w:t>
      </w:r>
      <w:r w:rsidRPr="00597AA2">
        <w:t>tandard questionnaire</w:t>
      </w:r>
      <w:r>
        <w:t xml:space="preserve"> aged 8 years </w:t>
      </w:r>
      <w:r w:rsidRPr="00660446">
        <w:t>and above</w:t>
      </w:r>
    </w:p>
    <w:p w:rsidR="00D907AF" w:rsidRDefault="00D907AF" w:rsidP="00D907AF">
      <w:r>
        <w:t>Figure 3.5b suggests that, in contrast to the general statement about not having ‘a lot of friends’, a large majority of respondents reported that they have someone to cheer them up when down, and a small minority said that they do not.</w:t>
      </w:r>
    </w:p>
    <w:p w:rsidR="00953EE5" w:rsidRDefault="00953EE5" w:rsidP="00D907AF"/>
    <w:p w:rsidR="00D907AF" w:rsidRDefault="00D907AF" w:rsidP="00D907AF">
      <w:pPr>
        <w:pStyle w:val="NILSFigureTitle"/>
      </w:pPr>
      <w:bookmarkStart w:id="365" w:name="_Toc428280739"/>
      <w:bookmarkStart w:id="366" w:name="_Toc449956381"/>
      <w:r w:rsidRPr="00660446">
        <w:t>Figure 3.</w:t>
      </w:r>
      <w:r>
        <w:t>5</w:t>
      </w:r>
      <w:r w:rsidRPr="00660446">
        <w:t>b</w:t>
      </w:r>
      <w:r>
        <w:t>: Support from others</w:t>
      </w:r>
      <w:bookmarkEnd w:id="365"/>
      <w:bookmarkEnd w:id="366"/>
    </w:p>
    <w:p w:rsidR="00D907AF" w:rsidRDefault="00EA5B7E" w:rsidP="00D907AF">
      <w:r>
        <w:rPr>
          <w:noProof/>
          <w:lang w:val="en-AU" w:eastAsia="en-AU"/>
        </w:rPr>
        <w:drawing>
          <wp:inline distT="0" distB="0" distL="0" distR="0" wp14:anchorId="3195765B" wp14:editId="4DEA5C05">
            <wp:extent cx="5759450" cy="1601470"/>
            <wp:effectExtent l="0" t="0" r="0" b="0"/>
            <wp:docPr id="2" name="Picture 2" descr="The bar graph shows the distribution of responses, 0 is completely disagree and 10 is completely agree.  The graph compares Trial and Comparison responses.  The x axis is the satisfaction scale 0 to 10 and the y axis is the frequency.   Information regarding results in this graph is in preceding paragraph.&#10;" title="Figure 3.5b: Bar graph showing responses to the statement &quot;There is someone who can always cheer me up when I’m down&quot; on a scale of 1 t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There is someone who can always cheer me up when I’m down"/>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59450" cy="1601470"/>
                    </a:xfrm>
                    <a:prstGeom prst="rect">
                      <a:avLst/>
                    </a:prstGeom>
                    <a:noFill/>
                    <a:ln>
                      <a:noFill/>
                    </a:ln>
                  </pic:spPr>
                </pic:pic>
              </a:graphicData>
            </a:graphic>
          </wp:inline>
        </w:drawing>
      </w:r>
    </w:p>
    <w:p w:rsidR="001B28D3" w:rsidRDefault="00D907AF" w:rsidP="00BD5E71">
      <w:pPr>
        <w:pStyle w:val="NILSTabletext"/>
      </w:pPr>
      <w:r w:rsidRPr="00805795">
        <w:t xml:space="preserve">Note: </w:t>
      </w:r>
      <w:r>
        <w:t>t</w:t>
      </w:r>
      <w:r w:rsidRPr="00597AA2">
        <w:t xml:space="preserve">rial and </w:t>
      </w:r>
      <w:r>
        <w:t>c</w:t>
      </w:r>
      <w:r w:rsidRPr="00597AA2">
        <w:t xml:space="preserve">omparison </w:t>
      </w:r>
      <w:r>
        <w:t>s</w:t>
      </w:r>
      <w:r w:rsidRPr="00597AA2">
        <w:t>tandard questionnaire</w:t>
      </w:r>
      <w:r>
        <w:t xml:space="preserve"> aged 8 years </w:t>
      </w:r>
      <w:r w:rsidRPr="00660446">
        <w:t>and above</w:t>
      </w:r>
    </w:p>
    <w:p w:rsidR="00D907AF" w:rsidRDefault="00D907AF" w:rsidP="00D907AF">
      <w:r>
        <w:t>Figure 3.5c clearly suggests that respondents overwhelmingly enjoy spending time with the people that are important to them.</w:t>
      </w:r>
    </w:p>
    <w:p w:rsidR="00953EE5" w:rsidRDefault="00953EE5" w:rsidP="00D907AF"/>
    <w:p w:rsidR="00D907AF" w:rsidRDefault="00D907AF" w:rsidP="00D907AF">
      <w:pPr>
        <w:pStyle w:val="NILSFigureTitle"/>
      </w:pPr>
      <w:bookmarkStart w:id="367" w:name="_Toc428280740"/>
      <w:bookmarkStart w:id="368" w:name="_Toc449956382"/>
      <w:r w:rsidRPr="00660446">
        <w:t>Figure 3.</w:t>
      </w:r>
      <w:r>
        <w:t>5</w:t>
      </w:r>
      <w:r w:rsidRPr="00660446">
        <w:t>c</w:t>
      </w:r>
      <w:r>
        <w:t>: Support from others</w:t>
      </w:r>
      <w:bookmarkEnd w:id="367"/>
      <w:bookmarkEnd w:id="368"/>
    </w:p>
    <w:p w:rsidR="00D907AF" w:rsidRPr="00224A6E" w:rsidRDefault="00D907AF" w:rsidP="00D907AF">
      <w:r w:rsidRPr="006A4B16">
        <w:rPr>
          <w:noProof/>
          <w:lang w:val="en-AU" w:eastAsia="en-AU"/>
        </w:rPr>
        <w:drawing>
          <wp:inline distT="0" distB="0" distL="0" distR="0" wp14:anchorId="32D9194A" wp14:editId="4DABEDD2">
            <wp:extent cx="5759450" cy="1600833"/>
            <wp:effectExtent l="0" t="0" r="0" b="0"/>
            <wp:docPr id="185" name="Picture 185" descr="The bar graph shows the distribution of responses, 0 is completely disagree and 10 is completely agree.  The graph compares Trial and Comparison responses.  The x axis is the satisfaction scale 0 to 10 and the y axis is the frequency.   Information regarding results in this graph is in preceding paragraph.&#10;" title="Figure 3.5c: Bar graph showing responses to the statement &quot;I enjoy the time I spend with the people who are important to me&quot; on a scale of 1 t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59450" cy="1600833"/>
                    </a:xfrm>
                    <a:prstGeom prst="rect">
                      <a:avLst/>
                    </a:prstGeom>
                    <a:noFill/>
                    <a:ln>
                      <a:noFill/>
                    </a:ln>
                  </pic:spPr>
                </pic:pic>
              </a:graphicData>
            </a:graphic>
          </wp:inline>
        </w:drawing>
      </w:r>
    </w:p>
    <w:p w:rsidR="001B28D3" w:rsidRDefault="00D907AF" w:rsidP="00BD5E71">
      <w:pPr>
        <w:pStyle w:val="NILSTabletext"/>
      </w:pPr>
      <w:r w:rsidRPr="00805795">
        <w:t xml:space="preserve">Note: </w:t>
      </w:r>
      <w:r>
        <w:t>t</w:t>
      </w:r>
      <w:r w:rsidRPr="00597AA2">
        <w:t xml:space="preserve">rial and </w:t>
      </w:r>
      <w:r>
        <w:t>c</w:t>
      </w:r>
      <w:r w:rsidRPr="00597AA2">
        <w:t xml:space="preserve">omparison </w:t>
      </w:r>
      <w:r>
        <w:t>s</w:t>
      </w:r>
      <w:r w:rsidRPr="00597AA2">
        <w:t>tandard questionnaire</w:t>
      </w:r>
      <w:r>
        <w:t xml:space="preserve"> aged 8 years </w:t>
      </w:r>
      <w:r w:rsidRPr="00660446">
        <w:t>and above</w:t>
      </w:r>
    </w:p>
    <w:p w:rsidR="00D907AF" w:rsidRPr="00224A6E" w:rsidRDefault="00D907AF" w:rsidP="00D907AF">
      <w:r>
        <w:t>Figure 3.5d shows the degree to which people with disability know that when something is on their mind, talking to people can make them feel better. This can be interpreted more as the knowledge and willingness to reach out to people, rather than the availability of people that Figure 3.5b measures. The weight of this Figure is on the right, suggesting that a large majority agree with this statement.</w:t>
      </w:r>
    </w:p>
    <w:p w:rsidR="00884536" w:rsidRDefault="00884536" w:rsidP="001B28D3">
      <w:pPr>
        <w:pStyle w:val="NILSFigureTitle"/>
      </w:pPr>
      <w:bookmarkStart w:id="369" w:name="_Toc428280741"/>
    </w:p>
    <w:p w:rsidR="00EB1EBB" w:rsidRDefault="00EB1EBB">
      <w:pPr>
        <w:rPr>
          <w:rFonts w:eastAsia="Times New Roman"/>
          <w:b/>
          <w:sz w:val="20"/>
          <w:lang w:val="en-US"/>
        </w:rPr>
      </w:pPr>
      <w:r>
        <w:br w:type="page"/>
      </w:r>
    </w:p>
    <w:p w:rsidR="00D907AF" w:rsidRPr="00660446" w:rsidRDefault="00D907AF" w:rsidP="001B28D3">
      <w:pPr>
        <w:pStyle w:val="NILSFigureTitle"/>
      </w:pPr>
      <w:bookmarkStart w:id="370" w:name="_Toc449956383"/>
      <w:r w:rsidRPr="00660446">
        <w:lastRenderedPageBreak/>
        <w:t>Figure 3.</w:t>
      </w:r>
      <w:r>
        <w:t>5</w:t>
      </w:r>
      <w:r w:rsidRPr="00660446">
        <w:t>d</w:t>
      </w:r>
      <w:r>
        <w:t>: Support from others</w:t>
      </w:r>
      <w:bookmarkEnd w:id="369"/>
      <w:bookmarkEnd w:id="370"/>
    </w:p>
    <w:p w:rsidR="00D907AF" w:rsidRDefault="00D907AF" w:rsidP="00D907AF">
      <w:r w:rsidRPr="00012DBE">
        <w:rPr>
          <w:noProof/>
          <w:lang w:val="en-AU" w:eastAsia="en-AU"/>
        </w:rPr>
        <w:drawing>
          <wp:inline distT="0" distB="0" distL="0" distR="0" wp14:anchorId="57CF6522" wp14:editId="4A67AD02">
            <wp:extent cx="5759450" cy="1600833"/>
            <wp:effectExtent l="0" t="0" r="0" b="0"/>
            <wp:docPr id="187" name="Picture 187" descr="The bar graph shows the distribution of responses, 0 is completely disagree and 10 is completely agree.  The graph compares Trial and Comparison responses.  The x axis is the satisfaction scale 0 to 10 and the y axis is the frequency.  Information regarding results in this graph is in preceding paragraph.&#10;" title="Figure 3.5d: Bar graph showing responses to the statement &quot;When something’s on my mind, just talking with the people I know can make me feel better&quot; on a scale of 1 t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59450" cy="1600833"/>
                    </a:xfrm>
                    <a:prstGeom prst="rect">
                      <a:avLst/>
                    </a:prstGeom>
                    <a:noFill/>
                    <a:ln>
                      <a:noFill/>
                    </a:ln>
                  </pic:spPr>
                </pic:pic>
              </a:graphicData>
            </a:graphic>
          </wp:inline>
        </w:drawing>
      </w:r>
    </w:p>
    <w:p w:rsidR="001B28D3" w:rsidRDefault="00D907AF" w:rsidP="00BD5E71">
      <w:pPr>
        <w:pStyle w:val="NILSTabletext"/>
      </w:pPr>
      <w:r w:rsidRPr="00805795">
        <w:t xml:space="preserve">Note: </w:t>
      </w:r>
      <w:r>
        <w:t>t</w:t>
      </w:r>
      <w:r w:rsidRPr="00597AA2">
        <w:t xml:space="preserve">rial and </w:t>
      </w:r>
      <w:r>
        <w:t>c</w:t>
      </w:r>
      <w:r w:rsidRPr="00597AA2">
        <w:t xml:space="preserve">omparison </w:t>
      </w:r>
      <w:r>
        <w:t>s</w:t>
      </w:r>
      <w:r w:rsidRPr="00597AA2">
        <w:t>tandard questionnaire</w:t>
      </w:r>
      <w:r>
        <w:t xml:space="preserve"> aged 8 years </w:t>
      </w:r>
      <w:r w:rsidRPr="00660446">
        <w:t>and above</w:t>
      </w:r>
      <w:r>
        <w:t>.</w:t>
      </w:r>
      <w:r w:rsidR="00BD5E71">
        <w:t xml:space="preserve"> </w:t>
      </w:r>
    </w:p>
    <w:p w:rsidR="00D907AF" w:rsidRDefault="00D907AF" w:rsidP="00D907AF">
      <w:r>
        <w:t>Figure 3.5e complements Figures 3.4b and 3.4d and suggests that most people were able to find someone to help them out when the need arises.</w:t>
      </w:r>
    </w:p>
    <w:p w:rsidR="00953EE5" w:rsidRDefault="00953EE5" w:rsidP="00D907AF"/>
    <w:p w:rsidR="00D907AF" w:rsidRPr="00660446" w:rsidRDefault="00D907AF" w:rsidP="00D907AF">
      <w:pPr>
        <w:pStyle w:val="NILSFigureTitle"/>
        <w:rPr>
          <w:b w:val="0"/>
        </w:rPr>
      </w:pPr>
      <w:bookmarkStart w:id="371" w:name="_Toc428280742"/>
      <w:bookmarkStart w:id="372" w:name="_Toc449956384"/>
      <w:r w:rsidRPr="00660446">
        <w:t>Figure 3.</w:t>
      </w:r>
      <w:r>
        <w:t>5</w:t>
      </w:r>
      <w:r w:rsidRPr="00660446">
        <w:t>e</w:t>
      </w:r>
      <w:r>
        <w:t>: Support from others</w:t>
      </w:r>
      <w:bookmarkEnd w:id="371"/>
      <w:bookmarkEnd w:id="372"/>
    </w:p>
    <w:p w:rsidR="00D907AF" w:rsidRDefault="00D907AF" w:rsidP="00D907AF">
      <w:r w:rsidRPr="00012DBE">
        <w:rPr>
          <w:noProof/>
          <w:lang w:val="en-AU" w:eastAsia="en-AU"/>
        </w:rPr>
        <w:drawing>
          <wp:inline distT="0" distB="0" distL="0" distR="0" wp14:anchorId="0664EF89" wp14:editId="69460B05">
            <wp:extent cx="5759450" cy="1600833"/>
            <wp:effectExtent l="0" t="0" r="0" b="0"/>
            <wp:docPr id="189" name="Picture 189" descr="The bar graph shows the distribution of responses, 0 is completely disagree and 10 is completely agree.  The graph compares Trial and Comparison responses.  The x axis is the satisfaction scale 0 to 10 and the y axis is the frequency.  Information regarding results in this graph is in preceding paragraph.&#10;" title="Figure 3.5e: Bar graph showing responses to the statement &quot;When I need someone to help me out, I can usually find someone&quot; on a scale of 1 t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59450" cy="1600833"/>
                    </a:xfrm>
                    <a:prstGeom prst="rect">
                      <a:avLst/>
                    </a:prstGeom>
                    <a:noFill/>
                    <a:ln>
                      <a:noFill/>
                    </a:ln>
                  </pic:spPr>
                </pic:pic>
              </a:graphicData>
            </a:graphic>
          </wp:inline>
        </w:drawing>
      </w:r>
    </w:p>
    <w:p w:rsidR="00D907AF" w:rsidRDefault="00D907AF" w:rsidP="006C7BE7">
      <w:pPr>
        <w:pStyle w:val="NILSTabletext"/>
      </w:pPr>
      <w:r w:rsidRPr="00805795">
        <w:t xml:space="preserve">Note: </w:t>
      </w:r>
      <w:r>
        <w:t>t</w:t>
      </w:r>
      <w:r w:rsidRPr="00597AA2">
        <w:t xml:space="preserve">rial and </w:t>
      </w:r>
      <w:r>
        <w:t>c</w:t>
      </w:r>
      <w:r w:rsidRPr="00597AA2">
        <w:t xml:space="preserve">omparison </w:t>
      </w:r>
      <w:r>
        <w:t>s</w:t>
      </w:r>
      <w:r w:rsidRPr="00597AA2">
        <w:t>tandard questionnaire</w:t>
      </w:r>
      <w:r>
        <w:t xml:space="preserve"> aged 8 years </w:t>
      </w:r>
      <w:r w:rsidRPr="00660446">
        <w:t>and above</w:t>
      </w:r>
      <w:r>
        <w:t>.</w:t>
      </w:r>
    </w:p>
    <w:p w:rsidR="00EB1EBB" w:rsidRDefault="00EB1EBB">
      <w:pPr>
        <w:rPr>
          <w:rFonts w:eastAsia="Times" w:cstheme="minorHAnsi"/>
          <w:b/>
          <w:kern w:val="32"/>
          <w:sz w:val="24"/>
          <w:szCs w:val="28"/>
          <w:lang w:val="en-AU" w:eastAsia="zh-CN"/>
        </w:rPr>
      </w:pPr>
      <w:bookmarkStart w:id="373" w:name="_Toc428280648"/>
      <w:r>
        <w:br w:type="page"/>
      </w:r>
    </w:p>
    <w:p w:rsidR="00D907AF" w:rsidRPr="000C5DC9" w:rsidRDefault="00D907AF" w:rsidP="00367B24">
      <w:pPr>
        <w:pStyle w:val="Heading3"/>
        <w:rPr>
          <w:sz w:val="32"/>
        </w:rPr>
      </w:pPr>
      <w:bookmarkStart w:id="374" w:name="_Toc449955020"/>
      <w:r w:rsidRPr="00B40B0A">
        <w:lastRenderedPageBreak/>
        <w:t>3.</w:t>
      </w:r>
      <w:r>
        <w:t>6.11</w:t>
      </w:r>
      <w:r w:rsidRPr="00B40B0A">
        <w:t xml:space="preserve"> Education aspirations (children and adults </w:t>
      </w:r>
      <w:r>
        <w:t xml:space="preserve">reported </w:t>
      </w:r>
      <w:r w:rsidRPr="00B40B0A">
        <w:t>separately)</w:t>
      </w:r>
      <w:bookmarkEnd w:id="373"/>
      <w:bookmarkEnd w:id="374"/>
    </w:p>
    <w:p w:rsidR="00D907AF" w:rsidRDefault="00D907AF" w:rsidP="00D907AF">
      <w:pPr>
        <w:rPr>
          <w:rFonts w:cstheme="minorHAnsi"/>
        </w:rPr>
      </w:pPr>
      <w:r>
        <w:rPr>
          <w:rFonts w:ascii="Calibri" w:hAnsi="Calibri" w:cs="Calibri"/>
        </w:rPr>
        <w:t xml:space="preserve">Children and adults have been asked about their education aspirations separately. There are many common questions where this is appropriate and several differences largely reflecting the ways in which aspirations and reporting must be age-related. Children aged 8-15 were asked whether they like studying and what they would like to do after finishing their current education. Both the standard questionnaire and the Easy English questionnaire included these questions, the latter somewhat simplified, but largely comparable. The same questions were asked of those aged 16 or older and are reported later. A total of 278 children were asked these questions, 190 using the standard and 88 the Easy English questionnaire. </w:t>
      </w:r>
      <w:r>
        <w:rPr>
          <w:rFonts w:cstheme="minorHAnsi"/>
        </w:rPr>
        <w:t xml:space="preserve">As we presented </w:t>
      </w:r>
      <w:r w:rsidRPr="00714777">
        <w:rPr>
          <w:rFonts w:cstheme="minorHAnsi"/>
        </w:rPr>
        <w:t>the relevant statistics</w:t>
      </w:r>
      <w:r>
        <w:rPr>
          <w:rFonts w:cstheme="minorHAnsi"/>
        </w:rPr>
        <w:t xml:space="preserve"> on education</w:t>
      </w:r>
      <w:r w:rsidRPr="00714777">
        <w:rPr>
          <w:rFonts w:cstheme="minorHAnsi"/>
        </w:rPr>
        <w:t xml:space="preserve"> jointly for the trial and comparison </w:t>
      </w:r>
      <w:r>
        <w:rPr>
          <w:rFonts w:cstheme="minorHAnsi"/>
        </w:rPr>
        <w:t>groups in Part A</w:t>
      </w:r>
      <w:r w:rsidRPr="00714777">
        <w:rPr>
          <w:rFonts w:cstheme="minorHAnsi"/>
        </w:rPr>
        <w:t xml:space="preserve">, we </w:t>
      </w:r>
      <w:r>
        <w:rPr>
          <w:rFonts w:cstheme="minorHAnsi"/>
        </w:rPr>
        <w:t>also do so here in Part B</w:t>
      </w:r>
      <w:r w:rsidRPr="00714777">
        <w:rPr>
          <w:rFonts w:cstheme="minorHAnsi"/>
        </w:rPr>
        <w:t>.</w:t>
      </w:r>
    </w:p>
    <w:p w:rsidR="00953EE5" w:rsidRDefault="00953EE5" w:rsidP="00D907AF">
      <w:pPr>
        <w:rPr>
          <w:rFonts w:cstheme="minorHAnsi"/>
        </w:rPr>
      </w:pPr>
    </w:p>
    <w:p w:rsidR="0078010E" w:rsidRDefault="00D907AF">
      <w:pPr>
        <w:rPr>
          <w:rFonts w:ascii="Calibri" w:hAnsi="Calibri" w:cs="Calibri"/>
        </w:rPr>
      </w:pPr>
      <w:r>
        <w:rPr>
          <w:rFonts w:ascii="Calibri" w:hAnsi="Calibri" w:cs="Calibri"/>
        </w:rPr>
        <w:t>Overall, children reported that they either liked school (55.7 per cent) or liked it sometimes (22.7 per cent) with 5.4 per cent reporting they did not know (Table 3.43 below)</w:t>
      </w:r>
      <w:r w:rsidR="004434B7">
        <w:rPr>
          <w:rFonts w:ascii="Calibri" w:hAnsi="Calibri" w:cs="Calibri"/>
        </w:rPr>
        <w:t>.</w:t>
      </w:r>
      <w:r>
        <w:rPr>
          <w:rFonts w:ascii="Calibri" w:hAnsi="Calibri" w:cs="Calibri"/>
        </w:rPr>
        <w:t xml:space="preserve"> The sample size is still not large enough to look into each category in any detail, but </w:t>
      </w:r>
      <w:r w:rsidR="00054BD0">
        <w:rPr>
          <w:rFonts w:ascii="Calibri" w:hAnsi="Calibri" w:cs="Calibri"/>
        </w:rPr>
        <w:t>in</w:t>
      </w:r>
      <w:r>
        <w:rPr>
          <w:rFonts w:ascii="Calibri" w:hAnsi="Calibri" w:cs="Calibri"/>
        </w:rPr>
        <w:t xml:space="preserve"> general </w:t>
      </w:r>
      <w:r w:rsidR="00054BD0">
        <w:rPr>
          <w:rFonts w:ascii="Calibri" w:hAnsi="Calibri" w:cs="Calibri"/>
        </w:rPr>
        <w:t xml:space="preserve">the </w:t>
      </w:r>
      <w:r>
        <w:rPr>
          <w:rFonts w:ascii="Calibri" w:hAnsi="Calibri" w:cs="Calibri"/>
        </w:rPr>
        <w:t>message that children like school, is clear for both types of questionnaires.</w:t>
      </w:r>
    </w:p>
    <w:p w:rsidR="00D907AF" w:rsidRPr="00A42848" w:rsidRDefault="00D907AF" w:rsidP="0044684E">
      <w:pPr>
        <w:pStyle w:val="NILSTableHeading"/>
        <w:rPr>
          <w:lang w:val="en-AU"/>
        </w:rPr>
      </w:pPr>
      <w:bookmarkStart w:id="375" w:name="_Toc428280695"/>
      <w:bookmarkStart w:id="376" w:name="_Toc449955305"/>
      <w:r w:rsidRPr="000A0591">
        <w:t xml:space="preserve">Table </w:t>
      </w:r>
      <w:r>
        <w:rPr>
          <w:rFonts w:hint="eastAsia"/>
        </w:rPr>
        <w:t>3.43</w:t>
      </w:r>
      <w:r w:rsidRPr="000A0591">
        <w:t xml:space="preserve">: </w:t>
      </w:r>
      <w:r w:rsidRPr="000A0591">
        <w:rPr>
          <w:rFonts w:hint="eastAsia"/>
        </w:rPr>
        <w:t xml:space="preserve">Does </w:t>
      </w:r>
      <w:r w:rsidR="00A42848">
        <w:rPr>
          <w:lang w:val="en-AU"/>
        </w:rPr>
        <w:t>he/she</w:t>
      </w:r>
      <w:r w:rsidRPr="000A0591">
        <w:rPr>
          <w:rFonts w:hint="eastAsia"/>
        </w:rPr>
        <w:t xml:space="preserve"> like </w:t>
      </w:r>
      <w:r>
        <w:t>school?</w:t>
      </w:r>
      <w:bookmarkEnd w:id="375"/>
      <w:r w:rsidR="00A42848">
        <w:rPr>
          <w:lang w:val="en-AU"/>
        </w:rPr>
        <w:t xml:space="preserve"> (8 to 15 years)</w:t>
      </w:r>
      <w:bookmarkEnd w:id="376"/>
    </w:p>
    <w:tbl>
      <w:tblPr>
        <w:tblStyle w:val="TableGrid"/>
        <w:tblW w:w="0" w:type="auto"/>
        <w:tblLayout w:type="fixed"/>
        <w:tblLook w:val="04A0" w:firstRow="1" w:lastRow="0" w:firstColumn="1" w:lastColumn="0" w:noHBand="0" w:noVBand="1"/>
        <w:tblCaption w:val="Table 3.43 Does the child like school?"/>
      </w:tblPr>
      <w:tblGrid>
        <w:gridCol w:w="1384"/>
        <w:gridCol w:w="1157"/>
        <w:gridCol w:w="1111"/>
        <w:gridCol w:w="1134"/>
        <w:gridCol w:w="1276"/>
        <w:gridCol w:w="992"/>
        <w:gridCol w:w="1134"/>
      </w:tblGrid>
      <w:tr w:rsidR="00F3518D" w:rsidRPr="0087485F" w:rsidTr="002A1EDB">
        <w:trPr>
          <w:cantSplit/>
          <w:tblHeader/>
        </w:trPr>
        <w:tc>
          <w:tcPr>
            <w:tcW w:w="1384" w:type="dxa"/>
            <w:tcBorders>
              <w:top w:val="single" w:sz="4" w:space="0" w:color="auto"/>
              <w:bottom w:val="single" w:sz="4" w:space="0" w:color="auto"/>
            </w:tcBorders>
            <w:shd w:val="clear" w:color="auto" w:fill="auto"/>
          </w:tcPr>
          <w:p w:rsidR="00D907AF" w:rsidRPr="0087485F" w:rsidRDefault="00D907AF" w:rsidP="00D907AF">
            <w:pPr>
              <w:spacing w:before="20" w:after="20"/>
              <w:rPr>
                <w:rFonts w:cstheme="minorHAnsi"/>
                <w:sz w:val="20"/>
                <w:szCs w:val="20"/>
              </w:rPr>
            </w:pPr>
            <w:bookmarkStart w:id="377" w:name="Title_3_43"/>
            <w:bookmarkEnd w:id="377"/>
          </w:p>
        </w:tc>
        <w:tc>
          <w:tcPr>
            <w:tcW w:w="1157" w:type="dxa"/>
            <w:tcBorders>
              <w:top w:val="single" w:sz="4" w:space="0" w:color="auto"/>
              <w:bottom w:val="single" w:sz="4" w:space="0" w:color="auto"/>
            </w:tcBorders>
            <w:shd w:val="clear" w:color="auto" w:fill="auto"/>
          </w:tcPr>
          <w:p w:rsidR="00D907AF" w:rsidRPr="0087485F" w:rsidRDefault="005E72E4" w:rsidP="005E72E4">
            <w:pPr>
              <w:spacing w:before="20" w:after="20"/>
              <w:jc w:val="center"/>
              <w:rPr>
                <w:rFonts w:cstheme="minorHAnsi"/>
                <w:sz w:val="20"/>
                <w:szCs w:val="20"/>
              </w:rPr>
            </w:pPr>
            <w:r w:rsidRPr="0087485F">
              <w:rPr>
                <w:rFonts w:cstheme="minorHAnsi"/>
                <w:sz w:val="20"/>
                <w:szCs w:val="20"/>
              </w:rPr>
              <w:t>Standard</w:t>
            </w:r>
            <w:r>
              <w:rPr>
                <w:rFonts w:cstheme="minorHAnsi"/>
                <w:sz w:val="20"/>
                <w:szCs w:val="20"/>
              </w:rPr>
              <w:t xml:space="preserve"> Question</w:t>
            </w:r>
            <w:r w:rsidR="00883988">
              <w:rPr>
                <w:rFonts w:cstheme="minorHAnsi"/>
                <w:sz w:val="20"/>
                <w:szCs w:val="20"/>
              </w:rPr>
              <w:t xml:space="preserve"> Cases</w:t>
            </w:r>
          </w:p>
        </w:tc>
        <w:tc>
          <w:tcPr>
            <w:tcW w:w="1111" w:type="dxa"/>
            <w:tcBorders>
              <w:top w:val="single" w:sz="4" w:space="0" w:color="auto"/>
              <w:bottom w:val="single" w:sz="4" w:space="0" w:color="auto"/>
            </w:tcBorders>
            <w:shd w:val="clear" w:color="auto" w:fill="auto"/>
          </w:tcPr>
          <w:p w:rsidR="00884536" w:rsidRDefault="005E72E4" w:rsidP="005E72E4">
            <w:pPr>
              <w:spacing w:before="20" w:after="20"/>
              <w:jc w:val="center"/>
              <w:rPr>
                <w:rFonts w:cstheme="minorHAnsi"/>
                <w:sz w:val="20"/>
                <w:szCs w:val="20"/>
              </w:rPr>
            </w:pPr>
            <w:r w:rsidRPr="005E72E4">
              <w:rPr>
                <w:rFonts w:cstheme="minorHAnsi"/>
                <w:sz w:val="20"/>
                <w:szCs w:val="20"/>
              </w:rPr>
              <w:t>Standard Question</w:t>
            </w:r>
          </w:p>
          <w:p w:rsidR="00D907AF" w:rsidRPr="0087485F" w:rsidRDefault="005E72E4" w:rsidP="005E72E4">
            <w:pPr>
              <w:spacing w:before="20" w:after="20"/>
              <w:jc w:val="center"/>
              <w:rPr>
                <w:rFonts w:cstheme="minorHAnsi"/>
                <w:sz w:val="20"/>
                <w:szCs w:val="20"/>
              </w:rPr>
            </w:pPr>
            <w:r w:rsidRPr="005E72E4">
              <w:rPr>
                <w:rFonts w:cstheme="minorHAnsi"/>
                <w:sz w:val="20"/>
                <w:szCs w:val="20"/>
              </w:rPr>
              <w:t xml:space="preserve"> </w:t>
            </w:r>
            <w:r w:rsidR="00D907AF" w:rsidRPr="0087485F">
              <w:rPr>
                <w:rFonts w:cstheme="minorHAnsi"/>
                <w:sz w:val="20"/>
                <w:szCs w:val="20"/>
              </w:rPr>
              <w:t>%</w:t>
            </w:r>
          </w:p>
        </w:tc>
        <w:tc>
          <w:tcPr>
            <w:tcW w:w="1134" w:type="dxa"/>
            <w:tcBorders>
              <w:top w:val="single" w:sz="4" w:space="0" w:color="auto"/>
              <w:bottom w:val="single" w:sz="4" w:space="0" w:color="auto"/>
            </w:tcBorders>
            <w:shd w:val="clear" w:color="auto" w:fill="auto"/>
          </w:tcPr>
          <w:p w:rsidR="00D907AF" w:rsidRPr="0087485F" w:rsidRDefault="005E72E4" w:rsidP="005E72E4">
            <w:pPr>
              <w:spacing w:before="20" w:after="20"/>
              <w:ind w:left="-62" w:right="-118"/>
              <w:jc w:val="center"/>
              <w:rPr>
                <w:rFonts w:cstheme="minorHAnsi"/>
                <w:sz w:val="20"/>
                <w:szCs w:val="20"/>
              </w:rPr>
            </w:pPr>
            <w:r w:rsidRPr="0087485F">
              <w:rPr>
                <w:rFonts w:cstheme="minorHAnsi"/>
                <w:sz w:val="20"/>
                <w:szCs w:val="20"/>
              </w:rPr>
              <w:t>Easy English</w:t>
            </w:r>
            <w:r>
              <w:rPr>
                <w:rFonts w:cstheme="minorHAnsi"/>
                <w:sz w:val="20"/>
                <w:szCs w:val="20"/>
              </w:rPr>
              <w:t xml:space="preserve"> Question</w:t>
            </w:r>
            <w:r w:rsidR="00883988">
              <w:rPr>
                <w:rFonts w:cstheme="minorHAnsi"/>
                <w:sz w:val="20"/>
                <w:szCs w:val="20"/>
              </w:rPr>
              <w:t xml:space="preserve"> Cases</w:t>
            </w:r>
          </w:p>
        </w:tc>
        <w:tc>
          <w:tcPr>
            <w:tcW w:w="1276" w:type="dxa"/>
            <w:tcBorders>
              <w:top w:val="single" w:sz="4" w:space="0" w:color="auto"/>
              <w:bottom w:val="single" w:sz="4" w:space="0" w:color="auto"/>
            </w:tcBorders>
            <w:shd w:val="clear" w:color="auto" w:fill="auto"/>
          </w:tcPr>
          <w:p w:rsidR="00884536" w:rsidRDefault="005E72E4" w:rsidP="00F3518D">
            <w:pPr>
              <w:spacing w:before="20" w:after="20"/>
              <w:ind w:left="-98" w:right="-108"/>
              <w:jc w:val="center"/>
              <w:rPr>
                <w:rFonts w:cstheme="minorHAnsi"/>
                <w:sz w:val="20"/>
                <w:szCs w:val="20"/>
              </w:rPr>
            </w:pPr>
            <w:r w:rsidRPr="005E72E4">
              <w:rPr>
                <w:rFonts w:cstheme="minorHAnsi"/>
                <w:sz w:val="20"/>
                <w:szCs w:val="20"/>
              </w:rPr>
              <w:t>Easy English Question</w:t>
            </w:r>
          </w:p>
          <w:p w:rsidR="00D907AF" w:rsidRPr="0087485F" w:rsidRDefault="00D907AF" w:rsidP="00F3518D">
            <w:pPr>
              <w:spacing w:before="20" w:after="20"/>
              <w:ind w:left="-98" w:right="-108"/>
              <w:jc w:val="center"/>
              <w:rPr>
                <w:rFonts w:cstheme="minorHAnsi"/>
                <w:sz w:val="20"/>
                <w:szCs w:val="20"/>
              </w:rPr>
            </w:pPr>
            <w:r w:rsidRPr="0087485F">
              <w:rPr>
                <w:rFonts w:cstheme="minorHAnsi"/>
                <w:sz w:val="20"/>
                <w:szCs w:val="20"/>
              </w:rPr>
              <w:t>%</w:t>
            </w:r>
          </w:p>
        </w:tc>
        <w:tc>
          <w:tcPr>
            <w:tcW w:w="992" w:type="dxa"/>
            <w:tcBorders>
              <w:top w:val="single" w:sz="4" w:space="0" w:color="auto"/>
              <w:bottom w:val="single" w:sz="4" w:space="0" w:color="auto"/>
            </w:tcBorders>
            <w:shd w:val="clear" w:color="auto" w:fill="auto"/>
            <w:vAlign w:val="bottom"/>
          </w:tcPr>
          <w:p w:rsidR="00D907AF" w:rsidRPr="0087485F" w:rsidRDefault="005E72E4" w:rsidP="00883988">
            <w:pPr>
              <w:spacing w:before="20" w:after="20"/>
              <w:jc w:val="center"/>
              <w:rPr>
                <w:rFonts w:cstheme="minorHAnsi"/>
                <w:sz w:val="20"/>
                <w:szCs w:val="20"/>
              </w:rPr>
            </w:pPr>
            <w:r>
              <w:rPr>
                <w:rFonts w:cstheme="minorHAnsi"/>
                <w:sz w:val="20"/>
                <w:szCs w:val="20"/>
              </w:rPr>
              <w:t>Total</w:t>
            </w:r>
            <w:r w:rsidR="00883988">
              <w:rPr>
                <w:rFonts w:cstheme="minorHAnsi"/>
                <w:sz w:val="20"/>
                <w:szCs w:val="20"/>
              </w:rPr>
              <w:t xml:space="preserve"> Cases</w:t>
            </w:r>
          </w:p>
        </w:tc>
        <w:tc>
          <w:tcPr>
            <w:tcW w:w="1134" w:type="dxa"/>
            <w:tcBorders>
              <w:top w:val="single" w:sz="4" w:space="0" w:color="auto"/>
              <w:bottom w:val="single" w:sz="4" w:space="0" w:color="auto"/>
            </w:tcBorders>
            <w:shd w:val="clear" w:color="auto" w:fill="auto"/>
            <w:vAlign w:val="bottom"/>
          </w:tcPr>
          <w:p w:rsidR="00884536" w:rsidRDefault="005E72E4" w:rsidP="000C16C6">
            <w:pPr>
              <w:spacing w:before="20" w:after="20"/>
              <w:jc w:val="center"/>
              <w:rPr>
                <w:rFonts w:cstheme="minorHAnsi"/>
                <w:sz w:val="20"/>
                <w:szCs w:val="20"/>
              </w:rPr>
            </w:pPr>
            <w:r w:rsidRPr="0087485F">
              <w:rPr>
                <w:rFonts w:cstheme="minorHAnsi"/>
                <w:sz w:val="20"/>
                <w:szCs w:val="20"/>
              </w:rPr>
              <w:t>Total</w:t>
            </w:r>
          </w:p>
          <w:p w:rsidR="00D907AF" w:rsidRPr="0087485F" w:rsidRDefault="007C63E4" w:rsidP="000C16C6">
            <w:pPr>
              <w:spacing w:before="20" w:after="20"/>
              <w:jc w:val="center"/>
              <w:rPr>
                <w:rFonts w:cstheme="minorHAnsi"/>
                <w:sz w:val="20"/>
                <w:szCs w:val="20"/>
              </w:rPr>
            </w:pPr>
            <w:r w:rsidRPr="0087485F">
              <w:rPr>
                <w:rFonts w:cstheme="minorHAnsi"/>
                <w:sz w:val="20"/>
                <w:szCs w:val="20"/>
              </w:rPr>
              <w:t>%</w:t>
            </w:r>
          </w:p>
        </w:tc>
      </w:tr>
      <w:tr w:rsidR="00D907AF" w:rsidRPr="0087485F" w:rsidTr="002A1EDB">
        <w:tc>
          <w:tcPr>
            <w:tcW w:w="1384"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Yes</w:t>
            </w:r>
          </w:p>
        </w:tc>
        <w:tc>
          <w:tcPr>
            <w:tcW w:w="1157" w:type="dxa"/>
            <w:shd w:val="clear" w:color="auto" w:fill="auto"/>
            <w:vAlign w:val="center"/>
          </w:tcPr>
          <w:p w:rsidR="00D907AF" w:rsidRPr="0087485F" w:rsidRDefault="00D907AF" w:rsidP="007C63E4">
            <w:pPr>
              <w:spacing w:before="20" w:after="20"/>
              <w:ind w:right="284"/>
              <w:jc w:val="right"/>
              <w:rPr>
                <w:rFonts w:cstheme="minorHAnsi"/>
                <w:color w:val="000000"/>
                <w:sz w:val="20"/>
                <w:szCs w:val="20"/>
              </w:rPr>
            </w:pPr>
            <w:r w:rsidRPr="0087485F">
              <w:rPr>
                <w:rFonts w:cstheme="minorHAnsi"/>
                <w:color w:val="000000"/>
                <w:sz w:val="20"/>
                <w:szCs w:val="20"/>
              </w:rPr>
              <w:t>103</w:t>
            </w:r>
          </w:p>
        </w:tc>
        <w:tc>
          <w:tcPr>
            <w:tcW w:w="1111" w:type="dxa"/>
            <w:shd w:val="clear" w:color="auto" w:fill="auto"/>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54.2</w:t>
            </w:r>
          </w:p>
        </w:tc>
        <w:tc>
          <w:tcPr>
            <w:tcW w:w="1134" w:type="dxa"/>
            <w:shd w:val="clear" w:color="auto" w:fill="auto"/>
            <w:vAlign w:val="center"/>
          </w:tcPr>
          <w:p w:rsidR="00D907AF" w:rsidRPr="0087485F" w:rsidRDefault="00D907AF" w:rsidP="007C63E4">
            <w:pPr>
              <w:spacing w:before="20" w:after="20"/>
              <w:ind w:right="284"/>
              <w:jc w:val="right"/>
              <w:rPr>
                <w:rFonts w:cstheme="minorHAnsi"/>
                <w:color w:val="000000"/>
                <w:sz w:val="20"/>
                <w:szCs w:val="20"/>
              </w:rPr>
            </w:pPr>
            <w:r w:rsidRPr="0087485F">
              <w:rPr>
                <w:rFonts w:cstheme="minorHAnsi"/>
                <w:color w:val="000000"/>
                <w:sz w:val="20"/>
                <w:szCs w:val="20"/>
              </w:rPr>
              <w:t>52</w:t>
            </w:r>
          </w:p>
        </w:tc>
        <w:tc>
          <w:tcPr>
            <w:tcW w:w="1276" w:type="dxa"/>
            <w:shd w:val="clear" w:color="auto" w:fill="auto"/>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59.1</w:t>
            </w:r>
          </w:p>
        </w:tc>
        <w:tc>
          <w:tcPr>
            <w:tcW w:w="992" w:type="dxa"/>
            <w:shd w:val="clear" w:color="auto" w:fill="auto"/>
            <w:vAlign w:val="center"/>
          </w:tcPr>
          <w:p w:rsidR="00D907AF" w:rsidRPr="0087485F" w:rsidRDefault="00D907AF" w:rsidP="00AA3C18">
            <w:pPr>
              <w:spacing w:before="20" w:after="20"/>
              <w:ind w:right="170"/>
              <w:jc w:val="right"/>
              <w:rPr>
                <w:rFonts w:cstheme="minorHAnsi"/>
                <w:color w:val="000000"/>
                <w:sz w:val="20"/>
                <w:szCs w:val="20"/>
              </w:rPr>
            </w:pPr>
            <w:r w:rsidRPr="0087485F">
              <w:rPr>
                <w:rFonts w:cstheme="minorHAnsi"/>
                <w:color w:val="000000"/>
                <w:sz w:val="20"/>
                <w:szCs w:val="20"/>
              </w:rPr>
              <w:t>155</w:t>
            </w:r>
          </w:p>
        </w:tc>
        <w:tc>
          <w:tcPr>
            <w:tcW w:w="1134" w:type="dxa"/>
            <w:shd w:val="clear" w:color="auto" w:fill="auto"/>
            <w:vAlign w:val="center"/>
          </w:tcPr>
          <w:p w:rsidR="00D907AF" w:rsidRPr="0087485F" w:rsidRDefault="00D907AF" w:rsidP="007C63E4">
            <w:pPr>
              <w:spacing w:before="20" w:after="20"/>
              <w:ind w:right="227"/>
              <w:jc w:val="right"/>
              <w:rPr>
                <w:rFonts w:cstheme="minorHAnsi"/>
                <w:color w:val="000000"/>
                <w:sz w:val="20"/>
                <w:szCs w:val="20"/>
              </w:rPr>
            </w:pPr>
            <w:r w:rsidRPr="0087485F">
              <w:rPr>
                <w:rFonts w:cstheme="minorHAnsi"/>
                <w:color w:val="000000"/>
                <w:sz w:val="20"/>
                <w:szCs w:val="20"/>
              </w:rPr>
              <w:t>55.7</w:t>
            </w:r>
          </w:p>
        </w:tc>
      </w:tr>
      <w:tr w:rsidR="00D907AF" w:rsidRPr="0087485F" w:rsidTr="002A1EDB">
        <w:tc>
          <w:tcPr>
            <w:tcW w:w="1384"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No</w:t>
            </w:r>
          </w:p>
        </w:tc>
        <w:tc>
          <w:tcPr>
            <w:tcW w:w="1157" w:type="dxa"/>
            <w:shd w:val="clear" w:color="auto" w:fill="auto"/>
            <w:vAlign w:val="center"/>
          </w:tcPr>
          <w:p w:rsidR="00D907AF" w:rsidRPr="0087485F" w:rsidRDefault="00D907AF" w:rsidP="007C63E4">
            <w:pPr>
              <w:spacing w:before="20" w:after="20"/>
              <w:ind w:right="284"/>
              <w:jc w:val="right"/>
              <w:rPr>
                <w:rFonts w:cstheme="minorHAnsi"/>
                <w:color w:val="000000"/>
                <w:sz w:val="20"/>
                <w:szCs w:val="20"/>
              </w:rPr>
            </w:pPr>
            <w:r w:rsidRPr="0087485F">
              <w:rPr>
                <w:rFonts w:cstheme="minorHAnsi"/>
                <w:color w:val="000000"/>
                <w:sz w:val="20"/>
                <w:szCs w:val="20"/>
              </w:rPr>
              <w:t>14</w:t>
            </w:r>
          </w:p>
        </w:tc>
        <w:tc>
          <w:tcPr>
            <w:tcW w:w="1111" w:type="dxa"/>
            <w:shd w:val="clear" w:color="auto" w:fill="auto"/>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7.4</w:t>
            </w:r>
          </w:p>
        </w:tc>
        <w:tc>
          <w:tcPr>
            <w:tcW w:w="1134" w:type="dxa"/>
            <w:shd w:val="clear" w:color="auto" w:fill="auto"/>
            <w:vAlign w:val="center"/>
          </w:tcPr>
          <w:p w:rsidR="00D907AF" w:rsidRPr="0087485F" w:rsidRDefault="00D907AF" w:rsidP="007C63E4">
            <w:pPr>
              <w:spacing w:before="20" w:after="20"/>
              <w:ind w:right="284"/>
              <w:jc w:val="right"/>
              <w:rPr>
                <w:rFonts w:cstheme="minorHAnsi"/>
                <w:color w:val="000000"/>
                <w:sz w:val="20"/>
                <w:szCs w:val="20"/>
              </w:rPr>
            </w:pPr>
            <w:r w:rsidRPr="0087485F">
              <w:rPr>
                <w:rFonts w:cstheme="minorHAnsi"/>
                <w:color w:val="000000"/>
                <w:sz w:val="20"/>
                <w:szCs w:val="20"/>
              </w:rPr>
              <w:t>18</w:t>
            </w:r>
          </w:p>
        </w:tc>
        <w:tc>
          <w:tcPr>
            <w:tcW w:w="1276" w:type="dxa"/>
            <w:shd w:val="clear" w:color="auto" w:fill="auto"/>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20.5</w:t>
            </w:r>
          </w:p>
        </w:tc>
        <w:tc>
          <w:tcPr>
            <w:tcW w:w="992" w:type="dxa"/>
            <w:shd w:val="clear" w:color="auto" w:fill="auto"/>
            <w:vAlign w:val="center"/>
          </w:tcPr>
          <w:p w:rsidR="00D907AF" w:rsidRPr="0087485F" w:rsidRDefault="00D907AF" w:rsidP="00AA3C18">
            <w:pPr>
              <w:spacing w:before="20" w:after="20"/>
              <w:ind w:right="170"/>
              <w:jc w:val="right"/>
              <w:rPr>
                <w:rFonts w:cstheme="minorHAnsi"/>
                <w:color w:val="000000"/>
                <w:sz w:val="20"/>
                <w:szCs w:val="20"/>
              </w:rPr>
            </w:pPr>
            <w:r w:rsidRPr="0087485F">
              <w:rPr>
                <w:rFonts w:cstheme="minorHAnsi"/>
                <w:color w:val="000000"/>
                <w:sz w:val="20"/>
                <w:szCs w:val="20"/>
              </w:rPr>
              <w:t>32</w:t>
            </w:r>
          </w:p>
        </w:tc>
        <w:tc>
          <w:tcPr>
            <w:tcW w:w="1134" w:type="dxa"/>
            <w:shd w:val="clear" w:color="auto" w:fill="auto"/>
            <w:vAlign w:val="center"/>
          </w:tcPr>
          <w:p w:rsidR="00D907AF" w:rsidRPr="0087485F" w:rsidRDefault="00D907AF" w:rsidP="007C63E4">
            <w:pPr>
              <w:spacing w:before="20" w:after="20"/>
              <w:ind w:right="227"/>
              <w:jc w:val="right"/>
              <w:rPr>
                <w:rFonts w:cstheme="minorHAnsi"/>
                <w:color w:val="000000"/>
                <w:sz w:val="20"/>
                <w:szCs w:val="20"/>
              </w:rPr>
            </w:pPr>
            <w:r w:rsidRPr="0087485F">
              <w:rPr>
                <w:rFonts w:cstheme="minorHAnsi"/>
                <w:color w:val="000000"/>
                <w:sz w:val="20"/>
                <w:szCs w:val="20"/>
              </w:rPr>
              <w:t>11.5</w:t>
            </w:r>
          </w:p>
        </w:tc>
      </w:tr>
      <w:tr w:rsidR="00D907AF" w:rsidRPr="0087485F" w:rsidTr="002A1EDB">
        <w:tc>
          <w:tcPr>
            <w:tcW w:w="1384"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Sometimes</w:t>
            </w:r>
          </w:p>
        </w:tc>
        <w:tc>
          <w:tcPr>
            <w:tcW w:w="1157" w:type="dxa"/>
            <w:shd w:val="clear" w:color="auto" w:fill="auto"/>
            <w:vAlign w:val="center"/>
          </w:tcPr>
          <w:p w:rsidR="00D907AF" w:rsidRPr="0087485F" w:rsidRDefault="00D907AF" w:rsidP="007C63E4">
            <w:pPr>
              <w:spacing w:before="20" w:after="20"/>
              <w:ind w:right="284"/>
              <w:jc w:val="right"/>
              <w:rPr>
                <w:rFonts w:cstheme="minorHAnsi"/>
                <w:color w:val="000000"/>
                <w:sz w:val="20"/>
                <w:szCs w:val="20"/>
              </w:rPr>
            </w:pPr>
            <w:r w:rsidRPr="0087485F">
              <w:rPr>
                <w:rFonts w:cstheme="minorHAnsi"/>
                <w:color w:val="000000"/>
                <w:sz w:val="20"/>
                <w:szCs w:val="20"/>
              </w:rPr>
              <w:t>63</w:t>
            </w:r>
          </w:p>
        </w:tc>
        <w:tc>
          <w:tcPr>
            <w:tcW w:w="1111" w:type="dxa"/>
            <w:shd w:val="clear" w:color="auto" w:fill="auto"/>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33.2</w:t>
            </w:r>
          </w:p>
        </w:tc>
        <w:tc>
          <w:tcPr>
            <w:tcW w:w="1134" w:type="dxa"/>
            <w:shd w:val="clear" w:color="auto" w:fill="auto"/>
          </w:tcPr>
          <w:p w:rsidR="00D907AF" w:rsidRPr="0087485F" w:rsidRDefault="00D907AF" w:rsidP="007C63E4">
            <w:pPr>
              <w:spacing w:before="20" w:after="20"/>
              <w:ind w:right="284"/>
              <w:jc w:val="right"/>
              <w:rPr>
                <w:rFonts w:cstheme="minorHAnsi"/>
                <w:color w:val="000000"/>
                <w:sz w:val="20"/>
                <w:szCs w:val="20"/>
              </w:rPr>
            </w:pPr>
            <w:r w:rsidRPr="0087485F">
              <w:rPr>
                <w:rFonts w:cstheme="minorHAnsi"/>
                <w:color w:val="000000"/>
                <w:sz w:val="20"/>
                <w:szCs w:val="20"/>
              </w:rPr>
              <w:t>-</w:t>
            </w:r>
          </w:p>
        </w:tc>
        <w:tc>
          <w:tcPr>
            <w:tcW w:w="1276" w:type="dxa"/>
            <w:shd w:val="clear" w:color="auto" w:fill="auto"/>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w:t>
            </w:r>
          </w:p>
        </w:tc>
        <w:tc>
          <w:tcPr>
            <w:tcW w:w="992" w:type="dxa"/>
            <w:shd w:val="clear" w:color="auto" w:fill="auto"/>
            <w:vAlign w:val="center"/>
          </w:tcPr>
          <w:p w:rsidR="00D907AF" w:rsidRPr="0087485F" w:rsidRDefault="00D907AF" w:rsidP="00AA3C18">
            <w:pPr>
              <w:spacing w:before="20" w:after="20"/>
              <w:ind w:right="170"/>
              <w:jc w:val="right"/>
              <w:rPr>
                <w:rFonts w:cstheme="minorHAnsi"/>
                <w:color w:val="000000"/>
                <w:sz w:val="20"/>
                <w:szCs w:val="20"/>
              </w:rPr>
            </w:pPr>
            <w:r w:rsidRPr="0087485F">
              <w:rPr>
                <w:rFonts w:cstheme="minorHAnsi"/>
                <w:color w:val="000000"/>
                <w:sz w:val="20"/>
                <w:szCs w:val="20"/>
              </w:rPr>
              <w:t>63</w:t>
            </w:r>
          </w:p>
        </w:tc>
        <w:tc>
          <w:tcPr>
            <w:tcW w:w="1134" w:type="dxa"/>
            <w:shd w:val="clear" w:color="auto" w:fill="auto"/>
            <w:vAlign w:val="center"/>
          </w:tcPr>
          <w:p w:rsidR="00D907AF" w:rsidRPr="0087485F" w:rsidRDefault="00D907AF" w:rsidP="007C63E4">
            <w:pPr>
              <w:spacing w:before="20" w:after="20"/>
              <w:ind w:right="227"/>
              <w:jc w:val="right"/>
              <w:rPr>
                <w:rFonts w:cstheme="minorHAnsi"/>
                <w:color w:val="000000"/>
                <w:sz w:val="20"/>
                <w:szCs w:val="20"/>
              </w:rPr>
            </w:pPr>
            <w:r w:rsidRPr="0087485F">
              <w:rPr>
                <w:rFonts w:cstheme="minorHAnsi"/>
                <w:color w:val="000000"/>
                <w:sz w:val="20"/>
                <w:szCs w:val="20"/>
              </w:rPr>
              <w:t>22.7</w:t>
            </w:r>
          </w:p>
        </w:tc>
      </w:tr>
      <w:tr w:rsidR="00D907AF" w:rsidRPr="0087485F" w:rsidTr="002A1EDB">
        <w:tc>
          <w:tcPr>
            <w:tcW w:w="1384" w:type="dxa"/>
          </w:tcPr>
          <w:p w:rsidR="00D907AF" w:rsidRPr="0087485F" w:rsidRDefault="00D907AF" w:rsidP="00D907AF">
            <w:pPr>
              <w:spacing w:before="20" w:after="20"/>
              <w:rPr>
                <w:rFonts w:cstheme="minorHAnsi"/>
                <w:sz w:val="20"/>
                <w:szCs w:val="20"/>
              </w:rPr>
            </w:pPr>
            <w:r w:rsidRPr="0087485F">
              <w:rPr>
                <w:rFonts w:cstheme="minorHAnsi"/>
                <w:sz w:val="20"/>
                <w:szCs w:val="20"/>
              </w:rPr>
              <w:t>Don’t know</w:t>
            </w:r>
          </w:p>
        </w:tc>
        <w:tc>
          <w:tcPr>
            <w:tcW w:w="1157" w:type="dxa"/>
          </w:tcPr>
          <w:p w:rsidR="00D907AF" w:rsidRPr="0087485F" w:rsidRDefault="00D907AF" w:rsidP="007C63E4">
            <w:pPr>
              <w:spacing w:before="20" w:after="20"/>
              <w:ind w:right="284"/>
              <w:jc w:val="right"/>
              <w:rPr>
                <w:rFonts w:cstheme="minorHAnsi"/>
                <w:color w:val="000000"/>
                <w:sz w:val="20"/>
                <w:szCs w:val="20"/>
              </w:rPr>
            </w:pPr>
            <w:r w:rsidRPr="0087485F">
              <w:rPr>
                <w:rFonts w:cstheme="minorHAnsi"/>
                <w:color w:val="000000"/>
                <w:sz w:val="20"/>
                <w:szCs w:val="20"/>
              </w:rPr>
              <w:t>2</w:t>
            </w:r>
          </w:p>
        </w:tc>
        <w:tc>
          <w:tcPr>
            <w:tcW w:w="1111" w:type="dxa"/>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1.1</w:t>
            </w:r>
          </w:p>
        </w:tc>
        <w:tc>
          <w:tcPr>
            <w:tcW w:w="1134" w:type="dxa"/>
            <w:vAlign w:val="center"/>
          </w:tcPr>
          <w:p w:rsidR="00D907AF" w:rsidRPr="0087485F" w:rsidRDefault="00D907AF" w:rsidP="007C63E4">
            <w:pPr>
              <w:spacing w:before="20" w:after="20"/>
              <w:ind w:right="284"/>
              <w:jc w:val="right"/>
              <w:rPr>
                <w:rFonts w:cstheme="minorHAnsi"/>
                <w:color w:val="000000"/>
                <w:sz w:val="20"/>
                <w:szCs w:val="20"/>
              </w:rPr>
            </w:pPr>
            <w:r w:rsidRPr="0087485F">
              <w:rPr>
                <w:rFonts w:cstheme="minorHAnsi"/>
                <w:color w:val="000000"/>
                <w:sz w:val="20"/>
                <w:szCs w:val="20"/>
              </w:rPr>
              <w:t>13</w:t>
            </w:r>
          </w:p>
        </w:tc>
        <w:tc>
          <w:tcPr>
            <w:tcW w:w="1276" w:type="dxa"/>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14.8</w:t>
            </w:r>
          </w:p>
        </w:tc>
        <w:tc>
          <w:tcPr>
            <w:tcW w:w="992" w:type="dxa"/>
          </w:tcPr>
          <w:p w:rsidR="00D907AF" w:rsidRPr="0087485F" w:rsidRDefault="00D907AF" w:rsidP="00AA3C18">
            <w:pPr>
              <w:spacing w:before="20" w:after="20"/>
              <w:ind w:right="170"/>
              <w:jc w:val="right"/>
              <w:rPr>
                <w:rFonts w:cstheme="minorHAnsi"/>
                <w:color w:val="000000"/>
                <w:sz w:val="20"/>
                <w:szCs w:val="20"/>
              </w:rPr>
            </w:pPr>
            <w:r w:rsidRPr="0087485F">
              <w:rPr>
                <w:rFonts w:cstheme="minorHAnsi"/>
                <w:color w:val="000000"/>
                <w:sz w:val="20"/>
                <w:szCs w:val="20"/>
              </w:rPr>
              <w:t>15</w:t>
            </w:r>
          </w:p>
        </w:tc>
        <w:tc>
          <w:tcPr>
            <w:tcW w:w="1134" w:type="dxa"/>
          </w:tcPr>
          <w:p w:rsidR="00D907AF" w:rsidRPr="0087485F" w:rsidRDefault="00D907AF" w:rsidP="007C63E4">
            <w:pPr>
              <w:spacing w:before="20" w:after="20"/>
              <w:ind w:right="227"/>
              <w:jc w:val="right"/>
              <w:rPr>
                <w:rFonts w:cstheme="minorHAnsi"/>
                <w:color w:val="000000"/>
                <w:sz w:val="20"/>
                <w:szCs w:val="20"/>
              </w:rPr>
            </w:pPr>
            <w:r w:rsidRPr="0087485F">
              <w:rPr>
                <w:rFonts w:cstheme="minorHAnsi"/>
                <w:color w:val="000000"/>
                <w:sz w:val="20"/>
                <w:szCs w:val="20"/>
              </w:rPr>
              <w:t>5.4</w:t>
            </w:r>
          </w:p>
        </w:tc>
      </w:tr>
      <w:tr w:rsidR="00D907AF" w:rsidRPr="0087485F" w:rsidTr="002A1EDB">
        <w:tc>
          <w:tcPr>
            <w:tcW w:w="1384" w:type="dxa"/>
            <w:tcBorders>
              <w:bottom w:val="single" w:sz="4" w:space="0" w:color="auto"/>
            </w:tcBorders>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 xml:space="preserve">Missing </w:t>
            </w:r>
          </w:p>
        </w:tc>
        <w:tc>
          <w:tcPr>
            <w:tcW w:w="1157" w:type="dxa"/>
            <w:tcBorders>
              <w:bottom w:val="single" w:sz="4" w:space="0" w:color="auto"/>
            </w:tcBorders>
            <w:shd w:val="clear" w:color="auto" w:fill="auto"/>
            <w:vAlign w:val="center"/>
          </w:tcPr>
          <w:p w:rsidR="00D907AF" w:rsidRPr="0087485F" w:rsidRDefault="00D907AF" w:rsidP="007C63E4">
            <w:pPr>
              <w:spacing w:before="20" w:after="20"/>
              <w:ind w:right="284"/>
              <w:jc w:val="right"/>
              <w:rPr>
                <w:rFonts w:cstheme="minorHAnsi"/>
                <w:color w:val="000000"/>
                <w:sz w:val="20"/>
                <w:szCs w:val="20"/>
              </w:rPr>
            </w:pPr>
            <w:r w:rsidRPr="0087485F">
              <w:rPr>
                <w:rFonts w:cstheme="minorHAnsi"/>
                <w:color w:val="000000"/>
                <w:sz w:val="20"/>
                <w:szCs w:val="20"/>
              </w:rPr>
              <w:t>8</w:t>
            </w:r>
          </w:p>
        </w:tc>
        <w:tc>
          <w:tcPr>
            <w:tcW w:w="1111" w:type="dxa"/>
            <w:tcBorders>
              <w:bottom w:val="single" w:sz="4" w:space="0" w:color="auto"/>
            </w:tcBorders>
            <w:shd w:val="clear" w:color="auto" w:fill="auto"/>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4.2</w:t>
            </w:r>
          </w:p>
        </w:tc>
        <w:tc>
          <w:tcPr>
            <w:tcW w:w="1134" w:type="dxa"/>
            <w:tcBorders>
              <w:bottom w:val="single" w:sz="4" w:space="0" w:color="auto"/>
            </w:tcBorders>
            <w:shd w:val="clear" w:color="auto" w:fill="auto"/>
          </w:tcPr>
          <w:p w:rsidR="00D907AF" w:rsidRPr="00AA3C18" w:rsidRDefault="00D907AF" w:rsidP="007C63E4">
            <w:pPr>
              <w:spacing w:before="20" w:after="20"/>
              <w:ind w:right="284"/>
              <w:jc w:val="right"/>
              <w:rPr>
                <w:rFonts w:cstheme="minorHAnsi"/>
                <w:color w:val="000000"/>
                <w:sz w:val="20"/>
                <w:szCs w:val="20"/>
              </w:rPr>
            </w:pPr>
            <w:r w:rsidRPr="00AA3C18">
              <w:rPr>
                <w:rFonts w:cstheme="minorHAnsi"/>
                <w:color w:val="000000"/>
                <w:sz w:val="20"/>
                <w:szCs w:val="20"/>
              </w:rPr>
              <w:t>5</w:t>
            </w:r>
          </w:p>
        </w:tc>
        <w:tc>
          <w:tcPr>
            <w:tcW w:w="1276" w:type="dxa"/>
            <w:tcBorders>
              <w:bottom w:val="single" w:sz="4" w:space="0" w:color="auto"/>
            </w:tcBorders>
            <w:shd w:val="clear" w:color="auto" w:fill="auto"/>
          </w:tcPr>
          <w:p w:rsidR="00D907AF" w:rsidRPr="00AA3C18" w:rsidRDefault="00D907AF" w:rsidP="007C63E4">
            <w:pPr>
              <w:spacing w:before="20" w:after="20"/>
              <w:ind w:right="340"/>
              <w:jc w:val="right"/>
              <w:rPr>
                <w:rFonts w:cstheme="minorHAnsi"/>
                <w:color w:val="000000"/>
                <w:sz w:val="20"/>
                <w:szCs w:val="20"/>
              </w:rPr>
            </w:pPr>
            <w:r w:rsidRPr="00AA3C18">
              <w:rPr>
                <w:rFonts w:cstheme="minorHAnsi"/>
                <w:color w:val="000000"/>
                <w:sz w:val="20"/>
                <w:szCs w:val="20"/>
              </w:rPr>
              <w:t>5.7</w:t>
            </w:r>
          </w:p>
        </w:tc>
        <w:tc>
          <w:tcPr>
            <w:tcW w:w="992" w:type="dxa"/>
            <w:tcBorders>
              <w:bottom w:val="single" w:sz="4" w:space="0" w:color="auto"/>
            </w:tcBorders>
            <w:shd w:val="clear" w:color="auto" w:fill="auto"/>
            <w:vAlign w:val="center"/>
          </w:tcPr>
          <w:p w:rsidR="00D907AF" w:rsidRPr="0087485F" w:rsidRDefault="00D907AF" w:rsidP="00AA3C18">
            <w:pPr>
              <w:spacing w:before="20" w:after="20"/>
              <w:ind w:right="170"/>
              <w:jc w:val="right"/>
              <w:rPr>
                <w:rFonts w:cstheme="minorHAnsi"/>
                <w:color w:val="000000"/>
                <w:sz w:val="20"/>
                <w:szCs w:val="20"/>
              </w:rPr>
            </w:pPr>
            <w:r w:rsidRPr="0087485F">
              <w:rPr>
                <w:rFonts w:cstheme="minorHAnsi"/>
                <w:color w:val="000000"/>
                <w:sz w:val="20"/>
                <w:szCs w:val="20"/>
              </w:rPr>
              <w:t>13</w:t>
            </w:r>
          </w:p>
        </w:tc>
        <w:tc>
          <w:tcPr>
            <w:tcW w:w="1134" w:type="dxa"/>
            <w:tcBorders>
              <w:bottom w:val="single" w:sz="4" w:space="0" w:color="auto"/>
            </w:tcBorders>
            <w:shd w:val="clear" w:color="auto" w:fill="auto"/>
            <w:vAlign w:val="center"/>
          </w:tcPr>
          <w:p w:rsidR="00D907AF" w:rsidRPr="0087485F" w:rsidRDefault="00D907AF" w:rsidP="007C63E4">
            <w:pPr>
              <w:spacing w:before="20" w:after="20"/>
              <w:ind w:right="227"/>
              <w:jc w:val="right"/>
              <w:rPr>
                <w:rFonts w:cstheme="minorHAnsi"/>
                <w:color w:val="000000"/>
                <w:sz w:val="20"/>
                <w:szCs w:val="20"/>
              </w:rPr>
            </w:pPr>
            <w:r w:rsidRPr="0087485F">
              <w:rPr>
                <w:rFonts w:cstheme="minorHAnsi"/>
                <w:color w:val="000000"/>
                <w:sz w:val="20"/>
                <w:szCs w:val="20"/>
              </w:rPr>
              <w:t>4.7</w:t>
            </w:r>
          </w:p>
        </w:tc>
      </w:tr>
      <w:tr w:rsidR="00D907AF" w:rsidRPr="0087485F" w:rsidTr="002A1EDB">
        <w:tc>
          <w:tcPr>
            <w:tcW w:w="1384" w:type="dxa"/>
            <w:tcBorders>
              <w:top w:val="single" w:sz="4" w:space="0" w:color="auto"/>
              <w:bottom w:val="single" w:sz="4" w:space="0" w:color="auto"/>
            </w:tcBorders>
            <w:shd w:val="clear" w:color="auto" w:fill="auto"/>
          </w:tcPr>
          <w:p w:rsidR="00D907AF" w:rsidRPr="0087485F" w:rsidRDefault="00D907AF" w:rsidP="00D907AF">
            <w:pPr>
              <w:spacing w:before="20" w:after="20"/>
              <w:rPr>
                <w:rFonts w:cstheme="minorHAnsi"/>
                <w:b/>
                <w:sz w:val="20"/>
                <w:szCs w:val="20"/>
              </w:rPr>
            </w:pPr>
            <w:r w:rsidRPr="0087485F">
              <w:rPr>
                <w:rFonts w:cstheme="minorHAnsi"/>
                <w:b/>
                <w:sz w:val="20"/>
                <w:szCs w:val="20"/>
              </w:rPr>
              <w:t>Total</w:t>
            </w:r>
          </w:p>
        </w:tc>
        <w:tc>
          <w:tcPr>
            <w:tcW w:w="1157" w:type="dxa"/>
            <w:tcBorders>
              <w:top w:val="single" w:sz="4" w:space="0" w:color="auto"/>
              <w:bottom w:val="single" w:sz="4" w:space="0" w:color="auto"/>
            </w:tcBorders>
            <w:shd w:val="clear" w:color="auto" w:fill="auto"/>
          </w:tcPr>
          <w:p w:rsidR="00D907AF" w:rsidRPr="0087485F" w:rsidRDefault="00D907AF" w:rsidP="007C63E4">
            <w:pPr>
              <w:spacing w:before="20" w:after="20"/>
              <w:ind w:right="284"/>
              <w:jc w:val="right"/>
              <w:rPr>
                <w:rFonts w:cstheme="minorHAnsi"/>
                <w:b/>
                <w:sz w:val="20"/>
                <w:szCs w:val="20"/>
              </w:rPr>
            </w:pPr>
            <w:r w:rsidRPr="0087485F">
              <w:rPr>
                <w:rFonts w:cstheme="minorHAnsi"/>
                <w:b/>
                <w:sz w:val="20"/>
                <w:szCs w:val="20"/>
              </w:rPr>
              <w:t>190</w:t>
            </w:r>
          </w:p>
        </w:tc>
        <w:tc>
          <w:tcPr>
            <w:tcW w:w="1111" w:type="dxa"/>
            <w:tcBorders>
              <w:top w:val="single" w:sz="4" w:space="0" w:color="auto"/>
              <w:bottom w:val="single" w:sz="4" w:space="0" w:color="auto"/>
            </w:tcBorders>
            <w:shd w:val="clear" w:color="auto" w:fill="auto"/>
          </w:tcPr>
          <w:p w:rsidR="00D907AF" w:rsidRPr="00AA3C18" w:rsidRDefault="00D907AF" w:rsidP="007C63E4">
            <w:pPr>
              <w:spacing w:before="20" w:after="20"/>
              <w:ind w:right="340"/>
              <w:jc w:val="right"/>
              <w:rPr>
                <w:rFonts w:cstheme="minorHAnsi"/>
                <w:b/>
                <w:color w:val="000000"/>
                <w:sz w:val="20"/>
                <w:szCs w:val="20"/>
              </w:rPr>
            </w:pPr>
            <w:r w:rsidRPr="00AA3C18">
              <w:rPr>
                <w:rFonts w:cstheme="minorHAnsi"/>
                <w:b/>
                <w:color w:val="000000"/>
                <w:sz w:val="20"/>
                <w:szCs w:val="20"/>
              </w:rPr>
              <w:t>100</w:t>
            </w:r>
          </w:p>
        </w:tc>
        <w:tc>
          <w:tcPr>
            <w:tcW w:w="1134" w:type="dxa"/>
            <w:tcBorders>
              <w:top w:val="single" w:sz="4" w:space="0" w:color="auto"/>
              <w:bottom w:val="single" w:sz="4" w:space="0" w:color="auto"/>
            </w:tcBorders>
            <w:shd w:val="clear" w:color="auto" w:fill="auto"/>
            <w:vAlign w:val="center"/>
          </w:tcPr>
          <w:p w:rsidR="00D907AF" w:rsidRPr="007C63E4" w:rsidRDefault="00D907AF" w:rsidP="007C63E4">
            <w:pPr>
              <w:spacing w:before="20" w:after="20"/>
              <w:ind w:right="340"/>
              <w:jc w:val="right"/>
              <w:rPr>
                <w:rFonts w:cstheme="minorHAnsi"/>
                <w:b/>
                <w:color w:val="000000"/>
                <w:sz w:val="20"/>
                <w:szCs w:val="20"/>
              </w:rPr>
            </w:pPr>
            <w:r w:rsidRPr="007C63E4">
              <w:rPr>
                <w:rFonts w:cstheme="minorHAnsi"/>
                <w:b/>
                <w:color w:val="000000"/>
                <w:sz w:val="20"/>
                <w:szCs w:val="20"/>
              </w:rPr>
              <w:t>88</w:t>
            </w:r>
          </w:p>
        </w:tc>
        <w:tc>
          <w:tcPr>
            <w:tcW w:w="1276" w:type="dxa"/>
            <w:tcBorders>
              <w:top w:val="single" w:sz="4" w:space="0" w:color="auto"/>
              <w:bottom w:val="single" w:sz="4" w:space="0" w:color="auto"/>
            </w:tcBorders>
            <w:shd w:val="clear" w:color="auto" w:fill="auto"/>
            <w:vAlign w:val="center"/>
          </w:tcPr>
          <w:p w:rsidR="00D907AF" w:rsidRPr="007C63E4" w:rsidRDefault="00D907AF" w:rsidP="007C63E4">
            <w:pPr>
              <w:spacing w:before="20" w:after="20"/>
              <w:ind w:right="340"/>
              <w:jc w:val="right"/>
              <w:rPr>
                <w:rFonts w:cstheme="minorHAnsi"/>
                <w:b/>
                <w:color w:val="000000"/>
                <w:sz w:val="20"/>
                <w:szCs w:val="20"/>
              </w:rPr>
            </w:pPr>
            <w:r w:rsidRPr="007C63E4">
              <w:rPr>
                <w:rFonts w:cstheme="minorHAnsi"/>
                <w:b/>
                <w:color w:val="000000"/>
                <w:sz w:val="20"/>
                <w:szCs w:val="20"/>
              </w:rPr>
              <w:t>100</w:t>
            </w:r>
          </w:p>
        </w:tc>
        <w:tc>
          <w:tcPr>
            <w:tcW w:w="992" w:type="dxa"/>
            <w:tcBorders>
              <w:top w:val="single" w:sz="4" w:space="0" w:color="auto"/>
              <w:bottom w:val="single" w:sz="4" w:space="0" w:color="auto"/>
            </w:tcBorders>
            <w:shd w:val="clear" w:color="auto" w:fill="auto"/>
          </w:tcPr>
          <w:p w:rsidR="00D907AF" w:rsidRPr="00AA3C18" w:rsidRDefault="00D907AF" w:rsidP="00AA3C18">
            <w:pPr>
              <w:spacing w:before="20" w:after="20"/>
              <w:ind w:right="170"/>
              <w:jc w:val="right"/>
              <w:rPr>
                <w:rFonts w:cstheme="minorHAnsi"/>
                <w:b/>
                <w:color w:val="000000"/>
                <w:sz w:val="20"/>
                <w:szCs w:val="20"/>
              </w:rPr>
            </w:pPr>
            <w:r w:rsidRPr="00AA3C18">
              <w:rPr>
                <w:rFonts w:cstheme="minorHAnsi"/>
                <w:b/>
                <w:color w:val="000000"/>
                <w:sz w:val="20"/>
                <w:szCs w:val="20"/>
              </w:rPr>
              <w:t>278</w:t>
            </w:r>
          </w:p>
        </w:tc>
        <w:tc>
          <w:tcPr>
            <w:tcW w:w="1134" w:type="dxa"/>
            <w:tcBorders>
              <w:top w:val="single" w:sz="4" w:space="0" w:color="auto"/>
              <w:bottom w:val="single" w:sz="4" w:space="0" w:color="auto"/>
            </w:tcBorders>
            <w:shd w:val="clear" w:color="auto" w:fill="auto"/>
          </w:tcPr>
          <w:p w:rsidR="00D907AF" w:rsidRPr="00AA3C18" w:rsidRDefault="00D907AF" w:rsidP="007C63E4">
            <w:pPr>
              <w:spacing w:before="20" w:after="20"/>
              <w:ind w:right="227"/>
              <w:jc w:val="right"/>
              <w:rPr>
                <w:rFonts w:cstheme="minorHAnsi"/>
                <w:b/>
                <w:color w:val="000000"/>
                <w:sz w:val="20"/>
                <w:szCs w:val="20"/>
              </w:rPr>
            </w:pPr>
            <w:r w:rsidRPr="00AA3C18">
              <w:rPr>
                <w:rFonts w:cstheme="minorHAnsi"/>
                <w:b/>
                <w:color w:val="000000"/>
                <w:sz w:val="20"/>
                <w:szCs w:val="20"/>
              </w:rPr>
              <w:t>100</w:t>
            </w:r>
          </w:p>
        </w:tc>
      </w:tr>
    </w:tbl>
    <w:p w:rsidR="00D907AF" w:rsidRPr="00660446" w:rsidRDefault="00D907AF" w:rsidP="006C7BE7">
      <w:pPr>
        <w:pStyle w:val="NILSTabletext"/>
      </w:pPr>
      <w:r w:rsidRPr="00660446">
        <w:t xml:space="preserve">Note: </w:t>
      </w:r>
      <w:r>
        <w:t>t</w:t>
      </w:r>
      <w:r w:rsidRPr="00660446">
        <w:t>rial and comparison aged 8-15 in education.</w:t>
      </w:r>
    </w:p>
    <w:p w:rsidR="00D907AF" w:rsidRDefault="00D907AF" w:rsidP="00D907AF">
      <w:r>
        <w:t>Table 3.44 asks the same children what they would like to do after they finish their course. The options offered are work, training, university, something else, nothing and don’t know for the standard questionnaire and the same but without the ‘nothing’ option for the Easy English questionnaire.</w:t>
      </w:r>
    </w:p>
    <w:p w:rsidR="00D907AF" w:rsidRPr="00A42848" w:rsidRDefault="00D907AF" w:rsidP="0044684E">
      <w:pPr>
        <w:pStyle w:val="NILSTableHeading"/>
        <w:rPr>
          <w:lang w:val="en-AU"/>
        </w:rPr>
      </w:pPr>
      <w:bookmarkStart w:id="378" w:name="_Toc428280696"/>
      <w:bookmarkStart w:id="379" w:name="_Toc449955306"/>
      <w:r w:rsidRPr="00233E8A">
        <w:t xml:space="preserve">Table </w:t>
      </w:r>
      <w:r>
        <w:t>3.44</w:t>
      </w:r>
      <w:r w:rsidRPr="00233E8A">
        <w:t xml:space="preserve">: </w:t>
      </w:r>
      <w:r>
        <w:rPr>
          <w:rFonts w:hint="eastAsia"/>
        </w:rPr>
        <w:t xml:space="preserve">What would </w:t>
      </w:r>
      <w:r w:rsidR="00A42848">
        <w:rPr>
          <w:lang w:val="en-AU"/>
        </w:rPr>
        <w:t>he/she</w:t>
      </w:r>
      <w:r>
        <w:rPr>
          <w:rFonts w:hint="eastAsia"/>
        </w:rPr>
        <w:t xml:space="preserve"> like to do after finishing his/her current education</w:t>
      </w:r>
      <w:r>
        <w:t>?</w:t>
      </w:r>
      <w:bookmarkEnd w:id="378"/>
      <w:r w:rsidR="00A42848">
        <w:rPr>
          <w:lang w:val="en-AU"/>
        </w:rPr>
        <w:t xml:space="preserve"> (8 to 15 years)</w:t>
      </w:r>
      <w:bookmarkEnd w:id="379"/>
    </w:p>
    <w:tbl>
      <w:tblPr>
        <w:tblStyle w:val="TableGrid"/>
        <w:tblW w:w="0" w:type="auto"/>
        <w:tblLayout w:type="fixed"/>
        <w:tblLook w:val="04A0" w:firstRow="1" w:lastRow="0" w:firstColumn="1" w:lastColumn="0" w:noHBand="0" w:noVBand="1"/>
        <w:tblCaption w:val="Table 3.44 What would the child like to do after finishing his/her current education?"/>
      </w:tblPr>
      <w:tblGrid>
        <w:gridCol w:w="1526"/>
        <w:gridCol w:w="992"/>
        <w:gridCol w:w="1276"/>
        <w:gridCol w:w="1134"/>
        <w:gridCol w:w="1276"/>
        <w:gridCol w:w="992"/>
        <w:gridCol w:w="1134"/>
      </w:tblGrid>
      <w:tr w:rsidR="0062018A" w:rsidRPr="0087485F" w:rsidTr="00A51DF4">
        <w:trPr>
          <w:cantSplit/>
          <w:tblHeader/>
        </w:trPr>
        <w:tc>
          <w:tcPr>
            <w:tcW w:w="1526" w:type="dxa"/>
            <w:tcBorders>
              <w:top w:val="single" w:sz="4" w:space="0" w:color="auto"/>
              <w:bottom w:val="single" w:sz="4" w:space="0" w:color="auto"/>
            </w:tcBorders>
            <w:shd w:val="clear" w:color="auto" w:fill="auto"/>
          </w:tcPr>
          <w:p w:rsidR="0062018A" w:rsidRPr="0087485F" w:rsidRDefault="0062018A" w:rsidP="0062018A">
            <w:pPr>
              <w:spacing w:before="20" w:after="20"/>
              <w:rPr>
                <w:rFonts w:cstheme="minorHAnsi"/>
                <w:sz w:val="20"/>
                <w:szCs w:val="20"/>
              </w:rPr>
            </w:pPr>
            <w:bookmarkStart w:id="380" w:name="Title_3_44"/>
            <w:bookmarkEnd w:id="380"/>
          </w:p>
        </w:tc>
        <w:tc>
          <w:tcPr>
            <w:tcW w:w="992" w:type="dxa"/>
            <w:tcBorders>
              <w:top w:val="single" w:sz="4" w:space="0" w:color="auto"/>
              <w:bottom w:val="single" w:sz="4" w:space="0" w:color="auto"/>
            </w:tcBorders>
            <w:shd w:val="clear" w:color="auto" w:fill="auto"/>
          </w:tcPr>
          <w:p w:rsidR="0062018A" w:rsidRPr="0087485F" w:rsidRDefault="0062018A" w:rsidP="00A51DF4">
            <w:pPr>
              <w:spacing w:before="20" w:after="20"/>
              <w:jc w:val="center"/>
              <w:rPr>
                <w:rFonts w:cstheme="minorHAnsi"/>
                <w:sz w:val="20"/>
                <w:szCs w:val="20"/>
              </w:rPr>
            </w:pPr>
            <w:r w:rsidRPr="0087485F">
              <w:rPr>
                <w:rFonts w:cstheme="minorHAnsi"/>
                <w:sz w:val="20"/>
                <w:szCs w:val="20"/>
              </w:rPr>
              <w:t>Standard</w:t>
            </w:r>
            <w:r>
              <w:rPr>
                <w:rFonts w:cstheme="minorHAnsi"/>
                <w:sz w:val="20"/>
                <w:szCs w:val="20"/>
              </w:rPr>
              <w:t xml:space="preserve"> Question</w:t>
            </w:r>
            <w:r w:rsidR="00A51DF4">
              <w:rPr>
                <w:rFonts w:cstheme="minorHAnsi"/>
                <w:sz w:val="20"/>
                <w:szCs w:val="20"/>
              </w:rPr>
              <w:t xml:space="preserve"> Cases</w:t>
            </w:r>
          </w:p>
        </w:tc>
        <w:tc>
          <w:tcPr>
            <w:tcW w:w="1276" w:type="dxa"/>
            <w:tcBorders>
              <w:top w:val="single" w:sz="4" w:space="0" w:color="auto"/>
              <w:bottom w:val="single" w:sz="4" w:space="0" w:color="auto"/>
            </w:tcBorders>
            <w:shd w:val="clear" w:color="auto" w:fill="auto"/>
          </w:tcPr>
          <w:p w:rsidR="00884536" w:rsidRDefault="0062018A" w:rsidP="0062018A">
            <w:pPr>
              <w:spacing w:before="20" w:after="20"/>
              <w:jc w:val="center"/>
              <w:rPr>
                <w:rFonts w:cstheme="minorHAnsi"/>
                <w:sz w:val="20"/>
                <w:szCs w:val="20"/>
              </w:rPr>
            </w:pPr>
            <w:r w:rsidRPr="005E72E4">
              <w:rPr>
                <w:rFonts w:cstheme="minorHAnsi"/>
                <w:sz w:val="20"/>
                <w:szCs w:val="20"/>
              </w:rPr>
              <w:t xml:space="preserve">Standard Question </w:t>
            </w:r>
          </w:p>
          <w:p w:rsidR="0062018A" w:rsidRPr="0087485F" w:rsidRDefault="0062018A" w:rsidP="0062018A">
            <w:pPr>
              <w:spacing w:before="20" w:after="20"/>
              <w:jc w:val="center"/>
              <w:rPr>
                <w:rFonts w:cstheme="minorHAnsi"/>
                <w:sz w:val="20"/>
                <w:szCs w:val="20"/>
              </w:rPr>
            </w:pPr>
            <w:r w:rsidRPr="0087485F">
              <w:rPr>
                <w:rFonts w:cstheme="minorHAnsi"/>
                <w:sz w:val="20"/>
                <w:szCs w:val="20"/>
              </w:rPr>
              <w:t>%</w:t>
            </w:r>
          </w:p>
        </w:tc>
        <w:tc>
          <w:tcPr>
            <w:tcW w:w="1134" w:type="dxa"/>
            <w:tcBorders>
              <w:top w:val="single" w:sz="4" w:space="0" w:color="auto"/>
              <w:bottom w:val="single" w:sz="4" w:space="0" w:color="auto"/>
            </w:tcBorders>
            <w:shd w:val="clear" w:color="auto" w:fill="auto"/>
          </w:tcPr>
          <w:p w:rsidR="0062018A" w:rsidRPr="0087485F" w:rsidRDefault="0062018A" w:rsidP="0062018A">
            <w:pPr>
              <w:spacing w:before="20" w:after="20"/>
              <w:ind w:left="-62" w:right="-118"/>
              <w:jc w:val="center"/>
              <w:rPr>
                <w:rFonts w:cstheme="minorHAnsi"/>
                <w:sz w:val="20"/>
                <w:szCs w:val="20"/>
              </w:rPr>
            </w:pPr>
            <w:r w:rsidRPr="0087485F">
              <w:rPr>
                <w:rFonts w:cstheme="minorHAnsi"/>
                <w:sz w:val="20"/>
                <w:szCs w:val="20"/>
              </w:rPr>
              <w:t>Easy English</w:t>
            </w:r>
            <w:r>
              <w:rPr>
                <w:rFonts w:cstheme="minorHAnsi"/>
                <w:sz w:val="20"/>
                <w:szCs w:val="20"/>
              </w:rPr>
              <w:t xml:space="preserve"> Question</w:t>
            </w:r>
            <w:r w:rsidR="00A51DF4">
              <w:rPr>
                <w:rFonts w:cstheme="minorHAnsi"/>
                <w:sz w:val="20"/>
                <w:szCs w:val="20"/>
              </w:rPr>
              <w:t xml:space="preserve"> Cases</w:t>
            </w:r>
          </w:p>
        </w:tc>
        <w:tc>
          <w:tcPr>
            <w:tcW w:w="1276" w:type="dxa"/>
            <w:tcBorders>
              <w:top w:val="single" w:sz="4" w:space="0" w:color="auto"/>
              <w:bottom w:val="single" w:sz="4" w:space="0" w:color="auto"/>
            </w:tcBorders>
            <w:shd w:val="clear" w:color="auto" w:fill="auto"/>
          </w:tcPr>
          <w:p w:rsidR="00884536" w:rsidRDefault="0062018A" w:rsidP="0062018A">
            <w:pPr>
              <w:spacing w:before="20" w:after="20"/>
              <w:ind w:left="-98" w:right="-108"/>
              <w:jc w:val="center"/>
              <w:rPr>
                <w:rFonts w:cstheme="minorHAnsi"/>
                <w:sz w:val="20"/>
                <w:szCs w:val="20"/>
              </w:rPr>
            </w:pPr>
            <w:r w:rsidRPr="005E72E4">
              <w:rPr>
                <w:rFonts w:cstheme="minorHAnsi"/>
                <w:sz w:val="20"/>
                <w:szCs w:val="20"/>
              </w:rPr>
              <w:t>Easy English Question</w:t>
            </w:r>
            <w:r>
              <w:rPr>
                <w:rFonts w:cstheme="minorHAnsi"/>
                <w:sz w:val="20"/>
                <w:szCs w:val="20"/>
              </w:rPr>
              <w:t xml:space="preserve"> </w:t>
            </w:r>
          </w:p>
          <w:p w:rsidR="0062018A" w:rsidRPr="0087485F" w:rsidRDefault="0062018A" w:rsidP="0062018A">
            <w:pPr>
              <w:spacing w:before="20" w:after="20"/>
              <w:ind w:left="-98" w:right="-108"/>
              <w:jc w:val="center"/>
              <w:rPr>
                <w:rFonts w:cstheme="minorHAnsi"/>
                <w:sz w:val="20"/>
                <w:szCs w:val="20"/>
              </w:rPr>
            </w:pPr>
            <w:r w:rsidRPr="0087485F">
              <w:rPr>
                <w:rFonts w:cstheme="minorHAnsi"/>
                <w:sz w:val="20"/>
                <w:szCs w:val="20"/>
              </w:rPr>
              <w:t>%</w:t>
            </w:r>
          </w:p>
        </w:tc>
        <w:tc>
          <w:tcPr>
            <w:tcW w:w="992" w:type="dxa"/>
            <w:tcBorders>
              <w:top w:val="single" w:sz="4" w:space="0" w:color="auto"/>
              <w:bottom w:val="single" w:sz="4" w:space="0" w:color="auto"/>
            </w:tcBorders>
            <w:shd w:val="clear" w:color="auto" w:fill="auto"/>
            <w:vAlign w:val="bottom"/>
          </w:tcPr>
          <w:p w:rsidR="0062018A" w:rsidRPr="0087485F" w:rsidRDefault="0062018A" w:rsidP="00A51DF4">
            <w:pPr>
              <w:spacing w:before="20" w:after="20"/>
              <w:jc w:val="center"/>
              <w:rPr>
                <w:rFonts w:cstheme="minorHAnsi"/>
                <w:sz w:val="20"/>
                <w:szCs w:val="20"/>
              </w:rPr>
            </w:pPr>
            <w:r>
              <w:rPr>
                <w:rFonts w:cstheme="minorHAnsi"/>
                <w:sz w:val="20"/>
                <w:szCs w:val="20"/>
              </w:rPr>
              <w:t>Total</w:t>
            </w:r>
            <w:r w:rsidR="00A51DF4">
              <w:rPr>
                <w:rFonts w:cstheme="minorHAnsi"/>
                <w:sz w:val="20"/>
                <w:szCs w:val="20"/>
              </w:rPr>
              <w:t xml:space="preserve"> Cases</w:t>
            </w:r>
          </w:p>
        </w:tc>
        <w:tc>
          <w:tcPr>
            <w:tcW w:w="1134" w:type="dxa"/>
            <w:tcBorders>
              <w:top w:val="single" w:sz="4" w:space="0" w:color="auto"/>
              <w:bottom w:val="single" w:sz="4" w:space="0" w:color="auto"/>
            </w:tcBorders>
            <w:shd w:val="clear" w:color="auto" w:fill="auto"/>
            <w:vAlign w:val="bottom"/>
          </w:tcPr>
          <w:p w:rsidR="00884536" w:rsidRDefault="0062018A" w:rsidP="000C16C6">
            <w:pPr>
              <w:spacing w:before="20" w:after="20"/>
              <w:jc w:val="center"/>
              <w:rPr>
                <w:rFonts w:cstheme="minorHAnsi"/>
                <w:sz w:val="20"/>
                <w:szCs w:val="20"/>
              </w:rPr>
            </w:pPr>
            <w:r w:rsidRPr="0087485F">
              <w:rPr>
                <w:rFonts w:cstheme="minorHAnsi"/>
                <w:sz w:val="20"/>
                <w:szCs w:val="20"/>
              </w:rPr>
              <w:t>Total</w:t>
            </w:r>
          </w:p>
          <w:p w:rsidR="0062018A" w:rsidRPr="0087485F" w:rsidRDefault="0062018A" w:rsidP="000C16C6">
            <w:pPr>
              <w:spacing w:before="20" w:after="20"/>
              <w:jc w:val="center"/>
              <w:rPr>
                <w:rFonts w:cstheme="minorHAnsi"/>
                <w:sz w:val="20"/>
                <w:szCs w:val="20"/>
              </w:rPr>
            </w:pPr>
            <w:r w:rsidRPr="0087485F">
              <w:rPr>
                <w:rFonts w:cstheme="minorHAnsi"/>
                <w:sz w:val="20"/>
                <w:szCs w:val="20"/>
              </w:rPr>
              <w:t>%</w:t>
            </w:r>
          </w:p>
        </w:tc>
      </w:tr>
      <w:tr w:rsidR="00D907AF" w:rsidRPr="0087485F" w:rsidTr="006F44DA">
        <w:tc>
          <w:tcPr>
            <w:tcW w:w="1526"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Work</w:t>
            </w:r>
          </w:p>
        </w:tc>
        <w:tc>
          <w:tcPr>
            <w:tcW w:w="992" w:type="dxa"/>
            <w:shd w:val="clear" w:color="auto" w:fill="auto"/>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47</w:t>
            </w:r>
          </w:p>
        </w:tc>
        <w:tc>
          <w:tcPr>
            <w:tcW w:w="1276" w:type="dxa"/>
            <w:shd w:val="clear" w:color="auto" w:fill="auto"/>
            <w:vAlign w:val="center"/>
          </w:tcPr>
          <w:p w:rsidR="00D907AF" w:rsidRPr="0087485F" w:rsidRDefault="00D907AF" w:rsidP="00AA3C18">
            <w:pPr>
              <w:spacing w:before="20" w:after="20"/>
              <w:ind w:right="284"/>
              <w:jc w:val="right"/>
              <w:rPr>
                <w:rFonts w:cstheme="minorHAnsi"/>
                <w:color w:val="000000"/>
                <w:sz w:val="20"/>
                <w:szCs w:val="20"/>
              </w:rPr>
            </w:pPr>
            <w:r w:rsidRPr="0087485F">
              <w:rPr>
                <w:rFonts w:cstheme="minorHAnsi"/>
                <w:color w:val="000000"/>
                <w:sz w:val="20"/>
                <w:szCs w:val="20"/>
              </w:rPr>
              <w:t>24.7</w:t>
            </w:r>
          </w:p>
        </w:tc>
        <w:tc>
          <w:tcPr>
            <w:tcW w:w="1134" w:type="dxa"/>
            <w:shd w:val="clear" w:color="auto" w:fill="auto"/>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26</w:t>
            </w:r>
          </w:p>
        </w:tc>
        <w:tc>
          <w:tcPr>
            <w:tcW w:w="1276" w:type="dxa"/>
            <w:shd w:val="clear" w:color="auto" w:fill="auto"/>
            <w:vAlign w:val="center"/>
          </w:tcPr>
          <w:p w:rsidR="00D907AF" w:rsidRPr="0087485F" w:rsidRDefault="00D907AF" w:rsidP="00AA3C18">
            <w:pPr>
              <w:spacing w:before="20" w:after="20"/>
              <w:ind w:right="284"/>
              <w:jc w:val="right"/>
              <w:rPr>
                <w:rFonts w:cstheme="minorHAnsi"/>
                <w:color w:val="000000"/>
                <w:sz w:val="20"/>
                <w:szCs w:val="20"/>
              </w:rPr>
            </w:pPr>
            <w:r w:rsidRPr="0087485F">
              <w:rPr>
                <w:rFonts w:cstheme="minorHAnsi"/>
                <w:color w:val="000000"/>
                <w:sz w:val="20"/>
                <w:szCs w:val="20"/>
              </w:rPr>
              <w:t>29.6</w:t>
            </w:r>
          </w:p>
        </w:tc>
        <w:tc>
          <w:tcPr>
            <w:tcW w:w="992" w:type="dxa"/>
            <w:shd w:val="clear" w:color="auto" w:fill="auto"/>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73</w:t>
            </w:r>
          </w:p>
        </w:tc>
        <w:tc>
          <w:tcPr>
            <w:tcW w:w="1134" w:type="dxa"/>
            <w:shd w:val="clear" w:color="auto" w:fill="auto"/>
            <w:vAlign w:val="center"/>
          </w:tcPr>
          <w:p w:rsidR="00D907AF" w:rsidRPr="0087485F" w:rsidRDefault="00D907AF" w:rsidP="00AA3C18">
            <w:pPr>
              <w:spacing w:before="20" w:after="20"/>
              <w:ind w:right="284"/>
              <w:jc w:val="right"/>
              <w:rPr>
                <w:rFonts w:cstheme="minorHAnsi"/>
                <w:color w:val="000000"/>
                <w:sz w:val="20"/>
                <w:szCs w:val="20"/>
              </w:rPr>
            </w:pPr>
            <w:r w:rsidRPr="0087485F">
              <w:rPr>
                <w:rFonts w:cstheme="minorHAnsi"/>
                <w:color w:val="000000"/>
                <w:sz w:val="20"/>
                <w:szCs w:val="20"/>
              </w:rPr>
              <w:t>26.3</w:t>
            </w:r>
          </w:p>
        </w:tc>
      </w:tr>
      <w:tr w:rsidR="00D907AF" w:rsidRPr="0087485F" w:rsidTr="006F44DA">
        <w:tc>
          <w:tcPr>
            <w:tcW w:w="1526"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Training</w:t>
            </w:r>
          </w:p>
        </w:tc>
        <w:tc>
          <w:tcPr>
            <w:tcW w:w="992" w:type="dxa"/>
            <w:shd w:val="clear" w:color="auto" w:fill="auto"/>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23</w:t>
            </w:r>
          </w:p>
        </w:tc>
        <w:tc>
          <w:tcPr>
            <w:tcW w:w="1276" w:type="dxa"/>
            <w:shd w:val="clear" w:color="auto" w:fill="auto"/>
            <w:vAlign w:val="center"/>
          </w:tcPr>
          <w:p w:rsidR="00D907AF" w:rsidRPr="0087485F" w:rsidRDefault="00D907AF" w:rsidP="00AA3C18">
            <w:pPr>
              <w:spacing w:before="20" w:after="20"/>
              <w:ind w:right="284"/>
              <w:jc w:val="right"/>
              <w:rPr>
                <w:rFonts w:cstheme="minorHAnsi"/>
                <w:color w:val="000000"/>
                <w:sz w:val="20"/>
                <w:szCs w:val="20"/>
              </w:rPr>
            </w:pPr>
            <w:r w:rsidRPr="0087485F">
              <w:rPr>
                <w:rFonts w:cstheme="minorHAnsi"/>
                <w:color w:val="000000"/>
                <w:sz w:val="20"/>
                <w:szCs w:val="20"/>
              </w:rPr>
              <w:t>12.1</w:t>
            </w:r>
          </w:p>
        </w:tc>
        <w:tc>
          <w:tcPr>
            <w:tcW w:w="1134" w:type="dxa"/>
            <w:shd w:val="clear" w:color="auto" w:fill="auto"/>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18</w:t>
            </w:r>
          </w:p>
        </w:tc>
        <w:tc>
          <w:tcPr>
            <w:tcW w:w="1276" w:type="dxa"/>
            <w:shd w:val="clear" w:color="auto" w:fill="auto"/>
            <w:vAlign w:val="center"/>
          </w:tcPr>
          <w:p w:rsidR="00D907AF" w:rsidRPr="0087485F" w:rsidRDefault="00D907AF" w:rsidP="00AA3C18">
            <w:pPr>
              <w:spacing w:before="20" w:after="20"/>
              <w:ind w:right="284"/>
              <w:jc w:val="right"/>
              <w:rPr>
                <w:rFonts w:cstheme="minorHAnsi"/>
                <w:color w:val="000000"/>
                <w:sz w:val="20"/>
                <w:szCs w:val="20"/>
              </w:rPr>
            </w:pPr>
            <w:r w:rsidRPr="0087485F">
              <w:rPr>
                <w:rFonts w:cstheme="minorHAnsi"/>
                <w:color w:val="000000"/>
                <w:sz w:val="20"/>
                <w:szCs w:val="20"/>
              </w:rPr>
              <w:t>20.5</w:t>
            </w:r>
          </w:p>
        </w:tc>
        <w:tc>
          <w:tcPr>
            <w:tcW w:w="992" w:type="dxa"/>
            <w:shd w:val="clear" w:color="auto" w:fill="auto"/>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41</w:t>
            </w:r>
          </w:p>
        </w:tc>
        <w:tc>
          <w:tcPr>
            <w:tcW w:w="1134" w:type="dxa"/>
            <w:shd w:val="clear" w:color="auto" w:fill="auto"/>
            <w:vAlign w:val="center"/>
          </w:tcPr>
          <w:p w:rsidR="00D907AF" w:rsidRPr="0087485F" w:rsidRDefault="00D907AF" w:rsidP="00AA3C18">
            <w:pPr>
              <w:spacing w:before="20" w:after="20"/>
              <w:ind w:right="284"/>
              <w:jc w:val="right"/>
              <w:rPr>
                <w:rFonts w:cstheme="minorHAnsi"/>
                <w:color w:val="000000"/>
                <w:sz w:val="20"/>
                <w:szCs w:val="20"/>
              </w:rPr>
            </w:pPr>
            <w:r w:rsidRPr="0087485F">
              <w:rPr>
                <w:rFonts w:cstheme="minorHAnsi"/>
                <w:color w:val="000000"/>
                <w:sz w:val="20"/>
                <w:szCs w:val="20"/>
              </w:rPr>
              <w:t>14.7</w:t>
            </w:r>
          </w:p>
        </w:tc>
      </w:tr>
      <w:tr w:rsidR="00D907AF" w:rsidRPr="0087485F" w:rsidTr="006F44DA">
        <w:tc>
          <w:tcPr>
            <w:tcW w:w="1526"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University</w:t>
            </w:r>
          </w:p>
        </w:tc>
        <w:tc>
          <w:tcPr>
            <w:tcW w:w="992" w:type="dxa"/>
            <w:shd w:val="clear" w:color="auto" w:fill="auto"/>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31</w:t>
            </w:r>
          </w:p>
        </w:tc>
        <w:tc>
          <w:tcPr>
            <w:tcW w:w="1276" w:type="dxa"/>
            <w:shd w:val="clear" w:color="auto" w:fill="auto"/>
            <w:vAlign w:val="center"/>
          </w:tcPr>
          <w:p w:rsidR="00D907AF" w:rsidRPr="0087485F" w:rsidRDefault="00D907AF" w:rsidP="00AA3C18">
            <w:pPr>
              <w:spacing w:before="20" w:after="20"/>
              <w:ind w:right="284"/>
              <w:jc w:val="right"/>
              <w:rPr>
                <w:rFonts w:cstheme="minorHAnsi"/>
                <w:color w:val="000000"/>
                <w:sz w:val="20"/>
                <w:szCs w:val="20"/>
              </w:rPr>
            </w:pPr>
            <w:r w:rsidRPr="0087485F">
              <w:rPr>
                <w:rFonts w:cstheme="minorHAnsi"/>
                <w:color w:val="000000"/>
                <w:sz w:val="20"/>
                <w:szCs w:val="20"/>
              </w:rPr>
              <w:t>16.3</w:t>
            </w:r>
          </w:p>
        </w:tc>
        <w:tc>
          <w:tcPr>
            <w:tcW w:w="1134" w:type="dxa"/>
            <w:shd w:val="clear" w:color="auto" w:fill="auto"/>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13</w:t>
            </w:r>
          </w:p>
        </w:tc>
        <w:tc>
          <w:tcPr>
            <w:tcW w:w="1276" w:type="dxa"/>
            <w:shd w:val="clear" w:color="auto" w:fill="auto"/>
            <w:vAlign w:val="center"/>
          </w:tcPr>
          <w:p w:rsidR="00D907AF" w:rsidRPr="0087485F" w:rsidRDefault="00D907AF" w:rsidP="00AA3C18">
            <w:pPr>
              <w:spacing w:before="20" w:after="20"/>
              <w:ind w:right="284"/>
              <w:jc w:val="right"/>
              <w:rPr>
                <w:rFonts w:cstheme="minorHAnsi"/>
                <w:color w:val="000000"/>
                <w:sz w:val="20"/>
                <w:szCs w:val="20"/>
              </w:rPr>
            </w:pPr>
            <w:r w:rsidRPr="0087485F">
              <w:rPr>
                <w:rFonts w:cstheme="minorHAnsi"/>
                <w:color w:val="000000"/>
                <w:sz w:val="20"/>
                <w:szCs w:val="20"/>
              </w:rPr>
              <w:t>14.8</w:t>
            </w:r>
          </w:p>
        </w:tc>
        <w:tc>
          <w:tcPr>
            <w:tcW w:w="992" w:type="dxa"/>
            <w:shd w:val="clear" w:color="auto" w:fill="auto"/>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44</w:t>
            </w:r>
          </w:p>
        </w:tc>
        <w:tc>
          <w:tcPr>
            <w:tcW w:w="1134" w:type="dxa"/>
            <w:shd w:val="clear" w:color="auto" w:fill="auto"/>
            <w:vAlign w:val="center"/>
          </w:tcPr>
          <w:p w:rsidR="00D907AF" w:rsidRPr="0087485F" w:rsidRDefault="00D907AF" w:rsidP="00AA3C18">
            <w:pPr>
              <w:spacing w:before="20" w:after="20"/>
              <w:ind w:right="284"/>
              <w:jc w:val="right"/>
              <w:rPr>
                <w:rFonts w:cstheme="minorHAnsi"/>
                <w:color w:val="000000"/>
                <w:sz w:val="20"/>
                <w:szCs w:val="20"/>
              </w:rPr>
            </w:pPr>
            <w:r w:rsidRPr="0087485F">
              <w:rPr>
                <w:rFonts w:cstheme="minorHAnsi"/>
                <w:color w:val="000000"/>
                <w:sz w:val="20"/>
                <w:szCs w:val="20"/>
              </w:rPr>
              <w:t>15.8</w:t>
            </w:r>
          </w:p>
        </w:tc>
      </w:tr>
      <w:tr w:rsidR="00D907AF" w:rsidRPr="0087485F" w:rsidTr="006F44DA">
        <w:tc>
          <w:tcPr>
            <w:tcW w:w="1526"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Something else</w:t>
            </w:r>
          </w:p>
        </w:tc>
        <w:tc>
          <w:tcPr>
            <w:tcW w:w="992" w:type="dxa"/>
            <w:shd w:val="clear" w:color="auto" w:fill="auto"/>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18</w:t>
            </w:r>
          </w:p>
        </w:tc>
        <w:tc>
          <w:tcPr>
            <w:tcW w:w="1276" w:type="dxa"/>
            <w:shd w:val="clear" w:color="auto" w:fill="auto"/>
            <w:vAlign w:val="center"/>
          </w:tcPr>
          <w:p w:rsidR="00D907AF" w:rsidRPr="0087485F" w:rsidRDefault="00D907AF" w:rsidP="00AA3C18">
            <w:pPr>
              <w:spacing w:before="20" w:after="20"/>
              <w:ind w:right="284"/>
              <w:jc w:val="right"/>
              <w:rPr>
                <w:rFonts w:cstheme="minorHAnsi"/>
                <w:color w:val="000000"/>
                <w:sz w:val="20"/>
                <w:szCs w:val="20"/>
              </w:rPr>
            </w:pPr>
            <w:r w:rsidRPr="0087485F">
              <w:rPr>
                <w:rFonts w:cstheme="minorHAnsi"/>
                <w:color w:val="000000"/>
                <w:sz w:val="20"/>
                <w:szCs w:val="20"/>
              </w:rPr>
              <w:t>9.5</w:t>
            </w:r>
          </w:p>
        </w:tc>
        <w:tc>
          <w:tcPr>
            <w:tcW w:w="1134" w:type="dxa"/>
            <w:shd w:val="clear" w:color="auto" w:fill="auto"/>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9</w:t>
            </w:r>
          </w:p>
        </w:tc>
        <w:tc>
          <w:tcPr>
            <w:tcW w:w="1276" w:type="dxa"/>
            <w:shd w:val="clear" w:color="auto" w:fill="auto"/>
            <w:vAlign w:val="center"/>
          </w:tcPr>
          <w:p w:rsidR="00D907AF" w:rsidRPr="0087485F" w:rsidRDefault="00D907AF" w:rsidP="00AA3C18">
            <w:pPr>
              <w:spacing w:before="20" w:after="20"/>
              <w:ind w:right="284"/>
              <w:jc w:val="right"/>
              <w:rPr>
                <w:rFonts w:cstheme="minorHAnsi"/>
                <w:color w:val="000000"/>
                <w:sz w:val="20"/>
                <w:szCs w:val="20"/>
              </w:rPr>
            </w:pPr>
            <w:r w:rsidRPr="0087485F">
              <w:rPr>
                <w:rFonts w:cstheme="minorHAnsi"/>
                <w:color w:val="000000"/>
                <w:sz w:val="20"/>
                <w:szCs w:val="20"/>
              </w:rPr>
              <w:t>10.2</w:t>
            </w:r>
          </w:p>
        </w:tc>
        <w:tc>
          <w:tcPr>
            <w:tcW w:w="992" w:type="dxa"/>
            <w:shd w:val="clear" w:color="auto" w:fill="auto"/>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27</w:t>
            </w:r>
          </w:p>
        </w:tc>
        <w:tc>
          <w:tcPr>
            <w:tcW w:w="1134" w:type="dxa"/>
            <w:shd w:val="clear" w:color="auto" w:fill="auto"/>
            <w:vAlign w:val="center"/>
          </w:tcPr>
          <w:p w:rsidR="00D907AF" w:rsidRPr="0087485F" w:rsidRDefault="00D907AF" w:rsidP="00AA3C18">
            <w:pPr>
              <w:spacing w:before="20" w:after="20"/>
              <w:ind w:right="284"/>
              <w:jc w:val="right"/>
              <w:rPr>
                <w:rFonts w:cstheme="minorHAnsi"/>
                <w:color w:val="000000"/>
                <w:sz w:val="20"/>
                <w:szCs w:val="20"/>
              </w:rPr>
            </w:pPr>
            <w:r w:rsidRPr="0087485F">
              <w:rPr>
                <w:rFonts w:cstheme="minorHAnsi"/>
                <w:color w:val="000000"/>
                <w:sz w:val="20"/>
                <w:szCs w:val="20"/>
              </w:rPr>
              <w:t>9.7</w:t>
            </w:r>
          </w:p>
        </w:tc>
      </w:tr>
      <w:tr w:rsidR="00D907AF" w:rsidRPr="0087485F" w:rsidTr="006F44DA">
        <w:tc>
          <w:tcPr>
            <w:tcW w:w="1526"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Nothing</w:t>
            </w:r>
          </w:p>
        </w:tc>
        <w:tc>
          <w:tcPr>
            <w:tcW w:w="992" w:type="dxa"/>
            <w:shd w:val="clear" w:color="auto" w:fill="auto"/>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2</w:t>
            </w:r>
          </w:p>
        </w:tc>
        <w:tc>
          <w:tcPr>
            <w:tcW w:w="1276" w:type="dxa"/>
            <w:shd w:val="clear" w:color="auto" w:fill="auto"/>
            <w:vAlign w:val="center"/>
          </w:tcPr>
          <w:p w:rsidR="00D907AF" w:rsidRPr="0087485F" w:rsidRDefault="00D907AF" w:rsidP="00AA3C18">
            <w:pPr>
              <w:spacing w:before="20" w:after="20"/>
              <w:ind w:right="284"/>
              <w:jc w:val="right"/>
              <w:rPr>
                <w:rFonts w:cstheme="minorHAnsi"/>
                <w:color w:val="000000"/>
                <w:sz w:val="20"/>
                <w:szCs w:val="20"/>
              </w:rPr>
            </w:pPr>
            <w:r w:rsidRPr="0087485F">
              <w:rPr>
                <w:rFonts w:cstheme="minorHAnsi"/>
                <w:color w:val="000000"/>
                <w:sz w:val="20"/>
                <w:szCs w:val="20"/>
              </w:rPr>
              <w:t>1.1</w:t>
            </w:r>
          </w:p>
        </w:tc>
        <w:tc>
          <w:tcPr>
            <w:tcW w:w="1134" w:type="dxa"/>
            <w:shd w:val="clear" w:color="auto" w:fill="auto"/>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w:t>
            </w:r>
          </w:p>
        </w:tc>
        <w:tc>
          <w:tcPr>
            <w:tcW w:w="1276" w:type="dxa"/>
            <w:shd w:val="clear" w:color="auto" w:fill="auto"/>
            <w:vAlign w:val="center"/>
          </w:tcPr>
          <w:p w:rsidR="00D907AF" w:rsidRPr="0087485F" w:rsidRDefault="00D907AF" w:rsidP="00AA3C18">
            <w:pPr>
              <w:spacing w:before="20" w:after="20"/>
              <w:ind w:right="284"/>
              <w:jc w:val="right"/>
              <w:rPr>
                <w:rFonts w:cstheme="minorHAnsi"/>
                <w:color w:val="000000"/>
                <w:sz w:val="20"/>
                <w:szCs w:val="20"/>
              </w:rPr>
            </w:pPr>
            <w:r w:rsidRPr="0087485F">
              <w:rPr>
                <w:rFonts w:cstheme="minorHAnsi"/>
                <w:color w:val="000000"/>
                <w:sz w:val="20"/>
                <w:szCs w:val="20"/>
              </w:rPr>
              <w:t>-</w:t>
            </w:r>
          </w:p>
        </w:tc>
        <w:tc>
          <w:tcPr>
            <w:tcW w:w="992" w:type="dxa"/>
            <w:shd w:val="clear" w:color="auto" w:fill="auto"/>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2</w:t>
            </w:r>
          </w:p>
        </w:tc>
        <w:tc>
          <w:tcPr>
            <w:tcW w:w="1134" w:type="dxa"/>
            <w:shd w:val="clear" w:color="auto" w:fill="auto"/>
            <w:vAlign w:val="center"/>
          </w:tcPr>
          <w:p w:rsidR="00D907AF" w:rsidRPr="0087485F" w:rsidRDefault="00D907AF" w:rsidP="00AA3C18">
            <w:pPr>
              <w:spacing w:before="20" w:after="20"/>
              <w:ind w:right="284"/>
              <w:jc w:val="right"/>
              <w:rPr>
                <w:rFonts w:cstheme="minorHAnsi"/>
                <w:color w:val="000000"/>
                <w:sz w:val="20"/>
                <w:szCs w:val="20"/>
              </w:rPr>
            </w:pPr>
            <w:r w:rsidRPr="0087485F">
              <w:rPr>
                <w:rFonts w:cstheme="minorHAnsi"/>
                <w:color w:val="000000"/>
                <w:sz w:val="20"/>
                <w:szCs w:val="20"/>
              </w:rPr>
              <w:t>0.7</w:t>
            </w:r>
          </w:p>
        </w:tc>
      </w:tr>
      <w:tr w:rsidR="00D907AF" w:rsidRPr="0087485F" w:rsidTr="006F44DA">
        <w:tc>
          <w:tcPr>
            <w:tcW w:w="1526" w:type="dxa"/>
          </w:tcPr>
          <w:p w:rsidR="00D907AF" w:rsidRPr="0087485F" w:rsidRDefault="00D907AF" w:rsidP="00D907AF">
            <w:pPr>
              <w:spacing w:before="20" w:after="20"/>
              <w:rPr>
                <w:rFonts w:cstheme="minorHAnsi"/>
                <w:sz w:val="20"/>
                <w:szCs w:val="20"/>
              </w:rPr>
            </w:pPr>
            <w:r w:rsidRPr="0087485F">
              <w:rPr>
                <w:rFonts w:cstheme="minorHAnsi"/>
                <w:sz w:val="20"/>
                <w:szCs w:val="20"/>
              </w:rPr>
              <w:t>Don’t know</w:t>
            </w:r>
          </w:p>
        </w:tc>
        <w:tc>
          <w:tcPr>
            <w:tcW w:w="992" w:type="dxa"/>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56</w:t>
            </w:r>
          </w:p>
        </w:tc>
        <w:tc>
          <w:tcPr>
            <w:tcW w:w="1276" w:type="dxa"/>
          </w:tcPr>
          <w:p w:rsidR="00D907AF" w:rsidRPr="0087485F" w:rsidRDefault="00D907AF" w:rsidP="00AA3C18">
            <w:pPr>
              <w:spacing w:before="20" w:after="20"/>
              <w:ind w:right="284"/>
              <w:jc w:val="right"/>
              <w:rPr>
                <w:rFonts w:cstheme="minorHAnsi"/>
                <w:color w:val="000000"/>
                <w:sz w:val="20"/>
                <w:szCs w:val="20"/>
              </w:rPr>
            </w:pPr>
            <w:r w:rsidRPr="0087485F">
              <w:rPr>
                <w:rFonts w:cstheme="minorHAnsi"/>
                <w:color w:val="000000"/>
                <w:sz w:val="20"/>
                <w:szCs w:val="20"/>
              </w:rPr>
              <w:t>29.5</w:t>
            </w:r>
          </w:p>
        </w:tc>
        <w:tc>
          <w:tcPr>
            <w:tcW w:w="1134" w:type="dxa"/>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21</w:t>
            </w:r>
          </w:p>
        </w:tc>
        <w:tc>
          <w:tcPr>
            <w:tcW w:w="1276" w:type="dxa"/>
          </w:tcPr>
          <w:p w:rsidR="00D907AF" w:rsidRPr="0087485F" w:rsidRDefault="00D907AF" w:rsidP="00AA3C18">
            <w:pPr>
              <w:spacing w:before="20" w:after="20"/>
              <w:ind w:right="284"/>
              <w:jc w:val="right"/>
              <w:rPr>
                <w:rFonts w:cstheme="minorHAnsi"/>
                <w:color w:val="000000"/>
                <w:sz w:val="20"/>
                <w:szCs w:val="20"/>
              </w:rPr>
            </w:pPr>
            <w:r w:rsidRPr="0087485F">
              <w:rPr>
                <w:rFonts w:cstheme="minorHAnsi"/>
                <w:color w:val="000000"/>
                <w:sz w:val="20"/>
                <w:szCs w:val="20"/>
              </w:rPr>
              <w:t>23.9</w:t>
            </w:r>
          </w:p>
        </w:tc>
        <w:tc>
          <w:tcPr>
            <w:tcW w:w="992" w:type="dxa"/>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77</w:t>
            </w:r>
          </w:p>
        </w:tc>
        <w:tc>
          <w:tcPr>
            <w:tcW w:w="1134" w:type="dxa"/>
          </w:tcPr>
          <w:p w:rsidR="00D907AF" w:rsidRPr="0087485F" w:rsidRDefault="00D907AF" w:rsidP="00AA3C18">
            <w:pPr>
              <w:spacing w:before="20" w:after="20"/>
              <w:ind w:right="284"/>
              <w:jc w:val="right"/>
              <w:rPr>
                <w:rFonts w:cstheme="minorHAnsi"/>
                <w:color w:val="000000"/>
                <w:sz w:val="20"/>
                <w:szCs w:val="20"/>
              </w:rPr>
            </w:pPr>
            <w:r w:rsidRPr="0087485F">
              <w:rPr>
                <w:rFonts w:cstheme="minorHAnsi"/>
                <w:color w:val="000000"/>
                <w:sz w:val="20"/>
                <w:szCs w:val="20"/>
              </w:rPr>
              <w:t>27.7</w:t>
            </w:r>
          </w:p>
        </w:tc>
      </w:tr>
      <w:tr w:rsidR="00D907AF" w:rsidRPr="0087485F" w:rsidTr="006F44DA">
        <w:tc>
          <w:tcPr>
            <w:tcW w:w="1526" w:type="dxa"/>
            <w:tcBorders>
              <w:bottom w:val="single" w:sz="4" w:space="0" w:color="auto"/>
            </w:tcBorders>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 xml:space="preserve">Missing </w:t>
            </w:r>
          </w:p>
        </w:tc>
        <w:tc>
          <w:tcPr>
            <w:tcW w:w="992" w:type="dxa"/>
            <w:tcBorders>
              <w:bottom w:val="single" w:sz="4" w:space="0" w:color="auto"/>
            </w:tcBorders>
            <w:shd w:val="clear" w:color="auto" w:fill="auto"/>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13</w:t>
            </w:r>
          </w:p>
        </w:tc>
        <w:tc>
          <w:tcPr>
            <w:tcW w:w="1276" w:type="dxa"/>
            <w:tcBorders>
              <w:bottom w:val="single" w:sz="4" w:space="0" w:color="auto"/>
            </w:tcBorders>
            <w:shd w:val="clear" w:color="auto" w:fill="auto"/>
            <w:vAlign w:val="center"/>
          </w:tcPr>
          <w:p w:rsidR="00D907AF" w:rsidRPr="0087485F" w:rsidRDefault="00D907AF" w:rsidP="00AA3C18">
            <w:pPr>
              <w:spacing w:before="20" w:after="20"/>
              <w:ind w:right="284"/>
              <w:jc w:val="right"/>
              <w:rPr>
                <w:rFonts w:cstheme="minorHAnsi"/>
                <w:color w:val="000000"/>
                <w:sz w:val="20"/>
                <w:szCs w:val="20"/>
              </w:rPr>
            </w:pPr>
            <w:r w:rsidRPr="0087485F">
              <w:rPr>
                <w:rFonts w:cstheme="minorHAnsi"/>
                <w:color w:val="000000"/>
                <w:sz w:val="20"/>
                <w:szCs w:val="20"/>
              </w:rPr>
              <w:t>6.8</w:t>
            </w:r>
          </w:p>
        </w:tc>
        <w:tc>
          <w:tcPr>
            <w:tcW w:w="1134" w:type="dxa"/>
            <w:tcBorders>
              <w:bottom w:val="single" w:sz="4" w:space="0" w:color="auto"/>
            </w:tcBorders>
            <w:shd w:val="clear" w:color="auto" w:fill="auto"/>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1</w:t>
            </w:r>
          </w:p>
        </w:tc>
        <w:tc>
          <w:tcPr>
            <w:tcW w:w="1276" w:type="dxa"/>
            <w:tcBorders>
              <w:bottom w:val="single" w:sz="4" w:space="0" w:color="auto"/>
            </w:tcBorders>
            <w:shd w:val="clear" w:color="auto" w:fill="auto"/>
            <w:vAlign w:val="center"/>
          </w:tcPr>
          <w:p w:rsidR="00D907AF" w:rsidRPr="0087485F" w:rsidRDefault="00D907AF" w:rsidP="00AA3C18">
            <w:pPr>
              <w:spacing w:before="20" w:after="20"/>
              <w:ind w:right="284"/>
              <w:jc w:val="right"/>
              <w:rPr>
                <w:rFonts w:cstheme="minorHAnsi"/>
                <w:color w:val="000000"/>
                <w:sz w:val="20"/>
                <w:szCs w:val="20"/>
              </w:rPr>
            </w:pPr>
            <w:r w:rsidRPr="0087485F">
              <w:rPr>
                <w:rFonts w:cstheme="minorHAnsi"/>
                <w:color w:val="000000"/>
                <w:sz w:val="20"/>
                <w:szCs w:val="20"/>
              </w:rPr>
              <w:t>1.1</w:t>
            </w:r>
          </w:p>
        </w:tc>
        <w:tc>
          <w:tcPr>
            <w:tcW w:w="992" w:type="dxa"/>
            <w:tcBorders>
              <w:bottom w:val="single" w:sz="4" w:space="0" w:color="auto"/>
            </w:tcBorders>
            <w:shd w:val="clear" w:color="auto" w:fill="auto"/>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14</w:t>
            </w:r>
          </w:p>
        </w:tc>
        <w:tc>
          <w:tcPr>
            <w:tcW w:w="1134" w:type="dxa"/>
            <w:tcBorders>
              <w:bottom w:val="single" w:sz="4" w:space="0" w:color="auto"/>
            </w:tcBorders>
            <w:shd w:val="clear" w:color="auto" w:fill="auto"/>
            <w:vAlign w:val="center"/>
          </w:tcPr>
          <w:p w:rsidR="00D907AF" w:rsidRPr="0087485F" w:rsidRDefault="00D907AF" w:rsidP="00AA3C18">
            <w:pPr>
              <w:spacing w:before="20" w:after="20"/>
              <w:ind w:right="284"/>
              <w:jc w:val="right"/>
              <w:rPr>
                <w:rFonts w:cstheme="minorHAnsi"/>
                <w:color w:val="000000"/>
                <w:sz w:val="20"/>
                <w:szCs w:val="20"/>
              </w:rPr>
            </w:pPr>
            <w:r w:rsidRPr="0087485F">
              <w:rPr>
                <w:rFonts w:cstheme="minorHAnsi"/>
                <w:color w:val="000000"/>
                <w:sz w:val="20"/>
                <w:szCs w:val="20"/>
              </w:rPr>
              <w:t>5.0</w:t>
            </w:r>
          </w:p>
        </w:tc>
      </w:tr>
      <w:tr w:rsidR="00D907AF" w:rsidRPr="0087485F" w:rsidTr="006F44DA">
        <w:tc>
          <w:tcPr>
            <w:tcW w:w="1526" w:type="dxa"/>
            <w:tcBorders>
              <w:top w:val="single" w:sz="4" w:space="0" w:color="auto"/>
              <w:bottom w:val="single" w:sz="4" w:space="0" w:color="auto"/>
            </w:tcBorders>
            <w:shd w:val="clear" w:color="auto" w:fill="auto"/>
          </w:tcPr>
          <w:p w:rsidR="00D907AF" w:rsidRPr="0087485F" w:rsidRDefault="00D907AF" w:rsidP="00D907AF">
            <w:pPr>
              <w:spacing w:before="20" w:after="20"/>
              <w:rPr>
                <w:rFonts w:cstheme="minorHAnsi"/>
                <w:b/>
                <w:sz w:val="20"/>
                <w:szCs w:val="20"/>
              </w:rPr>
            </w:pPr>
            <w:r w:rsidRPr="0087485F">
              <w:rPr>
                <w:rFonts w:cstheme="minorHAnsi"/>
                <w:b/>
                <w:sz w:val="20"/>
                <w:szCs w:val="20"/>
              </w:rPr>
              <w:t>Total</w:t>
            </w:r>
          </w:p>
        </w:tc>
        <w:tc>
          <w:tcPr>
            <w:tcW w:w="992" w:type="dxa"/>
            <w:tcBorders>
              <w:top w:val="single" w:sz="4" w:space="0" w:color="auto"/>
              <w:bottom w:val="single" w:sz="4" w:space="0" w:color="auto"/>
            </w:tcBorders>
            <w:shd w:val="clear" w:color="auto" w:fill="auto"/>
          </w:tcPr>
          <w:p w:rsidR="00D907AF" w:rsidRPr="00AA3C18" w:rsidRDefault="00D907AF" w:rsidP="00AA3C18">
            <w:pPr>
              <w:spacing w:before="20" w:after="20"/>
              <w:ind w:right="227"/>
              <w:jc w:val="right"/>
              <w:rPr>
                <w:rFonts w:cstheme="minorHAnsi"/>
                <w:b/>
                <w:color w:val="000000"/>
                <w:sz w:val="20"/>
                <w:szCs w:val="20"/>
              </w:rPr>
            </w:pPr>
            <w:r w:rsidRPr="00AA3C18">
              <w:rPr>
                <w:rFonts w:cstheme="minorHAnsi"/>
                <w:b/>
                <w:color w:val="000000"/>
                <w:sz w:val="20"/>
                <w:szCs w:val="20"/>
              </w:rPr>
              <w:t>190</w:t>
            </w:r>
          </w:p>
        </w:tc>
        <w:tc>
          <w:tcPr>
            <w:tcW w:w="1276" w:type="dxa"/>
            <w:tcBorders>
              <w:top w:val="single" w:sz="4" w:space="0" w:color="auto"/>
              <w:bottom w:val="single" w:sz="4" w:space="0" w:color="auto"/>
            </w:tcBorders>
            <w:shd w:val="clear" w:color="auto" w:fill="auto"/>
          </w:tcPr>
          <w:p w:rsidR="00D907AF" w:rsidRPr="00AA3C18" w:rsidRDefault="00D907AF" w:rsidP="00AA3C18">
            <w:pPr>
              <w:spacing w:before="20" w:after="20"/>
              <w:ind w:right="284"/>
              <w:jc w:val="right"/>
              <w:rPr>
                <w:rFonts w:cstheme="minorHAnsi"/>
                <w:b/>
                <w:color w:val="000000"/>
                <w:sz w:val="20"/>
                <w:szCs w:val="20"/>
              </w:rPr>
            </w:pPr>
            <w:r w:rsidRPr="00AA3C18">
              <w:rPr>
                <w:rFonts w:cstheme="minorHAnsi"/>
                <w:b/>
                <w:color w:val="000000"/>
                <w:sz w:val="20"/>
                <w:szCs w:val="20"/>
              </w:rPr>
              <w:t>100</w:t>
            </w:r>
          </w:p>
        </w:tc>
        <w:tc>
          <w:tcPr>
            <w:tcW w:w="1134" w:type="dxa"/>
            <w:tcBorders>
              <w:top w:val="single" w:sz="4" w:space="0" w:color="auto"/>
              <w:bottom w:val="single" w:sz="4" w:space="0" w:color="auto"/>
            </w:tcBorders>
            <w:shd w:val="clear" w:color="auto" w:fill="auto"/>
          </w:tcPr>
          <w:p w:rsidR="00D907AF" w:rsidRPr="00AA3C18" w:rsidRDefault="00D907AF" w:rsidP="00AA3C18">
            <w:pPr>
              <w:spacing w:before="20" w:after="20"/>
              <w:ind w:right="227"/>
              <w:jc w:val="right"/>
              <w:rPr>
                <w:rFonts w:cstheme="minorHAnsi"/>
                <w:b/>
                <w:color w:val="000000"/>
                <w:sz w:val="20"/>
                <w:szCs w:val="20"/>
              </w:rPr>
            </w:pPr>
            <w:r w:rsidRPr="00AA3C18">
              <w:rPr>
                <w:rFonts w:cstheme="minorHAnsi"/>
                <w:b/>
                <w:color w:val="000000"/>
                <w:sz w:val="20"/>
                <w:szCs w:val="20"/>
              </w:rPr>
              <w:t>88</w:t>
            </w:r>
          </w:p>
        </w:tc>
        <w:tc>
          <w:tcPr>
            <w:tcW w:w="1276" w:type="dxa"/>
            <w:tcBorders>
              <w:top w:val="single" w:sz="4" w:space="0" w:color="auto"/>
              <w:bottom w:val="single" w:sz="4" w:space="0" w:color="auto"/>
            </w:tcBorders>
            <w:shd w:val="clear" w:color="auto" w:fill="auto"/>
          </w:tcPr>
          <w:p w:rsidR="00D907AF" w:rsidRPr="00AA3C18" w:rsidRDefault="00D907AF" w:rsidP="00AA3C18">
            <w:pPr>
              <w:spacing w:before="20" w:after="20"/>
              <w:ind w:right="284"/>
              <w:jc w:val="right"/>
              <w:rPr>
                <w:rFonts w:cstheme="minorHAnsi"/>
                <w:b/>
                <w:color w:val="000000"/>
                <w:sz w:val="20"/>
                <w:szCs w:val="20"/>
              </w:rPr>
            </w:pPr>
            <w:r w:rsidRPr="00AA3C18">
              <w:rPr>
                <w:rFonts w:cstheme="minorHAnsi"/>
                <w:b/>
                <w:color w:val="000000"/>
                <w:sz w:val="20"/>
                <w:szCs w:val="20"/>
              </w:rPr>
              <w:t>100</w:t>
            </w:r>
          </w:p>
        </w:tc>
        <w:tc>
          <w:tcPr>
            <w:tcW w:w="992" w:type="dxa"/>
            <w:tcBorders>
              <w:top w:val="single" w:sz="4" w:space="0" w:color="auto"/>
              <w:bottom w:val="single" w:sz="4" w:space="0" w:color="auto"/>
            </w:tcBorders>
            <w:shd w:val="clear" w:color="auto" w:fill="auto"/>
          </w:tcPr>
          <w:p w:rsidR="00D907AF" w:rsidRPr="00AA3C18" w:rsidRDefault="00D907AF" w:rsidP="00AA3C18">
            <w:pPr>
              <w:spacing w:before="20" w:after="20"/>
              <w:ind w:right="227"/>
              <w:jc w:val="right"/>
              <w:rPr>
                <w:rFonts w:cstheme="minorHAnsi"/>
                <w:b/>
                <w:color w:val="000000"/>
                <w:sz w:val="20"/>
                <w:szCs w:val="20"/>
              </w:rPr>
            </w:pPr>
            <w:r w:rsidRPr="00AA3C18">
              <w:rPr>
                <w:rFonts w:cstheme="minorHAnsi"/>
                <w:b/>
                <w:color w:val="000000"/>
                <w:sz w:val="20"/>
                <w:szCs w:val="20"/>
              </w:rPr>
              <w:t>278</w:t>
            </w:r>
          </w:p>
        </w:tc>
        <w:tc>
          <w:tcPr>
            <w:tcW w:w="1134" w:type="dxa"/>
            <w:tcBorders>
              <w:top w:val="single" w:sz="4" w:space="0" w:color="auto"/>
              <w:bottom w:val="single" w:sz="4" w:space="0" w:color="auto"/>
            </w:tcBorders>
            <w:shd w:val="clear" w:color="auto" w:fill="auto"/>
          </w:tcPr>
          <w:p w:rsidR="00D907AF" w:rsidRPr="00AA3C18" w:rsidRDefault="00D907AF" w:rsidP="00AA3C18">
            <w:pPr>
              <w:spacing w:before="20" w:after="20"/>
              <w:ind w:right="284"/>
              <w:jc w:val="right"/>
              <w:rPr>
                <w:rFonts w:cstheme="minorHAnsi"/>
                <w:b/>
                <w:color w:val="000000"/>
                <w:sz w:val="20"/>
                <w:szCs w:val="20"/>
              </w:rPr>
            </w:pPr>
            <w:r w:rsidRPr="00AA3C18">
              <w:rPr>
                <w:rFonts w:cstheme="minorHAnsi"/>
                <w:b/>
                <w:color w:val="000000"/>
                <w:sz w:val="20"/>
                <w:szCs w:val="20"/>
              </w:rPr>
              <w:t>100</w:t>
            </w:r>
          </w:p>
        </w:tc>
      </w:tr>
    </w:tbl>
    <w:p w:rsidR="00D907AF" w:rsidRPr="00660446" w:rsidRDefault="00D907AF" w:rsidP="006C7BE7">
      <w:pPr>
        <w:pStyle w:val="NILSTabletext"/>
      </w:pPr>
      <w:r w:rsidRPr="00660446">
        <w:t xml:space="preserve">Note: </w:t>
      </w:r>
      <w:r>
        <w:t>t</w:t>
      </w:r>
      <w:r w:rsidRPr="00660446">
        <w:t>rial and comparison aged 8-15 in education.</w:t>
      </w:r>
    </w:p>
    <w:p w:rsidR="00C23932" w:rsidRDefault="00C23932">
      <w:r>
        <w:br w:type="page"/>
      </w:r>
    </w:p>
    <w:p w:rsidR="00D907AF" w:rsidRDefault="00D907AF" w:rsidP="00D907AF">
      <w:r>
        <w:lastRenderedPageBreak/>
        <w:t>While, understandably, many children reported not knowing what they want to do (27.7 per cent), about equal proportions want to do further study or training and 26.3 per cent reported that they wanted to work after finishing school. Especially the younger cohorts in this group will have several more years at school before they have to contemplate and make decisions about their future.</w:t>
      </w:r>
    </w:p>
    <w:p w:rsidR="00953EE5" w:rsidRDefault="00953EE5" w:rsidP="00D907AF"/>
    <w:p w:rsidR="00884536" w:rsidRDefault="00D907AF">
      <w:pPr>
        <w:rPr>
          <w:b/>
          <w:sz w:val="20"/>
          <w:lang w:val="x-none"/>
        </w:rPr>
      </w:pPr>
      <w:r>
        <w:t xml:space="preserve">The same questions are asked of the 185 adults in education, 136 using the standard and 49 using the Easy English questionnaire. Table 3.45 suggests a very similar picture as that for children, with just over half of the respondents stating that they liked studying and another 23.2 per cent that they liked studying ‘sometimes’. </w:t>
      </w:r>
      <w:bookmarkStart w:id="381" w:name="_Toc428280697"/>
    </w:p>
    <w:p w:rsidR="00D907AF" w:rsidRPr="00660522" w:rsidRDefault="00D907AF" w:rsidP="0044684E">
      <w:pPr>
        <w:pStyle w:val="NILSTableHeading"/>
        <w:rPr>
          <w:lang w:val="en-AU"/>
        </w:rPr>
      </w:pPr>
      <w:bookmarkStart w:id="382" w:name="_Toc449955307"/>
      <w:r w:rsidRPr="00233E8A">
        <w:t xml:space="preserve">Table </w:t>
      </w:r>
      <w:r>
        <w:t>3.45</w:t>
      </w:r>
      <w:r w:rsidRPr="00233E8A">
        <w:t xml:space="preserve">: </w:t>
      </w:r>
      <w:r>
        <w:rPr>
          <w:rFonts w:hint="eastAsia"/>
        </w:rPr>
        <w:t>Does he/she like studying</w:t>
      </w:r>
      <w:r>
        <w:t>?</w:t>
      </w:r>
      <w:bookmarkEnd w:id="381"/>
      <w:r w:rsidR="00660522">
        <w:rPr>
          <w:lang w:val="en-AU"/>
        </w:rPr>
        <w:t xml:space="preserve"> (Adults 16+)</w:t>
      </w:r>
      <w:bookmarkEnd w:id="382"/>
    </w:p>
    <w:tbl>
      <w:tblPr>
        <w:tblStyle w:val="TableGrid"/>
        <w:tblW w:w="0" w:type="auto"/>
        <w:tblLook w:val="04A0" w:firstRow="1" w:lastRow="0" w:firstColumn="1" w:lastColumn="0" w:noHBand="0" w:noVBand="1"/>
        <w:tblCaption w:val="Table 3.45 Does he/she like studying?"/>
      </w:tblPr>
      <w:tblGrid>
        <w:gridCol w:w="1526"/>
        <w:gridCol w:w="992"/>
        <w:gridCol w:w="1276"/>
        <w:gridCol w:w="1134"/>
        <w:gridCol w:w="1276"/>
        <w:gridCol w:w="992"/>
        <w:gridCol w:w="1134"/>
      </w:tblGrid>
      <w:tr w:rsidR="005D023C" w:rsidRPr="0087485F" w:rsidTr="00A51DF4">
        <w:trPr>
          <w:cantSplit/>
          <w:tblHeader/>
        </w:trPr>
        <w:tc>
          <w:tcPr>
            <w:tcW w:w="1526" w:type="dxa"/>
            <w:tcBorders>
              <w:top w:val="single" w:sz="4" w:space="0" w:color="auto"/>
              <w:bottom w:val="single" w:sz="4" w:space="0" w:color="auto"/>
            </w:tcBorders>
            <w:shd w:val="clear" w:color="auto" w:fill="auto"/>
          </w:tcPr>
          <w:p w:rsidR="005D023C" w:rsidRPr="0087485F" w:rsidRDefault="005D023C" w:rsidP="00A359FB">
            <w:pPr>
              <w:spacing w:before="20" w:after="20"/>
              <w:rPr>
                <w:rFonts w:cstheme="minorHAnsi"/>
                <w:sz w:val="20"/>
                <w:szCs w:val="20"/>
              </w:rPr>
            </w:pPr>
            <w:bookmarkStart w:id="383" w:name="Title_3_45"/>
            <w:bookmarkEnd w:id="383"/>
          </w:p>
        </w:tc>
        <w:tc>
          <w:tcPr>
            <w:tcW w:w="992" w:type="dxa"/>
            <w:tcBorders>
              <w:top w:val="single" w:sz="4" w:space="0" w:color="auto"/>
              <w:bottom w:val="single" w:sz="4" w:space="0" w:color="auto"/>
            </w:tcBorders>
            <w:shd w:val="clear" w:color="auto" w:fill="auto"/>
          </w:tcPr>
          <w:p w:rsidR="005D023C" w:rsidRPr="0087485F" w:rsidRDefault="005D023C" w:rsidP="005D023C">
            <w:pPr>
              <w:spacing w:before="20" w:after="20"/>
              <w:jc w:val="center"/>
              <w:rPr>
                <w:rFonts w:cstheme="minorHAnsi"/>
                <w:sz w:val="20"/>
                <w:szCs w:val="20"/>
              </w:rPr>
            </w:pPr>
            <w:r w:rsidRPr="0087485F">
              <w:rPr>
                <w:rFonts w:cstheme="minorHAnsi"/>
                <w:sz w:val="20"/>
                <w:szCs w:val="20"/>
              </w:rPr>
              <w:t>Standard</w:t>
            </w:r>
            <w:r>
              <w:rPr>
                <w:rFonts w:cstheme="minorHAnsi"/>
                <w:sz w:val="20"/>
                <w:szCs w:val="20"/>
              </w:rPr>
              <w:t xml:space="preserve"> Question</w:t>
            </w:r>
            <w:r w:rsidR="002F1E00">
              <w:rPr>
                <w:rFonts w:cstheme="minorHAnsi"/>
                <w:sz w:val="20"/>
                <w:szCs w:val="20"/>
              </w:rPr>
              <w:t xml:space="preserve"> Cases</w:t>
            </w:r>
          </w:p>
        </w:tc>
        <w:tc>
          <w:tcPr>
            <w:tcW w:w="1276" w:type="dxa"/>
            <w:tcBorders>
              <w:top w:val="single" w:sz="4" w:space="0" w:color="auto"/>
              <w:bottom w:val="single" w:sz="4" w:space="0" w:color="auto"/>
            </w:tcBorders>
            <w:shd w:val="clear" w:color="auto" w:fill="auto"/>
          </w:tcPr>
          <w:p w:rsidR="00884536" w:rsidRDefault="005D023C" w:rsidP="005D023C">
            <w:pPr>
              <w:spacing w:before="20" w:after="20"/>
              <w:jc w:val="center"/>
              <w:rPr>
                <w:rFonts w:cstheme="minorHAnsi"/>
                <w:sz w:val="20"/>
                <w:szCs w:val="20"/>
              </w:rPr>
            </w:pPr>
            <w:r w:rsidRPr="005E72E4">
              <w:rPr>
                <w:rFonts w:cstheme="minorHAnsi"/>
                <w:sz w:val="20"/>
                <w:szCs w:val="20"/>
              </w:rPr>
              <w:t xml:space="preserve">Standard Question </w:t>
            </w:r>
          </w:p>
          <w:p w:rsidR="005D023C" w:rsidRPr="0087485F" w:rsidRDefault="005D023C" w:rsidP="005D023C">
            <w:pPr>
              <w:spacing w:before="20" w:after="20"/>
              <w:jc w:val="center"/>
              <w:rPr>
                <w:rFonts w:cstheme="minorHAnsi"/>
                <w:sz w:val="20"/>
                <w:szCs w:val="20"/>
              </w:rPr>
            </w:pPr>
            <w:r w:rsidRPr="0087485F">
              <w:rPr>
                <w:rFonts w:cstheme="minorHAnsi"/>
                <w:sz w:val="20"/>
                <w:szCs w:val="20"/>
              </w:rPr>
              <w:t>%</w:t>
            </w:r>
          </w:p>
        </w:tc>
        <w:tc>
          <w:tcPr>
            <w:tcW w:w="1134" w:type="dxa"/>
            <w:tcBorders>
              <w:top w:val="single" w:sz="4" w:space="0" w:color="auto"/>
              <w:bottom w:val="single" w:sz="4" w:space="0" w:color="auto"/>
            </w:tcBorders>
            <w:shd w:val="clear" w:color="auto" w:fill="auto"/>
          </w:tcPr>
          <w:p w:rsidR="005D023C" w:rsidRPr="0087485F" w:rsidRDefault="005D023C" w:rsidP="005D023C">
            <w:pPr>
              <w:spacing w:before="20" w:after="20"/>
              <w:ind w:left="-62" w:right="-118"/>
              <w:jc w:val="center"/>
              <w:rPr>
                <w:rFonts w:cstheme="minorHAnsi"/>
                <w:sz w:val="20"/>
                <w:szCs w:val="20"/>
              </w:rPr>
            </w:pPr>
            <w:r w:rsidRPr="0087485F">
              <w:rPr>
                <w:rFonts w:cstheme="minorHAnsi"/>
                <w:sz w:val="20"/>
                <w:szCs w:val="20"/>
              </w:rPr>
              <w:t>Easy English</w:t>
            </w:r>
            <w:r>
              <w:rPr>
                <w:rFonts w:cstheme="minorHAnsi"/>
                <w:sz w:val="20"/>
                <w:szCs w:val="20"/>
              </w:rPr>
              <w:t xml:space="preserve"> Question</w:t>
            </w:r>
            <w:r w:rsidR="002F1E00">
              <w:rPr>
                <w:rFonts w:cstheme="minorHAnsi"/>
                <w:sz w:val="20"/>
                <w:szCs w:val="20"/>
              </w:rPr>
              <w:t xml:space="preserve"> Cases</w:t>
            </w:r>
          </w:p>
        </w:tc>
        <w:tc>
          <w:tcPr>
            <w:tcW w:w="1276" w:type="dxa"/>
            <w:tcBorders>
              <w:top w:val="single" w:sz="4" w:space="0" w:color="auto"/>
              <w:bottom w:val="single" w:sz="4" w:space="0" w:color="auto"/>
            </w:tcBorders>
            <w:shd w:val="clear" w:color="auto" w:fill="auto"/>
          </w:tcPr>
          <w:p w:rsidR="00884536" w:rsidRDefault="005D023C" w:rsidP="005D023C">
            <w:pPr>
              <w:spacing w:before="20" w:after="20"/>
              <w:ind w:left="-98" w:right="-108"/>
              <w:jc w:val="center"/>
              <w:rPr>
                <w:rFonts w:cstheme="minorHAnsi"/>
                <w:sz w:val="20"/>
                <w:szCs w:val="20"/>
              </w:rPr>
            </w:pPr>
            <w:r w:rsidRPr="005E72E4">
              <w:rPr>
                <w:rFonts w:cstheme="minorHAnsi"/>
                <w:sz w:val="20"/>
                <w:szCs w:val="20"/>
              </w:rPr>
              <w:t>Easy English Question</w:t>
            </w:r>
            <w:r>
              <w:rPr>
                <w:rFonts w:cstheme="minorHAnsi"/>
                <w:sz w:val="20"/>
                <w:szCs w:val="20"/>
              </w:rPr>
              <w:t xml:space="preserve"> </w:t>
            </w:r>
          </w:p>
          <w:p w:rsidR="005D023C" w:rsidRPr="0087485F" w:rsidRDefault="005D023C" w:rsidP="005D023C">
            <w:pPr>
              <w:spacing w:before="20" w:after="20"/>
              <w:ind w:left="-98" w:right="-108"/>
              <w:jc w:val="center"/>
              <w:rPr>
                <w:rFonts w:cstheme="minorHAnsi"/>
                <w:sz w:val="20"/>
                <w:szCs w:val="20"/>
              </w:rPr>
            </w:pPr>
            <w:r w:rsidRPr="0087485F">
              <w:rPr>
                <w:rFonts w:cstheme="minorHAnsi"/>
                <w:sz w:val="20"/>
                <w:szCs w:val="20"/>
              </w:rPr>
              <w:t>%</w:t>
            </w:r>
          </w:p>
        </w:tc>
        <w:tc>
          <w:tcPr>
            <w:tcW w:w="992" w:type="dxa"/>
            <w:tcBorders>
              <w:top w:val="single" w:sz="4" w:space="0" w:color="auto"/>
              <w:bottom w:val="single" w:sz="4" w:space="0" w:color="auto"/>
            </w:tcBorders>
            <w:shd w:val="clear" w:color="auto" w:fill="auto"/>
            <w:vAlign w:val="bottom"/>
          </w:tcPr>
          <w:p w:rsidR="005D023C" w:rsidRPr="0087485F" w:rsidRDefault="005D023C" w:rsidP="00A51DF4">
            <w:pPr>
              <w:spacing w:before="20" w:after="20"/>
              <w:jc w:val="center"/>
              <w:rPr>
                <w:rFonts w:cstheme="minorHAnsi"/>
                <w:sz w:val="20"/>
                <w:szCs w:val="20"/>
              </w:rPr>
            </w:pPr>
            <w:r>
              <w:rPr>
                <w:rFonts w:cstheme="minorHAnsi"/>
                <w:sz w:val="20"/>
                <w:szCs w:val="20"/>
              </w:rPr>
              <w:t>Total</w:t>
            </w:r>
            <w:r w:rsidR="002F1E00">
              <w:rPr>
                <w:rFonts w:cstheme="minorHAnsi"/>
                <w:sz w:val="20"/>
                <w:szCs w:val="20"/>
              </w:rPr>
              <w:t xml:space="preserve"> Cases</w:t>
            </w:r>
          </w:p>
        </w:tc>
        <w:tc>
          <w:tcPr>
            <w:tcW w:w="1134" w:type="dxa"/>
            <w:tcBorders>
              <w:top w:val="single" w:sz="4" w:space="0" w:color="auto"/>
              <w:bottom w:val="single" w:sz="4" w:space="0" w:color="auto"/>
            </w:tcBorders>
            <w:shd w:val="clear" w:color="auto" w:fill="auto"/>
            <w:vAlign w:val="bottom"/>
          </w:tcPr>
          <w:p w:rsidR="00884536" w:rsidRDefault="005D023C" w:rsidP="00A51DF4">
            <w:pPr>
              <w:spacing w:before="20" w:after="20"/>
              <w:jc w:val="center"/>
              <w:rPr>
                <w:rFonts w:cstheme="minorHAnsi"/>
                <w:sz w:val="20"/>
                <w:szCs w:val="20"/>
              </w:rPr>
            </w:pPr>
            <w:r w:rsidRPr="0087485F">
              <w:rPr>
                <w:rFonts w:cstheme="minorHAnsi"/>
                <w:sz w:val="20"/>
                <w:szCs w:val="20"/>
              </w:rPr>
              <w:t>Total</w:t>
            </w:r>
          </w:p>
          <w:p w:rsidR="005D023C" w:rsidRPr="0087485F" w:rsidRDefault="005D023C" w:rsidP="00A51DF4">
            <w:pPr>
              <w:spacing w:before="20" w:after="20"/>
              <w:jc w:val="center"/>
              <w:rPr>
                <w:rFonts w:cstheme="minorHAnsi"/>
                <w:sz w:val="20"/>
                <w:szCs w:val="20"/>
              </w:rPr>
            </w:pPr>
            <w:r w:rsidRPr="0087485F">
              <w:rPr>
                <w:rFonts w:cstheme="minorHAnsi"/>
                <w:sz w:val="20"/>
                <w:szCs w:val="20"/>
              </w:rPr>
              <w:t>%</w:t>
            </w:r>
          </w:p>
        </w:tc>
      </w:tr>
      <w:tr w:rsidR="00D907AF" w:rsidRPr="0087485F" w:rsidTr="005D023C">
        <w:tc>
          <w:tcPr>
            <w:tcW w:w="1526"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Yes</w:t>
            </w:r>
          </w:p>
        </w:tc>
        <w:tc>
          <w:tcPr>
            <w:tcW w:w="992" w:type="dxa"/>
            <w:shd w:val="clear" w:color="auto" w:fill="auto"/>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65</w:t>
            </w:r>
          </w:p>
        </w:tc>
        <w:tc>
          <w:tcPr>
            <w:tcW w:w="1276" w:type="dxa"/>
            <w:shd w:val="clear" w:color="auto" w:fill="auto"/>
            <w:vAlign w:val="center"/>
          </w:tcPr>
          <w:p w:rsidR="00D907AF" w:rsidRPr="0087485F" w:rsidRDefault="00D907AF" w:rsidP="00AA3C18">
            <w:pPr>
              <w:spacing w:before="20" w:after="20"/>
              <w:ind w:right="284"/>
              <w:jc w:val="right"/>
              <w:rPr>
                <w:rFonts w:cstheme="minorHAnsi"/>
                <w:color w:val="000000"/>
                <w:sz w:val="20"/>
                <w:szCs w:val="20"/>
              </w:rPr>
            </w:pPr>
            <w:r w:rsidRPr="0087485F">
              <w:rPr>
                <w:rFonts w:cstheme="minorHAnsi"/>
                <w:color w:val="000000"/>
                <w:sz w:val="20"/>
                <w:szCs w:val="20"/>
              </w:rPr>
              <w:t>47.8</w:t>
            </w:r>
          </w:p>
        </w:tc>
        <w:tc>
          <w:tcPr>
            <w:tcW w:w="1134" w:type="dxa"/>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29</w:t>
            </w:r>
          </w:p>
        </w:tc>
        <w:tc>
          <w:tcPr>
            <w:tcW w:w="1276" w:type="dxa"/>
            <w:vAlign w:val="center"/>
          </w:tcPr>
          <w:p w:rsidR="00D907AF" w:rsidRPr="0087485F" w:rsidRDefault="00D907AF" w:rsidP="00AA3C18">
            <w:pPr>
              <w:spacing w:before="20" w:after="20"/>
              <w:ind w:right="284"/>
              <w:jc w:val="right"/>
              <w:rPr>
                <w:rFonts w:cstheme="minorHAnsi"/>
                <w:color w:val="000000"/>
                <w:sz w:val="20"/>
                <w:szCs w:val="20"/>
              </w:rPr>
            </w:pPr>
            <w:r w:rsidRPr="0087485F">
              <w:rPr>
                <w:rFonts w:cstheme="minorHAnsi"/>
                <w:color w:val="000000"/>
                <w:sz w:val="20"/>
                <w:szCs w:val="20"/>
              </w:rPr>
              <w:t>59.2</w:t>
            </w:r>
          </w:p>
        </w:tc>
        <w:tc>
          <w:tcPr>
            <w:tcW w:w="992" w:type="dxa"/>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94</w:t>
            </w:r>
          </w:p>
        </w:tc>
        <w:tc>
          <w:tcPr>
            <w:tcW w:w="1134" w:type="dxa"/>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50.8</w:t>
            </w:r>
          </w:p>
        </w:tc>
      </w:tr>
      <w:tr w:rsidR="00D907AF" w:rsidRPr="0087485F" w:rsidTr="005D023C">
        <w:tc>
          <w:tcPr>
            <w:tcW w:w="1526"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No</w:t>
            </w:r>
          </w:p>
        </w:tc>
        <w:tc>
          <w:tcPr>
            <w:tcW w:w="992" w:type="dxa"/>
            <w:shd w:val="clear" w:color="auto" w:fill="auto"/>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15</w:t>
            </w:r>
          </w:p>
        </w:tc>
        <w:tc>
          <w:tcPr>
            <w:tcW w:w="1276" w:type="dxa"/>
            <w:shd w:val="clear" w:color="auto" w:fill="auto"/>
            <w:vAlign w:val="center"/>
          </w:tcPr>
          <w:p w:rsidR="00D907AF" w:rsidRPr="0087485F" w:rsidRDefault="00D907AF" w:rsidP="00AA3C18">
            <w:pPr>
              <w:spacing w:before="20" w:after="20"/>
              <w:ind w:right="284"/>
              <w:jc w:val="right"/>
              <w:rPr>
                <w:rFonts w:cstheme="minorHAnsi"/>
                <w:color w:val="000000"/>
                <w:sz w:val="20"/>
                <w:szCs w:val="20"/>
              </w:rPr>
            </w:pPr>
            <w:r w:rsidRPr="0087485F">
              <w:rPr>
                <w:rFonts w:cstheme="minorHAnsi"/>
                <w:color w:val="000000"/>
                <w:sz w:val="20"/>
                <w:szCs w:val="20"/>
              </w:rPr>
              <w:t>11</w:t>
            </w:r>
          </w:p>
        </w:tc>
        <w:tc>
          <w:tcPr>
            <w:tcW w:w="1134" w:type="dxa"/>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11</w:t>
            </w:r>
          </w:p>
        </w:tc>
        <w:tc>
          <w:tcPr>
            <w:tcW w:w="1276" w:type="dxa"/>
            <w:vAlign w:val="center"/>
          </w:tcPr>
          <w:p w:rsidR="00D907AF" w:rsidRPr="0087485F" w:rsidRDefault="00D907AF" w:rsidP="00AA3C18">
            <w:pPr>
              <w:spacing w:before="20" w:after="20"/>
              <w:ind w:right="284"/>
              <w:jc w:val="right"/>
              <w:rPr>
                <w:rFonts w:cstheme="minorHAnsi"/>
                <w:color w:val="000000"/>
                <w:sz w:val="20"/>
                <w:szCs w:val="20"/>
              </w:rPr>
            </w:pPr>
            <w:r w:rsidRPr="0087485F">
              <w:rPr>
                <w:rFonts w:cstheme="minorHAnsi"/>
                <w:color w:val="000000"/>
                <w:sz w:val="20"/>
                <w:szCs w:val="20"/>
              </w:rPr>
              <w:t>22.5</w:t>
            </w:r>
          </w:p>
        </w:tc>
        <w:tc>
          <w:tcPr>
            <w:tcW w:w="992" w:type="dxa"/>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26</w:t>
            </w:r>
          </w:p>
        </w:tc>
        <w:tc>
          <w:tcPr>
            <w:tcW w:w="1134" w:type="dxa"/>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14.1</w:t>
            </w:r>
          </w:p>
        </w:tc>
      </w:tr>
      <w:tr w:rsidR="00D907AF" w:rsidRPr="0087485F" w:rsidTr="005D023C">
        <w:tc>
          <w:tcPr>
            <w:tcW w:w="1526"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Sometimes</w:t>
            </w:r>
          </w:p>
        </w:tc>
        <w:tc>
          <w:tcPr>
            <w:tcW w:w="992" w:type="dxa"/>
            <w:shd w:val="clear" w:color="auto" w:fill="auto"/>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43</w:t>
            </w:r>
          </w:p>
        </w:tc>
        <w:tc>
          <w:tcPr>
            <w:tcW w:w="1276" w:type="dxa"/>
            <w:shd w:val="clear" w:color="auto" w:fill="auto"/>
            <w:vAlign w:val="center"/>
          </w:tcPr>
          <w:p w:rsidR="00D907AF" w:rsidRPr="0087485F" w:rsidRDefault="00D907AF" w:rsidP="00AA3C18">
            <w:pPr>
              <w:spacing w:before="20" w:after="20"/>
              <w:ind w:right="284"/>
              <w:jc w:val="right"/>
              <w:rPr>
                <w:rFonts w:cstheme="minorHAnsi"/>
                <w:color w:val="000000"/>
                <w:sz w:val="20"/>
                <w:szCs w:val="20"/>
              </w:rPr>
            </w:pPr>
            <w:r w:rsidRPr="0087485F">
              <w:rPr>
                <w:rFonts w:cstheme="minorHAnsi"/>
                <w:color w:val="000000"/>
                <w:sz w:val="20"/>
                <w:szCs w:val="20"/>
              </w:rPr>
              <w:t>31.6</w:t>
            </w:r>
          </w:p>
        </w:tc>
        <w:tc>
          <w:tcPr>
            <w:tcW w:w="1134" w:type="dxa"/>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w:t>
            </w:r>
          </w:p>
        </w:tc>
        <w:tc>
          <w:tcPr>
            <w:tcW w:w="1276" w:type="dxa"/>
            <w:vAlign w:val="center"/>
          </w:tcPr>
          <w:p w:rsidR="00D907AF" w:rsidRPr="0087485F" w:rsidRDefault="00D907AF" w:rsidP="00AA3C18">
            <w:pPr>
              <w:spacing w:before="20" w:after="20"/>
              <w:ind w:right="284"/>
              <w:jc w:val="right"/>
              <w:rPr>
                <w:rFonts w:cstheme="minorHAnsi"/>
                <w:color w:val="000000"/>
                <w:sz w:val="20"/>
                <w:szCs w:val="20"/>
              </w:rPr>
            </w:pPr>
            <w:r w:rsidRPr="0087485F">
              <w:rPr>
                <w:rFonts w:cstheme="minorHAnsi"/>
                <w:color w:val="000000"/>
                <w:sz w:val="20"/>
                <w:szCs w:val="20"/>
              </w:rPr>
              <w:t>-</w:t>
            </w:r>
          </w:p>
        </w:tc>
        <w:tc>
          <w:tcPr>
            <w:tcW w:w="992" w:type="dxa"/>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43</w:t>
            </w:r>
          </w:p>
        </w:tc>
        <w:tc>
          <w:tcPr>
            <w:tcW w:w="1134" w:type="dxa"/>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23.2</w:t>
            </w:r>
          </w:p>
        </w:tc>
      </w:tr>
      <w:tr w:rsidR="00D907AF" w:rsidRPr="0087485F" w:rsidTr="005D023C">
        <w:tc>
          <w:tcPr>
            <w:tcW w:w="1526" w:type="dxa"/>
          </w:tcPr>
          <w:p w:rsidR="00D907AF" w:rsidRPr="0087485F" w:rsidRDefault="00D907AF" w:rsidP="00D907AF">
            <w:pPr>
              <w:spacing w:before="20" w:after="20"/>
              <w:rPr>
                <w:rFonts w:cstheme="minorHAnsi"/>
                <w:sz w:val="20"/>
                <w:szCs w:val="20"/>
              </w:rPr>
            </w:pPr>
            <w:r w:rsidRPr="0087485F">
              <w:rPr>
                <w:rFonts w:cstheme="minorHAnsi"/>
                <w:sz w:val="20"/>
                <w:szCs w:val="20"/>
              </w:rPr>
              <w:t>Don’t know</w:t>
            </w:r>
          </w:p>
        </w:tc>
        <w:tc>
          <w:tcPr>
            <w:tcW w:w="992" w:type="dxa"/>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6</w:t>
            </w:r>
          </w:p>
        </w:tc>
        <w:tc>
          <w:tcPr>
            <w:tcW w:w="1276" w:type="dxa"/>
            <w:vAlign w:val="center"/>
          </w:tcPr>
          <w:p w:rsidR="00D907AF" w:rsidRPr="0087485F" w:rsidRDefault="00D907AF" w:rsidP="00AA3C18">
            <w:pPr>
              <w:spacing w:before="20" w:after="20"/>
              <w:ind w:right="284"/>
              <w:jc w:val="right"/>
              <w:rPr>
                <w:rFonts w:cstheme="minorHAnsi"/>
                <w:color w:val="000000"/>
                <w:sz w:val="20"/>
                <w:szCs w:val="20"/>
              </w:rPr>
            </w:pPr>
            <w:r w:rsidRPr="0087485F">
              <w:rPr>
                <w:rFonts w:cstheme="minorHAnsi"/>
                <w:color w:val="000000"/>
                <w:sz w:val="20"/>
                <w:szCs w:val="20"/>
              </w:rPr>
              <w:t>4.4</w:t>
            </w:r>
          </w:p>
        </w:tc>
        <w:tc>
          <w:tcPr>
            <w:tcW w:w="1134" w:type="dxa"/>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4</w:t>
            </w:r>
          </w:p>
        </w:tc>
        <w:tc>
          <w:tcPr>
            <w:tcW w:w="1276" w:type="dxa"/>
            <w:vAlign w:val="center"/>
          </w:tcPr>
          <w:p w:rsidR="00D907AF" w:rsidRPr="0087485F" w:rsidRDefault="00D907AF" w:rsidP="00AA3C18">
            <w:pPr>
              <w:spacing w:before="20" w:after="20"/>
              <w:ind w:right="284"/>
              <w:jc w:val="right"/>
              <w:rPr>
                <w:rFonts w:cstheme="minorHAnsi"/>
                <w:color w:val="000000"/>
                <w:sz w:val="20"/>
                <w:szCs w:val="20"/>
              </w:rPr>
            </w:pPr>
            <w:r w:rsidRPr="0087485F">
              <w:rPr>
                <w:rFonts w:cstheme="minorHAnsi"/>
                <w:color w:val="000000"/>
                <w:sz w:val="20"/>
                <w:szCs w:val="20"/>
              </w:rPr>
              <w:t>8.2</w:t>
            </w:r>
          </w:p>
        </w:tc>
        <w:tc>
          <w:tcPr>
            <w:tcW w:w="992" w:type="dxa"/>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10</w:t>
            </w:r>
          </w:p>
        </w:tc>
        <w:tc>
          <w:tcPr>
            <w:tcW w:w="1134" w:type="dxa"/>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5.4</w:t>
            </w:r>
          </w:p>
        </w:tc>
      </w:tr>
      <w:tr w:rsidR="00D907AF" w:rsidRPr="0087485F" w:rsidTr="005D023C">
        <w:tc>
          <w:tcPr>
            <w:tcW w:w="1526" w:type="dxa"/>
            <w:tcBorders>
              <w:bottom w:val="single" w:sz="4" w:space="0" w:color="auto"/>
            </w:tcBorders>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 xml:space="preserve">Missing </w:t>
            </w:r>
          </w:p>
        </w:tc>
        <w:tc>
          <w:tcPr>
            <w:tcW w:w="992" w:type="dxa"/>
            <w:tcBorders>
              <w:bottom w:val="single" w:sz="4" w:space="0" w:color="auto"/>
            </w:tcBorders>
            <w:shd w:val="clear" w:color="auto" w:fill="auto"/>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7</w:t>
            </w:r>
          </w:p>
        </w:tc>
        <w:tc>
          <w:tcPr>
            <w:tcW w:w="1276" w:type="dxa"/>
            <w:tcBorders>
              <w:bottom w:val="single" w:sz="4" w:space="0" w:color="auto"/>
            </w:tcBorders>
            <w:shd w:val="clear" w:color="auto" w:fill="auto"/>
            <w:vAlign w:val="center"/>
          </w:tcPr>
          <w:p w:rsidR="00D907AF" w:rsidRPr="0087485F" w:rsidRDefault="00D907AF" w:rsidP="00AA3C18">
            <w:pPr>
              <w:spacing w:before="20" w:after="20"/>
              <w:ind w:right="284"/>
              <w:jc w:val="right"/>
              <w:rPr>
                <w:rFonts w:cstheme="minorHAnsi"/>
                <w:color w:val="000000"/>
                <w:sz w:val="20"/>
                <w:szCs w:val="20"/>
              </w:rPr>
            </w:pPr>
            <w:r w:rsidRPr="0087485F">
              <w:rPr>
                <w:rFonts w:cstheme="minorHAnsi"/>
                <w:color w:val="000000"/>
                <w:sz w:val="20"/>
                <w:szCs w:val="20"/>
              </w:rPr>
              <w:t>5.2</w:t>
            </w:r>
          </w:p>
        </w:tc>
        <w:tc>
          <w:tcPr>
            <w:tcW w:w="1134" w:type="dxa"/>
            <w:tcBorders>
              <w:bottom w:val="single" w:sz="4" w:space="0" w:color="auto"/>
            </w:tcBorders>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5</w:t>
            </w:r>
          </w:p>
        </w:tc>
        <w:tc>
          <w:tcPr>
            <w:tcW w:w="1276" w:type="dxa"/>
            <w:tcBorders>
              <w:bottom w:val="single" w:sz="4" w:space="0" w:color="auto"/>
            </w:tcBorders>
            <w:vAlign w:val="center"/>
          </w:tcPr>
          <w:p w:rsidR="00D907AF" w:rsidRPr="0087485F" w:rsidRDefault="00D907AF" w:rsidP="00AA3C18">
            <w:pPr>
              <w:spacing w:before="20" w:after="20"/>
              <w:ind w:right="284"/>
              <w:jc w:val="right"/>
              <w:rPr>
                <w:rFonts w:cstheme="minorHAnsi"/>
                <w:color w:val="000000"/>
                <w:sz w:val="20"/>
                <w:szCs w:val="20"/>
              </w:rPr>
            </w:pPr>
            <w:r w:rsidRPr="0087485F">
              <w:rPr>
                <w:rFonts w:cstheme="minorHAnsi"/>
                <w:color w:val="000000"/>
                <w:sz w:val="20"/>
                <w:szCs w:val="20"/>
              </w:rPr>
              <w:t>10.2</w:t>
            </w:r>
          </w:p>
        </w:tc>
        <w:tc>
          <w:tcPr>
            <w:tcW w:w="992" w:type="dxa"/>
            <w:tcBorders>
              <w:bottom w:val="single" w:sz="4" w:space="0" w:color="auto"/>
            </w:tcBorders>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12</w:t>
            </w:r>
          </w:p>
        </w:tc>
        <w:tc>
          <w:tcPr>
            <w:tcW w:w="1134" w:type="dxa"/>
            <w:tcBorders>
              <w:bottom w:val="single" w:sz="4" w:space="0" w:color="auto"/>
            </w:tcBorders>
            <w:vAlign w:val="center"/>
          </w:tcPr>
          <w:p w:rsidR="00D907AF" w:rsidRPr="0087485F" w:rsidRDefault="00D907AF" w:rsidP="00AA3C18">
            <w:pPr>
              <w:spacing w:before="20" w:after="20"/>
              <w:ind w:right="227"/>
              <w:jc w:val="right"/>
              <w:rPr>
                <w:rFonts w:cstheme="minorHAnsi"/>
                <w:color w:val="000000"/>
                <w:sz w:val="20"/>
                <w:szCs w:val="20"/>
              </w:rPr>
            </w:pPr>
            <w:r w:rsidRPr="0087485F">
              <w:rPr>
                <w:rFonts w:cstheme="minorHAnsi"/>
                <w:color w:val="000000"/>
                <w:sz w:val="20"/>
                <w:szCs w:val="20"/>
              </w:rPr>
              <w:t>6.5</w:t>
            </w:r>
          </w:p>
        </w:tc>
      </w:tr>
      <w:tr w:rsidR="00D907AF" w:rsidRPr="0087485F" w:rsidTr="005D023C">
        <w:tc>
          <w:tcPr>
            <w:tcW w:w="1526" w:type="dxa"/>
            <w:tcBorders>
              <w:top w:val="single" w:sz="4" w:space="0" w:color="auto"/>
              <w:bottom w:val="single" w:sz="4" w:space="0" w:color="auto"/>
            </w:tcBorders>
            <w:shd w:val="clear" w:color="auto" w:fill="auto"/>
          </w:tcPr>
          <w:p w:rsidR="00D907AF" w:rsidRPr="0087485F" w:rsidRDefault="00D907AF" w:rsidP="00D907AF">
            <w:pPr>
              <w:spacing w:before="20" w:after="20"/>
              <w:rPr>
                <w:rFonts w:cstheme="minorHAnsi"/>
                <w:b/>
                <w:sz w:val="20"/>
                <w:szCs w:val="20"/>
              </w:rPr>
            </w:pPr>
            <w:r w:rsidRPr="0087485F">
              <w:rPr>
                <w:rFonts w:cstheme="minorHAnsi"/>
                <w:b/>
                <w:sz w:val="20"/>
                <w:szCs w:val="20"/>
              </w:rPr>
              <w:t>Total</w:t>
            </w:r>
          </w:p>
        </w:tc>
        <w:tc>
          <w:tcPr>
            <w:tcW w:w="992" w:type="dxa"/>
            <w:tcBorders>
              <w:top w:val="single" w:sz="4" w:space="0" w:color="auto"/>
              <w:bottom w:val="single" w:sz="4" w:space="0" w:color="auto"/>
            </w:tcBorders>
            <w:shd w:val="clear" w:color="auto" w:fill="auto"/>
            <w:vAlign w:val="center"/>
          </w:tcPr>
          <w:p w:rsidR="00D907AF" w:rsidRPr="00AA3C18" w:rsidRDefault="00D907AF" w:rsidP="00AA3C18">
            <w:pPr>
              <w:spacing w:before="20" w:after="20"/>
              <w:ind w:right="227"/>
              <w:jc w:val="right"/>
              <w:rPr>
                <w:rFonts w:cstheme="minorHAnsi"/>
                <w:b/>
                <w:color w:val="000000"/>
                <w:sz w:val="20"/>
                <w:szCs w:val="20"/>
              </w:rPr>
            </w:pPr>
            <w:r w:rsidRPr="00AA3C18">
              <w:rPr>
                <w:rFonts w:cstheme="minorHAnsi"/>
                <w:b/>
                <w:color w:val="000000"/>
                <w:sz w:val="20"/>
                <w:szCs w:val="20"/>
              </w:rPr>
              <w:t>136</w:t>
            </w:r>
          </w:p>
        </w:tc>
        <w:tc>
          <w:tcPr>
            <w:tcW w:w="1276" w:type="dxa"/>
            <w:tcBorders>
              <w:top w:val="single" w:sz="4" w:space="0" w:color="auto"/>
              <w:bottom w:val="single" w:sz="4" w:space="0" w:color="auto"/>
            </w:tcBorders>
            <w:shd w:val="clear" w:color="auto" w:fill="auto"/>
            <w:vAlign w:val="center"/>
          </w:tcPr>
          <w:p w:rsidR="00D907AF" w:rsidRPr="00AA3C18" w:rsidRDefault="00D907AF" w:rsidP="00AA3C18">
            <w:pPr>
              <w:spacing w:before="20" w:after="20"/>
              <w:ind w:right="284"/>
              <w:jc w:val="right"/>
              <w:rPr>
                <w:rFonts w:cstheme="minorHAnsi"/>
                <w:b/>
                <w:color w:val="000000"/>
                <w:sz w:val="20"/>
                <w:szCs w:val="20"/>
              </w:rPr>
            </w:pPr>
            <w:r w:rsidRPr="00AA3C18">
              <w:rPr>
                <w:rFonts w:cstheme="minorHAnsi"/>
                <w:b/>
                <w:color w:val="000000"/>
                <w:sz w:val="20"/>
                <w:szCs w:val="20"/>
              </w:rPr>
              <w:t>100</w:t>
            </w:r>
          </w:p>
        </w:tc>
        <w:tc>
          <w:tcPr>
            <w:tcW w:w="1134" w:type="dxa"/>
            <w:tcBorders>
              <w:top w:val="single" w:sz="4" w:space="0" w:color="auto"/>
              <w:bottom w:val="single" w:sz="4" w:space="0" w:color="auto"/>
            </w:tcBorders>
            <w:vAlign w:val="center"/>
          </w:tcPr>
          <w:p w:rsidR="00D907AF" w:rsidRPr="00AA3C18" w:rsidRDefault="00D907AF" w:rsidP="00AA3C18">
            <w:pPr>
              <w:spacing w:before="20" w:after="20"/>
              <w:ind w:right="227"/>
              <w:jc w:val="right"/>
              <w:rPr>
                <w:rFonts w:cstheme="minorHAnsi"/>
                <w:b/>
                <w:color w:val="000000"/>
                <w:sz w:val="20"/>
                <w:szCs w:val="20"/>
              </w:rPr>
            </w:pPr>
            <w:r w:rsidRPr="00AA3C18">
              <w:rPr>
                <w:rFonts w:cstheme="minorHAnsi"/>
                <w:b/>
                <w:color w:val="000000"/>
                <w:sz w:val="20"/>
                <w:szCs w:val="20"/>
              </w:rPr>
              <w:t>49</w:t>
            </w:r>
          </w:p>
        </w:tc>
        <w:tc>
          <w:tcPr>
            <w:tcW w:w="1276" w:type="dxa"/>
            <w:tcBorders>
              <w:top w:val="single" w:sz="4" w:space="0" w:color="auto"/>
              <w:bottom w:val="single" w:sz="4" w:space="0" w:color="auto"/>
            </w:tcBorders>
            <w:vAlign w:val="center"/>
          </w:tcPr>
          <w:p w:rsidR="00D907AF" w:rsidRPr="00AA3C18" w:rsidRDefault="00D907AF" w:rsidP="00AA3C18">
            <w:pPr>
              <w:spacing w:before="20" w:after="20"/>
              <w:ind w:right="284"/>
              <w:jc w:val="right"/>
              <w:rPr>
                <w:rFonts w:cstheme="minorHAnsi"/>
                <w:b/>
                <w:color w:val="000000"/>
                <w:sz w:val="20"/>
                <w:szCs w:val="20"/>
              </w:rPr>
            </w:pPr>
            <w:r w:rsidRPr="00AA3C18">
              <w:rPr>
                <w:rFonts w:cstheme="minorHAnsi"/>
                <w:b/>
                <w:color w:val="000000"/>
                <w:sz w:val="20"/>
                <w:szCs w:val="20"/>
              </w:rPr>
              <w:t>100</w:t>
            </w:r>
          </w:p>
        </w:tc>
        <w:tc>
          <w:tcPr>
            <w:tcW w:w="992" w:type="dxa"/>
            <w:tcBorders>
              <w:top w:val="single" w:sz="4" w:space="0" w:color="auto"/>
              <w:bottom w:val="single" w:sz="4" w:space="0" w:color="auto"/>
            </w:tcBorders>
            <w:vAlign w:val="center"/>
          </w:tcPr>
          <w:p w:rsidR="00D907AF" w:rsidRPr="00AA3C18" w:rsidRDefault="00D907AF" w:rsidP="00AA3C18">
            <w:pPr>
              <w:spacing w:before="20" w:after="20"/>
              <w:ind w:right="227"/>
              <w:jc w:val="right"/>
              <w:rPr>
                <w:rFonts w:cstheme="minorHAnsi"/>
                <w:b/>
                <w:color w:val="000000"/>
                <w:sz w:val="20"/>
                <w:szCs w:val="20"/>
              </w:rPr>
            </w:pPr>
            <w:r w:rsidRPr="00AA3C18">
              <w:rPr>
                <w:rFonts w:cstheme="minorHAnsi"/>
                <w:b/>
                <w:color w:val="000000"/>
                <w:sz w:val="20"/>
                <w:szCs w:val="20"/>
              </w:rPr>
              <w:t>185</w:t>
            </w:r>
          </w:p>
        </w:tc>
        <w:tc>
          <w:tcPr>
            <w:tcW w:w="1134" w:type="dxa"/>
            <w:tcBorders>
              <w:top w:val="single" w:sz="4" w:space="0" w:color="auto"/>
              <w:bottom w:val="single" w:sz="4" w:space="0" w:color="auto"/>
            </w:tcBorders>
            <w:vAlign w:val="center"/>
          </w:tcPr>
          <w:p w:rsidR="00D907AF" w:rsidRPr="00AA3C18" w:rsidRDefault="00D907AF" w:rsidP="00AA3C18">
            <w:pPr>
              <w:spacing w:before="20" w:after="20"/>
              <w:ind w:right="227"/>
              <w:jc w:val="right"/>
              <w:rPr>
                <w:rFonts w:cstheme="minorHAnsi"/>
                <w:b/>
                <w:color w:val="000000"/>
                <w:sz w:val="20"/>
                <w:szCs w:val="20"/>
              </w:rPr>
            </w:pPr>
            <w:r w:rsidRPr="00AA3C18">
              <w:rPr>
                <w:rFonts w:cstheme="minorHAnsi"/>
                <w:b/>
                <w:color w:val="000000"/>
                <w:sz w:val="20"/>
                <w:szCs w:val="20"/>
              </w:rPr>
              <w:t>100</w:t>
            </w:r>
          </w:p>
        </w:tc>
      </w:tr>
    </w:tbl>
    <w:p w:rsidR="00D907AF" w:rsidRPr="00660446" w:rsidRDefault="00D907AF" w:rsidP="006C7BE7">
      <w:pPr>
        <w:pStyle w:val="NILSTabletext"/>
      </w:pPr>
      <w:r w:rsidRPr="00660446">
        <w:t>Note: trial and comparison respondents aged 16 and above in education.</w:t>
      </w:r>
    </w:p>
    <w:p w:rsidR="00D907AF" w:rsidRDefault="00D907AF" w:rsidP="00D907AF">
      <w:pPr>
        <w:rPr>
          <w:rFonts w:ascii="Calibri" w:hAnsi="Calibri" w:cs="Calibri"/>
        </w:rPr>
      </w:pPr>
      <w:r>
        <w:t>Table 3.46 presents that most adults in education reported planning to either find work (38.4 per cent) or continue their education/training (20.5 per cent). The standard questionnaire suggests a higher proportion of intentions to work and go to university and a lower proportion of ‘don’t know’ answers.</w:t>
      </w:r>
      <w:r w:rsidRPr="005E209F">
        <w:t xml:space="preserve"> </w:t>
      </w:r>
      <w:r>
        <w:rPr>
          <w:rFonts w:ascii="Calibri" w:hAnsi="Calibri" w:cs="Calibri"/>
        </w:rPr>
        <w:t>The sample size is still not large enough to make meaningful statistical statements about this question.</w:t>
      </w:r>
    </w:p>
    <w:p w:rsidR="00D907AF" w:rsidRPr="00660522" w:rsidRDefault="00D907AF" w:rsidP="0044684E">
      <w:pPr>
        <w:pStyle w:val="NILSTableHeading"/>
        <w:rPr>
          <w:lang w:val="en-AU"/>
        </w:rPr>
      </w:pPr>
      <w:bookmarkStart w:id="384" w:name="_Toc428280698"/>
      <w:bookmarkStart w:id="385" w:name="_Toc449955308"/>
      <w:r w:rsidRPr="00233E8A">
        <w:t xml:space="preserve">Table </w:t>
      </w:r>
      <w:r>
        <w:t>3.46</w:t>
      </w:r>
      <w:r w:rsidRPr="00233E8A">
        <w:t xml:space="preserve">: </w:t>
      </w:r>
      <w:r>
        <w:rPr>
          <w:rFonts w:hint="eastAsia"/>
        </w:rPr>
        <w:t xml:space="preserve">What would he/she like to do after finishing his/her current </w:t>
      </w:r>
      <w:r>
        <w:t>education?</w:t>
      </w:r>
      <w:bookmarkEnd w:id="384"/>
      <w:r w:rsidR="00660522">
        <w:rPr>
          <w:lang w:val="en-AU"/>
        </w:rPr>
        <w:t xml:space="preserve"> (Adults 16+)</w:t>
      </w:r>
      <w:bookmarkEnd w:id="385"/>
    </w:p>
    <w:tbl>
      <w:tblPr>
        <w:tblStyle w:val="TableGrid"/>
        <w:tblW w:w="8699" w:type="dxa"/>
        <w:tblLayout w:type="fixed"/>
        <w:tblLook w:val="04A0" w:firstRow="1" w:lastRow="0" w:firstColumn="1" w:lastColumn="0" w:noHBand="0" w:noVBand="1"/>
        <w:tblCaption w:val="Table 3.46 What would he/she like to do after finishing his/her current education?"/>
      </w:tblPr>
      <w:tblGrid>
        <w:gridCol w:w="2235"/>
        <w:gridCol w:w="1020"/>
        <w:gridCol w:w="993"/>
        <w:gridCol w:w="1134"/>
        <w:gridCol w:w="1191"/>
        <w:gridCol w:w="992"/>
        <w:gridCol w:w="1134"/>
      </w:tblGrid>
      <w:tr w:rsidR="00E00CC0" w:rsidRPr="0087485F" w:rsidTr="00617B6A">
        <w:trPr>
          <w:tblHeader/>
        </w:trPr>
        <w:tc>
          <w:tcPr>
            <w:tcW w:w="2235" w:type="dxa"/>
            <w:tcBorders>
              <w:top w:val="single" w:sz="4" w:space="0" w:color="auto"/>
              <w:bottom w:val="single" w:sz="4" w:space="0" w:color="auto"/>
            </w:tcBorders>
            <w:shd w:val="clear" w:color="auto" w:fill="auto"/>
          </w:tcPr>
          <w:p w:rsidR="00E00CC0" w:rsidRPr="0087485F" w:rsidRDefault="00E00CC0" w:rsidP="0089219B">
            <w:pPr>
              <w:spacing w:before="20" w:after="20"/>
              <w:rPr>
                <w:rFonts w:cstheme="minorHAnsi"/>
                <w:sz w:val="20"/>
                <w:szCs w:val="20"/>
              </w:rPr>
            </w:pPr>
            <w:bookmarkStart w:id="386" w:name="Title_3_46"/>
            <w:bookmarkEnd w:id="386"/>
          </w:p>
        </w:tc>
        <w:tc>
          <w:tcPr>
            <w:tcW w:w="1020" w:type="dxa"/>
            <w:tcBorders>
              <w:top w:val="single" w:sz="4" w:space="0" w:color="auto"/>
              <w:bottom w:val="single" w:sz="4" w:space="0" w:color="auto"/>
            </w:tcBorders>
            <w:shd w:val="clear" w:color="auto" w:fill="auto"/>
          </w:tcPr>
          <w:p w:rsidR="00E00CC0" w:rsidRPr="0087485F" w:rsidRDefault="00E00CC0" w:rsidP="00DC601E">
            <w:pPr>
              <w:spacing w:before="20" w:after="20"/>
              <w:jc w:val="center"/>
              <w:rPr>
                <w:rFonts w:cstheme="minorHAnsi"/>
                <w:sz w:val="20"/>
                <w:szCs w:val="20"/>
              </w:rPr>
            </w:pPr>
            <w:r w:rsidRPr="0087485F">
              <w:rPr>
                <w:rFonts w:cstheme="minorHAnsi"/>
                <w:sz w:val="20"/>
                <w:szCs w:val="20"/>
              </w:rPr>
              <w:t>Standard</w:t>
            </w:r>
            <w:r>
              <w:rPr>
                <w:rFonts w:cstheme="minorHAnsi"/>
                <w:sz w:val="20"/>
                <w:szCs w:val="20"/>
              </w:rPr>
              <w:t xml:space="preserve"> Question Cases</w:t>
            </w:r>
          </w:p>
        </w:tc>
        <w:tc>
          <w:tcPr>
            <w:tcW w:w="993" w:type="dxa"/>
            <w:tcBorders>
              <w:top w:val="single" w:sz="4" w:space="0" w:color="auto"/>
              <w:bottom w:val="single" w:sz="4" w:space="0" w:color="auto"/>
            </w:tcBorders>
            <w:shd w:val="clear" w:color="auto" w:fill="auto"/>
          </w:tcPr>
          <w:p w:rsidR="00E00CC0" w:rsidRDefault="00E00CC0" w:rsidP="00DC601E">
            <w:pPr>
              <w:spacing w:before="20" w:after="20"/>
              <w:jc w:val="center"/>
              <w:rPr>
                <w:rFonts w:cstheme="minorHAnsi"/>
                <w:sz w:val="20"/>
                <w:szCs w:val="20"/>
              </w:rPr>
            </w:pPr>
            <w:r w:rsidRPr="005E72E4">
              <w:rPr>
                <w:rFonts w:cstheme="minorHAnsi"/>
                <w:sz w:val="20"/>
                <w:szCs w:val="20"/>
              </w:rPr>
              <w:t xml:space="preserve">Standard Question </w:t>
            </w:r>
          </w:p>
          <w:p w:rsidR="00E00CC0" w:rsidRPr="0087485F" w:rsidRDefault="00E00CC0" w:rsidP="00DC601E">
            <w:pPr>
              <w:spacing w:before="20" w:after="20"/>
              <w:jc w:val="center"/>
              <w:rPr>
                <w:rFonts w:cstheme="minorHAnsi"/>
                <w:sz w:val="20"/>
                <w:szCs w:val="20"/>
              </w:rPr>
            </w:pPr>
            <w:r w:rsidRPr="0087485F">
              <w:rPr>
                <w:rFonts w:cstheme="minorHAnsi"/>
                <w:sz w:val="20"/>
                <w:szCs w:val="20"/>
              </w:rPr>
              <w:t>%</w:t>
            </w:r>
          </w:p>
        </w:tc>
        <w:tc>
          <w:tcPr>
            <w:tcW w:w="1134" w:type="dxa"/>
            <w:tcBorders>
              <w:top w:val="single" w:sz="4" w:space="0" w:color="auto"/>
              <w:bottom w:val="single" w:sz="4" w:space="0" w:color="auto"/>
            </w:tcBorders>
            <w:shd w:val="clear" w:color="auto" w:fill="auto"/>
          </w:tcPr>
          <w:p w:rsidR="00E00CC0" w:rsidRPr="0087485F" w:rsidRDefault="00E00CC0" w:rsidP="00DC601E">
            <w:pPr>
              <w:spacing w:before="20" w:after="20"/>
              <w:ind w:left="-62" w:right="-118"/>
              <w:jc w:val="center"/>
              <w:rPr>
                <w:rFonts w:cstheme="minorHAnsi"/>
                <w:sz w:val="20"/>
                <w:szCs w:val="20"/>
              </w:rPr>
            </w:pPr>
            <w:r w:rsidRPr="0087485F">
              <w:rPr>
                <w:rFonts w:cstheme="minorHAnsi"/>
                <w:sz w:val="20"/>
                <w:szCs w:val="20"/>
              </w:rPr>
              <w:t>Easy English</w:t>
            </w:r>
            <w:r>
              <w:rPr>
                <w:rFonts w:cstheme="minorHAnsi"/>
                <w:sz w:val="20"/>
                <w:szCs w:val="20"/>
              </w:rPr>
              <w:t xml:space="preserve"> Question Cases</w:t>
            </w:r>
          </w:p>
        </w:tc>
        <w:tc>
          <w:tcPr>
            <w:tcW w:w="1191" w:type="dxa"/>
            <w:tcBorders>
              <w:top w:val="single" w:sz="4" w:space="0" w:color="auto"/>
              <w:bottom w:val="single" w:sz="4" w:space="0" w:color="auto"/>
            </w:tcBorders>
            <w:shd w:val="clear" w:color="auto" w:fill="auto"/>
          </w:tcPr>
          <w:p w:rsidR="00E00CC0" w:rsidRDefault="00E00CC0" w:rsidP="00DC601E">
            <w:pPr>
              <w:spacing w:before="20" w:after="20"/>
              <w:ind w:left="-98" w:right="-108"/>
              <w:jc w:val="center"/>
              <w:rPr>
                <w:rFonts w:cstheme="minorHAnsi"/>
                <w:sz w:val="20"/>
                <w:szCs w:val="20"/>
              </w:rPr>
            </w:pPr>
            <w:r w:rsidRPr="005E72E4">
              <w:rPr>
                <w:rFonts w:cstheme="minorHAnsi"/>
                <w:sz w:val="20"/>
                <w:szCs w:val="20"/>
              </w:rPr>
              <w:t>Easy English Question</w:t>
            </w:r>
            <w:r>
              <w:rPr>
                <w:rFonts w:cstheme="minorHAnsi"/>
                <w:sz w:val="20"/>
                <w:szCs w:val="20"/>
              </w:rPr>
              <w:t xml:space="preserve"> </w:t>
            </w:r>
          </w:p>
          <w:p w:rsidR="00E00CC0" w:rsidRPr="0087485F" w:rsidRDefault="00E00CC0" w:rsidP="00DC601E">
            <w:pPr>
              <w:spacing w:before="20" w:after="20"/>
              <w:ind w:left="-98" w:right="-108"/>
              <w:jc w:val="center"/>
              <w:rPr>
                <w:rFonts w:cstheme="minorHAnsi"/>
                <w:sz w:val="20"/>
                <w:szCs w:val="20"/>
              </w:rPr>
            </w:pPr>
            <w:r w:rsidRPr="0087485F">
              <w:rPr>
                <w:rFonts w:cstheme="minorHAnsi"/>
                <w:sz w:val="20"/>
                <w:szCs w:val="20"/>
              </w:rPr>
              <w:t>%</w:t>
            </w:r>
          </w:p>
        </w:tc>
        <w:tc>
          <w:tcPr>
            <w:tcW w:w="992" w:type="dxa"/>
            <w:tcBorders>
              <w:top w:val="single" w:sz="4" w:space="0" w:color="auto"/>
              <w:bottom w:val="single" w:sz="4" w:space="0" w:color="auto"/>
            </w:tcBorders>
            <w:shd w:val="clear" w:color="auto" w:fill="auto"/>
            <w:vAlign w:val="bottom"/>
          </w:tcPr>
          <w:p w:rsidR="00E00CC0" w:rsidRPr="0087485F" w:rsidRDefault="00E00CC0" w:rsidP="00DC601E">
            <w:pPr>
              <w:spacing w:before="20" w:after="20"/>
              <w:jc w:val="center"/>
              <w:rPr>
                <w:rFonts w:cstheme="minorHAnsi"/>
                <w:sz w:val="20"/>
                <w:szCs w:val="20"/>
              </w:rPr>
            </w:pPr>
            <w:r>
              <w:rPr>
                <w:rFonts w:cstheme="minorHAnsi"/>
                <w:sz w:val="20"/>
                <w:szCs w:val="20"/>
              </w:rPr>
              <w:t>Total Cases</w:t>
            </w:r>
          </w:p>
        </w:tc>
        <w:tc>
          <w:tcPr>
            <w:tcW w:w="1134" w:type="dxa"/>
            <w:tcBorders>
              <w:top w:val="single" w:sz="4" w:space="0" w:color="auto"/>
              <w:bottom w:val="single" w:sz="4" w:space="0" w:color="auto"/>
            </w:tcBorders>
            <w:shd w:val="clear" w:color="auto" w:fill="auto"/>
            <w:vAlign w:val="bottom"/>
          </w:tcPr>
          <w:p w:rsidR="00E00CC0" w:rsidRDefault="00E00CC0" w:rsidP="00DC601E">
            <w:pPr>
              <w:spacing w:before="20" w:after="20"/>
              <w:jc w:val="center"/>
              <w:rPr>
                <w:rFonts w:cstheme="minorHAnsi"/>
                <w:sz w:val="20"/>
                <w:szCs w:val="20"/>
              </w:rPr>
            </w:pPr>
            <w:r w:rsidRPr="0087485F">
              <w:rPr>
                <w:rFonts w:cstheme="minorHAnsi"/>
                <w:sz w:val="20"/>
                <w:szCs w:val="20"/>
              </w:rPr>
              <w:t>Total</w:t>
            </w:r>
          </w:p>
          <w:p w:rsidR="00E00CC0" w:rsidRPr="0087485F" w:rsidRDefault="00E00CC0" w:rsidP="00DC601E">
            <w:pPr>
              <w:spacing w:before="20" w:after="20"/>
              <w:jc w:val="center"/>
              <w:rPr>
                <w:rFonts w:cstheme="minorHAnsi"/>
                <w:sz w:val="20"/>
                <w:szCs w:val="20"/>
              </w:rPr>
            </w:pPr>
            <w:r w:rsidRPr="0087485F">
              <w:rPr>
                <w:rFonts w:cstheme="minorHAnsi"/>
                <w:sz w:val="20"/>
                <w:szCs w:val="20"/>
              </w:rPr>
              <w:t>%</w:t>
            </w:r>
          </w:p>
        </w:tc>
      </w:tr>
      <w:tr w:rsidR="00E00CC0" w:rsidRPr="0087485F" w:rsidTr="00617B6A">
        <w:tc>
          <w:tcPr>
            <w:tcW w:w="2235" w:type="dxa"/>
            <w:shd w:val="clear" w:color="auto" w:fill="auto"/>
          </w:tcPr>
          <w:p w:rsidR="00E00CC0" w:rsidRPr="0087485F" w:rsidRDefault="00E00CC0" w:rsidP="00D907AF">
            <w:pPr>
              <w:spacing w:before="20" w:after="20"/>
              <w:rPr>
                <w:rFonts w:cstheme="minorHAnsi"/>
                <w:sz w:val="20"/>
                <w:szCs w:val="20"/>
              </w:rPr>
            </w:pPr>
            <w:r w:rsidRPr="0087485F">
              <w:rPr>
                <w:rFonts w:cstheme="minorHAnsi"/>
                <w:sz w:val="20"/>
                <w:szCs w:val="20"/>
              </w:rPr>
              <w:t>Work</w:t>
            </w:r>
          </w:p>
        </w:tc>
        <w:tc>
          <w:tcPr>
            <w:tcW w:w="1020" w:type="dxa"/>
            <w:shd w:val="clear" w:color="auto" w:fill="auto"/>
          </w:tcPr>
          <w:p w:rsidR="00E00CC0" w:rsidRPr="0087485F" w:rsidRDefault="00E00CC0" w:rsidP="00660522">
            <w:pPr>
              <w:spacing w:before="20" w:after="20"/>
              <w:ind w:right="284"/>
              <w:jc w:val="right"/>
              <w:rPr>
                <w:rFonts w:cstheme="minorHAnsi"/>
                <w:sz w:val="20"/>
                <w:szCs w:val="20"/>
              </w:rPr>
            </w:pPr>
            <w:r w:rsidRPr="0087485F">
              <w:rPr>
                <w:rFonts w:cstheme="minorHAnsi"/>
                <w:sz w:val="20"/>
                <w:szCs w:val="20"/>
              </w:rPr>
              <w:t>56</w:t>
            </w:r>
          </w:p>
        </w:tc>
        <w:tc>
          <w:tcPr>
            <w:tcW w:w="993" w:type="dxa"/>
            <w:shd w:val="clear" w:color="auto" w:fill="auto"/>
            <w:vAlign w:val="center"/>
          </w:tcPr>
          <w:p w:rsidR="00E00CC0" w:rsidRPr="0087485F" w:rsidRDefault="00E00CC0" w:rsidP="00AA3C18">
            <w:pPr>
              <w:spacing w:before="20" w:after="20"/>
              <w:ind w:right="113"/>
              <w:jc w:val="right"/>
              <w:rPr>
                <w:rFonts w:cstheme="minorHAnsi"/>
                <w:color w:val="000000"/>
                <w:sz w:val="20"/>
                <w:szCs w:val="20"/>
              </w:rPr>
            </w:pPr>
            <w:r w:rsidRPr="0087485F">
              <w:rPr>
                <w:rFonts w:cstheme="minorHAnsi"/>
                <w:color w:val="000000"/>
                <w:sz w:val="20"/>
                <w:szCs w:val="20"/>
              </w:rPr>
              <w:t>41.2</w:t>
            </w:r>
          </w:p>
        </w:tc>
        <w:tc>
          <w:tcPr>
            <w:tcW w:w="1134" w:type="dxa"/>
          </w:tcPr>
          <w:p w:rsidR="00E00CC0" w:rsidRPr="0087485F" w:rsidRDefault="00E00CC0" w:rsidP="00AA3C18">
            <w:pPr>
              <w:spacing w:before="20" w:after="20"/>
              <w:ind w:right="454"/>
              <w:jc w:val="right"/>
              <w:rPr>
                <w:rFonts w:cstheme="minorHAnsi"/>
                <w:sz w:val="20"/>
                <w:szCs w:val="20"/>
              </w:rPr>
            </w:pPr>
            <w:r w:rsidRPr="0087485F">
              <w:rPr>
                <w:rFonts w:cstheme="minorHAnsi"/>
                <w:sz w:val="20"/>
                <w:szCs w:val="20"/>
              </w:rPr>
              <w:t>15</w:t>
            </w:r>
          </w:p>
        </w:tc>
        <w:tc>
          <w:tcPr>
            <w:tcW w:w="1191" w:type="dxa"/>
            <w:vAlign w:val="center"/>
          </w:tcPr>
          <w:p w:rsidR="00E00CC0" w:rsidRPr="0087485F" w:rsidRDefault="00E00CC0" w:rsidP="003C4D86">
            <w:pPr>
              <w:spacing w:before="20" w:after="20"/>
              <w:ind w:left="33" w:right="397"/>
              <w:jc w:val="right"/>
              <w:rPr>
                <w:rFonts w:cstheme="minorHAnsi"/>
                <w:color w:val="000000"/>
                <w:sz w:val="20"/>
                <w:szCs w:val="20"/>
              </w:rPr>
            </w:pPr>
            <w:r w:rsidRPr="0087485F">
              <w:rPr>
                <w:rFonts w:cstheme="minorHAnsi"/>
                <w:color w:val="000000"/>
                <w:sz w:val="20"/>
                <w:szCs w:val="20"/>
              </w:rPr>
              <w:t>30.6</w:t>
            </w:r>
          </w:p>
        </w:tc>
        <w:tc>
          <w:tcPr>
            <w:tcW w:w="992" w:type="dxa"/>
            <w:vAlign w:val="center"/>
          </w:tcPr>
          <w:p w:rsidR="00E00CC0" w:rsidRPr="0087485F" w:rsidRDefault="00E00CC0" w:rsidP="00185580">
            <w:pPr>
              <w:spacing w:before="20" w:after="20"/>
              <w:ind w:right="317"/>
              <w:jc w:val="right"/>
              <w:rPr>
                <w:rFonts w:cstheme="minorHAnsi"/>
                <w:color w:val="000000"/>
                <w:sz w:val="20"/>
                <w:szCs w:val="20"/>
              </w:rPr>
            </w:pPr>
            <w:r w:rsidRPr="0087485F">
              <w:rPr>
                <w:rFonts w:cstheme="minorHAnsi"/>
                <w:color w:val="000000"/>
                <w:sz w:val="20"/>
                <w:szCs w:val="20"/>
              </w:rPr>
              <w:t>71</w:t>
            </w:r>
          </w:p>
        </w:tc>
        <w:tc>
          <w:tcPr>
            <w:tcW w:w="1134" w:type="dxa"/>
            <w:vAlign w:val="center"/>
          </w:tcPr>
          <w:p w:rsidR="00E00CC0" w:rsidRPr="0087485F" w:rsidRDefault="00E00CC0" w:rsidP="00185580">
            <w:pPr>
              <w:spacing w:before="20" w:after="20"/>
              <w:ind w:right="317"/>
              <w:jc w:val="right"/>
              <w:rPr>
                <w:rFonts w:cstheme="minorHAnsi"/>
                <w:color w:val="000000"/>
                <w:sz w:val="20"/>
                <w:szCs w:val="20"/>
              </w:rPr>
            </w:pPr>
            <w:r w:rsidRPr="0087485F">
              <w:rPr>
                <w:rFonts w:cstheme="minorHAnsi"/>
                <w:color w:val="000000"/>
                <w:sz w:val="20"/>
                <w:szCs w:val="20"/>
              </w:rPr>
              <w:t>38.4</w:t>
            </w:r>
          </w:p>
        </w:tc>
      </w:tr>
      <w:tr w:rsidR="00E00CC0" w:rsidRPr="0087485F" w:rsidTr="00617B6A">
        <w:tc>
          <w:tcPr>
            <w:tcW w:w="2235" w:type="dxa"/>
            <w:shd w:val="clear" w:color="auto" w:fill="auto"/>
          </w:tcPr>
          <w:p w:rsidR="00E00CC0" w:rsidRPr="0087485F" w:rsidRDefault="00E00CC0" w:rsidP="00D907AF">
            <w:pPr>
              <w:spacing w:before="20" w:after="20"/>
              <w:rPr>
                <w:rFonts w:cstheme="minorHAnsi"/>
                <w:sz w:val="20"/>
                <w:szCs w:val="20"/>
              </w:rPr>
            </w:pPr>
            <w:r w:rsidRPr="0087485F">
              <w:rPr>
                <w:rFonts w:cstheme="minorHAnsi"/>
                <w:sz w:val="20"/>
                <w:szCs w:val="20"/>
              </w:rPr>
              <w:t>Training</w:t>
            </w:r>
          </w:p>
        </w:tc>
        <w:tc>
          <w:tcPr>
            <w:tcW w:w="1020" w:type="dxa"/>
            <w:shd w:val="clear" w:color="auto" w:fill="auto"/>
          </w:tcPr>
          <w:p w:rsidR="00E00CC0" w:rsidRPr="0087485F" w:rsidRDefault="00E00CC0" w:rsidP="00660522">
            <w:pPr>
              <w:spacing w:before="20" w:after="20"/>
              <w:ind w:right="284"/>
              <w:jc w:val="right"/>
              <w:rPr>
                <w:rFonts w:cstheme="minorHAnsi"/>
                <w:sz w:val="20"/>
                <w:szCs w:val="20"/>
              </w:rPr>
            </w:pPr>
            <w:r w:rsidRPr="0087485F">
              <w:rPr>
                <w:rFonts w:cstheme="minorHAnsi"/>
                <w:sz w:val="20"/>
                <w:szCs w:val="20"/>
              </w:rPr>
              <w:t>5</w:t>
            </w:r>
          </w:p>
        </w:tc>
        <w:tc>
          <w:tcPr>
            <w:tcW w:w="993" w:type="dxa"/>
            <w:shd w:val="clear" w:color="auto" w:fill="auto"/>
            <w:vAlign w:val="center"/>
          </w:tcPr>
          <w:p w:rsidR="00E00CC0" w:rsidRPr="0087485F" w:rsidRDefault="00E00CC0" w:rsidP="00AA3C18">
            <w:pPr>
              <w:spacing w:before="20" w:after="20"/>
              <w:ind w:right="113"/>
              <w:jc w:val="right"/>
              <w:rPr>
                <w:rFonts w:cstheme="minorHAnsi"/>
                <w:color w:val="000000"/>
                <w:sz w:val="20"/>
                <w:szCs w:val="20"/>
              </w:rPr>
            </w:pPr>
            <w:r w:rsidRPr="0087485F">
              <w:rPr>
                <w:rFonts w:cstheme="minorHAnsi"/>
                <w:color w:val="000000"/>
                <w:sz w:val="20"/>
                <w:szCs w:val="20"/>
              </w:rPr>
              <w:t>3.7</w:t>
            </w:r>
          </w:p>
        </w:tc>
        <w:tc>
          <w:tcPr>
            <w:tcW w:w="1134" w:type="dxa"/>
          </w:tcPr>
          <w:p w:rsidR="00E00CC0" w:rsidRPr="0087485F" w:rsidRDefault="00E00CC0" w:rsidP="00AA3C18">
            <w:pPr>
              <w:spacing w:before="20" w:after="20"/>
              <w:ind w:right="454"/>
              <w:jc w:val="right"/>
              <w:rPr>
                <w:rFonts w:cstheme="minorHAnsi"/>
                <w:sz w:val="20"/>
                <w:szCs w:val="20"/>
              </w:rPr>
            </w:pPr>
            <w:r w:rsidRPr="0087485F">
              <w:rPr>
                <w:rFonts w:cstheme="minorHAnsi"/>
                <w:sz w:val="20"/>
                <w:szCs w:val="20"/>
              </w:rPr>
              <w:t>8</w:t>
            </w:r>
          </w:p>
        </w:tc>
        <w:tc>
          <w:tcPr>
            <w:tcW w:w="1191" w:type="dxa"/>
            <w:vAlign w:val="center"/>
          </w:tcPr>
          <w:p w:rsidR="00E00CC0" w:rsidRPr="0087485F" w:rsidRDefault="00E00CC0" w:rsidP="003C4D86">
            <w:pPr>
              <w:spacing w:before="20" w:after="20"/>
              <w:ind w:left="33" w:right="397"/>
              <w:jc w:val="right"/>
              <w:rPr>
                <w:rFonts w:cstheme="minorHAnsi"/>
                <w:color w:val="000000"/>
                <w:sz w:val="20"/>
                <w:szCs w:val="20"/>
              </w:rPr>
            </w:pPr>
            <w:r w:rsidRPr="0087485F">
              <w:rPr>
                <w:rFonts w:cstheme="minorHAnsi"/>
                <w:color w:val="000000"/>
                <w:sz w:val="20"/>
                <w:szCs w:val="20"/>
              </w:rPr>
              <w:t>16.3</w:t>
            </w:r>
          </w:p>
        </w:tc>
        <w:tc>
          <w:tcPr>
            <w:tcW w:w="992" w:type="dxa"/>
            <w:vAlign w:val="center"/>
          </w:tcPr>
          <w:p w:rsidR="00E00CC0" w:rsidRPr="0087485F" w:rsidRDefault="00E00CC0" w:rsidP="00185580">
            <w:pPr>
              <w:spacing w:before="20" w:after="20"/>
              <w:ind w:right="317"/>
              <w:jc w:val="right"/>
              <w:rPr>
                <w:rFonts w:cstheme="minorHAnsi"/>
                <w:color w:val="000000"/>
                <w:sz w:val="20"/>
                <w:szCs w:val="20"/>
              </w:rPr>
            </w:pPr>
            <w:r w:rsidRPr="0087485F">
              <w:rPr>
                <w:rFonts w:cstheme="minorHAnsi"/>
                <w:color w:val="000000"/>
                <w:sz w:val="20"/>
                <w:szCs w:val="20"/>
              </w:rPr>
              <w:t>13</w:t>
            </w:r>
          </w:p>
        </w:tc>
        <w:tc>
          <w:tcPr>
            <w:tcW w:w="1134" w:type="dxa"/>
            <w:vAlign w:val="center"/>
          </w:tcPr>
          <w:p w:rsidR="00E00CC0" w:rsidRPr="0087485F" w:rsidRDefault="00E00CC0" w:rsidP="00185580">
            <w:pPr>
              <w:spacing w:before="20" w:after="20"/>
              <w:ind w:right="317"/>
              <w:jc w:val="right"/>
              <w:rPr>
                <w:rFonts w:cstheme="minorHAnsi"/>
                <w:color w:val="000000"/>
                <w:sz w:val="20"/>
                <w:szCs w:val="20"/>
              </w:rPr>
            </w:pPr>
            <w:r w:rsidRPr="0087485F">
              <w:rPr>
                <w:rFonts w:cstheme="minorHAnsi"/>
                <w:color w:val="000000"/>
                <w:sz w:val="20"/>
                <w:szCs w:val="20"/>
              </w:rPr>
              <w:t>7.0</w:t>
            </w:r>
          </w:p>
        </w:tc>
      </w:tr>
      <w:tr w:rsidR="00E00CC0" w:rsidRPr="0087485F" w:rsidTr="00617B6A">
        <w:tc>
          <w:tcPr>
            <w:tcW w:w="2235" w:type="dxa"/>
            <w:shd w:val="clear" w:color="auto" w:fill="auto"/>
          </w:tcPr>
          <w:p w:rsidR="00E00CC0" w:rsidRPr="0087485F" w:rsidRDefault="00E00CC0" w:rsidP="00D907AF">
            <w:pPr>
              <w:spacing w:before="20" w:after="20"/>
              <w:rPr>
                <w:rFonts w:cstheme="minorHAnsi"/>
                <w:sz w:val="20"/>
                <w:szCs w:val="20"/>
              </w:rPr>
            </w:pPr>
            <w:r w:rsidRPr="0087485F">
              <w:rPr>
                <w:rFonts w:cstheme="minorHAnsi"/>
                <w:sz w:val="20"/>
                <w:szCs w:val="20"/>
              </w:rPr>
              <w:t>University</w:t>
            </w:r>
          </w:p>
        </w:tc>
        <w:tc>
          <w:tcPr>
            <w:tcW w:w="1020" w:type="dxa"/>
            <w:shd w:val="clear" w:color="auto" w:fill="auto"/>
          </w:tcPr>
          <w:p w:rsidR="00E00CC0" w:rsidRPr="0087485F" w:rsidRDefault="00E00CC0" w:rsidP="00660522">
            <w:pPr>
              <w:spacing w:before="20" w:after="20"/>
              <w:ind w:right="284"/>
              <w:jc w:val="right"/>
              <w:rPr>
                <w:rFonts w:cstheme="minorHAnsi"/>
                <w:sz w:val="20"/>
                <w:szCs w:val="20"/>
              </w:rPr>
            </w:pPr>
            <w:r w:rsidRPr="0087485F">
              <w:rPr>
                <w:rFonts w:cstheme="minorHAnsi"/>
                <w:sz w:val="20"/>
                <w:szCs w:val="20"/>
              </w:rPr>
              <w:t>20</w:t>
            </w:r>
          </w:p>
        </w:tc>
        <w:tc>
          <w:tcPr>
            <w:tcW w:w="993" w:type="dxa"/>
            <w:shd w:val="clear" w:color="auto" w:fill="auto"/>
            <w:vAlign w:val="center"/>
          </w:tcPr>
          <w:p w:rsidR="00E00CC0" w:rsidRPr="0087485F" w:rsidRDefault="00E00CC0" w:rsidP="00AA3C18">
            <w:pPr>
              <w:spacing w:before="20" w:after="20"/>
              <w:ind w:right="113"/>
              <w:jc w:val="right"/>
              <w:rPr>
                <w:rFonts w:cstheme="minorHAnsi"/>
                <w:color w:val="000000"/>
                <w:sz w:val="20"/>
                <w:szCs w:val="20"/>
              </w:rPr>
            </w:pPr>
            <w:r w:rsidRPr="0087485F">
              <w:rPr>
                <w:rFonts w:cstheme="minorHAnsi"/>
                <w:color w:val="000000"/>
                <w:sz w:val="20"/>
                <w:szCs w:val="20"/>
              </w:rPr>
              <w:t>14.7</w:t>
            </w:r>
          </w:p>
        </w:tc>
        <w:tc>
          <w:tcPr>
            <w:tcW w:w="1134" w:type="dxa"/>
          </w:tcPr>
          <w:p w:rsidR="00E00CC0" w:rsidRPr="0087485F" w:rsidRDefault="00E00CC0" w:rsidP="00AA3C18">
            <w:pPr>
              <w:spacing w:before="20" w:after="20"/>
              <w:ind w:right="454"/>
              <w:jc w:val="right"/>
              <w:rPr>
                <w:rFonts w:cstheme="minorHAnsi"/>
                <w:sz w:val="20"/>
                <w:szCs w:val="20"/>
              </w:rPr>
            </w:pPr>
            <w:r w:rsidRPr="0087485F">
              <w:rPr>
                <w:rFonts w:cstheme="minorHAnsi"/>
                <w:sz w:val="20"/>
                <w:szCs w:val="20"/>
              </w:rPr>
              <w:t>5</w:t>
            </w:r>
          </w:p>
        </w:tc>
        <w:tc>
          <w:tcPr>
            <w:tcW w:w="1191" w:type="dxa"/>
            <w:vAlign w:val="center"/>
          </w:tcPr>
          <w:p w:rsidR="00E00CC0" w:rsidRPr="0087485F" w:rsidRDefault="00E00CC0" w:rsidP="003C4D86">
            <w:pPr>
              <w:spacing w:before="20" w:after="20"/>
              <w:ind w:left="33" w:right="397"/>
              <w:jc w:val="right"/>
              <w:rPr>
                <w:rFonts w:cstheme="minorHAnsi"/>
                <w:color w:val="000000"/>
                <w:sz w:val="20"/>
                <w:szCs w:val="20"/>
              </w:rPr>
            </w:pPr>
            <w:r w:rsidRPr="0087485F">
              <w:rPr>
                <w:rFonts w:cstheme="minorHAnsi"/>
                <w:color w:val="000000"/>
                <w:sz w:val="20"/>
                <w:szCs w:val="20"/>
              </w:rPr>
              <w:t>10.2</w:t>
            </w:r>
          </w:p>
        </w:tc>
        <w:tc>
          <w:tcPr>
            <w:tcW w:w="992" w:type="dxa"/>
            <w:vAlign w:val="center"/>
          </w:tcPr>
          <w:p w:rsidR="00E00CC0" w:rsidRPr="0087485F" w:rsidRDefault="00E00CC0" w:rsidP="00185580">
            <w:pPr>
              <w:spacing w:before="20" w:after="20"/>
              <w:ind w:right="317"/>
              <w:jc w:val="right"/>
              <w:rPr>
                <w:rFonts w:cstheme="minorHAnsi"/>
                <w:color w:val="000000"/>
                <w:sz w:val="20"/>
                <w:szCs w:val="20"/>
              </w:rPr>
            </w:pPr>
            <w:r w:rsidRPr="0087485F">
              <w:rPr>
                <w:rFonts w:cstheme="minorHAnsi"/>
                <w:color w:val="000000"/>
                <w:sz w:val="20"/>
                <w:szCs w:val="20"/>
              </w:rPr>
              <w:t>25</w:t>
            </w:r>
          </w:p>
        </w:tc>
        <w:tc>
          <w:tcPr>
            <w:tcW w:w="1134" w:type="dxa"/>
            <w:vAlign w:val="center"/>
          </w:tcPr>
          <w:p w:rsidR="00E00CC0" w:rsidRPr="0087485F" w:rsidRDefault="00E00CC0" w:rsidP="00185580">
            <w:pPr>
              <w:spacing w:before="20" w:after="20"/>
              <w:ind w:right="317"/>
              <w:jc w:val="right"/>
              <w:rPr>
                <w:rFonts w:cstheme="minorHAnsi"/>
                <w:color w:val="000000"/>
                <w:sz w:val="20"/>
                <w:szCs w:val="20"/>
              </w:rPr>
            </w:pPr>
            <w:r w:rsidRPr="0087485F">
              <w:rPr>
                <w:rFonts w:cstheme="minorHAnsi"/>
                <w:color w:val="000000"/>
                <w:sz w:val="20"/>
                <w:szCs w:val="20"/>
              </w:rPr>
              <w:t>13.5</w:t>
            </w:r>
          </w:p>
        </w:tc>
      </w:tr>
      <w:tr w:rsidR="00E00CC0" w:rsidRPr="0087485F" w:rsidTr="00617B6A">
        <w:tc>
          <w:tcPr>
            <w:tcW w:w="2235" w:type="dxa"/>
            <w:shd w:val="clear" w:color="auto" w:fill="auto"/>
          </w:tcPr>
          <w:p w:rsidR="00E00CC0" w:rsidRPr="0087485F" w:rsidRDefault="00E00CC0" w:rsidP="00D907AF">
            <w:pPr>
              <w:spacing w:before="20" w:after="20"/>
              <w:rPr>
                <w:rFonts w:cstheme="minorHAnsi"/>
                <w:sz w:val="20"/>
                <w:szCs w:val="20"/>
              </w:rPr>
            </w:pPr>
            <w:r w:rsidRPr="0087485F">
              <w:rPr>
                <w:rFonts w:cstheme="minorHAnsi"/>
                <w:sz w:val="20"/>
                <w:szCs w:val="20"/>
              </w:rPr>
              <w:t>Something else</w:t>
            </w:r>
          </w:p>
        </w:tc>
        <w:tc>
          <w:tcPr>
            <w:tcW w:w="1020" w:type="dxa"/>
            <w:shd w:val="clear" w:color="auto" w:fill="auto"/>
          </w:tcPr>
          <w:p w:rsidR="00E00CC0" w:rsidRPr="0087485F" w:rsidRDefault="00E00CC0" w:rsidP="00660522">
            <w:pPr>
              <w:spacing w:before="20" w:after="20"/>
              <w:ind w:right="284"/>
              <w:jc w:val="right"/>
              <w:rPr>
                <w:rFonts w:cstheme="minorHAnsi"/>
                <w:sz w:val="20"/>
                <w:szCs w:val="20"/>
              </w:rPr>
            </w:pPr>
            <w:r w:rsidRPr="0087485F">
              <w:rPr>
                <w:rFonts w:cstheme="minorHAnsi"/>
                <w:sz w:val="20"/>
                <w:szCs w:val="20"/>
              </w:rPr>
              <w:t>16</w:t>
            </w:r>
          </w:p>
        </w:tc>
        <w:tc>
          <w:tcPr>
            <w:tcW w:w="993" w:type="dxa"/>
            <w:shd w:val="clear" w:color="auto" w:fill="auto"/>
            <w:vAlign w:val="center"/>
          </w:tcPr>
          <w:p w:rsidR="00E00CC0" w:rsidRPr="0087485F" w:rsidRDefault="00E00CC0" w:rsidP="00AA3C18">
            <w:pPr>
              <w:spacing w:before="20" w:after="20"/>
              <w:ind w:right="113"/>
              <w:jc w:val="right"/>
              <w:rPr>
                <w:rFonts w:cstheme="minorHAnsi"/>
                <w:color w:val="000000"/>
                <w:sz w:val="20"/>
                <w:szCs w:val="20"/>
              </w:rPr>
            </w:pPr>
            <w:r w:rsidRPr="0087485F">
              <w:rPr>
                <w:rFonts w:cstheme="minorHAnsi"/>
                <w:color w:val="000000"/>
                <w:sz w:val="20"/>
                <w:szCs w:val="20"/>
              </w:rPr>
              <w:t>11.8</w:t>
            </w:r>
          </w:p>
        </w:tc>
        <w:tc>
          <w:tcPr>
            <w:tcW w:w="1134" w:type="dxa"/>
          </w:tcPr>
          <w:p w:rsidR="00E00CC0" w:rsidRPr="0087485F" w:rsidRDefault="00E00CC0" w:rsidP="00AA3C18">
            <w:pPr>
              <w:spacing w:before="20" w:after="20"/>
              <w:ind w:right="454"/>
              <w:jc w:val="right"/>
              <w:rPr>
                <w:rFonts w:cstheme="minorHAnsi"/>
                <w:sz w:val="20"/>
                <w:szCs w:val="20"/>
              </w:rPr>
            </w:pPr>
            <w:r w:rsidRPr="0087485F">
              <w:rPr>
                <w:rFonts w:cstheme="minorHAnsi"/>
                <w:sz w:val="20"/>
                <w:szCs w:val="20"/>
              </w:rPr>
              <w:t>5</w:t>
            </w:r>
          </w:p>
        </w:tc>
        <w:tc>
          <w:tcPr>
            <w:tcW w:w="1191" w:type="dxa"/>
            <w:vAlign w:val="center"/>
          </w:tcPr>
          <w:p w:rsidR="00E00CC0" w:rsidRPr="0087485F" w:rsidRDefault="00E00CC0" w:rsidP="003C4D86">
            <w:pPr>
              <w:spacing w:before="20" w:after="20"/>
              <w:ind w:left="33" w:right="397"/>
              <w:jc w:val="right"/>
              <w:rPr>
                <w:rFonts w:cstheme="minorHAnsi"/>
                <w:color w:val="000000"/>
                <w:sz w:val="20"/>
                <w:szCs w:val="20"/>
              </w:rPr>
            </w:pPr>
            <w:r w:rsidRPr="0087485F">
              <w:rPr>
                <w:rFonts w:cstheme="minorHAnsi"/>
                <w:color w:val="000000"/>
                <w:sz w:val="20"/>
                <w:szCs w:val="20"/>
              </w:rPr>
              <w:t>10.2</w:t>
            </w:r>
          </w:p>
        </w:tc>
        <w:tc>
          <w:tcPr>
            <w:tcW w:w="992" w:type="dxa"/>
            <w:vAlign w:val="center"/>
          </w:tcPr>
          <w:p w:rsidR="00E00CC0" w:rsidRPr="0087485F" w:rsidRDefault="00E00CC0" w:rsidP="00185580">
            <w:pPr>
              <w:spacing w:before="20" w:after="20"/>
              <w:ind w:right="317"/>
              <w:jc w:val="right"/>
              <w:rPr>
                <w:rFonts w:cstheme="minorHAnsi"/>
                <w:color w:val="000000"/>
                <w:sz w:val="20"/>
                <w:szCs w:val="20"/>
              </w:rPr>
            </w:pPr>
            <w:r w:rsidRPr="0087485F">
              <w:rPr>
                <w:rFonts w:cstheme="minorHAnsi"/>
                <w:color w:val="000000"/>
                <w:sz w:val="20"/>
                <w:szCs w:val="20"/>
              </w:rPr>
              <w:t>21</w:t>
            </w:r>
          </w:p>
        </w:tc>
        <w:tc>
          <w:tcPr>
            <w:tcW w:w="1134" w:type="dxa"/>
            <w:vAlign w:val="center"/>
          </w:tcPr>
          <w:p w:rsidR="00E00CC0" w:rsidRPr="0087485F" w:rsidRDefault="00E00CC0" w:rsidP="00185580">
            <w:pPr>
              <w:spacing w:before="20" w:after="20"/>
              <w:ind w:right="317"/>
              <w:jc w:val="right"/>
              <w:rPr>
                <w:rFonts w:cstheme="minorHAnsi"/>
                <w:color w:val="000000"/>
                <w:sz w:val="20"/>
                <w:szCs w:val="20"/>
              </w:rPr>
            </w:pPr>
            <w:r w:rsidRPr="0087485F">
              <w:rPr>
                <w:rFonts w:cstheme="minorHAnsi"/>
                <w:color w:val="000000"/>
                <w:sz w:val="20"/>
                <w:szCs w:val="20"/>
              </w:rPr>
              <w:t>11.4</w:t>
            </w:r>
          </w:p>
        </w:tc>
      </w:tr>
      <w:tr w:rsidR="00E00CC0" w:rsidRPr="0087485F" w:rsidTr="00617B6A">
        <w:tc>
          <w:tcPr>
            <w:tcW w:w="2235" w:type="dxa"/>
            <w:shd w:val="clear" w:color="auto" w:fill="auto"/>
          </w:tcPr>
          <w:p w:rsidR="00E00CC0" w:rsidRPr="0087485F" w:rsidRDefault="00E00CC0" w:rsidP="00D907AF">
            <w:pPr>
              <w:spacing w:before="20" w:after="20"/>
              <w:rPr>
                <w:rFonts w:cstheme="minorHAnsi"/>
                <w:sz w:val="20"/>
                <w:szCs w:val="20"/>
              </w:rPr>
            </w:pPr>
            <w:r w:rsidRPr="0087485F">
              <w:rPr>
                <w:rFonts w:cstheme="minorHAnsi"/>
                <w:sz w:val="20"/>
                <w:szCs w:val="20"/>
              </w:rPr>
              <w:t>Nothing</w:t>
            </w:r>
          </w:p>
        </w:tc>
        <w:tc>
          <w:tcPr>
            <w:tcW w:w="1020" w:type="dxa"/>
            <w:shd w:val="clear" w:color="auto" w:fill="auto"/>
          </w:tcPr>
          <w:p w:rsidR="00E00CC0" w:rsidRPr="0087485F" w:rsidRDefault="00E00CC0" w:rsidP="00660522">
            <w:pPr>
              <w:spacing w:before="20" w:after="20"/>
              <w:ind w:right="284"/>
              <w:jc w:val="right"/>
              <w:rPr>
                <w:rFonts w:cstheme="minorHAnsi"/>
                <w:sz w:val="20"/>
                <w:szCs w:val="20"/>
              </w:rPr>
            </w:pPr>
            <w:r w:rsidRPr="0087485F">
              <w:rPr>
                <w:rFonts w:cstheme="minorHAnsi"/>
                <w:sz w:val="20"/>
                <w:szCs w:val="20"/>
              </w:rPr>
              <w:t>4</w:t>
            </w:r>
          </w:p>
        </w:tc>
        <w:tc>
          <w:tcPr>
            <w:tcW w:w="993" w:type="dxa"/>
            <w:shd w:val="clear" w:color="auto" w:fill="auto"/>
            <w:vAlign w:val="center"/>
          </w:tcPr>
          <w:p w:rsidR="00E00CC0" w:rsidRPr="0087485F" w:rsidRDefault="00E00CC0" w:rsidP="00AA3C18">
            <w:pPr>
              <w:spacing w:before="20" w:after="20"/>
              <w:ind w:right="113"/>
              <w:jc w:val="right"/>
              <w:rPr>
                <w:rFonts w:cstheme="minorHAnsi"/>
                <w:color w:val="000000"/>
                <w:sz w:val="20"/>
                <w:szCs w:val="20"/>
              </w:rPr>
            </w:pPr>
            <w:r w:rsidRPr="0087485F">
              <w:rPr>
                <w:rFonts w:cstheme="minorHAnsi"/>
                <w:color w:val="000000"/>
                <w:sz w:val="20"/>
                <w:szCs w:val="20"/>
              </w:rPr>
              <w:t>2.9</w:t>
            </w:r>
          </w:p>
        </w:tc>
        <w:tc>
          <w:tcPr>
            <w:tcW w:w="1134" w:type="dxa"/>
          </w:tcPr>
          <w:p w:rsidR="00E00CC0" w:rsidRPr="0087485F" w:rsidRDefault="00E00CC0" w:rsidP="00AA3C18">
            <w:pPr>
              <w:spacing w:before="20" w:after="20"/>
              <w:ind w:right="454"/>
              <w:jc w:val="right"/>
              <w:rPr>
                <w:rFonts w:cstheme="minorHAnsi"/>
                <w:sz w:val="20"/>
                <w:szCs w:val="20"/>
              </w:rPr>
            </w:pPr>
            <w:r w:rsidRPr="0087485F">
              <w:rPr>
                <w:rFonts w:cstheme="minorHAnsi"/>
                <w:sz w:val="20"/>
                <w:szCs w:val="20"/>
              </w:rPr>
              <w:t>-</w:t>
            </w:r>
          </w:p>
        </w:tc>
        <w:tc>
          <w:tcPr>
            <w:tcW w:w="1191" w:type="dxa"/>
          </w:tcPr>
          <w:p w:rsidR="00E00CC0" w:rsidRPr="0087485F" w:rsidRDefault="00E00CC0" w:rsidP="003C4D86">
            <w:pPr>
              <w:spacing w:before="20" w:after="20"/>
              <w:ind w:left="33" w:right="397"/>
              <w:jc w:val="right"/>
              <w:rPr>
                <w:rFonts w:cstheme="minorHAnsi"/>
                <w:color w:val="000000"/>
                <w:sz w:val="20"/>
                <w:szCs w:val="20"/>
              </w:rPr>
            </w:pPr>
            <w:r w:rsidRPr="0087485F">
              <w:rPr>
                <w:rFonts w:cstheme="minorHAnsi"/>
                <w:color w:val="000000"/>
                <w:sz w:val="20"/>
                <w:szCs w:val="20"/>
              </w:rPr>
              <w:t>-</w:t>
            </w:r>
          </w:p>
        </w:tc>
        <w:tc>
          <w:tcPr>
            <w:tcW w:w="992" w:type="dxa"/>
            <w:vAlign w:val="center"/>
          </w:tcPr>
          <w:p w:rsidR="00E00CC0" w:rsidRPr="0087485F" w:rsidRDefault="00E00CC0" w:rsidP="00185580">
            <w:pPr>
              <w:spacing w:before="20" w:after="20"/>
              <w:ind w:right="317"/>
              <w:jc w:val="right"/>
              <w:rPr>
                <w:rFonts w:cstheme="minorHAnsi"/>
                <w:color w:val="000000"/>
                <w:sz w:val="20"/>
                <w:szCs w:val="20"/>
              </w:rPr>
            </w:pPr>
            <w:r w:rsidRPr="0087485F">
              <w:rPr>
                <w:rFonts w:cstheme="minorHAnsi"/>
                <w:color w:val="000000"/>
                <w:sz w:val="20"/>
                <w:szCs w:val="20"/>
              </w:rPr>
              <w:t>4</w:t>
            </w:r>
          </w:p>
        </w:tc>
        <w:tc>
          <w:tcPr>
            <w:tcW w:w="1134" w:type="dxa"/>
            <w:vAlign w:val="center"/>
          </w:tcPr>
          <w:p w:rsidR="00E00CC0" w:rsidRPr="0087485F" w:rsidRDefault="00E00CC0" w:rsidP="00185580">
            <w:pPr>
              <w:spacing w:before="20" w:after="20"/>
              <w:ind w:right="317"/>
              <w:jc w:val="right"/>
              <w:rPr>
                <w:rFonts w:cstheme="minorHAnsi"/>
                <w:color w:val="000000"/>
                <w:sz w:val="20"/>
                <w:szCs w:val="20"/>
              </w:rPr>
            </w:pPr>
            <w:r w:rsidRPr="0087485F">
              <w:rPr>
                <w:rFonts w:cstheme="minorHAnsi"/>
                <w:color w:val="000000"/>
                <w:sz w:val="20"/>
                <w:szCs w:val="20"/>
              </w:rPr>
              <w:t>2.2</w:t>
            </w:r>
          </w:p>
        </w:tc>
      </w:tr>
      <w:tr w:rsidR="00E00CC0" w:rsidRPr="0087485F" w:rsidTr="00617B6A">
        <w:tc>
          <w:tcPr>
            <w:tcW w:w="2235" w:type="dxa"/>
          </w:tcPr>
          <w:p w:rsidR="00E00CC0" w:rsidRPr="0087485F" w:rsidRDefault="00E00CC0" w:rsidP="00D907AF">
            <w:pPr>
              <w:spacing w:before="20" w:after="20"/>
              <w:rPr>
                <w:rFonts w:cstheme="minorHAnsi"/>
                <w:sz w:val="20"/>
                <w:szCs w:val="20"/>
              </w:rPr>
            </w:pPr>
            <w:r w:rsidRPr="0087485F">
              <w:rPr>
                <w:rFonts w:cstheme="minorHAnsi"/>
                <w:sz w:val="20"/>
                <w:szCs w:val="20"/>
              </w:rPr>
              <w:t>Don’t know</w:t>
            </w:r>
          </w:p>
        </w:tc>
        <w:tc>
          <w:tcPr>
            <w:tcW w:w="1020" w:type="dxa"/>
          </w:tcPr>
          <w:p w:rsidR="00E00CC0" w:rsidRPr="0087485F" w:rsidRDefault="00E00CC0" w:rsidP="00660522">
            <w:pPr>
              <w:spacing w:before="20" w:after="20"/>
              <w:ind w:right="284"/>
              <w:jc w:val="right"/>
              <w:rPr>
                <w:rFonts w:cstheme="minorHAnsi"/>
                <w:sz w:val="20"/>
                <w:szCs w:val="20"/>
              </w:rPr>
            </w:pPr>
            <w:r w:rsidRPr="0087485F">
              <w:rPr>
                <w:rFonts w:cstheme="minorHAnsi"/>
                <w:sz w:val="20"/>
                <w:szCs w:val="20"/>
              </w:rPr>
              <w:t>24</w:t>
            </w:r>
          </w:p>
        </w:tc>
        <w:tc>
          <w:tcPr>
            <w:tcW w:w="993" w:type="dxa"/>
          </w:tcPr>
          <w:p w:rsidR="00E00CC0" w:rsidRPr="0087485F" w:rsidRDefault="00E00CC0" w:rsidP="00AA3C18">
            <w:pPr>
              <w:spacing w:before="20" w:after="20"/>
              <w:ind w:right="113"/>
              <w:jc w:val="right"/>
              <w:rPr>
                <w:rFonts w:cstheme="minorHAnsi"/>
                <w:color w:val="000000"/>
                <w:sz w:val="20"/>
                <w:szCs w:val="20"/>
              </w:rPr>
            </w:pPr>
            <w:r w:rsidRPr="0087485F">
              <w:rPr>
                <w:rFonts w:cstheme="minorHAnsi"/>
                <w:color w:val="000000"/>
                <w:sz w:val="20"/>
                <w:szCs w:val="20"/>
              </w:rPr>
              <w:t>17.7</w:t>
            </w:r>
          </w:p>
        </w:tc>
        <w:tc>
          <w:tcPr>
            <w:tcW w:w="1134" w:type="dxa"/>
          </w:tcPr>
          <w:p w:rsidR="00E00CC0" w:rsidRPr="0087485F" w:rsidRDefault="00E00CC0" w:rsidP="00AA3C18">
            <w:pPr>
              <w:spacing w:before="20" w:after="20"/>
              <w:ind w:right="454"/>
              <w:jc w:val="right"/>
              <w:rPr>
                <w:rFonts w:cstheme="minorHAnsi"/>
                <w:sz w:val="20"/>
                <w:szCs w:val="20"/>
              </w:rPr>
            </w:pPr>
            <w:r w:rsidRPr="0087485F">
              <w:rPr>
                <w:rFonts w:cstheme="minorHAnsi"/>
                <w:sz w:val="20"/>
                <w:szCs w:val="20"/>
              </w:rPr>
              <w:t>11</w:t>
            </w:r>
          </w:p>
        </w:tc>
        <w:tc>
          <w:tcPr>
            <w:tcW w:w="1191" w:type="dxa"/>
          </w:tcPr>
          <w:p w:rsidR="00E00CC0" w:rsidRPr="0087485F" w:rsidRDefault="00E00CC0" w:rsidP="003C4D86">
            <w:pPr>
              <w:spacing w:before="20" w:after="20"/>
              <w:ind w:left="33" w:right="397"/>
              <w:jc w:val="right"/>
              <w:rPr>
                <w:rFonts w:cstheme="minorHAnsi"/>
                <w:color w:val="000000"/>
                <w:sz w:val="20"/>
                <w:szCs w:val="20"/>
              </w:rPr>
            </w:pPr>
            <w:r w:rsidRPr="0087485F">
              <w:rPr>
                <w:rFonts w:cstheme="minorHAnsi"/>
                <w:color w:val="000000"/>
                <w:sz w:val="20"/>
                <w:szCs w:val="20"/>
              </w:rPr>
              <w:t>22.5</w:t>
            </w:r>
          </w:p>
        </w:tc>
        <w:tc>
          <w:tcPr>
            <w:tcW w:w="992" w:type="dxa"/>
            <w:vAlign w:val="center"/>
          </w:tcPr>
          <w:p w:rsidR="00E00CC0" w:rsidRPr="0087485F" w:rsidRDefault="00E00CC0" w:rsidP="00185580">
            <w:pPr>
              <w:spacing w:before="20" w:after="20"/>
              <w:ind w:right="317"/>
              <w:jc w:val="right"/>
              <w:rPr>
                <w:rFonts w:cstheme="minorHAnsi"/>
                <w:color w:val="000000"/>
                <w:sz w:val="20"/>
                <w:szCs w:val="20"/>
              </w:rPr>
            </w:pPr>
            <w:r w:rsidRPr="0087485F">
              <w:rPr>
                <w:rFonts w:cstheme="minorHAnsi"/>
                <w:color w:val="000000"/>
                <w:sz w:val="20"/>
                <w:szCs w:val="20"/>
              </w:rPr>
              <w:t>35</w:t>
            </w:r>
          </w:p>
        </w:tc>
        <w:tc>
          <w:tcPr>
            <w:tcW w:w="1134" w:type="dxa"/>
            <w:vAlign w:val="center"/>
          </w:tcPr>
          <w:p w:rsidR="00E00CC0" w:rsidRPr="0087485F" w:rsidRDefault="00E00CC0" w:rsidP="00185580">
            <w:pPr>
              <w:spacing w:before="20" w:after="20"/>
              <w:ind w:right="317"/>
              <w:jc w:val="right"/>
              <w:rPr>
                <w:rFonts w:cstheme="minorHAnsi"/>
                <w:color w:val="000000"/>
                <w:sz w:val="20"/>
                <w:szCs w:val="20"/>
              </w:rPr>
            </w:pPr>
            <w:r w:rsidRPr="0087485F">
              <w:rPr>
                <w:rFonts w:cstheme="minorHAnsi"/>
                <w:color w:val="000000"/>
                <w:sz w:val="20"/>
                <w:szCs w:val="20"/>
              </w:rPr>
              <w:t>18.9</w:t>
            </w:r>
          </w:p>
        </w:tc>
      </w:tr>
      <w:tr w:rsidR="00E00CC0" w:rsidRPr="0087485F" w:rsidTr="00617B6A">
        <w:tc>
          <w:tcPr>
            <w:tcW w:w="2235" w:type="dxa"/>
            <w:tcBorders>
              <w:bottom w:val="single" w:sz="4" w:space="0" w:color="auto"/>
            </w:tcBorders>
            <w:shd w:val="clear" w:color="auto" w:fill="auto"/>
          </w:tcPr>
          <w:p w:rsidR="00E00CC0" w:rsidRPr="0087485F" w:rsidRDefault="00E00CC0" w:rsidP="00D907AF">
            <w:pPr>
              <w:spacing w:before="20" w:after="20"/>
              <w:rPr>
                <w:rFonts w:cstheme="minorHAnsi"/>
                <w:sz w:val="20"/>
                <w:szCs w:val="20"/>
              </w:rPr>
            </w:pPr>
            <w:r w:rsidRPr="0087485F">
              <w:rPr>
                <w:rFonts w:cstheme="minorHAnsi"/>
                <w:sz w:val="20"/>
                <w:szCs w:val="20"/>
              </w:rPr>
              <w:t xml:space="preserve">Missing </w:t>
            </w:r>
          </w:p>
        </w:tc>
        <w:tc>
          <w:tcPr>
            <w:tcW w:w="1020" w:type="dxa"/>
            <w:tcBorders>
              <w:bottom w:val="single" w:sz="4" w:space="0" w:color="auto"/>
            </w:tcBorders>
            <w:shd w:val="clear" w:color="auto" w:fill="auto"/>
          </w:tcPr>
          <w:p w:rsidR="00E00CC0" w:rsidRPr="0087485F" w:rsidRDefault="00E00CC0" w:rsidP="00660522">
            <w:pPr>
              <w:spacing w:before="20" w:after="20"/>
              <w:ind w:right="284"/>
              <w:jc w:val="right"/>
              <w:rPr>
                <w:rFonts w:cstheme="minorHAnsi"/>
                <w:sz w:val="20"/>
                <w:szCs w:val="20"/>
              </w:rPr>
            </w:pPr>
            <w:r w:rsidRPr="0087485F">
              <w:rPr>
                <w:rFonts w:cstheme="minorHAnsi"/>
                <w:sz w:val="20"/>
                <w:szCs w:val="20"/>
              </w:rPr>
              <w:t>11</w:t>
            </w:r>
          </w:p>
        </w:tc>
        <w:tc>
          <w:tcPr>
            <w:tcW w:w="993" w:type="dxa"/>
            <w:tcBorders>
              <w:bottom w:val="single" w:sz="4" w:space="0" w:color="auto"/>
            </w:tcBorders>
            <w:shd w:val="clear" w:color="auto" w:fill="auto"/>
            <w:vAlign w:val="center"/>
          </w:tcPr>
          <w:p w:rsidR="00E00CC0" w:rsidRPr="0087485F" w:rsidRDefault="00E00CC0" w:rsidP="00AA3C18">
            <w:pPr>
              <w:spacing w:before="20" w:after="20"/>
              <w:ind w:right="113"/>
              <w:jc w:val="right"/>
              <w:rPr>
                <w:rFonts w:cstheme="minorHAnsi"/>
                <w:color w:val="000000"/>
                <w:sz w:val="20"/>
                <w:szCs w:val="20"/>
              </w:rPr>
            </w:pPr>
            <w:r w:rsidRPr="0087485F">
              <w:rPr>
                <w:rFonts w:cstheme="minorHAnsi"/>
                <w:color w:val="000000"/>
                <w:sz w:val="20"/>
                <w:szCs w:val="20"/>
              </w:rPr>
              <w:t>8.1</w:t>
            </w:r>
          </w:p>
        </w:tc>
        <w:tc>
          <w:tcPr>
            <w:tcW w:w="1134" w:type="dxa"/>
            <w:tcBorders>
              <w:bottom w:val="single" w:sz="4" w:space="0" w:color="auto"/>
            </w:tcBorders>
          </w:tcPr>
          <w:p w:rsidR="00E00CC0" w:rsidRPr="0087485F" w:rsidRDefault="00E00CC0" w:rsidP="00AA3C18">
            <w:pPr>
              <w:spacing w:before="20" w:after="20"/>
              <w:ind w:right="454"/>
              <w:jc w:val="right"/>
              <w:rPr>
                <w:rFonts w:cstheme="minorHAnsi"/>
                <w:sz w:val="20"/>
                <w:szCs w:val="20"/>
              </w:rPr>
            </w:pPr>
            <w:r w:rsidRPr="0087485F">
              <w:rPr>
                <w:rFonts w:cstheme="minorHAnsi"/>
                <w:sz w:val="20"/>
                <w:szCs w:val="20"/>
              </w:rPr>
              <w:t>5</w:t>
            </w:r>
          </w:p>
        </w:tc>
        <w:tc>
          <w:tcPr>
            <w:tcW w:w="1191" w:type="dxa"/>
            <w:tcBorders>
              <w:bottom w:val="single" w:sz="4" w:space="0" w:color="auto"/>
            </w:tcBorders>
            <w:vAlign w:val="center"/>
          </w:tcPr>
          <w:p w:rsidR="00E00CC0" w:rsidRPr="0087485F" w:rsidRDefault="00E00CC0" w:rsidP="003C4D86">
            <w:pPr>
              <w:spacing w:before="20" w:after="20"/>
              <w:ind w:left="33" w:right="397"/>
              <w:jc w:val="right"/>
              <w:rPr>
                <w:rFonts w:cstheme="minorHAnsi"/>
                <w:color w:val="000000"/>
                <w:sz w:val="20"/>
                <w:szCs w:val="20"/>
              </w:rPr>
            </w:pPr>
            <w:r w:rsidRPr="0087485F">
              <w:rPr>
                <w:rFonts w:cstheme="minorHAnsi"/>
                <w:color w:val="000000"/>
                <w:sz w:val="20"/>
                <w:szCs w:val="20"/>
              </w:rPr>
              <w:t>10.2</w:t>
            </w:r>
          </w:p>
        </w:tc>
        <w:tc>
          <w:tcPr>
            <w:tcW w:w="992" w:type="dxa"/>
            <w:tcBorders>
              <w:bottom w:val="single" w:sz="4" w:space="0" w:color="auto"/>
            </w:tcBorders>
            <w:vAlign w:val="center"/>
          </w:tcPr>
          <w:p w:rsidR="00E00CC0" w:rsidRPr="0087485F" w:rsidRDefault="00E00CC0" w:rsidP="00185580">
            <w:pPr>
              <w:spacing w:before="20" w:after="20"/>
              <w:ind w:right="317"/>
              <w:jc w:val="right"/>
              <w:rPr>
                <w:rFonts w:cstheme="minorHAnsi"/>
                <w:color w:val="000000"/>
                <w:sz w:val="20"/>
                <w:szCs w:val="20"/>
              </w:rPr>
            </w:pPr>
            <w:r w:rsidRPr="0087485F">
              <w:rPr>
                <w:rFonts w:cstheme="minorHAnsi"/>
                <w:color w:val="000000"/>
                <w:sz w:val="20"/>
                <w:szCs w:val="20"/>
              </w:rPr>
              <w:t>16</w:t>
            </w:r>
          </w:p>
        </w:tc>
        <w:tc>
          <w:tcPr>
            <w:tcW w:w="1134" w:type="dxa"/>
            <w:tcBorders>
              <w:bottom w:val="single" w:sz="4" w:space="0" w:color="auto"/>
            </w:tcBorders>
            <w:vAlign w:val="center"/>
          </w:tcPr>
          <w:p w:rsidR="00E00CC0" w:rsidRPr="0087485F" w:rsidRDefault="00E00CC0" w:rsidP="00185580">
            <w:pPr>
              <w:spacing w:before="20" w:after="20"/>
              <w:ind w:right="317"/>
              <w:jc w:val="right"/>
              <w:rPr>
                <w:rFonts w:cstheme="minorHAnsi"/>
                <w:color w:val="000000"/>
                <w:sz w:val="20"/>
                <w:szCs w:val="20"/>
              </w:rPr>
            </w:pPr>
            <w:r w:rsidRPr="0087485F">
              <w:rPr>
                <w:rFonts w:cstheme="minorHAnsi"/>
                <w:color w:val="000000"/>
                <w:sz w:val="20"/>
                <w:szCs w:val="20"/>
              </w:rPr>
              <w:t>8.6</w:t>
            </w:r>
          </w:p>
        </w:tc>
      </w:tr>
      <w:tr w:rsidR="00E00CC0" w:rsidRPr="0087485F" w:rsidTr="00617B6A">
        <w:tc>
          <w:tcPr>
            <w:tcW w:w="2235" w:type="dxa"/>
            <w:tcBorders>
              <w:top w:val="single" w:sz="4" w:space="0" w:color="auto"/>
              <w:bottom w:val="single" w:sz="4" w:space="0" w:color="auto"/>
            </w:tcBorders>
            <w:shd w:val="clear" w:color="auto" w:fill="auto"/>
          </w:tcPr>
          <w:p w:rsidR="00E00CC0" w:rsidRPr="0087485F" w:rsidRDefault="00E00CC0" w:rsidP="00D907AF">
            <w:pPr>
              <w:spacing w:before="20" w:after="20"/>
              <w:rPr>
                <w:rFonts w:cstheme="minorHAnsi"/>
                <w:b/>
                <w:sz w:val="20"/>
                <w:szCs w:val="20"/>
              </w:rPr>
            </w:pPr>
            <w:r w:rsidRPr="0087485F">
              <w:rPr>
                <w:rFonts w:cstheme="minorHAnsi"/>
                <w:b/>
                <w:sz w:val="20"/>
                <w:szCs w:val="20"/>
              </w:rPr>
              <w:t>Total</w:t>
            </w:r>
          </w:p>
        </w:tc>
        <w:tc>
          <w:tcPr>
            <w:tcW w:w="1020" w:type="dxa"/>
            <w:tcBorders>
              <w:top w:val="single" w:sz="4" w:space="0" w:color="auto"/>
              <w:bottom w:val="single" w:sz="4" w:space="0" w:color="auto"/>
            </w:tcBorders>
            <w:shd w:val="clear" w:color="auto" w:fill="auto"/>
          </w:tcPr>
          <w:p w:rsidR="00E00CC0" w:rsidRPr="0087485F" w:rsidRDefault="00E00CC0" w:rsidP="00660522">
            <w:pPr>
              <w:spacing w:before="20" w:after="20"/>
              <w:ind w:right="284"/>
              <w:jc w:val="right"/>
              <w:rPr>
                <w:rFonts w:cstheme="minorHAnsi"/>
                <w:b/>
                <w:sz w:val="20"/>
                <w:szCs w:val="20"/>
              </w:rPr>
            </w:pPr>
            <w:r w:rsidRPr="0087485F">
              <w:rPr>
                <w:rFonts w:cstheme="minorHAnsi"/>
                <w:b/>
                <w:sz w:val="20"/>
                <w:szCs w:val="20"/>
              </w:rPr>
              <w:t>136</w:t>
            </w:r>
          </w:p>
        </w:tc>
        <w:tc>
          <w:tcPr>
            <w:tcW w:w="993" w:type="dxa"/>
            <w:tcBorders>
              <w:top w:val="single" w:sz="4" w:space="0" w:color="auto"/>
              <w:bottom w:val="single" w:sz="4" w:space="0" w:color="auto"/>
            </w:tcBorders>
            <w:shd w:val="clear" w:color="auto" w:fill="auto"/>
          </w:tcPr>
          <w:p w:rsidR="00E00CC0" w:rsidRPr="0087485F" w:rsidRDefault="00E00CC0" w:rsidP="00AA3C18">
            <w:pPr>
              <w:spacing w:before="20" w:after="20"/>
              <w:ind w:right="113"/>
              <w:jc w:val="right"/>
              <w:rPr>
                <w:rFonts w:cstheme="minorHAnsi"/>
                <w:b/>
                <w:sz w:val="20"/>
                <w:szCs w:val="20"/>
              </w:rPr>
            </w:pPr>
            <w:r w:rsidRPr="0087485F">
              <w:rPr>
                <w:rFonts w:cstheme="minorHAnsi"/>
                <w:b/>
                <w:sz w:val="20"/>
                <w:szCs w:val="20"/>
              </w:rPr>
              <w:t>100</w:t>
            </w:r>
          </w:p>
        </w:tc>
        <w:tc>
          <w:tcPr>
            <w:tcW w:w="1134" w:type="dxa"/>
            <w:tcBorders>
              <w:top w:val="single" w:sz="4" w:space="0" w:color="auto"/>
              <w:bottom w:val="single" w:sz="4" w:space="0" w:color="auto"/>
            </w:tcBorders>
          </w:tcPr>
          <w:p w:rsidR="00E00CC0" w:rsidRPr="00185580" w:rsidRDefault="00E00CC0" w:rsidP="00185580">
            <w:pPr>
              <w:spacing w:before="20" w:after="20"/>
              <w:ind w:right="454"/>
              <w:jc w:val="right"/>
              <w:rPr>
                <w:rFonts w:cstheme="minorHAnsi"/>
                <w:b/>
                <w:sz w:val="20"/>
                <w:szCs w:val="20"/>
              </w:rPr>
            </w:pPr>
            <w:r w:rsidRPr="00185580">
              <w:rPr>
                <w:rFonts w:cstheme="minorHAnsi"/>
                <w:b/>
                <w:sz w:val="20"/>
                <w:szCs w:val="20"/>
              </w:rPr>
              <w:t>49</w:t>
            </w:r>
          </w:p>
        </w:tc>
        <w:tc>
          <w:tcPr>
            <w:tcW w:w="1191" w:type="dxa"/>
            <w:tcBorders>
              <w:top w:val="single" w:sz="4" w:space="0" w:color="auto"/>
              <w:bottom w:val="single" w:sz="4" w:space="0" w:color="auto"/>
            </w:tcBorders>
          </w:tcPr>
          <w:p w:rsidR="00E00CC0" w:rsidRPr="00185580" w:rsidRDefault="00E00CC0" w:rsidP="003C4D86">
            <w:pPr>
              <w:spacing w:before="20" w:after="20"/>
              <w:ind w:left="33" w:right="397"/>
              <w:jc w:val="right"/>
              <w:rPr>
                <w:rFonts w:cstheme="minorHAnsi"/>
                <w:b/>
                <w:color w:val="000000"/>
                <w:sz w:val="20"/>
                <w:szCs w:val="20"/>
              </w:rPr>
            </w:pPr>
            <w:r w:rsidRPr="00185580">
              <w:rPr>
                <w:rFonts w:cstheme="minorHAnsi"/>
                <w:b/>
                <w:color w:val="000000"/>
                <w:sz w:val="20"/>
                <w:szCs w:val="20"/>
              </w:rPr>
              <w:t>100</w:t>
            </w:r>
          </w:p>
        </w:tc>
        <w:tc>
          <w:tcPr>
            <w:tcW w:w="992" w:type="dxa"/>
            <w:tcBorders>
              <w:top w:val="single" w:sz="4" w:space="0" w:color="auto"/>
              <w:bottom w:val="single" w:sz="4" w:space="0" w:color="auto"/>
            </w:tcBorders>
            <w:vAlign w:val="center"/>
          </w:tcPr>
          <w:p w:rsidR="00E00CC0" w:rsidRPr="00185580" w:rsidRDefault="00E00CC0" w:rsidP="00185580">
            <w:pPr>
              <w:spacing w:before="20" w:after="20"/>
              <w:ind w:right="317"/>
              <w:jc w:val="right"/>
              <w:rPr>
                <w:rFonts w:cstheme="minorHAnsi"/>
                <w:b/>
                <w:color w:val="000000"/>
                <w:sz w:val="20"/>
                <w:szCs w:val="20"/>
              </w:rPr>
            </w:pPr>
            <w:r w:rsidRPr="00185580">
              <w:rPr>
                <w:rFonts w:cstheme="minorHAnsi"/>
                <w:b/>
                <w:color w:val="000000"/>
                <w:sz w:val="20"/>
                <w:szCs w:val="20"/>
              </w:rPr>
              <w:t>185</w:t>
            </w:r>
          </w:p>
        </w:tc>
        <w:tc>
          <w:tcPr>
            <w:tcW w:w="1134" w:type="dxa"/>
            <w:tcBorders>
              <w:top w:val="single" w:sz="4" w:space="0" w:color="auto"/>
              <w:bottom w:val="single" w:sz="4" w:space="0" w:color="auto"/>
            </w:tcBorders>
            <w:vAlign w:val="center"/>
          </w:tcPr>
          <w:p w:rsidR="00E00CC0" w:rsidRPr="00185580" w:rsidRDefault="00E00CC0" w:rsidP="00185580">
            <w:pPr>
              <w:spacing w:before="20" w:after="20"/>
              <w:ind w:right="317"/>
              <w:jc w:val="right"/>
              <w:rPr>
                <w:rFonts w:cstheme="minorHAnsi"/>
                <w:b/>
                <w:color w:val="000000"/>
                <w:sz w:val="20"/>
                <w:szCs w:val="20"/>
              </w:rPr>
            </w:pPr>
            <w:r w:rsidRPr="00185580">
              <w:rPr>
                <w:rFonts w:cstheme="minorHAnsi"/>
                <w:b/>
                <w:color w:val="000000"/>
                <w:sz w:val="20"/>
                <w:szCs w:val="20"/>
              </w:rPr>
              <w:t>100</w:t>
            </w:r>
          </w:p>
        </w:tc>
      </w:tr>
    </w:tbl>
    <w:p w:rsidR="00D907AF" w:rsidRPr="00660446" w:rsidRDefault="00D907AF" w:rsidP="006C7BE7">
      <w:pPr>
        <w:pStyle w:val="NILSTabletext"/>
      </w:pPr>
      <w:r w:rsidRPr="00660446">
        <w:t>Note: trial and comparison respondents aged 16 and above in education.</w:t>
      </w:r>
    </w:p>
    <w:p w:rsidR="00953EE5" w:rsidRDefault="00953EE5" w:rsidP="00D907AF">
      <w:pPr>
        <w:rPr>
          <w:rFonts w:ascii="Calibri" w:hAnsi="Calibri" w:cs="Calibri"/>
        </w:rPr>
      </w:pPr>
    </w:p>
    <w:p w:rsidR="00B8777F" w:rsidRDefault="00D907AF">
      <w:pPr>
        <w:rPr>
          <w:b/>
          <w:sz w:val="20"/>
          <w:lang w:val="x-none"/>
        </w:rPr>
      </w:pPr>
      <w:r>
        <w:rPr>
          <w:rFonts w:ascii="Calibri" w:hAnsi="Calibri" w:cs="Calibri"/>
        </w:rPr>
        <w:t xml:space="preserve">All respondents aged 16 and above were asked what makes it hard for them to study. Table 3.47 presents the responses. </w:t>
      </w:r>
      <w:r w:rsidRPr="00707A9D">
        <w:rPr>
          <w:rFonts w:ascii="Calibri" w:hAnsi="Calibri" w:cs="Calibri"/>
        </w:rPr>
        <w:t xml:space="preserve">On average, each respondent mentioned four </w:t>
      </w:r>
      <w:r>
        <w:rPr>
          <w:rFonts w:ascii="Calibri" w:hAnsi="Calibri" w:cs="Calibri"/>
        </w:rPr>
        <w:t>barriers</w:t>
      </w:r>
      <w:r w:rsidRPr="00707A9D">
        <w:rPr>
          <w:rFonts w:ascii="Calibri" w:hAnsi="Calibri" w:cs="Calibri"/>
        </w:rPr>
        <w:t xml:space="preserve"> that make it hard for them to study.</w:t>
      </w:r>
      <w:r>
        <w:rPr>
          <w:rFonts w:ascii="Calibri" w:hAnsi="Calibri" w:cs="Calibri"/>
        </w:rPr>
        <w:t xml:space="preserve"> </w:t>
      </w:r>
      <w:r w:rsidRPr="00707A9D">
        <w:rPr>
          <w:rFonts w:ascii="Calibri" w:hAnsi="Calibri" w:cs="Calibri"/>
        </w:rPr>
        <w:t>Table 3.4</w:t>
      </w:r>
      <w:r>
        <w:rPr>
          <w:rFonts w:ascii="Calibri" w:hAnsi="Calibri" w:cs="Calibri"/>
        </w:rPr>
        <w:t>7</w:t>
      </w:r>
      <w:r w:rsidRPr="00707A9D">
        <w:rPr>
          <w:rFonts w:ascii="Calibri" w:hAnsi="Calibri" w:cs="Calibri"/>
        </w:rPr>
        <w:t xml:space="preserve"> suffers from </w:t>
      </w:r>
      <w:r>
        <w:rPr>
          <w:rFonts w:ascii="Calibri" w:hAnsi="Calibri" w:cs="Calibri"/>
        </w:rPr>
        <w:t xml:space="preserve">the </w:t>
      </w:r>
      <w:r w:rsidRPr="00707A9D">
        <w:rPr>
          <w:rFonts w:ascii="Calibri" w:hAnsi="Calibri" w:cs="Calibri"/>
        </w:rPr>
        <w:t>small sample size</w:t>
      </w:r>
      <w:r w:rsidRPr="004A4138">
        <w:rPr>
          <w:rFonts w:ascii="Calibri" w:hAnsi="Calibri" w:cs="Calibri"/>
        </w:rPr>
        <w:t xml:space="preserve"> </w:t>
      </w:r>
      <w:r>
        <w:rPr>
          <w:rFonts w:ascii="Calibri" w:hAnsi="Calibri" w:cs="Calibri"/>
        </w:rPr>
        <w:t>even more than the ot</w:t>
      </w:r>
      <w:r w:rsidRPr="00707A9D">
        <w:rPr>
          <w:rFonts w:ascii="Calibri" w:hAnsi="Calibri" w:cs="Calibri"/>
        </w:rPr>
        <w:t>her education tables</w:t>
      </w:r>
      <w:r>
        <w:rPr>
          <w:rFonts w:ascii="Calibri" w:hAnsi="Calibri" w:cs="Calibri"/>
        </w:rPr>
        <w:t>. Notwithstanding this caveat (which will become less important once the full Wave 1 sample is at hand),</w:t>
      </w:r>
      <w:r w:rsidRPr="00707A9D">
        <w:rPr>
          <w:rFonts w:ascii="Calibri" w:hAnsi="Calibri" w:cs="Calibri"/>
        </w:rPr>
        <w:t xml:space="preserve"> it is worth noting some aspects of its contents. </w:t>
      </w:r>
      <w:r>
        <w:rPr>
          <w:rFonts w:ascii="Calibri" w:hAnsi="Calibri" w:cs="Calibri"/>
        </w:rPr>
        <w:t xml:space="preserve">A notable feature of the responses is that 68.6 per cent reported their own health/disability to be an obstacle, by far the most frequently stated inhibiting factor. The remaining categories offered much detail, ranging from difficulties of a </w:t>
      </w:r>
      <w:r>
        <w:rPr>
          <w:rFonts w:ascii="Calibri" w:hAnsi="Calibri" w:cs="Calibri"/>
        </w:rPr>
        <w:lastRenderedPageBreak/>
        <w:t>broad and general nature (e.g. with a ‘lack of opportunities’ reported by 41.3 per cent) to very specific difficulties (e.g. ‘difficulties with transport or parking’ reported by 40.1 per cent).</w:t>
      </w:r>
      <w:bookmarkStart w:id="387" w:name="_Toc428280699"/>
    </w:p>
    <w:p w:rsidR="00D907AF" w:rsidRPr="001779DE" w:rsidRDefault="00D907AF" w:rsidP="0044684E">
      <w:pPr>
        <w:pStyle w:val="NILSTableHeading"/>
        <w:rPr>
          <w:lang w:val="en-AU"/>
        </w:rPr>
      </w:pPr>
      <w:bookmarkStart w:id="388" w:name="_Toc449955309"/>
      <w:r w:rsidRPr="00233E8A">
        <w:t>Table 3.</w:t>
      </w:r>
      <w:r>
        <w:rPr>
          <w:rFonts w:hint="eastAsia"/>
        </w:rPr>
        <w:t>4</w:t>
      </w:r>
      <w:r>
        <w:t>7</w:t>
      </w:r>
      <w:r w:rsidRPr="00233E8A">
        <w:rPr>
          <w:rFonts w:hint="eastAsia"/>
        </w:rPr>
        <w:t xml:space="preserve">: </w:t>
      </w:r>
      <w:r>
        <w:rPr>
          <w:rFonts w:hint="eastAsia"/>
        </w:rPr>
        <w:t>Do any of the following make it hard to study</w:t>
      </w:r>
      <w:r>
        <w:t>?</w:t>
      </w:r>
      <w:bookmarkEnd w:id="387"/>
      <w:r w:rsidR="000D77B0">
        <w:rPr>
          <w:lang w:val="en-AU"/>
        </w:rPr>
        <w:t xml:space="preserve"> </w:t>
      </w:r>
      <w:r w:rsidR="001779DE">
        <w:rPr>
          <w:lang w:val="en-AU"/>
        </w:rPr>
        <w:t>(Adults 16+)</w:t>
      </w:r>
      <w:bookmarkEnd w:id="388"/>
    </w:p>
    <w:tbl>
      <w:tblPr>
        <w:tblStyle w:val="TableGrid"/>
        <w:tblW w:w="9240" w:type="dxa"/>
        <w:tblLayout w:type="fixed"/>
        <w:tblLook w:val="04A0" w:firstRow="1" w:lastRow="0" w:firstColumn="1" w:lastColumn="0" w:noHBand="0" w:noVBand="1"/>
        <w:tblCaption w:val="Table 3.47 Do any of the following make it hard to study?"/>
      </w:tblPr>
      <w:tblGrid>
        <w:gridCol w:w="4252"/>
        <w:gridCol w:w="680"/>
        <w:gridCol w:w="737"/>
        <w:gridCol w:w="1077"/>
        <w:gridCol w:w="1020"/>
        <w:gridCol w:w="737"/>
        <w:gridCol w:w="737"/>
      </w:tblGrid>
      <w:tr w:rsidR="007F53C6" w:rsidRPr="0087485F" w:rsidTr="001779DE">
        <w:trPr>
          <w:tblHeader/>
        </w:trPr>
        <w:tc>
          <w:tcPr>
            <w:tcW w:w="4252" w:type="dxa"/>
            <w:tcBorders>
              <w:top w:val="single" w:sz="4" w:space="0" w:color="auto"/>
              <w:bottom w:val="single" w:sz="4" w:space="0" w:color="auto"/>
            </w:tcBorders>
            <w:shd w:val="clear" w:color="auto" w:fill="auto"/>
          </w:tcPr>
          <w:p w:rsidR="00D907AF" w:rsidRPr="0087485F" w:rsidRDefault="00D907AF" w:rsidP="00776829">
            <w:pPr>
              <w:spacing w:before="20" w:after="20"/>
              <w:rPr>
                <w:rFonts w:cstheme="minorHAnsi"/>
                <w:sz w:val="20"/>
                <w:szCs w:val="20"/>
              </w:rPr>
            </w:pPr>
            <w:bookmarkStart w:id="389" w:name="Title_3_47"/>
            <w:bookmarkEnd w:id="389"/>
          </w:p>
        </w:tc>
        <w:tc>
          <w:tcPr>
            <w:tcW w:w="680" w:type="dxa"/>
            <w:tcBorders>
              <w:top w:val="single" w:sz="4" w:space="0" w:color="auto"/>
              <w:bottom w:val="single" w:sz="4" w:space="0" w:color="auto"/>
            </w:tcBorders>
            <w:shd w:val="clear" w:color="auto" w:fill="auto"/>
          </w:tcPr>
          <w:p w:rsidR="00D907AF" w:rsidRPr="0087485F" w:rsidRDefault="00CE0BFB" w:rsidP="00094C76">
            <w:pPr>
              <w:spacing w:before="20" w:after="20"/>
              <w:jc w:val="center"/>
              <w:rPr>
                <w:rFonts w:cstheme="minorHAnsi"/>
                <w:sz w:val="20"/>
                <w:szCs w:val="20"/>
              </w:rPr>
            </w:pPr>
            <w:r>
              <w:rPr>
                <w:rFonts w:cstheme="minorHAnsi"/>
                <w:sz w:val="20"/>
                <w:szCs w:val="20"/>
              </w:rPr>
              <w:t>Trial</w:t>
            </w:r>
            <w:r w:rsidR="00677300">
              <w:rPr>
                <w:rFonts w:cstheme="minorHAnsi"/>
                <w:sz w:val="20"/>
                <w:szCs w:val="20"/>
              </w:rPr>
              <w:t xml:space="preserve"> Cases</w:t>
            </w:r>
          </w:p>
        </w:tc>
        <w:tc>
          <w:tcPr>
            <w:tcW w:w="737" w:type="dxa"/>
            <w:tcBorders>
              <w:top w:val="single" w:sz="4" w:space="0" w:color="auto"/>
              <w:bottom w:val="single" w:sz="4" w:space="0" w:color="auto"/>
            </w:tcBorders>
            <w:shd w:val="clear" w:color="auto" w:fill="auto"/>
          </w:tcPr>
          <w:p w:rsidR="00B8777F" w:rsidRDefault="00CE0BFB" w:rsidP="00094C76">
            <w:pPr>
              <w:spacing w:before="20" w:after="20"/>
              <w:jc w:val="center"/>
              <w:rPr>
                <w:rFonts w:cstheme="minorHAnsi"/>
                <w:sz w:val="20"/>
                <w:szCs w:val="20"/>
              </w:rPr>
            </w:pPr>
            <w:r>
              <w:rPr>
                <w:rFonts w:cstheme="minorHAnsi"/>
                <w:sz w:val="20"/>
                <w:szCs w:val="20"/>
              </w:rPr>
              <w:t xml:space="preserve">Trial </w:t>
            </w:r>
          </w:p>
          <w:p w:rsidR="00D907AF" w:rsidRPr="0087485F" w:rsidRDefault="00D907AF" w:rsidP="00094C76">
            <w:pPr>
              <w:spacing w:before="20" w:after="20"/>
              <w:jc w:val="center"/>
              <w:rPr>
                <w:rFonts w:cstheme="minorHAnsi"/>
                <w:sz w:val="20"/>
                <w:szCs w:val="20"/>
              </w:rPr>
            </w:pPr>
            <w:r w:rsidRPr="0087485F">
              <w:rPr>
                <w:rFonts w:cstheme="minorHAnsi"/>
                <w:sz w:val="20"/>
                <w:szCs w:val="20"/>
              </w:rPr>
              <w:t>%</w:t>
            </w:r>
          </w:p>
        </w:tc>
        <w:tc>
          <w:tcPr>
            <w:tcW w:w="1077" w:type="dxa"/>
            <w:tcBorders>
              <w:top w:val="single" w:sz="4" w:space="0" w:color="auto"/>
              <w:bottom w:val="single" w:sz="4" w:space="0" w:color="auto"/>
            </w:tcBorders>
            <w:shd w:val="clear" w:color="auto" w:fill="auto"/>
          </w:tcPr>
          <w:p w:rsidR="00D907AF" w:rsidRPr="0087485F" w:rsidRDefault="00CE0BFB" w:rsidP="007F53C6">
            <w:pPr>
              <w:spacing w:before="20" w:after="20"/>
              <w:ind w:left="-108" w:right="-48"/>
              <w:jc w:val="center"/>
              <w:rPr>
                <w:rFonts w:cstheme="minorHAnsi"/>
                <w:sz w:val="20"/>
                <w:szCs w:val="20"/>
              </w:rPr>
            </w:pPr>
            <w:r>
              <w:rPr>
                <w:rFonts w:cstheme="minorHAnsi"/>
                <w:sz w:val="20"/>
                <w:szCs w:val="20"/>
              </w:rPr>
              <w:t>Comparison</w:t>
            </w:r>
            <w:r w:rsidR="00677300">
              <w:rPr>
                <w:rFonts w:cstheme="minorHAnsi"/>
                <w:sz w:val="20"/>
                <w:szCs w:val="20"/>
              </w:rPr>
              <w:t xml:space="preserve"> Cases</w:t>
            </w:r>
          </w:p>
        </w:tc>
        <w:tc>
          <w:tcPr>
            <w:tcW w:w="1020" w:type="dxa"/>
            <w:tcBorders>
              <w:top w:val="single" w:sz="4" w:space="0" w:color="auto"/>
              <w:bottom w:val="single" w:sz="4" w:space="0" w:color="auto"/>
            </w:tcBorders>
            <w:shd w:val="clear" w:color="auto" w:fill="auto"/>
            <w:vAlign w:val="bottom"/>
          </w:tcPr>
          <w:p w:rsidR="00B8777F" w:rsidRDefault="00CE0BFB" w:rsidP="007F53C6">
            <w:pPr>
              <w:spacing w:before="20" w:after="20"/>
              <w:ind w:left="63" w:right="-136" w:hanging="176"/>
              <w:jc w:val="center"/>
              <w:rPr>
                <w:rFonts w:cstheme="minorHAnsi"/>
                <w:sz w:val="20"/>
                <w:szCs w:val="20"/>
              </w:rPr>
            </w:pPr>
            <w:r>
              <w:rPr>
                <w:rFonts w:cstheme="minorHAnsi"/>
                <w:sz w:val="20"/>
                <w:szCs w:val="20"/>
              </w:rPr>
              <w:t>Comparison</w:t>
            </w:r>
          </w:p>
          <w:p w:rsidR="00D907AF" w:rsidRPr="0087485F" w:rsidRDefault="00D907AF" w:rsidP="007F53C6">
            <w:pPr>
              <w:spacing w:before="20" w:after="20"/>
              <w:ind w:left="34" w:right="-20"/>
              <w:jc w:val="center"/>
              <w:rPr>
                <w:rFonts w:cstheme="minorHAnsi"/>
                <w:sz w:val="20"/>
                <w:szCs w:val="20"/>
              </w:rPr>
            </w:pPr>
            <w:r w:rsidRPr="0087485F">
              <w:rPr>
                <w:rFonts w:cstheme="minorHAnsi"/>
                <w:sz w:val="20"/>
                <w:szCs w:val="20"/>
              </w:rPr>
              <w:t>%</w:t>
            </w:r>
          </w:p>
        </w:tc>
        <w:tc>
          <w:tcPr>
            <w:tcW w:w="737" w:type="dxa"/>
            <w:tcBorders>
              <w:top w:val="single" w:sz="4" w:space="0" w:color="auto"/>
              <w:bottom w:val="single" w:sz="4" w:space="0" w:color="auto"/>
            </w:tcBorders>
            <w:shd w:val="clear" w:color="auto" w:fill="auto"/>
          </w:tcPr>
          <w:p w:rsidR="00D907AF" w:rsidRPr="0087485F" w:rsidRDefault="00CE0BFB" w:rsidP="00094C76">
            <w:pPr>
              <w:spacing w:before="20" w:after="20"/>
              <w:jc w:val="center"/>
              <w:rPr>
                <w:rFonts w:cstheme="minorHAnsi"/>
                <w:sz w:val="20"/>
                <w:szCs w:val="20"/>
              </w:rPr>
            </w:pPr>
            <w:r>
              <w:rPr>
                <w:rFonts w:cstheme="minorHAnsi"/>
                <w:sz w:val="20"/>
                <w:szCs w:val="20"/>
              </w:rPr>
              <w:t>Total</w:t>
            </w:r>
            <w:r w:rsidR="00677300">
              <w:rPr>
                <w:rFonts w:cstheme="minorHAnsi"/>
                <w:sz w:val="20"/>
                <w:szCs w:val="20"/>
              </w:rPr>
              <w:t xml:space="preserve"> Cases</w:t>
            </w:r>
          </w:p>
        </w:tc>
        <w:tc>
          <w:tcPr>
            <w:tcW w:w="737" w:type="dxa"/>
            <w:tcBorders>
              <w:top w:val="single" w:sz="4" w:space="0" w:color="auto"/>
              <w:bottom w:val="single" w:sz="4" w:space="0" w:color="auto"/>
            </w:tcBorders>
            <w:shd w:val="clear" w:color="auto" w:fill="auto"/>
          </w:tcPr>
          <w:p w:rsidR="00B8777F" w:rsidRDefault="00CE0BFB" w:rsidP="00094C76">
            <w:pPr>
              <w:spacing w:before="20" w:after="20"/>
              <w:jc w:val="center"/>
              <w:rPr>
                <w:rFonts w:cstheme="minorHAnsi"/>
                <w:sz w:val="20"/>
                <w:szCs w:val="20"/>
              </w:rPr>
            </w:pPr>
            <w:r>
              <w:rPr>
                <w:rFonts w:cstheme="minorHAnsi"/>
                <w:sz w:val="20"/>
                <w:szCs w:val="20"/>
              </w:rPr>
              <w:t>Total</w:t>
            </w:r>
            <w:r w:rsidR="00011358">
              <w:rPr>
                <w:rFonts w:cstheme="minorHAnsi"/>
                <w:sz w:val="20"/>
                <w:szCs w:val="20"/>
              </w:rPr>
              <w:t xml:space="preserve"> </w:t>
            </w:r>
          </w:p>
          <w:p w:rsidR="00D907AF" w:rsidRPr="0087485F" w:rsidRDefault="00D907AF" w:rsidP="00094C76">
            <w:pPr>
              <w:spacing w:before="20" w:after="20"/>
              <w:jc w:val="center"/>
              <w:rPr>
                <w:rFonts w:cstheme="minorHAnsi"/>
                <w:sz w:val="20"/>
                <w:szCs w:val="20"/>
              </w:rPr>
            </w:pPr>
            <w:r w:rsidRPr="0087485F">
              <w:rPr>
                <w:rFonts w:cstheme="minorHAnsi"/>
                <w:sz w:val="20"/>
                <w:szCs w:val="20"/>
              </w:rPr>
              <w:t>%</w:t>
            </w:r>
          </w:p>
        </w:tc>
      </w:tr>
      <w:tr w:rsidR="007F53C6" w:rsidRPr="0087485F" w:rsidTr="001779DE">
        <w:tc>
          <w:tcPr>
            <w:tcW w:w="4252" w:type="dxa"/>
            <w:shd w:val="clear" w:color="auto" w:fill="auto"/>
          </w:tcPr>
          <w:p w:rsidR="00D907AF" w:rsidRPr="007F53C6" w:rsidRDefault="00D907AF" w:rsidP="00D907AF">
            <w:pPr>
              <w:spacing w:before="20" w:after="20"/>
              <w:rPr>
                <w:rFonts w:cstheme="minorHAnsi"/>
                <w:sz w:val="19"/>
                <w:szCs w:val="19"/>
              </w:rPr>
            </w:pPr>
            <w:r w:rsidRPr="007F53C6">
              <w:rPr>
                <w:rFonts w:cstheme="minorHAnsi"/>
                <w:sz w:val="19"/>
                <w:szCs w:val="19"/>
              </w:rPr>
              <w:t>A lack of opportunities</w:t>
            </w:r>
          </w:p>
        </w:tc>
        <w:tc>
          <w:tcPr>
            <w:tcW w:w="680" w:type="dxa"/>
            <w:shd w:val="clear" w:color="auto" w:fill="auto"/>
            <w:vAlign w:val="center"/>
          </w:tcPr>
          <w:p w:rsidR="00D907AF" w:rsidRPr="0087485F" w:rsidRDefault="00D907AF" w:rsidP="00BC06D7">
            <w:pPr>
              <w:spacing w:before="20" w:after="20"/>
              <w:ind w:right="113"/>
              <w:jc w:val="right"/>
              <w:rPr>
                <w:rFonts w:cstheme="minorHAnsi"/>
                <w:color w:val="000000"/>
                <w:sz w:val="20"/>
                <w:szCs w:val="20"/>
              </w:rPr>
            </w:pPr>
            <w:r w:rsidRPr="0087485F">
              <w:rPr>
                <w:rFonts w:cstheme="minorHAnsi"/>
                <w:color w:val="000000"/>
                <w:sz w:val="20"/>
                <w:szCs w:val="20"/>
              </w:rPr>
              <w:t>28</w:t>
            </w:r>
          </w:p>
        </w:tc>
        <w:tc>
          <w:tcPr>
            <w:tcW w:w="737" w:type="dxa"/>
            <w:shd w:val="clear" w:color="auto" w:fill="auto"/>
            <w:vAlign w:val="center"/>
          </w:tcPr>
          <w:p w:rsidR="00D907AF" w:rsidRPr="0087485F" w:rsidRDefault="00D907AF" w:rsidP="000D77B0">
            <w:pPr>
              <w:spacing w:before="20" w:after="20"/>
              <w:jc w:val="right"/>
              <w:rPr>
                <w:rFonts w:cstheme="minorHAnsi"/>
                <w:color w:val="000000"/>
                <w:sz w:val="20"/>
                <w:szCs w:val="20"/>
              </w:rPr>
            </w:pPr>
            <w:r w:rsidRPr="0087485F">
              <w:rPr>
                <w:rFonts w:cstheme="minorHAnsi"/>
                <w:color w:val="000000"/>
                <w:sz w:val="20"/>
                <w:szCs w:val="20"/>
              </w:rPr>
              <w:t>45.9</w:t>
            </w:r>
          </w:p>
        </w:tc>
        <w:tc>
          <w:tcPr>
            <w:tcW w:w="1077" w:type="dxa"/>
            <w:shd w:val="clear" w:color="auto" w:fill="auto"/>
            <w:vAlign w:val="center"/>
          </w:tcPr>
          <w:p w:rsidR="00D907AF" w:rsidRPr="0087485F" w:rsidRDefault="00D907AF" w:rsidP="00185580">
            <w:pPr>
              <w:spacing w:before="20" w:after="20"/>
              <w:ind w:right="284"/>
              <w:jc w:val="right"/>
              <w:rPr>
                <w:rFonts w:cstheme="minorHAnsi"/>
                <w:color w:val="000000"/>
                <w:sz w:val="20"/>
                <w:szCs w:val="20"/>
              </w:rPr>
            </w:pPr>
            <w:r w:rsidRPr="0087485F">
              <w:rPr>
                <w:rFonts w:cstheme="minorHAnsi"/>
                <w:color w:val="000000"/>
                <w:sz w:val="20"/>
                <w:szCs w:val="20"/>
              </w:rPr>
              <w:t>43</w:t>
            </w:r>
          </w:p>
        </w:tc>
        <w:tc>
          <w:tcPr>
            <w:tcW w:w="1020" w:type="dxa"/>
            <w:shd w:val="clear" w:color="auto" w:fill="auto"/>
            <w:vAlign w:val="center"/>
          </w:tcPr>
          <w:p w:rsidR="00D907AF" w:rsidRPr="0087485F" w:rsidRDefault="00D907AF" w:rsidP="00B333AC">
            <w:pPr>
              <w:spacing w:before="20" w:after="20"/>
              <w:ind w:right="179"/>
              <w:jc w:val="right"/>
              <w:rPr>
                <w:rFonts w:cstheme="minorHAnsi"/>
                <w:color w:val="000000"/>
                <w:sz w:val="20"/>
                <w:szCs w:val="20"/>
              </w:rPr>
            </w:pPr>
            <w:r w:rsidRPr="0087485F">
              <w:rPr>
                <w:rFonts w:cstheme="minorHAnsi"/>
                <w:color w:val="000000"/>
                <w:sz w:val="20"/>
                <w:szCs w:val="20"/>
              </w:rPr>
              <w:t>38.7</w:t>
            </w:r>
          </w:p>
        </w:tc>
        <w:tc>
          <w:tcPr>
            <w:tcW w:w="737" w:type="dxa"/>
            <w:shd w:val="clear" w:color="auto" w:fill="auto"/>
            <w:vAlign w:val="center"/>
          </w:tcPr>
          <w:p w:rsidR="00D907AF" w:rsidRPr="0087485F" w:rsidRDefault="00D907AF" w:rsidP="00185580">
            <w:pPr>
              <w:spacing w:before="20" w:after="20"/>
              <w:ind w:right="113"/>
              <w:jc w:val="right"/>
              <w:rPr>
                <w:rFonts w:cstheme="minorHAnsi"/>
                <w:color w:val="000000"/>
                <w:sz w:val="20"/>
                <w:szCs w:val="20"/>
              </w:rPr>
            </w:pPr>
            <w:r w:rsidRPr="0087485F">
              <w:rPr>
                <w:rFonts w:cstheme="minorHAnsi"/>
                <w:color w:val="000000"/>
                <w:sz w:val="20"/>
                <w:szCs w:val="20"/>
              </w:rPr>
              <w:t>71</w:t>
            </w:r>
          </w:p>
        </w:tc>
        <w:tc>
          <w:tcPr>
            <w:tcW w:w="737" w:type="dxa"/>
            <w:shd w:val="clear" w:color="auto" w:fill="auto"/>
            <w:vAlign w:val="center"/>
          </w:tcPr>
          <w:p w:rsidR="00D907AF" w:rsidRPr="0087485F" w:rsidRDefault="00D907AF" w:rsidP="00185580">
            <w:pPr>
              <w:spacing w:before="20" w:after="20"/>
              <w:ind w:right="113"/>
              <w:jc w:val="right"/>
              <w:rPr>
                <w:rFonts w:cstheme="minorHAnsi"/>
                <w:color w:val="000000"/>
                <w:sz w:val="20"/>
                <w:szCs w:val="20"/>
              </w:rPr>
            </w:pPr>
            <w:r w:rsidRPr="0087485F">
              <w:rPr>
                <w:rFonts w:cstheme="minorHAnsi"/>
                <w:color w:val="000000"/>
                <w:sz w:val="20"/>
                <w:szCs w:val="20"/>
              </w:rPr>
              <w:t>41.3</w:t>
            </w:r>
          </w:p>
        </w:tc>
      </w:tr>
      <w:tr w:rsidR="007F53C6" w:rsidRPr="0087485F" w:rsidTr="001779DE">
        <w:tc>
          <w:tcPr>
            <w:tcW w:w="4252" w:type="dxa"/>
            <w:shd w:val="clear" w:color="auto" w:fill="auto"/>
          </w:tcPr>
          <w:p w:rsidR="00D907AF" w:rsidRPr="007F53C6" w:rsidRDefault="00D907AF" w:rsidP="00D907AF">
            <w:pPr>
              <w:spacing w:before="20" w:after="20"/>
              <w:rPr>
                <w:rFonts w:cstheme="minorHAnsi"/>
                <w:sz w:val="19"/>
                <w:szCs w:val="19"/>
              </w:rPr>
            </w:pPr>
            <w:r w:rsidRPr="007F53C6">
              <w:rPr>
                <w:rFonts w:cstheme="minorHAnsi"/>
                <w:sz w:val="19"/>
                <w:szCs w:val="19"/>
              </w:rPr>
              <w:t>Difficulties with transport or parking</w:t>
            </w:r>
          </w:p>
        </w:tc>
        <w:tc>
          <w:tcPr>
            <w:tcW w:w="680" w:type="dxa"/>
            <w:shd w:val="clear" w:color="auto" w:fill="auto"/>
            <w:vAlign w:val="center"/>
          </w:tcPr>
          <w:p w:rsidR="00D907AF" w:rsidRPr="0087485F" w:rsidRDefault="00D907AF" w:rsidP="00BC06D7">
            <w:pPr>
              <w:spacing w:before="20" w:after="20"/>
              <w:ind w:right="113"/>
              <w:jc w:val="right"/>
              <w:rPr>
                <w:rFonts w:cstheme="minorHAnsi"/>
                <w:color w:val="000000"/>
                <w:sz w:val="20"/>
                <w:szCs w:val="20"/>
              </w:rPr>
            </w:pPr>
            <w:r w:rsidRPr="0087485F">
              <w:rPr>
                <w:rFonts w:cstheme="minorHAnsi"/>
                <w:color w:val="000000"/>
                <w:sz w:val="20"/>
                <w:szCs w:val="20"/>
              </w:rPr>
              <w:t>25</w:t>
            </w:r>
          </w:p>
        </w:tc>
        <w:tc>
          <w:tcPr>
            <w:tcW w:w="737" w:type="dxa"/>
            <w:shd w:val="clear" w:color="auto" w:fill="auto"/>
            <w:vAlign w:val="center"/>
          </w:tcPr>
          <w:p w:rsidR="00D907AF" w:rsidRPr="0087485F" w:rsidRDefault="00D907AF" w:rsidP="000D77B0">
            <w:pPr>
              <w:spacing w:before="20" w:after="20"/>
              <w:jc w:val="right"/>
              <w:rPr>
                <w:rFonts w:cstheme="minorHAnsi"/>
                <w:color w:val="000000"/>
                <w:sz w:val="20"/>
                <w:szCs w:val="20"/>
              </w:rPr>
            </w:pPr>
            <w:r w:rsidRPr="0087485F">
              <w:rPr>
                <w:rFonts w:cstheme="minorHAnsi"/>
                <w:color w:val="000000"/>
                <w:sz w:val="20"/>
                <w:szCs w:val="20"/>
              </w:rPr>
              <w:t>41.0</w:t>
            </w:r>
          </w:p>
        </w:tc>
        <w:tc>
          <w:tcPr>
            <w:tcW w:w="1077" w:type="dxa"/>
            <w:shd w:val="clear" w:color="auto" w:fill="auto"/>
            <w:vAlign w:val="center"/>
          </w:tcPr>
          <w:p w:rsidR="00D907AF" w:rsidRPr="0087485F" w:rsidRDefault="00D907AF" w:rsidP="00185580">
            <w:pPr>
              <w:spacing w:before="20" w:after="20"/>
              <w:ind w:right="284"/>
              <w:jc w:val="right"/>
              <w:rPr>
                <w:rFonts w:cstheme="minorHAnsi"/>
                <w:color w:val="000000"/>
                <w:sz w:val="20"/>
                <w:szCs w:val="20"/>
              </w:rPr>
            </w:pPr>
            <w:r w:rsidRPr="0087485F">
              <w:rPr>
                <w:rFonts w:cstheme="minorHAnsi"/>
                <w:color w:val="000000"/>
                <w:sz w:val="20"/>
                <w:szCs w:val="20"/>
              </w:rPr>
              <w:t>44</w:t>
            </w:r>
          </w:p>
        </w:tc>
        <w:tc>
          <w:tcPr>
            <w:tcW w:w="1020" w:type="dxa"/>
            <w:shd w:val="clear" w:color="auto" w:fill="auto"/>
            <w:vAlign w:val="center"/>
          </w:tcPr>
          <w:p w:rsidR="00D907AF" w:rsidRPr="0087485F" w:rsidRDefault="00D907AF" w:rsidP="00B333AC">
            <w:pPr>
              <w:spacing w:before="20" w:after="20"/>
              <w:ind w:right="179"/>
              <w:jc w:val="right"/>
              <w:rPr>
                <w:rFonts w:cstheme="minorHAnsi"/>
                <w:color w:val="000000"/>
                <w:sz w:val="20"/>
                <w:szCs w:val="20"/>
              </w:rPr>
            </w:pPr>
            <w:r w:rsidRPr="0087485F">
              <w:rPr>
                <w:rFonts w:cstheme="minorHAnsi"/>
                <w:color w:val="000000"/>
                <w:sz w:val="20"/>
                <w:szCs w:val="20"/>
              </w:rPr>
              <w:t>39.6</w:t>
            </w:r>
          </w:p>
        </w:tc>
        <w:tc>
          <w:tcPr>
            <w:tcW w:w="737" w:type="dxa"/>
            <w:shd w:val="clear" w:color="auto" w:fill="auto"/>
            <w:vAlign w:val="center"/>
          </w:tcPr>
          <w:p w:rsidR="00D907AF" w:rsidRPr="0087485F" w:rsidRDefault="00D907AF" w:rsidP="00185580">
            <w:pPr>
              <w:spacing w:before="20" w:after="20"/>
              <w:ind w:right="113"/>
              <w:jc w:val="right"/>
              <w:rPr>
                <w:rFonts w:cstheme="minorHAnsi"/>
                <w:color w:val="000000"/>
                <w:sz w:val="20"/>
                <w:szCs w:val="20"/>
              </w:rPr>
            </w:pPr>
            <w:r w:rsidRPr="0087485F">
              <w:rPr>
                <w:rFonts w:cstheme="minorHAnsi"/>
                <w:color w:val="000000"/>
                <w:sz w:val="20"/>
                <w:szCs w:val="20"/>
              </w:rPr>
              <w:t>69</w:t>
            </w:r>
          </w:p>
        </w:tc>
        <w:tc>
          <w:tcPr>
            <w:tcW w:w="737" w:type="dxa"/>
            <w:shd w:val="clear" w:color="auto" w:fill="auto"/>
            <w:vAlign w:val="center"/>
          </w:tcPr>
          <w:p w:rsidR="00D907AF" w:rsidRPr="0087485F" w:rsidRDefault="00D907AF" w:rsidP="00185580">
            <w:pPr>
              <w:spacing w:before="20" w:after="20"/>
              <w:ind w:right="113"/>
              <w:jc w:val="right"/>
              <w:rPr>
                <w:rFonts w:cstheme="minorHAnsi"/>
                <w:color w:val="000000"/>
                <w:sz w:val="20"/>
                <w:szCs w:val="20"/>
              </w:rPr>
            </w:pPr>
            <w:r w:rsidRPr="0087485F">
              <w:rPr>
                <w:rFonts w:cstheme="minorHAnsi"/>
                <w:color w:val="000000"/>
                <w:sz w:val="20"/>
                <w:szCs w:val="20"/>
              </w:rPr>
              <w:t>40.1</w:t>
            </w:r>
          </w:p>
        </w:tc>
      </w:tr>
      <w:tr w:rsidR="007F53C6" w:rsidRPr="0087485F" w:rsidTr="001779DE">
        <w:tc>
          <w:tcPr>
            <w:tcW w:w="4252" w:type="dxa"/>
            <w:shd w:val="clear" w:color="auto" w:fill="auto"/>
          </w:tcPr>
          <w:p w:rsidR="00D907AF" w:rsidRPr="007F53C6" w:rsidRDefault="00D907AF" w:rsidP="00D907AF">
            <w:pPr>
              <w:spacing w:before="20" w:after="20"/>
              <w:rPr>
                <w:rFonts w:cstheme="minorHAnsi"/>
                <w:sz w:val="19"/>
                <w:szCs w:val="19"/>
              </w:rPr>
            </w:pPr>
            <w:r w:rsidRPr="007F53C6">
              <w:rPr>
                <w:rFonts w:cstheme="minorHAnsi"/>
                <w:sz w:val="19"/>
                <w:szCs w:val="19"/>
              </w:rPr>
              <w:t>What teachers think about people with disability</w:t>
            </w:r>
          </w:p>
        </w:tc>
        <w:tc>
          <w:tcPr>
            <w:tcW w:w="680" w:type="dxa"/>
            <w:shd w:val="clear" w:color="auto" w:fill="auto"/>
            <w:vAlign w:val="center"/>
          </w:tcPr>
          <w:p w:rsidR="00D907AF" w:rsidRPr="0087485F" w:rsidRDefault="00D907AF" w:rsidP="00BC06D7">
            <w:pPr>
              <w:spacing w:before="20" w:after="20"/>
              <w:ind w:right="113"/>
              <w:jc w:val="right"/>
              <w:rPr>
                <w:rFonts w:cstheme="minorHAnsi"/>
                <w:color w:val="000000"/>
                <w:sz w:val="20"/>
                <w:szCs w:val="20"/>
              </w:rPr>
            </w:pPr>
            <w:r w:rsidRPr="0087485F">
              <w:rPr>
                <w:rFonts w:cstheme="minorHAnsi"/>
                <w:color w:val="000000"/>
                <w:sz w:val="20"/>
                <w:szCs w:val="20"/>
              </w:rPr>
              <w:t>10</w:t>
            </w:r>
          </w:p>
        </w:tc>
        <w:tc>
          <w:tcPr>
            <w:tcW w:w="737" w:type="dxa"/>
            <w:shd w:val="clear" w:color="auto" w:fill="auto"/>
            <w:vAlign w:val="center"/>
          </w:tcPr>
          <w:p w:rsidR="00D907AF" w:rsidRPr="0087485F" w:rsidRDefault="00D907AF" w:rsidP="000D77B0">
            <w:pPr>
              <w:spacing w:before="20" w:after="20"/>
              <w:jc w:val="right"/>
              <w:rPr>
                <w:rFonts w:cstheme="minorHAnsi"/>
                <w:color w:val="000000"/>
                <w:sz w:val="20"/>
                <w:szCs w:val="20"/>
              </w:rPr>
            </w:pPr>
            <w:r w:rsidRPr="0087485F">
              <w:rPr>
                <w:rFonts w:cstheme="minorHAnsi"/>
                <w:color w:val="000000"/>
                <w:sz w:val="20"/>
                <w:szCs w:val="20"/>
              </w:rPr>
              <w:t>16.4</w:t>
            </w:r>
          </w:p>
        </w:tc>
        <w:tc>
          <w:tcPr>
            <w:tcW w:w="1077" w:type="dxa"/>
            <w:shd w:val="clear" w:color="auto" w:fill="auto"/>
            <w:vAlign w:val="center"/>
          </w:tcPr>
          <w:p w:rsidR="00D907AF" w:rsidRPr="0087485F" w:rsidRDefault="00D907AF" w:rsidP="00185580">
            <w:pPr>
              <w:spacing w:before="20" w:after="20"/>
              <w:ind w:right="284"/>
              <w:jc w:val="right"/>
              <w:rPr>
                <w:rFonts w:cstheme="minorHAnsi"/>
                <w:color w:val="000000"/>
                <w:sz w:val="20"/>
                <w:szCs w:val="20"/>
              </w:rPr>
            </w:pPr>
            <w:r w:rsidRPr="0087485F">
              <w:rPr>
                <w:rFonts w:cstheme="minorHAnsi"/>
                <w:color w:val="000000"/>
                <w:sz w:val="20"/>
                <w:szCs w:val="20"/>
              </w:rPr>
              <w:t>31</w:t>
            </w:r>
          </w:p>
        </w:tc>
        <w:tc>
          <w:tcPr>
            <w:tcW w:w="1020" w:type="dxa"/>
            <w:shd w:val="clear" w:color="auto" w:fill="auto"/>
            <w:vAlign w:val="center"/>
          </w:tcPr>
          <w:p w:rsidR="00D907AF" w:rsidRPr="0087485F" w:rsidRDefault="00D907AF" w:rsidP="00B333AC">
            <w:pPr>
              <w:spacing w:before="20" w:after="20"/>
              <w:ind w:right="179"/>
              <w:jc w:val="right"/>
              <w:rPr>
                <w:rFonts w:cstheme="minorHAnsi"/>
                <w:color w:val="000000"/>
                <w:sz w:val="20"/>
                <w:szCs w:val="20"/>
              </w:rPr>
            </w:pPr>
            <w:r w:rsidRPr="0087485F">
              <w:rPr>
                <w:rFonts w:cstheme="minorHAnsi"/>
                <w:color w:val="000000"/>
                <w:sz w:val="20"/>
                <w:szCs w:val="20"/>
              </w:rPr>
              <w:t>27.9</w:t>
            </w:r>
          </w:p>
        </w:tc>
        <w:tc>
          <w:tcPr>
            <w:tcW w:w="737" w:type="dxa"/>
            <w:shd w:val="clear" w:color="auto" w:fill="auto"/>
            <w:vAlign w:val="center"/>
          </w:tcPr>
          <w:p w:rsidR="00D907AF" w:rsidRPr="0087485F" w:rsidRDefault="00D907AF" w:rsidP="00185580">
            <w:pPr>
              <w:spacing w:before="20" w:after="20"/>
              <w:ind w:right="113"/>
              <w:jc w:val="right"/>
              <w:rPr>
                <w:rFonts w:cstheme="minorHAnsi"/>
                <w:color w:val="000000"/>
                <w:sz w:val="20"/>
                <w:szCs w:val="20"/>
              </w:rPr>
            </w:pPr>
            <w:r w:rsidRPr="0087485F">
              <w:rPr>
                <w:rFonts w:cstheme="minorHAnsi"/>
                <w:color w:val="000000"/>
                <w:sz w:val="20"/>
                <w:szCs w:val="20"/>
              </w:rPr>
              <w:t>41</w:t>
            </w:r>
          </w:p>
        </w:tc>
        <w:tc>
          <w:tcPr>
            <w:tcW w:w="737" w:type="dxa"/>
            <w:shd w:val="clear" w:color="auto" w:fill="auto"/>
            <w:vAlign w:val="center"/>
          </w:tcPr>
          <w:p w:rsidR="00D907AF" w:rsidRPr="0087485F" w:rsidRDefault="00D907AF" w:rsidP="00185580">
            <w:pPr>
              <w:spacing w:before="20" w:after="20"/>
              <w:ind w:right="113"/>
              <w:jc w:val="right"/>
              <w:rPr>
                <w:rFonts w:cstheme="minorHAnsi"/>
                <w:color w:val="000000"/>
                <w:sz w:val="20"/>
                <w:szCs w:val="20"/>
              </w:rPr>
            </w:pPr>
            <w:r w:rsidRPr="0087485F">
              <w:rPr>
                <w:rFonts w:cstheme="minorHAnsi"/>
                <w:color w:val="000000"/>
                <w:sz w:val="20"/>
                <w:szCs w:val="20"/>
              </w:rPr>
              <w:t>23.8</w:t>
            </w:r>
          </w:p>
        </w:tc>
      </w:tr>
      <w:tr w:rsidR="007F53C6" w:rsidRPr="0087485F" w:rsidTr="001779DE">
        <w:tc>
          <w:tcPr>
            <w:tcW w:w="4252" w:type="dxa"/>
            <w:shd w:val="clear" w:color="auto" w:fill="auto"/>
          </w:tcPr>
          <w:p w:rsidR="00D907AF" w:rsidRPr="007F53C6" w:rsidRDefault="00D907AF" w:rsidP="00D907AF">
            <w:pPr>
              <w:spacing w:before="20" w:after="20"/>
              <w:rPr>
                <w:rFonts w:cstheme="minorHAnsi"/>
                <w:sz w:val="19"/>
                <w:szCs w:val="19"/>
              </w:rPr>
            </w:pPr>
            <w:r w:rsidRPr="007F53C6">
              <w:rPr>
                <w:rFonts w:cstheme="minorHAnsi"/>
                <w:sz w:val="19"/>
                <w:szCs w:val="19"/>
              </w:rPr>
              <w:t>A lack of schooling</w:t>
            </w:r>
          </w:p>
        </w:tc>
        <w:tc>
          <w:tcPr>
            <w:tcW w:w="680" w:type="dxa"/>
            <w:shd w:val="clear" w:color="auto" w:fill="auto"/>
            <w:vAlign w:val="center"/>
          </w:tcPr>
          <w:p w:rsidR="00D907AF" w:rsidRPr="0087485F" w:rsidRDefault="00D907AF" w:rsidP="00BC06D7">
            <w:pPr>
              <w:spacing w:before="20" w:after="20"/>
              <w:ind w:right="113"/>
              <w:jc w:val="right"/>
              <w:rPr>
                <w:rFonts w:cstheme="minorHAnsi"/>
                <w:color w:val="000000"/>
                <w:sz w:val="20"/>
                <w:szCs w:val="20"/>
              </w:rPr>
            </w:pPr>
            <w:r w:rsidRPr="0087485F">
              <w:rPr>
                <w:rFonts w:cstheme="minorHAnsi"/>
                <w:color w:val="000000"/>
                <w:sz w:val="20"/>
                <w:szCs w:val="20"/>
              </w:rPr>
              <w:t>16</w:t>
            </w:r>
          </w:p>
        </w:tc>
        <w:tc>
          <w:tcPr>
            <w:tcW w:w="737" w:type="dxa"/>
            <w:shd w:val="clear" w:color="auto" w:fill="auto"/>
            <w:vAlign w:val="center"/>
          </w:tcPr>
          <w:p w:rsidR="00D907AF" w:rsidRPr="0087485F" w:rsidRDefault="00D907AF" w:rsidP="000D77B0">
            <w:pPr>
              <w:spacing w:before="20" w:after="20"/>
              <w:jc w:val="right"/>
              <w:rPr>
                <w:rFonts w:cstheme="minorHAnsi"/>
                <w:color w:val="000000"/>
                <w:sz w:val="20"/>
                <w:szCs w:val="20"/>
              </w:rPr>
            </w:pPr>
            <w:r w:rsidRPr="0087485F">
              <w:rPr>
                <w:rFonts w:cstheme="minorHAnsi"/>
                <w:color w:val="000000"/>
                <w:sz w:val="20"/>
                <w:szCs w:val="20"/>
              </w:rPr>
              <w:t>26.2</w:t>
            </w:r>
          </w:p>
        </w:tc>
        <w:tc>
          <w:tcPr>
            <w:tcW w:w="1077" w:type="dxa"/>
            <w:shd w:val="clear" w:color="auto" w:fill="auto"/>
            <w:vAlign w:val="center"/>
          </w:tcPr>
          <w:p w:rsidR="00D907AF" w:rsidRPr="0087485F" w:rsidRDefault="00D907AF" w:rsidP="00185580">
            <w:pPr>
              <w:spacing w:before="20" w:after="20"/>
              <w:ind w:right="284"/>
              <w:jc w:val="right"/>
              <w:rPr>
                <w:rFonts w:cstheme="minorHAnsi"/>
                <w:color w:val="000000"/>
                <w:sz w:val="20"/>
                <w:szCs w:val="20"/>
              </w:rPr>
            </w:pPr>
            <w:r w:rsidRPr="0087485F">
              <w:rPr>
                <w:rFonts w:cstheme="minorHAnsi"/>
                <w:color w:val="000000"/>
                <w:sz w:val="20"/>
                <w:szCs w:val="20"/>
              </w:rPr>
              <w:t>26</w:t>
            </w:r>
          </w:p>
        </w:tc>
        <w:tc>
          <w:tcPr>
            <w:tcW w:w="1020" w:type="dxa"/>
            <w:shd w:val="clear" w:color="auto" w:fill="auto"/>
            <w:vAlign w:val="center"/>
          </w:tcPr>
          <w:p w:rsidR="00D907AF" w:rsidRPr="0087485F" w:rsidRDefault="00D907AF" w:rsidP="00B333AC">
            <w:pPr>
              <w:spacing w:before="20" w:after="20"/>
              <w:ind w:right="179"/>
              <w:jc w:val="right"/>
              <w:rPr>
                <w:rFonts w:cstheme="minorHAnsi"/>
                <w:color w:val="000000"/>
                <w:sz w:val="20"/>
                <w:szCs w:val="20"/>
              </w:rPr>
            </w:pPr>
            <w:r w:rsidRPr="0087485F">
              <w:rPr>
                <w:rFonts w:cstheme="minorHAnsi"/>
                <w:color w:val="000000"/>
                <w:sz w:val="20"/>
                <w:szCs w:val="20"/>
              </w:rPr>
              <w:t>23.4</w:t>
            </w:r>
          </w:p>
        </w:tc>
        <w:tc>
          <w:tcPr>
            <w:tcW w:w="737" w:type="dxa"/>
            <w:shd w:val="clear" w:color="auto" w:fill="auto"/>
            <w:vAlign w:val="center"/>
          </w:tcPr>
          <w:p w:rsidR="00D907AF" w:rsidRPr="0087485F" w:rsidRDefault="00D907AF" w:rsidP="00185580">
            <w:pPr>
              <w:spacing w:before="20" w:after="20"/>
              <w:ind w:right="113"/>
              <w:jc w:val="right"/>
              <w:rPr>
                <w:rFonts w:cstheme="minorHAnsi"/>
                <w:color w:val="000000"/>
                <w:sz w:val="20"/>
                <w:szCs w:val="20"/>
              </w:rPr>
            </w:pPr>
            <w:r w:rsidRPr="0087485F">
              <w:rPr>
                <w:rFonts w:cstheme="minorHAnsi"/>
                <w:color w:val="000000"/>
                <w:sz w:val="20"/>
                <w:szCs w:val="20"/>
              </w:rPr>
              <w:t>42</w:t>
            </w:r>
          </w:p>
        </w:tc>
        <w:tc>
          <w:tcPr>
            <w:tcW w:w="737" w:type="dxa"/>
            <w:shd w:val="clear" w:color="auto" w:fill="auto"/>
            <w:vAlign w:val="center"/>
          </w:tcPr>
          <w:p w:rsidR="00D907AF" w:rsidRPr="0087485F" w:rsidRDefault="00D907AF" w:rsidP="00185580">
            <w:pPr>
              <w:spacing w:before="20" w:after="20"/>
              <w:ind w:right="113"/>
              <w:jc w:val="right"/>
              <w:rPr>
                <w:rFonts w:cstheme="minorHAnsi"/>
                <w:color w:val="000000"/>
                <w:sz w:val="20"/>
                <w:szCs w:val="20"/>
              </w:rPr>
            </w:pPr>
            <w:r w:rsidRPr="0087485F">
              <w:rPr>
                <w:rFonts w:cstheme="minorHAnsi"/>
                <w:color w:val="000000"/>
                <w:sz w:val="20"/>
                <w:szCs w:val="20"/>
              </w:rPr>
              <w:t>24.4</w:t>
            </w:r>
          </w:p>
        </w:tc>
      </w:tr>
      <w:tr w:rsidR="007F53C6" w:rsidRPr="0087485F" w:rsidTr="001779DE">
        <w:tc>
          <w:tcPr>
            <w:tcW w:w="4252" w:type="dxa"/>
            <w:shd w:val="clear" w:color="auto" w:fill="auto"/>
          </w:tcPr>
          <w:p w:rsidR="00D907AF" w:rsidRPr="007F53C6" w:rsidRDefault="00D907AF" w:rsidP="00D907AF">
            <w:pPr>
              <w:spacing w:before="20" w:after="20"/>
              <w:rPr>
                <w:rFonts w:cstheme="minorHAnsi"/>
                <w:sz w:val="19"/>
                <w:szCs w:val="19"/>
              </w:rPr>
            </w:pPr>
            <w:r w:rsidRPr="007F53C6">
              <w:rPr>
                <w:rFonts w:cstheme="minorHAnsi"/>
                <w:sz w:val="19"/>
                <w:szCs w:val="19"/>
              </w:rPr>
              <w:t>Difficulties using facilities or equipment</w:t>
            </w:r>
          </w:p>
        </w:tc>
        <w:tc>
          <w:tcPr>
            <w:tcW w:w="680" w:type="dxa"/>
            <w:shd w:val="clear" w:color="auto" w:fill="auto"/>
            <w:vAlign w:val="center"/>
          </w:tcPr>
          <w:p w:rsidR="00D907AF" w:rsidRPr="0087485F" w:rsidRDefault="00D907AF" w:rsidP="00BC06D7">
            <w:pPr>
              <w:spacing w:before="20" w:after="20"/>
              <w:ind w:right="113"/>
              <w:jc w:val="right"/>
              <w:rPr>
                <w:rFonts w:cstheme="minorHAnsi"/>
                <w:color w:val="000000"/>
                <w:sz w:val="20"/>
                <w:szCs w:val="20"/>
              </w:rPr>
            </w:pPr>
            <w:r w:rsidRPr="0087485F">
              <w:rPr>
                <w:rFonts w:cstheme="minorHAnsi"/>
                <w:color w:val="000000"/>
                <w:sz w:val="20"/>
                <w:szCs w:val="20"/>
              </w:rPr>
              <w:t>23</w:t>
            </w:r>
          </w:p>
        </w:tc>
        <w:tc>
          <w:tcPr>
            <w:tcW w:w="737" w:type="dxa"/>
            <w:shd w:val="clear" w:color="auto" w:fill="auto"/>
            <w:vAlign w:val="center"/>
          </w:tcPr>
          <w:p w:rsidR="00D907AF" w:rsidRPr="0087485F" w:rsidRDefault="00D907AF" w:rsidP="000D77B0">
            <w:pPr>
              <w:spacing w:before="20" w:after="20"/>
              <w:jc w:val="right"/>
              <w:rPr>
                <w:rFonts w:cstheme="minorHAnsi"/>
                <w:color w:val="000000"/>
                <w:sz w:val="20"/>
                <w:szCs w:val="20"/>
              </w:rPr>
            </w:pPr>
            <w:r w:rsidRPr="0087485F">
              <w:rPr>
                <w:rFonts w:cstheme="minorHAnsi"/>
                <w:color w:val="000000"/>
                <w:sz w:val="20"/>
                <w:szCs w:val="20"/>
              </w:rPr>
              <w:t>37.7</w:t>
            </w:r>
          </w:p>
        </w:tc>
        <w:tc>
          <w:tcPr>
            <w:tcW w:w="1077" w:type="dxa"/>
            <w:shd w:val="clear" w:color="auto" w:fill="auto"/>
            <w:vAlign w:val="center"/>
          </w:tcPr>
          <w:p w:rsidR="00D907AF" w:rsidRPr="0087485F" w:rsidRDefault="00D907AF" w:rsidP="00185580">
            <w:pPr>
              <w:spacing w:before="20" w:after="20"/>
              <w:ind w:right="284"/>
              <w:jc w:val="right"/>
              <w:rPr>
                <w:rFonts w:cstheme="minorHAnsi"/>
                <w:color w:val="000000"/>
                <w:sz w:val="20"/>
                <w:szCs w:val="20"/>
              </w:rPr>
            </w:pPr>
            <w:r w:rsidRPr="0087485F">
              <w:rPr>
                <w:rFonts w:cstheme="minorHAnsi"/>
                <w:color w:val="000000"/>
                <w:sz w:val="20"/>
                <w:szCs w:val="20"/>
              </w:rPr>
              <w:t>38</w:t>
            </w:r>
          </w:p>
        </w:tc>
        <w:tc>
          <w:tcPr>
            <w:tcW w:w="1020" w:type="dxa"/>
            <w:shd w:val="clear" w:color="auto" w:fill="auto"/>
            <w:vAlign w:val="center"/>
          </w:tcPr>
          <w:p w:rsidR="00D907AF" w:rsidRPr="0087485F" w:rsidRDefault="00D907AF" w:rsidP="00B333AC">
            <w:pPr>
              <w:spacing w:before="20" w:after="20"/>
              <w:ind w:right="179"/>
              <w:jc w:val="right"/>
              <w:rPr>
                <w:rFonts w:cstheme="minorHAnsi"/>
                <w:color w:val="000000"/>
                <w:sz w:val="20"/>
                <w:szCs w:val="20"/>
              </w:rPr>
            </w:pPr>
            <w:r w:rsidRPr="0087485F">
              <w:rPr>
                <w:rFonts w:cstheme="minorHAnsi"/>
                <w:color w:val="000000"/>
                <w:sz w:val="20"/>
                <w:szCs w:val="20"/>
              </w:rPr>
              <w:t>34.2</w:t>
            </w:r>
          </w:p>
        </w:tc>
        <w:tc>
          <w:tcPr>
            <w:tcW w:w="737" w:type="dxa"/>
            <w:shd w:val="clear" w:color="auto" w:fill="auto"/>
            <w:vAlign w:val="center"/>
          </w:tcPr>
          <w:p w:rsidR="00D907AF" w:rsidRPr="0087485F" w:rsidRDefault="00D907AF" w:rsidP="00185580">
            <w:pPr>
              <w:spacing w:before="20" w:after="20"/>
              <w:ind w:right="113"/>
              <w:jc w:val="right"/>
              <w:rPr>
                <w:rFonts w:cstheme="minorHAnsi"/>
                <w:color w:val="000000"/>
                <w:sz w:val="20"/>
                <w:szCs w:val="20"/>
              </w:rPr>
            </w:pPr>
            <w:r w:rsidRPr="0087485F">
              <w:rPr>
                <w:rFonts w:cstheme="minorHAnsi"/>
                <w:color w:val="000000"/>
                <w:sz w:val="20"/>
                <w:szCs w:val="20"/>
              </w:rPr>
              <w:t>61</w:t>
            </w:r>
          </w:p>
        </w:tc>
        <w:tc>
          <w:tcPr>
            <w:tcW w:w="737" w:type="dxa"/>
            <w:shd w:val="clear" w:color="auto" w:fill="auto"/>
            <w:vAlign w:val="center"/>
          </w:tcPr>
          <w:p w:rsidR="00D907AF" w:rsidRPr="0087485F" w:rsidRDefault="00D907AF" w:rsidP="00185580">
            <w:pPr>
              <w:spacing w:before="20" w:after="20"/>
              <w:ind w:right="113"/>
              <w:jc w:val="right"/>
              <w:rPr>
                <w:rFonts w:cstheme="minorHAnsi"/>
                <w:color w:val="000000"/>
                <w:sz w:val="20"/>
                <w:szCs w:val="20"/>
              </w:rPr>
            </w:pPr>
            <w:r w:rsidRPr="0087485F">
              <w:rPr>
                <w:rFonts w:cstheme="minorHAnsi"/>
                <w:color w:val="000000"/>
                <w:sz w:val="20"/>
                <w:szCs w:val="20"/>
              </w:rPr>
              <w:t>35.5</w:t>
            </w:r>
          </w:p>
        </w:tc>
      </w:tr>
      <w:tr w:rsidR="007F53C6" w:rsidRPr="0087485F" w:rsidTr="001779DE">
        <w:tc>
          <w:tcPr>
            <w:tcW w:w="4252" w:type="dxa"/>
            <w:shd w:val="clear" w:color="auto" w:fill="auto"/>
          </w:tcPr>
          <w:p w:rsidR="00D907AF" w:rsidRPr="007F53C6" w:rsidRDefault="00D907AF" w:rsidP="00D907AF">
            <w:pPr>
              <w:spacing w:before="20" w:after="20"/>
              <w:rPr>
                <w:rFonts w:cstheme="minorHAnsi"/>
                <w:sz w:val="19"/>
                <w:szCs w:val="19"/>
              </w:rPr>
            </w:pPr>
            <w:r w:rsidRPr="007F53C6">
              <w:rPr>
                <w:rFonts w:cstheme="minorHAnsi"/>
                <w:sz w:val="19"/>
                <w:szCs w:val="19"/>
              </w:rPr>
              <w:t>Own health/disability</w:t>
            </w:r>
          </w:p>
        </w:tc>
        <w:tc>
          <w:tcPr>
            <w:tcW w:w="680" w:type="dxa"/>
            <w:shd w:val="clear" w:color="auto" w:fill="auto"/>
            <w:vAlign w:val="center"/>
          </w:tcPr>
          <w:p w:rsidR="00D907AF" w:rsidRPr="0087485F" w:rsidRDefault="00D907AF" w:rsidP="00BC06D7">
            <w:pPr>
              <w:spacing w:before="20" w:after="20"/>
              <w:ind w:right="113"/>
              <w:jc w:val="right"/>
              <w:rPr>
                <w:rFonts w:cstheme="minorHAnsi"/>
                <w:color w:val="000000"/>
                <w:sz w:val="20"/>
                <w:szCs w:val="20"/>
              </w:rPr>
            </w:pPr>
            <w:r w:rsidRPr="0087485F">
              <w:rPr>
                <w:rFonts w:cstheme="minorHAnsi"/>
                <w:color w:val="000000"/>
                <w:sz w:val="20"/>
                <w:szCs w:val="20"/>
              </w:rPr>
              <w:t>42</w:t>
            </w:r>
          </w:p>
        </w:tc>
        <w:tc>
          <w:tcPr>
            <w:tcW w:w="737" w:type="dxa"/>
            <w:shd w:val="clear" w:color="auto" w:fill="auto"/>
            <w:vAlign w:val="center"/>
          </w:tcPr>
          <w:p w:rsidR="00D907AF" w:rsidRPr="0087485F" w:rsidRDefault="00D907AF" w:rsidP="000D77B0">
            <w:pPr>
              <w:spacing w:before="20" w:after="20"/>
              <w:jc w:val="right"/>
              <w:rPr>
                <w:rFonts w:cstheme="minorHAnsi"/>
                <w:color w:val="000000"/>
                <w:sz w:val="20"/>
                <w:szCs w:val="20"/>
              </w:rPr>
            </w:pPr>
            <w:r w:rsidRPr="0087485F">
              <w:rPr>
                <w:rFonts w:cstheme="minorHAnsi"/>
                <w:color w:val="000000"/>
                <w:sz w:val="20"/>
                <w:szCs w:val="20"/>
              </w:rPr>
              <w:t>68.9</w:t>
            </w:r>
          </w:p>
        </w:tc>
        <w:tc>
          <w:tcPr>
            <w:tcW w:w="1077" w:type="dxa"/>
            <w:shd w:val="clear" w:color="auto" w:fill="auto"/>
            <w:vAlign w:val="center"/>
          </w:tcPr>
          <w:p w:rsidR="00D907AF" w:rsidRPr="0087485F" w:rsidRDefault="00D907AF" w:rsidP="00185580">
            <w:pPr>
              <w:spacing w:before="20" w:after="20"/>
              <w:ind w:right="284"/>
              <w:jc w:val="right"/>
              <w:rPr>
                <w:rFonts w:cstheme="minorHAnsi"/>
                <w:color w:val="000000"/>
                <w:sz w:val="20"/>
                <w:szCs w:val="20"/>
              </w:rPr>
            </w:pPr>
            <w:r w:rsidRPr="0087485F">
              <w:rPr>
                <w:rFonts w:cstheme="minorHAnsi"/>
                <w:color w:val="000000"/>
                <w:sz w:val="20"/>
                <w:szCs w:val="20"/>
              </w:rPr>
              <w:t>76</w:t>
            </w:r>
          </w:p>
        </w:tc>
        <w:tc>
          <w:tcPr>
            <w:tcW w:w="1020" w:type="dxa"/>
            <w:shd w:val="clear" w:color="auto" w:fill="auto"/>
            <w:vAlign w:val="center"/>
          </w:tcPr>
          <w:p w:rsidR="00D907AF" w:rsidRPr="0087485F" w:rsidRDefault="00D907AF" w:rsidP="00B333AC">
            <w:pPr>
              <w:spacing w:before="20" w:after="20"/>
              <w:ind w:right="179"/>
              <w:jc w:val="right"/>
              <w:rPr>
                <w:rFonts w:cstheme="minorHAnsi"/>
                <w:color w:val="000000"/>
                <w:sz w:val="20"/>
                <w:szCs w:val="20"/>
              </w:rPr>
            </w:pPr>
            <w:r w:rsidRPr="0087485F">
              <w:rPr>
                <w:rFonts w:cstheme="minorHAnsi"/>
                <w:color w:val="000000"/>
                <w:sz w:val="20"/>
                <w:szCs w:val="20"/>
              </w:rPr>
              <w:t>68.5</w:t>
            </w:r>
          </w:p>
        </w:tc>
        <w:tc>
          <w:tcPr>
            <w:tcW w:w="737" w:type="dxa"/>
            <w:shd w:val="clear" w:color="auto" w:fill="auto"/>
            <w:vAlign w:val="center"/>
          </w:tcPr>
          <w:p w:rsidR="00D907AF" w:rsidRPr="0087485F" w:rsidRDefault="00D907AF" w:rsidP="00185580">
            <w:pPr>
              <w:spacing w:before="20" w:after="20"/>
              <w:ind w:right="113"/>
              <w:jc w:val="right"/>
              <w:rPr>
                <w:rFonts w:cstheme="minorHAnsi"/>
                <w:color w:val="000000"/>
                <w:sz w:val="20"/>
                <w:szCs w:val="20"/>
              </w:rPr>
            </w:pPr>
            <w:r w:rsidRPr="0087485F">
              <w:rPr>
                <w:rFonts w:cstheme="minorHAnsi"/>
                <w:color w:val="000000"/>
                <w:sz w:val="20"/>
                <w:szCs w:val="20"/>
              </w:rPr>
              <w:t>118</w:t>
            </w:r>
          </w:p>
        </w:tc>
        <w:tc>
          <w:tcPr>
            <w:tcW w:w="737" w:type="dxa"/>
            <w:shd w:val="clear" w:color="auto" w:fill="auto"/>
            <w:vAlign w:val="center"/>
          </w:tcPr>
          <w:p w:rsidR="00D907AF" w:rsidRPr="0087485F" w:rsidRDefault="00D907AF" w:rsidP="00185580">
            <w:pPr>
              <w:spacing w:before="20" w:after="20"/>
              <w:ind w:right="113"/>
              <w:jc w:val="right"/>
              <w:rPr>
                <w:rFonts w:cstheme="minorHAnsi"/>
                <w:color w:val="000000"/>
                <w:sz w:val="20"/>
                <w:szCs w:val="20"/>
              </w:rPr>
            </w:pPr>
            <w:r w:rsidRPr="0087485F">
              <w:rPr>
                <w:rFonts w:cstheme="minorHAnsi"/>
                <w:color w:val="000000"/>
                <w:sz w:val="20"/>
                <w:szCs w:val="20"/>
              </w:rPr>
              <w:t>68.6</w:t>
            </w:r>
          </w:p>
        </w:tc>
      </w:tr>
      <w:tr w:rsidR="007F53C6" w:rsidRPr="0087485F" w:rsidTr="001779DE">
        <w:tc>
          <w:tcPr>
            <w:tcW w:w="4252" w:type="dxa"/>
            <w:shd w:val="clear" w:color="auto" w:fill="auto"/>
          </w:tcPr>
          <w:p w:rsidR="00D907AF" w:rsidRPr="007F53C6" w:rsidRDefault="00D907AF" w:rsidP="00D907AF">
            <w:pPr>
              <w:spacing w:before="20" w:after="20"/>
              <w:rPr>
                <w:rFonts w:cstheme="minorHAnsi"/>
                <w:sz w:val="19"/>
                <w:szCs w:val="19"/>
              </w:rPr>
            </w:pPr>
            <w:r w:rsidRPr="007F53C6">
              <w:rPr>
                <w:rFonts w:cstheme="minorHAnsi"/>
                <w:sz w:val="19"/>
                <w:szCs w:val="19"/>
              </w:rPr>
              <w:t>A lack of flexible hours on offer for learning</w:t>
            </w:r>
          </w:p>
        </w:tc>
        <w:tc>
          <w:tcPr>
            <w:tcW w:w="680" w:type="dxa"/>
            <w:shd w:val="clear" w:color="auto" w:fill="auto"/>
            <w:vAlign w:val="center"/>
          </w:tcPr>
          <w:p w:rsidR="00D907AF" w:rsidRPr="0087485F" w:rsidRDefault="00D907AF" w:rsidP="00BC06D7">
            <w:pPr>
              <w:spacing w:before="20" w:after="20"/>
              <w:ind w:right="113"/>
              <w:jc w:val="right"/>
              <w:rPr>
                <w:rFonts w:cstheme="minorHAnsi"/>
                <w:color w:val="000000"/>
                <w:sz w:val="20"/>
                <w:szCs w:val="20"/>
              </w:rPr>
            </w:pPr>
            <w:r w:rsidRPr="0087485F">
              <w:rPr>
                <w:rFonts w:cstheme="minorHAnsi"/>
                <w:color w:val="000000"/>
                <w:sz w:val="20"/>
                <w:szCs w:val="20"/>
              </w:rPr>
              <w:t>24</w:t>
            </w:r>
          </w:p>
        </w:tc>
        <w:tc>
          <w:tcPr>
            <w:tcW w:w="737" w:type="dxa"/>
            <w:shd w:val="clear" w:color="auto" w:fill="auto"/>
            <w:vAlign w:val="center"/>
          </w:tcPr>
          <w:p w:rsidR="00D907AF" w:rsidRPr="0087485F" w:rsidRDefault="00D907AF" w:rsidP="000D77B0">
            <w:pPr>
              <w:spacing w:before="20" w:after="20"/>
              <w:jc w:val="right"/>
              <w:rPr>
                <w:rFonts w:cstheme="minorHAnsi"/>
                <w:color w:val="000000"/>
                <w:sz w:val="20"/>
                <w:szCs w:val="20"/>
              </w:rPr>
            </w:pPr>
            <w:r w:rsidRPr="0087485F">
              <w:rPr>
                <w:rFonts w:cstheme="minorHAnsi"/>
                <w:color w:val="000000"/>
                <w:sz w:val="20"/>
                <w:szCs w:val="20"/>
              </w:rPr>
              <w:t>39.3</w:t>
            </w:r>
          </w:p>
        </w:tc>
        <w:tc>
          <w:tcPr>
            <w:tcW w:w="1077" w:type="dxa"/>
            <w:shd w:val="clear" w:color="auto" w:fill="auto"/>
            <w:vAlign w:val="center"/>
          </w:tcPr>
          <w:p w:rsidR="00D907AF" w:rsidRPr="0087485F" w:rsidRDefault="00D907AF" w:rsidP="00185580">
            <w:pPr>
              <w:spacing w:before="20" w:after="20"/>
              <w:ind w:right="284"/>
              <w:jc w:val="right"/>
              <w:rPr>
                <w:rFonts w:cstheme="minorHAnsi"/>
                <w:color w:val="000000"/>
                <w:sz w:val="20"/>
                <w:szCs w:val="20"/>
              </w:rPr>
            </w:pPr>
            <w:r w:rsidRPr="0087485F">
              <w:rPr>
                <w:rFonts w:cstheme="minorHAnsi"/>
                <w:color w:val="000000"/>
                <w:sz w:val="20"/>
                <w:szCs w:val="20"/>
              </w:rPr>
              <w:t>34</w:t>
            </w:r>
          </w:p>
        </w:tc>
        <w:tc>
          <w:tcPr>
            <w:tcW w:w="1020" w:type="dxa"/>
            <w:shd w:val="clear" w:color="auto" w:fill="auto"/>
            <w:vAlign w:val="center"/>
          </w:tcPr>
          <w:p w:rsidR="00D907AF" w:rsidRPr="0087485F" w:rsidRDefault="00D907AF" w:rsidP="00B333AC">
            <w:pPr>
              <w:spacing w:before="20" w:after="20"/>
              <w:ind w:right="179"/>
              <w:jc w:val="right"/>
              <w:rPr>
                <w:rFonts w:cstheme="minorHAnsi"/>
                <w:color w:val="000000"/>
                <w:sz w:val="20"/>
                <w:szCs w:val="20"/>
              </w:rPr>
            </w:pPr>
            <w:r w:rsidRPr="0087485F">
              <w:rPr>
                <w:rFonts w:cstheme="minorHAnsi"/>
                <w:color w:val="000000"/>
                <w:sz w:val="20"/>
                <w:szCs w:val="20"/>
              </w:rPr>
              <w:t>30.6</w:t>
            </w:r>
          </w:p>
        </w:tc>
        <w:tc>
          <w:tcPr>
            <w:tcW w:w="737" w:type="dxa"/>
            <w:shd w:val="clear" w:color="auto" w:fill="auto"/>
            <w:vAlign w:val="center"/>
          </w:tcPr>
          <w:p w:rsidR="00D907AF" w:rsidRPr="0087485F" w:rsidRDefault="00D907AF" w:rsidP="00185580">
            <w:pPr>
              <w:spacing w:before="20" w:after="20"/>
              <w:ind w:right="113"/>
              <w:jc w:val="right"/>
              <w:rPr>
                <w:rFonts w:cstheme="minorHAnsi"/>
                <w:color w:val="000000"/>
                <w:sz w:val="20"/>
                <w:szCs w:val="20"/>
              </w:rPr>
            </w:pPr>
            <w:r w:rsidRPr="0087485F">
              <w:rPr>
                <w:rFonts w:cstheme="minorHAnsi"/>
                <w:color w:val="000000"/>
                <w:sz w:val="20"/>
                <w:szCs w:val="20"/>
              </w:rPr>
              <w:t>58</w:t>
            </w:r>
          </w:p>
        </w:tc>
        <w:tc>
          <w:tcPr>
            <w:tcW w:w="737" w:type="dxa"/>
            <w:shd w:val="clear" w:color="auto" w:fill="auto"/>
            <w:vAlign w:val="center"/>
          </w:tcPr>
          <w:p w:rsidR="00D907AF" w:rsidRPr="0087485F" w:rsidRDefault="00D907AF" w:rsidP="00185580">
            <w:pPr>
              <w:spacing w:before="20" w:after="20"/>
              <w:ind w:right="113"/>
              <w:jc w:val="right"/>
              <w:rPr>
                <w:rFonts w:cstheme="minorHAnsi"/>
                <w:color w:val="000000"/>
                <w:sz w:val="20"/>
                <w:szCs w:val="20"/>
              </w:rPr>
            </w:pPr>
            <w:r w:rsidRPr="0087485F">
              <w:rPr>
                <w:rFonts w:cstheme="minorHAnsi"/>
                <w:color w:val="000000"/>
                <w:sz w:val="20"/>
                <w:szCs w:val="20"/>
              </w:rPr>
              <w:t>33.7</w:t>
            </w:r>
          </w:p>
        </w:tc>
      </w:tr>
      <w:tr w:rsidR="007F53C6" w:rsidRPr="0087485F" w:rsidTr="001779DE">
        <w:tc>
          <w:tcPr>
            <w:tcW w:w="4252" w:type="dxa"/>
            <w:shd w:val="clear" w:color="auto" w:fill="auto"/>
          </w:tcPr>
          <w:p w:rsidR="00D907AF" w:rsidRPr="007F53C6" w:rsidRDefault="00D907AF" w:rsidP="00D907AF">
            <w:pPr>
              <w:spacing w:before="20" w:after="20"/>
              <w:rPr>
                <w:rFonts w:cstheme="minorHAnsi"/>
                <w:sz w:val="19"/>
                <w:szCs w:val="19"/>
              </w:rPr>
            </w:pPr>
            <w:r w:rsidRPr="007F53C6">
              <w:rPr>
                <w:rFonts w:cstheme="minorHAnsi"/>
                <w:sz w:val="19"/>
                <w:szCs w:val="19"/>
              </w:rPr>
              <w:t>A lack of personal supports</w:t>
            </w:r>
          </w:p>
        </w:tc>
        <w:tc>
          <w:tcPr>
            <w:tcW w:w="680" w:type="dxa"/>
            <w:shd w:val="clear" w:color="auto" w:fill="auto"/>
            <w:vAlign w:val="center"/>
          </w:tcPr>
          <w:p w:rsidR="00D907AF" w:rsidRPr="0087485F" w:rsidRDefault="00D907AF" w:rsidP="00BC06D7">
            <w:pPr>
              <w:spacing w:before="20" w:after="20"/>
              <w:ind w:right="113"/>
              <w:jc w:val="right"/>
              <w:rPr>
                <w:rFonts w:cstheme="minorHAnsi"/>
                <w:color w:val="000000"/>
                <w:sz w:val="20"/>
                <w:szCs w:val="20"/>
              </w:rPr>
            </w:pPr>
            <w:r w:rsidRPr="0087485F">
              <w:rPr>
                <w:rFonts w:cstheme="minorHAnsi"/>
                <w:color w:val="000000"/>
                <w:sz w:val="20"/>
                <w:szCs w:val="20"/>
              </w:rPr>
              <w:t>23</w:t>
            </w:r>
          </w:p>
        </w:tc>
        <w:tc>
          <w:tcPr>
            <w:tcW w:w="737" w:type="dxa"/>
            <w:shd w:val="clear" w:color="auto" w:fill="auto"/>
            <w:vAlign w:val="center"/>
          </w:tcPr>
          <w:p w:rsidR="00D907AF" w:rsidRPr="0087485F" w:rsidRDefault="00D907AF" w:rsidP="000D77B0">
            <w:pPr>
              <w:spacing w:before="20" w:after="20"/>
              <w:jc w:val="right"/>
              <w:rPr>
                <w:rFonts w:cstheme="minorHAnsi"/>
                <w:color w:val="000000"/>
                <w:sz w:val="20"/>
                <w:szCs w:val="20"/>
              </w:rPr>
            </w:pPr>
            <w:r w:rsidRPr="0087485F">
              <w:rPr>
                <w:rFonts w:cstheme="minorHAnsi"/>
                <w:color w:val="000000"/>
                <w:sz w:val="20"/>
                <w:szCs w:val="20"/>
              </w:rPr>
              <w:t>37.7</w:t>
            </w:r>
          </w:p>
        </w:tc>
        <w:tc>
          <w:tcPr>
            <w:tcW w:w="1077" w:type="dxa"/>
            <w:shd w:val="clear" w:color="auto" w:fill="auto"/>
            <w:vAlign w:val="center"/>
          </w:tcPr>
          <w:p w:rsidR="00D907AF" w:rsidRPr="0087485F" w:rsidRDefault="00D907AF" w:rsidP="00185580">
            <w:pPr>
              <w:spacing w:before="20" w:after="20"/>
              <w:ind w:right="284"/>
              <w:jc w:val="right"/>
              <w:rPr>
                <w:rFonts w:cstheme="minorHAnsi"/>
                <w:color w:val="000000"/>
                <w:sz w:val="20"/>
                <w:szCs w:val="20"/>
              </w:rPr>
            </w:pPr>
            <w:r w:rsidRPr="0087485F">
              <w:rPr>
                <w:rFonts w:cstheme="minorHAnsi"/>
                <w:color w:val="000000"/>
                <w:sz w:val="20"/>
                <w:szCs w:val="20"/>
              </w:rPr>
              <w:t>42</w:t>
            </w:r>
          </w:p>
        </w:tc>
        <w:tc>
          <w:tcPr>
            <w:tcW w:w="1020" w:type="dxa"/>
            <w:shd w:val="clear" w:color="auto" w:fill="auto"/>
            <w:vAlign w:val="center"/>
          </w:tcPr>
          <w:p w:rsidR="00D907AF" w:rsidRPr="0087485F" w:rsidRDefault="00D907AF" w:rsidP="00B333AC">
            <w:pPr>
              <w:spacing w:before="20" w:after="20"/>
              <w:ind w:right="179"/>
              <w:jc w:val="right"/>
              <w:rPr>
                <w:rFonts w:cstheme="minorHAnsi"/>
                <w:color w:val="000000"/>
                <w:sz w:val="20"/>
                <w:szCs w:val="20"/>
              </w:rPr>
            </w:pPr>
            <w:r w:rsidRPr="0087485F">
              <w:rPr>
                <w:rFonts w:cstheme="minorHAnsi"/>
                <w:color w:val="000000"/>
                <w:sz w:val="20"/>
                <w:szCs w:val="20"/>
              </w:rPr>
              <w:t>37.8</w:t>
            </w:r>
          </w:p>
        </w:tc>
        <w:tc>
          <w:tcPr>
            <w:tcW w:w="737" w:type="dxa"/>
            <w:shd w:val="clear" w:color="auto" w:fill="auto"/>
            <w:vAlign w:val="center"/>
          </w:tcPr>
          <w:p w:rsidR="00D907AF" w:rsidRPr="0087485F" w:rsidRDefault="00D907AF" w:rsidP="00185580">
            <w:pPr>
              <w:spacing w:before="20" w:after="20"/>
              <w:ind w:right="113"/>
              <w:jc w:val="right"/>
              <w:rPr>
                <w:rFonts w:cstheme="minorHAnsi"/>
                <w:color w:val="000000"/>
                <w:sz w:val="20"/>
                <w:szCs w:val="20"/>
              </w:rPr>
            </w:pPr>
            <w:r w:rsidRPr="0087485F">
              <w:rPr>
                <w:rFonts w:cstheme="minorHAnsi"/>
                <w:color w:val="000000"/>
                <w:sz w:val="20"/>
                <w:szCs w:val="20"/>
              </w:rPr>
              <w:t>65</w:t>
            </w:r>
          </w:p>
        </w:tc>
        <w:tc>
          <w:tcPr>
            <w:tcW w:w="737" w:type="dxa"/>
            <w:shd w:val="clear" w:color="auto" w:fill="auto"/>
            <w:vAlign w:val="center"/>
          </w:tcPr>
          <w:p w:rsidR="00D907AF" w:rsidRPr="0087485F" w:rsidRDefault="00D907AF" w:rsidP="00185580">
            <w:pPr>
              <w:spacing w:before="20" w:after="20"/>
              <w:ind w:right="113"/>
              <w:jc w:val="right"/>
              <w:rPr>
                <w:rFonts w:cstheme="minorHAnsi"/>
                <w:color w:val="000000"/>
                <w:sz w:val="20"/>
                <w:szCs w:val="20"/>
              </w:rPr>
            </w:pPr>
            <w:r w:rsidRPr="0087485F">
              <w:rPr>
                <w:rFonts w:cstheme="minorHAnsi"/>
                <w:color w:val="000000"/>
                <w:sz w:val="20"/>
                <w:szCs w:val="20"/>
              </w:rPr>
              <w:t>37.8</w:t>
            </w:r>
          </w:p>
        </w:tc>
      </w:tr>
      <w:tr w:rsidR="007F53C6" w:rsidRPr="0087485F" w:rsidTr="001779DE">
        <w:tc>
          <w:tcPr>
            <w:tcW w:w="4252" w:type="dxa"/>
            <w:shd w:val="clear" w:color="auto" w:fill="auto"/>
          </w:tcPr>
          <w:p w:rsidR="00D907AF" w:rsidRPr="007F53C6" w:rsidRDefault="00D907AF" w:rsidP="00D907AF">
            <w:pPr>
              <w:spacing w:before="20" w:after="20"/>
              <w:rPr>
                <w:rFonts w:cstheme="minorHAnsi"/>
                <w:sz w:val="19"/>
                <w:szCs w:val="19"/>
              </w:rPr>
            </w:pPr>
            <w:r w:rsidRPr="007F53C6">
              <w:rPr>
                <w:rFonts w:cstheme="minorHAnsi"/>
                <w:sz w:val="19"/>
                <w:szCs w:val="19"/>
              </w:rPr>
              <w:t>The need for special equipment</w:t>
            </w:r>
          </w:p>
        </w:tc>
        <w:tc>
          <w:tcPr>
            <w:tcW w:w="680" w:type="dxa"/>
            <w:shd w:val="clear" w:color="auto" w:fill="auto"/>
            <w:vAlign w:val="center"/>
          </w:tcPr>
          <w:p w:rsidR="00D907AF" w:rsidRPr="0087485F" w:rsidRDefault="00D907AF" w:rsidP="00BC06D7">
            <w:pPr>
              <w:spacing w:before="20" w:after="20"/>
              <w:ind w:right="113"/>
              <w:jc w:val="right"/>
              <w:rPr>
                <w:rFonts w:cstheme="minorHAnsi"/>
                <w:color w:val="000000"/>
                <w:sz w:val="20"/>
                <w:szCs w:val="20"/>
              </w:rPr>
            </w:pPr>
            <w:r w:rsidRPr="0087485F">
              <w:rPr>
                <w:rFonts w:cstheme="minorHAnsi"/>
                <w:color w:val="000000"/>
                <w:sz w:val="20"/>
                <w:szCs w:val="20"/>
              </w:rPr>
              <w:t>10</w:t>
            </w:r>
          </w:p>
        </w:tc>
        <w:tc>
          <w:tcPr>
            <w:tcW w:w="737" w:type="dxa"/>
            <w:shd w:val="clear" w:color="auto" w:fill="auto"/>
            <w:vAlign w:val="center"/>
          </w:tcPr>
          <w:p w:rsidR="00D907AF" w:rsidRPr="0087485F" w:rsidRDefault="00D907AF" w:rsidP="000D77B0">
            <w:pPr>
              <w:spacing w:before="20" w:after="20"/>
              <w:jc w:val="right"/>
              <w:rPr>
                <w:rFonts w:cstheme="minorHAnsi"/>
                <w:color w:val="000000"/>
                <w:sz w:val="20"/>
                <w:szCs w:val="20"/>
              </w:rPr>
            </w:pPr>
            <w:r w:rsidRPr="0087485F">
              <w:rPr>
                <w:rFonts w:cstheme="minorHAnsi"/>
                <w:color w:val="000000"/>
                <w:sz w:val="20"/>
                <w:szCs w:val="20"/>
              </w:rPr>
              <w:t>16.4</w:t>
            </w:r>
          </w:p>
        </w:tc>
        <w:tc>
          <w:tcPr>
            <w:tcW w:w="1077" w:type="dxa"/>
            <w:shd w:val="clear" w:color="auto" w:fill="auto"/>
            <w:vAlign w:val="center"/>
          </w:tcPr>
          <w:p w:rsidR="00D907AF" w:rsidRPr="0087485F" w:rsidRDefault="00D907AF" w:rsidP="00185580">
            <w:pPr>
              <w:spacing w:before="20" w:after="20"/>
              <w:ind w:right="284"/>
              <w:jc w:val="right"/>
              <w:rPr>
                <w:rFonts w:cstheme="minorHAnsi"/>
                <w:color w:val="000000"/>
                <w:sz w:val="20"/>
                <w:szCs w:val="20"/>
              </w:rPr>
            </w:pPr>
            <w:r w:rsidRPr="0087485F">
              <w:rPr>
                <w:rFonts w:cstheme="minorHAnsi"/>
                <w:color w:val="000000"/>
                <w:sz w:val="20"/>
                <w:szCs w:val="20"/>
              </w:rPr>
              <w:t>20</w:t>
            </w:r>
          </w:p>
        </w:tc>
        <w:tc>
          <w:tcPr>
            <w:tcW w:w="1020" w:type="dxa"/>
            <w:shd w:val="clear" w:color="auto" w:fill="auto"/>
            <w:vAlign w:val="center"/>
          </w:tcPr>
          <w:p w:rsidR="00D907AF" w:rsidRPr="0087485F" w:rsidRDefault="00D907AF" w:rsidP="00B333AC">
            <w:pPr>
              <w:spacing w:before="20" w:after="20"/>
              <w:ind w:right="179"/>
              <w:jc w:val="right"/>
              <w:rPr>
                <w:rFonts w:cstheme="minorHAnsi"/>
                <w:color w:val="000000"/>
                <w:sz w:val="20"/>
                <w:szCs w:val="20"/>
              </w:rPr>
            </w:pPr>
            <w:r w:rsidRPr="0087485F">
              <w:rPr>
                <w:rFonts w:cstheme="minorHAnsi"/>
                <w:color w:val="000000"/>
                <w:sz w:val="20"/>
                <w:szCs w:val="20"/>
              </w:rPr>
              <w:t>18.0</w:t>
            </w:r>
          </w:p>
        </w:tc>
        <w:tc>
          <w:tcPr>
            <w:tcW w:w="737" w:type="dxa"/>
            <w:shd w:val="clear" w:color="auto" w:fill="auto"/>
            <w:vAlign w:val="center"/>
          </w:tcPr>
          <w:p w:rsidR="00D907AF" w:rsidRPr="0087485F" w:rsidRDefault="00D907AF" w:rsidP="00185580">
            <w:pPr>
              <w:spacing w:before="20" w:after="20"/>
              <w:ind w:right="113"/>
              <w:jc w:val="right"/>
              <w:rPr>
                <w:rFonts w:cstheme="minorHAnsi"/>
                <w:color w:val="000000"/>
                <w:sz w:val="20"/>
                <w:szCs w:val="20"/>
              </w:rPr>
            </w:pPr>
            <w:r w:rsidRPr="0087485F">
              <w:rPr>
                <w:rFonts w:cstheme="minorHAnsi"/>
                <w:color w:val="000000"/>
                <w:sz w:val="20"/>
                <w:szCs w:val="20"/>
              </w:rPr>
              <w:t>30</w:t>
            </w:r>
          </w:p>
        </w:tc>
        <w:tc>
          <w:tcPr>
            <w:tcW w:w="737" w:type="dxa"/>
            <w:shd w:val="clear" w:color="auto" w:fill="auto"/>
            <w:vAlign w:val="center"/>
          </w:tcPr>
          <w:p w:rsidR="00D907AF" w:rsidRPr="0087485F" w:rsidRDefault="00D907AF" w:rsidP="00185580">
            <w:pPr>
              <w:spacing w:before="20" w:after="20"/>
              <w:ind w:right="113"/>
              <w:jc w:val="right"/>
              <w:rPr>
                <w:rFonts w:cstheme="minorHAnsi"/>
                <w:color w:val="000000"/>
                <w:sz w:val="20"/>
                <w:szCs w:val="20"/>
              </w:rPr>
            </w:pPr>
            <w:r w:rsidRPr="0087485F">
              <w:rPr>
                <w:rFonts w:cstheme="minorHAnsi"/>
                <w:color w:val="000000"/>
                <w:sz w:val="20"/>
                <w:szCs w:val="20"/>
              </w:rPr>
              <w:t>17.4</w:t>
            </w:r>
          </w:p>
        </w:tc>
      </w:tr>
      <w:tr w:rsidR="007F53C6" w:rsidRPr="0087485F" w:rsidTr="001779DE">
        <w:tc>
          <w:tcPr>
            <w:tcW w:w="4252" w:type="dxa"/>
            <w:shd w:val="clear" w:color="auto" w:fill="auto"/>
          </w:tcPr>
          <w:p w:rsidR="00D907AF" w:rsidRPr="007F53C6" w:rsidRDefault="00D907AF" w:rsidP="007F53C6">
            <w:pPr>
              <w:spacing w:before="20" w:after="20"/>
              <w:rPr>
                <w:rFonts w:cstheme="minorHAnsi"/>
                <w:sz w:val="19"/>
                <w:szCs w:val="19"/>
              </w:rPr>
            </w:pPr>
            <w:r w:rsidRPr="007F53C6">
              <w:rPr>
                <w:rFonts w:cstheme="minorHAnsi"/>
                <w:sz w:val="19"/>
                <w:szCs w:val="19"/>
              </w:rPr>
              <w:t>The concern that welfare benefits might be</w:t>
            </w:r>
            <w:r w:rsidR="007F53C6">
              <w:rPr>
                <w:rFonts w:cstheme="minorHAnsi"/>
                <w:sz w:val="19"/>
                <w:szCs w:val="19"/>
              </w:rPr>
              <w:t xml:space="preserve"> </w:t>
            </w:r>
            <w:r w:rsidRPr="007F53C6">
              <w:rPr>
                <w:rFonts w:cstheme="minorHAnsi"/>
                <w:sz w:val="19"/>
                <w:szCs w:val="19"/>
              </w:rPr>
              <w:t>affected</w:t>
            </w:r>
          </w:p>
        </w:tc>
        <w:tc>
          <w:tcPr>
            <w:tcW w:w="680" w:type="dxa"/>
            <w:shd w:val="clear" w:color="auto" w:fill="auto"/>
            <w:vAlign w:val="center"/>
          </w:tcPr>
          <w:p w:rsidR="00D907AF" w:rsidRPr="0087485F" w:rsidRDefault="00D907AF" w:rsidP="00BC06D7">
            <w:pPr>
              <w:spacing w:before="20" w:after="20"/>
              <w:ind w:right="113"/>
              <w:jc w:val="right"/>
              <w:rPr>
                <w:rFonts w:cstheme="minorHAnsi"/>
                <w:color w:val="000000"/>
                <w:sz w:val="20"/>
                <w:szCs w:val="20"/>
              </w:rPr>
            </w:pPr>
            <w:r w:rsidRPr="0087485F">
              <w:rPr>
                <w:rFonts w:cstheme="minorHAnsi"/>
                <w:color w:val="000000"/>
                <w:sz w:val="20"/>
                <w:szCs w:val="20"/>
              </w:rPr>
              <w:t>12</w:t>
            </w:r>
          </w:p>
        </w:tc>
        <w:tc>
          <w:tcPr>
            <w:tcW w:w="737" w:type="dxa"/>
            <w:shd w:val="clear" w:color="auto" w:fill="auto"/>
            <w:vAlign w:val="center"/>
          </w:tcPr>
          <w:p w:rsidR="00D907AF" w:rsidRPr="0087485F" w:rsidRDefault="00D907AF" w:rsidP="000D77B0">
            <w:pPr>
              <w:spacing w:before="20" w:after="20"/>
              <w:jc w:val="right"/>
              <w:rPr>
                <w:rFonts w:cstheme="minorHAnsi"/>
                <w:color w:val="000000"/>
                <w:sz w:val="20"/>
                <w:szCs w:val="20"/>
              </w:rPr>
            </w:pPr>
            <w:r w:rsidRPr="0087485F">
              <w:rPr>
                <w:rFonts w:cstheme="minorHAnsi"/>
                <w:color w:val="000000"/>
                <w:sz w:val="20"/>
                <w:szCs w:val="20"/>
              </w:rPr>
              <w:t>19.7</w:t>
            </w:r>
          </w:p>
        </w:tc>
        <w:tc>
          <w:tcPr>
            <w:tcW w:w="1077" w:type="dxa"/>
            <w:shd w:val="clear" w:color="auto" w:fill="auto"/>
            <w:vAlign w:val="center"/>
          </w:tcPr>
          <w:p w:rsidR="00D907AF" w:rsidRPr="0087485F" w:rsidRDefault="00D907AF" w:rsidP="00185580">
            <w:pPr>
              <w:spacing w:before="20" w:after="20"/>
              <w:ind w:right="284"/>
              <w:jc w:val="right"/>
              <w:rPr>
                <w:rFonts w:cstheme="minorHAnsi"/>
                <w:color w:val="000000"/>
                <w:sz w:val="20"/>
                <w:szCs w:val="20"/>
              </w:rPr>
            </w:pPr>
            <w:r w:rsidRPr="0087485F">
              <w:rPr>
                <w:rFonts w:cstheme="minorHAnsi"/>
                <w:color w:val="000000"/>
                <w:sz w:val="20"/>
                <w:szCs w:val="20"/>
              </w:rPr>
              <w:t>28</w:t>
            </w:r>
          </w:p>
        </w:tc>
        <w:tc>
          <w:tcPr>
            <w:tcW w:w="1020" w:type="dxa"/>
            <w:shd w:val="clear" w:color="auto" w:fill="auto"/>
            <w:vAlign w:val="center"/>
          </w:tcPr>
          <w:p w:rsidR="00D907AF" w:rsidRPr="0087485F" w:rsidRDefault="00D907AF" w:rsidP="00B333AC">
            <w:pPr>
              <w:spacing w:before="20" w:after="20"/>
              <w:ind w:right="179"/>
              <w:jc w:val="right"/>
              <w:rPr>
                <w:rFonts w:cstheme="minorHAnsi"/>
                <w:color w:val="000000"/>
                <w:sz w:val="20"/>
                <w:szCs w:val="20"/>
              </w:rPr>
            </w:pPr>
            <w:r w:rsidRPr="0087485F">
              <w:rPr>
                <w:rFonts w:cstheme="minorHAnsi"/>
                <w:color w:val="000000"/>
                <w:sz w:val="20"/>
                <w:szCs w:val="20"/>
              </w:rPr>
              <w:t>25.2</w:t>
            </w:r>
          </w:p>
        </w:tc>
        <w:tc>
          <w:tcPr>
            <w:tcW w:w="737" w:type="dxa"/>
            <w:shd w:val="clear" w:color="auto" w:fill="auto"/>
            <w:vAlign w:val="center"/>
          </w:tcPr>
          <w:p w:rsidR="00D907AF" w:rsidRPr="0087485F" w:rsidRDefault="00D907AF" w:rsidP="00185580">
            <w:pPr>
              <w:spacing w:before="20" w:after="20"/>
              <w:ind w:right="113"/>
              <w:jc w:val="right"/>
              <w:rPr>
                <w:rFonts w:cstheme="minorHAnsi"/>
                <w:color w:val="000000"/>
                <w:sz w:val="20"/>
                <w:szCs w:val="20"/>
              </w:rPr>
            </w:pPr>
            <w:r w:rsidRPr="0087485F">
              <w:rPr>
                <w:rFonts w:cstheme="minorHAnsi"/>
                <w:color w:val="000000"/>
                <w:sz w:val="20"/>
                <w:szCs w:val="20"/>
              </w:rPr>
              <w:t>40</w:t>
            </w:r>
          </w:p>
        </w:tc>
        <w:tc>
          <w:tcPr>
            <w:tcW w:w="737" w:type="dxa"/>
            <w:shd w:val="clear" w:color="auto" w:fill="auto"/>
            <w:vAlign w:val="center"/>
          </w:tcPr>
          <w:p w:rsidR="00D907AF" w:rsidRPr="0087485F" w:rsidRDefault="00D907AF" w:rsidP="00185580">
            <w:pPr>
              <w:spacing w:before="20" w:after="20"/>
              <w:ind w:right="113"/>
              <w:jc w:val="right"/>
              <w:rPr>
                <w:rFonts w:cstheme="minorHAnsi"/>
                <w:color w:val="000000"/>
                <w:sz w:val="20"/>
                <w:szCs w:val="20"/>
              </w:rPr>
            </w:pPr>
            <w:r w:rsidRPr="0087485F">
              <w:rPr>
                <w:rFonts w:cstheme="minorHAnsi"/>
                <w:color w:val="000000"/>
                <w:sz w:val="20"/>
                <w:szCs w:val="20"/>
              </w:rPr>
              <w:t>23.3</w:t>
            </w:r>
          </w:p>
        </w:tc>
      </w:tr>
      <w:tr w:rsidR="007F53C6" w:rsidRPr="0087485F" w:rsidTr="001779DE">
        <w:tc>
          <w:tcPr>
            <w:tcW w:w="4252" w:type="dxa"/>
            <w:shd w:val="clear" w:color="auto" w:fill="auto"/>
          </w:tcPr>
          <w:p w:rsidR="00D907AF" w:rsidRPr="007F53C6" w:rsidRDefault="00D907AF" w:rsidP="00D907AF">
            <w:pPr>
              <w:spacing w:before="20" w:after="20"/>
              <w:rPr>
                <w:rFonts w:cstheme="minorHAnsi"/>
                <w:sz w:val="19"/>
                <w:szCs w:val="19"/>
              </w:rPr>
            </w:pPr>
            <w:r w:rsidRPr="007F53C6">
              <w:rPr>
                <w:rFonts w:cstheme="minorHAnsi"/>
                <w:sz w:val="19"/>
                <w:szCs w:val="19"/>
              </w:rPr>
              <w:t>Another reason</w:t>
            </w:r>
          </w:p>
        </w:tc>
        <w:tc>
          <w:tcPr>
            <w:tcW w:w="680" w:type="dxa"/>
            <w:shd w:val="clear" w:color="auto" w:fill="auto"/>
            <w:vAlign w:val="center"/>
          </w:tcPr>
          <w:p w:rsidR="00D907AF" w:rsidRPr="0087485F" w:rsidRDefault="00D907AF" w:rsidP="00BC06D7">
            <w:pPr>
              <w:spacing w:before="20" w:after="20"/>
              <w:ind w:right="113"/>
              <w:jc w:val="right"/>
              <w:rPr>
                <w:rFonts w:cstheme="minorHAnsi"/>
                <w:color w:val="000000"/>
                <w:sz w:val="20"/>
                <w:szCs w:val="20"/>
              </w:rPr>
            </w:pPr>
            <w:r w:rsidRPr="0087485F">
              <w:rPr>
                <w:rFonts w:cstheme="minorHAnsi"/>
                <w:color w:val="000000"/>
                <w:sz w:val="20"/>
                <w:szCs w:val="20"/>
              </w:rPr>
              <w:t>25</w:t>
            </w:r>
          </w:p>
        </w:tc>
        <w:tc>
          <w:tcPr>
            <w:tcW w:w="737" w:type="dxa"/>
            <w:shd w:val="clear" w:color="auto" w:fill="auto"/>
            <w:vAlign w:val="center"/>
          </w:tcPr>
          <w:p w:rsidR="00D907AF" w:rsidRPr="0087485F" w:rsidRDefault="00D907AF" w:rsidP="000D77B0">
            <w:pPr>
              <w:spacing w:before="20" w:after="20"/>
              <w:jc w:val="right"/>
              <w:rPr>
                <w:rFonts w:cstheme="minorHAnsi"/>
                <w:color w:val="000000"/>
                <w:sz w:val="20"/>
                <w:szCs w:val="20"/>
              </w:rPr>
            </w:pPr>
            <w:r w:rsidRPr="0087485F">
              <w:rPr>
                <w:rFonts w:cstheme="minorHAnsi"/>
                <w:color w:val="000000"/>
                <w:sz w:val="20"/>
                <w:szCs w:val="20"/>
              </w:rPr>
              <w:t>41.0</w:t>
            </w:r>
          </w:p>
        </w:tc>
        <w:tc>
          <w:tcPr>
            <w:tcW w:w="1077" w:type="dxa"/>
            <w:shd w:val="clear" w:color="auto" w:fill="auto"/>
            <w:vAlign w:val="center"/>
          </w:tcPr>
          <w:p w:rsidR="00D907AF" w:rsidRPr="0087485F" w:rsidRDefault="00D907AF" w:rsidP="00185580">
            <w:pPr>
              <w:spacing w:before="20" w:after="20"/>
              <w:ind w:right="284"/>
              <w:jc w:val="right"/>
              <w:rPr>
                <w:rFonts w:cstheme="minorHAnsi"/>
                <w:color w:val="000000"/>
                <w:sz w:val="20"/>
                <w:szCs w:val="20"/>
              </w:rPr>
            </w:pPr>
            <w:r w:rsidRPr="0087485F">
              <w:rPr>
                <w:rFonts w:cstheme="minorHAnsi"/>
                <w:color w:val="000000"/>
                <w:sz w:val="20"/>
                <w:szCs w:val="20"/>
              </w:rPr>
              <w:t>30</w:t>
            </w:r>
          </w:p>
        </w:tc>
        <w:tc>
          <w:tcPr>
            <w:tcW w:w="1020" w:type="dxa"/>
            <w:shd w:val="clear" w:color="auto" w:fill="auto"/>
            <w:vAlign w:val="center"/>
          </w:tcPr>
          <w:p w:rsidR="00D907AF" w:rsidRPr="0087485F" w:rsidRDefault="00D907AF" w:rsidP="00B333AC">
            <w:pPr>
              <w:spacing w:before="20" w:after="20"/>
              <w:ind w:right="179"/>
              <w:jc w:val="right"/>
              <w:rPr>
                <w:rFonts w:cstheme="minorHAnsi"/>
                <w:color w:val="000000"/>
                <w:sz w:val="20"/>
                <w:szCs w:val="20"/>
              </w:rPr>
            </w:pPr>
            <w:r w:rsidRPr="0087485F">
              <w:rPr>
                <w:rFonts w:cstheme="minorHAnsi"/>
                <w:color w:val="000000"/>
                <w:sz w:val="20"/>
                <w:szCs w:val="20"/>
              </w:rPr>
              <w:t>27.0</w:t>
            </w:r>
          </w:p>
        </w:tc>
        <w:tc>
          <w:tcPr>
            <w:tcW w:w="737" w:type="dxa"/>
            <w:shd w:val="clear" w:color="auto" w:fill="auto"/>
            <w:vAlign w:val="center"/>
          </w:tcPr>
          <w:p w:rsidR="00D907AF" w:rsidRPr="0087485F" w:rsidRDefault="00D907AF" w:rsidP="00185580">
            <w:pPr>
              <w:spacing w:before="20" w:after="20"/>
              <w:ind w:right="113"/>
              <w:jc w:val="right"/>
              <w:rPr>
                <w:rFonts w:cstheme="minorHAnsi"/>
                <w:color w:val="000000"/>
                <w:sz w:val="20"/>
                <w:szCs w:val="20"/>
              </w:rPr>
            </w:pPr>
            <w:r w:rsidRPr="0087485F">
              <w:rPr>
                <w:rFonts w:cstheme="minorHAnsi"/>
                <w:color w:val="000000"/>
                <w:sz w:val="20"/>
                <w:szCs w:val="20"/>
              </w:rPr>
              <w:t>55</w:t>
            </w:r>
          </w:p>
        </w:tc>
        <w:tc>
          <w:tcPr>
            <w:tcW w:w="737" w:type="dxa"/>
            <w:shd w:val="clear" w:color="auto" w:fill="auto"/>
            <w:vAlign w:val="center"/>
          </w:tcPr>
          <w:p w:rsidR="00D907AF" w:rsidRPr="0087485F" w:rsidRDefault="00D907AF" w:rsidP="00185580">
            <w:pPr>
              <w:spacing w:before="20" w:after="20"/>
              <w:ind w:right="113"/>
              <w:jc w:val="right"/>
              <w:rPr>
                <w:rFonts w:cstheme="minorHAnsi"/>
                <w:color w:val="000000"/>
                <w:sz w:val="20"/>
                <w:szCs w:val="20"/>
              </w:rPr>
            </w:pPr>
            <w:r w:rsidRPr="0087485F">
              <w:rPr>
                <w:rFonts w:cstheme="minorHAnsi"/>
                <w:color w:val="000000"/>
                <w:sz w:val="20"/>
                <w:szCs w:val="20"/>
              </w:rPr>
              <w:t>32.0</w:t>
            </w:r>
          </w:p>
        </w:tc>
      </w:tr>
      <w:tr w:rsidR="007F53C6" w:rsidRPr="0087485F" w:rsidTr="001779DE">
        <w:tc>
          <w:tcPr>
            <w:tcW w:w="4252" w:type="dxa"/>
            <w:tcBorders>
              <w:top w:val="single" w:sz="4" w:space="0" w:color="auto"/>
              <w:bottom w:val="single" w:sz="4" w:space="0" w:color="auto"/>
            </w:tcBorders>
            <w:shd w:val="clear" w:color="auto" w:fill="auto"/>
          </w:tcPr>
          <w:p w:rsidR="00D907AF" w:rsidRPr="0087485F" w:rsidRDefault="00D907AF" w:rsidP="00D907AF">
            <w:pPr>
              <w:spacing w:before="20" w:after="20"/>
              <w:rPr>
                <w:rFonts w:cstheme="minorHAnsi"/>
                <w:b/>
                <w:sz w:val="20"/>
                <w:szCs w:val="20"/>
              </w:rPr>
            </w:pPr>
            <w:r w:rsidRPr="0087485F">
              <w:rPr>
                <w:rFonts w:cstheme="minorHAnsi"/>
                <w:b/>
                <w:sz w:val="20"/>
                <w:szCs w:val="20"/>
              </w:rPr>
              <w:t>Total</w:t>
            </w:r>
          </w:p>
        </w:tc>
        <w:tc>
          <w:tcPr>
            <w:tcW w:w="680" w:type="dxa"/>
            <w:tcBorders>
              <w:top w:val="single" w:sz="4" w:space="0" w:color="auto"/>
              <w:bottom w:val="single" w:sz="4" w:space="0" w:color="auto"/>
            </w:tcBorders>
            <w:shd w:val="clear" w:color="auto" w:fill="auto"/>
            <w:vAlign w:val="center"/>
          </w:tcPr>
          <w:p w:rsidR="00D907AF" w:rsidRPr="0087485F" w:rsidRDefault="00D907AF" w:rsidP="00BC06D7">
            <w:pPr>
              <w:spacing w:before="20" w:after="20"/>
              <w:ind w:right="113"/>
              <w:jc w:val="right"/>
              <w:rPr>
                <w:rFonts w:cstheme="minorHAnsi"/>
                <w:b/>
                <w:sz w:val="20"/>
                <w:szCs w:val="20"/>
              </w:rPr>
            </w:pPr>
            <w:r w:rsidRPr="0087485F">
              <w:rPr>
                <w:rFonts w:cstheme="minorHAnsi"/>
                <w:b/>
                <w:sz w:val="20"/>
                <w:szCs w:val="20"/>
              </w:rPr>
              <w:t>61</w:t>
            </w:r>
          </w:p>
        </w:tc>
        <w:tc>
          <w:tcPr>
            <w:tcW w:w="737" w:type="dxa"/>
            <w:tcBorders>
              <w:top w:val="single" w:sz="4" w:space="0" w:color="auto"/>
              <w:bottom w:val="single" w:sz="4" w:space="0" w:color="auto"/>
            </w:tcBorders>
            <w:shd w:val="clear" w:color="auto" w:fill="auto"/>
            <w:vAlign w:val="center"/>
          </w:tcPr>
          <w:p w:rsidR="00D907AF" w:rsidRPr="0087485F" w:rsidRDefault="00D907AF" w:rsidP="000D77B0">
            <w:pPr>
              <w:spacing w:before="20" w:after="20"/>
              <w:jc w:val="right"/>
              <w:rPr>
                <w:rFonts w:cstheme="minorHAnsi"/>
                <w:b/>
                <w:sz w:val="20"/>
                <w:szCs w:val="20"/>
              </w:rPr>
            </w:pPr>
          </w:p>
        </w:tc>
        <w:tc>
          <w:tcPr>
            <w:tcW w:w="1077" w:type="dxa"/>
            <w:tcBorders>
              <w:top w:val="single" w:sz="4" w:space="0" w:color="auto"/>
              <w:bottom w:val="single" w:sz="4" w:space="0" w:color="auto"/>
            </w:tcBorders>
            <w:shd w:val="clear" w:color="auto" w:fill="auto"/>
            <w:vAlign w:val="center"/>
          </w:tcPr>
          <w:p w:rsidR="00D907AF" w:rsidRPr="0087485F" w:rsidRDefault="00D907AF" w:rsidP="00185580">
            <w:pPr>
              <w:spacing w:before="20" w:after="20"/>
              <w:ind w:right="284"/>
              <w:jc w:val="right"/>
              <w:rPr>
                <w:rFonts w:cstheme="minorHAnsi"/>
                <w:b/>
                <w:sz w:val="20"/>
                <w:szCs w:val="20"/>
              </w:rPr>
            </w:pPr>
            <w:r w:rsidRPr="0087485F">
              <w:rPr>
                <w:rFonts w:cstheme="minorHAnsi"/>
                <w:b/>
                <w:sz w:val="20"/>
                <w:szCs w:val="20"/>
              </w:rPr>
              <w:t>111</w:t>
            </w:r>
          </w:p>
        </w:tc>
        <w:tc>
          <w:tcPr>
            <w:tcW w:w="1020" w:type="dxa"/>
            <w:tcBorders>
              <w:top w:val="single" w:sz="4" w:space="0" w:color="auto"/>
              <w:bottom w:val="single" w:sz="4" w:space="0" w:color="auto"/>
            </w:tcBorders>
            <w:shd w:val="clear" w:color="auto" w:fill="auto"/>
            <w:vAlign w:val="center"/>
          </w:tcPr>
          <w:p w:rsidR="00D907AF" w:rsidRPr="0087485F" w:rsidRDefault="00D907AF" w:rsidP="00185580">
            <w:pPr>
              <w:spacing w:before="20" w:after="20"/>
              <w:ind w:right="284"/>
              <w:jc w:val="right"/>
              <w:rPr>
                <w:rFonts w:cstheme="minorHAnsi"/>
                <w:b/>
                <w:sz w:val="20"/>
                <w:szCs w:val="20"/>
              </w:rPr>
            </w:pPr>
          </w:p>
        </w:tc>
        <w:tc>
          <w:tcPr>
            <w:tcW w:w="737" w:type="dxa"/>
            <w:tcBorders>
              <w:top w:val="single" w:sz="4" w:space="0" w:color="auto"/>
              <w:bottom w:val="single" w:sz="4" w:space="0" w:color="auto"/>
            </w:tcBorders>
            <w:shd w:val="clear" w:color="auto" w:fill="auto"/>
            <w:vAlign w:val="center"/>
          </w:tcPr>
          <w:p w:rsidR="00D907AF" w:rsidRPr="00185580" w:rsidRDefault="00D907AF" w:rsidP="00185580">
            <w:pPr>
              <w:spacing w:before="20" w:after="20"/>
              <w:ind w:right="113"/>
              <w:jc w:val="right"/>
              <w:rPr>
                <w:rFonts w:cstheme="minorHAnsi"/>
                <w:b/>
                <w:color w:val="000000"/>
                <w:sz w:val="20"/>
                <w:szCs w:val="20"/>
              </w:rPr>
            </w:pPr>
            <w:r w:rsidRPr="00185580">
              <w:rPr>
                <w:rFonts w:cstheme="minorHAnsi"/>
                <w:b/>
                <w:color w:val="000000"/>
                <w:sz w:val="20"/>
                <w:szCs w:val="20"/>
              </w:rPr>
              <w:t>172</w:t>
            </w:r>
          </w:p>
        </w:tc>
        <w:tc>
          <w:tcPr>
            <w:tcW w:w="737" w:type="dxa"/>
            <w:tcBorders>
              <w:top w:val="single" w:sz="4" w:space="0" w:color="auto"/>
              <w:bottom w:val="single" w:sz="4" w:space="0" w:color="auto"/>
            </w:tcBorders>
            <w:shd w:val="clear" w:color="auto" w:fill="auto"/>
            <w:vAlign w:val="center"/>
          </w:tcPr>
          <w:p w:rsidR="00D907AF" w:rsidRPr="00185580" w:rsidRDefault="00D907AF" w:rsidP="00185580">
            <w:pPr>
              <w:spacing w:before="20" w:after="20"/>
              <w:ind w:right="113"/>
              <w:jc w:val="right"/>
              <w:rPr>
                <w:rFonts w:cstheme="minorHAnsi"/>
                <w:color w:val="000000"/>
                <w:sz w:val="20"/>
                <w:szCs w:val="20"/>
              </w:rPr>
            </w:pPr>
          </w:p>
        </w:tc>
      </w:tr>
    </w:tbl>
    <w:p w:rsidR="00D907AF" w:rsidRPr="00660446" w:rsidRDefault="00D907AF" w:rsidP="006C7BE7">
      <w:pPr>
        <w:pStyle w:val="NILSTabletext"/>
      </w:pPr>
      <w:r w:rsidRPr="00660446">
        <w:t xml:space="preserve">Note: </w:t>
      </w:r>
      <w:r>
        <w:t>t</w:t>
      </w:r>
      <w:r w:rsidRPr="00660446">
        <w:t xml:space="preserve">rial and </w:t>
      </w:r>
      <w:r>
        <w:t>c</w:t>
      </w:r>
      <w:r w:rsidRPr="00660446">
        <w:t xml:space="preserve">omparison aged 16 and above in current study </w:t>
      </w:r>
      <w:r>
        <w:t>or</w:t>
      </w:r>
      <w:r w:rsidRPr="00660446">
        <w:t xml:space="preserve"> not in study but looking for a course to study</w:t>
      </w:r>
      <w:r>
        <w:t>; ‘Total’ indicates the number of respondents to answer this question; multiple response question; columns do not add to 100.</w:t>
      </w:r>
    </w:p>
    <w:p w:rsidR="00D907AF" w:rsidRDefault="00D907AF" w:rsidP="00D907AF">
      <w:pPr>
        <w:rPr>
          <w:rFonts w:ascii="Calibri" w:hAnsi="Calibri" w:cs="Calibri"/>
        </w:rPr>
      </w:pPr>
      <w:r w:rsidRPr="00707A9D">
        <w:rPr>
          <w:rFonts w:ascii="Calibri" w:hAnsi="Calibri" w:cs="Calibri"/>
        </w:rPr>
        <w:t xml:space="preserve">Education research shows that each one of these </w:t>
      </w:r>
      <w:r>
        <w:rPr>
          <w:rFonts w:ascii="Calibri" w:hAnsi="Calibri" w:cs="Calibri"/>
        </w:rPr>
        <w:t>barriers</w:t>
      </w:r>
      <w:r w:rsidRPr="00707A9D">
        <w:rPr>
          <w:rFonts w:ascii="Calibri" w:hAnsi="Calibri" w:cs="Calibri"/>
        </w:rPr>
        <w:t xml:space="preserve"> can have a serious educational impact </w:t>
      </w:r>
      <w:r>
        <w:rPr>
          <w:rFonts w:ascii="Calibri" w:hAnsi="Calibri" w:cs="Calibri"/>
        </w:rPr>
        <w:t xml:space="preserve">in itself and often not only on </w:t>
      </w:r>
      <w:r w:rsidRPr="00707A9D">
        <w:rPr>
          <w:rFonts w:ascii="Calibri" w:hAnsi="Calibri" w:cs="Calibri"/>
        </w:rPr>
        <w:t>performance</w:t>
      </w:r>
      <w:r>
        <w:rPr>
          <w:rFonts w:ascii="Calibri" w:hAnsi="Calibri" w:cs="Calibri"/>
        </w:rPr>
        <w:t xml:space="preserve"> (how well the student does), but also on</w:t>
      </w:r>
      <w:r w:rsidRPr="00707A9D">
        <w:rPr>
          <w:rFonts w:ascii="Calibri" w:hAnsi="Calibri" w:cs="Calibri"/>
        </w:rPr>
        <w:t xml:space="preserve"> participation </w:t>
      </w:r>
      <w:r>
        <w:rPr>
          <w:rFonts w:ascii="Calibri" w:hAnsi="Calibri" w:cs="Calibri"/>
        </w:rPr>
        <w:t xml:space="preserve">(whether the prospective student choses to study or not). Education research also suggests that </w:t>
      </w:r>
      <w:r w:rsidRPr="00707A9D">
        <w:rPr>
          <w:rFonts w:ascii="Calibri" w:hAnsi="Calibri" w:cs="Calibri"/>
        </w:rPr>
        <w:t xml:space="preserve">where combined </w:t>
      </w:r>
      <w:r>
        <w:rPr>
          <w:rFonts w:ascii="Calibri" w:hAnsi="Calibri" w:cs="Calibri"/>
        </w:rPr>
        <w:t>barriers</w:t>
      </w:r>
      <w:r w:rsidRPr="00707A9D">
        <w:rPr>
          <w:rFonts w:ascii="Calibri" w:hAnsi="Calibri" w:cs="Calibri"/>
        </w:rPr>
        <w:t xml:space="preserve"> are</w:t>
      </w:r>
      <w:r>
        <w:rPr>
          <w:rFonts w:ascii="Calibri" w:hAnsi="Calibri" w:cs="Calibri"/>
        </w:rPr>
        <w:t xml:space="preserve"> experienced by an individual student, their impact can become acute</w:t>
      </w:r>
      <w:r w:rsidRPr="00707A9D">
        <w:rPr>
          <w:rFonts w:ascii="Calibri" w:hAnsi="Calibri" w:cs="Calibri"/>
        </w:rPr>
        <w:t xml:space="preserve">. Although the sample size is still not large enough </w:t>
      </w:r>
      <w:r>
        <w:rPr>
          <w:rFonts w:ascii="Calibri" w:hAnsi="Calibri" w:cs="Calibri"/>
        </w:rPr>
        <w:t>to undertake</w:t>
      </w:r>
      <w:r w:rsidRPr="00707A9D">
        <w:rPr>
          <w:rFonts w:ascii="Calibri" w:hAnsi="Calibri" w:cs="Calibri"/>
        </w:rPr>
        <w:t xml:space="preserve"> meaningful statistical </w:t>
      </w:r>
      <w:r>
        <w:rPr>
          <w:rFonts w:ascii="Calibri" w:hAnsi="Calibri" w:cs="Calibri"/>
        </w:rPr>
        <w:t>analysis</w:t>
      </w:r>
      <w:r w:rsidRPr="00707A9D">
        <w:rPr>
          <w:rFonts w:ascii="Calibri" w:hAnsi="Calibri" w:cs="Calibri"/>
        </w:rPr>
        <w:t xml:space="preserve"> about the impact of any individual such obstacle, Table 3.4</w:t>
      </w:r>
      <w:r>
        <w:rPr>
          <w:rFonts w:ascii="Calibri" w:hAnsi="Calibri" w:cs="Calibri"/>
        </w:rPr>
        <w:t>7</w:t>
      </w:r>
      <w:r w:rsidRPr="00707A9D">
        <w:rPr>
          <w:rFonts w:ascii="Calibri" w:hAnsi="Calibri" w:cs="Calibri"/>
        </w:rPr>
        <w:t xml:space="preserve"> should be marked for its </w:t>
      </w:r>
      <w:r>
        <w:rPr>
          <w:rFonts w:ascii="Calibri" w:hAnsi="Calibri" w:cs="Calibri"/>
        </w:rPr>
        <w:t xml:space="preserve">significant </w:t>
      </w:r>
      <w:r w:rsidRPr="00707A9D">
        <w:rPr>
          <w:rFonts w:ascii="Calibri" w:hAnsi="Calibri" w:cs="Calibri"/>
        </w:rPr>
        <w:t xml:space="preserve">potential when the </w:t>
      </w:r>
      <w:r>
        <w:rPr>
          <w:rFonts w:ascii="Calibri" w:hAnsi="Calibri" w:cs="Calibri"/>
        </w:rPr>
        <w:t>full</w:t>
      </w:r>
      <w:r w:rsidRPr="00707A9D">
        <w:rPr>
          <w:rFonts w:ascii="Calibri" w:hAnsi="Calibri" w:cs="Calibri"/>
        </w:rPr>
        <w:t xml:space="preserve"> sample sizes</w:t>
      </w:r>
      <w:r>
        <w:rPr>
          <w:rFonts w:ascii="Calibri" w:hAnsi="Calibri" w:cs="Calibri"/>
        </w:rPr>
        <w:t xml:space="preserve"> are available and when the full information on the person with disability will be combined with that of their family and carer in a way that will allow the necessary multivariate statistical analyses.</w:t>
      </w:r>
    </w:p>
    <w:p w:rsidR="00D907AF" w:rsidRPr="000C5DC9" w:rsidRDefault="00D907AF" w:rsidP="00367B24">
      <w:pPr>
        <w:pStyle w:val="Heading3"/>
        <w:rPr>
          <w:sz w:val="32"/>
        </w:rPr>
      </w:pPr>
      <w:bookmarkStart w:id="390" w:name="_Toc449955021"/>
      <w:r>
        <w:t>3.6.12</w:t>
      </w:r>
      <w:r w:rsidRPr="00590137">
        <w:t xml:space="preserve"> </w:t>
      </w:r>
      <w:r>
        <w:t>Employment aspirations</w:t>
      </w:r>
      <w:bookmarkEnd w:id="390"/>
    </w:p>
    <w:p w:rsidR="00D907AF" w:rsidRDefault="00D907AF" w:rsidP="00D907AF">
      <w:r>
        <w:t>Table 3.48 shows that of the 919 respondents in an age group that would allow them to work, 19 per cent reported being in employment.</w:t>
      </w:r>
    </w:p>
    <w:p w:rsidR="00D907AF" w:rsidRPr="00233E8A" w:rsidRDefault="00D907AF" w:rsidP="0044684E">
      <w:pPr>
        <w:pStyle w:val="NILSTableHeading"/>
      </w:pPr>
      <w:bookmarkStart w:id="391" w:name="_Toc428280700"/>
      <w:bookmarkStart w:id="392" w:name="_Toc449955310"/>
      <w:r w:rsidRPr="00233E8A">
        <w:t xml:space="preserve">Table </w:t>
      </w:r>
      <w:r>
        <w:t>3.</w:t>
      </w:r>
      <w:r>
        <w:rPr>
          <w:rFonts w:hint="eastAsia"/>
        </w:rPr>
        <w:t>4</w:t>
      </w:r>
      <w:r>
        <w:t>8</w:t>
      </w:r>
      <w:r w:rsidRPr="00233E8A">
        <w:t xml:space="preserve">: </w:t>
      </w:r>
      <w:r>
        <w:rPr>
          <w:rFonts w:hint="eastAsia"/>
        </w:rPr>
        <w:t>Currently in work or not</w:t>
      </w:r>
      <w:bookmarkEnd w:id="391"/>
      <w:bookmarkEnd w:id="392"/>
      <w:r>
        <w:t xml:space="preserve"> </w:t>
      </w:r>
    </w:p>
    <w:tbl>
      <w:tblPr>
        <w:tblStyle w:val="TableGrid"/>
        <w:tblW w:w="0" w:type="auto"/>
        <w:tblLayout w:type="fixed"/>
        <w:tblLook w:val="04A0" w:firstRow="1" w:lastRow="0" w:firstColumn="1" w:lastColumn="0" w:noHBand="0" w:noVBand="1"/>
        <w:tblCaption w:val="Table 3.48 Trial and comparison respondents in work and not in work"/>
      </w:tblPr>
      <w:tblGrid>
        <w:gridCol w:w="1526"/>
        <w:gridCol w:w="992"/>
        <w:gridCol w:w="1276"/>
      </w:tblGrid>
      <w:tr w:rsidR="00D907AF" w:rsidRPr="0087485F" w:rsidTr="004B5EF7">
        <w:trPr>
          <w:tblHeader/>
        </w:trPr>
        <w:tc>
          <w:tcPr>
            <w:tcW w:w="1526" w:type="dxa"/>
            <w:tcBorders>
              <w:top w:val="single" w:sz="4" w:space="0" w:color="auto"/>
              <w:bottom w:val="single" w:sz="4" w:space="0" w:color="auto"/>
            </w:tcBorders>
            <w:shd w:val="clear" w:color="auto" w:fill="auto"/>
          </w:tcPr>
          <w:p w:rsidR="00D907AF" w:rsidRPr="0087485F" w:rsidRDefault="00D907AF" w:rsidP="00D907AF">
            <w:pPr>
              <w:spacing w:before="20" w:after="20"/>
              <w:rPr>
                <w:rFonts w:cstheme="minorHAnsi"/>
                <w:sz w:val="20"/>
                <w:szCs w:val="20"/>
              </w:rPr>
            </w:pPr>
            <w:bookmarkStart w:id="393" w:name="Title_3_48"/>
            <w:bookmarkEnd w:id="393"/>
          </w:p>
        </w:tc>
        <w:tc>
          <w:tcPr>
            <w:tcW w:w="992" w:type="dxa"/>
            <w:tcBorders>
              <w:top w:val="single" w:sz="4" w:space="0" w:color="auto"/>
              <w:bottom w:val="single" w:sz="4" w:space="0" w:color="auto"/>
            </w:tcBorders>
            <w:shd w:val="clear" w:color="auto" w:fill="auto"/>
          </w:tcPr>
          <w:p w:rsidR="00D907AF" w:rsidRPr="0087485F" w:rsidRDefault="00D907AF" w:rsidP="00D907AF">
            <w:pPr>
              <w:spacing w:before="20" w:after="20"/>
              <w:jc w:val="center"/>
              <w:rPr>
                <w:rFonts w:cstheme="minorHAnsi"/>
                <w:sz w:val="20"/>
                <w:szCs w:val="20"/>
              </w:rPr>
            </w:pPr>
            <w:r w:rsidRPr="0087485F">
              <w:rPr>
                <w:rFonts w:cstheme="minorHAnsi"/>
                <w:sz w:val="20"/>
                <w:szCs w:val="20"/>
              </w:rPr>
              <w:t>Cases</w:t>
            </w:r>
          </w:p>
        </w:tc>
        <w:tc>
          <w:tcPr>
            <w:tcW w:w="1276" w:type="dxa"/>
            <w:tcBorders>
              <w:top w:val="single" w:sz="4" w:space="0" w:color="auto"/>
              <w:bottom w:val="single" w:sz="4" w:space="0" w:color="auto"/>
            </w:tcBorders>
            <w:shd w:val="clear" w:color="auto" w:fill="auto"/>
          </w:tcPr>
          <w:p w:rsidR="00D907AF" w:rsidRPr="0087485F" w:rsidRDefault="00D907AF" w:rsidP="00D907AF">
            <w:pPr>
              <w:spacing w:before="20" w:after="20"/>
              <w:jc w:val="center"/>
              <w:rPr>
                <w:rFonts w:cstheme="minorHAnsi"/>
                <w:sz w:val="20"/>
                <w:szCs w:val="20"/>
              </w:rPr>
            </w:pPr>
            <w:r w:rsidRPr="0087485F">
              <w:rPr>
                <w:rFonts w:cstheme="minorHAnsi"/>
                <w:sz w:val="20"/>
                <w:szCs w:val="20"/>
              </w:rPr>
              <w:t>%</w:t>
            </w:r>
          </w:p>
        </w:tc>
      </w:tr>
      <w:tr w:rsidR="00D907AF" w:rsidRPr="0087485F" w:rsidTr="004B5EF7">
        <w:tc>
          <w:tcPr>
            <w:tcW w:w="1526"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In work</w:t>
            </w:r>
          </w:p>
        </w:tc>
        <w:tc>
          <w:tcPr>
            <w:tcW w:w="992" w:type="dxa"/>
            <w:shd w:val="clear" w:color="auto" w:fill="auto"/>
          </w:tcPr>
          <w:p w:rsidR="00D907AF" w:rsidRPr="0087485F" w:rsidRDefault="00D907AF" w:rsidP="00185580">
            <w:pPr>
              <w:spacing w:before="20" w:after="20"/>
              <w:ind w:right="170"/>
              <w:jc w:val="right"/>
              <w:rPr>
                <w:rFonts w:cstheme="minorHAnsi"/>
                <w:sz w:val="20"/>
                <w:szCs w:val="20"/>
              </w:rPr>
            </w:pPr>
            <w:r w:rsidRPr="0087485F">
              <w:rPr>
                <w:rFonts w:cstheme="minorHAnsi"/>
                <w:sz w:val="20"/>
                <w:szCs w:val="20"/>
              </w:rPr>
              <w:t>178</w:t>
            </w:r>
          </w:p>
        </w:tc>
        <w:tc>
          <w:tcPr>
            <w:tcW w:w="1276" w:type="dxa"/>
            <w:shd w:val="clear" w:color="auto" w:fill="auto"/>
            <w:vAlign w:val="center"/>
          </w:tcPr>
          <w:p w:rsidR="00D907AF" w:rsidRPr="0087485F" w:rsidRDefault="00D907AF" w:rsidP="00185580">
            <w:pPr>
              <w:spacing w:before="20" w:after="20"/>
              <w:ind w:right="284"/>
              <w:jc w:val="right"/>
              <w:rPr>
                <w:rFonts w:cstheme="minorHAnsi"/>
                <w:color w:val="000000"/>
                <w:sz w:val="20"/>
                <w:szCs w:val="20"/>
              </w:rPr>
            </w:pPr>
            <w:r w:rsidRPr="0087485F">
              <w:rPr>
                <w:rFonts w:cstheme="minorHAnsi"/>
                <w:color w:val="000000"/>
                <w:sz w:val="20"/>
                <w:szCs w:val="20"/>
              </w:rPr>
              <w:t>19.4</w:t>
            </w:r>
          </w:p>
        </w:tc>
      </w:tr>
      <w:tr w:rsidR="00D907AF" w:rsidRPr="0087485F" w:rsidTr="004B5EF7">
        <w:tc>
          <w:tcPr>
            <w:tcW w:w="1526"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Not in work</w:t>
            </w:r>
          </w:p>
        </w:tc>
        <w:tc>
          <w:tcPr>
            <w:tcW w:w="992" w:type="dxa"/>
            <w:shd w:val="clear" w:color="auto" w:fill="auto"/>
          </w:tcPr>
          <w:p w:rsidR="00D907AF" w:rsidRPr="0087485F" w:rsidRDefault="00D907AF" w:rsidP="00185580">
            <w:pPr>
              <w:spacing w:before="20" w:after="20"/>
              <w:ind w:right="170"/>
              <w:jc w:val="right"/>
              <w:rPr>
                <w:rFonts w:cstheme="minorHAnsi"/>
                <w:sz w:val="20"/>
                <w:szCs w:val="20"/>
              </w:rPr>
            </w:pPr>
            <w:r w:rsidRPr="0087485F">
              <w:rPr>
                <w:rFonts w:cstheme="minorHAnsi"/>
                <w:sz w:val="20"/>
                <w:szCs w:val="20"/>
              </w:rPr>
              <w:t>739</w:t>
            </w:r>
          </w:p>
        </w:tc>
        <w:tc>
          <w:tcPr>
            <w:tcW w:w="1276" w:type="dxa"/>
            <w:shd w:val="clear" w:color="auto" w:fill="auto"/>
            <w:vAlign w:val="center"/>
          </w:tcPr>
          <w:p w:rsidR="00D907AF" w:rsidRPr="0087485F" w:rsidRDefault="00D907AF" w:rsidP="00185580">
            <w:pPr>
              <w:spacing w:before="20" w:after="20"/>
              <w:ind w:right="284"/>
              <w:jc w:val="right"/>
              <w:rPr>
                <w:rFonts w:cstheme="minorHAnsi"/>
                <w:color w:val="000000"/>
                <w:sz w:val="20"/>
                <w:szCs w:val="20"/>
              </w:rPr>
            </w:pPr>
            <w:r w:rsidRPr="0087485F">
              <w:rPr>
                <w:rFonts w:cstheme="minorHAnsi"/>
                <w:color w:val="000000"/>
                <w:sz w:val="20"/>
                <w:szCs w:val="20"/>
              </w:rPr>
              <w:t>80.4</w:t>
            </w:r>
          </w:p>
        </w:tc>
      </w:tr>
      <w:tr w:rsidR="00D907AF" w:rsidRPr="0087485F" w:rsidTr="004B5EF7">
        <w:tc>
          <w:tcPr>
            <w:tcW w:w="1526" w:type="dxa"/>
          </w:tcPr>
          <w:p w:rsidR="00D907AF" w:rsidRPr="0087485F" w:rsidRDefault="00D907AF" w:rsidP="00D907AF">
            <w:pPr>
              <w:spacing w:before="20" w:after="20"/>
              <w:rPr>
                <w:rFonts w:cstheme="minorHAnsi"/>
                <w:sz w:val="20"/>
                <w:szCs w:val="20"/>
              </w:rPr>
            </w:pPr>
            <w:r w:rsidRPr="0087485F">
              <w:rPr>
                <w:rFonts w:cstheme="minorHAnsi"/>
                <w:sz w:val="20"/>
                <w:szCs w:val="20"/>
              </w:rPr>
              <w:t>Missing</w:t>
            </w:r>
          </w:p>
        </w:tc>
        <w:tc>
          <w:tcPr>
            <w:tcW w:w="992" w:type="dxa"/>
          </w:tcPr>
          <w:p w:rsidR="00D907AF" w:rsidRPr="0087485F" w:rsidRDefault="00D907AF" w:rsidP="00185580">
            <w:pPr>
              <w:spacing w:before="20" w:after="20"/>
              <w:ind w:right="170"/>
              <w:jc w:val="right"/>
              <w:rPr>
                <w:rFonts w:cstheme="minorHAnsi"/>
                <w:sz w:val="20"/>
                <w:szCs w:val="20"/>
              </w:rPr>
            </w:pPr>
            <w:r w:rsidRPr="0087485F">
              <w:rPr>
                <w:rFonts w:cstheme="minorHAnsi"/>
                <w:sz w:val="20"/>
                <w:szCs w:val="20"/>
              </w:rPr>
              <w:t>2</w:t>
            </w:r>
          </w:p>
        </w:tc>
        <w:tc>
          <w:tcPr>
            <w:tcW w:w="1276" w:type="dxa"/>
          </w:tcPr>
          <w:p w:rsidR="00D907AF" w:rsidRPr="0087485F" w:rsidRDefault="00D907AF" w:rsidP="00185580">
            <w:pPr>
              <w:spacing w:before="20" w:after="20"/>
              <w:ind w:right="284"/>
              <w:jc w:val="right"/>
              <w:rPr>
                <w:rFonts w:cstheme="minorHAnsi"/>
                <w:color w:val="000000"/>
                <w:sz w:val="20"/>
                <w:szCs w:val="20"/>
              </w:rPr>
            </w:pPr>
            <w:r w:rsidRPr="0087485F">
              <w:rPr>
                <w:rFonts w:cstheme="minorHAnsi"/>
                <w:color w:val="000000"/>
                <w:sz w:val="20"/>
                <w:szCs w:val="20"/>
              </w:rPr>
              <w:t>0.2</w:t>
            </w:r>
          </w:p>
        </w:tc>
      </w:tr>
      <w:tr w:rsidR="00D907AF" w:rsidRPr="0087485F" w:rsidTr="004B5EF7">
        <w:tc>
          <w:tcPr>
            <w:tcW w:w="1526" w:type="dxa"/>
            <w:tcBorders>
              <w:top w:val="single" w:sz="4" w:space="0" w:color="auto"/>
              <w:bottom w:val="single" w:sz="4" w:space="0" w:color="auto"/>
            </w:tcBorders>
            <w:shd w:val="clear" w:color="auto" w:fill="auto"/>
          </w:tcPr>
          <w:p w:rsidR="00D907AF" w:rsidRPr="0087485F" w:rsidRDefault="00D907AF" w:rsidP="00D907AF">
            <w:pPr>
              <w:spacing w:before="20" w:after="20"/>
              <w:rPr>
                <w:rFonts w:cstheme="minorHAnsi"/>
                <w:b/>
                <w:sz w:val="20"/>
                <w:szCs w:val="20"/>
              </w:rPr>
            </w:pPr>
            <w:r w:rsidRPr="0087485F">
              <w:rPr>
                <w:rFonts w:cstheme="minorHAnsi"/>
                <w:b/>
                <w:sz w:val="20"/>
                <w:szCs w:val="20"/>
              </w:rPr>
              <w:t>Total</w:t>
            </w:r>
          </w:p>
        </w:tc>
        <w:tc>
          <w:tcPr>
            <w:tcW w:w="992" w:type="dxa"/>
            <w:tcBorders>
              <w:top w:val="single" w:sz="4" w:space="0" w:color="auto"/>
              <w:bottom w:val="single" w:sz="4" w:space="0" w:color="auto"/>
            </w:tcBorders>
            <w:shd w:val="clear" w:color="auto" w:fill="auto"/>
          </w:tcPr>
          <w:p w:rsidR="00D907AF" w:rsidRPr="0087485F" w:rsidRDefault="00D907AF" w:rsidP="00185580">
            <w:pPr>
              <w:spacing w:before="20" w:after="20"/>
              <w:ind w:right="170"/>
              <w:jc w:val="right"/>
              <w:rPr>
                <w:rFonts w:cstheme="minorHAnsi"/>
                <w:b/>
                <w:sz w:val="20"/>
                <w:szCs w:val="20"/>
              </w:rPr>
            </w:pPr>
            <w:r w:rsidRPr="0087485F">
              <w:rPr>
                <w:rFonts w:cstheme="minorHAnsi"/>
                <w:b/>
                <w:sz w:val="20"/>
                <w:szCs w:val="20"/>
              </w:rPr>
              <w:t>919</w:t>
            </w:r>
          </w:p>
        </w:tc>
        <w:tc>
          <w:tcPr>
            <w:tcW w:w="1276" w:type="dxa"/>
            <w:tcBorders>
              <w:top w:val="single" w:sz="4" w:space="0" w:color="auto"/>
              <w:bottom w:val="single" w:sz="4" w:space="0" w:color="auto"/>
            </w:tcBorders>
            <w:shd w:val="clear" w:color="auto" w:fill="auto"/>
          </w:tcPr>
          <w:p w:rsidR="00D907AF" w:rsidRPr="0087485F" w:rsidRDefault="00D907AF" w:rsidP="00185580">
            <w:pPr>
              <w:spacing w:before="20" w:after="20"/>
              <w:ind w:right="284"/>
              <w:jc w:val="right"/>
              <w:rPr>
                <w:rFonts w:cstheme="minorHAnsi"/>
                <w:b/>
                <w:sz w:val="20"/>
                <w:szCs w:val="20"/>
              </w:rPr>
            </w:pPr>
            <w:r w:rsidRPr="0087485F">
              <w:rPr>
                <w:rFonts w:cstheme="minorHAnsi"/>
                <w:b/>
                <w:sz w:val="20"/>
                <w:szCs w:val="20"/>
              </w:rPr>
              <w:t>100</w:t>
            </w:r>
          </w:p>
        </w:tc>
      </w:tr>
    </w:tbl>
    <w:p w:rsidR="00D907AF" w:rsidRPr="00660446" w:rsidRDefault="00D907AF" w:rsidP="006C7BE7">
      <w:pPr>
        <w:pStyle w:val="NILSTabletext"/>
      </w:pPr>
      <w:r w:rsidRPr="00660446">
        <w:t xml:space="preserve">Note: </w:t>
      </w:r>
      <w:r>
        <w:t>t</w:t>
      </w:r>
      <w:r w:rsidRPr="00660446">
        <w:t xml:space="preserve">rial and </w:t>
      </w:r>
      <w:r>
        <w:t>c</w:t>
      </w:r>
      <w:r w:rsidRPr="00660446">
        <w:t>omparison aged 16 and above</w:t>
      </w:r>
      <w:r>
        <w:t>.</w:t>
      </w:r>
    </w:p>
    <w:p w:rsidR="00D907AF" w:rsidRDefault="00D907AF" w:rsidP="00D907AF">
      <w:r>
        <w:t>The sample size of 178 is too small for the statistical examination of respondents in employment, but it is sufficient for illustrating the statistics that will be derived and used with the full sample. Table 3.49 shows that an overwhelming majority of the respondents reported liking their job (79.2 per cent).</w:t>
      </w:r>
    </w:p>
    <w:p w:rsidR="00327DDD" w:rsidRDefault="00327DDD">
      <w:pPr>
        <w:rPr>
          <w:b/>
          <w:sz w:val="20"/>
          <w:lang w:val="x-none"/>
        </w:rPr>
      </w:pPr>
      <w:bookmarkStart w:id="394" w:name="_Toc428280701"/>
      <w:r>
        <w:br w:type="page"/>
      </w:r>
    </w:p>
    <w:p w:rsidR="00D907AF" w:rsidRPr="00233E8A" w:rsidRDefault="00D907AF" w:rsidP="0044684E">
      <w:pPr>
        <w:pStyle w:val="NILSTableHeading"/>
      </w:pPr>
      <w:bookmarkStart w:id="395" w:name="_Toc449955311"/>
      <w:r w:rsidRPr="00233E8A">
        <w:lastRenderedPageBreak/>
        <w:t xml:space="preserve">Table </w:t>
      </w:r>
      <w:r>
        <w:t>3.49</w:t>
      </w:r>
      <w:r w:rsidRPr="00233E8A">
        <w:t xml:space="preserve">: </w:t>
      </w:r>
      <w:r>
        <w:rPr>
          <w:rFonts w:hint="eastAsia"/>
        </w:rPr>
        <w:t>Does he/she like his/her job</w:t>
      </w:r>
      <w:r>
        <w:t>?</w:t>
      </w:r>
      <w:bookmarkEnd w:id="394"/>
      <w:bookmarkEnd w:id="395"/>
    </w:p>
    <w:tbl>
      <w:tblPr>
        <w:tblStyle w:val="TableGrid"/>
        <w:tblW w:w="0" w:type="auto"/>
        <w:tblLayout w:type="fixed"/>
        <w:tblLook w:val="04A0" w:firstRow="1" w:lastRow="0" w:firstColumn="1" w:lastColumn="0" w:noHBand="0" w:noVBand="1"/>
        <w:tblCaption w:val="Table 3.49 Does he/she like his/her job?"/>
      </w:tblPr>
      <w:tblGrid>
        <w:gridCol w:w="1526"/>
        <w:gridCol w:w="992"/>
        <w:gridCol w:w="1276"/>
      </w:tblGrid>
      <w:tr w:rsidR="00D907AF" w:rsidRPr="0087485F" w:rsidTr="00A359FB">
        <w:trPr>
          <w:cantSplit/>
          <w:tblHeader/>
        </w:trPr>
        <w:tc>
          <w:tcPr>
            <w:tcW w:w="1526" w:type="dxa"/>
            <w:tcBorders>
              <w:top w:val="single" w:sz="4" w:space="0" w:color="auto"/>
              <w:bottom w:val="single" w:sz="4" w:space="0" w:color="auto"/>
            </w:tcBorders>
            <w:shd w:val="clear" w:color="auto" w:fill="auto"/>
          </w:tcPr>
          <w:p w:rsidR="00D907AF" w:rsidRPr="0087485F" w:rsidRDefault="00D907AF" w:rsidP="00D907AF">
            <w:pPr>
              <w:spacing w:before="20" w:after="20"/>
              <w:rPr>
                <w:rFonts w:cstheme="minorHAnsi"/>
                <w:sz w:val="20"/>
                <w:szCs w:val="20"/>
              </w:rPr>
            </w:pPr>
            <w:bookmarkStart w:id="396" w:name="Title_3_49"/>
            <w:bookmarkEnd w:id="396"/>
          </w:p>
        </w:tc>
        <w:tc>
          <w:tcPr>
            <w:tcW w:w="992" w:type="dxa"/>
            <w:tcBorders>
              <w:top w:val="single" w:sz="4" w:space="0" w:color="auto"/>
              <w:bottom w:val="single" w:sz="4" w:space="0" w:color="auto"/>
            </w:tcBorders>
            <w:shd w:val="clear" w:color="auto" w:fill="auto"/>
          </w:tcPr>
          <w:p w:rsidR="00D907AF" w:rsidRPr="0087485F" w:rsidRDefault="00D907AF" w:rsidP="00D907AF">
            <w:pPr>
              <w:spacing w:before="20" w:after="20"/>
              <w:jc w:val="center"/>
              <w:rPr>
                <w:rFonts w:cstheme="minorHAnsi"/>
                <w:sz w:val="20"/>
                <w:szCs w:val="20"/>
              </w:rPr>
            </w:pPr>
            <w:r w:rsidRPr="0087485F">
              <w:rPr>
                <w:rFonts w:cstheme="minorHAnsi"/>
                <w:sz w:val="20"/>
                <w:szCs w:val="20"/>
              </w:rPr>
              <w:t>Cases</w:t>
            </w:r>
          </w:p>
        </w:tc>
        <w:tc>
          <w:tcPr>
            <w:tcW w:w="1276" w:type="dxa"/>
            <w:tcBorders>
              <w:top w:val="single" w:sz="4" w:space="0" w:color="auto"/>
              <w:bottom w:val="single" w:sz="4" w:space="0" w:color="auto"/>
            </w:tcBorders>
            <w:shd w:val="clear" w:color="auto" w:fill="auto"/>
          </w:tcPr>
          <w:p w:rsidR="00D907AF" w:rsidRPr="0087485F" w:rsidRDefault="00D907AF" w:rsidP="00D907AF">
            <w:pPr>
              <w:spacing w:before="20" w:after="20"/>
              <w:jc w:val="center"/>
              <w:rPr>
                <w:rFonts w:cstheme="minorHAnsi"/>
                <w:sz w:val="20"/>
                <w:szCs w:val="20"/>
              </w:rPr>
            </w:pPr>
            <w:r w:rsidRPr="0087485F">
              <w:rPr>
                <w:rFonts w:cstheme="minorHAnsi"/>
                <w:sz w:val="20"/>
                <w:szCs w:val="20"/>
              </w:rPr>
              <w:t>%</w:t>
            </w:r>
          </w:p>
        </w:tc>
      </w:tr>
      <w:tr w:rsidR="00D907AF" w:rsidRPr="0087485F" w:rsidTr="00A359FB">
        <w:tc>
          <w:tcPr>
            <w:tcW w:w="1526"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Yes</w:t>
            </w:r>
          </w:p>
        </w:tc>
        <w:tc>
          <w:tcPr>
            <w:tcW w:w="992" w:type="dxa"/>
            <w:shd w:val="clear" w:color="auto" w:fill="auto"/>
            <w:vAlign w:val="center"/>
          </w:tcPr>
          <w:p w:rsidR="00D907AF" w:rsidRPr="00185580" w:rsidRDefault="00D907AF" w:rsidP="00185580">
            <w:pPr>
              <w:spacing w:before="20" w:after="20"/>
              <w:ind w:right="170"/>
              <w:jc w:val="right"/>
              <w:rPr>
                <w:rFonts w:cstheme="minorHAnsi"/>
                <w:sz w:val="20"/>
                <w:szCs w:val="20"/>
              </w:rPr>
            </w:pPr>
            <w:r w:rsidRPr="00185580">
              <w:rPr>
                <w:rFonts w:cstheme="minorHAnsi"/>
                <w:sz w:val="20"/>
                <w:szCs w:val="20"/>
              </w:rPr>
              <w:t>141</w:t>
            </w:r>
          </w:p>
        </w:tc>
        <w:tc>
          <w:tcPr>
            <w:tcW w:w="1276" w:type="dxa"/>
            <w:shd w:val="clear" w:color="auto" w:fill="auto"/>
            <w:vAlign w:val="center"/>
          </w:tcPr>
          <w:p w:rsidR="00D907AF" w:rsidRPr="0087485F" w:rsidRDefault="00D907AF" w:rsidP="00185580">
            <w:pPr>
              <w:spacing w:before="20" w:after="20"/>
              <w:ind w:right="284"/>
              <w:jc w:val="right"/>
              <w:rPr>
                <w:rFonts w:cstheme="minorHAnsi"/>
                <w:color w:val="000000"/>
                <w:sz w:val="20"/>
                <w:szCs w:val="20"/>
              </w:rPr>
            </w:pPr>
            <w:r w:rsidRPr="0087485F">
              <w:rPr>
                <w:rFonts w:cstheme="minorHAnsi"/>
                <w:color w:val="000000"/>
                <w:sz w:val="20"/>
                <w:szCs w:val="20"/>
              </w:rPr>
              <w:t>79.2</w:t>
            </w:r>
          </w:p>
        </w:tc>
      </w:tr>
      <w:tr w:rsidR="00D907AF" w:rsidRPr="0087485F" w:rsidTr="00A359FB">
        <w:tc>
          <w:tcPr>
            <w:tcW w:w="1526"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No</w:t>
            </w:r>
          </w:p>
        </w:tc>
        <w:tc>
          <w:tcPr>
            <w:tcW w:w="992" w:type="dxa"/>
            <w:shd w:val="clear" w:color="auto" w:fill="auto"/>
            <w:vAlign w:val="center"/>
          </w:tcPr>
          <w:p w:rsidR="00D907AF" w:rsidRPr="00185580" w:rsidRDefault="00D907AF" w:rsidP="00185580">
            <w:pPr>
              <w:spacing w:before="20" w:after="20"/>
              <w:ind w:right="170"/>
              <w:jc w:val="right"/>
              <w:rPr>
                <w:rFonts w:cstheme="minorHAnsi"/>
                <w:sz w:val="20"/>
                <w:szCs w:val="20"/>
              </w:rPr>
            </w:pPr>
            <w:r w:rsidRPr="00185580">
              <w:rPr>
                <w:rFonts w:cstheme="minorHAnsi"/>
                <w:sz w:val="20"/>
                <w:szCs w:val="20"/>
              </w:rPr>
              <w:t>22</w:t>
            </w:r>
          </w:p>
        </w:tc>
        <w:tc>
          <w:tcPr>
            <w:tcW w:w="1276" w:type="dxa"/>
            <w:shd w:val="clear" w:color="auto" w:fill="auto"/>
            <w:vAlign w:val="center"/>
          </w:tcPr>
          <w:p w:rsidR="00D907AF" w:rsidRPr="0087485F" w:rsidRDefault="00D907AF" w:rsidP="00185580">
            <w:pPr>
              <w:spacing w:before="20" w:after="20"/>
              <w:ind w:right="284"/>
              <w:jc w:val="right"/>
              <w:rPr>
                <w:rFonts w:cstheme="minorHAnsi"/>
                <w:color w:val="000000"/>
                <w:sz w:val="20"/>
                <w:szCs w:val="20"/>
              </w:rPr>
            </w:pPr>
            <w:r w:rsidRPr="0087485F">
              <w:rPr>
                <w:rFonts w:cstheme="minorHAnsi"/>
                <w:color w:val="000000"/>
                <w:sz w:val="20"/>
                <w:szCs w:val="20"/>
              </w:rPr>
              <w:t>12.4</w:t>
            </w:r>
          </w:p>
        </w:tc>
      </w:tr>
      <w:tr w:rsidR="00D907AF" w:rsidRPr="0087485F" w:rsidTr="00A359FB">
        <w:tc>
          <w:tcPr>
            <w:tcW w:w="1526" w:type="dxa"/>
          </w:tcPr>
          <w:p w:rsidR="00D907AF" w:rsidRPr="0087485F" w:rsidRDefault="00D907AF" w:rsidP="00D907AF">
            <w:pPr>
              <w:spacing w:before="20" w:after="20"/>
              <w:rPr>
                <w:rFonts w:cstheme="minorHAnsi"/>
                <w:sz w:val="20"/>
                <w:szCs w:val="20"/>
              </w:rPr>
            </w:pPr>
            <w:r w:rsidRPr="0087485F">
              <w:rPr>
                <w:rFonts w:cstheme="minorHAnsi"/>
                <w:sz w:val="20"/>
                <w:szCs w:val="20"/>
              </w:rPr>
              <w:t>Don’t know</w:t>
            </w:r>
          </w:p>
        </w:tc>
        <w:tc>
          <w:tcPr>
            <w:tcW w:w="992" w:type="dxa"/>
          </w:tcPr>
          <w:p w:rsidR="00D907AF" w:rsidRPr="00185580" w:rsidRDefault="00D907AF" w:rsidP="00185580">
            <w:pPr>
              <w:spacing w:before="20" w:after="20"/>
              <w:ind w:right="170"/>
              <w:jc w:val="right"/>
              <w:rPr>
                <w:rFonts w:cstheme="minorHAnsi"/>
                <w:sz w:val="20"/>
                <w:szCs w:val="20"/>
              </w:rPr>
            </w:pPr>
            <w:r w:rsidRPr="00185580">
              <w:rPr>
                <w:rFonts w:cstheme="minorHAnsi"/>
                <w:sz w:val="20"/>
                <w:szCs w:val="20"/>
              </w:rPr>
              <w:t>8</w:t>
            </w:r>
          </w:p>
        </w:tc>
        <w:tc>
          <w:tcPr>
            <w:tcW w:w="1276" w:type="dxa"/>
          </w:tcPr>
          <w:p w:rsidR="00D907AF" w:rsidRPr="0087485F" w:rsidRDefault="00D907AF" w:rsidP="00185580">
            <w:pPr>
              <w:spacing w:before="20" w:after="20"/>
              <w:ind w:right="284"/>
              <w:jc w:val="right"/>
              <w:rPr>
                <w:rFonts w:cstheme="minorHAnsi"/>
                <w:color w:val="000000"/>
                <w:sz w:val="20"/>
                <w:szCs w:val="20"/>
              </w:rPr>
            </w:pPr>
            <w:r w:rsidRPr="0087485F">
              <w:rPr>
                <w:rFonts w:cstheme="minorHAnsi"/>
                <w:color w:val="000000"/>
                <w:sz w:val="20"/>
                <w:szCs w:val="20"/>
              </w:rPr>
              <w:t>4.5</w:t>
            </w:r>
          </w:p>
        </w:tc>
      </w:tr>
      <w:tr w:rsidR="00D907AF" w:rsidRPr="0087485F" w:rsidTr="00A359FB">
        <w:tc>
          <w:tcPr>
            <w:tcW w:w="1526" w:type="dxa"/>
            <w:tcBorders>
              <w:bottom w:val="single" w:sz="4" w:space="0" w:color="auto"/>
            </w:tcBorders>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 xml:space="preserve">Missing </w:t>
            </w:r>
          </w:p>
        </w:tc>
        <w:tc>
          <w:tcPr>
            <w:tcW w:w="992" w:type="dxa"/>
            <w:tcBorders>
              <w:bottom w:val="single" w:sz="4" w:space="0" w:color="auto"/>
            </w:tcBorders>
            <w:shd w:val="clear" w:color="auto" w:fill="auto"/>
            <w:vAlign w:val="center"/>
          </w:tcPr>
          <w:p w:rsidR="00D907AF" w:rsidRPr="00185580" w:rsidRDefault="00D907AF" w:rsidP="00185580">
            <w:pPr>
              <w:spacing w:before="20" w:after="20"/>
              <w:ind w:right="170"/>
              <w:jc w:val="right"/>
              <w:rPr>
                <w:rFonts w:cstheme="minorHAnsi"/>
                <w:sz w:val="20"/>
                <w:szCs w:val="20"/>
              </w:rPr>
            </w:pPr>
            <w:r w:rsidRPr="00185580">
              <w:rPr>
                <w:rFonts w:cstheme="minorHAnsi"/>
                <w:sz w:val="20"/>
                <w:szCs w:val="20"/>
              </w:rPr>
              <w:t>7</w:t>
            </w:r>
          </w:p>
        </w:tc>
        <w:tc>
          <w:tcPr>
            <w:tcW w:w="1276" w:type="dxa"/>
            <w:tcBorders>
              <w:bottom w:val="single" w:sz="4" w:space="0" w:color="auto"/>
            </w:tcBorders>
            <w:shd w:val="clear" w:color="auto" w:fill="auto"/>
            <w:vAlign w:val="center"/>
          </w:tcPr>
          <w:p w:rsidR="00D907AF" w:rsidRPr="0087485F" w:rsidRDefault="00D907AF" w:rsidP="00185580">
            <w:pPr>
              <w:spacing w:before="20" w:after="20"/>
              <w:ind w:right="284"/>
              <w:jc w:val="right"/>
              <w:rPr>
                <w:rFonts w:cstheme="minorHAnsi"/>
                <w:color w:val="000000"/>
                <w:sz w:val="20"/>
                <w:szCs w:val="20"/>
              </w:rPr>
            </w:pPr>
            <w:r w:rsidRPr="0087485F">
              <w:rPr>
                <w:rFonts w:cstheme="minorHAnsi"/>
                <w:color w:val="000000"/>
                <w:sz w:val="20"/>
                <w:szCs w:val="20"/>
              </w:rPr>
              <w:t>3.9</w:t>
            </w:r>
          </w:p>
        </w:tc>
      </w:tr>
      <w:tr w:rsidR="00D907AF" w:rsidRPr="0087485F" w:rsidTr="00A359FB">
        <w:tc>
          <w:tcPr>
            <w:tcW w:w="1526" w:type="dxa"/>
            <w:tcBorders>
              <w:top w:val="single" w:sz="4" w:space="0" w:color="auto"/>
              <w:bottom w:val="single" w:sz="4" w:space="0" w:color="auto"/>
            </w:tcBorders>
            <w:shd w:val="clear" w:color="auto" w:fill="auto"/>
          </w:tcPr>
          <w:p w:rsidR="00D907AF" w:rsidRPr="0087485F" w:rsidRDefault="00D907AF" w:rsidP="00D907AF">
            <w:pPr>
              <w:spacing w:before="20" w:after="20"/>
              <w:rPr>
                <w:rFonts w:cstheme="minorHAnsi"/>
                <w:b/>
                <w:sz w:val="20"/>
                <w:szCs w:val="20"/>
              </w:rPr>
            </w:pPr>
            <w:r w:rsidRPr="0087485F">
              <w:rPr>
                <w:rFonts w:cstheme="minorHAnsi"/>
                <w:b/>
                <w:sz w:val="20"/>
                <w:szCs w:val="20"/>
              </w:rPr>
              <w:t>Total</w:t>
            </w:r>
          </w:p>
        </w:tc>
        <w:tc>
          <w:tcPr>
            <w:tcW w:w="992" w:type="dxa"/>
            <w:tcBorders>
              <w:top w:val="single" w:sz="4" w:space="0" w:color="auto"/>
              <w:bottom w:val="single" w:sz="4" w:space="0" w:color="auto"/>
            </w:tcBorders>
            <w:shd w:val="clear" w:color="auto" w:fill="auto"/>
          </w:tcPr>
          <w:p w:rsidR="00D907AF" w:rsidRPr="00185580" w:rsidRDefault="00D907AF" w:rsidP="00185580">
            <w:pPr>
              <w:spacing w:before="20" w:after="20"/>
              <w:ind w:right="170"/>
              <w:jc w:val="right"/>
              <w:rPr>
                <w:rFonts w:cstheme="minorHAnsi"/>
                <w:b/>
                <w:sz w:val="20"/>
                <w:szCs w:val="20"/>
              </w:rPr>
            </w:pPr>
            <w:r w:rsidRPr="00185580">
              <w:rPr>
                <w:rFonts w:cstheme="minorHAnsi"/>
                <w:b/>
                <w:sz w:val="20"/>
                <w:szCs w:val="20"/>
              </w:rPr>
              <w:t>178</w:t>
            </w:r>
          </w:p>
        </w:tc>
        <w:tc>
          <w:tcPr>
            <w:tcW w:w="1276" w:type="dxa"/>
            <w:tcBorders>
              <w:top w:val="single" w:sz="4" w:space="0" w:color="auto"/>
              <w:bottom w:val="single" w:sz="4" w:space="0" w:color="auto"/>
            </w:tcBorders>
            <w:shd w:val="clear" w:color="auto" w:fill="auto"/>
          </w:tcPr>
          <w:p w:rsidR="00D907AF" w:rsidRPr="00185580" w:rsidRDefault="00D907AF" w:rsidP="00185580">
            <w:pPr>
              <w:spacing w:before="20" w:after="20"/>
              <w:ind w:right="284"/>
              <w:jc w:val="right"/>
              <w:rPr>
                <w:rFonts w:cstheme="minorHAnsi"/>
                <w:b/>
                <w:color w:val="000000"/>
                <w:sz w:val="20"/>
                <w:szCs w:val="20"/>
              </w:rPr>
            </w:pPr>
            <w:r w:rsidRPr="00185580">
              <w:rPr>
                <w:rFonts w:cstheme="minorHAnsi"/>
                <w:b/>
                <w:color w:val="000000"/>
                <w:sz w:val="20"/>
                <w:szCs w:val="20"/>
              </w:rPr>
              <w:t>100</w:t>
            </w:r>
          </w:p>
        </w:tc>
      </w:tr>
    </w:tbl>
    <w:p w:rsidR="00D907AF" w:rsidRPr="00660446" w:rsidRDefault="00D907AF" w:rsidP="006C7BE7">
      <w:pPr>
        <w:pStyle w:val="NILSTabletext"/>
      </w:pPr>
      <w:r w:rsidRPr="00660446">
        <w:t xml:space="preserve">Note: </w:t>
      </w:r>
      <w:r>
        <w:t>t</w:t>
      </w:r>
      <w:r w:rsidRPr="00660446">
        <w:t xml:space="preserve">rial and </w:t>
      </w:r>
      <w:r>
        <w:t>c</w:t>
      </w:r>
      <w:r w:rsidRPr="00660446">
        <w:t>omparison aged 16 and above in work</w:t>
      </w:r>
      <w:r>
        <w:t>.</w:t>
      </w:r>
    </w:p>
    <w:p w:rsidR="00D907AF" w:rsidRDefault="00D907AF" w:rsidP="00D907AF">
      <w:r>
        <w:t xml:space="preserve">Table 3.50 shows about one quarter of those in work reported that they would like to have a different job (27.5 per cent) but a clear majority reported they would not (56.2 per cent). </w:t>
      </w:r>
    </w:p>
    <w:p w:rsidR="00D907AF" w:rsidRPr="00233E8A" w:rsidRDefault="00D907AF" w:rsidP="0044684E">
      <w:pPr>
        <w:pStyle w:val="NILSTableHeading"/>
      </w:pPr>
      <w:bookmarkStart w:id="397" w:name="_Toc428280702"/>
      <w:bookmarkStart w:id="398" w:name="_Toc449955312"/>
      <w:r w:rsidRPr="00233E8A">
        <w:t xml:space="preserve">Table </w:t>
      </w:r>
      <w:r>
        <w:t>3.50</w:t>
      </w:r>
      <w:r w:rsidRPr="00233E8A">
        <w:t xml:space="preserve">: </w:t>
      </w:r>
      <w:r>
        <w:rPr>
          <w:rFonts w:hint="eastAsia"/>
        </w:rPr>
        <w:t>W</w:t>
      </w:r>
      <w:r w:rsidRPr="00AC0E5E">
        <w:t xml:space="preserve">ould </w:t>
      </w:r>
      <w:r>
        <w:t xml:space="preserve">you </w:t>
      </w:r>
      <w:r w:rsidRPr="00AC0E5E">
        <w:t xml:space="preserve">like to have </w:t>
      </w:r>
      <w:r w:rsidRPr="007E56C6">
        <w:t>a different job</w:t>
      </w:r>
      <w:r>
        <w:t>?</w:t>
      </w:r>
      <w:bookmarkEnd w:id="397"/>
      <w:bookmarkEnd w:id="398"/>
    </w:p>
    <w:tbl>
      <w:tblPr>
        <w:tblStyle w:val="TableGrid"/>
        <w:tblW w:w="0" w:type="auto"/>
        <w:tblLayout w:type="fixed"/>
        <w:tblLook w:val="04A0" w:firstRow="1" w:lastRow="0" w:firstColumn="1" w:lastColumn="0" w:noHBand="0" w:noVBand="1"/>
        <w:tblCaption w:val="Table 3.50 Would you like to have a different job?"/>
      </w:tblPr>
      <w:tblGrid>
        <w:gridCol w:w="1526"/>
        <w:gridCol w:w="992"/>
        <w:gridCol w:w="1276"/>
      </w:tblGrid>
      <w:tr w:rsidR="00D907AF" w:rsidRPr="0087485F" w:rsidTr="00A359FB">
        <w:trPr>
          <w:cantSplit/>
          <w:tblHeader/>
        </w:trPr>
        <w:tc>
          <w:tcPr>
            <w:tcW w:w="1526" w:type="dxa"/>
            <w:tcBorders>
              <w:top w:val="single" w:sz="4" w:space="0" w:color="auto"/>
              <w:bottom w:val="single" w:sz="4" w:space="0" w:color="auto"/>
            </w:tcBorders>
            <w:shd w:val="clear" w:color="auto" w:fill="auto"/>
          </w:tcPr>
          <w:p w:rsidR="00D907AF" w:rsidRPr="0087485F" w:rsidRDefault="00D907AF" w:rsidP="00D907AF">
            <w:pPr>
              <w:spacing w:before="20" w:after="20"/>
              <w:rPr>
                <w:rFonts w:cstheme="minorHAnsi"/>
                <w:sz w:val="20"/>
                <w:szCs w:val="20"/>
              </w:rPr>
            </w:pPr>
            <w:bookmarkStart w:id="399" w:name="Title_3_50"/>
            <w:bookmarkEnd w:id="399"/>
          </w:p>
        </w:tc>
        <w:tc>
          <w:tcPr>
            <w:tcW w:w="992" w:type="dxa"/>
            <w:tcBorders>
              <w:top w:val="single" w:sz="4" w:space="0" w:color="auto"/>
              <w:bottom w:val="single" w:sz="4" w:space="0" w:color="auto"/>
            </w:tcBorders>
            <w:shd w:val="clear" w:color="auto" w:fill="auto"/>
          </w:tcPr>
          <w:p w:rsidR="00D907AF" w:rsidRPr="0087485F" w:rsidRDefault="00D907AF" w:rsidP="00D907AF">
            <w:pPr>
              <w:spacing w:before="20" w:after="20"/>
              <w:jc w:val="center"/>
              <w:rPr>
                <w:rFonts w:cstheme="minorHAnsi"/>
                <w:sz w:val="20"/>
                <w:szCs w:val="20"/>
              </w:rPr>
            </w:pPr>
            <w:r w:rsidRPr="0087485F">
              <w:rPr>
                <w:rFonts w:cstheme="minorHAnsi"/>
                <w:sz w:val="20"/>
                <w:szCs w:val="20"/>
              </w:rPr>
              <w:t>Cases</w:t>
            </w:r>
          </w:p>
        </w:tc>
        <w:tc>
          <w:tcPr>
            <w:tcW w:w="1276" w:type="dxa"/>
            <w:tcBorders>
              <w:top w:val="single" w:sz="4" w:space="0" w:color="auto"/>
              <w:bottom w:val="single" w:sz="4" w:space="0" w:color="auto"/>
            </w:tcBorders>
            <w:shd w:val="clear" w:color="auto" w:fill="auto"/>
          </w:tcPr>
          <w:p w:rsidR="00D907AF" w:rsidRPr="0087485F" w:rsidRDefault="00D907AF" w:rsidP="00D907AF">
            <w:pPr>
              <w:spacing w:before="20" w:after="20"/>
              <w:jc w:val="center"/>
              <w:rPr>
                <w:rFonts w:cstheme="minorHAnsi"/>
                <w:sz w:val="20"/>
                <w:szCs w:val="20"/>
              </w:rPr>
            </w:pPr>
            <w:r w:rsidRPr="0087485F">
              <w:rPr>
                <w:rFonts w:cstheme="minorHAnsi"/>
                <w:sz w:val="20"/>
                <w:szCs w:val="20"/>
              </w:rPr>
              <w:t>%</w:t>
            </w:r>
          </w:p>
        </w:tc>
      </w:tr>
      <w:tr w:rsidR="00D907AF" w:rsidRPr="0087485F" w:rsidTr="00A359FB">
        <w:tc>
          <w:tcPr>
            <w:tcW w:w="1526"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Yes</w:t>
            </w:r>
          </w:p>
        </w:tc>
        <w:tc>
          <w:tcPr>
            <w:tcW w:w="992" w:type="dxa"/>
            <w:shd w:val="clear" w:color="auto" w:fill="auto"/>
          </w:tcPr>
          <w:p w:rsidR="00D907AF" w:rsidRPr="0087485F" w:rsidRDefault="00D907AF" w:rsidP="00185580">
            <w:pPr>
              <w:spacing w:before="20" w:after="20"/>
              <w:ind w:right="170"/>
              <w:jc w:val="right"/>
              <w:rPr>
                <w:rFonts w:cstheme="minorHAnsi"/>
                <w:sz w:val="20"/>
                <w:szCs w:val="20"/>
              </w:rPr>
            </w:pPr>
            <w:r w:rsidRPr="0087485F">
              <w:rPr>
                <w:rFonts w:cstheme="minorHAnsi"/>
                <w:sz w:val="20"/>
                <w:szCs w:val="20"/>
              </w:rPr>
              <w:t>49</w:t>
            </w:r>
          </w:p>
        </w:tc>
        <w:tc>
          <w:tcPr>
            <w:tcW w:w="1276" w:type="dxa"/>
            <w:shd w:val="clear" w:color="auto" w:fill="auto"/>
            <w:vAlign w:val="center"/>
          </w:tcPr>
          <w:p w:rsidR="00D907AF" w:rsidRPr="0087485F" w:rsidRDefault="00D907AF" w:rsidP="00185580">
            <w:pPr>
              <w:spacing w:before="20" w:after="20"/>
              <w:ind w:right="284"/>
              <w:jc w:val="right"/>
              <w:rPr>
                <w:rFonts w:cstheme="minorHAnsi"/>
                <w:color w:val="000000"/>
                <w:sz w:val="20"/>
                <w:szCs w:val="20"/>
              </w:rPr>
            </w:pPr>
            <w:r w:rsidRPr="0087485F">
              <w:rPr>
                <w:rFonts w:cstheme="minorHAnsi"/>
                <w:color w:val="000000"/>
                <w:sz w:val="20"/>
                <w:szCs w:val="20"/>
              </w:rPr>
              <w:t>27.5</w:t>
            </w:r>
          </w:p>
        </w:tc>
      </w:tr>
      <w:tr w:rsidR="00D907AF" w:rsidRPr="0087485F" w:rsidTr="00A359FB">
        <w:tc>
          <w:tcPr>
            <w:tcW w:w="1526"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No</w:t>
            </w:r>
          </w:p>
        </w:tc>
        <w:tc>
          <w:tcPr>
            <w:tcW w:w="992" w:type="dxa"/>
            <w:shd w:val="clear" w:color="auto" w:fill="auto"/>
          </w:tcPr>
          <w:p w:rsidR="00D907AF" w:rsidRPr="0087485F" w:rsidRDefault="00D907AF" w:rsidP="00185580">
            <w:pPr>
              <w:spacing w:before="20" w:after="20"/>
              <w:ind w:right="170"/>
              <w:jc w:val="right"/>
              <w:rPr>
                <w:rFonts w:cstheme="minorHAnsi"/>
                <w:sz w:val="20"/>
                <w:szCs w:val="20"/>
              </w:rPr>
            </w:pPr>
            <w:r w:rsidRPr="0087485F">
              <w:rPr>
                <w:rFonts w:cstheme="minorHAnsi"/>
                <w:sz w:val="20"/>
                <w:szCs w:val="20"/>
              </w:rPr>
              <w:t>100</w:t>
            </w:r>
          </w:p>
        </w:tc>
        <w:tc>
          <w:tcPr>
            <w:tcW w:w="1276" w:type="dxa"/>
            <w:shd w:val="clear" w:color="auto" w:fill="auto"/>
            <w:vAlign w:val="center"/>
          </w:tcPr>
          <w:p w:rsidR="00D907AF" w:rsidRPr="0087485F" w:rsidRDefault="00D907AF" w:rsidP="00185580">
            <w:pPr>
              <w:spacing w:before="20" w:after="20"/>
              <w:ind w:right="284"/>
              <w:jc w:val="right"/>
              <w:rPr>
                <w:rFonts w:cstheme="minorHAnsi"/>
                <w:color w:val="000000"/>
                <w:sz w:val="20"/>
                <w:szCs w:val="20"/>
              </w:rPr>
            </w:pPr>
            <w:r w:rsidRPr="0087485F">
              <w:rPr>
                <w:rFonts w:cstheme="minorHAnsi"/>
                <w:color w:val="000000"/>
                <w:sz w:val="20"/>
                <w:szCs w:val="20"/>
              </w:rPr>
              <w:t>56.2</w:t>
            </w:r>
          </w:p>
        </w:tc>
      </w:tr>
      <w:tr w:rsidR="00D907AF" w:rsidRPr="0087485F" w:rsidTr="00A359FB">
        <w:tc>
          <w:tcPr>
            <w:tcW w:w="1526" w:type="dxa"/>
          </w:tcPr>
          <w:p w:rsidR="00D907AF" w:rsidRPr="0087485F" w:rsidRDefault="00D907AF" w:rsidP="00D907AF">
            <w:pPr>
              <w:spacing w:before="20" w:after="20"/>
              <w:rPr>
                <w:rFonts w:cstheme="minorHAnsi"/>
                <w:sz w:val="20"/>
                <w:szCs w:val="20"/>
              </w:rPr>
            </w:pPr>
            <w:r w:rsidRPr="0087485F">
              <w:rPr>
                <w:rFonts w:cstheme="minorHAnsi"/>
                <w:sz w:val="20"/>
                <w:szCs w:val="20"/>
              </w:rPr>
              <w:t>Don’t know</w:t>
            </w:r>
          </w:p>
        </w:tc>
        <w:tc>
          <w:tcPr>
            <w:tcW w:w="992" w:type="dxa"/>
          </w:tcPr>
          <w:p w:rsidR="00D907AF" w:rsidRPr="0087485F" w:rsidRDefault="00D907AF" w:rsidP="00185580">
            <w:pPr>
              <w:spacing w:before="20" w:after="20"/>
              <w:ind w:right="170"/>
              <w:jc w:val="right"/>
              <w:rPr>
                <w:rFonts w:cstheme="minorHAnsi"/>
                <w:sz w:val="20"/>
                <w:szCs w:val="20"/>
              </w:rPr>
            </w:pPr>
            <w:r w:rsidRPr="0087485F">
              <w:rPr>
                <w:rFonts w:cstheme="minorHAnsi"/>
                <w:sz w:val="20"/>
                <w:szCs w:val="20"/>
              </w:rPr>
              <w:t>21</w:t>
            </w:r>
          </w:p>
        </w:tc>
        <w:tc>
          <w:tcPr>
            <w:tcW w:w="1276" w:type="dxa"/>
          </w:tcPr>
          <w:p w:rsidR="00D907AF" w:rsidRPr="0087485F" w:rsidRDefault="00D907AF" w:rsidP="00185580">
            <w:pPr>
              <w:spacing w:before="20" w:after="20"/>
              <w:ind w:right="284"/>
              <w:jc w:val="right"/>
              <w:rPr>
                <w:rFonts w:cstheme="minorHAnsi"/>
                <w:color w:val="000000"/>
                <w:sz w:val="20"/>
                <w:szCs w:val="20"/>
              </w:rPr>
            </w:pPr>
            <w:r w:rsidRPr="0087485F">
              <w:rPr>
                <w:rFonts w:cstheme="minorHAnsi"/>
                <w:color w:val="000000"/>
                <w:sz w:val="20"/>
                <w:szCs w:val="20"/>
              </w:rPr>
              <w:t>11.8</w:t>
            </w:r>
          </w:p>
        </w:tc>
      </w:tr>
      <w:tr w:rsidR="00D907AF" w:rsidRPr="0087485F" w:rsidTr="00A359FB">
        <w:tc>
          <w:tcPr>
            <w:tcW w:w="1526" w:type="dxa"/>
            <w:tcBorders>
              <w:bottom w:val="single" w:sz="4" w:space="0" w:color="auto"/>
            </w:tcBorders>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 xml:space="preserve">Missing </w:t>
            </w:r>
          </w:p>
        </w:tc>
        <w:tc>
          <w:tcPr>
            <w:tcW w:w="992" w:type="dxa"/>
            <w:tcBorders>
              <w:bottom w:val="single" w:sz="4" w:space="0" w:color="auto"/>
            </w:tcBorders>
            <w:shd w:val="clear" w:color="auto" w:fill="auto"/>
          </w:tcPr>
          <w:p w:rsidR="00D907AF" w:rsidRPr="0087485F" w:rsidRDefault="00D907AF" w:rsidP="00185580">
            <w:pPr>
              <w:spacing w:before="20" w:after="20"/>
              <w:ind w:right="170"/>
              <w:jc w:val="right"/>
              <w:rPr>
                <w:rFonts w:cstheme="minorHAnsi"/>
                <w:sz w:val="20"/>
                <w:szCs w:val="20"/>
              </w:rPr>
            </w:pPr>
            <w:r w:rsidRPr="0087485F">
              <w:rPr>
                <w:rFonts w:cstheme="minorHAnsi"/>
                <w:sz w:val="20"/>
                <w:szCs w:val="20"/>
              </w:rPr>
              <w:t>8</w:t>
            </w:r>
          </w:p>
        </w:tc>
        <w:tc>
          <w:tcPr>
            <w:tcW w:w="1276" w:type="dxa"/>
            <w:tcBorders>
              <w:bottom w:val="single" w:sz="4" w:space="0" w:color="auto"/>
            </w:tcBorders>
            <w:shd w:val="clear" w:color="auto" w:fill="auto"/>
            <w:vAlign w:val="center"/>
          </w:tcPr>
          <w:p w:rsidR="00D907AF" w:rsidRPr="0087485F" w:rsidRDefault="00D907AF" w:rsidP="00185580">
            <w:pPr>
              <w:spacing w:before="20" w:after="20"/>
              <w:ind w:right="284"/>
              <w:jc w:val="right"/>
              <w:rPr>
                <w:rFonts w:cstheme="minorHAnsi"/>
                <w:color w:val="000000"/>
                <w:sz w:val="20"/>
                <w:szCs w:val="20"/>
              </w:rPr>
            </w:pPr>
            <w:r w:rsidRPr="0087485F">
              <w:rPr>
                <w:rFonts w:cstheme="minorHAnsi"/>
                <w:color w:val="000000"/>
                <w:sz w:val="20"/>
                <w:szCs w:val="20"/>
              </w:rPr>
              <w:t>4.5</w:t>
            </w:r>
          </w:p>
        </w:tc>
      </w:tr>
      <w:tr w:rsidR="00D907AF" w:rsidRPr="0087485F" w:rsidTr="00A359FB">
        <w:tc>
          <w:tcPr>
            <w:tcW w:w="1526" w:type="dxa"/>
            <w:tcBorders>
              <w:top w:val="single" w:sz="4" w:space="0" w:color="auto"/>
              <w:bottom w:val="single" w:sz="4" w:space="0" w:color="auto"/>
            </w:tcBorders>
            <w:shd w:val="clear" w:color="auto" w:fill="auto"/>
          </w:tcPr>
          <w:p w:rsidR="00D907AF" w:rsidRPr="0087485F" w:rsidRDefault="00D907AF" w:rsidP="00D907AF">
            <w:pPr>
              <w:spacing w:before="20" w:after="20"/>
              <w:rPr>
                <w:rFonts w:cstheme="minorHAnsi"/>
                <w:b/>
                <w:sz w:val="20"/>
                <w:szCs w:val="20"/>
              </w:rPr>
            </w:pPr>
            <w:r w:rsidRPr="0087485F">
              <w:rPr>
                <w:rFonts w:cstheme="minorHAnsi"/>
                <w:b/>
                <w:sz w:val="20"/>
                <w:szCs w:val="20"/>
              </w:rPr>
              <w:t>Total</w:t>
            </w:r>
          </w:p>
        </w:tc>
        <w:tc>
          <w:tcPr>
            <w:tcW w:w="992" w:type="dxa"/>
            <w:tcBorders>
              <w:top w:val="single" w:sz="4" w:space="0" w:color="auto"/>
              <w:bottom w:val="single" w:sz="4" w:space="0" w:color="auto"/>
            </w:tcBorders>
            <w:shd w:val="clear" w:color="auto" w:fill="auto"/>
          </w:tcPr>
          <w:p w:rsidR="00D907AF" w:rsidRPr="00185580" w:rsidRDefault="00D907AF" w:rsidP="00185580">
            <w:pPr>
              <w:spacing w:before="20" w:after="20"/>
              <w:ind w:right="170"/>
              <w:jc w:val="right"/>
              <w:rPr>
                <w:rFonts w:cstheme="minorHAnsi"/>
                <w:b/>
                <w:sz w:val="20"/>
                <w:szCs w:val="20"/>
              </w:rPr>
            </w:pPr>
            <w:r w:rsidRPr="00185580">
              <w:rPr>
                <w:rFonts w:cstheme="minorHAnsi"/>
                <w:b/>
                <w:sz w:val="20"/>
                <w:szCs w:val="20"/>
              </w:rPr>
              <w:t>178</w:t>
            </w:r>
          </w:p>
        </w:tc>
        <w:tc>
          <w:tcPr>
            <w:tcW w:w="1276" w:type="dxa"/>
            <w:tcBorders>
              <w:top w:val="single" w:sz="4" w:space="0" w:color="auto"/>
              <w:bottom w:val="single" w:sz="4" w:space="0" w:color="auto"/>
            </w:tcBorders>
            <w:shd w:val="clear" w:color="auto" w:fill="auto"/>
          </w:tcPr>
          <w:p w:rsidR="00D907AF" w:rsidRPr="00185580" w:rsidRDefault="00D907AF" w:rsidP="00185580">
            <w:pPr>
              <w:spacing w:before="20" w:after="20"/>
              <w:ind w:right="284"/>
              <w:jc w:val="right"/>
              <w:rPr>
                <w:rFonts w:cstheme="minorHAnsi"/>
                <w:b/>
                <w:color w:val="000000"/>
                <w:sz w:val="20"/>
                <w:szCs w:val="20"/>
              </w:rPr>
            </w:pPr>
            <w:r w:rsidRPr="00185580">
              <w:rPr>
                <w:rFonts w:cstheme="minorHAnsi"/>
                <w:b/>
                <w:color w:val="000000"/>
                <w:sz w:val="20"/>
                <w:szCs w:val="20"/>
              </w:rPr>
              <w:t>100</w:t>
            </w:r>
          </w:p>
        </w:tc>
      </w:tr>
    </w:tbl>
    <w:p w:rsidR="00D907AF" w:rsidRPr="00597AA2" w:rsidRDefault="00D907AF" w:rsidP="006C7BE7">
      <w:pPr>
        <w:pStyle w:val="NILSTabletext"/>
      </w:pPr>
      <w:r w:rsidRPr="00597AA2">
        <w:t xml:space="preserve">Note: </w:t>
      </w:r>
      <w:r>
        <w:t>t</w:t>
      </w:r>
      <w:r w:rsidRPr="00597AA2">
        <w:t xml:space="preserve">rial and </w:t>
      </w:r>
      <w:r>
        <w:t>c</w:t>
      </w:r>
      <w:r w:rsidRPr="00597AA2">
        <w:t>omparison aged 16 and above in work</w:t>
      </w:r>
      <w:r>
        <w:t>.</w:t>
      </w:r>
    </w:p>
    <w:p w:rsidR="00D907AF" w:rsidRDefault="00D907AF" w:rsidP="00D907AF">
      <w:r>
        <w:t>Of the 49 respondents who reported being in work and said they would like to have another job (those who answered Yes in Table 3.50) a majority reported that they were not looking for another job. The numbers are too small (sample size is 49) to attach any message to the contents of Table 3.51, but the information could become important once the full sample is in place.</w:t>
      </w:r>
    </w:p>
    <w:p w:rsidR="00D907AF" w:rsidRPr="00233E8A" w:rsidRDefault="00D907AF" w:rsidP="0044684E">
      <w:pPr>
        <w:pStyle w:val="NILSTableHeading"/>
      </w:pPr>
      <w:bookmarkStart w:id="400" w:name="_Toc428280703"/>
      <w:bookmarkStart w:id="401" w:name="_Toc449955313"/>
      <w:r w:rsidRPr="00233E8A">
        <w:t xml:space="preserve">Table </w:t>
      </w:r>
      <w:r>
        <w:t>3.</w:t>
      </w:r>
      <w:r>
        <w:rPr>
          <w:rFonts w:hint="eastAsia"/>
        </w:rPr>
        <w:t>5</w:t>
      </w:r>
      <w:r>
        <w:t>1</w:t>
      </w:r>
      <w:r w:rsidRPr="00233E8A">
        <w:t xml:space="preserve">: </w:t>
      </w:r>
      <w:r>
        <w:rPr>
          <w:rFonts w:hint="eastAsia"/>
        </w:rPr>
        <w:t>L</w:t>
      </w:r>
      <w:r w:rsidRPr="007E56C6">
        <w:t>ooking for a different job</w:t>
      </w:r>
      <w:bookmarkEnd w:id="400"/>
      <w:bookmarkEnd w:id="401"/>
    </w:p>
    <w:tbl>
      <w:tblPr>
        <w:tblStyle w:val="TableGrid"/>
        <w:tblW w:w="0" w:type="auto"/>
        <w:tblLayout w:type="fixed"/>
        <w:tblLook w:val="04A0" w:firstRow="1" w:lastRow="0" w:firstColumn="1" w:lastColumn="0" w:noHBand="0" w:noVBand="1"/>
        <w:tblCaption w:val="Table 3.51 Looking for a different job"/>
      </w:tblPr>
      <w:tblGrid>
        <w:gridCol w:w="1526"/>
        <w:gridCol w:w="992"/>
        <w:gridCol w:w="1276"/>
      </w:tblGrid>
      <w:tr w:rsidR="00D907AF" w:rsidRPr="0087485F" w:rsidTr="00CD5E76">
        <w:trPr>
          <w:cantSplit/>
          <w:tblHeader/>
        </w:trPr>
        <w:tc>
          <w:tcPr>
            <w:tcW w:w="1526" w:type="dxa"/>
            <w:tcBorders>
              <w:top w:val="single" w:sz="4" w:space="0" w:color="auto"/>
              <w:bottom w:val="single" w:sz="4" w:space="0" w:color="auto"/>
            </w:tcBorders>
            <w:shd w:val="clear" w:color="auto" w:fill="auto"/>
          </w:tcPr>
          <w:p w:rsidR="00D907AF" w:rsidRPr="0087485F" w:rsidRDefault="00D907AF" w:rsidP="00D907AF">
            <w:pPr>
              <w:spacing w:before="20" w:after="20"/>
              <w:rPr>
                <w:rFonts w:cstheme="minorHAnsi"/>
                <w:sz w:val="20"/>
                <w:szCs w:val="20"/>
              </w:rPr>
            </w:pPr>
            <w:bookmarkStart w:id="402" w:name="Title_3_51"/>
            <w:bookmarkEnd w:id="402"/>
          </w:p>
        </w:tc>
        <w:tc>
          <w:tcPr>
            <w:tcW w:w="992" w:type="dxa"/>
            <w:tcBorders>
              <w:top w:val="single" w:sz="4" w:space="0" w:color="auto"/>
              <w:bottom w:val="single" w:sz="4" w:space="0" w:color="auto"/>
            </w:tcBorders>
            <w:shd w:val="clear" w:color="auto" w:fill="auto"/>
          </w:tcPr>
          <w:p w:rsidR="00D907AF" w:rsidRPr="0087485F" w:rsidRDefault="00D907AF" w:rsidP="00D907AF">
            <w:pPr>
              <w:spacing w:before="20" w:after="20"/>
              <w:jc w:val="center"/>
              <w:rPr>
                <w:rFonts w:cstheme="minorHAnsi"/>
                <w:sz w:val="20"/>
                <w:szCs w:val="20"/>
              </w:rPr>
            </w:pPr>
            <w:r w:rsidRPr="0087485F">
              <w:rPr>
                <w:rFonts w:cstheme="minorHAnsi"/>
                <w:sz w:val="20"/>
                <w:szCs w:val="20"/>
              </w:rPr>
              <w:t>Cases</w:t>
            </w:r>
          </w:p>
        </w:tc>
        <w:tc>
          <w:tcPr>
            <w:tcW w:w="1276" w:type="dxa"/>
            <w:tcBorders>
              <w:top w:val="single" w:sz="4" w:space="0" w:color="auto"/>
              <w:bottom w:val="single" w:sz="4" w:space="0" w:color="auto"/>
            </w:tcBorders>
            <w:shd w:val="clear" w:color="auto" w:fill="auto"/>
          </w:tcPr>
          <w:p w:rsidR="00D907AF" w:rsidRPr="0087485F" w:rsidRDefault="00D907AF" w:rsidP="00D907AF">
            <w:pPr>
              <w:spacing w:before="20" w:after="20"/>
              <w:jc w:val="center"/>
              <w:rPr>
                <w:rFonts w:cstheme="minorHAnsi"/>
                <w:sz w:val="20"/>
                <w:szCs w:val="20"/>
              </w:rPr>
            </w:pPr>
            <w:r w:rsidRPr="0087485F">
              <w:rPr>
                <w:rFonts w:cstheme="minorHAnsi"/>
                <w:sz w:val="20"/>
                <w:szCs w:val="20"/>
              </w:rPr>
              <w:t>%</w:t>
            </w:r>
          </w:p>
        </w:tc>
      </w:tr>
      <w:tr w:rsidR="00D907AF" w:rsidRPr="0087485F" w:rsidTr="00CD5E76">
        <w:tc>
          <w:tcPr>
            <w:tcW w:w="1526"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Yes</w:t>
            </w:r>
          </w:p>
        </w:tc>
        <w:tc>
          <w:tcPr>
            <w:tcW w:w="992" w:type="dxa"/>
            <w:shd w:val="clear" w:color="auto" w:fill="auto"/>
          </w:tcPr>
          <w:p w:rsidR="00D907AF" w:rsidRPr="0087485F" w:rsidRDefault="00D907AF" w:rsidP="00497154">
            <w:pPr>
              <w:spacing w:before="20" w:after="20"/>
              <w:ind w:right="170"/>
              <w:jc w:val="right"/>
              <w:rPr>
                <w:rFonts w:cstheme="minorHAnsi"/>
                <w:sz w:val="20"/>
                <w:szCs w:val="20"/>
              </w:rPr>
            </w:pPr>
            <w:r w:rsidRPr="0087485F">
              <w:rPr>
                <w:rFonts w:cstheme="minorHAnsi"/>
                <w:sz w:val="20"/>
                <w:szCs w:val="20"/>
              </w:rPr>
              <w:t>18</w:t>
            </w:r>
          </w:p>
        </w:tc>
        <w:tc>
          <w:tcPr>
            <w:tcW w:w="1276" w:type="dxa"/>
            <w:shd w:val="clear" w:color="auto" w:fill="auto"/>
            <w:vAlign w:val="center"/>
          </w:tcPr>
          <w:p w:rsidR="00D907AF" w:rsidRPr="0087485F" w:rsidRDefault="00D907AF" w:rsidP="00497154">
            <w:pPr>
              <w:spacing w:before="20" w:after="20"/>
              <w:ind w:right="284"/>
              <w:jc w:val="right"/>
              <w:rPr>
                <w:rFonts w:cstheme="minorHAnsi"/>
                <w:color w:val="000000"/>
                <w:sz w:val="20"/>
                <w:szCs w:val="20"/>
              </w:rPr>
            </w:pPr>
            <w:r w:rsidRPr="0087485F">
              <w:rPr>
                <w:rFonts w:cstheme="minorHAnsi"/>
                <w:color w:val="000000"/>
                <w:sz w:val="20"/>
                <w:szCs w:val="20"/>
              </w:rPr>
              <w:t>36.7</w:t>
            </w:r>
          </w:p>
        </w:tc>
      </w:tr>
      <w:tr w:rsidR="00D907AF" w:rsidRPr="0087485F" w:rsidTr="00CD5E76">
        <w:tc>
          <w:tcPr>
            <w:tcW w:w="1526"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No</w:t>
            </w:r>
          </w:p>
        </w:tc>
        <w:tc>
          <w:tcPr>
            <w:tcW w:w="992" w:type="dxa"/>
            <w:shd w:val="clear" w:color="auto" w:fill="auto"/>
          </w:tcPr>
          <w:p w:rsidR="00D907AF" w:rsidRPr="0087485F" w:rsidRDefault="00D907AF" w:rsidP="00497154">
            <w:pPr>
              <w:spacing w:before="20" w:after="20"/>
              <w:ind w:right="170"/>
              <w:jc w:val="right"/>
              <w:rPr>
                <w:rFonts w:cstheme="minorHAnsi"/>
                <w:sz w:val="20"/>
                <w:szCs w:val="20"/>
              </w:rPr>
            </w:pPr>
            <w:r w:rsidRPr="0087485F">
              <w:rPr>
                <w:rFonts w:cstheme="minorHAnsi"/>
                <w:sz w:val="20"/>
                <w:szCs w:val="20"/>
              </w:rPr>
              <w:t>28</w:t>
            </w:r>
          </w:p>
        </w:tc>
        <w:tc>
          <w:tcPr>
            <w:tcW w:w="1276" w:type="dxa"/>
            <w:shd w:val="clear" w:color="auto" w:fill="auto"/>
            <w:vAlign w:val="center"/>
          </w:tcPr>
          <w:p w:rsidR="00D907AF" w:rsidRPr="0087485F" w:rsidRDefault="00D907AF" w:rsidP="00497154">
            <w:pPr>
              <w:spacing w:before="20" w:after="20"/>
              <w:ind w:right="284"/>
              <w:jc w:val="right"/>
              <w:rPr>
                <w:rFonts w:cstheme="minorHAnsi"/>
                <w:color w:val="000000"/>
                <w:sz w:val="20"/>
                <w:szCs w:val="20"/>
              </w:rPr>
            </w:pPr>
            <w:r w:rsidRPr="0087485F">
              <w:rPr>
                <w:rFonts w:cstheme="minorHAnsi"/>
                <w:color w:val="000000"/>
                <w:sz w:val="20"/>
                <w:szCs w:val="20"/>
              </w:rPr>
              <w:t>57.1</w:t>
            </w:r>
          </w:p>
        </w:tc>
      </w:tr>
      <w:tr w:rsidR="00D907AF" w:rsidRPr="0087485F" w:rsidTr="00CD5E76">
        <w:tc>
          <w:tcPr>
            <w:tcW w:w="1526" w:type="dxa"/>
          </w:tcPr>
          <w:p w:rsidR="00D907AF" w:rsidRPr="0087485F" w:rsidRDefault="00D907AF" w:rsidP="00D907AF">
            <w:pPr>
              <w:spacing w:before="20" w:after="20"/>
              <w:rPr>
                <w:rFonts w:cstheme="minorHAnsi"/>
                <w:sz w:val="20"/>
                <w:szCs w:val="20"/>
              </w:rPr>
            </w:pPr>
            <w:r w:rsidRPr="0087485F">
              <w:rPr>
                <w:rFonts w:cstheme="minorHAnsi"/>
                <w:sz w:val="20"/>
                <w:szCs w:val="20"/>
              </w:rPr>
              <w:t>Don’t know</w:t>
            </w:r>
          </w:p>
        </w:tc>
        <w:tc>
          <w:tcPr>
            <w:tcW w:w="992" w:type="dxa"/>
          </w:tcPr>
          <w:p w:rsidR="00D907AF" w:rsidRPr="0087485F" w:rsidRDefault="00D907AF" w:rsidP="00497154">
            <w:pPr>
              <w:spacing w:before="20" w:after="20"/>
              <w:ind w:right="170"/>
              <w:jc w:val="right"/>
              <w:rPr>
                <w:rFonts w:cstheme="minorHAnsi"/>
                <w:sz w:val="20"/>
                <w:szCs w:val="20"/>
              </w:rPr>
            </w:pPr>
            <w:r w:rsidRPr="0087485F">
              <w:rPr>
                <w:rFonts w:cstheme="minorHAnsi"/>
                <w:sz w:val="20"/>
                <w:szCs w:val="20"/>
              </w:rPr>
              <w:t>2</w:t>
            </w:r>
          </w:p>
        </w:tc>
        <w:tc>
          <w:tcPr>
            <w:tcW w:w="1276" w:type="dxa"/>
          </w:tcPr>
          <w:p w:rsidR="00D907AF" w:rsidRPr="0087485F" w:rsidRDefault="00D907AF" w:rsidP="00497154">
            <w:pPr>
              <w:spacing w:before="20" w:after="20"/>
              <w:ind w:right="284"/>
              <w:jc w:val="right"/>
              <w:rPr>
                <w:rFonts w:cstheme="minorHAnsi"/>
                <w:color w:val="000000"/>
                <w:sz w:val="20"/>
                <w:szCs w:val="20"/>
              </w:rPr>
            </w:pPr>
            <w:r w:rsidRPr="0087485F">
              <w:rPr>
                <w:rFonts w:cstheme="minorHAnsi"/>
                <w:color w:val="000000"/>
                <w:sz w:val="20"/>
                <w:szCs w:val="20"/>
              </w:rPr>
              <w:t>4.1</w:t>
            </w:r>
          </w:p>
        </w:tc>
      </w:tr>
      <w:tr w:rsidR="00D907AF" w:rsidRPr="0087485F" w:rsidTr="00CD5E76">
        <w:tc>
          <w:tcPr>
            <w:tcW w:w="1526" w:type="dxa"/>
            <w:tcBorders>
              <w:bottom w:val="single" w:sz="4" w:space="0" w:color="auto"/>
            </w:tcBorders>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 xml:space="preserve">Missing </w:t>
            </w:r>
          </w:p>
        </w:tc>
        <w:tc>
          <w:tcPr>
            <w:tcW w:w="992" w:type="dxa"/>
            <w:tcBorders>
              <w:bottom w:val="single" w:sz="4" w:space="0" w:color="auto"/>
            </w:tcBorders>
            <w:shd w:val="clear" w:color="auto" w:fill="auto"/>
          </w:tcPr>
          <w:p w:rsidR="00D907AF" w:rsidRPr="0087485F" w:rsidRDefault="00D907AF" w:rsidP="00497154">
            <w:pPr>
              <w:spacing w:before="20" w:after="20"/>
              <w:ind w:right="170"/>
              <w:jc w:val="right"/>
              <w:rPr>
                <w:rFonts w:cstheme="minorHAnsi"/>
                <w:sz w:val="20"/>
                <w:szCs w:val="20"/>
              </w:rPr>
            </w:pPr>
            <w:r w:rsidRPr="0087485F">
              <w:rPr>
                <w:rFonts w:cstheme="minorHAnsi"/>
                <w:sz w:val="20"/>
                <w:szCs w:val="20"/>
              </w:rPr>
              <w:t>1</w:t>
            </w:r>
          </w:p>
        </w:tc>
        <w:tc>
          <w:tcPr>
            <w:tcW w:w="1276" w:type="dxa"/>
            <w:tcBorders>
              <w:bottom w:val="single" w:sz="4" w:space="0" w:color="auto"/>
            </w:tcBorders>
            <w:shd w:val="clear" w:color="auto" w:fill="auto"/>
            <w:vAlign w:val="center"/>
          </w:tcPr>
          <w:p w:rsidR="00D907AF" w:rsidRPr="0087485F" w:rsidRDefault="00D907AF" w:rsidP="00497154">
            <w:pPr>
              <w:spacing w:before="20" w:after="20"/>
              <w:ind w:right="284"/>
              <w:jc w:val="right"/>
              <w:rPr>
                <w:rFonts w:cstheme="minorHAnsi"/>
                <w:color w:val="000000"/>
                <w:sz w:val="20"/>
                <w:szCs w:val="20"/>
              </w:rPr>
            </w:pPr>
            <w:r w:rsidRPr="0087485F">
              <w:rPr>
                <w:rFonts w:cstheme="minorHAnsi"/>
                <w:color w:val="000000"/>
                <w:sz w:val="20"/>
                <w:szCs w:val="20"/>
              </w:rPr>
              <w:t>2.0</w:t>
            </w:r>
          </w:p>
        </w:tc>
      </w:tr>
      <w:tr w:rsidR="00D907AF" w:rsidRPr="0087485F" w:rsidTr="00CD5E76">
        <w:tc>
          <w:tcPr>
            <w:tcW w:w="1526" w:type="dxa"/>
            <w:tcBorders>
              <w:top w:val="single" w:sz="4" w:space="0" w:color="auto"/>
              <w:bottom w:val="single" w:sz="4" w:space="0" w:color="auto"/>
            </w:tcBorders>
            <w:shd w:val="clear" w:color="auto" w:fill="auto"/>
          </w:tcPr>
          <w:p w:rsidR="00D907AF" w:rsidRPr="0087485F" w:rsidRDefault="00D907AF" w:rsidP="00D907AF">
            <w:pPr>
              <w:spacing w:before="20" w:after="20"/>
              <w:rPr>
                <w:rFonts w:cstheme="minorHAnsi"/>
                <w:b/>
                <w:sz w:val="20"/>
                <w:szCs w:val="20"/>
              </w:rPr>
            </w:pPr>
            <w:r w:rsidRPr="0087485F">
              <w:rPr>
                <w:rFonts w:cstheme="minorHAnsi"/>
                <w:b/>
                <w:sz w:val="20"/>
                <w:szCs w:val="20"/>
              </w:rPr>
              <w:t>Total</w:t>
            </w:r>
          </w:p>
        </w:tc>
        <w:tc>
          <w:tcPr>
            <w:tcW w:w="992" w:type="dxa"/>
            <w:tcBorders>
              <w:top w:val="single" w:sz="4" w:space="0" w:color="auto"/>
              <w:bottom w:val="single" w:sz="4" w:space="0" w:color="auto"/>
            </w:tcBorders>
            <w:shd w:val="clear" w:color="auto" w:fill="auto"/>
          </w:tcPr>
          <w:p w:rsidR="00D907AF" w:rsidRPr="00497154" w:rsidRDefault="00D907AF" w:rsidP="00497154">
            <w:pPr>
              <w:spacing w:before="20" w:after="20"/>
              <w:ind w:right="170"/>
              <w:jc w:val="right"/>
              <w:rPr>
                <w:rFonts w:cstheme="minorHAnsi"/>
                <w:b/>
                <w:sz w:val="20"/>
                <w:szCs w:val="20"/>
              </w:rPr>
            </w:pPr>
            <w:r w:rsidRPr="00497154">
              <w:rPr>
                <w:rFonts w:cstheme="minorHAnsi"/>
                <w:b/>
                <w:sz w:val="20"/>
                <w:szCs w:val="20"/>
              </w:rPr>
              <w:t>49</w:t>
            </w:r>
          </w:p>
        </w:tc>
        <w:tc>
          <w:tcPr>
            <w:tcW w:w="1276" w:type="dxa"/>
            <w:tcBorders>
              <w:top w:val="single" w:sz="4" w:space="0" w:color="auto"/>
              <w:bottom w:val="single" w:sz="4" w:space="0" w:color="auto"/>
            </w:tcBorders>
            <w:shd w:val="clear" w:color="auto" w:fill="auto"/>
          </w:tcPr>
          <w:p w:rsidR="00D907AF" w:rsidRPr="00497154" w:rsidRDefault="00D907AF" w:rsidP="00497154">
            <w:pPr>
              <w:spacing w:before="20" w:after="20"/>
              <w:ind w:right="284"/>
              <w:jc w:val="right"/>
              <w:rPr>
                <w:rFonts w:cstheme="minorHAnsi"/>
                <w:b/>
                <w:color w:val="000000"/>
                <w:sz w:val="20"/>
                <w:szCs w:val="20"/>
              </w:rPr>
            </w:pPr>
            <w:r w:rsidRPr="00497154">
              <w:rPr>
                <w:rFonts w:cstheme="minorHAnsi"/>
                <w:b/>
                <w:color w:val="000000"/>
                <w:sz w:val="20"/>
                <w:szCs w:val="20"/>
              </w:rPr>
              <w:t>100</w:t>
            </w:r>
          </w:p>
        </w:tc>
      </w:tr>
    </w:tbl>
    <w:p w:rsidR="00D907AF" w:rsidRPr="00597AA2" w:rsidRDefault="00D907AF" w:rsidP="006C7BE7">
      <w:pPr>
        <w:pStyle w:val="NILSTabletext"/>
      </w:pPr>
      <w:r w:rsidRPr="00597AA2">
        <w:t>Note:</w:t>
      </w:r>
      <w:r>
        <w:t xml:space="preserve"> trial</w:t>
      </w:r>
      <w:r w:rsidRPr="00597AA2">
        <w:t xml:space="preserve"> and </w:t>
      </w:r>
      <w:r>
        <w:t>c</w:t>
      </w:r>
      <w:r w:rsidRPr="00597AA2">
        <w:t>omparison aged 16 and above in work and would like a different job</w:t>
      </w:r>
      <w:r>
        <w:t>.</w:t>
      </w:r>
    </w:p>
    <w:p w:rsidR="00D907AF" w:rsidRDefault="00D907AF" w:rsidP="00D907AF">
      <w:r>
        <w:t xml:space="preserve">Table 3.52 asks the 739 respondents from Table 3.48 who reported that they were not working whether they would like a job. Of these 41 per cent reported they would not like to have a job while 36.7 per cent said reported they would like to work, now or later. A sizeable 17.1 per cent reported that they did not know if they would like to have a job. The second wave of data collection will reveal if the time spent in the NDIS and the supports received in that time have had an impact on the clarity of employment aspirations. </w:t>
      </w:r>
    </w:p>
    <w:p w:rsidR="000D40FC" w:rsidRDefault="000D40FC">
      <w:pPr>
        <w:rPr>
          <w:b/>
          <w:sz w:val="20"/>
          <w:lang w:val="x-none"/>
        </w:rPr>
      </w:pPr>
      <w:bookmarkStart w:id="403" w:name="_Toc428280704"/>
      <w:r>
        <w:br w:type="page"/>
      </w:r>
    </w:p>
    <w:p w:rsidR="00D907AF" w:rsidRPr="00233E8A" w:rsidRDefault="00D907AF" w:rsidP="0044684E">
      <w:pPr>
        <w:pStyle w:val="NILSTableHeading"/>
      </w:pPr>
      <w:bookmarkStart w:id="404" w:name="_Toc449955314"/>
      <w:r w:rsidRPr="00233E8A">
        <w:lastRenderedPageBreak/>
        <w:t xml:space="preserve">Table </w:t>
      </w:r>
      <w:r>
        <w:t>3.52</w:t>
      </w:r>
      <w:r w:rsidRPr="00233E8A">
        <w:t xml:space="preserve">: </w:t>
      </w:r>
      <w:r>
        <w:rPr>
          <w:rFonts w:hint="eastAsia"/>
        </w:rPr>
        <w:t>W</w:t>
      </w:r>
      <w:r w:rsidRPr="00AC0E5E">
        <w:t xml:space="preserve">ould like to have </w:t>
      </w:r>
      <w:r w:rsidRPr="007E56C6">
        <w:t>a job</w:t>
      </w:r>
      <w:bookmarkEnd w:id="403"/>
      <w:bookmarkEnd w:id="404"/>
    </w:p>
    <w:tbl>
      <w:tblPr>
        <w:tblStyle w:val="TableGrid"/>
        <w:tblW w:w="0" w:type="auto"/>
        <w:tblLayout w:type="fixed"/>
        <w:tblLook w:val="04A0" w:firstRow="1" w:lastRow="0" w:firstColumn="1" w:lastColumn="0" w:noHBand="0" w:noVBand="1"/>
        <w:tblCaption w:val="Table 3.52 Would like to have a job"/>
      </w:tblPr>
      <w:tblGrid>
        <w:gridCol w:w="3652"/>
        <w:gridCol w:w="709"/>
        <w:gridCol w:w="850"/>
      </w:tblGrid>
      <w:tr w:rsidR="00D907AF" w:rsidRPr="0087485F" w:rsidTr="00CD5E76">
        <w:trPr>
          <w:cantSplit/>
          <w:tblHeader/>
        </w:trPr>
        <w:tc>
          <w:tcPr>
            <w:tcW w:w="3652" w:type="dxa"/>
            <w:tcBorders>
              <w:top w:val="single" w:sz="4" w:space="0" w:color="auto"/>
              <w:bottom w:val="single" w:sz="4" w:space="0" w:color="auto"/>
            </w:tcBorders>
            <w:shd w:val="clear" w:color="auto" w:fill="auto"/>
          </w:tcPr>
          <w:p w:rsidR="00D907AF" w:rsidRPr="0087485F" w:rsidRDefault="00D907AF" w:rsidP="00D907AF">
            <w:pPr>
              <w:spacing w:before="20" w:after="20"/>
              <w:rPr>
                <w:rFonts w:cstheme="minorHAnsi"/>
                <w:sz w:val="20"/>
                <w:szCs w:val="20"/>
              </w:rPr>
            </w:pPr>
            <w:bookmarkStart w:id="405" w:name="Title_3_52"/>
            <w:bookmarkEnd w:id="405"/>
          </w:p>
        </w:tc>
        <w:tc>
          <w:tcPr>
            <w:tcW w:w="709" w:type="dxa"/>
            <w:tcBorders>
              <w:top w:val="single" w:sz="4" w:space="0" w:color="auto"/>
              <w:bottom w:val="single" w:sz="4" w:space="0" w:color="auto"/>
            </w:tcBorders>
            <w:shd w:val="clear" w:color="auto" w:fill="auto"/>
          </w:tcPr>
          <w:p w:rsidR="00D907AF" w:rsidRPr="0087485F" w:rsidRDefault="00D907AF" w:rsidP="00D907AF">
            <w:pPr>
              <w:spacing w:before="20" w:after="20"/>
              <w:jc w:val="center"/>
              <w:rPr>
                <w:rFonts w:cstheme="minorHAnsi"/>
                <w:sz w:val="20"/>
                <w:szCs w:val="20"/>
              </w:rPr>
            </w:pPr>
            <w:r w:rsidRPr="0087485F">
              <w:rPr>
                <w:rFonts w:cstheme="minorHAnsi"/>
                <w:sz w:val="20"/>
                <w:szCs w:val="20"/>
              </w:rPr>
              <w:t>Cases</w:t>
            </w:r>
          </w:p>
        </w:tc>
        <w:tc>
          <w:tcPr>
            <w:tcW w:w="850" w:type="dxa"/>
            <w:tcBorders>
              <w:top w:val="single" w:sz="4" w:space="0" w:color="auto"/>
              <w:bottom w:val="single" w:sz="4" w:space="0" w:color="auto"/>
            </w:tcBorders>
            <w:shd w:val="clear" w:color="auto" w:fill="auto"/>
          </w:tcPr>
          <w:p w:rsidR="00D907AF" w:rsidRPr="0087485F" w:rsidRDefault="00D907AF" w:rsidP="00D907AF">
            <w:pPr>
              <w:spacing w:before="20" w:after="20"/>
              <w:jc w:val="center"/>
              <w:rPr>
                <w:rFonts w:cstheme="minorHAnsi"/>
                <w:sz w:val="20"/>
                <w:szCs w:val="20"/>
              </w:rPr>
            </w:pPr>
            <w:r w:rsidRPr="0087485F">
              <w:rPr>
                <w:rFonts w:cstheme="minorHAnsi"/>
                <w:sz w:val="20"/>
                <w:szCs w:val="20"/>
              </w:rPr>
              <w:t>%</w:t>
            </w:r>
          </w:p>
        </w:tc>
      </w:tr>
      <w:tr w:rsidR="00D907AF" w:rsidRPr="0087485F" w:rsidTr="00D907AF">
        <w:tc>
          <w:tcPr>
            <w:tcW w:w="3652"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Yes</w:t>
            </w:r>
          </w:p>
        </w:tc>
        <w:tc>
          <w:tcPr>
            <w:tcW w:w="709" w:type="dxa"/>
            <w:shd w:val="clear" w:color="auto" w:fill="auto"/>
          </w:tcPr>
          <w:p w:rsidR="00D907AF" w:rsidRPr="0087485F" w:rsidRDefault="00D907AF" w:rsidP="00497154">
            <w:pPr>
              <w:spacing w:before="20" w:after="20"/>
              <w:ind w:right="113"/>
              <w:jc w:val="right"/>
              <w:rPr>
                <w:rFonts w:cstheme="minorHAnsi"/>
                <w:sz w:val="20"/>
                <w:szCs w:val="20"/>
              </w:rPr>
            </w:pPr>
            <w:r w:rsidRPr="0087485F">
              <w:rPr>
                <w:rFonts w:cstheme="minorHAnsi"/>
                <w:sz w:val="20"/>
                <w:szCs w:val="20"/>
              </w:rPr>
              <w:t>217</w:t>
            </w:r>
          </w:p>
        </w:tc>
        <w:tc>
          <w:tcPr>
            <w:tcW w:w="850" w:type="dxa"/>
            <w:shd w:val="clear" w:color="auto" w:fill="auto"/>
            <w:vAlign w:val="center"/>
          </w:tcPr>
          <w:p w:rsidR="00D907AF" w:rsidRPr="0087485F" w:rsidRDefault="00D907AF" w:rsidP="00497154">
            <w:pPr>
              <w:spacing w:before="20" w:after="20"/>
              <w:ind w:right="57"/>
              <w:jc w:val="right"/>
              <w:rPr>
                <w:rFonts w:cstheme="minorHAnsi"/>
                <w:color w:val="000000"/>
                <w:sz w:val="20"/>
                <w:szCs w:val="20"/>
              </w:rPr>
            </w:pPr>
            <w:r w:rsidRPr="0087485F">
              <w:rPr>
                <w:rFonts w:cstheme="minorHAnsi"/>
                <w:color w:val="000000"/>
                <w:sz w:val="20"/>
                <w:szCs w:val="20"/>
              </w:rPr>
              <w:t>29.4</w:t>
            </w:r>
          </w:p>
        </w:tc>
      </w:tr>
      <w:tr w:rsidR="00D907AF" w:rsidRPr="0087485F" w:rsidTr="00D907AF">
        <w:tc>
          <w:tcPr>
            <w:tcW w:w="3652"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No</w:t>
            </w:r>
          </w:p>
        </w:tc>
        <w:tc>
          <w:tcPr>
            <w:tcW w:w="709" w:type="dxa"/>
            <w:shd w:val="clear" w:color="auto" w:fill="auto"/>
          </w:tcPr>
          <w:p w:rsidR="00D907AF" w:rsidRPr="0087485F" w:rsidRDefault="00D907AF" w:rsidP="00497154">
            <w:pPr>
              <w:spacing w:before="20" w:after="20"/>
              <w:ind w:right="113"/>
              <w:jc w:val="right"/>
              <w:rPr>
                <w:rFonts w:cstheme="minorHAnsi"/>
                <w:sz w:val="20"/>
                <w:szCs w:val="20"/>
              </w:rPr>
            </w:pPr>
            <w:r w:rsidRPr="0087485F">
              <w:rPr>
                <w:rFonts w:cstheme="minorHAnsi"/>
                <w:sz w:val="20"/>
                <w:szCs w:val="20"/>
              </w:rPr>
              <w:t>303</w:t>
            </w:r>
          </w:p>
        </w:tc>
        <w:tc>
          <w:tcPr>
            <w:tcW w:w="850" w:type="dxa"/>
            <w:shd w:val="clear" w:color="auto" w:fill="auto"/>
            <w:vAlign w:val="center"/>
          </w:tcPr>
          <w:p w:rsidR="00D907AF" w:rsidRPr="0087485F" w:rsidRDefault="00D907AF" w:rsidP="00497154">
            <w:pPr>
              <w:spacing w:before="20" w:after="20"/>
              <w:ind w:right="57"/>
              <w:jc w:val="right"/>
              <w:rPr>
                <w:rFonts w:cstheme="minorHAnsi"/>
                <w:color w:val="000000"/>
                <w:sz w:val="20"/>
                <w:szCs w:val="20"/>
              </w:rPr>
            </w:pPr>
            <w:r w:rsidRPr="0087485F">
              <w:rPr>
                <w:rFonts w:cstheme="minorHAnsi"/>
                <w:color w:val="000000"/>
                <w:sz w:val="20"/>
                <w:szCs w:val="20"/>
              </w:rPr>
              <w:t>41.0</w:t>
            </w:r>
          </w:p>
        </w:tc>
      </w:tr>
      <w:tr w:rsidR="00D907AF" w:rsidRPr="0087485F" w:rsidTr="00D907AF">
        <w:tc>
          <w:tcPr>
            <w:tcW w:w="3652"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Yes, when I have finished my education</w:t>
            </w:r>
          </w:p>
        </w:tc>
        <w:tc>
          <w:tcPr>
            <w:tcW w:w="709" w:type="dxa"/>
            <w:shd w:val="clear" w:color="auto" w:fill="auto"/>
          </w:tcPr>
          <w:p w:rsidR="00D907AF" w:rsidRPr="0087485F" w:rsidRDefault="00D907AF" w:rsidP="00497154">
            <w:pPr>
              <w:spacing w:before="20" w:after="20"/>
              <w:ind w:right="113"/>
              <w:jc w:val="right"/>
              <w:rPr>
                <w:rFonts w:cstheme="minorHAnsi"/>
                <w:sz w:val="20"/>
                <w:szCs w:val="20"/>
              </w:rPr>
            </w:pPr>
            <w:r w:rsidRPr="0087485F">
              <w:rPr>
                <w:rFonts w:cstheme="minorHAnsi"/>
                <w:sz w:val="20"/>
                <w:szCs w:val="20"/>
              </w:rPr>
              <w:t>54</w:t>
            </w:r>
          </w:p>
        </w:tc>
        <w:tc>
          <w:tcPr>
            <w:tcW w:w="850" w:type="dxa"/>
            <w:shd w:val="clear" w:color="auto" w:fill="auto"/>
            <w:vAlign w:val="center"/>
          </w:tcPr>
          <w:p w:rsidR="00D907AF" w:rsidRPr="0087485F" w:rsidRDefault="00D907AF" w:rsidP="00497154">
            <w:pPr>
              <w:spacing w:before="20" w:after="20"/>
              <w:ind w:right="57"/>
              <w:jc w:val="right"/>
              <w:rPr>
                <w:rFonts w:cstheme="minorHAnsi"/>
                <w:color w:val="000000"/>
                <w:sz w:val="20"/>
                <w:szCs w:val="20"/>
              </w:rPr>
            </w:pPr>
            <w:r w:rsidRPr="0087485F">
              <w:rPr>
                <w:rFonts w:cstheme="minorHAnsi"/>
                <w:color w:val="000000"/>
                <w:sz w:val="20"/>
                <w:szCs w:val="20"/>
              </w:rPr>
              <w:t>7.3</w:t>
            </w:r>
          </w:p>
        </w:tc>
      </w:tr>
      <w:tr w:rsidR="00D907AF" w:rsidRPr="0087485F" w:rsidTr="00D907AF">
        <w:tc>
          <w:tcPr>
            <w:tcW w:w="3652" w:type="dxa"/>
          </w:tcPr>
          <w:p w:rsidR="00D907AF" w:rsidRPr="0087485F" w:rsidRDefault="00D907AF" w:rsidP="00D907AF">
            <w:pPr>
              <w:spacing w:before="20" w:after="20"/>
              <w:rPr>
                <w:rFonts w:cstheme="minorHAnsi"/>
                <w:sz w:val="20"/>
                <w:szCs w:val="20"/>
              </w:rPr>
            </w:pPr>
            <w:r w:rsidRPr="0087485F">
              <w:rPr>
                <w:rFonts w:cstheme="minorHAnsi"/>
                <w:sz w:val="20"/>
                <w:szCs w:val="20"/>
              </w:rPr>
              <w:t>Don’t know</w:t>
            </w:r>
          </w:p>
        </w:tc>
        <w:tc>
          <w:tcPr>
            <w:tcW w:w="709" w:type="dxa"/>
          </w:tcPr>
          <w:p w:rsidR="00D907AF" w:rsidRPr="0087485F" w:rsidRDefault="00D907AF" w:rsidP="00497154">
            <w:pPr>
              <w:spacing w:before="20" w:after="20"/>
              <w:ind w:right="113"/>
              <w:jc w:val="right"/>
              <w:rPr>
                <w:rFonts w:cstheme="minorHAnsi"/>
                <w:sz w:val="20"/>
                <w:szCs w:val="20"/>
              </w:rPr>
            </w:pPr>
            <w:r w:rsidRPr="0087485F">
              <w:rPr>
                <w:rFonts w:cstheme="minorHAnsi"/>
                <w:sz w:val="20"/>
                <w:szCs w:val="20"/>
              </w:rPr>
              <w:t>126</w:t>
            </w:r>
          </w:p>
        </w:tc>
        <w:tc>
          <w:tcPr>
            <w:tcW w:w="850" w:type="dxa"/>
          </w:tcPr>
          <w:p w:rsidR="00D907AF" w:rsidRPr="0087485F" w:rsidRDefault="00D907AF" w:rsidP="00497154">
            <w:pPr>
              <w:spacing w:before="20" w:after="20"/>
              <w:ind w:right="57"/>
              <w:jc w:val="right"/>
              <w:rPr>
                <w:rFonts w:cstheme="minorHAnsi"/>
                <w:color w:val="000000"/>
                <w:sz w:val="20"/>
                <w:szCs w:val="20"/>
              </w:rPr>
            </w:pPr>
            <w:r w:rsidRPr="0087485F">
              <w:rPr>
                <w:rFonts w:cstheme="minorHAnsi"/>
                <w:color w:val="000000"/>
                <w:sz w:val="20"/>
                <w:szCs w:val="20"/>
              </w:rPr>
              <w:t>17.1</w:t>
            </w:r>
          </w:p>
        </w:tc>
      </w:tr>
      <w:tr w:rsidR="00D907AF" w:rsidRPr="0087485F" w:rsidTr="00D907AF">
        <w:tc>
          <w:tcPr>
            <w:tcW w:w="3652" w:type="dxa"/>
            <w:tcBorders>
              <w:bottom w:val="single" w:sz="4" w:space="0" w:color="auto"/>
            </w:tcBorders>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 xml:space="preserve">Missing </w:t>
            </w:r>
          </w:p>
        </w:tc>
        <w:tc>
          <w:tcPr>
            <w:tcW w:w="709" w:type="dxa"/>
            <w:tcBorders>
              <w:bottom w:val="single" w:sz="4" w:space="0" w:color="auto"/>
            </w:tcBorders>
            <w:shd w:val="clear" w:color="auto" w:fill="auto"/>
          </w:tcPr>
          <w:p w:rsidR="00D907AF" w:rsidRPr="0087485F" w:rsidRDefault="00D907AF" w:rsidP="00497154">
            <w:pPr>
              <w:spacing w:before="20" w:after="20"/>
              <w:ind w:right="113"/>
              <w:jc w:val="right"/>
              <w:rPr>
                <w:rFonts w:cstheme="minorHAnsi"/>
                <w:sz w:val="20"/>
                <w:szCs w:val="20"/>
              </w:rPr>
            </w:pPr>
            <w:r w:rsidRPr="0087485F">
              <w:rPr>
                <w:rFonts w:cstheme="minorHAnsi"/>
                <w:sz w:val="20"/>
                <w:szCs w:val="20"/>
              </w:rPr>
              <w:t>39</w:t>
            </w:r>
          </w:p>
        </w:tc>
        <w:tc>
          <w:tcPr>
            <w:tcW w:w="850" w:type="dxa"/>
            <w:tcBorders>
              <w:bottom w:val="single" w:sz="4" w:space="0" w:color="auto"/>
            </w:tcBorders>
            <w:shd w:val="clear" w:color="auto" w:fill="auto"/>
            <w:vAlign w:val="center"/>
          </w:tcPr>
          <w:p w:rsidR="00D907AF" w:rsidRPr="0087485F" w:rsidRDefault="00D907AF" w:rsidP="00497154">
            <w:pPr>
              <w:spacing w:before="20" w:after="20"/>
              <w:ind w:right="57"/>
              <w:jc w:val="right"/>
              <w:rPr>
                <w:rFonts w:cstheme="minorHAnsi"/>
                <w:color w:val="000000"/>
                <w:sz w:val="20"/>
                <w:szCs w:val="20"/>
              </w:rPr>
            </w:pPr>
            <w:r w:rsidRPr="0087485F">
              <w:rPr>
                <w:rFonts w:cstheme="minorHAnsi"/>
                <w:color w:val="000000"/>
                <w:sz w:val="20"/>
                <w:szCs w:val="20"/>
              </w:rPr>
              <w:t>5.3</w:t>
            </w:r>
          </w:p>
        </w:tc>
      </w:tr>
      <w:tr w:rsidR="00D907AF" w:rsidRPr="0087485F" w:rsidTr="00D907AF">
        <w:tc>
          <w:tcPr>
            <w:tcW w:w="3652" w:type="dxa"/>
            <w:tcBorders>
              <w:top w:val="single" w:sz="4" w:space="0" w:color="auto"/>
              <w:bottom w:val="single" w:sz="4" w:space="0" w:color="auto"/>
            </w:tcBorders>
            <w:shd w:val="clear" w:color="auto" w:fill="auto"/>
          </w:tcPr>
          <w:p w:rsidR="00D907AF" w:rsidRPr="0087485F" w:rsidRDefault="00D907AF" w:rsidP="00D907AF">
            <w:pPr>
              <w:spacing w:before="20" w:after="20"/>
              <w:rPr>
                <w:rFonts w:cstheme="minorHAnsi"/>
                <w:b/>
                <w:sz w:val="20"/>
                <w:szCs w:val="20"/>
              </w:rPr>
            </w:pPr>
            <w:r w:rsidRPr="0087485F">
              <w:rPr>
                <w:rFonts w:cstheme="minorHAnsi"/>
                <w:b/>
                <w:sz w:val="20"/>
                <w:szCs w:val="20"/>
              </w:rPr>
              <w:t>Total</w:t>
            </w:r>
          </w:p>
        </w:tc>
        <w:tc>
          <w:tcPr>
            <w:tcW w:w="709" w:type="dxa"/>
            <w:tcBorders>
              <w:top w:val="single" w:sz="4" w:space="0" w:color="auto"/>
              <w:bottom w:val="single" w:sz="4" w:space="0" w:color="auto"/>
            </w:tcBorders>
            <w:shd w:val="clear" w:color="auto" w:fill="auto"/>
          </w:tcPr>
          <w:p w:rsidR="00D907AF" w:rsidRPr="007C24CD" w:rsidRDefault="00D907AF" w:rsidP="00497154">
            <w:pPr>
              <w:spacing w:before="20" w:after="20"/>
              <w:ind w:right="113"/>
              <w:jc w:val="right"/>
              <w:rPr>
                <w:rFonts w:cstheme="minorHAnsi"/>
                <w:b/>
                <w:sz w:val="20"/>
                <w:szCs w:val="20"/>
              </w:rPr>
            </w:pPr>
            <w:r w:rsidRPr="007C24CD">
              <w:rPr>
                <w:rFonts w:cstheme="minorHAnsi"/>
                <w:b/>
                <w:sz w:val="20"/>
                <w:szCs w:val="20"/>
              </w:rPr>
              <w:t>739</w:t>
            </w:r>
          </w:p>
        </w:tc>
        <w:tc>
          <w:tcPr>
            <w:tcW w:w="850" w:type="dxa"/>
            <w:tcBorders>
              <w:top w:val="single" w:sz="4" w:space="0" w:color="auto"/>
              <w:bottom w:val="single" w:sz="4" w:space="0" w:color="auto"/>
            </w:tcBorders>
            <w:shd w:val="clear" w:color="auto" w:fill="auto"/>
          </w:tcPr>
          <w:p w:rsidR="00D907AF" w:rsidRPr="0087485F" w:rsidRDefault="00D907AF" w:rsidP="00497154">
            <w:pPr>
              <w:spacing w:before="20" w:after="20"/>
              <w:ind w:right="57"/>
              <w:jc w:val="right"/>
              <w:rPr>
                <w:rFonts w:cstheme="minorHAnsi"/>
                <w:b/>
                <w:sz w:val="20"/>
                <w:szCs w:val="20"/>
              </w:rPr>
            </w:pPr>
            <w:r w:rsidRPr="0087485F">
              <w:rPr>
                <w:rFonts w:cstheme="minorHAnsi"/>
                <w:b/>
                <w:sz w:val="20"/>
                <w:szCs w:val="20"/>
              </w:rPr>
              <w:t>100</w:t>
            </w:r>
          </w:p>
        </w:tc>
      </w:tr>
    </w:tbl>
    <w:p w:rsidR="00D907AF" w:rsidRPr="00597AA2" w:rsidRDefault="00D907AF" w:rsidP="006C7BE7">
      <w:pPr>
        <w:pStyle w:val="NILSTabletext"/>
      </w:pPr>
      <w:r w:rsidRPr="00597AA2">
        <w:t xml:space="preserve">Note: </w:t>
      </w:r>
      <w:r>
        <w:t>t</w:t>
      </w:r>
      <w:r w:rsidRPr="00597AA2">
        <w:t xml:space="preserve">rial and </w:t>
      </w:r>
      <w:r>
        <w:t>c</w:t>
      </w:r>
      <w:r w:rsidRPr="00597AA2">
        <w:t xml:space="preserve">omparison </w:t>
      </w:r>
      <w:r>
        <w:t>s</w:t>
      </w:r>
      <w:r w:rsidRPr="00597AA2">
        <w:t>tandard questionnaire</w:t>
      </w:r>
      <w:r>
        <w:t xml:space="preserve"> </w:t>
      </w:r>
      <w:r w:rsidRPr="00597AA2">
        <w:t>aged 16 and above not in work</w:t>
      </w:r>
      <w:r>
        <w:t>.</w:t>
      </w:r>
    </w:p>
    <w:p w:rsidR="00CC1E9C" w:rsidRDefault="00CC1E9C" w:rsidP="00D907AF"/>
    <w:p w:rsidR="00D907AF" w:rsidRDefault="00D907AF" w:rsidP="00D907AF">
      <w:r>
        <w:t xml:space="preserve">Table 3.48 reported that 80.4 per cent of all age-appropriate respondents did not work and </w:t>
      </w:r>
      <w:r w:rsidRPr="00290799">
        <w:t>Table 3.52</w:t>
      </w:r>
      <w:r>
        <w:t xml:space="preserve"> suggests that of them, </w:t>
      </w:r>
      <w:r w:rsidRPr="005F2BCE">
        <w:t xml:space="preserve">about </w:t>
      </w:r>
      <w:r w:rsidRPr="00290799">
        <w:t>37 per cent</w:t>
      </w:r>
      <w:r>
        <w:t xml:space="preserve"> would like to have a job, with 7 per cent being in education aiming for a job when they finished their education. The implication is that there is a large reserve of people with disability who would wish to join the labour market. Only a small proportion of 36.7 per cent (small by general labour market standards) reported they are currently looking for a job. This is an area that will require further investigation once the full size sample is in place</w:t>
      </w:r>
      <w:r w:rsidR="00CC1E9C">
        <w:t>.</w:t>
      </w:r>
    </w:p>
    <w:p w:rsidR="00CC1E9C" w:rsidRDefault="00CC1E9C" w:rsidP="00D907AF"/>
    <w:p w:rsidR="00D907AF" w:rsidRDefault="00D907AF" w:rsidP="00D907AF">
      <w:r>
        <w:t xml:space="preserve">The investigation of the reasons why people with disability may not be in the employment position they would like will be studied with the help of Table 3.53. The question of what makes it hard to get a job is asked of two groups of people with disability. </w:t>
      </w:r>
      <w:r w:rsidR="00054BD0">
        <w:t xml:space="preserve">Respondents </w:t>
      </w:r>
      <w:r w:rsidR="00E6455B">
        <w:t>are</w:t>
      </w:r>
      <w:r w:rsidR="00054BD0">
        <w:t xml:space="preserve"> asked </w:t>
      </w:r>
      <w:r w:rsidR="00E6455B">
        <w:t>“</w:t>
      </w:r>
      <w:r w:rsidR="00054BD0">
        <w:t>if they ha</w:t>
      </w:r>
      <w:r w:rsidR="00E6455B">
        <w:t>ve</w:t>
      </w:r>
      <w:r>
        <w:t xml:space="preserve"> a job but would like to have another job</w:t>
      </w:r>
      <w:r w:rsidR="00E6455B">
        <w:t>”</w:t>
      </w:r>
      <w:r>
        <w:t xml:space="preserve"> and </w:t>
      </w:r>
      <w:r w:rsidR="00E6455B">
        <w:t>“</w:t>
      </w:r>
      <w:r w:rsidR="00054BD0">
        <w:t xml:space="preserve">if they did not </w:t>
      </w:r>
      <w:r>
        <w:t>have a job and would like to have one</w:t>
      </w:r>
      <w:r w:rsidR="00E6455B">
        <w:t>”</w:t>
      </w:r>
      <w:r>
        <w:t>.</w:t>
      </w:r>
      <w:r w:rsidR="00E6455B">
        <w:t xml:space="preserve"> </w:t>
      </w:r>
      <w:r w:rsidR="00054BD0">
        <w:t>The</w:t>
      </w:r>
      <w:r>
        <w:t xml:space="preserve"> same categories of barriers and difficulties used for education</w:t>
      </w:r>
      <w:r w:rsidR="00054BD0">
        <w:t xml:space="preserve"> allow</w:t>
      </w:r>
      <w:r w:rsidR="00E6455B">
        <w:t xml:space="preserve"> examination of </w:t>
      </w:r>
      <w:r>
        <w:t>barriers and activities</w:t>
      </w:r>
      <w:r w:rsidR="00E6455B">
        <w:t xml:space="preserve"> to employment</w:t>
      </w:r>
      <w:r>
        <w:t xml:space="preserve">. For example, </w:t>
      </w:r>
      <w:r w:rsidR="00E6455B">
        <w:t xml:space="preserve">it will be possible to </w:t>
      </w:r>
      <w:r>
        <w:t>examine jointly these circumstances where multiple barriers may influence jointly a specific single activity and where single barriers may be influencing several activities.</w:t>
      </w:r>
    </w:p>
    <w:p w:rsidR="00D907AF" w:rsidRPr="00233E8A" w:rsidRDefault="00D907AF" w:rsidP="0044684E">
      <w:pPr>
        <w:pStyle w:val="NILSTableHeading"/>
      </w:pPr>
      <w:bookmarkStart w:id="406" w:name="_Toc428280705"/>
      <w:bookmarkStart w:id="407" w:name="_Toc449955315"/>
      <w:r>
        <w:t>Table 3.53</w:t>
      </w:r>
      <w:r w:rsidRPr="00233E8A">
        <w:rPr>
          <w:rFonts w:hint="eastAsia"/>
        </w:rPr>
        <w:t xml:space="preserve">: </w:t>
      </w:r>
      <w:r>
        <w:rPr>
          <w:rFonts w:hint="eastAsia"/>
        </w:rPr>
        <w:t>Do any of the following make it hard to get a job</w:t>
      </w:r>
      <w:r>
        <w:t>?</w:t>
      </w:r>
      <w:bookmarkEnd w:id="406"/>
      <w:bookmarkEnd w:id="407"/>
    </w:p>
    <w:tbl>
      <w:tblPr>
        <w:tblStyle w:val="TableGrid"/>
        <w:tblW w:w="0" w:type="auto"/>
        <w:tblLayout w:type="fixed"/>
        <w:tblLook w:val="04A0" w:firstRow="1" w:lastRow="0" w:firstColumn="1" w:lastColumn="0" w:noHBand="0" w:noVBand="1"/>
        <w:tblCaption w:val="Table 3.53 Do any of the following make it hard to get a job?"/>
      </w:tblPr>
      <w:tblGrid>
        <w:gridCol w:w="5234"/>
        <w:gridCol w:w="851"/>
        <w:gridCol w:w="827"/>
      </w:tblGrid>
      <w:tr w:rsidR="00D907AF" w:rsidRPr="0087485F" w:rsidTr="00CD5E76">
        <w:trPr>
          <w:cantSplit/>
          <w:tblHeader/>
        </w:trPr>
        <w:tc>
          <w:tcPr>
            <w:tcW w:w="5234" w:type="dxa"/>
            <w:tcBorders>
              <w:top w:val="single" w:sz="4" w:space="0" w:color="auto"/>
              <w:bottom w:val="single" w:sz="4" w:space="0" w:color="auto"/>
            </w:tcBorders>
            <w:shd w:val="clear" w:color="auto" w:fill="auto"/>
          </w:tcPr>
          <w:p w:rsidR="00D907AF" w:rsidRPr="0087485F" w:rsidRDefault="00D907AF" w:rsidP="00FB1503">
            <w:pPr>
              <w:spacing w:before="20" w:after="10"/>
              <w:rPr>
                <w:rFonts w:cstheme="minorHAnsi"/>
                <w:sz w:val="20"/>
                <w:szCs w:val="20"/>
              </w:rPr>
            </w:pPr>
            <w:bookmarkStart w:id="408" w:name="Title_3_53"/>
            <w:bookmarkEnd w:id="408"/>
          </w:p>
        </w:tc>
        <w:tc>
          <w:tcPr>
            <w:tcW w:w="851" w:type="dxa"/>
            <w:tcBorders>
              <w:top w:val="single" w:sz="4" w:space="0" w:color="auto"/>
              <w:bottom w:val="single" w:sz="4" w:space="0" w:color="auto"/>
            </w:tcBorders>
            <w:shd w:val="clear" w:color="auto" w:fill="auto"/>
          </w:tcPr>
          <w:p w:rsidR="00D907AF" w:rsidRPr="0087485F" w:rsidRDefault="00D907AF" w:rsidP="00FB1503">
            <w:pPr>
              <w:spacing w:before="20" w:after="10"/>
              <w:jc w:val="center"/>
              <w:rPr>
                <w:rFonts w:cstheme="minorHAnsi"/>
                <w:sz w:val="20"/>
                <w:szCs w:val="20"/>
              </w:rPr>
            </w:pPr>
            <w:r w:rsidRPr="0087485F">
              <w:rPr>
                <w:rFonts w:cstheme="minorHAnsi"/>
                <w:sz w:val="20"/>
                <w:szCs w:val="20"/>
              </w:rPr>
              <w:t>Cases</w:t>
            </w:r>
          </w:p>
        </w:tc>
        <w:tc>
          <w:tcPr>
            <w:tcW w:w="827" w:type="dxa"/>
            <w:tcBorders>
              <w:top w:val="single" w:sz="4" w:space="0" w:color="auto"/>
              <w:bottom w:val="single" w:sz="4" w:space="0" w:color="auto"/>
            </w:tcBorders>
            <w:shd w:val="clear" w:color="auto" w:fill="auto"/>
          </w:tcPr>
          <w:p w:rsidR="00D907AF" w:rsidRPr="0087485F" w:rsidRDefault="00D907AF" w:rsidP="00FB1503">
            <w:pPr>
              <w:spacing w:before="20" w:after="10"/>
              <w:jc w:val="center"/>
              <w:rPr>
                <w:rFonts w:cstheme="minorHAnsi"/>
                <w:sz w:val="20"/>
                <w:szCs w:val="20"/>
              </w:rPr>
            </w:pPr>
            <w:r w:rsidRPr="0087485F">
              <w:rPr>
                <w:rFonts w:cstheme="minorHAnsi"/>
                <w:sz w:val="20"/>
                <w:szCs w:val="20"/>
              </w:rPr>
              <w:t>%</w:t>
            </w:r>
          </w:p>
        </w:tc>
      </w:tr>
      <w:tr w:rsidR="00D907AF" w:rsidRPr="00497154" w:rsidTr="00D907AF">
        <w:tc>
          <w:tcPr>
            <w:tcW w:w="5234" w:type="dxa"/>
            <w:shd w:val="clear" w:color="auto" w:fill="auto"/>
          </w:tcPr>
          <w:p w:rsidR="00D907AF" w:rsidRPr="0087485F" w:rsidRDefault="00D907AF" w:rsidP="00FB1503">
            <w:pPr>
              <w:spacing w:before="20" w:after="10"/>
              <w:rPr>
                <w:rFonts w:cstheme="minorHAnsi"/>
                <w:sz w:val="20"/>
                <w:szCs w:val="20"/>
              </w:rPr>
            </w:pPr>
            <w:r w:rsidRPr="0087485F">
              <w:rPr>
                <w:rFonts w:cstheme="minorHAnsi"/>
                <w:sz w:val="20"/>
                <w:szCs w:val="20"/>
              </w:rPr>
              <w:t>A lack of opportunities</w:t>
            </w:r>
          </w:p>
        </w:tc>
        <w:tc>
          <w:tcPr>
            <w:tcW w:w="851" w:type="dxa"/>
            <w:shd w:val="clear" w:color="auto" w:fill="auto"/>
            <w:vAlign w:val="center"/>
          </w:tcPr>
          <w:p w:rsidR="00D907AF" w:rsidRPr="0087485F" w:rsidRDefault="00D907AF" w:rsidP="00FB1503">
            <w:pPr>
              <w:spacing w:before="20" w:after="10"/>
              <w:ind w:right="113"/>
              <w:jc w:val="right"/>
              <w:rPr>
                <w:rFonts w:cstheme="minorHAnsi"/>
                <w:sz w:val="20"/>
                <w:szCs w:val="20"/>
              </w:rPr>
            </w:pPr>
            <w:r w:rsidRPr="0087485F">
              <w:rPr>
                <w:rFonts w:cstheme="minorHAnsi"/>
                <w:sz w:val="20"/>
                <w:szCs w:val="20"/>
              </w:rPr>
              <w:t>177</w:t>
            </w:r>
          </w:p>
        </w:tc>
        <w:tc>
          <w:tcPr>
            <w:tcW w:w="827" w:type="dxa"/>
            <w:shd w:val="clear" w:color="auto" w:fill="auto"/>
            <w:vAlign w:val="center"/>
          </w:tcPr>
          <w:p w:rsidR="00D907AF" w:rsidRPr="00497154" w:rsidRDefault="00D907AF" w:rsidP="00FB1503">
            <w:pPr>
              <w:spacing w:before="20" w:after="10"/>
              <w:ind w:right="113"/>
              <w:jc w:val="right"/>
              <w:rPr>
                <w:rFonts w:cstheme="minorHAnsi"/>
                <w:sz w:val="20"/>
                <w:szCs w:val="20"/>
              </w:rPr>
            </w:pPr>
            <w:r w:rsidRPr="00497154">
              <w:rPr>
                <w:rFonts w:cstheme="minorHAnsi"/>
                <w:sz w:val="20"/>
                <w:szCs w:val="20"/>
              </w:rPr>
              <w:t>65.8</w:t>
            </w:r>
          </w:p>
        </w:tc>
      </w:tr>
      <w:tr w:rsidR="00D907AF" w:rsidRPr="00497154" w:rsidTr="00D907AF">
        <w:tc>
          <w:tcPr>
            <w:tcW w:w="5234" w:type="dxa"/>
            <w:shd w:val="clear" w:color="auto" w:fill="auto"/>
          </w:tcPr>
          <w:p w:rsidR="00D907AF" w:rsidRPr="0087485F" w:rsidRDefault="00D907AF" w:rsidP="00FB1503">
            <w:pPr>
              <w:spacing w:before="20" w:after="10"/>
              <w:rPr>
                <w:rFonts w:cstheme="minorHAnsi"/>
                <w:sz w:val="20"/>
                <w:szCs w:val="20"/>
              </w:rPr>
            </w:pPr>
            <w:r w:rsidRPr="0087485F">
              <w:rPr>
                <w:rFonts w:cstheme="minorHAnsi"/>
                <w:sz w:val="20"/>
                <w:szCs w:val="20"/>
              </w:rPr>
              <w:t>Difficulties with transport or parking</w:t>
            </w:r>
          </w:p>
        </w:tc>
        <w:tc>
          <w:tcPr>
            <w:tcW w:w="851" w:type="dxa"/>
            <w:shd w:val="clear" w:color="auto" w:fill="auto"/>
            <w:vAlign w:val="center"/>
          </w:tcPr>
          <w:p w:rsidR="00D907AF" w:rsidRPr="0087485F" w:rsidRDefault="00D907AF" w:rsidP="00FB1503">
            <w:pPr>
              <w:spacing w:before="20" w:after="10"/>
              <w:ind w:right="113"/>
              <w:jc w:val="right"/>
              <w:rPr>
                <w:rFonts w:cstheme="minorHAnsi"/>
                <w:sz w:val="20"/>
                <w:szCs w:val="20"/>
              </w:rPr>
            </w:pPr>
            <w:r w:rsidRPr="0087485F">
              <w:rPr>
                <w:rFonts w:cstheme="minorHAnsi"/>
                <w:sz w:val="20"/>
                <w:szCs w:val="20"/>
              </w:rPr>
              <w:t>119</w:t>
            </w:r>
          </w:p>
        </w:tc>
        <w:tc>
          <w:tcPr>
            <w:tcW w:w="827" w:type="dxa"/>
            <w:shd w:val="clear" w:color="auto" w:fill="auto"/>
            <w:vAlign w:val="center"/>
          </w:tcPr>
          <w:p w:rsidR="00D907AF" w:rsidRPr="00497154" w:rsidRDefault="00D907AF" w:rsidP="00FB1503">
            <w:pPr>
              <w:spacing w:before="20" w:after="10"/>
              <w:ind w:right="113"/>
              <w:jc w:val="right"/>
              <w:rPr>
                <w:rFonts w:cstheme="minorHAnsi"/>
                <w:sz w:val="20"/>
                <w:szCs w:val="20"/>
              </w:rPr>
            </w:pPr>
            <w:r w:rsidRPr="00497154">
              <w:rPr>
                <w:rFonts w:cstheme="minorHAnsi"/>
                <w:sz w:val="20"/>
                <w:szCs w:val="20"/>
              </w:rPr>
              <w:t>44.2</w:t>
            </w:r>
          </w:p>
        </w:tc>
      </w:tr>
      <w:tr w:rsidR="00D907AF" w:rsidRPr="00497154" w:rsidTr="00D907AF">
        <w:tc>
          <w:tcPr>
            <w:tcW w:w="5234" w:type="dxa"/>
            <w:shd w:val="clear" w:color="auto" w:fill="auto"/>
          </w:tcPr>
          <w:p w:rsidR="00D907AF" w:rsidRPr="0087485F" w:rsidRDefault="00D907AF" w:rsidP="00FB1503">
            <w:pPr>
              <w:spacing w:before="20" w:after="10"/>
              <w:rPr>
                <w:rFonts w:cstheme="minorHAnsi"/>
                <w:sz w:val="20"/>
                <w:szCs w:val="20"/>
              </w:rPr>
            </w:pPr>
            <w:r w:rsidRPr="0087485F">
              <w:rPr>
                <w:rFonts w:cstheme="minorHAnsi"/>
                <w:sz w:val="20"/>
                <w:szCs w:val="20"/>
              </w:rPr>
              <w:t>What employers think about people with disability</w:t>
            </w:r>
          </w:p>
        </w:tc>
        <w:tc>
          <w:tcPr>
            <w:tcW w:w="851" w:type="dxa"/>
            <w:shd w:val="clear" w:color="auto" w:fill="auto"/>
            <w:vAlign w:val="center"/>
          </w:tcPr>
          <w:p w:rsidR="00D907AF" w:rsidRPr="0087485F" w:rsidRDefault="00D907AF" w:rsidP="00FB1503">
            <w:pPr>
              <w:spacing w:before="20" w:after="10"/>
              <w:ind w:right="113"/>
              <w:jc w:val="right"/>
              <w:rPr>
                <w:rFonts w:cstheme="minorHAnsi"/>
                <w:sz w:val="20"/>
                <w:szCs w:val="20"/>
              </w:rPr>
            </w:pPr>
            <w:r w:rsidRPr="0087485F">
              <w:rPr>
                <w:rFonts w:cstheme="minorHAnsi"/>
                <w:sz w:val="20"/>
                <w:szCs w:val="20"/>
              </w:rPr>
              <w:t>131</w:t>
            </w:r>
          </w:p>
        </w:tc>
        <w:tc>
          <w:tcPr>
            <w:tcW w:w="827" w:type="dxa"/>
            <w:shd w:val="clear" w:color="auto" w:fill="auto"/>
            <w:vAlign w:val="center"/>
          </w:tcPr>
          <w:p w:rsidR="00D907AF" w:rsidRPr="00497154" w:rsidRDefault="00D907AF" w:rsidP="00FB1503">
            <w:pPr>
              <w:spacing w:before="20" w:after="10"/>
              <w:ind w:right="113"/>
              <w:jc w:val="right"/>
              <w:rPr>
                <w:rFonts w:cstheme="minorHAnsi"/>
                <w:sz w:val="20"/>
                <w:szCs w:val="20"/>
              </w:rPr>
            </w:pPr>
            <w:r w:rsidRPr="00497154">
              <w:rPr>
                <w:rFonts w:cstheme="minorHAnsi"/>
                <w:sz w:val="20"/>
                <w:szCs w:val="20"/>
              </w:rPr>
              <w:t>48.7</w:t>
            </w:r>
          </w:p>
        </w:tc>
      </w:tr>
      <w:tr w:rsidR="00D907AF" w:rsidRPr="00497154" w:rsidTr="00D907AF">
        <w:tc>
          <w:tcPr>
            <w:tcW w:w="5234" w:type="dxa"/>
            <w:shd w:val="clear" w:color="auto" w:fill="auto"/>
          </w:tcPr>
          <w:p w:rsidR="00D907AF" w:rsidRPr="0087485F" w:rsidRDefault="00D907AF" w:rsidP="00FB1503">
            <w:pPr>
              <w:spacing w:before="20" w:after="10"/>
              <w:rPr>
                <w:rFonts w:cstheme="minorHAnsi"/>
                <w:sz w:val="20"/>
                <w:szCs w:val="20"/>
              </w:rPr>
            </w:pPr>
            <w:r w:rsidRPr="0087485F">
              <w:rPr>
                <w:rFonts w:cstheme="minorHAnsi"/>
                <w:sz w:val="20"/>
                <w:szCs w:val="20"/>
              </w:rPr>
              <w:t>A lack of schooling, training or experience</w:t>
            </w:r>
          </w:p>
        </w:tc>
        <w:tc>
          <w:tcPr>
            <w:tcW w:w="851" w:type="dxa"/>
            <w:shd w:val="clear" w:color="auto" w:fill="auto"/>
            <w:vAlign w:val="center"/>
          </w:tcPr>
          <w:p w:rsidR="00D907AF" w:rsidRPr="0087485F" w:rsidRDefault="00D907AF" w:rsidP="00FB1503">
            <w:pPr>
              <w:spacing w:before="20" w:after="10"/>
              <w:ind w:right="113"/>
              <w:jc w:val="right"/>
              <w:rPr>
                <w:rFonts w:cstheme="minorHAnsi"/>
                <w:sz w:val="20"/>
                <w:szCs w:val="20"/>
              </w:rPr>
            </w:pPr>
            <w:r w:rsidRPr="0087485F">
              <w:rPr>
                <w:rFonts w:cstheme="minorHAnsi"/>
                <w:sz w:val="20"/>
                <w:szCs w:val="20"/>
              </w:rPr>
              <w:t>99</w:t>
            </w:r>
          </w:p>
        </w:tc>
        <w:tc>
          <w:tcPr>
            <w:tcW w:w="827" w:type="dxa"/>
            <w:shd w:val="clear" w:color="auto" w:fill="auto"/>
            <w:vAlign w:val="center"/>
          </w:tcPr>
          <w:p w:rsidR="00D907AF" w:rsidRPr="00497154" w:rsidRDefault="00D907AF" w:rsidP="00FB1503">
            <w:pPr>
              <w:spacing w:before="20" w:after="10"/>
              <w:ind w:right="113"/>
              <w:jc w:val="right"/>
              <w:rPr>
                <w:rFonts w:cstheme="minorHAnsi"/>
                <w:sz w:val="20"/>
                <w:szCs w:val="20"/>
              </w:rPr>
            </w:pPr>
            <w:r w:rsidRPr="00497154">
              <w:rPr>
                <w:rFonts w:cstheme="minorHAnsi"/>
                <w:sz w:val="20"/>
                <w:szCs w:val="20"/>
              </w:rPr>
              <w:t>36.8</w:t>
            </w:r>
          </w:p>
        </w:tc>
      </w:tr>
      <w:tr w:rsidR="00D907AF" w:rsidRPr="00497154" w:rsidTr="00D907AF">
        <w:tc>
          <w:tcPr>
            <w:tcW w:w="5234" w:type="dxa"/>
            <w:shd w:val="clear" w:color="auto" w:fill="auto"/>
          </w:tcPr>
          <w:p w:rsidR="00D907AF" w:rsidRPr="0087485F" w:rsidRDefault="00D907AF" w:rsidP="00FB1503">
            <w:pPr>
              <w:spacing w:before="20" w:after="10"/>
              <w:rPr>
                <w:rFonts w:cstheme="minorHAnsi"/>
                <w:sz w:val="20"/>
                <w:szCs w:val="20"/>
              </w:rPr>
            </w:pPr>
            <w:r w:rsidRPr="0087485F">
              <w:rPr>
                <w:rFonts w:cstheme="minorHAnsi"/>
                <w:sz w:val="20"/>
                <w:szCs w:val="20"/>
              </w:rPr>
              <w:t>Difficulties using facilities or equipment</w:t>
            </w:r>
          </w:p>
        </w:tc>
        <w:tc>
          <w:tcPr>
            <w:tcW w:w="851" w:type="dxa"/>
            <w:shd w:val="clear" w:color="auto" w:fill="auto"/>
            <w:vAlign w:val="center"/>
          </w:tcPr>
          <w:p w:rsidR="00D907AF" w:rsidRPr="0087485F" w:rsidRDefault="00D907AF" w:rsidP="00FB1503">
            <w:pPr>
              <w:spacing w:before="20" w:after="10"/>
              <w:ind w:right="113"/>
              <w:jc w:val="right"/>
              <w:rPr>
                <w:rFonts w:cstheme="minorHAnsi"/>
                <w:sz w:val="20"/>
                <w:szCs w:val="20"/>
              </w:rPr>
            </w:pPr>
            <w:r w:rsidRPr="0087485F">
              <w:rPr>
                <w:rFonts w:cstheme="minorHAnsi"/>
                <w:sz w:val="20"/>
                <w:szCs w:val="20"/>
              </w:rPr>
              <w:t>99</w:t>
            </w:r>
          </w:p>
        </w:tc>
        <w:tc>
          <w:tcPr>
            <w:tcW w:w="827" w:type="dxa"/>
            <w:shd w:val="clear" w:color="auto" w:fill="auto"/>
            <w:vAlign w:val="center"/>
          </w:tcPr>
          <w:p w:rsidR="00D907AF" w:rsidRPr="00497154" w:rsidRDefault="00D907AF" w:rsidP="00FB1503">
            <w:pPr>
              <w:spacing w:before="20" w:after="10"/>
              <w:ind w:right="113"/>
              <w:jc w:val="right"/>
              <w:rPr>
                <w:rFonts w:cstheme="minorHAnsi"/>
                <w:sz w:val="20"/>
                <w:szCs w:val="20"/>
              </w:rPr>
            </w:pPr>
            <w:r w:rsidRPr="00497154">
              <w:rPr>
                <w:rFonts w:cstheme="minorHAnsi"/>
                <w:sz w:val="20"/>
                <w:szCs w:val="20"/>
              </w:rPr>
              <w:t>36.8</w:t>
            </w:r>
          </w:p>
        </w:tc>
      </w:tr>
      <w:tr w:rsidR="00D907AF" w:rsidRPr="00497154" w:rsidTr="00D907AF">
        <w:tc>
          <w:tcPr>
            <w:tcW w:w="5234" w:type="dxa"/>
            <w:shd w:val="clear" w:color="auto" w:fill="auto"/>
          </w:tcPr>
          <w:p w:rsidR="00D907AF" w:rsidRPr="0087485F" w:rsidRDefault="00D907AF" w:rsidP="00FB1503">
            <w:pPr>
              <w:spacing w:before="20" w:after="10"/>
              <w:rPr>
                <w:rFonts w:cstheme="minorHAnsi"/>
                <w:sz w:val="20"/>
                <w:szCs w:val="20"/>
              </w:rPr>
            </w:pPr>
            <w:r w:rsidRPr="0087485F">
              <w:rPr>
                <w:rFonts w:cstheme="minorHAnsi"/>
                <w:sz w:val="20"/>
                <w:szCs w:val="20"/>
              </w:rPr>
              <w:t>Own health/disability</w:t>
            </w:r>
          </w:p>
        </w:tc>
        <w:tc>
          <w:tcPr>
            <w:tcW w:w="851" w:type="dxa"/>
            <w:shd w:val="clear" w:color="auto" w:fill="auto"/>
            <w:vAlign w:val="center"/>
          </w:tcPr>
          <w:p w:rsidR="00D907AF" w:rsidRPr="0087485F" w:rsidRDefault="00D907AF" w:rsidP="00FB1503">
            <w:pPr>
              <w:spacing w:before="20" w:after="10"/>
              <w:ind w:right="113"/>
              <w:jc w:val="right"/>
              <w:rPr>
                <w:rFonts w:cstheme="minorHAnsi"/>
                <w:sz w:val="20"/>
                <w:szCs w:val="20"/>
              </w:rPr>
            </w:pPr>
            <w:r w:rsidRPr="0087485F">
              <w:rPr>
                <w:rFonts w:cstheme="minorHAnsi"/>
                <w:sz w:val="20"/>
                <w:szCs w:val="20"/>
              </w:rPr>
              <w:t>203</w:t>
            </w:r>
          </w:p>
        </w:tc>
        <w:tc>
          <w:tcPr>
            <w:tcW w:w="827" w:type="dxa"/>
            <w:shd w:val="clear" w:color="auto" w:fill="auto"/>
            <w:vAlign w:val="center"/>
          </w:tcPr>
          <w:p w:rsidR="00D907AF" w:rsidRPr="00497154" w:rsidRDefault="00D907AF" w:rsidP="00FB1503">
            <w:pPr>
              <w:spacing w:before="20" w:after="10"/>
              <w:ind w:right="113"/>
              <w:jc w:val="right"/>
              <w:rPr>
                <w:rFonts w:cstheme="minorHAnsi"/>
                <w:sz w:val="20"/>
                <w:szCs w:val="20"/>
              </w:rPr>
            </w:pPr>
            <w:r w:rsidRPr="00497154">
              <w:rPr>
                <w:rFonts w:cstheme="minorHAnsi"/>
                <w:sz w:val="20"/>
                <w:szCs w:val="20"/>
              </w:rPr>
              <w:t>75.5</w:t>
            </w:r>
          </w:p>
        </w:tc>
      </w:tr>
      <w:tr w:rsidR="00D907AF" w:rsidRPr="00497154" w:rsidTr="00D907AF">
        <w:tc>
          <w:tcPr>
            <w:tcW w:w="5234" w:type="dxa"/>
            <w:shd w:val="clear" w:color="auto" w:fill="auto"/>
          </w:tcPr>
          <w:p w:rsidR="00D907AF" w:rsidRPr="0087485F" w:rsidRDefault="00D907AF" w:rsidP="00FB1503">
            <w:pPr>
              <w:spacing w:before="20" w:after="10"/>
              <w:rPr>
                <w:rFonts w:cstheme="minorHAnsi"/>
                <w:sz w:val="20"/>
                <w:szCs w:val="20"/>
              </w:rPr>
            </w:pPr>
            <w:r w:rsidRPr="0087485F">
              <w:rPr>
                <w:rFonts w:cstheme="minorHAnsi"/>
                <w:sz w:val="20"/>
                <w:szCs w:val="20"/>
              </w:rPr>
              <w:t>A lack of flexible hours on offer for learning</w:t>
            </w:r>
          </w:p>
        </w:tc>
        <w:tc>
          <w:tcPr>
            <w:tcW w:w="851" w:type="dxa"/>
            <w:shd w:val="clear" w:color="auto" w:fill="auto"/>
            <w:vAlign w:val="center"/>
          </w:tcPr>
          <w:p w:rsidR="00D907AF" w:rsidRPr="0087485F" w:rsidRDefault="00D907AF" w:rsidP="00FB1503">
            <w:pPr>
              <w:spacing w:before="20" w:after="10"/>
              <w:ind w:right="113"/>
              <w:jc w:val="right"/>
              <w:rPr>
                <w:rFonts w:cstheme="minorHAnsi"/>
                <w:sz w:val="20"/>
                <w:szCs w:val="20"/>
              </w:rPr>
            </w:pPr>
            <w:r w:rsidRPr="0087485F">
              <w:rPr>
                <w:rFonts w:cstheme="minorHAnsi"/>
                <w:sz w:val="20"/>
                <w:szCs w:val="20"/>
              </w:rPr>
              <w:t>78</w:t>
            </w:r>
          </w:p>
        </w:tc>
        <w:tc>
          <w:tcPr>
            <w:tcW w:w="827" w:type="dxa"/>
            <w:shd w:val="clear" w:color="auto" w:fill="auto"/>
            <w:vAlign w:val="center"/>
          </w:tcPr>
          <w:p w:rsidR="00D907AF" w:rsidRPr="00497154" w:rsidRDefault="00D907AF" w:rsidP="00FB1503">
            <w:pPr>
              <w:spacing w:before="20" w:after="10"/>
              <w:ind w:right="113"/>
              <w:jc w:val="right"/>
              <w:rPr>
                <w:rFonts w:cstheme="minorHAnsi"/>
                <w:sz w:val="20"/>
                <w:szCs w:val="20"/>
              </w:rPr>
            </w:pPr>
            <w:r w:rsidRPr="00497154">
              <w:rPr>
                <w:rFonts w:cstheme="minorHAnsi"/>
                <w:sz w:val="20"/>
                <w:szCs w:val="20"/>
              </w:rPr>
              <w:t>29.0</w:t>
            </w:r>
          </w:p>
        </w:tc>
      </w:tr>
      <w:tr w:rsidR="00D907AF" w:rsidRPr="00497154" w:rsidTr="00D907AF">
        <w:tc>
          <w:tcPr>
            <w:tcW w:w="5234" w:type="dxa"/>
            <w:shd w:val="clear" w:color="auto" w:fill="auto"/>
          </w:tcPr>
          <w:p w:rsidR="00D907AF" w:rsidRPr="0087485F" w:rsidRDefault="00D907AF" w:rsidP="00FB1503">
            <w:pPr>
              <w:spacing w:before="20" w:after="10"/>
              <w:rPr>
                <w:rFonts w:cstheme="minorHAnsi"/>
                <w:sz w:val="20"/>
                <w:szCs w:val="20"/>
              </w:rPr>
            </w:pPr>
            <w:r w:rsidRPr="0087485F">
              <w:rPr>
                <w:rFonts w:cstheme="minorHAnsi"/>
                <w:sz w:val="20"/>
                <w:szCs w:val="20"/>
              </w:rPr>
              <w:t>A lack of personal supports</w:t>
            </w:r>
          </w:p>
        </w:tc>
        <w:tc>
          <w:tcPr>
            <w:tcW w:w="851" w:type="dxa"/>
            <w:shd w:val="clear" w:color="auto" w:fill="auto"/>
            <w:vAlign w:val="center"/>
          </w:tcPr>
          <w:p w:rsidR="00D907AF" w:rsidRPr="0087485F" w:rsidRDefault="00D907AF" w:rsidP="00FB1503">
            <w:pPr>
              <w:spacing w:before="20" w:after="10"/>
              <w:ind w:right="113"/>
              <w:jc w:val="right"/>
              <w:rPr>
                <w:rFonts w:cstheme="minorHAnsi"/>
                <w:sz w:val="20"/>
                <w:szCs w:val="20"/>
              </w:rPr>
            </w:pPr>
            <w:r w:rsidRPr="0087485F">
              <w:rPr>
                <w:rFonts w:cstheme="minorHAnsi"/>
                <w:sz w:val="20"/>
                <w:szCs w:val="20"/>
              </w:rPr>
              <w:t>81</w:t>
            </w:r>
          </w:p>
        </w:tc>
        <w:tc>
          <w:tcPr>
            <w:tcW w:w="827" w:type="dxa"/>
            <w:shd w:val="clear" w:color="auto" w:fill="auto"/>
            <w:vAlign w:val="center"/>
          </w:tcPr>
          <w:p w:rsidR="00D907AF" w:rsidRPr="00497154" w:rsidRDefault="00D907AF" w:rsidP="00FB1503">
            <w:pPr>
              <w:spacing w:before="20" w:after="10"/>
              <w:ind w:right="113"/>
              <w:jc w:val="right"/>
              <w:rPr>
                <w:rFonts w:cstheme="minorHAnsi"/>
                <w:sz w:val="20"/>
                <w:szCs w:val="20"/>
              </w:rPr>
            </w:pPr>
            <w:r w:rsidRPr="00497154">
              <w:rPr>
                <w:rFonts w:cstheme="minorHAnsi"/>
                <w:sz w:val="20"/>
                <w:szCs w:val="20"/>
              </w:rPr>
              <w:t>30.1</w:t>
            </w:r>
          </w:p>
        </w:tc>
      </w:tr>
      <w:tr w:rsidR="00D907AF" w:rsidRPr="00497154" w:rsidTr="00D907AF">
        <w:tc>
          <w:tcPr>
            <w:tcW w:w="5234" w:type="dxa"/>
            <w:shd w:val="clear" w:color="auto" w:fill="auto"/>
          </w:tcPr>
          <w:p w:rsidR="00D907AF" w:rsidRPr="0087485F" w:rsidRDefault="00D907AF" w:rsidP="00FB1503">
            <w:pPr>
              <w:spacing w:before="20" w:after="10"/>
              <w:rPr>
                <w:rFonts w:cstheme="minorHAnsi"/>
                <w:sz w:val="20"/>
                <w:szCs w:val="20"/>
              </w:rPr>
            </w:pPr>
            <w:r w:rsidRPr="0087485F">
              <w:rPr>
                <w:rFonts w:cstheme="minorHAnsi"/>
                <w:sz w:val="20"/>
                <w:szCs w:val="20"/>
              </w:rPr>
              <w:t>The need for special equipment</w:t>
            </w:r>
          </w:p>
        </w:tc>
        <w:tc>
          <w:tcPr>
            <w:tcW w:w="851" w:type="dxa"/>
            <w:shd w:val="clear" w:color="auto" w:fill="auto"/>
            <w:vAlign w:val="center"/>
          </w:tcPr>
          <w:p w:rsidR="00D907AF" w:rsidRPr="0087485F" w:rsidRDefault="00D907AF" w:rsidP="00FB1503">
            <w:pPr>
              <w:spacing w:before="20" w:after="10"/>
              <w:ind w:right="113"/>
              <w:jc w:val="right"/>
              <w:rPr>
                <w:rFonts w:cstheme="minorHAnsi"/>
                <w:sz w:val="20"/>
                <w:szCs w:val="20"/>
              </w:rPr>
            </w:pPr>
            <w:r w:rsidRPr="0087485F">
              <w:rPr>
                <w:rFonts w:cstheme="minorHAnsi"/>
                <w:sz w:val="20"/>
                <w:szCs w:val="20"/>
              </w:rPr>
              <w:t>51</w:t>
            </w:r>
          </w:p>
        </w:tc>
        <w:tc>
          <w:tcPr>
            <w:tcW w:w="827" w:type="dxa"/>
            <w:shd w:val="clear" w:color="auto" w:fill="auto"/>
            <w:vAlign w:val="center"/>
          </w:tcPr>
          <w:p w:rsidR="00D907AF" w:rsidRPr="00497154" w:rsidRDefault="00D907AF" w:rsidP="00FB1503">
            <w:pPr>
              <w:spacing w:before="20" w:after="10"/>
              <w:ind w:right="113"/>
              <w:jc w:val="right"/>
              <w:rPr>
                <w:rFonts w:cstheme="minorHAnsi"/>
                <w:sz w:val="20"/>
                <w:szCs w:val="20"/>
              </w:rPr>
            </w:pPr>
            <w:r w:rsidRPr="00497154">
              <w:rPr>
                <w:rFonts w:cstheme="minorHAnsi"/>
                <w:sz w:val="20"/>
                <w:szCs w:val="20"/>
              </w:rPr>
              <w:t>19.0</w:t>
            </w:r>
          </w:p>
        </w:tc>
      </w:tr>
      <w:tr w:rsidR="00D907AF" w:rsidRPr="00497154" w:rsidTr="00D907AF">
        <w:tc>
          <w:tcPr>
            <w:tcW w:w="5234" w:type="dxa"/>
            <w:shd w:val="clear" w:color="auto" w:fill="auto"/>
          </w:tcPr>
          <w:p w:rsidR="00D907AF" w:rsidRPr="0087485F" w:rsidRDefault="00D907AF" w:rsidP="00FB1503">
            <w:pPr>
              <w:spacing w:before="20" w:after="10"/>
              <w:rPr>
                <w:rFonts w:cstheme="minorHAnsi"/>
                <w:sz w:val="20"/>
                <w:szCs w:val="20"/>
              </w:rPr>
            </w:pPr>
            <w:r w:rsidRPr="0087485F">
              <w:rPr>
                <w:rFonts w:cstheme="minorHAnsi"/>
                <w:sz w:val="20"/>
                <w:szCs w:val="20"/>
              </w:rPr>
              <w:t>The concern that welfare benefits might be affected</w:t>
            </w:r>
          </w:p>
        </w:tc>
        <w:tc>
          <w:tcPr>
            <w:tcW w:w="851" w:type="dxa"/>
            <w:shd w:val="clear" w:color="auto" w:fill="auto"/>
            <w:vAlign w:val="center"/>
          </w:tcPr>
          <w:p w:rsidR="00D907AF" w:rsidRPr="0087485F" w:rsidRDefault="00D907AF" w:rsidP="00FB1503">
            <w:pPr>
              <w:spacing w:before="20" w:after="10"/>
              <w:ind w:right="113"/>
              <w:jc w:val="right"/>
              <w:rPr>
                <w:rFonts w:cstheme="minorHAnsi"/>
                <w:sz w:val="20"/>
                <w:szCs w:val="20"/>
              </w:rPr>
            </w:pPr>
            <w:r w:rsidRPr="0087485F">
              <w:rPr>
                <w:rFonts w:cstheme="minorHAnsi"/>
                <w:sz w:val="20"/>
                <w:szCs w:val="20"/>
              </w:rPr>
              <w:t>56</w:t>
            </w:r>
          </w:p>
        </w:tc>
        <w:tc>
          <w:tcPr>
            <w:tcW w:w="827" w:type="dxa"/>
            <w:shd w:val="clear" w:color="auto" w:fill="auto"/>
            <w:vAlign w:val="center"/>
          </w:tcPr>
          <w:p w:rsidR="00D907AF" w:rsidRPr="00497154" w:rsidRDefault="00D907AF" w:rsidP="00FB1503">
            <w:pPr>
              <w:spacing w:before="20" w:after="10"/>
              <w:ind w:right="113"/>
              <w:jc w:val="right"/>
              <w:rPr>
                <w:rFonts w:cstheme="minorHAnsi"/>
                <w:sz w:val="20"/>
                <w:szCs w:val="20"/>
              </w:rPr>
            </w:pPr>
            <w:r w:rsidRPr="00497154">
              <w:rPr>
                <w:rFonts w:cstheme="minorHAnsi"/>
                <w:sz w:val="20"/>
                <w:szCs w:val="20"/>
              </w:rPr>
              <w:t>20.8</w:t>
            </w:r>
          </w:p>
        </w:tc>
      </w:tr>
      <w:tr w:rsidR="00D907AF" w:rsidRPr="00497154" w:rsidTr="00D907AF">
        <w:tc>
          <w:tcPr>
            <w:tcW w:w="5234" w:type="dxa"/>
            <w:shd w:val="clear" w:color="auto" w:fill="auto"/>
          </w:tcPr>
          <w:p w:rsidR="00D907AF" w:rsidRPr="0087485F" w:rsidRDefault="00D907AF" w:rsidP="00FB1503">
            <w:pPr>
              <w:spacing w:before="20" w:after="10"/>
              <w:rPr>
                <w:rFonts w:cstheme="minorHAnsi"/>
                <w:sz w:val="20"/>
                <w:szCs w:val="20"/>
              </w:rPr>
            </w:pPr>
            <w:r w:rsidRPr="0087485F">
              <w:rPr>
                <w:rFonts w:cstheme="minorHAnsi"/>
                <w:sz w:val="20"/>
                <w:szCs w:val="20"/>
              </w:rPr>
              <w:t>Another reason</w:t>
            </w:r>
          </w:p>
        </w:tc>
        <w:tc>
          <w:tcPr>
            <w:tcW w:w="851" w:type="dxa"/>
            <w:shd w:val="clear" w:color="auto" w:fill="auto"/>
            <w:vAlign w:val="center"/>
          </w:tcPr>
          <w:p w:rsidR="00D907AF" w:rsidRPr="0087485F" w:rsidRDefault="00D907AF" w:rsidP="00FB1503">
            <w:pPr>
              <w:spacing w:before="20" w:after="10"/>
              <w:ind w:right="113"/>
              <w:jc w:val="right"/>
              <w:rPr>
                <w:rFonts w:cstheme="minorHAnsi"/>
                <w:sz w:val="20"/>
                <w:szCs w:val="20"/>
              </w:rPr>
            </w:pPr>
            <w:r w:rsidRPr="0087485F">
              <w:rPr>
                <w:rFonts w:cstheme="minorHAnsi"/>
                <w:sz w:val="20"/>
                <w:szCs w:val="20"/>
              </w:rPr>
              <w:t>60</w:t>
            </w:r>
          </w:p>
        </w:tc>
        <w:tc>
          <w:tcPr>
            <w:tcW w:w="827" w:type="dxa"/>
            <w:shd w:val="clear" w:color="auto" w:fill="auto"/>
            <w:vAlign w:val="center"/>
          </w:tcPr>
          <w:p w:rsidR="00D907AF" w:rsidRPr="00497154" w:rsidRDefault="00D907AF" w:rsidP="00FB1503">
            <w:pPr>
              <w:spacing w:before="20" w:after="10"/>
              <w:ind w:right="113"/>
              <w:jc w:val="right"/>
              <w:rPr>
                <w:rFonts w:cstheme="minorHAnsi"/>
                <w:sz w:val="20"/>
                <w:szCs w:val="20"/>
              </w:rPr>
            </w:pPr>
            <w:r w:rsidRPr="00497154">
              <w:rPr>
                <w:rFonts w:cstheme="minorHAnsi"/>
                <w:sz w:val="20"/>
                <w:szCs w:val="20"/>
              </w:rPr>
              <w:t>22.3</w:t>
            </w:r>
          </w:p>
        </w:tc>
      </w:tr>
      <w:tr w:rsidR="00D907AF" w:rsidRPr="00497154" w:rsidTr="00D907AF">
        <w:tc>
          <w:tcPr>
            <w:tcW w:w="5234" w:type="dxa"/>
            <w:shd w:val="clear" w:color="auto" w:fill="auto"/>
          </w:tcPr>
          <w:p w:rsidR="00D907AF" w:rsidRPr="0087485F" w:rsidRDefault="00D907AF" w:rsidP="00FB1503">
            <w:pPr>
              <w:spacing w:before="20" w:after="10"/>
              <w:rPr>
                <w:rFonts w:cstheme="minorHAnsi"/>
                <w:sz w:val="20"/>
                <w:szCs w:val="20"/>
              </w:rPr>
            </w:pPr>
            <w:r w:rsidRPr="0087485F">
              <w:rPr>
                <w:rFonts w:cstheme="minorHAnsi"/>
                <w:sz w:val="20"/>
                <w:szCs w:val="20"/>
              </w:rPr>
              <w:t>None of the above reasons</w:t>
            </w:r>
          </w:p>
        </w:tc>
        <w:tc>
          <w:tcPr>
            <w:tcW w:w="851" w:type="dxa"/>
            <w:shd w:val="clear" w:color="auto" w:fill="auto"/>
            <w:vAlign w:val="center"/>
          </w:tcPr>
          <w:p w:rsidR="00D907AF" w:rsidRPr="0087485F" w:rsidRDefault="00D907AF" w:rsidP="00FB1503">
            <w:pPr>
              <w:spacing w:before="20" w:after="10"/>
              <w:ind w:right="113"/>
              <w:jc w:val="right"/>
              <w:rPr>
                <w:rFonts w:cstheme="minorHAnsi"/>
                <w:sz w:val="20"/>
                <w:szCs w:val="20"/>
              </w:rPr>
            </w:pPr>
            <w:r w:rsidRPr="0087485F">
              <w:rPr>
                <w:rFonts w:cstheme="minorHAnsi"/>
                <w:sz w:val="20"/>
                <w:szCs w:val="20"/>
              </w:rPr>
              <w:t>4</w:t>
            </w:r>
          </w:p>
        </w:tc>
        <w:tc>
          <w:tcPr>
            <w:tcW w:w="827" w:type="dxa"/>
            <w:shd w:val="clear" w:color="auto" w:fill="auto"/>
            <w:vAlign w:val="center"/>
          </w:tcPr>
          <w:p w:rsidR="00D907AF" w:rsidRPr="00497154" w:rsidRDefault="00D907AF" w:rsidP="00FB1503">
            <w:pPr>
              <w:spacing w:before="20" w:after="10"/>
              <w:ind w:right="113"/>
              <w:jc w:val="right"/>
              <w:rPr>
                <w:rFonts w:cstheme="minorHAnsi"/>
                <w:sz w:val="20"/>
                <w:szCs w:val="20"/>
              </w:rPr>
            </w:pPr>
            <w:r w:rsidRPr="00497154">
              <w:rPr>
                <w:rFonts w:cstheme="minorHAnsi"/>
                <w:sz w:val="20"/>
                <w:szCs w:val="20"/>
              </w:rPr>
              <w:t>1.5</w:t>
            </w:r>
          </w:p>
        </w:tc>
      </w:tr>
      <w:tr w:rsidR="00D907AF" w:rsidRPr="00497154" w:rsidTr="00D907AF">
        <w:tc>
          <w:tcPr>
            <w:tcW w:w="5234" w:type="dxa"/>
            <w:shd w:val="clear" w:color="auto" w:fill="auto"/>
          </w:tcPr>
          <w:p w:rsidR="00D907AF" w:rsidRPr="0087485F" w:rsidRDefault="00D907AF" w:rsidP="00FB1503">
            <w:pPr>
              <w:spacing w:before="20" w:after="10"/>
              <w:rPr>
                <w:rFonts w:cstheme="minorHAnsi"/>
                <w:sz w:val="20"/>
                <w:szCs w:val="20"/>
              </w:rPr>
            </w:pPr>
            <w:r w:rsidRPr="0087485F">
              <w:rPr>
                <w:rFonts w:cstheme="minorHAnsi"/>
                <w:sz w:val="20"/>
                <w:szCs w:val="20"/>
              </w:rPr>
              <w:t>Don’t know</w:t>
            </w:r>
          </w:p>
        </w:tc>
        <w:tc>
          <w:tcPr>
            <w:tcW w:w="851" w:type="dxa"/>
            <w:shd w:val="clear" w:color="auto" w:fill="auto"/>
            <w:vAlign w:val="center"/>
          </w:tcPr>
          <w:p w:rsidR="00D907AF" w:rsidRPr="0087485F" w:rsidRDefault="00D907AF" w:rsidP="00FB1503">
            <w:pPr>
              <w:spacing w:before="20" w:after="10"/>
              <w:ind w:right="113"/>
              <w:jc w:val="right"/>
              <w:rPr>
                <w:rFonts w:cstheme="minorHAnsi"/>
                <w:sz w:val="20"/>
                <w:szCs w:val="20"/>
              </w:rPr>
            </w:pPr>
            <w:r w:rsidRPr="0087485F">
              <w:rPr>
                <w:rFonts w:cstheme="minorHAnsi"/>
                <w:sz w:val="20"/>
                <w:szCs w:val="20"/>
              </w:rPr>
              <w:t>3</w:t>
            </w:r>
          </w:p>
        </w:tc>
        <w:tc>
          <w:tcPr>
            <w:tcW w:w="827" w:type="dxa"/>
            <w:shd w:val="clear" w:color="auto" w:fill="auto"/>
            <w:vAlign w:val="center"/>
          </w:tcPr>
          <w:p w:rsidR="00D907AF" w:rsidRPr="00497154" w:rsidRDefault="00D907AF" w:rsidP="00FB1503">
            <w:pPr>
              <w:spacing w:before="20" w:after="10"/>
              <w:ind w:right="113"/>
              <w:jc w:val="right"/>
              <w:rPr>
                <w:rFonts w:cstheme="minorHAnsi"/>
                <w:sz w:val="20"/>
                <w:szCs w:val="20"/>
              </w:rPr>
            </w:pPr>
            <w:r w:rsidRPr="00497154">
              <w:rPr>
                <w:rFonts w:cstheme="minorHAnsi"/>
                <w:sz w:val="20"/>
                <w:szCs w:val="20"/>
              </w:rPr>
              <w:t>1.1</w:t>
            </w:r>
          </w:p>
        </w:tc>
      </w:tr>
      <w:tr w:rsidR="00D907AF" w:rsidRPr="0087485F" w:rsidTr="00D907AF">
        <w:tc>
          <w:tcPr>
            <w:tcW w:w="5234" w:type="dxa"/>
            <w:tcBorders>
              <w:top w:val="single" w:sz="4" w:space="0" w:color="auto"/>
              <w:bottom w:val="single" w:sz="4" w:space="0" w:color="auto"/>
            </w:tcBorders>
            <w:shd w:val="clear" w:color="auto" w:fill="auto"/>
          </w:tcPr>
          <w:p w:rsidR="00D907AF" w:rsidRPr="0087485F" w:rsidRDefault="00D907AF" w:rsidP="00FB1503">
            <w:pPr>
              <w:spacing w:before="20" w:after="10"/>
              <w:rPr>
                <w:rFonts w:cstheme="minorHAnsi"/>
                <w:b/>
                <w:sz w:val="20"/>
                <w:szCs w:val="20"/>
              </w:rPr>
            </w:pPr>
            <w:r w:rsidRPr="0087485F">
              <w:rPr>
                <w:rFonts w:cstheme="minorHAnsi"/>
                <w:b/>
                <w:sz w:val="20"/>
                <w:szCs w:val="20"/>
              </w:rPr>
              <w:t>Total</w:t>
            </w:r>
          </w:p>
        </w:tc>
        <w:tc>
          <w:tcPr>
            <w:tcW w:w="851" w:type="dxa"/>
            <w:tcBorders>
              <w:top w:val="single" w:sz="4" w:space="0" w:color="auto"/>
              <w:bottom w:val="single" w:sz="4" w:space="0" w:color="auto"/>
            </w:tcBorders>
            <w:shd w:val="clear" w:color="auto" w:fill="auto"/>
            <w:vAlign w:val="center"/>
          </w:tcPr>
          <w:p w:rsidR="00D907AF" w:rsidRPr="00497154" w:rsidRDefault="00D907AF" w:rsidP="00FB1503">
            <w:pPr>
              <w:spacing w:before="20" w:after="10"/>
              <w:ind w:right="113"/>
              <w:jc w:val="right"/>
              <w:rPr>
                <w:rFonts w:cstheme="minorHAnsi"/>
                <w:b/>
                <w:sz w:val="20"/>
                <w:szCs w:val="20"/>
              </w:rPr>
            </w:pPr>
            <w:r w:rsidRPr="00497154">
              <w:rPr>
                <w:rFonts w:cstheme="minorHAnsi"/>
                <w:b/>
                <w:sz w:val="20"/>
                <w:szCs w:val="20"/>
              </w:rPr>
              <w:t>269</w:t>
            </w:r>
          </w:p>
        </w:tc>
        <w:tc>
          <w:tcPr>
            <w:tcW w:w="827" w:type="dxa"/>
            <w:tcBorders>
              <w:top w:val="single" w:sz="4" w:space="0" w:color="auto"/>
              <w:bottom w:val="single" w:sz="4" w:space="0" w:color="auto"/>
            </w:tcBorders>
            <w:shd w:val="clear" w:color="auto" w:fill="auto"/>
            <w:vAlign w:val="center"/>
          </w:tcPr>
          <w:p w:rsidR="00D907AF" w:rsidRPr="0087485F" w:rsidRDefault="00D907AF" w:rsidP="00FB1503">
            <w:pPr>
              <w:spacing w:before="20" w:after="10"/>
              <w:jc w:val="right"/>
              <w:rPr>
                <w:rFonts w:cstheme="minorHAnsi"/>
                <w:b/>
                <w:sz w:val="20"/>
                <w:szCs w:val="20"/>
              </w:rPr>
            </w:pPr>
          </w:p>
        </w:tc>
      </w:tr>
    </w:tbl>
    <w:p w:rsidR="00D907AF" w:rsidRPr="00660446" w:rsidRDefault="00D907AF" w:rsidP="006C7BE7">
      <w:pPr>
        <w:pStyle w:val="NILSTabletext"/>
      </w:pPr>
      <w:r w:rsidRPr="00660446">
        <w:t xml:space="preserve">Note: </w:t>
      </w:r>
      <w:r>
        <w:t>t</w:t>
      </w:r>
      <w:r w:rsidRPr="00660446">
        <w:t xml:space="preserve">rial and </w:t>
      </w:r>
      <w:r>
        <w:t>c</w:t>
      </w:r>
      <w:r w:rsidRPr="00660446">
        <w:t xml:space="preserve">omparison </w:t>
      </w:r>
      <w:r>
        <w:t>s</w:t>
      </w:r>
      <w:r w:rsidRPr="00660446">
        <w:t xml:space="preserve">tandard questionnaire aged 16 and above in work looking for different work </w:t>
      </w:r>
      <w:r>
        <w:t>or</w:t>
      </w:r>
      <w:r w:rsidRPr="00660446">
        <w:t xml:space="preserve"> those not in work but </w:t>
      </w:r>
      <w:r>
        <w:t xml:space="preserve">who </w:t>
      </w:r>
      <w:r w:rsidRPr="00660446">
        <w:t>would like to work and are looking for a job</w:t>
      </w:r>
      <w:r>
        <w:t>; ‘Total’ indicates the number of respondents to answer this question; multiple response question; percentages do not add to 100.</w:t>
      </w:r>
    </w:p>
    <w:p w:rsidR="00B8777F" w:rsidRDefault="00B8777F">
      <w:r>
        <w:br w:type="page"/>
      </w:r>
    </w:p>
    <w:p w:rsidR="00D907AF" w:rsidRDefault="00D907AF" w:rsidP="00D907AF">
      <w:r>
        <w:lastRenderedPageBreak/>
        <w:t xml:space="preserve">On average people with disability mentioned 4.3 barriers per person. This is a very similar number as that for education. Own health/disability was the most frequently stated reason, with lack of opportunities following close behind and employers’ thinking and transport and parking difficulties coming next. </w:t>
      </w:r>
      <w:r w:rsidR="00E6455B">
        <w:t>I</w:t>
      </w:r>
      <w:r>
        <w:t xml:space="preserve">nformation in the barriers/difficulties questions will </w:t>
      </w:r>
      <w:r w:rsidR="00E6455B">
        <w:t xml:space="preserve">be the </w:t>
      </w:r>
      <w:r>
        <w:t xml:space="preserve">subject of </w:t>
      </w:r>
      <w:r w:rsidR="00E6455B">
        <w:t>future in-depth</w:t>
      </w:r>
      <w:r>
        <w:t xml:space="preserve"> analysis.</w:t>
      </w:r>
    </w:p>
    <w:p w:rsidR="00CC1E9C" w:rsidRDefault="00CC1E9C" w:rsidP="00D907AF"/>
    <w:p w:rsidR="00D907AF" w:rsidRDefault="00D907AF" w:rsidP="00D907AF">
      <w:r>
        <w:t xml:space="preserve">All of the employment aspirations tables presented above were based on answers provided through the standard adult questionnaire. </w:t>
      </w:r>
      <w:r w:rsidR="00E6455B">
        <w:t>In</w:t>
      </w:r>
      <w:r>
        <w:t xml:space="preserve">itial findings </w:t>
      </w:r>
      <w:r w:rsidR="00E6455B">
        <w:t xml:space="preserve">are </w:t>
      </w:r>
      <w:r>
        <w:t xml:space="preserve">based on the Easy English questionnaires. </w:t>
      </w:r>
      <w:r w:rsidRPr="005F0720">
        <w:rPr>
          <w:rFonts w:hint="eastAsia"/>
        </w:rPr>
        <w:t>Of the 188 adults</w:t>
      </w:r>
      <w:r>
        <w:rPr>
          <w:rFonts w:hint="eastAsia"/>
        </w:rPr>
        <w:t xml:space="preserve"> who completed the Easy English </w:t>
      </w:r>
      <w:r>
        <w:t>questionnaire</w:t>
      </w:r>
      <w:r>
        <w:rPr>
          <w:rFonts w:hint="eastAsia"/>
        </w:rPr>
        <w:t xml:space="preserve">, 44 </w:t>
      </w:r>
      <w:r>
        <w:t>we</w:t>
      </w:r>
      <w:r>
        <w:rPr>
          <w:rFonts w:hint="eastAsia"/>
        </w:rPr>
        <w:t>re at work. Of th</w:t>
      </w:r>
      <w:r>
        <w:t xml:space="preserve">e remaining 144, </w:t>
      </w:r>
      <w:r>
        <w:rPr>
          <w:rFonts w:hint="eastAsia"/>
        </w:rPr>
        <w:t xml:space="preserve">104 </w:t>
      </w:r>
      <w:r>
        <w:t>were neither</w:t>
      </w:r>
      <w:r>
        <w:rPr>
          <w:rFonts w:hint="eastAsia"/>
        </w:rPr>
        <w:t xml:space="preserve"> working nor studying</w:t>
      </w:r>
      <w:r>
        <w:t xml:space="preserve">. These 104 were asked a more accessible version of the barriers questions, which we present in Table 3.54. In an attempt to capture comprehensive information but without undue burden on the interviewees, education and employment barriers questions </w:t>
      </w:r>
      <w:r w:rsidR="00E6455B">
        <w:t xml:space="preserve">were combined </w:t>
      </w:r>
      <w:r>
        <w:t>by asking if there is ‘anything stopping you from working or studying’, allowing for multiple responses to the 7 categories offered.</w:t>
      </w:r>
      <w:r>
        <w:rPr>
          <w:rFonts w:hint="eastAsia"/>
        </w:rPr>
        <w:t xml:space="preserve"> </w:t>
      </w:r>
    </w:p>
    <w:p w:rsidR="00CC1E9C" w:rsidRDefault="00CC1E9C" w:rsidP="00D907AF"/>
    <w:p w:rsidR="00D907AF" w:rsidRDefault="00D907AF" w:rsidP="00D907AF">
      <w:pPr>
        <w:rPr>
          <w:rFonts w:ascii="Calibri" w:hAnsi="Calibri" w:cs="Calibri"/>
        </w:rPr>
      </w:pPr>
      <w:r>
        <w:rPr>
          <w:rFonts w:hint="eastAsia"/>
        </w:rPr>
        <w:t xml:space="preserve">The reasons </w:t>
      </w:r>
      <w:r>
        <w:t>identified were</w:t>
      </w:r>
      <w:r>
        <w:rPr>
          <w:rFonts w:hint="eastAsia"/>
        </w:rPr>
        <w:t xml:space="preserve"> diverse. </w:t>
      </w:r>
      <w:r w:rsidRPr="00707A9D">
        <w:rPr>
          <w:rFonts w:ascii="Calibri" w:hAnsi="Calibri" w:cs="Calibri"/>
        </w:rPr>
        <w:t xml:space="preserve">Although the sample size is not large enough </w:t>
      </w:r>
      <w:r>
        <w:rPr>
          <w:rFonts w:ascii="Calibri" w:hAnsi="Calibri" w:cs="Calibri"/>
        </w:rPr>
        <w:t>to make</w:t>
      </w:r>
      <w:r w:rsidRPr="00707A9D">
        <w:rPr>
          <w:rFonts w:ascii="Calibri" w:hAnsi="Calibri" w:cs="Calibri"/>
        </w:rPr>
        <w:t xml:space="preserve"> meaningful statistical statements about the impact of any individual such obstacle, Table 3.</w:t>
      </w:r>
      <w:r>
        <w:rPr>
          <w:rFonts w:ascii="Calibri" w:hAnsi="Calibri" w:cs="Calibri" w:hint="eastAsia"/>
        </w:rPr>
        <w:t>5</w:t>
      </w:r>
      <w:r>
        <w:rPr>
          <w:rFonts w:ascii="Calibri" w:hAnsi="Calibri" w:cs="Calibri"/>
        </w:rPr>
        <w:t>4</w:t>
      </w:r>
      <w:r w:rsidRPr="00707A9D">
        <w:rPr>
          <w:rFonts w:ascii="Calibri" w:hAnsi="Calibri" w:cs="Calibri"/>
        </w:rPr>
        <w:t xml:space="preserve"> </w:t>
      </w:r>
      <w:r>
        <w:rPr>
          <w:rFonts w:ascii="Calibri" w:hAnsi="Calibri" w:cs="Calibri"/>
        </w:rPr>
        <w:t>has been marked</w:t>
      </w:r>
      <w:r w:rsidRPr="00707A9D">
        <w:rPr>
          <w:rFonts w:ascii="Calibri" w:hAnsi="Calibri" w:cs="Calibri"/>
        </w:rPr>
        <w:t xml:space="preserve"> for its potential significance when the larger sample sizes are available.</w:t>
      </w:r>
    </w:p>
    <w:p w:rsidR="00D907AF" w:rsidRPr="005F0720" w:rsidRDefault="00D907AF" w:rsidP="0044684E">
      <w:pPr>
        <w:pStyle w:val="NILSTableHeading"/>
      </w:pPr>
      <w:bookmarkStart w:id="409" w:name="_Toc428280706"/>
      <w:bookmarkStart w:id="410" w:name="_Toc449955316"/>
      <w:r w:rsidRPr="005F0720">
        <w:t>Table 3.</w:t>
      </w:r>
      <w:r>
        <w:rPr>
          <w:rFonts w:hint="eastAsia"/>
        </w:rPr>
        <w:t>5</w:t>
      </w:r>
      <w:r>
        <w:t>4</w:t>
      </w:r>
      <w:r w:rsidRPr="005F0720">
        <w:rPr>
          <w:rFonts w:hint="eastAsia"/>
        </w:rPr>
        <w:t xml:space="preserve">: </w:t>
      </w:r>
      <w:r w:rsidRPr="005F0720">
        <w:t>Is there anything stopping</w:t>
      </w:r>
      <w:r w:rsidRPr="005F0720">
        <w:rPr>
          <w:rFonts w:hint="eastAsia"/>
        </w:rPr>
        <w:t xml:space="preserve"> him/her</w:t>
      </w:r>
      <w:r w:rsidRPr="005F0720">
        <w:t xml:space="preserve"> from working or studying</w:t>
      </w:r>
      <w:r>
        <w:t>?</w:t>
      </w:r>
      <w:bookmarkEnd w:id="409"/>
      <w:bookmarkEnd w:id="410"/>
      <w:r w:rsidRPr="005F0720">
        <w:rPr>
          <w:rFonts w:hint="eastAsia"/>
        </w:rPr>
        <w:t xml:space="preserve"> </w:t>
      </w:r>
    </w:p>
    <w:tbl>
      <w:tblPr>
        <w:tblStyle w:val="TableGrid"/>
        <w:tblW w:w="0" w:type="auto"/>
        <w:tblLayout w:type="fixed"/>
        <w:tblLook w:val="04A0" w:firstRow="1" w:lastRow="0" w:firstColumn="1" w:lastColumn="0" w:noHBand="0" w:noVBand="1"/>
        <w:tblCaption w:val="Table 3.54 Is there anything stopping him/her from working or studying? "/>
      </w:tblPr>
      <w:tblGrid>
        <w:gridCol w:w="5241"/>
        <w:gridCol w:w="851"/>
        <w:gridCol w:w="850"/>
      </w:tblGrid>
      <w:tr w:rsidR="00D907AF" w:rsidRPr="0087485F" w:rsidTr="00CD5E76">
        <w:trPr>
          <w:cantSplit/>
          <w:tblHeader/>
        </w:trPr>
        <w:tc>
          <w:tcPr>
            <w:tcW w:w="5241" w:type="dxa"/>
            <w:tcBorders>
              <w:top w:val="single" w:sz="4" w:space="0" w:color="auto"/>
              <w:bottom w:val="single" w:sz="4" w:space="0" w:color="auto"/>
            </w:tcBorders>
            <w:shd w:val="clear" w:color="auto" w:fill="auto"/>
          </w:tcPr>
          <w:p w:rsidR="00D907AF" w:rsidRPr="0087485F" w:rsidRDefault="00D907AF" w:rsidP="00CC1E9C">
            <w:pPr>
              <w:spacing w:before="10" w:after="10"/>
              <w:rPr>
                <w:rFonts w:cstheme="minorHAnsi"/>
                <w:sz w:val="20"/>
                <w:szCs w:val="20"/>
              </w:rPr>
            </w:pPr>
            <w:bookmarkStart w:id="411" w:name="Title_3_54"/>
            <w:bookmarkEnd w:id="411"/>
          </w:p>
        </w:tc>
        <w:tc>
          <w:tcPr>
            <w:tcW w:w="851" w:type="dxa"/>
            <w:tcBorders>
              <w:top w:val="single" w:sz="4" w:space="0" w:color="auto"/>
              <w:bottom w:val="single" w:sz="4" w:space="0" w:color="auto"/>
            </w:tcBorders>
            <w:shd w:val="clear" w:color="auto" w:fill="auto"/>
          </w:tcPr>
          <w:p w:rsidR="00D907AF" w:rsidRPr="0087485F" w:rsidRDefault="00D907AF" w:rsidP="00CC1E9C">
            <w:pPr>
              <w:spacing w:before="10" w:after="10"/>
              <w:jc w:val="center"/>
              <w:rPr>
                <w:rFonts w:cstheme="minorHAnsi"/>
                <w:sz w:val="20"/>
                <w:szCs w:val="20"/>
              </w:rPr>
            </w:pPr>
            <w:r w:rsidRPr="0087485F">
              <w:rPr>
                <w:rFonts w:cstheme="minorHAnsi"/>
                <w:sz w:val="20"/>
                <w:szCs w:val="20"/>
              </w:rPr>
              <w:t>Cases</w:t>
            </w:r>
          </w:p>
        </w:tc>
        <w:tc>
          <w:tcPr>
            <w:tcW w:w="850" w:type="dxa"/>
            <w:tcBorders>
              <w:top w:val="single" w:sz="4" w:space="0" w:color="auto"/>
              <w:bottom w:val="single" w:sz="4" w:space="0" w:color="auto"/>
            </w:tcBorders>
            <w:shd w:val="clear" w:color="auto" w:fill="auto"/>
          </w:tcPr>
          <w:p w:rsidR="00D907AF" w:rsidRPr="0087485F" w:rsidRDefault="00D907AF" w:rsidP="00CC1E9C">
            <w:pPr>
              <w:spacing w:before="10" w:after="10"/>
              <w:jc w:val="center"/>
              <w:rPr>
                <w:rFonts w:cstheme="minorHAnsi"/>
                <w:sz w:val="20"/>
                <w:szCs w:val="20"/>
              </w:rPr>
            </w:pPr>
            <w:r w:rsidRPr="0087485F">
              <w:rPr>
                <w:rFonts w:cstheme="minorHAnsi"/>
                <w:sz w:val="20"/>
                <w:szCs w:val="20"/>
              </w:rPr>
              <w:t>%</w:t>
            </w:r>
          </w:p>
        </w:tc>
      </w:tr>
      <w:tr w:rsidR="00D907AF" w:rsidRPr="0087485F" w:rsidTr="00D907AF">
        <w:tc>
          <w:tcPr>
            <w:tcW w:w="5241" w:type="dxa"/>
            <w:shd w:val="clear" w:color="auto" w:fill="auto"/>
          </w:tcPr>
          <w:p w:rsidR="00D907AF" w:rsidRPr="0087485F" w:rsidRDefault="00D907AF" w:rsidP="00CC1E9C">
            <w:pPr>
              <w:spacing w:before="10" w:after="10"/>
              <w:rPr>
                <w:rFonts w:cstheme="minorHAnsi"/>
                <w:sz w:val="20"/>
                <w:szCs w:val="20"/>
              </w:rPr>
            </w:pPr>
            <w:r w:rsidRPr="0087485F">
              <w:rPr>
                <w:rFonts w:cstheme="minorHAnsi"/>
                <w:sz w:val="20"/>
                <w:szCs w:val="20"/>
              </w:rPr>
              <w:t>Hard to get into buildings</w:t>
            </w:r>
          </w:p>
        </w:tc>
        <w:tc>
          <w:tcPr>
            <w:tcW w:w="851" w:type="dxa"/>
            <w:shd w:val="clear" w:color="auto" w:fill="auto"/>
            <w:vAlign w:val="center"/>
          </w:tcPr>
          <w:p w:rsidR="00D907AF" w:rsidRPr="0087485F" w:rsidRDefault="00D907AF" w:rsidP="00497154">
            <w:pPr>
              <w:spacing w:before="10" w:after="10"/>
              <w:ind w:right="113"/>
              <w:jc w:val="right"/>
              <w:rPr>
                <w:rFonts w:cstheme="minorHAnsi"/>
                <w:sz w:val="20"/>
                <w:szCs w:val="20"/>
              </w:rPr>
            </w:pPr>
            <w:r w:rsidRPr="0087485F">
              <w:rPr>
                <w:rFonts w:cstheme="minorHAnsi"/>
                <w:sz w:val="20"/>
                <w:szCs w:val="20"/>
              </w:rPr>
              <w:t>15</w:t>
            </w:r>
          </w:p>
        </w:tc>
        <w:tc>
          <w:tcPr>
            <w:tcW w:w="850" w:type="dxa"/>
            <w:shd w:val="clear" w:color="auto" w:fill="auto"/>
            <w:vAlign w:val="center"/>
          </w:tcPr>
          <w:p w:rsidR="00D907AF" w:rsidRPr="00497154" w:rsidRDefault="00D907AF" w:rsidP="00497154">
            <w:pPr>
              <w:spacing w:before="10" w:after="10"/>
              <w:ind w:right="113"/>
              <w:jc w:val="right"/>
              <w:rPr>
                <w:rFonts w:cstheme="minorHAnsi"/>
                <w:sz w:val="20"/>
                <w:szCs w:val="20"/>
              </w:rPr>
            </w:pPr>
            <w:r w:rsidRPr="00497154">
              <w:rPr>
                <w:rFonts w:cstheme="minorHAnsi"/>
                <w:sz w:val="20"/>
                <w:szCs w:val="20"/>
              </w:rPr>
              <w:t>14.4</w:t>
            </w:r>
          </w:p>
        </w:tc>
      </w:tr>
      <w:tr w:rsidR="00D907AF" w:rsidRPr="0087485F" w:rsidTr="00D907AF">
        <w:tc>
          <w:tcPr>
            <w:tcW w:w="5241" w:type="dxa"/>
            <w:shd w:val="clear" w:color="auto" w:fill="auto"/>
          </w:tcPr>
          <w:p w:rsidR="00D907AF" w:rsidRPr="0087485F" w:rsidRDefault="00D907AF" w:rsidP="00CC1E9C">
            <w:pPr>
              <w:spacing w:before="10" w:after="10"/>
              <w:rPr>
                <w:rFonts w:cstheme="minorHAnsi"/>
                <w:sz w:val="20"/>
                <w:szCs w:val="20"/>
              </w:rPr>
            </w:pPr>
            <w:r w:rsidRPr="0087485F">
              <w:rPr>
                <w:rFonts w:cstheme="minorHAnsi"/>
                <w:sz w:val="20"/>
                <w:szCs w:val="20"/>
              </w:rPr>
              <w:t>Hard to get to and from work/study</w:t>
            </w:r>
          </w:p>
        </w:tc>
        <w:tc>
          <w:tcPr>
            <w:tcW w:w="851" w:type="dxa"/>
            <w:shd w:val="clear" w:color="auto" w:fill="auto"/>
            <w:vAlign w:val="center"/>
          </w:tcPr>
          <w:p w:rsidR="00D907AF" w:rsidRPr="0087485F" w:rsidRDefault="00D907AF" w:rsidP="00497154">
            <w:pPr>
              <w:spacing w:before="10" w:after="10"/>
              <w:ind w:right="113"/>
              <w:jc w:val="right"/>
              <w:rPr>
                <w:rFonts w:cstheme="minorHAnsi"/>
                <w:sz w:val="20"/>
                <w:szCs w:val="20"/>
              </w:rPr>
            </w:pPr>
            <w:r w:rsidRPr="0087485F">
              <w:rPr>
                <w:rFonts w:cstheme="minorHAnsi"/>
                <w:sz w:val="20"/>
                <w:szCs w:val="20"/>
              </w:rPr>
              <w:t>25</w:t>
            </w:r>
          </w:p>
        </w:tc>
        <w:tc>
          <w:tcPr>
            <w:tcW w:w="850" w:type="dxa"/>
            <w:shd w:val="clear" w:color="auto" w:fill="auto"/>
            <w:vAlign w:val="center"/>
          </w:tcPr>
          <w:p w:rsidR="00D907AF" w:rsidRPr="00497154" w:rsidRDefault="00D907AF" w:rsidP="00497154">
            <w:pPr>
              <w:spacing w:before="10" w:after="10"/>
              <w:ind w:right="113"/>
              <w:jc w:val="right"/>
              <w:rPr>
                <w:rFonts w:cstheme="minorHAnsi"/>
                <w:sz w:val="20"/>
                <w:szCs w:val="20"/>
              </w:rPr>
            </w:pPr>
            <w:r w:rsidRPr="00497154">
              <w:rPr>
                <w:rFonts w:cstheme="minorHAnsi"/>
                <w:sz w:val="20"/>
                <w:szCs w:val="20"/>
              </w:rPr>
              <w:t>24.0</w:t>
            </w:r>
          </w:p>
        </w:tc>
      </w:tr>
      <w:tr w:rsidR="00D907AF" w:rsidRPr="0087485F" w:rsidTr="00D907AF">
        <w:tc>
          <w:tcPr>
            <w:tcW w:w="5241" w:type="dxa"/>
            <w:shd w:val="clear" w:color="auto" w:fill="auto"/>
          </w:tcPr>
          <w:p w:rsidR="00D907AF" w:rsidRPr="0087485F" w:rsidRDefault="00D907AF" w:rsidP="00CC1E9C">
            <w:pPr>
              <w:spacing w:before="10" w:after="10"/>
              <w:rPr>
                <w:rFonts w:cstheme="minorHAnsi"/>
                <w:sz w:val="20"/>
                <w:szCs w:val="20"/>
              </w:rPr>
            </w:pPr>
            <w:r w:rsidRPr="0087485F">
              <w:rPr>
                <w:rFonts w:cstheme="minorHAnsi"/>
                <w:sz w:val="20"/>
                <w:szCs w:val="20"/>
              </w:rPr>
              <w:t>Others don't think he/she can</w:t>
            </w:r>
          </w:p>
        </w:tc>
        <w:tc>
          <w:tcPr>
            <w:tcW w:w="851" w:type="dxa"/>
            <w:shd w:val="clear" w:color="auto" w:fill="auto"/>
            <w:vAlign w:val="center"/>
          </w:tcPr>
          <w:p w:rsidR="00D907AF" w:rsidRPr="0087485F" w:rsidRDefault="00D907AF" w:rsidP="00497154">
            <w:pPr>
              <w:spacing w:before="10" w:after="10"/>
              <w:ind w:right="113"/>
              <w:jc w:val="right"/>
              <w:rPr>
                <w:rFonts w:cstheme="minorHAnsi"/>
                <w:sz w:val="20"/>
                <w:szCs w:val="20"/>
              </w:rPr>
            </w:pPr>
            <w:r w:rsidRPr="0087485F">
              <w:rPr>
                <w:rFonts w:cstheme="minorHAnsi"/>
                <w:sz w:val="20"/>
                <w:szCs w:val="20"/>
              </w:rPr>
              <w:t>21</w:t>
            </w:r>
          </w:p>
        </w:tc>
        <w:tc>
          <w:tcPr>
            <w:tcW w:w="850" w:type="dxa"/>
            <w:shd w:val="clear" w:color="auto" w:fill="auto"/>
            <w:vAlign w:val="center"/>
          </w:tcPr>
          <w:p w:rsidR="00D907AF" w:rsidRPr="00497154" w:rsidRDefault="00D907AF" w:rsidP="00497154">
            <w:pPr>
              <w:spacing w:before="10" w:after="10"/>
              <w:ind w:right="113"/>
              <w:jc w:val="right"/>
              <w:rPr>
                <w:rFonts w:cstheme="minorHAnsi"/>
                <w:sz w:val="20"/>
                <w:szCs w:val="20"/>
              </w:rPr>
            </w:pPr>
            <w:r w:rsidRPr="00497154">
              <w:rPr>
                <w:rFonts w:cstheme="minorHAnsi"/>
                <w:sz w:val="20"/>
                <w:szCs w:val="20"/>
              </w:rPr>
              <w:t>20.2</w:t>
            </w:r>
          </w:p>
        </w:tc>
      </w:tr>
      <w:tr w:rsidR="00D907AF" w:rsidRPr="0087485F" w:rsidTr="00D907AF">
        <w:tc>
          <w:tcPr>
            <w:tcW w:w="5241" w:type="dxa"/>
            <w:shd w:val="clear" w:color="auto" w:fill="auto"/>
          </w:tcPr>
          <w:p w:rsidR="00D907AF" w:rsidRPr="0087485F" w:rsidRDefault="00D907AF" w:rsidP="00CC1E9C">
            <w:pPr>
              <w:spacing w:before="10" w:after="10"/>
              <w:rPr>
                <w:rFonts w:cstheme="minorHAnsi"/>
                <w:sz w:val="20"/>
                <w:szCs w:val="20"/>
              </w:rPr>
            </w:pPr>
            <w:r w:rsidRPr="0087485F">
              <w:rPr>
                <w:rFonts w:cstheme="minorHAnsi"/>
                <w:sz w:val="20"/>
                <w:szCs w:val="20"/>
              </w:rPr>
              <w:t>Others can't understand him/her very well</w:t>
            </w:r>
          </w:p>
        </w:tc>
        <w:tc>
          <w:tcPr>
            <w:tcW w:w="851" w:type="dxa"/>
            <w:shd w:val="clear" w:color="auto" w:fill="auto"/>
            <w:vAlign w:val="center"/>
          </w:tcPr>
          <w:p w:rsidR="00D907AF" w:rsidRPr="0087485F" w:rsidRDefault="00D907AF" w:rsidP="00497154">
            <w:pPr>
              <w:spacing w:before="10" w:after="10"/>
              <w:ind w:right="113"/>
              <w:jc w:val="right"/>
              <w:rPr>
                <w:rFonts w:cstheme="minorHAnsi"/>
                <w:sz w:val="20"/>
                <w:szCs w:val="20"/>
              </w:rPr>
            </w:pPr>
            <w:r w:rsidRPr="0087485F">
              <w:rPr>
                <w:rFonts w:cstheme="minorHAnsi"/>
                <w:sz w:val="20"/>
                <w:szCs w:val="20"/>
              </w:rPr>
              <w:t>34</w:t>
            </w:r>
          </w:p>
        </w:tc>
        <w:tc>
          <w:tcPr>
            <w:tcW w:w="850" w:type="dxa"/>
            <w:shd w:val="clear" w:color="auto" w:fill="auto"/>
            <w:vAlign w:val="center"/>
          </w:tcPr>
          <w:p w:rsidR="00D907AF" w:rsidRPr="00497154" w:rsidRDefault="00D907AF" w:rsidP="00497154">
            <w:pPr>
              <w:spacing w:before="10" w:after="10"/>
              <w:ind w:right="113"/>
              <w:jc w:val="right"/>
              <w:rPr>
                <w:rFonts w:cstheme="minorHAnsi"/>
                <w:sz w:val="20"/>
                <w:szCs w:val="20"/>
              </w:rPr>
            </w:pPr>
            <w:r w:rsidRPr="00497154">
              <w:rPr>
                <w:rFonts w:cstheme="minorHAnsi"/>
                <w:sz w:val="20"/>
                <w:szCs w:val="20"/>
              </w:rPr>
              <w:t>32.7</w:t>
            </w:r>
          </w:p>
        </w:tc>
      </w:tr>
      <w:tr w:rsidR="00D907AF" w:rsidRPr="0087485F" w:rsidTr="00D907AF">
        <w:tc>
          <w:tcPr>
            <w:tcW w:w="5241" w:type="dxa"/>
            <w:shd w:val="clear" w:color="auto" w:fill="auto"/>
          </w:tcPr>
          <w:p w:rsidR="00D907AF" w:rsidRPr="0087485F" w:rsidRDefault="00D907AF" w:rsidP="00CC1E9C">
            <w:pPr>
              <w:spacing w:before="10" w:after="10"/>
              <w:rPr>
                <w:rFonts w:cstheme="minorHAnsi"/>
                <w:sz w:val="20"/>
                <w:szCs w:val="20"/>
              </w:rPr>
            </w:pPr>
            <w:r w:rsidRPr="0087485F">
              <w:rPr>
                <w:rFonts w:cstheme="minorHAnsi"/>
                <w:sz w:val="20"/>
                <w:szCs w:val="20"/>
              </w:rPr>
              <w:t>He/she needs special equipment</w:t>
            </w:r>
          </w:p>
        </w:tc>
        <w:tc>
          <w:tcPr>
            <w:tcW w:w="851" w:type="dxa"/>
            <w:shd w:val="clear" w:color="auto" w:fill="auto"/>
            <w:vAlign w:val="center"/>
          </w:tcPr>
          <w:p w:rsidR="00D907AF" w:rsidRPr="0087485F" w:rsidRDefault="00D907AF" w:rsidP="00497154">
            <w:pPr>
              <w:spacing w:before="10" w:after="10"/>
              <w:ind w:right="113"/>
              <w:jc w:val="right"/>
              <w:rPr>
                <w:rFonts w:cstheme="minorHAnsi"/>
                <w:sz w:val="20"/>
                <w:szCs w:val="20"/>
              </w:rPr>
            </w:pPr>
            <w:r w:rsidRPr="0087485F">
              <w:rPr>
                <w:rFonts w:cstheme="minorHAnsi"/>
                <w:sz w:val="20"/>
                <w:szCs w:val="20"/>
              </w:rPr>
              <w:t>15</w:t>
            </w:r>
          </w:p>
        </w:tc>
        <w:tc>
          <w:tcPr>
            <w:tcW w:w="850" w:type="dxa"/>
            <w:shd w:val="clear" w:color="auto" w:fill="auto"/>
            <w:vAlign w:val="center"/>
          </w:tcPr>
          <w:p w:rsidR="00D907AF" w:rsidRPr="00497154" w:rsidRDefault="00D907AF" w:rsidP="00497154">
            <w:pPr>
              <w:spacing w:before="10" w:after="10"/>
              <w:ind w:right="113"/>
              <w:jc w:val="right"/>
              <w:rPr>
                <w:rFonts w:cstheme="minorHAnsi"/>
                <w:sz w:val="20"/>
                <w:szCs w:val="20"/>
              </w:rPr>
            </w:pPr>
            <w:r w:rsidRPr="00497154">
              <w:rPr>
                <w:rFonts w:cstheme="minorHAnsi"/>
                <w:sz w:val="20"/>
                <w:szCs w:val="20"/>
              </w:rPr>
              <w:t>14.4</w:t>
            </w:r>
          </w:p>
        </w:tc>
      </w:tr>
      <w:tr w:rsidR="00D907AF" w:rsidRPr="0087485F" w:rsidTr="00D907AF">
        <w:tc>
          <w:tcPr>
            <w:tcW w:w="5241" w:type="dxa"/>
            <w:shd w:val="clear" w:color="auto" w:fill="auto"/>
          </w:tcPr>
          <w:p w:rsidR="00D907AF" w:rsidRPr="0087485F" w:rsidRDefault="00D907AF" w:rsidP="00CC1E9C">
            <w:pPr>
              <w:spacing w:before="10" w:after="10"/>
              <w:rPr>
                <w:rFonts w:cstheme="minorHAnsi"/>
                <w:sz w:val="20"/>
                <w:szCs w:val="20"/>
              </w:rPr>
            </w:pPr>
            <w:r w:rsidRPr="00290799">
              <w:rPr>
                <w:rFonts w:cstheme="minorHAnsi"/>
                <w:sz w:val="20"/>
                <w:szCs w:val="20"/>
              </w:rPr>
              <w:t>He/she can't find a job or course with h</w:t>
            </w:r>
            <w:r w:rsidRPr="005F2BCE">
              <w:rPr>
                <w:rFonts w:cstheme="minorHAnsi"/>
                <w:sz w:val="20"/>
                <w:szCs w:val="20"/>
              </w:rPr>
              <w:t>ours to suit</w:t>
            </w:r>
          </w:p>
        </w:tc>
        <w:tc>
          <w:tcPr>
            <w:tcW w:w="851" w:type="dxa"/>
            <w:shd w:val="clear" w:color="auto" w:fill="auto"/>
            <w:vAlign w:val="center"/>
          </w:tcPr>
          <w:p w:rsidR="00D907AF" w:rsidRPr="0087485F" w:rsidRDefault="00D907AF" w:rsidP="00497154">
            <w:pPr>
              <w:spacing w:before="10" w:after="10"/>
              <w:ind w:right="113"/>
              <w:jc w:val="right"/>
              <w:rPr>
                <w:rFonts w:cstheme="minorHAnsi"/>
                <w:sz w:val="20"/>
                <w:szCs w:val="20"/>
              </w:rPr>
            </w:pPr>
            <w:r w:rsidRPr="0087485F">
              <w:rPr>
                <w:rFonts w:cstheme="minorHAnsi"/>
                <w:sz w:val="20"/>
                <w:szCs w:val="20"/>
              </w:rPr>
              <w:t>17</w:t>
            </w:r>
          </w:p>
        </w:tc>
        <w:tc>
          <w:tcPr>
            <w:tcW w:w="850" w:type="dxa"/>
            <w:shd w:val="clear" w:color="auto" w:fill="auto"/>
            <w:vAlign w:val="center"/>
          </w:tcPr>
          <w:p w:rsidR="00D907AF" w:rsidRPr="00497154" w:rsidRDefault="00D907AF" w:rsidP="00497154">
            <w:pPr>
              <w:spacing w:before="10" w:after="10"/>
              <w:ind w:right="113"/>
              <w:jc w:val="right"/>
              <w:rPr>
                <w:rFonts w:cstheme="minorHAnsi"/>
                <w:sz w:val="20"/>
                <w:szCs w:val="20"/>
              </w:rPr>
            </w:pPr>
            <w:r w:rsidRPr="00497154">
              <w:rPr>
                <w:rFonts w:cstheme="minorHAnsi"/>
                <w:sz w:val="20"/>
                <w:szCs w:val="20"/>
              </w:rPr>
              <w:t>16.4</w:t>
            </w:r>
          </w:p>
        </w:tc>
      </w:tr>
      <w:tr w:rsidR="00D907AF" w:rsidRPr="0087485F" w:rsidTr="00D907AF">
        <w:tc>
          <w:tcPr>
            <w:tcW w:w="5241" w:type="dxa"/>
            <w:shd w:val="clear" w:color="auto" w:fill="auto"/>
          </w:tcPr>
          <w:p w:rsidR="00D907AF" w:rsidRPr="0087485F" w:rsidRDefault="00D907AF" w:rsidP="00CC1E9C">
            <w:pPr>
              <w:spacing w:before="10" w:after="10"/>
              <w:rPr>
                <w:rFonts w:cstheme="minorHAnsi"/>
                <w:sz w:val="20"/>
                <w:szCs w:val="20"/>
              </w:rPr>
            </w:pPr>
            <w:r w:rsidRPr="0087485F">
              <w:rPr>
                <w:rFonts w:cstheme="minorHAnsi"/>
                <w:sz w:val="20"/>
                <w:szCs w:val="20"/>
              </w:rPr>
              <w:t>He/she doesn't have anyone to support him</w:t>
            </w:r>
          </w:p>
        </w:tc>
        <w:tc>
          <w:tcPr>
            <w:tcW w:w="851" w:type="dxa"/>
            <w:shd w:val="clear" w:color="auto" w:fill="auto"/>
            <w:vAlign w:val="center"/>
          </w:tcPr>
          <w:p w:rsidR="00D907AF" w:rsidRPr="0087485F" w:rsidRDefault="00D907AF" w:rsidP="00497154">
            <w:pPr>
              <w:spacing w:before="10" w:after="10"/>
              <w:ind w:right="113"/>
              <w:jc w:val="right"/>
              <w:rPr>
                <w:rFonts w:cstheme="minorHAnsi"/>
                <w:sz w:val="20"/>
                <w:szCs w:val="20"/>
              </w:rPr>
            </w:pPr>
            <w:r w:rsidRPr="0087485F">
              <w:rPr>
                <w:rFonts w:cstheme="minorHAnsi"/>
                <w:sz w:val="20"/>
                <w:szCs w:val="20"/>
              </w:rPr>
              <w:t>11</w:t>
            </w:r>
          </w:p>
        </w:tc>
        <w:tc>
          <w:tcPr>
            <w:tcW w:w="850" w:type="dxa"/>
            <w:shd w:val="clear" w:color="auto" w:fill="auto"/>
            <w:vAlign w:val="center"/>
          </w:tcPr>
          <w:p w:rsidR="00D907AF" w:rsidRPr="00497154" w:rsidRDefault="00D907AF" w:rsidP="00497154">
            <w:pPr>
              <w:spacing w:before="10" w:after="10"/>
              <w:ind w:right="113"/>
              <w:jc w:val="right"/>
              <w:rPr>
                <w:rFonts w:cstheme="minorHAnsi"/>
                <w:sz w:val="20"/>
                <w:szCs w:val="20"/>
              </w:rPr>
            </w:pPr>
            <w:r w:rsidRPr="00497154">
              <w:rPr>
                <w:rFonts w:cstheme="minorHAnsi"/>
                <w:sz w:val="20"/>
                <w:szCs w:val="20"/>
              </w:rPr>
              <w:t>10.6</w:t>
            </w:r>
          </w:p>
        </w:tc>
      </w:tr>
      <w:tr w:rsidR="00D907AF" w:rsidRPr="0087485F" w:rsidTr="00D907AF">
        <w:tc>
          <w:tcPr>
            <w:tcW w:w="5241" w:type="dxa"/>
            <w:shd w:val="clear" w:color="auto" w:fill="auto"/>
          </w:tcPr>
          <w:p w:rsidR="00D907AF" w:rsidRPr="0087485F" w:rsidRDefault="00D907AF" w:rsidP="00CC1E9C">
            <w:pPr>
              <w:spacing w:before="10" w:after="10"/>
              <w:rPr>
                <w:rFonts w:cstheme="minorHAnsi"/>
                <w:sz w:val="20"/>
                <w:szCs w:val="20"/>
              </w:rPr>
            </w:pPr>
            <w:r w:rsidRPr="0087485F">
              <w:rPr>
                <w:rFonts w:cstheme="minorHAnsi"/>
                <w:sz w:val="20"/>
                <w:szCs w:val="20"/>
              </w:rPr>
              <w:t>Another reason</w:t>
            </w:r>
          </w:p>
        </w:tc>
        <w:tc>
          <w:tcPr>
            <w:tcW w:w="851" w:type="dxa"/>
            <w:shd w:val="clear" w:color="auto" w:fill="auto"/>
            <w:vAlign w:val="center"/>
          </w:tcPr>
          <w:p w:rsidR="00D907AF" w:rsidRPr="0087485F" w:rsidRDefault="00D907AF" w:rsidP="00497154">
            <w:pPr>
              <w:spacing w:before="10" w:after="10"/>
              <w:ind w:right="113"/>
              <w:jc w:val="right"/>
              <w:rPr>
                <w:rFonts w:cstheme="minorHAnsi"/>
                <w:sz w:val="20"/>
                <w:szCs w:val="20"/>
              </w:rPr>
            </w:pPr>
            <w:r w:rsidRPr="0087485F">
              <w:rPr>
                <w:rFonts w:cstheme="minorHAnsi"/>
                <w:sz w:val="20"/>
                <w:szCs w:val="20"/>
              </w:rPr>
              <w:t>37</w:t>
            </w:r>
          </w:p>
        </w:tc>
        <w:tc>
          <w:tcPr>
            <w:tcW w:w="850" w:type="dxa"/>
            <w:shd w:val="clear" w:color="auto" w:fill="auto"/>
            <w:vAlign w:val="center"/>
          </w:tcPr>
          <w:p w:rsidR="00D907AF" w:rsidRPr="00497154" w:rsidRDefault="00D907AF" w:rsidP="00497154">
            <w:pPr>
              <w:spacing w:before="10" w:after="10"/>
              <w:ind w:right="113"/>
              <w:jc w:val="right"/>
              <w:rPr>
                <w:rFonts w:cstheme="minorHAnsi"/>
                <w:sz w:val="20"/>
                <w:szCs w:val="20"/>
              </w:rPr>
            </w:pPr>
            <w:r w:rsidRPr="00497154">
              <w:rPr>
                <w:rFonts w:cstheme="minorHAnsi"/>
                <w:sz w:val="20"/>
                <w:szCs w:val="20"/>
              </w:rPr>
              <w:t>35.6</w:t>
            </w:r>
          </w:p>
        </w:tc>
      </w:tr>
      <w:tr w:rsidR="00D907AF" w:rsidRPr="0087485F" w:rsidTr="00D907AF">
        <w:tc>
          <w:tcPr>
            <w:tcW w:w="5241" w:type="dxa"/>
            <w:tcBorders>
              <w:top w:val="single" w:sz="4" w:space="0" w:color="auto"/>
              <w:bottom w:val="single" w:sz="4" w:space="0" w:color="auto"/>
            </w:tcBorders>
            <w:shd w:val="clear" w:color="auto" w:fill="auto"/>
          </w:tcPr>
          <w:p w:rsidR="00D907AF" w:rsidRPr="0087485F" w:rsidRDefault="00D907AF" w:rsidP="00CC1E9C">
            <w:pPr>
              <w:spacing w:before="10" w:after="10"/>
              <w:rPr>
                <w:rFonts w:cstheme="minorHAnsi"/>
                <w:b/>
                <w:sz w:val="20"/>
                <w:szCs w:val="20"/>
              </w:rPr>
            </w:pPr>
            <w:r w:rsidRPr="0087485F">
              <w:rPr>
                <w:rFonts w:cstheme="minorHAnsi"/>
                <w:b/>
                <w:sz w:val="20"/>
                <w:szCs w:val="20"/>
              </w:rPr>
              <w:t>Total</w:t>
            </w:r>
          </w:p>
        </w:tc>
        <w:tc>
          <w:tcPr>
            <w:tcW w:w="851" w:type="dxa"/>
            <w:tcBorders>
              <w:top w:val="single" w:sz="4" w:space="0" w:color="auto"/>
              <w:bottom w:val="single" w:sz="4" w:space="0" w:color="auto"/>
            </w:tcBorders>
            <w:shd w:val="clear" w:color="auto" w:fill="auto"/>
            <w:vAlign w:val="center"/>
          </w:tcPr>
          <w:p w:rsidR="00D907AF" w:rsidRPr="0087485F" w:rsidRDefault="00D907AF" w:rsidP="00497154">
            <w:pPr>
              <w:spacing w:before="10" w:after="10"/>
              <w:ind w:right="113"/>
              <w:jc w:val="right"/>
              <w:rPr>
                <w:rFonts w:cstheme="minorHAnsi"/>
                <w:b/>
                <w:sz w:val="20"/>
                <w:szCs w:val="20"/>
              </w:rPr>
            </w:pPr>
            <w:r w:rsidRPr="0087485F">
              <w:rPr>
                <w:rFonts w:cstheme="minorHAnsi"/>
                <w:b/>
                <w:sz w:val="20"/>
                <w:szCs w:val="20"/>
              </w:rPr>
              <w:t>104</w:t>
            </w:r>
          </w:p>
        </w:tc>
        <w:tc>
          <w:tcPr>
            <w:tcW w:w="850" w:type="dxa"/>
            <w:tcBorders>
              <w:top w:val="single" w:sz="4" w:space="0" w:color="auto"/>
              <w:bottom w:val="single" w:sz="4" w:space="0" w:color="auto"/>
            </w:tcBorders>
            <w:shd w:val="clear" w:color="auto" w:fill="auto"/>
            <w:vAlign w:val="center"/>
          </w:tcPr>
          <w:p w:rsidR="00D907AF" w:rsidRPr="0087485F" w:rsidRDefault="00D907AF" w:rsidP="00497154">
            <w:pPr>
              <w:spacing w:before="10" w:after="10"/>
              <w:jc w:val="right"/>
              <w:rPr>
                <w:rFonts w:cstheme="minorHAnsi"/>
                <w:b/>
                <w:sz w:val="20"/>
                <w:szCs w:val="20"/>
              </w:rPr>
            </w:pPr>
          </w:p>
        </w:tc>
      </w:tr>
    </w:tbl>
    <w:p w:rsidR="00D907AF" w:rsidRPr="00EE511C" w:rsidRDefault="00D907AF" w:rsidP="006C7BE7">
      <w:pPr>
        <w:pStyle w:val="NILSTabletext"/>
      </w:pPr>
      <w:r w:rsidRPr="00EE511C">
        <w:t xml:space="preserve">Note: </w:t>
      </w:r>
      <w:r>
        <w:t>trial and c</w:t>
      </w:r>
      <w:r w:rsidRPr="00EE511C">
        <w:t>omparison Easy English questionnaire aged 16 and above</w:t>
      </w:r>
      <w:r>
        <w:t xml:space="preserve"> </w:t>
      </w:r>
      <w:r w:rsidRPr="00EE511C">
        <w:t>who are neither working nor studying</w:t>
      </w:r>
      <w:r>
        <w:t>; ‘Total’ indicates the number of respondents to answer this question; multiple response question; percentages do not add to 100.</w:t>
      </w:r>
    </w:p>
    <w:p w:rsidR="00D907AF" w:rsidRPr="000C5DC9" w:rsidRDefault="00D907AF" w:rsidP="00367B24">
      <w:pPr>
        <w:pStyle w:val="Heading3"/>
        <w:rPr>
          <w:sz w:val="32"/>
        </w:rPr>
      </w:pPr>
      <w:bookmarkStart w:id="412" w:name="_Toc449955022"/>
      <w:r>
        <w:t>3.6.12</w:t>
      </w:r>
      <w:r w:rsidRPr="00590137">
        <w:t xml:space="preserve"> </w:t>
      </w:r>
      <w:r>
        <w:t>Living and housing</w:t>
      </w:r>
      <w:bookmarkEnd w:id="412"/>
    </w:p>
    <w:p w:rsidR="00D907AF" w:rsidRDefault="00D907AF" w:rsidP="00D907AF">
      <w:r>
        <w:t>A large minority (42.3 per cent) of respondents reported they would like to live in a place of their own one day (Table 3.</w:t>
      </w:r>
      <w:r>
        <w:rPr>
          <w:rFonts w:hint="eastAsia"/>
        </w:rPr>
        <w:t>55</w:t>
      </w:r>
      <w:r>
        <w:t xml:space="preserve">) while 32.4 per cent reported they would not with 18 per cent reporting they did not know. </w:t>
      </w:r>
    </w:p>
    <w:p w:rsidR="00D907AF" w:rsidRPr="00233E8A" w:rsidRDefault="00D907AF" w:rsidP="0044684E">
      <w:pPr>
        <w:pStyle w:val="NILSTableHeading"/>
      </w:pPr>
      <w:bookmarkStart w:id="413" w:name="_Toc428280707"/>
      <w:bookmarkStart w:id="414" w:name="_Toc449955317"/>
      <w:r w:rsidRPr="00233E8A">
        <w:t xml:space="preserve">Table </w:t>
      </w:r>
      <w:r>
        <w:rPr>
          <w:rFonts w:hint="eastAsia"/>
        </w:rPr>
        <w:t>3.5</w:t>
      </w:r>
      <w:r>
        <w:t>5</w:t>
      </w:r>
      <w:r w:rsidRPr="00233E8A">
        <w:t xml:space="preserve">: </w:t>
      </w:r>
      <w:r>
        <w:rPr>
          <w:rFonts w:hint="eastAsia"/>
        </w:rPr>
        <w:t>Would like to live in a place of his/her own one day</w:t>
      </w:r>
      <w:bookmarkEnd w:id="413"/>
      <w:bookmarkEnd w:id="414"/>
      <w:r>
        <w:rPr>
          <w:rFonts w:hint="eastAsia"/>
        </w:rPr>
        <w:t xml:space="preserve"> </w:t>
      </w:r>
    </w:p>
    <w:tbl>
      <w:tblPr>
        <w:tblStyle w:val="TableGrid"/>
        <w:tblW w:w="0" w:type="auto"/>
        <w:tblLayout w:type="fixed"/>
        <w:tblLook w:val="04A0" w:firstRow="1" w:lastRow="0" w:firstColumn="1" w:lastColumn="0" w:noHBand="0" w:noVBand="1"/>
        <w:tblCaption w:val="Table 3.55 Would like to live in a place of his/her own one day "/>
      </w:tblPr>
      <w:tblGrid>
        <w:gridCol w:w="1256"/>
        <w:gridCol w:w="854"/>
        <w:gridCol w:w="833"/>
        <w:gridCol w:w="1247"/>
        <w:gridCol w:w="1247"/>
        <w:gridCol w:w="992"/>
        <w:gridCol w:w="1134"/>
      </w:tblGrid>
      <w:tr w:rsidR="008A13C7" w:rsidRPr="0087485F" w:rsidTr="004A39F6">
        <w:trPr>
          <w:tblHeader/>
        </w:trPr>
        <w:tc>
          <w:tcPr>
            <w:tcW w:w="1256" w:type="dxa"/>
            <w:tcBorders>
              <w:top w:val="single" w:sz="4" w:space="0" w:color="auto"/>
              <w:bottom w:val="single" w:sz="4" w:space="0" w:color="auto"/>
            </w:tcBorders>
            <w:shd w:val="clear" w:color="auto" w:fill="auto"/>
          </w:tcPr>
          <w:p w:rsidR="008A13C7" w:rsidRPr="0087485F" w:rsidRDefault="008A13C7" w:rsidP="00DA7BC5">
            <w:pPr>
              <w:spacing w:before="20" w:after="20"/>
              <w:rPr>
                <w:rFonts w:cstheme="minorHAnsi"/>
                <w:sz w:val="20"/>
                <w:szCs w:val="20"/>
              </w:rPr>
            </w:pPr>
            <w:bookmarkStart w:id="415" w:name="Title_3_55"/>
            <w:bookmarkEnd w:id="415"/>
          </w:p>
        </w:tc>
        <w:tc>
          <w:tcPr>
            <w:tcW w:w="854" w:type="dxa"/>
            <w:tcBorders>
              <w:top w:val="single" w:sz="4" w:space="0" w:color="auto"/>
              <w:bottom w:val="single" w:sz="4" w:space="0" w:color="auto"/>
            </w:tcBorders>
            <w:shd w:val="clear" w:color="auto" w:fill="auto"/>
          </w:tcPr>
          <w:p w:rsidR="008A13C7" w:rsidRDefault="008A13C7" w:rsidP="00DA7BC5">
            <w:pPr>
              <w:spacing w:before="20" w:after="20"/>
              <w:jc w:val="center"/>
              <w:rPr>
                <w:rFonts w:cstheme="minorHAnsi"/>
                <w:sz w:val="20"/>
                <w:szCs w:val="20"/>
              </w:rPr>
            </w:pPr>
            <w:r>
              <w:rPr>
                <w:rFonts w:cstheme="minorHAnsi"/>
                <w:sz w:val="20"/>
                <w:szCs w:val="20"/>
              </w:rPr>
              <w:t>Trial</w:t>
            </w:r>
          </w:p>
          <w:p w:rsidR="00726225" w:rsidRPr="0087485F" w:rsidRDefault="00726225" w:rsidP="00DA7BC5">
            <w:pPr>
              <w:spacing w:before="20" w:after="20"/>
              <w:jc w:val="center"/>
              <w:rPr>
                <w:rFonts w:cstheme="minorHAnsi"/>
                <w:sz w:val="20"/>
                <w:szCs w:val="20"/>
              </w:rPr>
            </w:pPr>
            <w:r>
              <w:rPr>
                <w:rFonts w:cstheme="minorHAnsi"/>
                <w:sz w:val="20"/>
                <w:szCs w:val="20"/>
              </w:rPr>
              <w:t>Cases</w:t>
            </w:r>
          </w:p>
        </w:tc>
        <w:tc>
          <w:tcPr>
            <w:tcW w:w="833" w:type="dxa"/>
            <w:tcBorders>
              <w:top w:val="single" w:sz="4" w:space="0" w:color="auto"/>
              <w:bottom w:val="single" w:sz="4" w:space="0" w:color="auto"/>
            </w:tcBorders>
            <w:shd w:val="clear" w:color="auto" w:fill="auto"/>
          </w:tcPr>
          <w:p w:rsidR="00B8777F" w:rsidRDefault="008A13C7" w:rsidP="00DA7BC5">
            <w:pPr>
              <w:spacing w:before="20" w:after="20"/>
              <w:jc w:val="center"/>
              <w:rPr>
                <w:rFonts w:cstheme="minorHAnsi"/>
                <w:sz w:val="20"/>
                <w:szCs w:val="20"/>
              </w:rPr>
            </w:pPr>
            <w:r>
              <w:rPr>
                <w:rFonts w:cstheme="minorHAnsi"/>
                <w:sz w:val="20"/>
                <w:szCs w:val="20"/>
              </w:rPr>
              <w:t xml:space="preserve">Trial </w:t>
            </w:r>
          </w:p>
          <w:p w:rsidR="008A13C7" w:rsidRPr="0087485F" w:rsidRDefault="008A13C7" w:rsidP="00DA7BC5">
            <w:pPr>
              <w:spacing w:before="20" w:after="20"/>
              <w:jc w:val="center"/>
              <w:rPr>
                <w:rFonts w:cstheme="minorHAnsi"/>
                <w:sz w:val="20"/>
                <w:szCs w:val="20"/>
              </w:rPr>
            </w:pPr>
            <w:r w:rsidRPr="0087485F">
              <w:rPr>
                <w:rFonts w:cstheme="minorHAnsi"/>
                <w:sz w:val="20"/>
                <w:szCs w:val="20"/>
              </w:rPr>
              <w:t>%</w:t>
            </w:r>
          </w:p>
        </w:tc>
        <w:tc>
          <w:tcPr>
            <w:tcW w:w="1247" w:type="dxa"/>
            <w:tcBorders>
              <w:top w:val="single" w:sz="4" w:space="0" w:color="auto"/>
              <w:bottom w:val="single" w:sz="4" w:space="0" w:color="auto"/>
            </w:tcBorders>
            <w:shd w:val="clear" w:color="auto" w:fill="auto"/>
          </w:tcPr>
          <w:p w:rsidR="008A13C7" w:rsidRPr="0087485F" w:rsidRDefault="008A13C7" w:rsidP="00726225">
            <w:pPr>
              <w:spacing w:before="20" w:after="20"/>
              <w:jc w:val="center"/>
              <w:rPr>
                <w:rFonts w:cstheme="minorHAnsi"/>
                <w:sz w:val="20"/>
                <w:szCs w:val="20"/>
              </w:rPr>
            </w:pPr>
            <w:r>
              <w:rPr>
                <w:rFonts w:cstheme="minorHAnsi"/>
                <w:sz w:val="20"/>
                <w:szCs w:val="20"/>
              </w:rPr>
              <w:t>Comparison</w:t>
            </w:r>
            <w:r w:rsidR="00726225">
              <w:rPr>
                <w:rFonts w:cstheme="minorHAnsi"/>
                <w:sz w:val="20"/>
                <w:szCs w:val="20"/>
              </w:rPr>
              <w:t xml:space="preserve"> Cases</w:t>
            </w:r>
          </w:p>
        </w:tc>
        <w:tc>
          <w:tcPr>
            <w:tcW w:w="1247" w:type="dxa"/>
            <w:tcBorders>
              <w:top w:val="single" w:sz="4" w:space="0" w:color="auto"/>
              <w:bottom w:val="single" w:sz="4" w:space="0" w:color="auto"/>
            </w:tcBorders>
            <w:shd w:val="clear" w:color="auto" w:fill="auto"/>
          </w:tcPr>
          <w:p w:rsidR="00B8777F" w:rsidRDefault="008A13C7" w:rsidP="00DA7BC5">
            <w:pPr>
              <w:spacing w:before="20" w:after="20"/>
              <w:jc w:val="center"/>
              <w:rPr>
                <w:rFonts w:cstheme="minorHAnsi"/>
                <w:sz w:val="20"/>
                <w:szCs w:val="20"/>
              </w:rPr>
            </w:pPr>
            <w:r>
              <w:rPr>
                <w:rFonts w:cstheme="minorHAnsi"/>
                <w:sz w:val="20"/>
                <w:szCs w:val="20"/>
              </w:rPr>
              <w:t>Comparison</w:t>
            </w:r>
          </w:p>
          <w:p w:rsidR="008A13C7" w:rsidRPr="0087485F" w:rsidRDefault="008A13C7" w:rsidP="00DA7BC5">
            <w:pPr>
              <w:spacing w:before="20" w:after="20"/>
              <w:jc w:val="center"/>
              <w:rPr>
                <w:rFonts w:cstheme="minorHAnsi"/>
                <w:sz w:val="20"/>
                <w:szCs w:val="20"/>
              </w:rPr>
            </w:pPr>
            <w:r>
              <w:rPr>
                <w:rFonts w:cstheme="minorHAnsi"/>
                <w:sz w:val="20"/>
                <w:szCs w:val="20"/>
              </w:rPr>
              <w:t xml:space="preserve"> </w:t>
            </w:r>
            <w:r w:rsidRPr="0087485F">
              <w:rPr>
                <w:rFonts w:cstheme="minorHAnsi"/>
                <w:sz w:val="20"/>
                <w:szCs w:val="20"/>
              </w:rPr>
              <w:t>%</w:t>
            </w:r>
          </w:p>
        </w:tc>
        <w:tc>
          <w:tcPr>
            <w:tcW w:w="992" w:type="dxa"/>
            <w:tcBorders>
              <w:top w:val="single" w:sz="4" w:space="0" w:color="auto"/>
              <w:bottom w:val="single" w:sz="4" w:space="0" w:color="auto"/>
            </w:tcBorders>
            <w:shd w:val="clear" w:color="auto" w:fill="auto"/>
          </w:tcPr>
          <w:p w:rsidR="008A13C7" w:rsidRPr="0087485F" w:rsidRDefault="008A13C7" w:rsidP="00DA7BC5">
            <w:pPr>
              <w:spacing w:before="20" w:after="20"/>
              <w:jc w:val="center"/>
              <w:rPr>
                <w:rFonts w:cstheme="minorHAnsi"/>
                <w:sz w:val="20"/>
                <w:szCs w:val="20"/>
              </w:rPr>
            </w:pPr>
            <w:r>
              <w:rPr>
                <w:rFonts w:cstheme="minorHAnsi"/>
                <w:sz w:val="20"/>
                <w:szCs w:val="20"/>
              </w:rPr>
              <w:t>Total</w:t>
            </w:r>
            <w:r w:rsidR="00726225">
              <w:rPr>
                <w:rFonts w:cstheme="minorHAnsi"/>
                <w:sz w:val="20"/>
                <w:szCs w:val="20"/>
              </w:rPr>
              <w:t xml:space="preserve"> Cases</w:t>
            </w:r>
          </w:p>
        </w:tc>
        <w:tc>
          <w:tcPr>
            <w:tcW w:w="1134" w:type="dxa"/>
            <w:tcBorders>
              <w:top w:val="single" w:sz="4" w:space="0" w:color="auto"/>
              <w:bottom w:val="single" w:sz="4" w:space="0" w:color="auto"/>
            </w:tcBorders>
            <w:shd w:val="clear" w:color="auto" w:fill="auto"/>
          </w:tcPr>
          <w:p w:rsidR="00B8777F" w:rsidRDefault="008A13C7" w:rsidP="00DA7BC5">
            <w:pPr>
              <w:spacing w:before="20" w:after="20"/>
              <w:jc w:val="center"/>
              <w:rPr>
                <w:rFonts w:cstheme="minorHAnsi"/>
                <w:sz w:val="20"/>
                <w:szCs w:val="20"/>
              </w:rPr>
            </w:pPr>
            <w:r>
              <w:rPr>
                <w:rFonts w:cstheme="minorHAnsi"/>
                <w:sz w:val="20"/>
                <w:szCs w:val="20"/>
              </w:rPr>
              <w:t xml:space="preserve">Total </w:t>
            </w:r>
          </w:p>
          <w:p w:rsidR="008A13C7" w:rsidRPr="0087485F" w:rsidRDefault="008A13C7" w:rsidP="00DA7BC5">
            <w:pPr>
              <w:spacing w:before="20" w:after="20"/>
              <w:jc w:val="center"/>
              <w:rPr>
                <w:rFonts w:cstheme="minorHAnsi"/>
                <w:sz w:val="20"/>
                <w:szCs w:val="20"/>
              </w:rPr>
            </w:pPr>
            <w:r w:rsidRPr="0087485F">
              <w:rPr>
                <w:rFonts w:cstheme="minorHAnsi"/>
                <w:sz w:val="20"/>
                <w:szCs w:val="20"/>
              </w:rPr>
              <w:t>%</w:t>
            </w:r>
          </w:p>
        </w:tc>
      </w:tr>
      <w:tr w:rsidR="00D907AF" w:rsidRPr="00497154" w:rsidTr="004A39F6">
        <w:tc>
          <w:tcPr>
            <w:tcW w:w="1256"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Yes</w:t>
            </w:r>
          </w:p>
        </w:tc>
        <w:tc>
          <w:tcPr>
            <w:tcW w:w="854" w:type="dxa"/>
            <w:shd w:val="clear" w:color="auto" w:fill="auto"/>
            <w:vAlign w:val="center"/>
          </w:tcPr>
          <w:p w:rsidR="00D907AF" w:rsidRPr="0087485F" w:rsidRDefault="00D907AF" w:rsidP="00497154">
            <w:pPr>
              <w:spacing w:before="20" w:after="20"/>
              <w:ind w:right="113"/>
              <w:jc w:val="right"/>
              <w:rPr>
                <w:rFonts w:cstheme="minorHAnsi"/>
                <w:color w:val="000000"/>
                <w:sz w:val="20"/>
                <w:szCs w:val="20"/>
              </w:rPr>
            </w:pPr>
            <w:r w:rsidRPr="0087485F">
              <w:rPr>
                <w:rFonts w:cstheme="minorHAnsi"/>
                <w:color w:val="000000"/>
                <w:sz w:val="20"/>
                <w:szCs w:val="20"/>
              </w:rPr>
              <w:t>81</w:t>
            </w:r>
          </w:p>
        </w:tc>
        <w:tc>
          <w:tcPr>
            <w:tcW w:w="833" w:type="dxa"/>
            <w:shd w:val="clear" w:color="auto" w:fill="auto"/>
            <w:vAlign w:val="center"/>
          </w:tcPr>
          <w:p w:rsidR="00D907AF" w:rsidRPr="0087485F" w:rsidRDefault="00D907AF" w:rsidP="00497154">
            <w:pPr>
              <w:spacing w:before="20" w:after="20"/>
              <w:ind w:right="113"/>
              <w:jc w:val="right"/>
              <w:rPr>
                <w:rFonts w:cstheme="minorHAnsi"/>
                <w:color w:val="000000"/>
                <w:sz w:val="20"/>
                <w:szCs w:val="20"/>
              </w:rPr>
            </w:pPr>
            <w:r w:rsidRPr="0087485F">
              <w:rPr>
                <w:rFonts w:cstheme="minorHAnsi"/>
                <w:color w:val="000000"/>
                <w:sz w:val="20"/>
                <w:szCs w:val="20"/>
              </w:rPr>
              <w:t>36.2</w:t>
            </w:r>
          </w:p>
        </w:tc>
        <w:tc>
          <w:tcPr>
            <w:tcW w:w="1247" w:type="dxa"/>
            <w:shd w:val="clear" w:color="auto" w:fill="auto"/>
            <w:vAlign w:val="center"/>
          </w:tcPr>
          <w:p w:rsidR="00D907AF" w:rsidRPr="0087485F" w:rsidRDefault="00D907AF" w:rsidP="007C63E4">
            <w:pPr>
              <w:spacing w:before="20" w:after="20"/>
              <w:ind w:right="312"/>
              <w:jc w:val="right"/>
              <w:rPr>
                <w:rFonts w:cstheme="minorHAnsi"/>
                <w:color w:val="000000"/>
                <w:sz w:val="20"/>
                <w:szCs w:val="20"/>
              </w:rPr>
            </w:pPr>
            <w:r w:rsidRPr="0087485F">
              <w:rPr>
                <w:rFonts w:cstheme="minorHAnsi"/>
                <w:color w:val="000000"/>
                <w:sz w:val="20"/>
                <w:szCs w:val="20"/>
              </w:rPr>
              <w:t>116</w:t>
            </w:r>
          </w:p>
        </w:tc>
        <w:tc>
          <w:tcPr>
            <w:tcW w:w="1247" w:type="dxa"/>
            <w:shd w:val="clear" w:color="auto" w:fill="auto"/>
            <w:vAlign w:val="center"/>
          </w:tcPr>
          <w:p w:rsidR="00D907AF" w:rsidRPr="0087485F" w:rsidRDefault="00D907AF" w:rsidP="007C63E4">
            <w:pPr>
              <w:spacing w:before="20" w:after="20"/>
              <w:ind w:right="284"/>
              <w:jc w:val="right"/>
              <w:rPr>
                <w:rFonts w:cstheme="minorHAnsi"/>
                <w:color w:val="000000"/>
                <w:sz w:val="20"/>
                <w:szCs w:val="20"/>
              </w:rPr>
            </w:pPr>
            <w:r w:rsidRPr="0087485F">
              <w:rPr>
                <w:rFonts w:cstheme="minorHAnsi"/>
                <w:color w:val="000000"/>
                <w:sz w:val="20"/>
                <w:szCs w:val="20"/>
              </w:rPr>
              <w:t>47.9</w:t>
            </w:r>
          </w:p>
        </w:tc>
        <w:tc>
          <w:tcPr>
            <w:tcW w:w="992" w:type="dxa"/>
            <w:shd w:val="clear" w:color="auto" w:fill="auto"/>
            <w:vAlign w:val="center"/>
          </w:tcPr>
          <w:p w:rsidR="00D907AF" w:rsidRPr="0087485F" w:rsidRDefault="00D907AF" w:rsidP="00497154">
            <w:pPr>
              <w:spacing w:before="20" w:after="20"/>
              <w:ind w:right="113"/>
              <w:jc w:val="right"/>
              <w:rPr>
                <w:rFonts w:cstheme="minorHAnsi"/>
                <w:color w:val="000000"/>
                <w:sz w:val="20"/>
                <w:szCs w:val="20"/>
              </w:rPr>
            </w:pPr>
            <w:r w:rsidRPr="0087485F">
              <w:rPr>
                <w:rFonts w:cstheme="minorHAnsi"/>
                <w:color w:val="000000"/>
                <w:sz w:val="20"/>
                <w:szCs w:val="20"/>
              </w:rPr>
              <w:t>197</w:t>
            </w:r>
          </w:p>
        </w:tc>
        <w:tc>
          <w:tcPr>
            <w:tcW w:w="1134" w:type="dxa"/>
            <w:shd w:val="clear" w:color="auto" w:fill="auto"/>
            <w:vAlign w:val="center"/>
          </w:tcPr>
          <w:p w:rsidR="00D907AF" w:rsidRPr="0087485F" w:rsidRDefault="00D907AF" w:rsidP="00497154">
            <w:pPr>
              <w:spacing w:before="20" w:after="20"/>
              <w:ind w:right="227"/>
              <w:jc w:val="right"/>
              <w:rPr>
                <w:rFonts w:cstheme="minorHAnsi"/>
                <w:color w:val="000000"/>
                <w:sz w:val="20"/>
                <w:szCs w:val="20"/>
              </w:rPr>
            </w:pPr>
            <w:r w:rsidRPr="0087485F">
              <w:rPr>
                <w:rFonts w:cstheme="minorHAnsi"/>
                <w:color w:val="000000"/>
                <w:sz w:val="20"/>
                <w:szCs w:val="20"/>
              </w:rPr>
              <w:t>42.3</w:t>
            </w:r>
          </w:p>
        </w:tc>
      </w:tr>
      <w:tr w:rsidR="00D907AF" w:rsidRPr="00497154" w:rsidTr="004A39F6">
        <w:tc>
          <w:tcPr>
            <w:tcW w:w="1256"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No</w:t>
            </w:r>
          </w:p>
        </w:tc>
        <w:tc>
          <w:tcPr>
            <w:tcW w:w="854" w:type="dxa"/>
            <w:shd w:val="clear" w:color="auto" w:fill="auto"/>
            <w:vAlign w:val="center"/>
          </w:tcPr>
          <w:p w:rsidR="00D907AF" w:rsidRPr="0087485F" w:rsidRDefault="00D907AF" w:rsidP="00497154">
            <w:pPr>
              <w:spacing w:before="20" w:after="20"/>
              <w:ind w:right="113"/>
              <w:jc w:val="right"/>
              <w:rPr>
                <w:rFonts w:cstheme="minorHAnsi"/>
                <w:color w:val="000000"/>
                <w:sz w:val="20"/>
                <w:szCs w:val="20"/>
              </w:rPr>
            </w:pPr>
            <w:r w:rsidRPr="0087485F">
              <w:rPr>
                <w:rFonts w:cstheme="minorHAnsi"/>
                <w:color w:val="000000"/>
                <w:sz w:val="20"/>
                <w:szCs w:val="20"/>
              </w:rPr>
              <w:t>85</w:t>
            </w:r>
          </w:p>
        </w:tc>
        <w:tc>
          <w:tcPr>
            <w:tcW w:w="833" w:type="dxa"/>
            <w:shd w:val="clear" w:color="auto" w:fill="auto"/>
            <w:vAlign w:val="center"/>
          </w:tcPr>
          <w:p w:rsidR="00D907AF" w:rsidRPr="0087485F" w:rsidRDefault="00D907AF" w:rsidP="00497154">
            <w:pPr>
              <w:spacing w:before="20" w:after="20"/>
              <w:ind w:right="113"/>
              <w:jc w:val="right"/>
              <w:rPr>
                <w:rFonts w:cstheme="minorHAnsi"/>
                <w:color w:val="000000"/>
                <w:sz w:val="20"/>
                <w:szCs w:val="20"/>
              </w:rPr>
            </w:pPr>
            <w:r w:rsidRPr="0087485F">
              <w:rPr>
                <w:rFonts w:cstheme="minorHAnsi"/>
                <w:color w:val="000000"/>
                <w:sz w:val="20"/>
                <w:szCs w:val="20"/>
              </w:rPr>
              <w:t>38.0</w:t>
            </w:r>
          </w:p>
        </w:tc>
        <w:tc>
          <w:tcPr>
            <w:tcW w:w="1247" w:type="dxa"/>
            <w:shd w:val="clear" w:color="auto" w:fill="auto"/>
            <w:vAlign w:val="center"/>
          </w:tcPr>
          <w:p w:rsidR="00D907AF" w:rsidRPr="0087485F" w:rsidRDefault="00D907AF" w:rsidP="007C63E4">
            <w:pPr>
              <w:spacing w:before="20" w:after="20"/>
              <w:ind w:right="312"/>
              <w:jc w:val="right"/>
              <w:rPr>
                <w:rFonts w:cstheme="minorHAnsi"/>
                <w:color w:val="000000"/>
                <w:sz w:val="20"/>
                <w:szCs w:val="20"/>
              </w:rPr>
            </w:pPr>
            <w:r w:rsidRPr="0087485F">
              <w:rPr>
                <w:rFonts w:cstheme="minorHAnsi"/>
                <w:color w:val="000000"/>
                <w:sz w:val="20"/>
                <w:szCs w:val="20"/>
              </w:rPr>
              <w:t>66</w:t>
            </w:r>
          </w:p>
        </w:tc>
        <w:tc>
          <w:tcPr>
            <w:tcW w:w="1247" w:type="dxa"/>
            <w:shd w:val="clear" w:color="auto" w:fill="auto"/>
            <w:vAlign w:val="center"/>
          </w:tcPr>
          <w:p w:rsidR="00D907AF" w:rsidRPr="0087485F" w:rsidRDefault="00D907AF" w:rsidP="007C63E4">
            <w:pPr>
              <w:spacing w:before="20" w:after="20"/>
              <w:ind w:right="284"/>
              <w:jc w:val="right"/>
              <w:rPr>
                <w:rFonts w:cstheme="minorHAnsi"/>
                <w:color w:val="000000"/>
                <w:sz w:val="20"/>
                <w:szCs w:val="20"/>
              </w:rPr>
            </w:pPr>
            <w:r w:rsidRPr="0087485F">
              <w:rPr>
                <w:rFonts w:cstheme="minorHAnsi"/>
                <w:color w:val="000000"/>
                <w:sz w:val="20"/>
                <w:szCs w:val="20"/>
              </w:rPr>
              <w:t>27.3</w:t>
            </w:r>
          </w:p>
        </w:tc>
        <w:tc>
          <w:tcPr>
            <w:tcW w:w="992" w:type="dxa"/>
            <w:shd w:val="clear" w:color="auto" w:fill="auto"/>
            <w:vAlign w:val="center"/>
          </w:tcPr>
          <w:p w:rsidR="00D907AF" w:rsidRPr="0087485F" w:rsidRDefault="00D907AF" w:rsidP="00497154">
            <w:pPr>
              <w:spacing w:before="20" w:after="20"/>
              <w:ind w:right="113"/>
              <w:jc w:val="right"/>
              <w:rPr>
                <w:rFonts w:cstheme="minorHAnsi"/>
                <w:color w:val="000000"/>
                <w:sz w:val="20"/>
                <w:szCs w:val="20"/>
              </w:rPr>
            </w:pPr>
            <w:r w:rsidRPr="0087485F">
              <w:rPr>
                <w:rFonts w:cstheme="minorHAnsi"/>
                <w:color w:val="000000"/>
                <w:sz w:val="20"/>
                <w:szCs w:val="20"/>
              </w:rPr>
              <w:t>151</w:t>
            </w:r>
          </w:p>
        </w:tc>
        <w:tc>
          <w:tcPr>
            <w:tcW w:w="1134" w:type="dxa"/>
            <w:shd w:val="clear" w:color="auto" w:fill="auto"/>
            <w:vAlign w:val="center"/>
          </w:tcPr>
          <w:p w:rsidR="00D907AF" w:rsidRPr="0087485F" w:rsidRDefault="00D907AF" w:rsidP="00497154">
            <w:pPr>
              <w:spacing w:before="20" w:after="20"/>
              <w:ind w:right="227"/>
              <w:jc w:val="right"/>
              <w:rPr>
                <w:rFonts w:cstheme="minorHAnsi"/>
                <w:color w:val="000000"/>
                <w:sz w:val="20"/>
                <w:szCs w:val="20"/>
              </w:rPr>
            </w:pPr>
            <w:r w:rsidRPr="0087485F">
              <w:rPr>
                <w:rFonts w:cstheme="minorHAnsi"/>
                <w:color w:val="000000"/>
                <w:sz w:val="20"/>
                <w:szCs w:val="20"/>
              </w:rPr>
              <w:t>32.4</w:t>
            </w:r>
          </w:p>
        </w:tc>
      </w:tr>
      <w:tr w:rsidR="00D907AF" w:rsidRPr="00497154" w:rsidTr="004A39F6">
        <w:tc>
          <w:tcPr>
            <w:tcW w:w="1256" w:type="dxa"/>
          </w:tcPr>
          <w:p w:rsidR="00D907AF" w:rsidRPr="0087485F" w:rsidRDefault="00D907AF" w:rsidP="00D907AF">
            <w:pPr>
              <w:spacing w:before="20" w:after="20"/>
              <w:rPr>
                <w:rFonts w:cstheme="minorHAnsi"/>
                <w:sz w:val="20"/>
                <w:szCs w:val="20"/>
              </w:rPr>
            </w:pPr>
            <w:r w:rsidRPr="0087485F">
              <w:rPr>
                <w:rFonts w:cstheme="minorHAnsi"/>
                <w:sz w:val="20"/>
                <w:szCs w:val="20"/>
              </w:rPr>
              <w:t>Don’t know</w:t>
            </w:r>
          </w:p>
        </w:tc>
        <w:tc>
          <w:tcPr>
            <w:tcW w:w="854" w:type="dxa"/>
          </w:tcPr>
          <w:p w:rsidR="00D907AF" w:rsidRPr="0087485F" w:rsidRDefault="00D907AF" w:rsidP="00497154">
            <w:pPr>
              <w:spacing w:before="20" w:after="20"/>
              <w:ind w:right="113"/>
              <w:jc w:val="right"/>
              <w:rPr>
                <w:rFonts w:cstheme="minorHAnsi"/>
                <w:color w:val="000000"/>
                <w:sz w:val="20"/>
                <w:szCs w:val="20"/>
              </w:rPr>
            </w:pPr>
            <w:r w:rsidRPr="0087485F">
              <w:rPr>
                <w:rFonts w:cstheme="minorHAnsi"/>
                <w:color w:val="000000"/>
                <w:sz w:val="20"/>
                <w:szCs w:val="20"/>
              </w:rPr>
              <w:t>43</w:t>
            </w:r>
          </w:p>
        </w:tc>
        <w:tc>
          <w:tcPr>
            <w:tcW w:w="833" w:type="dxa"/>
          </w:tcPr>
          <w:p w:rsidR="00D907AF" w:rsidRPr="0087485F" w:rsidRDefault="00D907AF" w:rsidP="00497154">
            <w:pPr>
              <w:spacing w:before="20" w:after="20"/>
              <w:ind w:right="113"/>
              <w:jc w:val="right"/>
              <w:rPr>
                <w:rFonts w:cstheme="minorHAnsi"/>
                <w:color w:val="000000"/>
                <w:sz w:val="20"/>
                <w:szCs w:val="20"/>
              </w:rPr>
            </w:pPr>
            <w:r w:rsidRPr="0087485F">
              <w:rPr>
                <w:rFonts w:cstheme="minorHAnsi"/>
                <w:color w:val="000000"/>
                <w:sz w:val="20"/>
                <w:szCs w:val="20"/>
              </w:rPr>
              <w:t>19.2</w:t>
            </w:r>
          </w:p>
        </w:tc>
        <w:tc>
          <w:tcPr>
            <w:tcW w:w="1247" w:type="dxa"/>
          </w:tcPr>
          <w:p w:rsidR="00D907AF" w:rsidRPr="0087485F" w:rsidRDefault="00D907AF" w:rsidP="007C63E4">
            <w:pPr>
              <w:spacing w:before="20" w:after="20"/>
              <w:ind w:right="312"/>
              <w:jc w:val="right"/>
              <w:rPr>
                <w:rFonts w:cstheme="minorHAnsi"/>
                <w:color w:val="000000"/>
                <w:sz w:val="20"/>
                <w:szCs w:val="20"/>
              </w:rPr>
            </w:pPr>
            <w:r w:rsidRPr="0087485F">
              <w:rPr>
                <w:rFonts w:cstheme="minorHAnsi"/>
                <w:color w:val="000000"/>
                <w:sz w:val="20"/>
                <w:szCs w:val="20"/>
              </w:rPr>
              <w:t>41</w:t>
            </w:r>
          </w:p>
        </w:tc>
        <w:tc>
          <w:tcPr>
            <w:tcW w:w="1247" w:type="dxa"/>
          </w:tcPr>
          <w:p w:rsidR="00D907AF" w:rsidRPr="0087485F" w:rsidRDefault="00D907AF" w:rsidP="007C63E4">
            <w:pPr>
              <w:spacing w:before="20" w:after="20"/>
              <w:ind w:right="284"/>
              <w:jc w:val="right"/>
              <w:rPr>
                <w:rFonts w:cstheme="minorHAnsi"/>
                <w:color w:val="000000"/>
                <w:sz w:val="20"/>
                <w:szCs w:val="20"/>
              </w:rPr>
            </w:pPr>
            <w:r w:rsidRPr="0087485F">
              <w:rPr>
                <w:rFonts w:cstheme="minorHAnsi"/>
                <w:color w:val="000000"/>
                <w:sz w:val="20"/>
                <w:szCs w:val="20"/>
              </w:rPr>
              <w:t>16.9</w:t>
            </w:r>
          </w:p>
        </w:tc>
        <w:tc>
          <w:tcPr>
            <w:tcW w:w="992" w:type="dxa"/>
          </w:tcPr>
          <w:p w:rsidR="00D907AF" w:rsidRPr="0087485F" w:rsidRDefault="00D907AF" w:rsidP="00497154">
            <w:pPr>
              <w:spacing w:before="20" w:after="20"/>
              <w:ind w:right="113"/>
              <w:jc w:val="right"/>
              <w:rPr>
                <w:rFonts w:cstheme="minorHAnsi"/>
                <w:color w:val="000000"/>
                <w:sz w:val="20"/>
                <w:szCs w:val="20"/>
              </w:rPr>
            </w:pPr>
            <w:r w:rsidRPr="0087485F">
              <w:rPr>
                <w:rFonts w:cstheme="minorHAnsi"/>
                <w:color w:val="000000"/>
                <w:sz w:val="20"/>
                <w:szCs w:val="20"/>
              </w:rPr>
              <w:t>84</w:t>
            </w:r>
          </w:p>
        </w:tc>
        <w:tc>
          <w:tcPr>
            <w:tcW w:w="1134" w:type="dxa"/>
          </w:tcPr>
          <w:p w:rsidR="00D907AF" w:rsidRPr="0087485F" w:rsidRDefault="00D907AF" w:rsidP="00497154">
            <w:pPr>
              <w:spacing w:before="20" w:after="20"/>
              <w:ind w:right="227"/>
              <w:jc w:val="right"/>
              <w:rPr>
                <w:rFonts w:cstheme="minorHAnsi"/>
                <w:color w:val="000000"/>
                <w:sz w:val="20"/>
                <w:szCs w:val="20"/>
              </w:rPr>
            </w:pPr>
            <w:r w:rsidRPr="0087485F">
              <w:rPr>
                <w:rFonts w:cstheme="minorHAnsi"/>
                <w:color w:val="000000"/>
                <w:sz w:val="20"/>
                <w:szCs w:val="20"/>
              </w:rPr>
              <w:t>18.0</w:t>
            </w:r>
          </w:p>
        </w:tc>
      </w:tr>
      <w:tr w:rsidR="00D907AF" w:rsidRPr="00497154" w:rsidTr="004A39F6">
        <w:tc>
          <w:tcPr>
            <w:tcW w:w="1256" w:type="dxa"/>
            <w:tcBorders>
              <w:bottom w:val="single" w:sz="4" w:space="0" w:color="auto"/>
            </w:tcBorders>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 xml:space="preserve">Missing </w:t>
            </w:r>
          </w:p>
        </w:tc>
        <w:tc>
          <w:tcPr>
            <w:tcW w:w="854" w:type="dxa"/>
            <w:tcBorders>
              <w:bottom w:val="single" w:sz="4" w:space="0" w:color="auto"/>
            </w:tcBorders>
            <w:shd w:val="clear" w:color="auto" w:fill="auto"/>
            <w:vAlign w:val="center"/>
          </w:tcPr>
          <w:p w:rsidR="00D907AF" w:rsidRPr="0087485F" w:rsidRDefault="00D907AF" w:rsidP="00497154">
            <w:pPr>
              <w:spacing w:before="20" w:after="20"/>
              <w:ind w:right="113"/>
              <w:jc w:val="right"/>
              <w:rPr>
                <w:rFonts w:cstheme="minorHAnsi"/>
                <w:color w:val="000000"/>
                <w:sz w:val="20"/>
                <w:szCs w:val="20"/>
              </w:rPr>
            </w:pPr>
            <w:r w:rsidRPr="0087485F">
              <w:rPr>
                <w:rFonts w:cstheme="minorHAnsi"/>
                <w:color w:val="000000"/>
                <w:sz w:val="20"/>
                <w:szCs w:val="20"/>
              </w:rPr>
              <w:t>15</w:t>
            </w:r>
          </w:p>
        </w:tc>
        <w:tc>
          <w:tcPr>
            <w:tcW w:w="833" w:type="dxa"/>
            <w:tcBorders>
              <w:bottom w:val="single" w:sz="4" w:space="0" w:color="auto"/>
            </w:tcBorders>
            <w:shd w:val="clear" w:color="auto" w:fill="auto"/>
            <w:vAlign w:val="center"/>
          </w:tcPr>
          <w:p w:rsidR="00D907AF" w:rsidRPr="0087485F" w:rsidRDefault="00D907AF" w:rsidP="00497154">
            <w:pPr>
              <w:spacing w:before="20" w:after="20"/>
              <w:ind w:right="113"/>
              <w:jc w:val="right"/>
              <w:rPr>
                <w:rFonts w:cstheme="minorHAnsi"/>
                <w:color w:val="000000"/>
                <w:sz w:val="20"/>
                <w:szCs w:val="20"/>
              </w:rPr>
            </w:pPr>
            <w:r w:rsidRPr="0087485F">
              <w:rPr>
                <w:rFonts w:cstheme="minorHAnsi"/>
                <w:color w:val="000000"/>
                <w:sz w:val="20"/>
                <w:szCs w:val="20"/>
              </w:rPr>
              <w:t>6.7</w:t>
            </w:r>
          </w:p>
        </w:tc>
        <w:tc>
          <w:tcPr>
            <w:tcW w:w="1247" w:type="dxa"/>
            <w:tcBorders>
              <w:bottom w:val="single" w:sz="4" w:space="0" w:color="auto"/>
            </w:tcBorders>
            <w:shd w:val="clear" w:color="auto" w:fill="auto"/>
            <w:vAlign w:val="center"/>
          </w:tcPr>
          <w:p w:rsidR="00D907AF" w:rsidRPr="0087485F" w:rsidRDefault="00D907AF" w:rsidP="007C63E4">
            <w:pPr>
              <w:spacing w:before="20" w:after="20"/>
              <w:ind w:right="312"/>
              <w:jc w:val="right"/>
              <w:rPr>
                <w:rFonts w:cstheme="minorHAnsi"/>
                <w:color w:val="000000"/>
                <w:sz w:val="20"/>
                <w:szCs w:val="20"/>
              </w:rPr>
            </w:pPr>
            <w:r w:rsidRPr="0087485F">
              <w:rPr>
                <w:rFonts w:cstheme="minorHAnsi"/>
                <w:color w:val="000000"/>
                <w:sz w:val="20"/>
                <w:szCs w:val="20"/>
              </w:rPr>
              <w:t>19</w:t>
            </w:r>
          </w:p>
        </w:tc>
        <w:tc>
          <w:tcPr>
            <w:tcW w:w="1247" w:type="dxa"/>
            <w:tcBorders>
              <w:bottom w:val="single" w:sz="4" w:space="0" w:color="auto"/>
            </w:tcBorders>
            <w:shd w:val="clear" w:color="auto" w:fill="auto"/>
            <w:vAlign w:val="center"/>
          </w:tcPr>
          <w:p w:rsidR="00D907AF" w:rsidRPr="0087485F" w:rsidRDefault="00D907AF" w:rsidP="007C63E4">
            <w:pPr>
              <w:spacing w:before="20" w:after="20"/>
              <w:ind w:right="284"/>
              <w:jc w:val="right"/>
              <w:rPr>
                <w:rFonts w:cstheme="minorHAnsi"/>
                <w:color w:val="000000"/>
                <w:sz w:val="20"/>
                <w:szCs w:val="20"/>
              </w:rPr>
            </w:pPr>
            <w:r w:rsidRPr="0087485F">
              <w:rPr>
                <w:rFonts w:cstheme="minorHAnsi"/>
                <w:color w:val="000000"/>
                <w:sz w:val="20"/>
                <w:szCs w:val="20"/>
              </w:rPr>
              <w:t>7.9</w:t>
            </w:r>
          </w:p>
        </w:tc>
        <w:tc>
          <w:tcPr>
            <w:tcW w:w="992" w:type="dxa"/>
            <w:tcBorders>
              <w:bottom w:val="single" w:sz="4" w:space="0" w:color="auto"/>
            </w:tcBorders>
            <w:shd w:val="clear" w:color="auto" w:fill="auto"/>
            <w:vAlign w:val="center"/>
          </w:tcPr>
          <w:p w:rsidR="00D907AF" w:rsidRPr="0087485F" w:rsidRDefault="00D907AF" w:rsidP="00497154">
            <w:pPr>
              <w:spacing w:before="20" w:after="20"/>
              <w:ind w:right="113"/>
              <w:jc w:val="right"/>
              <w:rPr>
                <w:rFonts w:cstheme="minorHAnsi"/>
                <w:color w:val="000000"/>
                <w:sz w:val="20"/>
                <w:szCs w:val="20"/>
              </w:rPr>
            </w:pPr>
            <w:r w:rsidRPr="0087485F">
              <w:rPr>
                <w:rFonts w:cstheme="minorHAnsi"/>
                <w:color w:val="000000"/>
                <w:sz w:val="20"/>
                <w:szCs w:val="20"/>
              </w:rPr>
              <w:t>34</w:t>
            </w:r>
          </w:p>
        </w:tc>
        <w:tc>
          <w:tcPr>
            <w:tcW w:w="1134" w:type="dxa"/>
            <w:tcBorders>
              <w:bottom w:val="single" w:sz="4" w:space="0" w:color="auto"/>
            </w:tcBorders>
            <w:shd w:val="clear" w:color="auto" w:fill="auto"/>
            <w:vAlign w:val="center"/>
          </w:tcPr>
          <w:p w:rsidR="00D907AF" w:rsidRPr="0087485F" w:rsidRDefault="00D907AF" w:rsidP="00497154">
            <w:pPr>
              <w:spacing w:before="20" w:after="20"/>
              <w:ind w:right="227"/>
              <w:jc w:val="right"/>
              <w:rPr>
                <w:rFonts w:cstheme="minorHAnsi"/>
                <w:color w:val="000000"/>
                <w:sz w:val="20"/>
                <w:szCs w:val="20"/>
              </w:rPr>
            </w:pPr>
            <w:r w:rsidRPr="0087485F">
              <w:rPr>
                <w:rFonts w:cstheme="minorHAnsi"/>
                <w:color w:val="000000"/>
                <w:sz w:val="20"/>
                <w:szCs w:val="20"/>
              </w:rPr>
              <w:t>7.3</w:t>
            </w:r>
          </w:p>
        </w:tc>
      </w:tr>
      <w:tr w:rsidR="00D907AF" w:rsidRPr="00497154" w:rsidTr="004A39F6">
        <w:tc>
          <w:tcPr>
            <w:tcW w:w="1256" w:type="dxa"/>
            <w:tcBorders>
              <w:top w:val="single" w:sz="4" w:space="0" w:color="auto"/>
              <w:bottom w:val="single" w:sz="4" w:space="0" w:color="auto"/>
            </w:tcBorders>
            <w:shd w:val="clear" w:color="auto" w:fill="auto"/>
          </w:tcPr>
          <w:p w:rsidR="00D907AF" w:rsidRPr="0087485F" w:rsidRDefault="00D907AF" w:rsidP="00D907AF">
            <w:pPr>
              <w:spacing w:before="20" w:after="20"/>
              <w:rPr>
                <w:rFonts w:cstheme="minorHAnsi"/>
                <w:b/>
                <w:sz w:val="20"/>
                <w:szCs w:val="20"/>
              </w:rPr>
            </w:pPr>
            <w:r w:rsidRPr="0087485F">
              <w:rPr>
                <w:rFonts w:cstheme="minorHAnsi"/>
                <w:b/>
                <w:sz w:val="20"/>
                <w:szCs w:val="20"/>
              </w:rPr>
              <w:t>Total</w:t>
            </w:r>
          </w:p>
        </w:tc>
        <w:tc>
          <w:tcPr>
            <w:tcW w:w="854" w:type="dxa"/>
            <w:tcBorders>
              <w:top w:val="single" w:sz="4" w:space="0" w:color="auto"/>
              <w:bottom w:val="single" w:sz="4" w:space="0" w:color="auto"/>
            </w:tcBorders>
            <w:shd w:val="clear" w:color="auto" w:fill="auto"/>
          </w:tcPr>
          <w:p w:rsidR="00D907AF" w:rsidRPr="0087485F" w:rsidRDefault="00D907AF" w:rsidP="00497154">
            <w:pPr>
              <w:spacing w:before="20" w:after="20"/>
              <w:ind w:right="113"/>
              <w:jc w:val="right"/>
              <w:rPr>
                <w:rFonts w:cstheme="minorHAnsi"/>
                <w:b/>
                <w:sz w:val="20"/>
                <w:szCs w:val="20"/>
              </w:rPr>
            </w:pPr>
            <w:r w:rsidRPr="0087485F">
              <w:rPr>
                <w:rFonts w:cstheme="minorHAnsi"/>
                <w:b/>
                <w:sz w:val="20"/>
                <w:szCs w:val="20"/>
              </w:rPr>
              <w:t>224</w:t>
            </w:r>
          </w:p>
        </w:tc>
        <w:tc>
          <w:tcPr>
            <w:tcW w:w="833" w:type="dxa"/>
            <w:tcBorders>
              <w:top w:val="single" w:sz="4" w:space="0" w:color="auto"/>
              <w:bottom w:val="single" w:sz="4" w:space="0" w:color="auto"/>
            </w:tcBorders>
            <w:shd w:val="clear" w:color="auto" w:fill="auto"/>
          </w:tcPr>
          <w:p w:rsidR="00D907AF" w:rsidRPr="0087485F" w:rsidRDefault="00D907AF" w:rsidP="00497154">
            <w:pPr>
              <w:spacing w:before="20" w:after="20"/>
              <w:ind w:right="113"/>
              <w:jc w:val="right"/>
              <w:rPr>
                <w:rFonts w:cstheme="minorHAnsi"/>
                <w:b/>
                <w:sz w:val="20"/>
                <w:szCs w:val="20"/>
              </w:rPr>
            </w:pPr>
            <w:r w:rsidRPr="0087485F">
              <w:rPr>
                <w:rFonts w:cstheme="minorHAnsi"/>
                <w:b/>
                <w:sz w:val="20"/>
                <w:szCs w:val="20"/>
              </w:rPr>
              <w:t>100</w:t>
            </w:r>
          </w:p>
        </w:tc>
        <w:tc>
          <w:tcPr>
            <w:tcW w:w="1247" w:type="dxa"/>
            <w:tcBorders>
              <w:top w:val="single" w:sz="4" w:space="0" w:color="auto"/>
              <w:bottom w:val="single" w:sz="4" w:space="0" w:color="auto"/>
            </w:tcBorders>
            <w:shd w:val="clear" w:color="auto" w:fill="auto"/>
          </w:tcPr>
          <w:p w:rsidR="00D907AF" w:rsidRPr="0087485F" w:rsidRDefault="00D907AF" w:rsidP="007C63E4">
            <w:pPr>
              <w:spacing w:before="20" w:after="20"/>
              <w:ind w:right="312"/>
              <w:jc w:val="right"/>
              <w:rPr>
                <w:rFonts w:cstheme="minorHAnsi"/>
                <w:b/>
                <w:sz w:val="20"/>
                <w:szCs w:val="20"/>
              </w:rPr>
            </w:pPr>
            <w:r w:rsidRPr="0087485F">
              <w:rPr>
                <w:rFonts w:cstheme="minorHAnsi"/>
                <w:b/>
                <w:sz w:val="20"/>
                <w:szCs w:val="20"/>
              </w:rPr>
              <w:t>242</w:t>
            </w:r>
          </w:p>
        </w:tc>
        <w:tc>
          <w:tcPr>
            <w:tcW w:w="1247" w:type="dxa"/>
            <w:tcBorders>
              <w:top w:val="single" w:sz="4" w:space="0" w:color="auto"/>
              <w:bottom w:val="single" w:sz="4" w:space="0" w:color="auto"/>
            </w:tcBorders>
            <w:shd w:val="clear" w:color="auto" w:fill="auto"/>
          </w:tcPr>
          <w:p w:rsidR="00D907AF" w:rsidRPr="0087485F" w:rsidRDefault="00D907AF" w:rsidP="007C63E4">
            <w:pPr>
              <w:spacing w:before="20" w:after="20"/>
              <w:ind w:right="284"/>
              <w:jc w:val="right"/>
              <w:rPr>
                <w:rFonts w:cstheme="minorHAnsi"/>
                <w:b/>
                <w:sz w:val="20"/>
                <w:szCs w:val="20"/>
              </w:rPr>
            </w:pPr>
            <w:r w:rsidRPr="0087485F">
              <w:rPr>
                <w:rFonts w:cstheme="minorHAnsi"/>
                <w:b/>
                <w:sz w:val="20"/>
                <w:szCs w:val="20"/>
              </w:rPr>
              <w:t>100</w:t>
            </w:r>
          </w:p>
        </w:tc>
        <w:tc>
          <w:tcPr>
            <w:tcW w:w="992" w:type="dxa"/>
            <w:tcBorders>
              <w:top w:val="single" w:sz="4" w:space="0" w:color="auto"/>
              <w:bottom w:val="single" w:sz="4" w:space="0" w:color="auto"/>
            </w:tcBorders>
            <w:shd w:val="clear" w:color="auto" w:fill="auto"/>
          </w:tcPr>
          <w:p w:rsidR="00D907AF" w:rsidRPr="0087485F" w:rsidRDefault="00D907AF" w:rsidP="00497154">
            <w:pPr>
              <w:spacing w:before="20" w:after="20"/>
              <w:ind w:right="113"/>
              <w:jc w:val="right"/>
              <w:rPr>
                <w:rFonts w:cstheme="minorHAnsi"/>
                <w:b/>
                <w:sz w:val="20"/>
                <w:szCs w:val="20"/>
              </w:rPr>
            </w:pPr>
            <w:r w:rsidRPr="0087485F">
              <w:rPr>
                <w:rFonts w:cstheme="minorHAnsi"/>
                <w:b/>
                <w:sz w:val="20"/>
                <w:szCs w:val="20"/>
              </w:rPr>
              <w:t>466</w:t>
            </w:r>
          </w:p>
        </w:tc>
        <w:tc>
          <w:tcPr>
            <w:tcW w:w="1134" w:type="dxa"/>
            <w:tcBorders>
              <w:top w:val="single" w:sz="4" w:space="0" w:color="auto"/>
              <w:bottom w:val="single" w:sz="4" w:space="0" w:color="auto"/>
            </w:tcBorders>
            <w:shd w:val="clear" w:color="auto" w:fill="auto"/>
          </w:tcPr>
          <w:p w:rsidR="00D907AF" w:rsidRPr="00497154" w:rsidRDefault="00D907AF" w:rsidP="00497154">
            <w:pPr>
              <w:spacing w:before="20" w:after="20"/>
              <w:ind w:right="227"/>
              <w:jc w:val="right"/>
              <w:rPr>
                <w:rFonts w:cstheme="minorHAnsi"/>
                <w:b/>
                <w:color w:val="000000"/>
                <w:sz w:val="20"/>
                <w:szCs w:val="20"/>
              </w:rPr>
            </w:pPr>
            <w:r w:rsidRPr="00497154">
              <w:rPr>
                <w:rFonts w:cstheme="minorHAnsi"/>
                <w:b/>
                <w:color w:val="000000"/>
                <w:sz w:val="20"/>
                <w:szCs w:val="20"/>
              </w:rPr>
              <w:t>100</w:t>
            </w:r>
          </w:p>
        </w:tc>
      </w:tr>
    </w:tbl>
    <w:p w:rsidR="00D907AF" w:rsidRDefault="00D907AF" w:rsidP="006C7BE7">
      <w:pPr>
        <w:pStyle w:val="NILSTabletext"/>
      </w:pPr>
      <w:r w:rsidRPr="00EE511C">
        <w:t xml:space="preserve">Note: </w:t>
      </w:r>
      <w:r>
        <w:t>t</w:t>
      </w:r>
      <w:r w:rsidRPr="00EE511C">
        <w:t xml:space="preserve">rial and </w:t>
      </w:r>
      <w:r>
        <w:t>c</w:t>
      </w:r>
      <w:r w:rsidRPr="00EE511C">
        <w:t xml:space="preserve">omparison </w:t>
      </w:r>
      <w:r>
        <w:t>s</w:t>
      </w:r>
      <w:r w:rsidRPr="00EE511C">
        <w:t>tandard</w:t>
      </w:r>
      <w:r>
        <w:t xml:space="preserve"> questionnaire </w:t>
      </w:r>
      <w:r w:rsidRPr="00EE511C">
        <w:t>aged 16 and above</w:t>
      </w:r>
      <w:r>
        <w:t>.</w:t>
      </w:r>
    </w:p>
    <w:p w:rsidR="00426728" w:rsidRDefault="00426728">
      <w:r>
        <w:br w:type="page"/>
      </w:r>
    </w:p>
    <w:p w:rsidR="00D907AF" w:rsidRDefault="00D907AF" w:rsidP="00D907AF">
      <w:r>
        <w:lastRenderedPageBreak/>
        <w:t>Table 3.</w:t>
      </w:r>
      <w:r>
        <w:rPr>
          <w:rFonts w:hint="eastAsia"/>
        </w:rPr>
        <w:t>56</w:t>
      </w:r>
      <w:r>
        <w:t xml:space="preserve"> looks further into the preferences of those who reported they would like a place of their own. Only 30.5 per cent of respondents answered they would like to do this in the next two years with a majority of 52.2 per cent reporting a preference to do it ‘later’ and 17.3 per cent reported they did not know when they would like to do it. </w:t>
      </w:r>
    </w:p>
    <w:p w:rsidR="00CC1E9C" w:rsidRDefault="00CC1E9C" w:rsidP="00D907AF"/>
    <w:p w:rsidR="00D907AF" w:rsidRPr="00233E8A" w:rsidRDefault="00D907AF" w:rsidP="0044684E">
      <w:pPr>
        <w:pStyle w:val="NILSTableHeading"/>
      </w:pPr>
      <w:bookmarkStart w:id="416" w:name="_Toc428280708"/>
      <w:bookmarkStart w:id="417" w:name="_Toc449955318"/>
      <w:r w:rsidRPr="00233E8A">
        <w:t xml:space="preserve">Table </w:t>
      </w:r>
      <w:r>
        <w:rPr>
          <w:rFonts w:hint="eastAsia"/>
        </w:rPr>
        <w:t>3.5</w:t>
      </w:r>
      <w:r>
        <w:t>6</w:t>
      </w:r>
      <w:r w:rsidRPr="00233E8A">
        <w:t xml:space="preserve">: </w:t>
      </w:r>
      <w:r>
        <w:rPr>
          <w:rFonts w:hint="eastAsia"/>
        </w:rPr>
        <w:t>When would</w:t>
      </w:r>
      <w:r w:rsidR="00B723C8">
        <w:rPr>
          <w:lang w:val="en-AU"/>
        </w:rPr>
        <w:t xml:space="preserve"> he/she</w:t>
      </w:r>
      <w:r w:rsidR="00965F57">
        <w:rPr>
          <w:lang w:val="en-AU"/>
        </w:rPr>
        <w:t xml:space="preserve"> </w:t>
      </w:r>
      <w:r>
        <w:rPr>
          <w:rFonts w:hint="eastAsia"/>
        </w:rPr>
        <w:t>like to live on his/her own</w:t>
      </w:r>
      <w:bookmarkEnd w:id="416"/>
      <w:bookmarkEnd w:id="417"/>
      <w:r>
        <w:rPr>
          <w:rFonts w:hint="eastAsia"/>
        </w:rPr>
        <w:t xml:space="preserve"> </w:t>
      </w:r>
    </w:p>
    <w:tbl>
      <w:tblPr>
        <w:tblStyle w:val="TableGrid"/>
        <w:tblW w:w="0" w:type="auto"/>
        <w:tblLayout w:type="fixed"/>
        <w:tblLook w:val="04A0" w:firstRow="1" w:lastRow="0" w:firstColumn="1" w:lastColumn="0" w:noHBand="0" w:noVBand="1"/>
        <w:tblCaption w:val="Table 3.56 When would he/she like to live on his/her own "/>
      </w:tblPr>
      <w:tblGrid>
        <w:gridCol w:w="1256"/>
        <w:gridCol w:w="854"/>
        <w:gridCol w:w="833"/>
        <w:gridCol w:w="1276"/>
        <w:gridCol w:w="1418"/>
        <w:gridCol w:w="1014"/>
        <w:gridCol w:w="1254"/>
      </w:tblGrid>
      <w:tr w:rsidR="006E2CE9" w:rsidRPr="0087485F" w:rsidTr="00216886">
        <w:trPr>
          <w:tblHeader/>
        </w:trPr>
        <w:tc>
          <w:tcPr>
            <w:tcW w:w="1256" w:type="dxa"/>
            <w:tcBorders>
              <w:top w:val="single" w:sz="4" w:space="0" w:color="auto"/>
              <w:bottom w:val="single" w:sz="4" w:space="0" w:color="auto"/>
            </w:tcBorders>
            <w:shd w:val="clear" w:color="auto" w:fill="auto"/>
          </w:tcPr>
          <w:p w:rsidR="006E2CE9" w:rsidRPr="0087485F" w:rsidRDefault="006E2CE9" w:rsidP="00DA7BC5">
            <w:pPr>
              <w:spacing w:before="20" w:after="20"/>
              <w:rPr>
                <w:rFonts w:cstheme="minorHAnsi"/>
                <w:sz w:val="20"/>
                <w:szCs w:val="20"/>
              </w:rPr>
            </w:pPr>
            <w:bookmarkStart w:id="418" w:name="Title_3_56"/>
            <w:bookmarkEnd w:id="418"/>
          </w:p>
        </w:tc>
        <w:tc>
          <w:tcPr>
            <w:tcW w:w="854" w:type="dxa"/>
            <w:tcBorders>
              <w:top w:val="single" w:sz="4" w:space="0" w:color="auto"/>
              <w:bottom w:val="single" w:sz="4" w:space="0" w:color="auto"/>
            </w:tcBorders>
            <w:shd w:val="clear" w:color="auto" w:fill="auto"/>
          </w:tcPr>
          <w:p w:rsidR="006E2CE9" w:rsidRPr="0087485F" w:rsidRDefault="006E2CE9" w:rsidP="00DA7BC5">
            <w:pPr>
              <w:spacing w:before="20" w:after="20"/>
              <w:jc w:val="center"/>
              <w:rPr>
                <w:rFonts w:cstheme="minorHAnsi"/>
                <w:sz w:val="20"/>
                <w:szCs w:val="20"/>
              </w:rPr>
            </w:pPr>
            <w:r>
              <w:rPr>
                <w:rFonts w:cstheme="minorHAnsi"/>
                <w:sz w:val="20"/>
                <w:szCs w:val="20"/>
              </w:rPr>
              <w:t>Trial</w:t>
            </w:r>
            <w:r w:rsidR="006E2A49">
              <w:rPr>
                <w:rFonts w:cstheme="minorHAnsi"/>
                <w:sz w:val="20"/>
                <w:szCs w:val="20"/>
              </w:rPr>
              <w:t xml:space="preserve"> Cases</w:t>
            </w:r>
          </w:p>
        </w:tc>
        <w:tc>
          <w:tcPr>
            <w:tcW w:w="833" w:type="dxa"/>
            <w:tcBorders>
              <w:top w:val="single" w:sz="4" w:space="0" w:color="auto"/>
              <w:bottom w:val="single" w:sz="4" w:space="0" w:color="auto"/>
            </w:tcBorders>
            <w:shd w:val="clear" w:color="auto" w:fill="auto"/>
          </w:tcPr>
          <w:p w:rsidR="00B8777F" w:rsidRDefault="006E2CE9" w:rsidP="00DA7BC5">
            <w:pPr>
              <w:spacing w:before="20" w:after="20"/>
              <w:jc w:val="center"/>
              <w:rPr>
                <w:rFonts w:cstheme="minorHAnsi"/>
                <w:sz w:val="20"/>
                <w:szCs w:val="20"/>
              </w:rPr>
            </w:pPr>
            <w:r>
              <w:rPr>
                <w:rFonts w:cstheme="minorHAnsi"/>
                <w:sz w:val="20"/>
                <w:szCs w:val="20"/>
              </w:rPr>
              <w:t xml:space="preserve">Trial </w:t>
            </w:r>
          </w:p>
          <w:p w:rsidR="006E2CE9" w:rsidRPr="0087485F" w:rsidRDefault="006E2CE9" w:rsidP="00DA7BC5">
            <w:pPr>
              <w:spacing w:before="20" w:after="20"/>
              <w:jc w:val="center"/>
              <w:rPr>
                <w:rFonts w:cstheme="minorHAnsi"/>
                <w:sz w:val="20"/>
                <w:szCs w:val="20"/>
              </w:rPr>
            </w:pPr>
            <w:r w:rsidRPr="0087485F">
              <w:rPr>
                <w:rFonts w:cstheme="minorHAnsi"/>
                <w:sz w:val="20"/>
                <w:szCs w:val="20"/>
              </w:rPr>
              <w:t>%</w:t>
            </w:r>
          </w:p>
        </w:tc>
        <w:tc>
          <w:tcPr>
            <w:tcW w:w="1276" w:type="dxa"/>
            <w:tcBorders>
              <w:top w:val="single" w:sz="4" w:space="0" w:color="auto"/>
              <w:bottom w:val="single" w:sz="4" w:space="0" w:color="auto"/>
            </w:tcBorders>
            <w:shd w:val="clear" w:color="auto" w:fill="auto"/>
          </w:tcPr>
          <w:p w:rsidR="006E2CE9" w:rsidRPr="0087485F" w:rsidRDefault="006E2CE9" w:rsidP="00DA7BC5">
            <w:pPr>
              <w:spacing w:before="20" w:after="20"/>
              <w:jc w:val="center"/>
              <w:rPr>
                <w:rFonts w:cstheme="minorHAnsi"/>
                <w:sz w:val="20"/>
                <w:szCs w:val="20"/>
              </w:rPr>
            </w:pPr>
            <w:r>
              <w:rPr>
                <w:rFonts w:cstheme="minorHAnsi"/>
                <w:sz w:val="20"/>
                <w:szCs w:val="20"/>
              </w:rPr>
              <w:t>Comparison</w:t>
            </w:r>
            <w:r w:rsidR="006E2A49">
              <w:rPr>
                <w:rFonts w:cstheme="minorHAnsi"/>
                <w:sz w:val="20"/>
                <w:szCs w:val="20"/>
              </w:rPr>
              <w:t xml:space="preserve"> Cases</w:t>
            </w:r>
          </w:p>
        </w:tc>
        <w:tc>
          <w:tcPr>
            <w:tcW w:w="1418" w:type="dxa"/>
            <w:tcBorders>
              <w:top w:val="single" w:sz="4" w:space="0" w:color="auto"/>
              <w:bottom w:val="single" w:sz="4" w:space="0" w:color="auto"/>
            </w:tcBorders>
            <w:shd w:val="clear" w:color="auto" w:fill="auto"/>
          </w:tcPr>
          <w:p w:rsidR="00B8777F" w:rsidRDefault="006E2CE9" w:rsidP="00DA7BC5">
            <w:pPr>
              <w:spacing w:before="20" w:after="20"/>
              <w:jc w:val="center"/>
              <w:rPr>
                <w:rFonts w:cstheme="minorHAnsi"/>
                <w:sz w:val="20"/>
                <w:szCs w:val="20"/>
              </w:rPr>
            </w:pPr>
            <w:r>
              <w:rPr>
                <w:rFonts w:cstheme="minorHAnsi"/>
                <w:sz w:val="20"/>
                <w:szCs w:val="20"/>
              </w:rPr>
              <w:t xml:space="preserve">Comparison </w:t>
            </w:r>
          </w:p>
          <w:p w:rsidR="006E2CE9" w:rsidRPr="0087485F" w:rsidRDefault="006E2CE9" w:rsidP="00DA7BC5">
            <w:pPr>
              <w:spacing w:before="20" w:after="20"/>
              <w:jc w:val="center"/>
              <w:rPr>
                <w:rFonts w:cstheme="minorHAnsi"/>
                <w:sz w:val="20"/>
                <w:szCs w:val="20"/>
              </w:rPr>
            </w:pPr>
            <w:r w:rsidRPr="0087485F">
              <w:rPr>
                <w:rFonts w:cstheme="minorHAnsi"/>
                <w:sz w:val="20"/>
                <w:szCs w:val="20"/>
              </w:rPr>
              <w:t>%</w:t>
            </w:r>
          </w:p>
        </w:tc>
        <w:tc>
          <w:tcPr>
            <w:tcW w:w="1014" w:type="dxa"/>
            <w:tcBorders>
              <w:top w:val="single" w:sz="4" w:space="0" w:color="auto"/>
              <w:bottom w:val="single" w:sz="4" w:space="0" w:color="auto"/>
            </w:tcBorders>
            <w:shd w:val="clear" w:color="auto" w:fill="auto"/>
          </w:tcPr>
          <w:p w:rsidR="006E2CE9" w:rsidRPr="0087485F" w:rsidRDefault="006E2CE9" w:rsidP="00DA7BC5">
            <w:pPr>
              <w:spacing w:before="20" w:after="20"/>
              <w:jc w:val="center"/>
              <w:rPr>
                <w:rFonts w:cstheme="minorHAnsi"/>
                <w:sz w:val="20"/>
                <w:szCs w:val="20"/>
              </w:rPr>
            </w:pPr>
            <w:r>
              <w:rPr>
                <w:rFonts w:cstheme="minorHAnsi"/>
                <w:sz w:val="20"/>
                <w:szCs w:val="20"/>
              </w:rPr>
              <w:t>Total</w:t>
            </w:r>
            <w:r w:rsidR="006E2A49">
              <w:rPr>
                <w:rFonts w:cstheme="minorHAnsi"/>
                <w:sz w:val="20"/>
                <w:szCs w:val="20"/>
              </w:rPr>
              <w:t xml:space="preserve"> Cases</w:t>
            </w:r>
          </w:p>
        </w:tc>
        <w:tc>
          <w:tcPr>
            <w:tcW w:w="1254" w:type="dxa"/>
            <w:tcBorders>
              <w:top w:val="single" w:sz="4" w:space="0" w:color="auto"/>
              <w:bottom w:val="single" w:sz="4" w:space="0" w:color="auto"/>
            </w:tcBorders>
            <w:shd w:val="clear" w:color="auto" w:fill="auto"/>
          </w:tcPr>
          <w:p w:rsidR="00B8777F" w:rsidRDefault="006E2CE9" w:rsidP="00DA7BC5">
            <w:pPr>
              <w:spacing w:before="20" w:after="20"/>
              <w:jc w:val="center"/>
              <w:rPr>
                <w:rFonts w:cstheme="minorHAnsi"/>
                <w:sz w:val="20"/>
                <w:szCs w:val="20"/>
              </w:rPr>
            </w:pPr>
            <w:r>
              <w:rPr>
                <w:rFonts w:cstheme="minorHAnsi"/>
                <w:sz w:val="20"/>
                <w:szCs w:val="20"/>
              </w:rPr>
              <w:t>Total</w:t>
            </w:r>
          </w:p>
          <w:p w:rsidR="006E2CE9" w:rsidRPr="0087485F" w:rsidRDefault="006E2CE9" w:rsidP="00DA7BC5">
            <w:pPr>
              <w:spacing w:before="20" w:after="20"/>
              <w:jc w:val="center"/>
              <w:rPr>
                <w:rFonts w:cstheme="minorHAnsi"/>
                <w:sz w:val="20"/>
                <w:szCs w:val="20"/>
              </w:rPr>
            </w:pPr>
            <w:r>
              <w:rPr>
                <w:rFonts w:cstheme="minorHAnsi"/>
                <w:sz w:val="20"/>
                <w:szCs w:val="20"/>
              </w:rPr>
              <w:t xml:space="preserve"> </w:t>
            </w:r>
            <w:r w:rsidRPr="0087485F">
              <w:rPr>
                <w:rFonts w:cstheme="minorHAnsi"/>
                <w:sz w:val="20"/>
                <w:szCs w:val="20"/>
              </w:rPr>
              <w:t>%</w:t>
            </w:r>
          </w:p>
        </w:tc>
      </w:tr>
      <w:tr w:rsidR="00D907AF" w:rsidRPr="0087485F" w:rsidTr="00216886">
        <w:tc>
          <w:tcPr>
            <w:tcW w:w="1256"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Now</w:t>
            </w:r>
          </w:p>
        </w:tc>
        <w:tc>
          <w:tcPr>
            <w:tcW w:w="854" w:type="dxa"/>
            <w:shd w:val="clear" w:color="auto" w:fill="auto"/>
            <w:vAlign w:val="center"/>
          </w:tcPr>
          <w:p w:rsidR="00D907AF" w:rsidRPr="0087485F" w:rsidRDefault="00D907AF" w:rsidP="00497154">
            <w:pPr>
              <w:spacing w:before="20" w:after="20"/>
              <w:ind w:right="113"/>
              <w:jc w:val="right"/>
              <w:rPr>
                <w:rFonts w:cstheme="minorHAnsi"/>
                <w:color w:val="000000"/>
                <w:sz w:val="20"/>
                <w:szCs w:val="20"/>
              </w:rPr>
            </w:pPr>
            <w:r w:rsidRPr="0087485F">
              <w:rPr>
                <w:rFonts w:cstheme="minorHAnsi"/>
                <w:color w:val="000000"/>
                <w:sz w:val="20"/>
                <w:szCs w:val="20"/>
              </w:rPr>
              <w:t>12</w:t>
            </w:r>
          </w:p>
        </w:tc>
        <w:tc>
          <w:tcPr>
            <w:tcW w:w="833" w:type="dxa"/>
            <w:shd w:val="clear" w:color="auto" w:fill="auto"/>
            <w:vAlign w:val="center"/>
          </w:tcPr>
          <w:p w:rsidR="00D907AF" w:rsidRPr="0087485F" w:rsidRDefault="00D907AF" w:rsidP="00497154">
            <w:pPr>
              <w:spacing w:before="20" w:after="20"/>
              <w:ind w:right="113"/>
              <w:jc w:val="right"/>
              <w:rPr>
                <w:rFonts w:cstheme="minorHAnsi"/>
                <w:color w:val="000000"/>
                <w:sz w:val="20"/>
                <w:szCs w:val="20"/>
              </w:rPr>
            </w:pPr>
            <w:r w:rsidRPr="0087485F">
              <w:rPr>
                <w:rFonts w:cstheme="minorHAnsi"/>
                <w:color w:val="000000"/>
                <w:sz w:val="20"/>
                <w:szCs w:val="20"/>
              </w:rPr>
              <w:t>14.8</w:t>
            </w:r>
          </w:p>
        </w:tc>
        <w:tc>
          <w:tcPr>
            <w:tcW w:w="1276" w:type="dxa"/>
            <w:shd w:val="clear" w:color="auto" w:fill="auto"/>
            <w:vAlign w:val="center"/>
          </w:tcPr>
          <w:p w:rsidR="00D907AF" w:rsidRPr="0087485F" w:rsidRDefault="00D907AF" w:rsidP="00497154">
            <w:pPr>
              <w:spacing w:before="20" w:after="20"/>
              <w:ind w:right="284"/>
              <w:jc w:val="right"/>
              <w:rPr>
                <w:rFonts w:cstheme="minorHAnsi"/>
                <w:color w:val="000000"/>
                <w:sz w:val="20"/>
                <w:szCs w:val="20"/>
              </w:rPr>
            </w:pPr>
            <w:r w:rsidRPr="0087485F">
              <w:rPr>
                <w:rFonts w:cstheme="minorHAnsi"/>
                <w:color w:val="000000"/>
                <w:sz w:val="20"/>
                <w:szCs w:val="20"/>
              </w:rPr>
              <w:t>22</w:t>
            </w:r>
          </w:p>
        </w:tc>
        <w:tc>
          <w:tcPr>
            <w:tcW w:w="1418" w:type="dxa"/>
            <w:shd w:val="clear" w:color="auto" w:fill="auto"/>
            <w:vAlign w:val="center"/>
          </w:tcPr>
          <w:p w:rsidR="00D907AF" w:rsidRPr="0087485F" w:rsidRDefault="00D907AF" w:rsidP="00024E6F">
            <w:pPr>
              <w:spacing w:before="20" w:after="20"/>
              <w:ind w:right="284"/>
              <w:jc w:val="right"/>
              <w:rPr>
                <w:rFonts w:cstheme="minorHAnsi"/>
                <w:color w:val="000000"/>
                <w:sz w:val="20"/>
                <w:szCs w:val="20"/>
              </w:rPr>
            </w:pPr>
            <w:r w:rsidRPr="0087485F">
              <w:rPr>
                <w:rFonts w:cstheme="minorHAnsi"/>
                <w:color w:val="000000"/>
                <w:sz w:val="20"/>
                <w:szCs w:val="20"/>
              </w:rPr>
              <w:t>19.0</w:t>
            </w:r>
          </w:p>
        </w:tc>
        <w:tc>
          <w:tcPr>
            <w:tcW w:w="1014" w:type="dxa"/>
            <w:shd w:val="clear" w:color="auto" w:fill="auto"/>
            <w:vAlign w:val="center"/>
          </w:tcPr>
          <w:p w:rsidR="00D907AF" w:rsidRPr="0087485F" w:rsidRDefault="00D907AF" w:rsidP="00024E6F">
            <w:pPr>
              <w:spacing w:before="20" w:after="20"/>
              <w:ind w:right="113"/>
              <w:jc w:val="right"/>
              <w:rPr>
                <w:rFonts w:cstheme="minorHAnsi"/>
                <w:color w:val="000000"/>
                <w:sz w:val="20"/>
                <w:szCs w:val="20"/>
              </w:rPr>
            </w:pPr>
            <w:r w:rsidRPr="0087485F">
              <w:rPr>
                <w:rFonts w:cstheme="minorHAnsi"/>
                <w:color w:val="000000"/>
                <w:sz w:val="20"/>
                <w:szCs w:val="20"/>
              </w:rPr>
              <w:t>34</w:t>
            </w:r>
          </w:p>
        </w:tc>
        <w:tc>
          <w:tcPr>
            <w:tcW w:w="1254" w:type="dxa"/>
            <w:shd w:val="clear" w:color="auto" w:fill="auto"/>
            <w:vAlign w:val="center"/>
          </w:tcPr>
          <w:p w:rsidR="00D907AF" w:rsidRPr="0087485F" w:rsidRDefault="00D907AF" w:rsidP="00024E6F">
            <w:pPr>
              <w:spacing w:before="20" w:after="20"/>
              <w:ind w:right="230"/>
              <w:jc w:val="right"/>
              <w:rPr>
                <w:rFonts w:cstheme="minorHAnsi"/>
                <w:color w:val="000000"/>
                <w:sz w:val="20"/>
                <w:szCs w:val="20"/>
              </w:rPr>
            </w:pPr>
            <w:r w:rsidRPr="0087485F">
              <w:rPr>
                <w:rFonts w:cstheme="minorHAnsi"/>
                <w:color w:val="000000"/>
                <w:sz w:val="20"/>
                <w:szCs w:val="20"/>
              </w:rPr>
              <w:t>17.3</w:t>
            </w:r>
          </w:p>
        </w:tc>
      </w:tr>
      <w:tr w:rsidR="00D907AF" w:rsidRPr="0087485F" w:rsidTr="00216886">
        <w:tc>
          <w:tcPr>
            <w:tcW w:w="1256"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This year</w:t>
            </w:r>
          </w:p>
        </w:tc>
        <w:tc>
          <w:tcPr>
            <w:tcW w:w="854" w:type="dxa"/>
            <w:shd w:val="clear" w:color="auto" w:fill="auto"/>
            <w:vAlign w:val="center"/>
          </w:tcPr>
          <w:p w:rsidR="00D907AF" w:rsidRPr="0087485F" w:rsidRDefault="00D907AF" w:rsidP="00497154">
            <w:pPr>
              <w:spacing w:before="20" w:after="20"/>
              <w:ind w:right="113"/>
              <w:jc w:val="right"/>
              <w:rPr>
                <w:rFonts w:cstheme="minorHAnsi"/>
                <w:color w:val="000000"/>
                <w:sz w:val="20"/>
                <w:szCs w:val="20"/>
              </w:rPr>
            </w:pPr>
            <w:r w:rsidRPr="0087485F">
              <w:rPr>
                <w:rFonts w:cstheme="minorHAnsi"/>
                <w:color w:val="000000"/>
                <w:sz w:val="20"/>
                <w:szCs w:val="20"/>
              </w:rPr>
              <w:t>6</w:t>
            </w:r>
          </w:p>
        </w:tc>
        <w:tc>
          <w:tcPr>
            <w:tcW w:w="833" w:type="dxa"/>
            <w:shd w:val="clear" w:color="auto" w:fill="auto"/>
            <w:vAlign w:val="center"/>
          </w:tcPr>
          <w:p w:rsidR="00D907AF" w:rsidRPr="0087485F" w:rsidRDefault="00D907AF" w:rsidP="00497154">
            <w:pPr>
              <w:spacing w:before="20" w:after="20"/>
              <w:ind w:right="113"/>
              <w:jc w:val="right"/>
              <w:rPr>
                <w:rFonts w:cstheme="minorHAnsi"/>
                <w:color w:val="000000"/>
                <w:sz w:val="20"/>
                <w:szCs w:val="20"/>
              </w:rPr>
            </w:pPr>
            <w:r w:rsidRPr="0087485F">
              <w:rPr>
                <w:rFonts w:cstheme="minorHAnsi"/>
                <w:color w:val="000000"/>
                <w:sz w:val="20"/>
                <w:szCs w:val="20"/>
              </w:rPr>
              <w:t>7.4</w:t>
            </w:r>
          </w:p>
        </w:tc>
        <w:tc>
          <w:tcPr>
            <w:tcW w:w="1276" w:type="dxa"/>
            <w:shd w:val="clear" w:color="auto" w:fill="auto"/>
            <w:vAlign w:val="center"/>
          </w:tcPr>
          <w:p w:rsidR="00D907AF" w:rsidRPr="0087485F" w:rsidRDefault="00D907AF" w:rsidP="00497154">
            <w:pPr>
              <w:spacing w:before="20" w:after="20"/>
              <w:ind w:right="284"/>
              <w:jc w:val="right"/>
              <w:rPr>
                <w:rFonts w:cstheme="minorHAnsi"/>
                <w:color w:val="000000"/>
                <w:sz w:val="20"/>
                <w:szCs w:val="20"/>
              </w:rPr>
            </w:pPr>
            <w:r w:rsidRPr="0087485F">
              <w:rPr>
                <w:rFonts w:cstheme="minorHAnsi"/>
                <w:color w:val="000000"/>
                <w:sz w:val="20"/>
                <w:szCs w:val="20"/>
              </w:rPr>
              <w:t>5</w:t>
            </w:r>
          </w:p>
        </w:tc>
        <w:tc>
          <w:tcPr>
            <w:tcW w:w="1418" w:type="dxa"/>
            <w:shd w:val="clear" w:color="auto" w:fill="auto"/>
            <w:vAlign w:val="center"/>
          </w:tcPr>
          <w:p w:rsidR="00D907AF" w:rsidRPr="0087485F" w:rsidRDefault="00D907AF" w:rsidP="00024E6F">
            <w:pPr>
              <w:spacing w:before="20" w:after="20"/>
              <w:ind w:right="284"/>
              <w:jc w:val="right"/>
              <w:rPr>
                <w:rFonts w:cstheme="minorHAnsi"/>
                <w:color w:val="000000"/>
                <w:sz w:val="20"/>
                <w:szCs w:val="20"/>
              </w:rPr>
            </w:pPr>
            <w:r w:rsidRPr="0087485F">
              <w:rPr>
                <w:rFonts w:cstheme="minorHAnsi"/>
                <w:color w:val="000000"/>
                <w:sz w:val="20"/>
                <w:szCs w:val="20"/>
              </w:rPr>
              <w:t>4.3</w:t>
            </w:r>
          </w:p>
        </w:tc>
        <w:tc>
          <w:tcPr>
            <w:tcW w:w="1014" w:type="dxa"/>
            <w:shd w:val="clear" w:color="auto" w:fill="auto"/>
            <w:vAlign w:val="center"/>
          </w:tcPr>
          <w:p w:rsidR="00D907AF" w:rsidRPr="0087485F" w:rsidRDefault="00D907AF" w:rsidP="00024E6F">
            <w:pPr>
              <w:spacing w:before="20" w:after="20"/>
              <w:ind w:right="113"/>
              <w:jc w:val="right"/>
              <w:rPr>
                <w:rFonts w:cstheme="minorHAnsi"/>
                <w:color w:val="000000"/>
                <w:sz w:val="20"/>
                <w:szCs w:val="20"/>
              </w:rPr>
            </w:pPr>
            <w:r w:rsidRPr="0087485F">
              <w:rPr>
                <w:rFonts w:cstheme="minorHAnsi"/>
                <w:color w:val="000000"/>
                <w:sz w:val="20"/>
                <w:szCs w:val="20"/>
              </w:rPr>
              <w:t>11</w:t>
            </w:r>
          </w:p>
        </w:tc>
        <w:tc>
          <w:tcPr>
            <w:tcW w:w="1254" w:type="dxa"/>
            <w:shd w:val="clear" w:color="auto" w:fill="auto"/>
            <w:vAlign w:val="center"/>
          </w:tcPr>
          <w:p w:rsidR="00D907AF" w:rsidRPr="0087485F" w:rsidRDefault="00D907AF" w:rsidP="00024E6F">
            <w:pPr>
              <w:spacing w:before="20" w:after="20"/>
              <w:ind w:right="230"/>
              <w:jc w:val="right"/>
              <w:rPr>
                <w:rFonts w:cstheme="minorHAnsi"/>
                <w:color w:val="000000"/>
                <w:sz w:val="20"/>
                <w:szCs w:val="20"/>
              </w:rPr>
            </w:pPr>
            <w:r w:rsidRPr="0087485F">
              <w:rPr>
                <w:rFonts w:cstheme="minorHAnsi"/>
                <w:color w:val="000000"/>
                <w:sz w:val="20"/>
                <w:szCs w:val="20"/>
              </w:rPr>
              <w:t>5.6</w:t>
            </w:r>
          </w:p>
        </w:tc>
      </w:tr>
      <w:tr w:rsidR="00D907AF" w:rsidRPr="0087485F" w:rsidTr="00216886">
        <w:tc>
          <w:tcPr>
            <w:tcW w:w="1256"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Next year</w:t>
            </w:r>
          </w:p>
        </w:tc>
        <w:tc>
          <w:tcPr>
            <w:tcW w:w="854" w:type="dxa"/>
            <w:shd w:val="clear" w:color="auto" w:fill="auto"/>
            <w:vAlign w:val="center"/>
          </w:tcPr>
          <w:p w:rsidR="00D907AF" w:rsidRPr="0087485F" w:rsidRDefault="00D907AF" w:rsidP="00497154">
            <w:pPr>
              <w:spacing w:before="20" w:after="20"/>
              <w:ind w:right="113"/>
              <w:jc w:val="right"/>
              <w:rPr>
                <w:rFonts w:cstheme="minorHAnsi"/>
                <w:color w:val="000000"/>
                <w:sz w:val="20"/>
                <w:szCs w:val="20"/>
              </w:rPr>
            </w:pPr>
            <w:r w:rsidRPr="0087485F">
              <w:rPr>
                <w:rFonts w:cstheme="minorHAnsi"/>
                <w:color w:val="000000"/>
                <w:sz w:val="20"/>
                <w:szCs w:val="20"/>
              </w:rPr>
              <w:t>8</w:t>
            </w:r>
          </w:p>
        </w:tc>
        <w:tc>
          <w:tcPr>
            <w:tcW w:w="833" w:type="dxa"/>
            <w:shd w:val="clear" w:color="auto" w:fill="auto"/>
            <w:vAlign w:val="center"/>
          </w:tcPr>
          <w:p w:rsidR="00D907AF" w:rsidRPr="0087485F" w:rsidRDefault="00D907AF" w:rsidP="00497154">
            <w:pPr>
              <w:spacing w:before="20" w:after="20"/>
              <w:ind w:right="113"/>
              <w:jc w:val="right"/>
              <w:rPr>
                <w:rFonts w:cstheme="minorHAnsi"/>
                <w:color w:val="000000"/>
                <w:sz w:val="20"/>
                <w:szCs w:val="20"/>
              </w:rPr>
            </w:pPr>
            <w:r w:rsidRPr="0087485F">
              <w:rPr>
                <w:rFonts w:cstheme="minorHAnsi"/>
                <w:color w:val="000000"/>
                <w:sz w:val="20"/>
                <w:szCs w:val="20"/>
              </w:rPr>
              <w:t>9.9</w:t>
            </w:r>
          </w:p>
        </w:tc>
        <w:tc>
          <w:tcPr>
            <w:tcW w:w="1276" w:type="dxa"/>
            <w:shd w:val="clear" w:color="auto" w:fill="auto"/>
            <w:vAlign w:val="center"/>
          </w:tcPr>
          <w:p w:rsidR="00D907AF" w:rsidRPr="0087485F" w:rsidRDefault="00D907AF" w:rsidP="00497154">
            <w:pPr>
              <w:spacing w:before="20" w:after="20"/>
              <w:ind w:right="284"/>
              <w:jc w:val="right"/>
              <w:rPr>
                <w:rFonts w:cstheme="minorHAnsi"/>
                <w:color w:val="000000"/>
                <w:sz w:val="20"/>
                <w:szCs w:val="20"/>
              </w:rPr>
            </w:pPr>
            <w:r w:rsidRPr="0087485F">
              <w:rPr>
                <w:rFonts w:cstheme="minorHAnsi"/>
                <w:color w:val="000000"/>
                <w:sz w:val="20"/>
                <w:szCs w:val="20"/>
              </w:rPr>
              <w:t>7</w:t>
            </w:r>
          </w:p>
        </w:tc>
        <w:tc>
          <w:tcPr>
            <w:tcW w:w="1418" w:type="dxa"/>
            <w:shd w:val="clear" w:color="auto" w:fill="auto"/>
            <w:vAlign w:val="center"/>
          </w:tcPr>
          <w:p w:rsidR="00D907AF" w:rsidRPr="0087485F" w:rsidRDefault="00D907AF" w:rsidP="00024E6F">
            <w:pPr>
              <w:spacing w:before="20" w:after="20"/>
              <w:ind w:right="284"/>
              <w:jc w:val="right"/>
              <w:rPr>
                <w:rFonts w:cstheme="minorHAnsi"/>
                <w:color w:val="000000"/>
                <w:sz w:val="20"/>
                <w:szCs w:val="20"/>
              </w:rPr>
            </w:pPr>
            <w:r w:rsidRPr="0087485F">
              <w:rPr>
                <w:rFonts w:cstheme="minorHAnsi"/>
                <w:color w:val="000000"/>
                <w:sz w:val="20"/>
                <w:szCs w:val="20"/>
              </w:rPr>
              <w:t>6.0</w:t>
            </w:r>
          </w:p>
        </w:tc>
        <w:tc>
          <w:tcPr>
            <w:tcW w:w="1014" w:type="dxa"/>
            <w:shd w:val="clear" w:color="auto" w:fill="auto"/>
            <w:vAlign w:val="center"/>
          </w:tcPr>
          <w:p w:rsidR="00D907AF" w:rsidRPr="0087485F" w:rsidRDefault="00D907AF" w:rsidP="00024E6F">
            <w:pPr>
              <w:spacing w:before="20" w:after="20"/>
              <w:ind w:right="113"/>
              <w:jc w:val="right"/>
              <w:rPr>
                <w:rFonts w:cstheme="minorHAnsi"/>
                <w:color w:val="000000"/>
                <w:sz w:val="20"/>
                <w:szCs w:val="20"/>
              </w:rPr>
            </w:pPr>
            <w:r w:rsidRPr="0087485F">
              <w:rPr>
                <w:rFonts w:cstheme="minorHAnsi"/>
                <w:color w:val="000000"/>
                <w:sz w:val="20"/>
                <w:szCs w:val="20"/>
              </w:rPr>
              <w:t>15</w:t>
            </w:r>
          </w:p>
        </w:tc>
        <w:tc>
          <w:tcPr>
            <w:tcW w:w="1254" w:type="dxa"/>
            <w:shd w:val="clear" w:color="auto" w:fill="auto"/>
            <w:vAlign w:val="center"/>
          </w:tcPr>
          <w:p w:rsidR="00D907AF" w:rsidRPr="0087485F" w:rsidRDefault="00D907AF" w:rsidP="00024E6F">
            <w:pPr>
              <w:spacing w:before="20" w:after="20"/>
              <w:ind w:right="230"/>
              <w:jc w:val="right"/>
              <w:rPr>
                <w:rFonts w:cstheme="minorHAnsi"/>
                <w:color w:val="000000"/>
                <w:sz w:val="20"/>
                <w:szCs w:val="20"/>
              </w:rPr>
            </w:pPr>
            <w:r w:rsidRPr="0087485F">
              <w:rPr>
                <w:rFonts w:cstheme="minorHAnsi"/>
                <w:color w:val="000000"/>
                <w:sz w:val="20"/>
                <w:szCs w:val="20"/>
              </w:rPr>
              <w:t>7.6</w:t>
            </w:r>
          </w:p>
        </w:tc>
      </w:tr>
      <w:tr w:rsidR="00D907AF" w:rsidRPr="0087485F" w:rsidTr="00216886">
        <w:tc>
          <w:tcPr>
            <w:tcW w:w="1256"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Later</w:t>
            </w:r>
          </w:p>
        </w:tc>
        <w:tc>
          <w:tcPr>
            <w:tcW w:w="854" w:type="dxa"/>
            <w:shd w:val="clear" w:color="auto" w:fill="auto"/>
            <w:vAlign w:val="center"/>
          </w:tcPr>
          <w:p w:rsidR="00D907AF" w:rsidRPr="0087485F" w:rsidRDefault="00D907AF" w:rsidP="00497154">
            <w:pPr>
              <w:spacing w:before="20" w:after="20"/>
              <w:ind w:right="113"/>
              <w:jc w:val="right"/>
              <w:rPr>
                <w:rFonts w:cstheme="minorHAnsi"/>
                <w:color w:val="000000"/>
                <w:sz w:val="20"/>
                <w:szCs w:val="20"/>
              </w:rPr>
            </w:pPr>
            <w:r w:rsidRPr="0087485F">
              <w:rPr>
                <w:rFonts w:cstheme="minorHAnsi"/>
                <w:color w:val="000000"/>
                <w:sz w:val="20"/>
                <w:szCs w:val="20"/>
              </w:rPr>
              <w:t>43</w:t>
            </w:r>
          </w:p>
        </w:tc>
        <w:tc>
          <w:tcPr>
            <w:tcW w:w="833" w:type="dxa"/>
            <w:shd w:val="clear" w:color="auto" w:fill="auto"/>
            <w:vAlign w:val="center"/>
          </w:tcPr>
          <w:p w:rsidR="00D907AF" w:rsidRPr="0087485F" w:rsidRDefault="00D907AF" w:rsidP="00497154">
            <w:pPr>
              <w:spacing w:before="20" w:after="20"/>
              <w:ind w:right="113"/>
              <w:jc w:val="right"/>
              <w:rPr>
                <w:rFonts w:cstheme="minorHAnsi"/>
                <w:color w:val="000000"/>
                <w:sz w:val="20"/>
                <w:szCs w:val="20"/>
              </w:rPr>
            </w:pPr>
            <w:r w:rsidRPr="0087485F">
              <w:rPr>
                <w:rFonts w:cstheme="minorHAnsi"/>
                <w:color w:val="000000"/>
                <w:sz w:val="20"/>
                <w:szCs w:val="20"/>
              </w:rPr>
              <w:t>53.1</w:t>
            </w:r>
          </w:p>
        </w:tc>
        <w:tc>
          <w:tcPr>
            <w:tcW w:w="1276" w:type="dxa"/>
            <w:shd w:val="clear" w:color="auto" w:fill="auto"/>
            <w:vAlign w:val="center"/>
          </w:tcPr>
          <w:p w:rsidR="00D907AF" w:rsidRPr="0087485F" w:rsidRDefault="00D907AF" w:rsidP="00497154">
            <w:pPr>
              <w:spacing w:before="20" w:after="20"/>
              <w:ind w:right="284"/>
              <w:jc w:val="right"/>
              <w:rPr>
                <w:rFonts w:cstheme="minorHAnsi"/>
                <w:color w:val="000000"/>
                <w:sz w:val="20"/>
                <w:szCs w:val="20"/>
              </w:rPr>
            </w:pPr>
            <w:r w:rsidRPr="0087485F">
              <w:rPr>
                <w:rFonts w:cstheme="minorHAnsi"/>
                <w:color w:val="000000"/>
                <w:sz w:val="20"/>
                <w:szCs w:val="20"/>
              </w:rPr>
              <w:t>59</w:t>
            </w:r>
          </w:p>
        </w:tc>
        <w:tc>
          <w:tcPr>
            <w:tcW w:w="1418" w:type="dxa"/>
            <w:shd w:val="clear" w:color="auto" w:fill="auto"/>
            <w:vAlign w:val="center"/>
          </w:tcPr>
          <w:p w:rsidR="00D907AF" w:rsidRPr="0087485F" w:rsidRDefault="00D907AF" w:rsidP="00024E6F">
            <w:pPr>
              <w:spacing w:before="20" w:after="20"/>
              <w:ind w:right="284"/>
              <w:jc w:val="right"/>
              <w:rPr>
                <w:rFonts w:cstheme="minorHAnsi"/>
                <w:color w:val="000000"/>
                <w:sz w:val="20"/>
                <w:szCs w:val="20"/>
              </w:rPr>
            </w:pPr>
            <w:r w:rsidRPr="0087485F">
              <w:rPr>
                <w:rFonts w:cstheme="minorHAnsi"/>
                <w:color w:val="000000"/>
                <w:sz w:val="20"/>
                <w:szCs w:val="20"/>
              </w:rPr>
              <w:t>50.9</w:t>
            </w:r>
          </w:p>
        </w:tc>
        <w:tc>
          <w:tcPr>
            <w:tcW w:w="1014" w:type="dxa"/>
            <w:shd w:val="clear" w:color="auto" w:fill="auto"/>
            <w:vAlign w:val="center"/>
          </w:tcPr>
          <w:p w:rsidR="00D907AF" w:rsidRPr="0087485F" w:rsidRDefault="00D907AF" w:rsidP="00024E6F">
            <w:pPr>
              <w:spacing w:before="20" w:after="20"/>
              <w:ind w:right="113"/>
              <w:jc w:val="right"/>
              <w:rPr>
                <w:rFonts w:cstheme="minorHAnsi"/>
                <w:color w:val="000000"/>
                <w:sz w:val="20"/>
                <w:szCs w:val="20"/>
              </w:rPr>
            </w:pPr>
            <w:r w:rsidRPr="0087485F">
              <w:rPr>
                <w:rFonts w:cstheme="minorHAnsi"/>
                <w:color w:val="000000"/>
                <w:sz w:val="20"/>
                <w:szCs w:val="20"/>
              </w:rPr>
              <w:t>102</w:t>
            </w:r>
          </w:p>
        </w:tc>
        <w:tc>
          <w:tcPr>
            <w:tcW w:w="1254" w:type="dxa"/>
            <w:shd w:val="clear" w:color="auto" w:fill="auto"/>
            <w:vAlign w:val="center"/>
          </w:tcPr>
          <w:p w:rsidR="00D907AF" w:rsidRPr="0087485F" w:rsidRDefault="00D907AF" w:rsidP="00024E6F">
            <w:pPr>
              <w:spacing w:before="20" w:after="20"/>
              <w:ind w:right="230"/>
              <w:jc w:val="right"/>
              <w:rPr>
                <w:rFonts w:cstheme="minorHAnsi"/>
                <w:color w:val="000000"/>
                <w:sz w:val="20"/>
                <w:szCs w:val="20"/>
              </w:rPr>
            </w:pPr>
            <w:r w:rsidRPr="0087485F">
              <w:rPr>
                <w:rFonts w:cstheme="minorHAnsi"/>
                <w:color w:val="000000"/>
                <w:sz w:val="20"/>
                <w:szCs w:val="20"/>
              </w:rPr>
              <w:t>51.8</w:t>
            </w:r>
          </w:p>
        </w:tc>
      </w:tr>
      <w:tr w:rsidR="00D907AF" w:rsidRPr="0087485F" w:rsidTr="00216886">
        <w:tc>
          <w:tcPr>
            <w:tcW w:w="1256" w:type="dxa"/>
          </w:tcPr>
          <w:p w:rsidR="00D907AF" w:rsidRPr="0087485F" w:rsidRDefault="00D907AF" w:rsidP="00D907AF">
            <w:pPr>
              <w:spacing w:before="20" w:after="20"/>
              <w:rPr>
                <w:rFonts w:cstheme="minorHAnsi"/>
                <w:sz w:val="20"/>
                <w:szCs w:val="20"/>
              </w:rPr>
            </w:pPr>
            <w:r w:rsidRPr="0087485F">
              <w:rPr>
                <w:rFonts w:cstheme="minorHAnsi"/>
                <w:sz w:val="20"/>
                <w:szCs w:val="20"/>
              </w:rPr>
              <w:t>Don’t know</w:t>
            </w:r>
          </w:p>
        </w:tc>
        <w:tc>
          <w:tcPr>
            <w:tcW w:w="854" w:type="dxa"/>
          </w:tcPr>
          <w:p w:rsidR="00D907AF" w:rsidRPr="0087485F" w:rsidRDefault="00D907AF" w:rsidP="00497154">
            <w:pPr>
              <w:spacing w:before="20" w:after="20"/>
              <w:ind w:right="113"/>
              <w:jc w:val="right"/>
              <w:rPr>
                <w:rFonts w:cstheme="minorHAnsi"/>
                <w:color w:val="000000"/>
                <w:sz w:val="20"/>
                <w:szCs w:val="20"/>
              </w:rPr>
            </w:pPr>
            <w:r w:rsidRPr="0087485F">
              <w:rPr>
                <w:rFonts w:cstheme="minorHAnsi"/>
                <w:color w:val="000000"/>
                <w:sz w:val="20"/>
                <w:szCs w:val="20"/>
              </w:rPr>
              <w:t>11</w:t>
            </w:r>
          </w:p>
        </w:tc>
        <w:tc>
          <w:tcPr>
            <w:tcW w:w="833" w:type="dxa"/>
          </w:tcPr>
          <w:p w:rsidR="00D907AF" w:rsidRPr="0087485F" w:rsidRDefault="00D907AF" w:rsidP="00497154">
            <w:pPr>
              <w:spacing w:before="20" w:after="20"/>
              <w:ind w:right="113"/>
              <w:jc w:val="right"/>
              <w:rPr>
                <w:rFonts w:cstheme="minorHAnsi"/>
                <w:color w:val="000000"/>
                <w:sz w:val="20"/>
                <w:szCs w:val="20"/>
              </w:rPr>
            </w:pPr>
            <w:r w:rsidRPr="0087485F">
              <w:rPr>
                <w:rFonts w:cstheme="minorHAnsi"/>
                <w:color w:val="000000"/>
                <w:sz w:val="20"/>
                <w:szCs w:val="20"/>
              </w:rPr>
              <w:t>13.6</w:t>
            </w:r>
          </w:p>
        </w:tc>
        <w:tc>
          <w:tcPr>
            <w:tcW w:w="1276" w:type="dxa"/>
          </w:tcPr>
          <w:p w:rsidR="00D907AF" w:rsidRPr="0087485F" w:rsidRDefault="00D907AF" w:rsidP="00497154">
            <w:pPr>
              <w:spacing w:before="20" w:after="20"/>
              <w:ind w:right="284"/>
              <w:jc w:val="right"/>
              <w:rPr>
                <w:rFonts w:cstheme="minorHAnsi"/>
                <w:color w:val="000000"/>
                <w:sz w:val="20"/>
                <w:szCs w:val="20"/>
              </w:rPr>
            </w:pPr>
            <w:r w:rsidRPr="0087485F">
              <w:rPr>
                <w:rFonts w:cstheme="minorHAnsi"/>
                <w:color w:val="000000"/>
                <w:sz w:val="20"/>
                <w:szCs w:val="20"/>
              </w:rPr>
              <w:t>23</w:t>
            </w:r>
          </w:p>
        </w:tc>
        <w:tc>
          <w:tcPr>
            <w:tcW w:w="1418" w:type="dxa"/>
          </w:tcPr>
          <w:p w:rsidR="00D907AF" w:rsidRPr="0087485F" w:rsidRDefault="00D907AF" w:rsidP="00024E6F">
            <w:pPr>
              <w:spacing w:before="20" w:after="20"/>
              <w:ind w:right="284"/>
              <w:jc w:val="right"/>
              <w:rPr>
                <w:rFonts w:cstheme="minorHAnsi"/>
                <w:color w:val="000000"/>
                <w:sz w:val="20"/>
                <w:szCs w:val="20"/>
              </w:rPr>
            </w:pPr>
            <w:r w:rsidRPr="0087485F">
              <w:rPr>
                <w:rFonts w:cstheme="minorHAnsi"/>
                <w:color w:val="000000"/>
                <w:sz w:val="20"/>
                <w:szCs w:val="20"/>
              </w:rPr>
              <w:t>19.8</w:t>
            </w:r>
          </w:p>
        </w:tc>
        <w:tc>
          <w:tcPr>
            <w:tcW w:w="1014" w:type="dxa"/>
          </w:tcPr>
          <w:p w:rsidR="00D907AF" w:rsidRPr="0087485F" w:rsidRDefault="00D907AF" w:rsidP="00024E6F">
            <w:pPr>
              <w:spacing w:before="20" w:after="20"/>
              <w:ind w:right="113"/>
              <w:jc w:val="right"/>
              <w:rPr>
                <w:rFonts w:cstheme="minorHAnsi"/>
                <w:color w:val="000000"/>
                <w:sz w:val="20"/>
                <w:szCs w:val="20"/>
              </w:rPr>
            </w:pPr>
            <w:r w:rsidRPr="0087485F">
              <w:rPr>
                <w:rFonts w:cstheme="minorHAnsi"/>
                <w:color w:val="000000"/>
                <w:sz w:val="20"/>
                <w:szCs w:val="20"/>
              </w:rPr>
              <w:t>34</w:t>
            </w:r>
          </w:p>
        </w:tc>
        <w:tc>
          <w:tcPr>
            <w:tcW w:w="1254" w:type="dxa"/>
          </w:tcPr>
          <w:p w:rsidR="00D907AF" w:rsidRPr="0087485F" w:rsidRDefault="00D907AF" w:rsidP="00024E6F">
            <w:pPr>
              <w:spacing w:before="20" w:after="20"/>
              <w:ind w:right="230"/>
              <w:jc w:val="right"/>
              <w:rPr>
                <w:rFonts w:cstheme="minorHAnsi"/>
                <w:color w:val="000000"/>
                <w:sz w:val="20"/>
                <w:szCs w:val="20"/>
              </w:rPr>
            </w:pPr>
            <w:r w:rsidRPr="0087485F">
              <w:rPr>
                <w:rFonts w:cstheme="minorHAnsi"/>
                <w:color w:val="000000"/>
                <w:sz w:val="20"/>
                <w:szCs w:val="20"/>
              </w:rPr>
              <w:t>17.3</w:t>
            </w:r>
          </w:p>
        </w:tc>
      </w:tr>
      <w:tr w:rsidR="00D907AF" w:rsidRPr="0087485F" w:rsidTr="00216886">
        <w:tc>
          <w:tcPr>
            <w:tcW w:w="1256" w:type="dxa"/>
            <w:tcBorders>
              <w:bottom w:val="single" w:sz="4" w:space="0" w:color="auto"/>
            </w:tcBorders>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 xml:space="preserve">Missing </w:t>
            </w:r>
          </w:p>
        </w:tc>
        <w:tc>
          <w:tcPr>
            <w:tcW w:w="854" w:type="dxa"/>
            <w:tcBorders>
              <w:bottom w:val="single" w:sz="4" w:space="0" w:color="auto"/>
            </w:tcBorders>
            <w:shd w:val="clear" w:color="auto" w:fill="auto"/>
            <w:vAlign w:val="center"/>
          </w:tcPr>
          <w:p w:rsidR="00D907AF" w:rsidRPr="0087485F" w:rsidRDefault="00D907AF" w:rsidP="00497154">
            <w:pPr>
              <w:spacing w:before="20" w:after="20"/>
              <w:ind w:right="113"/>
              <w:jc w:val="right"/>
              <w:rPr>
                <w:rFonts w:cstheme="minorHAnsi"/>
                <w:color w:val="000000"/>
                <w:sz w:val="20"/>
                <w:szCs w:val="20"/>
              </w:rPr>
            </w:pPr>
            <w:r w:rsidRPr="0087485F">
              <w:rPr>
                <w:rFonts w:cstheme="minorHAnsi"/>
                <w:color w:val="000000"/>
                <w:sz w:val="20"/>
                <w:szCs w:val="20"/>
              </w:rPr>
              <w:t>1</w:t>
            </w:r>
          </w:p>
        </w:tc>
        <w:tc>
          <w:tcPr>
            <w:tcW w:w="833" w:type="dxa"/>
            <w:tcBorders>
              <w:bottom w:val="single" w:sz="4" w:space="0" w:color="auto"/>
            </w:tcBorders>
            <w:shd w:val="clear" w:color="auto" w:fill="auto"/>
            <w:vAlign w:val="center"/>
          </w:tcPr>
          <w:p w:rsidR="00D907AF" w:rsidRPr="0087485F" w:rsidRDefault="00D907AF" w:rsidP="00497154">
            <w:pPr>
              <w:spacing w:before="20" w:after="20"/>
              <w:ind w:right="113"/>
              <w:jc w:val="right"/>
              <w:rPr>
                <w:rFonts w:cstheme="minorHAnsi"/>
                <w:color w:val="000000"/>
                <w:sz w:val="20"/>
                <w:szCs w:val="20"/>
              </w:rPr>
            </w:pPr>
            <w:r w:rsidRPr="0087485F">
              <w:rPr>
                <w:rFonts w:cstheme="minorHAnsi"/>
                <w:color w:val="000000"/>
                <w:sz w:val="20"/>
                <w:szCs w:val="20"/>
              </w:rPr>
              <w:t>1.2</w:t>
            </w:r>
          </w:p>
        </w:tc>
        <w:tc>
          <w:tcPr>
            <w:tcW w:w="1276" w:type="dxa"/>
            <w:tcBorders>
              <w:bottom w:val="single" w:sz="4" w:space="0" w:color="auto"/>
            </w:tcBorders>
            <w:shd w:val="clear" w:color="auto" w:fill="auto"/>
            <w:vAlign w:val="center"/>
          </w:tcPr>
          <w:p w:rsidR="00D907AF" w:rsidRPr="0087485F" w:rsidRDefault="00D907AF" w:rsidP="00497154">
            <w:pPr>
              <w:spacing w:before="20" w:after="20"/>
              <w:ind w:right="284"/>
              <w:jc w:val="right"/>
              <w:rPr>
                <w:rFonts w:cstheme="minorHAnsi"/>
                <w:color w:val="000000"/>
                <w:sz w:val="20"/>
                <w:szCs w:val="20"/>
              </w:rPr>
            </w:pPr>
            <w:r w:rsidRPr="0087485F">
              <w:rPr>
                <w:rFonts w:cstheme="minorHAnsi"/>
                <w:color w:val="000000"/>
                <w:sz w:val="20"/>
                <w:szCs w:val="20"/>
              </w:rPr>
              <w:t>0</w:t>
            </w:r>
          </w:p>
        </w:tc>
        <w:tc>
          <w:tcPr>
            <w:tcW w:w="1418" w:type="dxa"/>
            <w:tcBorders>
              <w:bottom w:val="single" w:sz="4" w:space="0" w:color="auto"/>
            </w:tcBorders>
            <w:shd w:val="clear" w:color="auto" w:fill="auto"/>
            <w:vAlign w:val="center"/>
          </w:tcPr>
          <w:p w:rsidR="00D907AF" w:rsidRPr="0087485F" w:rsidRDefault="00D907AF" w:rsidP="00024E6F">
            <w:pPr>
              <w:spacing w:before="20" w:after="20"/>
              <w:ind w:right="284"/>
              <w:jc w:val="right"/>
              <w:rPr>
                <w:rFonts w:cstheme="minorHAnsi"/>
                <w:color w:val="000000"/>
                <w:sz w:val="20"/>
                <w:szCs w:val="20"/>
              </w:rPr>
            </w:pPr>
            <w:r w:rsidRPr="0087485F">
              <w:rPr>
                <w:rFonts w:cstheme="minorHAnsi"/>
                <w:color w:val="000000"/>
                <w:sz w:val="20"/>
                <w:szCs w:val="20"/>
              </w:rPr>
              <w:t>0.0</w:t>
            </w:r>
          </w:p>
        </w:tc>
        <w:tc>
          <w:tcPr>
            <w:tcW w:w="1014" w:type="dxa"/>
            <w:tcBorders>
              <w:bottom w:val="single" w:sz="4" w:space="0" w:color="auto"/>
            </w:tcBorders>
            <w:shd w:val="clear" w:color="auto" w:fill="auto"/>
            <w:vAlign w:val="center"/>
          </w:tcPr>
          <w:p w:rsidR="00D907AF" w:rsidRPr="0087485F" w:rsidRDefault="00D907AF" w:rsidP="00024E6F">
            <w:pPr>
              <w:spacing w:before="20" w:after="20"/>
              <w:ind w:right="113"/>
              <w:jc w:val="right"/>
              <w:rPr>
                <w:rFonts w:cstheme="minorHAnsi"/>
                <w:color w:val="000000"/>
                <w:sz w:val="20"/>
                <w:szCs w:val="20"/>
              </w:rPr>
            </w:pPr>
            <w:r w:rsidRPr="0087485F">
              <w:rPr>
                <w:rFonts w:cstheme="minorHAnsi"/>
                <w:color w:val="000000"/>
                <w:sz w:val="20"/>
                <w:szCs w:val="20"/>
              </w:rPr>
              <w:t>1</w:t>
            </w:r>
          </w:p>
        </w:tc>
        <w:tc>
          <w:tcPr>
            <w:tcW w:w="1254" w:type="dxa"/>
            <w:tcBorders>
              <w:bottom w:val="single" w:sz="4" w:space="0" w:color="auto"/>
            </w:tcBorders>
            <w:shd w:val="clear" w:color="auto" w:fill="auto"/>
            <w:vAlign w:val="center"/>
          </w:tcPr>
          <w:p w:rsidR="00D907AF" w:rsidRPr="0087485F" w:rsidRDefault="00D907AF" w:rsidP="00024E6F">
            <w:pPr>
              <w:spacing w:before="20" w:after="20"/>
              <w:ind w:right="230"/>
              <w:jc w:val="right"/>
              <w:rPr>
                <w:rFonts w:cstheme="minorHAnsi"/>
                <w:color w:val="000000"/>
                <w:sz w:val="20"/>
                <w:szCs w:val="20"/>
              </w:rPr>
            </w:pPr>
            <w:r w:rsidRPr="0087485F">
              <w:rPr>
                <w:rFonts w:cstheme="minorHAnsi"/>
                <w:color w:val="000000"/>
                <w:sz w:val="20"/>
                <w:szCs w:val="20"/>
              </w:rPr>
              <w:t>0.5</w:t>
            </w:r>
          </w:p>
        </w:tc>
      </w:tr>
      <w:tr w:rsidR="00D907AF" w:rsidRPr="0087485F" w:rsidTr="00216886">
        <w:tc>
          <w:tcPr>
            <w:tcW w:w="1256" w:type="dxa"/>
            <w:tcBorders>
              <w:top w:val="single" w:sz="4" w:space="0" w:color="auto"/>
              <w:bottom w:val="single" w:sz="4" w:space="0" w:color="auto"/>
            </w:tcBorders>
            <w:shd w:val="clear" w:color="auto" w:fill="auto"/>
          </w:tcPr>
          <w:p w:rsidR="00D907AF" w:rsidRPr="0087485F" w:rsidRDefault="00D907AF" w:rsidP="00D907AF">
            <w:pPr>
              <w:spacing w:before="20" w:after="20"/>
              <w:rPr>
                <w:rFonts w:cstheme="minorHAnsi"/>
                <w:b/>
                <w:color w:val="000000"/>
                <w:sz w:val="20"/>
                <w:szCs w:val="20"/>
              </w:rPr>
            </w:pPr>
            <w:r w:rsidRPr="0087485F">
              <w:rPr>
                <w:rFonts w:cstheme="minorHAnsi"/>
                <w:b/>
                <w:color w:val="000000"/>
                <w:sz w:val="20"/>
                <w:szCs w:val="20"/>
              </w:rPr>
              <w:t>Total</w:t>
            </w:r>
          </w:p>
        </w:tc>
        <w:tc>
          <w:tcPr>
            <w:tcW w:w="854" w:type="dxa"/>
            <w:tcBorders>
              <w:top w:val="single" w:sz="4" w:space="0" w:color="auto"/>
              <w:bottom w:val="single" w:sz="4" w:space="0" w:color="auto"/>
            </w:tcBorders>
            <w:shd w:val="clear" w:color="auto" w:fill="auto"/>
          </w:tcPr>
          <w:p w:rsidR="00D907AF" w:rsidRPr="00024E6F" w:rsidRDefault="00D907AF" w:rsidP="00497154">
            <w:pPr>
              <w:spacing w:before="20" w:after="20"/>
              <w:ind w:right="113"/>
              <w:jc w:val="right"/>
              <w:rPr>
                <w:rFonts w:cstheme="minorHAnsi"/>
                <w:b/>
                <w:color w:val="000000"/>
                <w:sz w:val="20"/>
                <w:szCs w:val="20"/>
              </w:rPr>
            </w:pPr>
            <w:r w:rsidRPr="00024E6F">
              <w:rPr>
                <w:rFonts w:cstheme="minorHAnsi"/>
                <w:b/>
                <w:color w:val="000000"/>
                <w:sz w:val="20"/>
                <w:szCs w:val="20"/>
              </w:rPr>
              <w:t>81</w:t>
            </w:r>
          </w:p>
        </w:tc>
        <w:tc>
          <w:tcPr>
            <w:tcW w:w="833" w:type="dxa"/>
            <w:tcBorders>
              <w:top w:val="single" w:sz="4" w:space="0" w:color="auto"/>
              <w:bottom w:val="single" w:sz="4" w:space="0" w:color="auto"/>
            </w:tcBorders>
            <w:shd w:val="clear" w:color="auto" w:fill="auto"/>
          </w:tcPr>
          <w:p w:rsidR="00D907AF" w:rsidRPr="00024E6F" w:rsidRDefault="00D907AF" w:rsidP="00497154">
            <w:pPr>
              <w:spacing w:before="20" w:after="20"/>
              <w:ind w:right="113"/>
              <w:jc w:val="right"/>
              <w:rPr>
                <w:rFonts w:cstheme="minorHAnsi"/>
                <w:b/>
                <w:color w:val="000000"/>
                <w:sz w:val="20"/>
                <w:szCs w:val="20"/>
              </w:rPr>
            </w:pPr>
            <w:r w:rsidRPr="00024E6F">
              <w:rPr>
                <w:rFonts w:cstheme="minorHAnsi"/>
                <w:b/>
                <w:color w:val="000000"/>
                <w:sz w:val="20"/>
                <w:szCs w:val="20"/>
              </w:rPr>
              <w:t>100</w:t>
            </w:r>
          </w:p>
        </w:tc>
        <w:tc>
          <w:tcPr>
            <w:tcW w:w="1276" w:type="dxa"/>
            <w:tcBorders>
              <w:top w:val="single" w:sz="4" w:space="0" w:color="auto"/>
              <w:bottom w:val="single" w:sz="4" w:space="0" w:color="auto"/>
            </w:tcBorders>
            <w:shd w:val="clear" w:color="auto" w:fill="auto"/>
          </w:tcPr>
          <w:p w:rsidR="00D907AF" w:rsidRPr="00024E6F" w:rsidRDefault="00D907AF" w:rsidP="00497154">
            <w:pPr>
              <w:spacing w:before="20" w:after="20"/>
              <w:ind w:right="284"/>
              <w:jc w:val="right"/>
              <w:rPr>
                <w:rFonts w:cstheme="minorHAnsi"/>
                <w:b/>
                <w:color w:val="000000"/>
                <w:sz w:val="20"/>
                <w:szCs w:val="20"/>
              </w:rPr>
            </w:pPr>
            <w:r w:rsidRPr="00024E6F">
              <w:rPr>
                <w:rFonts w:cstheme="minorHAnsi"/>
                <w:b/>
                <w:color w:val="000000"/>
                <w:sz w:val="20"/>
                <w:szCs w:val="20"/>
              </w:rPr>
              <w:t>116</w:t>
            </w:r>
          </w:p>
        </w:tc>
        <w:tc>
          <w:tcPr>
            <w:tcW w:w="1418" w:type="dxa"/>
            <w:tcBorders>
              <w:top w:val="single" w:sz="4" w:space="0" w:color="auto"/>
              <w:bottom w:val="single" w:sz="4" w:space="0" w:color="auto"/>
            </w:tcBorders>
            <w:shd w:val="clear" w:color="auto" w:fill="auto"/>
          </w:tcPr>
          <w:p w:rsidR="00D907AF" w:rsidRPr="00024E6F" w:rsidRDefault="00D907AF" w:rsidP="00024E6F">
            <w:pPr>
              <w:spacing w:before="20" w:after="20"/>
              <w:ind w:right="284"/>
              <w:jc w:val="right"/>
              <w:rPr>
                <w:rFonts w:cstheme="minorHAnsi"/>
                <w:b/>
                <w:color w:val="000000"/>
                <w:sz w:val="20"/>
                <w:szCs w:val="20"/>
              </w:rPr>
            </w:pPr>
            <w:r w:rsidRPr="00024E6F">
              <w:rPr>
                <w:rFonts w:cstheme="minorHAnsi"/>
                <w:b/>
                <w:color w:val="000000"/>
                <w:sz w:val="20"/>
                <w:szCs w:val="20"/>
              </w:rPr>
              <w:t>100</w:t>
            </w:r>
          </w:p>
        </w:tc>
        <w:tc>
          <w:tcPr>
            <w:tcW w:w="1014" w:type="dxa"/>
            <w:tcBorders>
              <w:top w:val="single" w:sz="4" w:space="0" w:color="auto"/>
              <w:bottom w:val="single" w:sz="4" w:space="0" w:color="auto"/>
            </w:tcBorders>
            <w:shd w:val="clear" w:color="auto" w:fill="auto"/>
          </w:tcPr>
          <w:p w:rsidR="00D907AF" w:rsidRPr="00024E6F" w:rsidRDefault="00D907AF" w:rsidP="00024E6F">
            <w:pPr>
              <w:spacing w:before="20" w:after="20"/>
              <w:ind w:right="113"/>
              <w:jc w:val="right"/>
              <w:rPr>
                <w:rFonts w:cstheme="minorHAnsi"/>
                <w:b/>
                <w:color w:val="000000"/>
                <w:sz w:val="20"/>
                <w:szCs w:val="20"/>
              </w:rPr>
            </w:pPr>
            <w:r w:rsidRPr="00024E6F">
              <w:rPr>
                <w:rFonts w:cstheme="minorHAnsi"/>
                <w:b/>
                <w:color w:val="000000"/>
                <w:sz w:val="20"/>
                <w:szCs w:val="20"/>
              </w:rPr>
              <w:t>197</w:t>
            </w:r>
          </w:p>
        </w:tc>
        <w:tc>
          <w:tcPr>
            <w:tcW w:w="1254" w:type="dxa"/>
            <w:tcBorders>
              <w:top w:val="single" w:sz="4" w:space="0" w:color="auto"/>
              <w:bottom w:val="single" w:sz="4" w:space="0" w:color="auto"/>
            </w:tcBorders>
            <w:shd w:val="clear" w:color="auto" w:fill="auto"/>
          </w:tcPr>
          <w:p w:rsidR="00D907AF" w:rsidRPr="00024E6F" w:rsidRDefault="00D907AF" w:rsidP="00024E6F">
            <w:pPr>
              <w:spacing w:before="20" w:after="20"/>
              <w:ind w:right="230"/>
              <w:jc w:val="right"/>
              <w:rPr>
                <w:rFonts w:cstheme="minorHAnsi"/>
                <w:b/>
                <w:sz w:val="20"/>
                <w:szCs w:val="20"/>
              </w:rPr>
            </w:pPr>
            <w:r w:rsidRPr="00024E6F">
              <w:rPr>
                <w:rFonts w:cstheme="minorHAnsi"/>
                <w:b/>
                <w:sz w:val="20"/>
                <w:szCs w:val="20"/>
              </w:rPr>
              <w:t>100</w:t>
            </w:r>
          </w:p>
        </w:tc>
      </w:tr>
    </w:tbl>
    <w:p w:rsidR="00D907AF" w:rsidRPr="00660446" w:rsidRDefault="00D907AF" w:rsidP="006C7BE7">
      <w:pPr>
        <w:pStyle w:val="NILSTabletext"/>
      </w:pPr>
      <w:r w:rsidRPr="00660446">
        <w:t xml:space="preserve">Note: </w:t>
      </w:r>
      <w:r>
        <w:t>t</w:t>
      </w:r>
      <w:r w:rsidRPr="00EE511C">
        <w:t xml:space="preserve">rial and </w:t>
      </w:r>
      <w:r>
        <w:t>c</w:t>
      </w:r>
      <w:r w:rsidRPr="00EE511C">
        <w:t xml:space="preserve">omparison </w:t>
      </w:r>
      <w:r>
        <w:t>s</w:t>
      </w:r>
      <w:r w:rsidRPr="00EE511C">
        <w:t>tandard</w:t>
      </w:r>
      <w:r>
        <w:t xml:space="preserve"> questionnaire </w:t>
      </w:r>
      <w:r w:rsidRPr="00EE511C">
        <w:t xml:space="preserve">aged 16 and above </w:t>
      </w:r>
      <w:r w:rsidRPr="00660446">
        <w:t>who would like have a place of their own</w:t>
      </w:r>
      <w:r>
        <w:t>.</w:t>
      </w:r>
    </w:p>
    <w:p w:rsidR="00D907AF" w:rsidRDefault="00D907AF" w:rsidP="00D907AF">
      <w:r>
        <w:t>Table 3.</w:t>
      </w:r>
      <w:r>
        <w:rPr>
          <w:rFonts w:hint="eastAsia"/>
        </w:rPr>
        <w:t>5</w:t>
      </w:r>
      <w:r>
        <w:t xml:space="preserve">7 shows that a very large majority of respondents (83.6 per cent) reported that where they currently live meets their needs. </w:t>
      </w:r>
    </w:p>
    <w:p w:rsidR="00D907AF" w:rsidRPr="00233E8A" w:rsidRDefault="00D907AF" w:rsidP="0044684E">
      <w:pPr>
        <w:pStyle w:val="NILSTableHeading"/>
      </w:pPr>
      <w:bookmarkStart w:id="419" w:name="_Toc428280709"/>
      <w:bookmarkStart w:id="420" w:name="_Toc449955319"/>
      <w:r w:rsidRPr="00233E8A">
        <w:t xml:space="preserve">Table </w:t>
      </w:r>
      <w:r>
        <w:rPr>
          <w:rFonts w:hint="eastAsia"/>
        </w:rPr>
        <w:t>3.5</w:t>
      </w:r>
      <w:r>
        <w:t>7</w:t>
      </w:r>
      <w:r w:rsidRPr="00233E8A">
        <w:t xml:space="preserve">: </w:t>
      </w:r>
      <w:r>
        <w:rPr>
          <w:rFonts w:hint="eastAsia"/>
        </w:rPr>
        <w:t>Where</w:t>
      </w:r>
      <w:r w:rsidR="00C129C2">
        <w:rPr>
          <w:lang w:val="en-AU"/>
        </w:rPr>
        <w:t xml:space="preserve"> </w:t>
      </w:r>
      <w:r>
        <w:rPr>
          <w:rFonts w:hint="eastAsia"/>
        </w:rPr>
        <w:t>currently liv</w:t>
      </w:r>
      <w:r>
        <w:t>ing</w:t>
      </w:r>
      <w:r>
        <w:rPr>
          <w:rFonts w:hint="eastAsia"/>
        </w:rPr>
        <w:t xml:space="preserve"> meets</w:t>
      </w:r>
      <w:r w:rsidR="00C129C2">
        <w:rPr>
          <w:lang w:val="en-AU"/>
        </w:rPr>
        <w:t xml:space="preserve"> </w:t>
      </w:r>
      <w:r>
        <w:rPr>
          <w:rFonts w:hint="eastAsia"/>
        </w:rPr>
        <w:t>needs</w:t>
      </w:r>
      <w:bookmarkEnd w:id="419"/>
      <w:bookmarkEnd w:id="420"/>
      <w:r>
        <w:rPr>
          <w:rFonts w:hint="eastAsia"/>
        </w:rPr>
        <w:t xml:space="preserve"> </w:t>
      </w:r>
    </w:p>
    <w:tbl>
      <w:tblPr>
        <w:tblStyle w:val="TableGrid"/>
        <w:tblW w:w="0" w:type="auto"/>
        <w:tblLook w:val="04A0" w:firstRow="1" w:lastRow="0" w:firstColumn="1" w:lastColumn="0" w:noHBand="0" w:noVBand="1"/>
        <w:tblCaption w:val="Table 3.57 Trial and Comparison responses about whether where they currently live meets their needs"/>
      </w:tblPr>
      <w:tblGrid>
        <w:gridCol w:w="1256"/>
        <w:gridCol w:w="854"/>
        <w:gridCol w:w="833"/>
        <w:gridCol w:w="1194"/>
        <w:gridCol w:w="1500"/>
        <w:gridCol w:w="1014"/>
        <w:gridCol w:w="1308"/>
      </w:tblGrid>
      <w:tr w:rsidR="00D907AF" w:rsidRPr="0087485F" w:rsidTr="004B5EF7">
        <w:trPr>
          <w:tblHeader/>
        </w:trPr>
        <w:tc>
          <w:tcPr>
            <w:tcW w:w="1256" w:type="dxa"/>
            <w:tcBorders>
              <w:top w:val="single" w:sz="4" w:space="0" w:color="auto"/>
              <w:bottom w:val="single" w:sz="4" w:space="0" w:color="auto"/>
            </w:tcBorders>
            <w:shd w:val="clear" w:color="auto" w:fill="auto"/>
          </w:tcPr>
          <w:p w:rsidR="00D907AF" w:rsidRPr="0087485F" w:rsidRDefault="00D907AF" w:rsidP="00D907AF">
            <w:pPr>
              <w:spacing w:before="20" w:after="20"/>
              <w:rPr>
                <w:rFonts w:cstheme="minorHAnsi"/>
                <w:sz w:val="20"/>
                <w:szCs w:val="20"/>
              </w:rPr>
            </w:pPr>
            <w:bookmarkStart w:id="421" w:name="Title_3_57"/>
            <w:bookmarkEnd w:id="421"/>
          </w:p>
        </w:tc>
        <w:tc>
          <w:tcPr>
            <w:tcW w:w="854" w:type="dxa"/>
            <w:tcBorders>
              <w:top w:val="single" w:sz="4" w:space="0" w:color="auto"/>
              <w:bottom w:val="single" w:sz="4" w:space="0" w:color="auto"/>
            </w:tcBorders>
            <w:shd w:val="clear" w:color="auto" w:fill="auto"/>
          </w:tcPr>
          <w:p w:rsidR="00D907AF" w:rsidRPr="0087485F" w:rsidRDefault="006E2CE9" w:rsidP="00D907AF">
            <w:pPr>
              <w:spacing w:before="20" w:after="20"/>
              <w:jc w:val="center"/>
              <w:rPr>
                <w:rFonts w:cstheme="minorHAnsi"/>
                <w:sz w:val="20"/>
                <w:szCs w:val="20"/>
              </w:rPr>
            </w:pPr>
            <w:r>
              <w:rPr>
                <w:rFonts w:cstheme="minorHAnsi"/>
                <w:sz w:val="20"/>
                <w:szCs w:val="20"/>
              </w:rPr>
              <w:t>Trial</w:t>
            </w:r>
            <w:r w:rsidR="006761C0">
              <w:rPr>
                <w:rFonts w:cstheme="minorHAnsi"/>
                <w:sz w:val="20"/>
                <w:szCs w:val="20"/>
              </w:rPr>
              <w:t xml:space="preserve"> Cases</w:t>
            </w:r>
          </w:p>
        </w:tc>
        <w:tc>
          <w:tcPr>
            <w:tcW w:w="833" w:type="dxa"/>
            <w:tcBorders>
              <w:top w:val="single" w:sz="4" w:space="0" w:color="auto"/>
              <w:bottom w:val="single" w:sz="4" w:space="0" w:color="auto"/>
            </w:tcBorders>
            <w:shd w:val="clear" w:color="auto" w:fill="auto"/>
          </w:tcPr>
          <w:p w:rsidR="00B8777F" w:rsidRDefault="006E2CE9" w:rsidP="00D907AF">
            <w:pPr>
              <w:spacing w:before="20" w:after="20"/>
              <w:jc w:val="center"/>
              <w:rPr>
                <w:rFonts w:cstheme="minorHAnsi"/>
                <w:sz w:val="20"/>
                <w:szCs w:val="20"/>
              </w:rPr>
            </w:pPr>
            <w:r>
              <w:rPr>
                <w:rFonts w:cstheme="minorHAnsi"/>
                <w:sz w:val="20"/>
                <w:szCs w:val="20"/>
              </w:rPr>
              <w:t xml:space="preserve">Trial </w:t>
            </w:r>
          </w:p>
          <w:p w:rsidR="00D907AF" w:rsidRPr="0087485F" w:rsidRDefault="00D907AF" w:rsidP="00D907AF">
            <w:pPr>
              <w:spacing w:before="20" w:after="20"/>
              <w:jc w:val="center"/>
              <w:rPr>
                <w:rFonts w:cstheme="minorHAnsi"/>
                <w:sz w:val="20"/>
                <w:szCs w:val="20"/>
              </w:rPr>
            </w:pPr>
            <w:r w:rsidRPr="0087485F">
              <w:rPr>
                <w:rFonts w:cstheme="minorHAnsi"/>
                <w:sz w:val="20"/>
                <w:szCs w:val="20"/>
              </w:rPr>
              <w:t>%</w:t>
            </w:r>
          </w:p>
        </w:tc>
        <w:tc>
          <w:tcPr>
            <w:tcW w:w="1194" w:type="dxa"/>
            <w:tcBorders>
              <w:top w:val="single" w:sz="4" w:space="0" w:color="auto"/>
              <w:bottom w:val="single" w:sz="4" w:space="0" w:color="auto"/>
            </w:tcBorders>
            <w:shd w:val="clear" w:color="auto" w:fill="auto"/>
          </w:tcPr>
          <w:p w:rsidR="00D907AF" w:rsidRPr="0087485F" w:rsidRDefault="006E2CE9" w:rsidP="00D907AF">
            <w:pPr>
              <w:spacing w:before="20" w:after="20"/>
              <w:jc w:val="center"/>
              <w:rPr>
                <w:rFonts w:cstheme="minorHAnsi"/>
                <w:sz w:val="20"/>
                <w:szCs w:val="20"/>
              </w:rPr>
            </w:pPr>
            <w:r>
              <w:rPr>
                <w:rFonts w:cstheme="minorHAnsi"/>
                <w:sz w:val="20"/>
                <w:szCs w:val="20"/>
              </w:rPr>
              <w:t>Comparison</w:t>
            </w:r>
            <w:r w:rsidR="006761C0">
              <w:rPr>
                <w:rFonts w:cstheme="minorHAnsi"/>
                <w:sz w:val="20"/>
                <w:szCs w:val="20"/>
              </w:rPr>
              <w:t xml:space="preserve"> Cases</w:t>
            </w:r>
          </w:p>
        </w:tc>
        <w:tc>
          <w:tcPr>
            <w:tcW w:w="1500" w:type="dxa"/>
            <w:tcBorders>
              <w:top w:val="single" w:sz="4" w:space="0" w:color="auto"/>
              <w:bottom w:val="single" w:sz="4" w:space="0" w:color="auto"/>
            </w:tcBorders>
            <w:shd w:val="clear" w:color="auto" w:fill="auto"/>
          </w:tcPr>
          <w:p w:rsidR="00B8777F" w:rsidRDefault="006E2CE9" w:rsidP="00D907AF">
            <w:pPr>
              <w:spacing w:before="20" w:after="20"/>
              <w:jc w:val="center"/>
              <w:rPr>
                <w:rFonts w:cstheme="minorHAnsi"/>
                <w:sz w:val="20"/>
                <w:szCs w:val="20"/>
              </w:rPr>
            </w:pPr>
            <w:r>
              <w:rPr>
                <w:rFonts w:cstheme="minorHAnsi"/>
                <w:sz w:val="20"/>
                <w:szCs w:val="20"/>
              </w:rPr>
              <w:t xml:space="preserve">Comparison </w:t>
            </w:r>
          </w:p>
          <w:p w:rsidR="00D907AF" w:rsidRPr="0087485F" w:rsidRDefault="00D907AF" w:rsidP="00D907AF">
            <w:pPr>
              <w:spacing w:before="20" w:after="20"/>
              <w:jc w:val="center"/>
              <w:rPr>
                <w:rFonts w:cstheme="minorHAnsi"/>
                <w:sz w:val="20"/>
                <w:szCs w:val="20"/>
              </w:rPr>
            </w:pPr>
            <w:r w:rsidRPr="0087485F">
              <w:rPr>
                <w:rFonts w:cstheme="minorHAnsi"/>
                <w:sz w:val="20"/>
                <w:szCs w:val="20"/>
              </w:rPr>
              <w:t>%</w:t>
            </w:r>
          </w:p>
        </w:tc>
        <w:tc>
          <w:tcPr>
            <w:tcW w:w="1014" w:type="dxa"/>
            <w:tcBorders>
              <w:top w:val="single" w:sz="4" w:space="0" w:color="auto"/>
              <w:bottom w:val="single" w:sz="4" w:space="0" w:color="auto"/>
            </w:tcBorders>
            <w:shd w:val="clear" w:color="auto" w:fill="auto"/>
          </w:tcPr>
          <w:p w:rsidR="00D907AF" w:rsidRPr="0087485F" w:rsidRDefault="006E2CE9" w:rsidP="00D907AF">
            <w:pPr>
              <w:spacing w:before="20" w:after="20"/>
              <w:jc w:val="center"/>
              <w:rPr>
                <w:rFonts w:cstheme="minorHAnsi"/>
                <w:sz w:val="20"/>
                <w:szCs w:val="20"/>
              </w:rPr>
            </w:pPr>
            <w:r>
              <w:rPr>
                <w:rFonts w:cstheme="minorHAnsi"/>
                <w:sz w:val="20"/>
                <w:szCs w:val="20"/>
              </w:rPr>
              <w:t>Total</w:t>
            </w:r>
            <w:r w:rsidR="006761C0">
              <w:rPr>
                <w:rFonts w:cstheme="minorHAnsi"/>
                <w:sz w:val="20"/>
                <w:szCs w:val="20"/>
              </w:rPr>
              <w:t xml:space="preserve"> Cases</w:t>
            </w:r>
          </w:p>
        </w:tc>
        <w:tc>
          <w:tcPr>
            <w:tcW w:w="1308" w:type="dxa"/>
            <w:tcBorders>
              <w:top w:val="single" w:sz="4" w:space="0" w:color="auto"/>
              <w:bottom w:val="single" w:sz="4" w:space="0" w:color="auto"/>
            </w:tcBorders>
            <w:shd w:val="clear" w:color="auto" w:fill="auto"/>
          </w:tcPr>
          <w:p w:rsidR="00B8777F" w:rsidRDefault="006E2CE9" w:rsidP="00D907AF">
            <w:pPr>
              <w:spacing w:before="20" w:after="20"/>
              <w:jc w:val="center"/>
              <w:rPr>
                <w:rFonts w:cstheme="minorHAnsi"/>
                <w:sz w:val="20"/>
                <w:szCs w:val="20"/>
              </w:rPr>
            </w:pPr>
            <w:r>
              <w:rPr>
                <w:rFonts w:cstheme="minorHAnsi"/>
                <w:sz w:val="20"/>
                <w:szCs w:val="20"/>
              </w:rPr>
              <w:t xml:space="preserve">Total </w:t>
            </w:r>
          </w:p>
          <w:p w:rsidR="00D907AF" w:rsidRPr="0087485F" w:rsidRDefault="00D907AF" w:rsidP="00D907AF">
            <w:pPr>
              <w:spacing w:before="20" w:after="20"/>
              <w:jc w:val="center"/>
              <w:rPr>
                <w:rFonts w:cstheme="minorHAnsi"/>
                <w:sz w:val="20"/>
                <w:szCs w:val="20"/>
              </w:rPr>
            </w:pPr>
            <w:r w:rsidRPr="0087485F">
              <w:rPr>
                <w:rFonts w:cstheme="minorHAnsi"/>
                <w:sz w:val="20"/>
                <w:szCs w:val="20"/>
              </w:rPr>
              <w:t>%</w:t>
            </w:r>
          </w:p>
        </w:tc>
      </w:tr>
      <w:tr w:rsidR="00D907AF" w:rsidRPr="0087485F" w:rsidTr="004B5EF7">
        <w:tc>
          <w:tcPr>
            <w:tcW w:w="1256"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Yes</w:t>
            </w:r>
          </w:p>
        </w:tc>
        <w:tc>
          <w:tcPr>
            <w:tcW w:w="854" w:type="dxa"/>
            <w:shd w:val="clear" w:color="auto" w:fill="auto"/>
            <w:vAlign w:val="center"/>
          </w:tcPr>
          <w:p w:rsidR="00D907AF" w:rsidRPr="0087485F" w:rsidRDefault="00D907AF" w:rsidP="00950E79">
            <w:pPr>
              <w:spacing w:before="20" w:after="20"/>
              <w:ind w:right="113"/>
              <w:jc w:val="right"/>
              <w:rPr>
                <w:rFonts w:cstheme="minorHAnsi"/>
                <w:color w:val="000000"/>
                <w:sz w:val="20"/>
                <w:szCs w:val="20"/>
              </w:rPr>
            </w:pPr>
            <w:r w:rsidRPr="0087485F">
              <w:rPr>
                <w:rFonts w:cstheme="minorHAnsi"/>
                <w:color w:val="000000"/>
                <w:sz w:val="20"/>
                <w:szCs w:val="20"/>
              </w:rPr>
              <w:t>326</w:t>
            </w:r>
          </w:p>
        </w:tc>
        <w:tc>
          <w:tcPr>
            <w:tcW w:w="833" w:type="dxa"/>
            <w:shd w:val="clear" w:color="auto" w:fill="auto"/>
            <w:vAlign w:val="center"/>
          </w:tcPr>
          <w:p w:rsidR="00D907AF" w:rsidRPr="0087485F" w:rsidRDefault="00D907AF" w:rsidP="00497154">
            <w:pPr>
              <w:spacing w:before="20" w:after="20"/>
              <w:ind w:right="113"/>
              <w:jc w:val="right"/>
              <w:rPr>
                <w:rFonts w:cstheme="minorHAnsi"/>
                <w:color w:val="000000"/>
                <w:sz w:val="20"/>
                <w:szCs w:val="20"/>
              </w:rPr>
            </w:pPr>
            <w:r w:rsidRPr="0087485F">
              <w:rPr>
                <w:rFonts w:cstheme="minorHAnsi"/>
                <w:color w:val="000000"/>
                <w:sz w:val="20"/>
                <w:szCs w:val="20"/>
              </w:rPr>
              <w:t>84.0</w:t>
            </w:r>
          </w:p>
        </w:tc>
        <w:tc>
          <w:tcPr>
            <w:tcW w:w="1194" w:type="dxa"/>
            <w:shd w:val="clear" w:color="auto" w:fill="auto"/>
            <w:vAlign w:val="center"/>
          </w:tcPr>
          <w:p w:rsidR="00D907AF" w:rsidRPr="0087485F" w:rsidRDefault="00D907AF" w:rsidP="00024E6F">
            <w:pPr>
              <w:spacing w:before="20" w:after="20"/>
              <w:ind w:right="284"/>
              <w:jc w:val="right"/>
              <w:rPr>
                <w:rFonts w:cstheme="minorHAnsi"/>
                <w:color w:val="000000"/>
                <w:sz w:val="20"/>
                <w:szCs w:val="20"/>
              </w:rPr>
            </w:pPr>
            <w:r w:rsidRPr="0087485F">
              <w:rPr>
                <w:rFonts w:cstheme="minorHAnsi"/>
                <w:color w:val="000000"/>
                <w:sz w:val="20"/>
                <w:szCs w:val="20"/>
              </w:rPr>
              <w:t>442</w:t>
            </w:r>
          </w:p>
        </w:tc>
        <w:tc>
          <w:tcPr>
            <w:tcW w:w="1500" w:type="dxa"/>
            <w:shd w:val="clear" w:color="auto" w:fill="auto"/>
            <w:vAlign w:val="center"/>
          </w:tcPr>
          <w:p w:rsidR="00D907AF" w:rsidRPr="0087485F" w:rsidRDefault="00D907AF" w:rsidP="00950E79">
            <w:pPr>
              <w:spacing w:before="20" w:after="20"/>
              <w:ind w:right="318"/>
              <w:jc w:val="right"/>
              <w:rPr>
                <w:rFonts w:cstheme="minorHAnsi"/>
                <w:color w:val="000000"/>
                <w:sz w:val="20"/>
                <w:szCs w:val="20"/>
              </w:rPr>
            </w:pPr>
            <w:r w:rsidRPr="0087485F">
              <w:rPr>
                <w:rFonts w:cstheme="minorHAnsi"/>
                <w:color w:val="000000"/>
                <w:sz w:val="20"/>
                <w:szCs w:val="20"/>
              </w:rPr>
              <w:t>83.2</w:t>
            </w:r>
          </w:p>
        </w:tc>
        <w:tc>
          <w:tcPr>
            <w:tcW w:w="1014" w:type="dxa"/>
            <w:shd w:val="clear" w:color="auto" w:fill="auto"/>
            <w:vAlign w:val="center"/>
          </w:tcPr>
          <w:p w:rsidR="00D907AF" w:rsidRPr="0087485F" w:rsidRDefault="00D907AF" w:rsidP="00950E79">
            <w:pPr>
              <w:spacing w:before="20" w:after="20"/>
              <w:ind w:right="170"/>
              <w:jc w:val="right"/>
              <w:rPr>
                <w:rFonts w:cstheme="minorHAnsi"/>
                <w:color w:val="000000"/>
                <w:sz w:val="20"/>
                <w:szCs w:val="20"/>
              </w:rPr>
            </w:pPr>
            <w:r w:rsidRPr="0087485F">
              <w:rPr>
                <w:rFonts w:cstheme="minorHAnsi"/>
                <w:color w:val="000000"/>
                <w:sz w:val="20"/>
                <w:szCs w:val="20"/>
              </w:rPr>
              <w:t>768</w:t>
            </w:r>
          </w:p>
        </w:tc>
        <w:tc>
          <w:tcPr>
            <w:tcW w:w="1308" w:type="dxa"/>
            <w:shd w:val="clear" w:color="auto" w:fill="auto"/>
            <w:vAlign w:val="center"/>
          </w:tcPr>
          <w:p w:rsidR="00D907AF" w:rsidRPr="0087485F" w:rsidRDefault="00D907AF" w:rsidP="00950E79">
            <w:pPr>
              <w:spacing w:before="20" w:after="20"/>
              <w:ind w:right="284"/>
              <w:jc w:val="right"/>
              <w:rPr>
                <w:rFonts w:cstheme="minorHAnsi"/>
                <w:color w:val="000000"/>
                <w:sz w:val="20"/>
                <w:szCs w:val="20"/>
              </w:rPr>
            </w:pPr>
            <w:r w:rsidRPr="0087485F">
              <w:rPr>
                <w:rFonts w:cstheme="minorHAnsi"/>
                <w:color w:val="000000"/>
                <w:sz w:val="20"/>
                <w:szCs w:val="20"/>
              </w:rPr>
              <w:t>83.6</w:t>
            </w:r>
          </w:p>
        </w:tc>
      </w:tr>
      <w:tr w:rsidR="00D907AF" w:rsidRPr="0087485F" w:rsidTr="004B5EF7">
        <w:tc>
          <w:tcPr>
            <w:tcW w:w="1256"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No</w:t>
            </w:r>
          </w:p>
        </w:tc>
        <w:tc>
          <w:tcPr>
            <w:tcW w:w="854" w:type="dxa"/>
            <w:shd w:val="clear" w:color="auto" w:fill="auto"/>
            <w:vAlign w:val="center"/>
          </w:tcPr>
          <w:p w:rsidR="00D907AF" w:rsidRPr="0087485F" w:rsidRDefault="00D907AF" w:rsidP="00950E79">
            <w:pPr>
              <w:spacing w:before="20" w:after="20"/>
              <w:ind w:right="113"/>
              <w:jc w:val="right"/>
              <w:rPr>
                <w:rFonts w:cstheme="minorHAnsi"/>
                <w:color w:val="000000"/>
                <w:sz w:val="20"/>
                <w:szCs w:val="20"/>
              </w:rPr>
            </w:pPr>
            <w:r w:rsidRPr="0087485F">
              <w:rPr>
                <w:rFonts w:cstheme="minorHAnsi"/>
                <w:color w:val="000000"/>
                <w:sz w:val="20"/>
                <w:szCs w:val="20"/>
              </w:rPr>
              <w:t>48</w:t>
            </w:r>
          </w:p>
        </w:tc>
        <w:tc>
          <w:tcPr>
            <w:tcW w:w="833" w:type="dxa"/>
            <w:shd w:val="clear" w:color="auto" w:fill="auto"/>
            <w:vAlign w:val="center"/>
          </w:tcPr>
          <w:p w:rsidR="00D907AF" w:rsidRPr="0087485F" w:rsidRDefault="00D907AF" w:rsidP="00497154">
            <w:pPr>
              <w:spacing w:before="20" w:after="20"/>
              <w:ind w:right="113"/>
              <w:jc w:val="right"/>
              <w:rPr>
                <w:rFonts w:cstheme="minorHAnsi"/>
                <w:color w:val="000000"/>
                <w:sz w:val="20"/>
                <w:szCs w:val="20"/>
              </w:rPr>
            </w:pPr>
            <w:r w:rsidRPr="0087485F">
              <w:rPr>
                <w:rFonts w:cstheme="minorHAnsi"/>
                <w:color w:val="000000"/>
                <w:sz w:val="20"/>
                <w:szCs w:val="20"/>
              </w:rPr>
              <w:t>12.4</w:t>
            </w:r>
          </w:p>
        </w:tc>
        <w:tc>
          <w:tcPr>
            <w:tcW w:w="1194" w:type="dxa"/>
            <w:shd w:val="clear" w:color="auto" w:fill="auto"/>
            <w:vAlign w:val="center"/>
          </w:tcPr>
          <w:p w:rsidR="00D907AF" w:rsidRPr="0087485F" w:rsidRDefault="00D907AF" w:rsidP="00024E6F">
            <w:pPr>
              <w:spacing w:before="20" w:after="20"/>
              <w:ind w:right="284"/>
              <w:jc w:val="right"/>
              <w:rPr>
                <w:rFonts w:cstheme="minorHAnsi"/>
                <w:color w:val="000000"/>
                <w:sz w:val="20"/>
                <w:szCs w:val="20"/>
              </w:rPr>
            </w:pPr>
            <w:r w:rsidRPr="0087485F">
              <w:rPr>
                <w:rFonts w:cstheme="minorHAnsi"/>
                <w:color w:val="000000"/>
                <w:sz w:val="20"/>
                <w:szCs w:val="20"/>
              </w:rPr>
              <w:t>72</w:t>
            </w:r>
          </w:p>
        </w:tc>
        <w:tc>
          <w:tcPr>
            <w:tcW w:w="1500" w:type="dxa"/>
            <w:shd w:val="clear" w:color="auto" w:fill="auto"/>
            <w:vAlign w:val="center"/>
          </w:tcPr>
          <w:p w:rsidR="00D907AF" w:rsidRPr="0087485F" w:rsidRDefault="00D907AF" w:rsidP="00950E79">
            <w:pPr>
              <w:spacing w:before="20" w:after="20"/>
              <w:ind w:right="318"/>
              <w:jc w:val="right"/>
              <w:rPr>
                <w:rFonts w:cstheme="minorHAnsi"/>
                <w:color w:val="000000"/>
                <w:sz w:val="20"/>
                <w:szCs w:val="20"/>
              </w:rPr>
            </w:pPr>
            <w:r w:rsidRPr="0087485F">
              <w:rPr>
                <w:rFonts w:cstheme="minorHAnsi"/>
                <w:color w:val="000000"/>
                <w:sz w:val="20"/>
                <w:szCs w:val="20"/>
              </w:rPr>
              <w:t>13.6</w:t>
            </w:r>
          </w:p>
        </w:tc>
        <w:tc>
          <w:tcPr>
            <w:tcW w:w="1014" w:type="dxa"/>
            <w:shd w:val="clear" w:color="auto" w:fill="auto"/>
            <w:vAlign w:val="center"/>
          </w:tcPr>
          <w:p w:rsidR="00D907AF" w:rsidRPr="0087485F" w:rsidRDefault="00D907AF" w:rsidP="00950E79">
            <w:pPr>
              <w:spacing w:before="20" w:after="20"/>
              <w:ind w:right="170"/>
              <w:jc w:val="right"/>
              <w:rPr>
                <w:rFonts w:cstheme="minorHAnsi"/>
                <w:color w:val="000000"/>
                <w:sz w:val="20"/>
                <w:szCs w:val="20"/>
              </w:rPr>
            </w:pPr>
            <w:r w:rsidRPr="0087485F">
              <w:rPr>
                <w:rFonts w:cstheme="minorHAnsi"/>
                <w:color w:val="000000"/>
                <w:sz w:val="20"/>
                <w:szCs w:val="20"/>
              </w:rPr>
              <w:t>120</w:t>
            </w:r>
          </w:p>
        </w:tc>
        <w:tc>
          <w:tcPr>
            <w:tcW w:w="1308" w:type="dxa"/>
            <w:shd w:val="clear" w:color="auto" w:fill="auto"/>
            <w:vAlign w:val="center"/>
          </w:tcPr>
          <w:p w:rsidR="00D907AF" w:rsidRPr="0087485F" w:rsidRDefault="00D907AF" w:rsidP="00950E79">
            <w:pPr>
              <w:spacing w:before="20" w:after="20"/>
              <w:ind w:right="284"/>
              <w:jc w:val="right"/>
              <w:rPr>
                <w:rFonts w:cstheme="minorHAnsi"/>
                <w:color w:val="000000"/>
                <w:sz w:val="20"/>
                <w:szCs w:val="20"/>
              </w:rPr>
            </w:pPr>
            <w:r w:rsidRPr="0087485F">
              <w:rPr>
                <w:rFonts w:cstheme="minorHAnsi"/>
                <w:color w:val="000000"/>
                <w:sz w:val="20"/>
                <w:szCs w:val="20"/>
              </w:rPr>
              <w:t>13.1</w:t>
            </w:r>
          </w:p>
        </w:tc>
      </w:tr>
      <w:tr w:rsidR="00D907AF" w:rsidRPr="0087485F" w:rsidTr="004B5EF7">
        <w:tc>
          <w:tcPr>
            <w:tcW w:w="1256" w:type="dxa"/>
          </w:tcPr>
          <w:p w:rsidR="00D907AF" w:rsidRPr="0087485F" w:rsidRDefault="00D907AF" w:rsidP="00D907AF">
            <w:pPr>
              <w:spacing w:before="20" w:after="20"/>
              <w:rPr>
                <w:rFonts w:cstheme="minorHAnsi"/>
                <w:sz w:val="20"/>
                <w:szCs w:val="20"/>
              </w:rPr>
            </w:pPr>
            <w:r w:rsidRPr="0087485F">
              <w:rPr>
                <w:rFonts w:cstheme="minorHAnsi"/>
                <w:sz w:val="20"/>
                <w:szCs w:val="20"/>
              </w:rPr>
              <w:t>Don’t know</w:t>
            </w:r>
          </w:p>
        </w:tc>
        <w:tc>
          <w:tcPr>
            <w:tcW w:w="854" w:type="dxa"/>
          </w:tcPr>
          <w:p w:rsidR="00D907AF" w:rsidRPr="0087485F" w:rsidRDefault="00D907AF" w:rsidP="00950E79">
            <w:pPr>
              <w:spacing w:before="20" w:after="20"/>
              <w:ind w:right="113"/>
              <w:jc w:val="right"/>
              <w:rPr>
                <w:rFonts w:cstheme="minorHAnsi"/>
                <w:color w:val="000000"/>
                <w:sz w:val="20"/>
                <w:szCs w:val="20"/>
              </w:rPr>
            </w:pPr>
            <w:r w:rsidRPr="0087485F">
              <w:rPr>
                <w:rFonts w:cstheme="minorHAnsi"/>
                <w:color w:val="000000"/>
                <w:sz w:val="20"/>
                <w:szCs w:val="20"/>
              </w:rPr>
              <w:t>3</w:t>
            </w:r>
          </w:p>
        </w:tc>
        <w:tc>
          <w:tcPr>
            <w:tcW w:w="833" w:type="dxa"/>
          </w:tcPr>
          <w:p w:rsidR="00D907AF" w:rsidRPr="0087485F" w:rsidRDefault="00D907AF" w:rsidP="00497154">
            <w:pPr>
              <w:spacing w:before="20" w:after="20"/>
              <w:ind w:right="113"/>
              <w:jc w:val="right"/>
              <w:rPr>
                <w:rFonts w:cstheme="minorHAnsi"/>
                <w:color w:val="000000"/>
                <w:sz w:val="20"/>
                <w:szCs w:val="20"/>
              </w:rPr>
            </w:pPr>
            <w:r w:rsidRPr="0087485F">
              <w:rPr>
                <w:rFonts w:cstheme="minorHAnsi"/>
                <w:color w:val="000000"/>
                <w:sz w:val="20"/>
                <w:szCs w:val="20"/>
              </w:rPr>
              <w:t>0.8</w:t>
            </w:r>
          </w:p>
        </w:tc>
        <w:tc>
          <w:tcPr>
            <w:tcW w:w="1194" w:type="dxa"/>
          </w:tcPr>
          <w:p w:rsidR="00D907AF" w:rsidRPr="0087485F" w:rsidRDefault="00D907AF" w:rsidP="00024E6F">
            <w:pPr>
              <w:spacing w:before="20" w:after="20"/>
              <w:ind w:right="284"/>
              <w:jc w:val="right"/>
              <w:rPr>
                <w:rFonts w:cstheme="minorHAnsi"/>
                <w:color w:val="000000"/>
                <w:sz w:val="20"/>
                <w:szCs w:val="20"/>
              </w:rPr>
            </w:pPr>
            <w:r w:rsidRPr="0087485F">
              <w:rPr>
                <w:rFonts w:cstheme="minorHAnsi"/>
                <w:color w:val="000000"/>
                <w:sz w:val="20"/>
                <w:szCs w:val="20"/>
              </w:rPr>
              <w:t>10</w:t>
            </w:r>
          </w:p>
        </w:tc>
        <w:tc>
          <w:tcPr>
            <w:tcW w:w="1500" w:type="dxa"/>
          </w:tcPr>
          <w:p w:rsidR="00D907AF" w:rsidRPr="0087485F" w:rsidRDefault="00D907AF" w:rsidP="00950E79">
            <w:pPr>
              <w:spacing w:before="20" w:after="20"/>
              <w:ind w:right="318"/>
              <w:jc w:val="right"/>
              <w:rPr>
                <w:rFonts w:cstheme="minorHAnsi"/>
                <w:color w:val="000000"/>
                <w:sz w:val="20"/>
                <w:szCs w:val="20"/>
              </w:rPr>
            </w:pPr>
            <w:r w:rsidRPr="0087485F">
              <w:rPr>
                <w:rFonts w:cstheme="minorHAnsi"/>
                <w:color w:val="000000"/>
                <w:sz w:val="20"/>
                <w:szCs w:val="20"/>
              </w:rPr>
              <w:t>1.9</w:t>
            </w:r>
          </w:p>
        </w:tc>
        <w:tc>
          <w:tcPr>
            <w:tcW w:w="1014" w:type="dxa"/>
          </w:tcPr>
          <w:p w:rsidR="00D907AF" w:rsidRPr="0087485F" w:rsidRDefault="00D907AF" w:rsidP="00950E79">
            <w:pPr>
              <w:spacing w:before="20" w:after="20"/>
              <w:ind w:right="170"/>
              <w:jc w:val="right"/>
              <w:rPr>
                <w:rFonts w:cstheme="minorHAnsi"/>
                <w:color w:val="000000"/>
                <w:sz w:val="20"/>
                <w:szCs w:val="20"/>
              </w:rPr>
            </w:pPr>
            <w:r w:rsidRPr="0087485F">
              <w:rPr>
                <w:rFonts w:cstheme="minorHAnsi"/>
                <w:color w:val="000000"/>
                <w:sz w:val="20"/>
                <w:szCs w:val="20"/>
              </w:rPr>
              <w:t>13</w:t>
            </w:r>
          </w:p>
        </w:tc>
        <w:tc>
          <w:tcPr>
            <w:tcW w:w="1308" w:type="dxa"/>
          </w:tcPr>
          <w:p w:rsidR="00D907AF" w:rsidRPr="0087485F" w:rsidRDefault="00D907AF" w:rsidP="00950E79">
            <w:pPr>
              <w:spacing w:before="20" w:after="20"/>
              <w:ind w:right="284"/>
              <w:jc w:val="right"/>
              <w:rPr>
                <w:rFonts w:cstheme="minorHAnsi"/>
                <w:color w:val="000000"/>
                <w:sz w:val="20"/>
                <w:szCs w:val="20"/>
              </w:rPr>
            </w:pPr>
            <w:r w:rsidRPr="0087485F">
              <w:rPr>
                <w:rFonts w:cstheme="minorHAnsi"/>
                <w:color w:val="000000"/>
                <w:sz w:val="20"/>
                <w:szCs w:val="20"/>
              </w:rPr>
              <w:t>1.4</w:t>
            </w:r>
          </w:p>
        </w:tc>
      </w:tr>
      <w:tr w:rsidR="00D907AF" w:rsidRPr="0087485F" w:rsidTr="004B5EF7">
        <w:tc>
          <w:tcPr>
            <w:tcW w:w="1256" w:type="dxa"/>
            <w:tcBorders>
              <w:bottom w:val="single" w:sz="4" w:space="0" w:color="auto"/>
            </w:tcBorders>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 xml:space="preserve">Missing </w:t>
            </w:r>
          </w:p>
        </w:tc>
        <w:tc>
          <w:tcPr>
            <w:tcW w:w="854" w:type="dxa"/>
            <w:tcBorders>
              <w:bottom w:val="single" w:sz="4" w:space="0" w:color="auto"/>
            </w:tcBorders>
            <w:shd w:val="clear" w:color="auto" w:fill="auto"/>
            <w:vAlign w:val="center"/>
          </w:tcPr>
          <w:p w:rsidR="00D907AF" w:rsidRPr="0087485F" w:rsidRDefault="00D907AF" w:rsidP="00950E79">
            <w:pPr>
              <w:spacing w:before="20" w:after="20"/>
              <w:ind w:right="113"/>
              <w:jc w:val="right"/>
              <w:rPr>
                <w:rFonts w:cstheme="minorHAnsi"/>
                <w:color w:val="000000"/>
                <w:sz w:val="20"/>
                <w:szCs w:val="20"/>
              </w:rPr>
            </w:pPr>
            <w:r w:rsidRPr="0087485F">
              <w:rPr>
                <w:rFonts w:cstheme="minorHAnsi"/>
                <w:color w:val="000000"/>
                <w:sz w:val="20"/>
                <w:szCs w:val="20"/>
              </w:rPr>
              <w:t>11</w:t>
            </w:r>
          </w:p>
        </w:tc>
        <w:tc>
          <w:tcPr>
            <w:tcW w:w="833" w:type="dxa"/>
            <w:tcBorders>
              <w:bottom w:val="single" w:sz="4" w:space="0" w:color="auto"/>
            </w:tcBorders>
            <w:shd w:val="clear" w:color="auto" w:fill="auto"/>
            <w:vAlign w:val="center"/>
          </w:tcPr>
          <w:p w:rsidR="00D907AF" w:rsidRPr="0087485F" w:rsidRDefault="00D907AF" w:rsidP="00497154">
            <w:pPr>
              <w:spacing w:before="20" w:after="20"/>
              <w:ind w:right="113"/>
              <w:jc w:val="right"/>
              <w:rPr>
                <w:rFonts w:cstheme="minorHAnsi"/>
                <w:color w:val="000000"/>
                <w:sz w:val="20"/>
                <w:szCs w:val="20"/>
              </w:rPr>
            </w:pPr>
            <w:r w:rsidRPr="0087485F">
              <w:rPr>
                <w:rFonts w:cstheme="minorHAnsi"/>
                <w:color w:val="000000"/>
                <w:sz w:val="20"/>
                <w:szCs w:val="20"/>
              </w:rPr>
              <w:t>2.8</w:t>
            </w:r>
          </w:p>
        </w:tc>
        <w:tc>
          <w:tcPr>
            <w:tcW w:w="1194" w:type="dxa"/>
            <w:tcBorders>
              <w:bottom w:val="single" w:sz="4" w:space="0" w:color="auto"/>
            </w:tcBorders>
            <w:shd w:val="clear" w:color="auto" w:fill="auto"/>
            <w:vAlign w:val="center"/>
          </w:tcPr>
          <w:p w:rsidR="00D907AF" w:rsidRPr="0087485F" w:rsidRDefault="00D907AF" w:rsidP="00024E6F">
            <w:pPr>
              <w:spacing w:before="20" w:after="20"/>
              <w:ind w:right="284"/>
              <w:jc w:val="right"/>
              <w:rPr>
                <w:rFonts w:cstheme="minorHAnsi"/>
                <w:color w:val="000000"/>
                <w:sz w:val="20"/>
                <w:szCs w:val="20"/>
              </w:rPr>
            </w:pPr>
            <w:r w:rsidRPr="0087485F">
              <w:rPr>
                <w:rFonts w:cstheme="minorHAnsi"/>
                <w:color w:val="000000"/>
                <w:sz w:val="20"/>
                <w:szCs w:val="20"/>
              </w:rPr>
              <w:t>7</w:t>
            </w:r>
          </w:p>
        </w:tc>
        <w:tc>
          <w:tcPr>
            <w:tcW w:w="1500" w:type="dxa"/>
            <w:tcBorders>
              <w:bottom w:val="single" w:sz="4" w:space="0" w:color="auto"/>
            </w:tcBorders>
            <w:shd w:val="clear" w:color="auto" w:fill="auto"/>
            <w:vAlign w:val="center"/>
          </w:tcPr>
          <w:p w:rsidR="00D907AF" w:rsidRPr="0087485F" w:rsidRDefault="00D907AF" w:rsidP="00950E79">
            <w:pPr>
              <w:spacing w:before="20" w:after="20"/>
              <w:ind w:right="318"/>
              <w:jc w:val="right"/>
              <w:rPr>
                <w:rFonts w:cstheme="minorHAnsi"/>
                <w:color w:val="000000"/>
                <w:sz w:val="20"/>
                <w:szCs w:val="20"/>
              </w:rPr>
            </w:pPr>
            <w:r w:rsidRPr="0087485F">
              <w:rPr>
                <w:rFonts w:cstheme="minorHAnsi"/>
                <w:color w:val="000000"/>
                <w:sz w:val="20"/>
                <w:szCs w:val="20"/>
              </w:rPr>
              <w:t>1.3</w:t>
            </w:r>
          </w:p>
        </w:tc>
        <w:tc>
          <w:tcPr>
            <w:tcW w:w="1014" w:type="dxa"/>
            <w:tcBorders>
              <w:bottom w:val="single" w:sz="4" w:space="0" w:color="auto"/>
            </w:tcBorders>
            <w:shd w:val="clear" w:color="auto" w:fill="auto"/>
            <w:vAlign w:val="center"/>
          </w:tcPr>
          <w:p w:rsidR="00D907AF" w:rsidRPr="0087485F" w:rsidRDefault="00D907AF" w:rsidP="00950E79">
            <w:pPr>
              <w:spacing w:before="20" w:after="20"/>
              <w:ind w:right="170"/>
              <w:jc w:val="right"/>
              <w:rPr>
                <w:rFonts w:cstheme="minorHAnsi"/>
                <w:color w:val="000000"/>
                <w:sz w:val="20"/>
                <w:szCs w:val="20"/>
              </w:rPr>
            </w:pPr>
            <w:r w:rsidRPr="0087485F">
              <w:rPr>
                <w:rFonts w:cstheme="minorHAnsi"/>
                <w:color w:val="000000"/>
                <w:sz w:val="20"/>
                <w:szCs w:val="20"/>
              </w:rPr>
              <w:t>18</w:t>
            </w:r>
          </w:p>
        </w:tc>
        <w:tc>
          <w:tcPr>
            <w:tcW w:w="1308" w:type="dxa"/>
            <w:tcBorders>
              <w:bottom w:val="single" w:sz="4" w:space="0" w:color="auto"/>
            </w:tcBorders>
            <w:shd w:val="clear" w:color="auto" w:fill="auto"/>
            <w:vAlign w:val="center"/>
          </w:tcPr>
          <w:p w:rsidR="00D907AF" w:rsidRPr="0087485F" w:rsidRDefault="00D907AF" w:rsidP="00950E79">
            <w:pPr>
              <w:spacing w:before="20" w:after="20"/>
              <w:ind w:right="284"/>
              <w:jc w:val="right"/>
              <w:rPr>
                <w:rFonts w:cstheme="minorHAnsi"/>
                <w:color w:val="000000"/>
                <w:sz w:val="20"/>
                <w:szCs w:val="20"/>
              </w:rPr>
            </w:pPr>
            <w:r w:rsidRPr="0087485F">
              <w:rPr>
                <w:rFonts w:cstheme="minorHAnsi"/>
                <w:color w:val="000000"/>
                <w:sz w:val="20"/>
                <w:szCs w:val="20"/>
              </w:rPr>
              <w:t>2.0</w:t>
            </w:r>
          </w:p>
        </w:tc>
      </w:tr>
      <w:tr w:rsidR="00D907AF" w:rsidRPr="0087485F" w:rsidTr="004B5EF7">
        <w:tc>
          <w:tcPr>
            <w:tcW w:w="1256" w:type="dxa"/>
            <w:tcBorders>
              <w:top w:val="single" w:sz="4" w:space="0" w:color="auto"/>
              <w:bottom w:val="single" w:sz="4" w:space="0" w:color="auto"/>
            </w:tcBorders>
            <w:shd w:val="clear" w:color="auto" w:fill="auto"/>
          </w:tcPr>
          <w:p w:rsidR="00D907AF" w:rsidRPr="0087485F" w:rsidRDefault="00D907AF" w:rsidP="00D907AF">
            <w:pPr>
              <w:spacing w:before="20" w:after="20"/>
              <w:rPr>
                <w:rFonts w:cstheme="minorHAnsi"/>
                <w:sz w:val="20"/>
                <w:szCs w:val="20"/>
              </w:rPr>
            </w:pPr>
            <w:r w:rsidRPr="0087485F">
              <w:rPr>
                <w:rFonts w:cstheme="minorHAnsi"/>
                <w:b/>
                <w:sz w:val="20"/>
                <w:szCs w:val="20"/>
              </w:rPr>
              <w:t>Total</w:t>
            </w:r>
          </w:p>
        </w:tc>
        <w:tc>
          <w:tcPr>
            <w:tcW w:w="854" w:type="dxa"/>
            <w:tcBorders>
              <w:top w:val="single" w:sz="4" w:space="0" w:color="auto"/>
              <w:bottom w:val="single" w:sz="4" w:space="0" w:color="auto"/>
            </w:tcBorders>
            <w:shd w:val="clear" w:color="auto" w:fill="auto"/>
          </w:tcPr>
          <w:p w:rsidR="00D907AF" w:rsidRPr="00024E6F" w:rsidRDefault="00D907AF" w:rsidP="00950E79">
            <w:pPr>
              <w:spacing w:before="20" w:after="20"/>
              <w:ind w:right="113"/>
              <w:jc w:val="right"/>
              <w:rPr>
                <w:rFonts w:cstheme="minorHAnsi"/>
                <w:b/>
                <w:color w:val="000000"/>
                <w:sz w:val="20"/>
                <w:szCs w:val="20"/>
              </w:rPr>
            </w:pPr>
            <w:r w:rsidRPr="00024E6F">
              <w:rPr>
                <w:rFonts w:cstheme="minorHAnsi"/>
                <w:b/>
                <w:color w:val="000000"/>
                <w:sz w:val="20"/>
                <w:szCs w:val="20"/>
              </w:rPr>
              <w:t>388</w:t>
            </w:r>
          </w:p>
        </w:tc>
        <w:tc>
          <w:tcPr>
            <w:tcW w:w="833" w:type="dxa"/>
            <w:tcBorders>
              <w:top w:val="single" w:sz="4" w:space="0" w:color="auto"/>
              <w:bottom w:val="single" w:sz="4" w:space="0" w:color="auto"/>
            </w:tcBorders>
            <w:shd w:val="clear" w:color="auto" w:fill="auto"/>
          </w:tcPr>
          <w:p w:rsidR="00D907AF" w:rsidRPr="00950E79" w:rsidRDefault="00D907AF" w:rsidP="00950E79">
            <w:pPr>
              <w:spacing w:before="20" w:after="20"/>
              <w:ind w:right="113"/>
              <w:jc w:val="right"/>
              <w:rPr>
                <w:rFonts w:cstheme="minorHAnsi"/>
                <w:b/>
                <w:color w:val="000000"/>
                <w:sz w:val="20"/>
                <w:szCs w:val="20"/>
              </w:rPr>
            </w:pPr>
            <w:r w:rsidRPr="00950E79">
              <w:rPr>
                <w:rFonts w:cstheme="minorHAnsi"/>
                <w:b/>
                <w:color w:val="000000"/>
                <w:sz w:val="20"/>
                <w:szCs w:val="20"/>
              </w:rPr>
              <w:t>100</w:t>
            </w:r>
          </w:p>
        </w:tc>
        <w:tc>
          <w:tcPr>
            <w:tcW w:w="1194" w:type="dxa"/>
            <w:tcBorders>
              <w:top w:val="single" w:sz="4" w:space="0" w:color="auto"/>
              <w:bottom w:val="single" w:sz="4" w:space="0" w:color="auto"/>
            </w:tcBorders>
            <w:shd w:val="clear" w:color="auto" w:fill="auto"/>
          </w:tcPr>
          <w:p w:rsidR="00D907AF" w:rsidRPr="00024E6F" w:rsidRDefault="00D907AF" w:rsidP="00024E6F">
            <w:pPr>
              <w:spacing w:before="20" w:after="20"/>
              <w:ind w:right="230"/>
              <w:jc w:val="right"/>
              <w:rPr>
                <w:rFonts w:cstheme="minorHAnsi"/>
                <w:b/>
                <w:color w:val="000000"/>
                <w:sz w:val="20"/>
                <w:szCs w:val="20"/>
              </w:rPr>
            </w:pPr>
            <w:r w:rsidRPr="00024E6F">
              <w:rPr>
                <w:rFonts w:cstheme="minorHAnsi"/>
                <w:b/>
                <w:color w:val="000000"/>
                <w:sz w:val="20"/>
                <w:szCs w:val="20"/>
              </w:rPr>
              <w:t>531</w:t>
            </w:r>
          </w:p>
        </w:tc>
        <w:tc>
          <w:tcPr>
            <w:tcW w:w="1500" w:type="dxa"/>
            <w:tcBorders>
              <w:top w:val="single" w:sz="4" w:space="0" w:color="auto"/>
              <w:bottom w:val="single" w:sz="4" w:space="0" w:color="auto"/>
            </w:tcBorders>
            <w:shd w:val="clear" w:color="auto" w:fill="auto"/>
          </w:tcPr>
          <w:p w:rsidR="00D907AF" w:rsidRPr="00024E6F" w:rsidRDefault="00D907AF" w:rsidP="00950E79">
            <w:pPr>
              <w:spacing w:before="20" w:after="20"/>
              <w:ind w:right="318"/>
              <w:jc w:val="right"/>
              <w:rPr>
                <w:rFonts w:cstheme="minorHAnsi"/>
                <w:b/>
                <w:color w:val="000000"/>
                <w:sz w:val="20"/>
                <w:szCs w:val="20"/>
              </w:rPr>
            </w:pPr>
            <w:r w:rsidRPr="00024E6F">
              <w:rPr>
                <w:rFonts w:cstheme="minorHAnsi"/>
                <w:b/>
                <w:color w:val="000000"/>
                <w:sz w:val="20"/>
                <w:szCs w:val="20"/>
              </w:rPr>
              <w:t>100</w:t>
            </w:r>
          </w:p>
        </w:tc>
        <w:tc>
          <w:tcPr>
            <w:tcW w:w="1014" w:type="dxa"/>
            <w:tcBorders>
              <w:top w:val="single" w:sz="4" w:space="0" w:color="auto"/>
              <w:bottom w:val="single" w:sz="4" w:space="0" w:color="auto"/>
            </w:tcBorders>
            <w:shd w:val="clear" w:color="auto" w:fill="auto"/>
          </w:tcPr>
          <w:p w:rsidR="00D907AF" w:rsidRPr="00950E79" w:rsidRDefault="00D907AF" w:rsidP="00950E79">
            <w:pPr>
              <w:spacing w:before="20" w:after="20"/>
              <w:ind w:right="170"/>
              <w:jc w:val="right"/>
              <w:rPr>
                <w:rFonts w:cstheme="minorHAnsi"/>
                <w:b/>
                <w:color w:val="000000"/>
                <w:sz w:val="20"/>
                <w:szCs w:val="20"/>
              </w:rPr>
            </w:pPr>
            <w:r w:rsidRPr="00950E79">
              <w:rPr>
                <w:rFonts w:cstheme="minorHAnsi"/>
                <w:b/>
                <w:color w:val="000000"/>
                <w:sz w:val="20"/>
                <w:szCs w:val="20"/>
              </w:rPr>
              <w:t>919</w:t>
            </w:r>
          </w:p>
        </w:tc>
        <w:tc>
          <w:tcPr>
            <w:tcW w:w="1308" w:type="dxa"/>
            <w:tcBorders>
              <w:top w:val="single" w:sz="4" w:space="0" w:color="auto"/>
              <w:bottom w:val="single" w:sz="4" w:space="0" w:color="auto"/>
            </w:tcBorders>
            <w:shd w:val="clear" w:color="auto" w:fill="auto"/>
          </w:tcPr>
          <w:p w:rsidR="00D907AF" w:rsidRPr="00950E79" w:rsidRDefault="00D907AF" w:rsidP="00950E79">
            <w:pPr>
              <w:spacing w:before="20" w:after="20"/>
              <w:ind w:right="284"/>
              <w:jc w:val="right"/>
              <w:rPr>
                <w:rFonts w:cstheme="minorHAnsi"/>
                <w:b/>
                <w:color w:val="000000"/>
                <w:sz w:val="20"/>
                <w:szCs w:val="20"/>
              </w:rPr>
            </w:pPr>
            <w:r w:rsidRPr="00950E79">
              <w:rPr>
                <w:rFonts w:cstheme="minorHAnsi"/>
                <w:b/>
                <w:color w:val="000000"/>
                <w:sz w:val="20"/>
                <w:szCs w:val="20"/>
              </w:rPr>
              <w:t>100</w:t>
            </w:r>
          </w:p>
        </w:tc>
      </w:tr>
    </w:tbl>
    <w:p w:rsidR="00D907AF" w:rsidRPr="00660446" w:rsidRDefault="00D907AF" w:rsidP="006C7BE7">
      <w:pPr>
        <w:pStyle w:val="NILSTabletext"/>
      </w:pPr>
      <w:r w:rsidRPr="00660446">
        <w:t xml:space="preserve">Note: </w:t>
      </w:r>
      <w:r>
        <w:t>t</w:t>
      </w:r>
      <w:r w:rsidRPr="00EE511C">
        <w:t xml:space="preserve">rial and </w:t>
      </w:r>
      <w:r>
        <w:t>c</w:t>
      </w:r>
      <w:r w:rsidRPr="00EE511C">
        <w:t xml:space="preserve">omparison </w:t>
      </w:r>
      <w:r>
        <w:t>s</w:t>
      </w:r>
      <w:r w:rsidRPr="00EE511C">
        <w:t>tandard</w:t>
      </w:r>
      <w:r>
        <w:t xml:space="preserve"> questionnaire </w:t>
      </w:r>
      <w:r w:rsidRPr="00EE511C">
        <w:t>aged 16 and above</w:t>
      </w:r>
      <w:r>
        <w:t>.</w:t>
      </w:r>
    </w:p>
    <w:p w:rsidR="00D907AF" w:rsidRDefault="00D907AF" w:rsidP="00D907AF">
      <w:pPr>
        <w:rPr>
          <w:rFonts w:ascii="Calibri" w:hAnsi="Calibri" w:cs="Calibri"/>
        </w:rPr>
      </w:pPr>
      <w:r>
        <w:t xml:space="preserve">For the 13.1 per cent of respondents who stated that where they live did not meet their needs, </w:t>
      </w:r>
      <w:r w:rsidRPr="006C7D1B">
        <w:t xml:space="preserve">Table </w:t>
      </w:r>
      <w:r>
        <w:rPr>
          <w:rFonts w:hint="eastAsia"/>
        </w:rPr>
        <w:t>3.58</w:t>
      </w:r>
      <w:r w:rsidRPr="006C7D1B">
        <w:t xml:space="preserve"> presents potential issues with current housing.</w:t>
      </w:r>
      <w:r w:rsidRPr="006C7D1B">
        <w:rPr>
          <w:rFonts w:ascii="Calibri" w:hAnsi="Calibri" w:cs="Calibri"/>
        </w:rPr>
        <w:t xml:space="preserve"> Although the sample size is still not large enough for making meaningful statistical statements about the impact of any individual such obstacle, Table 3.</w:t>
      </w:r>
      <w:r w:rsidRPr="006C7D1B">
        <w:rPr>
          <w:rFonts w:ascii="Calibri" w:hAnsi="Calibri" w:cs="Calibri" w:hint="eastAsia"/>
        </w:rPr>
        <w:t>5</w:t>
      </w:r>
      <w:r>
        <w:rPr>
          <w:rFonts w:ascii="Calibri" w:hAnsi="Calibri" w:cs="Calibri"/>
        </w:rPr>
        <w:t>8</w:t>
      </w:r>
      <w:r w:rsidRPr="006C7D1B">
        <w:rPr>
          <w:rFonts w:ascii="Calibri" w:hAnsi="Calibri" w:cs="Calibri" w:hint="eastAsia"/>
        </w:rPr>
        <w:t xml:space="preserve"> </w:t>
      </w:r>
      <w:r>
        <w:rPr>
          <w:rFonts w:ascii="Calibri" w:hAnsi="Calibri" w:cs="Calibri"/>
        </w:rPr>
        <w:t>(like Table 3.47</w:t>
      </w:r>
      <w:r w:rsidRPr="006C7D1B">
        <w:rPr>
          <w:rFonts w:ascii="Calibri" w:hAnsi="Calibri" w:cs="Calibri"/>
        </w:rPr>
        <w:t xml:space="preserve"> in the education section</w:t>
      </w:r>
      <w:r>
        <w:rPr>
          <w:rFonts w:ascii="Calibri" w:hAnsi="Calibri" w:cs="Calibri"/>
        </w:rPr>
        <w:t xml:space="preserve"> and Table 3.53</w:t>
      </w:r>
      <w:r w:rsidRPr="006C7D1B">
        <w:rPr>
          <w:rFonts w:ascii="Calibri" w:hAnsi="Calibri" w:cs="Calibri"/>
        </w:rPr>
        <w:t xml:space="preserve"> in the employment section) </w:t>
      </w:r>
      <w:r w:rsidR="00E6455B">
        <w:rPr>
          <w:rFonts w:ascii="Calibri" w:hAnsi="Calibri" w:cs="Calibri"/>
        </w:rPr>
        <w:t xml:space="preserve">are </w:t>
      </w:r>
      <w:r w:rsidRPr="00707A9D">
        <w:rPr>
          <w:rFonts w:ascii="Calibri" w:hAnsi="Calibri" w:cs="Calibri"/>
        </w:rPr>
        <w:t>marked for its</w:t>
      </w:r>
      <w:r>
        <w:rPr>
          <w:rFonts w:ascii="Calibri" w:hAnsi="Calibri" w:cs="Calibri"/>
        </w:rPr>
        <w:t xml:space="preserve"> significant</w:t>
      </w:r>
      <w:r w:rsidRPr="00707A9D">
        <w:rPr>
          <w:rFonts w:ascii="Calibri" w:hAnsi="Calibri" w:cs="Calibri"/>
        </w:rPr>
        <w:t xml:space="preserve"> potential</w:t>
      </w:r>
      <w:r>
        <w:rPr>
          <w:rFonts w:ascii="Calibri" w:hAnsi="Calibri" w:cs="Calibri"/>
        </w:rPr>
        <w:t xml:space="preserve"> with the completion of Wave 1.</w:t>
      </w:r>
    </w:p>
    <w:p w:rsidR="00CC1E9C" w:rsidRDefault="00CC1E9C" w:rsidP="00D907AF">
      <w:pPr>
        <w:rPr>
          <w:rFonts w:ascii="Calibri" w:hAnsi="Calibri" w:cs="Calibri"/>
        </w:rPr>
      </w:pPr>
    </w:p>
    <w:p w:rsidR="00B8777F" w:rsidRDefault="00B8777F">
      <w:pPr>
        <w:rPr>
          <w:b/>
          <w:sz w:val="20"/>
          <w:lang w:val="x-none"/>
        </w:rPr>
      </w:pPr>
      <w:bookmarkStart w:id="422" w:name="_Toc428280710"/>
      <w:r>
        <w:br w:type="page"/>
      </w:r>
    </w:p>
    <w:p w:rsidR="00D907AF" w:rsidRDefault="00D907AF" w:rsidP="0044684E">
      <w:pPr>
        <w:pStyle w:val="NILSTableHeading"/>
      </w:pPr>
      <w:bookmarkStart w:id="423" w:name="_Toc449955320"/>
      <w:r>
        <w:rPr>
          <w:rFonts w:hint="eastAsia"/>
        </w:rPr>
        <w:lastRenderedPageBreak/>
        <w:t>Table 3.5</w:t>
      </w:r>
      <w:r>
        <w:t>8</w:t>
      </w:r>
      <w:r w:rsidRPr="00233E8A">
        <w:rPr>
          <w:rFonts w:hint="eastAsia"/>
        </w:rPr>
        <w:t xml:space="preserve">: </w:t>
      </w:r>
      <w:r>
        <w:rPr>
          <w:rFonts w:hint="eastAsia"/>
        </w:rPr>
        <w:t xml:space="preserve">Is there anything </w:t>
      </w:r>
      <w:r>
        <w:t xml:space="preserve">about </w:t>
      </w:r>
      <w:r>
        <w:rPr>
          <w:rFonts w:hint="eastAsia"/>
        </w:rPr>
        <w:t>where he/she lives that he/she is not happy about</w:t>
      </w:r>
      <w:r>
        <w:t>?</w:t>
      </w:r>
      <w:bookmarkEnd w:id="422"/>
      <w:bookmarkEnd w:id="423"/>
    </w:p>
    <w:tbl>
      <w:tblPr>
        <w:tblStyle w:val="TableGrid"/>
        <w:tblW w:w="9809" w:type="dxa"/>
        <w:tblLayout w:type="fixed"/>
        <w:tblLook w:val="04A0" w:firstRow="1" w:lastRow="0" w:firstColumn="1" w:lastColumn="0" w:noHBand="0" w:noVBand="1"/>
        <w:tblCaption w:val="Table 3.58 Is there anything about where he/she lives that he/she is not happy about?"/>
      </w:tblPr>
      <w:tblGrid>
        <w:gridCol w:w="4876"/>
        <w:gridCol w:w="680"/>
        <w:gridCol w:w="567"/>
        <w:gridCol w:w="1134"/>
        <w:gridCol w:w="1134"/>
        <w:gridCol w:w="709"/>
        <w:gridCol w:w="709"/>
      </w:tblGrid>
      <w:tr w:rsidR="00D907AF" w:rsidRPr="0087485F" w:rsidTr="00F21A5D">
        <w:trPr>
          <w:tblHeader/>
        </w:trPr>
        <w:tc>
          <w:tcPr>
            <w:tcW w:w="4876" w:type="dxa"/>
            <w:tcBorders>
              <w:top w:val="single" w:sz="4" w:space="0" w:color="auto"/>
              <w:bottom w:val="single" w:sz="4" w:space="0" w:color="auto"/>
            </w:tcBorders>
            <w:shd w:val="clear" w:color="auto" w:fill="auto"/>
          </w:tcPr>
          <w:p w:rsidR="00D907AF" w:rsidRPr="0087485F" w:rsidRDefault="00D907AF" w:rsidP="00742DC3">
            <w:pPr>
              <w:spacing w:before="20" w:after="20"/>
              <w:rPr>
                <w:rFonts w:cstheme="minorHAnsi"/>
                <w:sz w:val="20"/>
                <w:szCs w:val="20"/>
              </w:rPr>
            </w:pPr>
            <w:bookmarkStart w:id="424" w:name="Title_3_58"/>
            <w:bookmarkEnd w:id="424"/>
          </w:p>
        </w:tc>
        <w:tc>
          <w:tcPr>
            <w:tcW w:w="680" w:type="dxa"/>
            <w:tcBorders>
              <w:top w:val="single" w:sz="4" w:space="0" w:color="auto"/>
              <w:bottom w:val="single" w:sz="4" w:space="0" w:color="auto"/>
            </w:tcBorders>
            <w:shd w:val="clear" w:color="auto" w:fill="auto"/>
          </w:tcPr>
          <w:p w:rsidR="00D907AF" w:rsidRPr="0087485F" w:rsidRDefault="00A752A9" w:rsidP="00A752A9">
            <w:pPr>
              <w:spacing w:before="20" w:after="20"/>
              <w:jc w:val="center"/>
              <w:rPr>
                <w:rFonts w:cstheme="minorHAnsi"/>
                <w:sz w:val="20"/>
                <w:szCs w:val="20"/>
              </w:rPr>
            </w:pPr>
            <w:r>
              <w:rPr>
                <w:rFonts w:cstheme="minorHAnsi"/>
                <w:sz w:val="20"/>
                <w:szCs w:val="20"/>
              </w:rPr>
              <w:t>Trial</w:t>
            </w:r>
            <w:r w:rsidR="006761C0">
              <w:rPr>
                <w:rFonts w:cstheme="minorHAnsi"/>
                <w:sz w:val="20"/>
                <w:szCs w:val="20"/>
              </w:rPr>
              <w:t xml:space="preserve"> Cases</w:t>
            </w:r>
          </w:p>
        </w:tc>
        <w:tc>
          <w:tcPr>
            <w:tcW w:w="567" w:type="dxa"/>
            <w:tcBorders>
              <w:top w:val="single" w:sz="4" w:space="0" w:color="auto"/>
              <w:bottom w:val="single" w:sz="4" w:space="0" w:color="auto"/>
            </w:tcBorders>
            <w:shd w:val="clear" w:color="auto" w:fill="auto"/>
          </w:tcPr>
          <w:p w:rsidR="005C07D2" w:rsidRDefault="00A752A9" w:rsidP="00033088">
            <w:pPr>
              <w:spacing w:before="20" w:after="20"/>
              <w:ind w:left="-28" w:right="-57"/>
              <w:jc w:val="center"/>
              <w:rPr>
                <w:rFonts w:cstheme="minorHAnsi"/>
                <w:sz w:val="20"/>
                <w:szCs w:val="20"/>
              </w:rPr>
            </w:pPr>
            <w:r>
              <w:rPr>
                <w:rFonts w:cstheme="minorHAnsi"/>
                <w:sz w:val="20"/>
                <w:szCs w:val="20"/>
              </w:rPr>
              <w:t>Trial</w:t>
            </w:r>
            <w:r w:rsidR="005C07D2">
              <w:rPr>
                <w:rFonts w:cstheme="minorHAnsi"/>
                <w:sz w:val="20"/>
                <w:szCs w:val="20"/>
              </w:rPr>
              <w:t xml:space="preserve"> </w:t>
            </w:r>
          </w:p>
          <w:p w:rsidR="00D907AF" w:rsidRPr="0087485F" w:rsidRDefault="00D907AF" w:rsidP="00033088">
            <w:pPr>
              <w:spacing w:before="20" w:after="20"/>
              <w:ind w:left="-28" w:right="-57"/>
              <w:jc w:val="center"/>
              <w:rPr>
                <w:rFonts w:cstheme="minorHAnsi"/>
                <w:sz w:val="20"/>
                <w:szCs w:val="20"/>
              </w:rPr>
            </w:pPr>
            <w:r w:rsidRPr="0087485F">
              <w:rPr>
                <w:rFonts w:cstheme="minorHAnsi"/>
                <w:sz w:val="20"/>
                <w:szCs w:val="20"/>
              </w:rPr>
              <w:t>%</w:t>
            </w:r>
          </w:p>
        </w:tc>
        <w:tc>
          <w:tcPr>
            <w:tcW w:w="1134" w:type="dxa"/>
            <w:tcBorders>
              <w:top w:val="single" w:sz="4" w:space="0" w:color="auto"/>
              <w:bottom w:val="single" w:sz="4" w:space="0" w:color="auto"/>
            </w:tcBorders>
            <w:shd w:val="clear" w:color="auto" w:fill="auto"/>
          </w:tcPr>
          <w:p w:rsidR="00D907AF" w:rsidRPr="0087485F" w:rsidRDefault="00A752A9" w:rsidP="00E24007">
            <w:pPr>
              <w:spacing w:before="20" w:after="20"/>
              <w:ind w:left="-52" w:right="-51"/>
              <w:jc w:val="center"/>
              <w:rPr>
                <w:rFonts w:cstheme="minorHAnsi"/>
                <w:sz w:val="20"/>
                <w:szCs w:val="20"/>
              </w:rPr>
            </w:pPr>
            <w:r>
              <w:rPr>
                <w:rFonts w:cstheme="minorHAnsi"/>
                <w:sz w:val="20"/>
                <w:szCs w:val="20"/>
              </w:rPr>
              <w:t>Comparison</w:t>
            </w:r>
            <w:r w:rsidR="006761C0">
              <w:rPr>
                <w:rFonts w:cstheme="minorHAnsi"/>
                <w:sz w:val="20"/>
                <w:szCs w:val="20"/>
              </w:rPr>
              <w:t xml:space="preserve"> Cases</w:t>
            </w:r>
          </w:p>
        </w:tc>
        <w:tc>
          <w:tcPr>
            <w:tcW w:w="1134" w:type="dxa"/>
            <w:tcBorders>
              <w:top w:val="single" w:sz="4" w:space="0" w:color="auto"/>
              <w:bottom w:val="single" w:sz="4" w:space="0" w:color="auto"/>
            </w:tcBorders>
            <w:shd w:val="clear" w:color="auto" w:fill="auto"/>
          </w:tcPr>
          <w:p w:rsidR="00D907AF" w:rsidRPr="0087485F" w:rsidRDefault="00A752A9" w:rsidP="00E24007">
            <w:pPr>
              <w:spacing w:before="20" w:after="20"/>
              <w:ind w:left="-52" w:right="-22"/>
              <w:jc w:val="center"/>
              <w:rPr>
                <w:rFonts w:cstheme="minorHAnsi"/>
                <w:sz w:val="20"/>
                <w:szCs w:val="20"/>
              </w:rPr>
            </w:pPr>
            <w:r>
              <w:rPr>
                <w:rFonts w:cstheme="minorHAnsi"/>
                <w:sz w:val="20"/>
                <w:szCs w:val="20"/>
              </w:rPr>
              <w:t xml:space="preserve">Comparison </w:t>
            </w:r>
            <w:r w:rsidR="00D907AF" w:rsidRPr="0087485F">
              <w:rPr>
                <w:rFonts w:cstheme="minorHAnsi"/>
                <w:sz w:val="20"/>
                <w:szCs w:val="20"/>
              </w:rPr>
              <w:t>%</w:t>
            </w:r>
          </w:p>
        </w:tc>
        <w:tc>
          <w:tcPr>
            <w:tcW w:w="709" w:type="dxa"/>
            <w:tcBorders>
              <w:top w:val="single" w:sz="4" w:space="0" w:color="auto"/>
              <w:bottom w:val="single" w:sz="4" w:space="0" w:color="auto"/>
            </w:tcBorders>
            <w:shd w:val="clear" w:color="auto" w:fill="auto"/>
          </w:tcPr>
          <w:p w:rsidR="00D907AF" w:rsidRPr="0087485F" w:rsidRDefault="00A752A9" w:rsidP="00423BB4">
            <w:pPr>
              <w:spacing w:before="20" w:after="20"/>
              <w:jc w:val="center"/>
              <w:rPr>
                <w:rFonts w:cstheme="minorHAnsi"/>
                <w:sz w:val="20"/>
                <w:szCs w:val="20"/>
              </w:rPr>
            </w:pPr>
            <w:r>
              <w:rPr>
                <w:rFonts w:cstheme="minorHAnsi"/>
                <w:sz w:val="20"/>
                <w:szCs w:val="20"/>
              </w:rPr>
              <w:t>Total</w:t>
            </w:r>
            <w:r w:rsidR="006761C0">
              <w:rPr>
                <w:rFonts w:cstheme="minorHAnsi"/>
                <w:sz w:val="20"/>
                <w:szCs w:val="20"/>
              </w:rPr>
              <w:t xml:space="preserve"> Cases</w:t>
            </w:r>
          </w:p>
        </w:tc>
        <w:tc>
          <w:tcPr>
            <w:tcW w:w="709" w:type="dxa"/>
            <w:tcBorders>
              <w:top w:val="single" w:sz="4" w:space="0" w:color="auto"/>
              <w:bottom w:val="single" w:sz="4" w:space="0" w:color="auto"/>
            </w:tcBorders>
            <w:shd w:val="clear" w:color="auto" w:fill="auto"/>
          </w:tcPr>
          <w:p w:rsidR="00D907AF" w:rsidRPr="0087485F" w:rsidRDefault="00A752A9" w:rsidP="00A752A9">
            <w:pPr>
              <w:spacing w:before="20" w:after="20"/>
              <w:jc w:val="center"/>
              <w:rPr>
                <w:rFonts w:cstheme="minorHAnsi"/>
                <w:sz w:val="20"/>
                <w:szCs w:val="20"/>
              </w:rPr>
            </w:pPr>
            <w:r>
              <w:rPr>
                <w:rFonts w:cstheme="minorHAnsi"/>
                <w:sz w:val="20"/>
                <w:szCs w:val="20"/>
              </w:rPr>
              <w:t>Total</w:t>
            </w:r>
            <w:r w:rsidR="00D907AF" w:rsidRPr="0087485F">
              <w:rPr>
                <w:rFonts w:cstheme="minorHAnsi"/>
                <w:sz w:val="20"/>
                <w:szCs w:val="20"/>
              </w:rPr>
              <w:t>%</w:t>
            </w:r>
          </w:p>
        </w:tc>
      </w:tr>
      <w:tr w:rsidR="00D907AF" w:rsidRPr="0087485F" w:rsidTr="00F21A5D">
        <w:tc>
          <w:tcPr>
            <w:tcW w:w="4876"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He/she needs to live nearer to shops and other facilities</w:t>
            </w:r>
          </w:p>
        </w:tc>
        <w:tc>
          <w:tcPr>
            <w:tcW w:w="680" w:type="dxa"/>
            <w:shd w:val="clear" w:color="auto" w:fill="auto"/>
            <w:vAlign w:val="center"/>
          </w:tcPr>
          <w:p w:rsidR="00D907AF" w:rsidRPr="0087485F" w:rsidRDefault="00D907AF" w:rsidP="00E24007">
            <w:pPr>
              <w:spacing w:before="20" w:after="20"/>
              <w:ind w:right="113"/>
              <w:jc w:val="right"/>
              <w:rPr>
                <w:rFonts w:cstheme="minorHAnsi"/>
                <w:color w:val="000000"/>
                <w:sz w:val="20"/>
                <w:szCs w:val="20"/>
              </w:rPr>
            </w:pPr>
            <w:r w:rsidRPr="0087485F">
              <w:rPr>
                <w:rFonts w:cstheme="minorHAnsi"/>
                <w:color w:val="000000"/>
                <w:sz w:val="20"/>
                <w:szCs w:val="20"/>
              </w:rPr>
              <w:t>10</w:t>
            </w:r>
          </w:p>
        </w:tc>
        <w:tc>
          <w:tcPr>
            <w:tcW w:w="567" w:type="dxa"/>
            <w:shd w:val="clear" w:color="auto" w:fill="auto"/>
            <w:vAlign w:val="center"/>
          </w:tcPr>
          <w:p w:rsidR="00D907AF" w:rsidRPr="0087485F" w:rsidRDefault="00D907AF" w:rsidP="00572300">
            <w:pPr>
              <w:spacing w:before="20" w:after="20"/>
              <w:ind w:right="-57"/>
              <w:jc w:val="right"/>
              <w:rPr>
                <w:rFonts w:cstheme="minorHAnsi"/>
                <w:color w:val="000000"/>
                <w:sz w:val="20"/>
                <w:szCs w:val="20"/>
              </w:rPr>
            </w:pPr>
            <w:r w:rsidRPr="0087485F">
              <w:rPr>
                <w:rFonts w:cstheme="minorHAnsi"/>
                <w:color w:val="000000"/>
                <w:sz w:val="20"/>
                <w:szCs w:val="20"/>
              </w:rPr>
              <w:t>16.1</w:t>
            </w:r>
          </w:p>
        </w:tc>
        <w:tc>
          <w:tcPr>
            <w:tcW w:w="1134" w:type="dxa"/>
            <w:shd w:val="clear" w:color="auto" w:fill="auto"/>
            <w:vAlign w:val="center"/>
          </w:tcPr>
          <w:p w:rsidR="00D907AF" w:rsidRPr="0087485F" w:rsidRDefault="00D907AF" w:rsidP="00EF6563">
            <w:pPr>
              <w:spacing w:before="20" w:after="20"/>
              <w:ind w:right="397"/>
              <w:jc w:val="right"/>
              <w:rPr>
                <w:rFonts w:cstheme="minorHAnsi"/>
                <w:color w:val="000000"/>
                <w:sz w:val="20"/>
                <w:szCs w:val="20"/>
              </w:rPr>
            </w:pPr>
            <w:r w:rsidRPr="0087485F">
              <w:rPr>
                <w:rFonts w:cstheme="minorHAnsi"/>
                <w:color w:val="000000"/>
                <w:sz w:val="20"/>
                <w:szCs w:val="20"/>
              </w:rPr>
              <w:t>20</w:t>
            </w:r>
          </w:p>
        </w:tc>
        <w:tc>
          <w:tcPr>
            <w:tcW w:w="1134" w:type="dxa"/>
            <w:shd w:val="clear" w:color="auto" w:fill="auto"/>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22.5</w:t>
            </w:r>
          </w:p>
        </w:tc>
        <w:tc>
          <w:tcPr>
            <w:tcW w:w="709" w:type="dxa"/>
            <w:shd w:val="clear" w:color="auto" w:fill="auto"/>
            <w:vAlign w:val="center"/>
          </w:tcPr>
          <w:p w:rsidR="00D907AF" w:rsidRPr="0087485F" w:rsidRDefault="00D907AF" w:rsidP="00EF6563">
            <w:pPr>
              <w:spacing w:before="20" w:after="20"/>
              <w:ind w:right="176"/>
              <w:jc w:val="right"/>
              <w:rPr>
                <w:rFonts w:cstheme="minorHAnsi"/>
                <w:color w:val="000000"/>
                <w:sz w:val="20"/>
                <w:szCs w:val="20"/>
              </w:rPr>
            </w:pPr>
            <w:r w:rsidRPr="0087485F">
              <w:rPr>
                <w:rFonts w:cstheme="minorHAnsi"/>
                <w:color w:val="000000"/>
                <w:sz w:val="20"/>
                <w:szCs w:val="20"/>
              </w:rPr>
              <w:t>30</w:t>
            </w:r>
          </w:p>
        </w:tc>
        <w:tc>
          <w:tcPr>
            <w:tcW w:w="709"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19.9</w:t>
            </w:r>
          </w:p>
        </w:tc>
      </w:tr>
      <w:tr w:rsidR="00D907AF" w:rsidRPr="0087485F" w:rsidTr="00F21A5D">
        <w:tc>
          <w:tcPr>
            <w:tcW w:w="4876"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He/she needs to live nearer to work/school</w:t>
            </w:r>
          </w:p>
        </w:tc>
        <w:tc>
          <w:tcPr>
            <w:tcW w:w="680" w:type="dxa"/>
            <w:shd w:val="clear" w:color="auto" w:fill="auto"/>
            <w:vAlign w:val="center"/>
          </w:tcPr>
          <w:p w:rsidR="00D907AF" w:rsidRPr="0087485F" w:rsidRDefault="00D907AF" w:rsidP="00E24007">
            <w:pPr>
              <w:spacing w:before="20" w:after="20"/>
              <w:ind w:right="113"/>
              <w:jc w:val="right"/>
              <w:rPr>
                <w:rFonts w:cstheme="minorHAnsi"/>
                <w:color w:val="000000"/>
                <w:sz w:val="20"/>
                <w:szCs w:val="20"/>
              </w:rPr>
            </w:pPr>
            <w:r w:rsidRPr="0087485F">
              <w:rPr>
                <w:rFonts w:cstheme="minorHAnsi"/>
                <w:color w:val="000000"/>
                <w:sz w:val="20"/>
                <w:szCs w:val="20"/>
              </w:rPr>
              <w:t>5</w:t>
            </w:r>
          </w:p>
        </w:tc>
        <w:tc>
          <w:tcPr>
            <w:tcW w:w="567" w:type="dxa"/>
            <w:shd w:val="clear" w:color="auto" w:fill="auto"/>
            <w:vAlign w:val="center"/>
          </w:tcPr>
          <w:p w:rsidR="00D907AF" w:rsidRPr="0087485F" w:rsidRDefault="00D907AF" w:rsidP="00572300">
            <w:pPr>
              <w:spacing w:before="20" w:after="20"/>
              <w:ind w:right="-57"/>
              <w:jc w:val="right"/>
              <w:rPr>
                <w:rFonts w:cstheme="minorHAnsi"/>
                <w:color w:val="000000"/>
                <w:sz w:val="20"/>
                <w:szCs w:val="20"/>
              </w:rPr>
            </w:pPr>
            <w:r w:rsidRPr="0087485F">
              <w:rPr>
                <w:rFonts w:cstheme="minorHAnsi"/>
                <w:color w:val="000000"/>
                <w:sz w:val="20"/>
                <w:szCs w:val="20"/>
              </w:rPr>
              <w:t>8.1</w:t>
            </w:r>
          </w:p>
        </w:tc>
        <w:tc>
          <w:tcPr>
            <w:tcW w:w="1134" w:type="dxa"/>
            <w:shd w:val="clear" w:color="auto" w:fill="auto"/>
            <w:vAlign w:val="center"/>
          </w:tcPr>
          <w:p w:rsidR="00D907AF" w:rsidRPr="0087485F" w:rsidRDefault="00D907AF" w:rsidP="00EF6563">
            <w:pPr>
              <w:spacing w:before="20" w:after="20"/>
              <w:ind w:right="397"/>
              <w:jc w:val="right"/>
              <w:rPr>
                <w:rFonts w:cstheme="minorHAnsi"/>
                <w:color w:val="000000"/>
                <w:sz w:val="20"/>
                <w:szCs w:val="20"/>
              </w:rPr>
            </w:pPr>
            <w:r w:rsidRPr="0087485F">
              <w:rPr>
                <w:rFonts w:cstheme="minorHAnsi"/>
                <w:color w:val="000000"/>
                <w:sz w:val="20"/>
                <w:szCs w:val="20"/>
              </w:rPr>
              <w:t>7</w:t>
            </w:r>
          </w:p>
        </w:tc>
        <w:tc>
          <w:tcPr>
            <w:tcW w:w="1134" w:type="dxa"/>
            <w:shd w:val="clear" w:color="auto" w:fill="auto"/>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7.9</w:t>
            </w:r>
          </w:p>
        </w:tc>
        <w:tc>
          <w:tcPr>
            <w:tcW w:w="709" w:type="dxa"/>
            <w:shd w:val="clear" w:color="auto" w:fill="auto"/>
            <w:vAlign w:val="center"/>
          </w:tcPr>
          <w:p w:rsidR="00D907AF" w:rsidRPr="0087485F" w:rsidRDefault="00D907AF" w:rsidP="00EF6563">
            <w:pPr>
              <w:spacing w:before="20" w:after="20"/>
              <w:ind w:right="176"/>
              <w:jc w:val="right"/>
              <w:rPr>
                <w:rFonts w:cstheme="minorHAnsi"/>
                <w:color w:val="000000"/>
                <w:sz w:val="20"/>
                <w:szCs w:val="20"/>
              </w:rPr>
            </w:pPr>
            <w:r w:rsidRPr="0087485F">
              <w:rPr>
                <w:rFonts w:cstheme="minorHAnsi"/>
                <w:color w:val="000000"/>
                <w:sz w:val="20"/>
                <w:szCs w:val="20"/>
              </w:rPr>
              <w:t>12</w:t>
            </w:r>
          </w:p>
        </w:tc>
        <w:tc>
          <w:tcPr>
            <w:tcW w:w="709"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8.0</w:t>
            </w:r>
          </w:p>
        </w:tc>
      </w:tr>
      <w:tr w:rsidR="00D907AF" w:rsidRPr="0087485F" w:rsidTr="00F21A5D">
        <w:tc>
          <w:tcPr>
            <w:tcW w:w="4876"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He/she needs to live nearer to family or friends</w:t>
            </w:r>
          </w:p>
        </w:tc>
        <w:tc>
          <w:tcPr>
            <w:tcW w:w="680" w:type="dxa"/>
            <w:shd w:val="clear" w:color="auto" w:fill="auto"/>
            <w:vAlign w:val="center"/>
          </w:tcPr>
          <w:p w:rsidR="00D907AF" w:rsidRPr="0087485F" w:rsidRDefault="00D907AF" w:rsidP="00E24007">
            <w:pPr>
              <w:spacing w:before="20" w:after="20"/>
              <w:ind w:right="113"/>
              <w:jc w:val="right"/>
              <w:rPr>
                <w:rFonts w:cstheme="minorHAnsi"/>
                <w:color w:val="000000"/>
                <w:sz w:val="20"/>
                <w:szCs w:val="20"/>
              </w:rPr>
            </w:pPr>
            <w:r w:rsidRPr="0087485F">
              <w:rPr>
                <w:rFonts w:cstheme="minorHAnsi"/>
                <w:color w:val="000000"/>
                <w:sz w:val="20"/>
                <w:szCs w:val="20"/>
              </w:rPr>
              <w:t>8</w:t>
            </w:r>
          </w:p>
        </w:tc>
        <w:tc>
          <w:tcPr>
            <w:tcW w:w="567" w:type="dxa"/>
            <w:shd w:val="clear" w:color="auto" w:fill="auto"/>
            <w:vAlign w:val="center"/>
          </w:tcPr>
          <w:p w:rsidR="00D907AF" w:rsidRPr="0087485F" w:rsidRDefault="00D907AF" w:rsidP="00572300">
            <w:pPr>
              <w:spacing w:before="20" w:after="20"/>
              <w:ind w:right="-57"/>
              <w:jc w:val="right"/>
              <w:rPr>
                <w:rFonts w:cstheme="minorHAnsi"/>
                <w:color w:val="000000"/>
                <w:sz w:val="20"/>
                <w:szCs w:val="20"/>
              </w:rPr>
            </w:pPr>
            <w:r w:rsidRPr="0087485F">
              <w:rPr>
                <w:rFonts w:cstheme="minorHAnsi"/>
                <w:color w:val="000000"/>
                <w:sz w:val="20"/>
                <w:szCs w:val="20"/>
              </w:rPr>
              <w:t>12.9</w:t>
            </w:r>
          </w:p>
        </w:tc>
        <w:tc>
          <w:tcPr>
            <w:tcW w:w="1134" w:type="dxa"/>
            <w:shd w:val="clear" w:color="auto" w:fill="auto"/>
            <w:vAlign w:val="center"/>
          </w:tcPr>
          <w:p w:rsidR="00D907AF" w:rsidRPr="0087485F" w:rsidRDefault="00D907AF" w:rsidP="00EF6563">
            <w:pPr>
              <w:spacing w:before="20" w:after="20"/>
              <w:ind w:right="397"/>
              <w:jc w:val="right"/>
              <w:rPr>
                <w:rFonts w:cstheme="minorHAnsi"/>
                <w:color w:val="000000"/>
                <w:sz w:val="20"/>
                <w:szCs w:val="20"/>
              </w:rPr>
            </w:pPr>
            <w:r w:rsidRPr="0087485F">
              <w:rPr>
                <w:rFonts w:cstheme="minorHAnsi"/>
                <w:color w:val="000000"/>
                <w:sz w:val="20"/>
                <w:szCs w:val="20"/>
              </w:rPr>
              <w:t>14</w:t>
            </w:r>
          </w:p>
        </w:tc>
        <w:tc>
          <w:tcPr>
            <w:tcW w:w="1134" w:type="dxa"/>
            <w:shd w:val="clear" w:color="auto" w:fill="auto"/>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15.7</w:t>
            </w:r>
          </w:p>
        </w:tc>
        <w:tc>
          <w:tcPr>
            <w:tcW w:w="709" w:type="dxa"/>
            <w:shd w:val="clear" w:color="auto" w:fill="auto"/>
            <w:vAlign w:val="center"/>
          </w:tcPr>
          <w:p w:rsidR="00D907AF" w:rsidRPr="0087485F" w:rsidRDefault="00D907AF" w:rsidP="00EF6563">
            <w:pPr>
              <w:spacing w:before="20" w:after="20"/>
              <w:ind w:right="176"/>
              <w:jc w:val="right"/>
              <w:rPr>
                <w:rFonts w:cstheme="minorHAnsi"/>
                <w:color w:val="000000"/>
                <w:sz w:val="20"/>
                <w:szCs w:val="20"/>
              </w:rPr>
            </w:pPr>
            <w:r w:rsidRPr="0087485F">
              <w:rPr>
                <w:rFonts w:cstheme="minorHAnsi"/>
                <w:color w:val="000000"/>
                <w:sz w:val="20"/>
                <w:szCs w:val="20"/>
              </w:rPr>
              <w:t>22</w:t>
            </w:r>
          </w:p>
        </w:tc>
        <w:tc>
          <w:tcPr>
            <w:tcW w:w="709"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14.6</w:t>
            </w:r>
          </w:p>
        </w:tc>
      </w:tr>
      <w:tr w:rsidR="00D907AF" w:rsidRPr="0087485F" w:rsidTr="00F21A5D">
        <w:tc>
          <w:tcPr>
            <w:tcW w:w="4876"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He/she needs to live nearer to support networks</w:t>
            </w:r>
          </w:p>
        </w:tc>
        <w:tc>
          <w:tcPr>
            <w:tcW w:w="680" w:type="dxa"/>
            <w:shd w:val="clear" w:color="auto" w:fill="auto"/>
            <w:vAlign w:val="center"/>
          </w:tcPr>
          <w:p w:rsidR="00D907AF" w:rsidRPr="0087485F" w:rsidRDefault="00D907AF" w:rsidP="00E24007">
            <w:pPr>
              <w:spacing w:before="20" w:after="20"/>
              <w:ind w:right="113"/>
              <w:jc w:val="right"/>
              <w:rPr>
                <w:rFonts w:cstheme="minorHAnsi"/>
                <w:color w:val="000000"/>
                <w:sz w:val="20"/>
                <w:szCs w:val="20"/>
              </w:rPr>
            </w:pPr>
            <w:r w:rsidRPr="0087485F">
              <w:rPr>
                <w:rFonts w:cstheme="minorHAnsi"/>
                <w:color w:val="000000"/>
                <w:sz w:val="20"/>
                <w:szCs w:val="20"/>
              </w:rPr>
              <w:t>5</w:t>
            </w:r>
          </w:p>
        </w:tc>
        <w:tc>
          <w:tcPr>
            <w:tcW w:w="567" w:type="dxa"/>
            <w:shd w:val="clear" w:color="auto" w:fill="auto"/>
            <w:vAlign w:val="center"/>
          </w:tcPr>
          <w:p w:rsidR="00D907AF" w:rsidRPr="0087485F" w:rsidRDefault="00D907AF" w:rsidP="00572300">
            <w:pPr>
              <w:spacing w:before="20" w:after="20"/>
              <w:ind w:right="-57"/>
              <w:jc w:val="right"/>
              <w:rPr>
                <w:rFonts w:cstheme="minorHAnsi"/>
                <w:color w:val="000000"/>
                <w:sz w:val="20"/>
                <w:szCs w:val="20"/>
              </w:rPr>
            </w:pPr>
            <w:r w:rsidRPr="0087485F">
              <w:rPr>
                <w:rFonts w:cstheme="minorHAnsi"/>
                <w:color w:val="000000"/>
                <w:sz w:val="20"/>
                <w:szCs w:val="20"/>
              </w:rPr>
              <w:t>8.1</w:t>
            </w:r>
          </w:p>
        </w:tc>
        <w:tc>
          <w:tcPr>
            <w:tcW w:w="1134" w:type="dxa"/>
            <w:shd w:val="clear" w:color="auto" w:fill="auto"/>
            <w:vAlign w:val="center"/>
          </w:tcPr>
          <w:p w:rsidR="00D907AF" w:rsidRPr="0087485F" w:rsidRDefault="00D907AF" w:rsidP="00EF6563">
            <w:pPr>
              <w:spacing w:before="20" w:after="20"/>
              <w:ind w:right="397"/>
              <w:jc w:val="right"/>
              <w:rPr>
                <w:rFonts w:cstheme="minorHAnsi"/>
                <w:color w:val="000000"/>
                <w:sz w:val="20"/>
                <w:szCs w:val="20"/>
              </w:rPr>
            </w:pPr>
            <w:r w:rsidRPr="0087485F">
              <w:rPr>
                <w:rFonts w:cstheme="minorHAnsi"/>
                <w:color w:val="000000"/>
                <w:sz w:val="20"/>
                <w:szCs w:val="20"/>
              </w:rPr>
              <w:t>15</w:t>
            </w:r>
          </w:p>
        </w:tc>
        <w:tc>
          <w:tcPr>
            <w:tcW w:w="1134" w:type="dxa"/>
            <w:shd w:val="clear" w:color="auto" w:fill="auto"/>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16.9</w:t>
            </w:r>
          </w:p>
        </w:tc>
        <w:tc>
          <w:tcPr>
            <w:tcW w:w="709" w:type="dxa"/>
            <w:shd w:val="clear" w:color="auto" w:fill="auto"/>
            <w:vAlign w:val="center"/>
          </w:tcPr>
          <w:p w:rsidR="00D907AF" w:rsidRPr="0087485F" w:rsidRDefault="00D907AF" w:rsidP="00EF6563">
            <w:pPr>
              <w:spacing w:before="20" w:after="20"/>
              <w:ind w:right="176"/>
              <w:jc w:val="right"/>
              <w:rPr>
                <w:rFonts w:cstheme="minorHAnsi"/>
                <w:color w:val="000000"/>
                <w:sz w:val="20"/>
                <w:szCs w:val="20"/>
              </w:rPr>
            </w:pPr>
            <w:r w:rsidRPr="0087485F">
              <w:rPr>
                <w:rFonts w:cstheme="minorHAnsi"/>
                <w:color w:val="000000"/>
                <w:sz w:val="20"/>
                <w:szCs w:val="20"/>
              </w:rPr>
              <w:t>20</w:t>
            </w:r>
          </w:p>
        </w:tc>
        <w:tc>
          <w:tcPr>
            <w:tcW w:w="709"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13.3</w:t>
            </w:r>
          </w:p>
        </w:tc>
      </w:tr>
      <w:tr w:rsidR="00D907AF" w:rsidRPr="0087485F" w:rsidTr="00F21A5D">
        <w:tc>
          <w:tcPr>
            <w:tcW w:w="4876"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Access to and/or moving around the house is difficult</w:t>
            </w:r>
          </w:p>
        </w:tc>
        <w:tc>
          <w:tcPr>
            <w:tcW w:w="680" w:type="dxa"/>
            <w:shd w:val="clear" w:color="auto" w:fill="auto"/>
            <w:vAlign w:val="center"/>
          </w:tcPr>
          <w:p w:rsidR="00D907AF" w:rsidRPr="0087485F" w:rsidRDefault="00D907AF" w:rsidP="00E24007">
            <w:pPr>
              <w:spacing w:before="20" w:after="20"/>
              <w:ind w:right="113"/>
              <w:jc w:val="right"/>
              <w:rPr>
                <w:rFonts w:cstheme="minorHAnsi"/>
                <w:color w:val="000000"/>
                <w:sz w:val="20"/>
                <w:szCs w:val="20"/>
              </w:rPr>
            </w:pPr>
            <w:r w:rsidRPr="0087485F">
              <w:rPr>
                <w:rFonts w:cstheme="minorHAnsi"/>
                <w:color w:val="000000"/>
                <w:sz w:val="20"/>
                <w:szCs w:val="20"/>
              </w:rPr>
              <w:t>21</w:t>
            </w:r>
          </w:p>
        </w:tc>
        <w:tc>
          <w:tcPr>
            <w:tcW w:w="567" w:type="dxa"/>
            <w:shd w:val="clear" w:color="auto" w:fill="auto"/>
            <w:vAlign w:val="center"/>
          </w:tcPr>
          <w:p w:rsidR="00D907AF" w:rsidRPr="0087485F" w:rsidRDefault="00D907AF" w:rsidP="00572300">
            <w:pPr>
              <w:spacing w:before="20" w:after="20"/>
              <w:ind w:right="-57"/>
              <w:jc w:val="right"/>
              <w:rPr>
                <w:rFonts w:cstheme="minorHAnsi"/>
                <w:color w:val="000000"/>
                <w:sz w:val="20"/>
                <w:szCs w:val="20"/>
              </w:rPr>
            </w:pPr>
            <w:r w:rsidRPr="0087485F">
              <w:rPr>
                <w:rFonts w:cstheme="minorHAnsi"/>
                <w:color w:val="000000"/>
                <w:sz w:val="20"/>
                <w:szCs w:val="20"/>
              </w:rPr>
              <w:t>33.9</w:t>
            </w:r>
          </w:p>
        </w:tc>
        <w:tc>
          <w:tcPr>
            <w:tcW w:w="1134" w:type="dxa"/>
            <w:shd w:val="clear" w:color="auto" w:fill="auto"/>
            <w:vAlign w:val="center"/>
          </w:tcPr>
          <w:p w:rsidR="00D907AF" w:rsidRPr="0087485F" w:rsidRDefault="00D907AF" w:rsidP="00EF6563">
            <w:pPr>
              <w:spacing w:before="20" w:after="20"/>
              <w:ind w:right="397"/>
              <w:jc w:val="right"/>
              <w:rPr>
                <w:rFonts w:cstheme="minorHAnsi"/>
                <w:color w:val="000000"/>
                <w:sz w:val="20"/>
                <w:szCs w:val="20"/>
              </w:rPr>
            </w:pPr>
            <w:r w:rsidRPr="0087485F">
              <w:rPr>
                <w:rFonts w:cstheme="minorHAnsi"/>
                <w:color w:val="000000"/>
                <w:sz w:val="20"/>
                <w:szCs w:val="20"/>
              </w:rPr>
              <w:t>26</w:t>
            </w:r>
          </w:p>
        </w:tc>
        <w:tc>
          <w:tcPr>
            <w:tcW w:w="1134" w:type="dxa"/>
            <w:shd w:val="clear" w:color="auto" w:fill="auto"/>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29.2</w:t>
            </w:r>
          </w:p>
        </w:tc>
        <w:tc>
          <w:tcPr>
            <w:tcW w:w="709" w:type="dxa"/>
            <w:shd w:val="clear" w:color="auto" w:fill="auto"/>
            <w:vAlign w:val="center"/>
          </w:tcPr>
          <w:p w:rsidR="00D907AF" w:rsidRPr="0087485F" w:rsidRDefault="00D907AF" w:rsidP="00EF6563">
            <w:pPr>
              <w:spacing w:before="20" w:after="20"/>
              <w:ind w:right="176"/>
              <w:jc w:val="right"/>
              <w:rPr>
                <w:rFonts w:cstheme="minorHAnsi"/>
                <w:color w:val="000000"/>
                <w:sz w:val="20"/>
                <w:szCs w:val="20"/>
              </w:rPr>
            </w:pPr>
            <w:r w:rsidRPr="0087485F">
              <w:rPr>
                <w:rFonts w:cstheme="minorHAnsi"/>
                <w:color w:val="000000"/>
                <w:sz w:val="20"/>
                <w:szCs w:val="20"/>
              </w:rPr>
              <w:t>47</w:t>
            </w:r>
          </w:p>
        </w:tc>
        <w:tc>
          <w:tcPr>
            <w:tcW w:w="709"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31.1</w:t>
            </w:r>
          </w:p>
        </w:tc>
      </w:tr>
      <w:tr w:rsidR="00D907AF" w:rsidRPr="0087485F" w:rsidTr="00F21A5D">
        <w:tc>
          <w:tcPr>
            <w:tcW w:w="4876"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 xml:space="preserve">He/she doesn't like the people he/she </w:t>
            </w:r>
            <w:r>
              <w:rPr>
                <w:rFonts w:cstheme="minorHAnsi"/>
                <w:sz w:val="20"/>
                <w:szCs w:val="20"/>
              </w:rPr>
              <w:t>lives</w:t>
            </w:r>
            <w:r w:rsidRPr="0087485F">
              <w:rPr>
                <w:rFonts w:cstheme="minorHAnsi"/>
                <w:sz w:val="20"/>
                <w:szCs w:val="20"/>
              </w:rPr>
              <w:t xml:space="preserve"> with</w:t>
            </w:r>
          </w:p>
        </w:tc>
        <w:tc>
          <w:tcPr>
            <w:tcW w:w="680" w:type="dxa"/>
            <w:shd w:val="clear" w:color="auto" w:fill="auto"/>
            <w:vAlign w:val="center"/>
          </w:tcPr>
          <w:p w:rsidR="00D907AF" w:rsidRPr="0087485F" w:rsidRDefault="00D907AF" w:rsidP="00E24007">
            <w:pPr>
              <w:spacing w:before="20" w:after="20"/>
              <w:ind w:right="113"/>
              <w:jc w:val="right"/>
              <w:rPr>
                <w:rFonts w:cstheme="minorHAnsi"/>
                <w:color w:val="000000"/>
                <w:sz w:val="20"/>
                <w:szCs w:val="20"/>
              </w:rPr>
            </w:pPr>
            <w:r w:rsidRPr="0087485F">
              <w:rPr>
                <w:rFonts w:cstheme="minorHAnsi"/>
                <w:color w:val="000000"/>
                <w:sz w:val="20"/>
                <w:szCs w:val="20"/>
              </w:rPr>
              <w:t>9</w:t>
            </w:r>
          </w:p>
        </w:tc>
        <w:tc>
          <w:tcPr>
            <w:tcW w:w="567" w:type="dxa"/>
            <w:shd w:val="clear" w:color="auto" w:fill="auto"/>
            <w:vAlign w:val="center"/>
          </w:tcPr>
          <w:p w:rsidR="00D907AF" w:rsidRPr="0087485F" w:rsidRDefault="00D907AF" w:rsidP="00572300">
            <w:pPr>
              <w:spacing w:before="20" w:after="20"/>
              <w:ind w:right="-57"/>
              <w:jc w:val="right"/>
              <w:rPr>
                <w:rFonts w:cstheme="minorHAnsi"/>
                <w:color w:val="000000"/>
                <w:sz w:val="20"/>
                <w:szCs w:val="20"/>
              </w:rPr>
            </w:pPr>
            <w:r w:rsidRPr="0087485F">
              <w:rPr>
                <w:rFonts w:cstheme="minorHAnsi"/>
                <w:color w:val="000000"/>
                <w:sz w:val="20"/>
                <w:szCs w:val="20"/>
              </w:rPr>
              <w:t>14.5</w:t>
            </w:r>
          </w:p>
        </w:tc>
        <w:tc>
          <w:tcPr>
            <w:tcW w:w="1134" w:type="dxa"/>
            <w:shd w:val="clear" w:color="auto" w:fill="auto"/>
            <w:vAlign w:val="center"/>
          </w:tcPr>
          <w:p w:rsidR="00D907AF" w:rsidRPr="0087485F" w:rsidRDefault="00D907AF" w:rsidP="00EF6563">
            <w:pPr>
              <w:spacing w:before="20" w:after="20"/>
              <w:ind w:right="397"/>
              <w:jc w:val="right"/>
              <w:rPr>
                <w:rFonts w:cstheme="minorHAnsi"/>
                <w:color w:val="000000"/>
                <w:sz w:val="20"/>
                <w:szCs w:val="20"/>
              </w:rPr>
            </w:pPr>
            <w:r w:rsidRPr="0087485F">
              <w:rPr>
                <w:rFonts w:cstheme="minorHAnsi"/>
                <w:color w:val="000000"/>
                <w:sz w:val="20"/>
                <w:szCs w:val="20"/>
              </w:rPr>
              <w:t>9</w:t>
            </w:r>
          </w:p>
        </w:tc>
        <w:tc>
          <w:tcPr>
            <w:tcW w:w="1134" w:type="dxa"/>
            <w:shd w:val="clear" w:color="auto" w:fill="auto"/>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10.1</w:t>
            </w:r>
          </w:p>
        </w:tc>
        <w:tc>
          <w:tcPr>
            <w:tcW w:w="709" w:type="dxa"/>
            <w:shd w:val="clear" w:color="auto" w:fill="auto"/>
            <w:vAlign w:val="center"/>
          </w:tcPr>
          <w:p w:rsidR="00D907AF" w:rsidRPr="0087485F" w:rsidRDefault="00D907AF" w:rsidP="00EF6563">
            <w:pPr>
              <w:spacing w:before="20" w:after="20"/>
              <w:ind w:right="176"/>
              <w:jc w:val="right"/>
              <w:rPr>
                <w:rFonts w:cstheme="minorHAnsi"/>
                <w:color w:val="000000"/>
                <w:sz w:val="20"/>
                <w:szCs w:val="20"/>
              </w:rPr>
            </w:pPr>
            <w:r w:rsidRPr="0087485F">
              <w:rPr>
                <w:rFonts w:cstheme="minorHAnsi"/>
                <w:color w:val="000000"/>
                <w:sz w:val="20"/>
                <w:szCs w:val="20"/>
              </w:rPr>
              <w:t>18</w:t>
            </w:r>
          </w:p>
        </w:tc>
        <w:tc>
          <w:tcPr>
            <w:tcW w:w="709"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11.9</w:t>
            </w:r>
          </w:p>
        </w:tc>
      </w:tr>
      <w:tr w:rsidR="00D907AF" w:rsidRPr="0087485F" w:rsidTr="00F21A5D">
        <w:tc>
          <w:tcPr>
            <w:tcW w:w="4876"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He/she worries about his/her safety</w:t>
            </w:r>
          </w:p>
        </w:tc>
        <w:tc>
          <w:tcPr>
            <w:tcW w:w="680" w:type="dxa"/>
            <w:shd w:val="clear" w:color="auto" w:fill="auto"/>
            <w:vAlign w:val="center"/>
          </w:tcPr>
          <w:p w:rsidR="00D907AF" w:rsidRPr="0087485F" w:rsidRDefault="00D907AF" w:rsidP="00E24007">
            <w:pPr>
              <w:spacing w:before="20" w:after="20"/>
              <w:ind w:right="113"/>
              <w:jc w:val="right"/>
              <w:rPr>
                <w:rFonts w:cstheme="minorHAnsi"/>
                <w:color w:val="000000"/>
                <w:sz w:val="20"/>
                <w:szCs w:val="20"/>
              </w:rPr>
            </w:pPr>
            <w:r w:rsidRPr="0087485F">
              <w:rPr>
                <w:rFonts w:cstheme="minorHAnsi"/>
                <w:color w:val="000000"/>
                <w:sz w:val="20"/>
                <w:szCs w:val="20"/>
              </w:rPr>
              <w:t>15</w:t>
            </w:r>
          </w:p>
        </w:tc>
        <w:tc>
          <w:tcPr>
            <w:tcW w:w="567" w:type="dxa"/>
            <w:shd w:val="clear" w:color="auto" w:fill="auto"/>
            <w:vAlign w:val="center"/>
          </w:tcPr>
          <w:p w:rsidR="00D907AF" w:rsidRPr="0087485F" w:rsidRDefault="00D907AF" w:rsidP="00572300">
            <w:pPr>
              <w:spacing w:before="20" w:after="20"/>
              <w:ind w:right="-57"/>
              <w:jc w:val="right"/>
              <w:rPr>
                <w:rFonts w:cstheme="minorHAnsi"/>
                <w:color w:val="000000"/>
                <w:sz w:val="20"/>
                <w:szCs w:val="20"/>
              </w:rPr>
            </w:pPr>
            <w:r w:rsidRPr="0087485F">
              <w:rPr>
                <w:rFonts w:cstheme="minorHAnsi"/>
                <w:color w:val="000000"/>
                <w:sz w:val="20"/>
                <w:szCs w:val="20"/>
              </w:rPr>
              <w:t>24.2</w:t>
            </w:r>
          </w:p>
        </w:tc>
        <w:tc>
          <w:tcPr>
            <w:tcW w:w="1134" w:type="dxa"/>
            <w:shd w:val="clear" w:color="auto" w:fill="auto"/>
            <w:vAlign w:val="center"/>
          </w:tcPr>
          <w:p w:rsidR="00D907AF" w:rsidRPr="0087485F" w:rsidRDefault="00D907AF" w:rsidP="00EF6563">
            <w:pPr>
              <w:spacing w:before="20" w:after="20"/>
              <w:ind w:right="397"/>
              <w:jc w:val="right"/>
              <w:rPr>
                <w:rFonts w:cstheme="minorHAnsi"/>
                <w:color w:val="000000"/>
                <w:sz w:val="20"/>
                <w:szCs w:val="20"/>
              </w:rPr>
            </w:pPr>
            <w:r w:rsidRPr="0087485F">
              <w:rPr>
                <w:rFonts w:cstheme="minorHAnsi"/>
                <w:color w:val="000000"/>
                <w:sz w:val="20"/>
                <w:szCs w:val="20"/>
              </w:rPr>
              <w:t>17</w:t>
            </w:r>
          </w:p>
        </w:tc>
        <w:tc>
          <w:tcPr>
            <w:tcW w:w="1134" w:type="dxa"/>
            <w:shd w:val="clear" w:color="auto" w:fill="auto"/>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19.1</w:t>
            </w:r>
          </w:p>
        </w:tc>
        <w:tc>
          <w:tcPr>
            <w:tcW w:w="709" w:type="dxa"/>
            <w:shd w:val="clear" w:color="auto" w:fill="auto"/>
            <w:vAlign w:val="center"/>
          </w:tcPr>
          <w:p w:rsidR="00D907AF" w:rsidRPr="0087485F" w:rsidRDefault="00D907AF" w:rsidP="00EF6563">
            <w:pPr>
              <w:spacing w:before="20" w:after="20"/>
              <w:ind w:right="176"/>
              <w:jc w:val="right"/>
              <w:rPr>
                <w:rFonts w:cstheme="minorHAnsi"/>
                <w:color w:val="000000"/>
                <w:sz w:val="20"/>
                <w:szCs w:val="20"/>
              </w:rPr>
            </w:pPr>
            <w:r w:rsidRPr="0087485F">
              <w:rPr>
                <w:rFonts w:cstheme="minorHAnsi"/>
                <w:color w:val="000000"/>
                <w:sz w:val="20"/>
                <w:szCs w:val="20"/>
              </w:rPr>
              <w:t>32</w:t>
            </w:r>
          </w:p>
        </w:tc>
        <w:tc>
          <w:tcPr>
            <w:tcW w:w="709"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21.2</w:t>
            </w:r>
          </w:p>
        </w:tc>
      </w:tr>
      <w:tr w:rsidR="00D907AF" w:rsidRPr="0087485F" w:rsidTr="00F21A5D">
        <w:tc>
          <w:tcPr>
            <w:tcW w:w="4876"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He/she is not allowed to have pets</w:t>
            </w:r>
          </w:p>
        </w:tc>
        <w:tc>
          <w:tcPr>
            <w:tcW w:w="680" w:type="dxa"/>
            <w:shd w:val="clear" w:color="auto" w:fill="auto"/>
            <w:vAlign w:val="center"/>
          </w:tcPr>
          <w:p w:rsidR="00D907AF" w:rsidRPr="0087485F" w:rsidRDefault="00D907AF" w:rsidP="00E24007">
            <w:pPr>
              <w:spacing w:before="20" w:after="20"/>
              <w:ind w:right="113"/>
              <w:jc w:val="right"/>
              <w:rPr>
                <w:rFonts w:cstheme="minorHAnsi"/>
                <w:color w:val="000000"/>
                <w:sz w:val="20"/>
                <w:szCs w:val="20"/>
              </w:rPr>
            </w:pPr>
            <w:r w:rsidRPr="0087485F">
              <w:rPr>
                <w:rFonts w:cstheme="minorHAnsi"/>
                <w:color w:val="000000"/>
                <w:sz w:val="20"/>
                <w:szCs w:val="20"/>
              </w:rPr>
              <w:t>2</w:t>
            </w:r>
          </w:p>
        </w:tc>
        <w:tc>
          <w:tcPr>
            <w:tcW w:w="567" w:type="dxa"/>
            <w:shd w:val="clear" w:color="auto" w:fill="auto"/>
            <w:vAlign w:val="center"/>
          </w:tcPr>
          <w:p w:rsidR="00D907AF" w:rsidRPr="0087485F" w:rsidRDefault="00D907AF" w:rsidP="00572300">
            <w:pPr>
              <w:spacing w:before="20" w:after="20"/>
              <w:ind w:right="-57"/>
              <w:jc w:val="right"/>
              <w:rPr>
                <w:rFonts w:cstheme="minorHAnsi"/>
                <w:color w:val="000000"/>
                <w:sz w:val="20"/>
                <w:szCs w:val="20"/>
              </w:rPr>
            </w:pPr>
            <w:r w:rsidRPr="0087485F">
              <w:rPr>
                <w:rFonts w:cstheme="minorHAnsi"/>
                <w:color w:val="000000"/>
                <w:sz w:val="20"/>
                <w:szCs w:val="20"/>
              </w:rPr>
              <w:t>3.2</w:t>
            </w:r>
          </w:p>
        </w:tc>
        <w:tc>
          <w:tcPr>
            <w:tcW w:w="1134" w:type="dxa"/>
            <w:shd w:val="clear" w:color="auto" w:fill="auto"/>
            <w:vAlign w:val="center"/>
          </w:tcPr>
          <w:p w:rsidR="00D907AF" w:rsidRPr="0087485F" w:rsidRDefault="00D907AF" w:rsidP="00EF6563">
            <w:pPr>
              <w:spacing w:before="20" w:after="20"/>
              <w:ind w:right="397"/>
              <w:jc w:val="right"/>
              <w:rPr>
                <w:rFonts w:cstheme="minorHAnsi"/>
                <w:color w:val="000000"/>
                <w:sz w:val="20"/>
                <w:szCs w:val="20"/>
              </w:rPr>
            </w:pPr>
            <w:r w:rsidRPr="0087485F">
              <w:rPr>
                <w:rFonts w:cstheme="minorHAnsi"/>
                <w:color w:val="000000"/>
                <w:sz w:val="20"/>
                <w:szCs w:val="20"/>
              </w:rPr>
              <w:t>2</w:t>
            </w:r>
          </w:p>
        </w:tc>
        <w:tc>
          <w:tcPr>
            <w:tcW w:w="1134" w:type="dxa"/>
            <w:shd w:val="clear" w:color="auto" w:fill="auto"/>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2.3</w:t>
            </w:r>
          </w:p>
        </w:tc>
        <w:tc>
          <w:tcPr>
            <w:tcW w:w="709" w:type="dxa"/>
            <w:shd w:val="clear" w:color="auto" w:fill="auto"/>
            <w:vAlign w:val="center"/>
          </w:tcPr>
          <w:p w:rsidR="00D907AF" w:rsidRPr="0087485F" w:rsidRDefault="00D907AF" w:rsidP="00EF6563">
            <w:pPr>
              <w:spacing w:before="20" w:after="20"/>
              <w:ind w:right="176"/>
              <w:jc w:val="right"/>
              <w:rPr>
                <w:rFonts w:cstheme="minorHAnsi"/>
                <w:color w:val="000000"/>
                <w:sz w:val="20"/>
                <w:szCs w:val="20"/>
              </w:rPr>
            </w:pPr>
            <w:r w:rsidRPr="0087485F">
              <w:rPr>
                <w:rFonts w:cstheme="minorHAnsi"/>
                <w:color w:val="000000"/>
                <w:sz w:val="20"/>
                <w:szCs w:val="20"/>
              </w:rPr>
              <w:t>4</w:t>
            </w:r>
          </w:p>
        </w:tc>
        <w:tc>
          <w:tcPr>
            <w:tcW w:w="709"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2.7</w:t>
            </w:r>
          </w:p>
        </w:tc>
      </w:tr>
      <w:tr w:rsidR="00D907AF" w:rsidRPr="0087485F" w:rsidTr="00F21A5D">
        <w:tc>
          <w:tcPr>
            <w:tcW w:w="4876"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There is no or little public transportation nearby</w:t>
            </w:r>
          </w:p>
        </w:tc>
        <w:tc>
          <w:tcPr>
            <w:tcW w:w="680" w:type="dxa"/>
            <w:shd w:val="clear" w:color="auto" w:fill="auto"/>
            <w:vAlign w:val="center"/>
          </w:tcPr>
          <w:p w:rsidR="00D907AF" w:rsidRPr="0087485F" w:rsidRDefault="00D907AF" w:rsidP="00E24007">
            <w:pPr>
              <w:spacing w:before="20" w:after="20"/>
              <w:ind w:right="113"/>
              <w:jc w:val="right"/>
              <w:rPr>
                <w:rFonts w:cstheme="minorHAnsi"/>
                <w:color w:val="000000"/>
                <w:sz w:val="20"/>
                <w:szCs w:val="20"/>
              </w:rPr>
            </w:pPr>
            <w:r w:rsidRPr="0087485F">
              <w:rPr>
                <w:rFonts w:cstheme="minorHAnsi"/>
                <w:color w:val="000000"/>
                <w:sz w:val="20"/>
                <w:szCs w:val="20"/>
              </w:rPr>
              <w:t>8</w:t>
            </w:r>
          </w:p>
        </w:tc>
        <w:tc>
          <w:tcPr>
            <w:tcW w:w="567" w:type="dxa"/>
            <w:shd w:val="clear" w:color="auto" w:fill="auto"/>
            <w:vAlign w:val="center"/>
          </w:tcPr>
          <w:p w:rsidR="00D907AF" w:rsidRPr="0087485F" w:rsidRDefault="00D907AF" w:rsidP="00572300">
            <w:pPr>
              <w:spacing w:before="20" w:after="20"/>
              <w:ind w:right="-57"/>
              <w:jc w:val="right"/>
              <w:rPr>
                <w:rFonts w:cstheme="minorHAnsi"/>
                <w:color w:val="000000"/>
                <w:sz w:val="20"/>
                <w:szCs w:val="20"/>
              </w:rPr>
            </w:pPr>
            <w:r w:rsidRPr="0087485F">
              <w:rPr>
                <w:rFonts w:cstheme="minorHAnsi"/>
                <w:color w:val="000000"/>
                <w:sz w:val="20"/>
                <w:szCs w:val="20"/>
              </w:rPr>
              <w:t>12.9</w:t>
            </w:r>
          </w:p>
        </w:tc>
        <w:tc>
          <w:tcPr>
            <w:tcW w:w="1134" w:type="dxa"/>
            <w:shd w:val="clear" w:color="auto" w:fill="auto"/>
            <w:vAlign w:val="center"/>
          </w:tcPr>
          <w:p w:rsidR="00D907AF" w:rsidRPr="0087485F" w:rsidRDefault="00D907AF" w:rsidP="00EF6563">
            <w:pPr>
              <w:spacing w:before="20" w:after="20"/>
              <w:ind w:right="397"/>
              <w:jc w:val="right"/>
              <w:rPr>
                <w:rFonts w:cstheme="minorHAnsi"/>
                <w:color w:val="000000"/>
                <w:sz w:val="20"/>
                <w:szCs w:val="20"/>
              </w:rPr>
            </w:pPr>
            <w:r w:rsidRPr="0087485F">
              <w:rPr>
                <w:rFonts w:cstheme="minorHAnsi"/>
                <w:color w:val="000000"/>
                <w:sz w:val="20"/>
                <w:szCs w:val="20"/>
              </w:rPr>
              <w:t>20</w:t>
            </w:r>
          </w:p>
        </w:tc>
        <w:tc>
          <w:tcPr>
            <w:tcW w:w="1134" w:type="dxa"/>
            <w:shd w:val="clear" w:color="auto" w:fill="auto"/>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22.5</w:t>
            </w:r>
          </w:p>
        </w:tc>
        <w:tc>
          <w:tcPr>
            <w:tcW w:w="709" w:type="dxa"/>
            <w:shd w:val="clear" w:color="auto" w:fill="auto"/>
            <w:vAlign w:val="center"/>
          </w:tcPr>
          <w:p w:rsidR="00D907AF" w:rsidRPr="0087485F" w:rsidRDefault="00D907AF" w:rsidP="00EF6563">
            <w:pPr>
              <w:spacing w:before="20" w:after="20"/>
              <w:ind w:right="176"/>
              <w:jc w:val="right"/>
              <w:rPr>
                <w:rFonts w:cstheme="minorHAnsi"/>
                <w:color w:val="000000"/>
                <w:sz w:val="20"/>
                <w:szCs w:val="20"/>
              </w:rPr>
            </w:pPr>
            <w:r w:rsidRPr="0087485F">
              <w:rPr>
                <w:rFonts w:cstheme="minorHAnsi"/>
                <w:color w:val="000000"/>
                <w:sz w:val="20"/>
                <w:szCs w:val="20"/>
              </w:rPr>
              <w:t>28</w:t>
            </w:r>
          </w:p>
        </w:tc>
        <w:tc>
          <w:tcPr>
            <w:tcW w:w="709"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18.5</w:t>
            </w:r>
          </w:p>
        </w:tc>
      </w:tr>
      <w:tr w:rsidR="00D907AF" w:rsidRPr="0087485F" w:rsidTr="00F21A5D">
        <w:tc>
          <w:tcPr>
            <w:tcW w:w="4876"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He/she needs accommodation</w:t>
            </w:r>
          </w:p>
        </w:tc>
        <w:tc>
          <w:tcPr>
            <w:tcW w:w="680" w:type="dxa"/>
            <w:shd w:val="clear" w:color="auto" w:fill="auto"/>
            <w:vAlign w:val="center"/>
          </w:tcPr>
          <w:p w:rsidR="00D907AF" w:rsidRPr="0087485F" w:rsidRDefault="00D907AF" w:rsidP="00E24007">
            <w:pPr>
              <w:spacing w:before="20" w:after="20"/>
              <w:ind w:right="113"/>
              <w:jc w:val="right"/>
              <w:rPr>
                <w:rFonts w:cstheme="minorHAnsi"/>
                <w:color w:val="000000"/>
                <w:sz w:val="20"/>
                <w:szCs w:val="20"/>
              </w:rPr>
            </w:pPr>
            <w:r w:rsidRPr="0087485F">
              <w:rPr>
                <w:rFonts w:cstheme="minorHAnsi"/>
                <w:color w:val="000000"/>
                <w:sz w:val="20"/>
                <w:szCs w:val="20"/>
              </w:rPr>
              <w:t>3</w:t>
            </w:r>
          </w:p>
        </w:tc>
        <w:tc>
          <w:tcPr>
            <w:tcW w:w="567" w:type="dxa"/>
            <w:shd w:val="clear" w:color="auto" w:fill="auto"/>
            <w:vAlign w:val="center"/>
          </w:tcPr>
          <w:p w:rsidR="00D907AF" w:rsidRPr="0087485F" w:rsidRDefault="00D907AF" w:rsidP="00572300">
            <w:pPr>
              <w:spacing w:before="20" w:after="20"/>
              <w:ind w:right="-57"/>
              <w:jc w:val="right"/>
              <w:rPr>
                <w:rFonts w:cstheme="minorHAnsi"/>
                <w:color w:val="000000"/>
                <w:sz w:val="20"/>
                <w:szCs w:val="20"/>
              </w:rPr>
            </w:pPr>
            <w:r w:rsidRPr="0087485F">
              <w:rPr>
                <w:rFonts w:cstheme="minorHAnsi"/>
                <w:color w:val="000000"/>
                <w:sz w:val="20"/>
                <w:szCs w:val="20"/>
              </w:rPr>
              <w:t>4.8</w:t>
            </w:r>
          </w:p>
        </w:tc>
        <w:tc>
          <w:tcPr>
            <w:tcW w:w="1134" w:type="dxa"/>
            <w:shd w:val="clear" w:color="auto" w:fill="auto"/>
            <w:vAlign w:val="center"/>
          </w:tcPr>
          <w:p w:rsidR="00D907AF" w:rsidRPr="0087485F" w:rsidRDefault="00D907AF" w:rsidP="00EF6563">
            <w:pPr>
              <w:spacing w:before="20" w:after="20"/>
              <w:ind w:right="397"/>
              <w:jc w:val="right"/>
              <w:rPr>
                <w:rFonts w:cstheme="minorHAnsi"/>
                <w:color w:val="000000"/>
                <w:sz w:val="20"/>
                <w:szCs w:val="20"/>
              </w:rPr>
            </w:pPr>
            <w:r w:rsidRPr="0087485F">
              <w:rPr>
                <w:rFonts w:cstheme="minorHAnsi"/>
                <w:color w:val="000000"/>
                <w:sz w:val="20"/>
                <w:szCs w:val="20"/>
              </w:rPr>
              <w:t>6</w:t>
            </w:r>
          </w:p>
        </w:tc>
        <w:tc>
          <w:tcPr>
            <w:tcW w:w="1134" w:type="dxa"/>
            <w:shd w:val="clear" w:color="auto" w:fill="auto"/>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6.7</w:t>
            </w:r>
          </w:p>
        </w:tc>
        <w:tc>
          <w:tcPr>
            <w:tcW w:w="709" w:type="dxa"/>
            <w:shd w:val="clear" w:color="auto" w:fill="auto"/>
            <w:vAlign w:val="center"/>
          </w:tcPr>
          <w:p w:rsidR="00D907AF" w:rsidRPr="0087485F" w:rsidRDefault="00D907AF" w:rsidP="00EF6563">
            <w:pPr>
              <w:spacing w:before="20" w:after="20"/>
              <w:ind w:right="176"/>
              <w:jc w:val="right"/>
              <w:rPr>
                <w:rFonts w:cstheme="minorHAnsi"/>
                <w:color w:val="000000"/>
                <w:sz w:val="20"/>
                <w:szCs w:val="20"/>
              </w:rPr>
            </w:pPr>
            <w:r w:rsidRPr="0087485F">
              <w:rPr>
                <w:rFonts w:cstheme="minorHAnsi"/>
                <w:color w:val="000000"/>
                <w:sz w:val="20"/>
                <w:szCs w:val="20"/>
              </w:rPr>
              <w:t>9</w:t>
            </w:r>
          </w:p>
        </w:tc>
        <w:tc>
          <w:tcPr>
            <w:tcW w:w="709"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6.0</w:t>
            </w:r>
          </w:p>
        </w:tc>
      </w:tr>
      <w:tr w:rsidR="00D907AF" w:rsidRPr="0087485F" w:rsidTr="00F21A5D">
        <w:tc>
          <w:tcPr>
            <w:tcW w:w="4876"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Another reason why not happy about where he/she lives</w:t>
            </w:r>
          </w:p>
        </w:tc>
        <w:tc>
          <w:tcPr>
            <w:tcW w:w="680" w:type="dxa"/>
            <w:shd w:val="clear" w:color="auto" w:fill="auto"/>
            <w:vAlign w:val="center"/>
          </w:tcPr>
          <w:p w:rsidR="00D907AF" w:rsidRPr="0087485F" w:rsidRDefault="00D907AF" w:rsidP="00E24007">
            <w:pPr>
              <w:spacing w:before="20" w:after="20"/>
              <w:ind w:right="113"/>
              <w:jc w:val="right"/>
              <w:rPr>
                <w:rFonts w:cstheme="minorHAnsi"/>
                <w:color w:val="000000"/>
                <w:sz w:val="20"/>
                <w:szCs w:val="20"/>
              </w:rPr>
            </w:pPr>
            <w:r w:rsidRPr="0087485F">
              <w:rPr>
                <w:rFonts w:cstheme="minorHAnsi"/>
                <w:color w:val="000000"/>
                <w:sz w:val="20"/>
                <w:szCs w:val="20"/>
              </w:rPr>
              <w:t>27</w:t>
            </w:r>
          </w:p>
        </w:tc>
        <w:tc>
          <w:tcPr>
            <w:tcW w:w="567" w:type="dxa"/>
            <w:shd w:val="clear" w:color="auto" w:fill="auto"/>
            <w:vAlign w:val="center"/>
          </w:tcPr>
          <w:p w:rsidR="00D907AF" w:rsidRPr="0087485F" w:rsidRDefault="00D907AF" w:rsidP="00572300">
            <w:pPr>
              <w:spacing w:before="20" w:after="20"/>
              <w:ind w:right="-57"/>
              <w:jc w:val="right"/>
              <w:rPr>
                <w:rFonts w:cstheme="minorHAnsi"/>
                <w:color w:val="000000"/>
                <w:sz w:val="20"/>
                <w:szCs w:val="20"/>
              </w:rPr>
            </w:pPr>
            <w:r w:rsidRPr="0087485F">
              <w:rPr>
                <w:rFonts w:cstheme="minorHAnsi"/>
                <w:color w:val="000000"/>
                <w:sz w:val="20"/>
                <w:szCs w:val="20"/>
              </w:rPr>
              <w:t>43.6</w:t>
            </w:r>
          </w:p>
        </w:tc>
        <w:tc>
          <w:tcPr>
            <w:tcW w:w="1134" w:type="dxa"/>
            <w:shd w:val="clear" w:color="auto" w:fill="auto"/>
            <w:vAlign w:val="center"/>
          </w:tcPr>
          <w:p w:rsidR="00D907AF" w:rsidRPr="0087485F" w:rsidRDefault="00D907AF" w:rsidP="00EF6563">
            <w:pPr>
              <w:spacing w:before="20" w:after="20"/>
              <w:ind w:right="397"/>
              <w:jc w:val="right"/>
              <w:rPr>
                <w:rFonts w:cstheme="minorHAnsi"/>
                <w:color w:val="000000"/>
                <w:sz w:val="20"/>
                <w:szCs w:val="20"/>
              </w:rPr>
            </w:pPr>
            <w:r w:rsidRPr="0087485F">
              <w:rPr>
                <w:rFonts w:cstheme="minorHAnsi"/>
                <w:color w:val="000000"/>
                <w:sz w:val="20"/>
                <w:szCs w:val="20"/>
              </w:rPr>
              <w:t>38</w:t>
            </w:r>
          </w:p>
        </w:tc>
        <w:tc>
          <w:tcPr>
            <w:tcW w:w="1134" w:type="dxa"/>
            <w:shd w:val="clear" w:color="auto" w:fill="auto"/>
            <w:vAlign w:val="center"/>
          </w:tcPr>
          <w:p w:rsidR="00D907AF" w:rsidRPr="0087485F" w:rsidRDefault="00D907AF" w:rsidP="007C63E4">
            <w:pPr>
              <w:spacing w:before="20" w:after="20"/>
              <w:ind w:right="340"/>
              <w:jc w:val="right"/>
              <w:rPr>
                <w:rFonts w:cstheme="minorHAnsi"/>
                <w:color w:val="000000"/>
                <w:sz w:val="20"/>
                <w:szCs w:val="20"/>
              </w:rPr>
            </w:pPr>
            <w:r w:rsidRPr="0087485F">
              <w:rPr>
                <w:rFonts w:cstheme="minorHAnsi"/>
                <w:color w:val="000000"/>
                <w:sz w:val="20"/>
                <w:szCs w:val="20"/>
              </w:rPr>
              <w:t>42.7</w:t>
            </w:r>
          </w:p>
        </w:tc>
        <w:tc>
          <w:tcPr>
            <w:tcW w:w="709" w:type="dxa"/>
            <w:shd w:val="clear" w:color="auto" w:fill="auto"/>
            <w:vAlign w:val="center"/>
          </w:tcPr>
          <w:p w:rsidR="00D907AF" w:rsidRPr="0087485F" w:rsidRDefault="00D907AF" w:rsidP="00EF6563">
            <w:pPr>
              <w:spacing w:before="20" w:after="20"/>
              <w:ind w:right="176"/>
              <w:jc w:val="right"/>
              <w:rPr>
                <w:rFonts w:cstheme="minorHAnsi"/>
                <w:color w:val="000000"/>
                <w:sz w:val="20"/>
                <w:szCs w:val="20"/>
              </w:rPr>
            </w:pPr>
            <w:r w:rsidRPr="0087485F">
              <w:rPr>
                <w:rFonts w:cstheme="minorHAnsi"/>
                <w:color w:val="000000"/>
                <w:sz w:val="20"/>
                <w:szCs w:val="20"/>
              </w:rPr>
              <w:t>65</w:t>
            </w:r>
          </w:p>
        </w:tc>
        <w:tc>
          <w:tcPr>
            <w:tcW w:w="709"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43.1</w:t>
            </w:r>
          </w:p>
        </w:tc>
      </w:tr>
      <w:tr w:rsidR="00D907AF" w:rsidRPr="0087485F" w:rsidTr="00F21A5D">
        <w:tc>
          <w:tcPr>
            <w:tcW w:w="4876" w:type="dxa"/>
            <w:tcBorders>
              <w:top w:val="single" w:sz="4" w:space="0" w:color="auto"/>
              <w:bottom w:val="single" w:sz="4" w:space="0" w:color="auto"/>
            </w:tcBorders>
            <w:shd w:val="clear" w:color="auto" w:fill="auto"/>
          </w:tcPr>
          <w:p w:rsidR="00D907AF" w:rsidRPr="0087485F" w:rsidRDefault="00D907AF" w:rsidP="00D907AF">
            <w:pPr>
              <w:spacing w:before="20" w:after="20"/>
              <w:rPr>
                <w:rFonts w:cstheme="minorHAnsi"/>
                <w:sz w:val="20"/>
                <w:szCs w:val="20"/>
              </w:rPr>
            </w:pPr>
            <w:r w:rsidRPr="0087485F">
              <w:rPr>
                <w:rFonts w:cstheme="minorHAnsi"/>
                <w:b/>
                <w:sz w:val="20"/>
                <w:szCs w:val="20"/>
              </w:rPr>
              <w:t>Total</w:t>
            </w:r>
          </w:p>
        </w:tc>
        <w:tc>
          <w:tcPr>
            <w:tcW w:w="680" w:type="dxa"/>
            <w:tcBorders>
              <w:top w:val="single" w:sz="4" w:space="0" w:color="auto"/>
              <w:bottom w:val="single" w:sz="4" w:space="0" w:color="auto"/>
            </w:tcBorders>
            <w:shd w:val="clear" w:color="auto" w:fill="auto"/>
          </w:tcPr>
          <w:p w:rsidR="00D907AF" w:rsidRPr="0087485F" w:rsidRDefault="00D907AF" w:rsidP="00E24007">
            <w:pPr>
              <w:spacing w:before="20" w:after="20"/>
              <w:ind w:right="113"/>
              <w:jc w:val="right"/>
              <w:rPr>
                <w:rFonts w:cstheme="minorHAnsi"/>
                <w:b/>
                <w:sz w:val="20"/>
                <w:szCs w:val="20"/>
              </w:rPr>
            </w:pPr>
            <w:r w:rsidRPr="0087485F">
              <w:rPr>
                <w:rFonts w:cstheme="minorHAnsi"/>
                <w:b/>
                <w:sz w:val="20"/>
                <w:szCs w:val="20"/>
              </w:rPr>
              <w:t>62</w:t>
            </w:r>
          </w:p>
        </w:tc>
        <w:tc>
          <w:tcPr>
            <w:tcW w:w="567" w:type="dxa"/>
            <w:tcBorders>
              <w:top w:val="single" w:sz="4" w:space="0" w:color="auto"/>
              <w:bottom w:val="single" w:sz="4" w:space="0" w:color="auto"/>
            </w:tcBorders>
            <w:shd w:val="clear" w:color="auto" w:fill="auto"/>
          </w:tcPr>
          <w:p w:rsidR="00D907AF" w:rsidRPr="0087485F" w:rsidRDefault="00D907AF" w:rsidP="00572300">
            <w:pPr>
              <w:spacing w:before="20" w:after="20"/>
              <w:ind w:right="-57"/>
              <w:jc w:val="right"/>
              <w:rPr>
                <w:rFonts w:cstheme="minorHAnsi"/>
                <w:b/>
                <w:sz w:val="20"/>
                <w:szCs w:val="20"/>
              </w:rPr>
            </w:pPr>
          </w:p>
        </w:tc>
        <w:tc>
          <w:tcPr>
            <w:tcW w:w="1134" w:type="dxa"/>
            <w:tcBorders>
              <w:top w:val="single" w:sz="4" w:space="0" w:color="auto"/>
              <w:bottom w:val="single" w:sz="4" w:space="0" w:color="auto"/>
            </w:tcBorders>
            <w:shd w:val="clear" w:color="auto" w:fill="auto"/>
          </w:tcPr>
          <w:p w:rsidR="00D907AF" w:rsidRPr="0087485F" w:rsidRDefault="00D907AF" w:rsidP="00EF6563">
            <w:pPr>
              <w:spacing w:before="20" w:after="20"/>
              <w:ind w:right="397"/>
              <w:jc w:val="right"/>
              <w:rPr>
                <w:rFonts w:cstheme="minorHAnsi"/>
                <w:b/>
                <w:sz w:val="20"/>
                <w:szCs w:val="20"/>
              </w:rPr>
            </w:pPr>
            <w:r w:rsidRPr="0087485F">
              <w:rPr>
                <w:rFonts w:cstheme="minorHAnsi"/>
                <w:b/>
                <w:sz w:val="20"/>
                <w:szCs w:val="20"/>
              </w:rPr>
              <w:t>89</w:t>
            </w:r>
          </w:p>
        </w:tc>
        <w:tc>
          <w:tcPr>
            <w:tcW w:w="1134" w:type="dxa"/>
            <w:tcBorders>
              <w:top w:val="single" w:sz="4" w:space="0" w:color="auto"/>
              <w:bottom w:val="single" w:sz="4" w:space="0" w:color="auto"/>
            </w:tcBorders>
            <w:shd w:val="clear" w:color="auto" w:fill="auto"/>
          </w:tcPr>
          <w:p w:rsidR="00D907AF" w:rsidRPr="0087485F" w:rsidRDefault="00D907AF" w:rsidP="00A752A9">
            <w:pPr>
              <w:spacing w:before="20" w:after="20"/>
              <w:ind w:right="98"/>
              <w:jc w:val="right"/>
              <w:rPr>
                <w:rFonts w:cstheme="minorHAnsi"/>
                <w:b/>
                <w:sz w:val="20"/>
                <w:szCs w:val="20"/>
              </w:rPr>
            </w:pPr>
          </w:p>
        </w:tc>
        <w:tc>
          <w:tcPr>
            <w:tcW w:w="709" w:type="dxa"/>
            <w:tcBorders>
              <w:top w:val="single" w:sz="4" w:space="0" w:color="auto"/>
              <w:bottom w:val="single" w:sz="4" w:space="0" w:color="auto"/>
            </w:tcBorders>
            <w:shd w:val="clear" w:color="auto" w:fill="auto"/>
          </w:tcPr>
          <w:p w:rsidR="00D907AF" w:rsidRPr="0087485F" w:rsidRDefault="00D907AF" w:rsidP="00EF6563">
            <w:pPr>
              <w:spacing w:before="20" w:after="20"/>
              <w:ind w:left="-108" w:right="176"/>
              <w:jc w:val="right"/>
              <w:rPr>
                <w:rFonts w:cstheme="minorHAnsi"/>
                <w:b/>
                <w:sz w:val="20"/>
                <w:szCs w:val="20"/>
              </w:rPr>
            </w:pPr>
            <w:r w:rsidRPr="0087485F">
              <w:rPr>
                <w:rFonts w:cstheme="minorHAnsi"/>
                <w:b/>
                <w:sz w:val="20"/>
                <w:szCs w:val="20"/>
              </w:rPr>
              <w:t>151</w:t>
            </w:r>
          </w:p>
        </w:tc>
        <w:tc>
          <w:tcPr>
            <w:tcW w:w="709" w:type="dxa"/>
            <w:tcBorders>
              <w:top w:val="single" w:sz="4" w:space="0" w:color="auto"/>
              <w:bottom w:val="single" w:sz="4" w:space="0" w:color="auto"/>
            </w:tcBorders>
            <w:shd w:val="clear" w:color="auto" w:fill="auto"/>
          </w:tcPr>
          <w:p w:rsidR="00D907AF" w:rsidRPr="0087485F" w:rsidRDefault="00D907AF" w:rsidP="00D907AF">
            <w:pPr>
              <w:spacing w:before="20" w:after="20"/>
              <w:jc w:val="right"/>
              <w:rPr>
                <w:rFonts w:cstheme="minorHAnsi"/>
                <w:b/>
                <w:sz w:val="20"/>
                <w:szCs w:val="20"/>
              </w:rPr>
            </w:pPr>
          </w:p>
        </w:tc>
      </w:tr>
    </w:tbl>
    <w:p w:rsidR="00D907AF" w:rsidRPr="00660446" w:rsidRDefault="00D907AF" w:rsidP="006C7BE7">
      <w:pPr>
        <w:pStyle w:val="NILSTabletext"/>
      </w:pPr>
      <w:r w:rsidRPr="00660446">
        <w:t>Note:</w:t>
      </w:r>
      <w:r w:rsidRPr="00474C84">
        <w:t xml:space="preserve"> </w:t>
      </w:r>
      <w:r>
        <w:t>t</w:t>
      </w:r>
      <w:r w:rsidRPr="00EE511C">
        <w:t xml:space="preserve">rial and </w:t>
      </w:r>
      <w:r>
        <w:t>c</w:t>
      </w:r>
      <w:r w:rsidRPr="00EE511C">
        <w:t xml:space="preserve">omparison aged 16 and above </w:t>
      </w:r>
      <w:r>
        <w:t>s</w:t>
      </w:r>
      <w:r w:rsidRPr="00EE511C">
        <w:t>tandard</w:t>
      </w:r>
      <w:r>
        <w:t xml:space="preserve"> questionnaire and </w:t>
      </w:r>
      <w:r w:rsidRPr="00660446">
        <w:t>housing does not meet their needs</w:t>
      </w:r>
      <w:r>
        <w:t>; ‘Total’ indicates the number of respondents to answer this question; multiple response question; percentages do not add to 100.</w:t>
      </w:r>
    </w:p>
    <w:p w:rsidR="00D907AF" w:rsidRPr="000C5DC9" w:rsidRDefault="00D907AF" w:rsidP="00367B24">
      <w:pPr>
        <w:pStyle w:val="Heading3"/>
        <w:rPr>
          <w:sz w:val="32"/>
        </w:rPr>
      </w:pPr>
      <w:bookmarkStart w:id="425" w:name="_Toc449955023"/>
      <w:r>
        <w:t>3.6.13</w:t>
      </w:r>
      <w:r w:rsidRPr="00590137">
        <w:t xml:space="preserve"> </w:t>
      </w:r>
      <w:r>
        <w:t>Past disability supports</w:t>
      </w:r>
      <w:bookmarkEnd w:id="425"/>
    </w:p>
    <w:p w:rsidR="00D907AF" w:rsidRDefault="00D907AF" w:rsidP="00D907AF">
      <w:r>
        <w:t>People with disability over the age of 15 in the trial group and who received supports before participating in the NDIS were asked several related questions:</w:t>
      </w:r>
    </w:p>
    <w:p w:rsidR="001A6B65" w:rsidRDefault="001A6B65" w:rsidP="00D907AF"/>
    <w:p w:rsidR="00D907AF" w:rsidRDefault="00D907AF" w:rsidP="00AF5E38">
      <w:pPr>
        <w:pStyle w:val="Bullets"/>
        <w:numPr>
          <w:ilvl w:val="0"/>
          <w:numId w:val="18"/>
        </w:numPr>
        <w:spacing w:before="0"/>
      </w:pPr>
      <w:r>
        <w:t xml:space="preserve">their satisfaction with the </w:t>
      </w:r>
      <w:r w:rsidRPr="001A6B65">
        <w:t>quality</w:t>
      </w:r>
      <w:r>
        <w:t xml:space="preserve"> of these supports</w:t>
      </w:r>
    </w:p>
    <w:p w:rsidR="00D907AF" w:rsidRDefault="00D907AF" w:rsidP="00AF5E38">
      <w:pPr>
        <w:pStyle w:val="Bullets"/>
        <w:numPr>
          <w:ilvl w:val="0"/>
          <w:numId w:val="18"/>
        </w:numPr>
        <w:spacing w:before="0"/>
      </w:pPr>
      <w:r>
        <w:t xml:space="preserve">how much of a say they had over decisions about </w:t>
      </w:r>
      <w:r w:rsidRPr="001A6B65">
        <w:t>what</w:t>
      </w:r>
      <w:r>
        <w:t xml:space="preserve"> supports they received</w:t>
      </w:r>
    </w:p>
    <w:p w:rsidR="00D907AF" w:rsidRDefault="00D907AF" w:rsidP="00AF5E38">
      <w:pPr>
        <w:pStyle w:val="Bullets"/>
        <w:numPr>
          <w:ilvl w:val="0"/>
          <w:numId w:val="18"/>
        </w:numPr>
        <w:spacing w:before="0"/>
      </w:pPr>
      <w:r>
        <w:t xml:space="preserve">how much choice they had over </w:t>
      </w:r>
      <w:r w:rsidRPr="009362E1">
        <w:rPr>
          <w:b/>
        </w:rPr>
        <w:t>where</w:t>
      </w:r>
      <w:r>
        <w:t xml:space="preserve"> they obtained these supports</w:t>
      </w:r>
    </w:p>
    <w:p w:rsidR="00D907AF" w:rsidRDefault="00D907AF" w:rsidP="00D907AF">
      <w:r>
        <w:t>Related information about children below th</w:t>
      </w:r>
      <w:r w:rsidR="00E6455B">
        <w:t>e age of 15</w:t>
      </w:r>
      <w:r>
        <w:t xml:space="preserve"> is asked of their parents in the family and carer questionnaire, as the parents were considered to be a better source of this information.</w:t>
      </w:r>
    </w:p>
    <w:p w:rsidR="00D907AF" w:rsidRDefault="00D907AF" w:rsidP="00D907AF">
      <w:r>
        <w:t>Table 3.59 indicates that many more people in the trial group reported being very satisfied or satisfied (50.5 per cent) than dissatisfied or very dissatisfied (19.4 per cent) with the quality of their supports before becoming an NDIS participant. A relatively large proportion were non-committal in their response (19.7 per cent being neither satisfied nor dissatisfied and 10.5 per cent did not answer at all).</w:t>
      </w:r>
    </w:p>
    <w:p w:rsidR="00D907AF" w:rsidRPr="00233E8A" w:rsidRDefault="00D907AF" w:rsidP="0044684E">
      <w:pPr>
        <w:pStyle w:val="NILSTableHeading"/>
      </w:pPr>
      <w:bookmarkStart w:id="426" w:name="_Toc428280711"/>
      <w:bookmarkStart w:id="427" w:name="_Toc449955321"/>
      <w:r w:rsidRPr="00233E8A">
        <w:t xml:space="preserve">Table </w:t>
      </w:r>
      <w:r>
        <w:rPr>
          <w:rFonts w:hint="eastAsia"/>
        </w:rPr>
        <w:t>3.</w:t>
      </w:r>
      <w:r>
        <w:t>59</w:t>
      </w:r>
      <w:r w:rsidRPr="00233E8A">
        <w:t xml:space="preserve">: </w:t>
      </w:r>
      <w:r>
        <w:rPr>
          <w:rFonts w:hint="eastAsia"/>
        </w:rPr>
        <w:t>S</w:t>
      </w:r>
      <w:r w:rsidRPr="00085B8A">
        <w:t xml:space="preserve">atisfaction with quality of support </w:t>
      </w:r>
      <w:r>
        <w:rPr>
          <w:rFonts w:hint="eastAsia"/>
        </w:rPr>
        <w:t xml:space="preserve">before </w:t>
      </w:r>
      <w:r w:rsidRPr="00085B8A">
        <w:t>NDIS</w:t>
      </w:r>
      <w:bookmarkEnd w:id="426"/>
      <w:bookmarkEnd w:id="427"/>
    </w:p>
    <w:tbl>
      <w:tblPr>
        <w:tblStyle w:val="TableGrid"/>
        <w:tblW w:w="0" w:type="auto"/>
        <w:tblLook w:val="04A0" w:firstRow="1" w:lastRow="0" w:firstColumn="1" w:lastColumn="0" w:noHBand="0" w:noVBand="1"/>
        <w:tblCaption w:val="Table 3.59 Satisfaction with quality of support before NDIS"/>
      </w:tblPr>
      <w:tblGrid>
        <w:gridCol w:w="3794"/>
        <w:gridCol w:w="709"/>
        <w:gridCol w:w="850"/>
      </w:tblGrid>
      <w:tr w:rsidR="00D907AF" w:rsidRPr="0087485F" w:rsidTr="00A50554">
        <w:trPr>
          <w:tblHeader/>
        </w:trPr>
        <w:tc>
          <w:tcPr>
            <w:tcW w:w="3794" w:type="dxa"/>
            <w:tcBorders>
              <w:top w:val="single" w:sz="4" w:space="0" w:color="auto"/>
              <w:bottom w:val="single" w:sz="4" w:space="0" w:color="auto"/>
            </w:tcBorders>
            <w:shd w:val="clear" w:color="auto" w:fill="auto"/>
          </w:tcPr>
          <w:p w:rsidR="00D907AF" w:rsidRPr="0087485F" w:rsidRDefault="00D907AF" w:rsidP="00D907AF">
            <w:pPr>
              <w:spacing w:before="20" w:after="20"/>
              <w:rPr>
                <w:rFonts w:cstheme="minorHAnsi"/>
                <w:sz w:val="20"/>
                <w:szCs w:val="20"/>
              </w:rPr>
            </w:pPr>
            <w:bookmarkStart w:id="428" w:name="Title_3_59"/>
            <w:bookmarkEnd w:id="428"/>
          </w:p>
        </w:tc>
        <w:tc>
          <w:tcPr>
            <w:tcW w:w="709" w:type="dxa"/>
            <w:tcBorders>
              <w:top w:val="single" w:sz="4" w:space="0" w:color="auto"/>
              <w:bottom w:val="single" w:sz="4" w:space="0" w:color="auto"/>
            </w:tcBorders>
            <w:shd w:val="clear" w:color="auto" w:fill="auto"/>
          </w:tcPr>
          <w:p w:rsidR="00D907AF" w:rsidRPr="0087485F" w:rsidRDefault="00D907AF" w:rsidP="00D907AF">
            <w:pPr>
              <w:spacing w:before="20" w:after="20"/>
              <w:jc w:val="center"/>
              <w:rPr>
                <w:rFonts w:cstheme="minorHAnsi"/>
                <w:sz w:val="20"/>
                <w:szCs w:val="20"/>
              </w:rPr>
            </w:pPr>
            <w:r w:rsidRPr="0087485F">
              <w:rPr>
                <w:rFonts w:cstheme="minorHAnsi"/>
                <w:sz w:val="20"/>
                <w:szCs w:val="20"/>
              </w:rPr>
              <w:t>Cases</w:t>
            </w:r>
          </w:p>
        </w:tc>
        <w:tc>
          <w:tcPr>
            <w:tcW w:w="850" w:type="dxa"/>
            <w:tcBorders>
              <w:top w:val="single" w:sz="4" w:space="0" w:color="auto"/>
              <w:bottom w:val="single" w:sz="4" w:space="0" w:color="auto"/>
            </w:tcBorders>
            <w:shd w:val="clear" w:color="auto" w:fill="auto"/>
          </w:tcPr>
          <w:p w:rsidR="00D907AF" w:rsidRPr="0087485F" w:rsidRDefault="00D907AF" w:rsidP="00D907AF">
            <w:pPr>
              <w:spacing w:before="20" w:after="20"/>
              <w:jc w:val="center"/>
              <w:rPr>
                <w:rFonts w:cstheme="minorHAnsi"/>
                <w:sz w:val="20"/>
                <w:szCs w:val="20"/>
              </w:rPr>
            </w:pPr>
            <w:r w:rsidRPr="0087485F">
              <w:rPr>
                <w:rFonts w:cstheme="minorHAnsi"/>
                <w:sz w:val="20"/>
                <w:szCs w:val="20"/>
              </w:rPr>
              <w:t>%</w:t>
            </w:r>
          </w:p>
        </w:tc>
      </w:tr>
      <w:tr w:rsidR="00D907AF" w:rsidRPr="0087485F" w:rsidTr="00A50554">
        <w:tc>
          <w:tcPr>
            <w:tcW w:w="3794"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Very satisfied</w:t>
            </w:r>
          </w:p>
        </w:tc>
        <w:tc>
          <w:tcPr>
            <w:tcW w:w="709" w:type="dxa"/>
            <w:shd w:val="clear" w:color="auto" w:fill="auto"/>
          </w:tcPr>
          <w:p w:rsidR="00D907AF" w:rsidRPr="0087485F" w:rsidRDefault="00D907AF" w:rsidP="00FB1503">
            <w:pPr>
              <w:spacing w:before="20" w:after="20"/>
              <w:ind w:right="113"/>
              <w:jc w:val="right"/>
              <w:rPr>
                <w:rFonts w:cstheme="minorHAnsi"/>
                <w:color w:val="000000"/>
                <w:sz w:val="20"/>
                <w:szCs w:val="20"/>
              </w:rPr>
            </w:pPr>
            <w:r w:rsidRPr="0087485F">
              <w:rPr>
                <w:rFonts w:cstheme="minorHAnsi"/>
                <w:color w:val="000000"/>
                <w:sz w:val="20"/>
                <w:szCs w:val="20"/>
              </w:rPr>
              <w:t>70</w:t>
            </w:r>
          </w:p>
        </w:tc>
        <w:tc>
          <w:tcPr>
            <w:tcW w:w="850" w:type="dxa"/>
            <w:shd w:val="clear" w:color="auto" w:fill="auto"/>
            <w:vAlign w:val="center"/>
          </w:tcPr>
          <w:p w:rsidR="00D907AF" w:rsidRPr="0087485F" w:rsidRDefault="00D907AF" w:rsidP="00FB1503">
            <w:pPr>
              <w:spacing w:before="20" w:after="20"/>
              <w:ind w:right="113"/>
              <w:jc w:val="right"/>
              <w:rPr>
                <w:rFonts w:cstheme="minorHAnsi"/>
                <w:color w:val="000000"/>
                <w:sz w:val="20"/>
                <w:szCs w:val="20"/>
              </w:rPr>
            </w:pPr>
            <w:r w:rsidRPr="0087485F">
              <w:rPr>
                <w:rFonts w:cstheme="minorHAnsi"/>
                <w:color w:val="000000"/>
                <w:sz w:val="20"/>
                <w:szCs w:val="20"/>
              </w:rPr>
              <w:t>23.0</w:t>
            </w:r>
          </w:p>
        </w:tc>
      </w:tr>
      <w:tr w:rsidR="00D907AF" w:rsidRPr="0087485F" w:rsidTr="00A50554">
        <w:tc>
          <w:tcPr>
            <w:tcW w:w="3794"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Satisfied</w:t>
            </w:r>
          </w:p>
        </w:tc>
        <w:tc>
          <w:tcPr>
            <w:tcW w:w="709" w:type="dxa"/>
            <w:shd w:val="clear" w:color="auto" w:fill="auto"/>
          </w:tcPr>
          <w:p w:rsidR="00D907AF" w:rsidRPr="0087485F" w:rsidRDefault="00D907AF" w:rsidP="00FB1503">
            <w:pPr>
              <w:spacing w:before="20" w:after="20"/>
              <w:ind w:right="113"/>
              <w:jc w:val="right"/>
              <w:rPr>
                <w:rFonts w:cstheme="minorHAnsi"/>
                <w:color w:val="000000"/>
                <w:sz w:val="20"/>
                <w:szCs w:val="20"/>
              </w:rPr>
            </w:pPr>
            <w:r w:rsidRPr="0087485F">
              <w:rPr>
                <w:rFonts w:cstheme="minorHAnsi"/>
                <w:color w:val="000000"/>
                <w:sz w:val="20"/>
                <w:szCs w:val="20"/>
              </w:rPr>
              <w:t>84</w:t>
            </w:r>
          </w:p>
        </w:tc>
        <w:tc>
          <w:tcPr>
            <w:tcW w:w="850" w:type="dxa"/>
            <w:shd w:val="clear" w:color="auto" w:fill="auto"/>
            <w:vAlign w:val="center"/>
          </w:tcPr>
          <w:p w:rsidR="00D907AF" w:rsidRPr="0087485F" w:rsidRDefault="00D907AF" w:rsidP="00FB1503">
            <w:pPr>
              <w:spacing w:before="20" w:after="20"/>
              <w:ind w:right="113"/>
              <w:jc w:val="right"/>
              <w:rPr>
                <w:rFonts w:cstheme="minorHAnsi"/>
                <w:color w:val="000000"/>
                <w:sz w:val="20"/>
                <w:szCs w:val="20"/>
              </w:rPr>
            </w:pPr>
            <w:r w:rsidRPr="0087485F">
              <w:rPr>
                <w:rFonts w:cstheme="minorHAnsi"/>
                <w:color w:val="000000"/>
                <w:sz w:val="20"/>
                <w:szCs w:val="20"/>
              </w:rPr>
              <w:t>27.5</w:t>
            </w:r>
          </w:p>
        </w:tc>
      </w:tr>
      <w:tr w:rsidR="00D907AF" w:rsidRPr="0087485F" w:rsidTr="00A50554">
        <w:tc>
          <w:tcPr>
            <w:tcW w:w="3794"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Neither satisfied nor dissatisfied</w:t>
            </w:r>
          </w:p>
        </w:tc>
        <w:tc>
          <w:tcPr>
            <w:tcW w:w="709" w:type="dxa"/>
            <w:shd w:val="clear" w:color="auto" w:fill="auto"/>
          </w:tcPr>
          <w:p w:rsidR="00D907AF" w:rsidRPr="0087485F" w:rsidRDefault="00D907AF" w:rsidP="00FB1503">
            <w:pPr>
              <w:spacing w:before="20" w:after="20"/>
              <w:ind w:right="113"/>
              <w:jc w:val="right"/>
              <w:rPr>
                <w:rFonts w:cstheme="minorHAnsi"/>
                <w:color w:val="000000"/>
                <w:sz w:val="20"/>
                <w:szCs w:val="20"/>
              </w:rPr>
            </w:pPr>
            <w:r w:rsidRPr="0087485F">
              <w:rPr>
                <w:rFonts w:cstheme="minorHAnsi"/>
                <w:color w:val="000000"/>
                <w:sz w:val="20"/>
                <w:szCs w:val="20"/>
              </w:rPr>
              <w:t>60</w:t>
            </w:r>
          </w:p>
        </w:tc>
        <w:tc>
          <w:tcPr>
            <w:tcW w:w="850" w:type="dxa"/>
            <w:shd w:val="clear" w:color="auto" w:fill="auto"/>
            <w:vAlign w:val="center"/>
          </w:tcPr>
          <w:p w:rsidR="00D907AF" w:rsidRPr="0087485F" w:rsidRDefault="00D907AF" w:rsidP="00FB1503">
            <w:pPr>
              <w:spacing w:before="20" w:after="20"/>
              <w:ind w:right="113"/>
              <w:jc w:val="right"/>
              <w:rPr>
                <w:rFonts w:cstheme="minorHAnsi"/>
                <w:color w:val="000000"/>
                <w:sz w:val="20"/>
                <w:szCs w:val="20"/>
              </w:rPr>
            </w:pPr>
            <w:r w:rsidRPr="0087485F">
              <w:rPr>
                <w:rFonts w:cstheme="minorHAnsi"/>
                <w:color w:val="000000"/>
                <w:sz w:val="20"/>
                <w:szCs w:val="20"/>
              </w:rPr>
              <w:t>19.7</w:t>
            </w:r>
          </w:p>
        </w:tc>
      </w:tr>
      <w:tr w:rsidR="00D907AF" w:rsidRPr="0087485F" w:rsidTr="00A50554">
        <w:trPr>
          <w:trHeight w:val="87"/>
        </w:trPr>
        <w:tc>
          <w:tcPr>
            <w:tcW w:w="3794"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Dissatisfied</w:t>
            </w:r>
          </w:p>
        </w:tc>
        <w:tc>
          <w:tcPr>
            <w:tcW w:w="709" w:type="dxa"/>
            <w:shd w:val="clear" w:color="auto" w:fill="auto"/>
          </w:tcPr>
          <w:p w:rsidR="00D907AF" w:rsidRPr="0087485F" w:rsidRDefault="00D907AF" w:rsidP="00FB1503">
            <w:pPr>
              <w:spacing w:before="20" w:after="20"/>
              <w:ind w:right="113"/>
              <w:jc w:val="right"/>
              <w:rPr>
                <w:rFonts w:cstheme="minorHAnsi"/>
                <w:color w:val="000000"/>
                <w:sz w:val="20"/>
                <w:szCs w:val="20"/>
              </w:rPr>
            </w:pPr>
            <w:r w:rsidRPr="0087485F">
              <w:rPr>
                <w:rFonts w:cstheme="minorHAnsi"/>
                <w:color w:val="000000"/>
                <w:sz w:val="20"/>
                <w:szCs w:val="20"/>
              </w:rPr>
              <w:t>42</w:t>
            </w:r>
          </w:p>
        </w:tc>
        <w:tc>
          <w:tcPr>
            <w:tcW w:w="850" w:type="dxa"/>
            <w:shd w:val="clear" w:color="auto" w:fill="auto"/>
            <w:vAlign w:val="center"/>
          </w:tcPr>
          <w:p w:rsidR="00D907AF" w:rsidRPr="0087485F" w:rsidRDefault="00D907AF" w:rsidP="00FB1503">
            <w:pPr>
              <w:spacing w:before="20" w:after="20"/>
              <w:ind w:right="113"/>
              <w:jc w:val="right"/>
              <w:rPr>
                <w:rFonts w:cstheme="minorHAnsi"/>
                <w:color w:val="000000"/>
                <w:sz w:val="20"/>
                <w:szCs w:val="20"/>
              </w:rPr>
            </w:pPr>
            <w:r w:rsidRPr="0087485F">
              <w:rPr>
                <w:rFonts w:cstheme="minorHAnsi"/>
                <w:color w:val="000000"/>
                <w:sz w:val="20"/>
                <w:szCs w:val="20"/>
              </w:rPr>
              <w:t>13.8</w:t>
            </w:r>
          </w:p>
        </w:tc>
      </w:tr>
      <w:tr w:rsidR="00D907AF" w:rsidRPr="0087485F" w:rsidTr="00A50554">
        <w:tc>
          <w:tcPr>
            <w:tcW w:w="3794"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Very dissatisfied</w:t>
            </w:r>
          </w:p>
        </w:tc>
        <w:tc>
          <w:tcPr>
            <w:tcW w:w="709" w:type="dxa"/>
            <w:shd w:val="clear" w:color="auto" w:fill="auto"/>
          </w:tcPr>
          <w:p w:rsidR="00D907AF" w:rsidRPr="0087485F" w:rsidRDefault="00D907AF" w:rsidP="00FB1503">
            <w:pPr>
              <w:spacing w:before="20" w:after="20"/>
              <w:ind w:right="113"/>
              <w:jc w:val="right"/>
              <w:rPr>
                <w:rFonts w:cstheme="minorHAnsi"/>
                <w:color w:val="000000"/>
                <w:sz w:val="20"/>
                <w:szCs w:val="20"/>
              </w:rPr>
            </w:pPr>
            <w:r w:rsidRPr="0087485F">
              <w:rPr>
                <w:rFonts w:cstheme="minorHAnsi"/>
                <w:color w:val="000000"/>
                <w:sz w:val="20"/>
                <w:szCs w:val="20"/>
              </w:rPr>
              <w:t>17</w:t>
            </w:r>
          </w:p>
        </w:tc>
        <w:tc>
          <w:tcPr>
            <w:tcW w:w="850" w:type="dxa"/>
            <w:shd w:val="clear" w:color="auto" w:fill="auto"/>
            <w:vAlign w:val="center"/>
          </w:tcPr>
          <w:p w:rsidR="00D907AF" w:rsidRPr="0087485F" w:rsidRDefault="00D907AF" w:rsidP="00FB1503">
            <w:pPr>
              <w:spacing w:before="20" w:after="20"/>
              <w:ind w:right="113"/>
              <w:jc w:val="right"/>
              <w:rPr>
                <w:rFonts w:cstheme="minorHAnsi"/>
                <w:color w:val="000000"/>
                <w:sz w:val="20"/>
                <w:szCs w:val="20"/>
              </w:rPr>
            </w:pPr>
            <w:r w:rsidRPr="0087485F">
              <w:rPr>
                <w:rFonts w:cstheme="minorHAnsi"/>
                <w:color w:val="000000"/>
                <w:sz w:val="20"/>
                <w:szCs w:val="20"/>
              </w:rPr>
              <w:t>5.6</w:t>
            </w:r>
          </w:p>
        </w:tc>
      </w:tr>
      <w:tr w:rsidR="00D907AF" w:rsidRPr="0087485F" w:rsidTr="00A50554">
        <w:tc>
          <w:tcPr>
            <w:tcW w:w="3794" w:type="dxa"/>
            <w:tcBorders>
              <w:bottom w:val="single" w:sz="4" w:space="0" w:color="auto"/>
            </w:tcBorders>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 xml:space="preserve">Missing </w:t>
            </w:r>
          </w:p>
        </w:tc>
        <w:tc>
          <w:tcPr>
            <w:tcW w:w="709" w:type="dxa"/>
            <w:tcBorders>
              <w:bottom w:val="single" w:sz="4" w:space="0" w:color="auto"/>
            </w:tcBorders>
            <w:shd w:val="clear" w:color="auto" w:fill="auto"/>
          </w:tcPr>
          <w:p w:rsidR="00D907AF" w:rsidRPr="0087485F" w:rsidRDefault="00D907AF" w:rsidP="00FB1503">
            <w:pPr>
              <w:spacing w:before="20" w:after="20"/>
              <w:ind w:right="113"/>
              <w:jc w:val="right"/>
              <w:rPr>
                <w:rFonts w:cstheme="minorHAnsi"/>
                <w:color w:val="000000"/>
                <w:sz w:val="20"/>
                <w:szCs w:val="20"/>
              </w:rPr>
            </w:pPr>
            <w:r w:rsidRPr="0087485F">
              <w:rPr>
                <w:rFonts w:cstheme="minorHAnsi"/>
                <w:color w:val="000000"/>
                <w:sz w:val="20"/>
                <w:szCs w:val="20"/>
              </w:rPr>
              <w:t>32</w:t>
            </w:r>
          </w:p>
        </w:tc>
        <w:tc>
          <w:tcPr>
            <w:tcW w:w="850" w:type="dxa"/>
            <w:tcBorders>
              <w:bottom w:val="single" w:sz="4" w:space="0" w:color="auto"/>
            </w:tcBorders>
            <w:shd w:val="clear" w:color="auto" w:fill="auto"/>
            <w:vAlign w:val="center"/>
          </w:tcPr>
          <w:p w:rsidR="00D907AF" w:rsidRPr="0087485F" w:rsidRDefault="00D907AF" w:rsidP="00FB1503">
            <w:pPr>
              <w:spacing w:before="20" w:after="20"/>
              <w:ind w:right="113"/>
              <w:jc w:val="right"/>
              <w:rPr>
                <w:rFonts w:cstheme="minorHAnsi"/>
                <w:color w:val="000000"/>
                <w:sz w:val="20"/>
                <w:szCs w:val="20"/>
              </w:rPr>
            </w:pPr>
            <w:r w:rsidRPr="0087485F">
              <w:rPr>
                <w:rFonts w:cstheme="minorHAnsi"/>
                <w:color w:val="000000"/>
                <w:sz w:val="20"/>
                <w:szCs w:val="20"/>
              </w:rPr>
              <w:t>10.5</w:t>
            </w:r>
          </w:p>
        </w:tc>
      </w:tr>
      <w:tr w:rsidR="00D907AF" w:rsidRPr="0087485F" w:rsidTr="00A50554">
        <w:tc>
          <w:tcPr>
            <w:tcW w:w="3794" w:type="dxa"/>
            <w:tcBorders>
              <w:top w:val="single" w:sz="4" w:space="0" w:color="auto"/>
              <w:bottom w:val="single" w:sz="4" w:space="0" w:color="auto"/>
            </w:tcBorders>
            <w:shd w:val="clear" w:color="auto" w:fill="auto"/>
          </w:tcPr>
          <w:p w:rsidR="00D907AF" w:rsidRPr="0087485F" w:rsidRDefault="00D907AF" w:rsidP="00D907AF">
            <w:pPr>
              <w:spacing w:before="20" w:after="20"/>
              <w:rPr>
                <w:rFonts w:cstheme="minorHAnsi"/>
                <w:sz w:val="20"/>
                <w:szCs w:val="20"/>
              </w:rPr>
            </w:pPr>
            <w:r w:rsidRPr="0087485F">
              <w:rPr>
                <w:rFonts w:cstheme="minorHAnsi"/>
                <w:b/>
                <w:sz w:val="20"/>
                <w:szCs w:val="20"/>
              </w:rPr>
              <w:t>Total</w:t>
            </w:r>
          </w:p>
        </w:tc>
        <w:tc>
          <w:tcPr>
            <w:tcW w:w="709" w:type="dxa"/>
            <w:tcBorders>
              <w:top w:val="single" w:sz="4" w:space="0" w:color="auto"/>
              <w:bottom w:val="single" w:sz="4" w:space="0" w:color="auto"/>
            </w:tcBorders>
            <w:shd w:val="clear" w:color="auto" w:fill="auto"/>
          </w:tcPr>
          <w:p w:rsidR="00D907AF" w:rsidRPr="0087485F" w:rsidRDefault="00D907AF" w:rsidP="00FB1503">
            <w:pPr>
              <w:spacing w:before="20" w:after="20"/>
              <w:ind w:right="113"/>
              <w:jc w:val="right"/>
              <w:rPr>
                <w:rFonts w:cstheme="minorHAnsi"/>
                <w:b/>
                <w:sz w:val="20"/>
                <w:szCs w:val="20"/>
              </w:rPr>
            </w:pPr>
            <w:r w:rsidRPr="0087485F">
              <w:rPr>
                <w:rFonts w:cstheme="minorHAnsi"/>
                <w:b/>
                <w:sz w:val="20"/>
                <w:szCs w:val="20"/>
              </w:rPr>
              <w:t>305</w:t>
            </w:r>
          </w:p>
        </w:tc>
        <w:tc>
          <w:tcPr>
            <w:tcW w:w="850" w:type="dxa"/>
            <w:tcBorders>
              <w:top w:val="single" w:sz="4" w:space="0" w:color="auto"/>
              <w:bottom w:val="single" w:sz="4" w:space="0" w:color="auto"/>
            </w:tcBorders>
            <w:shd w:val="clear" w:color="auto" w:fill="auto"/>
          </w:tcPr>
          <w:p w:rsidR="00D907AF" w:rsidRPr="0087485F" w:rsidRDefault="00D907AF" w:rsidP="00FB1503">
            <w:pPr>
              <w:spacing w:before="20" w:after="20"/>
              <w:ind w:right="113"/>
              <w:jc w:val="right"/>
              <w:rPr>
                <w:rFonts w:cstheme="minorHAnsi"/>
                <w:b/>
                <w:sz w:val="20"/>
                <w:szCs w:val="20"/>
              </w:rPr>
            </w:pPr>
            <w:r w:rsidRPr="0087485F">
              <w:rPr>
                <w:rFonts w:cstheme="minorHAnsi"/>
                <w:b/>
                <w:sz w:val="20"/>
                <w:szCs w:val="20"/>
              </w:rPr>
              <w:t>100</w:t>
            </w:r>
          </w:p>
        </w:tc>
      </w:tr>
    </w:tbl>
    <w:p w:rsidR="00D907AF" w:rsidRPr="00660446" w:rsidRDefault="00D907AF" w:rsidP="006C7BE7">
      <w:pPr>
        <w:pStyle w:val="NILSTabletext"/>
      </w:pPr>
      <w:r w:rsidRPr="00F20ACE">
        <w:t>Note: trial aged 16 and above if received supports before joining the NDIS.</w:t>
      </w:r>
    </w:p>
    <w:p w:rsidR="00A06AE2" w:rsidRDefault="00A06AE2" w:rsidP="00D907AF"/>
    <w:p w:rsidR="00C23932" w:rsidRDefault="00C23932">
      <w:r>
        <w:br w:type="page"/>
      </w:r>
    </w:p>
    <w:p w:rsidR="00D907AF" w:rsidRDefault="00D907AF" w:rsidP="00D907AF">
      <w:r>
        <w:lastRenderedPageBreak/>
        <w:t>Table 3.60 presents a picture of the extent of control that people with disability in the trial group felt they had over what supports they received.</w:t>
      </w:r>
    </w:p>
    <w:p w:rsidR="00D907AF" w:rsidRPr="00233E8A" w:rsidRDefault="00D907AF" w:rsidP="0044684E">
      <w:pPr>
        <w:pStyle w:val="NILSTableHeading"/>
      </w:pPr>
      <w:bookmarkStart w:id="429" w:name="_Toc428280712"/>
      <w:bookmarkStart w:id="430" w:name="_Toc449955322"/>
      <w:r w:rsidRPr="00233E8A">
        <w:t xml:space="preserve">Table </w:t>
      </w:r>
      <w:r>
        <w:rPr>
          <w:rFonts w:hint="eastAsia"/>
        </w:rPr>
        <w:t>3.6</w:t>
      </w:r>
      <w:r>
        <w:t>0</w:t>
      </w:r>
      <w:r w:rsidRPr="00233E8A">
        <w:t xml:space="preserve">: </w:t>
      </w:r>
      <w:r>
        <w:rPr>
          <w:rFonts w:hint="eastAsia"/>
        </w:rPr>
        <w:t>H</w:t>
      </w:r>
      <w:r w:rsidRPr="00AE12AB">
        <w:t>ow much say over decisions about what support received</w:t>
      </w:r>
      <w:r>
        <w:t xml:space="preserve"> before NDIS</w:t>
      </w:r>
      <w:bookmarkEnd w:id="429"/>
      <w:bookmarkEnd w:id="430"/>
    </w:p>
    <w:tbl>
      <w:tblPr>
        <w:tblStyle w:val="TableGrid"/>
        <w:tblW w:w="0" w:type="auto"/>
        <w:tblLook w:val="04A0" w:firstRow="1" w:lastRow="0" w:firstColumn="1" w:lastColumn="0" w:noHBand="0" w:noVBand="1"/>
        <w:tblCaption w:val="Table 3.60 How much say over decisions about what support received before NDIS"/>
      </w:tblPr>
      <w:tblGrid>
        <w:gridCol w:w="3794"/>
        <w:gridCol w:w="850"/>
        <w:gridCol w:w="709"/>
      </w:tblGrid>
      <w:tr w:rsidR="00D907AF" w:rsidRPr="0087485F" w:rsidTr="00132205">
        <w:trPr>
          <w:cantSplit/>
          <w:tblHeader/>
        </w:trPr>
        <w:tc>
          <w:tcPr>
            <w:tcW w:w="3794" w:type="dxa"/>
            <w:tcBorders>
              <w:top w:val="single" w:sz="4" w:space="0" w:color="auto"/>
              <w:bottom w:val="single" w:sz="4" w:space="0" w:color="auto"/>
            </w:tcBorders>
            <w:shd w:val="clear" w:color="auto" w:fill="auto"/>
          </w:tcPr>
          <w:p w:rsidR="00D907AF" w:rsidRPr="0087485F" w:rsidRDefault="00D907AF" w:rsidP="00D907AF">
            <w:pPr>
              <w:spacing w:before="20" w:after="20"/>
              <w:rPr>
                <w:rFonts w:cstheme="minorHAnsi"/>
                <w:sz w:val="20"/>
                <w:szCs w:val="20"/>
              </w:rPr>
            </w:pPr>
            <w:bookmarkStart w:id="431" w:name="Title_3_60"/>
            <w:bookmarkEnd w:id="431"/>
          </w:p>
        </w:tc>
        <w:tc>
          <w:tcPr>
            <w:tcW w:w="850" w:type="dxa"/>
            <w:tcBorders>
              <w:top w:val="single" w:sz="4" w:space="0" w:color="auto"/>
              <w:bottom w:val="single" w:sz="4" w:space="0" w:color="auto"/>
            </w:tcBorders>
            <w:shd w:val="clear" w:color="auto" w:fill="auto"/>
          </w:tcPr>
          <w:p w:rsidR="00D907AF" w:rsidRPr="0087485F" w:rsidRDefault="00D907AF" w:rsidP="00D907AF">
            <w:pPr>
              <w:spacing w:before="20" w:after="20"/>
              <w:jc w:val="center"/>
              <w:rPr>
                <w:rFonts w:cstheme="minorHAnsi"/>
                <w:sz w:val="20"/>
                <w:szCs w:val="20"/>
              </w:rPr>
            </w:pPr>
            <w:r w:rsidRPr="0087485F">
              <w:rPr>
                <w:rFonts w:cstheme="minorHAnsi"/>
                <w:sz w:val="20"/>
                <w:szCs w:val="20"/>
              </w:rPr>
              <w:t>Cases</w:t>
            </w:r>
          </w:p>
        </w:tc>
        <w:tc>
          <w:tcPr>
            <w:tcW w:w="709" w:type="dxa"/>
            <w:tcBorders>
              <w:top w:val="single" w:sz="4" w:space="0" w:color="auto"/>
              <w:bottom w:val="single" w:sz="4" w:space="0" w:color="auto"/>
            </w:tcBorders>
            <w:shd w:val="clear" w:color="auto" w:fill="auto"/>
          </w:tcPr>
          <w:p w:rsidR="00D907AF" w:rsidRPr="0087485F" w:rsidRDefault="00D907AF" w:rsidP="00D907AF">
            <w:pPr>
              <w:spacing w:before="20" w:after="20"/>
              <w:jc w:val="center"/>
              <w:rPr>
                <w:rFonts w:cstheme="minorHAnsi"/>
                <w:sz w:val="20"/>
                <w:szCs w:val="20"/>
              </w:rPr>
            </w:pPr>
            <w:r w:rsidRPr="0087485F">
              <w:rPr>
                <w:rFonts w:cstheme="minorHAnsi"/>
                <w:sz w:val="20"/>
                <w:szCs w:val="20"/>
              </w:rPr>
              <w:t>%</w:t>
            </w:r>
          </w:p>
        </w:tc>
      </w:tr>
      <w:tr w:rsidR="00D907AF" w:rsidRPr="0087485F" w:rsidTr="00132205">
        <w:tc>
          <w:tcPr>
            <w:tcW w:w="3794"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A lot of say</w:t>
            </w:r>
          </w:p>
        </w:tc>
        <w:tc>
          <w:tcPr>
            <w:tcW w:w="850" w:type="dxa"/>
            <w:shd w:val="clear" w:color="auto" w:fill="auto"/>
          </w:tcPr>
          <w:p w:rsidR="00D907AF" w:rsidRPr="0087485F" w:rsidRDefault="00D907AF" w:rsidP="005D028F">
            <w:pPr>
              <w:spacing w:before="20" w:after="20"/>
              <w:ind w:right="113"/>
              <w:jc w:val="right"/>
              <w:rPr>
                <w:rFonts w:cstheme="minorHAnsi"/>
                <w:color w:val="000000"/>
                <w:sz w:val="20"/>
                <w:szCs w:val="20"/>
              </w:rPr>
            </w:pPr>
            <w:r w:rsidRPr="0087485F">
              <w:rPr>
                <w:rFonts w:cstheme="minorHAnsi"/>
                <w:color w:val="000000"/>
                <w:sz w:val="20"/>
                <w:szCs w:val="20"/>
              </w:rPr>
              <w:t>65</w:t>
            </w:r>
          </w:p>
        </w:tc>
        <w:tc>
          <w:tcPr>
            <w:tcW w:w="709"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21.3</w:t>
            </w:r>
          </w:p>
        </w:tc>
      </w:tr>
      <w:tr w:rsidR="00D907AF" w:rsidRPr="0087485F" w:rsidTr="00132205">
        <w:tc>
          <w:tcPr>
            <w:tcW w:w="3794"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Some say</w:t>
            </w:r>
          </w:p>
        </w:tc>
        <w:tc>
          <w:tcPr>
            <w:tcW w:w="850" w:type="dxa"/>
            <w:shd w:val="clear" w:color="auto" w:fill="auto"/>
          </w:tcPr>
          <w:p w:rsidR="00D907AF" w:rsidRPr="0087485F" w:rsidRDefault="00D907AF" w:rsidP="005D028F">
            <w:pPr>
              <w:spacing w:before="20" w:after="20"/>
              <w:ind w:right="113"/>
              <w:jc w:val="right"/>
              <w:rPr>
                <w:rFonts w:cstheme="minorHAnsi"/>
                <w:color w:val="000000"/>
                <w:sz w:val="20"/>
                <w:szCs w:val="20"/>
              </w:rPr>
            </w:pPr>
            <w:r w:rsidRPr="0087485F">
              <w:rPr>
                <w:rFonts w:cstheme="minorHAnsi"/>
                <w:color w:val="000000"/>
                <w:sz w:val="20"/>
                <w:szCs w:val="20"/>
              </w:rPr>
              <w:t>83</w:t>
            </w:r>
          </w:p>
        </w:tc>
        <w:tc>
          <w:tcPr>
            <w:tcW w:w="709"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27.2</w:t>
            </w:r>
          </w:p>
        </w:tc>
      </w:tr>
      <w:tr w:rsidR="00D907AF" w:rsidRPr="0087485F" w:rsidTr="00132205">
        <w:tc>
          <w:tcPr>
            <w:tcW w:w="3794"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 xml:space="preserve">Little say </w:t>
            </w:r>
          </w:p>
        </w:tc>
        <w:tc>
          <w:tcPr>
            <w:tcW w:w="850" w:type="dxa"/>
            <w:shd w:val="clear" w:color="auto" w:fill="auto"/>
          </w:tcPr>
          <w:p w:rsidR="00D907AF" w:rsidRPr="0087485F" w:rsidRDefault="00D907AF" w:rsidP="005D028F">
            <w:pPr>
              <w:spacing w:before="20" w:after="20"/>
              <w:ind w:right="113"/>
              <w:jc w:val="right"/>
              <w:rPr>
                <w:rFonts w:cstheme="minorHAnsi"/>
                <w:color w:val="000000"/>
                <w:sz w:val="20"/>
                <w:szCs w:val="20"/>
              </w:rPr>
            </w:pPr>
            <w:r w:rsidRPr="0087485F">
              <w:rPr>
                <w:rFonts w:cstheme="minorHAnsi"/>
                <w:color w:val="000000"/>
                <w:sz w:val="20"/>
                <w:szCs w:val="20"/>
              </w:rPr>
              <w:t>36</w:t>
            </w:r>
          </w:p>
        </w:tc>
        <w:tc>
          <w:tcPr>
            <w:tcW w:w="709"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11.8</w:t>
            </w:r>
          </w:p>
        </w:tc>
      </w:tr>
      <w:tr w:rsidR="00D907AF" w:rsidRPr="0087485F" w:rsidTr="00132205">
        <w:tc>
          <w:tcPr>
            <w:tcW w:w="3794"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No say</w:t>
            </w:r>
          </w:p>
        </w:tc>
        <w:tc>
          <w:tcPr>
            <w:tcW w:w="850" w:type="dxa"/>
            <w:shd w:val="clear" w:color="auto" w:fill="auto"/>
          </w:tcPr>
          <w:p w:rsidR="00D907AF" w:rsidRPr="0087485F" w:rsidRDefault="00D907AF" w:rsidP="005D028F">
            <w:pPr>
              <w:spacing w:before="20" w:after="20"/>
              <w:ind w:right="113"/>
              <w:jc w:val="right"/>
              <w:rPr>
                <w:rFonts w:cstheme="minorHAnsi"/>
                <w:color w:val="000000"/>
                <w:sz w:val="20"/>
                <w:szCs w:val="20"/>
              </w:rPr>
            </w:pPr>
            <w:r w:rsidRPr="0087485F">
              <w:rPr>
                <w:rFonts w:cstheme="minorHAnsi"/>
                <w:color w:val="000000"/>
                <w:sz w:val="20"/>
                <w:szCs w:val="20"/>
              </w:rPr>
              <w:t>53</w:t>
            </w:r>
          </w:p>
        </w:tc>
        <w:tc>
          <w:tcPr>
            <w:tcW w:w="709"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17.4</w:t>
            </w:r>
          </w:p>
        </w:tc>
      </w:tr>
      <w:tr w:rsidR="00D907AF" w:rsidRPr="0087485F" w:rsidTr="00132205">
        <w:tc>
          <w:tcPr>
            <w:tcW w:w="3794"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It varied depending on the type of supports</w:t>
            </w:r>
          </w:p>
        </w:tc>
        <w:tc>
          <w:tcPr>
            <w:tcW w:w="850" w:type="dxa"/>
            <w:shd w:val="clear" w:color="auto" w:fill="auto"/>
          </w:tcPr>
          <w:p w:rsidR="00D907AF" w:rsidRPr="0087485F" w:rsidRDefault="00D907AF" w:rsidP="005D028F">
            <w:pPr>
              <w:spacing w:before="20" w:after="20"/>
              <w:ind w:right="113"/>
              <w:jc w:val="right"/>
              <w:rPr>
                <w:rFonts w:cstheme="minorHAnsi"/>
                <w:color w:val="000000"/>
                <w:sz w:val="20"/>
                <w:szCs w:val="20"/>
              </w:rPr>
            </w:pPr>
            <w:r w:rsidRPr="0087485F">
              <w:rPr>
                <w:rFonts w:cstheme="minorHAnsi"/>
                <w:color w:val="000000"/>
                <w:sz w:val="20"/>
                <w:szCs w:val="20"/>
              </w:rPr>
              <w:t>37</w:t>
            </w:r>
          </w:p>
        </w:tc>
        <w:tc>
          <w:tcPr>
            <w:tcW w:w="709"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12.1</w:t>
            </w:r>
          </w:p>
        </w:tc>
      </w:tr>
      <w:tr w:rsidR="00D907AF" w:rsidRPr="0087485F" w:rsidTr="00132205">
        <w:tc>
          <w:tcPr>
            <w:tcW w:w="3794" w:type="dxa"/>
            <w:tcBorders>
              <w:bottom w:val="single" w:sz="4" w:space="0" w:color="auto"/>
            </w:tcBorders>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 xml:space="preserve">Missing </w:t>
            </w:r>
          </w:p>
        </w:tc>
        <w:tc>
          <w:tcPr>
            <w:tcW w:w="850" w:type="dxa"/>
            <w:tcBorders>
              <w:bottom w:val="single" w:sz="4" w:space="0" w:color="auto"/>
            </w:tcBorders>
            <w:shd w:val="clear" w:color="auto" w:fill="auto"/>
          </w:tcPr>
          <w:p w:rsidR="00D907AF" w:rsidRPr="0087485F" w:rsidRDefault="00D907AF" w:rsidP="005D028F">
            <w:pPr>
              <w:spacing w:before="20" w:after="20"/>
              <w:ind w:right="113"/>
              <w:jc w:val="right"/>
              <w:rPr>
                <w:rFonts w:cstheme="minorHAnsi"/>
                <w:color w:val="000000"/>
                <w:sz w:val="20"/>
                <w:szCs w:val="20"/>
              </w:rPr>
            </w:pPr>
            <w:r w:rsidRPr="0087485F">
              <w:rPr>
                <w:rFonts w:cstheme="minorHAnsi"/>
                <w:color w:val="000000"/>
                <w:sz w:val="20"/>
                <w:szCs w:val="20"/>
              </w:rPr>
              <w:t>31</w:t>
            </w:r>
          </w:p>
        </w:tc>
        <w:tc>
          <w:tcPr>
            <w:tcW w:w="709" w:type="dxa"/>
            <w:tcBorders>
              <w:bottom w:val="single" w:sz="4" w:space="0" w:color="auto"/>
            </w:tcBorders>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10.2</w:t>
            </w:r>
          </w:p>
        </w:tc>
      </w:tr>
      <w:tr w:rsidR="00D907AF" w:rsidRPr="0087485F" w:rsidTr="00132205">
        <w:tc>
          <w:tcPr>
            <w:tcW w:w="3794" w:type="dxa"/>
            <w:tcBorders>
              <w:top w:val="single" w:sz="4" w:space="0" w:color="auto"/>
              <w:bottom w:val="single" w:sz="4" w:space="0" w:color="auto"/>
            </w:tcBorders>
            <w:shd w:val="clear" w:color="auto" w:fill="auto"/>
          </w:tcPr>
          <w:p w:rsidR="00D907AF" w:rsidRPr="0087485F" w:rsidRDefault="00D907AF" w:rsidP="00D907AF">
            <w:pPr>
              <w:spacing w:before="20" w:after="20"/>
              <w:rPr>
                <w:rFonts w:cstheme="minorHAnsi"/>
                <w:sz w:val="20"/>
                <w:szCs w:val="20"/>
              </w:rPr>
            </w:pPr>
            <w:r w:rsidRPr="0087485F">
              <w:rPr>
                <w:rFonts w:cstheme="minorHAnsi"/>
                <w:b/>
                <w:sz w:val="20"/>
                <w:szCs w:val="20"/>
              </w:rPr>
              <w:t>Total</w:t>
            </w:r>
          </w:p>
        </w:tc>
        <w:tc>
          <w:tcPr>
            <w:tcW w:w="850" w:type="dxa"/>
            <w:tcBorders>
              <w:top w:val="single" w:sz="4" w:space="0" w:color="auto"/>
              <w:bottom w:val="single" w:sz="4" w:space="0" w:color="auto"/>
            </w:tcBorders>
            <w:shd w:val="clear" w:color="auto" w:fill="auto"/>
          </w:tcPr>
          <w:p w:rsidR="00D907AF" w:rsidRPr="0087485F" w:rsidRDefault="00D907AF" w:rsidP="005D028F">
            <w:pPr>
              <w:spacing w:before="20" w:after="20"/>
              <w:ind w:right="113"/>
              <w:jc w:val="right"/>
              <w:rPr>
                <w:rFonts w:cstheme="minorHAnsi"/>
                <w:b/>
                <w:sz w:val="20"/>
                <w:szCs w:val="20"/>
              </w:rPr>
            </w:pPr>
            <w:r w:rsidRPr="0087485F">
              <w:rPr>
                <w:rFonts w:cstheme="minorHAnsi"/>
                <w:b/>
                <w:sz w:val="20"/>
                <w:szCs w:val="20"/>
              </w:rPr>
              <w:t>305</w:t>
            </w:r>
          </w:p>
        </w:tc>
        <w:tc>
          <w:tcPr>
            <w:tcW w:w="709" w:type="dxa"/>
            <w:tcBorders>
              <w:top w:val="single" w:sz="4" w:space="0" w:color="auto"/>
              <w:bottom w:val="single" w:sz="4" w:space="0" w:color="auto"/>
            </w:tcBorders>
            <w:shd w:val="clear" w:color="auto" w:fill="auto"/>
          </w:tcPr>
          <w:p w:rsidR="00D907AF" w:rsidRPr="0087485F" w:rsidRDefault="00D907AF" w:rsidP="00D907AF">
            <w:pPr>
              <w:spacing w:before="20" w:after="20"/>
              <w:jc w:val="right"/>
              <w:rPr>
                <w:rFonts w:cstheme="minorHAnsi"/>
                <w:b/>
                <w:sz w:val="20"/>
                <w:szCs w:val="20"/>
              </w:rPr>
            </w:pPr>
            <w:r w:rsidRPr="0087485F">
              <w:rPr>
                <w:rFonts w:cstheme="minorHAnsi"/>
                <w:b/>
                <w:sz w:val="20"/>
                <w:szCs w:val="20"/>
              </w:rPr>
              <w:t>100</w:t>
            </w:r>
          </w:p>
        </w:tc>
      </w:tr>
    </w:tbl>
    <w:p w:rsidR="00D907AF" w:rsidRPr="00660446" w:rsidRDefault="00D907AF" w:rsidP="006C7BE7">
      <w:pPr>
        <w:pStyle w:val="NILSTabletext"/>
      </w:pPr>
      <w:r w:rsidRPr="00660446">
        <w:t xml:space="preserve">Note: </w:t>
      </w:r>
      <w:r>
        <w:t>t</w:t>
      </w:r>
      <w:r w:rsidRPr="00660446">
        <w:t>rial aged 16 and above if received supports before joining the NDIS</w:t>
      </w:r>
      <w:r>
        <w:t>.</w:t>
      </w:r>
    </w:p>
    <w:p w:rsidR="00D907AF" w:rsidRDefault="00D907AF" w:rsidP="00D907AF">
      <w:r w:rsidRPr="00290799">
        <w:t>Table 3.61 suggests a similar picture as in Table 3.60,</w:t>
      </w:r>
      <w:r>
        <w:t xml:space="preserve"> although with somewhat lower levels of control over where they obtained supports.</w:t>
      </w:r>
    </w:p>
    <w:p w:rsidR="00D907AF" w:rsidRPr="00233E8A" w:rsidRDefault="00D907AF" w:rsidP="0044684E">
      <w:pPr>
        <w:pStyle w:val="NILSTableHeading"/>
      </w:pPr>
      <w:bookmarkStart w:id="432" w:name="_Toc428280713"/>
      <w:bookmarkStart w:id="433" w:name="_Toc449955323"/>
      <w:r w:rsidRPr="00233E8A">
        <w:t xml:space="preserve">Table </w:t>
      </w:r>
      <w:r>
        <w:rPr>
          <w:rFonts w:hint="eastAsia"/>
        </w:rPr>
        <w:t>3.61</w:t>
      </w:r>
      <w:r w:rsidRPr="00233E8A">
        <w:t xml:space="preserve">: </w:t>
      </w:r>
      <w:r>
        <w:rPr>
          <w:rFonts w:hint="eastAsia"/>
        </w:rPr>
        <w:t>H</w:t>
      </w:r>
      <w:r w:rsidRPr="00AE12AB">
        <w:t xml:space="preserve">ow much </w:t>
      </w:r>
      <w:r w:rsidRPr="00F43547">
        <w:t xml:space="preserve">choice over where obtained supports </w:t>
      </w:r>
      <w:r>
        <w:t>before</w:t>
      </w:r>
      <w:r w:rsidRPr="00F43547">
        <w:t xml:space="preserve"> NDIS</w:t>
      </w:r>
      <w:r>
        <w:t>?</w:t>
      </w:r>
      <w:bookmarkEnd w:id="432"/>
      <w:bookmarkEnd w:id="433"/>
      <w:r w:rsidRPr="00F43547">
        <w:rPr>
          <w:rFonts w:hint="eastAsia"/>
        </w:rPr>
        <w:t xml:space="preserve"> </w:t>
      </w:r>
    </w:p>
    <w:tbl>
      <w:tblPr>
        <w:tblStyle w:val="TableGrid"/>
        <w:tblW w:w="0" w:type="auto"/>
        <w:tblLook w:val="04A0" w:firstRow="1" w:lastRow="0" w:firstColumn="1" w:lastColumn="0" w:noHBand="0" w:noVBand="1"/>
        <w:tblCaption w:val="Table 3.61 How much choice over where obtained supports before NDIS? "/>
      </w:tblPr>
      <w:tblGrid>
        <w:gridCol w:w="3794"/>
        <w:gridCol w:w="850"/>
        <w:gridCol w:w="709"/>
      </w:tblGrid>
      <w:tr w:rsidR="00D907AF" w:rsidRPr="0087485F" w:rsidTr="00132205">
        <w:trPr>
          <w:tblHeader/>
        </w:trPr>
        <w:tc>
          <w:tcPr>
            <w:tcW w:w="3794" w:type="dxa"/>
            <w:tcBorders>
              <w:top w:val="single" w:sz="4" w:space="0" w:color="auto"/>
              <w:bottom w:val="single" w:sz="4" w:space="0" w:color="auto"/>
            </w:tcBorders>
            <w:shd w:val="clear" w:color="auto" w:fill="auto"/>
          </w:tcPr>
          <w:p w:rsidR="00D907AF" w:rsidRPr="0087485F" w:rsidRDefault="00D907AF" w:rsidP="00D907AF">
            <w:pPr>
              <w:spacing w:before="20" w:after="20"/>
              <w:rPr>
                <w:rFonts w:cstheme="minorHAnsi"/>
                <w:sz w:val="20"/>
                <w:szCs w:val="20"/>
              </w:rPr>
            </w:pPr>
            <w:bookmarkStart w:id="434" w:name="Title_3_61"/>
            <w:bookmarkEnd w:id="434"/>
          </w:p>
        </w:tc>
        <w:tc>
          <w:tcPr>
            <w:tcW w:w="850" w:type="dxa"/>
            <w:tcBorders>
              <w:top w:val="single" w:sz="4" w:space="0" w:color="auto"/>
              <w:bottom w:val="single" w:sz="4" w:space="0" w:color="auto"/>
            </w:tcBorders>
            <w:shd w:val="clear" w:color="auto" w:fill="auto"/>
          </w:tcPr>
          <w:p w:rsidR="00D907AF" w:rsidRPr="0087485F" w:rsidRDefault="00D907AF" w:rsidP="00D907AF">
            <w:pPr>
              <w:spacing w:before="20" w:after="20"/>
              <w:jc w:val="center"/>
              <w:rPr>
                <w:rFonts w:cstheme="minorHAnsi"/>
                <w:sz w:val="20"/>
                <w:szCs w:val="20"/>
              </w:rPr>
            </w:pPr>
            <w:r w:rsidRPr="0087485F">
              <w:rPr>
                <w:rFonts w:cstheme="minorHAnsi"/>
                <w:sz w:val="20"/>
                <w:szCs w:val="20"/>
              </w:rPr>
              <w:t>Cases</w:t>
            </w:r>
          </w:p>
        </w:tc>
        <w:tc>
          <w:tcPr>
            <w:tcW w:w="709" w:type="dxa"/>
            <w:tcBorders>
              <w:top w:val="single" w:sz="4" w:space="0" w:color="auto"/>
              <w:bottom w:val="single" w:sz="4" w:space="0" w:color="auto"/>
            </w:tcBorders>
            <w:shd w:val="clear" w:color="auto" w:fill="auto"/>
          </w:tcPr>
          <w:p w:rsidR="00D907AF" w:rsidRPr="0087485F" w:rsidRDefault="00D907AF" w:rsidP="00D907AF">
            <w:pPr>
              <w:spacing w:before="20" w:after="20"/>
              <w:jc w:val="center"/>
              <w:rPr>
                <w:rFonts w:cstheme="minorHAnsi"/>
                <w:sz w:val="20"/>
                <w:szCs w:val="20"/>
              </w:rPr>
            </w:pPr>
            <w:r w:rsidRPr="0087485F">
              <w:rPr>
                <w:rFonts w:cstheme="minorHAnsi"/>
                <w:sz w:val="20"/>
                <w:szCs w:val="20"/>
              </w:rPr>
              <w:t>%</w:t>
            </w:r>
          </w:p>
        </w:tc>
      </w:tr>
      <w:tr w:rsidR="00D907AF" w:rsidRPr="0087485F" w:rsidTr="00132205">
        <w:tc>
          <w:tcPr>
            <w:tcW w:w="3794"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A lot of choice</w:t>
            </w:r>
          </w:p>
        </w:tc>
        <w:tc>
          <w:tcPr>
            <w:tcW w:w="850" w:type="dxa"/>
            <w:shd w:val="clear" w:color="auto" w:fill="auto"/>
          </w:tcPr>
          <w:p w:rsidR="00D907AF" w:rsidRPr="0087485F" w:rsidRDefault="00D907AF" w:rsidP="005D028F">
            <w:pPr>
              <w:spacing w:before="20" w:after="20"/>
              <w:ind w:right="113"/>
              <w:jc w:val="right"/>
              <w:rPr>
                <w:rFonts w:cstheme="minorHAnsi"/>
                <w:color w:val="000000"/>
                <w:sz w:val="20"/>
                <w:szCs w:val="20"/>
              </w:rPr>
            </w:pPr>
            <w:r w:rsidRPr="0087485F">
              <w:rPr>
                <w:rFonts w:cstheme="minorHAnsi"/>
                <w:color w:val="000000"/>
                <w:sz w:val="20"/>
                <w:szCs w:val="20"/>
              </w:rPr>
              <w:t>43</w:t>
            </w:r>
          </w:p>
        </w:tc>
        <w:tc>
          <w:tcPr>
            <w:tcW w:w="709"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14.1</w:t>
            </w:r>
          </w:p>
        </w:tc>
      </w:tr>
      <w:tr w:rsidR="00D907AF" w:rsidRPr="0087485F" w:rsidTr="00132205">
        <w:tc>
          <w:tcPr>
            <w:tcW w:w="3794"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Some choice</w:t>
            </w:r>
          </w:p>
        </w:tc>
        <w:tc>
          <w:tcPr>
            <w:tcW w:w="850" w:type="dxa"/>
            <w:shd w:val="clear" w:color="auto" w:fill="auto"/>
          </w:tcPr>
          <w:p w:rsidR="00D907AF" w:rsidRPr="0087485F" w:rsidRDefault="00D907AF" w:rsidP="005D028F">
            <w:pPr>
              <w:spacing w:before="20" w:after="20"/>
              <w:ind w:right="113"/>
              <w:jc w:val="right"/>
              <w:rPr>
                <w:rFonts w:cstheme="minorHAnsi"/>
                <w:color w:val="000000"/>
                <w:sz w:val="20"/>
                <w:szCs w:val="20"/>
              </w:rPr>
            </w:pPr>
            <w:r w:rsidRPr="0087485F">
              <w:rPr>
                <w:rFonts w:cstheme="minorHAnsi"/>
                <w:color w:val="000000"/>
                <w:sz w:val="20"/>
                <w:szCs w:val="20"/>
              </w:rPr>
              <w:t>72</w:t>
            </w:r>
          </w:p>
        </w:tc>
        <w:tc>
          <w:tcPr>
            <w:tcW w:w="709"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23.6</w:t>
            </w:r>
          </w:p>
        </w:tc>
      </w:tr>
      <w:tr w:rsidR="00D907AF" w:rsidRPr="0087485F" w:rsidTr="00132205">
        <w:tc>
          <w:tcPr>
            <w:tcW w:w="3794"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 xml:space="preserve">Little choice </w:t>
            </w:r>
          </w:p>
        </w:tc>
        <w:tc>
          <w:tcPr>
            <w:tcW w:w="850" w:type="dxa"/>
            <w:shd w:val="clear" w:color="auto" w:fill="auto"/>
          </w:tcPr>
          <w:p w:rsidR="00D907AF" w:rsidRPr="0087485F" w:rsidRDefault="00D907AF" w:rsidP="005D028F">
            <w:pPr>
              <w:spacing w:before="20" w:after="20"/>
              <w:ind w:right="113"/>
              <w:jc w:val="right"/>
              <w:rPr>
                <w:rFonts w:cstheme="minorHAnsi"/>
                <w:color w:val="000000"/>
                <w:sz w:val="20"/>
                <w:szCs w:val="20"/>
              </w:rPr>
            </w:pPr>
            <w:r w:rsidRPr="0087485F">
              <w:rPr>
                <w:rFonts w:cstheme="minorHAnsi"/>
                <w:color w:val="000000"/>
                <w:sz w:val="20"/>
                <w:szCs w:val="20"/>
              </w:rPr>
              <w:t>65</w:t>
            </w:r>
          </w:p>
        </w:tc>
        <w:tc>
          <w:tcPr>
            <w:tcW w:w="709"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21.3</w:t>
            </w:r>
          </w:p>
        </w:tc>
      </w:tr>
      <w:tr w:rsidR="00D907AF" w:rsidRPr="0087485F" w:rsidTr="00132205">
        <w:tc>
          <w:tcPr>
            <w:tcW w:w="3794"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No choice</w:t>
            </w:r>
          </w:p>
        </w:tc>
        <w:tc>
          <w:tcPr>
            <w:tcW w:w="850" w:type="dxa"/>
            <w:shd w:val="clear" w:color="auto" w:fill="auto"/>
          </w:tcPr>
          <w:p w:rsidR="00D907AF" w:rsidRPr="0087485F" w:rsidRDefault="00D907AF" w:rsidP="005D028F">
            <w:pPr>
              <w:spacing w:before="20" w:after="20"/>
              <w:ind w:right="113"/>
              <w:jc w:val="right"/>
              <w:rPr>
                <w:rFonts w:cstheme="minorHAnsi"/>
                <w:color w:val="000000"/>
                <w:sz w:val="20"/>
                <w:szCs w:val="20"/>
              </w:rPr>
            </w:pPr>
            <w:r w:rsidRPr="0087485F">
              <w:rPr>
                <w:rFonts w:cstheme="minorHAnsi"/>
                <w:color w:val="000000"/>
                <w:sz w:val="20"/>
                <w:szCs w:val="20"/>
              </w:rPr>
              <w:t>70</w:t>
            </w:r>
          </w:p>
        </w:tc>
        <w:tc>
          <w:tcPr>
            <w:tcW w:w="709"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23.0</w:t>
            </w:r>
          </w:p>
        </w:tc>
      </w:tr>
      <w:tr w:rsidR="00D907AF" w:rsidRPr="0087485F" w:rsidTr="00132205">
        <w:tc>
          <w:tcPr>
            <w:tcW w:w="3794"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It varied depending on the type of supports</w:t>
            </w:r>
          </w:p>
        </w:tc>
        <w:tc>
          <w:tcPr>
            <w:tcW w:w="850" w:type="dxa"/>
            <w:shd w:val="clear" w:color="auto" w:fill="auto"/>
          </w:tcPr>
          <w:p w:rsidR="00D907AF" w:rsidRPr="0087485F" w:rsidRDefault="00D907AF" w:rsidP="005D028F">
            <w:pPr>
              <w:spacing w:before="20" w:after="20"/>
              <w:ind w:right="113"/>
              <w:jc w:val="right"/>
              <w:rPr>
                <w:rFonts w:cstheme="minorHAnsi"/>
                <w:color w:val="000000"/>
                <w:sz w:val="20"/>
                <w:szCs w:val="20"/>
              </w:rPr>
            </w:pPr>
            <w:r w:rsidRPr="0087485F">
              <w:rPr>
                <w:rFonts w:cstheme="minorHAnsi"/>
                <w:color w:val="000000"/>
                <w:sz w:val="20"/>
                <w:szCs w:val="20"/>
              </w:rPr>
              <w:t>31</w:t>
            </w:r>
          </w:p>
        </w:tc>
        <w:tc>
          <w:tcPr>
            <w:tcW w:w="709" w:type="dxa"/>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10.2</w:t>
            </w:r>
          </w:p>
        </w:tc>
      </w:tr>
      <w:tr w:rsidR="00D907AF" w:rsidRPr="0087485F" w:rsidTr="00132205">
        <w:tc>
          <w:tcPr>
            <w:tcW w:w="3794" w:type="dxa"/>
            <w:tcBorders>
              <w:bottom w:val="single" w:sz="4" w:space="0" w:color="auto"/>
            </w:tcBorders>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 xml:space="preserve">Missing </w:t>
            </w:r>
          </w:p>
        </w:tc>
        <w:tc>
          <w:tcPr>
            <w:tcW w:w="850" w:type="dxa"/>
            <w:tcBorders>
              <w:bottom w:val="single" w:sz="4" w:space="0" w:color="auto"/>
            </w:tcBorders>
            <w:shd w:val="clear" w:color="auto" w:fill="auto"/>
          </w:tcPr>
          <w:p w:rsidR="00D907AF" w:rsidRPr="0087485F" w:rsidRDefault="00D907AF" w:rsidP="005D028F">
            <w:pPr>
              <w:spacing w:before="20" w:after="20"/>
              <w:ind w:right="113"/>
              <w:jc w:val="right"/>
              <w:rPr>
                <w:rFonts w:cstheme="minorHAnsi"/>
                <w:color w:val="000000"/>
                <w:sz w:val="20"/>
                <w:szCs w:val="20"/>
              </w:rPr>
            </w:pPr>
            <w:r w:rsidRPr="0087485F">
              <w:rPr>
                <w:rFonts w:cstheme="minorHAnsi"/>
                <w:color w:val="000000"/>
                <w:sz w:val="20"/>
                <w:szCs w:val="20"/>
              </w:rPr>
              <w:t>24</w:t>
            </w:r>
          </w:p>
        </w:tc>
        <w:tc>
          <w:tcPr>
            <w:tcW w:w="709" w:type="dxa"/>
            <w:tcBorders>
              <w:bottom w:val="single" w:sz="4" w:space="0" w:color="auto"/>
            </w:tcBorders>
            <w:shd w:val="clear" w:color="auto" w:fill="auto"/>
            <w:vAlign w:val="center"/>
          </w:tcPr>
          <w:p w:rsidR="00D907AF" w:rsidRPr="0087485F" w:rsidRDefault="00D907AF" w:rsidP="00D907AF">
            <w:pPr>
              <w:spacing w:before="20" w:after="20"/>
              <w:jc w:val="right"/>
              <w:rPr>
                <w:rFonts w:cstheme="minorHAnsi"/>
                <w:color w:val="000000"/>
                <w:sz w:val="20"/>
                <w:szCs w:val="20"/>
              </w:rPr>
            </w:pPr>
            <w:r w:rsidRPr="0087485F">
              <w:rPr>
                <w:rFonts w:cstheme="minorHAnsi"/>
                <w:color w:val="000000"/>
                <w:sz w:val="20"/>
                <w:szCs w:val="20"/>
              </w:rPr>
              <w:t>7.9</w:t>
            </w:r>
          </w:p>
        </w:tc>
      </w:tr>
      <w:tr w:rsidR="00D907AF" w:rsidRPr="0087485F" w:rsidTr="00132205">
        <w:tc>
          <w:tcPr>
            <w:tcW w:w="3794" w:type="dxa"/>
            <w:tcBorders>
              <w:top w:val="single" w:sz="4" w:space="0" w:color="auto"/>
              <w:bottom w:val="single" w:sz="4" w:space="0" w:color="auto"/>
            </w:tcBorders>
            <w:shd w:val="clear" w:color="auto" w:fill="auto"/>
          </w:tcPr>
          <w:p w:rsidR="00D907AF" w:rsidRPr="0087485F" w:rsidRDefault="00D907AF" w:rsidP="00D907AF">
            <w:pPr>
              <w:spacing w:before="20" w:after="20"/>
              <w:rPr>
                <w:rFonts w:cstheme="minorHAnsi"/>
                <w:b/>
                <w:sz w:val="20"/>
                <w:szCs w:val="20"/>
              </w:rPr>
            </w:pPr>
            <w:r w:rsidRPr="0087485F">
              <w:rPr>
                <w:rFonts w:cstheme="minorHAnsi"/>
                <w:b/>
                <w:sz w:val="20"/>
                <w:szCs w:val="20"/>
              </w:rPr>
              <w:t>Total</w:t>
            </w:r>
          </w:p>
        </w:tc>
        <w:tc>
          <w:tcPr>
            <w:tcW w:w="850" w:type="dxa"/>
            <w:tcBorders>
              <w:top w:val="single" w:sz="4" w:space="0" w:color="auto"/>
              <w:bottom w:val="single" w:sz="4" w:space="0" w:color="auto"/>
            </w:tcBorders>
            <w:shd w:val="clear" w:color="auto" w:fill="auto"/>
          </w:tcPr>
          <w:p w:rsidR="00D907AF" w:rsidRPr="005D028F" w:rsidRDefault="00D907AF" w:rsidP="005D028F">
            <w:pPr>
              <w:spacing w:before="20" w:after="20"/>
              <w:ind w:right="113"/>
              <w:jc w:val="right"/>
              <w:rPr>
                <w:rFonts w:cstheme="minorHAnsi"/>
                <w:b/>
                <w:color w:val="000000"/>
                <w:sz w:val="20"/>
                <w:szCs w:val="20"/>
              </w:rPr>
            </w:pPr>
            <w:r w:rsidRPr="005D028F">
              <w:rPr>
                <w:rFonts w:cstheme="minorHAnsi"/>
                <w:b/>
                <w:color w:val="000000"/>
                <w:sz w:val="20"/>
                <w:szCs w:val="20"/>
              </w:rPr>
              <w:t>305</w:t>
            </w:r>
          </w:p>
        </w:tc>
        <w:tc>
          <w:tcPr>
            <w:tcW w:w="709" w:type="dxa"/>
            <w:tcBorders>
              <w:top w:val="single" w:sz="4" w:space="0" w:color="auto"/>
              <w:bottom w:val="single" w:sz="4" w:space="0" w:color="auto"/>
            </w:tcBorders>
            <w:shd w:val="clear" w:color="auto" w:fill="auto"/>
          </w:tcPr>
          <w:p w:rsidR="00D907AF" w:rsidRPr="0087485F" w:rsidRDefault="00D907AF" w:rsidP="00D907AF">
            <w:pPr>
              <w:spacing w:before="20" w:after="20"/>
              <w:jc w:val="right"/>
              <w:rPr>
                <w:rFonts w:cstheme="minorHAnsi"/>
                <w:b/>
                <w:sz w:val="20"/>
                <w:szCs w:val="20"/>
              </w:rPr>
            </w:pPr>
            <w:r w:rsidRPr="0087485F">
              <w:rPr>
                <w:rFonts w:cstheme="minorHAnsi"/>
                <w:b/>
                <w:sz w:val="20"/>
                <w:szCs w:val="20"/>
              </w:rPr>
              <w:t>100</w:t>
            </w:r>
          </w:p>
        </w:tc>
      </w:tr>
    </w:tbl>
    <w:p w:rsidR="00D907AF" w:rsidRPr="00660446" w:rsidRDefault="00D907AF" w:rsidP="006C7BE7">
      <w:pPr>
        <w:pStyle w:val="NILSTabletext"/>
      </w:pPr>
      <w:r w:rsidRPr="00660446">
        <w:t xml:space="preserve">Note: </w:t>
      </w:r>
      <w:r>
        <w:t>t</w:t>
      </w:r>
      <w:r w:rsidRPr="00660446">
        <w:t>rial aged 16 and above if received supports before joining the NDIS</w:t>
      </w:r>
      <w:r>
        <w:t>.</w:t>
      </w:r>
    </w:p>
    <w:p w:rsidR="00D907AF" w:rsidRDefault="00D907AF" w:rsidP="00D907AF">
      <w:r>
        <w:t xml:space="preserve">These three questions in Tables 3.59 – 3.61 offer an interesting picture. Through them we can have a base-line for NDIS participants’ views about their past supports (presumably not from the NDIS). They allow us to compare how pre-NDIS supports fared in relation with their current NDIS. </w:t>
      </w:r>
    </w:p>
    <w:p w:rsidR="00D907AF" w:rsidRPr="000C5DC9" w:rsidRDefault="00D907AF" w:rsidP="00367B24">
      <w:pPr>
        <w:pStyle w:val="Heading3"/>
        <w:rPr>
          <w:sz w:val="32"/>
        </w:rPr>
      </w:pPr>
      <w:bookmarkStart w:id="435" w:name="_Toc449955024"/>
      <w:r>
        <w:t>3.6.14</w:t>
      </w:r>
      <w:r w:rsidRPr="00590137">
        <w:t xml:space="preserve"> </w:t>
      </w:r>
      <w:r>
        <w:t>Current disability supports</w:t>
      </w:r>
      <w:bookmarkEnd w:id="435"/>
      <w:r>
        <w:t xml:space="preserve"> </w:t>
      </w:r>
    </w:p>
    <w:p w:rsidR="00D907AF" w:rsidRDefault="00D907AF" w:rsidP="00D907AF">
      <w:r>
        <w:t>Both the trial and the comparison groups are asked questions on their views about their current supports. Prior to this suite of questions, the trial group are asked to compare aspects of their past (pre-NDIS) experiences with their experiences in the NDIS. We ask them ‘Compared to before the NDIS, does it now take more, less or the same amount of time to...’</w:t>
      </w:r>
    </w:p>
    <w:p w:rsidR="001A6B65" w:rsidRDefault="001A6B65" w:rsidP="00D907AF"/>
    <w:p w:rsidR="00D907AF" w:rsidRDefault="00D907AF" w:rsidP="00AF5E38">
      <w:pPr>
        <w:pStyle w:val="Bullets"/>
        <w:numPr>
          <w:ilvl w:val="0"/>
          <w:numId w:val="18"/>
        </w:numPr>
        <w:spacing w:before="0"/>
      </w:pPr>
      <w:r>
        <w:t>get the supports that you need</w:t>
      </w:r>
    </w:p>
    <w:p w:rsidR="00D907AF" w:rsidRDefault="00D907AF" w:rsidP="00AF5E38">
      <w:pPr>
        <w:pStyle w:val="Bullets"/>
        <w:numPr>
          <w:ilvl w:val="0"/>
          <w:numId w:val="18"/>
        </w:numPr>
        <w:spacing w:before="0"/>
      </w:pPr>
      <w:r>
        <w:t>do the necessary paperwork to get the supports that you need</w:t>
      </w:r>
    </w:p>
    <w:p w:rsidR="00D907AF" w:rsidRDefault="00D907AF" w:rsidP="00AF5E38">
      <w:pPr>
        <w:pStyle w:val="Bullets"/>
        <w:numPr>
          <w:ilvl w:val="0"/>
          <w:numId w:val="18"/>
        </w:numPr>
        <w:spacing w:before="0" w:after="0"/>
      </w:pPr>
      <w:r>
        <w:t>find out where to get the supports that you need.</w:t>
      </w:r>
    </w:p>
    <w:p w:rsidR="00D907AF" w:rsidRDefault="00D907AF" w:rsidP="00D907AF">
      <w:pPr>
        <w:pStyle w:val="ListParagraph"/>
      </w:pPr>
    </w:p>
    <w:p w:rsidR="003A2B16" w:rsidRDefault="003A2B16">
      <w:r>
        <w:br w:type="page"/>
      </w:r>
    </w:p>
    <w:p w:rsidR="00D907AF" w:rsidRDefault="00D907AF" w:rsidP="00A06AE2">
      <w:pPr>
        <w:pStyle w:val="ListParagraph"/>
        <w:ind w:left="0"/>
      </w:pPr>
      <w:r>
        <w:lastRenderedPageBreak/>
        <w:t>Table 3.62 reveals a lot of change in all three aspects of supports provision. Only a minority (24.3 per cent, 21.7 per cent and 28.3 per cent) reported no change. Responses indicate that finding and getting supports appears to be taking less time, while the opposite holds for doing the paperwork. The picture that emerges will be analysed in order to examine whether time savings are more or less likely for specific types of people or specific types of circumstances. These will be related to the change that follows the introduction of the NDIS as this is measured in the difference between Waves 1 and 2 of the data.</w:t>
      </w:r>
    </w:p>
    <w:p w:rsidR="00D907AF" w:rsidRDefault="00D907AF" w:rsidP="0044684E">
      <w:pPr>
        <w:pStyle w:val="NILSTableHeading"/>
      </w:pPr>
      <w:bookmarkStart w:id="436" w:name="_Toc428280714"/>
      <w:bookmarkStart w:id="437" w:name="_Toc449955324"/>
      <w:r>
        <w:t>Table 3.62: Pre and post NDIS: Time to get supports, do the necessary paperwork and find out where to get the supports</w:t>
      </w:r>
      <w:bookmarkEnd w:id="436"/>
      <w:bookmarkEnd w:id="437"/>
      <w:r>
        <w:t xml:space="preserve"> </w:t>
      </w:r>
    </w:p>
    <w:tbl>
      <w:tblPr>
        <w:tblStyle w:val="TableGrid"/>
        <w:tblW w:w="9606" w:type="dxa"/>
        <w:tblLayout w:type="fixed"/>
        <w:tblLook w:val="04A0" w:firstRow="1" w:lastRow="0" w:firstColumn="1" w:lastColumn="0" w:noHBand="0" w:noVBand="1"/>
        <w:tblCaption w:val="Table 3.62 Pre and post NDIS: Time to get supports, do the necessary paperwork and find out where to get the supports "/>
      </w:tblPr>
      <w:tblGrid>
        <w:gridCol w:w="3148"/>
        <w:gridCol w:w="1213"/>
        <w:gridCol w:w="1843"/>
        <w:gridCol w:w="992"/>
        <w:gridCol w:w="1276"/>
        <w:gridCol w:w="1134"/>
      </w:tblGrid>
      <w:tr w:rsidR="00D907AF" w:rsidRPr="0087485F" w:rsidTr="00A04E5A">
        <w:trPr>
          <w:tblHeader/>
        </w:trPr>
        <w:tc>
          <w:tcPr>
            <w:tcW w:w="3148" w:type="dxa"/>
            <w:tcBorders>
              <w:top w:val="single" w:sz="4" w:space="0" w:color="auto"/>
              <w:bottom w:val="single" w:sz="4" w:space="0" w:color="auto"/>
            </w:tcBorders>
            <w:shd w:val="clear" w:color="auto" w:fill="auto"/>
          </w:tcPr>
          <w:p w:rsidR="00D907AF" w:rsidRPr="0087485F" w:rsidRDefault="00D907AF" w:rsidP="00D907AF">
            <w:pPr>
              <w:spacing w:before="20" w:after="20"/>
              <w:rPr>
                <w:rFonts w:cstheme="minorHAnsi"/>
                <w:sz w:val="20"/>
                <w:szCs w:val="20"/>
              </w:rPr>
            </w:pPr>
            <w:bookmarkStart w:id="438" w:name="Title_3_62"/>
            <w:bookmarkEnd w:id="438"/>
          </w:p>
        </w:tc>
        <w:tc>
          <w:tcPr>
            <w:tcW w:w="1213" w:type="dxa"/>
            <w:tcBorders>
              <w:top w:val="single" w:sz="4" w:space="0" w:color="auto"/>
              <w:bottom w:val="single" w:sz="4" w:space="0" w:color="auto"/>
            </w:tcBorders>
            <w:shd w:val="clear" w:color="auto" w:fill="auto"/>
            <w:vAlign w:val="bottom"/>
          </w:tcPr>
          <w:p w:rsidR="00D907AF" w:rsidRPr="0087485F" w:rsidRDefault="00D907AF" w:rsidP="00A92038">
            <w:pPr>
              <w:spacing w:before="20" w:after="20"/>
              <w:jc w:val="center"/>
              <w:rPr>
                <w:rFonts w:cstheme="minorHAnsi"/>
                <w:sz w:val="20"/>
                <w:szCs w:val="20"/>
              </w:rPr>
            </w:pPr>
            <w:r w:rsidRPr="0087485F">
              <w:rPr>
                <w:rFonts w:cstheme="minorHAnsi"/>
                <w:sz w:val="20"/>
                <w:szCs w:val="20"/>
              </w:rPr>
              <w:t>More time</w:t>
            </w:r>
          </w:p>
          <w:p w:rsidR="00D907AF" w:rsidRPr="0087485F" w:rsidRDefault="00D907AF" w:rsidP="00A92038">
            <w:pPr>
              <w:spacing w:before="20" w:after="20"/>
              <w:jc w:val="center"/>
              <w:rPr>
                <w:rFonts w:cstheme="minorHAnsi"/>
                <w:sz w:val="20"/>
                <w:szCs w:val="20"/>
              </w:rPr>
            </w:pPr>
            <w:r w:rsidRPr="0087485F">
              <w:rPr>
                <w:rFonts w:cstheme="minorHAnsi"/>
                <w:sz w:val="20"/>
                <w:szCs w:val="20"/>
              </w:rPr>
              <w:t>%</w:t>
            </w:r>
          </w:p>
        </w:tc>
        <w:tc>
          <w:tcPr>
            <w:tcW w:w="1843" w:type="dxa"/>
            <w:tcBorders>
              <w:top w:val="single" w:sz="4" w:space="0" w:color="auto"/>
              <w:bottom w:val="single" w:sz="4" w:space="0" w:color="auto"/>
            </w:tcBorders>
            <w:shd w:val="clear" w:color="auto" w:fill="auto"/>
            <w:vAlign w:val="bottom"/>
          </w:tcPr>
          <w:p w:rsidR="00D907AF" w:rsidRPr="0087485F" w:rsidRDefault="00A04E5A" w:rsidP="00FC4686">
            <w:pPr>
              <w:spacing w:before="20" w:after="20"/>
              <w:ind w:left="-142" w:right="-102"/>
              <w:jc w:val="center"/>
              <w:rPr>
                <w:rFonts w:cstheme="minorHAnsi"/>
                <w:sz w:val="20"/>
                <w:szCs w:val="20"/>
              </w:rPr>
            </w:pPr>
            <w:r>
              <w:rPr>
                <w:rFonts w:cstheme="minorHAnsi"/>
                <w:sz w:val="20"/>
                <w:szCs w:val="20"/>
              </w:rPr>
              <w:t>S</w:t>
            </w:r>
            <w:r w:rsidR="00D907AF" w:rsidRPr="0087485F">
              <w:rPr>
                <w:rFonts w:cstheme="minorHAnsi"/>
                <w:sz w:val="20"/>
                <w:szCs w:val="20"/>
              </w:rPr>
              <w:t>ame amount of time</w:t>
            </w:r>
          </w:p>
          <w:p w:rsidR="00D907AF" w:rsidRPr="0087485F" w:rsidRDefault="00D907AF" w:rsidP="00A92038">
            <w:pPr>
              <w:spacing w:before="20" w:after="20"/>
              <w:jc w:val="center"/>
              <w:rPr>
                <w:rFonts w:cstheme="minorHAnsi"/>
                <w:sz w:val="20"/>
                <w:szCs w:val="20"/>
              </w:rPr>
            </w:pPr>
            <w:r w:rsidRPr="0087485F">
              <w:rPr>
                <w:rFonts w:cstheme="minorHAnsi"/>
                <w:sz w:val="20"/>
                <w:szCs w:val="20"/>
              </w:rPr>
              <w:t>%</w:t>
            </w:r>
          </w:p>
        </w:tc>
        <w:tc>
          <w:tcPr>
            <w:tcW w:w="992" w:type="dxa"/>
            <w:tcBorders>
              <w:top w:val="single" w:sz="4" w:space="0" w:color="auto"/>
              <w:bottom w:val="single" w:sz="4" w:space="0" w:color="auto"/>
            </w:tcBorders>
            <w:shd w:val="clear" w:color="auto" w:fill="auto"/>
            <w:vAlign w:val="bottom"/>
          </w:tcPr>
          <w:p w:rsidR="00D907AF" w:rsidRPr="0087485F" w:rsidRDefault="00D907AF" w:rsidP="00A92038">
            <w:pPr>
              <w:spacing w:before="20" w:after="20"/>
              <w:jc w:val="center"/>
              <w:rPr>
                <w:rFonts w:cstheme="minorHAnsi"/>
                <w:sz w:val="20"/>
                <w:szCs w:val="20"/>
              </w:rPr>
            </w:pPr>
            <w:r w:rsidRPr="0087485F">
              <w:rPr>
                <w:rFonts w:cstheme="minorHAnsi"/>
                <w:sz w:val="20"/>
                <w:szCs w:val="20"/>
              </w:rPr>
              <w:t>Less time</w:t>
            </w:r>
          </w:p>
          <w:p w:rsidR="00D907AF" w:rsidRPr="0087485F" w:rsidRDefault="00D907AF" w:rsidP="00A92038">
            <w:pPr>
              <w:spacing w:before="20" w:after="20"/>
              <w:jc w:val="center"/>
              <w:rPr>
                <w:rFonts w:cstheme="minorHAnsi"/>
                <w:sz w:val="20"/>
                <w:szCs w:val="20"/>
              </w:rPr>
            </w:pPr>
            <w:r w:rsidRPr="0087485F">
              <w:rPr>
                <w:rFonts w:cstheme="minorHAnsi"/>
                <w:sz w:val="20"/>
                <w:szCs w:val="20"/>
              </w:rPr>
              <w:t>%</w:t>
            </w:r>
          </w:p>
        </w:tc>
        <w:tc>
          <w:tcPr>
            <w:tcW w:w="1276" w:type="dxa"/>
            <w:tcBorders>
              <w:top w:val="single" w:sz="4" w:space="0" w:color="auto"/>
              <w:bottom w:val="single" w:sz="4" w:space="0" w:color="auto"/>
            </w:tcBorders>
            <w:shd w:val="clear" w:color="auto" w:fill="auto"/>
            <w:vAlign w:val="bottom"/>
          </w:tcPr>
          <w:p w:rsidR="00D907AF" w:rsidRPr="0087485F" w:rsidRDefault="00D907AF" w:rsidP="00A92038">
            <w:pPr>
              <w:spacing w:before="20" w:after="20"/>
              <w:jc w:val="center"/>
              <w:rPr>
                <w:rFonts w:cstheme="minorHAnsi"/>
                <w:sz w:val="20"/>
                <w:szCs w:val="20"/>
              </w:rPr>
            </w:pPr>
            <w:r w:rsidRPr="0087485F">
              <w:rPr>
                <w:rFonts w:cstheme="minorHAnsi"/>
                <w:sz w:val="20"/>
                <w:szCs w:val="20"/>
              </w:rPr>
              <w:t>Don’t know</w:t>
            </w:r>
          </w:p>
          <w:p w:rsidR="00D907AF" w:rsidRPr="0087485F" w:rsidRDefault="00D907AF" w:rsidP="00A92038">
            <w:pPr>
              <w:spacing w:before="20" w:after="20"/>
              <w:jc w:val="center"/>
              <w:rPr>
                <w:rFonts w:cstheme="minorHAnsi"/>
                <w:sz w:val="20"/>
                <w:szCs w:val="20"/>
              </w:rPr>
            </w:pPr>
            <w:r w:rsidRPr="0087485F">
              <w:rPr>
                <w:rFonts w:cstheme="minorHAnsi"/>
                <w:sz w:val="20"/>
                <w:szCs w:val="20"/>
              </w:rPr>
              <w:t>%</w:t>
            </w:r>
          </w:p>
        </w:tc>
        <w:tc>
          <w:tcPr>
            <w:tcW w:w="1134" w:type="dxa"/>
            <w:tcBorders>
              <w:top w:val="single" w:sz="4" w:space="0" w:color="auto"/>
              <w:bottom w:val="single" w:sz="4" w:space="0" w:color="auto"/>
            </w:tcBorders>
            <w:shd w:val="clear" w:color="auto" w:fill="auto"/>
            <w:vAlign w:val="bottom"/>
          </w:tcPr>
          <w:p w:rsidR="00D907AF" w:rsidRPr="0087485F" w:rsidRDefault="00D907AF" w:rsidP="00A92038">
            <w:pPr>
              <w:spacing w:before="20" w:after="20"/>
              <w:jc w:val="center"/>
              <w:rPr>
                <w:rFonts w:cstheme="minorHAnsi"/>
                <w:sz w:val="20"/>
                <w:szCs w:val="20"/>
              </w:rPr>
            </w:pPr>
            <w:r w:rsidRPr="0087485F">
              <w:rPr>
                <w:rFonts w:cstheme="minorHAnsi"/>
                <w:sz w:val="20"/>
                <w:szCs w:val="20"/>
              </w:rPr>
              <w:t>Missing</w:t>
            </w:r>
          </w:p>
          <w:p w:rsidR="00D907AF" w:rsidRPr="0087485F" w:rsidRDefault="00D907AF" w:rsidP="00A92038">
            <w:pPr>
              <w:spacing w:before="20" w:after="20"/>
              <w:jc w:val="center"/>
              <w:rPr>
                <w:rFonts w:cstheme="minorHAnsi"/>
                <w:sz w:val="20"/>
                <w:szCs w:val="20"/>
              </w:rPr>
            </w:pPr>
            <w:r w:rsidRPr="0087485F">
              <w:rPr>
                <w:rFonts w:cstheme="minorHAnsi"/>
                <w:sz w:val="20"/>
                <w:szCs w:val="20"/>
              </w:rPr>
              <w:t>%</w:t>
            </w:r>
          </w:p>
        </w:tc>
      </w:tr>
      <w:tr w:rsidR="00D907AF" w:rsidRPr="0087485F" w:rsidTr="00A04E5A">
        <w:tc>
          <w:tcPr>
            <w:tcW w:w="3148" w:type="dxa"/>
            <w:tcBorders>
              <w:top w:val="single" w:sz="4" w:space="0" w:color="auto"/>
            </w:tcBorders>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Get supports</w:t>
            </w:r>
          </w:p>
        </w:tc>
        <w:tc>
          <w:tcPr>
            <w:tcW w:w="1213" w:type="dxa"/>
            <w:tcBorders>
              <w:top w:val="single" w:sz="4" w:space="0" w:color="auto"/>
            </w:tcBorders>
            <w:shd w:val="clear" w:color="auto" w:fill="auto"/>
          </w:tcPr>
          <w:p w:rsidR="00D907AF" w:rsidRPr="0087485F" w:rsidRDefault="00D907AF" w:rsidP="00D907AF">
            <w:pPr>
              <w:tabs>
                <w:tab w:val="decimal" w:pos="538"/>
              </w:tabs>
              <w:spacing w:before="20" w:after="20"/>
              <w:ind w:right="68"/>
              <w:rPr>
                <w:rFonts w:cstheme="minorHAnsi"/>
                <w:color w:val="000000"/>
                <w:sz w:val="20"/>
                <w:szCs w:val="20"/>
              </w:rPr>
            </w:pPr>
            <w:r w:rsidRPr="0087485F">
              <w:rPr>
                <w:rFonts w:cstheme="minorHAnsi"/>
                <w:color w:val="000000"/>
                <w:sz w:val="20"/>
                <w:szCs w:val="20"/>
              </w:rPr>
              <w:t>25.0</w:t>
            </w:r>
          </w:p>
        </w:tc>
        <w:tc>
          <w:tcPr>
            <w:tcW w:w="1843" w:type="dxa"/>
            <w:tcBorders>
              <w:top w:val="single" w:sz="4" w:space="0" w:color="auto"/>
            </w:tcBorders>
            <w:shd w:val="clear" w:color="auto" w:fill="auto"/>
          </w:tcPr>
          <w:p w:rsidR="00D907AF" w:rsidRPr="0087485F" w:rsidRDefault="00D907AF" w:rsidP="00A04E5A">
            <w:pPr>
              <w:tabs>
                <w:tab w:val="decimal" w:pos="884"/>
              </w:tabs>
              <w:spacing w:before="20" w:after="20"/>
              <w:ind w:right="68"/>
              <w:rPr>
                <w:rFonts w:cstheme="minorHAnsi"/>
                <w:color w:val="000000"/>
                <w:sz w:val="20"/>
                <w:szCs w:val="20"/>
              </w:rPr>
            </w:pPr>
            <w:r w:rsidRPr="0087485F">
              <w:rPr>
                <w:rFonts w:cstheme="minorHAnsi"/>
                <w:color w:val="000000"/>
                <w:sz w:val="20"/>
                <w:szCs w:val="20"/>
              </w:rPr>
              <w:t>24.3</w:t>
            </w:r>
          </w:p>
        </w:tc>
        <w:tc>
          <w:tcPr>
            <w:tcW w:w="992" w:type="dxa"/>
            <w:tcBorders>
              <w:top w:val="single" w:sz="4" w:space="0" w:color="auto"/>
            </w:tcBorders>
            <w:shd w:val="clear" w:color="auto" w:fill="auto"/>
          </w:tcPr>
          <w:p w:rsidR="00D907AF" w:rsidRPr="0087485F" w:rsidRDefault="00D907AF" w:rsidP="00D907AF">
            <w:pPr>
              <w:tabs>
                <w:tab w:val="decimal" w:pos="459"/>
              </w:tabs>
              <w:spacing w:before="20" w:after="20"/>
              <w:ind w:right="68"/>
              <w:rPr>
                <w:rFonts w:cstheme="minorHAnsi"/>
                <w:color w:val="000000"/>
                <w:sz w:val="20"/>
                <w:szCs w:val="20"/>
              </w:rPr>
            </w:pPr>
            <w:r w:rsidRPr="0087485F">
              <w:rPr>
                <w:rFonts w:cstheme="minorHAnsi"/>
                <w:color w:val="000000"/>
                <w:sz w:val="20"/>
                <w:szCs w:val="20"/>
              </w:rPr>
              <w:t>34.7</w:t>
            </w:r>
          </w:p>
        </w:tc>
        <w:tc>
          <w:tcPr>
            <w:tcW w:w="1276" w:type="dxa"/>
            <w:tcBorders>
              <w:top w:val="single" w:sz="4" w:space="0" w:color="auto"/>
            </w:tcBorders>
            <w:shd w:val="clear" w:color="auto" w:fill="auto"/>
          </w:tcPr>
          <w:p w:rsidR="00D907AF" w:rsidRPr="0087485F" w:rsidRDefault="00D907AF" w:rsidP="00D907AF">
            <w:pPr>
              <w:tabs>
                <w:tab w:val="decimal" w:pos="538"/>
              </w:tabs>
              <w:spacing w:before="20" w:after="20"/>
              <w:ind w:right="68"/>
              <w:rPr>
                <w:rFonts w:cstheme="minorHAnsi"/>
                <w:color w:val="000000"/>
                <w:sz w:val="20"/>
                <w:szCs w:val="20"/>
              </w:rPr>
            </w:pPr>
            <w:r w:rsidRPr="0087485F">
              <w:rPr>
                <w:rFonts w:cstheme="minorHAnsi"/>
                <w:color w:val="000000"/>
                <w:sz w:val="20"/>
                <w:szCs w:val="20"/>
              </w:rPr>
              <w:t>7.3</w:t>
            </w:r>
          </w:p>
        </w:tc>
        <w:tc>
          <w:tcPr>
            <w:tcW w:w="1134" w:type="dxa"/>
            <w:tcBorders>
              <w:top w:val="single" w:sz="4" w:space="0" w:color="auto"/>
            </w:tcBorders>
            <w:shd w:val="clear" w:color="auto" w:fill="auto"/>
          </w:tcPr>
          <w:p w:rsidR="00D907AF" w:rsidRPr="0087485F" w:rsidRDefault="00D907AF" w:rsidP="00D907AF">
            <w:pPr>
              <w:tabs>
                <w:tab w:val="decimal" w:pos="459"/>
              </w:tabs>
              <w:spacing w:before="20" w:after="20"/>
              <w:ind w:right="68"/>
              <w:rPr>
                <w:rFonts w:cstheme="minorHAnsi"/>
                <w:color w:val="000000"/>
                <w:sz w:val="20"/>
                <w:szCs w:val="20"/>
              </w:rPr>
            </w:pPr>
            <w:r w:rsidRPr="0087485F">
              <w:rPr>
                <w:rFonts w:cstheme="minorHAnsi"/>
                <w:color w:val="000000"/>
                <w:sz w:val="20"/>
                <w:szCs w:val="20"/>
              </w:rPr>
              <w:t>8.7</w:t>
            </w:r>
          </w:p>
        </w:tc>
      </w:tr>
      <w:tr w:rsidR="00D907AF" w:rsidRPr="0087485F" w:rsidTr="00A04E5A">
        <w:tc>
          <w:tcPr>
            <w:tcW w:w="3148" w:type="dxa"/>
          </w:tcPr>
          <w:p w:rsidR="00D907AF" w:rsidRPr="0087485F" w:rsidRDefault="00D907AF" w:rsidP="00D907AF">
            <w:pPr>
              <w:spacing w:before="20" w:after="20"/>
              <w:rPr>
                <w:rFonts w:cstheme="minorHAnsi"/>
                <w:sz w:val="20"/>
                <w:szCs w:val="20"/>
              </w:rPr>
            </w:pPr>
            <w:r w:rsidRPr="0087485F">
              <w:rPr>
                <w:rFonts w:cstheme="minorHAnsi"/>
                <w:sz w:val="20"/>
                <w:szCs w:val="20"/>
              </w:rPr>
              <w:t>Do the necessary paperwork</w:t>
            </w:r>
          </w:p>
        </w:tc>
        <w:tc>
          <w:tcPr>
            <w:tcW w:w="1213" w:type="dxa"/>
          </w:tcPr>
          <w:p w:rsidR="00D907AF" w:rsidRPr="0087485F" w:rsidRDefault="00D907AF" w:rsidP="00D907AF">
            <w:pPr>
              <w:tabs>
                <w:tab w:val="decimal" w:pos="538"/>
              </w:tabs>
              <w:spacing w:before="20" w:after="20"/>
              <w:ind w:right="68"/>
              <w:rPr>
                <w:rFonts w:cstheme="minorHAnsi"/>
                <w:color w:val="000000"/>
                <w:sz w:val="20"/>
                <w:szCs w:val="20"/>
              </w:rPr>
            </w:pPr>
            <w:r w:rsidRPr="0087485F">
              <w:rPr>
                <w:rFonts w:cstheme="minorHAnsi"/>
                <w:color w:val="000000"/>
                <w:sz w:val="20"/>
                <w:szCs w:val="20"/>
              </w:rPr>
              <w:t>34.3</w:t>
            </w:r>
          </w:p>
        </w:tc>
        <w:tc>
          <w:tcPr>
            <w:tcW w:w="1843" w:type="dxa"/>
          </w:tcPr>
          <w:p w:rsidR="00D907AF" w:rsidRPr="0087485F" w:rsidRDefault="00D907AF" w:rsidP="00A04E5A">
            <w:pPr>
              <w:tabs>
                <w:tab w:val="decimal" w:pos="884"/>
              </w:tabs>
              <w:spacing w:before="20" w:after="20"/>
              <w:ind w:right="68"/>
              <w:rPr>
                <w:rFonts w:cstheme="minorHAnsi"/>
                <w:color w:val="000000"/>
                <w:sz w:val="20"/>
                <w:szCs w:val="20"/>
              </w:rPr>
            </w:pPr>
            <w:r w:rsidRPr="0087485F">
              <w:rPr>
                <w:rFonts w:cstheme="minorHAnsi"/>
                <w:color w:val="000000"/>
                <w:sz w:val="20"/>
                <w:szCs w:val="20"/>
              </w:rPr>
              <w:t>21.7</w:t>
            </w:r>
          </w:p>
        </w:tc>
        <w:tc>
          <w:tcPr>
            <w:tcW w:w="992" w:type="dxa"/>
          </w:tcPr>
          <w:p w:rsidR="00D907AF" w:rsidRPr="0087485F" w:rsidRDefault="00D907AF" w:rsidP="00D907AF">
            <w:pPr>
              <w:tabs>
                <w:tab w:val="decimal" w:pos="459"/>
              </w:tabs>
              <w:spacing w:before="20" w:after="20"/>
              <w:ind w:right="68"/>
              <w:rPr>
                <w:rFonts w:cstheme="minorHAnsi"/>
                <w:color w:val="000000"/>
                <w:sz w:val="20"/>
                <w:szCs w:val="20"/>
              </w:rPr>
            </w:pPr>
            <w:r w:rsidRPr="0087485F">
              <w:rPr>
                <w:rFonts w:cstheme="minorHAnsi"/>
                <w:color w:val="000000"/>
                <w:sz w:val="20"/>
                <w:szCs w:val="20"/>
              </w:rPr>
              <w:t>25.3</w:t>
            </w:r>
          </w:p>
        </w:tc>
        <w:tc>
          <w:tcPr>
            <w:tcW w:w="1276" w:type="dxa"/>
          </w:tcPr>
          <w:p w:rsidR="00D907AF" w:rsidRPr="0087485F" w:rsidRDefault="00D907AF" w:rsidP="00D907AF">
            <w:pPr>
              <w:tabs>
                <w:tab w:val="decimal" w:pos="538"/>
              </w:tabs>
              <w:spacing w:before="20" w:after="20"/>
              <w:ind w:right="68"/>
              <w:rPr>
                <w:rFonts w:cstheme="minorHAnsi"/>
                <w:color w:val="000000"/>
                <w:sz w:val="20"/>
                <w:szCs w:val="20"/>
              </w:rPr>
            </w:pPr>
            <w:r w:rsidRPr="0087485F">
              <w:rPr>
                <w:rFonts w:cstheme="minorHAnsi"/>
                <w:color w:val="000000"/>
                <w:sz w:val="20"/>
                <w:szCs w:val="20"/>
              </w:rPr>
              <w:t>8.3</w:t>
            </w:r>
          </w:p>
        </w:tc>
        <w:tc>
          <w:tcPr>
            <w:tcW w:w="1134" w:type="dxa"/>
          </w:tcPr>
          <w:p w:rsidR="00D907AF" w:rsidRPr="0087485F" w:rsidRDefault="00D907AF" w:rsidP="00D907AF">
            <w:pPr>
              <w:tabs>
                <w:tab w:val="decimal" w:pos="459"/>
              </w:tabs>
              <w:spacing w:before="20" w:after="20"/>
              <w:ind w:right="68"/>
              <w:rPr>
                <w:rFonts w:cstheme="minorHAnsi"/>
                <w:color w:val="000000"/>
                <w:sz w:val="20"/>
                <w:szCs w:val="20"/>
              </w:rPr>
            </w:pPr>
            <w:r w:rsidRPr="0087485F">
              <w:rPr>
                <w:rFonts w:cstheme="minorHAnsi"/>
                <w:color w:val="000000"/>
                <w:sz w:val="20"/>
                <w:szCs w:val="20"/>
              </w:rPr>
              <w:t>10.3</w:t>
            </w:r>
          </w:p>
        </w:tc>
      </w:tr>
      <w:tr w:rsidR="00D907AF" w:rsidRPr="0087485F" w:rsidTr="00A04E5A">
        <w:tc>
          <w:tcPr>
            <w:tcW w:w="3148" w:type="dxa"/>
            <w:tcBorders>
              <w:bottom w:val="single" w:sz="4" w:space="0" w:color="auto"/>
            </w:tcBorders>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Find out where to get the supports</w:t>
            </w:r>
          </w:p>
        </w:tc>
        <w:tc>
          <w:tcPr>
            <w:tcW w:w="1213" w:type="dxa"/>
            <w:tcBorders>
              <w:bottom w:val="single" w:sz="4" w:space="0" w:color="auto"/>
            </w:tcBorders>
            <w:shd w:val="clear" w:color="auto" w:fill="auto"/>
          </w:tcPr>
          <w:p w:rsidR="00D907AF" w:rsidRPr="0087485F" w:rsidRDefault="00D907AF" w:rsidP="00D907AF">
            <w:pPr>
              <w:tabs>
                <w:tab w:val="decimal" w:pos="538"/>
              </w:tabs>
              <w:spacing w:before="20" w:after="20"/>
              <w:ind w:right="68"/>
              <w:rPr>
                <w:rFonts w:cstheme="minorHAnsi"/>
                <w:color w:val="000000"/>
                <w:sz w:val="20"/>
                <w:szCs w:val="20"/>
              </w:rPr>
            </w:pPr>
            <w:r w:rsidRPr="0087485F">
              <w:rPr>
                <w:rFonts w:cstheme="minorHAnsi"/>
                <w:color w:val="000000"/>
                <w:sz w:val="20"/>
                <w:szCs w:val="20"/>
              </w:rPr>
              <w:t>19.7</w:t>
            </w:r>
          </w:p>
        </w:tc>
        <w:tc>
          <w:tcPr>
            <w:tcW w:w="1843" w:type="dxa"/>
            <w:tcBorders>
              <w:bottom w:val="single" w:sz="4" w:space="0" w:color="auto"/>
            </w:tcBorders>
            <w:shd w:val="clear" w:color="auto" w:fill="auto"/>
          </w:tcPr>
          <w:p w:rsidR="00D907AF" w:rsidRPr="0087485F" w:rsidRDefault="00D907AF" w:rsidP="00A04E5A">
            <w:pPr>
              <w:tabs>
                <w:tab w:val="decimal" w:pos="884"/>
              </w:tabs>
              <w:spacing w:before="20" w:after="20"/>
              <w:ind w:right="68"/>
              <w:rPr>
                <w:rFonts w:cstheme="minorHAnsi"/>
                <w:color w:val="000000"/>
                <w:sz w:val="20"/>
                <w:szCs w:val="20"/>
              </w:rPr>
            </w:pPr>
            <w:r w:rsidRPr="0087485F">
              <w:rPr>
                <w:rFonts w:cstheme="minorHAnsi"/>
                <w:color w:val="000000"/>
                <w:sz w:val="20"/>
                <w:szCs w:val="20"/>
              </w:rPr>
              <w:t>28.3</w:t>
            </w:r>
          </w:p>
        </w:tc>
        <w:tc>
          <w:tcPr>
            <w:tcW w:w="992" w:type="dxa"/>
            <w:tcBorders>
              <w:bottom w:val="single" w:sz="4" w:space="0" w:color="auto"/>
            </w:tcBorders>
            <w:shd w:val="clear" w:color="auto" w:fill="auto"/>
          </w:tcPr>
          <w:p w:rsidR="00D907AF" w:rsidRPr="0087485F" w:rsidRDefault="00D907AF" w:rsidP="00D907AF">
            <w:pPr>
              <w:tabs>
                <w:tab w:val="decimal" w:pos="459"/>
              </w:tabs>
              <w:spacing w:before="20" w:after="20"/>
              <w:ind w:right="68"/>
              <w:rPr>
                <w:rFonts w:cstheme="minorHAnsi"/>
                <w:color w:val="000000"/>
                <w:sz w:val="20"/>
                <w:szCs w:val="20"/>
              </w:rPr>
            </w:pPr>
            <w:r w:rsidRPr="0087485F">
              <w:rPr>
                <w:rFonts w:cstheme="minorHAnsi"/>
                <w:color w:val="000000"/>
                <w:sz w:val="20"/>
                <w:szCs w:val="20"/>
              </w:rPr>
              <w:t>32.7</w:t>
            </w:r>
          </w:p>
        </w:tc>
        <w:tc>
          <w:tcPr>
            <w:tcW w:w="1276" w:type="dxa"/>
            <w:tcBorders>
              <w:bottom w:val="single" w:sz="4" w:space="0" w:color="auto"/>
            </w:tcBorders>
            <w:shd w:val="clear" w:color="auto" w:fill="auto"/>
          </w:tcPr>
          <w:p w:rsidR="00D907AF" w:rsidRPr="0087485F" w:rsidRDefault="00D907AF" w:rsidP="00D907AF">
            <w:pPr>
              <w:tabs>
                <w:tab w:val="decimal" w:pos="538"/>
              </w:tabs>
              <w:spacing w:before="20" w:after="20"/>
              <w:ind w:right="68"/>
              <w:rPr>
                <w:rFonts w:cstheme="minorHAnsi"/>
                <w:color w:val="000000"/>
                <w:sz w:val="20"/>
                <w:szCs w:val="20"/>
              </w:rPr>
            </w:pPr>
            <w:r w:rsidRPr="0087485F">
              <w:rPr>
                <w:rFonts w:cstheme="minorHAnsi"/>
                <w:color w:val="000000"/>
                <w:sz w:val="20"/>
                <w:szCs w:val="20"/>
              </w:rPr>
              <w:t>9.0</w:t>
            </w:r>
          </w:p>
        </w:tc>
        <w:tc>
          <w:tcPr>
            <w:tcW w:w="1134" w:type="dxa"/>
            <w:tcBorders>
              <w:bottom w:val="single" w:sz="4" w:space="0" w:color="auto"/>
            </w:tcBorders>
            <w:shd w:val="clear" w:color="auto" w:fill="auto"/>
          </w:tcPr>
          <w:p w:rsidR="00D907AF" w:rsidRPr="0087485F" w:rsidRDefault="00D907AF" w:rsidP="00D907AF">
            <w:pPr>
              <w:tabs>
                <w:tab w:val="decimal" w:pos="459"/>
              </w:tabs>
              <w:spacing w:before="20" w:after="20"/>
              <w:ind w:right="68"/>
              <w:rPr>
                <w:rFonts w:cstheme="minorHAnsi"/>
                <w:color w:val="000000"/>
                <w:sz w:val="20"/>
                <w:szCs w:val="20"/>
              </w:rPr>
            </w:pPr>
            <w:r w:rsidRPr="0087485F">
              <w:rPr>
                <w:rFonts w:cstheme="minorHAnsi"/>
                <w:color w:val="000000"/>
                <w:sz w:val="20"/>
                <w:szCs w:val="20"/>
              </w:rPr>
              <w:t>10.3</w:t>
            </w:r>
          </w:p>
        </w:tc>
      </w:tr>
    </w:tbl>
    <w:p w:rsidR="00D907AF" w:rsidRPr="00660446" w:rsidRDefault="00D907AF" w:rsidP="006C7BE7">
      <w:pPr>
        <w:pStyle w:val="NILSTabletext"/>
      </w:pPr>
      <w:r w:rsidRPr="00660446">
        <w:t xml:space="preserve">Note: </w:t>
      </w:r>
      <w:r>
        <w:t>t</w:t>
      </w:r>
      <w:r w:rsidRPr="00660446">
        <w:t>rial aged 16 and above current</w:t>
      </w:r>
      <w:r>
        <w:t xml:space="preserve">ly </w:t>
      </w:r>
      <w:r w:rsidRPr="00660446">
        <w:t>receiving</w:t>
      </w:r>
      <w:r>
        <w:t xml:space="preserve"> NDIS</w:t>
      </w:r>
      <w:r w:rsidRPr="00660446">
        <w:t xml:space="preserve"> supports</w:t>
      </w:r>
      <w:r>
        <w:t xml:space="preserve"> and </w:t>
      </w:r>
      <w:r w:rsidRPr="00660446">
        <w:t>received su</w:t>
      </w:r>
      <w:r>
        <w:t xml:space="preserve">pports before joining the NDIS </w:t>
      </w:r>
      <w:r w:rsidRPr="00660446">
        <w:t>(sample size is 300 people)</w:t>
      </w:r>
      <w:r>
        <w:t>.</w:t>
      </w:r>
    </w:p>
    <w:p w:rsidR="00D907AF" w:rsidRDefault="00D907AF" w:rsidP="00D907AF">
      <w:r>
        <w:t>The questions asked of both the trial and the comparison groups on their views of their current supports are reported below. The questions are identical to those asked</w:t>
      </w:r>
      <w:r w:rsidRPr="009D4AE7">
        <w:t xml:space="preserve"> </w:t>
      </w:r>
      <w:r>
        <w:t>of the trial group</w:t>
      </w:r>
      <w:r w:rsidDel="009D4AE7">
        <w:t xml:space="preserve"> </w:t>
      </w:r>
      <w:r>
        <w:t>in the previous section on their past disability supports, seeking feedback about the quality of the supports, the choice of what supports they get and the choice they have over where to get the supports. As such this allows for a comparison between trial group views on their supports and those of the comparison group. It also allows for a comparison of trial group’s views on their past and current supports which will be presented later.</w:t>
      </w:r>
    </w:p>
    <w:p w:rsidR="00CC1E9C" w:rsidRDefault="00CC1E9C" w:rsidP="00D907AF"/>
    <w:p w:rsidR="00D907AF" w:rsidRDefault="00D907AF" w:rsidP="00D907AF">
      <w:r>
        <w:t>Tables 3.63 – 3.65 present</w:t>
      </w:r>
      <w:r w:rsidRPr="00846363">
        <w:t xml:space="preserve"> </w:t>
      </w:r>
      <w:r>
        <w:t>responses of both trial and comparison group’s satisfaction levels with the quality of current supports; the amount of say over</w:t>
      </w:r>
      <w:r w:rsidRPr="00846363">
        <w:t xml:space="preserve"> </w:t>
      </w:r>
      <w:r w:rsidRPr="004D3540">
        <w:t>decisions about what supp</w:t>
      </w:r>
      <w:r>
        <w:rPr>
          <w:rFonts w:hint="eastAsia"/>
        </w:rPr>
        <w:t>ort</w:t>
      </w:r>
      <w:r>
        <w:t>s are received; and,</w:t>
      </w:r>
      <w:r w:rsidRPr="00846363">
        <w:t xml:space="preserve"> </w:t>
      </w:r>
      <w:r>
        <w:t xml:space="preserve">how </w:t>
      </w:r>
      <w:r w:rsidRPr="00846363">
        <w:t xml:space="preserve">much choice </w:t>
      </w:r>
      <w:r>
        <w:t>people</w:t>
      </w:r>
      <w:r w:rsidRPr="00846363">
        <w:t xml:space="preserve"> with disability </w:t>
      </w:r>
      <w:r>
        <w:t xml:space="preserve">feel they </w:t>
      </w:r>
      <w:r w:rsidRPr="00846363">
        <w:t>have over where supports</w:t>
      </w:r>
      <w:r>
        <w:t xml:space="preserve"> are obtained. Table 3.63 suggests a high level of satisfaction in the trial group, 79 per cent reporting they are either satisfied or very satisfied with the quality of their current supports. Only 7.6 per cent reported being dissatisfied or very dissatisfied and 3.4 per cent did not answer the question. A lower percentage of the comparison group reported being either satisfied or very satisfied with the quality of their current supports (60 .2 per cent) and a higher percentage reported either being dissatisfied or very dissatisfied (11.5 per cent). Almost 7 per cent of the comparison group did not answer the question.</w:t>
      </w:r>
    </w:p>
    <w:p w:rsidR="00D907AF" w:rsidRPr="00233E8A" w:rsidRDefault="00D907AF" w:rsidP="0044684E">
      <w:pPr>
        <w:pStyle w:val="NILSTableHeading"/>
      </w:pPr>
      <w:bookmarkStart w:id="439" w:name="_Toc449955325"/>
      <w:r w:rsidRPr="00233E8A">
        <w:t xml:space="preserve">Table </w:t>
      </w:r>
      <w:r>
        <w:rPr>
          <w:rFonts w:hint="eastAsia"/>
        </w:rPr>
        <w:t>3.63</w:t>
      </w:r>
      <w:r w:rsidRPr="00233E8A">
        <w:t xml:space="preserve">: </w:t>
      </w:r>
      <w:r>
        <w:rPr>
          <w:rFonts w:hint="eastAsia"/>
        </w:rPr>
        <w:t>S</w:t>
      </w:r>
      <w:r w:rsidRPr="009A0959">
        <w:t xml:space="preserve">atisfaction with quality of </w:t>
      </w:r>
      <w:r>
        <w:rPr>
          <w:rFonts w:hint="eastAsia"/>
        </w:rPr>
        <w:t xml:space="preserve">received </w:t>
      </w:r>
      <w:r w:rsidRPr="009A0959">
        <w:t>supports</w:t>
      </w:r>
      <w:bookmarkEnd w:id="439"/>
      <w:r>
        <w:rPr>
          <w:rFonts w:hint="eastAsia"/>
        </w:rPr>
        <w:t xml:space="preserve"> </w:t>
      </w:r>
    </w:p>
    <w:tbl>
      <w:tblPr>
        <w:tblStyle w:val="TableGrid"/>
        <w:tblW w:w="0" w:type="auto"/>
        <w:tblLayout w:type="fixed"/>
        <w:tblLook w:val="04A0" w:firstRow="1" w:lastRow="0" w:firstColumn="1" w:lastColumn="0" w:noHBand="0" w:noVBand="1"/>
        <w:tblCaption w:val="Table 3.63 Satisfaction with quality of received supports "/>
      </w:tblPr>
      <w:tblGrid>
        <w:gridCol w:w="3085"/>
        <w:gridCol w:w="709"/>
        <w:gridCol w:w="850"/>
        <w:gridCol w:w="1276"/>
        <w:gridCol w:w="1418"/>
        <w:gridCol w:w="850"/>
        <w:gridCol w:w="992"/>
      </w:tblGrid>
      <w:tr w:rsidR="00973064" w:rsidRPr="0087485F" w:rsidTr="00287C95">
        <w:trPr>
          <w:cantSplit/>
          <w:tblHeader/>
        </w:trPr>
        <w:tc>
          <w:tcPr>
            <w:tcW w:w="3085" w:type="dxa"/>
            <w:tcBorders>
              <w:top w:val="single" w:sz="4" w:space="0" w:color="auto"/>
              <w:bottom w:val="single" w:sz="4" w:space="0" w:color="auto"/>
            </w:tcBorders>
            <w:shd w:val="clear" w:color="auto" w:fill="auto"/>
          </w:tcPr>
          <w:p w:rsidR="00973064" w:rsidRPr="0087485F" w:rsidRDefault="00973064" w:rsidP="00DA7BC5">
            <w:pPr>
              <w:spacing w:before="10" w:after="10"/>
              <w:rPr>
                <w:rFonts w:cstheme="minorHAnsi"/>
                <w:sz w:val="20"/>
                <w:szCs w:val="20"/>
              </w:rPr>
            </w:pPr>
            <w:bookmarkStart w:id="440" w:name="Title_3_63"/>
            <w:bookmarkEnd w:id="440"/>
          </w:p>
        </w:tc>
        <w:tc>
          <w:tcPr>
            <w:tcW w:w="709" w:type="dxa"/>
            <w:tcBorders>
              <w:top w:val="single" w:sz="4" w:space="0" w:color="auto"/>
              <w:bottom w:val="single" w:sz="4" w:space="0" w:color="auto"/>
            </w:tcBorders>
            <w:shd w:val="clear" w:color="auto" w:fill="auto"/>
          </w:tcPr>
          <w:p w:rsidR="00973064" w:rsidRPr="0087485F" w:rsidRDefault="00973064" w:rsidP="000450B7">
            <w:pPr>
              <w:spacing w:before="10" w:after="10"/>
              <w:jc w:val="center"/>
              <w:rPr>
                <w:rFonts w:cstheme="minorHAnsi"/>
                <w:sz w:val="20"/>
                <w:szCs w:val="20"/>
              </w:rPr>
            </w:pPr>
            <w:r>
              <w:rPr>
                <w:rFonts w:cstheme="minorHAnsi"/>
                <w:sz w:val="20"/>
                <w:szCs w:val="20"/>
              </w:rPr>
              <w:t>Trial</w:t>
            </w:r>
            <w:r w:rsidR="00B50CE0">
              <w:rPr>
                <w:rFonts w:cstheme="minorHAnsi"/>
                <w:sz w:val="20"/>
                <w:szCs w:val="20"/>
              </w:rPr>
              <w:t xml:space="preserve"> </w:t>
            </w:r>
            <w:r w:rsidR="000450B7">
              <w:rPr>
                <w:rFonts w:cstheme="minorHAnsi"/>
                <w:sz w:val="20"/>
                <w:szCs w:val="20"/>
              </w:rPr>
              <w:t>Cases</w:t>
            </w:r>
          </w:p>
        </w:tc>
        <w:tc>
          <w:tcPr>
            <w:tcW w:w="850" w:type="dxa"/>
            <w:tcBorders>
              <w:top w:val="single" w:sz="4" w:space="0" w:color="auto"/>
              <w:bottom w:val="single" w:sz="4" w:space="0" w:color="auto"/>
            </w:tcBorders>
            <w:shd w:val="clear" w:color="auto" w:fill="auto"/>
          </w:tcPr>
          <w:p w:rsidR="00B8777F" w:rsidRDefault="00973064" w:rsidP="00DA7BC5">
            <w:pPr>
              <w:spacing w:before="10" w:after="10"/>
              <w:jc w:val="center"/>
              <w:rPr>
                <w:rFonts w:cstheme="minorHAnsi"/>
                <w:sz w:val="20"/>
                <w:szCs w:val="20"/>
              </w:rPr>
            </w:pPr>
            <w:r>
              <w:rPr>
                <w:rFonts w:cstheme="minorHAnsi"/>
                <w:sz w:val="20"/>
                <w:szCs w:val="20"/>
              </w:rPr>
              <w:t>Trial</w:t>
            </w:r>
          </w:p>
          <w:p w:rsidR="00973064" w:rsidRPr="0087485F" w:rsidRDefault="00973064" w:rsidP="00DA7BC5">
            <w:pPr>
              <w:spacing w:before="10" w:after="10"/>
              <w:jc w:val="center"/>
              <w:rPr>
                <w:rFonts w:cstheme="minorHAnsi"/>
                <w:sz w:val="20"/>
                <w:szCs w:val="20"/>
              </w:rPr>
            </w:pPr>
            <w:r w:rsidRPr="0087485F">
              <w:rPr>
                <w:rFonts w:cstheme="minorHAnsi"/>
                <w:sz w:val="20"/>
                <w:szCs w:val="20"/>
              </w:rPr>
              <w:t>%</w:t>
            </w:r>
          </w:p>
        </w:tc>
        <w:tc>
          <w:tcPr>
            <w:tcW w:w="1276" w:type="dxa"/>
            <w:tcBorders>
              <w:top w:val="single" w:sz="4" w:space="0" w:color="auto"/>
              <w:bottom w:val="single" w:sz="4" w:space="0" w:color="auto"/>
            </w:tcBorders>
            <w:shd w:val="clear" w:color="auto" w:fill="auto"/>
          </w:tcPr>
          <w:p w:rsidR="00973064" w:rsidRPr="0087485F" w:rsidRDefault="00973064" w:rsidP="00DA7BC5">
            <w:pPr>
              <w:spacing w:before="10" w:after="10"/>
              <w:jc w:val="center"/>
              <w:rPr>
                <w:rFonts w:cstheme="minorHAnsi"/>
                <w:sz w:val="20"/>
                <w:szCs w:val="20"/>
              </w:rPr>
            </w:pPr>
            <w:r>
              <w:rPr>
                <w:rFonts w:cstheme="minorHAnsi"/>
                <w:sz w:val="20"/>
                <w:szCs w:val="20"/>
              </w:rPr>
              <w:t>Comparison</w:t>
            </w:r>
            <w:r w:rsidR="00B50CE0">
              <w:rPr>
                <w:rFonts w:cstheme="minorHAnsi"/>
                <w:sz w:val="20"/>
                <w:szCs w:val="20"/>
              </w:rPr>
              <w:t xml:space="preserve"> Cases</w:t>
            </w:r>
          </w:p>
        </w:tc>
        <w:tc>
          <w:tcPr>
            <w:tcW w:w="1418" w:type="dxa"/>
            <w:tcBorders>
              <w:top w:val="single" w:sz="4" w:space="0" w:color="auto"/>
              <w:bottom w:val="single" w:sz="4" w:space="0" w:color="auto"/>
            </w:tcBorders>
            <w:shd w:val="clear" w:color="auto" w:fill="auto"/>
          </w:tcPr>
          <w:p w:rsidR="00B8777F" w:rsidRDefault="00973064" w:rsidP="00DA7BC5">
            <w:pPr>
              <w:spacing w:before="10" w:after="10"/>
              <w:jc w:val="center"/>
              <w:rPr>
                <w:rFonts w:cstheme="minorHAnsi"/>
                <w:sz w:val="20"/>
                <w:szCs w:val="20"/>
              </w:rPr>
            </w:pPr>
            <w:r>
              <w:rPr>
                <w:rFonts w:cstheme="minorHAnsi"/>
                <w:sz w:val="20"/>
                <w:szCs w:val="20"/>
              </w:rPr>
              <w:t xml:space="preserve">Comparison </w:t>
            </w:r>
          </w:p>
          <w:p w:rsidR="00973064" w:rsidRPr="0087485F" w:rsidRDefault="00973064" w:rsidP="00DA7BC5">
            <w:pPr>
              <w:spacing w:before="10" w:after="10"/>
              <w:jc w:val="center"/>
              <w:rPr>
                <w:rFonts w:cstheme="minorHAnsi"/>
                <w:sz w:val="20"/>
                <w:szCs w:val="20"/>
              </w:rPr>
            </w:pPr>
            <w:r w:rsidRPr="0087485F">
              <w:rPr>
                <w:rFonts w:cstheme="minorHAnsi"/>
                <w:sz w:val="20"/>
                <w:szCs w:val="20"/>
              </w:rPr>
              <w:t>%</w:t>
            </w:r>
          </w:p>
        </w:tc>
        <w:tc>
          <w:tcPr>
            <w:tcW w:w="850" w:type="dxa"/>
            <w:tcBorders>
              <w:top w:val="single" w:sz="4" w:space="0" w:color="auto"/>
              <w:bottom w:val="single" w:sz="4" w:space="0" w:color="auto"/>
            </w:tcBorders>
            <w:shd w:val="clear" w:color="auto" w:fill="auto"/>
          </w:tcPr>
          <w:p w:rsidR="00973064" w:rsidRPr="0087485F" w:rsidRDefault="00973064" w:rsidP="00DA7BC5">
            <w:pPr>
              <w:spacing w:before="10" w:after="10"/>
              <w:jc w:val="center"/>
              <w:rPr>
                <w:rFonts w:cstheme="minorHAnsi"/>
                <w:sz w:val="20"/>
                <w:szCs w:val="20"/>
              </w:rPr>
            </w:pPr>
            <w:r>
              <w:rPr>
                <w:rFonts w:cstheme="minorHAnsi"/>
                <w:sz w:val="20"/>
                <w:szCs w:val="20"/>
              </w:rPr>
              <w:t>Total</w:t>
            </w:r>
            <w:r w:rsidR="00B50CE0">
              <w:rPr>
                <w:rFonts w:cstheme="minorHAnsi"/>
                <w:sz w:val="20"/>
                <w:szCs w:val="20"/>
              </w:rPr>
              <w:t xml:space="preserve"> Cases</w:t>
            </w:r>
          </w:p>
        </w:tc>
        <w:tc>
          <w:tcPr>
            <w:tcW w:w="992" w:type="dxa"/>
            <w:tcBorders>
              <w:top w:val="single" w:sz="4" w:space="0" w:color="auto"/>
              <w:bottom w:val="single" w:sz="4" w:space="0" w:color="auto"/>
            </w:tcBorders>
            <w:shd w:val="clear" w:color="auto" w:fill="auto"/>
          </w:tcPr>
          <w:p w:rsidR="00B8777F" w:rsidRDefault="00973064" w:rsidP="00DA7BC5">
            <w:pPr>
              <w:spacing w:before="10" w:after="10"/>
              <w:jc w:val="center"/>
              <w:rPr>
                <w:rFonts w:cstheme="minorHAnsi"/>
                <w:sz w:val="20"/>
                <w:szCs w:val="20"/>
              </w:rPr>
            </w:pPr>
            <w:r>
              <w:rPr>
                <w:rFonts w:cstheme="minorHAnsi"/>
                <w:sz w:val="20"/>
                <w:szCs w:val="20"/>
              </w:rPr>
              <w:t xml:space="preserve">Total </w:t>
            </w:r>
          </w:p>
          <w:p w:rsidR="00973064" w:rsidRPr="0087485F" w:rsidRDefault="00973064" w:rsidP="00DA7BC5">
            <w:pPr>
              <w:spacing w:before="10" w:after="10"/>
              <w:jc w:val="center"/>
              <w:rPr>
                <w:rFonts w:cstheme="minorHAnsi"/>
                <w:sz w:val="20"/>
                <w:szCs w:val="20"/>
              </w:rPr>
            </w:pPr>
            <w:r w:rsidRPr="0087485F">
              <w:rPr>
                <w:rFonts w:cstheme="minorHAnsi"/>
                <w:sz w:val="20"/>
                <w:szCs w:val="20"/>
              </w:rPr>
              <w:t>%</w:t>
            </w:r>
          </w:p>
        </w:tc>
      </w:tr>
      <w:tr w:rsidR="00D907AF" w:rsidRPr="0087485F" w:rsidTr="00726BE5">
        <w:tc>
          <w:tcPr>
            <w:tcW w:w="3085" w:type="dxa"/>
            <w:shd w:val="clear" w:color="auto" w:fill="auto"/>
          </w:tcPr>
          <w:p w:rsidR="00D907AF" w:rsidRPr="0087485F" w:rsidRDefault="00D907AF" w:rsidP="00D907AF">
            <w:pPr>
              <w:spacing w:before="10" w:after="10"/>
              <w:rPr>
                <w:rFonts w:cstheme="minorHAnsi"/>
                <w:sz w:val="20"/>
                <w:szCs w:val="20"/>
              </w:rPr>
            </w:pPr>
            <w:r w:rsidRPr="0087485F">
              <w:rPr>
                <w:rFonts w:cstheme="minorHAnsi"/>
                <w:sz w:val="20"/>
                <w:szCs w:val="20"/>
              </w:rPr>
              <w:t>Very satisfied</w:t>
            </w:r>
          </w:p>
        </w:tc>
        <w:tc>
          <w:tcPr>
            <w:tcW w:w="709" w:type="dxa"/>
            <w:shd w:val="clear" w:color="auto" w:fill="auto"/>
            <w:vAlign w:val="center"/>
          </w:tcPr>
          <w:p w:rsidR="00D907AF" w:rsidRPr="0087485F" w:rsidRDefault="00D907AF" w:rsidP="00D907AF">
            <w:pPr>
              <w:spacing w:before="10" w:after="10"/>
              <w:jc w:val="right"/>
              <w:rPr>
                <w:rFonts w:cstheme="minorHAnsi"/>
                <w:color w:val="000000"/>
                <w:sz w:val="20"/>
                <w:szCs w:val="20"/>
              </w:rPr>
            </w:pPr>
            <w:r w:rsidRPr="0087485F">
              <w:rPr>
                <w:rFonts w:cstheme="minorHAnsi"/>
                <w:color w:val="000000"/>
                <w:sz w:val="20"/>
                <w:szCs w:val="20"/>
              </w:rPr>
              <w:t>150</w:t>
            </w:r>
          </w:p>
        </w:tc>
        <w:tc>
          <w:tcPr>
            <w:tcW w:w="850" w:type="dxa"/>
            <w:shd w:val="clear" w:color="auto" w:fill="auto"/>
            <w:vAlign w:val="center"/>
          </w:tcPr>
          <w:p w:rsidR="00D907AF" w:rsidRPr="0087485F" w:rsidRDefault="00D907AF" w:rsidP="00D907AF">
            <w:pPr>
              <w:spacing w:before="10" w:after="10"/>
              <w:jc w:val="right"/>
              <w:rPr>
                <w:rFonts w:cstheme="minorHAnsi"/>
                <w:color w:val="000000"/>
                <w:sz w:val="20"/>
                <w:szCs w:val="20"/>
              </w:rPr>
            </w:pPr>
            <w:r w:rsidRPr="0087485F">
              <w:rPr>
                <w:rFonts w:cstheme="minorHAnsi"/>
                <w:color w:val="000000"/>
                <w:sz w:val="20"/>
                <w:szCs w:val="20"/>
              </w:rPr>
              <w:t>39.4</w:t>
            </w:r>
          </w:p>
        </w:tc>
        <w:tc>
          <w:tcPr>
            <w:tcW w:w="1276" w:type="dxa"/>
            <w:shd w:val="clear" w:color="auto" w:fill="auto"/>
            <w:vAlign w:val="center"/>
          </w:tcPr>
          <w:p w:rsidR="00D907AF" w:rsidRPr="0087485F" w:rsidRDefault="00D907AF" w:rsidP="00950E79">
            <w:pPr>
              <w:spacing w:before="10" w:after="10"/>
              <w:ind w:right="284"/>
              <w:jc w:val="right"/>
              <w:rPr>
                <w:rFonts w:cstheme="minorHAnsi"/>
                <w:color w:val="000000"/>
                <w:sz w:val="20"/>
                <w:szCs w:val="20"/>
              </w:rPr>
            </w:pPr>
            <w:r w:rsidRPr="0087485F">
              <w:rPr>
                <w:rFonts w:cstheme="minorHAnsi"/>
                <w:color w:val="000000"/>
                <w:sz w:val="20"/>
                <w:szCs w:val="20"/>
              </w:rPr>
              <w:t>74</w:t>
            </w:r>
          </w:p>
        </w:tc>
        <w:tc>
          <w:tcPr>
            <w:tcW w:w="1418" w:type="dxa"/>
            <w:shd w:val="clear" w:color="auto" w:fill="auto"/>
            <w:vAlign w:val="center"/>
          </w:tcPr>
          <w:p w:rsidR="00D907AF" w:rsidRPr="0087485F" w:rsidRDefault="00D907AF" w:rsidP="00950E79">
            <w:pPr>
              <w:spacing w:before="10" w:after="10"/>
              <w:ind w:right="318"/>
              <w:jc w:val="right"/>
              <w:rPr>
                <w:rFonts w:cstheme="minorHAnsi"/>
                <w:color w:val="000000"/>
                <w:sz w:val="20"/>
                <w:szCs w:val="20"/>
              </w:rPr>
            </w:pPr>
            <w:r w:rsidRPr="0087485F">
              <w:rPr>
                <w:rFonts w:cstheme="minorHAnsi"/>
                <w:color w:val="000000"/>
                <w:sz w:val="20"/>
                <w:szCs w:val="20"/>
              </w:rPr>
              <w:t>22.8</w:t>
            </w:r>
          </w:p>
        </w:tc>
        <w:tc>
          <w:tcPr>
            <w:tcW w:w="850" w:type="dxa"/>
            <w:shd w:val="clear" w:color="auto" w:fill="auto"/>
            <w:vAlign w:val="center"/>
          </w:tcPr>
          <w:p w:rsidR="00D907AF" w:rsidRPr="0087485F" w:rsidRDefault="00D907AF" w:rsidP="009508E4">
            <w:pPr>
              <w:spacing w:before="10" w:after="10"/>
              <w:ind w:right="113"/>
              <w:jc w:val="right"/>
              <w:rPr>
                <w:rFonts w:cstheme="minorHAnsi"/>
                <w:color w:val="000000"/>
                <w:sz w:val="20"/>
                <w:szCs w:val="20"/>
              </w:rPr>
            </w:pPr>
            <w:r w:rsidRPr="0087485F">
              <w:rPr>
                <w:rFonts w:cstheme="minorHAnsi"/>
                <w:color w:val="000000"/>
                <w:sz w:val="20"/>
                <w:szCs w:val="20"/>
              </w:rPr>
              <w:t>224</w:t>
            </w:r>
          </w:p>
        </w:tc>
        <w:tc>
          <w:tcPr>
            <w:tcW w:w="992" w:type="dxa"/>
            <w:shd w:val="clear" w:color="auto" w:fill="auto"/>
            <w:vAlign w:val="center"/>
          </w:tcPr>
          <w:p w:rsidR="00D907AF" w:rsidRPr="0087485F" w:rsidRDefault="00D907AF" w:rsidP="005D028F">
            <w:pPr>
              <w:spacing w:before="10" w:after="10"/>
              <w:ind w:right="113"/>
              <w:jc w:val="right"/>
              <w:rPr>
                <w:rFonts w:cstheme="minorHAnsi"/>
                <w:color w:val="000000"/>
                <w:sz w:val="20"/>
                <w:szCs w:val="20"/>
              </w:rPr>
            </w:pPr>
            <w:r w:rsidRPr="0087485F">
              <w:rPr>
                <w:rFonts w:cstheme="minorHAnsi"/>
                <w:color w:val="000000"/>
                <w:sz w:val="20"/>
                <w:szCs w:val="20"/>
              </w:rPr>
              <w:t>31.8</w:t>
            </w:r>
          </w:p>
        </w:tc>
      </w:tr>
      <w:tr w:rsidR="00D907AF" w:rsidRPr="0087485F" w:rsidTr="00726BE5">
        <w:tc>
          <w:tcPr>
            <w:tcW w:w="3085" w:type="dxa"/>
            <w:shd w:val="clear" w:color="auto" w:fill="auto"/>
          </w:tcPr>
          <w:p w:rsidR="00D907AF" w:rsidRPr="0087485F" w:rsidRDefault="00D907AF" w:rsidP="00D907AF">
            <w:pPr>
              <w:spacing w:before="10" w:after="10"/>
              <w:rPr>
                <w:rFonts w:cstheme="minorHAnsi"/>
                <w:sz w:val="20"/>
                <w:szCs w:val="20"/>
              </w:rPr>
            </w:pPr>
            <w:r w:rsidRPr="0087485F">
              <w:rPr>
                <w:rFonts w:cstheme="minorHAnsi"/>
                <w:sz w:val="20"/>
                <w:szCs w:val="20"/>
              </w:rPr>
              <w:t>Satisfied</w:t>
            </w:r>
          </w:p>
        </w:tc>
        <w:tc>
          <w:tcPr>
            <w:tcW w:w="709" w:type="dxa"/>
            <w:shd w:val="clear" w:color="auto" w:fill="auto"/>
            <w:vAlign w:val="center"/>
          </w:tcPr>
          <w:p w:rsidR="00D907AF" w:rsidRPr="0087485F" w:rsidRDefault="00D907AF" w:rsidP="00D907AF">
            <w:pPr>
              <w:spacing w:before="10" w:after="10"/>
              <w:jc w:val="right"/>
              <w:rPr>
                <w:rFonts w:cstheme="minorHAnsi"/>
                <w:color w:val="000000"/>
                <w:sz w:val="20"/>
                <w:szCs w:val="20"/>
              </w:rPr>
            </w:pPr>
            <w:r w:rsidRPr="0087485F">
              <w:rPr>
                <w:rFonts w:cstheme="minorHAnsi"/>
                <w:color w:val="000000"/>
                <w:sz w:val="20"/>
                <w:szCs w:val="20"/>
              </w:rPr>
              <w:t>151</w:t>
            </w:r>
          </w:p>
        </w:tc>
        <w:tc>
          <w:tcPr>
            <w:tcW w:w="850" w:type="dxa"/>
            <w:shd w:val="clear" w:color="auto" w:fill="auto"/>
            <w:vAlign w:val="center"/>
          </w:tcPr>
          <w:p w:rsidR="00D907AF" w:rsidRPr="0087485F" w:rsidRDefault="00D907AF" w:rsidP="00D907AF">
            <w:pPr>
              <w:spacing w:before="10" w:after="10"/>
              <w:jc w:val="right"/>
              <w:rPr>
                <w:rFonts w:cstheme="minorHAnsi"/>
                <w:color w:val="000000"/>
                <w:sz w:val="20"/>
                <w:szCs w:val="20"/>
              </w:rPr>
            </w:pPr>
            <w:r w:rsidRPr="0087485F">
              <w:rPr>
                <w:rFonts w:cstheme="minorHAnsi"/>
                <w:color w:val="000000"/>
                <w:sz w:val="20"/>
                <w:szCs w:val="20"/>
              </w:rPr>
              <w:t>39.6</w:t>
            </w:r>
          </w:p>
        </w:tc>
        <w:tc>
          <w:tcPr>
            <w:tcW w:w="1276" w:type="dxa"/>
            <w:shd w:val="clear" w:color="auto" w:fill="auto"/>
            <w:vAlign w:val="center"/>
          </w:tcPr>
          <w:p w:rsidR="00D907AF" w:rsidRPr="0087485F" w:rsidRDefault="00D907AF" w:rsidP="00950E79">
            <w:pPr>
              <w:spacing w:before="10" w:after="10"/>
              <w:ind w:right="284"/>
              <w:jc w:val="right"/>
              <w:rPr>
                <w:rFonts w:cstheme="minorHAnsi"/>
                <w:color w:val="000000"/>
                <w:sz w:val="20"/>
                <w:szCs w:val="20"/>
              </w:rPr>
            </w:pPr>
            <w:r w:rsidRPr="0087485F">
              <w:rPr>
                <w:rFonts w:cstheme="minorHAnsi"/>
                <w:color w:val="000000"/>
                <w:sz w:val="20"/>
                <w:szCs w:val="20"/>
              </w:rPr>
              <w:t>121</w:t>
            </w:r>
          </w:p>
        </w:tc>
        <w:tc>
          <w:tcPr>
            <w:tcW w:w="1418" w:type="dxa"/>
            <w:shd w:val="clear" w:color="auto" w:fill="auto"/>
            <w:vAlign w:val="center"/>
          </w:tcPr>
          <w:p w:rsidR="00D907AF" w:rsidRPr="0087485F" w:rsidRDefault="00D907AF" w:rsidP="00950E79">
            <w:pPr>
              <w:spacing w:before="10" w:after="10"/>
              <w:ind w:right="318"/>
              <w:jc w:val="right"/>
              <w:rPr>
                <w:rFonts w:cstheme="minorHAnsi"/>
                <w:color w:val="000000"/>
                <w:sz w:val="20"/>
                <w:szCs w:val="20"/>
              </w:rPr>
            </w:pPr>
            <w:r w:rsidRPr="0087485F">
              <w:rPr>
                <w:rFonts w:cstheme="minorHAnsi"/>
                <w:color w:val="000000"/>
                <w:sz w:val="20"/>
                <w:szCs w:val="20"/>
              </w:rPr>
              <w:t>37.4</w:t>
            </w:r>
          </w:p>
        </w:tc>
        <w:tc>
          <w:tcPr>
            <w:tcW w:w="850" w:type="dxa"/>
            <w:shd w:val="clear" w:color="auto" w:fill="auto"/>
            <w:vAlign w:val="center"/>
          </w:tcPr>
          <w:p w:rsidR="00D907AF" w:rsidRPr="0087485F" w:rsidRDefault="00D907AF" w:rsidP="009508E4">
            <w:pPr>
              <w:spacing w:before="10" w:after="10"/>
              <w:ind w:right="113"/>
              <w:jc w:val="right"/>
              <w:rPr>
                <w:rFonts w:cstheme="minorHAnsi"/>
                <w:color w:val="000000"/>
                <w:sz w:val="20"/>
                <w:szCs w:val="20"/>
              </w:rPr>
            </w:pPr>
            <w:r w:rsidRPr="0087485F">
              <w:rPr>
                <w:rFonts w:cstheme="minorHAnsi"/>
                <w:color w:val="000000"/>
                <w:sz w:val="20"/>
                <w:szCs w:val="20"/>
              </w:rPr>
              <w:t>272</w:t>
            </w:r>
          </w:p>
        </w:tc>
        <w:tc>
          <w:tcPr>
            <w:tcW w:w="992" w:type="dxa"/>
            <w:shd w:val="clear" w:color="auto" w:fill="auto"/>
            <w:vAlign w:val="center"/>
          </w:tcPr>
          <w:p w:rsidR="00D907AF" w:rsidRPr="0087485F" w:rsidRDefault="00D907AF" w:rsidP="005D028F">
            <w:pPr>
              <w:spacing w:before="10" w:after="10"/>
              <w:ind w:right="113"/>
              <w:jc w:val="right"/>
              <w:rPr>
                <w:rFonts w:cstheme="minorHAnsi"/>
                <w:color w:val="000000"/>
                <w:sz w:val="20"/>
                <w:szCs w:val="20"/>
              </w:rPr>
            </w:pPr>
            <w:r w:rsidRPr="0087485F">
              <w:rPr>
                <w:rFonts w:cstheme="minorHAnsi"/>
                <w:color w:val="000000"/>
                <w:sz w:val="20"/>
                <w:szCs w:val="20"/>
              </w:rPr>
              <w:t>38.6</w:t>
            </w:r>
          </w:p>
        </w:tc>
      </w:tr>
      <w:tr w:rsidR="00D907AF" w:rsidRPr="0087485F" w:rsidTr="00726BE5">
        <w:tc>
          <w:tcPr>
            <w:tcW w:w="3085" w:type="dxa"/>
            <w:shd w:val="clear" w:color="auto" w:fill="auto"/>
          </w:tcPr>
          <w:p w:rsidR="00D907AF" w:rsidRPr="0087485F" w:rsidRDefault="00D907AF" w:rsidP="00D907AF">
            <w:pPr>
              <w:spacing w:before="10" w:after="10"/>
              <w:rPr>
                <w:rFonts w:cstheme="minorHAnsi"/>
                <w:sz w:val="20"/>
                <w:szCs w:val="20"/>
              </w:rPr>
            </w:pPr>
            <w:r w:rsidRPr="0087485F">
              <w:rPr>
                <w:rFonts w:cstheme="minorHAnsi"/>
                <w:sz w:val="20"/>
                <w:szCs w:val="20"/>
              </w:rPr>
              <w:t>Neither satisfied nor dissatisfied</w:t>
            </w:r>
          </w:p>
        </w:tc>
        <w:tc>
          <w:tcPr>
            <w:tcW w:w="709" w:type="dxa"/>
            <w:shd w:val="clear" w:color="auto" w:fill="auto"/>
            <w:vAlign w:val="center"/>
          </w:tcPr>
          <w:p w:rsidR="00D907AF" w:rsidRPr="0087485F" w:rsidRDefault="00D907AF" w:rsidP="00D907AF">
            <w:pPr>
              <w:spacing w:before="10" w:after="10"/>
              <w:jc w:val="right"/>
              <w:rPr>
                <w:rFonts w:cstheme="minorHAnsi"/>
                <w:color w:val="000000"/>
                <w:sz w:val="20"/>
                <w:szCs w:val="20"/>
              </w:rPr>
            </w:pPr>
            <w:r w:rsidRPr="0087485F">
              <w:rPr>
                <w:rFonts w:cstheme="minorHAnsi"/>
                <w:color w:val="000000"/>
                <w:sz w:val="20"/>
                <w:szCs w:val="20"/>
              </w:rPr>
              <w:t>38</w:t>
            </w:r>
          </w:p>
        </w:tc>
        <w:tc>
          <w:tcPr>
            <w:tcW w:w="850" w:type="dxa"/>
            <w:shd w:val="clear" w:color="auto" w:fill="auto"/>
            <w:vAlign w:val="center"/>
          </w:tcPr>
          <w:p w:rsidR="00D907AF" w:rsidRPr="0087485F" w:rsidRDefault="00D907AF" w:rsidP="00D907AF">
            <w:pPr>
              <w:spacing w:before="10" w:after="10"/>
              <w:jc w:val="right"/>
              <w:rPr>
                <w:rFonts w:cstheme="minorHAnsi"/>
                <w:color w:val="000000"/>
                <w:sz w:val="20"/>
                <w:szCs w:val="20"/>
              </w:rPr>
            </w:pPr>
            <w:r w:rsidRPr="0087485F">
              <w:rPr>
                <w:rFonts w:cstheme="minorHAnsi"/>
                <w:color w:val="000000"/>
                <w:sz w:val="20"/>
                <w:szCs w:val="20"/>
              </w:rPr>
              <w:t>10.0</w:t>
            </w:r>
          </w:p>
        </w:tc>
        <w:tc>
          <w:tcPr>
            <w:tcW w:w="1276" w:type="dxa"/>
            <w:shd w:val="clear" w:color="auto" w:fill="auto"/>
            <w:vAlign w:val="center"/>
          </w:tcPr>
          <w:p w:rsidR="00D907AF" w:rsidRPr="0087485F" w:rsidRDefault="00D907AF" w:rsidP="00950E79">
            <w:pPr>
              <w:spacing w:before="10" w:after="10"/>
              <w:ind w:right="284"/>
              <w:jc w:val="right"/>
              <w:rPr>
                <w:rFonts w:cstheme="minorHAnsi"/>
                <w:color w:val="000000"/>
                <w:sz w:val="20"/>
                <w:szCs w:val="20"/>
              </w:rPr>
            </w:pPr>
            <w:r w:rsidRPr="0087485F">
              <w:rPr>
                <w:rFonts w:cstheme="minorHAnsi"/>
                <w:color w:val="000000"/>
                <w:sz w:val="20"/>
                <w:szCs w:val="20"/>
              </w:rPr>
              <w:t>58</w:t>
            </w:r>
          </w:p>
        </w:tc>
        <w:tc>
          <w:tcPr>
            <w:tcW w:w="1418" w:type="dxa"/>
            <w:shd w:val="clear" w:color="auto" w:fill="auto"/>
            <w:vAlign w:val="center"/>
          </w:tcPr>
          <w:p w:rsidR="00D907AF" w:rsidRPr="0087485F" w:rsidRDefault="00D907AF" w:rsidP="00950E79">
            <w:pPr>
              <w:spacing w:before="10" w:after="10"/>
              <w:ind w:right="318"/>
              <w:jc w:val="right"/>
              <w:rPr>
                <w:rFonts w:cstheme="minorHAnsi"/>
                <w:color w:val="000000"/>
                <w:sz w:val="20"/>
                <w:szCs w:val="20"/>
              </w:rPr>
            </w:pPr>
            <w:r w:rsidRPr="0087485F">
              <w:rPr>
                <w:rFonts w:cstheme="minorHAnsi"/>
                <w:color w:val="000000"/>
                <w:sz w:val="20"/>
                <w:szCs w:val="20"/>
              </w:rPr>
              <w:t>17.9</w:t>
            </w:r>
          </w:p>
        </w:tc>
        <w:tc>
          <w:tcPr>
            <w:tcW w:w="850" w:type="dxa"/>
            <w:shd w:val="clear" w:color="auto" w:fill="auto"/>
            <w:vAlign w:val="center"/>
          </w:tcPr>
          <w:p w:rsidR="00D907AF" w:rsidRPr="0087485F" w:rsidRDefault="00D907AF" w:rsidP="009508E4">
            <w:pPr>
              <w:spacing w:before="10" w:after="10"/>
              <w:ind w:right="113"/>
              <w:jc w:val="right"/>
              <w:rPr>
                <w:rFonts w:cstheme="minorHAnsi"/>
                <w:color w:val="000000"/>
                <w:sz w:val="20"/>
                <w:szCs w:val="20"/>
              </w:rPr>
            </w:pPr>
            <w:r w:rsidRPr="0087485F">
              <w:rPr>
                <w:rFonts w:cstheme="minorHAnsi"/>
                <w:color w:val="000000"/>
                <w:sz w:val="20"/>
                <w:szCs w:val="20"/>
              </w:rPr>
              <w:t>96</w:t>
            </w:r>
          </w:p>
        </w:tc>
        <w:tc>
          <w:tcPr>
            <w:tcW w:w="992" w:type="dxa"/>
            <w:shd w:val="clear" w:color="auto" w:fill="auto"/>
            <w:vAlign w:val="center"/>
          </w:tcPr>
          <w:p w:rsidR="00D907AF" w:rsidRPr="0087485F" w:rsidRDefault="00D907AF" w:rsidP="005D028F">
            <w:pPr>
              <w:spacing w:before="10" w:after="10"/>
              <w:ind w:right="113"/>
              <w:jc w:val="right"/>
              <w:rPr>
                <w:rFonts w:cstheme="minorHAnsi"/>
                <w:color w:val="000000"/>
                <w:sz w:val="20"/>
                <w:szCs w:val="20"/>
              </w:rPr>
            </w:pPr>
            <w:r w:rsidRPr="0087485F">
              <w:rPr>
                <w:rFonts w:cstheme="minorHAnsi"/>
                <w:color w:val="000000"/>
                <w:sz w:val="20"/>
                <w:szCs w:val="20"/>
              </w:rPr>
              <w:t>13.6</w:t>
            </w:r>
          </w:p>
        </w:tc>
      </w:tr>
      <w:tr w:rsidR="00D907AF" w:rsidRPr="0087485F" w:rsidTr="00726BE5">
        <w:tc>
          <w:tcPr>
            <w:tcW w:w="3085" w:type="dxa"/>
            <w:shd w:val="clear" w:color="auto" w:fill="auto"/>
          </w:tcPr>
          <w:p w:rsidR="00D907AF" w:rsidRPr="0087485F" w:rsidRDefault="00D907AF" w:rsidP="00D907AF">
            <w:pPr>
              <w:spacing w:before="10" w:after="10"/>
              <w:rPr>
                <w:rFonts w:cstheme="minorHAnsi"/>
                <w:sz w:val="20"/>
                <w:szCs w:val="20"/>
              </w:rPr>
            </w:pPr>
            <w:r w:rsidRPr="0087485F">
              <w:rPr>
                <w:rFonts w:cstheme="minorHAnsi"/>
                <w:sz w:val="20"/>
                <w:szCs w:val="20"/>
              </w:rPr>
              <w:t>Dissatisfied</w:t>
            </w:r>
          </w:p>
        </w:tc>
        <w:tc>
          <w:tcPr>
            <w:tcW w:w="709" w:type="dxa"/>
            <w:shd w:val="clear" w:color="auto" w:fill="auto"/>
            <w:vAlign w:val="center"/>
          </w:tcPr>
          <w:p w:rsidR="00D907AF" w:rsidRPr="0087485F" w:rsidRDefault="00D907AF" w:rsidP="00D907AF">
            <w:pPr>
              <w:spacing w:before="10" w:after="10"/>
              <w:jc w:val="right"/>
              <w:rPr>
                <w:rFonts w:cstheme="minorHAnsi"/>
                <w:color w:val="000000"/>
                <w:sz w:val="20"/>
                <w:szCs w:val="20"/>
              </w:rPr>
            </w:pPr>
            <w:r w:rsidRPr="0087485F">
              <w:rPr>
                <w:rFonts w:cstheme="minorHAnsi"/>
                <w:color w:val="000000"/>
                <w:sz w:val="20"/>
                <w:szCs w:val="20"/>
              </w:rPr>
              <w:t>21</w:t>
            </w:r>
          </w:p>
        </w:tc>
        <w:tc>
          <w:tcPr>
            <w:tcW w:w="850" w:type="dxa"/>
            <w:shd w:val="clear" w:color="auto" w:fill="auto"/>
            <w:vAlign w:val="center"/>
          </w:tcPr>
          <w:p w:rsidR="00D907AF" w:rsidRPr="0087485F" w:rsidRDefault="00D907AF" w:rsidP="00D907AF">
            <w:pPr>
              <w:spacing w:before="10" w:after="10"/>
              <w:jc w:val="right"/>
              <w:rPr>
                <w:rFonts w:cstheme="minorHAnsi"/>
                <w:color w:val="000000"/>
                <w:sz w:val="20"/>
                <w:szCs w:val="20"/>
              </w:rPr>
            </w:pPr>
            <w:r w:rsidRPr="0087485F">
              <w:rPr>
                <w:rFonts w:cstheme="minorHAnsi"/>
                <w:color w:val="000000"/>
                <w:sz w:val="20"/>
                <w:szCs w:val="20"/>
              </w:rPr>
              <w:t>5.5</w:t>
            </w:r>
          </w:p>
        </w:tc>
        <w:tc>
          <w:tcPr>
            <w:tcW w:w="1276" w:type="dxa"/>
            <w:shd w:val="clear" w:color="auto" w:fill="auto"/>
            <w:vAlign w:val="center"/>
          </w:tcPr>
          <w:p w:rsidR="00D907AF" w:rsidRPr="0087485F" w:rsidRDefault="00D907AF" w:rsidP="00950E79">
            <w:pPr>
              <w:spacing w:before="10" w:after="10"/>
              <w:ind w:right="284"/>
              <w:jc w:val="right"/>
              <w:rPr>
                <w:rFonts w:cstheme="minorHAnsi"/>
                <w:color w:val="000000"/>
                <w:sz w:val="20"/>
                <w:szCs w:val="20"/>
              </w:rPr>
            </w:pPr>
            <w:r w:rsidRPr="0087485F">
              <w:rPr>
                <w:rFonts w:cstheme="minorHAnsi"/>
                <w:color w:val="000000"/>
                <w:sz w:val="20"/>
                <w:szCs w:val="20"/>
              </w:rPr>
              <w:t>20</w:t>
            </w:r>
          </w:p>
        </w:tc>
        <w:tc>
          <w:tcPr>
            <w:tcW w:w="1418" w:type="dxa"/>
            <w:shd w:val="clear" w:color="auto" w:fill="auto"/>
            <w:vAlign w:val="center"/>
          </w:tcPr>
          <w:p w:rsidR="00D907AF" w:rsidRPr="0087485F" w:rsidRDefault="00D907AF" w:rsidP="00950E79">
            <w:pPr>
              <w:spacing w:before="10" w:after="10"/>
              <w:ind w:right="318"/>
              <w:jc w:val="right"/>
              <w:rPr>
                <w:rFonts w:cstheme="minorHAnsi"/>
                <w:color w:val="000000"/>
                <w:sz w:val="20"/>
                <w:szCs w:val="20"/>
              </w:rPr>
            </w:pPr>
            <w:r w:rsidRPr="0087485F">
              <w:rPr>
                <w:rFonts w:cstheme="minorHAnsi"/>
                <w:color w:val="000000"/>
                <w:sz w:val="20"/>
                <w:szCs w:val="20"/>
              </w:rPr>
              <w:t>6.2</w:t>
            </w:r>
          </w:p>
        </w:tc>
        <w:tc>
          <w:tcPr>
            <w:tcW w:w="850" w:type="dxa"/>
            <w:shd w:val="clear" w:color="auto" w:fill="auto"/>
            <w:vAlign w:val="center"/>
          </w:tcPr>
          <w:p w:rsidR="00D907AF" w:rsidRPr="0087485F" w:rsidRDefault="00D907AF" w:rsidP="009508E4">
            <w:pPr>
              <w:spacing w:before="10" w:after="10"/>
              <w:ind w:right="113"/>
              <w:jc w:val="right"/>
              <w:rPr>
                <w:rFonts w:cstheme="minorHAnsi"/>
                <w:color w:val="000000"/>
                <w:sz w:val="20"/>
                <w:szCs w:val="20"/>
              </w:rPr>
            </w:pPr>
            <w:r w:rsidRPr="0087485F">
              <w:rPr>
                <w:rFonts w:cstheme="minorHAnsi"/>
                <w:color w:val="000000"/>
                <w:sz w:val="20"/>
                <w:szCs w:val="20"/>
              </w:rPr>
              <w:t>41</w:t>
            </w:r>
          </w:p>
        </w:tc>
        <w:tc>
          <w:tcPr>
            <w:tcW w:w="992" w:type="dxa"/>
            <w:shd w:val="clear" w:color="auto" w:fill="auto"/>
            <w:vAlign w:val="center"/>
          </w:tcPr>
          <w:p w:rsidR="00D907AF" w:rsidRPr="0087485F" w:rsidRDefault="00D907AF" w:rsidP="005D028F">
            <w:pPr>
              <w:spacing w:before="10" w:after="10"/>
              <w:ind w:right="113"/>
              <w:jc w:val="right"/>
              <w:rPr>
                <w:rFonts w:cstheme="minorHAnsi"/>
                <w:color w:val="000000"/>
                <w:sz w:val="20"/>
                <w:szCs w:val="20"/>
              </w:rPr>
            </w:pPr>
            <w:r w:rsidRPr="0087485F">
              <w:rPr>
                <w:rFonts w:cstheme="minorHAnsi"/>
                <w:color w:val="000000"/>
                <w:sz w:val="20"/>
                <w:szCs w:val="20"/>
              </w:rPr>
              <w:t>5.8</w:t>
            </w:r>
          </w:p>
        </w:tc>
      </w:tr>
      <w:tr w:rsidR="00D907AF" w:rsidRPr="0087485F" w:rsidTr="00726BE5">
        <w:tc>
          <w:tcPr>
            <w:tcW w:w="3085" w:type="dxa"/>
            <w:shd w:val="clear" w:color="auto" w:fill="auto"/>
          </w:tcPr>
          <w:p w:rsidR="00D907AF" w:rsidRPr="0087485F" w:rsidRDefault="00D907AF" w:rsidP="00D907AF">
            <w:pPr>
              <w:spacing w:before="10" w:after="10"/>
              <w:rPr>
                <w:rFonts w:cstheme="minorHAnsi"/>
                <w:sz w:val="20"/>
                <w:szCs w:val="20"/>
              </w:rPr>
            </w:pPr>
            <w:r w:rsidRPr="0087485F">
              <w:rPr>
                <w:rFonts w:cstheme="minorHAnsi"/>
                <w:sz w:val="20"/>
                <w:szCs w:val="20"/>
              </w:rPr>
              <w:t>Very dissatisfied</w:t>
            </w:r>
          </w:p>
        </w:tc>
        <w:tc>
          <w:tcPr>
            <w:tcW w:w="709" w:type="dxa"/>
            <w:shd w:val="clear" w:color="auto" w:fill="auto"/>
            <w:vAlign w:val="center"/>
          </w:tcPr>
          <w:p w:rsidR="00D907AF" w:rsidRPr="0087485F" w:rsidRDefault="00D907AF" w:rsidP="00D907AF">
            <w:pPr>
              <w:spacing w:before="10" w:after="10"/>
              <w:jc w:val="right"/>
              <w:rPr>
                <w:rFonts w:cstheme="minorHAnsi"/>
                <w:color w:val="000000"/>
                <w:sz w:val="20"/>
                <w:szCs w:val="20"/>
              </w:rPr>
            </w:pPr>
            <w:r w:rsidRPr="0087485F">
              <w:rPr>
                <w:rFonts w:cstheme="minorHAnsi"/>
                <w:color w:val="000000"/>
                <w:sz w:val="20"/>
                <w:szCs w:val="20"/>
              </w:rPr>
              <w:t>8</w:t>
            </w:r>
          </w:p>
        </w:tc>
        <w:tc>
          <w:tcPr>
            <w:tcW w:w="850" w:type="dxa"/>
            <w:shd w:val="clear" w:color="auto" w:fill="auto"/>
            <w:vAlign w:val="center"/>
          </w:tcPr>
          <w:p w:rsidR="00D907AF" w:rsidRPr="0087485F" w:rsidRDefault="00D907AF" w:rsidP="00D907AF">
            <w:pPr>
              <w:spacing w:before="10" w:after="10"/>
              <w:jc w:val="right"/>
              <w:rPr>
                <w:rFonts w:cstheme="minorHAnsi"/>
                <w:color w:val="000000"/>
                <w:sz w:val="20"/>
                <w:szCs w:val="20"/>
              </w:rPr>
            </w:pPr>
            <w:r w:rsidRPr="0087485F">
              <w:rPr>
                <w:rFonts w:cstheme="minorHAnsi"/>
                <w:color w:val="000000"/>
                <w:sz w:val="20"/>
                <w:szCs w:val="20"/>
              </w:rPr>
              <w:t>2.1</w:t>
            </w:r>
          </w:p>
        </w:tc>
        <w:tc>
          <w:tcPr>
            <w:tcW w:w="1276" w:type="dxa"/>
            <w:shd w:val="clear" w:color="auto" w:fill="auto"/>
            <w:vAlign w:val="center"/>
          </w:tcPr>
          <w:p w:rsidR="00D907AF" w:rsidRPr="0087485F" w:rsidRDefault="00D907AF" w:rsidP="00950E79">
            <w:pPr>
              <w:spacing w:before="10" w:after="10"/>
              <w:ind w:right="284"/>
              <w:jc w:val="right"/>
              <w:rPr>
                <w:rFonts w:cstheme="minorHAnsi"/>
                <w:color w:val="000000"/>
                <w:sz w:val="20"/>
                <w:szCs w:val="20"/>
              </w:rPr>
            </w:pPr>
            <w:r w:rsidRPr="0087485F">
              <w:rPr>
                <w:rFonts w:cstheme="minorHAnsi"/>
                <w:color w:val="000000"/>
                <w:sz w:val="20"/>
                <w:szCs w:val="20"/>
              </w:rPr>
              <w:t>17</w:t>
            </w:r>
          </w:p>
        </w:tc>
        <w:tc>
          <w:tcPr>
            <w:tcW w:w="1418" w:type="dxa"/>
            <w:shd w:val="clear" w:color="auto" w:fill="auto"/>
            <w:vAlign w:val="center"/>
          </w:tcPr>
          <w:p w:rsidR="00D907AF" w:rsidRPr="0087485F" w:rsidRDefault="00D907AF" w:rsidP="00950E79">
            <w:pPr>
              <w:spacing w:before="10" w:after="10"/>
              <w:ind w:right="318"/>
              <w:jc w:val="right"/>
              <w:rPr>
                <w:rFonts w:cstheme="minorHAnsi"/>
                <w:color w:val="000000"/>
                <w:sz w:val="20"/>
                <w:szCs w:val="20"/>
              </w:rPr>
            </w:pPr>
            <w:r w:rsidRPr="0087485F">
              <w:rPr>
                <w:rFonts w:cstheme="minorHAnsi"/>
                <w:color w:val="000000"/>
                <w:sz w:val="20"/>
                <w:szCs w:val="20"/>
              </w:rPr>
              <w:t>5.3</w:t>
            </w:r>
          </w:p>
        </w:tc>
        <w:tc>
          <w:tcPr>
            <w:tcW w:w="850" w:type="dxa"/>
            <w:shd w:val="clear" w:color="auto" w:fill="auto"/>
            <w:vAlign w:val="center"/>
          </w:tcPr>
          <w:p w:rsidR="00D907AF" w:rsidRPr="0087485F" w:rsidRDefault="00D907AF" w:rsidP="009508E4">
            <w:pPr>
              <w:spacing w:before="10" w:after="10"/>
              <w:ind w:right="113"/>
              <w:jc w:val="right"/>
              <w:rPr>
                <w:rFonts w:cstheme="minorHAnsi"/>
                <w:color w:val="000000"/>
                <w:sz w:val="20"/>
                <w:szCs w:val="20"/>
              </w:rPr>
            </w:pPr>
            <w:r w:rsidRPr="0087485F">
              <w:rPr>
                <w:rFonts w:cstheme="minorHAnsi"/>
                <w:color w:val="000000"/>
                <w:sz w:val="20"/>
                <w:szCs w:val="20"/>
              </w:rPr>
              <w:t>25</w:t>
            </w:r>
          </w:p>
        </w:tc>
        <w:tc>
          <w:tcPr>
            <w:tcW w:w="992" w:type="dxa"/>
            <w:shd w:val="clear" w:color="auto" w:fill="auto"/>
            <w:vAlign w:val="center"/>
          </w:tcPr>
          <w:p w:rsidR="00D907AF" w:rsidRPr="0087485F" w:rsidRDefault="00D907AF" w:rsidP="005D028F">
            <w:pPr>
              <w:spacing w:before="10" w:after="10"/>
              <w:ind w:right="113"/>
              <w:jc w:val="right"/>
              <w:rPr>
                <w:rFonts w:cstheme="minorHAnsi"/>
                <w:color w:val="000000"/>
                <w:sz w:val="20"/>
                <w:szCs w:val="20"/>
              </w:rPr>
            </w:pPr>
            <w:r w:rsidRPr="0087485F">
              <w:rPr>
                <w:rFonts w:cstheme="minorHAnsi"/>
                <w:color w:val="000000"/>
                <w:sz w:val="20"/>
                <w:szCs w:val="20"/>
              </w:rPr>
              <w:t>3.6</w:t>
            </w:r>
          </w:p>
        </w:tc>
      </w:tr>
      <w:tr w:rsidR="00D907AF" w:rsidRPr="0087485F" w:rsidTr="00726BE5">
        <w:tc>
          <w:tcPr>
            <w:tcW w:w="3085" w:type="dxa"/>
            <w:tcBorders>
              <w:bottom w:val="single" w:sz="4" w:space="0" w:color="auto"/>
            </w:tcBorders>
            <w:shd w:val="clear" w:color="auto" w:fill="auto"/>
          </w:tcPr>
          <w:p w:rsidR="00D907AF" w:rsidRPr="0087485F" w:rsidRDefault="00D907AF" w:rsidP="00D907AF">
            <w:pPr>
              <w:spacing w:before="10" w:after="10"/>
              <w:rPr>
                <w:rFonts w:cstheme="minorHAnsi"/>
                <w:sz w:val="20"/>
                <w:szCs w:val="20"/>
              </w:rPr>
            </w:pPr>
            <w:r w:rsidRPr="0087485F">
              <w:rPr>
                <w:rFonts w:cstheme="minorHAnsi"/>
                <w:sz w:val="20"/>
                <w:szCs w:val="20"/>
              </w:rPr>
              <w:t xml:space="preserve">Missing </w:t>
            </w:r>
          </w:p>
        </w:tc>
        <w:tc>
          <w:tcPr>
            <w:tcW w:w="709" w:type="dxa"/>
            <w:tcBorders>
              <w:bottom w:val="single" w:sz="4" w:space="0" w:color="auto"/>
            </w:tcBorders>
            <w:shd w:val="clear" w:color="auto" w:fill="auto"/>
            <w:vAlign w:val="center"/>
          </w:tcPr>
          <w:p w:rsidR="00D907AF" w:rsidRPr="0087485F" w:rsidRDefault="00D907AF" w:rsidP="00D907AF">
            <w:pPr>
              <w:spacing w:before="10" w:after="10"/>
              <w:jc w:val="right"/>
              <w:rPr>
                <w:rFonts w:cstheme="minorHAnsi"/>
                <w:color w:val="000000"/>
                <w:sz w:val="20"/>
                <w:szCs w:val="20"/>
              </w:rPr>
            </w:pPr>
            <w:r w:rsidRPr="0087485F">
              <w:rPr>
                <w:rFonts w:cstheme="minorHAnsi"/>
                <w:color w:val="000000"/>
                <w:sz w:val="20"/>
                <w:szCs w:val="20"/>
              </w:rPr>
              <w:t>13</w:t>
            </w:r>
          </w:p>
        </w:tc>
        <w:tc>
          <w:tcPr>
            <w:tcW w:w="850" w:type="dxa"/>
            <w:tcBorders>
              <w:bottom w:val="single" w:sz="4" w:space="0" w:color="auto"/>
            </w:tcBorders>
            <w:shd w:val="clear" w:color="auto" w:fill="auto"/>
            <w:vAlign w:val="center"/>
          </w:tcPr>
          <w:p w:rsidR="00D907AF" w:rsidRPr="0087485F" w:rsidRDefault="00D907AF" w:rsidP="00D907AF">
            <w:pPr>
              <w:spacing w:before="10" w:after="10"/>
              <w:jc w:val="right"/>
              <w:rPr>
                <w:rFonts w:cstheme="minorHAnsi"/>
                <w:color w:val="000000"/>
                <w:sz w:val="20"/>
                <w:szCs w:val="20"/>
              </w:rPr>
            </w:pPr>
            <w:r w:rsidRPr="0087485F">
              <w:rPr>
                <w:rFonts w:cstheme="minorHAnsi"/>
                <w:color w:val="000000"/>
                <w:sz w:val="20"/>
                <w:szCs w:val="20"/>
              </w:rPr>
              <w:t>3.4</w:t>
            </w:r>
          </w:p>
        </w:tc>
        <w:tc>
          <w:tcPr>
            <w:tcW w:w="1276" w:type="dxa"/>
            <w:tcBorders>
              <w:bottom w:val="single" w:sz="4" w:space="0" w:color="auto"/>
            </w:tcBorders>
            <w:shd w:val="clear" w:color="auto" w:fill="auto"/>
            <w:vAlign w:val="center"/>
          </w:tcPr>
          <w:p w:rsidR="00D907AF" w:rsidRPr="0087485F" w:rsidRDefault="00D907AF" w:rsidP="00950E79">
            <w:pPr>
              <w:spacing w:before="10" w:after="10"/>
              <w:ind w:right="284"/>
              <w:jc w:val="right"/>
              <w:rPr>
                <w:rFonts w:cstheme="minorHAnsi"/>
                <w:color w:val="000000"/>
                <w:sz w:val="20"/>
                <w:szCs w:val="20"/>
              </w:rPr>
            </w:pPr>
            <w:r w:rsidRPr="0087485F">
              <w:rPr>
                <w:rFonts w:cstheme="minorHAnsi"/>
                <w:color w:val="000000"/>
                <w:sz w:val="20"/>
                <w:szCs w:val="20"/>
              </w:rPr>
              <w:t>34</w:t>
            </w:r>
          </w:p>
        </w:tc>
        <w:tc>
          <w:tcPr>
            <w:tcW w:w="1418" w:type="dxa"/>
            <w:tcBorders>
              <w:bottom w:val="single" w:sz="4" w:space="0" w:color="auto"/>
            </w:tcBorders>
            <w:shd w:val="clear" w:color="auto" w:fill="auto"/>
            <w:vAlign w:val="center"/>
          </w:tcPr>
          <w:p w:rsidR="00D907AF" w:rsidRPr="0087485F" w:rsidRDefault="00D907AF" w:rsidP="00950E79">
            <w:pPr>
              <w:spacing w:before="10" w:after="10"/>
              <w:ind w:right="318"/>
              <w:jc w:val="right"/>
              <w:rPr>
                <w:rFonts w:cstheme="minorHAnsi"/>
                <w:color w:val="000000"/>
                <w:sz w:val="20"/>
                <w:szCs w:val="20"/>
              </w:rPr>
            </w:pPr>
            <w:r w:rsidRPr="0087485F">
              <w:rPr>
                <w:rFonts w:cstheme="minorHAnsi"/>
                <w:color w:val="000000"/>
                <w:sz w:val="20"/>
                <w:szCs w:val="20"/>
              </w:rPr>
              <w:t>10.5</w:t>
            </w:r>
          </w:p>
        </w:tc>
        <w:tc>
          <w:tcPr>
            <w:tcW w:w="850" w:type="dxa"/>
            <w:tcBorders>
              <w:bottom w:val="single" w:sz="4" w:space="0" w:color="auto"/>
            </w:tcBorders>
            <w:shd w:val="clear" w:color="auto" w:fill="auto"/>
            <w:vAlign w:val="center"/>
          </w:tcPr>
          <w:p w:rsidR="00D907AF" w:rsidRPr="0087485F" w:rsidRDefault="00D907AF" w:rsidP="009508E4">
            <w:pPr>
              <w:spacing w:before="10" w:after="10"/>
              <w:ind w:right="113"/>
              <w:jc w:val="right"/>
              <w:rPr>
                <w:rFonts w:cstheme="minorHAnsi"/>
                <w:color w:val="000000"/>
                <w:sz w:val="20"/>
                <w:szCs w:val="20"/>
              </w:rPr>
            </w:pPr>
            <w:r w:rsidRPr="0087485F">
              <w:rPr>
                <w:rFonts w:cstheme="minorHAnsi"/>
                <w:color w:val="000000"/>
                <w:sz w:val="20"/>
                <w:szCs w:val="20"/>
              </w:rPr>
              <w:t>47</w:t>
            </w:r>
          </w:p>
        </w:tc>
        <w:tc>
          <w:tcPr>
            <w:tcW w:w="992" w:type="dxa"/>
            <w:tcBorders>
              <w:bottom w:val="single" w:sz="4" w:space="0" w:color="auto"/>
            </w:tcBorders>
            <w:shd w:val="clear" w:color="auto" w:fill="auto"/>
            <w:vAlign w:val="center"/>
          </w:tcPr>
          <w:p w:rsidR="00D907AF" w:rsidRPr="0087485F" w:rsidRDefault="00D907AF" w:rsidP="005D028F">
            <w:pPr>
              <w:spacing w:before="10" w:after="10"/>
              <w:ind w:right="113"/>
              <w:jc w:val="right"/>
              <w:rPr>
                <w:rFonts w:cstheme="minorHAnsi"/>
                <w:color w:val="000000"/>
                <w:sz w:val="20"/>
                <w:szCs w:val="20"/>
              </w:rPr>
            </w:pPr>
            <w:r w:rsidRPr="0087485F">
              <w:rPr>
                <w:rFonts w:cstheme="minorHAnsi"/>
                <w:color w:val="000000"/>
                <w:sz w:val="20"/>
                <w:szCs w:val="20"/>
              </w:rPr>
              <w:t>6.7</w:t>
            </w:r>
          </w:p>
        </w:tc>
      </w:tr>
      <w:tr w:rsidR="00D907AF" w:rsidRPr="0087485F" w:rsidTr="00726BE5">
        <w:tc>
          <w:tcPr>
            <w:tcW w:w="3085" w:type="dxa"/>
            <w:tcBorders>
              <w:top w:val="single" w:sz="4" w:space="0" w:color="auto"/>
              <w:bottom w:val="single" w:sz="4" w:space="0" w:color="auto"/>
            </w:tcBorders>
            <w:shd w:val="clear" w:color="auto" w:fill="auto"/>
          </w:tcPr>
          <w:p w:rsidR="00D907AF" w:rsidRPr="0087485F" w:rsidRDefault="00D907AF" w:rsidP="00D907AF">
            <w:pPr>
              <w:spacing w:before="10" w:after="10"/>
              <w:rPr>
                <w:rFonts w:cstheme="minorHAnsi"/>
                <w:sz w:val="20"/>
                <w:szCs w:val="20"/>
              </w:rPr>
            </w:pPr>
            <w:r w:rsidRPr="0087485F">
              <w:rPr>
                <w:rFonts w:cstheme="minorHAnsi"/>
                <w:b/>
                <w:sz w:val="20"/>
                <w:szCs w:val="20"/>
              </w:rPr>
              <w:t>Total</w:t>
            </w:r>
          </w:p>
        </w:tc>
        <w:tc>
          <w:tcPr>
            <w:tcW w:w="709" w:type="dxa"/>
            <w:tcBorders>
              <w:top w:val="single" w:sz="4" w:space="0" w:color="auto"/>
              <w:bottom w:val="single" w:sz="4" w:space="0" w:color="auto"/>
            </w:tcBorders>
            <w:shd w:val="clear" w:color="auto" w:fill="auto"/>
          </w:tcPr>
          <w:p w:rsidR="00D907AF" w:rsidRPr="0087485F" w:rsidRDefault="00D907AF" w:rsidP="00D907AF">
            <w:pPr>
              <w:spacing w:before="10" w:after="10"/>
              <w:jc w:val="right"/>
              <w:rPr>
                <w:rFonts w:cstheme="minorHAnsi"/>
                <w:b/>
                <w:sz w:val="20"/>
                <w:szCs w:val="20"/>
              </w:rPr>
            </w:pPr>
            <w:r w:rsidRPr="0087485F">
              <w:rPr>
                <w:rFonts w:cstheme="minorHAnsi"/>
                <w:b/>
                <w:sz w:val="20"/>
                <w:szCs w:val="20"/>
              </w:rPr>
              <w:t>381</w:t>
            </w:r>
          </w:p>
        </w:tc>
        <w:tc>
          <w:tcPr>
            <w:tcW w:w="850" w:type="dxa"/>
            <w:tcBorders>
              <w:top w:val="single" w:sz="4" w:space="0" w:color="auto"/>
              <w:bottom w:val="single" w:sz="4" w:space="0" w:color="auto"/>
            </w:tcBorders>
            <w:shd w:val="clear" w:color="auto" w:fill="auto"/>
          </w:tcPr>
          <w:p w:rsidR="00D907AF" w:rsidRPr="0087485F" w:rsidRDefault="00D907AF" w:rsidP="00D907AF">
            <w:pPr>
              <w:spacing w:before="10" w:after="10"/>
              <w:jc w:val="right"/>
              <w:rPr>
                <w:rFonts w:cstheme="minorHAnsi"/>
                <w:b/>
                <w:sz w:val="20"/>
                <w:szCs w:val="20"/>
              </w:rPr>
            </w:pPr>
            <w:r w:rsidRPr="0087485F">
              <w:rPr>
                <w:rFonts w:cstheme="minorHAnsi"/>
                <w:b/>
                <w:sz w:val="20"/>
                <w:szCs w:val="20"/>
              </w:rPr>
              <w:t>100</w:t>
            </w:r>
          </w:p>
        </w:tc>
        <w:tc>
          <w:tcPr>
            <w:tcW w:w="1276" w:type="dxa"/>
            <w:tcBorders>
              <w:top w:val="single" w:sz="4" w:space="0" w:color="auto"/>
              <w:bottom w:val="single" w:sz="4" w:space="0" w:color="auto"/>
            </w:tcBorders>
            <w:shd w:val="clear" w:color="auto" w:fill="auto"/>
          </w:tcPr>
          <w:p w:rsidR="00D907AF" w:rsidRPr="0087485F" w:rsidRDefault="00D907AF" w:rsidP="00950E79">
            <w:pPr>
              <w:spacing w:before="10" w:after="10"/>
              <w:ind w:right="284"/>
              <w:jc w:val="right"/>
              <w:rPr>
                <w:rFonts w:cstheme="minorHAnsi"/>
                <w:b/>
                <w:sz w:val="20"/>
                <w:szCs w:val="20"/>
              </w:rPr>
            </w:pPr>
            <w:r w:rsidRPr="0087485F">
              <w:rPr>
                <w:rFonts w:cstheme="minorHAnsi"/>
                <w:b/>
                <w:sz w:val="20"/>
                <w:szCs w:val="20"/>
              </w:rPr>
              <w:t>324</w:t>
            </w:r>
          </w:p>
        </w:tc>
        <w:tc>
          <w:tcPr>
            <w:tcW w:w="1418" w:type="dxa"/>
            <w:tcBorders>
              <w:top w:val="single" w:sz="4" w:space="0" w:color="auto"/>
              <w:bottom w:val="single" w:sz="4" w:space="0" w:color="auto"/>
            </w:tcBorders>
            <w:shd w:val="clear" w:color="auto" w:fill="auto"/>
          </w:tcPr>
          <w:p w:rsidR="00D907AF" w:rsidRPr="005D028F" w:rsidRDefault="00D907AF" w:rsidP="00950E79">
            <w:pPr>
              <w:spacing w:before="10" w:after="10"/>
              <w:ind w:right="318"/>
              <w:jc w:val="right"/>
              <w:rPr>
                <w:rFonts w:cstheme="minorHAnsi"/>
                <w:b/>
                <w:color w:val="000000"/>
                <w:sz w:val="20"/>
                <w:szCs w:val="20"/>
              </w:rPr>
            </w:pPr>
            <w:r w:rsidRPr="005D028F">
              <w:rPr>
                <w:rFonts w:cstheme="minorHAnsi"/>
                <w:b/>
                <w:color w:val="000000"/>
                <w:sz w:val="20"/>
                <w:szCs w:val="20"/>
              </w:rPr>
              <w:t>100</w:t>
            </w:r>
          </w:p>
        </w:tc>
        <w:tc>
          <w:tcPr>
            <w:tcW w:w="850" w:type="dxa"/>
            <w:tcBorders>
              <w:top w:val="single" w:sz="4" w:space="0" w:color="auto"/>
              <w:bottom w:val="single" w:sz="4" w:space="0" w:color="auto"/>
            </w:tcBorders>
            <w:shd w:val="clear" w:color="auto" w:fill="auto"/>
          </w:tcPr>
          <w:p w:rsidR="00D907AF" w:rsidRPr="0087485F" w:rsidRDefault="00D907AF" w:rsidP="009508E4">
            <w:pPr>
              <w:spacing w:before="10" w:after="10"/>
              <w:ind w:right="113"/>
              <w:jc w:val="right"/>
              <w:rPr>
                <w:rFonts w:cstheme="minorHAnsi"/>
                <w:b/>
                <w:sz w:val="20"/>
                <w:szCs w:val="20"/>
              </w:rPr>
            </w:pPr>
            <w:r w:rsidRPr="0087485F">
              <w:rPr>
                <w:rFonts w:cstheme="minorHAnsi"/>
                <w:b/>
                <w:sz w:val="20"/>
                <w:szCs w:val="20"/>
              </w:rPr>
              <w:t>705</w:t>
            </w:r>
          </w:p>
        </w:tc>
        <w:tc>
          <w:tcPr>
            <w:tcW w:w="992" w:type="dxa"/>
            <w:tcBorders>
              <w:top w:val="single" w:sz="4" w:space="0" w:color="auto"/>
              <w:bottom w:val="single" w:sz="4" w:space="0" w:color="auto"/>
            </w:tcBorders>
            <w:shd w:val="clear" w:color="auto" w:fill="auto"/>
          </w:tcPr>
          <w:p w:rsidR="00D907AF" w:rsidRPr="0087485F" w:rsidRDefault="00D907AF" w:rsidP="005D028F">
            <w:pPr>
              <w:spacing w:before="10" w:after="10"/>
              <w:ind w:right="113"/>
              <w:jc w:val="right"/>
              <w:rPr>
                <w:rFonts w:cstheme="minorHAnsi"/>
                <w:b/>
                <w:sz w:val="20"/>
                <w:szCs w:val="20"/>
              </w:rPr>
            </w:pPr>
            <w:r w:rsidRPr="0087485F">
              <w:rPr>
                <w:rFonts w:cstheme="minorHAnsi"/>
                <w:b/>
                <w:sz w:val="20"/>
                <w:szCs w:val="20"/>
              </w:rPr>
              <w:t>100</w:t>
            </w:r>
          </w:p>
        </w:tc>
      </w:tr>
    </w:tbl>
    <w:p w:rsidR="00D907AF" w:rsidRPr="00660446" w:rsidRDefault="00D907AF" w:rsidP="006C7BE7">
      <w:pPr>
        <w:pStyle w:val="NILSTabletext"/>
      </w:pPr>
      <w:r w:rsidRPr="00660446">
        <w:t xml:space="preserve">Note: </w:t>
      </w:r>
      <w:r>
        <w:t>t</w:t>
      </w:r>
      <w:r w:rsidRPr="00660446">
        <w:t xml:space="preserve">rial and </w:t>
      </w:r>
      <w:r>
        <w:t>comparison</w:t>
      </w:r>
      <w:r w:rsidRPr="00660446">
        <w:t xml:space="preserve"> aged 16 and above current</w:t>
      </w:r>
      <w:r>
        <w:t xml:space="preserve">ly </w:t>
      </w:r>
      <w:r w:rsidRPr="00660446">
        <w:t>receiving supports</w:t>
      </w:r>
      <w:r>
        <w:t>.</w:t>
      </w:r>
    </w:p>
    <w:p w:rsidR="003A2B16" w:rsidRDefault="003A2B16">
      <w:r>
        <w:br w:type="page"/>
      </w:r>
    </w:p>
    <w:p w:rsidR="008C00B5" w:rsidRDefault="00D907AF">
      <w:r>
        <w:lastRenderedPageBreak/>
        <w:t xml:space="preserve">A similar picture is observed in the proportion of people with disability who reported having some or a lot of say over the decisions about what supports they received. Over 70 per cent of the trial group compared to 54 .3 per cent of the comparison group reported having either some or a lot of say over the decisions about what supports they received. Again, a higher percentage of the comparison group did not answer the question, at 7.9 per cent compared to 4.7 per cent of the trial group. </w:t>
      </w:r>
    </w:p>
    <w:p w:rsidR="00D907AF" w:rsidRPr="00233E8A" w:rsidRDefault="00D907AF" w:rsidP="0044684E">
      <w:pPr>
        <w:pStyle w:val="NILSTableHeading"/>
      </w:pPr>
      <w:bookmarkStart w:id="441" w:name="_Toc428280715"/>
      <w:bookmarkStart w:id="442" w:name="_Toc449955326"/>
      <w:r w:rsidRPr="00233E8A">
        <w:t xml:space="preserve">Table </w:t>
      </w:r>
      <w:r>
        <w:rPr>
          <w:rFonts w:hint="eastAsia"/>
        </w:rPr>
        <w:t>3.6</w:t>
      </w:r>
      <w:r>
        <w:t>4</w:t>
      </w:r>
      <w:r w:rsidRPr="00233E8A">
        <w:t xml:space="preserve">: </w:t>
      </w:r>
      <w:r>
        <w:t>How much</w:t>
      </w:r>
      <w:r w:rsidRPr="004D3540">
        <w:t xml:space="preserve"> say over decisions about what supp</w:t>
      </w:r>
      <w:r>
        <w:rPr>
          <w:rFonts w:hint="eastAsia"/>
        </w:rPr>
        <w:t>ort</w:t>
      </w:r>
      <w:r>
        <w:t>s</w:t>
      </w:r>
      <w:r>
        <w:rPr>
          <w:rFonts w:hint="eastAsia"/>
        </w:rPr>
        <w:t xml:space="preserve"> to receive</w:t>
      </w:r>
      <w:bookmarkEnd w:id="441"/>
      <w:bookmarkEnd w:id="442"/>
      <w:r>
        <w:rPr>
          <w:rFonts w:hint="eastAsia"/>
        </w:rPr>
        <w:t xml:space="preserve"> </w:t>
      </w:r>
    </w:p>
    <w:tbl>
      <w:tblPr>
        <w:tblStyle w:val="TableGrid"/>
        <w:tblW w:w="0" w:type="auto"/>
        <w:tblLayout w:type="fixed"/>
        <w:tblLook w:val="04A0" w:firstRow="1" w:lastRow="0" w:firstColumn="1" w:lastColumn="0" w:noHBand="0" w:noVBand="1"/>
        <w:tblCaption w:val="Table 3.64 How much say over decisions about what supports to receive "/>
      </w:tblPr>
      <w:tblGrid>
        <w:gridCol w:w="3085"/>
        <w:gridCol w:w="709"/>
        <w:gridCol w:w="850"/>
        <w:gridCol w:w="1237"/>
        <w:gridCol w:w="1418"/>
        <w:gridCol w:w="850"/>
        <w:gridCol w:w="992"/>
      </w:tblGrid>
      <w:tr w:rsidR="003E61CE" w:rsidRPr="0087485F" w:rsidTr="003F3AA4">
        <w:trPr>
          <w:cantSplit/>
          <w:tblHeader/>
        </w:trPr>
        <w:tc>
          <w:tcPr>
            <w:tcW w:w="3085" w:type="dxa"/>
            <w:tcBorders>
              <w:top w:val="single" w:sz="4" w:space="0" w:color="auto"/>
              <w:bottom w:val="single" w:sz="4" w:space="0" w:color="auto"/>
            </w:tcBorders>
            <w:shd w:val="clear" w:color="auto" w:fill="auto"/>
          </w:tcPr>
          <w:p w:rsidR="00D907AF" w:rsidRPr="0087485F" w:rsidRDefault="00D907AF" w:rsidP="00D907AF">
            <w:pPr>
              <w:spacing w:before="10" w:after="10"/>
              <w:rPr>
                <w:rFonts w:cstheme="minorHAnsi"/>
                <w:sz w:val="20"/>
                <w:szCs w:val="20"/>
              </w:rPr>
            </w:pPr>
            <w:bookmarkStart w:id="443" w:name="Title_3_64"/>
            <w:bookmarkEnd w:id="443"/>
          </w:p>
        </w:tc>
        <w:tc>
          <w:tcPr>
            <w:tcW w:w="709" w:type="dxa"/>
            <w:tcBorders>
              <w:top w:val="single" w:sz="4" w:space="0" w:color="auto"/>
              <w:bottom w:val="single" w:sz="4" w:space="0" w:color="auto"/>
            </w:tcBorders>
            <w:shd w:val="clear" w:color="auto" w:fill="auto"/>
          </w:tcPr>
          <w:p w:rsidR="00D907AF" w:rsidRPr="0087485F" w:rsidRDefault="003E61CE" w:rsidP="003E61CE">
            <w:pPr>
              <w:spacing w:before="10" w:after="10"/>
              <w:jc w:val="center"/>
              <w:rPr>
                <w:rFonts w:cstheme="minorHAnsi"/>
                <w:sz w:val="20"/>
                <w:szCs w:val="20"/>
              </w:rPr>
            </w:pPr>
            <w:r>
              <w:rPr>
                <w:rFonts w:cstheme="minorHAnsi"/>
                <w:sz w:val="20"/>
                <w:szCs w:val="20"/>
              </w:rPr>
              <w:t>Trial</w:t>
            </w:r>
            <w:r w:rsidR="003F3AA4">
              <w:rPr>
                <w:rFonts w:cstheme="minorHAnsi"/>
                <w:sz w:val="20"/>
                <w:szCs w:val="20"/>
              </w:rPr>
              <w:t xml:space="preserve"> Cases</w:t>
            </w:r>
          </w:p>
        </w:tc>
        <w:tc>
          <w:tcPr>
            <w:tcW w:w="850" w:type="dxa"/>
            <w:tcBorders>
              <w:top w:val="single" w:sz="4" w:space="0" w:color="auto"/>
              <w:bottom w:val="single" w:sz="4" w:space="0" w:color="auto"/>
            </w:tcBorders>
            <w:shd w:val="clear" w:color="auto" w:fill="auto"/>
          </w:tcPr>
          <w:p w:rsidR="00B8777F" w:rsidRDefault="003E61CE" w:rsidP="003E61CE">
            <w:pPr>
              <w:spacing w:before="10" w:after="10"/>
              <w:jc w:val="center"/>
              <w:rPr>
                <w:rFonts w:cstheme="minorHAnsi"/>
                <w:sz w:val="20"/>
                <w:szCs w:val="20"/>
              </w:rPr>
            </w:pPr>
            <w:r>
              <w:rPr>
                <w:rFonts w:cstheme="minorHAnsi"/>
                <w:sz w:val="20"/>
                <w:szCs w:val="20"/>
              </w:rPr>
              <w:t xml:space="preserve">Trial </w:t>
            </w:r>
          </w:p>
          <w:p w:rsidR="00D907AF" w:rsidRPr="0087485F" w:rsidRDefault="00D907AF" w:rsidP="003E61CE">
            <w:pPr>
              <w:spacing w:before="10" w:after="10"/>
              <w:jc w:val="center"/>
              <w:rPr>
                <w:rFonts w:cstheme="minorHAnsi"/>
                <w:sz w:val="20"/>
                <w:szCs w:val="20"/>
              </w:rPr>
            </w:pPr>
            <w:r w:rsidRPr="0087485F">
              <w:rPr>
                <w:rFonts w:cstheme="minorHAnsi"/>
                <w:sz w:val="20"/>
                <w:szCs w:val="20"/>
              </w:rPr>
              <w:t>%</w:t>
            </w:r>
          </w:p>
        </w:tc>
        <w:tc>
          <w:tcPr>
            <w:tcW w:w="1237" w:type="dxa"/>
            <w:tcBorders>
              <w:top w:val="single" w:sz="4" w:space="0" w:color="auto"/>
              <w:bottom w:val="single" w:sz="4" w:space="0" w:color="auto"/>
            </w:tcBorders>
            <w:shd w:val="clear" w:color="auto" w:fill="auto"/>
          </w:tcPr>
          <w:p w:rsidR="00D907AF" w:rsidRPr="0087485F" w:rsidRDefault="003E61CE" w:rsidP="003E61CE">
            <w:pPr>
              <w:spacing w:before="10" w:after="10"/>
              <w:jc w:val="center"/>
              <w:rPr>
                <w:rFonts w:cstheme="minorHAnsi"/>
                <w:sz w:val="20"/>
                <w:szCs w:val="20"/>
              </w:rPr>
            </w:pPr>
            <w:r>
              <w:rPr>
                <w:rFonts w:cstheme="minorHAnsi"/>
                <w:sz w:val="20"/>
                <w:szCs w:val="20"/>
              </w:rPr>
              <w:t>Comparison</w:t>
            </w:r>
            <w:r w:rsidR="003F3AA4">
              <w:rPr>
                <w:rFonts w:cstheme="minorHAnsi"/>
                <w:sz w:val="20"/>
                <w:szCs w:val="20"/>
              </w:rPr>
              <w:t xml:space="preserve"> Cases</w:t>
            </w:r>
          </w:p>
        </w:tc>
        <w:tc>
          <w:tcPr>
            <w:tcW w:w="1418" w:type="dxa"/>
            <w:tcBorders>
              <w:top w:val="single" w:sz="4" w:space="0" w:color="auto"/>
              <w:bottom w:val="single" w:sz="4" w:space="0" w:color="auto"/>
            </w:tcBorders>
            <w:shd w:val="clear" w:color="auto" w:fill="auto"/>
          </w:tcPr>
          <w:p w:rsidR="00B8777F" w:rsidRDefault="003E61CE" w:rsidP="003E61CE">
            <w:pPr>
              <w:spacing w:before="10" w:after="10"/>
              <w:jc w:val="center"/>
              <w:rPr>
                <w:rFonts w:cstheme="minorHAnsi"/>
                <w:sz w:val="20"/>
                <w:szCs w:val="20"/>
              </w:rPr>
            </w:pPr>
            <w:r>
              <w:rPr>
                <w:rFonts w:cstheme="minorHAnsi"/>
                <w:sz w:val="20"/>
                <w:szCs w:val="20"/>
              </w:rPr>
              <w:t>Comparison</w:t>
            </w:r>
          </w:p>
          <w:p w:rsidR="00D907AF" w:rsidRPr="0087485F" w:rsidRDefault="00D907AF" w:rsidP="003E61CE">
            <w:pPr>
              <w:spacing w:before="10" w:after="10"/>
              <w:jc w:val="center"/>
              <w:rPr>
                <w:rFonts w:cstheme="minorHAnsi"/>
                <w:sz w:val="20"/>
                <w:szCs w:val="20"/>
              </w:rPr>
            </w:pPr>
            <w:r w:rsidRPr="0087485F">
              <w:rPr>
                <w:rFonts w:cstheme="minorHAnsi"/>
                <w:sz w:val="20"/>
                <w:szCs w:val="20"/>
              </w:rPr>
              <w:t>%</w:t>
            </w:r>
          </w:p>
        </w:tc>
        <w:tc>
          <w:tcPr>
            <w:tcW w:w="850" w:type="dxa"/>
            <w:tcBorders>
              <w:top w:val="single" w:sz="4" w:space="0" w:color="auto"/>
              <w:bottom w:val="single" w:sz="4" w:space="0" w:color="auto"/>
            </w:tcBorders>
            <w:shd w:val="clear" w:color="auto" w:fill="auto"/>
          </w:tcPr>
          <w:p w:rsidR="00D907AF" w:rsidRPr="0087485F" w:rsidRDefault="003E61CE" w:rsidP="003E61CE">
            <w:pPr>
              <w:spacing w:before="10" w:after="10"/>
              <w:jc w:val="center"/>
              <w:rPr>
                <w:rFonts w:cstheme="minorHAnsi"/>
                <w:sz w:val="20"/>
                <w:szCs w:val="20"/>
              </w:rPr>
            </w:pPr>
            <w:r>
              <w:rPr>
                <w:rFonts w:cstheme="minorHAnsi"/>
                <w:sz w:val="20"/>
                <w:szCs w:val="20"/>
              </w:rPr>
              <w:t>Total</w:t>
            </w:r>
            <w:r w:rsidR="003F3AA4">
              <w:rPr>
                <w:rFonts w:cstheme="minorHAnsi"/>
                <w:sz w:val="20"/>
                <w:szCs w:val="20"/>
              </w:rPr>
              <w:t xml:space="preserve"> Cases</w:t>
            </w:r>
          </w:p>
        </w:tc>
        <w:tc>
          <w:tcPr>
            <w:tcW w:w="992" w:type="dxa"/>
            <w:tcBorders>
              <w:top w:val="single" w:sz="4" w:space="0" w:color="auto"/>
              <w:bottom w:val="single" w:sz="4" w:space="0" w:color="auto"/>
            </w:tcBorders>
            <w:shd w:val="clear" w:color="auto" w:fill="auto"/>
          </w:tcPr>
          <w:p w:rsidR="00B8777F" w:rsidRDefault="003E61CE" w:rsidP="003E61CE">
            <w:pPr>
              <w:spacing w:before="10" w:after="10"/>
              <w:jc w:val="center"/>
              <w:rPr>
                <w:rFonts w:cstheme="minorHAnsi"/>
                <w:sz w:val="20"/>
                <w:szCs w:val="20"/>
              </w:rPr>
            </w:pPr>
            <w:r>
              <w:rPr>
                <w:rFonts w:cstheme="minorHAnsi"/>
                <w:sz w:val="20"/>
                <w:szCs w:val="20"/>
              </w:rPr>
              <w:t xml:space="preserve">Total </w:t>
            </w:r>
          </w:p>
          <w:p w:rsidR="00D907AF" w:rsidRPr="0087485F" w:rsidRDefault="00D907AF" w:rsidP="003E61CE">
            <w:pPr>
              <w:spacing w:before="10" w:after="10"/>
              <w:jc w:val="center"/>
              <w:rPr>
                <w:rFonts w:cstheme="minorHAnsi"/>
                <w:sz w:val="20"/>
                <w:szCs w:val="20"/>
              </w:rPr>
            </w:pPr>
            <w:r w:rsidRPr="0087485F">
              <w:rPr>
                <w:rFonts w:cstheme="minorHAnsi"/>
                <w:sz w:val="20"/>
                <w:szCs w:val="20"/>
              </w:rPr>
              <w:t>%</w:t>
            </w:r>
          </w:p>
        </w:tc>
      </w:tr>
      <w:tr w:rsidR="00D907AF" w:rsidRPr="0087485F" w:rsidTr="003F3AA4">
        <w:tc>
          <w:tcPr>
            <w:tcW w:w="3085" w:type="dxa"/>
            <w:shd w:val="clear" w:color="auto" w:fill="auto"/>
          </w:tcPr>
          <w:p w:rsidR="00D907AF" w:rsidRPr="0087485F" w:rsidRDefault="00D907AF" w:rsidP="00D907AF">
            <w:pPr>
              <w:spacing w:before="10" w:after="10"/>
              <w:rPr>
                <w:rFonts w:cstheme="minorHAnsi"/>
                <w:sz w:val="20"/>
                <w:szCs w:val="20"/>
              </w:rPr>
            </w:pPr>
            <w:r w:rsidRPr="0087485F">
              <w:rPr>
                <w:rFonts w:cstheme="minorHAnsi"/>
                <w:sz w:val="20"/>
                <w:szCs w:val="20"/>
              </w:rPr>
              <w:t>A lot of say</w:t>
            </w:r>
          </w:p>
        </w:tc>
        <w:tc>
          <w:tcPr>
            <w:tcW w:w="709" w:type="dxa"/>
            <w:shd w:val="clear" w:color="auto" w:fill="auto"/>
            <w:vAlign w:val="center"/>
          </w:tcPr>
          <w:p w:rsidR="00D907AF" w:rsidRPr="0087485F" w:rsidRDefault="00D907AF" w:rsidP="003E61CE">
            <w:pPr>
              <w:spacing w:before="10" w:after="10"/>
              <w:jc w:val="center"/>
              <w:rPr>
                <w:rFonts w:cstheme="minorHAnsi"/>
                <w:color w:val="000000"/>
                <w:sz w:val="20"/>
                <w:szCs w:val="20"/>
              </w:rPr>
            </w:pPr>
            <w:r w:rsidRPr="0087485F">
              <w:rPr>
                <w:rFonts w:cstheme="minorHAnsi"/>
                <w:color w:val="000000"/>
                <w:sz w:val="20"/>
                <w:szCs w:val="20"/>
              </w:rPr>
              <w:t>170</w:t>
            </w:r>
          </w:p>
        </w:tc>
        <w:tc>
          <w:tcPr>
            <w:tcW w:w="850" w:type="dxa"/>
            <w:shd w:val="clear" w:color="auto" w:fill="auto"/>
            <w:vAlign w:val="center"/>
          </w:tcPr>
          <w:p w:rsidR="00D907AF" w:rsidRPr="0087485F" w:rsidRDefault="00D907AF" w:rsidP="003E61CE">
            <w:pPr>
              <w:spacing w:before="10" w:after="10"/>
              <w:jc w:val="center"/>
              <w:rPr>
                <w:rFonts w:cstheme="minorHAnsi"/>
                <w:color w:val="000000"/>
                <w:sz w:val="20"/>
                <w:szCs w:val="20"/>
              </w:rPr>
            </w:pPr>
            <w:r w:rsidRPr="0087485F">
              <w:rPr>
                <w:rFonts w:cstheme="minorHAnsi"/>
                <w:color w:val="000000"/>
                <w:sz w:val="20"/>
                <w:szCs w:val="20"/>
              </w:rPr>
              <w:t>44.6</w:t>
            </w:r>
          </w:p>
        </w:tc>
        <w:tc>
          <w:tcPr>
            <w:tcW w:w="1237" w:type="dxa"/>
            <w:shd w:val="clear" w:color="auto" w:fill="auto"/>
            <w:vAlign w:val="center"/>
          </w:tcPr>
          <w:p w:rsidR="00D907AF" w:rsidRPr="0087485F" w:rsidRDefault="00D907AF" w:rsidP="003E61CE">
            <w:pPr>
              <w:spacing w:before="10" w:after="10"/>
              <w:jc w:val="center"/>
              <w:rPr>
                <w:rFonts w:cstheme="minorHAnsi"/>
                <w:color w:val="000000"/>
                <w:sz w:val="20"/>
                <w:szCs w:val="20"/>
              </w:rPr>
            </w:pPr>
            <w:r w:rsidRPr="0087485F">
              <w:rPr>
                <w:rFonts w:cstheme="minorHAnsi"/>
                <w:color w:val="000000"/>
                <w:sz w:val="20"/>
                <w:szCs w:val="20"/>
              </w:rPr>
              <w:t>103</w:t>
            </w:r>
          </w:p>
        </w:tc>
        <w:tc>
          <w:tcPr>
            <w:tcW w:w="1418" w:type="dxa"/>
            <w:shd w:val="clear" w:color="auto" w:fill="auto"/>
            <w:vAlign w:val="center"/>
          </w:tcPr>
          <w:p w:rsidR="00D907AF" w:rsidRPr="0087485F" w:rsidRDefault="00D907AF" w:rsidP="003E61CE">
            <w:pPr>
              <w:spacing w:before="10" w:after="10"/>
              <w:jc w:val="center"/>
              <w:rPr>
                <w:rFonts w:cstheme="minorHAnsi"/>
                <w:color w:val="000000"/>
                <w:sz w:val="20"/>
                <w:szCs w:val="20"/>
              </w:rPr>
            </w:pPr>
            <w:r w:rsidRPr="0087485F">
              <w:rPr>
                <w:rFonts w:cstheme="minorHAnsi"/>
                <w:color w:val="000000"/>
                <w:sz w:val="20"/>
                <w:szCs w:val="20"/>
              </w:rPr>
              <w:t>31.8</w:t>
            </w:r>
          </w:p>
        </w:tc>
        <w:tc>
          <w:tcPr>
            <w:tcW w:w="850" w:type="dxa"/>
            <w:shd w:val="clear" w:color="auto" w:fill="auto"/>
            <w:vAlign w:val="center"/>
          </w:tcPr>
          <w:p w:rsidR="00D907AF" w:rsidRPr="0087485F" w:rsidRDefault="00D907AF" w:rsidP="003E61CE">
            <w:pPr>
              <w:spacing w:before="10" w:after="10"/>
              <w:jc w:val="center"/>
              <w:rPr>
                <w:rFonts w:cstheme="minorHAnsi"/>
                <w:color w:val="000000"/>
                <w:sz w:val="20"/>
                <w:szCs w:val="20"/>
              </w:rPr>
            </w:pPr>
            <w:r w:rsidRPr="0087485F">
              <w:rPr>
                <w:rFonts w:cstheme="minorHAnsi"/>
                <w:color w:val="000000"/>
                <w:sz w:val="20"/>
                <w:szCs w:val="20"/>
              </w:rPr>
              <w:t>273</w:t>
            </w:r>
          </w:p>
        </w:tc>
        <w:tc>
          <w:tcPr>
            <w:tcW w:w="992" w:type="dxa"/>
            <w:shd w:val="clear" w:color="auto" w:fill="auto"/>
            <w:vAlign w:val="center"/>
          </w:tcPr>
          <w:p w:rsidR="00D907AF" w:rsidRPr="0087485F" w:rsidRDefault="00D907AF" w:rsidP="003E61CE">
            <w:pPr>
              <w:spacing w:before="10" w:after="10"/>
              <w:jc w:val="center"/>
              <w:rPr>
                <w:rFonts w:cstheme="minorHAnsi"/>
                <w:color w:val="000000"/>
                <w:sz w:val="20"/>
                <w:szCs w:val="20"/>
              </w:rPr>
            </w:pPr>
            <w:r w:rsidRPr="0087485F">
              <w:rPr>
                <w:rFonts w:cstheme="minorHAnsi"/>
                <w:color w:val="000000"/>
                <w:sz w:val="20"/>
                <w:szCs w:val="20"/>
              </w:rPr>
              <w:t>38.7</w:t>
            </w:r>
          </w:p>
        </w:tc>
      </w:tr>
      <w:tr w:rsidR="00D907AF" w:rsidRPr="0087485F" w:rsidTr="003F3AA4">
        <w:tc>
          <w:tcPr>
            <w:tcW w:w="3085" w:type="dxa"/>
            <w:shd w:val="clear" w:color="auto" w:fill="auto"/>
          </w:tcPr>
          <w:p w:rsidR="00D907AF" w:rsidRPr="0087485F" w:rsidRDefault="00D907AF" w:rsidP="00D907AF">
            <w:pPr>
              <w:spacing w:before="10" w:after="10"/>
              <w:rPr>
                <w:rFonts w:cstheme="minorHAnsi"/>
                <w:sz w:val="20"/>
                <w:szCs w:val="20"/>
              </w:rPr>
            </w:pPr>
            <w:r w:rsidRPr="0087485F">
              <w:rPr>
                <w:rFonts w:cstheme="minorHAnsi"/>
                <w:sz w:val="20"/>
                <w:szCs w:val="20"/>
              </w:rPr>
              <w:t>Some say</w:t>
            </w:r>
          </w:p>
        </w:tc>
        <w:tc>
          <w:tcPr>
            <w:tcW w:w="709" w:type="dxa"/>
            <w:shd w:val="clear" w:color="auto" w:fill="auto"/>
            <w:vAlign w:val="center"/>
          </w:tcPr>
          <w:p w:rsidR="00D907AF" w:rsidRPr="0087485F" w:rsidRDefault="00D907AF" w:rsidP="003E61CE">
            <w:pPr>
              <w:spacing w:before="10" w:after="10"/>
              <w:jc w:val="center"/>
              <w:rPr>
                <w:rFonts w:cstheme="minorHAnsi"/>
                <w:color w:val="000000"/>
                <w:sz w:val="20"/>
                <w:szCs w:val="20"/>
              </w:rPr>
            </w:pPr>
            <w:r w:rsidRPr="0087485F">
              <w:rPr>
                <w:rFonts w:cstheme="minorHAnsi"/>
                <w:color w:val="000000"/>
                <w:sz w:val="20"/>
                <w:szCs w:val="20"/>
              </w:rPr>
              <w:t>97</w:t>
            </w:r>
          </w:p>
        </w:tc>
        <w:tc>
          <w:tcPr>
            <w:tcW w:w="850" w:type="dxa"/>
            <w:shd w:val="clear" w:color="auto" w:fill="auto"/>
            <w:vAlign w:val="center"/>
          </w:tcPr>
          <w:p w:rsidR="00D907AF" w:rsidRPr="0087485F" w:rsidRDefault="00D907AF" w:rsidP="003E61CE">
            <w:pPr>
              <w:spacing w:before="10" w:after="10"/>
              <w:jc w:val="center"/>
              <w:rPr>
                <w:rFonts w:cstheme="minorHAnsi"/>
                <w:color w:val="000000"/>
                <w:sz w:val="20"/>
                <w:szCs w:val="20"/>
              </w:rPr>
            </w:pPr>
            <w:r w:rsidRPr="0087485F">
              <w:rPr>
                <w:rFonts w:cstheme="minorHAnsi"/>
                <w:color w:val="000000"/>
                <w:sz w:val="20"/>
                <w:szCs w:val="20"/>
              </w:rPr>
              <w:t>25.5</w:t>
            </w:r>
          </w:p>
        </w:tc>
        <w:tc>
          <w:tcPr>
            <w:tcW w:w="1237" w:type="dxa"/>
            <w:shd w:val="clear" w:color="auto" w:fill="auto"/>
            <w:vAlign w:val="center"/>
          </w:tcPr>
          <w:p w:rsidR="00D907AF" w:rsidRPr="0087485F" w:rsidRDefault="00D907AF" w:rsidP="003E61CE">
            <w:pPr>
              <w:spacing w:before="10" w:after="10"/>
              <w:jc w:val="center"/>
              <w:rPr>
                <w:rFonts w:cstheme="minorHAnsi"/>
                <w:color w:val="000000"/>
                <w:sz w:val="20"/>
                <w:szCs w:val="20"/>
              </w:rPr>
            </w:pPr>
            <w:r w:rsidRPr="0087485F">
              <w:rPr>
                <w:rFonts w:cstheme="minorHAnsi"/>
                <w:color w:val="000000"/>
                <w:sz w:val="20"/>
                <w:szCs w:val="20"/>
              </w:rPr>
              <w:t>73</w:t>
            </w:r>
          </w:p>
        </w:tc>
        <w:tc>
          <w:tcPr>
            <w:tcW w:w="1418" w:type="dxa"/>
            <w:shd w:val="clear" w:color="auto" w:fill="auto"/>
            <w:vAlign w:val="center"/>
          </w:tcPr>
          <w:p w:rsidR="00D907AF" w:rsidRPr="0087485F" w:rsidRDefault="00D907AF" w:rsidP="003E61CE">
            <w:pPr>
              <w:spacing w:before="10" w:after="10"/>
              <w:jc w:val="center"/>
              <w:rPr>
                <w:rFonts w:cstheme="minorHAnsi"/>
                <w:color w:val="000000"/>
                <w:sz w:val="20"/>
                <w:szCs w:val="20"/>
              </w:rPr>
            </w:pPr>
            <w:r w:rsidRPr="0087485F">
              <w:rPr>
                <w:rFonts w:cstheme="minorHAnsi"/>
                <w:color w:val="000000"/>
                <w:sz w:val="20"/>
                <w:szCs w:val="20"/>
              </w:rPr>
              <w:t>22.5</w:t>
            </w:r>
          </w:p>
        </w:tc>
        <w:tc>
          <w:tcPr>
            <w:tcW w:w="850" w:type="dxa"/>
            <w:shd w:val="clear" w:color="auto" w:fill="auto"/>
            <w:vAlign w:val="center"/>
          </w:tcPr>
          <w:p w:rsidR="00D907AF" w:rsidRPr="0087485F" w:rsidRDefault="00D907AF" w:rsidP="003E61CE">
            <w:pPr>
              <w:spacing w:before="10" w:after="10"/>
              <w:jc w:val="center"/>
              <w:rPr>
                <w:rFonts w:cstheme="minorHAnsi"/>
                <w:color w:val="000000"/>
                <w:sz w:val="20"/>
                <w:szCs w:val="20"/>
              </w:rPr>
            </w:pPr>
            <w:r w:rsidRPr="0087485F">
              <w:rPr>
                <w:rFonts w:cstheme="minorHAnsi"/>
                <w:color w:val="000000"/>
                <w:sz w:val="20"/>
                <w:szCs w:val="20"/>
              </w:rPr>
              <w:t>170</w:t>
            </w:r>
          </w:p>
        </w:tc>
        <w:tc>
          <w:tcPr>
            <w:tcW w:w="992" w:type="dxa"/>
            <w:shd w:val="clear" w:color="auto" w:fill="auto"/>
            <w:vAlign w:val="center"/>
          </w:tcPr>
          <w:p w:rsidR="00D907AF" w:rsidRPr="0087485F" w:rsidRDefault="00D907AF" w:rsidP="003E61CE">
            <w:pPr>
              <w:spacing w:before="10" w:after="10"/>
              <w:jc w:val="center"/>
              <w:rPr>
                <w:rFonts w:cstheme="minorHAnsi"/>
                <w:color w:val="000000"/>
                <w:sz w:val="20"/>
                <w:szCs w:val="20"/>
              </w:rPr>
            </w:pPr>
            <w:r w:rsidRPr="0087485F">
              <w:rPr>
                <w:rFonts w:cstheme="minorHAnsi"/>
                <w:color w:val="000000"/>
                <w:sz w:val="20"/>
                <w:szCs w:val="20"/>
              </w:rPr>
              <w:t>24.1</w:t>
            </w:r>
          </w:p>
        </w:tc>
      </w:tr>
      <w:tr w:rsidR="00D907AF" w:rsidRPr="0087485F" w:rsidTr="003F3AA4">
        <w:tc>
          <w:tcPr>
            <w:tcW w:w="3085" w:type="dxa"/>
            <w:shd w:val="clear" w:color="auto" w:fill="auto"/>
          </w:tcPr>
          <w:p w:rsidR="00D907AF" w:rsidRPr="0087485F" w:rsidRDefault="00D907AF" w:rsidP="00D907AF">
            <w:pPr>
              <w:spacing w:before="10" w:after="10"/>
              <w:rPr>
                <w:rFonts w:cstheme="minorHAnsi"/>
                <w:sz w:val="20"/>
                <w:szCs w:val="20"/>
              </w:rPr>
            </w:pPr>
            <w:r w:rsidRPr="0087485F">
              <w:rPr>
                <w:rFonts w:cstheme="minorHAnsi"/>
                <w:sz w:val="20"/>
                <w:szCs w:val="20"/>
              </w:rPr>
              <w:t>Little say</w:t>
            </w:r>
          </w:p>
        </w:tc>
        <w:tc>
          <w:tcPr>
            <w:tcW w:w="709" w:type="dxa"/>
            <w:shd w:val="clear" w:color="auto" w:fill="auto"/>
            <w:vAlign w:val="center"/>
          </w:tcPr>
          <w:p w:rsidR="00D907AF" w:rsidRPr="0087485F" w:rsidRDefault="00D907AF" w:rsidP="003E61CE">
            <w:pPr>
              <w:spacing w:before="10" w:after="10"/>
              <w:jc w:val="center"/>
              <w:rPr>
                <w:rFonts w:cstheme="minorHAnsi"/>
                <w:color w:val="000000"/>
                <w:sz w:val="20"/>
                <w:szCs w:val="20"/>
              </w:rPr>
            </w:pPr>
            <w:r w:rsidRPr="0087485F">
              <w:rPr>
                <w:rFonts w:cstheme="minorHAnsi"/>
                <w:color w:val="000000"/>
                <w:sz w:val="20"/>
                <w:szCs w:val="20"/>
              </w:rPr>
              <w:t>23</w:t>
            </w:r>
          </w:p>
        </w:tc>
        <w:tc>
          <w:tcPr>
            <w:tcW w:w="850" w:type="dxa"/>
            <w:shd w:val="clear" w:color="auto" w:fill="auto"/>
            <w:vAlign w:val="center"/>
          </w:tcPr>
          <w:p w:rsidR="00D907AF" w:rsidRPr="0087485F" w:rsidRDefault="00D907AF" w:rsidP="003E61CE">
            <w:pPr>
              <w:spacing w:before="10" w:after="10"/>
              <w:jc w:val="center"/>
              <w:rPr>
                <w:rFonts w:cstheme="minorHAnsi"/>
                <w:color w:val="000000"/>
                <w:sz w:val="20"/>
                <w:szCs w:val="20"/>
              </w:rPr>
            </w:pPr>
            <w:r w:rsidRPr="0087485F">
              <w:rPr>
                <w:rFonts w:cstheme="minorHAnsi"/>
                <w:color w:val="000000"/>
                <w:sz w:val="20"/>
                <w:szCs w:val="20"/>
              </w:rPr>
              <w:t>6.0</w:t>
            </w:r>
          </w:p>
        </w:tc>
        <w:tc>
          <w:tcPr>
            <w:tcW w:w="1237" w:type="dxa"/>
            <w:shd w:val="clear" w:color="auto" w:fill="auto"/>
            <w:vAlign w:val="center"/>
          </w:tcPr>
          <w:p w:rsidR="00D907AF" w:rsidRPr="0087485F" w:rsidRDefault="00D907AF" w:rsidP="003E61CE">
            <w:pPr>
              <w:spacing w:before="10" w:after="10"/>
              <w:jc w:val="center"/>
              <w:rPr>
                <w:rFonts w:cstheme="minorHAnsi"/>
                <w:color w:val="000000"/>
                <w:sz w:val="20"/>
                <w:szCs w:val="20"/>
              </w:rPr>
            </w:pPr>
            <w:r w:rsidRPr="0087485F">
              <w:rPr>
                <w:rFonts w:cstheme="minorHAnsi"/>
                <w:color w:val="000000"/>
                <w:sz w:val="20"/>
                <w:szCs w:val="20"/>
              </w:rPr>
              <w:t>41</w:t>
            </w:r>
          </w:p>
        </w:tc>
        <w:tc>
          <w:tcPr>
            <w:tcW w:w="1418" w:type="dxa"/>
            <w:shd w:val="clear" w:color="auto" w:fill="auto"/>
            <w:vAlign w:val="center"/>
          </w:tcPr>
          <w:p w:rsidR="00D907AF" w:rsidRPr="0087485F" w:rsidRDefault="00D907AF" w:rsidP="003E61CE">
            <w:pPr>
              <w:spacing w:before="10" w:after="10"/>
              <w:jc w:val="center"/>
              <w:rPr>
                <w:rFonts w:cstheme="minorHAnsi"/>
                <w:color w:val="000000"/>
                <w:sz w:val="20"/>
                <w:szCs w:val="20"/>
              </w:rPr>
            </w:pPr>
            <w:r w:rsidRPr="0087485F">
              <w:rPr>
                <w:rFonts w:cstheme="minorHAnsi"/>
                <w:color w:val="000000"/>
                <w:sz w:val="20"/>
                <w:szCs w:val="20"/>
              </w:rPr>
              <w:t>12.7</w:t>
            </w:r>
          </w:p>
        </w:tc>
        <w:tc>
          <w:tcPr>
            <w:tcW w:w="850" w:type="dxa"/>
            <w:shd w:val="clear" w:color="auto" w:fill="auto"/>
            <w:vAlign w:val="center"/>
          </w:tcPr>
          <w:p w:rsidR="00D907AF" w:rsidRPr="0087485F" w:rsidRDefault="00D907AF" w:rsidP="003E61CE">
            <w:pPr>
              <w:spacing w:before="10" w:after="10"/>
              <w:jc w:val="center"/>
              <w:rPr>
                <w:rFonts w:cstheme="minorHAnsi"/>
                <w:color w:val="000000"/>
                <w:sz w:val="20"/>
                <w:szCs w:val="20"/>
              </w:rPr>
            </w:pPr>
            <w:r w:rsidRPr="0087485F">
              <w:rPr>
                <w:rFonts w:cstheme="minorHAnsi"/>
                <w:color w:val="000000"/>
                <w:sz w:val="20"/>
                <w:szCs w:val="20"/>
              </w:rPr>
              <w:t>64</w:t>
            </w:r>
          </w:p>
        </w:tc>
        <w:tc>
          <w:tcPr>
            <w:tcW w:w="992" w:type="dxa"/>
            <w:shd w:val="clear" w:color="auto" w:fill="auto"/>
            <w:vAlign w:val="center"/>
          </w:tcPr>
          <w:p w:rsidR="00D907AF" w:rsidRPr="0087485F" w:rsidRDefault="00D907AF" w:rsidP="003E61CE">
            <w:pPr>
              <w:spacing w:before="10" w:after="10"/>
              <w:jc w:val="center"/>
              <w:rPr>
                <w:rFonts w:cstheme="minorHAnsi"/>
                <w:color w:val="000000"/>
                <w:sz w:val="20"/>
                <w:szCs w:val="20"/>
              </w:rPr>
            </w:pPr>
            <w:r w:rsidRPr="0087485F">
              <w:rPr>
                <w:rFonts w:cstheme="minorHAnsi"/>
                <w:color w:val="000000"/>
                <w:sz w:val="20"/>
                <w:szCs w:val="20"/>
              </w:rPr>
              <w:t>9.1</w:t>
            </w:r>
          </w:p>
        </w:tc>
      </w:tr>
      <w:tr w:rsidR="00D907AF" w:rsidRPr="0087485F" w:rsidTr="003F3AA4">
        <w:tc>
          <w:tcPr>
            <w:tcW w:w="3085" w:type="dxa"/>
            <w:shd w:val="clear" w:color="auto" w:fill="auto"/>
          </w:tcPr>
          <w:p w:rsidR="00D907AF" w:rsidRPr="0087485F" w:rsidRDefault="00D907AF" w:rsidP="00D907AF">
            <w:pPr>
              <w:spacing w:before="10" w:after="10"/>
              <w:rPr>
                <w:rFonts w:cstheme="minorHAnsi"/>
                <w:sz w:val="20"/>
                <w:szCs w:val="20"/>
              </w:rPr>
            </w:pPr>
            <w:r w:rsidRPr="0087485F">
              <w:rPr>
                <w:rFonts w:cstheme="minorHAnsi"/>
                <w:sz w:val="20"/>
                <w:szCs w:val="20"/>
              </w:rPr>
              <w:t>No say</w:t>
            </w:r>
          </w:p>
        </w:tc>
        <w:tc>
          <w:tcPr>
            <w:tcW w:w="709" w:type="dxa"/>
            <w:shd w:val="clear" w:color="auto" w:fill="auto"/>
            <w:vAlign w:val="center"/>
          </w:tcPr>
          <w:p w:rsidR="00D907AF" w:rsidRPr="0087485F" w:rsidRDefault="00D907AF" w:rsidP="003E61CE">
            <w:pPr>
              <w:spacing w:before="10" w:after="10"/>
              <w:jc w:val="center"/>
              <w:rPr>
                <w:rFonts w:cstheme="minorHAnsi"/>
                <w:color w:val="000000"/>
                <w:sz w:val="20"/>
                <w:szCs w:val="20"/>
              </w:rPr>
            </w:pPr>
            <w:r w:rsidRPr="0087485F">
              <w:rPr>
                <w:rFonts w:cstheme="minorHAnsi"/>
                <w:color w:val="000000"/>
                <w:sz w:val="20"/>
                <w:szCs w:val="20"/>
              </w:rPr>
              <w:t>31</w:t>
            </w:r>
          </w:p>
        </w:tc>
        <w:tc>
          <w:tcPr>
            <w:tcW w:w="850" w:type="dxa"/>
            <w:shd w:val="clear" w:color="auto" w:fill="auto"/>
            <w:vAlign w:val="center"/>
          </w:tcPr>
          <w:p w:rsidR="00D907AF" w:rsidRPr="0087485F" w:rsidRDefault="00D907AF" w:rsidP="003E61CE">
            <w:pPr>
              <w:spacing w:before="10" w:after="10"/>
              <w:jc w:val="center"/>
              <w:rPr>
                <w:rFonts w:cstheme="minorHAnsi"/>
                <w:color w:val="000000"/>
                <w:sz w:val="20"/>
                <w:szCs w:val="20"/>
              </w:rPr>
            </w:pPr>
            <w:r w:rsidRPr="0087485F">
              <w:rPr>
                <w:rFonts w:cstheme="minorHAnsi"/>
                <w:color w:val="000000"/>
                <w:sz w:val="20"/>
                <w:szCs w:val="20"/>
              </w:rPr>
              <w:t>8.1</w:t>
            </w:r>
          </w:p>
        </w:tc>
        <w:tc>
          <w:tcPr>
            <w:tcW w:w="1237" w:type="dxa"/>
            <w:shd w:val="clear" w:color="auto" w:fill="auto"/>
            <w:vAlign w:val="center"/>
          </w:tcPr>
          <w:p w:rsidR="00D907AF" w:rsidRPr="0087485F" w:rsidRDefault="00D907AF" w:rsidP="003E61CE">
            <w:pPr>
              <w:spacing w:before="10" w:after="10"/>
              <w:jc w:val="center"/>
              <w:rPr>
                <w:rFonts w:cstheme="minorHAnsi"/>
                <w:color w:val="000000"/>
                <w:sz w:val="20"/>
                <w:szCs w:val="20"/>
              </w:rPr>
            </w:pPr>
            <w:r w:rsidRPr="0087485F">
              <w:rPr>
                <w:rFonts w:cstheme="minorHAnsi"/>
                <w:color w:val="000000"/>
                <w:sz w:val="20"/>
                <w:szCs w:val="20"/>
              </w:rPr>
              <w:t>27</w:t>
            </w:r>
          </w:p>
        </w:tc>
        <w:tc>
          <w:tcPr>
            <w:tcW w:w="1418" w:type="dxa"/>
            <w:shd w:val="clear" w:color="auto" w:fill="auto"/>
            <w:vAlign w:val="center"/>
          </w:tcPr>
          <w:p w:rsidR="00D907AF" w:rsidRPr="0087485F" w:rsidRDefault="00D907AF" w:rsidP="003E61CE">
            <w:pPr>
              <w:spacing w:before="10" w:after="10"/>
              <w:jc w:val="center"/>
              <w:rPr>
                <w:rFonts w:cstheme="minorHAnsi"/>
                <w:color w:val="000000"/>
                <w:sz w:val="20"/>
                <w:szCs w:val="20"/>
              </w:rPr>
            </w:pPr>
            <w:r w:rsidRPr="0087485F">
              <w:rPr>
                <w:rFonts w:cstheme="minorHAnsi"/>
                <w:color w:val="000000"/>
                <w:sz w:val="20"/>
                <w:szCs w:val="20"/>
              </w:rPr>
              <w:t>8.3</w:t>
            </w:r>
          </w:p>
        </w:tc>
        <w:tc>
          <w:tcPr>
            <w:tcW w:w="850" w:type="dxa"/>
            <w:shd w:val="clear" w:color="auto" w:fill="auto"/>
            <w:vAlign w:val="center"/>
          </w:tcPr>
          <w:p w:rsidR="00D907AF" w:rsidRPr="0087485F" w:rsidRDefault="00D907AF" w:rsidP="003E61CE">
            <w:pPr>
              <w:spacing w:before="10" w:after="10"/>
              <w:jc w:val="center"/>
              <w:rPr>
                <w:rFonts w:cstheme="minorHAnsi"/>
                <w:color w:val="000000"/>
                <w:sz w:val="20"/>
                <w:szCs w:val="20"/>
              </w:rPr>
            </w:pPr>
            <w:r w:rsidRPr="0087485F">
              <w:rPr>
                <w:rFonts w:cstheme="minorHAnsi"/>
                <w:color w:val="000000"/>
                <w:sz w:val="20"/>
                <w:szCs w:val="20"/>
              </w:rPr>
              <w:t>58</w:t>
            </w:r>
          </w:p>
        </w:tc>
        <w:tc>
          <w:tcPr>
            <w:tcW w:w="992" w:type="dxa"/>
            <w:shd w:val="clear" w:color="auto" w:fill="auto"/>
            <w:vAlign w:val="center"/>
          </w:tcPr>
          <w:p w:rsidR="00D907AF" w:rsidRPr="0087485F" w:rsidRDefault="00D907AF" w:rsidP="003E61CE">
            <w:pPr>
              <w:spacing w:before="10" w:after="10"/>
              <w:jc w:val="center"/>
              <w:rPr>
                <w:rFonts w:cstheme="minorHAnsi"/>
                <w:color w:val="000000"/>
                <w:sz w:val="20"/>
                <w:szCs w:val="20"/>
              </w:rPr>
            </w:pPr>
            <w:r w:rsidRPr="0087485F">
              <w:rPr>
                <w:rFonts w:cstheme="minorHAnsi"/>
                <w:color w:val="000000"/>
                <w:sz w:val="20"/>
                <w:szCs w:val="20"/>
              </w:rPr>
              <w:t>8.2</w:t>
            </w:r>
          </w:p>
        </w:tc>
      </w:tr>
      <w:tr w:rsidR="00D907AF" w:rsidRPr="0087485F" w:rsidTr="003F3AA4">
        <w:tc>
          <w:tcPr>
            <w:tcW w:w="3085" w:type="dxa"/>
            <w:shd w:val="clear" w:color="auto" w:fill="auto"/>
          </w:tcPr>
          <w:p w:rsidR="00D907AF" w:rsidRPr="0087485F" w:rsidRDefault="00D907AF" w:rsidP="00D907AF">
            <w:pPr>
              <w:spacing w:before="10" w:after="10"/>
              <w:rPr>
                <w:rFonts w:cstheme="minorHAnsi"/>
                <w:sz w:val="20"/>
                <w:szCs w:val="20"/>
              </w:rPr>
            </w:pPr>
            <w:r w:rsidRPr="0087485F">
              <w:rPr>
                <w:rFonts w:cstheme="minorHAnsi"/>
                <w:sz w:val="20"/>
                <w:szCs w:val="20"/>
              </w:rPr>
              <w:t>It varies depending on the type of supports</w:t>
            </w:r>
          </w:p>
        </w:tc>
        <w:tc>
          <w:tcPr>
            <w:tcW w:w="709" w:type="dxa"/>
            <w:shd w:val="clear" w:color="auto" w:fill="auto"/>
            <w:vAlign w:val="center"/>
          </w:tcPr>
          <w:p w:rsidR="00D907AF" w:rsidRPr="0087485F" w:rsidRDefault="00D907AF" w:rsidP="003E61CE">
            <w:pPr>
              <w:spacing w:before="10" w:after="10"/>
              <w:jc w:val="center"/>
              <w:rPr>
                <w:rFonts w:cstheme="minorHAnsi"/>
                <w:color w:val="000000"/>
                <w:sz w:val="20"/>
                <w:szCs w:val="20"/>
              </w:rPr>
            </w:pPr>
            <w:r w:rsidRPr="0087485F">
              <w:rPr>
                <w:rFonts w:cstheme="minorHAnsi"/>
                <w:color w:val="000000"/>
                <w:sz w:val="20"/>
                <w:szCs w:val="20"/>
              </w:rPr>
              <w:t>42</w:t>
            </w:r>
          </w:p>
        </w:tc>
        <w:tc>
          <w:tcPr>
            <w:tcW w:w="850" w:type="dxa"/>
            <w:shd w:val="clear" w:color="auto" w:fill="auto"/>
            <w:vAlign w:val="center"/>
          </w:tcPr>
          <w:p w:rsidR="00D907AF" w:rsidRPr="0087485F" w:rsidRDefault="00D907AF" w:rsidP="003E61CE">
            <w:pPr>
              <w:spacing w:before="10" w:after="10"/>
              <w:jc w:val="center"/>
              <w:rPr>
                <w:rFonts w:cstheme="minorHAnsi"/>
                <w:color w:val="000000"/>
                <w:sz w:val="20"/>
                <w:szCs w:val="20"/>
              </w:rPr>
            </w:pPr>
            <w:r w:rsidRPr="0087485F">
              <w:rPr>
                <w:rFonts w:cstheme="minorHAnsi"/>
                <w:color w:val="000000"/>
                <w:sz w:val="20"/>
                <w:szCs w:val="20"/>
              </w:rPr>
              <w:t>11.0</w:t>
            </w:r>
          </w:p>
        </w:tc>
        <w:tc>
          <w:tcPr>
            <w:tcW w:w="1237" w:type="dxa"/>
            <w:shd w:val="clear" w:color="auto" w:fill="auto"/>
            <w:vAlign w:val="center"/>
          </w:tcPr>
          <w:p w:rsidR="00D907AF" w:rsidRPr="0087485F" w:rsidRDefault="00D907AF" w:rsidP="003E61CE">
            <w:pPr>
              <w:spacing w:before="10" w:after="10"/>
              <w:jc w:val="center"/>
              <w:rPr>
                <w:rFonts w:cstheme="minorHAnsi"/>
                <w:color w:val="000000"/>
                <w:sz w:val="20"/>
                <w:szCs w:val="20"/>
              </w:rPr>
            </w:pPr>
            <w:r w:rsidRPr="0087485F">
              <w:rPr>
                <w:rFonts w:cstheme="minorHAnsi"/>
                <w:color w:val="000000"/>
                <w:sz w:val="20"/>
                <w:szCs w:val="20"/>
              </w:rPr>
              <w:t>42</w:t>
            </w:r>
          </w:p>
        </w:tc>
        <w:tc>
          <w:tcPr>
            <w:tcW w:w="1418" w:type="dxa"/>
            <w:shd w:val="clear" w:color="auto" w:fill="auto"/>
            <w:vAlign w:val="center"/>
          </w:tcPr>
          <w:p w:rsidR="00D907AF" w:rsidRPr="0087485F" w:rsidRDefault="00D907AF" w:rsidP="003E61CE">
            <w:pPr>
              <w:spacing w:before="10" w:after="10"/>
              <w:jc w:val="center"/>
              <w:rPr>
                <w:rFonts w:cstheme="minorHAnsi"/>
                <w:color w:val="000000"/>
                <w:sz w:val="20"/>
                <w:szCs w:val="20"/>
              </w:rPr>
            </w:pPr>
            <w:r w:rsidRPr="0087485F">
              <w:rPr>
                <w:rFonts w:cstheme="minorHAnsi"/>
                <w:color w:val="000000"/>
                <w:sz w:val="20"/>
                <w:szCs w:val="20"/>
              </w:rPr>
              <w:t>13.0</w:t>
            </w:r>
          </w:p>
        </w:tc>
        <w:tc>
          <w:tcPr>
            <w:tcW w:w="850" w:type="dxa"/>
            <w:shd w:val="clear" w:color="auto" w:fill="auto"/>
            <w:vAlign w:val="center"/>
          </w:tcPr>
          <w:p w:rsidR="00D907AF" w:rsidRPr="0087485F" w:rsidRDefault="00D907AF" w:rsidP="003E61CE">
            <w:pPr>
              <w:spacing w:before="10" w:after="10"/>
              <w:jc w:val="center"/>
              <w:rPr>
                <w:rFonts w:cstheme="minorHAnsi"/>
                <w:color w:val="000000"/>
                <w:sz w:val="20"/>
                <w:szCs w:val="20"/>
              </w:rPr>
            </w:pPr>
            <w:r w:rsidRPr="0087485F">
              <w:rPr>
                <w:rFonts w:cstheme="minorHAnsi"/>
                <w:color w:val="000000"/>
                <w:sz w:val="20"/>
                <w:szCs w:val="20"/>
              </w:rPr>
              <w:t>84</w:t>
            </w:r>
          </w:p>
        </w:tc>
        <w:tc>
          <w:tcPr>
            <w:tcW w:w="992" w:type="dxa"/>
            <w:shd w:val="clear" w:color="auto" w:fill="auto"/>
            <w:vAlign w:val="center"/>
          </w:tcPr>
          <w:p w:rsidR="00D907AF" w:rsidRPr="0087485F" w:rsidRDefault="00D907AF" w:rsidP="003E61CE">
            <w:pPr>
              <w:spacing w:before="10" w:after="10"/>
              <w:jc w:val="center"/>
              <w:rPr>
                <w:rFonts w:cstheme="minorHAnsi"/>
                <w:color w:val="000000"/>
                <w:sz w:val="20"/>
                <w:szCs w:val="20"/>
              </w:rPr>
            </w:pPr>
            <w:r w:rsidRPr="0087485F">
              <w:rPr>
                <w:rFonts w:cstheme="minorHAnsi"/>
                <w:color w:val="000000"/>
                <w:sz w:val="20"/>
                <w:szCs w:val="20"/>
              </w:rPr>
              <w:t>11.9</w:t>
            </w:r>
          </w:p>
        </w:tc>
      </w:tr>
      <w:tr w:rsidR="00D907AF" w:rsidRPr="0087485F" w:rsidTr="003F3AA4">
        <w:tc>
          <w:tcPr>
            <w:tcW w:w="3085" w:type="dxa"/>
            <w:tcBorders>
              <w:bottom w:val="single" w:sz="4" w:space="0" w:color="auto"/>
            </w:tcBorders>
            <w:shd w:val="clear" w:color="auto" w:fill="auto"/>
          </w:tcPr>
          <w:p w:rsidR="00D907AF" w:rsidRPr="0087485F" w:rsidRDefault="00D907AF" w:rsidP="00D907AF">
            <w:pPr>
              <w:spacing w:before="10" w:after="10"/>
              <w:rPr>
                <w:rFonts w:cstheme="minorHAnsi"/>
                <w:sz w:val="20"/>
                <w:szCs w:val="20"/>
              </w:rPr>
            </w:pPr>
            <w:r w:rsidRPr="0087485F">
              <w:rPr>
                <w:rFonts w:cstheme="minorHAnsi"/>
                <w:sz w:val="20"/>
                <w:szCs w:val="20"/>
              </w:rPr>
              <w:t xml:space="preserve">Missing </w:t>
            </w:r>
          </w:p>
        </w:tc>
        <w:tc>
          <w:tcPr>
            <w:tcW w:w="709" w:type="dxa"/>
            <w:tcBorders>
              <w:bottom w:val="single" w:sz="4" w:space="0" w:color="auto"/>
            </w:tcBorders>
            <w:shd w:val="clear" w:color="auto" w:fill="auto"/>
            <w:vAlign w:val="center"/>
          </w:tcPr>
          <w:p w:rsidR="00D907AF" w:rsidRPr="0087485F" w:rsidRDefault="00D907AF" w:rsidP="003E61CE">
            <w:pPr>
              <w:spacing w:before="10" w:after="10"/>
              <w:jc w:val="center"/>
              <w:rPr>
                <w:rFonts w:cstheme="minorHAnsi"/>
                <w:color w:val="000000"/>
                <w:sz w:val="20"/>
                <w:szCs w:val="20"/>
              </w:rPr>
            </w:pPr>
            <w:r w:rsidRPr="0087485F">
              <w:rPr>
                <w:rFonts w:cstheme="minorHAnsi"/>
                <w:color w:val="000000"/>
                <w:sz w:val="20"/>
                <w:szCs w:val="20"/>
              </w:rPr>
              <w:t>18</w:t>
            </w:r>
          </w:p>
        </w:tc>
        <w:tc>
          <w:tcPr>
            <w:tcW w:w="850" w:type="dxa"/>
            <w:tcBorders>
              <w:bottom w:val="single" w:sz="4" w:space="0" w:color="auto"/>
            </w:tcBorders>
            <w:shd w:val="clear" w:color="auto" w:fill="auto"/>
            <w:vAlign w:val="center"/>
          </w:tcPr>
          <w:p w:rsidR="00D907AF" w:rsidRPr="0087485F" w:rsidRDefault="00D907AF" w:rsidP="003E61CE">
            <w:pPr>
              <w:spacing w:before="10" w:after="10"/>
              <w:jc w:val="center"/>
              <w:rPr>
                <w:rFonts w:cstheme="minorHAnsi"/>
                <w:color w:val="000000"/>
                <w:sz w:val="20"/>
                <w:szCs w:val="20"/>
              </w:rPr>
            </w:pPr>
            <w:r w:rsidRPr="0087485F">
              <w:rPr>
                <w:rFonts w:cstheme="minorHAnsi"/>
                <w:color w:val="000000"/>
                <w:sz w:val="20"/>
                <w:szCs w:val="20"/>
              </w:rPr>
              <w:t>4.7</w:t>
            </w:r>
          </w:p>
        </w:tc>
        <w:tc>
          <w:tcPr>
            <w:tcW w:w="1237" w:type="dxa"/>
            <w:tcBorders>
              <w:bottom w:val="single" w:sz="4" w:space="0" w:color="auto"/>
            </w:tcBorders>
            <w:shd w:val="clear" w:color="auto" w:fill="auto"/>
            <w:vAlign w:val="center"/>
          </w:tcPr>
          <w:p w:rsidR="00D907AF" w:rsidRPr="0087485F" w:rsidRDefault="00D907AF" w:rsidP="003E61CE">
            <w:pPr>
              <w:spacing w:before="10" w:after="10"/>
              <w:jc w:val="center"/>
              <w:rPr>
                <w:rFonts w:cstheme="minorHAnsi"/>
                <w:color w:val="000000"/>
                <w:sz w:val="20"/>
                <w:szCs w:val="20"/>
              </w:rPr>
            </w:pPr>
            <w:r w:rsidRPr="0087485F">
              <w:rPr>
                <w:rFonts w:cstheme="minorHAnsi"/>
                <w:color w:val="000000"/>
                <w:sz w:val="20"/>
                <w:szCs w:val="20"/>
              </w:rPr>
              <w:t>38</w:t>
            </w:r>
          </w:p>
        </w:tc>
        <w:tc>
          <w:tcPr>
            <w:tcW w:w="1418" w:type="dxa"/>
            <w:tcBorders>
              <w:bottom w:val="single" w:sz="4" w:space="0" w:color="auto"/>
            </w:tcBorders>
            <w:shd w:val="clear" w:color="auto" w:fill="auto"/>
            <w:vAlign w:val="center"/>
          </w:tcPr>
          <w:p w:rsidR="00D907AF" w:rsidRPr="0087485F" w:rsidRDefault="00D907AF" w:rsidP="003E61CE">
            <w:pPr>
              <w:spacing w:before="10" w:after="10"/>
              <w:jc w:val="center"/>
              <w:rPr>
                <w:rFonts w:cstheme="minorHAnsi"/>
                <w:color w:val="000000"/>
                <w:sz w:val="20"/>
                <w:szCs w:val="20"/>
              </w:rPr>
            </w:pPr>
            <w:r w:rsidRPr="0087485F">
              <w:rPr>
                <w:rFonts w:cstheme="minorHAnsi"/>
                <w:color w:val="000000"/>
                <w:sz w:val="20"/>
                <w:szCs w:val="20"/>
              </w:rPr>
              <w:t>11.7</w:t>
            </w:r>
          </w:p>
        </w:tc>
        <w:tc>
          <w:tcPr>
            <w:tcW w:w="850" w:type="dxa"/>
            <w:tcBorders>
              <w:bottom w:val="single" w:sz="4" w:space="0" w:color="auto"/>
            </w:tcBorders>
            <w:shd w:val="clear" w:color="auto" w:fill="auto"/>
            <w:vAlign w:val="center"/>
          </w:tcPr>
          <w:p w:rsidR="00D907AF" w:rsidRPr="0087485F" w:rsidRDefault="00D907AF" w:rsidP="003E61CE">
            <w:pPr>
              <w:spacing w:before="10" w:after="10"/>
              <w:jc w:val="center"/>
              <w:rPr>
                <w:rFonts w:cstheme="minorHAnsi"/>
                <w:color w:val="000000"/>
                <w:sz w:val="20"/>
                <w:szCs w:val="20"/>
              </w:rPr>
            </w:pPr>
            <w:r w:rsidRPr="0087485F">
              <w:rPr>
                <w:rFonts w:cstheme="minorHAnsi"/>
                <w:color w:val="000000"/>
                <w:sz w:val="20"/>
                <w:szCs w:val="20"/>
              </w:rPr>
              <w:t>56</w:t>
            </w:r>
          </w:p>
        </w:tc>
        <w:tc>
          <w:tcPr>
            <w:tcW w:w="992" w:type="dxa"/>
            <w:tcBorders>
              <w:bottom w:val="single" w:sz="4" w:space="0" w:color="auto"/>
            </w:tcBorders>
            <w:shd w:val="clear" w:color="auto" w:fill="auto"/>
            <w:vAlign w:val="center"/>
          </w:tcPr>
          <w:p w:rsidR="00D907AF" w:rsidRPr="0087485F" w:rsidRDefault="00D907AF" w:rsidP="003E61CE">
            <w:pPr>
              <w:spacing w:before="10" w:after="10"/>
              <w:jc w:val="center"/>
              <w:rPr>
                <w:rFonts w:cstheme="minorHAnsi"/>
                <w:color w:val="000000"/>
                <w:sz w:val="20"/>
                <w:szCs w:val="20"/>
              </w:rPr>
            </w:pPr>
            <w:r w:rsidRPr="0087485F">
              <w:rPr>
                <w:rFonts w:cstheme="minorHAnsi"/>
                <w:color w:val="000000"/>
                <w:sz w:val="20"/>
                <w:szCs w:val="20"/>
              </w:rPr>
              <w:t>7.9</w:t>
            </w:r>
          </w:p>
        </w:tc>
      </w:tr>
      <w:tr w:rsidR="00D907AF" w:rsidRPr="0087485F" w:rsidTr="003F3AA4">
        <w:tc>
          <w:tcPr>
            <w:tcW w:w="3085" w:type="dxa"/>
            <w:tcBorders>
              <w:top w:val="single" w:sz="4" w:space="0" w:color="auto"/>
              <w:bottom w:val="single" w:sz="4" w:space="0" w:color="auto"/>
            </w:tcBorders>
            <w:shd w:val="clear" w:color="auto" w:fill="auto"/>
          </w:tcPr>
          <w:p w:rsidR="00D907AF" w:rsidRPr="0087485F" w:rsidRDefault="00D907AF" w:rsidP="00D907AF">
            <w:pPr>
              <w:spacing w:before="10" w:after="10"/>
              <w:rPr>
                <w:rFonts w:cstheme="minorHAnsi"/>
                <w:sz w:val="20"/>
                <w:szCs w:val="20"/>
              </w:rPr>
            </w:pPr>
            <w:r w:rsidRPr="0087485F">
              <w:rPr>
                <w:rFonts w:cstheme="minorHAnsi"/>
                <w:b/>
                <w:sz w:val="20"/>
                <w:szCs w:val="20"/>
              </w:rPr>
              <w:t>Total</w:t>
            </w:r>
          </w:p>
        </w:tc>
        <w:tc>
          <w:tcPr>
            <w:tcW w:w="709" w:type="dxa"/>
            <w:tcBorders>
              <w:top w:val="single" w:sz="4" w:space="0" w:color="auto"/>
              <w:bottom w:val="single" w:sz="4" w:space="0" w:color="auto"/>
            </w:tcBorders>
            <w:shd w:val="clear" w:color="auto" w:fill="auto"/>
            <w:vAlign w:val="center"/>
          </w:tcPr>
          <w:p w:rsidR="00D907AF" w:rsidRPr="0087485F" w:rsidRDefault="00D907AF" w:rsidP="003E61CE">
            <w:pPr>
              <w:spacing w:before="10" w:after="10"/>
              <w:jc w:val="center"/>
              <w:rPr>
                <w:rFonts w:cstheme="minorHAnsi"/>
                <w:b/>
                <w:sz w:val="20"/>
                <w:szCs w:val="20"/>
              </w:rPr>
            </w:pPr>
            <w:r w:rsidRPr="0087485F">
              <w:rPr>
                <w:rFonts w:cstheme="minorHAnsi"/>
                <w:b/>
                <w:sz w:val="20"/>
                <w:szCs w:val="20"/>
              </w:rPr>
              <w:t>381</w:t>
            </w:r>
          </w:p>
        </w:tc>
        <w:tc>
          <w:tcPr>
            <w:tcW w:w="850" w:type="dxa"/>
            <w:tcBorders>
              <w:top w:val="single" w:sz="4" w:space="0" w:color="auto"/>
              <w:bottom w:val="single" w:sz="4" w:space="0" w:color="auto"/>
            </w:tcBorders>
            <w:shd w:val="clear" w:color="auto" w:fill="auto"/>
            <w:vAlign w:val="center"/>
          </w:tcPr>
          <w:p w:rsidR="00D907AF" w:rsidRPr="0087485F" w:rsidRDefault="00D907AF" w:rsidP="003E61CE">
            <w:pPr>
              <w:spacing w:before="10" w:after="10"/>
              <w:jc w:val="center"/>
              <w:rPr>
                <w:rFonts w:cstheme="minorHAnsi"/>
                <w:b/>
                <w:sz w:val="20"/>
                <w:szCs w:val="20"/>
              </w:rPr>
            </w:pPr>
            <w:r w:rsidRPr="0087485F">
              <w:rPr>
                <w:rFonts w:cstheme="minorHAnsi"/>
                <w:b/>
                <w:sz w:val="20"/>
                <w:szCs w:val="20"/>
              </w:rPr>
              <w:t>100</w:t>
            </w:r>
          </w:p>
        </w:tc>
        <w:tc>
          <w:tcPr>
            <w:tcW w:w="1237" w:type="dxa"/>
            <w:tcBorders>
              <w:top w:val="single" w:sz="4" w:space="0" w:color="auto"/>
              <w:bottom w:val="single" w:sz="4" w:space="0" w:color="auto"/>
            </w:tcBorders>
            <w:shd w:val="clear" w:color="auto" w:fill="auto"/>
            <w:vAlign w:val="center"/>
          </w:tcPr>
          <w:p w:rsidR="00D907AF" w:rsidRPr="0087485F" w:rsidRDefault="00D907AF" w:rsidP="003E61CE">
            <w:pPr>
              <w:spacing w:before="10" w:after="10"/>
              <w:jc w:val="center"/>
              <w:rPr>
                <w:rFonts w:cstheme="minorHAnsi"/>
                <w:b/>
                <w:sz w:val="20"/>
                <w:szCs w:val="20"/>
              </w:rPr>
            </w:pPr>
            <w:r w:rsidRPr="0087485F">
              <w:rPr>
                <w:rFonts w:cstheme="minorHAnsi"/>
                <w:b/>
                <w:sz w:val="20"/>
                <w:szCs w:val="20"/>
              </w:rPr>
              <w:t>324</w:t>
            </w:r>
          </w:p>
        </w:tc>
        <w:tc>
          <w:tcPr>
            <w:tcW w:w="1418" w:type="dxa"/>
            <w:tcBorders>
              <w:top w:val="single" w:sz="4" w:space="0" w:color="auto"/>
              <w:bottom w:val="single" w:sz="4" w:space="0" w:color="auto"/>
            </w:tcBorders>
            <w:shd w:val="clear" w:color="auto" w:fill="auto"/>
            <w:vAlign w:val="center"/>
          </w:tcPr>
          <w:p w:rsidR="00D907AF" w:rsidRPr="0087485F" w:rsidRDefault="00D907AF" w:rsidP="003E61CE">
            <w:pPr>
              <w:spacing w:before="10" w:after="10"/>
              <w:jc w:val="center"/>
              <w:rPr>
                <w:rFonts w:cstheme="minorHAnsi"/>
                <w:b/>
                <w:sz w:val="20"/>
                <w:szCs w:val="20"/>
              </w:rPr>
            </w:pPr>
            <w:r w:rsidRPr="0087485F">
              <w:rPr>
                <w:rFonts w:cstheme="minorHAnsi"/>
                <w:b/>
                <w:sz w:val="20"/>
                <w:szCs w:val="20"/>
              </w:rPr>
              <w:t>100</w:t>
            </w:r>
          </w:p>
        </w:tc>
        <w:tc>
          <w:tcPr>
            <w:tcW w:w="850" w:type="dxa"/>
            <w:tcBorders>
              <w:top w:val="single" w:sz="4" w:space="0" w:color="auto"/>
              <w:bottom w:val="single" w:sz="4" w:space="0" w:color="auto"/>
            </w:tcBorders>
            <w:shd w:val="clear" w:color="auto" w:fill="auto"/>
            <w:vAlign w:val="center"/>
          </w:tcPr>
          <w:p w:rsidR="00D907AF" w:rsidRPr="0087485F" w:rsidRDefault="00D907AF" w:rsidP="003E61CE">
            <w:pPr>
              <w:spacing w:before="10" w:after="10"/>
              <w:jc w:val="center"/>
              <w:rPr>
                <w:rFonts w:cstheme="minorHAnsi"/>
                <w:b/>
                <w:sz w:val="20"/>
                <w:szCs w:val="20"/>
              </w:rPr>
            </w:pPr>
            <w:r w:rsidRPr="0087485F">
              <w:rPr>
                <w:rFonts w:cstheme="minorHAnsi"/>
                <w:b/>
                <w:sz w:val="20"/>
                <w:szCs w:val="20"/>
              </w:rPr>
              <w:t>705</w:t>
            </w:r>
          </w:p>
        </w:tc>
        <w:tc>
          <w:tcPr>
            <w:tcW w:w="992" w:type="dxa"/>
            <w:tcBorders>
              <w:top w:val="single" w:sz="4" w:space="0" w:color="auto"/>
              <w:bottom w:val="single" w:sz="4" w:space="0" w:color="auto"/>
            </w:tcBorders>
            <w:shd w:val="clear" w:color="auto" w:fill="auto"/>
            <w:vAlign w:val="center"/>
          </w:tcPr>
          <w:p w:rsidR="00D907AF" w:rsidRPr="0087485F" w:rsidRDefault="00D907AF" w:rsidP="003E61CE">
            <w:pPr>
              <w:spacing w:before="10" w:after="10"/>
              <w:jc w:val="center"/>
              <w:rPr>
                <w:rFonts w:cstheme="minorHAnsi"/>
                <w:b/>
                <w:sz w:val="20"/>
                <w:szCs w:val="20"/>
              </w:rPr>
            </w:pPr>
            <w:r w:rsidRPr="0087485F">
              <w:rPr>
                <w:rFonts w:cstheme="minorHAnsi"/>
                <w:b/>
                <w:sz w:val="20"/>
                <w:szCs w:val="20"/>
              </w:rPr>
              <w:t>100</w:t>
            </w:r>
          </w:p>
        </w:tc>
      </w:tr>
    </w:tbl>
    <w:p w:rsidR="00D907AF" w:rsidRPr="00660446" w:rsidRDefault="00D907AF" w:rsidP="006C7BE7">
      <w:pPr>
        <w:pStyle w:val="NILSTabletext"/>
      </w:pPr>
      <w:r w:rsidRPr="00660446">
        <w:t xml:space="preserve">Note: </w:t>
      </w:r>
      <w:r>
        <w:t>t</w:t>
      </w:r>
      <w:r w:rsidRPr="00660446">
        <w:t xml:space="preserve">rial and </w:t>
      </w:r>
      <w:r>
        <w:t>comparison</w:t>
      </w:r>
      <w:r w:rsidRPr="00660446">
        <w:t xml:space="preserve"> aged 16 and above current</w:t>
      </w:r>
      <w:r>
        <w:t xml:space="preserve">ly </w:t>
      </w:r>
      <w:r w:rsidRPr="00660446">
        <w:t>receiving supports</w:t>
      </w:r>
    </w:p>
    <w:p w:rsidR="00D907AF" w:rsidRDefault="00D907AF" w:rsidP="00B96B7F">
      <w:pPr>
        <w:spacing w:after="240"/>
      </w:pPr>
      <w:r>
        <w:t>Table 3.65 presents how much choice respondents felt they had over where they obtained their supports and, again present</w:t>
      </w:r>
      <w:r w:rsidRPr="00A90EBB">
        <w:t xml:space="preserve">s </w:t>
      </w:r>
      <w:r w:rsidR="00EC25FF" w:rsidRPr="00A90EBB">
        <w:t>a very</w:t>
      </w:r>
      <w:r w:rsidR="00EC25FF">
        <w:t xml:space="preserve"> </w:t>
      </w:r>
      <w:r>
        <w:t xml:space="preserve">similar picture. Almost 66 per cent of the trial group felt they had either some or a lot of choice compared to just below 44 per cent of the comparison group. Again a higher percentage of the comparison group did not answer the question </w:t>
      </w:r>
      <w:r w:rsidRPr="00A90EBB">
        <w:t>at 13.9 per cent to 4.2 per cent of the trial group.</w:t>
      </w:r>
      <w:r>
        <w:t xml:space="preserve"> </w:t>
      </w:r>
    </w:p>
    <w:p w:rsidR="00D907AF" w:rsidRPr="00233E8A" w:rsidRDefault="00D907AF" w:rsidP="0044684E">
      <w:pPr>
        <w:pStyle w:val="NILSTableHeading"/>
      </w:pPr>
      <w:bookmarkStart w:id="444" w:name="_Toc428280716"/>
      <w:bookmarkStart w:id="445" w:name="_Toc449955327"/>
      <w:r w:rsidRPr="00797F09">
        <w:t xml:space="preserve">Table </w:t>
      </w:r>
      <w:r w:rsidRPr="00797F09">
        <w:rPr>
          <w:rFonts w:hint="eastAsia"/>
        </w:rPr>
        <w:t>3.6</w:t>
      </w:r>
      <w:r w:rsidRPr="00797F09">
        <w:t xml:space="preserve">5: </w:t>
      </w:r>
      <w:r w:rsidRPr="00797F09">
        <w:rPr>
          <w:rFonts w:hint="eastAsia"/>
        </w:rPr>
        <w:t>H</w:t>
      </w:r>
      <w:r w:rsidRPr="00797F09">
        <w:t xml:space="preserve">ow much choice over where supports </w:t>
      </w:r>
      <w:r w:rsidR="003E61CE" w:rsidRPr="00797F09">
        <w:rPr>
          <w:lang w:val="en-AU"/>
        </w:rPr>
        <w:t xml:space="preserve">are </w:t>
      </w:r>
      <w:r w:rsidRPr="00797F09">
        <w:t>obtained</w:t>
      </w:r>
      <w:bookmarkEnd w:id="444"/>
      <w:bookmarkEnd w:id="445"/>
      <w:r w:rsidRPr="00F43547">
        <w:t xml:space="preserve"> </w:t>
      </w:r>
    </w:p>
    <w:tbl>
      <w:tblPr>
        <w:tblStyle w:val="TableGrid"/>
        <w:tblW w:w="9779" w:type="dxa"/>
        <w:tblLayout w:type="fixed"/>
        <w:tblLook w:val="04A0" w:firstRow="1" w:lastRow="0" w:firstColumn="1" w:lastColumn="0" w:noHBand="0" w:noVBand="1"/>
        <w:tblCaption w:val="Table 3.65 How much choice over where supports are obtained "/>
      </w:tblPr>
      <w:tblGrid>
        <w:gridCol w:w="3742"/>
        <w:gridCol w:w="851"/>
        <w:gridCol w:w="850"/>
        <w:gridCol w:w="1247"/>
        <w:gridCol w:w="1247"/>
        <w:gridCol w:w="890"/>
        <w:gridCol w:w="952"/>
      </w:tblGrid>
      <w:tr w:rsidR="00D907AF" w:rsidRPr="0087485F" w:rsidTr="002B7763">
        <w:trPr>
          <w:tblHeader/>
        </w:trPr>
        <w:tc>
          <w:tcPr>
            <w:tcW w:w="3742" w:type="dxa"/>
            <w:tcBorders>
              <w:top w:val="single" w:sz="4" w:space="0" w:color="auto"/>
              <w:bottom w:val="single" w:sz="4" w:space="0" w:color="auto"/>
            </w:tcBorders>
            <w:shd w:val="clear" w:color="auto" w:fill="auto"/>
          </w:tcPr>
          <w:p w:rsidR="00D907AF" w:rsidRPr="0087485F" w:rsidRDefault="00D907AF" w:rsidP="00D907AF">
            <w:pPr>
              <w:spacing w:before="10" w:after="10"/>
              <w:rPr>
                <w:rFonts w:cstheme="minorHAnsi"/>
                <w:sz w:val="20"/>
                <w:szCs w:val="20"/>
              </w:rPr>
            </w:pPr>
            <w:bookmarkStart w:id="446" w:name="Title_3_65"/>
            <w:bookmarkEnd w:id="446"/>
          </w:p>
        </w:tc>
        <w:tc>
          <w:tcPr>
            <w:tcW w:w="851" w:type="dxa"/>
            <w:tcBorders>
              <w:top w:val="single" w:sz="4" w:space="0" w:color="auto"/>
              <w:bottom w:val="single" w:sz="4" w:space="0" w:color="auto"/>
            </w:tcBorders>
            <w:shd w:val="clear" w:color="auto" w:fill="auto"/>
          </w:tcPr>
          <w:p w:rsidR="00D907AF" w:rsidRPr="0087485F" w:rsidRDefault="00B35BB9" w:rsidP="000450B7">
            <w:pPr>
              <w:spacing w:before="10" w:after="10"/>
              <w:jc w:val="center"/>
              <w:rPr>
                <w:rFonts w:cstheme="minorHAnsi"/>
                <w:sz w:val="20"/>
                <w:szCs w:val="20"/>
              </w:rPr>
            </w:pPr>
            <w:r>
              <w:rPr>
                <w:rFonts w:cstheme="minorHAnsi"/>
                <w:sz w:val="20"/>
                <w:szCs w:val="20"/>
              </w:rPr>
              <w:t>Trial</w:t>
            </w:r>
            <w:r w:rsidR="000450B7">
              <w:rPr>
                <w:rFonts w:cstheme="minorHAnsi"/>
                <w:sz w:val="20"/>
                <w:szCs w:val="20"/>
              </w:rPr>
              <w:t xml:space="preserve"> Cases</w:t>
            </w:r>
            <w:r w:rsidR="003F3AA4">
              <w:rPr>
                <w:rFonts w:cstheme="minorHAnsi"/>
                <w:sz w:val="20"/>
                <w:szCs w:val="20"/>
              </w:rPr>
              <w:t xml:space="preserve"> </w:t>
            </w:r>
          </w:p>
        </w:tc>
        <w:tc>
          <w:tcPr>
            <w:tcW w:w="850" w:type="dxa"/>
            <w:tcBorders>
              <w:top w:val="single" w:sz="4" w:space="0" w:color="auto"/>
              <w:bottom w:val="single" w:sz="4" w:space="0" w:color="auto"/>
            </w:tcBorders>
            <w:shd w:val="clear" w:color="auto" w:fill="auto"/>
          </w:tcPr>
          <w:p w:rsidR="00B8777F" w:rsidRDefault="00B35BB9" w:rsidP="00B35BB9">
            <w:pPr>
              <w:spacing w:before="10" w:after="10"/>
              <w:jc w:val="center"/>
              <w:rPr>
                <w:rFonts w:cstheme="minorHAnsi"/>
                <w:sz w:val="20"/>
                <w:szCs w:val="20"/>
              </w:rPr>
            </w:pPr>
            <w:r>
              <w:rPr>
                <w:rFonts w:cstheme="minorHAnsi"/>
                <w:sz w:val="20"/>
                <w:szCs w:val="20"/>
              </w:rPr>
              <w:t>Trial</w:t>
            </w:r>
          </w:p>
          <w:p w:rsidR="00D907AF" w:rsidRPr="0087485F" w:rsidRDefault="00D907AF" w:rsidP="00B35BB9">
            <w:pPr>
              <w:spacing w:before="10" w:after="10"/>
              <w:jc w:val="center"/>
              <w:rPr>
                <w:rFonts w:cstheme="minorHAnsi"/>
                <w:sz w:val="20"/>
                <w:szCs w:val="20"/>
              </w:rPr>
            </w:pPr>
            <w:r w:rsidRPr="0087485F">
              <w:rPr>
                <w:rFonts w:cstheme="minorHAnsi"/>
                <w:sz w:val="20"/>
                <w:szCs w:val="20"/>
              </w:rPr>
              <w:t>%</w:t>
            </w:r>
          </w:p>
        </w:tc>
        <w:tc>
          <w:tcPr>
            <w:tcW w:w="1247" w:type="dxa"/>
            <w:tcBorders>
              <w:top w:val="single" w:sz="4" w:space="0" w:color="auto"/>
              <w:bottom w:val="single" w:sz="4" w:space="0" w:color="auto"/>
            </w:tcBorders>
            <w:shd w:val="clear" w:color="auto" w:fill="auto"/>
          </w:tcPr>
          <w:p w:rsidR="00D907AF" w:rsidRPr="0087485F" w:rsidRDefault="00B35BB9" w:rsidP="000450B7">
            <w:pPr>
              <w:spacing w:before="10" w:after="10"/>
              <w:jc w:val="center"/>
              <w:rPr>
                <w:rFonts w:cstheme="minorHAnsi"/>
                <w:sz w:val="20"/>
                <w:szCs w:val="20"/>
              </w:rPr>
            </w:pPr>
            <w:r>
              <w:rPr>
                <w:rFonts w:cstheme="minorHAnsi"/>
                <w:sz w:val="20"/>
                <w:szCs w:val="20"/>
              </w:rPr>
              <w:t>Comparison</w:t>
            </w:r>
            <w:r w:rsidR="003F3AA4">
              <w:rPr>
                <w:rFonts w:cstheme="minorHAnsi"/>
                <w:sz w:val="20"/>
                <w:szCs w:val="20"/>
              </w:rPr>
              <w:t xml:space="preserve"> </w:t>
            </w:r>
            <w:r w:rsidR="000450B7">
              <w:rPr>
                <w:rFonts w:cstheme="minorHAnsi"/>
                <w:sz w:val="20"/>
                <w:szCs w:val="20"/>
              </w:rPr>
              <w:t>Cases</w:t>
            </w:r>
          </w:p>
        </w:tc>
        <w:tc>
          <w:tcPr>
            <w:tcW w:w="1247" w:type="dxa"/>
            <w:tcBorders>
              <w:top w:val="single" w:sz="4" w:space="0" w:color="auto"/>
              <w:bottom w:val="single" w:sz="4" w:space="0" w:color="auto"/>
            </w:tcBorders>
            <w:shd w:val="clear" w:color="auto" w:fill="auto"/>
          </w:tcPr>
          <w:p w:rsidR="00B8777F" w:rsidRDefault="00B35BB9" w:rsidP="00B35BB9">
            <w:pPr>
              <w:spacing w:before="10" w:after="10"/>
              <w:jc w:val="center"/>
              <w:rPr>
                <w:rFonts w:cstheme="minorHAnsi"/>
                <w:sz w:val="20"/>
                <w:szCs w:val="20"/>
              </w:rPr>
            </w:pPr>
            <w:r>
              <w:rPr>
                <w:rFonts w:cstheme="minorHAnsi"/>
                <w:sz w:val="20"/>
                <w:szCs w:val="20"/>
              </w:rPr>
              <w:t>Comparison</w:t>
            </w:r>
          </w:p>
          <w:p w:rsidR="00D907AF" w:rsidRPr="0087485F" w:rsidRDefault="00D907AF" w:rsidP="00B35BB9">
            <w:pPr>
              <w:spacing w:before="10" w:after="10"/>
              <w:jc w:val="center"/>
              <w:rPr>
                <w:rFonts w:cstheme="minorHAnsi"/>
                <w:sz w:val="20"/>
                <w:szCs w:val="20"/>
              </w:rPr>
            </w:pPr>
            <w:r w:rsidRPr="0087485F">
              <w:rPr>
                <w:rFonts w:cstheme="minorHAnsi"/>
                <w:sz w:val="20"/>
                <w:szCs w:val="20"/>
              </w:rPr>
              <w:t>%</w:t>
            </w:r>
          </w:p>
        </w:tc>
        <w:tc>
          <w:tcPr>
            <w:tcW w:w="890" w:type="dxa"/>
            <w:tcBorders>
              <w:top w:val="single" w:sz="4" w:space="0" w:color="auto"/>
              <w:bottom w:val="single" w:sz="4" w:space="0" w:color="auto"/>
            </w:tcBorders>
            <w:shd w:val="clear" w:color="auto" w:fill="auto"/>
          </w:tcPr>
          <w:p w:rsidR="00D907AF" w:rsidRPr="0087485F" w:rsidRDefault="00B35BB9" w:rsidP="000450B7">
            <w:pPr>
              <w:spacing w:before="10" w:after="10"/>
              <w:jc w:val="center"/>
              <w:rPr>
                <w:rFonts w:cstheme="minorHAnsi"/>
                <w:sz w:val="20"/>
                <w:szCs w:val="20"/>
              </w:rPr>
            </w:pPr>
            <w:r>
              <w:rPr>
                <w:rFonts w:cstheme="minorHAnsi"/>
                <w:sz w:val="20"/>
                <w:szCs w:val="20"/>
              </w:rPr>
              <w:t>Total</w:t>
            </w:r>
            <w:r w:rsidR="003F3AA4">
              <w:rPr>
                <w:rFonts w:cstheme="minorHAnsi"/>
                <w:sz w:val="20"/>
                <w:szCs w:val="20"/>
              </w:rPr>
              <w:t xml:space="preserve"> </w:t>
            </w:r>
            <w:r w:rsidR="000450B7">
              <w:rPr>
                <w:rFonts w:cstheme="minorHAnsi"/>
                <w:sz w:val="20"/>
                <w:szCs w:val="20"/>
              </w:rPr>
              <w:t>Cases</w:t>
            </w:r>
          </w:p>
        </w:tc>
        <w:tc>
          <w:tcPr>
            <w:tcW w:w="952" w:type="dxa"/>
            <w:tcBorders>
              <w:top w:val="single" w:sz="4" w:space="0" w:color="auto"/>
              <w:bottom w:val="single" w:sz="4" w:space="0" w:color="auto"/>
            </w:tcBorders>
            <w:shd w:val="clear" w:color="auto" w:fill="auto"/>
          </w:tcPr>
          <w:p w:rsidR="00B8777F" w:rsidRDefault="00B35BB9" w:rsidP="00B35BB9">
            <w:pPr>
              <w:spacing w:before="10" w:after="10"/>
              <w:jc w:val="center"/>
              <w:rPr>
                <w:rFonts w:cstheme="minorHAnsi"/>
                <w:sz w:val="20"/>
                <w:szCs w:val="20"/>
              </w:rPr>
            </w:pPr>
            <w:r>
              <w:rPr>
                <w:rFonts w:cstheme="minorHAnsi"/>
                <w:sz w:val="20"/>
                <w:szCs w:val="20"/>
              </w:rPr>
              <w:t xml:space="preserve">Total </w:t>
            </w:r>
          </w:p>
          <w:p w:rsidR="00D907AF" w:rsidRPr="0087485F" w:rsidRDefault="00D907AF" w:rsidP="00B35BB9">
            <w:pPr>
              <w:spacing w:before="10" w:after="10"/>
              <w:jc w:val="center"/>
              <w:rPr>
                <w:rFonts w:cstheme="minorHAnsi"/>
                <w:sz w:val="20"/>
                <w:szCs w:val="20"/>
              </w:rPr>
            </w:pPr>
            <w:r w:rsidRPr="0087485F">
              <w:rPr>
                <w:rFonts w:cstheme="minorHAnsi"/>
                <w:sz w:val="20"/>
                <w:szCs w:val="20"/>
              </w:rPr>
              <w:t>%</w:t>
            </w:r>
          </w:p>
        </w:tc>
      </w:tr>
      <w:tr w:rsidR="00D907AF" w:rsidRPr="0087485F" w:rsidTr="002B7763">
        <w:tc>
          <w:tcPr>
            <w:tcW w:w="3742" w:type="dxa"/>
            <w:shd w:val="clear" w:color="auto" w:fill="auto"/>
          </w:tcPr>
          <w:p w:rsidR="00D907AF" w:rsidRPr="0087485F" w:rsidRDefault="00D907AF" w:rsidP="00D907AF">
            <w:pPr>
              <w:spacing w:before="10" w:after="10"/>
              <w:rPr>
                <w:rFonts w:cstheme="minorHAnsi"/>
                <w:sz w:val="20"/>
                <w:szCs w:val="20"/>
              </w:rPr>
            </w:pPr>
            <w:r w:rsidRPr="0087485F">
              <w:rPr>
                <w:rFonts w:cstheme="minorHAnsi"/>
                <w:sz w:val="20"/>
                <w:szCs w:val="20"/>
              </w:rPr>
              <w:t>A lot of choice</w:t>
            </w:r>
          </w:p>
        </w:tc>
        <w:tc>
          <w:tcPr>
            <w:tcW w:w="851" w:type="dxa"/>
            <w:shd w:val="clear" w:color="auto" w:fill="auto"/>
            <w:vAlign w:val="center"/>
          </w:tcPr>
          <w:p w:rsidR="00D907AF" w:rsidRPr="0087485F" w:rsidRDefault="00D907AF" w:rsidP="00B35BB9">
            <w:pPr>
              <w:spacing w:before="10" w:after="10"/>
              <w:jc w:val="center"/>
              <w:rPr>
                <w:rFonts w:cstheme="minorHAnsi"/>
                <w:color w:val="000000"/>
                <w:sz w:val="20"/>
                <w:szCs w:val="20"/>
              </w:rPr>
            </w:pPr>
            <w:r w:rsidRPr="0087485F">
              <w:rPr>
                <w:rFonts w:cstheme="minorHAnsi"/>
                <w:color w:val="000000"/>
                <w:sz w:val="20"/>
                <w:szCs w:val="20"/>
              </w:rPr>
              <w:t>129</w:t>
            </w:r>
          </w:p>
        </w:tc>
        <w:tc>
          <w:tcPr>
            <w:tcW w:w="850" w:type="dxa"/>
            <w:shd w:val="clear" w:color="auto" w:fill="auto"/>
            <w:vAlign w:val="center"/>
          </w:tcPr>
          <w:p w:rsidR="00D907AF" w:rsidRPr="0087485F" w:rsidRDefault="00D907AF" w:rsidP="00B35BB9">
            <w:pPr>
              <w:spacing w:before="10" w:after="10"/>
              <w:jc w:val="center"/>
              <w:rPr>
                <w:rFonts w:cstheme="minorHAnsi"/>
                <w:color w:val="000000"/>
                <w:sz w:val="20"/>
                <w:szCs w:val="20"/>
              </w:rPr>
            </w:pPr>
            <w:r w:rsidRPr="0087485F">
              <w:rPr>
                <w:rFonts w:cstheme="minorHAnsi"/>
                <w:color w:val="000000"/>
                <w:sz w:val="20"/>
                <w:szCs w:val="20"/>
              </w:rPr>
              <w:t>33.9</w:t>
            </w:r>
          </w:p>
        </w:tc>
        <w:tc>
          <w:tcPr>
            <w:tcW w:w="1247" w:type="dxa"/>
            <w:shd w:val="clear" w:color="auto" w:fill="auto"/>
            <w:vAlign w:val="center"/>
          </w:tcPr>
          <w:p w:rsidR="00D907AF" w:rsidRPr="0087485F" w:rsidRDefault="00D907AF" w:rsidP="00B35BB9">
            <w:pPr>
              <w:spacing w:before="10" w:after="10"/>
              <w:jc w:val="center"/>
              <w:rPr>
                <w:rFonts w:cstheme="minorHAnsi"/>
                <w:color w:val="000000"/>
                <w:sz w:val="20"/>
                <w:szCs w:val="20"/>
              </w:rPr>
            </w:pPr>
            <w:r w:rsidRPr="0087485F">
              <w:rPr>
                <w:rFonts w:cstheme="minorHAnsi"/>
                <w:color w:val="000000"/>
                <w:sz w:val="20"/>
                <w:szCs w:val="20"/>
              </w:rPr>
              <w:t>56</w:t>
            </w:r>
          </w:p>
        </w:tc>
        <w:tc>
          <w:tcPr>
            <w:tcW w:w="1247" w:type="dxa"/>
            <w:shd w:val="clear" w:color="auto" w:fill="auto"/>
            <w:vAlign w:val="center"/>
          </w:tcPr>
          <w:p w:rsidR="00D907AF" w:rsidRPr="0087485F" w:rsidRDefault="00D907AF" w:rsidP="00B35BB9">
            <w:pPr>
              <w:spacing w:before="10" w:after="10"/>
              <w:jc w:val="center"/>
              <w:rPr>
                <w:rFonts w:cstheme="minorHAnsi"/>
                <w:color w:val="000000"/>
                <w:sz w:val="20"/>
                <w:szCs w:val="20"/>
              </w:rPr>
            </w:pPr>
            <w:r w:rsidRPr="0087485F">
              <w:rPr>
                <w:rFonts w:cstheme="minorHAnsi"/>
                <w:color w:val="000000"/>
                <w:sz w:val="20"/>
                <w:szCs w:val="20"/>
              </w:rPr>
              <w:t>17.3</w:t>
            </w:r>
          </w:p>
        </w:tc>
        <w:tc>
          <w:tcPr>
            <w:tcW w:w="890" w:type="dxa"/>
            <w:shd w:val="clear" w:color="auto" w:fill="auto"/>
            <w:vAlign w:val="center"/>
          </w:tcPr>
          <w:p w:rsidR="00D907AF" w:rsidRPr="0087485F" w:rsidRDefault="00D907AF" w:rsidP="00B35BB9">
            <w:pPr>
              <w:spacing w:before="10" w:after="10"/>
              <w:jc w:val="center"/>
              <w:rPr>
                <w:rFonts w:cstheme="minorHAnsi"/>
                <w:color w:val="000000"/>
                <w:sz w:val="20"/>
                <w:szCs w:val="20"/>
              </w:rPr>
            </w:pPr>
            <w:r w:rsidRPr="0087485F">
              <w:rPr>
                <w:rFonts w:cstheme="minorHAnsi"/>
                <w:color w:val="000000"/>
                <w:sz w:val="20"/>
                <w:szCs w:val="20"/>
              </w:rPr>
              <w:t>185</w:t>
            </w:r>
          </w:p>
        </w:tc>
        <w:tc>
          <w:tcPr>
            <w:tcW w:w="952" w:type="dxa"/>
            <w:shd w:val="clear" w:color="auto" w:fill="auto"/>
            <w:vAlign w:val="center"/>
          </w:tcPr>
          <w:p w:rsidR="00D907AF" w:rsidRPr="0087485F" w:rsidRDefault="00D907AF" w:rsidP="00B35BB9">
            <w:pPr>
              <w:spacing w:before="10" w:after="10"/>
              <w:jc w:val="center"/>
              <w:rPr>
                <w:rFonts w:cstheme="minorHAnsi"/>
                <w:color w:val="000000"/>
                <w:sz w:val="20"/>
                <w:szCs w:val="20"/>
              </w:rPr>
            </w:pPr>
            <w:r w:rsidRPr="0087485F">
              <w:rPr>
                <w:rFonts w:cstheme="minorHAnsi"/>
                <w:color w:val="000000"/>
                <w:sz w:val="20"/>
                <w:szCs w:val="20"/>
              </w:rPr>
              <w:t>26.2</w:t>
            </w:r>
          </w:p>
        </w:tc>
      </w:tr>
      <w:tr w:rsidR="00D907AF" w:rsidRPr="0087485F" w:rsidTr="002B7763">
        <w:tc>
          <w:tcPr>
            <w:tcW w:w="3742" w:type="dxa"/>
            <w:shd w:val="clear" w:color="auto" w:fill="auto"/>
          </w:tcPr>
          <w:p w:rsidR="00D907AF" w:rsidRPr="0087485F" w:rsidRDefault="00D907AF" w:rsidP="00D907AF">
            <w:pPr>
              <w:spacing w:before="10" w:after="10"/>
              <w:rPr>
                <w:rFonts w:cstheme="minorHAnsi"/>
                <w:sz w:val="20"/>
                <w:szCs w:val="20"/>
              </w:rPr>
            </w:pPr>
            <w:r w:rsidRPr="0087485F">
              <w:rPr>
                <w:rFonts w:cstheme="minorHAnsi"/>
                <w:sz w:val="20"/>
                <w:szCs w:val="20"/>
              </w:rPr>
              <w:t>Some choice</w:t>
            </w:r>
          </w:p>
        </w:tc>
        <w:tc>
          <w:tcPr>
            <w:tcW w:w="851" w:type="dxa"/>
            <w:shd w:val="clear" w:color="auto" w:fill="auto"/>
            <w:vAlign w:val="center"/>
          </w:tcPr>
          <w:p w:rsidR="00D907AF" w:rsidRPr="0087485F" w:rsidRDefault="00D907AF" w:rsidP="00B35BB9">
            <w:pPr>
              <w:spacing w:before="10" w:after="10"/>
              <w:jc w:val="center"/>
              <w:rPr>
                <w:rFonts w:cstheme="minorHAnsi"/>
                <w:color w:val="000000"/>
                <w:sz w:val="20"/>
                <w:szCs w:val="20"/>
              </w:rPr>
            </w:pPr>
            <w:r w:rsidRPr="0087485F">
              <w:rPr>
                <w:rFonts w:cstheme="minorHAnsi"/>
                <w:color w:val="000000"/>
                <w:sz w:val="20"/>
                <w:szCs w:val="20"/>
              </w:rPr>
              <w:t>122</w:t>
            </w:r>
          </w:p>
        </w:tc>
        <w:tc>
          <w:tcPr>
            <w:tcW w:w="850" w:type="dxa"/>
            <w:shd w:val="clear" w:color="auto" w:fill="auto"/>
            <w:vAlign w:val="center"/>
          </w:tcPr>
          <w:p w:rsidR="00D907AF" w:rsidRPr="0087485F" w:rsidRDefault="00D907AF" w:rsidP="00B35BB9">
            <w:pPr>
              <w:spacing w:before="10" w:after="10"/>
              <w:jc w:val="center"/>
              <w:rPr>
                <w:rFonts w:cstheme="minorHAnsi"/>
                <w:color w:val="000000"/>
                <w:sz w:val="20"/>
                <w:szCs w:val="20"/>
              </w:rPr>
            </w:pPr>
            <w:r w:rsidRPr="0087485F">
              <w:rPr>
                <w:rFonts w:cstheme="minorHAnsi"/>
                <w:color w:val="000000"/>
                <w:sz w:val="20"/>
                <w:szCs w:val="20"/>
              </w:rPr>
              <w:t>32.0</w:t>
            </w:r>
          </w:p>
        </w:tc>
        <w:tc>
          <w:tcPr>
            <w:tcW w:w="1247" w:type="dxa"/>
            <w:shd w:val="clear" w:color="auto" w:fill="auto"/>
            <w:vAlign w:val="center"/>
          </w:tcPr>
          <w:p w:rsidR="00D907AF" w:rsidRPr="0087485F" w:rsidRDefault="00D907AF" w:rsidP="00B35BB9">
            <w:pPr>
              <w:spacing w:before="10" w:after="10"/>
              <w:jc w:val="center"/>
              <w:rPr>
                <w:rFonts w:cstheme="minorHAnsi"/>
                <w:color w:val="000000"/>
                <w:sz w:val="20"/>
                <w:szCs w:val="20"/>
              </w:rPr>
            </w:pPr>
            <w:r w:rsidRPr="0087485F">
              <w:rPr>
                <w:rFonts w:cstheme="minorHAnsi"/>
                <w:color w:val="000000"/>
                <w:sz w:val="20"/>
                <w:szCs w:val="20"/>
              </w:rPr>
              <w:t>86</w:t>
            </w:r>
          </w:p>
        </w:tc>
        <w:tc>
          <w:tcPr>
            <w:tcW w:w="1247" w:type="dxa"/>
            <w:shd w:val="clear" w:color="auto" w:fill="auto"/>
            <w:vAlign w:val="center"/>
          </w:tcPr>
          <w:p w:rsidR="00D907AF" w:rsidRPr="0087485F" w:rsidRDefault="00D907AF" w:rsidP="00B35BB9">
            <w:pPr>
              <w:spacing w:before="10" w:after="10"/>
              <w:jc w:val="center"/>
              <w:rPr>
                <w:rFonts w:cstheme="minorHAnsi"/>
                <w:color w:val="000000"/>
                <w:sz w:val="20"/>
                <w:szCs w:val="20"/>
              </w:rPr>
            </w:pPr>
            <w:r w:rsidRPr="0087485F">
              <w:rPr>
                <w:rFonts w:cstheme="minorHAnsi"/>
                <w:color w:val="000000"/>
                <w:sz w:val="20"/>
                <w:szCs w:val="20"/>
              </w:rPr>
              <w:t>26.5</w:t>
            </w:r>
          </w:p>
        </w:tc>
        <w:tc>
          <w:tcPr>
            <w:tcW w:w="890" w:type="dxa"/>
            <w:shd w:val="clear" w:color="auto" w:fill="auto"/>
            <w:vAlign w:val="center"/>
          </w:tcPr>
          <w:p w:rsidR="00D907AF" w:rsidRPr="0087485F" w:rsidRDefault="00D907AF" w:rsidP="00B35BB9">
            <w:pPr>
              <w:spacing w:before="10" w:after="10"/>
              <w:jc w:val="center"/>
              <w:rPr>
                <w:rFonts w:cstheme="minorHAnsi"/>
                <w:color w:val="000000"/>
                <w:sz w:val="20"/>
                <w:szCs w:val="20"/>
              </w:rPr>
            </w:pPr>
            <w:r w:rsidRPr="0087485F">
              <w:rPr>
                <w:rFonts w:cstheme="minorHAnsi"/>
                <w:color w:val="000000"/>
                <w:sz w:val="20"/>
                <w:szCs w:val="20"/>
              </w:rPr>
              <w:t>208</w:t>
            </w:r>
          </w:p>
        </w:tc>
        <w:tc>
          <w:tcPr>
            <w:tcW w:w="952" w:type="dxa"/>
            <w:shd w:val="clear" w:color="auto" w:fill="auto"/>
            <w:vAlign w:val="center"/>
          </w:tcPr>
          <w:p w:rsidR="00D907AF" w:rsidRPr="0087485F" w:rsidRDefault="00D907AF" w:rsidP="00B35BB9">
            <w:pPr>
              <w:spacing w:before="10" w:after="10"/>
              <w:jc w:val="center"/>
              <w:rPr>
                <w:rFonts w:cstheme="minorHAnsi"/>
                <w:color w:val="000000"/>
                <w:sz w:val="20"/>
                <w:szCs w:val="20"/>
              </w:rPr>
            </w:pPr>
            <w:r w:rsidRPr="0087485F">
              <w:rPr>
                <w:rFonts w:cstheme="minorHAnsi"/>
                <w:color w:val="000000"/>
                <w:sz w:val="20"/>
                <w:szCs w:val="20"/>
              </w:rPr>
              <w:t>29.5</w:t>
            </w:r>
          </w:p>
        </w:tc>
      </w:tr>
      <w:tr w:rsidR="00D907AF" w:rsidRPr="0087485F" w:rsidTr="002B7763">
        <w:tc>
          <w:tcPr>
            <w:tcW w:w="3742" w:type="dxa"/>
            <w:shd w:val="clear" w:color="auto" w:fill="auto"/>
          </w:tcPr>
          <w:p w:rsidR="00D907AF" w:rsidRPr="0087485F" w:rsidRDefault="00D907AF" w:rsidP="00D907AF">
            <w:pPr>
              <w:spacing w:before="10" w:after="10"/>
              <w:rPr>
                <w:rFonts w:cstheme="minorHAnsi"/>
                <w:sz w:val="20"/>
                <w:szCs w:val="20"/>
              </w:rPr>
            </w:pPr>
            <w:r w:rsidRPr="0087485F">
              <w:rPr>
                <w:rFonts w:cstheme="minorHAnsi"/>
                <w:sz w:val="20"/>
                <w:szCs w:val="20"/>
              </w:rPr>
              <w:t xml:space="preserve">Little choice </w:t>
            </w:r>
          </w:p>
        </w:tc>
        <w:tc>
          <w:tcPr>
            <w:tcW w:w="851" w:type="dxa"/>
            <w:shd w:val="clear" w:color="auto" w:fill="auto"/>
            <w:vAlign w:val="center"/>
          </w:tcPr>
          <w:p w:rsidR="00D907AF" w:rsidRPr="0087485F" w:rsidRDefault="00D907AF" w:rsidP="00B35BB9">
            <w:pPr>
              <w:spacing w:before="10" w:after="10"/>
              <w:jc w:val="center"/>
              <w:rPr>
                <w:rFonts w:cstheme="minorHAnsi"/>
                <w:color w:val="000000"/>
                <w:sz w:val="20"/>
                <w:szCs w:val="20"/>
              </w:rPr>
            </w:pPr>
            <w:r w:rsidRPr="0087485F">
              <w:rPr>
                <w:rFonts w:cstheme="minorHAnsi"/>
                <w:color w:val="000000"/>
                <w:sz w:val="20"/>
                <w:szCs w:val="20"/>
              </w:rPr>
              <w:t>30</w:t>
            </w:r>
          </w:p>
        </w:tc>
        <w:tc>
          <w:tcPr>
            <w:tcW w:w="850" w:type="dxa"/>
            <w:shd w:val="clear" w:color="auto" w:fill="auto"/>
            <w:vAlign w:val="center"/>
          </w:tcPr>
          <w:p w:rsidR="00D907AF" w:rsidRPr="0087485F" w:rsidRDefault="00D907AF" w:rsidP="00B35BB9">
            <w:pPr>
              <w:spacing w:before="10" w:after="10"/>
              <w:jc w:val="center"/>
              <w:rPr>
                <w:rFonts w:cstheme="minorHAnsi"/>
                <w:color w:val="000000"/>
                <w:sz w:val="20"/>
                <w:szCs w:val="20"/>
              </w:rPr>
            </w:pPr>
            <w:r w:rsidRPr="0087485F">
              <w:rPr>
                <w:rFonts w:cstheme="minorHAnsi"/>
                <w:color w:val="000000"/>
                <w:sz w:val="20"/>
                <w:szCs w:val="20"/>
              </w:rPr>
              <w:t>7.9</w:t>
            </w:r>
          </w:p>
        </w:tc>
        <w:tc>
          <w:tcPr>
            <w:tcW w:w="1247" w:type="dxa"/>
            <w:shd w:val="clear" w:color="auto" w:fill="auto"/>
            <w:vAlign w:val="center"/>
          </w:tcPr>
          <w:p w:rsidR="00D907AF" w:rsidRPr="0087485F" w:rsidRDefault="00D907AF" w:rsidP="00B35BB9">
            <w:pPr>
              <w:spacing w:before="10" w:after="10"/>
              <w:jc w:val="center"/>
              <w:rPr>
                <w:rFonts w:cstheme="minorHAnsi"/>
                <w:color w:val="000000"/>
                <w:sz w:val="20"/>
                <w:szCs w:val="20"/>
              </w:rPr>
            </w:pPr>
            <w:r w:rsidRPr="0087485F">
              <w:rPr>
                <w:rFonts w:cstheme="minorHAnsi"/>
                <w:color w:val="000000"/>
                <w:sz w:val="20"/>
                <w:szCs w:val="20"/>
              </w:rPr>
              <w:t>53</w:t>
            </w:r>
          </w:p>
        </w:tc>
        <w:tc>
          <w:tcPr>
            <w:tcW w:w="1247" w:type="dxa"/>
            <w:shd w:val="clear" w:color="auto" w:fill="auto"/>
            <w:vAlign w:val="center"/>
          </w:tcPr>
          <w:p w:rsidR="00D907AF" w:rsidRPr="0087485F" w:rsidRDefault="00D907AF" w:rsidP="00B35BB9">
            <w:pPr>
              <w:spacing w:before="10" w:after="10"/>
              <w:jc w:val="center"/>
              <w:rPr>
                <w:rFonts w:cstheme="minorHAnsi"/>
                <w:color w:val="000000"/>
                <w:sz w:val="20"/>
                <w:szCs w:val="20"/>
              </w:rPr>
            </w:pPr>
            <w:r w:rsidRPr="0087485F">
              <w:rPr>
                <w:rFonts w:cstheme="minorHAnsi"/>
                <w:color w:val="000000"/>
                <w:sz w:val="20"/>
                <w:szCs w:val="20"/>
              </w:rPr>
              <w:t>16.4</w:t>
            </w:r>
          </w:p>
        </w:tc>
        <w:tc>
          <w:tcPr>
            <w:tcW w:w="890" w:type="dxa"/>
            <w:shd w:val="clear" w:color="auto" w:fill="auto"/>
            <w:vAlign w:val="center"/>
          </w:tcPr>
          <w:p w:rsidR="00D907AF" w:rsidRPr="0087485F" w:rsidRDefault="00D907AF" w:rsidP="00B35BB9">
            <w:pPr>
              <w:spacing w:before="10" w:after="10"/>
              <w:jc w:val="center"/>
              <w:rPr>
                <w:rFonts w:cstheme="minorHAnsi"/>
                <w:color w:val="000000"/>
                <w:sz w:val="20"/>
                <w:szCs w:val="20"/>
              </w:rPr>
            </w:pPr>
            <w:r w:rsidRPr="0087485F">
              <w:rPr>
                <w:rFonts w:cstheme="minorHAnsi"/>
                <w:color w:val="000000"/>
                <w:sz w:val="20"/>
                <w:szCs w:val="20"/>
              </w:rPr>
              <w:t>83</w:t>
            </w:r>
          </w:p>
        </w:tc>
        <w:tc>
          <w:tcPr>
            <w:tcW w:w="952" w:type="dxa"/>
            <w:shd w:val="clear" w:color="auto" w:fill="auto"/>
            <w:vAlign w:val="center"/>
          </w:tcPr>
          <w:p w:rsidR="00D907AF" w:rsidRPr="0087485F" w:rsidRDefault="00D907AF" w:rsidP="00B35BB9">
            <w:pPr>
              <w:spacing w:before="10" w:after="10"/>
              <w:jc w:val="center"/>
              <w:rPr>
                <w:rFonts w:cstheme="minorHAnsi"/>
                <w:color w:val="000000"/>
                <w:sz w:val="20"/>
                <w:szCs w:val="20"/>
              </w:rPr>
            </w:pPr>
            <w:r w:rsidRPr="0087485F">
              <w:rPr>
                <w:rFonts w:cstheme="minorHAnsi"/>
                <w:color w:val="000000"/>
                <w:sz w:val="20"/>
                <w:szCs w:val="20"/>
              </w:rPr>
              <w:t>11.8</w:t>
            </w:r>
          </w:p>
        </w:tc>
      </w:tr>
      <w:tr w:rsidR="00D907AF" w:rsidRPr="0087485F" w:rsidTr="002B7763">
        <w:tc>
          <w:tcPr>
            <w:tcW w:w="3742" w:type="dxa"/>
            <w:shd w:val="clear" w:color="auto" w:fill="auto"/>
          </w:tcPr>
          <w:p w:rsidR="00D907AF" w:rsidRPr="0087485F" w:rsidRDefault="00D907AF" w:rsidP="00D907AF">
            <w:pPr>
              <w:spacing w:before="10" w:after="10"/>
              <w:rPr>
                <w:rFonts w:cstheme="minorHAnsi"/>
                <w:sz w:val="20"/>
                <w:szCs w:val="20"/>
              </w:rPr>
            </w:pPr>
            <w:r w:rsidRPr="0087485F">
              <w:rPr>
                <w:rFonts w:cstheme="minorHAnsi"/>
                <w:sz w:val="20"/>
                <w:szCs w:val="20"/>
              </w:rPr>
              <w:t>No choice</w:t>
            </w:r>
          </w:p>
        </w:tc>
        <w:tc>
          <w:tcPr>
            <w:tcW w:w="851" w:type="dxa"/>
            <w:shd w:val="clear" w:color="auto" w:fill="auto"/>
            <w:vAlign w:val="center"/>
          </w:tcPr>
          <w:p w:rsidR="00D907AF" w:rsidRPr="0087485F" w:rsidRDefault="00D907AF" w:rsidP="00B35BB9">
            <w:pPr>
              <w:spacing w:before="10" w:after="10"/>
              <w:jc w:val="center"/>
              <w:rPr>
                <w:rFonts w:cstheme="minorHAnsi"/>
                <w:color w:val="000000"/>
                <w:sz w:val="20"/>
                <w:szCs w:val="20"/>
              </w:rPr>
            </w:pPr>
            <w:r w:rsidRPr="0087485F">
              <w:rPr>
                <w:rFonts w:cstheme="minorHAnsi"/>
                <w:color w:val="000000"/>
                <w:sz w:val="20"/>
                <w:szCs w:val="20"/>
              </w:rPr>
              <w:t>34</w:t>
            </w:r>
          </w:p>
        </w:tc>
        <w:tc>
          <w:tcPr>
            <w:tcW w:w="850" w:type="dxa"/>
            <w:shd w:val="clear" w:color="auto" w:fill="auto"/>
            <w:vAlign w:val="center"/>
          </w:tcPr>
          <w:p w:rsidR="00D907AF" w:rsidRPr="0087485F" w:rsidRDefault="00D907AF" w:rsidP="00B35BB9">
            <w:pPr>
              <w:spacing w:before="10" w:after="10"/>
              <w:jc w:val="center"/>
              <w:rPr>
                <w:rFonts w:cstheme="minorHAnsi"/>
                <w:color w:val="000000"/>
                <w:sz w:val="20"/>
                <w:szCs w:val="20"/>
              </w:rPr>
            </w:pPr>
            <w:r w:rsidRPr="0087485F">
              <w:rPr>
                <w:rFonts w:cstheme="minorHAnsi"/>
                <w:color w:val="000000"/>
                <w:sz w:val="20"/>
                <w:szCs w:val="20"/>
              </w:rPr>
              <w:t>8.9</w:t>
            </w:r>
          </w:p>
        </w:tc>
        <w:tc>
          <w:tcPr>
            <w:tcW w:w="1247" w:type="dxa"/>
            <w:shd w:val="clear" w:color="auto" w:fill="auto"/>
            <w:vAlign w:val="center"/>
          </w:tcPr>
          <w:p w:rsidR="00D907AF" w:rsidRPr="0087485F" w:rsidRDefault="00D907AF" w:rsidP="00B35BB9">
            <w:pPr>
              <w:spacing w:before="10" w:after="10"/>
              <w:jc w:val="center"/>
              <w:rPr>
                <w:rFonts w:cstheme="minorHAnsi"/>
                <w:color w:val="000000"/>
                <w:sz w:val="20"/>
                <w:szCs w:val="20"/>
              </w:rPr>
            </w:pPr>
            <w:r w:rsidRPr="0087485F">
              <w:rPr>
                <w:rFonts w:cstheme="minorHAnsi"/>
                <w:color w:val="000000"/>
                <w:sz w:val="20"/>
                <w:szCs w:val="20"/>
              </w:rPr>
              <w:t>47</w:t>
            </w:r>
          </w:p>
        </w:tc>
        <w:tc>
          <w:tcPr>
            <w:tcW w:w="1247" w:type="dxa"/>
            <w:shd w:val="clear" w:color="auto" w:fill="auto"/>
            <w:vAlign w:val="center"/>
          </w:tcPr>
          <w:p w:rsidR="00D907AF" w:rsidRPr="0087485F" w:rsidRDefault="00D907AF" w:rsidP="00B35BB9">
            <w:pPr>
              <w:spacing w:before="10" w:after="10"/>
              <w:jc w:val="center"/>
              <w:rPr>
                <w:rFonts w:cstheme="minorHAnsi"/>
                <w:color w:val="000000"/>
                <w:sz w:val="20"/>
                <w:szCs w:val="20"/>
              </w:rPr>
            </w:pPr>
            <w:r w:rsidRPr="0087485F">
              <w:rPr>
                <w:rFonts w:cstheme="minorHAnsi"/>
                <w:color w:val="000000"/>
                <w:sz w:val="20"/>
                <w:szCs w:val="20"/>
              </w:rPr>
              <w:t>14.5</w:t>
            </w:r>
          </w:p>
        </w:tc>
        <w:tc>
          <w:tcPr>
            <w:tcW w:w="890" w:type="dxa"/>
            <w:shd w:val="clear" w:color="auto" w:fill="auto"/>
            <w:vAlign w:val="center"/>
          </w:tcPr>
          <w:p w:rsidR="00D907AF" w:rsidRPr="0087485F" w:rsidRDefault="00D907AF" w:rsidP="00B35BB9">
            <w:pPr>
              <w:spacing w:before="10" w:after="10"/>
              <w:jc w:val="center"/>
              <w:rPr>
                <w:rFonts w:cstheme="minorHAnsi"/>
                <w:color w:val="000000"/>
                <w:sz w:val="20"/>
                <w:szCs w:val="20"/>
              </w:rPr>
            </w:pPr>
            <w:r w:rsidRPr="0087485F">
              <w:rPr>
                <w:rFonts w:cstheme="minorHAnsi"/>
                <w:color w:val="000000"/>
                <w:sz w:val="20"/>
                <w:szCs w:val="20"/>
              </w:rPr>
              <w:t>81</w:t>
            </w:r>
          </w:p>
        </w:tc>
        <w:tc>
          <w:tcPr>
            <w:tcW w:w="952" w:type="dxa"/>
            <w:shd w:val="clear" w:color="auto" w:fill="auto"/>
            <w:vAlign w:val="center"/>
          </w:tcPr>
          <w:p w:rsidR="00D907AF" w:rsidRPr="0087485F" w:rsidRDefault="00D907AF" w:rsidP="00B35BB9">
            <w:pPr>
              <w:spacing w:before="10" w:after="10"/>
              <w:jc w:val="center"/>
              <w:rPr>
                <w:rFonts w:cstheme="minorHAnsi"/>
                <w:color w:val="000000"/>
                <w:sz w:val="20"/>
                <w:szCs w:val="20"/>
              </w:rPr>
            </w:pPr>
            <w:r w:rsidRPr="0087485F">
              <w:rPr>
                <w:rFonts w:cstheme="minorHAnsi"/>
                <w:color w:val="000000"/>
                <w:sz w:val="20"/>
                <w:szCs w:val="20"/>
              </w:rPr>
              <w:t>11.5</w:t>
            </w:r>
          </w:p>
        </w:tc>
      </w:tr>
      <w:tr w:rsidR="00D907AF" w:rsidRPr="0087485F" w:rsidTr="002B7763">
        <w:tc>
          <w:tcPr>
            <w:tcW w:w="3742" w:type="dxa"/>
            <w:shd w:val="clear" w:color="auto" w:fill="auto"/>
          </w:tcPr>
          <w:p w:rsidR="00D907AF" w:rsidRPr="0087485F" w:rsidRDefault="00D907AF" w:rsidP="00D907AF">
            <w:pPr>
              <w:spacing w:before="10" w:after="10"/>
              <w:rPr>
                <w:rFonts w:cstheme="minorHAnsi"/>
                <w:sz w:val="20"/>
                <w:szCs w:val="20"/>
              </w:rPr>
            </w:pPr>
            <w:r w:rsidRPr="0087485F">
              <w:rPr>
                <w:rFonts w:cstheme="minorHAnsi"/>
                <w:sz w:val="20"/>
                <w:szCs w:val="20"/>
              </w:rPr>
              <w:t>It varies depending on the type of supports</w:t>
            </w:r>
          </w:p>
        </w:tc>
        <w:tc>
          <w:tcPr>
            <w:tcW w:w="851" w:type="dxa"/>
            <w:shd w:val="clear" w:color="auto" w:fill="auto"/>
            <w:vAlign w:val="center"/>
          </w:tcPr>
          <w:p w:rsidR="00D907AF" w:rsidRPr="0087485F" w:rsidRDefault="00D907AF" w:rsidP="00B35BB9">
            <w:pPr>
              <w:spacing w:before="10" w:after="10"/>
              <w:jc w:val="center"/>
              <w:rPr>
                <w:rFonts w:cstheme="minorHAnsi"/>
                <w:color w:val="000000"/>
                <w:sz w:val="20"/>
                <w:szCs w:val="20"/>
              </w:rPr>
            </w:pPr>
            <w:r w:rsidRPr="0087485F">
              <w:rPr>
                <w:rFonts w:cstheme="minorHAnsi"/>
                <w:color w:val="000000"/>
                <w:sz w:val="20"/>
                <w:szCs w:val="20"/>
              </w:rPr>
              <w:t>50</w:t>
            </w:r>
          </w:p>
        </w:tc>
        <w:tc>
          <w:tcPr>
            <w:tcW w:w="850" w:type="dxa"/>
            <w:shd w:val="clear" w:color="auto" w:fill="auto"/>
            <w:vAlign w:val="center"/>
          </w:tcPr>
          <w:p w:rsidR="00D907AF" w:rsidRPr="0087485F" w:rsidRDefault="00D907AF" w:rsidP="00B35BB9">
            <w:pPr>
              <w:spacing w:before="10" w:after="10"/>
              <w:jc w:val="center"/>
              <w:rPr>
                <w:rFonts w:cstheme="minorHAnsi"/>
                <w:color w:val="000000"/>
                <w:sz w:val="20"/>
                <w:szCs w:val="20"/>
              </w:rPr>
            </w:pPr>
            <w:r w:rsidRPr="0087485F">
              <w:rPr>
                <w:rFonts w:cstheme="minorHAnsi"/>
                <w:color w:val="000000"/>
                <w:sz w:val="20"/>
                <w:szCs w:val="20"/>
              </w:rPr>
              <w:t>13.1</w:t>
            </w:r>
          </w:p>
        </w:tc>
        <w:tc>
          <w:tcPr>
            <w:tcW w:w="1247" w:type="dxa"/>
            <w:shd w:val="clear" w:color="auto" w:fill="auto"/>
            <w:vAlign w:val="center"/>
          </w:tcPr>
          <w:p w:rsidR="00D907AF" w:rsidRPr="0087485F" w:rsidRDefault="00D907AF" w:rsidP="00B35BB9">
            <w:pPr>
              <w:spacing w:before="10" w:after="10"/>
              <w:jc w:val="center"/>
              <w:rPr>
                <w:rFonts w:cstheme="minorHAnsi"/>
                <w:color w:val="000000"/>
                <w:sz w:val="20"/>
                <w:szCs w:val="20"/>
              </w:rPr>
            </w:pPr>
            <w:r w:rsidRPr="0087485F">
              <w:rPr>
                <w:rFonts w:cstheme="minorHAnsi"/>
                <w:color w:val="000000"/>
                <w:sz w:val="20"/>
                <w:szCs w:val="20"/>
              </w:rPr>
              <w:t>37</w:t>
            </w:r>
          </w:p>
        </w:tc>
        <w:tc>
          <w:tcPr>
            <w:tcW w:w="1247" w:type="dxa"/>
            <w:shd w:val="clear" w:color="auto" w:fill="auto"/>
            <w:vAlign w:val="center"/>
          </w:tcPr>
          <w:p w:rsidR="00D907AF" w:rsidRPr="0087485F" w:rsidRDefault="00D907AF" w:rsidP="00B35BB9">
            <w:pPr>
              <w:spacing w:before="10" w:after="10"/>
              <w:jc w:val="center"/>
              <w:rPr>
                <w:rFonts w:cstheme="minorHAnsi"/>
                <w:color w:val="000000"/>
                <w:sz w:val="20"/>
                <w:szCs w:val="20"/>
              </w:rPr>
            </w:pPr>
            <w:r w:rsidRPr="0087485F">
              <w:rPr>
                <w:rFonts w:cstheme="minorHAnsi"/>
                <w:color w:val="000000"/>
                <w:sz w:val="20"/>
                <w:szCs w:val="20"/>
              </w:rPr>
              <w:t>11.4</w:t>
            </w:r>
          </w:p>
        </w:tc>
        <w:tc>
          <w:tcPr>
            <w:tcW w:w="890" w:type="dxa"/>
            <w:shd w:val="clear" w:color="auto" w:fill="auto"/>
            <w:vAlign w:val="center"/>
          </w:tcPr>
          <w:p w:rsidR="00D907AF" w:rsidRPr="0087485F" w:rsidRDefault="00D907AF" w:rsidP="00B35BB9">
            <w:pPr>
              <w:spacing w:before="10" w:after="10"/>
              <w:jc w:val="center"/>
              <w:rPr>
                <w:rFonts w:cstheme="minorHAnsi"/>
                <w:color w:val="000000"/>
                <w:sz w:val="20"/>
                <w:szCs w:val="20"/>
              </w:rPr>
            </w:pPr>
            <w:r w:rsidRPr="0087485F">
              <w:rPr>
                <w:rFonts w:cstheme="minorHAnsi"/>
                <w:color w:val="000000"/>
                <w:sz w:val="20"/>
                <w:szCs w:val="20"/>
              </w:rPr>
              <w:t>87</w:t>
            </w:r>
          </w:p>
        </w:tc>
        <w:tc>
          <w:tcPr>
            <w:tcW w:w="952" w:type="dxa"/>
            <w:shd w:val="clear" w:color="auto" w:fill="auto"/>
            <w:vAlign w:val="center"/>
          </w:tcPr>
          <w:p w:rsidR="00D907AF" w:rsidRPr="0087485F" w:rsidRDefault="00D907AF" w:rsidP="00B35BB9">
            <w:pPr>
              <w:spacing w:before="10" w:after="10"/>
              <w:jc w:val="center"/>
              <w:rPr>
                <w:rFonts w:cstheme="minorHAnsi"/>
                <w:color w:val="000000"/>
                <w:sz w:val="20"/>
                <w:szCs w:val="20"/>
              </w:rPr>
            </w:pPr>
            <w:r w:rsidRPr="0087485F">
              <w:rPr>
                <w:rFonts w:cstheme="minorHAnsi"/>
                <w:color w:val="000000"/>
                <w:sz w:val="20"/>
                <w:szCs w:val="20"/>
              </w:rPr>
              <w:t>12.3</w:t>
            </w:r>
          </w:p>
        </w:tc>
      </w:tr>
      <w:tr w:rsidR="00D907AF" w:rsidRPr="0087485F" w:rsidTr="002B7763">
        <w:tc>
          <w:tcPr>
            <w:tcW w:w="3742" w:type="dxa"/>
            <w:tcBorders>
              <w:bottom w:val="single" w:sz="4" w:space="0" w:color="auto"/>
            </w:tcBorders>
            <w:shd w:val="clear" w:color="auto" w:fill="auto"/>
          </w:tcPr>
          <w:p w:rsidR="00D907AF" w:rsidRPr="0087485F" w:rsidRDefault="00D907AF" w:rsidP="00D907AF">
            <w:pPr>
              <w:spacing w:before="10" w:after="10"/>
              <w:rPr>
                <w:rFonts w:cstheme="minorHAnsi"/>
                <w:sz w:val="20"/>
                <w:szCs w:val="20"/>
              </w:rPr>
            </w:pPr>
            <w:r w:rsidRPr="0087485F">
              <w:rPr>
                <w:rFonts w:cstheme="minorHAnsi"/>
                <w:sz w:val="20"/>
                <w:szCs w:val="20"/>
              </w:rPr>
              <w:t xml:space="preserve">Missing </w:t>
            </w:r>
          </w:p>
        </w:tc>
        <w:tc>
          <w:tcPr>
            <w:tcW w:w="851" w:type="dxa"/>
            <w:tcBorders>
              <w:bottom w:val="single" w:sz="4" w:space="0" w:color="auto"/>
            </w:tcBorders>
            <w:shd w:val="clear" w:color="auto" w:fill="auto"/>
            <w:vAlign w:val="center"/>
          </w:tcPr>
          <w:p w:rsidR="00D907AF" w:rsidRPr="0087485F" w:rsidRDefault="00D907AF" w:rsidP="00B35BB9">
            <w:pPr>
              <w:spacing w:before="10" w:after="10"/>
              <w:jc w:val="center"/>
              <w:rPr>
                <w:rFonts w:cstheme="minorHAnsi"/>
                <w:color w:val="000000"/>
                <w:sz w:val="20"/>
                <w:szCs w:val="20"/>
              </w:rPr>
            </w:pPr>
            <w:r w:rsidRPr="0087485F">
              <w:rPr>
                <w:rFonts w:cstheme="minorHAnsi"/>
                <w:color w:val="000000"/>
                <w:sz w:val="20"/>
                <w:szCs w:val="20"/>
              </w:rPr>
              <w:t>16</w:t>
            </w:r>
          </w:p>
        </w:tc>
        <w:tc>
          <w:tcPr>
            <w:tcW w:w="850" w:type="dxa"/>
            <w:tcBorders>
              <w:bottom w:val="single" w:sz="4" w:space="0" w:color="auto"/>
            </w:tcBorders>
            <w:shd w:val="clear" w:color="auto" w:fill="auto"/>
            <w:vAlign w:val="center"/>
          </w:tcPr>
          <w:p w:rsidR="00D907AF" w:rsidRPr="0087485F" w:rsidRDefault="00D907AF" w:rsidP="00B35BB9">
            <w:pPr>
              <w:spacing w:before="10" w:after="10"/>
              <w:jc w:val="center"/>
              <w:rPr>
                <w:rFonts w:cstheme="minorHAnsi"/>
                <w:color w:val="000000"/>
                <w:sz w:val="20"/>
                <w:szCs w:val="20"/>
              </w:rPr>
            </w:pPr>
            <w:r w:rsidRPr="0087485F">
              <w:rPr>
                <w:rFonts w:cstheme="minorHAnsi"/>
                <w:color w:val="000000"/>
                <w:sz w:val="20"/>
                <w:szCs w:val="20"/>
              </w:rPr>
              <w:t>4.2</w:t>
            </w:r>
          </w:p>
        </w:tc>
        <w:tc>
          <w:tcPr>
            <w:tcW w:w="1247" w:type="dxa"/>
            <w:tcBorders>
              <w:bottom w:val="single" w:sz="4" w:space="0" w:color="auto"/>
            </w:tcBorders>
            <w:shd w:val="clear" w:color="auto" w:fill="auto"/>
            <w:vAlign w:val="center"/>
          </w:tcPr>
          <w:p w:rsidR="00D907AF" w:rsidRPr="0087485F" w:rsidRDefault="00D907AF" w:rsidP="00B35BB9">
            <w:pPr>
              <w:spacing w:before="10" w:after="10"/>
              <w:jc w:val="center"/>
              <w:rPr>
                <w:rFonts w:cstheme="minorHAnsi"/>
                <w:color w:val="000000"/>
                <w:sz w:val="20"/>
                <w:szCs w:val="20"/>
              </w:rPr>
            </w:pPr>
            <w:r w:rsidRPr="0087485F">
              <w:rPr>
                <w:rFonts w:cstheme="minorHAnsi"/>
                <w:color w:val="000000"/>
                <w:sz w:val="20"/>
                <w:szCs w:val="20"/>
              </w:rPr>
              <w:t>45</w:t>
            </w:r>
          </w:p>
        </w:tc>
        <w:tc>
          <w:tcPr>
            <w:tcW w:w="1247" w:type="dxa"/>
            <w:tcBorders>
              <w:bottom w:val="single" w:sz="4" w:space="0" w:color="auto"/>
            </w:tcBorders>
            <w:shd w:val="clear" w:color="auto" w:fill="auto"/>
            <w:vAlign w:val="center"/>
          </w:tcPr>
          <w:p w:rsidR="00D907AF" w:rsidRPr="0087485F" w:rsidRDefault="00D907AF" w:rsidP="00B35BB9">
            <w:pPr>
              <w:spacing w:before="10" w:after="10"/>
              <w:jc w:val="center"/>
              <w:rPr>
                <w:rFonts w:cstheme="minorHAnsi"/>
                <w:color w:val="000000"/>
                <w:sz w:val="20"/>
                <w:szCs w:val="20"/>
              </w:rPr>
            </w:pPr>
            <w:r w:rsidRPr="0087485F">
              <w:rPr>
                <w:rFonts w:cstheme="minorHAnsi"/>
                <w:color w:val="000000"/>
                <w:sz w:val="20"/>
                <w:szCs w:val="20"/>
              </w:rPr>
              <w:t>13.9</w:t>
            </w:r>
          </w:p>
        </w:tc>
        <w:tc>
          <w:tcPr>
            <w:tcW w:w="890" w:type="dxa"/>
            <w:tcBorders>
              <w:bottom w:val="single" w:sz="4" w:space="0" w:color="auto"/>
            </w:tcBorders>
            <w:shd w:val="clear" w:color="auto" w:fill="auto"/>
            <w:vAlign w:val="center"/>
          </w:tcPr>
          <w:p w:rsidR="00D907AF" w:rsidRPr="0087485F" w:rsidRDefault="00D907AF" w:rsidP="00B35BB9">
            <w:pPr>
              <w:spacing w:before="10" w:after="10"/>
              <w:jc w:val="center"/>
              <w:rPr>
                <w:rFonts w:cstheme="minorHAnsi"/>
                <w:color w:val="000000"/>
                <w:sz w:val="20"/>
                <w:szCs w:val="20"/>
              </w:rPr>
            </w:pPr>
            <w:r w:rsidRPr="0087485F">
              <w:rPr>
                <w:rFonts w:cstheme="minorHAnsi"/>
                <w:color w:val="000000"/>
                <w:sz w:val="20"/>
                <w:szCs w:val="20"/>
              </w:rPr>
              <w:t>61</w:t>
            </w:r>
          </w:p>
        </w:tc>
        <w:tc>
          <w:tcPr>
            <w:tcW w:w="952" w:type="dxa"/>
            <w:tcBorders>
              <w:bottom w:val="single" w:sz="4" w:space="0" w:color="auto"/>
            </w:tcBorders>
            <w:shd w:val="clear" w:color="auto" w:fill="auto"/>
            <w:vAlign w:val="center"/>
          </w:tcPr>
          <w:p w:rsidR="00D907AF" w:rsidRPr="0087485F" w:rsidRDefault="00D907AF" w:rsidP="00B35BB9">
            <w:pPr>
              <w:spacing w:before="10" w:after="10"/>
              <w:jc w:val="center"/>
              <w:rPr>
                <w:rFonts w:cstheme="minorHAnsi"/>
                <w:color w:val="000000"/>
                <w:sz w:val="20"/>
                <w:szCs w:val="20"/>
              </w:rPr>
            </w:pPr>
            <w:r w:rsidRPr="0087485F">
              <w:rPr>
                <w:rFonts w:cstheme="minorHAnsi"/>
                <w:color w:val="000000"/>
                <w:sz w:val="20"/>
                <w:szCs w:val="20"/>
              </w:rPr>
              <w:t>8.7</w:t>
            </w:r>
          </w:p>
        </w:tc>
      </w:tr>
      <w:tr w:rsidR="00D907AF" w:rsidRPr="0087485F" w:rsidTr="002B7763">
        <w:tc>
          <w:tcPr>
            <w:tcW w:w="3742" w:type="dxa"/>
            <w:tcBorders>
              <w:top w:val="single" w:sz="4" w:space="0" w:color="auto"/>
              <w:bottom w:val="single" w:sz="4" w:space="0" w:color="auto"/>
            </w:tcBorders>
            <w:shd w:val="clear" w:color="auto" w:fill="auto"/>
          </w:tcPr>
          <w:p w:rsidR="00D907AF" w:rsidRPr="0087485F" w:rsidRDefault="00D907AF" w:rsidP="00D907AF">
            <w:pPr>
              <w:spacing w:before="10" w:after="10"/>
              <w:rPr>
                <w:rFonts w:cstheme="minorHAnsi"/>
                <w:sz w:val="20"/>
                <w:szCs w:val="20"/>
              </w:rPr>
            </w:pPr>
            <w:r w:rsidRPr="0087485F">
              <w:rPr>
                <w:rFonts w:cstheme="minorHAnsi"/>
                <w:b/>
                <w:sz w:val="20"/>
                <w:szCs w:val="20"/>
              </w:rPr>
              <w:t>Total</w:t>
            </w:r>
          </w:p>
        </w:tc>
        <w:tc>
          <w:tcPr>
            <w:tcW w:w="851" w:type="dxa"/>
            <w:tcBorders>
              <w:top w:val="single" w:sz="4" w:space="0" w:color="auto"/>
              <w:bottom w:val="single" w:sz="4" w:space="0" w:color="auto"/>
            </w:tcBorders>
            <w:shd w:val="clear" w:color="auto" w:fill="auto"/>
            <w:vAlign w:val="center"/>
          </w:tcPr>
          <w:p w:rsidR="00D907AF" w:rsidRPr="0087485F" w:rsidRDefault="00D907AF" w:rsidP="00B35BB9">
            <w:pPr>
              <w:spacing w:before="10" w:after="10"/>
              <w:jc w:val="center"/>
              <w:rPr>
                <w:rFonts w:cstheme="minorHAnsi"/>
                <w:b/>
                <w:sz w:val="20"/>
                <w:szCs w:val="20"/>
              </w:rPr>
            </w:pPr>
            <w:r w:rsidRPr="0087485F">
              <w:rPr>
                <w:rFonts w:cstheme="minorHAnsi"/>
                <w:b/>
                <w:sz w:val="20"/>
                <w:szCs w:val="20"/>
              </w:rPr>
              <w:t>381</w:t>
            </w:r>
          </w:p>
        </w:tc>
        <w:tc>
          <w:tcPr>
            <w:tcW w:w="850" w:type="dxa"/>
            <w:tcBorders>
              <w:top w:val="single" w:sz="4" w:space="0" w:color="auto"/>
              <w:bottom w:val="single" w:sz="4" w:space="0" w:color="auto"/>
            </w:tcBorders>
            <w:shd w:val="clear" w:color="auto" w:fill="auto"/>
            <w:vAlign w:val="center"/>
          </w:tcPr>
          <w:p w:rsidR="00D907AF" w:rsidRPr="0087485F" w:rsidRDefault="00D907AF" w:rsidP="00B35BB9">
            <w:pPr>
              <w:spacing w:before="10" w:after="10"/>
              <w:jc w:val="center"/>
              <w:rPr>
                <w:rFonts w:cstheme="minorHAnsi"/>
                <w:b/>
                <w:sz w:val="20"/>
                <w:szCs w:val="20"/>
              </w:rPr>
            </w:pPr>
            <w:r w:rsidRPr="0087485F">
              <w:rPr>
                <w:rFonts w:cstheme="minorHAnsi"/>
                <w:b/>
                <w:sz w:val="20"/>
                <w:szCs w:val="20"/>
              </w:rPr>
              <w:t>100</w:t>
            </w:r>
          </w:p>
        </w:tc>
        <w:tc>
          <w:tcPr>
            <w:tcW w:w="1247" w:type="dxa"/>
            <w:tcBorders>
              <w:top w:val="single" w:sz="4" w:space="0" w:color="auto"/>
              <w:bottom w:val="single" w:sz="4" w:space="0" w:color="auto"/>
            </w:tcBorders>
            <w:shd w:val="clear" w:color="auto" w:fill="auto"/>
            <w:vAlign w:val="center"/>
          </w:tcPr>
          <w:p w:rsidR="00D907AF" w:rsidRPr="0087485F" w:rsidRDefault="00D907AF" w:rsidP="00B35BB9">
            <w:pPr>
              <w:spacing w:before="10" w:after="10"/>
              <w:jc w:val="center"/>
              <w:rPr>
                <w:rFonts w:cstheme="minorHAnsi"/>
                <w:b/>
                <w:sz w:val="20"/>
                <w:szCs w:val="20"/>
              </w:rPr>
            </w:pPr>
            <w:r w:rsidRPr="0087485F">
              <w:rPr>
                <w:rFonts w:cstheme="minorHAnsi"/>
                <w:b/>
                <w:sz w:val="20"/>
                <w:szCs w:val="20"/>
              </w:rPr>
              <w:t>324</w:t>
            </w:r>
          </w:p>
        </w:tc>
        <w:tc>
          <w:tcPr>
            <w:tcW w:w="1247" w:type="dxa"/>
            <w:tcBorders>
              <w:top w:val="single" w:sz="4" w:space="0" w:color="auto"/>
              <w:bottom w:val="single" w:sz="4" w:space="0" w:color="auto"/>
            </w:tcBorders>
            <w:shd w:val="clear" w:color="auto" w:fill="auto"/>
            <w:vAlign w:val="center"/>
          </w:tcPr>
          <w:p w:rsidR="00D907AF" w:rsidRPr="0087485F" w:rsidRDefault="00D907AF" w:rsidP="00B35BB9">
            <w:pPr>
              <w:spacing w:before="10" w:after="10"/>
              <w:jc w:val="center"/>
              <w:rPr>
                <w:rFonts w:cstheme="minorHAnsi"/>
                <w:b/>
                <w:sz w:val="20"/>
                <w:szCs w:val="20"/>
              </w:rPr>
            </w:pPr>
            <w:r w:rsidRPr="0087485F">
              <w:rPr>
                <w:rFonts w:cstheme="minorHAnsi"/>
                <w:b/>
                <w:sz w:val="20"/>
                <w:szCs w:val="20"/>
              </w:rPr>
              <w:t>100</w:t>
            </w:r>
          </w:p>
        </w:tc>
        <w:tc>
          <w:tcPr>
            <w:tcW w:w="890" w:type="dxa"/>
            <w:tcBorders>
              <w:top w:val="single" w:sz="4" w:space="0" w:color="auto"/>
              <w:bottom w:val="single" w:sz="4" w:space="0" w:color="auto"/>
            </w:tcBorders>
            <w:shd w:val="clear" w:color="auto" w:fill="auto"/>
            <w:vAlign w:val="center"/>
          </w:tcPr>
          <w:p w:rsidR="00D907AF" w:rsidRPr="0087485F" w:rsidRDefault="00D907AF" w:rsidP="00B35BB9">
            <w:pPr>
              <w:spacing w:before="10" w:after="10"/>
              <w:jc w:val="center"/>
              <w:rPr>
                <w:rFonts w:cstheme="minorHAnsi"/>
                <w:b/>
                <w:sz w:val="20"/>
                <w:szCs w:val="20"/>
              </w:rPr>
            </w:pPr>
            <w:r w:rsidRPr="0087485F">
              <w:rPr>
                <w:rFonts w:cstheme="minorHAnsi"/>
                <w:b/>
                <w:sz w:val="20"/>
                <w:szCs w:val="20"/>
              </w:rPr>
              <w:t>705</w:t>
            </w:r>
          </w:p>
        </w:tc>
        <w:tc>
          <w:tcPr>
            <w:tcW w:w="952" w:type="dxa"/>
            <w:tcBorders>
              <w:top w:val="single" w:sz="4" w:space="0" w:color="auto"/>
              <w:bottom w:val="single" w:sz="4" w:space="0" w:color="auto"/>
            </w:tcBorders>
            <w:shd w:val="clear" w:color="auto" w:fill="auto"/>
            <w:vAlign w:val="center"/>
          </w:tcPr>
          <w:p w:rsidR="00D907AF" w:rsidRPr="0087485F" w:rsidRDefault="00D907AF" w:rsidP="00B35BB9">
            <w:pPr>
              <w:spacing w:before="10" w:after="10"/>
              <w:jc w:val="center"/>
              <w:rPr>
                <w:rFonts w:cstheme="minorHAnsi"/>
                <w:b/>
                <w:sz w:val="20"/>
                <w:szCs w:val="20"/>
              </w:rPr>
            </w:pPr>
            <w:r w:rsidRPr="0087485F">
              <w:rPr>
                <w:rFonts w:cstheme="minorHAnsi"/>
                <w:b/>
                <w:sz w:val="20"/>
                <w:szCs w:val="20"/>
              </w:rPr>
              <w:t>100</w:t>
            </w:r>
          </w:p>
        </w:tc>
      </w:tr>
    </w:tbl>
    <w:p w:rsidR="00D907AF" w:rsidRPr="00660446" w:rsidRDefault="00D907AF" w:rsidP="006C7BE7">
      <w:pPr>
        <w:pStyle w:val="NILSTabletext"/>
      </w:pPr>
      <w:r w:rsidRPr="00660446">
        <w:t xml:space="preserve">Note: </w:t>
      </w:r>
      <w:r>
        <w:t>t</w:t>
      </w:r>
      <w:r w:rsidRPr="00660446">
        <w:t xml:space="preserve">rial and </w:t>
      </w:r>
      <w:r>
        <w:t>comparison</w:t>
      </w:r>
      <w:r w:rsidRPr="00660446">
        <w:t xml:space="preserve"> aged 16 and above current</w:t>
      </w:r>
      <w:r>
        <w:t xml:space="preserve">ly </w:t>
      </w:r>
      <w:r w:rsidRPr="00660446">
        <w:t>receiving supports</w:t>
      </w:r>
      <w:r>
        <w:t>.</w:t>
      </w:r>
    </w:p>
    <w:p w:rsidR="00D907AF" w:rsidRDefault="00D907AF" w:rsidP="00D907AF">
      <w:r>
        <w:t>Comparing NDIS participants</w:t>
      </w:r>
      <w:r w:rsidR="00F41C07">
        <w:t>’</w:t>
      </w:r>
      <w:r>
        <w:t xml:space="preserve"> views about their supports pre- and post-</w:t>
      </w:r>
      <w:r w:rsidR="00F41C07">
        <w:t xml:space="preserve"> </w:t>
      </w:r>
      <w:r>
        <w:t>NDIS, of the 300 respondents who answered these questions, 270,</w:t>
      </w:r>
      <w:r w:rsidRPr="007F0E9D">
        <w:t xml:space="preserve"> </w:t>
      </w:r>
      <w:r>
        <w:t>230 and 238 respondents provided directly comparable responses</w:t>
      </w:r>
      <w:r>
        <w:rPr>
          <w:rStyle w:val="FootnoteReference"/>
        </w:rPr>
        <w:footnoteReference w:id="22"/>
      </w:r>
      <w:r>
        <w:t xml:space="preserve"> to both questions that elicited their satisfaction with the quality of supports, the degree of say in the process of deciding what supports to receive they had and the degree of choice they had over where they obtained supports pre- and post- NDIS</w:t>
      </w:r>
      <w:r w:rsidRPr="00CE099B">
        <w:t xml:space="preserve"> </w:t>
      </w:r>
      <w:r>
        <w:t xml:space="preserve">respectively. These are presented in Table 3.66 below in a summary of responses to all three questions in terms of satisfaction, say and choice being reported as worse, the same or better. </w:t>
      </w:r>
    </w:p>
    <w:p w:rsidR="00CC1E9C" w:rsidRDefault="00CC1E9C" w:rsidP="00D907AF"/>
    <w:p w:rsidR="00D907AF" w:rsidRPr="00217CC7" w:rsidRDefault="00D907AF" w:rsidP="00D907AF">
      <w:r w:rsidRPr="00217CC7">
        <w:t xml:space="preserve">Table 3.66 suggests that a preponderance of people with disability felt either better off or that there had been no negative impact after moving into the NDIS in regards to the quality of their supports, the choice they enjoy in the process of deciding what supports to get, and where to get their </w:t>
      </w:r>
      <w:r w:rsidRPr="00217CC7">
        <w:lastRenderedPageBreak/>
        <w:t>supports from. Notwithstanding the large proportion of respondents who reported increased satisfaction, control and choice (44.4, 44.8 and 42.0 per cent respectively), a sizeable proportion reported lower satisfaction with the quality of supports (17.2 per cent), having less say (14.4 per cent) and less choice (12.6 per cent</w:t>
      </w:r>
      <w:r w:rsidR="00CC1E9C">
        <w:t>)</w:t>
      </w:r>
      <w:r w:rsidRPr="00217CC7">
        <w:t xml:space="preserve">. </w:t>
      </w:r>
    </w:p>
    <w:p w:rsidR="00D907AF" w:rsidRDefault="00D907AF" w:rsidP="0044684E">
      <w:pPr>
        <w:pStyle w:val="NILSTableHeading"/>
        <w:rPr>
          <w:lang w:val="en-AU"/>
        </w:rPr>
      </w:pPr>
      <w:bookmarkStart w:id="447" w:name="_Toc428280717"/>
      <w:bookmarkStart w:id="448" w:name="_Toc449955328"/>
      <w:r w:rsidRPr="00233E8A">
        <w:t xml:space="preserve">Table </w:t>
      </w:r>
      <w:r>
        <w:rPr>
          <w:rFonts w:hint="eastAsia"/>
        </w:rPr>
        <w:t>3.</w:t>
      </w:r>
      <w:r>
        <w:t>66</w:t>
      </w:r>
      <w:r w:rsidRPr="00233E8A">
        <w:t xml:space="preserve">: </w:t>
      </w:r>
      <w:r>
        <w:t xml:space="preserve">Pre and post </w:t>
      </w:r>
      <w:r>
        <w:rPr>
          <w:rFonts w:hint="eastAsia"/>
        </w:rPr>
        <w:t>NDIS</w:t>
      </w:r>
      <w:r>
        <w:t>: c</w:t>
      </w:r>
      <w:r>
        <w:rPr>
          <w:rFonts w:hint="eastAsia"/>
        </w:rPr>
        <w:t>hanges in satisfaction</w:t>
      </w:r>
      <w:r>
        <w:t>, control and choice</w:t>
      </w:r>
      <w:bookmarkEnd w:id="447"/>
      <w:bookmarkEnd w:id="448"/>
    </w:p>
    <w:tbl>
      <w:tblPr>
        <w:tblStyle w:val="TableGrid"/>
        <w:tblW w:w="9356" w:type="dxa"/>
        <w:tblInd w:w="-34" w:type="dxa"/>
        <w:tblBorders>
          <w:top w:val="single" w:sz="4" w:space="0" w:color="auto"/>
        </w:tblBorders>
        <w:tblLook w:val="04A0" w:firstRow="1" w:lastRow="0" w:firstColumn="1" w:lastColumn="0" w:noHBand="0" w:noVBand="1"/>
        <w:tblCaption w:val="Table 3.66: Pre and post NDIS: changes in satisfaction, control and choice"/>
      </w:tblPr>
      <w:tblGrid>
        <w:gridCol w:w="3686"/>
        <w:gridCol w:w="2835"/>
        <w:gridCol w:w="2835"/>
      </w:tblGrid>
      <w:tr w:rsidR="0051562D" w:rsidTr="004F5A1F">
        <w:trPr>
          <w:tblHeader/>
        </w:trPr>
        <w:tc>
          <w:tcPr>
            <w:tcW w:w="3686" w:type="dxa"/>
            <w:vAlign w:val="bottom"/>
          </w:tcPr>
          <w:p w:rsidR="00781F8D" w:rsidRPr="00702D46" w:rsidRDefault="00781F8D" w:rsidP="004F5A1F">
            <w:pPr>
              <w:ind w:left="1168" w:right="459"/>
              <w:jc w:val="center"/>
              <w:rPr>
                <w:sz w:val="20"/>
                <w:szCs w:val="20"/>
                <w:lang w:val="en-AU"/>
              </w:rPr>
            </w:pPr>
            <w:r w:rsidRPr="00702D46">
              <w:rPr>
                <w:sz w:val="20"/>
                <w:szCs w:val="20"/>
                <w:lang w:val="en-AU"/>
              </w:rPr>
              <w:t>Satisfaction with quality of support</w:t>
            </w:r>
          </w:p>
        </w:tc>
        <w:tc>
          <w:tcPr>
            <w:tcW w:w="2835" w:type="dxa"/>
            <w:vAlign w:val="bottom"/>
          </w:tcPr>
          <w:p w:rsidR="00781F8D" w:rsidRPr="00702D46" w:rsidRDefault="00781F8D" w:rsidP="004F5A1F">
            <w:pPr>
              <w:ind w:left="175" w:right="175"/>
              <w:jc w:val="center"/>
              <w:rPr>
                <w:sz w:val="20"/>
                <w:szCs w:val="20"/>
                <w:lang w:val="en-AU"/>
              </w:rPr>
            </w:pPr>
            <w:r w:rsidRPr="00702D46">
              <w:rPr>
                <w:sz w:val="20"/>
                <w:szCs w:val="20"/>
                <w:lang w:val="en-AU"/>
              </w:rPr>
              <w:t>Say over decisions about what supports to receive</w:t>
            </w:r>
          </w:p>
        </w:tc>
        <w:tc>
          <w:tcPr>
            <w:tcW w:w="2835" w:type="dxa"/>
            <w:vAlign w:val="bottom"/>
          </w:tcPr>
          <w:p w:rsidR="00781F8D" w:rsidRPr="00702D46" w:rsidRDefault="00781F8D" w:rsidP="00781F8D">
            <w:pPr>
              <w:jc w:val="center"/>
              <w:rPr>
                <w:sz w:val="20"/>
                <w:szCs w:val="20"/>
                <w:lang w:val="en-AU"/>
              </w:rPr>
            </w:pPr>
            <w:r w:rsidRPr="00702D46">
              <w:rPr>
                <w:sz w:val="20"/>
                <w:szCs w:val="20"/>
                <w:lang w:val="en-AU"/>
              </w:rPr>
              <w:t>Choice of where to get support</w:t>
            </w:r>
          </w:p>
        </w:tc>
      </w:tr>
    </w:tbl>
    <w:p w:rsidR="00781F8D" w:rsidRPr="00781F8D" w:rsidRDefault="00781F8D" w:rsidP="00781F8D">
      <w:pPr>
        <w:rPr>
          <w:sz w:val="2"/>
          <w:szCs w:val="2"/>
          <w:lang w:val="en-AU"/>
        </w:rPr>
      </w:pPr>
    </w:p>
    <w:tbl>
      <w:tblPr>
        <w:tblStyle w:val="TableGrid"/>
        <w:tblW w:w="9300" w:type="dxa"/>
        <w:tblLayout w:type="fixed"/>
        <w:tblLook w:val="04A0" w:firstRow="1" w:lastRow="0" w:firstColumn="1" w:lastColumn="0" w:noHBand="0" w:noVBand="1"/>
        <w:tblCaption w:val="Table 3.66 Pre and post NDIS: changes in satisfaction, control and choice"/>
      </w:tblPr>
      <w:tblGrid>
        <w:gridCol w:w="794"/>
        <w:gridCol w:w="1417"/>
        <w:gridCol w:w="1417"/>
        <w:gridCol w:w="1417"/>
        <w:gridCol w:w="1417"/>
        <w:gridCol w:w="1421"/>
        <w:gridCol w:w="1417"/>
      </w:tblGrid>
      <w:tr w:rsidR="004F5A1F" w:rsidRPr="0087485F" w:rsidTr="004F5A1F">
        <w:trPr>
          <w:tblHeader/>
        </w:trPr>
        <w:tc>
          <w:tcPr>
            <w:tcW w:w="794" w:type="dxa"/>
            <w:tcBorders>
              <w:bottom w:val="single" w:sz="8" w:space="0" w:color="auto"/>
            </w:tcBorders>
            <w:shd w:val="clear" w:color="auto" w:fill="auto"/>
          </w:tcPr>
          <w:p w:rsidR="00287C95" w:rsidRPr="0087485F" w:rsidRDefault="00287C95" w:rsidP="00781F8D">
            <w:pPr>
              <w:spacing w:before="20" w:after="20"/>
              <w:rPr>
                <w:rFonts w:cstheme="minorHAnsi"/>
                <w:sz w:val="20"/>
                <w:szCs w:val="20"/>
              </w:rPr>
            </w:pPr>
            <w:bookmarkStart w:id="449" w:name="Title_3_66"/>
            <w:bookmarkEnd w:id="449"/>
          </w:p>
        </w:tc>
        <w:tc>
          <w:tcPr>
            <w:tcW w:w="1417" w:type="dxa"/>
            <w:tcBorders>
              <w:bottom w:val="single" w:sz="8" w:space="0" w:color="auto"/>
            </w:tcBorders>
            <w:shd w:val="clear" w:color="auto" w:fill="auto"/>
            <w:vAlign w:val="bottom"/>
          </w:tcPr>
          <w:p w:rsidR="00287C95" w:rsidRPr="00781F8D" w:rsidRDefault="00287C95" w:rsidP="00781F8D">
            <w:pPr>
              <w:spacing w:before="20" w:after="20"/>
              <w:jc w:val="center"/>
              <w:rPr>
                <w:rFonts w:cstheme="minorHAnsi"/>
                <w:color w:val="FFFFFF" w:themeColor="background1"/>
                <w:sz w:val="4"/>
                <w:szCs w:val="4"/>
              </w:rPr>
            </w:pPr>
            <w:r w:rsidRPr="00781F8D">
              <w:rPr>
                <w:rFonts w:cstheme="minorHAnsi"/>
                <w:color w:val="FFFFFF" w:themeColor="background1"/>
                <w:sz w:val="4"/>
                <w:szCs w:val="4"/>
              </w:rPr>
              <w:t>Satisfaction with quality of support</w:t>
            </w:r>
          </w:p>
          <w:p w:rsidR="001F516F" w:rsidRPr="001F516F" w:rsidRDefault="001F516F" w:rsidP="00781F8D">
            <w:pPr>
              <w:spacing w:before="20" w:after="20"/>
              <w:jc w:val="center"/>
              <w:rPr>
                <w:rFonts w:cstheme="minorHAnsi"/>
                <w:sz w:val="4"/>
                <w:szCs w:val="4"/>
              </w:rPr>
            </w:pPr>
          </w:p>
          <w:p w:rsidR="00287C95" w:rsidRPr="00702D46" w:rsidRDefault="000450B7" w:rsidP="00781F8D">
            <w:pPr>
              <w:spacing w:before="20" w:after="20"/>
              <w:jc w:val="center"/>
              <w:rPr>
                <w:rFonts w:cstheme="minorHAnsi"/>
                <w:sz w:val="20"/>
                <w:szCs w:val="20"/>
              </w:rPr>
            </w:pPr>
            <w:r w:rsidRPr="00702D46">
              <w:rPr>
                <w:rFonts w:cstheme="minorHAnsi"/>
                <w:sz w:val="20"/>
                <w:szCs w:val="20"/>
              </w:rPr>
              <w:t>Cases</w:t>
            </w:r>
          </w:p>
        </w:tc>
        <w:tc>
          <w:tcPr>
            <w:tcW w:w="1417" w:type="dxa"/>
            <w:tcBorders>
              <w:bottom w:val="single" w:sz="8" w:space="0" w:color="auto"/>
            </w:tcBorders>
            <w:shd w:val="clear" w:color="auto" w:fill="auto"/>
            <w:vAlign w:val="bottom"/>
          </w:tcPr>
          <w:p w:rsidR="00287C95" w:rsidRPr="00781F8D" w:rsidRDefault="00287C95" w:rsidP="00781F8D">
            <w:pPr>
              <w:spacing w:before="20" w:after="20"/>
              <w:jc w:val="center"/>
              <w:rPr>
                <w:rFonts w:cstheme="minorHAnsi"/>
                <w:color w:val="FFFFFF" w:themeColor="background1"/>
                <w:sz w:val="4"/>
                <w:szCs w:val="4"/>
              </w:rPr>
            </w:pPr>
            <w:r w:rsidRPr="00781F8D">
              <w:rPr>
                <w:rFonts w:cstheme="minorHAnsi"/>
                <w:color w:val="FFFFFF" w:themeColor="background1"/>
                <w:sz w:val="4"/>
                <w:szCs w:val="4"/>
              </w:rPr>
              <w:t>Satisfaction with quality of support</w:t>
            </w:r>
          </w:p>
          <w:p w:rsidR="001F516F" w:rsidRPr="001F516F" w:rsidRDefault="001F516F" w:rsidP="00781F8D">
            <w:pPr>
              <w:spacing w:before="20" w:after="20"/>
              <w:jc w:val="center"/>
              <w:rPr>
                <w:rFonts w:cstheme="minorHAnsi"/>
                <w:sz w:val="4"/>
                <w:szCs w:val="4"/>
              </w:rPr>
            </w:pPr>
          </w:p>
          <w:p w:rsidR="00287C95" w:rsidRPr="00702D46" w:rsidRDefault="00287C95" w:rsidP="00781F8D">
            <w:pPr>
              <w:spacing w:before="20" w:after="20"/>
              <w:ind w:left="142" w:right="-17" w:hanging="142"/>
              <w:jc w:val="center"/>
              <w:rPr>
                <w:rFonts w:cstheme="minorHAnsi"/>
                <w:sz w:val="20"/>
                <w:szCs w:val="20"/>
              </w:rPr>
            </w:pPr>
            <w:r w:rsidRPr="00702D46">
              <w:rPr>
                <w:rFonts w:cstheme="minorHAnsi"/>
                <w:sz w:val="20"/>
                <w:szCs w:val="20"/>
              </w:rPr>
              <w:t>%</w:t>
            </w:r>
          </w:p>
        </w:tc>
        <w:tc>
          <w:tcPr>
            <w:tcW w:w="1417" w:type="dxa"/>
            <w:tcBorders>
              <w:bottom w:val="single" w:sz="8" w:space="0" w:color="auto"/>
            </w:tcBorders>
            <w:shd w:val="clear" w:color="auto" w:fill="auto"/>
            <w:vAlign w:val="bottom"/>
          </w:tcPr>
          <w:p w:rsidR="00287C95" w:rsidRPr="00781F8D" w:rsidRDefault="00287C95" w:rsidP="00781F8D">
            <w:pPr>
              <w:spacing w:before="20" w:after="20"/>
              <w:ind w:left="-60" w:right="-17"/>
              <w:jc w:val="center"/>
              <w:rPr>
                <w:rFonts w:cstheme="minorHAnsi"/>
                <w:color w:val="FFFFFF" w:themeColor="background1"/>
                <w:sz w:val="4"/>
                <w:szCs w:val="4"/>
              </w:rPr>
            </w:pPr>
            <w:r w:rsidRPr="00781F8D">
              <w:rPr>
                <w:rFonts w:cstheme="minorHAnsi"/>
                <w:color w:val="FFFFFF" w:themeColor="background1"/>
                <w:sz w:val="4"/>
                <w:szCs w:val="4"/>
              </w:rPr>
              <w:t>Say over decisions about what supports to receive</w:t>
            </w:r>
          </w:p>
          <w:p w:rsidR="001F516F" w:rsidRPr="001F516F" w:rsidRDefault="001F516F" w:rsidP="00781F8D">
            <w:pPr>
              <w:spacing w:before="20" w:after="20"/>
              <w:ind w:left="-60" w:right="-17"/>
              <w:jc w:val="center"/>
              <w:rPr>
                <w:rFonts w:cstheme="minorHAnsi"/>
                <w:sz w:val="4"/>
                <w:szCs w:val="4"/>
              </w:rPr>
            </w:pPr>
          </w:p>
          <w:p w:rsidR="000371CA" w:rsidRPr="00702D46" w:rsidRDefault="000450B7" w:rsidP="00781F8D">
            <w:pPr>
              <w:spacing w:before="20" w:after="20"/>
              <w:ind w:left="-60" w:right="-108"/>
              <w:jc w:val="center"/>
              <w:rPr>
                <w:rFonts w:cstheme="minorHAnsi"/>
                <w:sz w:val="20"/>
                <w:szCs w:val="20"/>
              </w:rPr>
            </w:pPr>
            <w:r w:rsidRPr="00702D46">
              <w:rPr>
                <w:rFonts w:cstheme="minorHAnsi"/>
                <w:sz w:val="20"/>
                <w:szCs w:val="20"/>
              </w:rPr>
              <w:t>Cases</w:t>
            </w:r>
          </w:p>
        </w:tc>
        <w:tc>
          <w:tcPr>
            <w:tcW w:w="1417" w:type="dxa"/>
            <w:tcBorders>
              <w:bottom w:val="single" w:sz="8" w:space="0" w:color="auto"/>
            </w:tcBorders>
            <w:shd w:val="clear" w:color="auto" w:fill="auto"/>
            <w:vAlign w:val="bottom"/>
          </w:tcPr>
          <w:p w:rsidR="00287C95" w:rsidRPr="00781F8D" w:rsidRDefault="00287C95" w:rsidP="00781F8D">
            <w:pPr>
              <w:spacing w:before="20" w:after="20"/>
              <w:jc w:val="center"/>
              <w:rPr>
                <w:rFonts w:cstheme="minorHAnsi"/>
                <w:color w:val="FFFFFF" w:themeColor="background1"/>
                <w:sz w:val="4"/>
                <w:szCs w:val="4"/>
              </w:rPr>
            </w:pPr>
            <w:r w:rsidRPr="00781F8D">
              <w:rPr>
                <w:rFonts w:cstheme="minorHAnsi"/>
                <w:color w:val="FFFFFF" w:themeColor="background1"/>
                <w:sz w:val="4"/>
                <w:szCs w:val="4"/>
              </w:rPr>
              <w:t>Say over decisions about what supports to receive</w:t>
            </w:r>
          </w:p>
          <w:p w:rsidR="001F516F" w:rsidRPr="001F516F" w:rsidRDefault="001F516F" w:rsidP="00781F8D">
            <w:pPr>
              <w:spacing w:before="20" w:after="20"/>
              <w:jc w:val="center"/>
              <w:rPr>
                <w:rFonts w:cstheme="minorHAnsi"/>
                <w:sz w:val="4"/>
                <w:szCs w:val="4"/>
              </w:rPr>
            </w:pPr>
          </w:p>
          <w:p w:rsidR="00287C95" w:rsidRPr="00702D46" w:rsidRDefault="00287C95" w:rsidP="00781F8D">
            <w:pPr>
              <w:spacing w:before="20" w:after="20"/>
              <w:jc w:val="center"/>
              <w:rPr>
                <w:rFonts w:cstheme="minorHAnsi"/>
                <w:sz w:val="20"/>
                <w:szCs w:val="20"/>
              </w:rPr>
            </w:pPr>
            <w:r w:rsidRPr="00702D46">
              <w:rPr>
                <w:rFonts w:cstheme="minorHAnsi"/>
                <w:sz w:val="20"/>
                <w:szCs w:val="20"/>
              </w:rPr>
              <w:t>%</w:t>
            </w:r>
          </w:p>
        </w:tc>
        <w:tc>
          <w:tcPr>
            <w:tcW w:w="1421" w:type="dxa"/>
            <w:tcBorders>
              <w:bottom w:val="single" w:sz="8" w:space="0" w:color="auto"/>
            </w:tcBorders>
            <w:shd w:val="clear" w:color="auto" w:fill="auto"/>
            <w:vAlign w:val="bottom"/>
          </w:tcPr>
          <w:p w:rsidR="00287C95" w:rsidRPr="00781F8D" w:rsidRDefault="00287C95" w:rsidP="00781F8D">
            <w:pPr>
              <w:spacing w:before="20" w:after="20"/>
              <w:jc w:val="center"/>
              <w:rPr>
                <w:rFonts w:cstheme="minorHAnsi"/>
                <w:color w:val="FFFFFF" w:themeColor="background1"/>
                <w:sz w:val="4"/>
                <w:szCs w:val="4"/>
              </w:rPr>
            </w:pPr>
            <w:r w:rsidRPr="00781F8D">
              <w:rPr>
                <w:rFonts w:cstheme="minorHAnsi"/>
                <w:color w:val="FFFFFF" w:themeColor="background1"/>
                <w:sz w:val="4"/>
                <w:szCs w:val="4"/>
              </w:rPr>
              <w:t xml:space="preserve">Choice of where </w:t>
            </w:r>
            <w:r w:rsidR="000371CA" w:rsidRPr="00781F8D">
              <w:rPr>
                <w:rFonts w:cstheme="minorHAnsi"/>
                <w:color w:val="FFFFFF" w:themeColor="background1"/>
                <w:sz w:val="4"/>
                <w:szCs w:val="4"/>
              </w:rPr>
              <w:t xml:space="preserve">to </w:t>
            </w:r>
            <w:r w:rsidRPr="00781F8D">
              <w:rPr>
                <w:rFonts w:cstheme="minorHAnsi"/>
                <w:color w:val="FFFFFF" w:themeColor="background1"/>
                <w:sz w:val="4"/>
                <w:szCs w:val="4"/>
              </w:rPr>
              <w:t>get support</w:t>
            </w:r>
          </w:p>
          <w:p w:rsidR="001F516F" w:rsidRPr="001F516F" w:rsidRDefault="001F516F" w:rsidP="00781F8D">
            <w:pPr>
              <w:spacing w:before="20" w:after="20"/>
              <w:jc w:val="center"/>
              <w:rPr>
                <w:rFonts w:cstheme="minorHAnsi"/>
                <w:sz w:val="4"/>
                <w:szCs w:val="4"/>
              </w:rPr>
            </w:pPr>
          </w:p>
          <w:p w:rsidR="00287C95" w:rsidRPr="00702D46" w:rsidRDefault="000450B7" w:rsidP="00781F8D">
            <w:pPr>
              <w:spacing w:before="20" w:after="20"/>
              <w:jc w:val="center"/>
              <w:rPr>
                <w:rFonts w:cstheme="minorHAnsi"/>
                <w:sz w:val="20"/>
                <w:szCs w:val="20"/>
              </w:rPr>
            </w:pPr>
            <w:r w:rsidRPr="00702D46">
              <w:rPr>
                <w:rFonts w:cstheme="minorHAnsi"/>
                <w:sz w:val="20"/>
                <w:szCs w:val="20"/>
              </w:rPr>
              <w:t>Cases</w:t>
            </w:r>
          </w:p>
        </w:tc>
        <w:tc>
          <w:tcPr>
            <w:tcW w:w="1417" w:type="dxa"/>
            <w:tcBorders>
              <w:bottom w:val="single" w:sz="8" w:space="0" w:color="auto"/>
            </w:tcBorders>
            <w:shd w:val="clear" w:color="auto" w:fill="auto"/>
            <w:vAlign w:val="bottom"/>
          </w:tcPr>
          <w:p w:rsidR="00287C95" w:rsidRPr="00781F8D" w:rsidRDefault="00287C95" w:rsidP="00781F8D">
            <w:pPr>
              <w:spacing w:before="20" w:after="20"/>
              <w:jc w:val="center"/>
              <w:rPr>
                <w:rFonts w:cstheme="minorHAnsi"/>
                <w:color w:val="FFFFFF" w:themeColor="background1"/>
                <w:sz w:val="4"/>
                <w:szCs w:val="4"/>
              </w:rPr>
            </w:pPr>
            <w:r w:rsidRPr="00781F8D">
              <w:rPr>
                <w:rFonts w:cstheme="minorHAnsi"/>
                <w:color w:val="FFFFFF" w:themeColor="background1"/>
                <w:sz w:val="4"/>
                <w:szCs w:val="4"/>
              </w:rPr>
              <w:t>Choice of where</w:t>
            </w:r>
            <w:r w:rsidR="000371CA" w:rsidRPr="00781F8D">
              <w:rPr>
                <w:rFonts w:cstheme="minorHAnsi"/>
                <w:color w:val="FFFFFF" w:themeColor="background1"/>
                <w:sz w:val="4"/>
                <w:szCs w:val="4"/>
              </w:rPr>
              <w:t xml:space="preserve"> to</w:t>
            </w:r>
            <w:r w:rsidRPr="00781F8D">
              <w:rPr>
                <w:rFonts w:cstheme="minorHAnsi"/>
                <w:color w:val="FFFFFF" w:themeColor="background1"/>
                <w:sz w:val="4"/>
                <w:szCs w:val="4"/>
              </w:rPr>
              <w:t xml:space="preserve"> get</w:t>
            </w:r>
            <w:r w:rsidR="000371CA" w:rsidRPr="00781F8D">
              <w:rPr>
                <w:rFonts w:cstheme="minorHAnsi"/>
                <w:color w:val="FFFFFF" w:themeColor="background1"/>
                <w:sz w:val="4"/>
                <w:szCs w:val="4"/>
              </w:rPr>
              <w:t xml:space="preserve"> </w:t>
            </w:r>
            <w:r w:rsidRPr="00781F8D">
              <w:rPr>
                <w:rFonts w:cstheme="minorHAnsi"/>
                <w:color w:val="FFFFFF" w:themeColor="background1"/>
                <w:sz w:val="4"/>
                <w:szCs w:val="4"/>
              </w:rPr>
              <w:t>support</w:t>
            </w:r>
          </w:p>
          <w:p w:rsidR="001F516F" w:rsidRPr="001F516F" w:rsidRDefault="001F516F" w:rsidP="00781F8D">
            <w:pPr>
              <w:spacing w:before="20" w:after="20"/>
              <w:jc w:val="center"/>
              <w:rPr>
                <w:rFonts w:cstheme="minorHAnsi"/>
                <w:sz w:val="4"/>
                <w:szCs w:val="4"/>
              </w:rPr>
            </w:pPr>
          </w:p>
          <w:p w:rsidR="00287C95" w:rsidRPr="00702D46" w:rsidRDefault="00287C95" w:rsidP="00781F8D">
            <w:pPr>
              <w:spacing w:before="20" w:after="20"/>
              <w:jc w:val="center"/>
              <w:rPr>
                <w:rFonts w:cstheme="minorHAnsi"/>
                <w:sz w:val="20"/>
                <w:szCs w:val="20"/>
              </w:rPr>
            </w:pPr>
            <w:r w:rsidRPr="00702D46">
              <w:rPr>
                <w:rFonts w:cstheme="minorHAnsi"/>
                <w:sz w:val="20"/>
                <w:szCs w:val="20"/>
              </w:rPr>
              <w:t>%</w:t>
            </w:r>
          </w:p>
        </w:tc>
      </w:tr>
      <w:tr w:rsidR="004F5A1F" w:rsidRPr="0087485F" w:rsidTr="004F5A1F">
        <w:tc>
          <w:tcPr>
            <w:tcW w:w="794" w:type="dxa"/>
            <w:tcBorders>
              <w:top w:val="single" w:sz="8" w:space="0" w:color="auto"/>
            </w:tcBorders>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Worse</w:t>
            </w:r>
          </w:p>
        </w:tc>
        <w:tc>
          <w:tcPr>
            <w:tcW w:w="1417" w:type="dxa"/>
            <w:tcBorders>
              <w:top w:val="single" w:sz="8" w:space="0" w:color="auto"/>
            </w:tcBorders>
            <w:shd w:val="clear" w:color="auto" w:fill="auto"/>
          </w:tcPr>
          <w:p w:rsidR="00D907AF" w:rsidRPr="0087485F" w:rsidRDefault="00D907AF" w:rsidP="00F1609F">
            <w:pPr>
              <w:spacing w:before="20" w:after="20"/>
              <w:ind w:right="381"/>
              <w:jc w:val="right"/>
              <w:rPr>
                <w:rFonts w:cstheme="minorHAnsi"/>
                <w:color w:val="000000"/>
                <w:sz w:val="20"/>
                <w:szCs w:val="20"/>
              </w:rPr>
            </w:pPr>
            <w:r w:rsidRPr="0087485F">
              <w:rPr>
                <w:rFonts w:cstheme="minorHAnsi"/>
                <w:color w:val="000000"/>
                <w:sz w:val="20"/>
                <w:szCs w:val="20"/>
              </w:rPr>
              <w:t>4</w:t>
            </w:r>
            <w:r>
              <w:rPr>
                <w:rFonts w:cstheme="minorHAnsi"/>
                <w:color w:val="000000"/>
                <w:sz w:val="20"/>
                <w:szCs w:val="20"/>
              </w:rPr>
              <w:t>8</w:t>
            </w:r>
          </w:p>
        </w:tc>
        <w:tc>
          <w:tcPr>
            <w:tcW w:w="1417" w:type="dxa"/>
            <w:tcBorders>
              <w:top w:val="single" w:sz="8" w:space="0" w:color="auto"/>
            </w:tcBorders>
            <w:shd w:val="clear" w:color="auto" w:fill="auto"/>
          </w:tcPr>
          <w:p w:rsidR="00D907AF" w:rsidRPr="0087485F" w:rsidRDefault="00D907AF" w:rsidP="00F1609F">
            <w:pPr>
              <w:spacing w:before="20" w:after="20"/>
              <w:ind w:right="397"/>
              <w:jc w:val="right"/>
              <w:rPr>
                <w:rFonts w:cstheme="minorHAnsi"/>
                <w:color w:val="000000"/>
                <w:sz w:val="20"/>
                <w:szCs w:val="20"/>
              </w:rPr>
            </w:pPr>
            <w:r>
              <w:rPr>
                <w:rFonts w:cstheme="minorHAnsi"/>
                <w:color w:val="000000"/>
                <w:sz w:val="20"/>
                <w:szCs w:val="20"/>
              </w:rPr>
              <w:t>17.2</w:t>
            </w:r>
          </w:p>
        </w:tc>
        <w:tc>
          <w:tcPr>
            <w:tcW w:w="1417" w:type="dxa"/>
            <w:tcBorders>
              <w:top w:val="single" w:sz="8" w:space="0" w:color="auto"/>
            </w:tcBorders>
            <w:shd w:val="clear" w:color="auto" w:fill="auto"/>
          </w:tcPr>
          <w:p w:rsidR="00D907AF" w:rsidRPr="0087485F" w:rsidRDefault="00D907AF" w:rsidP="00F1609F">
            <w:pPr>
              <w:spacing w:before="20" w:after="20"/>
              <w:ind w:right="434"/>
              <w:jc w:val="right"/>
              <w:rPr>
                <w:rFonts w:cstheme="minorHAnsi"/>
                <w:color w:val="000000"/>
                <w:sz w:val="20"/>
                <w:szCs w:val="20"/>
              </w:rPr>
            </w:pPr>
            <w:r>
              <w:rPr>
                <w:rFonts w:cstheme="minorHAnsi"/>
                <w:color w:val="000000"/>
                <w:sz w:val="20"/>
                <w:szCs w:val="20"/>
              </w:rPr>
              <w:t>29</w:t>
            </w:r>
          </w:p>
        </w:tc>
        <w:tc>
          <w:tcPr>
            <w:tcW w:w="1417" w:type="dxa"/>
            <w:tcBorders>
              <w:top w:val="single" w:sz="8" w:space="0" w:color="auto"/>
            </w:tcBorders>
            <w:shd w:val="clear" w:color="auto" w:fill="auto"/>
          </w:tcPr>
          <w:p w:rsidR="00D907AF" w:rsidRPr="0087485F" w:rsidRDefault="00D907AF" w:rsidP="00F1609F">
            <w:pPr>
              <w:spacing w:before="20" w:after="20"/>
              <w:ind w:right="340"/>
              <w:jc w:val="right"/>
              <w:rPr>
                <w:rFonts w:cstheme="minorHAnsi"/>
                <w:color w:val="000000"/>
                <w:sz w:val="20"/>
                <w:szCs w:val="20"/>
              </w:rPr>
            </w:pPr>
            <w:r>
              <w:rPr>
                <w:rFonts w:cstheme="minorHAnsi"/>
                <w:color w:val="000000"/>
                <w:sz w:val="20"/>
                <w:szCs w:val="20"/>
              </w:rPr>
              <w:t>14.4</w:t>
            </w:r>
          </w:p>
        </w:tc>
        <w:tc>
          <w:tcPr>
            <w:tcW w:w="1421" w:type="dxa"/>
            <w:tcBorders>
              <w:top w:val="single" w:sz="8" w:space="0" w:color="auto"/>
            </w:tcBorders>
            <w:shd w:val="clear" w:color="auto" w:fill="auto"/>
          </w:tcPr>
          <w:p w:rsidR="00D907AF" w:rsidRPr="0087485F" w:rsidRDefault="00D907AF" w:rsidP="0082714C">
            <w:pPr>
              <w:spacing w:before="20" w:after="20"/>
              <w:ind w:right="397"/>
              <w:jc w:val="right"/>
              <w:rPr>
                <w:rFonts w:cstheme="minorHAnsi"/>
                <w:color w:val="000000"/>
                <w:sz w:val="20"/>
                <w:szCs w:val="20"/>
              </w:rPr>
            </w:pPr>
            <w:r>
              <w:rPr>
                <w:rFonts w:cstheme="minorHAnsi"/>
                <w:color w:val="000000"/>
                <w:sz w:val="20"/>
                <w:szCs w:val="20"/>
              </w:rPr>
              <w:t>30</w:t>
            </w:r>
          </w:p>
        </w:tc>
        <w:tc>
          <w:tcPr>
            <w:tcW w:w="1417" w:type="dxa"/>
            <w:tcBorders>
              <w:top w:val="single" w:sz="8" w:space="0" w:color="auto"/>
            </w:tcBorders>
            <w:shd w:val="clear" w:color="auto" w:fill="auto"/>
          </w:tcPr>
          <w:p w:rsidR="00D907AF" w:rsidRPr="0087485F" w:rsidRDefault="00D907AF" w:rsidP="0082714C">
            <w:pPr>
              <w:spacing w:before="20" w:after="20"/>
              <w:ind w:right="381"/>
              <w:jc w:val="right"/>
              <w:rPr>
                <w:rFonts w:cstheme="minorHAnsi"/>
                <w:color w:val="000000"/>
                <w:sz w:val="20"/>
                <w:szCs w:val="20"/>
              </w:rPr>
            </w:pPr>
            <w:r>
              <w:rPr>
                <w:rFonts w:cstheme="minorHAnsi"/>
                <w:color w:val="000000"/>
                <w:sz w:val="20"/>
                <w:szCs w:val="20"/>
              </w:rPr>
              <w:t>12.6</w:t>
            </w:r>
          </w:p>
        </w:tc>
      </w:tr>
      <w:tr w:rsidR="004F5A1F" w:rsidRPr="0087485F" w:rsidTr="004F5A1F">
        <w:tc>
          <w:tcPr>
            <w:tcW w:w="794"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Same</w:t>
            </w:r>
          </w:p>
        </w:tc>
        <w:tc>
          <w:tcPr>
            <w:tcW w:w="1417" w:type="dxa"/>
            <w:shd w:val="clear" w:color="auto" w:fill="auto"/>
          </w:tcPr>
          <w:p w:rsidR="00D907AF" w:rsidRPr="0087485F" w:rsidRDefault="00D907AF" w:rsidP="00F1609F">
            <w:pPr>
              <w:spacing w:before="20" w:after="20"/>
              <w:ind w:right="381"/>
              <w:jc w:val="right"/>
              <w:rPr>
                <w:rFonts w:cstheme="minorHAnsi"/>
                <w:color w:val="000000"/>
                <w:sz w:val="20"/>
                <w:szCs w:val="20"/>
              </w:rPr>
            </w:pPr>
            <w:r w:rsidRPr="0087485F">
              <w:rPr>
                <w:rFonts w:cstheme="minorHAnsi"/>
                <w:color w:val="000000"/>
                <w:sz w:val="20"/>
                <w:szCs w:val="20"/>
              </w:rPr>
              <w:t>1</w:t>
            </w:r>
            <w:r>
              <w:rPr>
                <w:rFonts w:cstheme="minorHAnsi"/>
                <w:color w:val="000000"/>
                <w:sz w:val="20"/>
                <w:szCs w:val="20"/>
              </w:rPr>
              <w:t>02</w:t>
            </w:r>
          </w:p>
        </w:tc>
        <w:tc>
          <w:tcPr>
            <w:tcW w:w="1417" w:type="dxa"/>
            <w:shd w:val="clear" w:color="auto" w:fill="auto"/>
          </w:tcPr>
          <w:p w:rsidR="00D907AF" w:rsidRPr="0087485F" w:rsidRDefault="00D907AF" w:rsidP="00F1609F">
            <w:pPr>
              <w:spacing w:before="20" w:after="20"/>
              <w:ind w:right="397"/>
              <w:jc w:val="right"/>
              <w:rPr>
                <w:rFonts w:cstheme="minorHAnsi"/>
                <w:color w:val="000000"/>
                <w:sz w:val="20"/>
                <w:szCs w:val="20"/>
              </w:rPr>
            </w:pPr>
            <w:r>
              <w:rPr>
                <w:rFonts w:cstheme="minorHAnsi"/>
                <w:color w:val="000000"/>
                <w:sz w:val="20"/>
                <w:szCs w:val="20"/>
              </w:rPr>
              <w:t>37.8</w:t>
            </w:r>
          </w:p>
        </w:tc>
        <w:tc>
          <w:tcPr>
            <w:tcW w:w="1417" w:type="dxa"/>
            <w:shd w:val="clear" w:color="auto" w:fill="auto"/>
          </w:tcPr>
          <w:p w:rsidR="00D907AF" w:rsidRPr="0087485F" w:rsidRDefault="00D907AF" w:rsidP="00F1609F">
            <w:pPr>
              <w:spacing w:before="20" w:after="20"/>
              <w:ind w:right="434"/>
              <w:jc w:val="right"/>
              <w:rPr>
                <w:rFonts w:cstheme="minorHAnsi"/>
                <w:color w:val="000000"/>
                <w:sz w:val="20"/>
                <w:szCs w:val="20"/>
              </w:rPr>
            </w:pPr>
            <w:r>
              <w:rPr>
                <w:rFonts w:cstheme="minorHAnsi"/>
                <w:color w:val="000000"/>
                <w:sz w:val="20"/>
                <w:szCs w:val="20"/>
              </w:rPr>
              <w:t>111</w:t>
            </w:r>
          </w:p>
        </w:tc>
        <w:tc>
          <w:tcPr>
            <w:tcW w:w="1417" w:type="dxa"/>
            <w:shd w:val="clear" w:color="auto" w:fill="auto"/>
          </w:tcPr>
          <w:p w:rsidR="00D907AF" w:rsidRPr="0087485F" w:rsidRDefault="00D907AF" w:rsidP="00F1609F">
            <w:pPr>
              <w:spacing w:before="20" w:after="20"/>
              <w:ind w:right="340"/>
              <w:jc w:val="right"/>
              <w:rPr>
                <w:rFonts w:cstheme="minorHAnsi"/>
                <w:color w:val="000000"/>
                <w:sz w:val="20"/>
                <w:szCs w:val="20"/>
              </w:rPr>
            </w:pPr>
            <w:r>
              <w:rPr>
                <w:rFonts w:cstheme="minorHAnsi"/>
                <w:color w:val="000000"/>
                <w:sz w:val="20"/>
                <w:szCs w:val="20"/>
              </w:rPr>
              <w:t>55.2</w:t>
            </w:r>
          </w:p>
        </w:tc>
        <w:tc>
          <w:tcPr>
            <w:tcW w:w="1421" w:type="dxa"/>
            <w:shd w:val="clear" w:color="auto" w:fill="auto"/>
          </w:tcPr>
          <w:p w:rsidR="00D907AF" w:rsidRPr="0087485F" w:rsidRDefault="00D907AF" w:rsidP="0082714C">
            <w:pPr>
              <w:spacing w:before="20" w:after="20"/>
              <w:ind w:right="397"/>
              <w:jc w:val="right"/>
              <w:rPr>
                <w:rFonts w:cstheme="minorHAnsi"/>
                <w:color w:val="000000"/>
                <w:sz w:val="20"/>
                <w:szCs w:val="20"/>
              </w:rPr>
            </w:pPr>
            <w:r w:rsidRPr="0087485F">
              <w:rPr>
                <w:rFonts w:cstheme="minorHAnsi"/>
                <w:color w:val="000000"/>
                <w:sz w:val="20"/>
                <w:szCs w:val="20"/>
              </w:rPr>
              <w:t>1</w:t>
            </w:r>
            <w:r>
              <w:rPr>
                <w:rFonts w:cstheme="minorHAnsi"/>
                <w:color w:val="000000"/>
                <w:sz w:val="20"/>
                <w:szCs w:val="20"/>
              </w:rPr>
              <w:t>08</w:t>
            </w:r>
          </w:p>
        </w:tc>
        <w:tc>
          <w:tcPr>
            <w:tcW w:w="1417" w:type="dxa"/>
            <w:shd w:val="clear" w:color="auto" w:fill="auto"/>
          </w:tcPr>
          <w:p w:rsidR="00D907AF" w:rsidRPr="0087485F" w:rsidRDefault="00D907AF" w:rsidP="0082714C">
            <w:pPr>
              <w:spacing w:before="20" w:after="20"/>
              <w:ind w:right="381"/>
              <w:jc w:val="right"/>
              <w:rPr>
                <w:rFonts w:cstheme="minorHAnsi"/>
                <w:color w:val="000000"/>
                <w:sz w:val="20"/>
                <w:szCs w:val="20"/>
              </w:rPr>
            </w:pPr>
            <w:r>
              <w:rPr>
                <w:rFonts w:cstheme="minorHAnsi"/>
                <w:color w:val="000000"/>
                <w:sz w:val="20"/>
                <w:szCs w:val="20"/>
              </w:rPr>
              <w:t>45.4</w:t>
            </w:r>
          </w:p>
        </w:tc>
      </w:tr>
      <w:tr w:rsidR="004F5A1F" w:rsidRPr="0087485F" w:rsidTr="004F5A1F">
        <w:tc>
          <w:tcPr>
            <w:tcW w:w="794" w:type="dxa"/>
            <w:shd w:val="clear" w:color="auto" w:fill="auto"/>
          </w:tcPr>
          <w:p w:rsidR="00D907AF" w:rsidRPr="0087485F" w:rsidRDefault="00D907AF" w:rsidP="00D907AF">
            <w:pPr>
              <w:spacing w:before="20" w:after="20"/>
              <w:rPr>
                <w:rFonts w:cstheme="minorHAnsi"/>
                <w:sz w:val="20"/>
                <w:szCs w:val="20"/>
              </w:rPr>
            </w:pPr>
            <w:r w:rsidRPr="0087485F">
              <w:rPr>
                <w:rFonts w:cstheme="minorHAnsi"/>
                <w:sz w:val="20"/>
                <w:szCs w:val="20"/>
              </w:rPr>
              <w:t>Better</w:t>
            </w:r>
          </w:p>
        </w:tc>
        <w:tc>
          <w:tcPr>
            <w:tcW w:w="1417" w:type="dxa"/>
            <w:shd w:val="clear" w:color="auto" w:fill="auto"/>
          </w:tcPr>
          <w:p w:rsidR="00D907AF" w:rsidRPr="0087485F" w:rsidRDefault="00D907AF" w:rsidP="00F1609F">
            <w:pPr>
              <w:spacing w:before="20" w:after="20"/>
              <w:ind w:right="381"/>
              <w:jc w:val="right"/>
              <w:rPr>
                <w:rFonts w:cstheme="minorHAnsi"/>
                <w:color w:val="000000"/>
                <w:sz w:val="20"/>
                <w:szCs w:val="20"/>
              </w:rPr>
            </w:pPr>
            <w:r w:rsidRPr="0087485F">
              <w:rPr>
                <w:rFonts w:cstheme="minorHAnsi"/>
                <w:color w:val="000000"/>
                <w:sz w:val="20"/>
                <w:szCs w:val="20"/>
              </w:rPr>
              <w:t>1</w:t>
            </w:r>
            <w:r>
              <w:rPr>
                <w:rFonts w:cstheme="minorHAnsi"/>
                <w:color w:val="000000"/>
                <w:sz w:val="20"/>
                <w:szCs w:val="20"/>
              </w:rPr>
              <w:t>20</w:t>
            </w:r>
          </w:p>
        </w:tc>
        <w:tc>
          <w:tcPr>
            <w:tcW w:w="1417" w:type="dxa"/>
            <w:shd w:val="clear" w:color="auto" w:fill="auto"/>
          </w:tcPr>
          <w:p w:rsidR="00D907AF" w:rsidRPr="0087485F" w:rsidRDefault="00D907AF" w:rsidP="00F1609F">
            <w:pPr>
              <w:spacing w:before="20" w:after="20"/>
              <w:ind w:right="397"/>
              <w:jc w:val="right"/>
              <w:rPr>
                <w:rFonts w:cstheme="minorHAnsi"/>
                <w:color w:val="000000"/>
                <w:sz w:val="20"/>
                <w:szCs w:val="20"/>
              </w:rPr>
            </w:pPr>
            <w:r>
              <w:rPr>
                <w:rFonts w:cstheme="minorHAnsi"/>
                <w:color w:val="000000"/>
                <w:sz w:val="20"/>
                <w:szCs w:val="20"/>
              </w:rPr>
              <w:t>44.4</w:t>
            </w:r>
          </w:p>
        </w:tc>
        <w:tc>
          <w:tcPr>
            <w:tcW w:w="1417" w:type="dxa"/>
            <w:shd w:val="clear" w:color="auto" w:fill="auto"/>
          </w:tcPr>
          <w:p w:rsidR="00D907AF" w:rsidRPr="0087485F" w:rsidRDefault="00D907AF" w:rsidP="00F1609F">
            <w:pPr>
              <w:spacing w:before="20" w:after="20"/>
              <w:ind w:right="434"/>
              <w:jc w:val="right"/>
              <w:rPr>
                <w:rFonts w:cstheme="minorHAnsi"/>
                <w:color w:val="000000"/>
                <w:sz w:val="20"/>
                <w:szCs w:val="20"/>
              </w:rPr>
            </w:pPr>
            <w:r>
              <w:rPr>
                <w:rFonts w:cstheme="minorHAnsi"/>
                <w:color w:val="000000"/>
                <w:sz w:val="20"/>
                <w:szCs w:val="20"/>
              </w:rPr>
              <w:t>90</w:t>
            </w:r>
          </w:p>
        </w:tc>
        <w:tc>
          <w:tcPr>
            <w:tcW w:w="1417" w:type="dxa"/>
            <w:shd w:val="clear" w:color="auto" w:fill="auto"/>
          </w:tcPr>
          <w:p w:rsidR="00D907AF" w:rsidRPr="0087485F" w:rsidRDefault="00D907AF" w:rsidP="00F1609F">
            <w:pPr>
              <w:spacing w:before="20" w:after="20"/>
              <w:ind w:right="340"/>
              <w:jc w:val="right"/>
              <w:rPr>
                <w:rFonts w:cstheme="minorHAnsi"/>
                <w:color w:val="000000"/>
                <w:sz w:val="20"/>
                <w:szCs w:val="20"/>
              </w:rPr>
            </w:pPr>
            <w:r>
              <w:rPr>
                <w:rFonts w:cstheme="minorHAnsi"/>
                <w:color w:val="000000"/>
                <w:sz w:val="20"/>
                <w:szCs w:val="20"/>
              </w:rPr>
              <w:t>44.8</w:t>
            </w:r>
          </w:p>
        </w:tc>
        <w:tc>
          <w:tcPr>
            <w:tcW w:w="1421" w:type="dxa"/>
            <w:shd w:val="clear" w:color="auto" w:fill="auto"/>
          </w:tcPr>
          <w:p w:rsidR="00D907AF" w:rsidRPr="0087485F" w:rsidRDefault="00D907AF" w:rsidP="0082714C">
            <w:pPr>
              <w:spacing w:before="20" w:after="20"/>
              <w:ind w:right="397"/>
              <w:jc w:val="right"/>
              <w:rPr>
                <w:rFonts w:cstheme="minorHAnsi"/>
                <w:color w:val="000000"/>
                <w:sz w:val="20"/>
                <w:szCs w:val="20"/>
              </w:rPr>
            </w:pPr>
            <w:r>
              <w:rPr>
                <w:rFonts w:cstheme="minorHAnsi"/>
                <w:color w:val="000000"/>
                <w:sz w:val="20"/>
                <w:szCs w:val="20"/>
              </w:rPr>
              <w:t>100</w:t>
            </w:r>
          </w:p>
        </w:tc>
        <w:tc>
          <w:tcPr>
            <w:tcW w:w="1417" w:type="dxa"/>
            <w:shd w:val="clear" w:color="auto" w:fill="auto"/>
          </w:tcPr>
          <w:p w:rsidR="00D907AF" w:rsidRPr="0087485F" w:rsidRDefault="00D907AF" w:rsidP="0082714C">
            <w:pPr>
              <w:spacing w:before="20" w:after="20"/>
              <w:ind w:right="381"/>
              <w:jc w:val="right"/>
              <w:rPr>
                <w:rFonts w:cstheme="minorHAnsi"/>
                <w:color w:val="000000"/>
                <w:sz w:val="20"/>
                <w:szCs w:val="20"/>
              </w:rPr>
            </w:pPr>
            <w:r w:rsidRPr="0087485F">
              <w:rPr>
                <w:rFonts w:cstheme="minorHAnsi"/>
                <w:color w:val="000000"/>
                <w:sz w:val="20"/>
                <w:szCs w:val="20"/>
              </w:rPr>
              <w:t>42.</w:t>
            </w:r>
            <w:r>
              <w:rPr>
                <w:rFonts w:cstheme="minorHAnsi"/>
                <w:color w:val="000000"/>
                <w:sz w:val="20"/>
                <w:szCs w:val="20"/>
              </w:rPr>
              <w:t>0</w:t>
            </w:r>
          </w:p>
        </w:tc>
      </w:tr>
      <w:tr w:rsidR="004F5A1F" w:rsidRPr="0087485F" w:rsidTr="004F5A1F">
        <w:tc>
          <w:tcPr>
            <w:tcW w:w="794" w:type="dxa"/>
            <w:tcBorders>
              <w:top w:val="single" w:sz="4" w:space="0" w:color="auto"/>
              <w:bottom w:val="single" w:sz="4" w:space="0" w:color="auto"/>
            </w:tcBorders>
            <w:shd w:val="clear" w:color="auto" w:fill="auto"/>
          </w:tcPr>
          <w:p w:rsidR="00D907AF" w:rsidRPr="0087485F" w:rsidRDefault="00D907AF" w:rsidP="00D907AF">
            <w:pPr>
              <w:spacing w:before="20" w:after="20"/>
              <w:rPr>
                <w:rFonts w:cstheme="minorHAnsi"/>
                <w:sz w:val="20"/>
                <w:szCs w:val="20"/>
              </w:rPr>
            </w:pPr>
            <w:r w:rsidRPr="0087485F">
              <w:rPr>
                <w:rFonts w:cstheme="minorHAnsi"/>
                <w:b/>
                <w:sz w:val="20"/>
                <w:szCs w:val="20"/>
              </w:rPr>
              <w:t>Total</w:t>
            </w:r>
          </w:p>
        </w:tc>
        <w:tc>
          <w:tcPr>
            <w:tcW w:w="1417" w:type="dxa"/>
            <w:tcBorders>
              <w:top w:val="single" w:sz="4" w:space="0" w:color="auto"/>
              <w:bottom w:val="single" w:sz="4" w:space="0" w:color="auto"/>
            </w:tcBorders>
            <w:shd w:val="clear" w:color="auto" w:fill="auto"/>
          </w:tcPr>
          <w:p w:rsidR="00D907AF" w:rsidRPr="0087485F" w:rsidRDefault="00D907AF" w:rsidP="00F1609F">
            <w:pPr>
              <w:spacing w:before="20" w:after="20"/>
              <w:ind w:right="381"/>
              <w:jc w:val="right"/>
              <w:rPr>
                <w:rFonts w:cstheme="minorHAnsi"/>
                <w:b/>
                <w:sz w:val="20"/>
                <w:szCs w:val="20"/>
              </w:rPr>
            </w:pPr>
            <w:r>
              <w:rPr>
                <w:rFonts w:cstheme="minorHAnsi"/>
                <w:b/>
                <w:sz w:val="20"/>
                <w:szCs w:val="20"/>
              </w:rPr>
              <w:t>270</w:t>
            </w:r>
          </w:p>
        </w:tc>
        <w:tc>
          <w:tcPr>
            <w:tcW w:w="1417" w:type="dxa"/>
            <w:tcBorders>
              <w:top w:val="single" w:sz="4" w:space="0" w:color="auto"/>
              <w:bottom w:val="single" w:sz="4" w:space="0" w:color="auto"/>
            </w:tcBorders>
            <w:shd w:val="clear" w:color="auto" w:fill="auto"/>
          </w:tcPr>
          <w:p w:rsidR="00D907AF" w:rsidRPr="0087485F" w:rsidRDefault="00D907AF" w:rsidP="00F1609F">
            <w:pPr>
              <w:spacing w:before="20" w:after="20"/>
              <w:ind w:right="397"/>
              <w:jc w:val="right"/>
              <w:rPr>
                <w:rFonts w:cstheme="minorHAnsi"/>
                <w:b/>
                <w:sz w:val="20"/>
                <w:szCs w:val="20"/>
              </w:rPr>
            </w:pPr>
            <w:r w:rsidRPr="0087485F">
              <w:rPr>
                <w:rFonts w:cstheme="minorHAnsi"/>
                <w:b/>
                <w:sz w:val="20"/>
                <w:szCs w:val="20"/>
              </w:rPr>
              <w:t>100</w:t>
            </w:r>
          </w:p>
        </w:tc>
        <w:tc>
          <w:tcPr>
            <w:tcW w:w="1417" w:type="dxa"/>
            <w:tcBorders>
              <w:top w:val="single" w:sz="4" w:space="0" w:color="auto"/>
              <w:bottom w:val="single" w:sz="4" w:space="0" w:color="auto"/>
            </w:tcBorders>
            <w:shd w:val="clear" w:color="auto" w:fill="auto"/>
          </w:tcPr>
          <w:p w:rsidR="00D907AF" w:rsidRPr="0087485F" w:rsidRDefault="00D907AF" w:rsidP="00F1609F">
            <w:pPr>
              <w:spacing w:before="20" w:after="20"/>
              <w:ind w:right="434"/>
              <w:jc w:val="right"/>
              <w:rPr>
                <w:rFonts w:cstheme="minorHAnsi"/>
                <w:b/>
                <w:sz w:val="20"/>
                <w:szCs w:val="20"/>
              </w:rPr>
            </w:pPr>
            <w:r>
              <w:rPr>
                <w:rFonts w:cstheme="minorHAnsi"/>
                <w:b/>
                <w:sz w:val="20"/>
                <w:szCs w:val="20"/>
              </w:rPr>
              <w:t>230</w:t>
            </w:r>
          </w:p>
        </w:tc>
        <w:tc>
          <w:tcPr>
            <w:tcW w:w="1417" w:type="dxa"/>
            <w:tcBorders>
              <w:top w:val="single" w:sz="4" w:space="0" w:color="auto"/>
              <w:bottom w:val="single" w:sz="4" w:space="0" w:color="auto"/>
            </w:tcBorders>
            <w:shd w:val="clear" w:color="auto" w:fill="auto"/>
          </w:tcPr>
          <w:p w:rsidR="00D907AF" w:rsidRPr="0087485F" w:rsidRDefault="00D907AF" w:rsidP="00F1609F">
            <w:pPr>
              <w:spacing w:before="20" w:after="20"/>
              <w:ind w:right="381"/>
              <w:jc w:val="right"/>
              <w:rPr>
                <w:rFonts w:cstheme="minorHAnsi"/>
                <w:b/>
                <w:sz w:val="20"/>
                <w:szCs w:val="20"/>
              </w:rPr>
            </w:pPr>
            <w:r w:rsidRPr="0087485F">
              <w:rPr>
                <w:rFonts w:cstheme="minorHAnsi"/>
                <w:b/>
                <w:sz w:val="20"/>
                <w:szCs w:val="20"/>
              </w:rPr>
              <w:t>100</w:t>
            </w:r>
          </w:p>
        </w:tc>
        <w:tc>
          <w:tcPr>
            <w:tcW w:w="1421" w:type="dxa"/>
            <w:tcBorders>
              <w:top w:val="single" w:sz="4" w:space="0" w:color="auto"/>
              <w:bottom w:val="single" w:sz="4" w:space="0" w:color="auto"/>
            </w:tcBorders>
            <w:shd w:val="clear" w:color="auto" w:fill="auto"/>
          </w:tcPr>
          <w:p w:rsidR="00D907AF" w:rsidRPr="0087485F" w:rsidRDefault="00D907AF" w:rsidP="0082714C">
            <w:pPr>
              <w:spacing w:before="20" w:after="20"/>
              <w:ind w:right="397"/>
              <w:jc w:val="right"/>
              <w:rPr>
                <w:rFonts w:cstheme="minorHAnsi"/>
                <w:b/>
                <w:sz w:val="20"/>
                <w:szCs w:val="20"/>
              </w:rPr>
            </w:pPr>
            <w:r>
              <w:rPr>
                <w:rFonts w:cstheme="minorHAnsi"/>
                <w:b/>
                <w:sz w:val="20"/>
                <w:szCs w:val="20"/>
              </w:rPr>
              <w:t>238</w:t>
            </w:r>
          </w:p>
        </w:tc>
        <w:tc>
          <w:tcPr>
            <w:tcW w:w="1417" w:type="dxa"/>
            <w:tcBorders>
              <w:top w:val="single" w:sz="4" w:space="0" w:color="auto"/>
              <w:bottom w:val="single" w:sz="4" w:space="0" w:color="auto"/>
            </w:tcBorders>
            <w:shd w:val="clear" w:color="auto" w:fill="auto"/>
          </w:tcPr>
          <w:p w:rsidR="00D907AF" w:rsidRPr="0087485F" w:rsidRDefault="00D907AF" w:rsidP="0082714C">
            <w:pPr>
              <w:spacing w:before="20" w:after="20"/>
              <w:ind w:right="381"/>
              <w:jc w:val="right"/>
              <w:rPr>
                <w:rFonts w:cstheme="minorHAnsi"/>
                <w:b/>
                <w:sz w:val="20"/>
                <w:szCs w:val="20"/>
              </w:rPr>
            </w:pPr>
            <w:r w:rsidRPr="0087485F">
              <w:rPr>
                <w:rFonts w:cstheme="minorHAnsi"/>
                <w:b/>
                <w:sz w:val="20"/>
                <w:szCs w:val="20"/>
              </w:rPr>
              <w:t>100</w:t>
            </w:r>
          </w:p>
        </w:tc>
      </w:tr>
    </w:tbl>
    <w:p w:rsidR="00D907AF" w:rsidRPr="00660446" w:rsidRDefault="00D907AF" w:rsidP="006C7BE7">
      <w:pPr>
        <w:pStyle w:val="NILSTabletext"/>
      </w:pPr>
      <w:r w:rsidRPr="00660446">
        <w:t xml:space="preserve">Note: </w:t>
      </w:r>
      <w:r>
        <w:t>t</w:t>
      </w:r>
      <w:r w:rsidRPr="00660446">
        <w:t>rial aged 16 and above current</w:t>
      </w:r>
      <w:r>
        <w:t xml:space="preserve">ly </w:t>
      </w:r>
      <w:r w:rsidRPr="00660446">
        <w:t>receiving</w:t>
      </w:r>
      <w:r>
        <w:t xml:space="preserve"> NDIS</w:t>
      </w:r>
      <w:r w:rsidRPr="00660446">
        <w:t xml:space="preserve"> supports</w:t>
      </w:r>
      <w:r>
        <w:t xml:space="preserve"> and </w:t>
      </w:r>
      <w:r w:rsidRPr="00660446">
        <w:t>received supports before joining the NDIS</w:t>
      </w:r>
      <w:r>
        <w:t>.</w:t>
      </w:r>
      <w:r w:rsidRPr="00660446">
        <w:t xml:space="preserve"> </w:t>
      </w:r>
    </w:p>
    <w:p w:rsidR="00D907AF" w:rsidRDefault="00D907AF" w:rsidP="00D907AF">
      <w:r>
        <w:t>Tables 3.67 to 3.69 below present the above summary changes by each pair of pre- and post-NDIS corresponding questions. We note the richness and detail of information, but this comes at the cost of very small numbers in individual cells. We will revisit these tables at the stage of analysis, where we will need to consider explicitly the trade-off between having a large enough sample size and having more detail in the analysis. For now they are included in the report for largely illustrative purposes.</w:t>
      </w:r>
    </w:p>
    <w:p w:rsidR="00E15213" w:rsidRDefault="00D907AF" w:rsidP="0044684E">
      <w:pPr>
        <w:pStyle w:val="NILSTableHeading"/>
      </w:pPr>
      <w:bookmarkStart w:id="450" w:name="_Toc428280718"/>
      <w:bookmarkStart w:id="451" w:name="_Toc449955329"/>
      <w:r w:rsidRPr="00233E8A">
        <w:t xml:space="preserve">Table </w:t>
      </w:r>
      <w:r>
        <w:rPr>
          <w:rFonts w:hint="eastAsia"/>
        </w:rPr>
        <w:t>3.6</w:t>
      </w:r>
      <w:r>
        <w:t>7</w:t>
      </w:r>
      <w:r w:rsidRPr="00233E8A">
        <w:t xml:space="preserve">: </w:t>
      </w:r>
      <w:r>
        <w:rPr>
          <w:rFonts w:hint="eastAsia"/>
        </w:rPr>
        <w:t>Pre and post NDIS comparison: S</w:t>
      </w:r>
      <w:r w:rsidRPr="009A0959">
        <w:t xml:space="preserve">atisfaction with quality of </w:t>
      </w:r>
      <w:r>
        <w:rPr>
          <w:rFonts w:hint="eastAsia"/>
        </w:rPr>
        <w:t xml:space="preserve">received </w:t>
      </w:r>
      <w:r w:rsidRPr="009A0959">
        <w:t>supports</w:t>
      </w:r>
      <w:bookmarkEnd w:id="450"/>
      <w:bookmarkEnd w:id="451"/>
      <w:r>
        <w:rPr>
          <w:rFonts w:hint="eastAsia"/>
        </w:rPr>
        <w:t xml:space="preserve"> </w:t>
      </w:r>
    </w:p>
    <w:p w:rsidR="00E15213" w:rsidRPr="00B26A57" w:rsidRDefault="00E15213" w:rsidP="00797F09">
      <w:pPr>
        <w:pBdr>
          <w:top w:val="single" w:sz="4" w:space="1" w:color="auto"/>
        </w:pBdr>
        <w:ind w:left="-142" w:right="-170" w:firstLine="3402"/>
        <w:jc w:val="center"/>
        <w:rPr>
          <w:lang w:val="en-AU"/>
        </w:rPr>
      </w:pPr>
      <w:r w:rsidRPr="00E73961">
        <w:rPr>
          <w:rFonts w:ascii="Calibri" w:eastAsia="Times New Roman" w:hAnsi="Calibri" w:cs="Calibri"/>
          <w:sz w:val="20"/>
          <w:szCs w:val="20"/>
          <w:lang w:eastAsia="zh-CN"/>
        </w:rPr>
        <w:t>Post NDIS</w:t>
      </w:r>
      <w:r w:rsidR="00441B2B" w:rsidRPr="00E73961">
        <w:rPr>
          <w:rFonts w:ascii="Calibri" w:eastAsia="Times New Roman" w:hAnsi="Calibri" w:cs="Calibri"/>
          <w:color w:val="FFFFFF" w:themeColor="background1"/>
          <w:sz w:val="20"/>
          <w:szCs w:val="20"/>
          <w:lang w:eastAsia="zh-CN"/>
        </w:rPr>
        <w:t xml:space="preserve"> and Pre NDIS comparison</w:t>
      </w:r>
    </w:p>
    <w:tbl>
      <w:tblPr>
        <w:tblStyle w:val="TableGrid5"/>
        <w:tblW w:w="9446" w:type="dxa"/>
        <w:tblInd w:w="-34" w:type="dxa"/>
        <w:tblLayout w:type="fixed"/>
        <w:tblLook w:val="04A0" w:firstRow="1" w:lastRow="0" w:firstColumn="1" w:lastColumn="0" w:noHBand="0" w:noVBand="1"/>
        <w:tblCaption w:val="Table 3.67: Pre and post NDIS comparison: Satisfaction with quality of received supports "/>
      </w:tblPr>
      <w:tblGrid>
        <w:gridCol w:w="2836"/>
        <w:gridCol w:w="850"/>
        <w:gridCol w:w="992"/>
        <w:gridCol w:w="1134"/>
        <w:gridCol w:w="964"/>
        <w:gridCol w:w="964"/>
        <w:gridCol w:w="794"/>
        <w:gridCol w:w="912"/>
      </w:tblGrid>
      <w:tr w:rsidR="00E520AA" w:rsidRPr="00B26A57" w:rsidTr="00B26A57">
        <w:trPr>
          <w:cantSplit/>
          <w:tblHeader/>
        </w:trPr>
        <w:tc>
          <w:tcPr>
            <w:tcW w:w="2836" w:type="dxa"/>
            <w:tcBorders>
              <w:bottom w:val="single" w:sz="4" w:space="0" w:color="auto"/>
            </w:tcBorders>
            <w:shd w:val="clear" w:color="auto" w:fill="auto"/>
            <w:vAlign w:val="bottom"/>
          </w:tcPr>
          <w:p w:rsidR="001712ED" w:rsidRPr="00B26A57" w:rsidRDefault="007F7E8F" w:rsidP="00B26A57">
            <w:pPr>
              <w:spacing w:before="20" w:after="20"/>
              <w:ind w:right="34"/>
              <w:jc w:val="center"/>
              <w:rPr>
                <w:rFonts w:ascii="Calibri" w:eastAsia="Times New Roman" w:hAnsi="Calibri" w:cs="Calibri"/>
                <w:sz w:val="20"/>
                <w:szCs w:val="20"/>
                <w:lang w:eastAsia="zh-CN"/>
              </w:rPr>
            </w:pPr>
            <w:bookmarkStart w:id="452" w:name="Title_3_67"/>
            <w:bookmarkEnd w:id="452"/>
            <w:r w:rsidRPr="00B26A57">
              <w:rPr>
                <w:rFonts w:ascii="Calibri" w:eastAsia="Times New Roman" w:hAnsi="Calibri" w:cs="Calibri"/>
                <w:sz w:val="20"/>
                <w:szCs w:val="20"/>
                <w:lang w:eastAsia="zh-CN"/>
              </w:rPr>
              <w:t>Pre NDIS</w:t>
            </w:r>
          </w:p>
        </w:tc>
        <w:tc>
          <w:tcPr>
            <w:tcW w:w="850" w:type="dxa"/>
            <w:tcBorders>
              <w:bottom w:val="single" w:sz="4" w:space="0" w:color="auto"/>
            </w:tcBorders>
            <w:shd w:val="clear" w:color="auto" w:fill="auto"/>
            <w:vAlign w:val="bottom"/>
          </w:tcPr>
          <w:p w:rsidR="001712ED" w:rsidRPr="00B26A57" w:rsidRDefault="001712ED" w:rsidP="00B26A57">
            <w:pPr>
              <w:ind w:left="-108" w:right="-108"/>
              <w:jc w:val="center"/>
              <w:rPr>
                <w:rFonts w:ascii="Calibri" w:eastAsia="Times New Roman" w:hAnsi="Calibri" w:cs="Calibri"/>
                <w:sz w:val="20"/>
                <w:szCs w:val="20"/>
                <w:lang w:eastAsia="zh-CN"/>
              </w:rPr>
            </w:pPr>
            <w:r w:rsidRPr="00B26A57">
              <w:rPr>
                <w:rFonts w:ascii="Calibri" w:eastAsia="Times New Roman" w:hAnsi="Calibri" w:cs="Calibri"/>
                <w:color w:val="FFFFFF" w:themeColor="background1"/>
                <w:sz w:val="20"/>
                <w:szCs w:val="20"/>
                <w:lang w:eastAsia="zh-CN"/>
              </w:rPr>
              <w:t>Pos</w:t>
            </w:r>
            <w:r w:rsidR="00B26A57" w:rsidRPr="00B26A57">
              <w:rPr>
                <w:rFonts w:ascii="Calibri" w:eastAsia="Times New Roman" w:hAnsi="Calibri" w:cs="Calibri"/>
                <w:color w:val="FFFFFF" w:themeColor="background1"/>
                <w:sz w:val="20"/>
                <w:szCs w:val="20"/>
                <w:lang w:eastAsia="zh-CN"/>
              </w:rPr>
              <w:t>t</w:t>
            </w:r>
            <w:r w:rsidRPr="00B26A57">
              <w:rPr>
                <w:rFonts w:ascii="Calibri" w:eastAsia="Times New Roman" w:hAnsi="Calibri" w:cs="Calibri"/>
                <w:color w:val="FFFFFF" w:themeColor="background1"/>
                <w:sz w:val="20"/>
                <w:szCs w:val="20"/>
                <w:lang w:eastAsia="zh-CN"/>
              </w:rPr>
              <w:t xml:space="preserve"> NDIS</w:t>
            </w:r>
            <w:r w:rsidRPr="00B26A57">
              <w:t xml:space="preserve"> </w:t>
            </w:r>
            <w:r w:rsidRPr="00B26A57">
              <w:rPr>
                <w:rFonts w:ascii="Calibri" w:eastAsia="Times New Roman" w:hAnsi="Calibri" w:cs="Calibri"/>
                <w:sz w:val="20"/>
                <w:szCs w:val="20"/>
                <w:lang w:eastAsia="zh-CN"/>
              </w:rPr>
              <w:t>Very satisfied</w:t>
            </w:r>
          </w:p>
        </w:tc>
        <w:tc>
          <w:tcPr>
            <w:tcW w:w="992" w:type="dxa"/>
            <w:tcBorders>
              <w:bottom w:val="single" w:sz="4" w:space="0" w:color="auto"/>
            </w:tcBorders>
            <w:shd w:val="clear" w:color="auto" w:fill="auto"/>
            <w:vAlign w:val="bottom"/>
          </w:tcPr>
          <w:p w:rsidR="001712ED" w:rsidRPr="00B26A57" w:rsidRDefault="001712ED" w:rsidP="00B26A57">
            <w:pPr>
              <w:ind w:left="-108" w:right="-108"/>
              <w:jc w:val="center"/>
              <w:rPr>
                <w:rFonts w:ascii="Calibri" w:eastAsia="Times New Roman" w:hAnsi="Calibri" w:cs="Calibri"/>
                <w:sz w:val="20"/>
                <w:szCs w:val="20"/>
                <w:lang w:eastAsia="zh-CN"/>
              </w:rPr>
            </w:pPr>
            <w:r w:rsidRPr="00B26A57">
              <w:rPr>
                <w:rFonts w:ascii="Calibri" w:eastAsia="Times New Roman" w:hAnsi="Calibri" w:cs="Calibri"/>
                <w:color w:val="FFFFFF" w:themeColor="background1"/>
                <w:sz w:val="10"/>
                <w:szCs w:val="10"/>
                <w:lang w:eastAsia="zh-CN"/>
              </w:rPr>
              <w:t>Post NDIS</w:t>
            </w:r>
            <w:r w:rsidRPr="00B26A57">
              <w:rPr>
                <w:rFonts w:ascii="Calibri" w:eastAsia="Times New Roman" w:hAnsi="Calibri" w:cs="Calibri"/>
                <w:sz w:val="20"/>
                <w:szCs w:val="20"/>
                <w:lang w:eastAsia="zh-CN"/>
              </w:rPr>
              <w:t xml:space="preserve"> Satisfied</w:t>
            </w:r>
          </w:p>
        </w:tc>
        <w:tc>
          <w:tcPr>
            <w:tcW w:w="1134" w:type="dxa"/>
            <w:tcBorders>
              <w:bottom w:val="single" w:sz="4" w:space="0" w:color="auto"/>
            </w:tcBorders>
            <w:shd w:val="clear" w:color="auto" w:fill="auto"/>
            <w:vAlign w:val="bottom"/>
          </w:tcPr>
          <w:p w:rsidR="001712ED" w:rsidRPr="00B26A57" w:rsidRDefault="001712ED" w:rsidP="00B26A57">
            <w:pPr>
              <w:jc w:val="center"/>
              <w:rPr>
                <w:rFonts w:ascii="Calibri" w:eastAsia="Times New Roman" w:hAnsi="Calibri" w:cs="Calibri"/>
                <w:color w:val="FFFFFF" w:themeColor="background1"/>
                <w:sz w:val="4"/>
                <w:szCs w:val="4"/>
                <w:lang w:eastAsia="zh-CN"/>
              </w:rPr>
            </w:pPr>
            <w:r w:rsidRPr="00B26A57">
              <w:rPr>
                <w:rFonts w:ascii="Calibri" w:eastAsia="Times New Roman" w:hAnsi="Calibri" w:cs="Calibri"/>
                <w:color w:val="FFFFFF" w:themeColor="background1"/>
                <w:sz w:val="4"/>
                <w:szCs w:val="4"/>
                <w:lang w:eastAsia="zh-CN"/>
              </w:rPr>
              <w:t>Post NDS</w:t>
            </w:r>
          </w:p>
          <w:p w:rsidR="001712ED" w:rsidRPr="00B26A57" w:rsidRDefault="001712ED" w:rsidP="00B26A57">
            <w:pPr>
              <w:ind w:left="-108" w:right="-113"/>
              <w:jc w:val="center"/>
              <w:rPr>
                <w:rFonts w:ascii="Calibri" w:eastAsia="Times New Roman" w:hAnsi="Calibri" w:cs="Calibri"/>
                <w:sz w:val="20"/>
                <w:szCs w:val="20"/>
                <w:lang w:eastAsia="zh-CN"/>
              </w:rPr>
            </w:pPr>
            <w:r w:rsidRPr="00B26A57">
              <w:rPr>
                <w:rFonts w:ascii="Calibri" w:eastAsia="Times New Roman" w:hAnsi="Calibri" w:cs="Calibri"/>
                <w:sz w:val="20"/>
                <w:szCs w:val="20"/>
                <w:lang w:eastAsia="zh-CN"/>
              </w:rPr>
              <w:t>Neither satisfied</w:t>
            </w:r>
            <w:r w:rsidR="00E520AA" w:rsidRPr="00B26A57">
              <w:rPr>
                <w:rFonts w:ascii="Calibri" w:eastAsia="Times New Roman" w:hAnsi="Calibri" w:cs="Calibri"/>
                <w:sz w:val="20"/>
                <w:szCs w:val="20"/>
                <w:lang w:eastAsia="zh-CN"/>
              </w:rPr>
              <w:t xml:space="preserve"> </w:t>
            </w:r>
            <w:r w:rsidRPr="00B26A57">
              <w:rPr>
                <w:rFonts w:ascii="Calibri" w:eastAsia="Times New Roman" w:hAnsi="Calibri" w:cs="Calibri"/>
                <w:sz w:val="20"/>
                <w:szCs w:val="20"/>
                <w:lang w:eastAsia="zh-CN"/>
              </w:rPr>
              <w:t>nor dissatisfied</w:t>
            </w:r>
          </w:p>
        </w:tc>
        <w:tc>
          <w:tcPr>
            <w:tcW w:w="964" w:type="dxa"/>
            <w:tcBorders>
              <w:bottom w:val="single" w:sz="4" w:space="0" w:color="auto"/>
            </w:tcBorders>
            <w:shd w:val="clear" w:color="auto" w:fill="auto"/>
            <w:vAlign w:val="bottom"/>
          </w:tcPr>
          <w:p w:rsidR="001712ED" w:rsidRPr="00B26A57" w:rsidRDefault="001712ED" w:rsidP="00B26A57">
            <w:pPr>
              <w:ind w:left="-108" w:right="-108"/>
              <w:jc w:val="center"/>
              <w:rPr>
                <w:rFonts w:ascii="Calibri" w:eastAsia="Times New Roman" w:hAnsi="Calibri" w:cs="Calibri"/>
                <w:sz w:val="20"/>
                <w:szCs w:val="20"/>
                <w:lang w:eastAsia="zh-CN"/>
              </w:rPr>
            </w:pPr>
            <w:r w:rsidRPr="00B26A57">
              <w:rPr>
                <w:rFonts w:ascii="Calibri" w:eastAsia="Times New Roman" w:hAnsi="Calibri" w:cs="Calibri"/>
                <w:color w:val="FFFFFF" w:themeColor="background1"/>
                <w:sz w:val="10"/>
                <w:szCs w:val="10"/>
                <w:lang w:eastAsia="zh-CN"/>
              </w:rPr>
              <w:t xml:space="preserve">Post NDIS </w:t>
            </w:r>
            <w:r w:rsidRPr="00B26A57">
              <w:rPr>
                <w:rFonts w:ascii="Calibri" w:eastAsia="Times New Roman" w:hAnsi="Calibri" w:cs="Calibri"/>
                <w:sz w:val="20"/>
                <w:szCs w:val="20"/>
                <w:lang w:eastAsia="zh-CN"/>
              </w:rPr>
              <w:t>Dissatisfied</w:t>
            </w:r>
          </w:p>
        </w:tc>
        <w:tc>
          <w:tcPr>
            <w:tcW w:w="964" w:type="dxa"/>
            <w:tcBorders>
              <w:bottom w:val="single" w:sz="4" w:space="0" w:color="auto"/>
            </w:tcBorders>
            <w:shd w:val="clear" w:color="auto" w:fill="auto"/>
            <w:vAlign w:val="bottom"/>
          </w:tcPr>
          <w:p w:rsidR="001712ED" w:rsidRPr="00B26A57" w:rsidRDefault="001712ED" w:rsidP="00B26A57">
            <w:pPr>
              <w:jc w:val="center"/>
              <w:rPr>
                <w:rFonts w:ascii="Calibri" w:eastAsia="Times New Roman" w:hAnsi="Calibri" w:cs="Calibri"/>
                <w:color w:val="FFFFFF" w:themeColor="background1"/>
                <w:sz w:val="10"/>
                <w:szCs w:val="10"/>
                <w:lang w:eastAsia="zh-CN"/>
              </w:rPr>
            </w:pPr>
            <w:r w:rsidRPr="00B26A57">
              <w:rPr>
                <w:rFonts w:ascii="Calibri" w:eastAsia="Times New Roman" w:hAnsi="Calibri" w:cs="Calibri"/>
                <w:color w:val="FFFFFF" w:themeColor="background1"/>
                <w:sz w:val="10"/>
                <w:szCs w:val="10"/>
                <w:lang w:eastAsia="zh-CN"/>
              </w:rPr>
              <w:t>Post NDIS</w:t>
            </w:r>
          </w:p>
          <w:p w:rsidR="001712ED" w:rsidRPr="00B26A57" w:rsidRDefault="001712ED" w:rsidP="00B26A57">
            <w:pPr>
              <w:ind w:left="-108" w:right="-131"/>
              <w:jc w:val="center"/>
              <w:rPr>
                <w:rFonts w:ascii="Calibri" w:eastAsia="Times New Roman" w:hAnsi="Calibri" w:cs="Calibri"/>
                <w:sz w:val="20"/>
                <w:szCs w:val="20"/>
                <w:lang w:eastAsia="zh-CN"/>
              </w:rPr>
            </w:pPr>
            <w:r w:rsidRPr="00B26A57">
              <w:rPr>
                <w:rFonts w:ascii="Calibri" w:eastAsia="Times New Roman" w:hAnsi="Calibri" w:cs="Calibri"/>
                <w:sz w:val="20"/>
                <w:szCs w:val="20"/>
                <w:lang w:eastAsia="zh-CN"/>
              </w:rPr>
              <w:t>Very dissatisfied</w:t>
            </w:r>
          </w:p>
        </w:tc>
        <w:tc>
          <w:tcPr>
            <w:tcW w:w="794" w:type="dxa"/>
            <w:tcBorders>
              <w:bottom w:val="single" w:sz="4" w:space="0" w:color="auto"/>
            </w:tcBorders>
            <w:shd w:val="clear" w:color="auto" w:fill="auto"/>
            <w:vAlign w:val="bottom"/>
          </w:tcPr>
          <w:p w:rsidR="001712ED" w:rsidRPr="00B26A57" w:rsidRDefault="001712ED" w:rsidP="00B26A57">
            <w:pPr>
              <w:ind w:left="-47" w:right="-28"/>
              <w:jc w:val="center"/>
              <w:rPr>
                <w:rFonts w:ascii="Calibri" w:eastAsia="Times New Roman" w:hAnsi="Calibri" w:cs="Calibri"/>
                <w:sz w:val="20"/>
                <w:szCs w:val="20"/>
                <w:lang w:eastAsia="zh-CN"/>
              </w:rPr>
            </w:pPr>
            <w:r w:rsidRPr="00B26A57">
              <w:rPr>
                <w:rFonts w:ascii="Calibri" w:eastAsia="Times New Roman" w:hAnsi="Calibri" w:cs="Calibri"/>
                <w:color w:val="FFFFFF" w:themeColor="background1"/>
                <w:sz w:val="10"/>
                <w:szCs w:val="10"/>
                <w:lang w:eastAsia="zh-CN"/>
              </w:rPr>
              <w:t xml:space="preserve">Post NDIS </w:t>
            </w:r>
            <w:r w:rsidRPr="00B26A57">
              <w:rPr>
                <w:rFonts w:ascii="Calibri" w:eastAsia="Times New Roman" w:hAnsi="Calibri" w:cs="Calibri"/>
                <w:sz w:val="20"/>
                <w:szCs w:val="20"/>
                <w:lang w:eastAsia="zh-CN"/>
              </w:rPr>
              <w:t>Missing</w:t>
            </w:r>
          </w:p>
        </w:tc>
        <w:tc>
          <w:tcPr>
            <w:tcW w:w="912" w:type="dxa"/>
            <w:tcBorders>
              <w:bottom w:val="single" w:sz="4" w:space="0" w:color="auto"/>
            </w:tcBorders>
            <w:vAlign w:val="bottom"/>
          </w:tcPr>
          <w:p w:rsidR="001712ED" w:rsidRPr="00B26A57" w:rsidRDefault="00B26A57" w:rsidP="00B26A57">
            <w:pPr>
              <w:jc w:val="center"/>
              <w:rPr>
                <w:rFonts w:ascii="Calibri" w:eastAsia="Times New Roman" w:hAnsi="Calibri" w:cs="Calibri"/>
                <w:sz w:val="20"/>
                <w:szCs w:val="20"/>
                <w:lang w:eastAsia="zh-CN"/>
              </w:rPr>
            </w:pPr>
            <w:r w:rsidRPr="00B26A57">
              <w:rPr>
                <w:rFonts w:ascii="Calibri" w:eastAsia="Times New Roman" w:hAnsi="Calibri" w:cs="Calibri"/>
                <w:color w:val="FFFFFF" w:themeColor="background1"/>
                <w:sz w:val="20"/>
                <w:szCs w:val="20"/>
                <w:lang w:eastAsia="zh-CN"/>
              </w:rPr>
              <w:t>Post NDIS</w:t>
            </w:r>
            <w:r w:rsidRPr="00B26A57">
              <w:rPr>
                <w:rFonts w:ascii="Calibri" w:eastAsia="Times New Roman" w:hAnsi="Calibri" w:cs="Calibri"/>
                <w:sz w:val="20"/>
                <w:szCs w:val="20"/>
                <w:lang w:eastAsia="zh-CN"/>
              </w:rPr>
              <w:t xml:space="preserve"> </w:t>
            </w:r>
            <w:r w:rsidR="001712ED" w:rsidRPr="00B26A57">
              <w:rPr>
                <w:rFonts w:ascii="Calibri" w:eastAsia="Times New Roman" w:hAnsi="Calibri" w:cs="Calibri"/>
                <w:sz w:val="20"/>
                <w:szCs w:val="20"/>
                <w:lang w:eastAsia="zh-CN"/>
              </w:rPr>
              <w:t>Total</w:t>
            </w:r>
          </w:p>
        </w:tc>
      </w:tr>
      <w:tr w:rsidR="00E520AA" w:rsidRPr="00E877CA" w:rsidTr="00DB76BA">
        <w:trPr>
          <w:cantSplit/>
        </w:trPr>
        <w:tc>
          <w:tcPr>
            <w:tcW w:w="2836" w:type="dxa"/>
            <w:tcBorders>
              <w:top w:val="single" w:sz="4" w:space="0" w:color="auto"/>
              <w:right w:val="single" w:sz="4" w:space="0" w:color="auto"/>
            </w:tcBorders>
            <w:shd w:val="clear" w:color="auto" w:fill="auto"/>
            <w:vAlign w:val="bottom"/>
          </w:tcPr>
          <w:p w:rsidR="00D907AF" w:rsidRPr="00E877CA" w:rsidRDefault="00D907AF" w:rsidP="00DB76BA">
            <w:pPr>
              <w:spacing w:before="20" w:after="20"/>
              <w:jc w:val="right"/>
              <w:rPr>
                <w:rFonts w:ascii="Calibri" w:eastAsia="Times New Roman" w:hAnsi="Calibri" w:cs="Calibri"/>
                <w:sz w:val="20"/>
                <w:szCs w:val="20"/>
                <w:lang w:eastAsia="zh-CN"/>
              </w:rPr>
            </w:pPr>
            <w:r w:rsidRPr="00E877CA">
              <w:rPr>
                <w:rFonts w:ascii="Calibri" w:eastAsia="Times New Roman" w:hAnsi="Calibri" w:cs="Calibri"/>
                <w:sz w:val="20"/>
                <w:szCs w:val="20"/>
                <w:lang w:eastAsia="zh-CN"/>
              </w:rPr>
              <w:t>Very satisfied</w:t>
            </w:r>
          </w:p>
        </w:tc>
        <w:tc>
          <w:tcPr>
            <w:tcW w:w="850" w:type="dxa"/>
            <w:tcBorders>
              <w:top w:val="single" w:sz="4" w:space="0" w:color="auto"/>
              <w:left w:val="single" w:sz="4" w:space="0" w:color="auto"/>
            </w:tcBorders>
            <w:shd w:val="clear" w:color="auto" w:fill="auto"/>
            <w:vAlign w:val="bottom"/>
          </w:tcPr>
          <w:p w:rsidR="00D907AF" w:rsidRPr="007A79BA" w:rsidRDefault="00D907AF" w:rsidP="00DB76BA">
            <w:pPr>
              <w:spacing w:before="0" w:after="0"/>
              <w:jc w:val="right"/>
              <w:rPr>
                <w:rFonts w:ascii="Calibri" w:eastAsia="Times New Roman" w:hAnsi="Calibri" w:cs="Calibri"/>
                <w:color w:val="000000"/>
                <w:sz w:val="20"/>
                <w:szCs w:val="20"/>
                <w:lang w:eastAsia="zh-CN"/>
              </w:rPr>
            </w:pPr>
            <w:r w:rsidRPr="007A79BA">
              <w:rPr>
                <w:rFonts w:ascii="Calibri" w:eastAsia="Times New Roman" w:hAnsi="Calibri" w:cs="Calibri"/>
                <w:color w:val="000000"/>
                <w:sz w:val="20"/>
                <w:szCs w:val="20"/>
                <w:lang w:eastAsia="zh-CN"/>
              </w:rPr>
              <w:t>40</w:t>
            </w:r>
          </w:p>
        </w:tc>
        <w:tc>
          <w:tcPr>
            <w:tcW w:w="992" w:type="dxa"/>
            <w:tcBorders>
              <w:top w:val="single" w:sz="4" w:space="0" w:color="auto"/>
            </w:tcBorders>
            <w:shd w:val="clear" w:color="auto" w:fill="auto"/>
            <w:vAlign w:val="bottom"/>
          </w:tcPr>
          <w:p w:rsidR="00D907AF" w:rsidRPr="008854B0" w:rsidRDefault="00D907AF" w:rsidP="00DB76BA">
            <w:pPr>
              <w:spacing w:before="0" w:after="0"/>
              <w:jc w:val="right"/>
              <w:rPr>
                <w:rFonts w:ascii="Calibri" w:eastAsia="Times New Roman" w:hAnsi="Calibri" w:cs="Calibri"/>
                <w:color w:val="000000"/>
                <w:sz w:val="20"/>
                <w:szCs w:val="20"/>
                <w:lang w:eastAsia="zh-CN"/>
              </w:rPr>
            </w:pPr>
            <w:r w:rsidRPr="008854B0">
              <w:rPr>
                <w:rFonts w:ascii="Calibri" w:eastAsia="Times New Roman" w:hAnsi="Calibri" w:cs="Calibri"/>
                <w:color w:val="000000"/>
                <w:sz w:val="20"/>
                <w:szCs w:val="20"/>
                <w:lang w:eastAsia="zh-CN"/>
              </w:rPr>
              <w:t>20</w:t>
            </w:r>
          </w:p>
        </w:tc>
        <w:tc>
          <w:tcPr>
            <w:tcW w:w="1134" w:type="dxa"/>
            <w:tcBorders>
              <w:top w:val="single" w:sz="4" w:space="0" w:color="auto"/>
            </w:tcBorders>
            <w:shd w:val="clear" w:color="auto" w:fill="auto"/>
            <w:vAlign w:val="bottom"/>
          </w:tcPr>
          <w:p w:rsidR="00D907AF" w:rsidRPr="008854B0" w:rsidRDefault="00D907AF" w:rsidP="00DB76BA">
            <w:pPr>
              <w:spacing w:before="0" w:after="0"/>
              <w:jc w:val="right"/>
              <w:rPr>
                <w:rFonts w:ascii="Calibri" w:eastAsia="Times New Roman" w:hAnsi="Calibri" w:cs="Calibri"/>
                <w:color w:val="000000"/>
                <w:sz w:val="20"/>
                <w:szCs w:val="20"/>
                <w:lang w:eastAsia="zh-CN"/>
              </w:rPr>
            </w:pPr>
            <w:r w:rsidRPr="008854B0">
              <w:rPr>
                <w:rFonts w:ascii="Calibri" w:eastAsia="Times New Roman" w:hAnsi="Calibri" w:cs="Calibri"/>
                <w:color w:val="000000"/>
                <w:sz w:val="20"/>
                <w:szCs w:val="20"/>
                <w:lang w:eastAsia="zh-CN"/>
              </w:rPr>
              <w:t>3</w:t>
            </w:r>
          </w:p>
        </w:tc>
        <w:tc>
          <w:tcPr>
            <w:tcW w:w="964" w:type="dxa"/>
            <w:tcBorders>
              <w:top w:val="single" w:sz="4" w:space="0" w:color="auto"/>
            </w:tcBorders>
            <w:shd w:val="clear" w:color="auto" w:fill="auto"/>
            <w:vAlign w:val="bottom"/>
          </w:tcPr>
          <w:p w:rsidR="00D907AF" w:rsidRPr="008854B0" w:rsidRDefault="00D907AF" w:rsidP="00DB76BA">
            <w:pPr>
              <w:spacing w:before="0" w:after="0"/>
              <w:jc w:val="right"/>
              <w:rPr>
                <w:rFonts w:ascii="Calibri" w:eastAsia="Times New Roman" w:hAnsi="Calibri" w:cs="Calibri"/>
                <w:color w:val="000000"/>
                <w:sz w:val="20"/>
                <w:szCs w:val="20"/>
                <w:lang w:eastAsia="zh-CN"/>
              </w:rPr>
            </w:pPr>
            <w:r w:rsidRPr="008854B0">
              <w:rPr>
                <w:rFonts w:ascii="Calibri" w:eastAsia="Times New Roman" w:hAnsi="Calibri" w:cs="Calibri"/>
                <w:color w:val="000000"/>
                <w:sz w:val="20"/>
                <w:szCs w:val="20"/>
                <w:lang w:eastAsia="zh-CN"/>
              </w:rPr>
              <w:t>5</w:t>
            </w:r>
          </w:p>
        </w:tc>
        <w:tc>
          <w:tcPr>
            <w:tcW w:w="964" w:type="dxa"/>
            <w:tcBorders>
              <w:top w:val="single" w:sz="4" w:space="0" w:color="auto"/>
            </w:tcBorders>
            <w:shd w:val="clear" w:color="auto" w:fill="auto"/>
            <w:vAlign w:val="bottom"/>
          </w:tcPr>
          <w:p w:rsidR="00D907AF" w:rsidRPr="008854B0" w:rsidRDefault="00D907AF" w:rsidP="00DB76BA">
            <w:pPr>
              <w:spacing w:before="0" w:after="0"/>
              <w:jc w:val="right"/>
              <w:rPr>
                <w:rFonts w:ascii="Calibri" w:eastAsia="Times New Roman" w:hAnsi="Calibri" w:cs="Calibri"/>
                <w:color w:val="000000"/>
                <w:sz w:val="20"/>
                <w:szCs w:val="20"/>
                <w:lang w:eastAsia="zh-CN"/>
              </w:rPr>
            </w:pPr>
            <w:r w:rsidRPr="008854B0">
              <w:rPr>
                <w:rFonts w:ascii="Calibri" w:eastAsia="Times New Roman" w:hAnsi="Calibri" w:cs="Calibri"/>
                <w:color w:val="000000"/>
                <w:sz w:val="20"/>
                <w:szCs w:val="20"/>
                <w:lang w:eastAsia="zh-CN"/>
              </w:rPr>
              <w:t>2</w:t>
            </w:r>
          </w:p>
        </w:tc>
        <w:tc>
          <w:tcPr>
            <w:tcW w:w="794" w:type="dxa"/>
            <w:tcBorders>
              <w:top w:val="single" w:sz="4" w:space="0" w:color="auto"/>
            </w:tcBorders>
            <w:shd w:val="clear" w:color="auto" w:fill="auto"/>
            <w:vAlign w:val="bottom"/>
          </w:tcPr>
          <w:p w:rsidR="00D907AF" w:rsidRPr="007A4759" w:rsidRDefault="00D907AF" w:rsidP="00DB76BA">
            <w:pPr>
              <w:spacing w:before="0" w:after="0"/>
              <w:jc w:val="right"/>
              <w:rPr>
                <w:rFonts w:ascii="Calibri" w:eastAsia="Times New Roman" w:hAnsi="Calibri" w:cs="Calibri"/>
                <w:color w:val="000000"/>
                <w:sz w:val="20"/>
                <w:szCs w:val="20"/>
                <w:lang w:eastAsia="zh-CN"/>
              </w:rPr>
            </w:pPr>
            <w:r w:rsidRPr="007A4759">
              <w:rPr>
                <w:rFonts w:ascii="Calibri" w:eastAsia="Times New Roman" w:hAnsi="Calibri" w:cs="Calibri"/>
                <w:color w:val="000000"/>
                <w:sz w:val="20"/>
                <w:szCs w:val="20"/>
                <w:lang w:eastAsia="zh-CN"/>
              </w:rPr>
              <w:t>0</w:t>
            </w:r>
          </w:p>
        </w:tc>
        <w:tc>
          <w:tcPr>
            <w:tcW w:w="912" w:type="dxa"/>
            <w:tcBorders>
              <w:top w:val="single" w:sz="4" w:space="0" w:color="auto"/>
            </w:tcBorders>
            <w:vAlign w:val="bottom"/>
          </w:tcPr>
          <w:p w:rsidR="00D907AF" w:rsidRPr="00A95294" w:rsidRDefault="00D907AF" w:rsidP="00DB76BA">
            <w:pPr>
              <w:spacing w:before="0" w:after="0"/>
              <w:jc w:val="right"/>
              <w:rPr>
                <w:rFonts w:ascii="Calibri" w:eastAsia="Times New Roman" w:hAnsi="Calibri" w:cs="Calibri"/>
                <w:color w:val="000000"/>
                <w:sz w:val="20"/>
                <w:szCs w:val="20"/>
                <w:lang w:eastAsia="zh-CN"/>
              </w:rPr>
            </w:pPr>
            <w:r w:rsidRPr="00A95294">
              <w:rPr>
                <w:rFonts w:ascii="Calibri" w:eastAsia="Times New Roman" w:hAnsi="Calibri" w:cs="Calibri"/>
                <w:color w:val="000000"/>
                <w:sz w:val="20"/>
                <w:szCs w:val="20"/>
                <w:lang w:eastAsia="zh-CN"/>
              </w:rPr>
              <w:t>70</w:t>
            </w:r>
          </w:p>
        </w:tc>
      </w:tr>
      <w:tr w:rsidR="00E520AA" w:rsidRPr="00E877CA" w:rsidTr="00DB76BA">
        <w:trPr>
          <w:cantSplit/>
        </w:trPr>
        <w:tc>
          <w:tcPr>
            <w:tcW w:w="2836" w:type="dxa"/>
            <w:tcBorders>
              <w:right w:val="single" w:sz="4" w:space="0" w:color="auto"/>
            </w:tcBorders>
            <w:shd w:val="clear" w:color="auto" w:fill="auto"/>
            <w:vAlign w:val="bottom"/>
          </w:tcPr>
          <w:p w:rsidR="00D907AF" w:rsidRPr="00E877CA" w:rsidRDefault="00EF23E1" w:rsidP="00DB76BA">
            <w:pPr>
              <w:spacing w:before="20" w:after="20"/>
              <w:jc w:val="right"/>
              <w:rPr>
                <w:rFonts w:ascii="Calibri" w:eastAsia="Times New Roman" w:hAnsi="Calibri" w:cs="Calibri"/>
                <w:sz w:val="20"/>
                <w:szCs w:val="20"/>
                <w:lang w:eastAsia="zh-CN"/>
              </w:rPr>
            </w:pPr>
            <w:r w:rsidRPr="00377BAE">
              <w:rPr>
                <w:rFonts w:ascii="Calibri" w:eastAsia="Times New Roman" w:hAnsi="Calibri" w:cs="Calibri"/>
                <w:color w:val="FFFFFF" w:themeColor="background1"/>
                <w:sz w:val="20"/>
                <w:szCs w:val="20"/>
                <w:lang w:eastAsia="zh-CN"/>
              </w:rPr>
              <w:t>Very satisfied</w:t>
            </w:r>
          </w:p>
        </w:tc>
        <w:tc>
          <w:tcPr>
            <w:tcW w:w="850" w:type="dxa"/>
            <w:tcBorders>
              <w:left w:val="single" w:sz="4" w:space="0" w:color="auto"/>
            </w:tcBorders>
            <w:shd w:val="clear" w:color="auto" w:fill="auto"/>
            <w:vAlign w:val="bottom"/>
          </w:tcPr>
          <w:p w:rsidR="00D907AF" w:rsidRPr="007A79BA" w:rsidRDefault="00D907AF" w:rsidP="00DB76BA">
            <w:pPr>
              <w:spacing w:before="0" w:after="0"/>
              <w:jc w:val="right"/>
              <w:rPr>
                <w:rFonts w:ascii="Calibri" w:eastAsia="Times New Roman" w:hAnsi="Calibri" w:cs="Calibri"/>
                <w:color w:val="000000"/>
                <w:sz w:val="20"/>
                <w:szCs w:val="20"/>
                <w:lang w:eastAsia="zh-CN"/>
              </w:rPr>
            </w:pPr>
            <w:r w:rsidRPr="007A79BA">
              <w:rPr>
                <w:rFonts w:ascii="Calibri" w:eastAsia="Times New Roman" w:hAnsi="Calibri" w:cs="Calibri"/>
                <w:color w:val="000000"/>
                <w:sz w:val="20"/>
                <w:szCs w:val="20"/>
                <w:lang w:eastAsia="zh-CN"/>
              </w:rPr>
              <w:t>57.1</w:t>
            </w:r>
            <w:r w:rsidR="00B31C59">
              <w:rPr>
                <w:rFonts w:ascii="Calibri" w:eastAsia="Times New Roman" w:hAnsi="Calibri" w:cs="Calibri"/>
                <w:color w:val="000000"/>
                <w:sz w:val="20"/>
                <w:szCs w:val="20"/>
                <w:lang w:eastAsia="zh-CN"/>
              </w:rPr>
              <w:t>%</w:t>
            </w:r>
          </w:p>
        </w:tc>
        <w:tc>
          <w:tcPr>
            <w:tcW w:w="992" w:type="dxa"/>
            <w:shd w:val="clear" w:color="auto" w:fill="auto"/>
            <w:vAlign w:val="bottom"/>
          </w:tcPr>
          <w:p w:rsidR="00D907AF" w:rsidRPr="008854B0" w:rsidRDefault="00D907AF" w:rsidP="00DB76BA">
            <w:pPr>
              <w:spacing w:before="0" w:after="0"/>
              <w:jc w:val="right"/>
              <w:rPr>
                <w:rFonts w:ascii="Calibri" w:eastAsia="Times New Roman" w:hAnsi="Calibri" w:cs="Calibri"/>
                <w:color w:val="000000"/>
                <w:sz w:val="20"/>
                <w:szCs w:val="20"/>
                <w:lang w:eastAsia="zh-CN"/>
              </w:rPr>
            </w:pPr>
            <w:r w:rsidRPr="008854B0">
              <w:rPr>
                <w:rFonts w:ascii="Calibri" w:eastAsia="Times New Roman" w:hAnsi="Calibri" w:cs="Calibri"/>
                <w:color w:val="000000"/>
                <w:sz w:val="20"/>
                <w:szCs w:val="20"/>
                <w:lang w:eastAsia="zh-CN"/>
              </w:rPr>
              <w:t>28.6</w:t>
            </w:r>
            <w:r w:rsidR="00B31C59">
              <w:rPr>
                <w:rFonts w:ascii="Calibri" w:eastAsia="Times New Roman" w:hAnsi="Calibri" w:cs="Calibri"/>
                <w:color w:val="000000"/>
                <w:sz w:val="20"/>
                <w:szCs w:val="20"/>
                <w:lang w:eastAsia="zh-CN"/>
              </w:rPr>
              <w:t>%</w:t>
            </w:r>
          </w:p>
        </w:tc>
        <w:tc>
          <w:tcPr>
            <w:tcW w:w="1134" w:type="dxa"/>
            <w:shd w:val="clear" w:color="auto" w:fill="auto"/>
            <w:vAlign w:val="bottom"/>
          </w:tcPr>
          <w:p w:rsidR="00D907AF" w:rsidRPr="008854B0" w:rsidRDefault="00D907AF" w:rsidP="00DB76BA">
            <w:pPr>
              <w:spacing w:before="0" w:after="0"/>
              <w:jc w:val="right"/>
              <w:rPr>
                <w:rFonts w:ascii="Calibri" w:eastAsia="Times New Roman" w:hAnsi="Calibri" w:cs="Calibri"/>
                <w:color w:val="000000"/>
                <w:sz w:val="20"/>
                <w:szCs w:val="20"/>
                <w:lang w:eastAsia="zh-CN"/>
              </w:rPr>
            </w:pPr>
            <w:r w:rsidRPr="008854B0">
              <w:rPr>
                <w:rFonts w:ascii="Calibri" w:eastAsia="Times New Roman" w:hAnsi="Calibri" w:cs="Calibri"/>
                <w:color w:val="000000"/>
                <w:sz w:val="20"/>
                <w:szCs w:val="20"/>
                <w:lang w:eastAsia="zh-CN"/>
              </w:rPr>
              <w:t>4.3</w:t>
            </w:r>
            <w:r w:rsidR="00B31C59">
              <w:rPr>
                <w:rFonts w:ascii="Calibri" w:eastAsia="Times New Roman" w:hAnsi="Calibri" w:cs="Calibri"/>
                <w:color w:val="000000"/>
                <w:sz w:val="20"/>
                <w:szCs w:val="20"/>
                <w:lang w:eastAsia="zh-CN"/>
              </w:rPr>
              <w:t>%</w:t>
            </w:r>
          </w:p>
        </w:tc>
        <w:tc>
          <w:tcPr>
            <w:tcW w:w="964" w:type="dxa"/>
            <w:shd w:val="clear" w:color="auto" w:fill="auto"/>
            <w:vAlign w:val="bottom"/>
          </w:tcPr>
          <w:p w:rsidR="00D907AF" w:rsidRPr="008854B0" w:rsidRDefault="00D907AF" w:rsidP="00DB76BA">
            <w:pPr>
              <w:spacing w:before="0" w:after="0"/>
              <w:jc w:val="right"/>
              <w:rPr>
                <w:rFonts w:ascii="Calibri" w:eastAsia="Times New Roman" w:hAnsi="Calibri" w:cs="Calibri"/>
                <w:color w:val="000000"/>
                <w:sz w:val="20"/>
                <w:szCs w:val="20"/>
                <w:lang w:eastAsia="zh-CN"/>
              </w:rPr>
            </w:pPr>
            <w:r w:rsidRPr="008854B0">
              <w:rPr>
                <w:rFonts w:ascii="Calibri" w:eastAsia="Times New Roman" w:hAnsi="Calibri" w:cs="Calibri"/>
                <w:color w:val="000000"/>
                <w:sz w:val="20"/>
                <w:szCs w:val="20"/>
                <w:lang w:eastAsia="zh-CN"/>
              </w:rPr>
              <w:t>7.1</w:t>
            </w:r>
            <w:r w:rsidR="00B31C59">
              <w:rPr>
                <w:rFonts w:ascii="Calibri" w:eastAsia="Times New Roman" w:hAnsi="Calibri" w:cs="Calibri"/>
                <w:color w:val="000000"/>
                <w:sz w:val="20"/>
                <w:szCs w:val="20"/>
                <w:lang w:eastAsia="zh-CN"/>
              </w:rPr>
              <w:t>%</w:t>
            </w:r>
          </w:p>
        </w:tc>
        <w:tc>
          <w:tcPr>
            <w:tcW w:w="964" w:type="dxa"/>
            <w:shd w:val="clear" w:color="auto" w:fill="auto"/>
            <w:vAlign w:val="bottom"/>
          </w:tcPr>
          <w:p w:rsidR="00D907AF" w:rsidRPr="008854B0" w:rsidRDefault="00D907AF" w:rsidP="00DB76BA">
            <w:pPr>
              <w:spacing w:before="0" w:after="0"/>
              <w:jc w:val="right"/>
              <w:rPr>
                <w:rFonts w:ascii="Calibri" w:eastAsia="Times New Roman" w:hAnsi="Calibri" w:cs="Calibri"/>
                <w:color w:val="000000"/>
                <w:sz w:val="20"/>
                <w:szCs w:val="20"/>
                <w:lang w:eastAsia="zh-CN"/>
              </w:rPr>
            </w:pPr>
            <w:r w:rsidRPr="008854B0">
              <w:rPr>
                <w:rFonts w:ascii="Calibri" w:eastAsia="Times New Roman" w:hAnsi="Calibri" w:cs="Calibri"/>
                <w:color w:val="000000"/>
                <w:sz w:val="20"/>
                <w:szCs w:val="20"/>
                <w:lang w:eastAsia="zh-CN"/>
              </w:rPr>
              <w:t>2.9</w:t>
            </w:r>
            <w:r w:rsidR="00B31C59">
              <w:rPr>
                <w:rFonts w:ascii="Calibri" w:eastAsia="Times New Roman" w:hAnsi="Calibri" w:cs="Calibri"/>
                <w:color w:val="000000"/>
                <w:sz w:val="20"/>
                <w:szCs w:val="20"/>
                <w:lang w:eastAsia="zh-CN"/>
              </w:rPr>
              <w:t>%</w:t>
            </w:r>
          </w:p>
        </w:tc>
        <w:tc>
          <w:tcPr>
            <w:tcW w:w="794" w:type="dxa"/>
            <w:shd w:val="clear" w:color="auto" w:fill="auto"/>
            <w:vAlign w:val="bottom"/>
          </w:tcPr>
          <w:p w:rsidR="00D907AF" w:rsidRPr="007A4759" w:rsidRDefault="00D907AF" w:rsidP="00DB76BA">
            <w:pPr>
              <w:spacing w:before="0" w:after="0"/>
              <w:jc w:val="right"/>
              <w:rPr>
                <w:rFonts w:ascii="Calibri" w:eastAsia="Times New Roman" w:hAnsi="Calibri" w:cs="Calibri"/>
                <w:color w:val="000000"/>
                <w:sz w:val="20"/>
                <w:szCs w:val="20"/>
                <w:lang w:eastAsia="zh-CN"/>
              </w:rPr>
            </w:pPr>
            <w:r w:rsidRPr="007A4759">
              <w:rPr>
                <w:rFonts w:ascii="Calibri" w:eastAsia="Times New Roman" w:hAnsi="Calibri" w:cs="Calibri"/>
                <w:color w:val="000000"/>
                <w:sz w:val="20"/>
                <w:szCs w:val="20"/>
                <w:lang w:eastAsia="zh-CN"/>
              </w:rPr>
              <w:t>0.0</w:t>
            </w:r>
            <w:r w:rsidR="00B31C59">
              <w:rPr>
                <w:rFonts w:ascii="Calibri" w:eastAsia="Times New Roman" w:hAnsi="Calibri" w:cs="Calibri"/>
                <w:color w:val="000000"/>
                <w:sz w:val="20"/>
                <w:szCs w:val="20"/>
                <w:lang w:eastAsia="zh-CN"/>
              </w:rPr>
              <w:t>%</w:t>
            </w:r>
          </w:p>
        </w:tc>
        <w:tc>
          <w:tcPr>
            <w:tcW w:w="912" w:type="dxa"/>
            <w:vAlign w:val="bottom"/>
          </w:tcPr>
          <w:p w:rsidR="00D907AF" w:rsidRPr="00A95294" w:rsidRDefault="00D907AF" w:rsidP="00DB76BA">
            <w:pPr>
              <w:spacing w:before="0" w:after="0"/>
              <w:jc w:val="right"/>
              <w:rPr>
                <w:rFonts w:ascii="Calibri" w:eastAsia="Times New Roman" w:hAnsi="Calibri" w:cs="Calibri"/>
                <w:color w:val="000000"/>
                <w:sz w:val="20"/>
                <w:szCs w:val="20"/>
                <w:lang w:eastAsia="zh-CN"/>
              </w:rPr>
            </w:pPr>
            <w:r w:rsidRPr="00A95294">
              <w:rPr>
                <w:rFonts w:ascii="Calibri" w:eastAsia="Times New Roman" w:hAnsi="Calibri" w:cs="Calibri"/>
                <w:color w:val="000000"/>
                <w:sz w:val="20"/>
                <w:szCs w:val="20"/>
                <w:lang w:eastAsia="zh-CN"/>
              </w:rPr>
              <w:t>100</w:t>
            </w:r>
            <w:r w:rsidR="00A14CE9">
              <w:rPr>
                <w:rFonts w:ascii="Calibri" w:eastAsia="Times New Roman" w:hAnsi="Calibri" w:cs="Calibri"/>
                <w:color w:val="000000"/>
                <w:sz w:val="20"/>
                <w:szCs w:val="20"/>
                <w:lang w:eastAsia="zh-CN"/>
              </w:rPr>
              <w:t>.0</w:t>
            </w:r>
            <w:r w:rsidR="00B31C59">
              <w:rPr>
                <w:rFonts w:ascii="Calibri" w:eastAsia="Times New Roman" w:hAnsi="Calibri" w:cs="Calibri"/>
                <w:color w:val="000000"/>
                <w:sz w:val="20"/>
                <w:szCs w:val="20"/>
                <w:lang w:eastAsia="zh-CN"/>
              </w:rPr>
              <w:t>%</w:t>
            </w:r>
          </w:p>
        </w:tc>
      </w:tr>
      <w:tr w:rsidR="00E520AA" w:rsidRPr="00E877CA" w:rsidTr="00DB76BA">
        <w:trPr>
          <w:cantSplit/>
          <w:trHeight w:val="340"/>
        </w:trPr>
        <w:tc>
          <w:tcPr>
            <w:tcW w:w="2836" w:type="dxa"/>
            <w:tcBorders>
              <w:right w:val="single" w:sz="4" w:space="0" w:color="auto"/>
            </w:tcBorders>
            <w:shd w:val="clear" w:color="auto" w:fill="auto"/>
            <w:vAlign w:val="bottom"/>
          </w:tcPr>
          <w:p w:rsidR="00D907AF" w:rsidRPr="00E877CA" w:rsidRDefault="00D907AF" w:rsidP="00DB76BA">
            <w:pPr>
              <w:spacing w:before="20" w:after="20"/>
              <w:jc w:val="right"/>
              <w:rPr>
                <w:rFonts w:ascii="Calibri" w:eastAsia="Times New Roman" w:hAnsi="Calibri" w:cs="Calibri"/>
                <w:sz w:val="20"/>
                <w:szCs w:val="20"/>
                <w:lang w:eastAsia="zh-CN"/>
              </w:rPr>
            </w:pPr>
            <w:r w:rsidRPr="00E877CA">
              <w:rPr>
                <w:rFonts w:ascii="Calibri" w:eastAsia="Times New Roman" w:hAnsi="Calibri" w:cs="Calibri"/>
                <w:sz w:val="20"/>
                <w:szCs w:val="20"/>
                <w:lang w:eastAsia="zh-CN"/>
              </w:rPr>
              <w:t>Satisfied</w:t>
            </w:r>
          </w:p>
        </w:tc>
        <w:tc>
          <w:tcPr>
            <w:tcW w:w="850" w:type="dxa"/>
            <w:tcBorders>
              <w:left w:val="single" w:sz="4" w:space="0" w:color="auto"/>
            </w:tcBorders>
            <w:shd w:val="clear" w:color="auto" w:fill="auto"/>
            <w:vAlign w:val="bottom"/>
          </w:tcPr>
          <w:p w:rsidR="00D907AF" w:rsidRPr="007A79BA" w:rsidRDefault="00D907AF" w:rsidP="00DB76BA">
            <w:pPr>
              <w:spacing w:before="0" w:after="0"/>
              <w:jc w:val="right"/>
              <w:rPr>
                <w:rFonts w:ascii="Calibri" w:eastAsia="Times New Roman" w:hAnsi="Calibri" w:cs="Calibri"/>
                <w:color w:val="000000"/>
                <w:sz w:val="20"/>
                <w:szCs w:val="20"/>
                <w:lang w:eastAsia="zh-CN"/>
              </w:rPr>
            </w:pPr>
            <w:r w:rsidRPr="007A79BA">
              <w:rPr>
                <w:rFonts w:ascii="Calibri" w:eastAsia="Times New Roman" w:hAnsi="Calibri" w:cs="Calibri"/>
                <w:color w:val="000000"/>
                <w:sz w:val="20"/>
                <w:szCs w:val="20"/>
                <w:lang w:eastAsia="zh-CN"/>
              </w:rPr>
              <w:t>33</w:t>
            </w:r>
          </w:p>
        </w:tc>
        <w:tc>
          <w:tcPr>
            <w:tcW w:w="992" w:type="dxa"/>
            <w:shd w:val="clear" w:color="auto" w:fill="auto"/>
            <w:vAlign w:val="bottom"/>
          </w:tcPr>
          <w:p w:rsidR="00D907AF" w:rsidRPr="008854B0" w:rsidRDefault="00D907AF" w:rsidP="00DB76BA">
            <w:pPr>
              <w:spacing w:before="0" w:after="0"/>
              <w:jc w:val="right"/>
              <w:rPr>
                <w:rFonts w:ascii="Calibri" w:eastAsia="Times New Roman" w:hAnsi="Calibri" w:cs="Calibri"/>
                <w:color w:val="000000"/>
                <w:sz w:val="20"/>
                <w:szCs w:val="20"/>
                <w:lang w:eastAsia="zh-CN"/>
              </w:rPr>
            </w:pPr>
            <w:r w:rsidRPr="008854B0">
              <w:rPr>
                <w:rFonts w:ascii="Calibri" w:eastAsia="Times New Roman" w:hAnsi="Calibri" w:cs="Calibri"/>
                <w:color w:val="000000"/>
                <w:sz w:val="20"/>
                <w:szCs w:val="20"/>
                <w:lang w:eastAsia="zh-CN"/>
              </w:rPr>
              <w:t>44</w:t>
            </w:r>
          </w:p>
        </w:tc>
        <w:tc>
          <w:tcPr>
            <w:tcW w:w="1134" w:type="dxa"/>
            <w:shd w:val="clear" w:color="auto" w:fill="auto"/>
            <w:vAlign w:val="bottom"/>
          </w:tcPr>
          <w:p w:rsidR="00D907AF" w:rsidRPr="008854B0" w:rsidRDefault="00D907AF" w:rsidP="00DB76BA">
            <w:pPr>
              <w:spacing w:before="0" w:after="0"/>
              <w:jc w:val="right"/>
              <w:rPr>
                <w:rFonts w:ascii="Calibri" w:eastAsia="Times New Roman" w:hAnsi="Calibri" w:cs="Calibri"/>
                <w:color w:val="000000"/>
                <w:sz w:val="20"/>
                <w:szCs w:val="20"/>
                <w:lang w:eastAsia="zh-CN"/>
              </w:rPr>
            </w:pPr>
            <w:r w:rsidRPr="008854B0">
              <w:rPr>
                <w:rFonts w:ascii="Calibri" w:eastAsia="Times New Roman" w:hAnsi="Calibri" w:cs="Calibri"/>
                <w:color w:val="000000"/>
                <w:sz w:val="20"/>
                <w:szCs w:val="20"/>
                <w:lang w:eastAsia="zh-CN"/>
              </w:rPr>
              <w:t>5</w:t>
            </w:r>
          </w:p>
        </w:tc>
        <w:tc>
          <w:tcPr>
            <w:tcW w:w="964" w:type="dxa"/>
            <w:shd w:val="clear" w:color="auto" w:fill="auto"/>
            <w:vAlign w:val="bottom"/>
          </w:tcPr>
          <w:p w:rsidR="00D907AF" w:rsidRPr="008854B0" w:rsidRDefault="00D907AF" w:rsidP="00DB76BA">
            <w:pPr>
              <w:spacing w:before="0" w:after="0"/>
              <w:jc w:val="right"/>
              <w:rPr>
                <w:rFonts w:ascii="Calibri" w:eastAsia="Times New Roman" w:hAnsi="Calibri" w:cs="Calibri"/>
                <w:color w:val="000000"/>
                <w:sz w:val="20"/>
                <w:szCs w:val="20"/>
                <w:lang w:eastAsia="zh-CN"/>
              </w:rPr>
            </w:pPr>
            <w:r w:rsidRPr="008854B0">
              <w:rPr>
                <w:rFonts w:ascii="Calibri" w:eastAsia="Times New Roman" w:hAnsi="Calibri" w:cs="Calibri"/>
                <w:color w:val="000000"/>
                <w:sz w:val="20"/>
                <w:szCs w:val="20"/>
                <w:lang w:eastAsia="zh-CN"/>
              </w:rPr>
              <w:t>1</w:t>
            </w:r>
          </w:p>
        </w:tc>
        <w:tc>
          <w:tcPr>
            <w:tcW w:w="964" w:type="dxa"/>
            <w:shd w:val="clear" w:color="auto" w:fill="auto"/>
            <w:vAlign w:val="bottom"/>
          </w:tcPr>
          <w:p w:rsidR="00D907AF" w:rsidRPr="008854B0" w:rsidRDefault="00D907AF" w:rsidP="00DB76BA">
            <w:pPr>
              <w:spacing w:before="0" w:after="0"/>
              <w:jc w:val="right"/>
              <w:rPr>
                <w:rFonts w:ascii="Calibri" w:eastAsia="Times New Roman" w:hAnsi="Calibri" w:cs="Calibri"/>
                <w:color w:val="000000"/>
                <w:sz w:val="20"/>
                <w:szCs w:val="20"/>
                <w:lang w:eastAsia="zh-CN"/>
              </w:rPr>
            </w:pPr>
            <w:r w:rsidRPr="008854B0">
              <w:rPr>
                <w:rFonts w:ascii="Calibri" w:eastAsia="Times New Roman" w:hAnsi="Calibri" w:cs="Calibri"/>
                <w:color w:val="000000"/>
                <w:sz w:val="20"/>
                <w:szCs w:val="20"/>
                <w:lang w:eastAsia="zh-CN"/>
              </w:rPr>
              <w:t>1</w:t>
            </w:r>
          </w:p>
        </w:tc>
        <w:tc>
          <w:tcPr>
            <w:tcW w:w="794" w:type="dxa"/>
            <w:shd w:val="clear" w:color="auto" w:fill="auto"/>
            <w:vAlign w:val="bottom"/>
          </w:tcPr>
          <w:p w:rsidR="00D907AF" w:rsidRPr="007A4759" w:rsidRDefault="00D907AF" w:rsidP="00DB76BA">
            <w:pPr>
              <w:spacing w:before="0" w:after="0"/>
              <w:jc w:val="right"/>
              <w:rPr>
                <w:rFonts w:ascii="Calibri" w:eastAsia="Times New Roman" w:hAnsi="Calibri" w:cs="Calibri"/>
                <w:color w:val="000000"/>
                <w:sz w:val="20"/>
                <w:szCs w:val="20"/>
                <w:lang w:eastAsia="zh-CN"/>
              </w:rPr>
            </w:pPr>
            <w:r w:rsidRPr="007A4759">
              <w:rPr>
                <w:rFonts w:ascii="Calibri" w:eastAsia="Times New Roman" w:hAnsi="Calibri" w:cs="Calibri"/>
                <w:color w:val="000000"/>
                <w:sz w:val="20"/>
                <w:szCs w:val="20"/>
                <w:lang w:eastAsia="zh-CN"/>
              </w:rPr>
              <w:t>0</w:t>
            </w:r>
          </w:p>
        </w:tc>
        <w:tc>
          <w:tcPr>
            <w:tcW w:w="912" w:type="dxa"/>
            <w:vAlign w:val="bottom"/>
          </w:tcPr>
          <w:p w:rsidR="00D907AF" w:rsidRPr="00A95294" w:rsidRDefault="00D907AF" w:rsidP="00DB76BA">
            <w:pPr>
              <w:spacing w:before="0" w:after="0"/>
              <w:jc w:val="right"/>
              <w:rPr>
                <w:rFonts w:ascii="Calibri" w:eastAsia="Times New Roman" w:hAnsi="Calibri" w:cs="Calibri"/>
                <w:color w:val="000000"/>
                <w:sz w:val="20"/>
                <w:szCs w:val="20"/>
                <w:lang w:eastAsia="zh-CN"/>
              </w:rPr>
            </w:pPr>
            <w:r w:rsidRPr="00A95294">
              <w:rPr>
                <w:rFonts w:ascii="Calibri" w:eastAsia="Times New Roman" w:hAnsi="Calibri" w:cs="Calibri"/>
                <w:color w:val="000000"/>
                <w:sz w:val="20"/>
                <w:szCs w:val="20"/>
                <w:lang w:eastAsia="zh-CN"/>
              </w:rPr>
              <w:t>84</w:t>
            </w:r>
          </w:p>
        </w:tc>
      </w:tr>
      <w:tr w:rsidR="00E520AA" w:rsidRPr="00E877CA" w:rsidTr="00DB76BA">
        <w:trPr>
          <w:cantSplit/>
        </w:trPr>
        <w:tc>
          <w:tcPr>
            <w:tcW w:w="2836" w:type="dxa"/>
            <w:tcBorders>
              <w:right w:val="single" w:sz="4" w:space="0" w:color="auto"/>
            </w:tcBorders>
            <w:shd w:val="clear" w:color="auto" w:fill="auto"/>
            <w:vAlign w:val="bottom"/>
          </w:tcPr>
          <w:p w:rsidR="00D907AF" w:rsidRPr="00E877CA" w:rsidRDefault="00377BAE" w:rsidP="00DB76BA">
            <w:pPr>
              <w:spacing w:before="20" w:after="20"/>
              <w:jc w:val="right"/>
              <w:rPr>
                <w:rFonts w:ascii="Calibri" w:eastAsia="Times New Roman" w:hAnsi="Calibri" w:cs="Calibri"/>
                <w:sz w:val="20"/>
                <w:szCs w:val="20"/>
                <w:lang w:eastAsia="zh-CN"/>
              </w:rPr>
            </w:pPr>
            <w:r w:rsidRPr="00377BAE">
              <w:rPr>
                <w:rFonts w:ascii="Calibri" w:eastAsia="Times New Roman" w:hAnsi="Calibri" w:cs="Calibri"/>
                <w:color w:val="FFFFFF" w:themeColor="background1"/>
                <w:sz w:val="20"/>
                <w:szCs w:val="20"/>
                <w:lang w:eastAsia="zh-CN"/>
              </w:rPr>
              <w:t>Satisfied</w:t>
            </w:r>
          </w:p>
        </w:tc>
        <w:tc>
          <w:tcPr>
            <w:tcW w:w="850" w:type="dxa"/>
            <w:tcBorders>
              <w:left w:val="single" w:sz="4" w:space="0" w:color="auto"/>
            </w:tcBorders>
            <w:shd w:val="clear" w:color="auto" w:fill="auto"/>
            <w:vAlign w:val="bottom"/>
          </w:tcPr>
          <w:p w:rsidR="00D907AF" w:rsidRPr="007A79BA" w:rsidRDefault="00D907AF" w:rsidP="00DB76BA">
            <w:pPr>
              <w:spacing w:before="0" w:after="0"/>
              <w:jc w:val="right"/>
              <w:rPr>
                <w:rFonts w:ascii="Calibri" w:eastAsia="Times New Roman" w:hAnsi="Calibri" w:cs="Calibri"/>
                <w:color w:val="000000"/>
                <w:sz w:val="20"/>
                <w:szCs w:val="20"/>
                <w:lang w:eastAsia="zh-CN"/>
              </w:rPr>
            </w:pPr>
            <w:r w:rsidRPr="007A79BA">
              <w:rPr>
                <w:rFonts w:ascii="Calibri" w:eastAsia="Times New Roman" w:hAnsi="Calibri" w:cs="Calibri"/>
                <w:color w:val="000000"/>
                <w:sz w:val="20"/>
                <w:szCs w:val="20"/>
                <w:lang w:eastAsia="zh-CN"/>
              </w:rPr>
              <w:t>39.3</w:t>
            </w:r>
            <w:r w:rsidR="00B31C59">
              <w:rPr>
                <w:rFonts w:ascii="Calibri" w:eastAsia="Times New Roman" w:hAnsi="Calibri" w:cs="Calibri"/>
                <w:color w:val="000000"/>
                <w:sz w:val="20"/>
                <w:szCs w:val="20"/>
                <w:lang w:eastAsia="zh-CN"/>
              </w:rPr>
              <w:t>%</w:t>
            </w:r>
          </w:p>
        </w:tc>
        <w:tc>
          <w:tcPr>
            <w:tcW w:w="992" w:type="dxa"/>
            <w:shd w:val="clear" w:color="auto" w:fill="auto"/>
            <w:vAlign w:val="bottom"/>
          </w:tcPr>
          <w:p w:rsidR="00D907AF" w:rsidRPr="008854B0" w:rsidRDefault="00D907AF" w:rsidP="00DB76BA">
            <w:pPr>
              <w:spacing w:before="0" w:after="0"/>
              <w:jc w:val="right"/>
              <w:rPr>
                <w:rFonts w:ascii="Calibri" w:eastAsia="Times New Roman" w:hAnsi="Calibri" w:cs="Calibri"/>
                <w:color w:val="000000"/>
                <w:sz w:val="20"/>
                <w:szCs w:val="20"/>
                <w:lang w:eastAsia="zh-CN"/>
              </w:rPr>
            </w:pPr>
            <w:r w:rsidRPr="008854B0">
              <w:rPr>
                <w:rFonts w:ascii="Calibri" w:eastAsia="Times New Roman" w:hAnsi="Calibri" w:cs="Calibri"/>
                <w:color w:val="000000"/>
                <w:sz w:val="20"/>
                <w:szCs w:val="20"/>
                <w:lang w:eastAsia="zh-CN"/>
              </w:rPr>
              <w:t>52.4</w:t>
            </w:r>
            <w:r w:rsidR="00B31C59">
              <w:rPr>
                <w:rFonts w:ascii="Calibri" w:eastAsia="Times New Roman" w:hAnsi="Calibri" w:cs="Calibri"/>
                <w:color w:val="000000"/>
                <w:sz w:val="20"/>
                <w:szCs w:val="20"/>
                <w:lang w:eastAsia="zh-CN"/>
              </w:rPr>
              <w:t>%</w:t>
            </w:r>
          </w:p>
        </w:tc>
        <w:tc>
          <w:tcPr>
            <w:tcW w:w="1134" w:type="dxa"/>
            <w:shd w:val="clear" w:color="auto" w:fill="auto"/>
            <w:vAlign w:val="bottom"/>
          </w:tcPr>
          <w:p w:rsidR="00D907AF" w:rsidRPr="008854B0" w:rsidRDefault="00D907AF" w:rsidP="00DB76BA">
            <w:pPr>
              <w:spacing w:before="0" w:after="0"/>
              <w:jc w:val="right"/>
              <w:rPr>
                <w:rFonts w:ascii="Calibri" w:eastAsia="Times New Roman" w:hAnsi="Calibri" w:cs="Calibri"/>
                <w:color w:val="000000"/>
                <w:sz w:val="20"/>
                <w:szCs w:val="20"/>
                <w:lang w:eastAsia="zh-CN"/>
              </w:rPr>
            </w:pPr>
            <w:r w:rsidRPr="008854B0">
              <w:rPr>
                <w:rFonts w:ascii="Calibri" w:eastAsia="Times New Roman" w:hAnsi="Calibri" w:cs="Calibri"/>
                <w:color w:val="000000"/>
                <w:sz w:val="20"/>
                <w:szCs w:val="20"/>
                <w:lang w:eastAsia="zh-CN"/>
              </w:rPr>
              <w:t>6.0</w:t>
            </w:r>
            <w:r w:rsidR="00B31C59">
              <w:rPr>
                <w:rFonts w:ascii="Calibri" w:eastAsia="Times New Roman" w:hAnsi="Calibri" w:cs="Calibri"/>
                <w:color w:val="000000"/>
                <w:sz w:val="20"/>
                <w:szCs w:val="20"/>
                <w:lang w:eastAsia="zh-CN"/>
              </w:rPr>
              <w:t>%</w:t>
            </w:r>
          </w:p>
        </w:tc>
        <w:tc>
          <w:tcPr>
            <w:tcW w:w="964" w:type="dxa"/>
            <w:shd w:val="clear" w:color="auto" w:fill="auto"/>
            <w:vAlign w:val="bottom"/>
          </w:tcPr>
          <w:p w:rsidR="00D907AF" w:rsidRPr="008854B0" w:rsidRDefault="00D907AF" w:rsidP="00DB76BA">
            <w:pPr>
              <w:spacing w:before="0" w:after="0"/>
              <w:jc w:val="right"/>
              <w:rPr>
                <w:rFonts w:ascii="Calibri" w:eastAsia="Times New Roman" w:hAnsi="Calibri" w:cs="Calibri"/>
                <w:color w:val="000000"/>
                <w:sz w:val="20"/>
                <w:szCs w:val="20"/>
                <w:lang w:eastAsia="zh-CN"/>
              </w:rPr>
            </w:pPr>
            <w:r w:rsidRPr="008854B0">
              <w:rPr>
                <w:rFonts w:ascii="Calibri" w:eastAsia="Times New Roman" w:hAnsi="Calibri" w:cs="Calibri"/>
                <w:color w:val="000000"/>
                <w:sz w:val="20"/>
                <w:szCs w:val="20"/>
                <w:lang w:eastAsia="zh-CN"/>
              </w:rPr>
              <w:t>1.2</w:t>
            </w:r>
            <w:r w:rsidR="00B31C59">
              <w:rPr>
                <w:rFonts w:ascii="Calibri" w:eastAsia="Times New Roman" w:hAnsi="Calibri" w:cs="Calibri"/>
                <w:color w:val="000000"/>
                <w:sz w:val="20"/>
                <w:szCs w:val="20"/>
                <w:lang w:eastAsia="zh-CN"/>
              </w:rPr>
              <w:t>%</w:t>
            </w:r>
          </w:p>
        </w:tc>
        <w:tc>
          <w:tcPr>
            <w:tcW w:w="964" w:type="dxa"/>
            <w:shd w:val="clear" w:color="auto" w:fill="auto"/>
            <w:vAlign w:val="bottom"/>
          </w:tcPr>
          <w:p w:rsidR="00D907AF" w:rsidRPr="008854B0" w:rsidRDefault="00D907AF" w:rsidP="00DB76BA">
            <w:pPr>
              <w:spacing w:before="0" w:after="0"/>
              <w:jc w:val="right"/>
              <w:rPr>
                <w:rFonts w:ascii="Calibri" w:eastAsia="Times New Roman" w:hAnsi="Calibri" w:cs="Calibri"/>
                <w:color w:val="000000"/>
                <w:sz w:val="20"/>
                <w:szCs w:val="20"/>
                <w:lang w:eastAsia="zh-CN"/>
              </w:rPr>
            </w:pPr>
            <w:r w:rsidRPr="008854B0">
              <w:rPr>
                <w:rFonts w:ascii="Calibri" w:eastAsia="Times New Roman" w:hAnsi="Calibri" w:cs="Calibri"/>
                <w:color w:val="000000"/>
                <w:sz w:val="20"/>
                <w:szCs w:val="20"/>
                <w:lang w:eastAsia="zh-CN"/>
              </w:rPr>
              <w:t>1.2</w:t>
            </w:r>
            <w:r w:rsidR="00B31C59">
              <w:rPr>
                <w:rFonts w:ascii="Calibri" w:eastAsia="Times New Roman" w:hAnsi="Calibri" w:cs="Calibri"/>
                <w:color w:val="000000"/>
                <w:sz w:val="20"/>
                <w:szCs w:val="20"/>
                <w:lang w:eastAsia="zh-CN"/>
              </w:rPr>
              <w:t>%</w:t>
            </w:r>
          </w:p>
        </w:tc>
        <w:tc>
          <w:tcPr>
            <w:tcW w:w="794" w:type="dxa"/>
            <w:shd w:val="clear" w:color="auto" w:fill="auto"/>
            <w:vAlign w:val="bottom"/>
          </w:tcPr>
          <w:p w:rsidR="00D907AF" w:rsidRPr="007A4759" w:rsidRDefault="00D907AF" w:rsidP="00DB76BA">
            <w:pPr>
              <w:spacing w:before="0" w:after="0"/>
              <w:jc w:val="right"/>
              <w:rPr>
                <w:rFonts w:ascii="Calibri" w:eastAsia="Times New Roman" w:hAnsi="Calibri" w:cs="Calibri"/>
                <w:color w:val="000000"/>
                <w:sz w:val="20"/>
                <w:szCs w:val="20"/>
                <w:lang w:eastAsia="zh-CN"/>
              </w:rPr>
            </w:pPr>
            <w:r w:rsidRPr="007A4759">
              <w:rPr>
                <w:rFonts w:ascii="Calibri" w:eastAsia="Times New Roman" w:hAnsi="Calibri" w:cs="Calibri"/>
                <w:color w:val="000000"/>
                <w:sz w:val="20"/>
                <w:szCs w:val="20"/>
                <w:lang w:eastAsia="zh-CN"/>
              </w:rPr>
              <w:t>0.0</w:t>
            </w:r>
            <w:r w:rsidR="00B31C59">
              <w:rPr>
                <w:rFonts w:ascii="Calibri" w:eastAsia="Times New Roman" w:hAnsi="Calibri" w:cs="Calibri"/>
                <w:color w:val="000000"/>
                <w:sz w:val="20"/>
                <w:szCs w:val="20"/>
                <w:lang w:eastAsia="zh-CN"/>
              </w:rPr>
              <w:t>%</w:t>
            </w:r>
          </w:p>
        </w:tc>
        <w:tc>
          <w:tcPr>
            <w:tcW w:w="912" w:type="dxa"/>
            <w:vAlign w:val="bottom"/>
          </w:tcPr>
          <w:p w:rsidR="00D907AF" w:rsidRPr="00A95294" w:rsidRDefault="00D907AF" w:rsidP="00DB76BA">
            <w:pPr>
              <w:spacing w:before="0" w:after="0"/>
              <w:jc w:val="right"/>
              <w:rPr>
                <w:rFonts w:ascii="Calibri" w:eastAsia="Times New Roman" w:hAnsi="Calibri" w:cs="Calibri"/>
                <w:color w:val="000000"/>
                <w:sz w:val="20"/>
                <w:szCs w:val="20"/>
                <w:lang w:eastAsia="zh-CN"/>
              </w:rPr>
            </w:pPr>
            <w:r w:rsidRPr="00A95294">
              <w:rPr>
                <w:rFonts w:ascii="Calibri" w:eastAsia="Times New Roman" w:hAnsi="Calibri" w:cs="Calibri"/>
                <w:color w:val="000000"/>
                <w:sz w:val="20"/>
                <w:szCs w:val="20"/>
                <w:lang w:eastAsia="zh-CN"/>
              </w:rPr>
              <w:t>100</w:t>
            </w:r>
            <w:r w:rsidR="00A14CE9">
              <w:rPr>
                <w:rFonts w:ascii="Calibri" w:eastAsia="Times New Roman" w:hAnsi="Calibri" w:cs="Calibri"/>
                <w:color w:val="000000"/>
                <w:sz w:val="20"/>
                <w:szCs w:val="20"/>
                <w:lang w:eastAsia="zh-CN"/>
              </w:rPr>
              <w:t>.0</w:t>
            </w:r>
            <w:r w:rsidR="00B31C59">
              <w:rPr>
                <w:rFonts w:ascii="Calibri" w:eastAsia="Times New Roman" w:hAnsi="Calibri" w:cs="Calibri"/>
                <w:color w:val="000000"/>
                <w:sz w:val="20"/>
                <w:szCs w:val="20"/>
                <w:lang w:eastAsia="zh-CN"/>
              </w:rPr>
              <w:t>%</w:t>
            </w:r>
          </w:p>
        </w:tc>
      </w:tr>
      <w:tr w:rsidR="00E520AA" w:rsidRPr="00E877CA" w:rsidTr="00DB76BA">
        <w:trPr>
          <w:cantSplit/>
          <w:trHeight w:val="340"/>
        </w:trPr>
        <w:tc>
          <w:tcPr>
            <w:tcW w:w="2836" w:type="dxa"/>
            <w:tcBorders>
              <w:right w:val="single" w:sz="4" w:space="0" w:color="auto"/>
            </w:tcBorders>
            <w:shd w:val="clear" w:color="auto" w:fill="auto"/>
            <w:vAlign w:val="bottom"/>
          </w:tcPr>
          <w:p w:rsidR="00D907AF" w:rsidRPr="00377BAE" w:rsidRDefault="00E204CD" w:rsidP="00DB76BA">
            <w:pPr>
              <w:spacing w:before="20" w:after="20"/>
              <w:jc w:val="right"/>
              <w:rPr>
                <w:rFonts w:ascii="Calibri" w:eastAsia="Times New Roman" w:hAnsi="Calibri" w:cs="Calibri"/>
                <w:sz w:val="20"/>
                <w:szCs w:val="20"/>
                <w:lang w:eastAsia="zh-CN"/>
              </w:rPr>
            </w:pPr>
            <w:r w:rsidRPr="00377BAE">
              <w:rPr>
                <w:rFonts w:ascii="Calibri" w:eastAsia="Times New Roman" w:hAnsi="Calibri" w:cs="Calibri"/>
                <w:sz w:val="20"/>
                <w:szCs w:val="20"/>
                <w:lang w:eastAsia="zh-CN"/>
              </w:rPr>
              <w:t>Neither satisfied nor dissatisfied</w:t>
            </w:r>
          </w:p>
        </w:tc>
        <w:tc>
          <w:tcPr>
            <w:tcW w:w="850" w:type="dxa"/>
            <w:tcBorders>
              <w:left w:val="single" w:sz="4" w:space="0" w:color="auto"/>
            </w:tcBorders>
            <w:shd w:val="clear" w:color="auto" w:fill="auto"/>
            <w:vAlign w:val="bottom"/>
          </w:tcPr>
          <w:p w:rsidR="00D907AF" w:rsidRPr="007A79BA" w:rsidRDefault="00D907AF" w:rsidP="00DB76BA">
            <w:pPr>
              <w:spacing w:before="0" w:after="0"/>
              <w:jc w:val="right"/>
              <w:rPr>
                <w:rFonts w:ascii="Calibri" w:eastAsia="Times New Roman" w:hAnsi="Calibri" w:cs="Calibri"/>
                <w:color w:val="000000"/>
                <w:sz w:val="20"/>
                <w:szCs w:val="20"/>
                <w:lang w:eastAsia="zh-CN"/>
              </w:rPr>
            </w:pPr>
            <w:r w:rsidRPr="007A79BA">
              <w:rPr>
                <w:rFonts w:ascii="Calibri" w:eastAsia="Times New Roman" w:hAnsi="Calibri" w:cs="Calibri"/>
                <w:color w:val="000000"/>
                <w:sz w:val="20"/>
                <w:szCs w:val="20"/>
                <w:lang w:eastAsia="zh-CN"/>
              </w:rPr>
              <w:t>18</w:t>
            </w:r>
          </w:p>
        </w:tc>
        <w:tc>
          <w:tcPr>
            <w:tcW w:w="992" w:type="dxa"/>
            <w:shd w:val="clear" w:color="auto" w:fill="auto"/>
            <w:vAlign w:val="bottom"/>
          </w:tcPr>
          <w:p w:rsidR="00D907AF" w:rsidRPr="008854B0" w:rsidRDefault="00D907AF" w:rsidP="00DB76BA">
            <w:pPr>
              <w:spacing w:before="0" w:after="0"/>
              <w:jc w:val="right"/>
              <w:rPr>
                <w:rFonts w:ascii="Calibri" w:eastAsia="Times New Roman" w:hAnsi="Calibri" w:cs="Calibri"/>
                <w:color w:val="000000"/>
                <w:sz w:val="20"/>
                <w:szCs w:val="20"/>
                <w:lang w:eastAsia="zh-CN"/>
              </w:rPr>
            </w:pPr>
            <w:r w:rsidRPr="008854B0">
              <w:rPr>
                <w:rFonts w:ascii="Calibri" w:eastAsia="Times New Roman" w:hAnsi="Calibri" w:cs="Calibri"/>
                <w:color w:val="000000"/>
                <w:sz w:val="20"/>
                <w:szCs w:val="20"/>
                <w:lang w:eastAsia="zh-CN"/>
              </w:rPr>
              <w:t>24</w:t>
            </w:r>
          </w:p>
        </w:tc>
        <w:tc>
          <w:tcPr>
            <w:tcW w:w="1134" w:type="dxa"/>
            <w:shd w:val="clear" w:color="auto" w:fill="auto"/>
            <w:vAlign w:val="bottom"/>
          </w:tcPr>
          <w:p w:rsidR="00D907AF" w:rsidRPr="008854B0" w:rsidRDefault="00D907AF" w:rsidP="00DB76BA">
            <w:pPr>
              <w:spacing w:before="0" w:after="0"/>
              <w:jc w:val="right"/>
              <w:rPr>
                <w:rFonts w:ascii="Calibri" w:eastAsia="Times New Roman" w:hAnsi="Calibri" w:cs="Calibri"/>
                <w:color w:val="000000"/>
                <w:sz w:val="20"/>
                <w:szCs w:val="20"/>
                <w:lang w:eastAsia="zh-CN"/>
              </w:rPr>
            </w:pPr>
            <w:r w:rsidRPr="008854B0">
              <w:rPr>
                <w:rFonts w:ascii="Calibri" w:eastAsia="Times New Roman" w:hAnsi="Calibri" w:cs="Calibri"/>
                <w:color w:val="000000"/>
                <w:sz w:val="20"/>
                <w:szCs w:val="20"/>
                <w:lang w:eastAsia="zh-CN"/>
              </w:rPr>
              <w:t>12</w:t>
            </w:r>
          </w:p>
        </w:tc>
        <w:tc>
          <w:tcPr>
            <w:tcW w:w="964" w:type="dxa"/>
            <w:shd w:val="clear" w:color="auto" w:fill="auto"/>
            <w:vAlign w:val="bottom"/>
          </w:tcPr>
          <w:p w:rsidR="00D907AF" w:rsidRPr="008854B0" w:rsidRDefault="00D907AF" w:rsidP="00DB76BA">
            <w:pPr>
              <w:spacing w:before="0" w:after="0"/>
              <w:jc w:val="right"/>
              <w:rPr>
                <w:rFonts w:ascii="Calibri" w:eastAsia="Times New Roman" w:hAnsi="Calibri" w:cs="Calibri"/>
                <w:color w:val="000000"/>
                <w:sz w:val="20"/>
                <w:szCs w:val="20"/>
                <w:lang w:eastAsia="zh-CN"/>
              </w:rPr>
            </w:pPr>
            <w:r w:rsidRPr="008854B0">
              <w:rPr>
                <w:rFonts w:ascii="Calibri" w:eastAsia="Times New Roman" w:hAnsi="Calibri" w:cs="Calibri"/>
                <w:color w:val="000000"/>
                <w:sz w:val="20"/>
                <w:szCs w:val="20"/>
                <w:lang w:eastAsia="zh-CN"/>
              </w:rPr>
              <w:t>4</w:t>
            </w:r>
          </w:p>
        </w:tc>
        <w:tc>
          <w:tcPr>
            <w:tcW w:w="964" w:type="dxa"/>
            <w:shd w:val="clear" w:color="auto" w:fill="auto"/>
            <w:vAlign w:val="bottom"/>
          </w:tcPr>
          <w:p w:rsidR="00D907AF" w:rsidRPr="008854B0" w:rsidRDefault="00D907AF" w:rsidP="00DB76BA">
            <w:pPr>
              <w:spacing w:before="0" w:after="0"/>
              <w:jc w:val="right"/>
              <w:rPr>
                <w:rFonts w:ascii="Calibri" w:eastAsia="Times New Roman" w:hAnsi="Calibri" w:cs="Calibri"/>
                <w:color w:val="000000"/>
                <w:sz w:val="20"/>
                <w:szCs w:val="20"/>
                <w:lang w:eastAsia="zh-CN"/>
              </w:rPr>
            </w:pPr>
            <w:r w:rsidRPr="008854B0">
              <w:rPr>
                <w:rFonts w:ascii="Calibri" w:eastAsia="Times New Roman" w:hAnsi="Calibri" w:cs="Calibri"/>
                <w:color w:val="000000"/>
                <w:sz w:val="20"/>
                <w:szCs w:val="20"/>
                <w:lang w:eastAsia="zh-CN"/>
              </w:rPr>
              <w:t>1</w:t>
            </w:r>
          </w:p>
        </w:tc>
        <w:tc>
          <w:tcPr>
            <w:tcW w:w="794" w:type="dxa"/>
            <w:shd w:val="clear" w:color="auto" w:fill="auto"/>
            <w:vAlign w:val="bottom"/>
          </w:tcPr>
          <w:p w:rsidR="00D907AF" w:rsidRPr="007A4759" w:rsidRDefault="00D907AF" w:rsidP="00DB76BA">
            <w:pPr>
              <w:spacing w:before="0" w:after="0"/>
              <w:jc w:val="right"/>
              <w:rPr>
                <w:rFonts w:ascii="Calibri" w:eastAsia="Times New Roman" w:hAnsi="Calibri" w:cs="Calibri"/>
                <w:color w:val="000000"/>
                <w:sz w:val="20"/>
                <w:szCs w:val="20"/>
                <w:lang w:eastAsia="zh-CN"/>
              </w:rPr>
            </w:pPr>
            <w:r w:rsidRPr="007A4759">
              <w:rPr>
                <w:rFonts w:ascii="Calibri" w:eastAsia="Times New Roman" w:hAnsi="Calibri" w:cs="Calibri"/>
                <w:color w:val="000000"/>
                <w:sz w:val="20"/>
                <w:szCs w:val="20"/>
                <w:lang w:eastAsia="zh-CN"/>
              </w:rPr>
              <w:t>0</w:t>
            </w:r>
          </w:p>
        </w:tc>
        <w:tc>
          <w:tcPr>
            <w:tcW w:w="912" w:type="dxa"/>
            <w:vAlign w:val="bottom"/>
          </w:tcPr>
          <w:p w:rsidR="00D907AF" w:rsidRPr="00A95294" w:rsidRDefault="00D907AF" w:rsidP="00DB76BA">
            <w:pPr>
              <w:spacing w:before="0" w:after="0"/>
              <w:jc w:val="right"/>
              <w:rPr>
                <w:rFonts w:ascii="Calibri" w:eastAsia="Times New Roman" w:hAnsi="Calibri" w:cs="Calibri"/>
                <w:color w:val="000000"/>
                <w:sz w:val="20"/>
                <w:szCs w:val="20"/>
                <w:lang w:eastAsia="zh-CN"/>
              </w:rPr>
            </w:pPr>
            <w:r w:rsidRPr="00A95294">
              <w:rPr>
                <w:rFonts w:ascii="Calibri" w:eastAsia="Times New Roman" w:hAnsi="Calibri" w:cs="Calibri"/>
                <w:color w:val="000000"/>
                <w:sz w:val="20"/>
                <w:szCs w:val="20"/>
                <w:lang w:eastAsia="zh-CN"/>
              </w:rPr>
              <w:t>59</w:t>
            </w:r>
          </w:p>
        </w:tc>
      </w:tr>
      <w:tr w:rsidR="00E520AA" w:rsidRPr="00E877CA" w:rsidTr="00DB76BA">
        <w:trPr>
          <w:cantSplit/>
        </w:trPr>
        <w:tc>
          <w:tcPr>
            <w:tcW w:w="2836" w:type="dxa"/>
            <w:tcBorders>
              <w:right w:val="single" w:sz="4" w:space="0" w:color="auto"/>
            </w:tcBorders>
            <w:shd w:val="clear" w:color="auto" w:fill="auto"/>
            <w:vAlign w:val="bottom"/>
          </w:tcPr>
          <w:p w:rsidR="00D907AF" w:rsidRPr="00E877CA" w:rsidRDefault="00377BAE" w:rsidP="00DB76BA">
            <w:pPr>
              <w:spacing w:before="20" w:after="20"/>
              <w:ind w:right="-108"/>
              <w:jc w:val="right"/>
              <w:rPr>
                <w:rFonts w:ascii="Calibri" w:eastAsia="Times New Roman" w:hAnsi="Calibri" w:cs="Calibri"/>
                <w:sz w:val="20"/>
                <w:szCs w:val="20"/>
                <w:lang w:eastAsia="zh-CN"/>
              </w:rPr>
            </w:pPr>
            <w:r w:rsidRPr="00A74621">
              <w:rPr>
                <w:rFonts w:ascii="Calibri" w:eastAsia="Times New Roman" w:hAnsi="Calibri" w:cs="Calibri"/>
                <w:color w:val="FFFFFF" w:themeColor="background1"/>
                <w:sz w:val="20"/>
                <w:szCs w:val="20"/>
                <w:lang w:eastAsia="zh-CN"/>
              </w:rPr>
              <w:t>Neither satisfied nor dissatisfied</w:t>
            </w:r>
          </w:p>
        </w:tc>
        <w:tc>
          <w:tcPr>
            <w:tcW w:w="850" w:type="dxa"/>
            <w:tcBorders>
              <w:left w:val="single" w:sz="4" w:space="0" w:color="auto"/>
            </w:tcBorders>
            <w:shd w:val="clear" w:color="auto" w:fill="auto"/>
            <w:vAlign w:val="bottom"/>
          </w:tcPr>
          <w:p w:rsidR="00D907AF" w:rsidRPr="00463EFA" w:rsidRDefault="00D907AF" w:rsidP="00DB76BA">
            <w:pPr>
              <w:spacing w:before="0" w:after="0"/>
              <w:jc w:val="right"/>
              <w:rPr>
                <w:rFonts w:ascii="Calibri" w:eastAsia="Times New Roman" w:hAnsi="Calibri" w:cs="Calibri"/>
                <w:color w:val="000000"/>
                <w:sz w:val="20"/>
                <w:szCs w:val="20"/>
                <w:lang w:eastAsia="zh-CN"/>
              </w:rPr>
            </w:pPr>
            <w:r w:rsidRPr="00463EFA">
              <w:rPr>
                <w:rFonts w:ascii="Calibri" w:eastAsia="Times New Roman" w:hAnsi="Calibri" w:cs="Calibri"/>
                <w:color w:val="000000"/>
                <w:sz w:val="20"/>
                <w:szCs w:val="20"/>
                <w:lang w:eastAsia="zh-CN"/>
              </w:rPr>
              <w:t>30.5</w:t>
            </w:r>
            <w:r w:rsidR="00B31C59">
              <w:rPr>
                <w:rFonts w:ascii="Calibri" w:eastAsia="Times New Roman" w:hAnsi="Calibri" w:cs="Calibri"/>
                <w:color w:val="000000"/>
                <w:sz w:val="20"/>
                <w:szCs w:val="20"/>
                <w:lang w:eastAsia="zh-CN"/>
              </w:rPr>
              <w:t>%</w:t>
            </w:r>
          </w:p>
        </w:tc>
        <w:tc>
          <w:tcPr>
            <w:tcW w:w="992" w:type="dxa"/>
            <w:shd w:val="clear" w:color="auto" w:fill="auto"/>
            <w:vAlign w:val="bottom"/>
          </w:tcPr>
          <w:p w:rsidR="00D907AF" w:rsidRPr="00324248" w:rsidRDefault="00D907AF" w:rsidP="00DB76BA">
            <w:pPr>
              <w:spacing w:before="0" w:after="0"/>
              <w:jc w:val="right"/>
              <w:rPr>
                <w:rFonts w:ascii="Calibri" w:eastAsia="Times New Roman" w:hAnsi="Calibri" w:cs="Calibri"/>
                <w:color w:val="000000"/>
                <w:sz w:val="20"/>
                <w:szCs w:val="20"/>
                <w:lang w:eastAsia="zh-CN"/>
              </w:rPr>
            </w:pPr>
            <w:r w:rsidRPr="00324248">
              <w:rPr>
                <w:rFonts w:ascii="Calibri" w:eastAsia="Times New Roman" w:hAnsi="Calibri" w:cs="Calibri"/>
                <w:color w:val="000000"/>
                <w:sz w:val="20"/>
                <w:szCs w:val="20"/>
                <w:lang w:eastAsia="zh-CN"/>
              </w:rPr>
              <w:t>40.7</w:t>
            </w:r>
            <w:r w:rsidR="00B31C59">
              <w:rPr>
                <w:rFonts w:ascii="Calibri" w:eastAsia="Times New Roman" w:hAnsi="Calibri" w:cs="Calibri"/>
                <w:color w:val="000000"/>
                <w:sz w:val="20"/>
                <w:szCs w:val="20"/>
                <w:lang w:eastAsia="zh-CN"/>
              </w:rPr>
              <w:t>%</w:t>
            </w:r>
          </w:p>
        </w:tc>
        <w:tc>
          <w:tcPr>
            <w:tcW w:w="1134" w:type="dxa"/>
            <w:shd w:val="clear" w:color="auto" w:fill="auto"/>
            <w:vAlign w:val="bottom"/>
          </w:tcPr>
          <w:p w:rsidR="00D907AF" w:rsidRPr="00324248" w:rsidRDefault="00D907AF" w:rsidP="00DB76BA">
            <w:pPr>
              <w:spacing w:before="0" w:after="0"/>
              <w:jc w:val="right"/>
              <w:rPr>
                <w:rFonts w:ascii="Calibri" w:eastAsia="Times New Roman" w:hAnsi="Calibri" w:cs="Calibri"/>
                <w:color w:val="000000"/>
                <w:sz w:val="20"/>
                <w:szCs w:val="20"/>
                <w:lang w:eastAsia="zh-CN"/>
              </w:rPr>
            </w:pPr>
            <w:r w:rsidRPr="00324248">
              <w:rPr>
                <w:rFonts w:ascii="Calibri" w:eastAsia="Times New Roman" w:hAnsi="Calibri" w:cs="Calibri"/>
                <w:color w:val="000000"/>
                <w:sz w:val="20"/>
                <w:szCs w:val="20"/>
                <w:lang w:eastAsia="zh-CN"/>
              </w:rPr>
              <w:t>20.3</w:t>
            </w:r>
            <w:r w:rsidR="00B31C59">
              <w:rPr>
                <w:rFonts w:ascii="Calibri" w:eastAsia="Times New Roman" w:hAnsi="Calibri" w:cs="Calibri"/>
                <w:color w:val="000000"/>
                <w:sz w:val="20"/>
                <w:szCs w:val="20"/>
                <w:lang w:eastAsia="zh-CN"/>
              </w:rPr>
              <w:t>%</w:t>
            </w:r>
          </w:p>
        </w:tc>
        <w:tc>
          <w:tcPr>
            <w:tcW w:w="964" w:type="dxa"/>
            <w:shd w:val="clear" w:color="auto" w:fill="auto"/>
            <w:vAlign w:val="bottom"/>
          </w:tcPr>
          <w:p w:rsidR="00D907AF" w:rsidRPr="00324248" w:rsidRDefault="00D907AF" w:rsidP="00DB76BA">
            <w:pPr>
              <w:spacing w:before="0" w:after="0"/>
              <w:jc w:val="right"/>
              <w:rPr>
                <w:rFonts w:ascii="Calibri" w:eastAsia="Times New Roman" w:hAnsi="Calibri" w:cs="Calibri"/>
                <w:color w:val="000000"/>
                <w:sz w:val="20"/>
                <w:szCs w:val="20"/>
                <w:lang w:eastAsia="zh-CN"/>
              </w:rPr>
            </w:pPr>
            <w:r w:rsidRPr="00324248">
              <w:rPr>
                <w:rFonts w:ascii="Calibri" w:eastAsia="Times New Roman" w:hAnsi="Calibri" w:cs="Calibri"/>
                <w:color w:val="000000"/>
                <w:sz w:val="20"/>
                <w:szCs w:val="20"/>
                <w:lang w:eastAsia="zh-CN"/>
              </w:rPr>
              <w:t>6.8</w:t>
            </w:r>
            <w:r w:rsidR="00B31C59">
              <w:rPr>
                <w:rFonts w:ascii="Calibri" w:eastAsia="Times New Roman" w:hAnsi="Calibri" w:cs="Calibri"/>
                <w:color w:val="000000"/>
                <w:sz w:val="20"/>
                <w:szCs w:val="20"/>
                <w:lang w:eastAsia="zh-CN"/>
              </w:rPr>
              <w:t>%</w:t>
            </w:r>
          </w:p>
        </w:tc>
        <w:tc>
          <w:tcPr>
            <w:tcW w:w="964" w:type="dxa"/>
            <w:shd w:val="clear" w:color="auto" w:fill="auto"/>
            <w:vAlign w:val="bottom"/>
          </w:tcPr>
          <w:p w:rsidR="00D907AF" w:rsidRPr="009634F5" w:rsidRDefault="00D907AF" w:rsidP="00DB76BA">
            <w:pPr>
              <w:spacing w:before="0" w:after="0"/>
              <w:jc w:val="right"/>
              <w:rPr>
                <w:rFonts w:ascii="Calibri" w:eastAsia="Times New Roman" w:hAnsi="Calibri" w:cs="Calibri"/>
                <w:color w:val="000000"/>
                <w:sz w:val="20"/>
                <w:szCs w:val="20"/>
                <w:lang w:eastAsia="zh-CN"/>
              </w:rPr>
            </w:pPr>
            <w:r w:rsidRPr="009634F5">
              <w:rPr>
                <w:rFonts w:ascii="Calibri" w:eastAsia="Times New Roman" w:hAnsi="Calibri" w:cs="Calibri"/>
                <w:color w:val="000000"/>
                <w:sz w:val="20"/>
                <w:szCs w:val="20"/>
                <w:lang w:eastAsia="zh-CN"/>
              </w:rPr>
              <w:t>1.7</w:t>
            </w:r>
            <w:r w:rsidR="00B31C59">
              <w:rPr>
                <w:rFonts w:ascii="Calibri" w:eastAsia="Times New Roman" w:hAnsi="Calibri" w:cs="Calibri"/>
                <w:color w:val="000000"/>
                <w:sz w:val="20"/>
                <w:szCs w:val="20"/>
                <w:lang w:eastAsia="zh-CN"/>
              </w:rPr>
              <w:t>%</w:t>
            </w:r>
          </w:p>
        </w:tc>
        <w:tc>
          <w:tcPr>
            <w:tcW w:w="794" w:type="dxa"/>
            <w:shd w:val="clear" w:color="auto" w:fill="auto"/>
            <w:vAlign w:val="bottom"/>
          </w:tcPr>
          <w:p w:rsidR="00D907AF" w:rsidRPr="009634F5" w:rsidRDefault="00D907AF" w:rsidP="00DB76BA">
            <w:pPr>
              <w:spacing w:before="0" w:after="0"/>
              <w:jc w:val="right"/>
              <w:rPr>
                <w:rFonts w:ascii="Calibri" w:eastAsia="Times New Roman" w:hAnsi="Calibri" w:cs="Calibri"/>
                <w:color w:val="000000"/>
                <w:sz w:val="20"/>
                <w:szCs w:val="20"/>
                <w:lang w:eastAsia="zh-CN"/>
              </w:rPr>
            </w:pPr>
            <w:r w:rsidRPr="009634F5">
              <w:rPr>
                <w:rFonts w:ascii="Calibri" w:eastAsia="Times New Roman" w:hAnsi="Calibri" w:cs="Calibri"/>
                <w:color w:val="000000"/>
                <w:sz w:val="20"/>
                <w:szCs w:val="20"/>
                <w:lang w:eastAsia="zh-CN"/>
              </w:rPr>
              <w:t>0.0</w:t>
            </w:r>
            <w:r w:rsidR="00B31C59">
              <w:rPr>
                <w:rFonts w:ascii="Calibri" w:eastAsia="Times New Roman" w:hAnsi="Calibri" w:cs="Calibri"/>
                <w:color w:val="000000"/>
                <w:sz w:val="20"/>
                <w:szCs w:val="20"/>
                <w:lang w:eastAsia="zh-CN"/>
              </w:rPr>
              <w:t>%</w:t>
            </w:r>
          </w:p>
        </w:tc>
        <w:tc>
          <w:tcPr>
            <w:tcW w:w="912" w:type="dxa"/>
            <w:vAlign w:val="bottom"/>
          </w:tcPr>
          <w:p w:rsidR="00D907AF" w:rsidRPr="009634F5" w:rsidRDefault="00D907AF" w:rsidP="00DB76BA">
            <w:pPr>
              <w:spacing w:before="0" w:after="0"/>
              <w:jc w:val="right"/>
              <w:rPr>
                <w:rFonts w:ascii="Calibri" w:eastAsia="Times New Roman" w:hAnsi="Calibri" w:cs="Calibri"/>
                <w:color w:val="000000"/>
                <w:sz w:val="20"/>
                <w:szCs w:val="20"/>
                <w:lang w:eastAsia="zh-CN"/>
              </w:rPr>
            </w:pPr>
            <w:r w:rsidRPr="009634F5">
              <w:rPr>
                <w:rFonts w:ascii="Calibri" w:eastAsia="Times New Roman" w:hAnsi="Calibri" w:cs="Calibri"/>
                <w:color w:val="000000"/>
                <w:sz w:val="20"/>
                <w:szCs w:val="20"/>
                <w:lang w:eastAsia="zh-CN"/>
              </w:rPr>
              <w:t>100</w:t>
            </w:r>
            <w:r w:rsidR="00A14CE9">
              <w:rPr>
                <w:rFonts w:ascii="Calibri" w:eastAsia="Times New Roman" w:hAnsi="Calibri" w:cs="Calibri"/>
                <w:color w:val="000000"/>
                <w:sz w:val="20"/>
                <w:szCs w:val="20"/>
                <w:lang w:eastAsia="zh-CN"/>
              </w:rPr>
              <w:t>.0</w:t>
            </w:r>
            <w:r w:rsidR="00B31C59">
              <w:rPr>
                <w:rFonts w:ascii="Calibri" w:eastAsia="Times New Roman" w:hAnsi="Calibri" w:cs="Calibri"/>
                <w:color w:val="000000"/>
                <w:sz w:val="20"/>
                <w:szCs w:val="20"/>
                <w:lang w:eastAsia="zh-CN"/>
              </w:rPr>
              <w:t>%</w:t>
            </w:r>
          </w:p>
        </w:tc>
      </w:tr>
      <w:tr w:rsidR="00E520AA" w:rsidRPr="00E877CA" w:rsidTr="00DB76BA">
        <w:trPr>
          <w:cantSplit/>
          <w:trHeight w:val="340"/>
        </w:trPr>
        <w:tc>
          <w:tcPr>
            <w:tcW w:w="2836" w:type="dxa"/>
            <w:tcBorders>
              <w:right w:val="single" w:sz="4" w:space="0" w:color="auto"/>
            </w:tcBorders>
            <w:shd w:val="clear" w:color="auto" w:fill="auto"/>
            <w:vAlign w:val="bottom"/>
          </w:tcPr>
          <w:p w:rsidR="00D907AF" w:rsidRPr="00E877CA" w:rsidRDefault="00D907AF" w:rsidP="00DB76BA">
            <w:pPr>
              <w:spacing w:before="20" w:after="20"/>
              <w:jc w:val="right"/>
              <w:rPr>
                <w:rFonts w:ascii="Calibri" w:eastAsia="Times New Roman" w:hAnsi="Calibri" w:cs="Calibri"/>
                <w:sz w:val="20"/>
                <w:szCs w:val="20"/>
                <w:lang w:eastAsia="zh-CN"/>
              </w:rPr>
            </w:pPr>
            <w:r w:rsidRPr="00E877CA">
              <w:rPr>
                <w:rFonts w:ascii="Calibri" w:eastAsia="Times New Roman" w:hAnsi="Calibri" w:cs="Calibri"/>
                <w:sz w:val="20"/>
                <w:szCs w:val="20"/>
                <w:lang w:eastAsia="zh-CN"/>
              </w:rPr>
              <w:t>Dissatisfied</w:t>
            </w:r>
          </w:p>
        </w:tc>
        <w:tc>
          <w:tcPr>
            <w:tcW w:w="850" w:type="dxa"/>
            <w:tcBorders>
              <w:left w:val="single" w:sz="4" w:space="0" w:color="auto"/>
            </w:tcBorders>
            <w:shd w:val="clear" w:color="auto" w:fill="auto"/>
            <w:vAlign w:val="bottom"/>
          </w:tcPr>
          <w:p w:rsidR="00D907AF" w:rsidRPr="007E1008" w:rsidRDefault="00D907AF" w:rsidP="00DB76BA">
            <w:pPr>
              <w:spacing w:before="0" w:after="0"/>
              <w:jc w:val="right"/>
              <w:rPr>
                <w:rFonts w:ascii="Calibri" w:eastAsia="Times New Roman" w:hAnsi="Calibri" w:cs="Calibri"/>
                <w:sz w:val="20"/>
                <w:szCs w:val="20"/>
                <w:lang w:eastAsia="zh-CN"/>
              </w:rPr>
            </w:pPr>
            <w:r w:rsidRPr="007E1008">
              <w:rPr>
                <w:rFonts w:ascii="Calibri" w:eastAsia="Times New Roman" w:hAnsi="Calibri" w:cs="Calibri"/>
                <w:sz w:val="20"/>
                <w:szCs w:val="20"/>
                <w:lang w:eastAsia="zh-CN"/>
              </w:rPr>
              <w:t>12</w:t>
            </w:r>
          </w:p>
        </w:tc>
        <w:tc>
          <w:tcPr>
            <w:tcW w:w="992" w:type="dxa"/>
            <w:shd w:val="clear" w:color="auto" w:fill="auto"/>
            <w:vAlign w:val="bottom"/>
          </w:tcPr>
          <w:p w:rsidR="00D907AF" w:rsidRPr="007E1008" w:rsidRDefault="00D907AF" w:rsidP="00DB76BA">
            <w:pPr>
              <w:spacing w:before="0" w:after="0"/>
              <w:jc w:val="right"/>
              <w:rPr>
                <w:rFonts w:ascii="Calibri" w:eastAsia="Times New Roman" w:hAnsi="Calibri" w:cs="Calibri"/>
                <w:sz w:val="20"/>
                <w:szCs w:val="20"/>
                <w:lang w:eastAsia="zh-CN"/>
              </w:rPr>
            </w:pPr>
            <w:r w:rsidRPr="007E1008">
              <w:rPr>
                <w:rFonts w:ascii="Calibri" w:eastAsia="Times New Roman" w:hAnsi="Calibri" w:cs="Calibri"/>
                <w:sz w:val="20"/>
                <w:szCs w:val="20"/>
                <w:lang w:eastAsia="zh-CN"/>
              </w:rPr>
              <w:t>16</w:t>
            </w:r>
          </w:p>
        </w:tc>
        <w:tc>
          <w:tcPr>
            <w:tcW w:w="1134" w:type="dxa"/>
            <w:shd w:val="clear" w:color="auto" w:fill="auto"/>
            <w:vAlign w:val="bottom"/>
          </w:tcPr>
          <w:p w:rsidR="00D907AF" w:rsidRPr="007E1008" w:rsidRDefault="00D907AF" w:rsidP="00DB76BA">
            <w:pPr>
              <w:spacing w:before="0" w:after="0"/>
              <w:jc w:val="right"/>
              <w:rPr>
                <w:rFonts w:ascii="Calibri" w:eastAsia="Times New Roman" w:hAnsi="Calibri" w:cs="Calibri"/>
                <w:sz w:val="20"/>
                <w:szCs w:val="20"/>
                <w:lang w:eastAsia="zh-CN"/>
              </w:rPr>
            </w:pPr>
            <w:r w:rsidRPr="007E1008">
              <w:rPr>
                <w:rFonts w:ascii="Calibri" w:eastAsia="Times New Roman" w:hAnsi="Calibri" w:cs="Calibri"/>
                <w:sz w:val="20"/>
                <w:szCs w:val="20"/>
                <w:lang w:eastAsia="zh-CN"/>
              </w:rPr>
              <w:t>4</w:t>
            </w:r>
          </w:p>
        </w:tc>
        <w:tc>
          <w:tcPr>
            <w:tcW w:w="964" w:type="dxa"/>
            <w:shd w:val="clear" w:color="auto" w:fill="auto"/>
            <w:vAlign w:val="bottom"/>
          </w:tcPr>
          <w:p w:rsidR="00D907AF" w:rsidRPr="007E1008" w:rsidRDefault="00D907AF" w:rsidP="00DB76BA">
            <w:pPr>
              <w:spacing w:before="0" w:after="0"/>
              <w:jc w:val="right"/>
              <w:rPr>
                <w:rFonts w:ascii="Calibri" w:eastAsia="Times New Roman" w:hAnsi="Calibri" w:cs="Calibri"/>
                <w:sz w:val="20"/>
                <w:szCs w:val="20"/>
                <w:lang w:eastAsia="zh-CN"/>
              </w:rPr>
            </w:pPr>
            <w:r w:rsidRPr="007E1008">
              <w:rPr>
                <w:rFonts w:ascii="Calibri" w:eastAsia="Times New Roman" w:hAnsi="Calibri" w:cs="Calibri"/>
                <w:sz w:val="20"/>
                <w:szCs w:val="20"/>
                <w:lang w:eastAsia="zh-CN"/>
              </w:rPr>
              <w:t>5</w:t>
            </w:r>
          </w:p>
        </w:tc>
        <w:tc>
          <w:tcPr>
            <w:tcW w:w="964" w:type="dxa"/>
            <w:shd w:val="clear" w:color="auto" w:fill="auto"/>
            <w:vAlign w:val="bottom"/>
          </w:tcPr>
          <w:p w:rsidR="00D907AF" w:rsidRPr="007E1008" w:rsidRDefault="00D907AF" w:rsidP="00DB76BA">
            <w:pPr>
              <w:spacing w:before="0" w:after="0"/>
              <w:jc w:val="right"/>
              <w:rPr>
                <w:rFonts w:ascii="Calibri" w:eastAsia="Times New Roman" w:hAnsi="Calibri" w:cs="Calibri"/>
                <w:sz w:val="20"/>
                <w:szCs w:val="20"/>
                <w:lang w:eastAsia="zh-CN"/>
              </w:rPr>
            </w:pPr>
            <w:r w:rsidRPr="007E1008">
              <w:rPr>
                <w:rFonts w:ascii="Calibri" w:eastAsia="Times New Roman" w:hAnsi="Calibri" w:cs="Calibri"/>
                <w:sz w:val="20"/>
                <w:szCs w:val="20"/>
                <w:lang w:eastAsia="zh-CN"/>
              </w:rPr>
              <w:t>3</w:t>
            </w:r>
          </w:p>
        </w:tc>
        <w:tc>
          <w:tcPr>
            <w:tcW w:w="794" w:type="dxa"/>
            <w:shd w:val="clear" w:color="auto" w:fill="auto"/>
            <w:vAlign w:val="bottom"/>
          </w:tcPr>
          <w:p w:rsidR="00D907AF" w:rsidRPr="007E1008" w:rsidRDefault="00D907AF" w:rsidP="00DB76BA">
            <w:pPr>
              <w:spacing w:before="0" w:after="0"/>
              <w:jc w:val="right"/>
              <w:rPr>
                <w:rFonts w:ascii="Calibri" w:eastAsia="Times New Roman" w:hAnsi="Calibri" w:cs="Calibri"/>
                <w:sz w:val="20"/>
                <w:szCs w:val="20"/>
                <w:lang w:eastAsia="zh-CN"/>
              </w:rPr>
            </w:pPr>
            <w:r w:rsidRPr="007E1008">
              <w:rPr>
                <w:rFonts w:ascii="Calibri" w:eastAsia="Times New Roman" w:hAnsi="Calibri" w:cs="Calibri"/>
                <w:sz w:val="20"/>
                <w:szCs w:val="20"/>
                <w:lang w:eastAsia="zh-CN"/>
              </w:rPr>
              <w:t>1</w:t>
            </w:r>
          </w:p>
        </w:tc>
        <w:tc>
          <w:tcPr>
            <w:tcW w:w="912" w:type="dxa"/>
            <w:vAlign w:val="bottom"/>
          </w:tcPr>
          <w:p w:rsidR="00D907AF" w:rsidRPr="007E1008" w:rsidRDefault="00D907AF" w:rsidP="00DB76BA">
            <w:pPr>
              <w:spacing w:before="0" w:after="0"/>
              <w:jc w:val="right"/>
              <w:rPr>
                <w:rFonts w:ascii="Calibri" w:eastAsia="Times New Roman" w:hAnsi="Calibri" w:cs="Calibri"/>
                <w:sz w:val="20"/>
                <w:szCs w:val="20"/>
                <w:lang w:eastAsia="zh-CN"/>
              </w:rPr>
            </w:pPr>
            <w:r w:rsidRPr="007E1008">
              <w:rPr>
                <w:rFonts w:ascii="Calibri" w:eastAsia="Times New Roman" w:hAnsi="Calibri" w:cs="Calibri"/>
                <w:sz w:val="20"/>
                <w:szCs w:val="20"/>
                <w:lang w:eastAsia="zh-CN"/>
              </w:rPr>
              <w:t>41</w:t>
            </w:r>
          </w:p>
        </w:tc>
      </w:tr>
      <w:tr w:rsidR="00E520AA" w:rsidRPr="00E877CA" w:rsidTr="00DB76BA">
        <w:trPr>
          <w:cantSplit/>
        </w:trPr>
        <w:tc>
          <w:tcPr>
            <w:tcW w:w="2836" w:type="dxa"/>
            <w:tcBorders>
              <w:right w:val="single" w:sz="4" w:space="0" w:color="auto"/>
            </w:tcBorders>
            <w:shd w:val="clear" w:color="auto" w:fill="auto"/>
            <w:vAlign w:val="bottom"/>
          </w:tcPr>
          <w:p w:rsidR="00D907AF" w:rsidRPr="00E877CA" w:rsidRDefault="00A74621" w:rsidP="00DB76BA">
            <w:pPr>
              <w:spacing w:before="20" w:after="20"/>
              <w:jc w:val="right"/>
              <w:rPr>
                <w:rFonts w:ascii="Calibri" w:eastAsia="Times New Roman" w:hAnsi="Calibri" w:cs="Calibri"/>
                <w:sz w:val="20"/>
                <w:szCs w:val="20"/>
                <w:lang w:eastAsia="zh-CN"/>
              </w:rPr>
            </w:pPr>
            <w:r w:rsidRPr="00A74621">
              <w:rPr>
                <w:rFonts w:ascii="Calibri" w:eastAsia="Times New Roman" w:hAnsi="Calibri" w:cs="Calibri"/>
                <w:color w:val="FFFFFF" w:themeColor="background1"/>
                <w:sz w:val="20"/>
                <w:szCs w:val="20"/>
                <w:lang w:eastAsia="zh-CN"/>
              </w:rPr>
              <w:t>Dissatisfied</w:t>
            </w:r>
          </w:p>
        </w:tc>
        <w:tc>
          <w:tcPr>
            <w:tcW w:w="850" w:type="dxa"/>
            <w:tcBorders>
              <w:left w:val="single" w:sz="4" w:space="0" w:color="auto"/>
            </w:tcBorders>
            <w:shd w:val="clear" w:color="auto" w:fill="auto"/>
            <w:vAlign w:val="bottom"/>
          </w:tcPr>
          <w:p w:rsidR="00D907AF" w:rsidRPr="007A79BA" w:rsidRDefault="00D907AF" w:rsidP="00DB76BA">
            <w:pPr>
              <w:spacing w:before="0" w:after="0"/>
              <w:jc w:val="right"/>
              <w:rPr>
                <w:rFonts w:ascii="Calibri" w:eastAsia="Times New Roman" w:hAnsi="Calibri" w:cs="Calibri"/>
                <w:color w:val="000000"/>
                <w:sz w:val="20"/>
                <w:szCs w:val="20"/>
                <w:lang w:eastAsia="zh-CN"/>
              </w:rPr>
            </w:pPr>
            <w:r w:rsidRPr="007A79BA">
              <w:rPr>
                <w:rFonts w:ascii="Calibri" w:eastAsia="Times New Roman" w:hAnsi="Calibri" w:cs="Calibri"/>
                <w:color w:val="000000"/>
                <w:sz w:val="20"/>
                <w:szCs w:val="20"/>
                <w:lang w:eastAsia="zh-CN"/>
              </w:rPr>
              <w:t>29.3</w:t>
            </w:r>
            <w:r w:rsidR="00B31C59">
              <w:rPr>
                <w:rFonts w:ascii="Calibri" w:eastAsia="Times New Roman" w:hAnsi="Calibri" w:cs="Calibri"/>
                <w:color w:val="000000"/>
                <w:sz w:val="20"/>
                <w:szCs w:val="20"/>
                <w:lang w:eastAsia="zh-CN"/>
              </w:rPr>
              <w:t>%</w:t>
            </w:r>
          </w:p>
        </w:tc>
        <w:tc>
          <w:tcPr>
            <w:tcW w:w="992" w:type="dxa"/>
            <w:shd w:val="clear" w:color="auto" w:fill="auto"/>
            <w:vAlign w:val="bottom"/>
          </w:tcPr>
          <w:p w:rsidR="00D907AF" w:rsidRPr="008854B0" w:rsidRDefault="00D907AF" w:rsidP="00DB76BA">
            <w:pPr>
              <w:spacing w:before="0" w:after="0"/>
              <w:jc w:val="right"/>
              <w:rPr>
                <w:rFonts w:ascii="Calibri" w:eastAsia="Times New Roman" w:hAnsi="Calibri" w:cs="Calibri"/>
                <w:color w:val="000000"/>
                <w:sz w:val="20"/>
                <w:szCs w:val="20"/>
                <w:lang w:eastAsia="zh-CN"/>
              </w:rPr>
            </w:pPr>
            <w:r w:rsidRPr="008854B0">
              <w:rPr>
                <w:rFonts w:ascii="Calibri" w:eastAsia="Times New Roman" w:hAnsi="Calibri" w:cs="Calibri"/>
                <w:color w:val="000000"/>
                <w:sz w:val="20"/>
                <w:szCs w:val="20"/>
                <w:lang w:eastAsia="zh-CN"/>
              </w:rPr>
              <w:t>39.0</w:t>
            </w:r>
            <w:r w:rsidR="00B31C59">
              <w:rPr>
                <w:rFonts w:ascii="Calibri" w:eastAsia="Times New Roman" w:hAnsi="Calibri" w:cs="Calibri"/>
                <w:color w:val="000000"/>
                <w:sz w:val="20"/>
                <w:szCs w:val="20"/>
                <w:lang w:eastAsia="zh-CN"/>
              </w:rPr>
              <w:t>%</w:t>
            </w:r>
          </w:p>
        </w:tc>
        <w:tc>
          <w:tcPr>
            <w:tcW w:w="1134" w:type="dxa"/>
            <w:shd w:val="clear" w:color="auto" w:fill="auto"/>
            <w:vAlign w:val="bottom"/>
          </w:tcPr>
          <w:p w:rsidR="00D907AF" w:rsidRPr="008854B0" w:rsidRDefault="00D907AF" w:rsidP="00DB76BA">
            <w:pPr>
              <w:spacing w:before="0" w:after="0"/>
              <w:jc w:val="right"/>
              <w:rPr>
                <w:rFonts w:ascii="Calibri" w:eastAsia="Times New Roman" w:hAnsi="Calibri" w:cs="Calibri"/>
                <w:color w:val="000000"/>
                <w:sz w:val="20"/>
                <w:szCs w:val="20"/>
                <w:lang w:eastAsia="zh-CN"/>
              </w:rPr>
            </w:pPr>
            <w:r w:rsidRPr="008854B0">
              <w:rPr>
                <w:rFonts w:ascii="Calibri" w:eastAsia="Times New Roman" w:hAnsi="Calibri" w:cs="Calibri"/>
                <w:color w:val="000000"/>
                <w:sz w:val="20"/>
                <w:szCs w:val="20"/>
                <w:lang w:eastAsia="zh-CN"/>
              </w:rPr>
              <w:t>9.8</w:t>
            </w:r>
            <w:r w:rsidR="00B31C59">
              <w:rPr>
                <w:rFonts w:ascii="Calibri" w:eastAsia="Times New Roman" w:hAnsi="Calibri" w:cs="Calibri"/>
                <w:color w:val="000000"/>
                <w:sz w:val="20"/>
                <w:szCs w:val="20"/>
                <w:lang w:eastAsia="zh-CN"/>
              </w:rPr>
              <w:t>%</w:t>
            </w:r>
          </w:p>
        </w:tc>
        <w:tc>
          <w:tcPr>
            <w:tcW w:w="964" w:type="dxa"/>
            <w:shd w:val="clear" w:color="auto" w:fill="auto"/>
            <w:vAlign w:val="bottom"/>
          </w:tcPr>
          <w:p w:rsidR="00D907AF" w:rsidRPr="008854B0" w:rsidRDefault="00D907AF" w:rsidP="00DB76BA">
            <w:pPr>
              <w:spacing w:before="0" w:after="0"/>
              <w:jc w:val="right"/>
              <w:rPr>
                <w:rFonts w:ascii="Calibri" w:eastAsia="Times New Roman" w:hAnsi="Calibri" w:cs="Calibri"/>
                <w:color w:val="000000"/>
                <w:sz w:val="20"/>
                <w:szCs w:val="20"/>
                <w:lang w:eastAsia="zh-CN"/>
              </w:rPr>
            </w:pPr>
            <w:r w:rsidRPr="008854B0">
              <w:rPr>
                <w:rFonts w:ascii="Calibri" w:eastAsia="Times New Roman" w:hAnsi="Calibri" w:cs="Calibri"/>
                <w:color w:val="000000"/>
                <w:sz w:val="20"/>
                <w:szCs w:val="20"/>
                <w:lang w:eastAsia="zh-CN"/>
              </w:rPr>
              <w:t>12.2</w:t>
            </w:r>
            <w:r w:rsidR="00B31C59">
              <w:rPr>
                <w:rFonts w:ascii="Calibri" w:eastAsia="Times New Roman" w:hAnsi="Calibri" w:cs="Calibri"/>
                <w:color w:val="000000"/>
                <w:sz w:val="20"/>
                <w:szCs w:val="20"/>
                <w:lang w:eastAsia="zh-CN"/>
              </w:rPr>
              <w:t>%</w:t>
            </w:r>
          </w:p>
        </w:tc>
        <w:tc>
          <w:tcPr>
            <w:tcW w:w="964" w:type="dxa"/>
            <w:shd w:val="clear" w:color="auto" w:fill="auto"/>
            <w:vAlign w:val="bottom"/>
          </w:tcPr>
          <w:p w:rsidR="00D907AF" w:rsidRPr="008854B0" w:rsidRDefault="00D907AF" w:rsidP="00DB76BA">
            <w:pPr>
              <w:spacing w:before="0" w:after="0"/>
              <w:jc w:val="right"/>
              <w:rPr>
                <w:rFonts w:ascii="Calibri" w:eastAsia="Times New Roman" w:hAnsi="Calibri" w:cs="Calibri"/>
                <w:color w:val="000000"/>
                <w:sz w:val="20"/>
                <w:szCs w:val="20"/>
                <w:lang w:eastAsia="zh-CN"/>
              </w:rPr>
            </w:pPr>
            <w:r w:rsidRPr="008854B0">
              <w:rPr>
                <w:rFonts w:ascii="Calibri" w:eastAsia="Times New Roman" w:hAnsi="Calibri" w:cs="Calibri"/>
                <w:color w:val="000000"/>
                <w:sz w:val="20"/>
                <w:szCs w:val="20"/>
                <w:lang w:eastAsia="zh-CN"/>
              </w:rPr>
              <w:t>7.3</w:t>
            </w:r>
            <w:r w:rsidR="00B31C59">
              <w:rPr>
                <w:rFonts w:ascii="Calibri" w:eastAsia="Times New Roman" w:hAnsi="Calibri" w:cs="Calibri"/>
                <w:color w:val="000000"/>
                <w:sz w:val="20"/>
                <w:szCs w:val="20"/>
                <w:lang w:eastAsia="zh-CN"/>
              </w:rPr>
              <w:t>%</w:t>
            </w:r>
          </w:p>
        </w:tc>
        <w:tc>
          <w:tcPr>
            <w:tcW w:w="794" w:type="dxa"/>
            <w:shd w:val="clear" w:color="auto" w:fill="auto"/>
            <w:vAlign w:val="bottom"/>
          </w:tcPr>
          <w:p w:rsidR="00D907AF" w:rsidRPr="007A4759" w:rsidRDefault="00D907AF" w:rsidP="00DB76BA">
            <w:pPr>
              <w:spacing w:before="0" w:after="0"/>
              <w:jc w:val="right"/>
              <w:rPr>
                <w:rFonts w:ascii="Calibri" w:eastAsia="Times New Roman" w:hAnsi="Calibri" w:cs="Calibri"/>
                <w:color w:val="000000"/>
                <w:sz w:val="20"/>
                <w:szCs w:val="20"/>
                <w:lang w:eastAsia="zh-CN"/>
              </w:rPr>
            </w:pPr>
            <w:r w:rsidRPr="007A4759">
              <w:rPr>
                <w:rFonts w:ascii="Calibri" w:eastAsia="Times New Roman" w:hAnsi="Calibri" w:cs="Calibri"/>
                <w:color w:val="000000"/>
                <w:sz w:val="20"/>
                <w:szCs w:val="20"/>
                <w:lang w:eastAsia="zh-CN"/>
              </w:rPr>
              <w:t>2.4</w:t>
            </w:r>
            <w:r w:rsidR="00B31C59">
              <w:rPr>
                <w:rFonts w:ascii="Calibri" w:eastAsia="Times New Roman" w:hAnsi="Calibri" w:cs="Calibri"/>
                <w:color w:val="000000"/>
                <w:sz w:val="20"/>
                <w:szCs w:val="20"/>
                <w:lang w:eastAsia="zh-CN"/>
              </w:rPr>
              <w:t>%</w:t>
            </w:r>
          </w:p>
        </w:tc>
        <w:tc>
          <w:tcPr>
            <w:tcW w:w="912" w:type="dxa"/>
            <w:vAlign w:val="bottom"/>
          </w:tcPr>
          <w:p w:rsidR="00D907AF" w:rsidRPr="00A95294" w:rsidRDefault="00B31C59" w:rsidP="00DB76BA">
            <w:pPr>
              <w:spacing w:before="0" w:after="0"/>
              <w:jc w:val="right"/>
              <w:rPr>
                <w:rFonts w:ascii="Calibri" w:eastAsia="Times New Roman" w:hAnsi="Calibri" w:cs="Calibri"/>
                <w:color w:val="000000"/>
                <w:sz w:val="20"/>
                <w:szCs w:val="20"/>
                <w:lang w:eastAsia="zh-CN"/>
              </w:rPr>
            </w:pPr>
            <w:r>
              <w:rPr>
                <w:rFonts w:ascii="Calibri" w:eastAsia="Times New Roman" w:hAnsi="Calibri" w:cs="Calibri"/>
                <w:color w:val="000000"/>
                <w:sz w:val="20"/>
                <w:szCs w:val="20"/>
                <w:lang w:eastAsia="zh-CN"/>
              </w:rPr>
              <w:t>1</w:t>
            </w:r>
            <w:r w:rsidR="00D907AF" w:rsidRPr="00A95294">
              <w:rPr>
                <w:rFonts w:ascii="Calibri" w:eastAsia="Times New Roman" w:hAnsi="Calibri" w:cs="Calibri"/>
                <w:color w:val="000000"/>
                <w:sz w:val="20"/>
                <w:szCs w:val="20"/>
                <w:lang w:eastAsia="zh-CN"/>
              </w:rPr>
              <w:t>00</w:t>
            </w:r>
            <w:r w:rsidR="00A14CE9">
              <w:rPr>
                <w:rFonts w:ascii="Calibri" w:eastAsia="Times New Roman" w:hAnsi="Calibri" w:cs="Calibri"/>
                <w:color w:val="000000"/>
                <w:sz w:val="20"/>
                <w:szCs w:val="20"/>
                <w:lang w:eastAsia="zh-CN"/>
              </w:rPr>
              <w:t>.0</w:t>
            </w:r>
            <w:r>
              <w:rPr>
                <w:rFonts w:ascii="Calibri" w:eastAsia="Times New Roman" w:hAnsi="Calibri" w:cs="Calibri"/>
                <w:color w:val="000000"/>
                <w:sz w:val="20"/>
                <w:szCs w:val="20"/>
                <w:lang w:eastAsia="zh-CN"/>
              </w:rPr>
              <w:t>%</w:t>
            </w:r>
          </w:p>
        </w:tc>
      </w:tr>
      <w:tr w:rsidR="00E520AA" w:rsidRPr="00E877CA" w:rsidTr="00DB76BA">
        <w:trPr>
          <w:cantSplit/>
          <w:trHeight w:val="340"/>
        </w:trPr>
        <w:tc>
          <w:tcPr>
            <w:tcW w:w="2836" w:type="dxa"/>
            <w:tcBorders>
              <w:right w:val="single" w:sz="4" w:space="0" w:color="auto"/>
            </w:tcBorders>
            <w:shd w:val="clear" w:color="auto" w:fill="auto"/>
            <w:vAlign w:val="bottom"/>
          </w:tcPr>
          <w:p w:rsidR="00D907AF" w:rsidRPr="00E877CA" w:rsidRDefault="00D907AF" w:rsidP="00DB76BA">
            <w:pPr>
              <w:spacing w:before="20" w:after="20"/>
              <w:jc w:val="right"/>
              <w:rPr>
                <w:rFonts w:ascii="Calibri" w:eastAsia="Times New Roman" w:hAnsi="Calibri" w:cs="Calibri"/>
                <w:sz w:val="20"/>
                <w:szCs w:val="20"/>
                <w:lang w:eastAsia="zh-CN"/>
              </w:rPr>
            </w:pPr>
            <w:r w:rsidRPr="00E877CA">
              <w:rPr>
                <w:rFonts w:ascii="Calibri" w:eastAsia="Times New Roman" w:hAnsi="Calibri" w:cs="Calibri"/>
                <w:sz w:val="20"/>
                <w:szCs w:val="20"/>
                <w:lang w:eastAsia="zh-CN"/>
              </w:rPr>
              <w:t>Very dissatisfied</w:t>
            </w:r>
          </w:p>
        </w:tc>
        <w:tc>
          <w:tcPr>
            <w:tcW w:w="850" w:type="dxa"/>
            <w:tcBorders>
              <w:left w:val="single" w:sz="4" w:space="0" w:color="auto"/>
            </w:tcBorders>
            <w:shd w:val="clear" w:color="auto" w:fill="auto"/>
            <w:vAlign w:val="bottom"/>
          </w:tcPr>
          <w:p w:rsidR="00D907AF" w:rsidRPr="007A79BA" w:rsidRDefault="00D907AF" w:rsidP="00DB76BA">
            <w:pPr>
              <w:spacing w:before="0" w:after="0"/>
              <w:jc w:val="right"/>
              <w:rPr>
                <w:rFonts w:ascii="Calibri" w:eastAsia="Times New Roman" w:hAnsi="Calibri" w:cs="Calibri"/>
                <w:color w:val="000000"/>
                <w:sz w:val="20"/>
                <w:szCs w:val="20"/>
                <w:lang w:eastAsia="zh-CN"/>
              </w:rPr>
            </w:pPr>
            <w:r w:rsidRPr="007A79BA">
              <w:rPr>
                <w:rFonts w:ascii="Calibri" w:eastAsia="Times New Roman" w:hAnsi="Calibri" w:cs="Calibri"/>
                <w:color w:val="000000"/>
                <w:sz w:val="20"/>
                <w:szCs w:val="20"/>
                <w:lang w:eastAsia="zh-CN"/>
              </w:rPr>
              <w:t>10</w:t>
            </w:r>
          </w:p>
        </w:tc>
        <w:tc>
          <w:tcPr>
            <w:tcW w:w="992" w:type="dxa"/>
            <w:shd w:val="clear" w:color="auto" w:fill="auto"/>
            <w:vAlign w:val="bottom"/>
          </w:tcPr>
          <w:p w:rsidR="00D907AF" w:rsidRPr="008854B0" w:rsidRDefault="00D907AF" w:rsidP="00DB76BA">
            <w:pPr>
              <w:spacing w:before="0" w:after="0"/>
              <w:jc w:val="right"/>
              <w:rPr>
                <w:rFonts w:ascii="Calibri" w:eastAsia="Times New Roman" w:hAnsi="Calibri" w:cs="Calibri"/>
                <w:color w:val="000000"/>
                <w:sz w:val="20"/>
                <w:szCs w:val="20"/>
                <w:lang w:eastAsia="zh-CN"/>
              </w:rPr>
            </w:pPr>
            <w:r w:rsidRPr="008854B0">
              <w:rPr>
                <w:rFonts w:ascii="Calibri" w:eastAsia="Times New Roman" w:hAnsi="Calibri" w:cs="Calibri"/>
                <w:color w:val="000000"/>
                <w:sz w:val="20"/>
                <w:szCs w:val="20"/>
                <w:lang w:eastAsia="zh-CN"/>
              </w:rPr>
              <w:t>1</w:t>
            </w:r>
          </w:p>
        </w:tc>
        <w:tc>
          <w:tcPr>
            <w:tcW w:w="1134" w:type="dxa"/>
            <w:shd w:val="clear" w:color="auto" w:fill="auto"/>
            <w:vAlign w:val="bottom"/>
          </w:tcPr>
          <w:p w:rsidR="00D907AF" w:rsidRPr="008854B0" w:rsidRDefault="00D907AF" w:rsidP="00DB76BA">
            <w:pPr>
              <w:spacing w:before="0" w:after="0"/>
              <w:jc w:val="right"/>
              <w:rPr>
                <w:rFonts w:ascii="Calibri" w:eastAsia="Times New Roman" w:hAnsi="Calibri" w:cs="Calibri"/>
                <w:color w:val="000000"/>
                <w:sz w:val="20"/>
                <w:szCs w:val="20"/>
                <w:lang w:eastAsia="zh-CN"/>
              </w:rPr>
            </w:pPr>
            <w:r w:rsidRPr="008854B0">
              <w:rPr>
                <w:rFonts w:ascii="Calibri" w:eastAsia="Times New Roman" w:hAnsi="Calibri" w:cs="Calibri"/>
                <w:color w:val="000000"/>
                <w:sz w:val="20"/>
                <w:szCs w:val="20"/>
                <w:lang w:eastAsia="zh-CN"/>
              </w:rPr>
              <w:t>1</w:t>
            </w:r>
          </w:p>
        </w:tc>
        <w:tc>
          <w:tcPr>
            <w:tcW w:w="964" w:type="dxa"/>
            <w:shd w:val="clear" w:color="auto" w:fill="auto"/>
            <w:vAlign w:val="bottom"/>
          </w:tcPr>
          <w:p w:rsidR="00D907AF" w:rsidRPr="008854B0" w:rsidRDefault="00D907AF" w:rsidP="00DB76BA">
            <w:pPr>
              <w:spacing w:before="0" w:after="0"/>
              <w:jc w:val="right"/>
              <w:rPr>
                <w:rFonts w:ascii="Calibri" w:eastAsia="Times New Roman" w:hAnsi="Calibri" w:cs="Calibri"/>
                <w:color w:val="000000"/>
                <w:sz w:val="20"/>
                <w:szCs w:val="20"/>
                <w:lang w:eastAsia="zh-CN"/>
              </w:rPr>
            </w:pPr>
            <w:r w:rsidRPr="008854B0">
              <w:rPr>
                <w:rFonts w:ascii="Calibri" w:eastAsia="Times New Roman" w:hAnsi="Calibri" w:cs="Calibri"/>
                <w:color w:val="000000"/>
                <w:sz w:val="20"/>
                <w:szCs w:val="20"/>
                <w:lang w:eastAsia="zh-CN"/>
              </w:rPr>
              <w:t>1</w:t>
            </w:r>
          </w:p>
        </w:tc>
        <w:tc>
          <w:tcPr>
            <w:tcW w:w="964" w:type="dxa"/>
            <w:shd w:val="clear" w:color="auto" w:fill="auto"/>
            <w:vAlign w:val="bottom"/>
          </w:tcPr>
          <w:p w:rsidR="00D907AF" w:rsidRPr="008854B0" w:rsidRDefault="00D907AF" w:rsidP="00DB76BA">
            <w:pPr>
              <w:spacing w:before="0" w:after="0"/>
              <w:jc w:val="right"/>
              <w:rPr>
                <w:rFonts w:ascii="Calibri" w:eastAsia="Times New Roman" w:hAnsi="Calibri" w:cs="Calibri"/>
                <w:color w:val="000000"/>
                <w:sz w:val="20"/>
                <w:szCs w:val="20"/>
                <w:lang w:eastAsia="zh-CN"/>
              </w:rPr>
            </w:pPr>
            <w:r w:rsidRPr="008854B0">
              <w:rPr>
                <w:rFonts w:ascii="Calibri" w:eastAsia="Times New Roman" w:hAnsi="Calibri" w:cs="Calibri"/>
                <w:color w:val="000000"/>
                <w:sz w:val="20"/>
                <w:szCs w:val="20"/>
                <w:lang w:eastAsia="zh-CN"/>
              </w:rPr>
              <w:t>1</w:t>
            </w:r>
          </w:p>
        </w:tc>
        <w:tc>
          <w:tcPr>
            <w:tcW w:w="794" w:type="dxa"/>
            <w:shd w:val="clear" w:color="auto" w:fill="auto"/>
            <w:vAlign w:val="bottom"/>
          </w:tcPr>
          <w:p w:rsidR="00D907AF" w:rsidRPr="007A4759" w:rsidRDefault="00D907AF" w:rsidP="00DB76BA">
            <w:pPr>
              <w:spacing w:before="0" w:after="0"/>
              <w:jc w:val="right"/>
              <w:rPr>
                <w:rFonts w:ascii="Calibri" w:eastAsia="Times New Roman" w:hAnsi="Calibri" w:cs="Calibri"/>
                <w:color w:val="000000"/>
                <w:sz w:val="20"/>
                <w:szCs w:val="20"/>
                <w:lang w:eastAsia="zh-CN"/>
              </w:rPr>
            </w:pPr>
            <w:r w:rsidRPr="007A4759">
              <w:rPr>
                <w:rFonts w:ascii="Calibri" w:eastAsia="Times New Roman" w:hAnsi="Calibri" w:cs="Calibri"/>
                <w:color w:val="000000"/>
                <w:sz w:val="20"/>
                <w:szCs w:val="20"/>
                <w:lang w:eastAsia="zh-CN"/>
              </w:rPr>
              <w:t>1</w:t>
            </w:r>
          </w:p>
        </w:tc>
        <w:tc>
          <w:tcPr>
            <w:tcW w:w="912" w:type="dxa"/>
            <w:vAlign w:val="bottom"/>
          </w:tcPr>
          <w:p w:rsidR="00D907AF" w:rsidRPr="00A95294" w:rsidRDefault="00D907AF" w:rsidP="00DB76BA">
            <w:pPr>
              <w:spacing w:before="0" w:after="0"/>
              <w:jc w:val="right"/>
              <w:rPr>
                <w:rFonts w:ascii="Calibri" w:eastAsia="Times New Roman" w:hAnsi="Calibri" w:cs="Calibri"/>
                <w:color w:val="000000"/>
                <w:sz w:val="20"/>
                <w:szCs w:val="20"/>
                <w:lang w:eastAsia="zh-CN"/>
              </w:rPr>
            </w:pPr>
            <w:r w:rsidRPr="00A95294">
              <w:rPr>
                <w:rFonts w:ascii="Calibri" w:eastAsia="Times New Roman" w:hAnsi="Calibri" w:cs="Calibri"/>
                <w:color w:val="000000"/>
                <w:sz w:val="20"/>
                <w:szCs w:val="20"/>
                <w:lang w:eastAsia="zh-CN"/>
              </w:rPr>
              <w:t>15</w:t>
            </w:r>
          </w:p>
        </w:tc>
      </w:tr>
      <w:tr w:rsidR="00E520AA" w:rsidRPr="00E877CA" w:rsidTr="00DB76BA">
        <w:trPr>
          <w:cantSplit/>
        </w:trPr>
        <w:tc>
          <w:tcPr>
            <w:tcW w:w="2836" w:type="dxa"/>
            <w:tcBorders>
              <w:right w:val="single" w:sz="4" w:space="0" w:color="auto"/>
            </w:tcBorders>
            <w:shd w:val="clear" w:color="auto" w:fill="auto"/>
            <w:vAlign w:val="bottom"/>
          </w:tcPr>
          <w:p w:rsidR="00D907AF" w:rsidRPr="00E877CA" w:rsidRDefault="00A74621" w:rsidP="00DB76BA">
            <w:pPr>
              <w:spacing w:before="20" w:after="20"/>
              <w:jc w:val="right"/>
              <w:rPr>
                <w:rFonts w:ascii="Calibri" w:eastAsia="Times New Roman" w:hAnsi="Calibri" w:cs="Calibri"/>
                <w:sz w:val="20"/>
                <w:szCs w:val="20"/>
                <w:lang w:eastAsia="zh-CN"/>
              </w:rPr>
            </w:pPr>
            <w:r w:rsidRPr="00A74621">
              <w:rPr>
                <w:rFonts w:ascii="Calibri" w:eastAsia="Times New Roman" w:hAnsi="Calibri" w:cs="Calibri"/>
                <w:color w:val="FFFFFF" w:themeColor="background1"/>
                <w:sz w:val="20"/>
                <w:szCs w:val="20"/>
                <w:lang w:eastAsia="zh-CN"/>
              </w:rPr>
              <w:t>Very dissatisfied</w:t>
            </w:r>
          </w:p>
        </w:tc>
        <w:tc>
          <w:tcPr>
            <w:tcW w:w="850" w:type="dxa"/>
            <w:tcBorders>
              <w:left w:val="single" w:sz="4" w:space="0" w:color="auto"/>
            </w:tcBorders>
            <w:shd w:val="clear" w:color="auto" w:fill="auto"/>
            <w:vAlign w:val="bottom"/>
          </w:tcPr>
          <w:p w:rsidR="00D907AF" w:rsidRPr="007A79BA" w:rsidRDefault="00D907AF" w:rsidP="00DB76BA">
            <w:pPr>
              <w:spacing w:before="0" w:after="0"/>
              <w:jc w:val="right"/>
              <w:rPr>
                <w:rFonts w:ascii="Calibri" w:eastAsia="Times New Roman" w:hAnsi="Calibri" w:cs="Calibri"/>
                <w:color w:val="000000"/>
                <w:sz w:val="20"/>
                <w:szCs w:val="20"/>
                <w:lang w:eastAsia="zh-CN"/>
              </w:rPr>
            </w:pPr>
            <w:r w:rsidRPr="007A79BA">
              <w:rPr>
                <w:rFonts w:ascii="Calibri" w:eastAsia="Times New Roman" w:hAnsi="Calibri" w:cs="Calibri"/>
                <w:color w:val="000000"/>
                <w:sz w:val="20"/>
                <w:szCs w:val="20"/>
                <w:lang w:eastAsia="zh-CN"/>
              </w:rPr>
              <w:t>66.7</w:t>
            </w:r>
            <w:r w:rsidR="00B31C59">
              <w:rPr>
                <w:rFonts w:ascii="Calibri" w:eastAsia="Times New Roman" w:hAnsi="Calibri" w:cs="Calibri"/>
                <w:color w:val="000000"/>
                <w:sz w:val="20"/>
                <w:szCs w:val="20"/>
                <w:lang w:eastAsia="zh-CN"/>
              </w:rPr>
              <w:t>%</w:t>
            </w:r>
          </w:p>
        </w:tc>
        <w:tc>
          <w:tcPr>
            <w:tcW w:w="992" w:type="dxa"/>
            <w:shd w:val="clear" w:color="auto" w:fill="auto"/>
            <w:vAlign w:val="bottom"/>
          </w:tcPr>
          <w:p w:rsidR="00D907AF" w:rsidRPr="008854B0" w:rsidRDefault="00D907AF" w:rsidP="00DB76BA">
            <w:pPr>
              <w:spacing w:before="0" w:after="0"/>
              <w:jc w:val="right"/>
              <w:rPr>
                <w:rFonts w:ascii="Calibri" w:eastAsia="Times New Roman" w:hAnsi="Calibri" w:cs="Calibri"/>
                <w:color w:val="000000"/>
                <w:sz w:val="20"/>
                <w:szCs w:val="20"/>
                <w:lang w:eastAsia="zh-CN"/>
              </w:rPr>
            </w:pPr>
            <w:r w:rsidRPr="008854B0">
              <w:rPr>
                <w:rFonts w:ascii="Calibri" w:eastAsia="Times New Roman" w:hAnsi="Calibri" w:cs="Calibri"/>
                <w:color w:val="000000"/>
                <w:sz w:val="20"/>
                <w:szCs w:val="20"/>
                <w:lang w:eastAsia="zh-CN"/>
              </w:rPr>
              <w:t>6.7</w:t>
            </w:r>
            <w:r w:rsidR="00B31C59">
              <w:rPr>
                <w:rFonts w:ascii="Calibri" w:eastAsia="Times New Roman" w:hAnsi="Calibri" w:cs="Calibri"/>
                <w:color w:val="000000"/>
                <w:sz w:val="20"/>
                <w:szCs w:val="20"/>
                <w:lang w:eastAsia="zh-CN"/>
              </w:rPr>
              <w:t>%</w:t>
            </w:r>
          </w:p>
        </w:tc>
        <w:tc>
          <w:tcPr>
            <w:tcW w:w="1134" w:type="dxa"/>
            <w:shd w:val="clear" w:color="auto" w:fill="auto"/>
            <w:vAlign w:val="bottom"/>
          </w:tcPr>
          <w:p w:rsidR="00D907AF" w:rsidRPr="008854B0" w:rsidRDefault="00D907AF" w:rsidP="00DB76BA">
            <w:pPr>
              <w:spacing w:before="0" w:after="0"/>
              <w:jc w:val="right"/>
              <w:rPr>
                <w:rFonts w:ascii="Calibri" w:eastAsia="Times New Roman" w:hAnsi="Calibri" w:cs="Calibri"/>
                <w:color w:val="000000"/>
                <w:sz w:val="20"/>
                <w:szCs w:val="20"/>
                <w:lang w:eastAsia="zh-CN"/>
              </w:rPr>
            </w:pPr>
            <w:r w:rsidRPr="008854B0">
              <w:rPr>
                <w:rFonts w:ascii="Calibri" w:eastAsia="Times New Roman" w:hAnsi="Calibri" w:cs="Calibri"/>
                <w:color w:val="000000"/>
                <w:sz w:val="20"/>
                <w:szCs w:val="20"/>
                <w:lang w:eastAsia="zh-CN"/>
              </w:rPr>
              <w:t>6.7</w:t>
            </w:r>
            <w:r w:rsidR="00B31C59">
              <w:rPr>
                <w:rFonts w:ascii="Calibri" w:eastAsia="Times New Roman" w:hAnsi="Calibri" w:cs="Calibri"/>
                <w:color w:val="000000"/>
                <w:sz w:val="20"/>
                <w:szCs w:val="20"/>
                <w:lang w:eastAsia="zh-CN"/>
              </w:rPr>
              <w:t>%</w:t>
            </w:r>
          </w:p>
        </w:tc>
        <w:tc>
          <w:tcPr>
            <w:tcW w:w="964" w:type="dxa"/>
            <w:shd w:val="clear" w:color="auto" w:fill="auto"/>
            <w:vAlign w:val="bottom"/>
          </w:tcPr>
          <w:p w:rsidR="00D907AF" w:rsidRPr="008854B0" w:rsidRDefault="00D907AF" w:rsidP="00DB76BA">
            <w:pPr>
              <w:spacing w:before="0" w:after="0"/>
              <w:jc w:val="right"/>
              <w:rPr>
                <w:rFonts w:ascii="Calibri" w:eastAsia="Times New Roman" w:hAnsi="Calibri" w:cs="Calibri"/>
                <w:color w:val="000000"/>
                <w:sz w:val="20"/>
                <w:szCs w:val="20"/>
                <w:lang w:eastAsia="zh-CN"/>
              </w:rPr>
            </w:pPr>
            <w:r w:rsidRPr="008854B0">
              <w:rPr>
                <w:rFonts w:ascii="Calibri" w:eastAsia="Times New Roman" w:hAnsi="Calibri" w:cs="Calibri"/>
                <w:color w:val="000000"/>
                <w:sz w:val="20"/>
                <w:szCs w:val="20"/>
                <w:lang w:eastAsia="zh-CN"/>
              </w:rPr>
              <w:t>6.7</w:t>
            </w:r>
            <w:r w:rsidR="00B31C59">
              <w:rPr>
                <w:rFonts w:ascii="Calibri" w:eastAsia="Times New Roman" w:hAnsi="Calibri" w:cs="Calibri"/>
                <w:color w:val="000000"/>
                <w:sz w:val="20"/>
                <w:szCs w:val="20"/>
                <w:lang w:eastAsia="zh-CN"/>
              </w:rPr>
              <w:t>%</w:t>
            </w:r>
          </w:p>
        </w:tc>
        <w:tc>
          <w:tcPr>
            <w:tcW w:w="964" w:type="dxa"/>
            <w:shd w:val="clear" w:color="auto" w:fill="auto"/>
            <w:vAlign w:val="bottom"/>
          </w:tcPr>
          <w:p w:rsidR="00D907AF" w:rsidRPr="008854B0" w:rsidRDefault="00D907AF" w:rsidP="00DB76BA">
            <w:pPr>
              <w:spacing w:before="0" w:after="0"/>
              <w:jc w:val="right"/>
              <w:rPr>
                <w:rFonts w:ascii="Calibri" w:eastAsia="Times New Roman" w:hAnsi="Calibri" w:cs="Calibri"/>
                <w:color w:val="000000"/>
                <w:sz w:val="20"/>
                <w:szCs w:val="20"/>
                <w:lang w:eastAsia="zh-CN"/>
              </w:rPr>
            </w:pPr>
            <w:r w:rsidRPr="008854B0">
              <w:rPr>
                <w:rFonts w:ascii="Calibri" w:eastAsia="Times New Roman" w:hAnsi="Calibri" w:cs="Calibri"/>
                <w:color w:val="000000"/>
                <w:sz w:val="20"/>
                <w:szCs w:val="20"/>
                <w:lang w:eastAsia="zh-CN"/>
              </w:rPr>
              <w:t>6.7</w:t>
            </w:r>
            <w:r w:rsidR="00B31C59">
              <w:rPr>
                <w:rFonts w:ascii="Calibri" w:eastAsia="Times New Roman" w:hAnsi="Calibri" w:cs="Calibri"/>
                <w:color w:val="000000"/>
                <w:sz w:val="20"/>
                <w:szCs w:val="20"/>
                <w:lang w:eastAsia="zh-CN"/>
              </w:rPr>
              <w:t>%</w:t>
            </w:r>
          </w:p>
        </w:tc>
        <w:tc>
          <w:tcPr>
            <w:tcW w:w="794" w:type="dxa"/>
            <w:shd w:val="clear" w:color="auto" w:fill="auto"/>
            <w:vAlign w:val="bottom"/>
          </w:tcPr>
          <w:p w:rsidR="00D907AF" w:rsidRPr="007A4759" w:rsidRDefault="00D907AF" w:rsidP="00DB76BA">
            <w:pPr>
              <w:spacing w:before="0" w:after="0"/>
              <w:jc w:val="right"/>
              <w:rPr>
                <w:rFonts w:ascii="Calibri" w:eastAsia="Times New Roman" w:hAnsi="Calibri" w:cs="Calibri"/>
                <w:color w:val="000000"/>
                <w:sz w:val="20"/>
                <w:szCs w:val="20"/>
                <w:lang w:eastAsia="zh-CN"/>
              </w:rPr>
            </w:pPr>
            <w:r w:rsidRPr="007A4759">
              <w:rPr>
                <w:rFonts w:ascii="Calibri" w:eastAsia="Times New Roman" w:hAnsi="Calibri" w:cs="Calibri"/>
                <w:color w:val="000000"/>
                <w:sz w:val="20"/>
                <w:szCs w:val="20"/>
                <w:lang w:eastAsia="zh-CN"/>
              </w:rPr>
              <w:t>6.7</w:t>
            </w:r>
            <w:r w:rsidR="00B31C59">
              <w:rPr>
                <w:rFonts w:ascii="Calibri" w:eastAsia="Times New Roman" w:hAnsi="Calibri" w:cs="Calibri"/>
                <w:color w:val="000000"/>
                <w:sz w:val="20"/>
                <w:szCs w:val="20"/>
                <w:lang w:eastAsia="zh-CN"/>
              </w:rPr>
              <w:t>%</w:t>
            </w:r>
          </w:p>
        </w:tc>
        <w:tc>
          <w:tcPr>
            <w:tcW w:w="912" w:type="dxa"/>
            <w:vAlign w:val="bottom"/>
          </w:tcPr>
          <w:p w:rsidR="00D907AF" w:rsidRPr="00A95294" w:rsidRDefault="00D907AF" w:rsidP="00DB76BA">
            <w:pPr>
              <w:spacing w:before="0" w:after="0"/>
              <w:jc w:val="right"/>
              <w:rPr>
                <w:rFonts w:ascii="Calibri" w:eastAsia="Times New Roman" w:hAnsi="Calibri" w:cs="Calibri"/>
                <w:color w:val="000000"/>
                <w:sz w:val="20"/>
                <w:szCs w:val="20"/>
                <w:lang w:eastAsia="zh-CN"/>
              </w:rPr>
            </w:pPr>
            <w:r w:rsidRPr="00A95294">
              <w:rPr>
                <w:rFonts w:ascii="Calibri" w:eastAsia="Times New Roman" w:hAnsi="Calibri" w:cs="Calibri"/>
                <w:color w:val="000000"/>
                <w:sz w:val="20"/>
                <w:szCs w:val="20"/>
                <w:lang w:eastAsia="zh-CN"/>
              </w:rPr>
              <w:t>100</w:t>
            </w:r>
            <w:r w:rsidR="00A14CE9">
              <w:rPr>
                <w:rFonts w:ascii="Calibri" w:eastAsia="Times New Roman" w:hAnsi="Calibri" w:cs="Calibri"/>
                <w:color w:val="000000"/>
                <w:sz w:val="20"/>
                <w:szCs w:val="20"/>
                <w:lang w:eastAsia="zh-CN"/>
              </w:rPr>
              <w:t>.0</w:t>
            </w:r>
            <w:r w:rsidR="00B31C59">
              <w:rPr>
                <w:rFonts w:ascii="Calibri" w:eastAsia="Times New Roman" w:hAnsi="Calibri" w:cs="Calibri"/>
                <w:color w:val="000000"/>
                <w:sz w:val="20"/>
                <w:szCs w:val="20"/>
                <w:lang w:eastAsia="zh-CN"/>
              </w:rPr>
              <w:t>%</w:t>
            </w:r>
          </w:p>
        </w:tc>
      </w:tr>
      <w:tr w:rsidR="00E520AA" w:rsidRPr="00E877CA" w:rsidTr="00DB76BA">
        <w:trPr>
          <w:cantSplit/>
          <w:trHeight w:val="340"/>
        </w:trPr>
        <w:tc>
          <w:tcPr>
            <w:tcW w:w="2836" w:type="dxa"/>
            <w:tcBorders>
              <w:right w:val="single" w:sz="4" w:space="0" w:color="auto"/>
            </w:tcBorders>
            <w:shd w:val="clear" w:color="auto" w:fill="auto"/>
            <w:vAlign w:val="bottom"/>
          </w:tcPr>
          <w:p w:rsidR="00D907AF" w:rsidRPr="00E877CA" w:rsidRDefault="00D907AF" w:rsidP="00DB76BA">
            <w:pPr>
              <w:spacing w:before="20" w:after="20"/>
              <w:jc w:val="right"/>
              <w:rPr>
                <w:rFonts w:ascii="Calibri" w:eastAsia="Times New Roman" w:hAnsi="Calibri" w:cs="Calibri"/>
                <w:sz w:val="20"/>
                <w:szCs w:val="20"/>
                <w:lang w:eastAsia="zh-CN"/>
              </w:rPr>
            </w:pPr>
            <w:r w:rsidRPr="00E877CA">
              <w:rPr>
                <w:rFonts w:ascii="Calibri" w:eastAsia="Times New Roman" w:hAnsi="Calibri" w:cs="Calibri"/>
                <w:sz w:val="20"/>
                <w:szCs w:val="20"/>
                <w:lang w:eastAsia="zh-CN"/>
              </w:rPr>
              <w:t xml:space="preserve">Missing </w:t>
            </w:r>
          </w:p>
        </w:tc>
        <w:tc>
          <w:tcPr>
            <w:tcW w:w="850" w:type="dxa"/>
            <w:tcBorders>
              <w:left w:val="single" w:sz="4" w:space="0" w:color="auto"/>
            </w:tcBorders>
            <w:shd w:val="clear" w:color="auto" w:fill="auto"/>
            <w:vAlign w:val="bottom"/>
          </w:tcPr>
          <w:p w:rsidR="00D907AF" w:rsidRPr="007A79BA" w:rsidRDefault="00D907AF" w:rsidP="00DB76BA">
            <w:pPr>
              <w:spacing w:before="0" w:after="0"/>
              <w:jc w:val="right"/>
              <w:rPr>
                <w:rFonts w:ascii="Calibri" w:eastAsia="Times New Roman" w:hAnsi="Calibri" w:cs="Calibri"/>
                <w:color w:val="000000"/>
                <w:sz w:val="20"/>
                <w:szCs w:val="20"/>
                <w:lang w:eastAsia="zh-CN"/>
              </w:rPr>
            </w:pPr>
            <w:r w:rsidRPr="007A79BA">
              <w:rPr>
                <w:rFonts w:ascii="Calibri" w:eastAsia="Times New Roman" w:hAnsi="Calibri" w:cs="Calibri"/>
                <w:color w:val="000000"/>
                <w:sz w:val="20"/>
                <w:szCs w:val="20"/>
                <w:lang w:eastAsia="zh-CN"/>
              </w:rPr>
              <w:t>10</w:t>
            </w:r>
          </w:p>
        </w:tc>
        <w:tc>
          <w:tcPr>
            <w:tcW w:w="992" w:type="dxa"/>
            <w:shd w:val="clear" w:color="auto" w:fill="auto"/>
            <w:vAlign w:val="bottom"/>
          </w:tcPr>
          <w:p w:rsidR="00D907AF" w:rsidRPr="008854B0" w:rsidRDefault="00D907AF" w:rsidP="00DB76BA">
            <w:pPr>
              <w:spacing w:before="0" w:after="0"/>
              <w:jc w:val="right"/>
              <w:rPr>
                <w:rFonts w:ascii="Calibri" w:eastAsia="Times New Roman" w:hAnsi="Calibri" w:cs="Calibri"/>
                <w:color w:val="000000"/>
                <w:sz w:val="20"/>
                <w:szCs w:val="20"/>
                <w:lang w:eastAsia="zh-CN"/>
              </w:rPr>
            </w:pPr>
            <w:r w:rsidRPr="008854B0">
              <w:rPr>
                <w:rFonts w:ascii="Calibri" w:eastAsia="Times New Roman" w:hAnsi="Calibri" w:cs="Calibri"/>
                <w:color w:val="000000"/>
                <w:sz w:val="20"/>
                <w:szCs w:val="20"/>
                <w:lang w:eastAsia="zh-CN"/>
              </w:rPr>
              <w:t>8</w:t>
            </w:r>
          </w:p>
        </w:tc>
        <w:tc>
          <w:tcPr>
            <w:tcW w:w="1134" w:type="dxa"/>
            <w:shd w:val="clear" w:color="auto" w:fill="auto"/>
            <w:vAlign w:val="bottom"/>
          </w:tcPr>
          <w:p w:rsidR="00D907AF" w:rsidRPr="008854B0" w:rsidRDefault="00D907AF" w:rsidP="00DB76BA">
            <w:pPr>
              <w:spacing w:before="0" w:after="0"/>
              <w:jc w:val="right"/>
              <w:rPr>
                <w:rFonts w:ascii="Calibri" w:eastAsia="Times New Roman" w:hAnsi="Calibri" w:cs="Calibri"/>
                <w:color w:val="000000"/>
                <w:sz w:val="20"/>
                <w:szCs w:val="20"/>
                <w:lang w:eastAsia="zh-CN"/>
              </w:rPr>
            </w:pPr>
            <w:r w:rsidRPr="008854B0">
              <w:rPr>
                <w:rFonts w:ascii="Calibri" w:eastAsia="Times New Roman" w:hAnsi="Calibri" w:cs="Calibri"/>
                <w:color w:val="000000"/>
                <w:sz w:val="20"/>
                <w:szCs w:val="20"/>
                <w:lang w:eastAsia="zh-CN"/>
              </w:rPr>
              <w:t>3</w:t>
            </w:r>
          </w:p>
        </w:tc>
        <w:tc>
          <w:tcPr>
            <w:tcW w:w="964" w:type="dxa"/>
            <w:shd w:val="clear" w:color="auto" w:fill="auto"/>
            <w:vAlign w:val="bottom"/>
          </w:tcPr>
          <w:p w:rsidR="00D907AF" w:rsidRPr="008854B0" w:rsidRDefault="00D907AF" w:rsidP="00DB76BA">
            <w:pPr>
              <w:spacing w:before="0" w:after="0"/>
              <w:jc w:val="right"/>
              <w:rPr>
                <w:rFonts w:ascii="Calibri" w:eastAsia="Times New Roman" w:hAnsi="Calibri" w:cs="Calibri"/>
                <w:color w:val="000000"/>
                <w:sz w:val="20"/>
                <w:szCs w:val="20"/>
                <w:lang w:eastAsia="zh-CN"/>
              </w:rPr>
            </w:pPr>
            <w:r w:rsidRPr="008854B0">
              <w:rPr>
                <w:rFonts w:ascii="Calibri" w:eastAsia="Times New Roman" w:hAnsi="Calibri" w:cs="Calibri"/>
                <w:color w:val="000000"/>
                <w:sz w:val="20"/>
                <w:szCs w:val="20"/>
                <w:lang w:eastAsia="zh-CN"/>
              </w:rPr>
              <w:t>1</w:t>
            </w:r>
          </w:p>
        </w:tc>
        <w:tc>
          <w:tcPr>
            <w:tcW w:w="964" w:type="dxa"/>
            <w:shd w:val="clear" w:color="auto" w:fill="auto"/>
            <w:vAlign w:val="bottom"/>
          </w:tcPr>
          <w:p w:rsidR="00D907AF" w:rsidRPr="008854B0" w:rsidRDefault="00D907AF" w:rsidP="00DB76BA">
            <w:pPr>
              <w:spacing w:before="0" w:after="0"/>
              <w:jc w:val="right"/>
              <w:rPr>
                <w:rFonts w:ascii="Calibri" w:eastAsia="Times New Roman" w:hAnsi="Calibri" w:cs="Calibri"/>
                <w:color w:val="000000"/>
                <w:sz w:val="20"/>
                <w:szCs w:val="20"/>
                <w:lang w:eastAsia="zh-CN"/>
              </w:rPr>
            </w:pPr>
            <w:r w:rsidRPr="008854B0">
              <w:rPr>
                <w:rFonts w:ascii="Calibri" w:eastAsia="Times New Roman" w:hAnsi="Calibri" w:cs="Calibri"/>
                <w:color w:val="000000"/>
                <w:sz w:val="20"/>
                <w:szCs w:val="20"/>
                <w:lang w:eastAsia="zh-CN"/>
              </w:rPr>
              <w:t>0</w:t>
            </w:r>
          </w:p>
        </w:tc>
        <w:tc>
          <w:tcPr>
            <w:tcW w:w="794" w:type="dxa"/>
            <w:shd w:val="clear" w:color="auto" w:fill="auto"/>
            <w:vAlign w:val="bottom"/>
          </w:tcPr>
          <w:p w:rsidR="00D907AF" w:rsidRPr="007A4759" w:rsidRDefault="00D907AF" w:rsidP="00DB76BA">
            <w:pPr>
              <w:spacing w:before="0" w:after="0"/>
              <w:jc w:val="right"/>
              <w:rPr>
                <w:rFonts w:ascii="Calibri" w:eastAsia="Times New Roman" w:hAnsi="Calibri" w:cs="Calibri"/>
                <w:color w:val="000000"/>
                <w:sz w:val="20"/>
                <w:szCs w:val="20"/>
                <w:lang w:eastAsia="zh-CN"/>
              </w:rPr>
            </w:pPr>
            <w:r w:rsidRPr="007A4759">
              <w:rPr>
                <w:rFonts w:ascii="Calibri" w:eastAsia="Times New Roman" w:hAnsi="Calibri" w:cs="Calibri"/>
                <w:color w:val="000000"/>
                <w:sz w:val="20"/>
                <w:szCs w:val="20"/>
                <w:lang w:eastAsia="zh-CN"/>
              </w:rPr>
              <w:t>9</w:t>
            </w:r>
          </w:p>
        </w:tc>
        <w:tc>
          <w:tcPr>
            <w:tcW w:w="912" w:type="dxa"/>
            <w:vAlign w:val="bottom"/>
          </w:tcPr>
          <w:p w:rsidR="00D907AF" w:rsidRPr="00A95294" w:rsidRDefault="00D907AF" w:rsidP="00DB76BA">
            <w:pPr>
              <w:spacing w:before="0" w:after="0"/>
              <w:jc w:val="right"/>
              <w:rPr>
                <w:rFonts w:ascii="Calibri" w:eastAsia="Times New Roman" w:hAnsi="Calibri" w:cs="Calibri"/>
                <w:color w:val="000000"/>
                <w:sz w:val="20"/>
                <w:szCs w:val="20"/>
                <w:lang w:eastAsia="zh-CN"/>
              </w:rPr>
            </w:pPr>
            <w:r w:rsidRPr="00A95294">
              <w:rPr>
                <w:rFonts w:ascii="Calibri" w:eastAsia="Times New Roman" w:hAnsi="Calibri" w:cs="Calibri"/>
                <w:color w:val="000000"/>
                <w:sz w:val="20"/>
                <w:szCs w:val="20"/>
                <w:lang w:eastAsia="zh-CN"/>
              </w:rPr>
              <w:t>31</w:t>
            </w:r>
          </w:p>
        </w:tc>
      </w:tr>
      <w:tr w:rsidR="00E520AA" w:rsidRPr="00E877CA" w:rsidTr="00DB76BA">
        <w:trPr>
          <w:cantSplit/>
        </w:trPr>
        <w:tc>
          <w:tcPr>
            <w:tcW w:w="2836" w:type="dxa"/>
            <w:tcBorders>
              <w:bottom w:val="single" w:sz="4" w:space="0" w:color="auto"/>
              <w:right w:val="single" w:sz="4" w:space="0" w:color="auto"/>
            </w:tcBorders>
            <w:shd w:val="clear" w:color="auto" w:fill="auto"/>
            <w:vAlign w:val="bottom"/>
          </w:tcPr>
          <w:p w:rsidR="00D907AF" w:rsidRPr="00E877CA" w:rsidRDefault="00A74621" w:rsidP="00DB76BA">
            <w:pPr>
              <w:spacing w:before="20" w:after="20"/>
              <w:jc w:val="right"/>
              <w:rPr>
                <w:rFonts w:ascii="Calibri" w:eastAsia="Times New Roman" w:hAnsi="Calibri" w:cs="Calibri"/>
                <w:sz w:val="20"/>
                <w:szCs w:val="20"/>
                <w:lang w:eastAsia="zh-CN"/>
              </w:rPr>
            </w:pPr>
            <w:r w:rsidRPr="00A74621">
              <w:rPr>
                <w:rFonts w:ascii="Calibri" w:eastAsia="Times New Roman" w:hAnsi="Calibri" w:cs="Calibri"/>
                <w:color w:val="FFFFFF" w:themeColor="background1"/>
                <w:sz w:val="20"/>
                <w:szCs w:val="20"/>
                <w:lang w:eastAsia="zh-CN"/>
              </w:rPr>
              <w:t>Missing</w:t>
            </w:r>
          </w:p>
        </w:tc>
        <w:tc>
          <w:tcPr>
            <w:tcW w:w="850" w:type="dxa"/>
            <w:tcBorders>
              <w:left w:val="single" w:sz="4" w:space="0" w:color="auto"/>
              <w:bottom w:val="single" w:sz="4" w:space="0" w:color="auto"/>
            </w:tcBorders>
            <w:shd w:val="clear" w:color="auto" w:fill="auto"/>
            <w:vAlign w:val="bottom"/>
          </w:tcPr>
          <w:p w:rsidR="00D907AF" w:rsidRPr="007A79BA" w:rsidRDefault="00D907AF" w:rsidP="00DB76BA">
            <w:pPr>
              <w:spacing w:before="0" w:after="0"/>
              <w:jc w:val="right"/>
              <w:rPr>
                <w:rFonts w:ascii="Calibri" w:eastAsia="Times New Roman" w:hAnsi="Calibri" w:cs="Calibri"/>
                <w:color w:val="000000"/>
                <w:sz w:val="20"/>
                <w:szCs w:val="20"/>
                <w:lang w:eastAsia="zh-CN"/>
              </w:rPr>
            </w:pPr>
            <w:r w:rsidRPr="007A79BA">
              <w:rPr>
                <w:rFonts w:ascii="Calibri" w:eastAsia="Times New Roman" w:hAnsi="Calibri" w:cs="Calibri"/>
                <w:color w:val="000000"/>
                <w:sz w:val="20"/>
                <w:szCs w:val="20"/>
                <w:lang w:eastAsia="zh-CN"/>
              </w:rPr>
              <w:t>32.3</w:t>
            </w:r>
            <w:r w:rsidR="00B31C59">
              <w:rPr>
                <w:rFonts w:ascii="Calibri" w:eastAsia="Times New Roman" w:hAnsi="Calibri" w:cs="Calibri"/>
                <w:color w:val="000000"/>
                <w:sz w:val="20"/>
                <w:szCs w:val="20"/>
                <w:lang w:eastAsia="zh-CN"/>
              </w:rPr>
              <w:t>%</w:t>
            </w:r>
          </w:p>
        </w:tc>
        <w:tc>
          <w:tcPr>
            <w:tcW w:w="992" w:type="dxa"/>
            <w:tcBorders>
              <w:bottom w:val="single" w:sz="4" w:space="0" w:color="auto"/>
            </w:tcBorders>
            <w:shd w:val="clear" w:color="auto" w:fill="auto"/>
            <w:vAlign w:val="bottom"/>
          </w:tcPr>
          <w:p w:rsidR="00D907AF" w:rsidRPr="008854B0" w:rsidRDefault="00D907AF" w:rsidP="00DB76BA">
            <w:pPr>
              <w:spacing w:before="0" w:after="0"/>
              <w:jc w:val="right"/>
              <w:rPr>
                <w:rFonts w:ascii="Calibri" w:eastAsia="Times New Roman" w:hAnsi="Calibri" w:cs="Calibri"/>
                <w:color w:val="000000"/>
                <w:sz w:val="20"/>
                <w:szCs w:val="20"/>
                <w:lang w:eastAsia="zh-CN"/>
              </w:rPr>
            </w:pPr>
            <w:r w:rsidRPr="008854B0">
              <w:rPr>
                <w:rFonts w:ascii="Calibri" w:eastAsia="Times New Roman" w:hAnsi="Calibri" w:cs="Calibri"/>
                <w:color w:val="000000"/>
                <w:sz w:val="20"/>
                <w:szCs w:val="20"/>
                <w:lang w:eastAsia="zh-CN"/>
              </w:rPr>
              <w:t>25.8</w:t>
            </w:r>
            <w:r w:rsidR="00B31C59">
              <w:rPr>
                <w:rFonts w:ascii="Calibri" w:eastAsia="Times New Roman" w:hAnsi="Calibri" w:cs="Calibri"/>
                <w:color w:val="000000"/>
                <w:sz w:val="20"/>
                <w:szCs w:val="20"/>
                <w:lang w:eastAsia="zh-CN"/>
              </w:rPr>
              <w:t>%</w:t>
            </w:r>
          </w:p>
        </w:tc>
        <w:tc>
          <w:tcPr>
            <w:tcW w:w="1134" w:type="dxa"/>
            <w:tcBorders>
              <w:bottom w:val="single" w:sz="4" w:space="0" w:color="auto"/>
            </w:tcBorders>
            <w:shd w:val="clear" w:color="auto" w:fill="auto"/>
            <w:vAlign w:val="bottom"/>
          </w:tcPr>
          <w:p w:rsidR="00D907AF" w:rsidRPr="008854B0" w:rsidRDefault="00D907AF" w:rsidP="00DB76BA">
            <w:pPr>
              <w:spacing w:before="0" w:after="0"/>
              <w:jc w:val="right"/>
              <w:rPr>
                <w:rFonts w:ascii="Calibri" w:eastAsia="Times New Roman" w:hAnsi="Calibri" w:cs="Calibri"/>
                <w:color w:val="000000"/>
                <w:sz w:val="20"/>
                <w:szCs w:val="20"/>
                <w:lang w:eastAsia="zh-CN"/>
              </w:rPr>
            </w:pPr>
            <w:r w:rsidRPr="008854B0">
              <w:rPr>
                <w:rFonts w:ascii="Calibri" w:eastAsia="Times New Roman" w:hAnsi="Calibri" w:cs="Calibri"/>
                <w:color w:val="000000"/>
                <w:sz w:val="20"/>
                <w:szCs w:val="20"/>
                <w:lang w:eastAsia="zh-CN"/>
              </w:rPr>
              <w:t>9.7</w:t>
            </w:r>
            <w:r w:rsidR="00B31C59">
              <w:rPr>
                <w:rFonts w:ascii="Calibri" w:eastAsia="Times New Roman" w:hAnsi="Calibri" w:cs="Calibri"/>
                <w:color w:val="000000"/>
                <w:sz w:val="20"/>
                <w:szCs w:val="20"/>
                <w:lang w:eastAsia="zh-CN"/>
              </w:rPr>
              <w:t>%</w:t>
            </w:r>
          </w:p>
        </w:tc>
        <w:tc>
          <w:tcPr>
            <w:tcW w:w="964" w:type="dxa"/>
            <w:tcBorders>
              <w:bottom w:val="single" w:sz="4" w:space="0" w:color="auto"/>
            </w:tcBorders>
            <w:shd w:val="clear" w:color="auto" w:fill="auto"/>
            <w:vAlign w:val="bottom"/>
          </w:tcPr>
          <w:p w:rsidR="00D907AF" w:rsidRPr="008854B0" w:rsidRDefault="00D907AF" w:rsidP="00DB76BA">
            <w:pPr>
              <w:spacing w:before="0" w:after="0"/>
              <w:jc w:val="right"/>
              <w:rPr>
                <w:rFonts w:ascii="Calibri" w:eastAsia="Times New Roman" w:hAnsi="Calibri" w:cs="Calibri"/>
                <w:color w:val="000000"/>
                <w:sz w:val="20"/>
                <w:szCs w:val="20"/>
                <w:lang w:eastAsia="zh-CN"/>
              </w:rPr>
            </w:pPr>
            <w:r w:rsidRPr="008854B0">
              <w:rPr>
                <w:rFonts w:ascii="Calibri" w:eastAsia="Times New Roman" w:hAnsi="Calibri" w:cs="Calibri"/>
                <w:color w:val="000000"/>
                <w:sz w:val="20"/>
                <w:szCs w:val="20"/>
                <w:lang w:eastAsia="zh-CN"/>
              </w:rPr>
              <w:t>3.2</w:t>
            </w:r>
            <w:r w:rsidR="00B31C59">
              <w:rPr>
                <w:rFonts w:ascii="Calibri" w:eastAsia="Times New Roman" w:hAnsi="Calibri" w:cs="Calibri"/>
                <w:color w:val="000000"/>
                <w:sz w:val="20"/>
                <w:szCs w:val="20"/>
                <w:lang w:eastAsia="zh-CN"/>
              </w:rPr>
              <w:t>%</w:t>
            </w:r>
          </w:p>
        </w:tc>
        <w:tc>
          <w:tcPr>
            <w:tcW w:w="964" w:type="dxa"/>
            <w:tcBorders>
              <w:bottom w:val="single" w:sz="4" w:space="0" w:color="auto"/>
            </w:tcBorders>
            <w:shd w:val="clear" w:color="auto" w:fill="auto"/>
            <w:vAlign w:val="bottom"/>
          </w:tcPr>
          <w:p w:rsidR="00D907AF" w:rsidRPr="008854B0" w:rsidRDefault="00D907AF" w:rsidP="00DB76BA">
            <w:pPr>
              <w:spacing w:before="0" w:after="0"/>
              <w:jc w:val="right"/>
              <w:rPr>
                <w:rFonts w:ascii="Calibri" w:eastAsia="Times New Roman" w:hAnsi="Calibri" w:cs="Calibri"/>
                <w:color w:val="000000"/>
                <w:sz w:val="20"/>
                <w:szCs w:val="20"/>
                <w:lang w:eastAsia="zh-CN"/>
              </w:rPr>
            </w:pPr>
            <w:r w:rsidRPr="008854B0">
              <w:rPr>
                <w:rFonts w:ascii="Calibri" w:eastAsia="Times New Roman" w:hAnsi="Calibri" w:cs="Calibri"/>
                <w:color w:val="000000"/>
                <w:sz w:val="20"/>
                <w:szCs w:val="20"/>
                <w:lang w:eastAsia="zh-CN"/>
              </w:rPr>
              <w:t>0.0</w:t>
            </w:r>
            <w:r w:rsidR="00B31C59">
              <w:rPr>
                <w:rFonts w:ascii="Calibri" w:eastAsia="Times New Roman" w:hAnsi="Calibri" w:cs="Calibri"/>
                <w:color w:val="000000"/>
                <w:sz w:val="20"/>
                <w:szCs w:val="20"/>
                <w:lang w:eastAsia="zh-CN"/>
              </w:rPr>
              <w:t>%</w:t>
            </w:r>
          </w:p>
        </w:tc>
        <w:tc>
          <w:tcPr>
            <w:tcW w:w="794" w:type="dxa"/>
            <w:tcBorders>
              <w:bottom w:val="single" w:sz="4" w:space="0" w:color="auto"/>
            </w:tcBorders>
            <w:shd w:val="clear" w:color="auto" w:fill="auto"/>
            <w:vAlign w:val="bottom"/>
          </w:tcPr>
          <w:p w:rsidR="00D907AF" w:rsidRPr="007A4759" w:rsidRDefault="00D907AF" w:rsidP="00DB76BA">
            <w:pPr>
              <w:spacing w:before="0" w:after="0"/>
              <w:jc w:val="right"/>
              <w:rPr>
                <w:rFonts w:ascii="Calibri" w:eastAsia="Times New Roman" w:hAnsi="Calibri" w:cs="Calibri"/>
                <w:color w:val="000000"/>
                <w:sz w:val="20"/>
                <w:szCs w:val="20"/>
                <w:lang w:eastAsia="zh-CN"/>
              </w:rPr>
            </w:pPr>
            <w:r w:rsidRPr="007A4759">
              <w:rPr>
                <w:rFonts w:ascii="Calibri" w:eastAsia="Times New Roman" w:hAnsi="Calibri" w:cs="Calibri"/>
                <w:color w:val="000000"/>
                <w:sz w:val="20"/>
                <w:szCs w:val="20"/>
                <w:lang w:eastAsia="zh-CN"/>
              </w:rPr>
              <w:t>29.0</w:t>
            </w:r>
            <w:r w:rsidR="00B31C59">
              <w:rPr>
                <w:rFonts w:ascii="Calibri" w:eastAsia="Times New Roman" w:hAnsi="Calibri" w:cs="Calibri"/>
                <w:color w:val="000000"/>
                <w:sz w:val="20"/>
                <w:szCs w:val="20"/>
                <w:lang w:eastAsia="zh-CN"/>
              </w:rPr>
              <w:t>%</w:t>
            </w:r>
          </w:p>
        </w:tc>
        <w:tc>
          <w:tcPr>
            <w:tcW w:w="912" w:type="dxa"/>
            <w:tcBorders>
              <w:bottom w:val="single" w:sz="4" w:space="0" w:color="auto"/>
            </w:tcBorders>
            <w:vAlign w:val="bottom"/>
          </w:tcPr>
          <w:p w:rsidR="00D907AF" w:rsidRPr="00A95294" w:rsidRDefault="00D907AF" w:rsidP="00DB76BA">
            <w:pPr>
              <w:spacing w:before="0" w:after="0"/>
              <w:jc w:val="right"/>
              <w:rPr>
                <w:rFonts w:ascii="Calibri" w:eastAsia="Times New Roman" w:hAnsi="Calibri" w:cs="Calibri"/>
                <w:color w:val="000000"/>
                <w:sz w:val="20"/>
                <w:szCs w:val="20"/>
                <w:lang w:eastAsia="zh-CN"/>
              </w:rPr>
            </w:pPr>
            <w:r w:rsidRPr="00A95294">
              <w:rPr>
                <w:rFonts w:ascii="Calibri" w:eastAsia="Times New Roman" w:hAnsi="Calibri" w:cs="Calibri"/>
                <w:color w:val="000000"/>
                <w:sz w:val="20"/>
                <w:szCs w:val="20"/>
                <w:lang w:eastAsia="zh-CN"/>
              </w:rPr>
              <w:t>100</w:t>
            </w:r>
            <w:r w:rsidR="00A14CE9">
              <w:rPr>
                <w:rFonts w:ascii="Calibri" w:eastAsia="Times New Roman" w:hAnsi="Calibri" w:cs="Calibri"/>
                <w:color w:val="000000"/>
                <w:sz w:val="20"/>
                <w:szCs w:val="20"/>
                <w:lang w:eastAsia="zh-CN"/>
              </w:rPr>
              <w:t>.0</w:t>
            </w:r>
            <w:r w:rsidR="00B31C59">
              <w:rPr>
                <w:rFonts w:ascii="Calibri" w:eastAsia="Times New Roman" w:hAnsi="Calibri" w:cs="Calibri"/>
                <w:color w:val="000000"/>
                <w:sz w:val="20"/>
                <w:szCs w:val="20"/>
                <w:lang w:eastAsia="zh-CN"/>
              </w:rPr>
              <w:t>%</w:t>
            </w:r>
          </w:p>
        </w:tc>
      </w:tr>
      <w:tr w:rsidR="00E520AA" w:rsidRPr="00E877CA" w:rsidTr="000924FC">
        <w:trPr>
          <w:cantSplit/>
        </w:trPr>
        <w:tc>
          <w:tcPr>
            <w:tcW w:w="2836" w:type="dxa"/>
            <w:tcBorders>
              <w:top w:val="single" w:sz="4" w:space="0" w:color="auto"/>
            </w:tcBorders>
            <w:shd w:val="clear" w:color="auto" w:fill="auto"/>
            <w:vAlign w:val="bottom"/>
          </w:tcPr>
          <w:p w:rsidR="00D907AF" w:rsidRPr="00E877CA" w:rsidRDefault="00D907AF" w:rsidP="000924FC">
            <w:pPr>
              <w:spacing w:before="20" w:after="20"/>
              <w:jc w:val="right"/>
              <w:rPr>
                <w:rFonts w:ascii="Calibri" w:eastAsia="Times New Roman" w:hAnsi="Calibri" w:cs="Calibri"/>
                <w:sz w:val="20"/>
                <w:szCs w:val="20"/>
                <w:lang w:eastAsia="zh-CN"/>
              </w:rPr>
            </w:pPr>
            <w:r w:rsidRPr="00E877CA">
              <w:rPr>
                <w:rFonts w:ascii="Calibri" w:eastAsia="Times New Roman" w:hAnsi="Calibri" w:cs="Calibri"/>
                <w:b/>
                <w:sz w:val="20"/>
                <w:szCs w:val="20"/>
                <w:lang w:eastAsia="zh-CN"/>
              </w:rPr>
              <w:t>Total</w:t>
            </w:r>
          </w:p>
        </w:tc>
        <w:tc>
          <w:tcPr>
            <w:tcW w:w="850" w:type="dxa"/>
            <w:tcBorders>
              <w:top w:val="single" w:sz="4" w:space="0" w:color="auto"/>
            </w:tcBorders>
            <w:shd w:val="clear" w:color="auto" w:fill="auto"/>
            <w:vAlign w:val="bottom"/>
          </w:tcPr>
          <w:p w:rsidR="00D907AF" w:rsidRPr="007A79BA" w:rsidRDefault="00D907AF" w:rsidP="000924FC">
            <w:pPr>
              <w:spacing w:before="0" w:after="0"/>
              <w:jc w:val="right"/>
              <w:rPr>
                <w:rFonts w:ascii="Calibri" w:eastAsia="Times New Roman" w:hAnsi="Calibri" w:cs="Calibri"/>
                <w:b/>
                <w:bCs/>
                <w:color w:val="000000"/>
                <w:sz w:val="20"/>
                <w:szCs w:val="20"/>
                <w:lang w:eastAsia="zh-CN"/>
              </w:rPr>
            </w:pPr>
            <w:r w:rsidRPr="007A79BA">
              <w:rPr>
                <w:rFonts w:ascii="Calibri" w:eastAsia="Times New Roman" w:hAnsi="Calibri" w:cs="Calibri"/>
                <w:b/>
                <w:bCs/>
                <w:color w:val="000000"/>
                <w:sz w:val="20"/>
                <w:szCs w:val="20"/>
                <w:lang w:eastAsia="zh-CN"/>
              </w:rPr>
              <w:t>123</w:t>
            </w:r>
          </w:p>
        </w:tc>
        <w:tc>
          <w:tcPr>
            <w:tcW w:w="992" w:type="dxa"/>
            <w:tcBorders>
              <w:top w:val="single" w:sz="4" w:space="0" w:color="auto"/>
            </w:tcBorders>
            <w:shd w:val="clear" w:color="auto" w:fill="auto"/>
            <w:vAlign w:val="bottom"/>
          </w:tcPr>
          <w:p w:rsidR="00D907AF" w:rsidRPr="008854B0" w:rsidRDefault="00D907AF" w:rsidP="000924FC">
            <w:pPr>
              <w:spacing w:before="0" w:after="0"/>
              <w:jc w:val="right"/>
              <w:rPr>
                <w:rFonts w:ascii="Calibri" w:eastAsia="Times New Roman" w:hAnsi="Calibri" w:cs="Calibri"/>
                <w:b/>
                <w:bCs/>
                <w:color w:val="000000"/>
                <w:sz w:val="20"/>
                <w:szCs w:val="20"/>
                <w:lang w:eastAsia="zh-CN"/>
              </w:rPr>
            </w:pPr>
            <w:r w:rsidRPr="008854B0">
              <w:rPr>
                <w:rFonts w:ascii="Calibri" w:eastAsia="Times New Roman" w:hAnsi="Calibri" w:cs="Calibri"/>
                <w:b/>
                <w:bCs/>
                <w:color w:val="000000"/>
                <w:sz w:val="20"/>
                <w:szCs w:val="20"/>
                <w:lang w:eastAsia="zh-CN"/>
              </w:rPr>
              <w:t>113</w:t>
            </w:r>
          </w:p>
        </w:tc>
        <w:tc>
          <w:tcPr>
            <w:tcW w:w="1134" w:type="dxa"/>
            <w:tcBorders>
              <w:top w:val="single" w:sz="4" w:space="0" w:color="auto"/>
            </w:tcBorders>
            <w:shd w:val="clear" w:color="auto" w:fill="auto"/>
            <w:vAlign w:val="bottom"/>
          </w:tcPr>
          <w:p w:rsidR="00D907AF" w:rsidRPr="008854B0" w:rsidRDefault="00D907AF" w:rsidP="000924FC">
            <w:pPr>
              <w:spacing w:before="0" w:after="0"/>
              <w:jc w:val="right"/>
              <w:rPr>
                <w:rFonts w:ascii="Calibri" w:eastAsia="Times New Roman" w:hAnsi="Calibri" w:cs="Calibri"/>
                <w:b/>
                <w:bCs/>
                <w:color w:val="000000"/>
                <w:sz w:val="20"/>
                <w:szCs w:val="20"/>
                <w:lang w:eastAsia="zh-CN"/>
              </w:rPr>
            </w:pPr>
            <w:r w:rsidRPr="008854B0">
              <w:rPr>
                <w:rFonts w:ascii="Calibri" w:eastAsia="Times New Roman" w:hAnsi="Calibri" w:cs="Calibri"/>
                <w:b/>
                <w:bCs/>
                <w:color w:val="000000"/>
                <w:sz w:val="20"/>
                <w:szCs w:val="20"/>
                <w:lang w:eastAsia="zh-CN"/>
              </w:rPr>
              <w:t>28</w:t>
            </w:r>
          </w:p>
        </w:tc>
        <w:tc>
          <w:tcPr>
            <w:tcW w:w="964" w:type="dxa"/>
            <w:tcBorders>
              <w:top w:val="single" w:sz="4" w:space="0" w:color="auto"/>
            </w:tcBorders>
            <w:shd w:val="clear" w:color="auto" w:fill="auto"/>
            <w:vAlign w:val="bottom"/>
          </w:tcPr>
          <w:p w:rsidR="00D907AF" w:rsidRPr="008854B0" w:rsidRDefault="00D907AF" w:rsidP="000924FC">
            <w:pPr>
              <w:spacing w:before="0" w:after="0"/>
              <w:jc w:val="right"/>
              <w:rPr>
                <w:rFonts w:ascii="Calibri" w:eastAsia="Times New Roman" w:hAnsi="Calibri" w:cs="Calibri"/>
                <w:b/>
                <w:bCs/>
                <w:color w:val="000000"/>
                <w:sz w:val="20"/>
                <w:szCs w:val="20"/>
                <w:lang w:eastAsia="zh-CN"/>
              </w:rPr>
            </w:pPr>
            <w:r w:rsidRPr="008854B0">
              <w:rPr>
                <w:rFonts w:ascii="Calibri" w:eastAsia="Times New Roman" w:hAnsi="Calibri" w:cs="Calibri"/>
                <w:b/>
                <w:bCs/>
                <w:color w:val="000000"/>
                <w:sz w:val="20"/>
                <w:szCs w:val="20"/>
                <w:lang w:eastAsia="zh-CN"/>
              </w:rPr>
              <w:t>17</w:t>
            </w:r>
          </w:p>
        </w:tc>
        <w:tc>
          <w:tcPr>
            <w:tcW w:w="964" w:type="dxa"/>
            <w:tcBorders>
              <w:top w:val="single" w:sz="4" w:space="0" w:color="auto"/>
            </w:tcBorders>
            <w:shd w:val="clear" w:color="auto" w:fill="auto"/>
            <w:vAlign w:val="bottom"/>
          </w:tcPr>
          <w:p w:rsidR="00D907AF" w:rsidRPr="008854B0" w:rsidRDefault="00D907AF" w:rsidP="000924FC">
            <w:pPr>
              <w:spacing w:before="0" w:after="0"/>
              <w:jc w:val="right"/>
              <w:rPr>
                <w:rFonts w:ascii="Calibri" w:eastAsia="Times New Roman" w:hAnsi="Calibri" w:cs="Calibri"/>
                <w:b/>
                <w:bCs/>
                <w:color w:val="000000"/>
                <w:sz w:val="20"/>
                <w:szCs w:val="20"/>
                <w:lang w:eastAsia="zh-CN"/>
              </w:rPr>
            </w:pPr>
            <w:r w:rsidRPr="008854B0">
              <w:rPr>
                <w:rFonts w:ascii="Calibri" w:eastAsia="Times New Roman" w:hAnsi="Calibri" w:cs="Calibri"/>
                <w:b/>
                <w:bCs/>
                <w:color w:val="000000"/>
                <w:sz w:val="20"/>
                <w:szCs w:val="20"/>
                <w:lang w:eastAsia="zh-CN"/>
              </w:rPr>
              <w:t>8</w:t>
            </w:r>
          </w:p>
        </w:tc>
        <w:tc>
          <w:tcPr>
            <w:tcW w:w="794" w:type="dxa"/>
            <w:tcBorders>
              <w:top w:val="single" w:sz="4" w:space="0" w:color="auto"/>
            </w:tcBorders>
            <w:shd w:val="clear" w:color="auto" w:fill="auto"/>
            <w:vAlign w:val="bottom"/>
          </w:tcPr>
          <w:p w:rsidR="00D907AF" w:rsidRPr="007A4759" w:rsidRDefault="00D907AF" w:rsidP="000924FC">
            <w:pPr>
              <w:spacing w:before="0" w:after="0"/>
              <w:jc w:val="right"/>
              <w:rPr>
                <w:rFonts w:ascii="Calibri" w:eastAsia="Times New Roman" w:hAnsi="Calibri" w:cs="Calibri"/>
                <w:b/>
                <w:bCs/>
                <w:color w:val="000000"/>
                <w:sz w:val="20"/>
                <w:szCs w:val="20"/>
                <w:lang w:eastAsia="zh-CN"/>
              </w:rPr>
            </w:pPr>
            <w:r w:rsidRPr="007A4759">
              <w:rPr>
                <w:rFonts w:ascii="Calibri" w:eastAsia="Times New Roman" w:hAnsi="Calibri" w:cs="Calibri"/>
                <w:b/>
                <w:bCs/>
                <w:color w:val="000000"/>
                <w:sz w:val="20"/>
                <w:szCs w:val="20"/>
                <w:lang w:eastAsia="zh-CN"/>
              </w:rPr>
              <w:t>11</w:t>
            </w:r>
          </w:p>
        </w:tc>
        <w:tc>
          <w:tcPr>
            <w:tcW w:w="912" w:type="dxa"/>
            <w:tcBorders>
              <w:top w:val="single" w:sz="4" w:space="0" w:color="auto"/>
            </w:tcBorders>
            <w:vAlign w:val="bottom"/>
          </w:tcPr>
          <w:p w:rsidR="00D907AF" w:rsidRPr="00A95294" w:rsidRDefault="00D907AF" w:rsidP="000924FC">
            <w:pPr>
              <w:spacing w:before="0" w:after="0"/>
              <w:jc w:val="right"/>
              <w:rPr>
                <w:rFonts w:ascii="Calibri" w:eastAsia="Times New Roman" w:hAnsi="Calibri" w:cs="Calibri"/>
                <w:b/>
                <w:bCs/>
                <w:color w:val="000000"/>
                <w:sz w:val="20"/>
                <w:szCs w:val="20"/>
                <w:lang w:eastAsia="zh-CN"/>
              </w:rPr>
            </w:pPr>
            <w:r w:rsidRPr="00A95294">
              <w:rPr>
                <w:rFonts w:ascii="Calibri" w:eastAsia="Times New Roman" w:hAnsi="Calibri" w:cs="Calibri"/>
                <w:b/>
                <w:bCs/>
                <w:color w:val="000000"/>
                <w:sz w:val="20"/>
                <w:szCs w:val="20"/>
                <w:lang w:eastAsia="zh-CN"/>
              </w:rPr>
              <w:t>300</w:t>
            </w:r>
          </w:p>
        </w:tc>
      </w:tr>
      <w:tr w:rsidR="00E520AA" w:rsidRPr="00E877CA" w:rsidTr="000924FC">
        <w:trPr>
          <w:cantSplit/>
        </w:trPr>
        <w:tc>
          <w:tcPr>
            <w:tcW w:w="2836" w:type="dxa"/>
            <w:tcBorders>
              <w:bottom w:val="single" w:sz="4" w:space="0" w:color="auto"/>
            </w:tcBorders>
            <w:shd w:val="clear" w:color="auto" w:fill="auto"/>
            <w:vAlign w:val="bottom"/>
          </w:tcPr>
          <w:p w:rsidR="00D907AF" w:rsidRPr="000E5163" w:rsidRDefault="000E5163" w:rsidP="000924FC">
            <w:pPr>
              <w:spacing w:before="20" w:after="20"/>
              <w:jc w:val="right"/>
              <w:rPr>
                <w:rFonts w:ascii="Calibri" w:eastAsia="Times New Roman" w:hAnsi="Calibri" w:cs="Calibri"/>
                <w:sz w:val="20"/>
                <w:szCs w:val="20"/>
                <w:lang w:eastAsia="zh-CN"/>
              </w:rPr>
            </w:pPr>
            <w:r w:rsidRPr="000E5163">
              <w:rPr>
                <w:rFonts w:ascii="Calibri" w:eastAsia="Times New Roman" w:hAnsi="Calibri" w:cs="Calibri"/>
                <w:color w:val="FFFFFF" w:themeColor="background1"/>
                <w:sz w:val="20"/>
                <w:szCs w:val="20"/>
                <w:lang w:eastAsia="zh-CN"/>
              </w:rPr>
              <w:t>Total percentage</w:t>
            </w:r>
          </w:p>
        </w:tc>
        <w:tc>
          <w:tcPr>
            <w:tcW w:w="850" w:type="dxa"/>
            <w:tcBorders>
              <w:bottom w:val="single" w:sz="4" w:space="0" w:color="auto"/>
            </w:tcBorders>
            <w:shd w:val="clear" w:color="auto" w:fill="auto"/>
            <w:vAlign w:val="bottom"/>
          </w:tcPr>
          <w:p w:rsidR="00D907AF" w:rsidRPr="007A79BA" w:rsidRDefault="00B31C59" w:rsidP="000924FC">
            <w:pPr>
              <w:spacing w:before="0" w:after="0"/>
              <w:jc w:val="right"/>
              <w:rPr>
                <w:rFonts w:ascii="Calibri" w:eastAsia="Times New Roman" w:hAnsi="Calibri" w:cs="Calibri"/>
                <w:color w:val="000000"/>
                <w:sz w:val="20"/>
                <w:szCs w:val="20"/>
                <w:lang w:eastAsia="zh-CN"/>
              </w:rPr>
            </w:pPr>
            <w:r>
              <w:rPr>
                <w:rFonts w:ascii="Calibri" w:eastAsia="Times New Roman" w:hAnsi="Calibri" w:cs="Calibri"/>
                <w:color w:val="000000"/>
                <w:sz w:val="20"/>
                <w:szCs w:val="20"/>
                <w:lang w:eastAsia="zh-CN"/>
              </w:rPr>
              <w:t>41.0%</w:t>
            </w:r>
          </w:p>
        </w:tc>
        <w:tc>
          <w:tcPr>
            <w:tcW w:w="992" w:type="dxa"/>
            <w:tcBorders>
              <w:bottom w:val="single" w:sz="4" w:space="0" w:color="auto"/>
            </w:tcBorders>
            <w:shd w:val="clear" w:color="auto" w:fill="auto"/>
            <w:vAlign w:val="bottom"/>
          </w:tcPr>
          <w:p w:rsidR="00D907AF" w:rsidRPr="008854B0" w:rsidRDefault="00B31C59" w:rsidP="000924FC">
            <w:pPr>
              <w:spacing w:before="0" w:after="0"/>
              <w:jc w:val="right"/>
              <w:rPr>
                <w:rFonts w:ascii="Calibri" w:eastAsia="Times New Roman" w:hAnsi="Calibri" w:cs="Calibri"/>
                <w:color w:val="000000"/>
                <w:sz w:val="20"/>
                <w:szCs w:val="20"/>
                <w:lang w:eastAsia="zh-CN"/>
              </w:rPr>
            </w:pPr>
            <w:r>
              <w:rPr>
                <w:rFonts w:ascii="Calibri" w:eastAsia="Times New Roman" w:hAnsi="Calibri" w:cs="Calibri"/>
                <w:color w:val="000000"/>
                <w:sz w:val="20"/>
                <w:szCs w:val="20"/>
                <w:lang w:eastAsia="zh-CN"/>
              </w:rPr>
              <w:t>37.7%</w:t>
            </w:r>
          </w:p>
        </w:tc>
        <w:tc>
          <w:tcPr>
            <w:tcW w:w="1134" w:type="dxa"/>
            <w:tcBorders>
              <w:bottom w:val="single" w:sz="4" w:space="0" w:color="auto"/>
            </w:tcBorders>
            <w:shd w:val="clear" w:color="auto" w:fill="auto"/>
            <w:vAlign w:val="bottom"/>
          </w:tcPr>
          <w:p w:rsidR="00D907AF" w:rsidRPr="008854B0" w:rsidRDefault="00D907AF" w:rsidP="000924FC">
            <w:pPr>
              <w:spacing w:before="0" w:after="0"/>
              <w:jc w:val="right"/>
              <w:rPr>
                <w:rFonts w:ascii="Calibri" w:eastAsia="Times New Roman" w:hAnsi="Calibri" w:cs="Calibri"/>
                <w:color w:val="000000"/>
                <w:sz w:val="20"/>
                <w:szCs w:val="20"/>
                <w:lang w:eastAsia="zh-CN"/>
              </w:rPr>
            </w:pPr>
            <w:r w:rsidRPr="008854B0">
              <w:rPr>
                <w:rFonts w:ascii="Calibri" w:eastAsia="Times New Roman" w:hAnsi="Calibri" w:cs="Calibri"/>
                <w:color w:val="000000"/>
                <w:sz w:val="20"/>
                <w:szCs w:val="20"/>
                <w:lang w:eastAsia="zh-CN"/>
              </w:rPr>
              <w:t>9.3</w:t>
            </w:r>
            <w:r w:rsidR="00B31C59">
              <w:rPr>
                <w:rFonts w:ascii="Calibri" w:eastAsia="Times New Roman" w:hAnsi="Calibri" w:cs="Calibri"/>
                <w:color w:val="000000"/>
                <w:sz w:val="20"/>
                <w:szCs w:val="20"/>
                <w:lang w:eastAsia="zh-CN"/>
              </w:rPr>
              <w:t>%</w:t>
            </w:r>
          </w:p>
        </w:tc>
        <w:tc>
          <w:tcPr>
            <w:tcW w:w="964" w:type="dxa"/>
            <w:tcBorders>
              <w:bottom w:val="single" w:sz="4" w:space="0" w:color="auto"/>
            </w:tcBorders>
            <w:shd w:val="clear" w:color="auto" w:fill="auto"/>
            <w:vAlign w:val="bottom"/>
          </w:tcPr>
          <w:p w:rsidR="00D907AF" w:rsidRPr="008854B0" w:rsidRDefault="00D907AF" w:rsidP="000924FC">
            <w:pPr>
              <w:spacing w:before="0" w:after="0"/>
              <w:jc w:val="right"/>
              <w:rPr>
                <w:rFonts w:ascii="Calibri" w:eastAsia="Times New Roman" w:hAnsi="Calibri" w:cs="Calibri"/>
                <w:color w:val="000000"/>
                <w:sz w:val="20"/>
                <w:szCs w:val="20"/>
                <w:lang w:eastAsia="zh-CN"/>
              </w:rPr>
            </w:pPr>
            <w:r w:rsidRPr="008854B0">
              <w:rPr>
                <w:rFonts w:ascii="Calibri" w:eastAsia="Times New Roman" w:hAnsi="Calibri" w:cs="Calibri"/>
                <w:color w:val="000000"/>
                <w:sz w:val="20"/>
                <w:szCs w:val="20"/>
                <w:lang w:eastAsia="zh-CN"/>
              </w:rPr>
              <w:t>5.7</w:t>
            </w:r>
            <w:r w:rsidR="00B31C59">
              <w:rPr>
                <w:rFonts w:ascii="Calibri" w:eastAsia="Times New Roman" w:hAnsi="Calibri" w:cs="Calibri"/>
                <w:color w:val="000000"/>
                <w:sz w:val="20"/>
                <w:szCs w:val="20"/>
                <w:lang w:eastAsia="zh-CN"/>
              </w:rPr>
              <w:t>%</w:t>
            </w:r>
          </w:p>
        </w:tc>
        <w:tc>
          <w:tcPr>
            <w:tcW w:w="964" w:type="dxa"/>
            <w:tcBorders>
              <w:bottom w:val="single" w:sz="4" w:space="0" w:color="auto"/>
            </w:tcBorders>
            <w:shd w:val="clear" w:color="auto" w:fill="auto"/>
            <w:vAlign w:val="bottom"/>
          </w:tcPr>
          <w:p w:rsidR="00D907AF" w:rsidRPr="007A4759" w:rsidRDefault="00D907AF" w:rsidP="000924FC">
            <w:pPr>
              <w:spacing w:before="0" w:after="0"/>
              <w:jc w:val="right"/>
              <w:rPr>
                <w:rFonts w:ascii="Calibri" w:eastAsia="Times New Roman" w:hAnsi="Calibri" w:cs="Calibri"/>
                <w:color w:val="000000"/>
                <w:sz w:val="20"/>
                <w:szCs w:val="20"/>
                <w:lang w:eastAsia="zh-CN"/>
              </w:rPr>
            </w:pPr>
            <w:r w:rsidRPr="007A4759">
              <w:rPr>
                <w:rFonts w:ascii="Calibri" w:eastAsia="Times New Roman" w:hAnsi="Calibri" w:cs="Calibri"/>
                <w:color w:val="000000"/>
                <w:sz w:val="20"/>
                <w:szCs w:val="20"/>
                <w:lang w:eastAsia="zh-CN"/>
              </w:rPr>
              <w:t>2.7</w:t>
            </w:r>
            <w:r w:rsidR="00B31C59">
              <w:rPr>
                <w:rFonts w:ascii="Calibri" w:eastAsia="Times New Roman" w:hAnsi="Calibri" w:cs="Calibri"/>
                <w:color w:val="000000"/>
                <w:sz w:val="20"/>
                <w:szCs w:val="20"/>
                <w:lang w:eastAsia="zh-CN"/>
              </w:rPr>
              <w:t>%</w:t>
            </w:r>
          </w:p>
        </w:tc>
        <w:tc>
          <w:tcPr>
            <w:tcW w:w="794" w:type="dxa"/>
            <w:tcBorders>
              <w:bottom w:val="single" w:sz="4" w:space="0" w:color="auto"/>
            </w:tcBorders>
            <w:shd w:val="clear" w:color="auto" w:fill="auto"/>
            <w:vAlign w:val="bottom"/>
          </w:tcPr>
          <w:p w:rsidR="00D907AF" w:rsidRPr="00A95294" w:rsidRDefault="00D907AF" w:rsidP="000924FC">
            <w:pPr>
              <w:spacing w:before="0" w:after="0"/>
              <w:jc w:val="right"/>
              <w:rPr>
                <w:rFonts w:ascii="Calibri" w:eastAsia="Times New Roman" w:hAnsi="Calibri" w:cs="Calibri"/>
                <w:color w:val="000000"/>
                <w:sz w:val="20"/>
                <w:szCs w:val="20"/>
                <w:lang w:eastAsia="zh-CN"/>
              </w:rPr>
            </w:pPr>
            <w:r w:rsidRPr="00A95294">
              <w:rPr>
                <w:rFonts w:ascii="Calibri" w:eastAsia="Times New Roman" w:hAnsi="Calibri" w:cs="Calibri"/>
                <w:color w:val="000000"/>
                <w:sz w:val="20"/>
                <w:szCs w:val="20"/>
                <w:lang w:eastAsia="zh-CN"/>
              </w:rPr>
              <w:t>3.7</w:t>
            </w:r>
            <w:r w:rsidR="00B31C59">
              <w:rPr>
                <w:rFonts w:ascii="Calibri" w:eastAsia="Times New Roman" w:hAnsi="Calibri" w:cs="Calibri"/>
                <w:color w:val="000000"/>
                <w:sz w:val="20"/>
                <w:szCs w:val="20"/>
                <w:lang w:eastAsia="zh-CN"/>
              </w:rPr>
              <w:t>%</w:t>
            </w:r>
          </w:p>
        </w:tc>
        <w:tc>
          <w:tcPr>
            <w:tcW w:w="912" w:type="dxa"/>
            <w:tcBorders>
              <w:bottom w:val="single" w:sz="4" w:space="0" w:color="auto"/>
            </w:tcBorders>
            <w:vAlign w:val="bottom"/>
          </w:tcPr>
          <w:p w:rsidR="00D907AF" w:rsidRPr="001F5F30" w:rsidRDefault="00D907AF" w:rsidP="000924FC">
            <w:pPr>
              <w:spacing w:before="0" w:after="0"/>
              <w:jc w:val="right"/>
              <w:rPr>
                <w:rFonts w:ascii="Calibri" w:eastAsia="Times New Roman" w:hAnsi="Calibri" w:cs="Calibri"/>
                <w:color w:val="000000"/>
                <w:sz w:val="20"/>
                <w:szCs w:val="20"/>
                <w:lang w:eastAsia="zh-CN"/>
              </w:rPr>
            </w:pPr>
            <w:r w:rsidRPr="001F5F30">
              <w:rPr>
                <w:rFonts w:ascii="Calibri" w:eastAsia="Times New Roman" w:hAnsi="Calibri" w:cs="Calibri"/>
                <w:color w:val="000000"/>
                <w:sz w:val="20"/>
                <w:szCs w:val="20"/>
                <w:lang w:eastAsia="zh-CN"/>
              </w:rPr>
              <w:t>100</w:t>
            </w:r>
            <w:r w:rsidR="00A14CE9">
              <w:rPr>
                <w:rFonts w:ascii="Calibri" w:eastAsia="Times New Roman" w:hAnsi="Calibri" w:cs="Calibri"/>
                <w:color w:val="000000"/>
                <w:sz w:val="20"/>
                <w:szCs w:val="20"/>
                <w:lang w:eastAsia="zh-CN"/>
              </w:rPr>
              <w:t>.0</w:t>
            </w:r>
            <w:r w:rsidR="00B31C59">
              <w:rPr>
                <w:rFonts w:ascii="Calibri" w:eastAsia="Times New Roman" w:hAnsi="Calibri" w:cs="Calibri"/>
                <w:color w:val="000000"/>
                <w:sz w:val="20"/>
                <w:szCs w:val="20"/>
                <w:lang w:eastAsia="zh-CN"/>
              </w:rPr>
              <w:t>%</w:t>
            </w:r>
          </w:p>
        </w:tc>
      </w:tr>
    </w:tbl>
    <w:p w:rsidR="00D907AF" w:rsidRPr="00660446" w:rsidRDefault="00D907AF" w:rsidP="006C7BE7">
      <w:pPr>
        <w:pStyle w:val="NILSTabletext"/>
      </w:pPr>
      <w:r w:rsidRPr="00660446">
        <w:t xml:space="preserve">Note: </w:t>
      </w:r>
      <w:r>
        <w:t>t</w:t>
      </w:r>
      <w:r w:rsidRPr="00660446">
        <w:t>rial aged 16 and above current</w:t>
      </w:r>
      <w:r>
        <w:t xml:space="preserve">ly </w:t>
      </w:r>
      <w:r w:rsidRPr="00660446">
        <w:t>receiving</w:t>
      </w:r>
      <w:r>
        <w:t xml:space="preserve"> NDIS</w:t>
      </w:r>
      <w:r w:rsidRPr="00660446">
        <w:t xml:space="preserve"> supports</w:t>
      </w:r>
      <w:r>
        <w:t xml:space="preserve"> and </w:t>
      </w:r>
      <w:r w:rsidRPr="00660446">
        <w:t>received supports before joining the NDIS</w:t>
      </w:r>
      <w:r>
        <w:t>.</w:t>
      </w:r>
    </w:p>
    <w:p w:rsidR="00D907AF" w:rsidRDefault="00D907AF">
      <w:pPr>
        <w:rPr>
          <w:rFonts w:cstheme="minorHAnsi"/>
          <w:b/>
          <w:sz w:val="20"/>
          <w:szCs w:val="20"/>
        </w:rPr>
      </w:pPr>
      <w:bookmarkStart w:id="453" w:name="_Toc428280719"/>
      <w:r>
        <w:br w:type="page"/>
      </w:r>
    </w:p>
    <w:p w:rsidR="00D907AF" w:rsidRDefault="00D907AF" w:rsidP="0044684E">
      <w:pPr>
        <w:pStyle w:val="NILSTableHeading"/>
        <w:rPr>
          <w:lang w:val="en-AU"/>
        </w:rPr>
      </w:pPr>
      <w:bookmarkStart w:id="454" w:name="_Toc449955330"/>
      <w:r w:rsidRPr="00233E8A">
        <w:lastRenderedPageBreak/>
        <w:t xml:space="preserve">Table </w:t>
      </w:r>
      <w:r>
        <w:rPr>
          <w:rFonts w:hint="eastAsia"/>
        </w:rPr>
        <w:t>3.6</w:t>
      </w:r>
      <w:r>
        <w:t>8</w:t>
      </w:r>
      <w:r w:rsidRPr="00233E8A">
        <w:t xml:space="preserve">: </w:t>
      </w:r>
      <w:r>
        <w:rPr>
          <w:rFonts w:hint="eastAsia"/>
        </w:rPr>
        <w:t xml:space="preserve">Pre and post NDIS comparison: </w:t>
      </w:r>
      <w:r>
        <w:t>How much</w:t>
      </w:r>
      <w:r w:rsidRPr="004D3540">
        <w:t xml:space="preserve"> say over decisions about what supp</w:t>
      </w:r>
      <w:r>
        <w:rPr>
          <w:rFonts w:hint="eastAsia"/>
        </w:rPr>
        <w:t>ort</w:t>
      </w:r>
      <w:r>
        <w:t>s</w:t>
      </w:r>
      <w:r>
        <w:rPr>
          <w:rFonts w:hint="eastAsia"/>
        </w:rPr>
        <w:t xml:space="preserve"> to receive</w:t>
      </w:r>
      <w:bookmarkEnd w:id="453"/>
      <w:bookmarkEnd w:id="454"/>
    </w:p>
    <w:p w:rsidR="006D3CAB" w:rsidRPr="00AA74C1" w:rsidRDefault="006D3CAB" w:rsidP="001926F7">
      <w:pPr>
        <w:pBdr>
          <w:top w:val="single" w:sz="4" w:space="1" w:color="auto"/>
        </w:pBdr>
        <w:spacing w:before="240"/>
        <w:ind w:left="-142" w:right="-170" w:firstLine="3119"/>
        <w:jc w:val="center"/>
        <w:rPr>
          <w:lang w:val="en-AU"/>
        </w:rPr>
      </w:pPr>
      <w:r w:rsidRPr="00AA74C1">
        <w:rPr>
          <w:lang w:val="en-AU"/>
        </w:rPr>
        <w:t>Post NDIS</w:t>
      </w:r>
      <w:r w:rsidR="000924FC" w:rsidRPr="00AA74C1">
        <w:rPr>
          <w:rFonts w:ascii="Calibri" w:eastAsia="Times New Roman" w:hAnsi="Calibri" w:cs="Calibri"/>
          <w:color w:val="FFFFFF" w:themeColor="background1"/>
          <w:sz w:val="20"/>
          <w:szCs w:val="20"/>
          <w:lang w:eastAsia="zh-CN"/>
        </w:rPr>
        <w:t xml:space="preserve"> and Pre NDIS comparison</w:t>
      </w:r>
    </w:p>
    <w:tbl>
      <w:tblPr>
        <w:tblStyle w:val="TableGrid6"/>
        <w:tblW w:w="9405" w:type="dxa"/>
        <w:tblLayout w:type="fixed"/>
        <w:tblLook w:val="04A0" w:firstRow="1" w:lastRow="0" w:firstColumn="1" w:lastColumn="0" w:noHBand="0" w:noVBand="1"/>
        <w:tblCaption w:val="Table 3.68 Pre and post NDIS comparison: How much say over decisions about what supports to receive"/>
      </w:tblPr>
      <w:tblGrid>
        <w:gridCol w:w="2376"/>
        <w:gridCol w:w="1125"/>
        <w:gridCol w:w="984"/>
        <w:gridCol w:w="984"/>
        <w:gridCol w:w="984"/>
        <w:gridCol w:w="984"/>
        <w:gridCol w:w="984"/>
        <w:gridCol w:w="984"/>
      </w:tblGrid>
      <w:tr w:rsidR="00661377" w:rsidRPr="00E877CA" w:rsidTr="00D56FCA">
        <w:trPr>
          <w:cantSplit/>
          <w:tblHeader/>
        </w:trPr>
        <w:tc>
          <w:tcPr>
            <w:tcW w:w="2376" w:type="dxa"/>
            <w:tcBorders>
              <w:bottom w:val="single" w:sz="4" w:space="0" w:color="auto"/>
            </w:tcBorders>
            <w:shd w:val="clear" w:color="auto" w:fill="auto"/>
            <w:vAlign w:val="bottom"/>
          </w:tcPr>
          <w:p w:rsidR="00661377" w:rsidRPr="00AA74C1" w:rsidRDefault="00661377" w:rsidP="00A35B97">
            <w:pPr>
              <w:spacing w:before="20" w:after="20" w:line="259" w:lineRule="auto"/>
              <w:jc w:val="center"/>
              <w:rPr>
                <w:rFonts w:ascii="Calibri" w:eastAsia="Calibri" w:hAnsi="Calibri" w:cs="Calibri"/>
                <w:sz w:val="20"/>
                <w:szCs w:val="20"/>
              </w:rPr>
            </w:pPr>
            <w:bookmarkStart w:id="455" w:name="Title_3_68"/>
            <w:bookmarkEnd w:id="455"/>
            <w:r w:rsidRPr="00AA74C1">
              <w:rPr>
                <w:rFonts w:ascii="Calibri" w:eastAsia="Calibri" w:hAnsi="Calibri" w:cs="Calibri"/>
                <w:sz w:val="20"/>
                <w:szCs w:val="20"/>
              </w:rPr>
              <w:t>Pre NDIS</w:t>
            </w:r>
          </w:p>
        </w:tc>
        <w:tc>
          <w:tcPr>
            <w:tcW w:w="1125" w:type="dxa"/>
            <w:tcBorders>
              <w:bottom w:val="single" w:sz="4" w:space="0" w:color="auto"/>
            </w:tcBorders>
            <w:shd w:val="clear" w:color="auto" w:fill="auto"/>
            <w:vAlign w:val="bottom"/>
          </w:tcPr>
          <w:p w:rsidR="002214B0" w:rsidRPr="00AA74C1" w:rsidRDefault="002214B0" w:rsidP="00AD3D47">
            <w:pPr>
              <w:spacing w:before="20" w:after="20" w:line="259" w:lineRule="auto"/>
              <w:jc w:val="center"/>
              <w:rPr>
                <w:rFonts w:ascii="Calibri" w:eastAsia="Calibri" w:hAnsi="Calibri" w:cs="Calibri"/>
                <w:sz w:val="20"/>
                <w:szCs w:val="20"/>
              </w:rPr>
            </w:pPr>
            <w:r w:rsidRPr="00AA74C1">
              <w:rPr>
                <w:rFonts w:ascii="Calibri" w:eastAsia="Calibri" w:hAnsi="Calibri" w:cs="Calibri"/>
                <w:color w:val="FFFFFF" w:themeColor="background1"/>
                <w:sz w:val="8"/>
                <w:szCs w:val="8"/>
              </w:rPr>
              <w:t>Post NDIS</w:t>
            </w:r>
            <w:r w:rsidRPr="00AA74C1">
              <w:rPr>
                <w:rFonts w:ascii="Calibri" w:eastAsia="Calibri" w:hAnsi="Calibri" w:cs="Calibri"/>
                <w:sz w:val="20"/>
                <w:szCs w:val="20"/>
              </w:rPr>
              <w:t xml:space="preserve"> </w:t>
            </w:r>
          </w:p>
          <w:p w:rsidR="00661377" w:rsidRPr="00AA74C1" w:rsidRDefault="00661377" w:rsidP="00AD3D47">
            <w:pPr>
              <w:spacing w:before="20" w:after="20" w:line="259" w:lineRule="auto"/>
              <w:jc w:val="center"/>
              <w:rPr>
                <w:rFonts w:ascii="Calibri" w:eastAsia="Calibri" w:hAnsi="Calibri" w:cs="Calibri"/>
                <w:sz w:val="20"/>
                <w:szCs w:val="20"/>
              </w:rPr>
            </w:pPr>
            <w:r w:rsidRPr="00AA74C1">
              <w:rPr>
                <w:rFonts w:ascii="Calibri" w:eastAsia="Calibri" w:hAnsi="Calibri" w:cs="Calibri"/>
                <w:sz w:val="20"/>
                <w:szCs w:val="20"/>
              </w:rPr>
              <w:t>A lot of say</w:t>
            </w:r>
          </w:p>
        </w:tc>
        <w:tc>
          <w:tcPr>
            <w:tcW w:w="984" w:type="dxa"/>
            <w:tcBorders>
              <w:bottom w:val="single" w:sz="4" w:space="0" w:color="auto"/>
            </w:tcBorders>
            <w:shd w:val="clear" w:color="auto" w:fill="auto"/>
            <w:vAlign w:val="bottom"/>
          </w:tcPr>
          <w:p w:rsidR="002214B0" w:rsidRPr="00AA74C1" w:rsidRDefault="002214B0" w:rsidP="002214B0">
            <w:pPr>
              <w:spacing w:before="20" w:after="20" w:line="259" w:lineRule="auto"/>
              <w:jc w:val="center"/>
              <w:rPr>
                <w:rFonts w:ascii="Calibri" w:eastAsia="Calibri" w:hAnsi="Calibri" w:cs="Calibri"/>
                <w:sz w:val="20"/>
                <w:szCs w:val="20"/>
              </w:rPr>
            </w:pPr>
            <w:r w:rsidRPr="00AA74C1">
              <w:rPr>
                <w:rFonts w:ascii="Calibri" w:eastAsia="Calibri" w:hAnsi="Calibri" w:cs="Calibri"/>
                <w:color w:val="FFFFFF" w:themeColor="background1"/>
                <w:sz w:val="8"/>
                <w:szCs w:val="8"/>
              </w:rPr>
              <w:t>Post NDIS</w:t>
            </w:r>
            <w:r w:rsidRPr="00AA74C1">
              <w:rPr>
                <w:rFonts w:ascii="Calibri" w:eastAsia="Calibri" w:hAnsi="Calibri" w:cs="Calibri"/>
                <w:sz w:val="20"/>
                <w:szCs w:val="20"/>
              </w:rPr>
              <w:t xml:space="preserve"> </w:t>
            </w:r>
          </w:p>
          <w:p w:rsidR="00661377" w:rsidRPr="00AA74C1" w:rsidRDefault="00661377" w:rsidP="00AD3D47">
            <w:pPr>
              <w:spacing w:before="20" w:after="20" w:line="259" w:lineRule="auto"/>
              <w:jc w:val="center"/>
              <w:rPr>
                <w:rFonts w:ascii="Calibri" w:eastAsia="Calibri" w:hAnsi="Calibri" w:cs="Calibri"/>
                <w:sz w:val="20"/>
                <w:szCs w:val="20"/>
              </w:rPr>
            </w:pPr>
            <w:r w:rsidRPr="00AA74C1">
              <w:rPr>
                <w:rFonts w:ascii="Calibri" w:eastAsia="Calibri" w:hAnsi="Calibri" w:cs="Calibri"/>
                <w:sz w:val="20"/>
                <w:szCs w:val="20"/>
              </w:rPr>
              <w:t>Some say</w:t>
            </w:r>
          </w:p>
        </w:tc>
        <w:tc>
          <w:tcPr>
            <w:tcW w:w="984" w:type="dxa"/>
            <w:tcBorders>
              <w:bottom w:val="single" w:sz="4" w:space="0" w:color="auto"/>
            </w:tcBorders>
            <w:shd w:val="clear" w:color="auto" w:fill="auto"/>
            <w:vAlign w:val="bottom"/>
          </w:tcPr>
          <w:p w:rsidR="002214B0" w:rsidRPr="00AA74C1" w:rsidRDefault="002214B0" w:rsidP="002214B0">
            <w:pPr>
              <w:spacing w:before="20" w:after="20" w:line="259" w:lineRule="auto"/>
              <w:jc w:val="center"/>
              <w:rPr>
                <w:rFonts w:ascii="Calibri" w:eastAsia="Calibri" w:hAnsi="Calibri" w:cs="Calibri"/>
                <w:sz w:val="20"/>
                <w:szCs w:val="20"/>
              </w:rPr>
            </w:pPr>
            <w:r w:rsidRPr="00AA74C1">
              <w:rPr>
                <w:rFonts w:ascii="Calibri" w:eastAsia="Calibri" w:hAnsi="Calibri" w:cs="Calibri"/>
                <w:color w:val="FFFFFF" w:themeColor="background1"/>
                <w:sz w:val="8"/>
                <w:szCs w:val="8"/>
              </w:rPr>
              <w:t>Post NDIS</w:t>
            </w:r>
            <w:r w:rsidRPr="00AA74C1">
              <w:rPr>
                <w:rFonts w:ascii="Calibri" w:eastAsia="Calibri" w:hAnsi="Calibri" w:cs="Calibri"/>
                <w:sz w:val="20"/>
                <w:szCs w:val="20"/>
              </w:rPr>
              <w:t xml:space="preserve"> </w:t>
            </w:r>
          </w:p>
          <w:p w:rsidR="00661377" w:rsidRPr="00AA74C1" w:rsidRDefault="00661377" w:rsidP="00AD3D47">
            <w:pPr>
              <w:spacing w:before="20" w:after="20" w:line="259" w:lineRule="auto"/>
              <w:jc w:val="center"/>
              <w:rPr>
                <w:rFonts w:ascii="Calibri" w:eastAsia="Calibri" w:hAnsi="Calibri" w:cs="Calibri"/>
                <w:sz w:val="20"/>
                <w:szCs w:val="20"/>
              </w:rPr>
            </w:pPr>
            <w:r w:rsidRPr="00AA74C1">
              <w:rPr>
                <w:rFonts w:ascii="Calibri" w:eastAsia="Calibri" w:hAnsi="Calibri" w:cs="Calibri"/>
                <w:sz w:val="20"/>
                <w:szCs w:val="20"/>
              </w:rPr>
              <w:t>Little say</w:t>
            </w:r>
          </w:p>
        </w:tc>
        <w:tc>
          <w:tcPr>
            <w:tcW w:w="984" w:type="dxa"/>
            <w:tcBorders>
              <w:bottom w:val="single" w:sz="4" w:space="0" w:color="auto"/>
            </w:tcBorders>
            <w:shd w:val="clear" w:color="auto" w:fill="auto"/>
            <w:vAlign w:val="bottom"/>
          </w:tcPr>
          <w:p w:rsidR="002214B0" w:rsidRPr="00AA74C1" w:rsidRDefault="002214B0" w:rsidP="002214B0">
            <w:pPr>
              <w:spacing w:before="20" w:after="20" w:line="259" w:lineRule="auto"/>
              <w:jc w:val="center"/>
              <w:rPr>
                <w:rFonts w:ascii="Calibri" w:eastAsia="Calibri" w:hAnsi="Calibri" w:cs="Calibri"/>
                <w:sz w:val="20"/>
                <w:szCs w:val="20"/>
              </w:rPr>
            </w:pPr>
            <w:r w:rsidRPr="00AA74C1">
              <w:rPr>
                <w:rFonts w:ascii="Calibri" w:eastAsia="Calibri" w:hAnsi="Calibri" w:cs="Calibri"/>
                <w:color w:val="FFFFFF" w:themeColor="background1"/>
                <w:sz w:val="8"/>
                <w:szCs w:val="8"/>
              </w:rPr>
              <w:t>Post NDIS</w:t>
            </w:r>
            <w:r w:rsidRPr="00AA74C1">
              <w:rPr>
                <w:rFonts w:ascii="Calibri" w:eastAsia="Calibri" w:hAnsi="Calibri" w:cs="Calibri"/>
                <w:sz w:val="20"/>
                <w:szCs w:val="20"/>
              </w:rPr>
              <w:t xml:space="preserve"> </w:t>
            </w:r>
          </w:p>
          <w:p w:rsidR="00661377" w:rsidRPr="00AA74C1" w:rsidRDefault="00661377" w:rsidP="00AD3D47">
            <w:pPr>
              <w:spacing w:before="20" w:after="20" w:line="259" w:lineRule="auto"/>
              <w:jc w:val="center"/>
              <w:rPr>
                <w:rFonts w:ascii="Calibri" w:eastAsia="Calibri" w:hAnsi="Calibri" w:cs="Calibri"/>
                <w:sz w:val="20"/>
                <w:szCs w:val="20"/>
              </w:rPr>
            </w:pPr>
            <w:r w:rsidRPr="00AA74C1">
              <w:rPr>
                <w:rFonts w:ascii="Calibri" w:eastAsia="Calibri" w:hAnsi="Calibri" w:cs="Calibri"/>
                <w:sz w:val="20"/>
                <w:szCs w:val="20"/>
              </w:rPr>
              <w:t>No say</w:t>
            </w:r>
          </w:p>
        </w:tc>
        <w:tc>
          <w:tcPr>
            <w:tcW w:w="984" w:type="dxa"/>
            <w:tcBorders>
              <w:bottom w:val="single" w:sz="4" w:space="0" w:color="auto"/>
            </w:tcBorders>
            <w:shd w:val="clear" w:color="auto" w:fill="auto"/>
            <w:vAlign w:val="bottom"/>
          </w:tcPr>
          <w:p w:rsidR="002214B0" w:rsidRPr="00AA74C1" w:rsidRDefault="002214B0" w:rsidP="002214B0">
            <w:pPr>
              <w:spacing w:before="20" w:after="20" w:line="259" w:lineRule="auto"/>
              <w:jc w:val="center"/>
              <w:rPr>
                <w:rFonts w:ascii="Calibri" w:eastAsia="Calibri" w:hAnsi="Calibri" w:cs="Calibri"/>
                <w:sz w:val="20"/>
                <w:szCs w:val="20"/>
              </w:rPr>
            </w:pPr>
            <w:r w:rsidRPr="00AA74C1">
              <w:rPr>
                <w:rFonts w:ascii="Calibri" w:eastAsia="Calibri" w:hAnsi="Calibri" w:cs="Calibri"/>
                <w:color w:val="FFFFFF" w:themeColor="background1"/>
                <w:sz w:val="8"/>
                <w:szCs w:val="8"/>
              </w:rPr>
              <w:t>Post NDIS</w:t>
            </w:r>
            <w:r w:rsidRPr="00AA74C1">
              <w:rPr>
                <w:rFonts w:ascii="Calibri" w:eastAsia="Calibri" w:hAnsi="Calibri" w:cs="Calibri"/>
                <w:sz w:val="20"/>
                <w:szCs w:val="20"/>
              </w:rPr>
              <w:t xml:space="preserve"> </w:t>
            </w:r>
          </w:p>
          <w:p w:rsidR="00661377" w:rsidRPr="00AA74C1" w:rsidRDefault="00661377" w:rsidP="00AD3D47">
            <w:pPr>
              <w:spacing w:before="20" w:after="20" w:line="259" w:lineRule="auto"/>
              <w:jc w:val="center"/>
              <w:rPr>
                <w:rFonts w:ascii="Calibri" w:eastAsia="Calibri" w:hAnsi="Calibri" w:cs="Calibri"/>
                <w:sz w:val="20"/>
                <w:szCs w:val="20"/>
              </w:rPr>
            </w:pPr>
            <w:r w:rsidRPr="00AA74C1">
              <w:rPr>
                <w:rFonts w:ascii="Calibri" w:eastAsia="Calibri" w:hAnsi="Calibri" w:cs="Calibri"/>
                <w:sz w:val="20"/>
                <w:szCs w:val="20"/>
              </w:rPr>
              <w:t>It varies</w:t>
            </w:r>
          </w:p>
        </w:tc>
        <w:tc>
          <w:tcPr>
            <w:tcW w:w="984" w:type="dxa"/>
            <w:tcBorders>
              <w:bottom w:val="single" w:sz="4" w:space="0" w:color="auto"/>
            </w:tcBorders>
            <w:shd w:val="clear" w:color="auto" w:fill="auto"/>
            <w:vAlign w:val="bottom"/>
          </w:tcPr>
          <w:p w:rsidR="002214B0" w:rsidRPr="00AA74C1" w:rsidRDefault="002214B0" w:rsidP="002214B0">
            <w:pPr>
              <w:spacing w:before="20" w:after="20" w:line="259" w:lineRule="auto"/>
              <w:jc w:val="center"/>
              <w:rPr>
                <w:rFonts w:ascii="Calibri" w:eastAsia="Calibri" w:hAnsi="Calibri" w:cs="Calibri"/>
                <w:sz w:val="20"/>
                <w:szCs w:val="20"/>
              </w:rPr>
            </w:pPr>
            <w:r w:rsidRPr="00AA74C1">
              <w:rPr>
                <w:rFonts w:ascii="Calibri" w:eastAsia="Calibri" w:hAnsi="Calibri" w:cs="Calibri"/>
                <w:color w:val="FFFFFF" w:themeColor="background1"/>
                <w:sz w:val="8"/>
                <w:szCs w:val="8"/>
              </w:rPr>
              <w:t>Post NDIS</w:t>
            </w:r>
            <w:r w:rsidRPr="00AA74C1">
              <w:rPr>
                <w:rFonts w:ascii="Calibri" w:eastAsia="Calibri" w:hAnsi="Calibri" w:cs="Calibri"/>
                <w:sz w:val="20"/>
                <w:szCs w:val="20"/>
              </w:rPr>
              <w:t xml:space="preserve"> </w:t>
            </w:r>
          </w:p>
          <w:p w:rsidR="00661377" w:rsidRPr="00AA74C1" w:rsidRDefault="00661377" w:rsidP="00AD3D47">
            <w:pPr>
              <w:spacing w:before="20" w:after="20" w:line="259" w:lineRule="auto"/>
              <w:jc w:val="center"/>
              <w:rPr>
                <w:rFonts w:ascii="Calibri" w:eastAsia="Calibri" w:hAnsi="Calibri" w:cs="Calibri"/>
                <w:sz w:val="20"/>
                <w:szCs w:val="20"/>
              </w:rPr>
            </w:pPr>
            <w:r w:rsidRPr="00AA74C1">
              <w:rPr>
                <w:rFonts w:ascii="Calibri" w:eastAsia="Calibri" w:hAnsi="Calibri" w:cs="Calibri"/>
                <w:sz w:val="20"/>
                <w:szCs w:val="20"/>
              </w:rPr>
              <w:t>Missing</w:t>
            </w:r>
          </w:p>
        </w:tc>
        <w:tc>
          <w:tcPr>
            <w:tcW w:w="984" w:type="dxa"/>
            <w:tcBorders>
              <w:bottom w:val="single" w:sz="4" w:space="0" w:color="auto"/>
            </w:tcBorders>
            <w:vAlign w:val="bottom"/>
          </w:tcPr>
          <w:p w:rsidR="002214B0" w:rsidRPr="00AA74C1" w:rsidRDefault="002214B0" w:rsidP="00D56FCA">
            <w:pPr>
              <w:spacing w:before="20" w:after="20" w:line="259" w:lineRule="auto"/>
              <w:jc w:val="right"/>
              <w:rPr>
                <w:rFonts w:ascii="Calibri" w:eastAsia="Calibri" w:hAnsi="Calibri" w:cs="Calibri"/>
                <w:sz w:val="20"/>
                <w:szCs w:val="20"/>
              </w:rPr>
            </w:pPr>
            <w:r w:rsidRPr="00AA74C1">
              <w:rPr>
                <w:rFonts w:ascii="Calibri" w:eastAsia="Calibri" w:hAnsi="Calibri" w:cs="Calibri"/>
                <w:color w:val="FFFFFF" w:themeColor="background1"/>
                <w:sz w:val="8"/>
                <w:szCs w:val="8"/>
              </w:rPr>
              <w:t>Post NDIS</w:t>
            </w:r>
            <w:r w:rsidRPr="00AA74C1">
              <w:rPr>
                <w:rFonts w:ascii="Calibri" w:eastAsia="Calibri" w:hAnsi="Calibri" w:cs="Calibri"/>
                <w:sz w:val="20"/>
                <w:szCs w:val="20"/>
              </w:rPr>
              <w:t xml:space="preserve"> </w:t>
            </w:r>
          </w:p>
          <w:p w:rsidR="00661377" w:rsidRPr="00B97A09" w:rsidRDefault="00661377" w:rsidP="00D56FCA">
            <w:pPr>
              <w:spacing w:line="259" w:lineRule="auto"/>
              <w:jc w:val="right"/>
              <w:rPr>
                <w:rFonts w:ascii="Calibri" w:eastAsia="Calibri" w:hAnsi="Calibri" w:cs="Calibri"/>
                <w:sz w:val="20"/>
                <w:szCs w:val="20"/>
              </w:rPr>
            </w:pPr>
            <w:r w:rsidRPr="00AA74C1">
              <w:rPr>
                <w:rFonts w:ascii="Calibri" w:eastAsia="Calibri" w:hAnsi="Calibri" w:cs="Calibri"/>
                <w:sz w:val="20"/>
                <w:szCs w:val="20"/>
              </w:rPr>
              <w:t>Total</w:t>
            </w:r>
          </w:p>
        </w:tc>
      </w:tr>
      <w:tr w:rsidR="00661377" w:rsidRPr="00E877CA" w:rsidTr="000924FC">
        <w:trPr>
          <w:cantSplit/>
        </w:trPr>
        <w:tc>
          <w:tcPr>
            <w:tcW w:w="2376" w:type="dxa"/>
            <w:tcBorders>
              <w:top w:val="single" w:sz="4" w:space="0" w:color="auto"/>
              <w:right w:val="single" w:sz="4" w:space="0" w:color="auto"/>
            </w:tcBorders>
            <w:shd w:val="clear" w:color="auto" w:fill="auto"/>
            <w:vAlign w:val="bottom"/>
          </w:tcPr>
          <w:p w:rsidR="00661377" w:rsidRPr="00B97A09" w:rsidRDefault="00661377" w:rsidP="000924FC">
            <w:pPr>
              <w:spacing w:before="20" w:after="20" w:line="259" w:lineRule="auto"/>
              <w:jc w:val="right"/>
              <w:rPr>
                <w:rFonts w:ascii="Calibri" w:eastAsia="Calibri" w:hAnsi="Calibri" w:cs="Calibri"/>
                <w:sz w:val="20"/>
                <w:szCs w:val="20"/>
              </w:rPr>
            </w:pPr>
            <w:r w:rsidRPr="00B97A09">
              <w:rPr>
                <w:rFonts w:ascii="Calibri" w:eastAsia="Calibri" w:hAnsi="Calibri" w:cs="Calibri"/>
                <w:sz w:val="20"/>
                <w:szCs w:val="20"/>
              </w:rPr>
              <w:t>A lot of say</w:t>
            </w:r>
          </w:p>
        </w:tc>
        <w:tc>
          <w:tcPr>
            <w:tcW w:w="1125" w:type="dxa"/>
            <w:tcBorders>
              <w:top w:val="single" w:sz="4" w:space="0" w:color="auto"/>
              <w:left w:val="single" w:sz="4" w:space="0" w:color="auto"/>
            </w:tcBorders>
            <w:shd w:val="clear" w:color="auto" w:fill="auto"/>
            <w:vAlign w:val="bottom"/>
          </w:tcPr>
          <w:p w:rsidR="00661377" w:rsidRPr="00B97A09" w:rsidRDefault="00661377" w:rsidP="000924FC">
            <w:pPr>
              <w:spacing w:before="0" w:after="0" w:line="259" w:lineRule="auto"/>
              <w:jc w:val="right"/>
              <w:rPr>
                <w:rFonts w:ascii="Calibri" w:eastAsia="Calibri" w:hAnsi="Calibri" w:cs="Calibri"/>
                <w:color w:val="000000"/>
                <w:sz w:val="20"/>
                <w:szCs w:val="20"/>
              </w:rPr>
            </w:pPr>
            <w:r w:rsidRPr="00B97A09">
              <w:rPr>
                <w:rFonts w:ascii="Calibri" w:eastAsia="Calibri" w:hAnsi="Calibri" w:cs="Calibri"/>
                <w:color w:val="000000"/>
                <w:sz w:val="20"/>
                <w:szCs w:val="20"/>
              </w:rPr>
              <w:t>38</w:t>
            </w:r>
          </w:p>
        </w:tc>
        <w:tc>
          <w:tcPr>
            <w:tcW w:w="984" w:type="dxa"/>
            <w:tcBorders>
              <w:top w:val="single" w:sz="4" w:space="0" w:color="auto"/>
            </w:tcBorders>
            <w:shd w:val="clear" w:color="auto" w:fill="auto"/>
            <w:vAlign w:val="bottom"/>
          </w:tcPr>
          <w:p w:rsidR="00661377" w:rsidRPr="00B97A09" w:rsidRDefault="00661377" w:rsidP="000924FC">
            <w:pPr>
              <w:spacing w:before="0" w:after="0" w:line="259" w:lineRule="auto"/>
              <w:jc w:val="right"/>
              <w:rPr>
                <w:rFonts w:ascii="Calibri" w:eastAsia="Calibri" w:hAnsi="Calibri" w:cs="Calibri"/>
                <w:color w:val="000000"/>
                <w:sz w:val="20"/>
                <w:szCs w:val="20"/>
              </w:rPr>
            </w:pPr>
            <w:r w:rsidRPr="00B97A09">
              <w:rPr>
                <w:rFonts w:ascii="Calibri" w:eastAsia="Calibri" w:hAnsi="Calibri" w:cs="Calibri"/>
                <w:color w:val="000000"/>
                <w:sz w:val="20"/>
                <w:szCs w:val="20"/>
              </w:rPr>
              <w:t>16</w:t>
            </w:r>
          </w:p>
        </w:tc>
        <w:tc>
          <w:tcPr>
            <w:tcW w:w="984" w:type="dxa"/>
            <w:tcBorders>
              <w:top w:val="single" w:sz="4" w:space="0" w:color="auto"/>
            </w:tcBorders>
            <w:shd w:val="clear" w:color="auto" w:fill="auto"/>
            <w:vAlign w:val="bottom"/>
          </w:tcPr>
          <w:p w:rsidR="00661377" w:rsidRPr="00B97A09" w:rsidRDefault="00661377" w:rsidP="000924FC">
            <w:pPr>
              <w:spacing w:before="0" w:after="0" w:line="259" w:lineRule="auto"/>
              <w:jc w:val="right"/>
              <w:rPr>
                <w:rFonts w:ascii="Calibri" w:eastAsia="Calibri" w:hAnsi="Calibri" w:cs="Calibri"/>
                <w:color w:val="000000"/>
                <w:sz w:val="20"/>
                <w:szCs w:val="20"/>
              </w:rPr>
            </w:pPr>
            <w:r w:rsidRPr="00B97A09">
              <w:rPr>
                <w:rFonts w:ascii="Calibri" w:eastAsia="Calibri" w:hAnsi="Calibri" w:cs="Calibri"/>
                <w:color w:val="000000"/>
                <w:sz w:val="20"/>
                <w:szCs w:val="20"/>
              </w:rPr>
              <w:t>4</w:t>
            </w:r>
          </w:p>
        </w:tc>
        <w:tc>
          <w:tcPr>
            <w:tcW w:w="984" w:type="dxa"/>
            <w:tcBorders>
              <w:top w:val="single" w:sz="4" w:space="0" w:color="auto"/>
            </w:tcBorders>
            <w:shd w:val="clear" w:color="auto" w:fill="auto"/>
            <w:vAlign w:val="bottom"/>
          </w:tcPr>
          <w:p w:rsidR="00661377" w:rsidRPr="00B97A09" w:rsidRDefault="00661377" w:rsidP="000924FC">
            <w:pPr>
              <w:spacing w:before="0" w:after="0" w:line="259" w:lineRule="auto"/>
              <w:jc w:val="right"/>
              <w:rPr>
                <w:rFonts w:ascii="Calibri" w:eastAsia="Calibri" w:hAnsi="Calibri" w:cs="Calibri"/>
                <w:color w:val="000000"/>
                <w:sz w:val="20"/>
                <w:szCs w:val="20"/>
              </w:rPr>
            </w:pPr>
            <w:r w:rsidRPr="00B97A09">
              <w:rPr>
                <w:rFonts w:ascii="Calibri" w:eastAsia="Calibri" w:hAnsi="Calibri" w:cs="Calibri"/>
                <w:color w:val="000000"/>
                <w:sz w:val="20"/>
                <w:szCs w:val="20"/>
              </w:rPr>
              <w:t>2</w:t>
            </w:r>
          </w:p>
        </w:tc>
        <w:tc>
          <w:tcPr>
            <w:tcW w:w="984" w:type="dxa"/>
            <w:tcBorders>
              <w:top w:val="single" w:sz="4" w:space="0" w:color="auto"/>
            </w:tcBorders>
            <w:shd w:val="clear" w:color="auto" w:fill="auto"/>
            <w:vAlign w:val="bottom"/>
          </w:tcPr>
          <w:p w:rsidR="00661377" w:rsidRPr="00B97A09" w:rsidRDefault="00661377" w:rsidP="000924FC">
            <w:pPr>
              <w:spacing w:before="0" w:after="0" w:line="259" w:lineRule="auto"/>
              <w:jc w:val="right"/>
              <w:rPr>
                <w:rFonts w:ascii="Calibri" w:eastAsia="Calibri" w:hAnsi="Calibri" w:cs="Calibri"/>
                <w:color w:val="000000"/>
                <w:sz w:val="20"/>
                <w:szCs w:val="20"/>
              </w:rPr>
            </w:pPr>
            <w:r w:rsidRPr="00B97A09">
              <w:rPr>
                <w:rFonts w:ascii="Calibri" w:eastAsia="Calibri" w:hAnsi="Calibri" w:cs="Calibri"/>
                <w:color w:val="000000"/>
                <w:sz w:val="20"/>
                <w:szCs w:val="20"/>
              </w:rPr>
              <w:t>5</w:t>
            </w:r>
          </w:p>
        </w:tc>
        <w:tc>
          <w:tcPr>
            <w:tcW w:w="984" w:type="dxa"/>
            <w:tcBorders>
              <w:top w:val="single" w:sz="4" w:space="0" w:color="auto"/>
            </w:tcBorders>
            <w:shd w:val="clear" w:color="auto" w:fill="auto"/>
            <w:vAlign w:val="bottom"/>
          </w:tcPr>
          <w:p w:rsidR="00661377" w:rsidRPr="00B97A09" w:rsidRDefault="00661377" w:rsidP="000924FC">
            <w:pPr>
              <w:spacing w:before="0" w:after="0" w:line="259" w:lineRule="auto"/>
              <w:jc w:val="right"/>
              <w:rPr>
                <w:rFonts w:ascii="Calibri" w:eastAsia="Calibri" w:hAnsi="Calibri" w:cs="Calibri"/>
                <w:color w:val="000000"/>
                <w:sz w:val="20"/>
                <w:szCs w:val="20"/>
              </w:rPr>
            </w:pPr>
            <w:r w:rsidRPr="00B97A09">
              <w:rPr>
                <w:rFonts w:ascii="Calibri" w:eastAsia="Calibri" w:hAnsi="Calibri" w:cs="Calibri"/>
                <w:color w:val="000000"/>
                <w:sz w:val="20"/>
                <w:szCs w:val="20"/>
              </w:rPr>
              <w:t>0</w:t>
            </w:r>
          </w:p>
        </w:tc>
        <w:tc>
          <w:tcPr>
            <w:tcW w:w="984" w:type="dxa"/>
            <w:tcBorders>
              <w:top w:val="single" w:sz="4" w:space="0" w:color="auto"/>
            </w:tcBorders>
            <w:vAlign w:val="bottom"/>
          </w:tcPr>
          <w:p w:rsidR="00661377" w:rsidRPr="00B97A09" w:rsidRDefault="00661377" w:rsidP="000924FC">
            <w:pPr>
              <w:spacing w:before="0" w:after="0" w:line="259" w:lineRule="auto"/>
              <w:jc w:val="right"/>
              <w:rPr>
                <w:rFonts w:ascii="Calibri" w:eastAsia="Calibri" w:hAnsi="Calibri" w:cs="Calibri"/>
                <w:color w:val="000000"/>
                <w:sz w:val="20"/>
                <w:szCs w:val="20"/>
              </w:rPr>
            </w:pPr>
            <w:r w:rsidRPr="00B97A09">
              <w:rPr>
                <w:rFonts w:ascii="Calibri" w:eastAsia="Calibri" w:hAnsi="Calibri" w:cs="Calibri"/>
                <w:color w:val="000000"/>
                <w:sz w:val="20"/>
                <w:szCs w:val="20"/>
              </w:rPr>
              <w:t>65</w:t>
            </w:r>
          </w:p>
        </w:tc>
      </w:tr>
      <w:tr w:rsidR="00661377" w:rsidRPr="00E877CA" w:rsidTr="000924FC">
        <w:trPr>
          <w:cantSplit/>
        </w:trPr>
        <w:tc>
          <w:tcPr>
            <w:tcW w:w="2376" w:type="dxa"/>
            <w:tcBorders>
              <w:right w:val="single" w:sz="4" w:space="0" w:color="auto"/>
            </w:tcBorders>
            <w:shd w:val="clear" w:color="auto" w:fill="auto"/>
            <w:vAlign w:val="bottom"/>
          </w:tcPr>
          <w:p w:rsidR="00661377" w:rsidRPr="00B97A09" w:rsidRDefault="00661377" w:rsidP="000924FC">
            <w:pPr>
              <w:spacing w:before="20" w:after="20" w:line="259" w:lineRule="auto"/>
              <w:jc w:val="right"/>
              <w:rPr>
                <w:rFonts w:ascii="Calibri" w:eastAsia="Calibri" w:hAnsi="Calibri" w:cs="Calibri"/>
                <w:sz w:val="20"/>
                <w:szCs w:val="20"/>
              </w:rPr>
            </w:pPr>
          </w:p>
        </w:tc>
        <w:tc>
          <w:tcPr>
            <w:tcW w:w="1125" w:type="dxa"/>
            <w:tcBorders>
              <w:left w:val="single" w:sz="4" w:space="0" w:color="auto"/>
            </w:tcBorders>
            <w:shd w:val="clear" w:color="auto" w:fill="auto"/>
            <w:vAlign w:val="bottom"/>
          </w:tcPr>
          <w:p w:rsidR="00661377" w:rsidRPr="00B97A09" w:rsidRDefault="00516B6A" w:rsidP="000924FC">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661377" w:rsidRPr="00B97A09">
              <w:rPr>
                <w:rFonts w:ascii="Calibri" w:eastAsia="Calibri" w:hAnsi="Calibri" w:cs="Calibri"/>
                <w:color w:val="000000"/>
                <w:sz w:val="20"/>
                <w:szCs w:val="20"/>
              </w:rPr>
              <w:t>58.5</w:t>
            </w:r>
            <w:r>
              <w:rPr>
                <w:rFonts w:ascii="Calibri" w:eastAsia="Calibri" w:hAnsi="Calibri" w:cs="Calibri"/>
                <w:color w:val="000000"/>
                <w:sz w:val="20"/>
                <w:szCs w:val="20"/>
              </w:rPr>
              <w:t>%</w:t>
            </w:r>
          </w:p>
        </w:tc>
        <w:tc>
          <w:tcPr>
            <w:tcW w:w="984" w:type="dxa"/>
            <w:shd w:val="clear" w:color="auto" w:fill="auto"/>
            <w:vAlign w:val="bottom"/>
          </w:tcPr>
          <w:p w:rsidR="00661377" w:rsidRPr="00B97A09" w:rsidRDefault="00516B6A" w:rsidP="000924FC">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661377" w:rsidRPr="00B97A09">
              <w:rPr>
                <w:rFonts w:ascii="Calibri" w:eastAsia="Calibri" w:hAnsi="Calibri" w:cs="Calibri"/>
                <w:color w:val="000000"/>
                <w:sz w:val="20"/>
                <w:szCs w:val="20"/>
              </w:rPr>
              <w:t>24.6</w:t>
            </w:r>
            <w:r>
              <w:rPr>
                <w:rFonts w:ascii="Calibri" w:eastAsia="Calibri" w:hAnsi="Calibri" w:cs="Calibri"/>
                <w:color w:val="000000"/>
                <w:sz w:val="20"/>
                <w:szCs w:val="20"/>
              </w:rPr>
              <w:t>%</w:t>
            </w:r>
          </w:p>
        </w:tc>
        <w:tc>
          <w:tcPr>
            <w:tcW w:w="984" w:type="dxa"/>
            <w:shd w:val="clear" w:color="auto" w:fill="auto"/>
            <w:vAlign w:val="bottom"/>
          </w:tcPr>
          <w:p w:rsidR="00661377" w:rsidRPr="00B97A09" w:rsidRDefault="00516B6A" w:rsidP="000924FC">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661377" w:rsidRPr="00B97A09">
              <w:rPr>
                <w:rFonts w:ascii="Calibri" w:eastAsia="Calibri" w:hAnsi="Calibri" w:cs="Calibri"/>
                <w:color w:val="000000"/>
                <w:sz w:val="20"/>
                <w:szCs w:val="20"/>
              </w:rPr>
              <w:t>6.2</w:t>
            </w:r>
            <w:r>
              <w:rPr>
                <w:rFonts w:ascii="Calibri" w:eastAsia="Calibri" w:hAnsi="Calibri" w:cs="Calibri"/>
                <w:color w:val="000000"/>
                <w:sz w:val="20"/>
                <w:szCs w:val="20"/>
              </w:rPr>
              <w:t>%</w:t>
            </w:r>
          </w:p>
        </w:tc>
        <w:tc>
          <w:tcPr>
            <w:tcW w:w="984" w:type="dxa"/>
            <w:shd w:val="clear" w:color="auto" w:fill="auto"/>
            <w:vAlign w:val="bottom"/>
          </w:tcPr>
          <w:p w:rsidR="00661377" w:rsidRPr="00B97A09" w:rsidRDefault="00516B6A" w:rsidP="000924FC">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661377" w:rsidRPr="00B97A09">
              <w:rPr>
                <w:rFonts w:ascii="Calibri" w:eastAsia="Calibri" w:hAnsi="Calibri" w:cs="Calibri"/>
                <w:color w:val="000000"/>
                <w:sz w:val="20"/>
                <w:szCs w:val="20"/>
              </w:rPr>
              <w:t>3.1</w:t>
            </w:r>
            <w:r>
              <w:rPr>
                <w:rFonts w:ascii="Calibri" w:eastAsia="Calibri" w:hAnsi="Calibri" w:cs="Calibri"/>
                <w:color w:val="000000"/>
                <w:sz w:val="20"/>
                <w:szCs w:val="20"/>
              </w:rPr>
              <w:t>%</w:t>
            </w:r>
          </w:p>
        </w:tc>
        <w:tc>
          <w:tcPr>
            <w:tcW w:w="984" w:type="dxa"/>
            <w:shd w:val="clear" w:color="auto" w:fill="auto"/>
            <w:vAlign w:val="bottom"/>
          </w:tcPr>
          <w:p w:rsidR="00661377" w:rsidRPr="00B97A09" w:rsidRDefault="00516B6A" w:rsidP="000924FC">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661377" w:rsidRPr="00B97A09">
              <w:rPr>
                <w:rFonts w:ascii="Calibri" w:eastAsia="Calibri" w:hAnsi="Calibri" w:cs="Calibri"/>
                <w:color w:val="000000"/>
                <w:sz w:val="20"/>
                <w:szCs w:val="20"/>
              </w:rPr>
              <w:t>7.7</w:t>
            </w:r>
            <w:r>
              <w:rPr>
                <w:rFonts w:ascii="Calibri" w:eastAsia="Calibri" w:hAnsi="Calibri" w:cs="Calibri"/>
                <w:color w:val="000000"/>
                <w:sz w:val="20"/>
                <w:szCs w:val="20"/>
              </w:rPr>
              <w:t>%</w:t>
            </w:r>
          </w:p>
        </w:tc>
        <w:tc>
          <w:tcPr>
            <w:tcW w:w="984" w:type="dxa"/>
            <w:shd w:val="clear" w:color="auto" w:fill="auto"/>
            <w:vAlign w:val="bottom"/>
          </w:tcPr>
          <w:p w:rsidR="00661377" w:rsidRPr="00B97A09" w:rsidRDefault="00516B6A" w:rsidP="000924FC">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661377" w:rsidRPr="00B97A09">
              <w:rPr>
                <w:rFonts w:ascii="Calibri" w:eastAsia="Calibri" w:hAnsi="Calibri" w:cs="Calibri"/>
                <w:color w:val="000000"/>
                <w:sz w:val="20"/>
                <w:szCs w:val="20"/>
              </w:rPr>
              <w:t>0.0</w:t>
            </w:r>
            <w:r>
              <w:rPr>
                <w:rFonts w:ascii="Calibri" w:eastAsia="Calibri" w:hAnsi="Calibri" w:cs="Calibri"/>
                <w:color w:val="000000"/>
                <w:sz w:val="20"/>
                <w:szCs w:val="20"/>
              </w:rPr>
              <w:t>%</w:t>
            </w:r>
          </w:p>
        </w:tc>
        <w:tc>
          <w:tcPr>
            <w:tcW w:w="984" w:type="dxa"/>
            <w:vAlign w:val="bottom"/>
          </w:tcPr>
          <w:p w:rsidR="00661377" w:rsidRPr="00B97A09" w:rsidRDefault="00516B6A" w:rsidP="000924FC">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661377" w:rsidRPr="00B97A09">
              <w:rPr>
                <w:rFonts w:ascii="Calibri" w:eastAsia="Calibri" w:hAnsi="Calibri" w:cs="Calibri"/>
                <w:color w:val="000000"/>
                <w:sz w:val="20"/>
                <w:szCs w:val="20"/>
              </w:rPr>
              <w:t>100.0</w:t>
            </w:r>
            <w:r>
              <w:rPr>
                <w:rFonts w:ascii="Calibri" w:eastAsia="Calibri" w:hAnsi="Calibri" w:cs="Calibri"/>
                <w:color w:val="000000"/>
                <w:sz w:val="20"/>
                <w:szCs w:val="20"/>
              </w:rPr>
              <w:t>%</w:t>
            </w:r>
          </w:p>
        </w:tc>
      </w:tr>
      <w:tr w:rsidR="00661377" w:rsidRPr="00E877CA" w:rsidTr="000924FC">
        <w:trPr>
          <w:cantSplit/>
          <w:trHeight w:val="340"/>
        </w:trPr>
        <w:tc>
          <w:tcPr>
            <w:tcW w:w="2376" w:type="dxa"/>
            <w:tcBorders>
              <w:right w:val="single" w:sz="4" w:space="0" w:color="auto"/>
            </w:tcBorders>
            <w:shd w:val="clear" w:color="auto" w:fill="auto"/>
            <w:vAlign w:val="bottom"/>
          </w:tcPr>
          <w:p w:rsidR="00661377" w:rsidRPr="00B97A09" w:rsidRDefault="00661377" w:rsidP="000924FC">
            <w:pPr>
              <w:spacing w:before="20" w:after="20" w:line="259" w:lineRule="auto"/>
              <w:jc w:val="right"/>
              <w:rPr>
                <w:rFonts w:ascii="Calibri" w:eastAsia="Calibri" w:hAnsi="Calibri" w:cs="Calibri"/>
                <w:sz w:val="20"/>
                <w:szCs w:val="20"/>
              </w:rPr>
            </w:pPr>
            <w:r w:rsidRPr="00B97A09">
              <w:rPr>
                <w:rFonts w:ascii="Calibri" w:eastAsia="Calibri" w:hAnsi="Calibri" w:cs="Calibri"/>
                <w:sz w:val="20"/>
                <w:szCs w:val="20"/>
              </w:rPr>
              <w:t>Some say</w:t>
            </w:r>
          </w:p>
        </w:tc>
        <w:tc>
          <w:tcPr>
            <w:tcW w:w="1125" w:type="dxa"/>
            <w:tcBorders>
              <w:left w:val="single" w:sz="4" w:space="0" w:color="auto"/>
            </w:tcBorders>
            <w:shd w:val="clear" w:color="auto" w:fill="auto"/>
            <w:vAlign w:val="bottom"/>
          </w:tcPr>
          <w:p w:rsidR="00661377" w:rsidRPr="00B97A09" w:rsidRDefault="00661377" w:rsidP="000924FC">
            <w:pPr>
              <w:spacing w:before="0" w:after="0" w:line="259" w:lineRule="auto"/>
              <w:jc w:val="right"/>
              <w:rPr>
                <w:rFonts w:ascii="Calibri" w:eastAsia="Calibri" w:hAnsi="Calibri" w:cs="Calibri"/>
                <w:color w:val="000000"/>
                <w:sz w:val="20"/>
                <w:szCs w:val="20"/>
              </w:rPr>
            </w:pPr>
            <w:r w:rsidRPr="00B97A09">
              <w:rPr>
                <w:rFonts w:ascii="Calibri" w:eastAsia="Calibri" w:hAnsi="Calibri" w:cs="Calibri"/>
                <w:color w:val="000000"/>
                <w:sz w:val="20"/>
                <w:szCs w:val="20"/>
              </w:rPr>
              <w:t>33</w:t>
            </w:r>
          </w:p>
        </w:tc>
        <w:tc>
          <w:tcPr>
            <w:tcW w:w="984" w:type="dxa"/>
            <w:shd w:val="clear" w:color="auto" w:fill="auto"/>
            <w:vAlign w:val="bottom"/>
          </w:tcPr>
          <w:p w:rsidR="00661377" w:rsidRPr="00B97A09" w:rsidRDefault="00661377" w:rsidP="000924FC">
            <w:pPr>
              <w:spacing w:before="0" w:after="0" w:line="259" w:lineRule="auto"/>
              <w:jc w:val="right"/>
              <w:rPr>
                <w:rFonts w:ascii="Calibri" w:eastAsia="Calibri" w:hAnsi="Calibri" w:cs="Calibri"/>
                <w:color w:val="000000"/>
                <w:sz w:val="20"/>
                <w:szCs w:val="20"/>
              </w:rPr>
            </w:pPr>
            <w:r w:rsidRPr="00B97A09">
              <w:rPr>
                <w:rFonts w:ascii="Calibri" w:eastAsia="Calibri" w:hAnsi="Calibri" w:cs="Calibri"/>
                <w:color w:val="000000"/>
                <w:sz w:val="20"/>
                <w:szCs w:val="20"/>
              </w:rPr>
              <w:t>34</w:t>
            </w:r>
          </w:p>
        </w:tc>
        <w:tc>
          <w:tcPr>
            <w:tcW w:w="984" w:type="dxa"/>
            <w:shd w:val="clear" w:color="auto" w:fill="auto"/>
            <w:vAlign w:val="bottom"/>
          </w:tcPr>
          <w:p w:rsidR="00661377" w:rsidRPr="00B97A09" w:rsidRDefault="00661377" w:rsidP="000924FC">
            <w:pPr>
              <w:spacing w:before="0" w:after="0" w:line="259" w:lineRule="auto"/>
              <w:jc w:val="right"/>
              <w:rPr>
                <w:rFonts w:ascii="Calibri" w:eastAsia="Calibri" w:hAnsi="Calibri" w:cs="Calibri"/>
                <w:color w:val="000000"/>
                <w:sz w:val="20"/>
                <w:szCs w:val="20"/>
              </w:rPr>
            </w:pPr>
            <w:r w:rsidRPr="00B97A09">
              <w:rPr>
                <w:rFonts w:ascii="Calibri" w:eastAsia="Calibri" w:hAnsi="Calibri" w:cs="Calibri"/>
                <w:color w:val="000000"/>
                <w:sz w:val="20"/>
                <w:szCs w:val="20"/>
              </w:rPr>
              <w:t>2</w:t>
            </w:r>
          </w:p>
        </w:tc>
        <w:tc>
          <w:tcPr>
            <w:tcW w:w="984" w:type="dxa"/>
            <w:shd w:val="clear" w:color="auto" w:fill="auto"/>
            <w:vAlign w:val="bottom"/>
          </w:tcPr>
          <w:p w:rsidR="00661377" w:rsidRPr="00B97A09" w:rsidRDefault="00661377" w:rsidP="000924FC">
            <w:pPr>
              <w:spacing w:before="0" w:after="0" w:line="259" w:lineRule="auto"/>
              <w:jc w:val="right"/>
              <w:rPr>
                <w:rFonts w:ascii="Calibri" w:eastAsia="Calibri" w:hAnsi="Calibri" w:cs="Calibri"/>
                <w:color w:val="000000"/>
                <w:sz w:val="20"/>
                <w:szCs w:val="20"/>
              </w:rPr>
            </w:pPr>
            <w:r w:rsidRPr="00B97A09">
              <w:rPr>
                <w:rFonts w:ascii="Calibri" w:eastAsia="Calibri" w:hAnsi="Calibri" w:cs="Calibri"/>
                <w:color w:val="000000"/>
                <w:sz w:val="20"/>
                <w:szCs w:val="20"/>
              </w:rPr>
              <w:t>4</w:t>
            </w:r>
          </w:p>
        </w:tc>
        <w:tc>
          <w:tcPr>
            <w:tcW w:w="984" w:type="dxa"/>
            <w:shd w:val="clear" w:color="auto" w:fill="auto"/>
            <w:vAlign w:val="bottom"/>
          </w:tcPr>
          <w:p w:rsidR="00661377" w:rsidRPr="00B97A09" w:rsidRDefault="00661377" w:rsidP="000924FC">
            <w:pPr>
              <w:spacing w:before="0" w:after="0" w:line="259" w:lineRule="auto"/>
              <w:jc w:val="right"/>
              <w:rPr>
                <w:rFonts w:ascii="Calibri" w:eastAsia="Calibri" w:hAnsi="Calibri" w:cs="Calibri"/>
                <w:color w:val="000000"/>
                <w:sz w:val="20"/>
                <w:szCs w:val="20"/>
              </w:rPr>
            </w:pPr>
            <w:r w:rsidRPr="00B97A09">
              <w:rPr>
                <w:rFonts w:ascii="Calibri" w:eastAsia="Calibri" w:hAnsi="Calibri" w:cs="Calibri"/>
                <w:color w:val="000000"/>
                <w:sz w:val="20"/>
                <w:szCs w:val="20"/>
              </w:rPr>
              <w:t>7</w:t>
            </w:r>
          </w:p>
        </w:tc>
        <w:tc>
          <w:tcPr>
            <w:tcW w:w="984" w:type="dxa"/>
            <w:shd w:val="clear" w:color="auto" w:fill="auto"/>
            <w:vAlign w:val="bottom"/>
          </w:tcPr>
          <w:p w:rsidR="00661377" w:rsidRPr="00B97A09" w:rsidRDefault="00661377" w:rsidP="000924FC">
            <w:pPr>
              <w:spacing w:before="0" w:after="0" w:line="259" w:lineRule="auto"/>
              <w:jc w:val="right"/>
              <w:rPr>
                <w:rFonts w:ascii="Calibri" w:eastAsia="Calibri" w:hAnsi="Calibri" w:cs="Calibri"/>
                <w:color w:val="000000"/>
                <w:sz w:val="20"/>
                <w:szCs w:val="20"/>
              </w:rPr>
            </w:pPr>
            <w:r w:rsidRPr="00B97A09">
              <w:rPr>
                <w:rFonts w:ascii="Calibri" w:eastAsia="Calibri" w:hAnsi="Calibri" w:cs="Calibri"/>
                <w:color w:val="000000"/>
                <w:sz w:val="20"/>
                <w:szCs w:val="20"/>
              </w:rPr>
              <w:t>1</w:t>
            </w:r>
          </w:p>
        </w:tc>
        <w:tc>
          <w:tcPr>
            <w:tcW w:w="984" w:type="dxa"/>
            <w:vAlign w:val="bottom"/>
          </w:tcPr>
          <w:p w:rsidR="00661377" w:rsidRPr="00B97A09" w:rsidRDefault="00661377" w:rsidP="000924FC">
            <w:pPr>
              <w:spacing w:before="0" w:after="0" w:line="259" w:lineRule="auto"/>
              <w:jc w:val="right"/>
              <w:rPr>
                <w:rFonts w:ascii="Calibri" w:eastAsia="Calibri" w:hAnsi="Calibri" w:cs="Calibri"/>
                <w:color w:val="000000"/>
                <w:sz w:val="20"/>
                <w:szCs w:val="20"/>
              </w:rPr>
            </w:pPr>
            <w:r w:rsidRPr="00B97A09">
              <w:rPr>
                <w:rFonts w:ascii="Calibri" w:eastAsia="Calibri" w:hAnsi="Calibri" w:cs="Calibri"/>
                <w:color w:val="000000"/>
                <w:sz w:val="20"/>
                <w:szCs w:val="20"/>
              </w:rPr>
              <w:t>81</w:t>
            </w:r>
          </w:p>
        </w:tc>
      </w:tr>
      <w:tr w:rsidR="00661377" w:rsidRPr="00E877CA" w:rsidTr="000924FC">
        <w:trPr>
          <w:cantSplit/>
        </w:trPr>
        <w:tc>
          <w:tcPr>
            <w:tcW w:w="2376" w:type="dxa"/>
            <w:tcBorders>
              <w:right w:val="single" w:sz="4" w:space="0" w:color="auto"/>
            </w:tcBorders>
            <w:shd w:val="clear" w:color="auto" w:fill="auto"/>
            <w:vAlign w:val="bottom"/>
          </w:tcPr>
          <w:p w:rsidR="00661377" w:rsidRPr="00B97A09" w:rsidRDefault="00661377" w:rsidP="000924FC">
            <w:pPr>
              <w:spacing w:before="20" w:after="20" w:line="259" w:lineRule="auto"/>
              <w:jc w:val="right"/>
              <w:rPr>
                <w:rFonts w:ascii="Calibri" w:eastAsia="Calibri" w:hAnsi="Calibri" w:cs="Calibri"/>
                <w:sz w:val="20"/>
                <w:szCs w:val="20"/>
              </w:rPr>
            </w:pPr>
          </w:p>
        </w:tc>
        <w:tc>
          <w:tcPr>
            <w:tcW w:w="1125" w:type="dxa"/>
            <w:tcBorders>
              <w:left w:val="single" w:sz="4" w:space="0" w:color="auto"/>
            </w:tcBorders>
            <w:shd w:val="clear" w:color="auto" w:fill="auto"/>
            <w:vAlign w:val="bottom"/>
          </w:tcPr>
          <w:p w:rsidR="00661377" w:rsidRPr="00B97A09" w:rsidRDefault="00516B6A" w:rsidP="000924FC">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661377" w:rsidRPr="00B97A09">
              <w:rPr>
                <w:rFonts w:ascii="Calibri" w:eastAsia="Calibri" w:hAnsi="Calibri" w:cs="Calibri"/>
                <w:color w:val="000000"/>
                <w:sz w:val="20"/>
                <w:szCs w:val="20"/>
              </w:rPr>
              <w:t>40.7</w:t>
            </w:r>
            <w:r>
              <w:rPr>
                <w:rFonts w:ascii="Calibri" w:eastAsia="Calibri" w:hAnsi="Calibri" w:cs="Calibri"/>
                <w:color w:val="000000"/>
                <w:sz w:val="20"/>
                <w:szCs w:val="20"/>
              </w:rPr>
              <w:t>%</w:t>
            </w:r>
          </w:p>
        </w:tc>
        <w:tc>
          <w:tcPr>
            <w:tcW w:w="984" w:type="dxa"/>
            <w:shd w:val="clear" w:color="auto" w:fill="auto"/>
            <w:vAlign w:val="bottom"/>
          </w:tcPr>
          <w:p w:rsidR="00661377" w:rsidRPr="00B97A09" w:rsidRDefault="00516B6A" w:rsidP="000924FC">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661377" w:rsidRPr="00B97A09">
              <w:rPr>
                <w:rFonts w:ascii="Calibri" w:eastAsia="Calibri" w:hAnsi="Calibri" w:cs="Calibri"/>
                <w:color w:val="000000"/>
                <w:sz w:val="20"/>
                <w:szCs w:val="20"/>
              </w:rPr>
              <w:t>42.0</w:t>
            </w:r>
            <w:r>
              <w:rPr>
                <w:rFonts w:ascii="Calibri" w:eastAsia="Calibri" w:hAnsi="Calibri" w:cs="Calibri"/>
                <w:color w:val="000000"/>
                <w:sz w:val="20"/>
                <w:szCs w:val="20"/>
              </w:rPr>
              <w:t>%</w:t>
            </w:r>
          </w:p>
        </w:tc>
        <w:tc>
          <w:tcPr>
            <w:tcW w:w="984" w:type="dxa"/>
            <w:shd w:val="clear" w:color="auto" w:fill="auto"/>
            <w:vAlign w:val="bottom"/>
          </w:tcPr>
          <w:p w:rsidR="00661377" w:rsidRPr="00B97A09" w:rsidRDefault="00516B6A" w:rsidP="000924FC">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661377" w:rsidRPr="00B97A09">
              <w:rPr>
                <w:rFonts w:ascii="Calibri" w:eastAsia="Calibri" w:hAnsi="Calibri" w:cs="Calibri"/>
                <w:color w:val="000000"/>
                <w:sz w:val="20"/>
                <w:szCs w:val="20"/>
              </w:rPr>
              <w:t>2.5</w:t>
            </w:r>
            <w:r>
              <w:rPr>
                <w:rFonts w:ascii="Calibri" w:eastAsia="Calibri" w:hAnsi="Calibri" w:cs="Calibri"/>
                <w:color w:val="000000"/>
                <w:sz w:val="20"/>
                <w:szCs w:val="20"/>
              </w:rPr>
              <w:t>%</w:t>
            </w:r>
          </w:p>
        </w:tc>
        <w:tc>
          <w:tcPr>
            <w:tcW w:w="984" w:type="dxa"/>
            <w:shd w:val="clear" w:color="auto" w:fill="auto"/>
            <w:vAlign w:val="bottom"/>
          </w:tcPr>
          <w:p w:rsidR="00661377" w:rsidRPr="00B97A09" w:rsidRDefault="00516B6A" w:rsidP="000924FC">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661377" w:rsidRPr="00B97A09">
              <w:rPr>
                <w:rFonts w:ascii="Calibri" w:eastAsia="Calibri" w:hAnsi="Calibri" w:cs="Calibri"/>
                <w:color w:val="000000"/>
                <w:sz w:val="20"/>
                <w:szCs w:val="20"/>
              </w:rPr>
              <w:t>4.9</w:t>
            </w:r>
            <w:r>
              <w:rPr>
                <w:rFonts w:ascii="Calibri" w:eastAsia="Calibri" w:hAnsi="Calibri" w:cs="Calibri"/>
                <w:color w:val="000000"/>
                <w:sz w:val="20"/>
                <w:szCs w:val="20"/>
              </w:rPr>
              <w:t>%</w:t>
            </w:r>
          </w:p>
        </w:tc>
        <w:tc>
          <w:tcPr>
            <w:tcW w:w="984" w:type="dxa"/>
            <w:shd w:val="clear" w:color="auto" w:fill="auto"/>
            <w:vAlign w:val="bottom"/>
          </w:tcPr>
          <w:p w:rsidR="00661377" w:rsidRPr="00B97A09" w:rsidRDefault="00516B6A" w:rsidP="000924FC">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661377" w:rsidRPr="00B97A09">
              <w:rPr>
                <w:rFonts w:ascii="Calibri" w:eastAsia="Calibri" w:hAnsi="Calibri" w:cs="Calibri"/>
                <w:color w:val="000000"/>
                <w:sz w:val="20"/>
                <w:szCs w:val="20"/>
              </w:rPr>
              <w:t>8.6</w:t>
            </w:r>
            <w:r>
              <w:rPr>
                <w:rFonts w:ascii="Calibri" w:eastAsia="Calibri" w:hAnsi="Calibri" w:cs="Calibri"/>
                <w:color w:val="000000"/>
                <w:sz w:val="20"/>
                <w:szCs w:val="20"/>
              </w:rPr>
              <w:t>%</w:t>
            </w:r>
          </w:p>
        </w:tc>
        <w:tc>
          <w:tcPr>
            <w:tcW w:w="984" w:type="dxa"/>
            <w:shd w:val="clear" w:color="auto" w:fill="auto"/>
            <w:vAlign w:val="bottom"/>
          </w:tcPr>
          <w:p w:rsidR="00661377" w:rsidRPr="00B97A09" w:rsidRDefault="00516B6A" w:rsidP="000924FC">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661377" w:rsidRPr="00B97A09">
              <w:rPr>
                <w:rFonts w:ascii="Calibri" w:eastAsia="Calibri" w:hAnsi="Calibri" w:cs="Calibri"/>
                <w:color w:val="000000"/>
                <w:sz w:val="20"/>
                <w:szCs w:val="20"/>
              </w:rPr>
              <w:t>1.2</w:t>
            </w:r>
            <w:r>
              <w:rPr>
                <w:rFonts w:ascii="Calibri" w:eastAsia="Calibri" w:hAnsi="Calibri" w:cs="Calibri"/>
                <w:color w:val="000000"/>
                <w:sz w:val="20"/>
                <w:szCs w:val="20"/>
              </w:rPr>
              <w:t>%</w:t>
            </w:r>
          </w:p>
        </w:tc>
        <w:tc>
          <w:tcPr>
            <w:tcW w:w="984" w:type="dxa"/>
            <w:vAlign w:val="bottom"/>
          </w:tcPr>
          <w:p w:rsidR="00661377" w:rsidRPr="00B97A09" w:rsidRDefault="00516B6A" w:rsidP="000924FC">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661377" w:rsidRPr="00B97A09">
              <w:rPr>
                <w:rFonts w:ascii="Calibri" w:eastAsia="Calibri" w:hAnsi="Calibri" w:cs="Calibri"/>
                <w:color w:val="000000"/>
                <w:sz w:val="20"/>
                <w:szCs w:val="20"/>
              </w:rPr>
              <w:t>100.0</w:t>
            </w:r>
            <w:r>
              <w:rPr>
                <w:rFonts w:ascii="Calibri" w:eastAsia="Calibri" w:hAnsi="Calibri" w:cs="Calibri"/>
                <w:color w:val="000000"/>
                <w:sz w:val="20"/>
                <w:szCs w:val="20"/>
              </w:rPr>
              <w:t>%</w:t>
            </w:r>
          </w:p>
        </w:tc>
      </w:tr>
      <w:tr w:rsidR="00661377" w:rsidRPr="00E877CA" w:rsidTr="000924FC">
        <w:trPr>
          <w:cantSplit/>
          <w:trHeight w:val="340"/>
        </w:trPr>
        <w:tc>
          <w:tcPr>
            <w:tcW w:w="2376" w:type="dxa"/>
            <w:tcBorders>
              <w:right w:val="single" w:sz="4" w:space="0" w:color="auto"/>
            </w:tcBorders>
            <w:shd w:val="clear" w:color="auto" w:fill="auto"/>
            <w:vAlign w:val="bottom"/>
          </w:tcPr>
          <w:p w:rsidR="00661377" w:rsidRPr="00B97A09" w:rsidRDefault="00661377" w:rsidP="000924FC">
            <w:pPr>
              <w:spacing w:before="20" w:after="20" w:line="259" w:lineRule="auto"/>
              <w:jc w:val="right"/>
              <w:rPr>
                <w:rFonts w:ascii="Calibri" w:eastAsia="Calibri" w:hAnsi="Calibri" w:cs="Calibri"/>
                <w:sz w:val="20"/>
                <w:szCs w:val="20"/>
              </w:rPr>
            </w:pPr>
            <w:r w:rsidRPr="00B97A09">
              <w:rPr>
                <w:rFonts w:ascii="Calibri" w:eastAsia="Calibri" w:hAnsi="Calibri" w:cs="Calibri"/>
                <w:sz w:val="20"/>
                <w:szCs w:val="20"/>
              </w:rPr>
              <w:t>Little say</w:t>
            </w:r>
          </w:p>
        </w:tc>
        <w:tc>
          <w:tcPr>
            <w:tcW w:w="1125" w:type="dxa"/>
            <w:tcBorders>
              <w:left w:val="single" w:sz="4" w:space="0" w:color="auto"/>
            </w:tcBorders>
            <w:shd w:val="clear" w:color="auto" w:fill="auto"/>
            <w:vAlign w:val="bottom"/>
          </w:tcPr>
          <w:p w:rsidR="00661377" w:rsidRPr="00B97A09" w:rsidRDefault="00661377" w:rsidP="000924FC">
            <w:pPr>
              <w:spacing w:before="0" w:after="0" w:line="259" w:lineRule="auto"/>
              <w:jc w:val="right"/>
              <w:rPr>
                <w:rFonts w:ascii="Calibri" w:eastAsia="Calibri" w:hAnsi="Calibri" w:cs="Calibri"/>
                <w:color w:val="000000"/>
                <w:sz w:val="20"/>
                <w:szCs w:val="20"/>
              </w:rPr>
            </w:pPr>
            <w:r w:rsidRPr="00B97A09">
              <w:rPr>
                <w:rFonts w:ascii="Calibri" w:eastAsia="Calibri" w:hAnsi="Calibri" w:cs="Calibri"/>
                <w:color w:val="000000"/>
                <w:sz w:val="20"/>
                <w:szCs w:val="20"/>
              </w:rPr>
              <w:t>13</w:t>
            </w:r>
          </w:p>
        </w:tc>
        <w:tc>
          <w:tcPr>
            <w:tcW w:w="984" w:type="dxa"/>
            <w:shd w:val="clear" w:color="auto" w:fill="auto"/>
            <w:vAlign w:val="bottom"/>
          </w:tcPr>
          <w:p w:rsidR="00661377" w:rsidRPr="00B97A09" w:rsidRDefault="00661377" w:rsidP="000924FC">
            <w:pPr>
              <w:spacing w:before="0" w:after="0" w:line="259" w:lineRule="auto"/>
              <w:jc w:val="right"/>
              <w:rPr>
                <w:rFonts w:ascii="Calibri" w:eastAsia="Calibri" w:hAnsi="Calibri" w:cs="Calibri"/>
                <w:color w:val="000000"/>
                <w:sz w:val="20"/>
                <w:szCs w:val="20"/>
              </w:rPr>
            </w:pPr>
            <w:r w:rsidRPr="00B97A09">
              <w:rPr>
                <w:rFonts w:ascii="Calibri" w:eastAsia="Calibri" w:hAnsi="Calibri" w:cs="Calibri"/>
                <w:color w:val="000000"/>
                <w:sz w:val="20"/>
                <w:szCs w:val="20"/>
              </w:rPr>
              <w:t>17</w:t>
            </w:r>
          </w:p>
        </w:tc>
        <w:tc>
          <w:tcPr>
            <w:tcW w:w="984" w:type="dxa"/>
            <w:shd w:val="clear" w:color="auto" w:fill="auto"/>
            <w:vAlign w:val="bottom"/>
          </w:tcPr>
          <w:p w:rsidR="00661377" w:rsidRPr="00B97A09" w:rsidRDefault="00661377" w:rsidP="000924FC">
            <w:pPr>
              <w:spacing w:before="0" w:after="0" w:line="259" w:lineRule="auto"/>
              <w:jc w:val="right"/>
              <w:rPr>
                <w:rFonts w:ascii="Calibri" w:eastAsia="Calibri" w:hAnsi="Calibri" w:cs="Calibri"/>
                <w:color w:val="000000"/>
                <w:sz w:val="20"/>
                <w:szCs w:val="20"/>
              </w:rPr>
            </w:pPr>
            <w:r w:rsidRPr="00B97A09">
              <w:rPr>
                <w:rFonts w:ascii="Calibri" w:eastAsia="Calibri" w:hAnsi="Calibri" w:cs="Calibri"/>
                <w:color w:val="000000"/>
                <w:sz w:val="20"/>
                <w:szCs w:val="20"/>
              </w:rPr>
              <w:t>3</w:t>
            </w:r>
          </w:p>
        </w:tc>
        <w:tc>
          <w:tcPr>
            <w:tcW w:w="984" w:type="dxa"/>
            <w:shd w:val="clear" w:color="auto" w:fill="auto"/>
            <w:vAlign w:val="bottom"/>
          </w:tcPr>
          <w:p w:rsidR="00661377" w:rsidRPr="00B97A09" w:rsidRDefault="00661377" w:rsidP="000924FC">
            <w:pPr>
              <w:spacing w:before="0" w:after="0" w:line="259" w:lineRule="auto"/>
              <w:jc w:val="right"/>
              <w:rPr>
                <w:rFonts w:ascii="Calibri" w:eastAsia="Calibri" w:hAnsi="Calibri" w:cs="Calibri"/>
                <w:color w:val="000000"/>
                <w:sz w:val="20"/>
                <w:szCs w:val="20"/>
              </w:rPr>
            </w:pPr>
            <w:r w:rsidRPr="00B97A09">
              <w:rPr>
                <w:rFonts w:ascii="Calibri" w:eastAsia="Calibri" w:hAnsi="Calibri" w:cs="Calibri"/>
                <w:color w:val="000000"/>
                <w:sz w:val="20"/>
                <w:szCs w:val="20"/>
              </w:rPr>
              <w:t>1</w:t>
            </w:r>
          </w:p>
        </w:tc>
        <w:tc>
          <w:tcPr>
            <w:tcW w:w="984" w:type="dxa"/>
            <w:shd w:val="clear" w:color="auto" w:fill="auto"/>
            <w:vAlign w:val="bottom"/>
          </w:tcPr>
          <w:p w:rsidR="00661377" w:rsidRPr="00B97A09" w:rsidRDefault="00661377" w:rsidP="000924FC">
            <w:pPr>
              <w:spacing w:before="0" w:after="0" w:line="259" w:lineRule="auto"/>
              <w:jc w:val="right"/>
              <w:rPr>
                <w:rFonts w:ascii="Calibri" w:eastAsia="Calibri" w:hAnsi="Calibri" w:cs="Calibri"/>
                <w:color w:val="000000"/>
                <w:sz w:val="20"/>
                <w:szCs w:val="20"/>
              </w:rPr>
            </w:pPr>
            <w:r w:rsidRPr="00B97A09">
              <w:rPr>
                <w:rFonts w:ascii="Calibri" w:eastAsia="Calibri" w:hAnsi="Calibri" w:cs="Calibri"/>
                <w:color w:val="000000"/>
                <w:sz w:val="20"/>
                <w:szCs w:val="20"/>
              </w:rPr>
              <w:t>1</w:t>
            </w:r>
          </w:p>
        </w:tc>
        <w:tc>
          <w:tcPr>
            <w:tcW w:w="984" w:type="dxa"/>
            <w:shd w:val="clear" w:color="auto" w:fill="auto"/>
            <w:vAlign w:val="bottom"/>
          </w:tcPr>
          <w:p w:rsidR="00661377" w:rsidRPr="00B97A09" w:rsidRDefault="00661377" w:rsidP="000924FC">
            <w:pPr>
              <w:spacing w:before="0" w:after="0" w:line="259" w:lineRule="auto"/>
              <w:jc w:val="right"/>
              <w:rPr>
                <w:rFonts w:ascii="Calibri" w:eastAsia="Calibri" w:hAnsi="Calibri" w:cs="Calibri"/>
                <w:color w:val="000000"/>
                <w:sz w:val="20"/>
                <w:szCs w:val="20"/>
              </w:rPr>
            </w:pPr>
            <w:r w:rsidRPr="00B97A09">
              <w:rPr>
                <w:rFonts w:ascii="Calibri" w:eastAsia="Calibri" w:hAnsi="Calibri" w:cs="Calibri"/>
                <w:color w:val="000000"/>
                <w:sz w:val="20"/>
                <w:szCs w:val="20"/>
              </w:rPr>
              <w:t>1</w:t>
            </w:r>
          </w:p>
        </w:tc>
        <w:tc>
          <w:tcPr>
            <w:tcW w:w="984" w:type="dxa"/>
            <w:vAlign w:val="bottom"/>
          </w:tcPr>
          <w:p w:rsidR="00661377" w:rsidRPr="00B97A09" w:rsidRDefault="00661377" w:rsidP="000924FC">
            <w:pPr>
              <w:spacing w:before="0" w:after="0" w:line="259" w:lineRule="auto"/>
              <w:jc w:val="right"/>
              <w:rPr>
                <w:rFonts w:ascii="Calibri" w:eastAsia="Calibri" w:hAnsi="Calibri" w:cs="Calibri"/>
                <w:color w:val="000000"/>
                <w:sz w:val="20"/>
                <w:szCs w:val="20"/>
              </w:rPr>
            </w:pPr>
            <w:r w:rsidRPr="00B97A09">
              <w:rPr>
                <w:rFonts w:ascii="Calibri" w:eastAsia="Calibri" w:hAnsi="Calibri" w:cs="Calibri"/>
                <w:color w:val="000000"/>
                <w:sz w:val="20"/>
                <w:szCs w:val="20"/>
              </w:rPr>
              <w:t>36</w:t>
            </w:r>
          </w:p>
        </w:tc>
      </w:tr>
      <w:tr w:rsidR="00661377" w:rsidRPr="00E877CA" w:rsidTr="000924FC">
        <w:trPr>
          <w:cantSplit/>
        </w:trPr>
        <w:tc>
          <w:tcPr>
            <w:tcW w:w="2376" w:type="dxa"/>
            <w:tcBorders>
              <w:right w:val="single" w:sz="4" w:space="0" w:color="auto"/>
            </w:tcBorders>
            <w:shd w:val="clear" w:color="auto" w:fill="auto"/>
            <w:vAlign w:val="bottom"/>
          </w:tcPr>
          <w:p w:rsidR="00661377" w:rsidRPr="00B97A09" w:rsidRDefault="00661377" w:rsidP="000924FC">
            <w:pPr>
              <w:spacing w:before="20" w:after="20" w:line="259" w:lineRule="auto"/>
              <w:jc w:val="right"/>
              <w:rPr>
                <w:rFonts w:ascii="Calibri" w:eastAsia="Calibri" w:hAnsi="Calibri" w:cs="Calibri"/>
                <w:sz w:val="20"/>
                <w:szCs w:val="20"/>
              </w:rPr>
            </w:pPr>
          </w:p>
        </w:tc>
        <w:tc>
          <w:tcPr>
            <w:tcW w:w="1125" w:type="dxa"/>
            <w:tcBorders>
              <w:left w:val="single" w:sz="4" w:space="0" w:color="auto"/>
            </w:tcBorders>
            <w:shd w:val="clear" w:color="auto" w:fill="auto"/>
            <w:vAlign w:val="bottom"/>
          </w:tcPr>
          <w:p w:rsidR="00661377" w:rsidRPr="00B97A09" w:rsidRDefault="00516B6A" w:rsidP="000924FC">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661377" w:rsidRPr="00B97A09">
              <w:rPr>
                <w:rFonts w:ascii="Calibri" w:eastAsia="Calibri" w:hAnsi="Calibri" w:cs="Calibri"/>
                <w:color w:val="000000"/>
                <w:sz w:val="20"/>
                <w:szCs w:val="20"/>
              </w:rPr>
              <w:t>36.1</w:t>
            </w:r>
            <w:r>
              <w:rPr>
                <w:rFonts w:ascii="Calibri" w:eastAsia="Calibri" w:hAnsi="Calibri" w:cs="Calibri"/>
                <w:color w:val="000000"/>
                <w:sz w:val="20"/>
                <w:szCs w:val="20"/>
              </w:rPr>
              <w:t>%</w:t>
            </w:r>
          </w:p>
        </w:tc>
        <w:tc>
          <w:tcPr>
            <w:tcW w:w="984" w:type="dxa"/>
            <w:shd w:val="clear" w:color="auto" w:fill="auto"/>
            <w:vAlign w:val="bottom"/>
          </w:tcPr>
          <w:p w:rsidR="00661377" w:rsidRPr="00B97A09" w:rsidRDefault="00516B6A" w:rsidP="000924FC">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661377" w:rsidRPr="00B97A09">
              <w:rPr>
                <w:rFonts w:ascii="Calibri" w:eastAsia="Calibri" w:hAnsi="Calibri" w:cs="Calibri"/>
                <w:color w:val="000000"/>
                <w:sz w:val="20"/>
                <w:szCs w:val="20"/>
              </w:rPr>
              <w:t>47.2</w:t>
            </w:r>
            <w:r>
              <w:rPr>
                <w:rFonts w:ascii="Calibri" w:eastAsia="Calibri" w:hAnsi="Calibri" w:cs="Calibri"/>
                <w:color w:val="000000"/>
                <w:sz w:val="20"/>
                <w:szCs w:val="20"/>
              </w:rPr>
              <w:t>%</w:t>
            </w:r>
          </w:p>
        </w:tc>
        <w:tc>
          <w:tcPr>
            <w:tcW w:w="984" w:type="dxa"/>
            <w:shd w:val="clear" w:color="auto" w:fill="auto"/>
            <w:vAlign w:val="bottom"/>
          </w:tcPr>
          <w:p w:rsidR="00661377" w:rsidRPr="00B97A09" w:rsidRDefault="00516B6A" w:rsidP="000924FC">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661377" w:rsidRPr="00B97A09">
              <w:rPr>
                <w:rFonts w:ascii="Calibri" w:eastAsia="Calibri" w:hAnsi="Calibri" w:cs="Calibri"/>
                <w:color w:val="000000"/>
                <w:sz w:val="20"/>
                <w:szCs w:val="20"/>
              </w:rPr>
              <w:t>8.3</w:t>
            </w:r>
            <w:r>
              <w:rPr>
                <w:rFonts w:ascii="Calibri" w:eastAsia="Calibri" w:hAnsi="Calibri" w:cs="Calibri"/>
                <w:color w:val="000000"/>
                <w:sz w:val="20"/>
                <w:szCs w:val="20"/>
              </w:rPr>
              <w:t>%</w:t>
            </w:r>
          </w:p>
        </w:tc>
        <w:tc>
          <w:tcPr>
            <w:tcW w:w="984" w:type="dxa"/>
            <w:shd w:val="clear" w:color="auto" w:fill="auto"/>
            <w:vAlign w:val="bottom"/>
          </w:tcPr>
          <w:p w:rsidR="00661377" w:rsidRPr="00B97A09" w:rsidRDefault="00516B6A" w:rsidP="000924FC">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661377" w:rsidRPr="00B97A09">
              <w:rPr>
                <w:rFonts w:ascii="Calibri" w:eastAsia="Calibri" w:hAnsi="Calibri" w:cs="Calibri"/>
                <w:color w:val="000000"/>
                <w:sz w:val="20"/>
                <w:szCs w:val="20"/>
              </w:rPr>
              <w:t>2.8</w:t>
            </w:r>
            <w:r>
              <w:rPr>
                <w:rFonts w:ascii="Calibri" w:eastAsia="Calibri" w:hAnsi="Calibri" w:cs="Calibri"/>
                <w:color w:val="000000"/>
                <w:sz w:val="20"/>
                <w:szCs w:val="20"/>
              </w:rPr>
              <w:t>%</w:t>
            </w:r>
          </w:p>
        </w:tc>
        <w:tc>
          <w:tcPr>
            <w:tcW w:w="984" w:type="dxa"/>
            <w:shd w:val="clear" w:color="auto" w:fill="auto"/>
            <w:vAlign w:val="bottom"/>
          </w:tcPr>
          <w:p w:rsidR="00661377" w:rsidRPr="00B97A09" w:rsidRDefault="00516B6A" w:rsidP="000924FC">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661377" w:rsidRPr="00B97A09">
              <w:rPr>
                <w:rFonts w:ascii="Calibri" w:eastAsia="Calibri" w:hAnsi="Calibri" w:cs="Calibri"/>
                <w:color w:val="000000"/>
                <w:sz w:val="20"/>
                <w:szCs w:val="20"/>
              </w:rPr>
              <w:t>2.8</w:t>
            </w:r>
            <w:r>
              <w:rPr>
                <w:rFonts w:ascii="Calibri" w:eastAsia="Calibri" w:hAnsi="Calibri" w:cs="Calibri"/>
                <w:color w:val="000000"/>
                <w:sz w:val="20"/>
                <w:szCs w:val="20"/>
              </w:rPr>
              <w:t>%</w:t>
            </w:r>
          </w:p>
        </w:tc>
        <w:tc>
          <w:tcPr>
            <w:tcW w:w="984" w:type="dxa"/>
            <w:shd w:val="clear" w:color="auto" w:fill="auto"/>
            <w:vAlign w:val="bottom"/>
          </w:tcPr>
          <w:p w:rsidR="00661377" w:rsidRPr="00B97A09" w:rsidRDefault="00516B6A" w:rsidP="000924FC">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661377" w:rsidRPr="00B97A09">
              <w:rPr>
                <w:rFonts w:ascii="Calibri" w:eastAsia="Calibri" w:hAnsi="Calibri" w:cs="Calibri"/>
                <w:color w:val="000000"/>
                <w:sz w:val="20"/>
                <w:szCs w:val="20"/>
              </w:rPr>
              <w:t>2.8</w:t>
            </w:r>
            <w:r>
              <w:rPr>
                <w:rFonts w:ascii="Calibri" w:eastAsia="Calibri" w:hAnsi="Calibri" w:cs="Calibri"/>
                <w:color w:val="000000"/>
                <w:sz w:val="20"/>
                <w:szCs w:val="20"/>
              </w:rPr>
              <w:t>%</w:t>
            </w:r>
          </w:p>
        </w:tc>
        <w:tc>
          <w:tcPr>
            <w:tcW w:w="984" w:type="dxa"/>
            <w:vAlign w:val="bottom"/>
          </w:tcPr>
          <w:p w:rsidR="00661377" w:rsidRPr="00B97A09" w:rsidRDefault="00516B6A" w:rsidP="000924FC">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661377" w:rsidRPr="00B97A09">
              <w:rPr>
                <w:rFonts w:ascii="Calibri" w:eastAsia="Calibri" w:hAnsi="Calibri" w:cs="Calibri"/>
                <w:color w:val="000000"/>
                <w:sz w:val="20"/>
                <w:szCs w:val="20"/>
              </w:rPr>
              <w:t>100.0</w:t>
            </w:r>
            <w:r>
              <w:rPr>
                <w:rFonts w:ascii="Calibri" w:eastAsia="Calibri" w:hAnsi="Calibri" w:cs="Calibri"/>
                <w:color w:val="000000"/>
                <w:sz w:val="20"/>
                <w:szCs w:val="20"/>
              </w:rPr>
              <w:t>%</w:t>
            </w:r>
          </w:p>
        </w:tc>
      </w:tr>
      <w:tr w:rsidR="00661377" w:rsidRPr="00E877CA" w:rsidTr="000924FC">
        <w:trPr>
          <w:cantSplit/>
          <w:trHeight w:val="340"/>
        </w:trPr>
        <w:tc>
          <w:tcPr>
            <w:tcW w:w="2376" w:type="dxa"/>
            <w:tcBorders>
              <w:right w:val="single" w:sz="4" w:space="0" w:color="auto"/>
            </w:tcBorders>
            <w:shd w:val="clear" w:color="auto" w:fill="auto"/>
            <w:vAlign w:val="bottom"/>
          </w:tcPr>
          <w:p w:rsidR="00661377" w:rsidRPr="00B97A09" w:rsidRDefault="00661377" w:rsidP="000924FC">
            <w:pPr>
              <w:spacing w:before="20" w:after="20" w:line="259" w:lineRule="auto"/>
              <w:jc w:val="right"/>
              <w:rPr>
                <w:rFonts w:ascii="Calibri" w:eastAsia="Calibri" w:hAnsi="Calibri" w:cs="Calibri"/>
                <w:sz w:val="20"/>
                <w:szCs w:val="20"/>
              </w:rPr>
            </w:pPr>
            <w:r w:rsidRPr="00B97A09">
              <w:rPr>
                <w:rFonts w:ascii="Calibri" w:eastAsia="Calibri" w:hAnsi="Calibri" w:cs="Calibri"/>
                <w:sz w:val="20"/>
                <w:szCs w:val="20"/>
              </w:rPr>
              <w:t>No say</w:t>
            </w:r>
          </w:p>
        </w:tc>
        <w:tc>
          <w:tcPr>
            <w:tcW w:w="1125" w:type="dxa"/>
            <w:tcBorders>
              <w:left w:val="single" w:sz="4" w:space="0" w:color="auto"/>
            </w:tcBorders>
            <w:shd w:val="clear" w:color="auto" w:fill="auto"/>
            <w:vAlign w:val="bottom"/>
          </w:tcPr>
          <w:p w:rsidR="00661377" w:rsidRPr="00B97A09" w:rsidRDefault="00661377" w:rsidP="000924FC">
            <w:pPr>
              <w:spacing w:before="0" w:after="0" w:line="259" w:lineRule="auto"/>
              <w:jc w:val="right"/>
              <w:rPr>
                <w:rFonts w:ascii="Calibri" w:eastAsia="Calibri" w:hAnsi="Calibri" w:cs="Calibri"/>
                <w:color w:val="000000"/>
                <w:sz w:val="20"/>
                <w:szCs w:val="20"/>
              </w:rPr>
            </w:pPr>
            <w:r w:rsidRPr="00B97A09">
              <w:rPr>
                <w:rFonts w:ascii="Calibri" w:eastAsia="Calibri" w:hAnsi="Calibri" w:cs="Calibri"/>
                <w:color w:val="000000"/>
                <w:sz w:val="20"/>
                <w:szCs w:val="20"/>
              </w:rPr>
              <w:t>15</w:t>
            </w:r>
          </w:p>
        </w:tc>
        <w:tc>
          <w:tcPr>
            <w:tcW w:w="984" w:type="dxa"/>
            <w:shd w:val="clear" w:color="auto" w:fill="auto"/>
            <w:vAlign w:val="bottom"/>
          </w:tcPr>
          <w:p w:rsidR="00661377" w:rsidRPr="00B97A09" w:rsidRDefault="00661377" w:rsidP="000924FC">
            <w:pPr>
              <w:spacing w:before="0" w:after="0" w:line="259" w:lineRule="auto"/>
              <w:jc w:val="right"/>
              <w:rPr>
                <w:rFonts w:ascii="Calibri" w:eastAsia="Calibri" w:hAnsi="Calibri" w:cs="Calibri"/>
                <w:color w:val="000000"/>
                <w:sz w:val="20"/>
                <w:szCs w:val="20"/>
              </w:rPr>
            </w:pPr>
            <w:r w:rsidRPr="00B97A09">
              <w:rPr>
                <w:rFonts w:ascii="Calibri" w:eastAsia="Calibri" w:hAnsi="Calibri" w:cs="Calibri"/>
                <w:color w:val="000000"/>
                <w:sz w:val="20"/>
                <w:szCs w:val="20"/>
              </w:rPr>
              <w:t>9</w:t>
            </w:r>
          </w:p>
        </w:tc>
        <w:tc>
          <w:tcPr>
            <w:tcW w:w="984" w:type="dxa"/>
            <w:shd w:val="clear" w:color="auto" w:fill="auto"/>
            <w:vAlign w:val="bottom"/>
          </w:tcPr>
          <w:p w:rsidR="00661377" w:rsidRPr="00B97A09" w:rsidRDefault="00661377" w:rsidP="000924FC">
            <w:pPr>
              <w:spacing w:before="0" w:after="0" w:line="259" w:lineRule="auto"/>
              <w:jc w:val="right"/>
              <w:rPr>
                <w:rFonts w:ascii="Calibri" w:eastAsia="Calibri" w:hAnsi="Calibri" w:cs="Calibri"/>
                <w:color w:val="000000"/>
                <w:sz w:val="20"/>
                <w:szCs w:val="20"/>
              </w:rPr>
            </w:pPr>
            <w:r w:rsidRPr="00B97A09">
              <w:rPr>
                <w:rFonts w:ascii="Calibri" w:eastAsia="Calibri" w:hAnsi="Calibri" w:cs="Calibri"/>
                <w:color w:val="000000"/>
                <w:sz w:val="20"/>
                <w:szCs w:val="20"/>
              </w:rPr>
              <w:t>3</w:t>
            </w:r>
          </w:p>
        </w:tc>
        <w:tc>
          <w:tcPr>
            <w:tcW w:w="984" w:type="dxa"/>
            <w:shd w:val="clear" w:color="auto" w:fill="auto"/>
            <w:vAlign w:val="bottom"/>
          </w:tcPr>
          <w:p w:rsidR="00661377" w:rsidRPr="00B97A09" w:rsidRDefault="00661377" w:rsidP="000924FC">
            <w:pPr>
              <w:spacing w:before="0" w:after="0" w:line="259" w:lineRule="auto"/>
              <w:jc w:val="right"/>
              <w:rPr>
                <w:rFonts w:ascii="Calibri" w:eastAsia="Calibri" w:hAnsi="Calibri" w:cs="Calibri"/>
                <w:color w:val="000000"/>
                <w:sz w:val="20"/>
                <w:szCs w:val="20"/>
              </w:rPr>
            </w:pPr>
            <w:r w:rsidRPr="00B97A09">
              <w:rPr>
                <w:rFonts w:ascii="Calibri" w:eastAsia="Calibri" w:hAnsi="Calibri" w:cs="Calibri"/>
                <w:color w:val="000000"/>
                <w:sz w:val="20"/>
                <w:szCs w:val="20"/>
              </w:rPr>
              <w:t>20</w:t>
            </w:r>
          </w:p>
        </w:tc>
        <w:tc>
          <w:tcPr>
            <w:tcW w:w="984" w:type="dxa"/>
            <w:shd w:val="clear" w:color="auto" w:fill="auto"/>
            <w:vAlign w:val="bottom"/>
          </w:tcPr>
          <w:p w:rsidR="00661377" w:rsidRPr="00B97A09" w:rsidRDefault="00661377" w:rsidP="000924FC">
            <w:pPr>
              <w:spacing w:before="0" w:after="0" w:line="259" w:lineRule="auto"/>
              <w:jc w:val="right"/>
              <w:rPr>
                <w:rFonts w:ascii="Calibri" w:eastAsia="Calibri" w:hAnsi="Calibri" w:cs="Calibri"/>
                <w:color w:val="000000"/>
                <w:sz w:val="20"/>
                <w:szCs w:val="20"/>
              </w:rPr>
            </w:pPr>
            <w:r w:rsidRPr="00B97A09">
              <w:rPr>
                <w:rFonts w:ascii="Calibri" w:eastAsia="Calibri" w:hAnsi="Calibri" w:cs="Calibri"/>
                <w:color w:val="000000"/>
                <w:sz w:val="20"/>
                <w:szCs w:val="20"/>
              </w:rPr>
              <w:t>3</w:t>
            </w:r>
          </w:p>
        </w:tc>
        <w:tc>
          <w:tcPr>
            <w:tcW w:w="984" w:type="dxa"/>
            <w:shd w:val="clear" w:color="auto" w:fill="auto"/>
            <w:vAlign w:val="bottom"/>
          </w:tcPr>
          <w:p w:rsidR="00661377" w:rsidRPr="00B97A09" w:rsidRDefault="00661377" w:rsidP="000924FC">
            <w:pPr>
              <w:spacing w:before="0" w:after="0" w:line="259" w:lineRule="auto"/>
              <w:jc w:val="right"/>
              <w:rPr>
                <w:rFonts w:ascii="Calibri" w:eastAsia="Calibri" w:hAnsi="Calibri" w:cs="Calibri"/>
                <w:color w:val="000000"/>
                <w:sz w:val="20"/>
                <w:szCs w:val="20"/>
              </w:rPr>
            </w:pPr>
            <w:r w:rsidRPr="00B97A09">
              <w:rPr>
                <w:rFonts w:ascii="Calibri" w:eastAsia="Calibri" w:hAnsi="Calibri" w:cs="Calibri"/>
                <w:color w:val="000000"/>
                <w:sz w:val="20"/>
                <w:szCs w:val="20"/>
              </w:rPr>
              <w:t>1</w:t>
            </w:r>
          </w:p>
        </w:tc>
        <w:tc>
          <w:tcPr>
            <w:tcW w:w="984" w:type="dxa"/>
            <w:vAlign w:val="bottom"/>
          </w:tcPr>
          <w:p w:rsidR="00661377" w:rsidRPr="00B97A09" w:rsidRDefault="00661377" w:rsidP="000924FC">
            <w:pPr>
              <w:spacing w:before="0" w:after="0" w:line="259" w:lineRule="auto"/>
              <w:jc w:val="right"/>
              <w:rPr>
                <w:rFonts w:ascii="Calibri" w:eastAsia="Calibri" w:hAnsi="Calibri" w:cs="Calibri"/>
                <w:color w:val="000000"/>
                <w:sz w:val="20"/>
                <w:szCs w:val="20"/>
              </w:rPr>
            </w:pPr>
            <w:r w:rsidRPr="00B97A09">
              <w:rPr>
                <w:rFonts w:ascii="Calibri" w:eastAsia="Calibri" w:hAnsi="Calibri" w:cs="Calibri"/>
                <w:color w:val="000000"/>
                <w:sz w:val="20"/>
                <w:szCs w:val="20"/>
              </w:rPr>
              <w:t>51</w:t>
            </w:r>
          </w:p>
        </w:tc>
      </w:tr>
      <w:tr w:rsidR="00661377" w:rsidRPr="00E877CA" w:rsidTr="00325343">
        <w:trPr>
          <w:cantSplit/>
        </w:trPr>
        <w:tc>
          <w:tcPr>
            <w:tcW w:w="2376" w:type="dxa"/>
            <w:tcBorders>
              <w:right w:val="single" w:sz="4" w:space="0" w:color="auto"/>
            </w:tcBorders>
            <w:shd w:val="clear" w:color="auto" w:fill="auto"/>
            <w:vAlign w:val="bottom"/>
          </w:tcPr>
          <w:p w:rsidR="00661377" w:rsidRPr="00B97A09" w:rsidRDefault="00661377" w:rsidP="000924FC">
            <w:pPr>
              <w:spacing w:before="20" w:after="20" w:line="259" w:lineRule="auto"/>
              <w:jc w:val="right"/>
              <w:rPr>
                <w:rFonts w:ascii="Calibri" w:eastAsia="Calibri" w:hAnsi="Calibri" w:cs="Calibri"/>
                <w:sz w:val="20"/>
                <w:szCs w:val="20"/>
              </w:rPr>
            </w:pPr>
          </w:p>
        </w:tc>
        <w:tc>
          <w:tcPr>
            <w:tcW w:w="1125" w:type="dxa"/>
            <w:tcBorders>
              <w:left w:val="single" w:sz="4" w:space="0" w:color="auto"/>
            </w:tcBorders>
            <w:shd w:val="clear" w:color="auto" w:fill="auto"/>
            <w:vAlign w:val="bottom"/>
          </w:tcPr>
          <w:p w:rsidR="00661377" w:rsidRPr="00B97A09" w:rsidRDefault="00516B6A" w:rsidP="00325343">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661377" w:rsidRPr="00B97A09">
              <w:rPr>
                <w:rFonts w:ascii="Calibri" w:eastAsia="Calibri" w:hAnsi="Calibri" w:cs="Calibri"/>
                <w:color w:val="000000"/>
                <w:sz w:val="20"/>
                <w:szCs w:val="20"/>
              </w:rPr>
              <w:t>29.4</w:t>
            </w:r>
            <w:r>
              <w:rPr>
                <w:rFonts w:ascii="Calibri" w:eastAsia="Calibri" w:hAnsi="Calibri" w:cs="Calibri"/>
                <w:color w:val="000000"/>
                <w:sz w:val="20"/>
                <w:szCs w:val="20"/>
              </w:rPr>
              <w:t>%</w:t>
            </w:r>
          </w:p>
        </w:tc>
        <w:tc>
          <w:tcPr>
            <w:tcW w:w="984" w:type="dxa"/>
            <w:shd w:val="clear" w:color="auto" w:fill="auto"/>
            <w:vAlign w:val="bottom"/>
          </w:tcPr>
          <w:p w:rsidR="00661377" w:rsidRPr="00B97A09" w:rsidRDefault="00516B6A" w:rsidP="00325343">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661377" w:rsidRPr="00B97A09">
              <w:rPr>
                <w:rFonts w:ascii="Calibri" w:eastAsia="Calibri" w:hAnsi="Calibri" w:cs="Calibri"/>
                <w:color w:val="000000"/>
                <w:sz w:val="20"/>
                <w:szCs w:val="20"/>
              </w:rPr>
              <w:t>17.6</w:t>
            </w:r>
            <w:r>
              <w:rPr>
                <w:rFonts w:ascii="Calibri" w:eastAsia="Calibri" w:hAnsi="Calibri" w:cs="Calibri"/>
                <w:color w:val="000000"/>
                <w:sz w:val="20"/>
                <w:szCs w:val="20"/>
              </w:rPr>
              <w:t>%</w:t>
            </w:r>
          </w:p>
        </w:tc>
        <w:tc>
          <w:tcPr>
            <w:tcW w:w="984" w:type="dxa"/>
            <w:shd w:val="clear" w:color="auto" w:fill="auto"/>
            <w:vAlign w:val="bottom"/>
          </w:tcPr>
          <w:p w:rsidR="00661377" w:rsidRPr="00B97A09" w:rsidRDefault="00516B6A" w:rsidP="00325343">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661377" w:rsidRPr="00B97A09">
              <w:rPr>
                <w:rFonts w:ascii="Calibri" w:eastAsia="Calibri" w:hAnsi="Calibri" w:cs="Calibri"/>
                <w:color w:val="000000"/>
                <w:sz w:val="20"/>
                <w:szCs w:val="20"/>
              </w:rPr>
              <w:t>5.9</w:t>
            </w:r>
            <w:r>
              <w:rPr>
                <w:rFonts w:ascii="Calibri" w:eastAsia="Calibri" w:hAnsi="Calibri" w:cs="Calibri"/>
                <w:color w:val="000000"/>
                <w:sz w:val="20"/>
                <w:szCs w:val="20"/>
              </w:rPr>
              <w:t>%</w:t>
            </w:r>
          </w:p>
        </w:tc>
        <w:tc>
          <w:tcPr>
            <w:tcW w:w="984" w:type="dxa"/>
            <w:shd w:val="clear" w:color="auto" w:fill="auto"/>
            <w:vAlign w:val="bottom"/>
          </w:tcPr>
          <w:p w:rsidR="00661377" w:rsidRPr="00B97A09" w:rsidRDefault="00516B6A" w:rsidP="00325343">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661377" w:rsidRPr="00B97A09">
              <w:rPr>
                <w:rFonts w:ascii="Calibri" w:eastAsia="Calibri" w:hAnsi="Calibri" w:cs="Calibri"/>
                <w:color w:val="000000"/>
                <w:sz w:val="20"/>
                <w:szCs w:val="20"/>
              </w:rPr>
              <w:t>39.2</w:t>
            </w:r>
            <w:r>
              <w:rPr>
                <w:rFonts w:ascii="Calibri" w:eastAsia="Calibri" w:hAnsi="Calibri" w:cs="Calibri"/>
                <w:color w:val="000000"/>
                <w:sz w:val="20"/>
                <w:szCs w:val="20"/>
              </w:rPr>
              <w:t>%</w:t>
            </w:r>
          </w:p>
        </w:tc>
        <w:tc>
          <w:tcPr>
            <w:tcW w:w="984" w:type="dxa"/>
            <w:shd w:val="clear" w:color="auto" w:fill="auto"/>
            <w:vAlign w:val="bottom"/>
          </w:tcPr>
          <w:p w:rsidR="00661377" w:rsidRPr="00B97A09" w:rsidRDefault="00516B6A" w:rsidP="00325343">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661377" w:rsidRPr="00B97A09">
              <w:rPr>
                <w:rFonts w:ascii="Calibri" w:eastAsia="Calibri" w:hAnsi="Calibri" w:cs="Calibri"/>
                <w:color w:val="000000"/>
                <w:sz w:val="20"/>
                <w:szCs w:val="20"/>
              </w:rPr>
              <w:t>5.9</w:t>
            </w:r>
            <w:r>
              <w:rPr>
                <w:rFonts w:ascii="Calibri" w:eastAsia="Calibri" w:hAnsi="Calibri" w:cs="Calibri"/>
                <w:color w:val="000000"/>
                <w:sz w:val="20"/>
                <w:szCs w:val="20"/>
              </w:rPr>
              <w:t>%</w:t>
            </w:r>
          </w:p>
        </w:tc>
        <w:tc>
          <w:tcPr>
            <w:tcW w:w="984" w:type="dxa"/>
            <w:shd w:val="clear" w:color="auto" w:fill="auto"/>
            <w:vAlign w:val="bottom"/>
          </w:tcPr>
          <w:p w:rsidR="00661377" w:rsidRPr="00B97A09" w:rsidRDefault="00516B6A" w:rsidP="00325343">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661377" w:rsidRPr="00B97A09">
              <w:rPr>
                <w:rFonts w:ascii="Calibri" w:eastAsia="Calibri" w:hAnsi="Calibri" w:cs="Calibri"/>
                <w:color w:val="000000"/>
                <w:sz w:val="20"/>
                <w:szCs w:val="20"/>
              </w:rPr>
              <w:t>2.0</w:t>
            </w:r>
            <w:r>
              <w:rPr>
                <w:rFonts w:ascii="Calibri" w:eastAsia="Calibri" w:hAnsi="Calibri" w:cs="Calibri"/>
                <w:color w:val="000000"/>
                <w:sz w:val="20"/>
                <w:szCs w:val="20"/>
              </w:rPr>
              <w:t>%</w:t>
            </w:r>
          </w:p>
        </w:tc>
        <w:tc>
          <w:tcPr>
            <w:tcW w:w="984" w:type="dxa"/>
            <w:vAlign w:val="bottom"/>
          </w:tcPr>
          <w:p w:rsidR="00661377" w:rsidRPr="00B97A09" w:rsidRDefault="00516B6A" w:rsidP="00325343">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661377" w:rsidRPr="00B97A09">
              <w:rPr>
                <w:rFonts w:ascii="Calibri" w:eastAsia="Calibri" w:hAnsi="Calibri" w:cs="Calibri"/>
                <w:color w:val="000000"/>
                <w:sz w:val="20"/>
                <w:szCs w:val="20"/>
              </w:rPr>
              <w:t>100.0</w:t>
            </w:r>
            <w:r>
              <w:rPr>
                <w:rFonts w:ascii="Calibri" w:eastAsia="Calibri" w:hAnsi="Calibri" w:cs="Calibri"/>
                <w:color w:val="000000"/>
                <w:sz w:val="20"/>
                <w:szCs w:val="20"/>
              </w:rPr>
              <w:t>%</w:t>
            </w:r>
          </w:p>
        </w:tc>
      </w:tr>
      <w:tr w:rsidR="00EF0E2C" w:rsidRPr="00E877CA" w:rsidTr="00325343">
        <w:trPr>
          <w:cantSplit/>
          <w:trHeight w:val="283"/>
        </w:trPr>
        <w:tc>
          <w:tcPr>
            <w:tcW w:w="2376" w:type="dxa"/>
            <w:tcBorders>
              <w:right w:val="single" w:sz="4" w:space="0" w:color="auto"/>
            </w:tcBorders>
            <w:shd w:val="clear" w:color="auto" w:fill="auto"/>
            <w:vAlign w:val="bottom"/>
          </w:tcPr>
          <w:p w:rsidR="00EF0E2C" w:rsidRPr="00B97A09" w:rsidRDefault="00EF0E2C" w:rsidP="00325343">
            <w:pPr>
              <w:spacing w:before="20" w:after="20" w:line="259" w:lineRule="auto"/>
              <w:jc w:val="right"/>
              <w:rPr>
                <w:rFonts w:ascii="Calibri" w:eastAsia="Calibri" w:hAnsi="Calibri" w:cs="Calibri"/>
                <w:sz w:val="20"/>
                <w:szCs w:val="20"/>
              </w:rPr>
            </w:pPr>
            <w:r w:rsidRPr="00B97A09">
              <w:rPr>
                <w:rFonts w:ascii="Calibri" w:eastAsia="Calibri" w:hAnsi="Calibri" w:cs="Calibri"/>
                <w:sz w:val="20"/>
                <w:szCs w:val="20"/>
              </w:rPr>
              <w:t>It varies depending on the type of supports</w:t>
            </w:r>
          </w:p>
        </w:tc>
        <w:tc>
          <w:tcPr>
            <w:tcW w:w="1125" w:type="dxa"/>
            <w:tcBorders>
              <w:left w:val="single" w:sz="4" w:space="0" w:color="auto"/>
            </w:tcBorders>
            <w:shd w:val="clear" w:color="auto" w:fill="auto"/>
            <w:vAlign w:val="center"/>
          </w:tcPr>
          <w:p w:rsidR="00EF0E2C" w:rsidRPr="00B97A09" w:rsidRDefault="00EF0E2C" w:rsidP="00325343">
            <w:pPr>
              <w:spacing w:before="0" w:after="0" w:line="259" w:lineRule="auto"/>
              <w:jc w:val="right"/>
              <w:rPr>
                <w:rFonts w:ascii="Calibri" w:eastAsia="Calibri" w:hAnsi="Calibri" w:cs="Calibri"/>
                <w:color w:val="000000"/>
                <w:sz w:val="20"/>
                <w:szCs w:val="20"/>
              </w:rPr>
            </w:pPr>
            <w:r w:rsidRPr="00B97A09">
              <w:rPr>
                <w:rFonts w:ascii="Calibri" w:eastAsia="Calibri" w:hAnsi="Calibri" w:cs="Calibri"/>
                <w:color w:val="000000"/>
                <w:sz w:val="20"/>
                <w:szCs w:val="20"/>
              </w:rPr>
              <w:t>12</w:t>
            </w:r>
          </w:p>
        </w:tc>
        <w:tc>
          <w:tcPr>
            <w:tcW w:w="984" w:type="dxa"/>
            <w:shd w:val="clear" w:color="auto" w:fill="auto"/>
            <w:vAlign w:val="center"/>
          </w:tcPr>
          <w:p w:rsidR="00EF0E2C" w:rsidRPr="00B97A09" w:rsidRDefault="00EF0E2C" w:rsidP="00325343">
            <w:pPr>
              <w:spacing w:before="0" w:after="0" w:line="259" w:lineRule="auto"/>
              <w:jc w:val="right"/>
              <w:rPr>
                <w:rFonts w:ascii="Calibri" w:eastAsia="Calibri" w:hAnsi="Calibri" w:cs="Calibri"/>
                <w:color w:val="000000"/>
                <w:sz w:val="20"/>
                <w:szCs w:val="20"/>
              </w:rPr>
            </w:pPr>
            <w:r w:rsidRPr="00B97A09">
              <w:rPr>
                <w:rFonts w:ascii="Calibri" w:eastAsia="Calibri" w:hAnsi="Calibri" w:cs="Calibri"/>
                <w:color w:val="000000"/>
                <w:sz w:val="20"/>
                <w:szCs w:val="20"/>
              </w:rPr>
              <w:t>6</w:t>
            </w:r>
          </w:p>
        </w:tc>
        <w:tc>
          <w:tcPr>
            <w:tcW w:w="984" w:type="dxa"/>
            <w:shd w:val="clear" w:color="auto" w:fill="auto"/>
            <w:vAlign w:val="center"/>
          </w:tcPr>
          <w:p w:rsidR="00EF0E2C" w:rsidRPr="00B97A09" w:rsidRDefault="00EF0E2C" w:rsidP="00325343">
            <w:pPr>
              <w:spacing w:before="0" w:after="0" w:line="259" w:lineRule="auto"/>
              <w:jc w:val="right"/>
              <w:rPr>
                <w:rFonts w:ascii="Calibri" w:eastAsia="Calibri" w:hAnsi="Calibri" w:cs="Calibri"/>
                <w:color w:val="000000"/>
                <w:sz w:val="20"/>
                <w:szCs w:val="20"/>
              </w:rPr>
            </w:pPr>
            <w:r w:rsidRPr="00B97A09">
              <w:rPr>
                <w:rFonts w:ascii="Calibri" w:eastAsia="Calibri" w:hAnsi="Calibri" w:cs="Calibri"/>
                <w:color w:val="000000"/>
                <w:sz w:val="20"/>
                <w:szCs w:val="20"/>
              </w:rPr>
              <w:t>1</w:t>
            </w:r>
          </w:p>
        </w:tc>
        <w:tc>
          <w:tcPr>
            <w:tcW w:w="984" w:type="dxa"/>
            <w:shd w:val="clear" w:color="auto" w:fill="auto"/>
            <w:vAlign w:val="center"/>
          </w:tcPr>
          <w:p w:rsidR="00EF0E2C" w:rsidRPr="00B97A09" w:rsidRDefault="00EF0E2C" w:rsidP="00325343">
            <w:pPr>
              <w:spacing w:before="0" w:after="0" w:line="259" w:lineRule="auto"/>
              <w:jc w:val="right"/>
              <w:rPr>
                <w:rFonts w:ascii="Calibri" w:eastAsia="Calibri" w:hAnsi="Calibri" w:cs="Calibri"/>
                <w:color w:val="000000"/>
                <w:sz w:val="20"/>
                <w:szCs w:val="20"/>
              </w:rPr>
            </w:pPr>
            <w:r w:rsidRPr="00B97A09">
              <w:rPr>
                <w:rFonts w:ascii="Calibri" w:eastAsia="Calibri" w:hAnsi="Calibri" w:cs="Calibri"/>
                <w:color w:val="000000"/>
                <w:sz w:val="20"/>
                <w:szCs w:val="20"/>
              </w:rPr>
              <w:t>0</w:t>
            </w:r>
          </w:p>
        </w:tc>
        <w:tc>
          <w:tcPr>
            <w:tcW w:w="984" w:type="dxa"/>
            <w:shd w:val="clear" w:color="auto" w:fill="auto"/>
            <w:vAlign w:val="center"/>
          </w:tcPr>
          <w:p w:rsidR="00EF0E2C" w:rsidRPr="00B97A09" w:rsidRDefault="00EF0E2C" w:rsidP="00325343">
            <w:pPr>
              <w:spacing w:before="0" w:after="0" w:line="259" w:lineRule="auto"/>
              <w:jc w:val="right"/>
              <w:rPr>
                <w:rFonts w:ascii="Calibri" w:eastAsia="Calibri" w:hAnsi="Calibri" w:cs="Calibri"/>
                <w:color w:val="000000"/>
                <w:sz w:val="20"/>
                <w:szCs w:val="20"/>
              </w:rPr>
            </w:pPr>
            <w:r w:rsidRPr="00B97A09">
              <w:rPr>
                <w:rFonts w:ascii="Calibri" w:eastAsia="Calibri" w:hAnsi="Calibri" w:cs="Calibri"/>
                <w:color w:val="000000"/>
                <w:sz w:val="20"/>
                <w:szCs w:val="20"/>
              </w:rPr>
              <w:t>16</w:t>
            </w:r>
          </w:p>
        </w:tc>
        <w:tc>
          <w:tcPr>
            <w:tcW w:w="984" w:type="dxa"/>
            <w:shd w:val="clear" w:color="auto" w:fill="auto"/>
            <w:vAlign w:val="center"/>
          </w:tcPr>
          <w:p w:rsidR="00EF0E2C" w:rsidRPr="00B97A09" w:rsidRDefault="00EF0E2C" w:rsidP="00325343">
            <w:pPr>
              <w:spacing w:before="0" w:after="0" w:line="259" w:lineRule="auto"/>
              <w:jc w:val="right"/>
              <w:rPr>
                <w:rFonts w:ascii="Calibri" w:eastAsia="Calibri" w:hAnsi="Calibri" w:cs="Calibri"/>
                <w:color w:val="000000"/>
                <w:sz w:val="20"/>
                <w:szCs w:val="20"/>
              </w:rPr>
            </w:pPr>
            <w:r w:rsidRPr="00B97A09">
              <w:rPr>
                <w:rFonts w:ascii="Calibri" w:eastAsia="Calibri" w:hAnsi="Calibri" w:cs="Calibri"/>
                <w:color w:val="000000"/>
                <w:sz w:val="20"/>
                <w:szCs w:val="20"/>
              </w:rPr>
              <w:t>1</w:t>
            </w:r>
          </w:p>
        </w:tc>
        <w:tc>
          <w:tcPr>
            <w:tcW w:w="984" w:type="dxa"/>
            <w:vAlign w:val="center"/>
          </w:tcPr>
          <w:p w:rsidR="00EF0E2C" w:rsidRPr="00B97A09" w:rsidRDefault="00EF0E2C" w:rsidP="00325343">
            <w:pPr>
              <w:spacing w:before="0" w:after="0" w:line="259" w:lineRule="auto"/>
              <w:jc w:val="right"/>
              <w:rPr>
                <w:rFonts w:ascii="Calibri" w:eastAsia="Calibri" w:hAnsi="Calibri" w:cs="Calibri"/>
                <w:color w:val="000000"/>
                <w:sz w:val="20"/>
                <w:szCs w:val="20"/>
              </w:rPr>
            </w:pPr>
            <w:r w:rsidRPr="00B97A09">
              <w:rPr>
                <w:rFonts w:ascii="Calibri" w:eastAsia="Calibri" w:hAnsi="Calibri" w:cs="Calibri"/>
                <w:color w:val="000000"/>
                <w:sz w:val="20"/>
                <w:szCs w:val="20"/>
              </w:rPr>
              <w:t>36</w:t>
            </w:r>
          </w:p>
        </w:tc>
      </w:tr>
      <w:tr w:rsidR="00EF0E2C" w:rsidRPr="00E877CA" w:rsidTr="00325343">
        <w:trPr>
          <w:cantSplit/>
        </w:trPr>
        <w:tc>
          <w:tcPr>
            <w:tcW w:w="2376" w:type="dxa"/>
            <w:tcBorders>
              <w:right w:val="single" w:sz="4" w:space="0" w:color="auto"/>
            </w:tcBorders>
            <w:shd w:val="clear" w:color="auto" w:fill="auto"/>
            <w:vAlign w:val="bottom"/>
          </w:tcPr>
          <w:p w:rsidR="00EF0E2C" w:rsidRPr="00B97A09" w:rsidRDefault="00EF0E2C" w:rsidP="000924FC">
            <w:pPr>
              <w:spacing w:before="20" w:after="20" w:line="259" w:lineRule="auto"/>
              <w:jc w:val="right"/>
              <w:rPr>
                <w:rFonts w:ascii="Calibri" w:eastAsia="Calibri" w:hAnsi="Calibri" w:cs="Calibri"/>
                <w:sz w:val="20"/>
                <w:szCs w:val="20"/>
              </w:rPr>
            </w:pPr>
          </w:p>
        </w:tc>
        <w:tc>
          <w:tcPr>
            <w:tcW w:w="1125" w:type="dxa"/>
            <w:tcBorders>
              <w:left w:val="single" w:sz="4" w:space="0" w:color="auto"/>
            </w:tcBorders>
            <w:shd w:val="clear" w:color="auto" w:fill="auto"/>
          </w:tcPr>
          <w:p w:rsidR="00EF0E2C" w:rsidRPr="00B97A09" w:rsidRDefault="00516B6A" w:rsidP="00325343">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EF0E2C" w:rsidRPr="00B97A09">
              <w:rPr>
                <w:rFonts w:ascii="Calibri" w:eastAsia="Calibri" w:hAnsi="Calibri" w:cs="Calibri"/>
                <w:color w:val="000000"/>
                <w:sz w:val="20"/>
                <w:szCs w:val="20"/>
              </w:rPr>
              <w:t>33.3</w:t>
            </w:r>
            <w:r>
              <w:rPr>
                <w:rFonts w:ascii="Calibri" w:eastAsia="Calibri" w:hAnsi="Calibri" w:cs="Calibri"/>
                <w:color w:val="000000"/>
                <w:sz w:val="20"/>
                <w:szCs w:val="20"/>
              </w:rPr>
              <w:t>%</w:t>
            </w:r>
          </w:p>
        </w:tc>
        <w:tc>
          <w:tcPr>
            <w:tcW w:w="984" w:type="dxa"/>
            <w:shd w:val="clear" w:color="auto" w:fill="auto"/>
          </w:tcPr>
          <w:p w:rsidR="00EF0E2C" w:rsidRPr="00B97A09" w:rsidRDefault="00516B6A" w:rsidP="00325343">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EF0E2C" w:rsidRPr="00B97A09">
              <w:rPr>
                <w:rFonts w:ascii="Calibri" w:eastAsia="Calibri" w:hAnsi="Calibri" w:cs="Calibri"/>
                <w:color w:val="000000"/>
                <w:sz w:val="20"/>
                <w:szCs w:val="20"/>
              </w:rPr>
              <w:t>16.7</w:t>
            </w:r>
            <w:r>
              <w:rPr>
                <w:rFonts w:ascii="Calibri" w:eastAsia="Calibri" w:hAnsi="Calibri" w:cs="Calibri"/>
                <w:color w:val="000000"/>
                <w:sz w:val="20"/>
                <w:szCs w:val="20"/>
              </w:rPr>
              <w:t>%</w:t>
            </w:r>
          </w:p>
        </w:tc>
        <w:tc>
          <w:tcPr>
            <w:tcW w:w="984" w:type="dxa"/>
            <w:shd w:val="clear" w:color="auto" w:fill="auto"/>
          </w:tcPr>
          <w:p w:rsidR="00EF0E2C" w:rsidRPr="00B97A09" w:rsidRDefault="00516B6A" w:rsidP="00325343">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EF0E2C" w:rsidRPr="00B97A09">
              <w:rPr>
                <w:rFonts w:ascii="Calibri" w:eastAsia="Calibri" w:hAnsi="Calibri" w:cs="Calibri"/>
                <w:color w:val="000000"/>
                <w:sz w:val="20"/>
                <w:szCs w:val="20"/>
              </w:rPr>
              <w:t>2.8</w:t>
            </w:r>
            <w:r>
              <w:rPr>
                <w:rFonts w:ascii="Calibri" w:eastAsia="Calibri" w:hAnsi="Calibri" w:cs="Calibri"/>
                <w:color w:val="000000"/>
                <w:sz w:val="20"/>
                <w:szCs w:val="20"/>
              </w:rPr>
              <w:t>%</w:t>
            </w:r>
          </w:p>
        </w:tc>
        <w:tc>
          <w:tcPr>
            <w:tcW w:w="984" w:type="dxa"/>
            <w:shd w:val="clear" w:color="auto" w:fill="auto"/>
          </w:tcPr>
          <w:p w:rsidR="00EF0E2C" w:rsidRPr="00B97A09" w:rsidRDefault="00516B6A" w:rsidP="00325343">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EF0E2C" w:rsidRPr="00B97A09">
              <w:rPr>
                <w:rFonts w:ascii="Calibri" w:eastAsia="Calibri" w:hAnsi="Calibri" w:cs="Calibri"/>
                <w:color w:val="000000"/>
                <w:sz w:val="20"/>
                <w:szCs w:val="20"/>
              </w:rPr>
              <w:t>0.0</w:t>
            </w:r>
            <w:r>
              <w:rPr>
                <w:rFonts w:ascii="Calibri" w:eastAsia="Calibri" w:hAnsi="Calibri" w:cs="Calibri"/>
                <w:color w:val="000000"/>
                <w:sz w:val="20"/>
                <w:szCs w:val="20"/>
              </w:rPr>
              <w:t>%</w:t>
            </w:r>
          </w:p>
        </w:tc>
        <w:tc>
          <w:tcPr>
            <w:tcW w:w="984" w:type="dxa"/>
            <w:shd w:val="clear" w:color="auto" w:fill="auto"/>
          </w:tcPr>
          <w:p w:rsidR="00EF0E2C" w:rsidRPr="00B97A09" w:rsidRDefault="00516B6A" w:rsidP="00325343">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EF0E2C" w:rsidRPr="00B97A09">
              <w:rPr>
                <w:rFonts w:ascii="Calibri" w:eastAsia="Calibri" w:hAnsi="Calibri" w:cs="Calibri"/>
                <w:color w:val="000000"/>
                <w:sz w:val="20"/>
                <w:szCs w:val="20"/>
              </w:rPr>
              <w:t>44.4</w:t>
            </w:r>
            <w:r>
              <w:rPr>
                <w:rFonts w:ascii="Calibri" w:eastAsia="Calibri" w:hAnsi="Calibri" w:cs="Calibri"/>
                <w:color w:val="000000"/>
                <w:sz w:val="20"/>
                <w:szCs w:val="20"/>
              </w:rPr>
              <w:t>%</w:t>
            </w:r>
          </w:p>
        </w:tc>
        <w:tc>
          <w:tcPr>
            <w:tcW w:w="984" w:type="dxa"/>
            <w:shd w:val="clear" w:color="auto" w:fill="auto"/>
          </w:tcPr>
          <w:p w:rsidR="00EF0E2C" w:rsidRPr="00B97A09" w:rsidRDefault="00516B6A" w:rsidP="00325343">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EF0E2C" w:rsidRPr="00B97A09">
              <w:rPr>
                <w:rFonts w:ascii="Calibri" w:eastAsia="Calibri" w:hAnsi="Calibri" w:cs="Calibri"/>
                <w:color w:val="000000"/>
                <w:sz w:val="20"/>
                <w:szCs w:val="20"/>
              </w:rPr>
              <w:t>2.8</w:t>
            </w:r>
            <w:r>
              <w:rPr>
                <w:rFonts w:ascii="Calibri" w:eastAsia="Calibri" w:hAnsi="Calibri" w:cs="Calibri"/>
                <w:color w:val="000000"/>
                <w:sz w:val="20"/>
                <w:szCs w:val="20"/>
              </w:rPr>
              <w:t>%</w:t>
            </w:r>
          </w:p>
        </w:tc>
        <w:tc>
          <w:tcPr>
            <w:tcW w:w="984" w:type="dxa"/>
          </w:tcPr>
          <w:p w:rsidR="00EF0E2C" w:rsidRPr="00B97A09" w:rsidRDefault="00516B6A" w:rsidP="00325343">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EF0E2C" w:rsidRPr="00B97A09">
              <w:rPr>
                <w:rFonts w:ascii="Calibri" w:eastAsia="Calibri" w:hAnsi="Calibri" w:cs="Calibri"/>
                <w:color w:val="000000"/>
                <w:sz w:val="20"/>
                <w:szCs w:val="20"/>
              </w:rPr>
              <w:t>100.0</w:t>
            </w:r>
            <w:r>
              <w:rPr>
                <w:rFonts w:ascii="Calibri" w:eastAsia="Calibri" w:hAnsi="Calibri" w:cs="Calibri"/>
                <w:color w:val="000000"/>
                <w:sz w:val="20"/>
                <w:szCs w:val="20"/>
              </w:rPr>
              <w:t>%</w:t>
            </w:r>
          </w:p>
        </w:tc>
      </w:tr>
      <w:tr w:rsidR="00EF0E2C" w:rsidRPr="00E877CA" w:rsidTr="000924FC">
        <w:trPr>
          <w:cantSplit/>
          <w:trHeight w:val="340"/>
        </w:trPr>
        <w:tc>
          <w:tcPr>
            <w:tcW w:w="2376" w:type="dxa"/>
            <w:tcBorders>
              <w:right w:val="single" w:sz="4" w:space="0" w:color="auto"/>
            </w:tcBorders>
            <w:shd w:val="clear" w:color="auto" w:fill="auto"/>
            <w:vAlign w:val="bottom"/>
          </w:tcPr>
          <w:p w:rsidR="00EF0E2C" w:rsidRPr="00B97A09" w:rsidRDefault="00EF0E2C" w:rsidP="000924FC">
            <w:pPr>
              <w:spacing w:before="20" w:after="20" w:line="259" w:lineRule="auto"/>
              <w:jc w:val="right"/>
              <w:rPr>
                <w:rFonts w:ascii="Calibri" w:eastAsia="Calibri" w:hAnsi="Calibri" w:cs="Calibri"/>
                <w:sz w:val="20"/>
                <w:szCs w:val="20"/>
              </w:rPr>
            </w:pPr>
            <w:r w:rsidRPr="00B97A09">
              <w:rPr>
                <w:rFonts w:ascii="Calibri" w:eastAsia="Calibri" w:hAnsi="Calibri" w:cs="Calibri"/>
                <w:sz w:val="20"/>
                <w:szCs w:val="20"/>
              </w:rPr>
              <w:t xml:space="preserve">Missing </w:t>
            </w:r>
          </w:p>
        </w:tc>
        <w:tc>
          <w:tcPr>
            <w:tcW w:w="1125" w:type="dxa"/>
            <w:tcBorders>
              <w:left w:val="single" w:sz="4" w:space="0" w:color="auto"/>
            </w:tcBorders>
            <w:shd w:val="clear" w:color="auto" w:fill="auto"/>
            <w:vAlign w:val="bottom"/>
          </w:tcPr>
          <w:p w:rsidR="00EF0E2C" w:rsidRPr="00B97A09" w:rsidRDefault="00EF0E2C" w:rsidP="000924FC">
            <w:pPr>
              <w:spacing w:before="0" w:after="0" w:line="259" w:lineRule="auto"/>
              <w:jc w:val="right"/>
              <w:rPr>
                <w:rFonts w:ascii="Calibri" w:eastAsia="Calibri" w:hAnsi="Calibri" w:cs="Calibri"/>
                <w:color w:val="000000"/>
                <w:sz w:val="20"/>
                <w:szCs w:val="20"/>
              </w:rPr>
            </w:pPr>
            <w:r w:rsidRPr="00B97A09">
              <w:rPr>
                <w:rFonts w:ascii="Calibri" w:eastAsia="Calibri" w:hAnsi="Calibri" w:cs="Calibri"/>
                <w:color w:val="000000"/>
                <w:sz w:val="20"/>
                <w:szCs w:val="20"/>
              </w:rPr>
              <w:t>13</w:t>
            </w:r>
          </w:p>
        </w:tc>
        <w:tc>
          <w:tcPr>
            <w:tcW w:w="984" w:type="dxa"/>
            <w:shd w:val="clear" w:color="auto" w:fill="auto"/>
            <w:vAlign w:val="bottom"/>
          </w:tcPr>
          <w:p w:rsidR="00EF0E2C" w:rsidRPr="00B97A09" w:rsidRDefault="00EF0E2C" w:rsidP="000924FC">
            <w:pPr>
              <w:spacing w:before="0" w:after="0" w:line="259" w:lineRule="auto"/>
              <w:jc w:val="right"/>
              <w:rPr>
                <w:rFonts w:ascii="Calibri" w:eastAsia="Calibri" w:hAnsi="Calibri" w:cs="Calibri"/>
                <w:color w:val="000000"/>
                <w:sz w:val="20"/>
                <w:szCs w:val="20"/>
              </w:rPr>
            </w:pPr>
            <w:r w:rsidRPr="00B97A09">
              <w:rPr>
                <w:rFonts w:ascii="Calibri" w:eastAsia="Calibri" w:hAnsi="Calibri" w:cs="Calibri"/>
                <w:color w:val="000000"/>
                <w:sz w:val="20"/>
                <w:szCs w:val="20"/>
              </w:rPr>
              <w:t>5</w:t>
            </w:r>
          </w:p>
        </w:tc>
        <w:tc>
          <w:tcPr>
            <w:tcW w:w="984" w:type="dxa"/>
            <w:shd w:val="clear" w:color="auto" w:fill="auto"/>
            <w:vAlign w:val="bottom"/>
          </w:tcPr>
          <w:p w:rsidR="00EF0E2C" w:rsidRPr="00B97A09" w:rsidRDefault="00EF0E2C" w:rsidP="000924FC">
            <w:pPr>
              <w:spacing w:before="0" w:after="0" w:line="259" w:lineRule="auto"/>
              <w:jc w:val="right"/>
              <w:rPr>
                <w:rFonts w:ascii="Calibri" w:eastAsia="Calibri" w:hAnsi="Calibri" w:cs="Calibri"/>
                <w:color w:val="000000"/>
                <w:sz w:val="20"/>
                <w:szCs w:val="20"/>
              </w:rPr>
            </w:pPr>
            <w:r w:rsidRPr="00B97A09">
              <w:rPr>
                <w:rFonts w:ascii="Calibri" w:eastAsia="Calibri" w:hAnsi="Calibri" w:cs="Calibri"/>
                <w:color w:val="000000"/>
                <w:sz w:val="20"/>
                <w:szCs w:val="20"/>
              </w:rPr>
              <w:t>0</w:t>
            </w:r>
          </w:p>
        </w:tc>
        <w:tc>
          <w:tcPr>
            <w:tcW w:w="984" w:type="dxa"/>
            <w:shd w:val="clear" w:color="auto" w:fill="auto"/>
            <w:vAlign w:val="bottom"/>
          </w:tcPr>
          <w:p w:rsidR="00EF0E2C" w:rsidRPr="00B97A09" w:rsidRDefault="00EF0E2C" w:rsidP="000924FC">
            <w:pPr>
              <w:spacing w:before="0" w:after="0" w:line="259" w:lineRule="auto"/>
              <w:jc w:val="right"/>
              <w:rPr>
                <w:rFonts w:ascii="Calibri" w:eastAsia="Calibri" w:hAnsi="Calibri" w:cs="Calibri"/>
                <w:color w:val="000000"/>
                <w:sz w:val="20"/>
                <w:szCs w:val="20"/>
              </w:rPr>
            </w:pPr>
            <w:r w:rsidRPr="00B97A09">
              <w:rPr>
                <w:rFonts w:ascii="Calibri" w:eastAsia="Calibri" w:hAnsi="Calibri" w:cs="Calibri"/>
                <w:color w:val="000000"/>
                <w:sz w:val="20"/>
                <w:szCs w:val="20"/>
              </w:rPr>
              <w:t>0</w:t>
            </w:r>
          </w:p>
        </w:tc>
        <w:tc>
          <w:tcPr>
            <w:tcW w:w="984" w:type="dxa"/>
            <w:shd w:val="clear" w:color="auto" w:fill="auto"/>
            <w:vAlign w:val="bottom"/>
          </w:tcPr>
          <w:p w:rsidR="00EF0E2C" w:rsidRPr="00B97A09" w:rsidRDefault="00EF0E2C" w:rsidP="000924FC">
            <w:pPr>
              <w:spacing w:before="0" w:after="0" w:line="259" w:lineRule="auto"/>
              <w:jc w:val="right"/>
              <w:rPr>
                <w:rFonts w:ascii="Calibri" w:eastAsia="Calibri" w:hAnsi="Calibri" w:cs="Calibri"/>
                <w:color w:val="000000"/>
                <w:sz w:val="20"/>
                <w:szCs w:val="20"/>
              </w:rPr>
            </w:pPr>
            <w:r w:rsidRPr="00B97A09">
              <w:rPr>
                <w:rFonts w:ascii="Calibri" w:eastAsia="Calibri" w:hAnsi="Calibri" w:cs="Calibri"/>
                <w:color w:val="000000"/>
                <w:sz w:val="20"/>
                <w:szCs w:val="20"/>
              </w:rPr>
              <w:t>3</w:t>
            </w:r>
          </w:p>
        </w:tc>
        <w:tc>
          <w:tcPr>
            <w:tcW w:w="984" w:type="dxa"/>
            <w:shd w:val="clear" w:color="auto" w:fill="auto"/>
            <w:vAlign w:val="bottom"/>
          </w:tcPr>
          <w:p w:rsidR="00EF0E2C" w:rsidRPr="00B97A09" w:rsidRDefault="00EF0E2C" w:rsidP="000924FC">
            <w:pPr>
              <w:spacing w:before="0" w:after="0" w:line="259" w:lineRule="auto"/>
              <w:jc w:val="right"/>
              <w:rPr>
                <w:rFonts w:ascii="Calibri" w:eastAsia="Calibri" w:hAnsi="Calibri" w:cs="Calibri"/>
                <w:color w:val="000000"/>
                <w:sz w:val="20"/>
                <w:szCs w:val="20"/>
              </w:rPr>
            </w:pPr>
            <w:r w:rsidRPr="00B97A09">
              <w:rPr>
                <w:rFonts w:ascii="Calibri" w:eastAsia="Calibri" w:hAnsi="Calibri" w:cs="Calibri"/>
                <w:color w:val="000000"/>
                <w:sz w:val="20"/>
                <w:szCs w:val="20"/>
              </w:rPr>
              <w:t>10</w:t>
            </w:r>
          </w:p>
        </w:tc>
        <w:tc>
          <w:tcPr>
            <w:tcW w:w="984" w:type="dxa"/>
            <w:vAlign w:val="bottom"/>
          </w:tcPr>
          <w:p w:rsidR="00EF0E2C" w:rsidRPr="00B97A09" w:rsidRDefault="00EF0E2C" w:rsidP="000924FC">
            <w:pPr>
              <w:spacing w:before="0" w:after="0" w:line="259" w:lineRule="auto"/>
              <w:jc w:val="right"/>
              <w:rPr>
                <w:rFonts w:ascii="Calibri" w:eastAsia="Calibri" w:hAnsi="Calibri" w:cs="Calibri"/>
                <w:color w:val="000000"/>
                <w:sz w:val="20"/>
                <w:szCs w:val="20"/>
              </w:rPr>
            </w:pPr>
            <w:r w:rsidRPr="00B97A09">
              <w:rPr>
                <w:rFonts w:ascii="Calibri" w:eastAsia="Calibri" w:hAnsi="Calibri" w:cs="Calibri"/>
                <w:color w:val="000000"/>
                <w:sz w:val="20"/>
                <w:szCs w:val="20"/>
              </w:rPr>
              <w:t>31</w:t>
            </w:r>
          </w:p>
        </w:tc>
      </w:tr>
      <w:tr w:rsidR="00EF0E2C" w:rsidRPr="00E877CA" w:rsidTr="000924FC">
        <w:trPr>
          <w:cantSplit/>
        </w:trPr>
        <w:tc>
          <w:tcPr>
            <w:tcW w:w="2376" w:type="dxa"/>
            <w:tcBorders>
              <w:bottom w:val="single" w:sz="4" w:space="0" w:color="auto"/>
              <w:right w:val="single" w:sz="4" w:space="0" w:color="auto"/>
            </w:tcBorders>
            <w:shd w:val="clear" w:color="auto" w:fill="auto"/>
            <w:vAlign w:val="bottom"/>
          </w:tcPr>
          <w:p w:rsidR="00EF0E2C" w:rsidRPr="00B97A09" w:rsidRDefault="00EF0E2C" w:rsidP="000924FC">
            <w:pPr>
              <w:spacing w:before="20" w:after="20" w:line="259" w:lineRule="auto"/>
              <w:jc w:val="right"/>
              <w:rPr>
                <w:rFonts w:ascii="Calibri" w:eastAsia="Calibri" w:hAnsi="Calibri" w:cs="Calibri"/>
                <w:sz w:val="20"/>
                <w:szCs w:val="20"/>
              </w:rPr>
            </w:pPr>
          </w:p>
        </w:tc>
        <w:tc>
          <w:tcPr>
            <w:tcW w:w="1125" w:type="dxa"/>
            <w:tcBorders>
              <w:left w:val="single" w:sz="4" w:space="0" w:color="auto"/>
              <w:bottom w:val="single" w:sz="4" w:space="0" w:color="auto"/>
            </w:tcBorders>
            <w:shd w:val="clear" w:color="auto" w:fill="auto"/>
            <w:vAlign w:val="bottom"/>
          </w:tcPr>
          <w:p w:rsidR="00EF0E2C" w:rsidRPr="00B97A09" w:rsidRDefault="00516B6A" w:rsidP="000924FC">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EF0E2C" w:rsidRPr="00B97A09">
              <w:rPr>
                <w:rFonts w:ascii="Calibri" w:eastAsia="Calibri" w:hAnsi="Calibri" w:cs="Calibri"/>
                <w:color w:val="000000"/>
                <w:sz w:val="20"/>
                <w:szCs w:val="20"/>
              </w:rPr>
              <w:t>41.9</w:t>
            </w:r>
            <w:r>
              <w:rPr>
                <w:rFonts w:ascii="Calibri" w:eastAsia="Calibri" w:hAnsi="Calibri" w:cs="Calibri"/>
                <w:color w:val="000000"/>
                <w:sz w:val="20"/>
                <w:szCs w:val="20"/>
              </w:rPr>
              <w:t>%</w:t>
            </w:r>
          </w:p>
        </w:tc>
        <w:tc>
          <w:tcPr>
            <w:tcW w:w="984" w:type="dxa"/>
            <w:tcBorders>
              <w:bottom w:val="single" w:sz="4" w:space="0" w:color="auto"/>
            </w:tcBorders>
            <w:shd w:val="clear" w:color="auto" w:fill="auto"/>
            <w:vAlign w:val="bottom"/>
          </w:tcPr>
          <w:p w:rsidR="00EF0E2C" w:rsidRPr="00B97A09" w:rsidRDefault="00516B6A" w:rsidP="000924FC">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EF0E2C" w:rsidRPr="00B97A09">
              <w:rPr>
                <w:rFonts w:ascii="Calibri" w:eastAsia="Calibri" w:hAnsi="Calibri" w:cs="Calibri"/>
                <w:color w:val="000000"/>
                <w:sz w:val="20"/>
                <w:szCs w:val="20"/>
              </w:rPr>
              <w:t>16.1</w:t>
            </w:r>
            <w:r>
              <w:rPr>
                <w:rFonts w:ascii="Calibri" w:eastAsia="Calibri" w:hAnsi="Calibri" w:cs="Calibri"/>
                <w:color w:val="000000"/>
                <w:sz w:val="20"/>
                <w:szCs w:val="20"/>
              </w:rPr>
              <w:t>%</w:t>
            </w:r>
          </w:p>
        </w:tc>
        <w:tc>
          <w:tcPr>
            <w:tcW w:w="984" w:type="dxa"/>
            <w:tcBorders>
              <w:bottom w:val="single" w:sz="4" w:space="0" w:color="auto"/>
            </w:tcBorders>
            <w:shd w:val="clear" w:color="auto" w:fill="auto"/>
            <w:vAlign w:val="bottom"/>
          </w:tcPr>
          <w:p w:rsidR="00EF0E2C" w:rsidRPr="00B97A09" w:rsidRDefault="00516B6A" w:rsidP="000924FC">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EF0E2C" w:rsidRPr="00B97A09">
              <w:rPr>
                <w:rFonts w:ascii="Calibri" w:eastAsia="Calibri" w:hAnsi="Calibri" w:cs="Calibri"/>
                <w:color w:val="000000"/>
                <w:sz w:val="20"/>
                <w:szCs w:val="20"/>
              </w:rPr>
              <w:t>0.0</w:t>
            </w:r>
            <w:r>
              <w:rPr>
                <w:rFonts w:ascii="Calibri" w:eastAsia="Calibri" w:hAnsi="Calibri" w:cs="Calibri"/>
                <w:color w:val="000000"/>
                <w:sz w:val="20"/>
                <w:szCs w:val="20"/>
              </w:rPr>
              <w:t>%</w:t>
            </w:r>
          </w:p>
        </w:tc>
        <w:tc>
          <w:tcPr>
            <w:tcW w:w="984" w:type="dxa"/>
            <w:tcBorders>
              <w:bottom w:val="single" w:sz="4" w:space="0" w:color="auto"/>
            </w:tcBorders>
            <w:shd w:val="clear" w:color="auto" w:fill="auto"/>
            <w:vAlign w:val="bottom"/>
          </w:tcPr>
          <w:p w:rsidR="00EF0E2C" w:rsidRPr="00B97A09" w:rsidRDefault="00516B6A" w:rsidP="000924FC">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EF0E2C" w:rsidRPr="00B97A09">
              <w:rPr>
                <w:rFonts w:ascii="Calibri" w:eastAsia="Calibri" w:hAnsi="Calibri" w:cs="Calibri"/>
                <w:color w:val="000000"/>
                <w:sz w:val="20"/>
                <w:szCs w:val="20"/>
              </w:rPr>
              <w:t>0.0</w:t>
            </w:r>
            <w:r>
              <w:rPr>
                <w:rFonts w:ascii="Calibri" w:eastAsia="Calibri" w:hAnsi="Calibri" w:cs="Calibri"/>
                <w:color w:val="000000"/>
                <w:sz w:val="20"/>
                <w:szCs w:val="20"/>
              </w:rPr>
              <w:t>%</w:t>
            </w:r>
          </w:p>
        </w:tc>
        <w:tc>
          <w:tcPr>
            <w:tcW w:w="984" w:type="dxa"/>
            <w:tcBorders>
              <w:bottom w:val="single" w:sz="4" w:space="0" w:color="auto"/>
            </w:tcBorders>
            <w:shd w:val="clear" w:color="auto" w:fill="auto"/>
            <w:vAlign w:val="bottom"/>
          </w:tcPr>
          <w:p w:rsidR="00EF0E2C" w:rsidRPr="00B97A09" w:rsidRDefault="00516B6A" w:rsidP="000924FC">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EF0E2C" w:rsidRPr="00B97A09">
              <w:rPr>
                <w:rFonts w:ascii="Calibri" w:eastAsia="Calibri" w:hAnsi="Calibri" w:cs="Calibri"/>
                <w:color w:val="000000"/>
                <w:sz w:val="20"/>
                <w:szCs w:val="20"/>
              </w:rPr>
              <w:t>9.7</w:t>
            </w:r>
            <w:r>
              <w:rPr>
                <w:rFonts w:ascii="Calibri" w:eastAsia="Calibri" w:hAnsi="Calibri" w:cs="Calibri"/>
                <w:color w:val="000000"/>
                <w:sz w:val="20"/>
                <w:szCs w:val="20"/>
              </w:rPr>
              <w:t>%</w:t>
            </w:r>
          </w:p>
        </w:tc>
        <w:tc>
          <w:tcPr>
            <w:tcW w:w="984" w:type="dxa"/>
            <w:tcBorders>
              <w:bottom w:val="single" w:sz="4" w:space="0" w:color="auto"/>
            </w:tcBorders>
            <w:shd w:val="clear" w:color="auto" w:fill="auto"/>
            <w:vAlign w:val="bottom"/>
          </w:tcPr>
          <w:p w:rsidR="00EF0E2C" w:rsidRPr="00B97A09" w:rsidRDefault="00516B6A" w:rsidP="000924FC">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EF0E2C" w:rsidRPr="00B97A09">
              <w:rPr>
                <w:rFonts w:ascii="Calibri" w:eastAsia="Calibri" w:hAnsi="Calibri" w:cs="Calibri"/>
                <w:color w:val="000000"/>
                <w:sz w:val="20"/>
                <w:szCs w:val="20"/>
              </w:rPr>
              <w:t>32.3</w:t>
            </w:r>
            <w:r>
              <w:rPr>
                <w:rFonts w:ascii="Calibri" w:eastAsia="Calibri" w:hAnsi="Calibri" w:cs="Calibri"/>
                <w:color w:val="000000"/>
                <w:sz w:val="20"/>
                <w:szCs w:val="20"/>
              </w:rPr>
              <w:t>%</w:t>
            </w:r>
          </w:p>
        </w:tc>
        <w:tc>
          <w:tcPr>
            <w:tcW w:w="984" w:type="dxa"/>
            <w:tcBorders>
              <w:bottom w:val="single" w:sz="4" w:space="0" w:color="auto"/>
            </w:tcBorders>
            <w:vAlign w:val="bottom"/>
          </w:tcPr>
          <w:p w:rsidR="00EF0E2C" w:rsidRPr="00B97A09" w:rsidRDefault="00516B6A" w:rsidP="000924FC">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EF0E2C" w:rsidRPr="00B97A09">
              <w:rPr>
                <w:rFonts w:ascii="Calibri" w:eastAsia="Calibri" w:hAnsi="Calibri" w:cs="Calibri"/>
                <w:color w:val="000000"/>
                <w:sz w:val="20"/>
                <w:szCs w:val="20"/>
              </w:rPr>
              <w:t>100.0</w:t>
            </w:r>
            <w:r>
              <w:rPr>
                <w:rFonts w:ascii="Calibri" w:eastAsia="Calibri" w:hAnsi="Calibri" w:cs="Calibri"/>
                <w:color w:val="000000"/>
                <w:sz w:val="20"/>
                <w:szCs w:val="20"/>
              </w:rPr>
              <w:t>%</w:t>
            </w:r>
          </w:p>
        </w:tc>
      </w:tr>
      <w:tr w:rsidR="00EF0E2C" w:rsidRPr="00E877CA" w:rsidTr="00AD3D47">
        <w:trPr>
          <w:cantSplit/>
        </w:trPr>
        <w:tc>
          <w:tcPr>
            <w:tcW w:w="2376" w:type="dxa"/>
            <w:tcBorders>
              <w:top w:val="single" w:sz="4" w:space="0" w:color="auto"/>
            </w:tcBorders>
            <w:shd w:val="clear" w:color="auto" w:fill="auto"/>
            <w:vAlign w:val="bottom"/>
          </w:tcPr>
          <w:p w:rsidR="00EF0E2C" w:rsidRPr="00B97A09" w:rsidRDefault="00EF0E2C" w:rsidP="00AD3D47">
            <w:pPr>
              <w:spacing w:before="20" w:after="20" w:line="259" w:lineRule="auto"/>
              <w:jc w:val="right"/>
              <w:rPr>
                <w:rFonts w:ascii="Calibri" w:eastAsia="Calibri" w:hAnsi="Calibri" w:cs="Calibri"/>
                <w:sz w:val="20"/>
                <w:szCs w:val="20"/>
              </w:rPr>
            </w:pPr>
            <w:r w:rsidRPr="00B97A09">
              <w:rPr>
                <w:rFonts w:ascii="Calibri" w:eastAsia="Calibri" w:hAnsi="Calibri" w:cs="Calibri"/>
                <w:b/>
                <w:sz w:val="20"/>
                <w:szCs w:val="20"/>
              </w:rPr>
              <w:t>Total</w:t>
            </w:r>
          </w:p>
        </w:tc>
        <w:tc>
          <w:tcPr>
            <w:tcW w:w="1125" w:type="dxa"/>
            <w:tcBorders>
              <w:top w:val="single" w:sz="4" w:space="0" w:color="auto"/>
            </w:tcBorders>
            <w:shd w:val="clear" w:color="auto" w:fill="auto"/>
            <w:vAlign w:val="bottom"/>
          </w:tcPr>
          <w:p w:rsidR="00EF0E2C" w:rsidRPr="00B97A09" w:rsidRDefault="00EF0E2C" w:rsidP="00AD3D47">
            <w:pPr>
              <w:spacing w:before="0" w:after="0" w:line="259" w:lineRule="auto"/>
              <w:jc w:val="right"/>
              <w:rPr>
                <w:rFonts w:ascii="Calibri" w:eastAsia="Calibri" w:hAnsi="Calibri" w:cs="Calibri"/>
                <w:b/>
                <w:bCs/>
                <w:color w:val="000000"/>
                <w:sz w:val="20"/>
                <w:szCs w:val="20"/>
              </w:rPr>
            </w:pPr>
            <w:r w:rsidRPr="00B97A09">
              <w:rPr>
                <w:rFonts w:ascii="Calibri" w:eastAsia="Calibri" w:hAnsi="Calibri" w:cs="Calibri"/>
                <w:b/>
                <w:bCs/>
                <w:color w:val="000000"/>
                <w:sz w:val="20"/>
                <w:szCs w:val="20"/>
              </w:rPr>
              <w:t>124</w:t>
            </w:r>
          </w:p>
        </w:tc>
        <w:tc>
          <w:tcPr>
            <w:tcW w:w="984" w:type="dxa"/>
            <w:tcBorders>
              <w:top w:val="single" w:sz="4" w:space="0" w:color="auto"/>
            </w:tcBorders>
            <w:shd w:val="clear" w:color="auto" w:fill="auto"/>
            <w:vAlign w:val="bottom"/>
          </w:tcPr>
          <w:p w:rsidR="00EF0E2C" w:rsidRPr="00B97A09" w:rsidRDefault="00EF0E2C" w:rsidP="00AD3D47">
            <w:pPr>
              <w:spacing w:before="0" w:after="0" w:line="259" w:lineRule="auto"/>
              <w:jc w:val="right"/>
              <w:rPr>
                <w:rFonts w:ascii="Calibri" w:eastAsia="Calibri" w:hAnsi="Calibri" w:cs="Calibri"/>
                <w:b/>
                <w:bCs/>
                <w:color w:val="000000"/>
                <w:sz w:val="20"/>
                <w:szCs w:val="20"/>
              </w:rPr>
            </w:pPr>
            <w:r w:rsidRPr="00B97A09">
              <w:rPr>
                <w:rFonts w:ascii="Calibri" w:eastAsia="Calibri" w:hAnsi="Calibri" w:cs="Calibri"/>
                <w:b/>
                <w:bCs/>
                <w:color w:val="000000"/>
                <w:sz w:val="20"/>
                <w:szCs w:val="20"/>
              </w:rPr>
              <w:t>87</w:t>
            </w:r>
          </w:p>
        </w:tc>
        <w:tc>
          <w:tcPr>
            <w:tcW w:w="984" w:type="dxa"/>
            <w:tcBorders>
              <w:top w:val="single" w:sz="4" w:space="0" w:color="auto"/>
            </w:tcBorders>
            <w:shd w:val="clear" w:color="auto" w:fill="auto"/>
            <w:vAlign w:val="bottom"/>
          </w:tcPr>
          <w:p w:rsidR="00EF0E2C" w:rsidRPr="00B97A09" w:rsidRDefault="00EF0E2C" w:rsidP="00AD3D47">
            <w:pPr>
              <w:spacing w:before="0" w:after="0" w:line="259" w:lineRule="auto"/>
              <w:jc w:val="right"/>
              <w:rPr>
                <w:rFonts w:ascii="Calibri" w:eastAsia="Calibri" w:hAnsi="Calibri" w:cs="Calibri"/>
                <w:b/>
                <w:bCs/>
                <w:color w:val="000000"/>
                <w:sz w:val="20"/>
                <w:szCs w:val="20"/>
              </w:rPr>
            </w:pPr>
            <w:r w:rsidRPr="00B97A09">
              <w:rPr>
                <w:rFonts w:ascii="Calibri" w:eastAsia="Calibri" w:hAnsi="Calibri" w:cs="Calibri"/>
                <w:b/>
                <w:bCs/>
                <w:color w:val="000000"/>
                <w:sz w:val="20"/>
                <w:szCs w:val="20"/>
              </w:rPr>
              <w:t>13</w:t>
            </w:r>
          </w:p>
        </w:tc>
        <w:tc>
          <w:tcPr>
            <w:tcW w:w="984" w:type="dxa"/>
            <w:tcBorders>
              <w:top w:val="single" w:sz="4" w:space="0" w:color="auto"/>
            </w:tcBorders>
            <w:shd w:val="clear" w:color="auto" w:fill="auto"/>
            <w:vAlign w:val="bottom"/>
          </w:tcPr>
          <w:p w:rsidR="00EF0E2C" w:rsidRPr="00B97A09" w:rsidRDefault="00EF0E2C" w:rsidP="00AD3D47">
            <w:pPr>
              <w:spacing w:before="0" w:after="0" w:line="259" w:lineRule="auto"/>
              <w:jc w:val="right"/>
              <w:rPr>
                <w:rFonts w:ascii="Calibri" w:eastAsia="Calibri" w:hAnsi="Calibri" w:cs="Calibri"/>
                <w:b/>
                <w:bCs/>
                <w:color w:val="000000"/>
                <w:sz w:val="20"/>
                <w:szCs w:val="20"/>
              </w:rPr>
            </w:pPr>
            <w:r w:rsidRPr="00B97A09">
              <w:rPr>
                <w:rFonts w:ascii="Calibri" w:eastAsia="Calibri" w:hAnsi="Calibri" w:cs="Calibri"/>
                <w:b/>
                <w:bCs/>
                <w:color w:val="000000"/>
                <w:sz w:val="20"/>
                <w:szCs w:val="20"/>
              </w:rPr>
              <w:t>27</w:t>
            </w:r>
          </w:p>
        </w:tc>
        <w:tc>
          <w:tcPr>
            <w:tcW w:w="984" w:type="dxa"/>
            <w:tcBorders>
              <w:top w:val="single" w:sz="4" w:space="0" w:color="auto"/>
            </w:tcBorders>
            <w:shd w:val="clear" w:color="auto" w:fill="auto"/>
            <w:vAlign w:val="bottom"/>
          </w:tcPr>
          <w:p w:rsidR="00EF0E2C" w:rsidRPr="00B97A09" w:rsidRDefault="00EF0E2C" w:rsidP="00AD3D47">
            <w:pPr>
              <w:spacing w:before="0" w:after="0" w:line="259" w:lineRule="auto"/>
              <w:jc w:val="right"/>
              <w:rPr>
                <w:rFonts w:ascii="Calibri" w:eastAsia="Calibri" w:hAnsi="Calibri" w:cs="Calibri"/>
                <w:b/>
                <w:bCs/>
                <w:color w:val="000000"/>
                <w:sz w:val="20"/>
                <w:szCs w:val="20"/>
              </w:rPr>
            </w:pPr>
            <w:r w:rsidRPr="00B97A09">
              <w:rPr>
                <w:rFonts w:ascii="Calibri" w:eastAsia="Calibri" w:hAnsi="Calibri" w:cs="Calibri"/>
                <w:b/>
                <w:bCs/>
                <w:color w:val="000000"/>
                <w:sz w:val="20"/>
                <w:szCs w:val="20"/>
              </w:rPr>
              <w:t>35</w:t>
            </w:r>
          </w:p>
        </w:tc>
        <w:tc>
          <w:tcPr>
            <w:tcW w:w="984" w:type="dxa"/>
            <w:tcBorders>
              <w:top w:val="single" w:sz="4" w:space="0" w:color="auto"/>
            </w:tcBorders>
            <w:shd w:val="clear" w:color="auto" w:fill="auto"/>
            <w:vAlign w:val="bottom"/>
          </w:tcPr>
          <w:p w:rsidR="00EF0E2C" w:rsidRPr="00B97A09" w:rsidRDefault="00EF0E2C" w:rsidP="00AD3D47">
            <w:pPr>
              <w:spacing w:before="0" w:after="0" w:line="259" w:lineRule="auto"/>
              <w:jc w:val="right"/>
              <w:rPr>
                <w:rFonts w:ascii="Calibri" w:eastAsia="Calibri" w:hAnsi="Calibri" w:cs="Calibri"/>
                <w:b/>
                <w:bCs/>
                <w:color w:val="000000"/>
                <w:sz w:val="20"/>
                <w:szCs w:val="20"/>
              </w:rPr>
            </w:pPr>
            <w:r w:rsidRPr="00B97A09">
              <w:rPr>
                <w:rFonts w:ascii="Calibri" w:eastAsia="Calibri" w:hAnsi="Calibri" w:cs="Calibri"/>
                <w:b/>
                <w:bCs/>
                <w:color w:val="000000"/>
                <w:sz w:val="20"/>
                <w:szCs w:val="20"/>
              </w:rPr>
              <w:t>14</w:t>
            </w:r>
          </w:p>
        </w:tc>
        <w:tc>
          <w:tcPr>
            <w:tcW w:w="984" w:type="dxa"/>
            <w:tcBorders>
              <w:top w:val="single" w:sz="4" w:space="0" w:color="auto"/>
            </w:tcBorders>
            <w:vAlign w:val="bottom"/>
          </w:tcPr>
          <w:p w:rsidR="00EF0E2C" w:rsidRPr="00B97A09" w:rsidRDefault="00EF0E2C" w:rsidP="00AD3D47">
            <w:pPr>
              <w:spacing w:before="0" w:after="0" w:line="259" w:lineRule="auto"/>
              <w:jc w:val="right"/>
              <w:rPr>
                <w:rFonts w:ascii="Calibri" w:eastAsia="Calibri" w:hAnsi="Calibri" w:cs="Calibri"/>
                <w:b/>
                <w:bCs/>
                <w:color w:val="000000"/>
                <w:sz w:val="20"/>
                <w:szCs w:val="20"/>
              </w:rPr>
            </w:pPr>
            <w:r w:rsidRPr="00B97A09">
              <w:rPr>
                <w:rFonts w:ascii="Calibri" w:eastAsia="Calibri" w:hAnsi="Calibri" w:cs="Calibri"/>
                <w:b/>
                <w:bCs/>
                <w:color w:val="000000"/>
                <w:sz w:val="20"/>
                <w:szCs w:val="20"/>
              </w:rPr>
              <w:t>300</w:t>
            </w:r>
          </w:p>
        </w:tc>
      </w:tr>
      <w:tr w:rsidR="00EF0E2C" w:rsidRPr="00E877CA" w:rsidTr="00AD3D47">
        <w:trPr>
          <w:cantSplit/>
        </w:trPr>
        <w:tc>
          <w:tcPr>
            <w:tcW w:w="2376" w:type="dxa"/>
            <w:tcBorders>
              <w:bottom w:val="single" w:sz="4" w:space="0" w:color="auto"/>
            </w:tcBorders>
            <w:shd w:val="clear" w:color="auto" w:fill="auto"/>
            <w:vAlign w:val="bottom"/>
          </w:tcPr>
          <w:p w:rsidR="00EF0E2C" w:rsidRPr="00B97A09" w:rsidRDefault="00EF0E2C" w:rsidP="00AD3D47">
            <w:pPr>
              <w:spacing w:before="20" w:after="20" w:line="259" w:lineRule="auto"/>
              <w:jc w:val="right"/>
              <w:rPr>
                <w:rFonts w:ascii="Calibri" w:eastAsia="Calibri" w:hAnsi="Calibri" w:cs="Calibri"/>
                <w:b/>
                <w:sz w:val="20"/>
                <w:szCs w:val="20"/>
              </w:rPr>
            </w:pPr>
          </w:p>
        </w:tc>
        <w:tc>
          <w:tcPr>
            <w:tcW w:w="1125" w:type="dxa"/>
            <w:tcBorders>
              <w:bottom w:val="single" w:sz="4" w:space="0" w:color="auto"/>
            </w:tcBorders>
            <w:shd w:val="clear" w:color="auto" w:fill="auto"/>
            <w:vAlign w:val="bottom"/>
          </w:tcPr>
          <w:p w:rsidR="00EF0E2C" w:rsidRPr="00B97A09" w:rsidRDefault="00516B6A" w:rsidP="00AD3D47">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EF0E2C" w:rsidRPr="00B97A09">
              <w:rPr>
                <w:rFonts w:ascii="Calibri" w:eastAsia="Calibri" w:hAnsi="Calibri" w:cs="Calibri"/>
                <w:color w:val="000000"/>
                <w:sz w:val="20"/>
                <w:szCs w:val="20"/>
              </w:rPr>
              <w:t>41.3</w:t>
            </w:r>
            <w:r>
              <w:rPr>
                <w:rFonts w:ascii="Calibri" w:eastAsia="Calibri" w:hAnsi="Calibri" w:cs="Calibri"/>
                <w:color w:val="000000"/>
                <w:sz w:val="20"/>
                <w:szCs w:val="20"/>
              </w:rPr>
              <w:t>%</w:t>
            </w:r>
          </w:p>
        </w:tc>
        <w:tc>
          <w:tcPr>
            <w:tcW w:w="984" w:type="dxa"/>
            <w:tcBorders>
              <w:bottom w:val="single" w:sz="4" w:space="0" w:color="auto"/>
            </w:tcBorders>
            <w:shd w:val="clear" w:color="auto" w:fill="auto"/>
            <w:vAlign w:val="bottom"/>
          </w:tcPr>
          <w:p w:rsidR="00EF0E2C" w:rsidRPr="00B97A09" w:rsidRDefault="00516B6A" w:rsidP="00AD3D47">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EF0E2C" w:rsidRPr="00B97A09">
              <w:rPr>
                <w:rFonts w:ascii="Calibri" w:eastAsia="Calibri" w:hAnsi="Calibri" w:cs="Calibri"/>
                <w:color w:val="000000"/>
                <w:sz w:val="20"/>
                <w:szCs w:val="20"/>
              </w:rPr>
              <w:t>29.0</w:t>
            </w:r>
            <w:r>
              <w:rPr>
                <w:rFonts w:ascii="Calibri" w:eastAsia="Calibri" w:hAnsi="Calibri" w:cs="Calibri"/>
                <w:color w:val="000000"/>
                <w:sz w:val="20"/>
                <w:szCs w:val="20"/>
              </w:rPr>
              <w:t>%</w:t>
            </w:r>
          </w:p>
        </w:tc>
        <w:tc>
          <w:tcPr>
            <w:tcW w:w="984" w:type="dxa"/>
            <w:tcBorders>
              <w:bottom w:val="single" w:sz="4" w:space="0" w:color="auto"/>
            </w:tcBorders>
            <w:shd w:val="clear" w:color="auto" w:fill="auto"/>
            <w:vAlign w:val="bottom"/>
          </w:tcPr>
          <w:p w:rsidR="00EF0E2C" w:rsidRPr="00B97A09" w:rsidRDefault="00516B6A" w:rsidP="00AD3D47">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EF0E2C" w:rsidRPr="00B97A09">
              <w:rPr>
                <w:rFonts w:ascii="Calibri" w:eastAsia="Calibri" w:hAnsi="Calibri" w:cs="Calibri"/>
                <w:color w:val="000000"/>
                <w:sz w:val="20"/>
                <w:szCs w:val="20"/>
              </w:rPr>
              <w:t>4.3</w:t>
            </w:r>
            <w:r>
              <w:rPr>
                <w:rFonts w:ascii="Calibri" w:eastAsia="Calibri" w:hAnsi="Calibri" w:cs="Calibri"/>
                <w:color w:val="000000"/>
                <w:sz w:val="20"/>
                <w:szCs w:val="20"/>
              </w:rPr>
              <w:t>%</w:t>
            </w:r>
          </w:p>
        </w:tc>
        <w:tc>
          <w:tcPr>
            <w:tcW w:w="984" w:type="dxa"/>
            <w:tcBorders>
              <w:bottom w:val="single" w:sz="4" w:space="0" w:color="auto"/>
            </w:tcBorders>
            <w:shd w:val="clear" w:color="auto" w:fill="auto"/>
            <w:vAlign w:val="bottom"/>
          </w:tcPr>
          <w:p w:rsidR="00EF0E2C" w:rsidRPr="00B97A09" w:rsidRDefault="00516B6A" w:rsidP="00AD3D47">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EF0E2C" w:rsidRPr="00B97A09">
              <w:rPr>
                <w:rFonts w:ascii="Calibri" w:eastAsia="Calibri" w:hAnsi="Calibri" w:cs="Calibri"/>
                <w:color w:val="000000"/>
                <w:sz w:val="20"/>
                <w:szCs w:val="20"/>
              </w:rPr>
              <w:t>9.0</w:t>
            </w:r>
            <w:r>
              <w:rPr>
                <w:rFonts w:ascii="Calibri" w:eastAsia="Calibri" w:hAnsi="Calibri" w:cs="Calibri"/>
                <w:color w:val="000000"/>
                <w:sz w:val="20"/>
                <w:szCs w:val="20"/>
              </w:rPr>
              <w:t>%</w:t>
            </w:r>
          </w:p>
        </w:tc>
        <w:tc>
          <w:tcPr>
            <w:tcW w:w="984" w:type="dxa"/>
            <w:tcBorders>
              <w:bottom w:val="single" w:sz="4" w:space="0" w:color="auto"/>
            </w:tcBorders>
            <w:shd w:val="clear" w:color="auto" w:fill="auto"/>
            <w:vAlign w:val="bottom"/>
          </w:tcPr>
          <w:p w:rsidR="00EF0E2C" w:rsidRPr="00B97A09" w:rsidRDefault="00516B6A" w:rsidP="00AD3D47">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EF0E2C" w:rsidRPr="00B97A09">
              <w:rPr>
                <w:rFonts w:ascii="Calibri" w:eastAsia="Calibri" w:hAnsi="Calibri" w:cs="Calibri"/>
                <w:color w:val="000000"/>
                <w:sz w:val="20"/>
                <w:szCs w:val="20"/>
              </w:rPr>
              <w:t>11.7</w:t>
            </w:r>
            <w:r>
              <w:rPr>
                <w:rFonts w:ascii="Calibri" w:eastAsia="Calibri" w:hAnsi="Calibri" w:cs="Calibri"/>
                <w:color w:val="000000"/>
                <w:sz w:val="20"/>
                <w:szCs w:val="20"/>
              </w:rPr>
              <w:t>%</w:t>
            </w:r>
          </w:p>
        </w:tc>
        <w:tc>
          <w:tcPr>
            <w:tcW w:w="984" w:type="dxa"/>
            <w:tcBorders>
              <w:bottom w:val="single" w:sz="4" w:space="0" w:color="auto"/>
            </w:tcBorders>
            <w:shd w:val="clear" w:color="auto" w:fill="auto"/>
            <w:vAlign w:val="bottom"/>
          </w:tcPr>
          <w:p w:rsidR="00EF0E2C" w:rsidRPr="00B97A09" w:rsidRDefault="00516B6A" w:rsidP="00AD3D47">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EF0E2C" w:rsidRPr="00B97A09">
              <w:rPr>
                <w:rFonts w:ascii="Calibri" w:eastAsia="Calibri" w:hAnsi="Calibri" w:cs="Calibri"/>
                <w:color w:val="000000"/>
                <w:sz w:val="20"/>
                <w:szCs w:val="20"/>
              </w:rPr>
              <w:t>4.7</w:t>
            </w:r>
            <w:r>
              <w:rPr>
                <w:rFonts w:ascii="Calibri" w:eastAsia="Calibri" w:hAnsi="Calibri" w:cs="Calibri"/>
                <w:color w:val="000000"/>
                <w:sz w:val="20"/>
                <w:szCs w:val="20"/>
              </w:rPr>
              <w:t>%</w:t>
            </w:r>
          </w:p>
        </w:tc>
        <w:tc>
          <w:tcPr>
            <w:tcW w:w="984" w:type="dxa"/>
            <w:tcBorders>
              <w:bottom w:val="single" w:sz="4" w:space="0" w:color="auto"/>
            </w:tcBorders>
            <w:vAlign w:val="bottom"/>
          </w:tcPr>
          <w:p w:rsidR="00EF0E2C" w:rsidRPr="00B97A09" w:rsidRDefault="00516B6A" w:rsidP="00AD3D47">
            <w:pPr>
              <w:spacing w:before="0" w:after="0" w:line="259"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w:t>
            </w:r>
            <w:r w:rsidR="00EF0E2C" w:rsidRPr="00B97A09">
              <w:rPr>
                <w:rFonts w:ascii="Calibri" w:eastAsia="Calibri" w:hAnsi="Calibri" w:cs="Calibri"/>
                <w:color w:val="000000"/>
                <w:sz w:val="20"/>
                <w:szCs w:val="20"/>
              </w:rPr>
              <w:t>100.0</w:t>
            </w:r>
            <w:r>
              <w:rPr>
                <w:rFonts w:ascii="Calibri" w:eastAsia="Calibri" w:hAnsi="Calibri" w:cs="Calibri"/>
                <w:color w:val="000000"/>
                <w:sz w:val="20"/>
                <w:szCs w:val="20"/>
              </w:rPr>
              <w:t>%</w:t>
            </w:r>
          </w:p>
        </w:tc>
      </w:tr>
    </w:tbl>
    <w:p w:rsidR="00D907AF" w:rsidRPr="00660446" w:rsidRDefault="00D907AF" w:rsidP="006C7BE7">
      <w:pPr>
        <w:pStyle w:val="NILSTabletext"/>
      </w:pPr>
      <w:r w:rsidRPr="00660446">
        <w:t xml:space="preserve">Note: </w:t>
      </w:r>
      <w:r>
        <w:t>t</w:t>
      </w:r>
      <w:r w:rsidRPr="00660446">
        <w:t>rial aged 16 and above current</w:t>
      </w:r>
      <w:r>
        <w:t xml:space="preserve">ly </w:t>
      </w:r>
      <w:r w:rsidRPr="00660446">
        <w:t>receiving</w:t>
      </w:r>
      <w:r>
        <w:t xml:space="preserve"> NDIS</w:t>
      </w:r>
      <w:r w:rsidRPr="00660446">
        <w:t xml:space="preserve"> supports</w:t>
      </w:r>
      <w:r>
        <w:t xml:space="preserve"> and </w:t>
      </w:r>
      <w:r w:rsidRPr="00660446">
        <w:t>received supports before joining the NDIS</w:t>
      </w:r>
      <w:r>
        <w:t>.</w:t>
      </w:r>
      <w:r w:rsidRPr="00660446">
        <w:t xml:space="preserve"> </w:t>
      </w:r>
    </w:p>
    <w:p w:rsidR="00D907AF" w:rsidRDefault="00D907AF" w:rsidP="0044684E">
      <w:pPr>
        <w:pStyle w:val="NILSTableHeading"/>
        <w:rPr>
          <w:lang w:val="en-AU"/>
        </w:rPr>
      </w:pPr>
      <w:bookmarkStart w:id="456" w:name="_Toc428280720"/>
      <w:bookmarkStart w:id="457" w:name="_Toc449955331"/>
      <w:r w:rsidRPr="00233E8A">
        <w:t xml:space="preserve">Table </w:t>
      </w:r>
      <w:r>
        <w:rPr>
          <w:rFonts w:hint="eastAsia"/>
        </w:rPr>
        <w:t>3.6</w:t>
      </w:r>
      <w:r>
        <w:t>9</w:t>
      </w:r>
      <w:r w:rsidRPr="00233E8A">
        <w:t xml:space="preserve">: </w:t>
      </w:r>
      <w:r>
        <w:rPr>
          <w:rFonts w:hint="eastAsia"/>
        </w:rPr>
        <w:t xml:space="preserve">Pre and post NDIS comparison: </w:t>
      </w:r>
      <w:r>
        <w:t>How much</w:t>
      </w:r>
      <w:r w:rsidRPr="004D3540">
        <w:t xml:space="preserve"> choice over where </w:t>
      </w:r>
      <w:r>
        <w:rPr>
          <w:rFonts w:hint="eastAsia"/>
        </w:rPr>
        <w:t>supports</w:t>
      </w:r>
      <w:r w:rsidRPr="004D3540">
        <w:t xml:space="preserve"> obtain</w:t>
      </w:r>
      <w:r>
        <w:t>ed</w:t>
      </w:r>
      <w:bookmarkEnd w:id="456"/>
      <w:bookmarkEnd w:id="457"/>
    </w:p>
    <w:p w:rsidR="00232A7F" w:rsidRPr="00EA1ACC" w:rsidRDefault="00DC1045" w:rsidP="00DC1045">
      <w:pPr>
        <w:pBdr>
          <w:top w:val="single" w:sz="4" w:space="1" w:color="auto"/>
        </w:pBdr>
        <w:tabs>
          <w:tab w:val="left" w:pos="4678"/>
        </w:tabs>
        <w:spacing w:before="240"/>
        <w:rPr>
          <w:lang w:val="en-AU"/>
        </w:rPr>
      </w:pPr>
      <w:r>
        <w:rPr>
          <w:lang w:val="en-AU"/>
        </w:rPr>
        <w:tab/>
      </w:r>
      <w:r w:rsidR="003E68F3">
        <w:rPr>
          <w:lang w:val="en-AU"/>
        </w:rPr>
        <w:t>Post NDIS</w:t>
      </w:r>
    </w:p>
    <w:tbl>
      <w:tblPr>
        <w:tblStyle w:val="TableGrid7"/>
        <w:tblW w:w="9180" w:type="dxa"/>
        <w:tblLayout w:type="fixed"/>
        <w:tblLook w:val="04A0" w:firstRow="1" w:lastRow="0" w:firstColumn="1" w:lastColumn="0" w:noHBand="0" w:noVBand="1"/>
        <w:tblCaption w:val="Table 3.69 Pre and post NDIS comparison: How much choice over where supports obtained"/>
      </w:tblPr>
      <w:tblGrid>
        <w:gridCol w:w="2093"/>
        <w:gridCol w:w="992"/>
        <w:gridCol w:w="992"/>
        <w:gridCol w:w="1134"/>
        <w:gridCol w:w="993"/>
        <w:gridCol w:w="992"/>
        <w:gridCol w:w="992"/>
        <w:gridCol w:w="992"/>
      </w:tblGrid>
      <w:tr w:rsidR="00232A7F" w:rsidRPr="00E877CA" w:rsidTr="00CF7E95">
        <w:trPr>
          <w:cantSplit/>
          <w:tblHeader/>
        </w:trPr>
        <w:tc>
          <w:tcPr>
            <w:tcW w:w="2093" w:type="dxa"/>
            <w:tcBorders>
              <w:bottom w:val="single" w:sz="4" w:space="0" w:color="auto"/>
            </w:tcBorders>
            <w:shd w:val="clear" w:color="auto" w:fill="auto"/>
            <w:vAlign w:val="bottom"/>
          </w:tcPr>
          <w:p w:rsidR="00232A7F" w:rsidRPr="00B97A09" w:rsidRDefault="00232A7F" w:rsidP="00CF7E95">
            <w:pPr>
              <w:spacing w:before="20" w:after="20"/>
              <w:jc w:val="center"/>
              <w:rPr>
                <w:rFonts w:eastAsia="Times New Roman" w:cstheme="minorHAnsi"/>
                <w:sz w:val="20"/>
                <w:szCs w:val="20"/>
                <w:lang w:eastAsia="zh-CN"/>
              </w:rPr>
            </w:pPr>
            <w:bookmarkStart w:id="458" w:name="Title_3_69"/>
            <w:bookmarkEnd w:id="458"/>
            <w:r w:rsidRPr="00B97A09">
              <w:rPr>
                <w:rFonts w:eastAsia="Times New Roman" w:cstheme="minorHAnsi"/>
                <w:sz w:val="20"/>
                <w:szCs w:val="20"/>
                <w:lang w:eastAsia="zh-CN"/>
              </w:rPr>
              <w:t>Pre NDIS</w:t>
            </w:r>
          </w:p>
        </w:tc>
        <w:tc>
          <w:tcPr>
            <w:tcW w:w="992" w:type="dxa"/>
            <w:tcBorders>
              <w:bottom w:val="single" w:sz="4" w:space="0" w:color="auto"/>
            </w:tcBorders>
            <w:shd w:val="clear" w:color="auto" w:fill="auto"/>
            <w:vAlign w:val="bottom"/>
          </w:tcPr>
          <w:p w:rsidR="006A479D" w:rsidRPr="006A479D" w:rsidRDefault="006A479D" w:rsidP="00232A7F">
            <w:pPr>
              <w:spacing w:before="20" w:after="20"/>
              <w:jc w:val="center"/>
              <w:rPr>
                <w:rFonts w:eastAsia="Times New Roman" w:cstheme="minorHAnsi"/>
                <w:color w:val="FFFFFF" w:themeColor="background1"/>
                <w:sz w:val="2"/>
                <w:szCs w:val="2"/>
                <w:lang w:eastAsia="zh-CN"/>
              </w:rPr>
            </w:pPr>
            <w:r w:rsidRPr="006A479D">
              <w:rPr>
                <w:rFonts w:eastAsia="Times New Roman" w:cstheme="minorHAnsi"/>
                <w:color w:val="FFFFFF" w:themeColor="background1"/>
                <w:sz w:val="2"/>
                <w:szCs w:val="2"/>
                <w:lang w:eastAsia="zh-CN"/>
              </w:rPr>
              <w:t>Post NDIS</w:t>
            </w:r>
          </w:p>
          <w:p w:rsidR="00232A7F" w:rsidRPr="00B97A09" w:rsidRDefault="00232A7F" w:rsidP="00232A7F">
            <w:pPr>
              <w:spacing w:before="20" w:after="20"/>
              <w:jc w:val="center"/>
              <w:rPr>
                <w:rFonts w:eastAsia="Times New Roman" w:cstheme="minorHAnsi"/>
                <w:sz w:val="20"/>
                <w:szCs w:val="20"/>
                <w:lang w:eastAsia="zh-CN"/>
              </w:rPr>
            </w:pPr>
            <w:r w:rsidRPr="00B97A09">
              <w:rPr>
                <w:rFonts w:eastAsia="Times New Roman" w:cstheme="minorHAnsi"/>
                <w:sz w:val="20"/>
                <w:szCs w:val="20"/>
                <w:lang w:eastAsia="zh-CN"/>
              </w:rPr>
              <w:t>A lot of choice</w:t>
            </w:r>
          </w:p>
        </w:tc>
        <w:tc>
          <w:tcPr>
            <w:tcW w:w="992" w:type="dxa"/>
            <w:tcBorders>
              <w:bottom w:val="single" w:sz="4" w:space="0" w:color="auto"/>
            </w:tcBorders>
            <w:shd w:val="clear" w:color="auto" w:fill="auto"/>
            <w:vAlign w:val="bottom"/>
          </w:tcPr>
          <w:p w:rsidR="006A479D" w:rsidRPr="006A479D" w:rsidRDefault="006A479D" w:rsidP="006A479D">
            <w:pPr>
              <w:spacing w:before="20" w:after="20"/>
              <w:jc w:val="center"/>
              <w:rPr>
                <w:rFonts w:eastAsia="Times New Roman" w:cstheme="minorHAnsi"/>
                <w:color w:val="FFFFFF" w:themeColor="background1"/>
                <w:sz w:val="2"/>
                <w:szCs w:val="2"/>
                <w:lang w:eastAsia="zh-CN"/>
              </w:rPr>
            </w:pPr>
            <w:r w:rsidRPr="006A479D">
              <w:rPr>
                <w:rFonts w:eastAsia="Times New Roman" w:cstheme="minorHAnsi"/>
                <w:color w:val="FFFFFF" w:themeColor="background1"/>
                <w:sz w:val="2"/>
                <w:szCs w:val="2"/>
                <w:lang w:eastAsia="zh-CN"/>
              </w:rPr>
              <w:t>Post NDIS</w:t>
            </w:r>
          </w:p>
          <w:p w:rsidR="00232A7F" w:rsidRPr="00B97A09" w:rsidRDefault="00232A7F" w:rsidP="00232A7F">
            <w:pPr>
              <w:spacing w:before="20" w:after="20"/>
              <w:jc w:val="center"/>
              <w:rPr>
                <w:rFonts w:eastAsia="Times New Roman" w:cstheme="minorHAnsi"/>
                <w:sz w:val="20"/>
                <w:szCs w:val="20"/>
                <w:lang w:eastAsia="zh-CN"/>
              </w:rPr>
            </w:pPr>
            <w:r w:rsidRPr="00B97A09">
              <w:rPr>
                <w:rFonts w:eastAsia="Times New Roman" w:cstheme="minorHAnsi"/>
                <w:sz w:val="20"/>
                <w:szCs w:val="20"/>
                <w:lang w:eastAsia="zh-CN"/>
              </w:rPr>
              <w:t>Some choice</w:t>
            </w:r>
          </w:p>
        </w:tc>
        <w:tc>
          <w:tcPr>
            <w:tcW w:w="1134" w:type="dxa"/>
            <w:tcBorders>
              <w:bottom w:val="single" w:sz="4" w:space="0" w:color="auto"/>
            </w:tcBorders>
            <w:shd w:val="clear" w:color="auto" w:fill="auto"/>
            <w:vAlign w:val="bottom"/>
          </w:tcPr>
          <w:p w:rsidR="006A479D" w:rsidRPr="006A479D" w:rsidRDefault="006A479D" w:rsidP="006A479D">
            <w:pPr>
              <w:spacing w:before="20" w:after="20"/>
              <w:jc w:val="center"/>
              <w:rPr>
                <w:rFonts w:eastAsia="Times New Roman" w:cstheme="minorHAnsi"/>
                <w:color w:val="FFFFFF" w:themeColor="background1"/>
                <w:sz w:val="2"/>
                <w:szCs w:val="2"/>
                <w:lang w:eastAsia="zh-CN"/>
              </w:rPr>
            </w:pPr>
            <w:r w:rsidRPr="006A479D">
              <w:rPr>
                <w:rFonts w:eastAsia="Times New Roman" w:cstheme="minorHAnsi"/>
                <w:color w:val="FFFFFF" w:themeColor="background1"/>
                <w:sz w:val="2"/>
                <w:szCs w:val="2"/>
                <w:lang w:eastAsia="zh-CN"/>
              </w:rPr>
              <w:t>Post NDIS</w:t>
            </w:r>
          </w:p>
          <w:p w:rsidR="00232A7F" w:rsidRPr="00B97A09" w:rsidRDefault="00232A7F" w:rsidP="00232A7F">
            <w:pPr>
              <w:spacing w:before="20" w:after="20"/>
              <w:jc w:val="center"/>
              <w:rPr>
                <w:rFonts w:eastAsia="Times New Roman" w:cstheme="minorHAnsi"/>
                <w:sz w:val="20"/>
                <w:szCs w:val="20"/>
                <w:lang w:eastAsia="zh-CN"/>
              </w:rPr>
            </w:pPr>
            <w:r w:rsidRPr="00B97A09">
              <w:rPr>
                <w:rFonts w:eastAsia="Times New Roman" w:cstheme="minorHAnsi"/>
                <w:sz w:val="20"/>
                <w:szCs w:val="20"/>
                <w:lang w:eastAsia="zh-CN"/>
              </w:rPr>
              <w:t>Little choice</w:t>
            </w:r>
          </w:p>
        </w:tc>
        <w:tc>
          <w:tcPr>
            <w:tcW w:w="993" w:type="dxa"/>
            <w:tcBorders>
              <w:bottom w:val="single" w:sz="4" w:space="0" w:color="auto"/>
            </w:tcBorders>
            <w:shd w:val="clear" w:color="auto" w:fill="auto"/>
            <w:vAlign w:val="bottom"/>
          </w:tcPr>
          <w:p w:rsidR="006A479D" w:rsidRPr="006A479D" w:rsidRDefault="006A479D" w:rsidP="006A479D">
            <w:pPr>
              <w:spacing w:before="20" w:after="20"/>
              <w:jc w:val="center"/>
              <w:rPr>
                <w:rFonts w:eastAsia="Times New Roman" w:cstheme="minorHAnsi"/>
                <w:color w:val="FFFFFF" w:themeColor="background1"/>
                <w:sz w:val="2"/>
                <w:szCs w:val="2"/>
                <w:lang w:eastAsia="zh-CN"/>
              </w:rPr>
            </w:pPr>
            <w:r w:rsidRPr="006A479D">
              <w:rPr>
                <w:rFonts w:eastAsia="Times New Roman" w:cstheme="minorHAnsi"/>
                <w:color w:val="FFFFFF" w:themeColor="background1"/>
                <w:sz w:val="2"/>
                <w:szCs w:val="2"/>
                <w:lang w:eastAsia="zh-CN"/>
              </w:rPr>
              <w:t>Post NDIS</w:t>
            </w:r>
          </w:p>
          <w:p w:rsidR="00232A7F" w:rsidRPr="00B97A09" w:rsidRDefault="00232A7F" w:rsidP="00232A7F">
            <w:pPr>
              <w:spacing w:before="20" w:after="20"/>
              <w:jc w:val="center"/>
              <w:rPr>
                <w:rFonts w:eastAsia="Times New Roman" w:cstheme="minorHAnsi"/>
                <w:sz w:val="20"/>
                <w:szCs w:val="20"/>
                <w:lang w:eastAsia="zh-CN"/>
              </w:rPr>
            </w:pPr>
            <w:r w:rsidRPr="00B97A09">
              <w:rPr>
                <w:rFonts w:eastAsia="Times New Roman" w:cstheme="minorHAnsi"/>
                <w:sz w:val="20"/>
                <w:szCs w:val="20"/>
                <w:lang w:eastAsia="zh-CN"/>
              </w:rPr>
              <w:t>No choice</w:t>
            </w:r>
          </w:p>
        </w:tc>
        <w:tc>
          <w:tcPr>
            <w:tcW w:w="992" w:type="dxa"/>
            <w:tcBorders>
              <w:bottom w:val="single" w:sz="4" w:space="0" w:color="auto"/>
            </w:tcBorders>
            <w:shd w:val="clear" w:color="auto" w:fill="auto"/>
            <w:vAlign w:val="bottom"/>
          </w:tcPr>
          <w:p w:rsidR="006A479D" w:rsidRPr="006A479D" w:rsidRDefault="006A479D" w:rsidP="006A479D">
            <w:pPr>
              <w:spacing w:before="20" w:after="20"/>
              <w:jc w:val="center"/>
              <w:rPr>
                <w:rFonts w:eastAsia="Times New Roman" w:cstheme="minorHAnsi"/>
                <w:color w:val="FFFFFF" w:themeColor="background1"/>
                <w:sz w:val="2"/>
                <w:szCs w:val="2"/>
                <w:lang w:eastAsia="zh-CN"/>
              </w:rPr>
            </w:pPr>
            <w:r w:rsidRPr="006A479D">
              <w:rPr>
                <w:rFonts w:eastAsia="Times New Roman" w:cstheme="minorHAnsi"/>
                <w:color w:val="FFFFFF" w:themeColor="background1"/>
                <w:sz w:val="2"/>
                <w:szCs w:val="2"/>
                <w:lang w:eastAsia="zh-CN"/>
              </w:rPr>
              <w:t>Post NDIS</w:t>
            </w:r>
          </w:p>
          <w:p w:rsidR="00232A7F" w:rsidRPr="00B97A09" w:rsidRDefault="00232A7F" w:rsidP="00232A7F">
            <w:pPr>
              <w:spacing w:before="20" w:after="20"/>
              <w:jc w:val="center"/>
              <w:rPr>
                <w:rFonts w:eastAsia="Times New Roman" w:cstheme="minorHAnsi"/>
                <w:sz w:val="20"/>
                <w:szCs w:val="20"/>
                <w:lang w:eastAsia="zh-CN"/>
              </w:rPr>
            </w:pPr>
            <w:r w:rsidRPr="00B97A09">
              <w:rPr>
                <w:rFonts w:eastAsia="Times New Roman" w:cstheme="minorHAnsi"/>
                <w:sz w:val="20"/>
                <w:szCs w:val="20"/>
                <w:lang w:eastAsia="zh-CN"/>
              </w:rPr>
              <w:t>It varies</w:t>
            </w:r>
          </w:p>
        </w:tc>
        <w:tc>
          <w:tcPr>
            <w:tcW w:w="992" w:type="dxa"/>
            <w:tcBorders>
              <w:bottom w:val="single" w:sz="4" w:space="0" w:color="auto"/>
            </w:tcBorders>
            <w:shd w:val="clear" w:color="auto" w:fill="auto"/>
            <w:vAlign w:val="bottom"/>
          </w:tcPr>
          <w:p w:rsidR="006A479D" w:rsidRPr="006A479D" w:rsidRDefault="006A479D" w:rsidP="006A479D">
            <w:pPr>
              <w:spacing w:before="20" w:after="20"/>
              <w:jc w:val="center"/>
              <w:rPr>
                <w:rFonts w:eastAsia="Times New Roman" w:cstheme="minorHAnsi"/>
                <w:color w:val="FFFFFF" w:themeColor="background1"/>
                <w:sz w:val="2"/>
                <w:szCs w:val="2"/>
                <w:lang w:eastAsia="zh-CN"/>
              </w:rPr>
            </w:pPr>
            <w:r w:rsidRPr="006A479D">
              <w:rPr>
                <w:rFonts w:eastAsia="Times New Roman" w:cstheme="minorHAnsi"/>
                <w:color w:val="FFFFFF" w:themeColor="background1"/>
                <w:sz w:val="2"/>
                <w:szCs w:val="2"/>
                <w:lang w:eastAsia="zh-CN"/>
              </w:rPr>
              <w:t>Post NDIS</w:t>
            </w:r>
          </w:p>
          <w:p w:rsidR="00232A7F" w:rsidRPr="00B97A09" w:rsidRDefault="00232A7F" w:rsidP="00232A7F">
            <w:pPr>
              <w:spacing w:before="20" w:after="20"/>
              <w:jc w:val="center"/>
              <w:rPr>
                <w:rFonts w:eastAsia="Times New Roman" w:cstheme="minorHAnsi"/>
                <w:sz w:val="20"/>
                <w:szCs w:val="20"/>
                <w:lang w:eastAsia="zh-CN"/>
              </w:rPr>
            </w:pPr>
            <w:r w:rsidRPr="00B97A09">
              <w:rPr>
                <w:rFonts w:eastAsia="Times New Roman" w:cstheme="minorHAnsi"/>
                <w:sz w:val="20"/>
                <w:szCs w:val="20"/>
                <w:lang w:eastAsia="zh-CN"/>
              </w:rPr>
              <w:t>Missing</w:t>
            </w:r>
          </w:p>
        </w:tc>
        <w:tc>
          <w:tcPr>
            <w:tcW w:w="992" w:type="dxa"/>
            <w:tcBorders>
              <w:bottom w:val="single" w:sz="4" w:space="0" w:color="auto"/>
            </w:tcBorders>
            <w:vAlign w:val="bottom"/>
          </w:tcPr>
          <w:p w:rsidR="006A479D" w:rsidRPr="006A479D" w:rsidRDefault="006A479D" w:rsidP="006A479D">
            <w:pPr>
              <w:spacing w:before="20" w:after="20"/>
              <w:jc w:val="center"/>
              <w:rPr>
                <w:rFonts w:eastAsia="Times New Roman" w:cstheme="minorHAnsi"/>
                <w:color w:val="FFFFFF" w:themeColor="background1"/>
                <w:sz w:val="2"/>
                <w:szCs w:val="2"/>
                <w:lang w:eastAsia="zh-CN"/>
              </w:rPr>
            </w:pPr>
            <w:r w:rsidRPr="006A479D">
              <w:rPr>
                <w:rFonts w:eastAsia="Times New Roman" w:cstheme="minorHAnsi"/>
                <w:color w:val="FFFFFF" w:themeColor="background1"/>
                <w:sz w:val="2"/>
                <w:szCs w:val="2"/>
                <w:lang w:eastAsia="zh-CN"/>
              </w:rPr>
              <w:t>Post NDIS</w:t>
            </w:r>
          </w:p>
          <w:p w:rsidR="00232A7F" w:rsidRPr="00B97A09" w:rsidRDefault="00232A7F" w:rsidP="00232A7F">
            <w:pPr>
              <w:spacing w:before="20" w:after="20"/>
              <w:jc w:val="center"/>
              <w:rPr>
                <w:rFonts w:eastAsia="Times New Roman" w:cstheme="minorHAnsi"/>
                <w:sz w:val="20"/>
                <w:szCs w:val="20"/>
                <w:lang w:eastAsia="zh-CN"/>
              </w:rPr>
            </w:pPr>
            <w:r w:rsidRPr="00B97A09">
              <w:rPr>
                <w:rFonts w:eastAsia="Times New Roman" w:cstheme="minorHAnsi"/>
                <w:sz w:val="20"/>
                <w:szCs w:val="20"/>
                <w:lang w:eastAsia="zh-CN"/>
              </w:rPr>
              <w:t>Total</w:t>
            </w:r>
          </w:p>
        </w:tc>
      </w:tr>
      <w:tr w:rsidR="00232A7F" w:rsidRPr="00E877CA" w:rsidTr="006C5CEE">
        <w:tc>
          <w:tcPr>
            <w:tcW w:w="2093" w:type="dxa"/>
            <w:tcBorders>
              <w:top w:val="single" w:sz="4" w:space="0" w:color="auto"/>
              <w:right w:val="single" w:sz="4" w:space="0" w:color="auto"/>
            </w:tcBorders>
            <w:shd w:val="clear" w:color="auto" w:fill="auto"/>
            <w:vAlign w:val="bottom"/>
          </w:tcPr>
          <w:p w:rsidR="00232A7F" w:rsidRPr="00B97A09" w:rsidRDefault="00232A7F" w:rsidP="006C5CEE">
            <w:pPr>
              <w:spacing w:before="20" w:after="20"/>
              <w:jc w:val="right"/>
              <w:rPr>
                <w:rFonts w:eastAsia="Times New Roman" w:cstheme="minorHAnsi"/>
                <w:sz w:val="20"/>
                <w:szCs w:val="20"/>
                <w:lang w:eastAsia="zh-CN"/>
              </w:rPr>
            </w:pPr>
            <w:r w:rsidRPr="00B97A09">
              <w:rPr>
                <w:rFonts w:eastAsia="Times New Roman" w:cstheme="minorHAnsi"/>
                <w:sz w:val="20"/>
                <w:szCs w:val="20"/>
                <w:lang w:eastAsia="zh-CN"/>
              </w:rPr>
              <w:t>A lot of choice</w:t>
            </w:r>
          </w:p>
        </w:tc>
        <w:tc>
          <w:tcPr>
            <w:tcW w:w="992" w:type="dxa"/>
            <w:tcBorders>
              <w:top w:val="single" w:sz="4" w:space="0" w:color="auto"/>
              <w:left w:val="single" w:sz="4" w:space="0" w:color="auto"/>
            </w:tcBorders>
            <w:shd w:val="clear" w:color="auto" w:fill="auto"/>
            <w:vAlign w:val="center"/>
          </w:tcPr>
          <w:p w:rsidR="00232A7F" w:rsidRPr="00B97A09" w:rsidRDefault="00232A7F" w:rsidP="00D907AF">
            <w:pPr>
              <w:spacing w:before="0" w:after="0"/>
              <w:jc w:val="right"/>
              <w:rPr>
                <w:rFonts w:eastAsia="Times New Roman" w:cstheme="minorHAnsi"/>
                <w:color w:val="000000"/>
                <w:sz w:val="20"/>
                <w:szCs w:val="20"/>
                <w:lang w:eastAsia="zh-CN"/>
              </w:rPr>
            </w:pPr>
            <w:r w:rsidRPr="00B97A09">
              <w:rPr>
                <w:rFonts w:eastAsia="Times New Roman" w:cstheme="minorHAnsi"/>
                <w:color w:val="000000"/>
                <w:sz w:val="20"/>
                <w:szCs w:val="20"/>
                <w:lang w:eastAsia="zh-CN"/>
              </w:rPr>
              <w:t>25</w:t>
            </w:r>
          </w:p>
        </w:tc>
        <w:tc>
          <w:tcPr>
            <w:tcW w:w="992" w:type="dxa"/>
            <w:tcBorders>
              <w:top w:val="single" w:sz="4" w:space="0" w:color="auto"/>
            </w:tcBorders>
            <w:shd w:val="clear" w:color="auto" w:fill="auto"/>
            <w:vAlign w:val="center"/>
          </w:tcPr>
          <w:p w:rsidR="00232A7F" w:rsidRPr="00B97A09" w:rsidRDefault="00232A7F" w:rsidP="00D907AF">
            <w:pPr>
              <w:spacing w:before="0" w:after="0"/>
              <w:jc w:val="right"/>
              <w:rPr>
                <w:rFonts w:eastAsia="Times New Roman" w:cstheme="minorHAnsi"/>
                <w:color w:val="000000"/>
                <w:sz w:val="20"/>
                <w:szCs w:val="20"/>
                <w:lang w:eastAsia="zh-CN"/>
              </w:rPr>
            </w:pPr>
            <w:r w:rsidRPr="00B97A09">
              <w:rPr>
                <w:rFonts w:eastAsia="Times New Roman" w:cstheme="minorHAnsi"/>
                <w:color w:val="000000"/>
                <w:sz w:val="20"/>
                <w:szCs w:val="20"/>
                <w:lang w:eastAsia="zh-CN"/>
              </w:rPr>
              <w:t>11</w:t>
            </w:r>
          </w:p>
        </w:tc>
        <w:tc>
          <w:tcPr>
            <w:tcW w:w="1134" w:type="dxa"/>
            <w:tcBorders>
              <w:top w:val="single" w:sz="4" w:space="0" w:color="auto"/>
            </w:tcBorders>
            <w:shd w:val="clear" w:color="auto" w:fill="auto"/>
            <w:vAlign w:val="center"/>
          </w:tcPr>
          <w:p w:rsidR="00232A7F" w:rsidRPr="00B97A09" w:rsidRDefault="00232A7F" w:rsidP="00D907AF">
            <w:pPr>
              <w:spacing w:before="0" w:after="0"/>
              <w:jc w:val="right"/>
              <w:rPr>
                <w:rFonts w:eastAsia="Times New Roman" w:cstheme="minorHAnsi"/>
                <w:color w:val="000000"/>
                <w:sz w:val="20"/>
                <w:szCs w:val="20"/>
                <w:lang w:eastAsia="zh-CN"/>
              </w:rPr>
            </w:pPr>
            <w:r w:rsidRPr="00B97A09">
              <w:rPr>
                <w:rFonts w:eastAsia="Times New Roman" w:cstheme="minorHAnsi"/>
                <w:color w:val="000000"/>
                <w:sz w:val="20"/>
                <w:szCs w:val="20"/>
                <w:lang w:eastAsia="zh-CN"/>
              </w:rPr>
              <w:t>4</w:t>
            </w:r>
          </w:p>
        </w:tc>
        <w:tc>
          <w:tcPr>
            <w:tcW w:w="993" w:type="dxa"/>
            <w:tcBorders>
              <w:top w:val="single" w:sz="4" w:space="0" w:color="auto"/>
            </w:tcBorders>
            <w:shd w:val="clear" w:color="auto" w:fill="auto"/>
            <w:vAlign w:val="center"/>
          </w:tcPr>
          <w:p w:rsidR="00232A7F" w:rsidRPr="00B97A09" w:rsidRDefault="00232A7F" w:rsidP="00D907AF">
            <w:pPr>
              <w:spacing w:before="0" w:after="0"/>
              <w:jc w:val="right"/>
              <w:rPr>
                <w:rFonts w:eastAsia="Times New Roman" w:cstheme="minorHAnsi"/>
                <w:color w:val="000000"/>
                <w:sz w:val="20"/>
                <w:szCs w:val="20"/>
                <w:lang w:eastAsia="zh-CN"/>
              </w:rPr>
            </w:pPr>
            <w:r w:rsidRPr="00B97A09">
              <w:rPr>
                <w:rFonts w:eastAsia="Times New Roman" w:cstheme="minorHAnsi"/>
                <w:color w:val="000000"/>
                <w:sz w:val="20"/>
                <w:szCs w:val="20"/>
                <w:lang w:eastAsia="zh-CN"/>
              </w:rPr>
              <w:t>2</w:t>
            </w:r>
          </w:p>
        </w:tc>
        <w:tc>
          <w:tcPr>
            <w:tcW w:w="992" w:type="dxa"/>
            <w:tcBorders>
              <w:top w:val="single" w:sz="4" w:space="0" w:color="auto"/>
            </w:tcBorders>
            <w:shd w:val="clear" w:color="auto" w:fill="auto"/>
            <w:vAlign w:val="center"/>
          </w:tcPr>
          <w:p w:rsidR="00232A7F" w:rsidRPr="00B97A09" w:rsidRDefault="00232A7F" w:rsidP="00D907AF">
            <w:pPr>
              <w:spacing w:before="0" w:after="0"/>
              <w:jc w:val="right"/>
              <w:rPr>
                <w:rFonts w:eastAsia="Times New Roman" w:cstheme="minorHAnsi"/>
                <w:color w:val="000000"/>
                <w:sz w:val="20"/>
                <w:szCs w:val="20"/>
                <w:lang w:eastAsia="zh-CN"/>
              </w:rPr>
            </w:pPr>
            <w:r w:rsidRPr="00B97A09">
              <w:rPr>
                <w:rFonts w:eastAsia="Times New Roman" w:cstheme="minorHAnsi"/>
                <w:color w:val="000000"/>
                <w:sz w:val="20"/>
                <w:szCs w:val="20"/>
                <w:lang w:eastAsia="zh-CN"/>
              </w:rPr>
              <w:t>1</w:t>
            </w:r>
          </w:p>
        </w:tc>
        <w:tc>
          <w:tcPr>
            <w:tcW w:w="992" w:type="dxa"/>
            <w:tcBorders>
              <w:top w:val="single" w:sz="4" w:space="0" w:color="auto"/>
            </w:tcBorders>
            <w:shd w:val="clear" w:color="auto" w:fill="auto"/>
            <w:vAlign w:val="center"/>
          </w:tcPr>
          <w:p w:rsidR="00232A7F" w:rsidRPr="00B97A09" w:rsidRDefault="00232A7F" w:rsidP="00D907AF">
            <w:pPr>
              <w:spacing w:before="0" w:after="0"/>
              <w:jc w:val="right"/>
              <w:rPr>
                <w:rFonts w:eastAsia="Times New Roman" w:cstheme="minorHAnsi"/>
                <w:color w:val="000000"/>
                <w:sz w:val="20"/>
                <w:szCs w:val="20"/>
                <w:lang w:eastAsia="zh-CN"/>
              </w:rPr>
            </w:pPr>
            <w:r w:rsidRPr="00B97A09">
              <w:rPr>
                <w:rFonts w:eastAsia="Times New Roman" w:cstheme="minorHAnsi"/>
                <w:color w:val="000000"/>
                <w:sz w:val="20"/>
                <w:szCs w:val="20"/>
                <w:lang w:eastAsia="zh-CN"/>
              </w:rPr>
              <w:t>0</w:t>
            </w:r>
          </w:p>
        </w:tc>
        <w:tc>
          <w:tcPr>
            <w:tcW w:w="992" w:type="dxa"/>
            <w:tcBorders>
              <w:top w:val="single" w:sz="4" w:space="0" w:color="auto"/>
            </w:tcBorders>
            <w:vAlign w:val="center"/>
          </w:tcPr>
          <w:p w:rsidR="00232A7F" w:rsidRPr="00B97A09" w:rsidRDefault="00232A7F" w:rsidP="00D907AF">
            <w:pPr>
              <w:spacing w:before="0" w:after="0"/>
              <w:jc w:val="right"/>
              <w:rPr>
                <w:rFonts w:eastAsia="Times New Roman" w:cstheme="minorHAnsi"/>
                <w:color w:val="000000"/>
                <w:sz w:val="20"/>
                <w:szCs w:val="20"/>
                <w:lang w:eastAsia="zh-CN"/>
              </w:rPr>
            </w:pPr>
            <w:r w:rsidRPr="00B97A09">
              <w:rPr>
                <w:rFonts w:eastAsia="Times New Roman" w:cstheme="minorHAnsi"/>
                <w:color w:val="000000"/>
                <w:sz w:val="20"/>
                <w:szCs w:val="20"/>
                <w:lang w:eastAsia="zh-CN"/>
              </w:rPr>
              <w:t>43</w:t>
            </w:r>
          </w:p>
        </w:tc>
      </w:tr>
      <w:tr w:rsidR="00232A7F" w:rsidRPr="00E877CA" w:rsidTr="006C5CEE">
        <w:tc>
          <w:tcPr>
            <w:tcW w:w="2093" w:type="dxa"/>
            <w:tcBorders>
              <w:right w:val="single" w:sz="4" w:space="0" w:color="auto"/>
            </w:tcBorders>
            <w:shd w:val="clear" w:color="auto" w:fill="auto"/>
            <w:vAlign w:val="bottom"/>
          </w:tcPr>
          <w:p w:rsidR="00232A7F" w:rsidRPr="00B97A09" w:rsidRDefault="00232A7F" w:rsidP="006C5CEE">
            <w:pPr>
              <w:spacing w:before="20" w:after="20"/>
              <w:jc w:val="right"/>
              <w:rPr>
                <w:rFonts w:eastAsia="Times New Roman" w:cstheme="minorHAnsi"/>
                <w:sz w:val="20"/>
                <w:szCs w:val="20"/>
                <w:lang w:eastAsia="zh-CN"/>
              </w:rPr>
            </w:pPr>
          </w:p>
        </w:tc>
        <w:tc>
          <w:tcPr>
            <w:tcW w:w="992" w:type="dxa"/>
            <w:tcBorders>
              <w:left w:val="single" w:sz="4" w:space="0" w:color="auto"/>
            </w:tcBorders>
            <w:shd w:val="clear" w:color="auto" w:fill="auto"/>
            <w:vAlign w:val="center"/>
          </w:tcPr>
          <w:p w:rsidR="00232A7F" w:rsidRPr="00B97A09" w:rsidRDefault="00232A7F" w:rsidP="00D907AF">
            <w:pPr>
              <w:spacing w:before="0" w:after="0"/>
              <w:jc w:val="right"/>
              <w:rPr>
                <w:rFonts w:eastAsia="Times New Roman" w:cstheme="minorHAnsi"/>
                <w:color w:val="000000"/>
                <w:sz w:val="20"/>
                <w:szCs w:val="20"/>
                <w:lang w:eastAsia="zh-CN"/>
              </w:rPr>
            </w:pPr>
            <w:r w:rsidRPr="00B97A09">
              <w:rPr>
                <w:rFonts w:eastAsia="Times New Roman" w:cstheme="minorHAnsi"/>
                <w:color w:val="000000"/>
                <w:sz w:val="20"/>
                <w:szCs w:val="20"/>
                <w:lang w:eastAsia="zh-CN"/>
              </w:rPr>
              <w:t>58.1</w:t>
            </w:r>
            <w:r>
              <w:rPr>
                <w:rFonts w:eastAsia="Times New Roman" w:cstheme="minorHAnsi"/>
                <w:color w:val="000000"/>
                <w:sz w:val="20"/>
                <w:szCs w:val="20"/>
                <w:lang w:eastAsia="zh-CN"/>
              </w:rPr>
              <w:t>%</w:t>
            </w:r>
          </w:p>
        </w:tc>
        <w:tc>
          <w:tcPr>
            <w:tcW w:w="992" w:type="dxa"/>
            <w:shd w:val="clear" w:color="auto" w:fill="auto"/>
            <w:vAlign w:val="center"/>
          </w:tcPr>
          <w:p w:rsidR="00232A7F" w:rsidRPr="00B97A09" w:rsidRDefault="00232A7F" w:rsidP="00D907AF">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25.6</w:t>
            </w:r>
            <w:r>
              <w:rPr>
                <w:rFonts w:eastAsia="Times New Roman" w:cstheme="minorHAnsi"/>
                <w:color w:val="000000"/>
                <w:sz w:val="20"/>
                <w:szCs w:val="20"/>
                <w:lang w:eastAsia="zh-CN"/>
              </w:rPr>
              <w:t>%</w:t>
            </w:r>
          </w:p>
        </w:tc>
        <w:tc>
          <w:tcPr>
            <w:tcW w:w="1134" w:type="dxa"/>
            <w:shd w:val="clear" w:color="auto" w:fill="auto"/>
            <w:vAlign w:val="center"/>
          </w:tcPr>
          <w:p w:rsidR="00232A7F" w:rsidRPr="00B97A09" w:rsidRDefault="00232A7F" w:rsidP="00D907AF">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9.3</w:t>
            </w:r>
            <w:r>
              <w:rPr>
                <w:rFonts w:eastAsia="Times New Roman" w:cstheme="minorHAnsi"/>
                <w:color w:val="000000"/>
                <w:sz w:val="20"/>
                <w:szCs w:val="20"/>
                <w:lang w:eastAsia="zh-CN"/>
              </w:rPr>
              <w:t>%</w:t>
            </w:r>
          </w:p>
        </w:tc>
        <w:tc>
          <w:tcPr>
            <w:tcW w:w="993" w:type="dxa"/>
            <w:shd w:val="clear" w:color="auto" w:fill="auto"/>
            <w:vAlign w:val="center"/>
          </w:tcPr>
          <w:p w:rsidR="00232A7F" w:rsidRPr="00B97A09" w:rsidRDefault="00232A7F" w:rsidP="00D907AF">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4.7</w:t>
            </w:r>
            <w:r>
              <w:rPr>
                <w:rFonts w:eastAsia="Times New Roman" w:cstheme="minorHAnsi"/>
                <w:color w:val="000000"/>
                <w:sz w:val="20"/>
                <w:szCs w:val="20"/>
                <w:lang w:eastAsia="zh-CN"/>
              </w:rPr>
              <w:t>%</w:t>
            </w:r>
          </w:p>
        </w:tc>
        <w:tc>
          <w:tcPr>
            <w:tcW w:w="992" w:type="dxa"/>
            <w:shd w:val="clear" w:color="auto" w:fill="auto"/>
            <w:vAlign w:val="center"/>
          </w:tcPr>
          <w:p w:rsidR="00232A7F" w:rsidRPr="00B97A09" w:rsidRDefault="00232A7F" w:rsidP="00D907AF">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2.3</w:t>
            </w:r>
            <w:r>
              <w:rPr>
                <w:rFonts w:eastAsia="Times New Roman" w:cstheme="minorHAnsi"/>
                <w:color w:val="000000"/>
                <w:sz w:val="20"/>
                <w:szCs w:val="20"/>
                <w:lang w:eastAsia="zh-CN"/>
              </w:rPr>
              <w:t>%</w:t>
            </w:r>
          </w:p>
        </w:tc>
        <w:tc>
          <w:tcPr>
            <w:tcW w:w="992" w:type="dxa"/>
            <w:shd w:val="clear" w:color="auto" w:fill="auto"/>
            <w:vAlign w:val="center"/>
          </w:tcPr>
          <w:p w:rsidR="00232A7F" w:rsidRPr="00B97A09" w:rsidRDefault="00232A7F" w:rsidP="00D907AF">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0.0</w:t>
            </w:r>
            <w:r>
              <w:rPr>
                <w:rFonts w:eastAsia="Times New Roman" w:cstheme="minorHAnsi"/>
                <w:color w:val="000000"/>
                <w:sz w:val="20"/>
                <w:szCs w:val="20"/>
                <w:lang w:eastAsia="zh-CN"/>
              </w:rPr>
              <w:t>%</w:t>
            </w:r>
          </w:p>
        </w:tc>
        <w:tc>
          <w:tcPr>
            <w:tcW w:w="992" w:type="dxa"/>
            <w:vAlign w:val="center"/>
          </w:tcPr>
          <w:p w:rsidR="00232A7F" w:rsidRPr="00B97A09" w:rsidRDefault="00232A7F" w:rsidP="00D907AF">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100.0</w:t>
            </w:r>
            <w:r>
              <w:rPr>
                <w:rFonts w:eastAsia="Times New Roman" w:cstheme="minorHAnsi"/>
                <w:color w:val="000000"/>
                <w:sz w:val="20"/>
                <w:szCs w:val="20"/>
                <w:lang w:eastAsia="zh-CN"/>
              </w:rPr>
              <w:t>%</w:t>
            </w:r>
          </w:p>
        </w:tc>
      </w:tr>
      <w:tr w:rsidR="00232A7F" w:rsidRPr="00E877CA" w:rsidTr="006C5CEE">
        <w:trPr>
          <w:trHeight w:val="340"/>
        </w:trPr>
        <w:tc>
          <w:tcPr>
            <w:tcW w:w="2093" w:type="dxa"/>
            <w:tcBorders>
              <w:right w:val="single" w:sz="4" w:space="0" w:color="auto"/>
            </w:tcBorders>
            <w:shd w:val="clear" w:color="auto" w:fill="auto"/>
            <w:vAlign w:val="bottom"/>
          </w:tcPr>
          <w:p w:rsidR="00232A7F" w:rsidRPr="00B97A09" w:rsidRDefault="00232A7F" w:rsidP="006C5CEE">
            <w:pPr>
              <w:spacing w:before="20" w:after="20"/>
              <w:jc w:val="right"/>
              <w:rPr>
                <w:rFonts w:eastAsia="Times New Roman" w:cstheme="minorHAnsi"/>
                <w:sz w:val="20"/>
                <w:szCs w:val="20"/>
                <w:lang w:eastAsia="zh-CN"/>
              </w:rPr>
            </w:pPr>
            <w:r w:rsidRPr="00B97A09">
              <w:rPr>
                <w:rFonts w:eastAsia="Times New Roman" w:cstheme="minorHAnsi"/>
                <w:sz w:val="20"/>
                <w:szCs w:val="20"/>
                <w:lang w:eastAsia="zh-CN"/>
              </w:rPr>
              <w:t>Some choice</w:t>
            </w:r>
          </w:p>
        </w:tc>
        <w:tc>
          <w:tcPr>
            <w:tcW w:w="992" w:type="dxa"/>
            <w:tcBorders>
              <w:left w:val="single" w:sz="4" w:space="0" w:color="auto"/>
            </w:tcBorders>
            <w:shd w:val="clear" w:color="auto" w:fill="auto"/>
            <w:vAlign w:val="bottom"/>
          </w:tcPr>
          <w:p w:rsidR="00232A7F" w:rsidRPr="00B97A09" w:rsidRDefault="00232A7F" w:rsidP="006C5CEE">
            <w:pPr>
              <w:spacing w:before="0" w:after="0"/>
              <w:jc w:val="right"/>
              <w:rPr>
                <w:rFonts w:eastAsia="Times New Roman" w:cstheme="minorHAnsi"/>
                <w:color w:val="000000"/>
                <w:sz w:val="20"/>
                <w:szCs w:val="20"/>
                <w:lang w:eastAsia="zh-CN"/>
              </w:rPr>
            </w:pPr>
            <w:r w:rsidRPr="00B97A09">
              <w:rPr>
                <w:rFonts w:eastAsia="Times New Roman" w:cstheme="minorHAnsi"/>
                <w:color w:val="000000"/>
                <w:sz w:val="20"/>
                <w:szCs w:val="20"/>
                <w:lang w:eastAsia="zh-CN"/>
              </w:rPr>
              <w:t>15</w:t>
            </w:r>
          </w:p>
        </w:tc>
        <w:tc>
          <w:tcPr>
            <w:tcW w:w="992" w:type="dxa"/>
            <w:shd w:val="clear" w:color="auto" w:fill="auto"/>
            <w:vAlign w:val="bottom"/>
          </w:tcPr>
          <w:p w:rsidR="00232A7F" w:rsidRPr="00B97A09" w:rsidRDefault="00232A7F" w:rsidP="006C5CEE">
            <w:pPr>
              <w:spacing w:before="0" w:after="0"/>
              <w:jc w:val="right"/>
              <w:rPr>
                <w:rFonts w:eastAsia="Times New Roman" w:cstheme="minorHAnsi"/>
                <w:color w:val="000000"/>
                <w:sz w:val="20"/>
                <w:szCs w:val="20"/>
                <w:lang w:eastAsia="zh-CN"/>
              </w:rPr>
            </w:pPr>
            <w:r w:rsidRPr="00B97A09">
              <w:rPr>
                <w:rFonts w:eastAsia="Times New Roman" w:cstheme="minorHAnsi"/>
                <w:color w:val="000000"/>
                <w:sz w:val="20"/>
                <w:szCs w:val="20"/>
                <w:lang w:eastAsia="zh-CN"/>
              </w:rPr>
              <w:t>39</w:t>
            </w:r>
          </w:p>
        </w:tc>
        <w:tc>
          <w:tcPr>
            <w:tcW w:w="1134" w:type="dxa"/>
            <w:shd w:val="clear" w:color="auto" w:fill="auto"/>
            <w:vAlign w:val="bottom"/>
          </w:tcPr>
          <w:p w:rsidR="00232A7F" w:rsidRPr="00B97A09" w:rsidRDefault="00232A7F" w:rsidP="006C5CEE">
            <w:pPr>
              <w:spacing w:before="0" w:after="0"/>
              <w:jc w:val="right"/>
              <w:rPr>
                <w:rFonts w:eastAsia="Times New Roman" w:cstheme="minorHAnsi"/>
                <w:color w:val="000000"/>
                <w:sz w:val="20"/>
                <w:szCs w:val="20"/>
                <w:lang w:eastAsia="zh-CN"/>
              </w:rPr>
            </w:pPr>
            <w:r w:rsidRPr="00B97A09">
              <w:rPr>
                <w:rFonts w:eastAsia="Times New Roman" w:cstheme="minorHAnsi"/>
                <w:color w:val="000000"/>
                <w:sz w:val="20"/>
                <w:szCs w:val="20"/>
                <w:lang w:eastAsia="zh-CN"/>
              </w:rPr>
              <w:t>6</w:t>
            </w:r>
          </w:p>
        </w:tc>
        <w:tc>
          <w:tcPr>
            <w:tcW w:w="993" w:type="dxa"/>
            <w:shd w:val="clear" w:color="auto" w:fill="auto"/>
            <w:vAlign w:val="bottom"/>
          </w:tcPr>
          <w:p w:rsidR="00232A7F" w:rsidRPr="00B97A09" w:rsidRDefault="00232A7F" w:rsidP="006C5CEE">
            <w:pPr>
              <w:spacing w:before="0" w:after="0"/>
              <w:jc w:val="right"/>
              <w:rPr>
                <w:rFonts w:eastAsia="Times New Roman" w:cstheme="minorHAnsi"/>
                <w:color w:val="000000"/>
                <w:sz w:val="20"/>
                <w:szCs w:val="20"/>
                <w:lang w:eastAsia="zh-CN"/>
              </w:rPr>
            </w:pPr>
            <w:r w:rsidRPr="00B97A09">
              <w:rPr>
                <w:rFonts w:eastAsia="Times New Roman" w:cstheme="minorHAnsi"/>
                <w:color w:val="000000"/>
                <w:sz w:val="20"/>
                <w:szCs w:val="20"/>
                <w:lang w:eastAsia="zh-CN"/>
              </w:rPr>
              <w:t>2</w:t>
            </w:r>
          </w:p>
        </w:tc>
        <w:tc>
          <w:tcPr>
            <w:tcW w:w="992" w:type="dxa"/>
            <w:shd w:val="clear" w:color="auto" w:fill="auto"/>
            <w:vAlign w:val="bottom"/>
          </w:tcPr>
          <w:p w:rsidR="00232A7F" w:rsidRPr="00B97A09" w:rsidRDefault="00232A7F" w:rsidP="006C5CEE">
            <w:pPr>
              <w:spacing w:before="0" w:after="0"/>
              <w:jc w:val="right"/>
              <w:rPr>
                <w:rFonts w:eastAsia="Times New Roman" w:cstheme="minorHAnsi"/>
                <w:color w:val="000000"/>
                <w:sz w:val="20"/>
                <w:szCs w:val="20"/>
                <w:lang w:eastAsia="zh-CN"/>
              </w:rPr>
            </w:pPr>
            <w:r w:rsidRPr="00B97A09">
              <w:rPr>
                <w:rFonts w:eastAsia="Times New Roman" w:cstheme="minorHAnsi"/>
                <w:color w:val="000000"/>
                <w:sz w:val="20"/>
                <w:szCs w:val="20"/>
                <w:lang w:eastAsia="zh-CN"/>
              </w:rPr>
              <w:t>9</w:t>
            </w:r>
          </w:p>
        </w:tc>
        <w:tc>
          <w:tcPr>
            <w:tcW w:w="992" w:type="dxa"/>
            <w:shd w:val="clear" w:color="auto" w:fill="auto"/>
            <w:vAlign w:val="bottom"/>
          </w:tcPr>
          <w:p w:rsidR="00232A7F" w:rsidRPr="00B97A09" w:rsidRDefault="00232A7F" w:rsidP="006C5CEE">
            <w:pPr>
              <w:spacing w:before="0" w:after="0"/>
              <w:jc w:val="right"/>
              <w:rPr>
                <w:rFonts w:eastAsia="Times New Roman" w:cstheme="minorHAnsi"/>
                <w:color w:val="000000"/>
                <w:sz w:val="20"/>
                <w:szCs w:val="20"/>
                <w:lang w:eastAsia="zh-CN"/>
              </w:rPr>
            </w:pPr>
            <w:r w:rsidRPr="00B97A09">
              <w:rPr>
                <w:rFonts w:eastAsia="Times New Roman" w:cstheme="minorHAnsi"/>
                <w:color w:val="000000"/>
                <w:sz w:val="20"/>
                <w:szCs w:val="20"/>
                <w:lang w:eastAsia="zh-CN"/>
              </w:rPr>
              <w:t>0</w:t>
            </w:r>
          </w:p>
        </w:tc>
        <w:tc>
          <w:tcPr>
            <w:tcW w:w="992" w:type="dxa"/>
            <w:vAlign w:val="bottom"/>
          </w:tcPr>
          <w:p w:rsidR="00232A7F" w:rsidRPr="00B97A09" w:rsidRDefault="00232A7F" w:rsidP="006C5CEE">
            <w:pPr>
              <w:spacing w:before="0" w:after="0"/>
              <w:jc w:val="right"/>
              <w:rPr>
                <w:rFonts w:eastAsia="Times New Roman" w:cstheme="minorHAnsi"/>
                <w:color w:val="000000"/>
                <w:sz w:val="20"/>
                <w:szCs w:val="20"/>
                <w:lang w:eastAsia="zh-CN"/>
              </w:rPr>
            </w:pPr>
            <w:r w:rsidRPr="00B97A09">
              <w:rPr>
                <w:rFonts w:eastAsia="Times New Roman" w:cstheme="minorHAnsi"/>
                <w:color w:val="000000"/>
                <w:sz w:val="20"/>
                <w:szCs w:val="20"/>
                <w:lang w:eastAsia="zh-CN"/>
              </w:rPr>
              <w:t>71</w:t>
            </w:r>
          </w:p>
        </w:tc>
      </w:tr>
      <w:tr w:rsidR="00232A7F" w:rsidRPr="00E877CA" w:rsidTr="006C5CEE">
        <w:tc>
          <w:tcPr>
            <w:tcW w:w="2093" w:type="dxa"/>
            <w:tcBorders>
              <w:right w:val="single" w:sz="4" w:space="0" w:color="auto"/>
            </w:tcBorders>
            <w:shd w:val="clear" w:color="auto" w:fill="auto"/>
            <w:vAlign w:val="bottom"/>
          </w:tcPr>
          <w:p w:rsidR="00232A7F" w:rsidRPr="00B97A09" w:rsidRDefault="00232A7F" w:rsidP="006C5CEE">
            <w:pPr>
              <w:spacing w:before="20" w:after="20"/>
              <w:jc w:val="right"/>
              <w:rPr>
                <w:rFonts w:eastAsia="Times New Roman" w:cstheme="minorHAnsi"/>
                <w:sz w:val="20"/>
                <w:szCs w:val="20"/>
                <w:lang w:eastAsia="zh-CN"/>
              </w:rPr>
            </w:pPr>
          </w:p>
        </w:tc>
        <w:tc>
          <w:tcPr>
            <w:tcW w:w="992" w:type="dxa"/>
            <w:tcBorders>
              <w:left w:val="single" w:sz="4" w:space="0" w:color="auto"/>
            </w:tcBorders>
            <w:shd w:val="clear" w:color="auto" w:fill="auto"/>
            <w:vAlign w:val="center"/>
          </w:tcPr>
          <w:p w:rsidR="00232A7F" w:rsidRPr="00B97A09" w:rsidRDefault="00232A7F" w:rsidP="00D907AF">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21.1</w:t>
            </w:r>
            <w:r>
              <w:rPr>
                <w:rFonts w:eastAsia="Times New Roman" w:cstheme="minorHAnsi"/>
                <w:color w:val="000000"/>
                <w:sz w:val="20"/>
                <w:szCs w:val="20"/>
                <w:lang w:eastAsia="zh-CN"/>
              </w:rPr>
              <w:t>%</w:t>
            </w:r>
          </w:p>
        </w:tc>
        <w:tc>
          <w:tcPr>
            <w:tcW w:w="992" w:type="dxa"/>
            <w:shd w:val="clear" w:color="auto" w:fill="auto"/>
            <w:vAlign w:val="center"/>
          </w:tcPr>
          <w:p w:rsidR="00232A7F" w:rsidRPr="00B97A09" w:rsidRDefault="00232A7F" w:rsidP="00D907AF">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54.9</w:t>
            </w:r>
            <w:r>
              <w:rPr>
                <w:rFonts w:eastAsia="Times New Roman" w:cstheme="minorHAnsi"/>
                <w:color w:val="000000"/>
                <w:sz w:val="20"/>
                <w:szCs w:val="20"/>
                <w:lang w:eastAsia="zh-CN"/>
              </w:rPr>
              <w:t>%</w:t>
            </w:r>
          </w:p>
        </w:tc>
        <w:tc>
          <w:tcPr>
            <w:tcW w:w="1134" w:type="dxa"/>
            <w:shd w:val="clear" w:color="auto" w:fill="auto"/>
            <w:vAlign w:val="center"/>
          </w:tcPr>
          <w:p w:rsidR="00232A7F" w:rsidRPr="00B97A09" w:rsidRDefault="00232A7F" w:rsidP="00D907AF">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8.5</w:t>
            </w:r>
            <w:r>
              <w:rPr>
                <w:rFonts w:eastAsia="Times New Roman" w:cstheme="minorHAnsi"/>
                <w:color w:val="000000"/>
                <w:sz w:val="20"/>
                <w:szCs w:val="20"/>
                <w:lang w:eastAsia="zh-CN"/>
              </w:rPr>
              <w:t>%</w:t>
            </w:r>
          </w:p>
        </w:tc>
        <w:tc>
          <w:tcPr>
            <w:tcW w:w="993" w:type="dxa"/>
            <w:shd w:val="clear" w:color="auto" w:fill="auto"/>
            <w:vAlign w:val="center"/>
          </w:tcPr>
          <w:p w:rsidR="00232A7F" w:rsidRPr="00B97A09" w:rsidRDefault="00232A7F" w:rsidP="00D907AF">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2.8</w:t>
            </w:r>
            <w:r>
              <w:rPr>
                <w:rFonts w:eastAsia="Times New Roman" w:cstheme="minorHAnsi"/>
                <w:color w:val="000000"/>
                <w:sz w:val="20"/>
                <w:szCs w:val="20"/>
                <w:lang w:eastAsia="zh-CN"/>
              </w:rPr>
              <w:t>%</w:t>
            </w:r>
          </w:p>
        </w:tc>
        <w:tc>
          <w:tcPr>
            <w:tcW w:w="992" w:type="dxa"/>
            <w:shd w:val="clear" w:color="auto" w:fill="auto"/>
            <w:vAlign w:val="center"/>
          </w:tcPr>
          <w:p w:rsidR="00232A7F" w:rsidRPr="00B97A09" w:rsidRDefault="00232A7F" w:rsidP="00D907AF">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12.7</w:t>
            </w:r>
            <w:r>
              <w:rPr>
                <w:rFonts w:eastAsia="Times New Roman" w:cstheme="minorHAnsi"/>
                <w:color w:val="000000"/>
                <w:sz w:val="20"/>
                <w:szCs w:val="20"/>
                <w:lang w:eastAsia="zh-CN"/>
              </w:rPr>
              <w:t>%</w:t>
            </w:r>
          </w:p>
        </w:tc>
        <w:tc>
          <w:tcPr>
            <w:tcW w:w="992" w:type="dxa"/>
            <w:shd w:val="clear" w:color="auto" w:fill="auto"/>
            <w:vAlign w:val="center"/>
          </w:tcPr>
          <w:p w:rsidR="00232A7F" w:rsidRPr="00B97A09" w:rsidRDefault="00232A7F" w:rsidP="00D907AF">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0.0</w:t>
            </w:r>
            <w:r>
              <w:rPr>
                <w:rFonts w:eastAsia="Times New Roman" w:cstheme="minorHAnsi"/>
                <w:color w:val="000000"/>
                <w:sz w:val="20"/>
                <w:szCs w:val="20"/>
                <w:lang w:eastAsia="zh-CN"/>
              </w:rPr>
              <w:t>%</w:t>
            </w:r>
          </w:p>
        </w:tc>
        <w:tc>
          <w:tcPr>
            <w:tcW w:w="992" w:type="dxa"/>
            <w:vAlign w:val="center"/>
          </w:tcPr>
          <w:p w:rsidR="00232A7F" w:rsidRPr="00B97A09" w:rsidRDefault="00232A7F" w:rsidP="00D907AF">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100.0</w:t>
            </w:r>
            <w:r>
              <w:rPr>
                <w:rFonts w:eastAsia="Times New Roman" w:cstheme="minorHAnsi"/>
                <w:color w:val="000000"/>
                <w:sz w:val="20"/>
                <w:szCs w:val="20"/>
                <w:lang w:eastAsia="zh-CN"/>
              </w:rPr>
              <w:t>%</w:t>
            </w:r>
          </w:p>
        </w:tc>
      </w:tr>
      <w:tr w:rsidR="00232A7F" w:rsidRPr="00E877CA" w:rsidTr="006C5CEE">
        <w:trPr>
          <w:trHeight w:val="340"/>
        </w:trPr>
        <w:tc>
          <w:tcPr>
            <w:tcW w:w="2093" w:type="dxa"/>
            <w:tcBorders>
              <w:right w:val="single" w:sz="4" w:space="0" w:color="auto"/>
            </w:tcBorders>
            <w:shd w:val="clear" w:color="auto" w:fill="auto"/>
            <w:vAlign w:val="bottom"/>
          </w:tcPr>
          <w:p w:rsidR="00232A7F" w:rsidRPr="00B97A09" w:rsidRDefault="00232A7F" w:rsidP="006C5CEE">
            <w:pPr>
              <w:spacing w:before="20" w:after="20"/>
              <w:jc w:val="right"/>
              <w:rPr>
                <w:rFonts w:eastAsia="Times New Roman" w:cstheme="minorHAnsi"/>
                <w:sz w:val="20"/>
                <w:szCs w:val="20"/>
                <w:lang w:eastAsia="zh-CN"/>
              </w:rPr>
            </w:pPr>
            <w:r w:rsidRPr="00B97A09">
              <w:rPr>
                <w:rFonts w:eastAsia="Times New Roman" w:cstheme="minorHAnsi"/>
                <w:sz w:val="20"/>
                <w:szCs w:val="20"/>
                <w:lang w:eastAsia="zh-CN"/>
              </w:rPr>
              <w:t>Little choice</w:t>
            </w:r>
          </w:p>
        </w:tc>
        <w:tc>
          <w:tcPr>
            <w:tcW w:w="992" w:type="dxa"/>
            <w:tcBorders>
              <w:left w:val="single" w:sz="4" w:space="0" w:color="auto"/>
            </w:tcBorders>
            <w:shd w:val="clear" w:color="auto" w:fill="auto"/>
            <w:vAlign w:val="bottom"/>
          </w:tcPr>
          <w:p w:rsidR="00232A7F" w:rsidRPr="00B97A09" w:rsidRDefault="00232A7F" w:rsidP="006C5CEE">
            <w:pPr>
              <w:spacing w:before="0" w:after="0"/>
              <w:jc w:val="right"/>
              <w:rPr>
                <w:rFonts w:eastAsia="Times New Roman" w:cstheme="minorHAnsi"/>
                <w:color w:val="000000"/>
                <w:sz w:val="20"/>
                <w:szCs w:val="20"/>
                <w:lang w:eastAsia="zh-CN"/>
              </w:rPr>
            </w:pPr>
            <w:r w:rsidRPr="00B97A09">
              <w:rPr>
                <w:rFonts w:eastAsia="Times New Roman" w:cstheme="minorHAnsi"/>
                <w:color w:val="000000"/>
                <w:sz w:val="20"/>
                <w:szCs w:val="20"/>
                <w:lang w:eastAsia="zh-CN"/>
              </w:rPr>
              <w:t>18</w:t>
            </w:r>
          </w:p>
        </w:tc>
        <w:tc>
          <w:tcPr>
            <w:tcW w:w="992" w:type="dxa"/>
            <w:shd w:val="clear" w:color="auto" w:fill="auto"/>
            <w:vAlign w:val="bottom"/>
          </w:tcPr>
          <w:p w:rsidR="00232A7F" w:rsidRPr="00B97A09" w:rsidRDefault="00232A7F" w:rsidP="006C5CEE">
            <w:pPr>
              <w:spacing w:before="0" w:after="0"/>
              <w:jc w:val="right"/>
              <w:rPr>
                <w:rFonts w:eastAsia="Times New Roman" w:cstheme="minorHAnsi"/>
                <w:color w:val="000000"/>
                <w:sz w:val="20"/>
                <w:szCs w:val="20"/>
                <w:lang w:eastAsia="zh-CN"/>
              </w:rPr>
            </w:pPr>
            <w:r w:rsidRPr="00B97A09">
              <w:rPr>
                <w:rFonts w:eastAsia="Times New Roman" w:cstheme="minorHAnsi"/>
                <w:color w:val="000000"/>
                <w:sz w:val="20"/>
                <w:szCs w:val="20"/>
                <w:lang w:eastAsia="zh-CN"/>
              </w:rPr>
              <w:t>24</w:t>
            </w:r>
          </w:p>
        </w:tc>
        <w:tc>
          <w:tcPr>
            <w:tcW w:w="1134" w:type="dxa"/>
            <w:shd w:val="clear" w:color="auto" w:fill="auto"/>
            <w:vAlign w:val="bottom"/>
          </w:tcPr>
          <w:p w:rsidR="00232A7F" w:rsidRPr="00B97A09" w:rsidRDefault="00232A7F" w:rsidP="006C5CEE">
            <w:pPr>
              <w:spacing w:before="0" w:after="0"/>
              <w:jc w:val="right"/>
              <w:rPr>
                <w:rFonts w:eastAsia="Times New Roman" w:cstheme="minorHAnsi"/>
                <w:color w:val="000000"/>
                <w:sz w:val="20"/>
                <w:szCs w:val="20"/>
                <w:lang w:eastAsia="zh-CN"/>
              </w:rPr>
            </w:pPr>
            <w:r w:rsidRPr="00B97A09">
              <w:rPr>
                <w:rFonts w:eastAsia="Times New Roman" w:cstheme="minorHAnsi"/>
                <w:color w:val="000000"/>
                <w:sz w:val="20"/>
                <w:szCs w:val="20"/>
                <w:lang w:eastAsia="zh-CN"/>
              </w:rPr>
              <w:t>9</w:t>
            </w:r>
          </w:p>
        </w:tc>
        <w:tc>
          <w:tcPr>
            <w:tcW w:w="993" w:type="dxa"/>
            <w:shd w:val="clear" w:color="auto" w:fill="auto"/>
            <w:vAlign w:val="bottom"/>
          </w:tcPr>
          <w:p w:rsidR="00232A7F" w:rsidRPr="00B97A09" w:rsidRDefault="00232A7F" w:rsidP="006C5CEE">
            <w:pPr>
              <w:spacing w:before="0" w:after="0"/>
              <w:jc w:val="right"/>
              <w:rPr>
                <w:rFonts w:eastAsia="Times New Roman" w:cstheme="minorHAnsi"/>
                <w:color w:val="000000"/>
                <w:sz w:val="20"/>
                <w:szCs w:val="20"/>
                <w:lang w:eastAsia="zh-CN"/>
              </w:rPr>
            </w:pPr>
            <w:r w:rsidRPr="00B97A09">
              <w:rPr>
                <w:rFonts w:eastAsia="Times New Roman" w:cstheme="minorHAnsi"/>
                <w:color w:val="000000"/>
                <w:sz w:val="20"/>
                <w:szCs w:val="20"/>
                <w:lang w:eastAsia="zh-CN"/>
              </w:rPr>
              <w:t>5</w:t>
            </w:r>
          </w:p>
        </w:tc>
        <w:tc>
          <w:tcPr>
            <w:tcW w:w="992" w:type="dxa"/>
            <w:shd w:val="clear" w:color="auto" w:fill="auto"/>
            <w:vAlign w:val="bottom"/>
          </w:tcPr>
          <w:p w:rsidR="00232A7F" w:rsidRPr="00B97A09" w:rsidRDefault="00232A7F" w:rsidP="006C5CEE">
            <w:pPr>
              <w:spacing w:before="0" w:after="0"/>
              <w:jc w:val="right"/>
              <w:rPr>
                <w:rFonts w:eastAsia="Times New Roman" w:cstheme="minorHAnsi"/>
                <w:color w:val="000000"/>
                <w:sz w:val="20"/>
                <w:szCs w:val="20"/>
                <w:lang w:eastAsia="zh-CN"/>
              </w:rPr>
            </w:pPr>
            <w:r w:rsidRPr="00B97A09">
              <w:rPr>
                <w:rFonts w:eastAsia="Times New Roman" w:cstheme="minorHAnsi"/>
                <w:color w:val="000000"/>
                <w:sz w:val="20"/>
                <w:szCs w:val="20"/>
                <w:lang w:eastAsia="zh-CN"/>
              </w:rPr>
              <w:t>5</w:t>
            </w:r>
          </w:p>
        </w:tc>
        <w:tc>
          <w:tcPr>
            <w:tcW w:w="992" w:type="dxa"/>
            <w:shd w:val="clear" w:color="auto" w:fill="auto"/>
            <w:vAlign w:val="bottom"/>
          </w:tcPr>
          <w:p w:rsidR="00232A7F" w:rsidRPr="00B97A09" w:rsidRDefault="00232A7F" w:rsidP="006C5CEE">
            <w:pPr>
              <w:spacing w:before="0" w:after="0"/>
              <w:jc w:val="right"/>
              <w:rPr>
                <w:rFonts w:eastAsia="Times New Roman" w:cstheme="minorHAnsi"/>
                <w:color w:val="000000"/>
                <w:sz w:val="20"/>
                <w:szCs w:val="20"/>
                <w:lang w:eastAsia="zh-CN"/>
              </w:rPr>
            </w:pPr>
            <w:r w:rsidRPr="00B97A09">
              <w:rPr>
                <w:rFonts w:eastAsia="Times New Roman" w:cstheme="minorHAnsi"/>
                <w:color w:val="000000"/>
                <w:sz w:val="20"/>
                <w:szCs w:val="20"/>
                <w:lang w:eastAsia="zh-CN"/>
              </w:rPr>
              <w:t>3</w:t>
            </w:r>
          </w:p>
        </w:tc>
        <w:tc>
          <w:tcPr>
            <w:tcW w:w="992" w:type="dxa"/>
            <w:vAlign w:val="bottom"/>
          </w:tcPr>
          <w:p w:rsidR="00232A7F" w:rsidRPr="00B97A09" w:rsidRDefault="00232A7F" w:rsidP="006C5CEE">
            <w:pPr>
              <w:spacing w:before="0" w:after="0"/>
              <w:jc w:val="right"/>
              <w:rPr>
                <w:rFonts w:eastAsia="Times New Roman" w:cstheme="minorHAnsi"/>
                <w:color w:val="000000"/>
                <w:sz w:val="20"/>
                <w:szCs w:val="20"/>
                <w:lang w:eastAsia="zh-CN"/>
              </w:rPr>
            </w:pPr>
            <w:r w:rsidRPr="00B97A09">
              <w:rPr>
                <w:rFonts w:eastAsia="Times New Roman" w:cstheme="minorHAnsi"/>
                <w:color w:val="000000"/>
                <w:sz w:val="20"/>
                <w:szCs w:val="20"/>
                <w:lang w:eastAsia="zh-CN"/>
              </w:rPr>
              <w:t>64</w:t>
            </w:r>
          </w:p>
        </w:tc>
      </w:tr>
      <w:tr w:rsidR="00232A7F" w:rsidRPr="00E877CA" w:rsidTr="006C5CEE">
        <w:tc>
          <w:tcPr>
            <w:tcW w:w="2093" w:type="dxa"/>
            <w:tcBorders>
              <w:right w:val="single" w:sz="4" w:space="0" w:color="auto"/>
            </w:tcBorders>
            <w:shd w:val="clear" w:color="auto" w:fill="auto"/>
            <w:vAlign w:val="bottom"/>
          </w:tcPr>
          <w:p w:rsidR="00232A7F" w:rsidRPr="00B97A09" w:rsidRDefault="00232A7F" w:rsidP="006C5CEE">
            <w:pPr>
              <w:spacing w:before="20" w:after="20"/>
              <w:jc w:val="right"/>
              <w:rPr>
                <w:rFonts w:eastAsia="Times New Roman" w:cstheme="minorHAnsi"/>
                <w:sz w:val="20"/>
                <w:szCs w:val="20"/>
                <w:lang w:eastAsia="zh-CN"/>
              </w:rPr>
            </w:pPr>
          </w:p>
        </w:tc>
        <w:tc>
          <w:tcPr>
            <w:tcW w:w="992" w:type="dxa"/>
            <w:tcBorders>
              <w:left w:val="single" w:sz="4" w:space="0" w:color="auto"/>
            </w:tcBorders>
            <w:shd w:val="clear" w:color="auto" w:fill="auto"/>
            <w:vAlign w:val="center"/>
          </w:tcPr>
          <w:p w:rsidR="00232A7F" w:rsidRPr="00B97A09" w:rsidRDefault="00232A7F" w:rsidP="00D907AF">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28.1</w:t>
            </w:r>
            <w:r>
              <w:rPr>
                <w:rFonts w:eastAsia="Times New Roman" w:cstheme="minorHAnsi"/>
                <w:color w:val="000000"/>
                <w:sz w:val="20"/>
                <w:szCs w:val="20"/>
                <w:lang w:eastAsia="zh-CN"/>
              </w:rPr>
              <w:t>%</w:t>
            </w:r>
          </w:p>
        </w:tc>
        <w:tc>
          <w:tcPr>
            <w:tcW w:w="992" w:type="dxa"/>
            <w:shd w:val="clear" w:color="auto" w:fill="auto"/>
            <w:vAlign w:val="center"/>
          </w:tcPr>
          <w:p w:rsidR="00232A7F" w:rsidRPr="00B97A09" w:rsidRDefault="00232A7F" w:rsidP="00D907AF">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37.5</w:t>
            </w:r>
            <w:r>
              <w:rPr>
                <w:rFonts w:eastAsia="Times New Roman" w:cstheme="minorHAnsi"/>
                <w:color w:val="000000"/>
                <w:sz w:val="20"/>
                <w:szCs w:val="20"/>
                <w:lang w:eastAsia="zh-CN"/>
              </w:rPr>
              <w:t>%</w:t>
            </w:r>
          </w:p>
        </w:tc>
        <w:tc>
          <w:tcPr>
            <w:tcW w:w="1134" w:type="dxa"/>
            <w:shd w:val="clear" w:color="auto" w:fill="auto"/>
            <w:vAlign w:val="center"/>
          </w:tcPr>
          <w:p w:rsidR="00232A7F" w:rsidRPr="00B97A09" w:rsidRDefault="00232A7F" w:rsidP="00D907AF">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14.1</w:t>
            </w:r>
            <w:r>
              <w:rPr>
                <w:rFonts w:eastAsia="Times New Roman" w:cstheme="minorHAnsi"/>
                <w:color w:val="000000"/>
                <w:sz w:val="20"/>
                <w:szCs w:val="20"/>
                <w:lang w:eastAsia="zh-CN"/>
              </w:rPr>
              <w:t>%</w:t>
            </w:r>
          </w:p>
        </w:tc>
        <w:tc>
          <w:tcPr>
            <w:tcW w:w="993" w:type="dxa"/>
            <w:shd w:val="clear" w:color="auto" w:fill="auto"/>
            <w:vAlign w:val="center"/>
          </w:tcPr>
          <w:p w:rsidR="00232A7F" w:rsidRPr="00B97A09" w:rsidRDefault="00232A7F" w:rsidP="00D907AF">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7.8</w:t>
            </w:r>
            <w:r>
              <w:rPr>
                <w:rFonts w:eastAsia="Times New Roman" w:cstheme="minorHAnsi"/>
                <w:color w:val="000000"/>
                <w:sz w:val="20"/>
                <w:szCs w:val="20"/>
                <w:lang w:eastAsia="zh-CN"/>
              </w:rPr>
              <w:t>%</w:t>
            </w:r>
          </w:p>
        </w:tc>
        <w:tc>
          <w:tcPr>
            <w:tcW w:w="992" w:type="dxa"/>
            <w:shd w:val="clear" w:color="auto" w:fill="auto"/>
            <w:vAlign w:val="center"/>
          </w:tcPr>
          <w:p w:rsidR="00232A7F" w:rsidRPr="00B97A09" w:rsidRDefault="00232A7F" w:rsidP="00D907AF">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7.8</w:t>
            </w:r>
            <w:r>
              <w:rPr>
                <w:rFonts w:eastAsia="Times New Roman" w:cstheme="minorHAnsi"/>
                <w:color w:val="000000"/>
                <w:sz w:val="20"/>
                <w:szCs w:val="20"/>
                <w:lang w:eastAsia="zh-CN"/>
              </w:rPr>
              <w:t>%</w:t>
            </w:r>
          </w:p>
        </w:tc>
        <w:tc>
          <w:tcPr>
            <w:tcW w:w="992" w:type="dxa"/>
            <w:shd w:val="clear" w:color="auto" w:fill="auto"/>
            <w:vAlign w:val="center"/>
          </w:tcPr>
          <w:p w:rsidR="00232A7F" w:rsidRPr="00B97A09" w:rsidRDefault="00232A7F" w:rsidP="00D907AF">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4.7</w:t>
            </w:r>
            <w:r>
              <w:rPr>
                <w:rFonts w:eastAsia="Times New Roman" w:cstheme="minorHAnsi"/>
                <w:color w:val="000000"/>
                <w:sz w:val="20"/>
                <w:szCs w:val="20"/>
                <w:lang w:eastAsia="zh-CN"/>
              </w:rPr>
              <w:t>%</w:t>
            </w:r>
          </w:p>
        </w:tc>
        <w:tc>
          <w:tcPr>
            <w:tcW w:w="992" w:type="dxa"/>
            <w:vAlign w:val="center"/>
          </w:tcPr>
          <w:p w:rsidR="00232A7F" w:rsidRPr="00B97A09" w:rsidRDefault="00232A7F" w:rsidP="00D907AF">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100.0</w:t>
            </w:r>
            <w:r>
              <w:rPr>
                <w:rFonts w:eastAsia="Times New Roman" w:cstheme="minorHAnsi"/>
                <w:color w:val="000000"/>
                <w:sz w:val="20"/>
                <w:szCs w:val="20"/>
                <w:lang w:eastAsia="zh-CN"/>
              </w:rPr>
              <w:t>%</w:t>
            </w:r>
          </w:p>
        </w:tc>
      </w:tr>
      <w:tr w:rsidR="00232A7F" w:rsidRPr="00E877CA" w:rsidTr="006C5CEE">
        <w:trPr>
          <w:trHeight w:val="340"/>
        </w:trPr>
        <w:tc>
          <w:tcPr>
            <w:tcW w:w="2093" w:type="dxa"/>
            <w:tcBorders>
              <w:right w:val="single" w:sz="4" w:space="0" w:color="auto"/>
            </w:tcBorders>
            <w:shd w:val="clear" w:color="auto" w:fill="auto"/>
            <w:vAlign w:val="bottom"/>
          </w:tcPr>
          <w:p w:rsidR="00232A7F" w:rsidRPr="00B97A09" w:rsidRDefault="00232A7F" w:rsidP="006C5CEE">
            <w:pPr>
              <w:spacing w:before="20" w:after="20"/>
              <w:jc w:val="right"/>
              <w:rPr>
                <w:rFonts w:eastAsia="Times New Roman" w:cstheme="minorHAnsi"/>
                <w:sz w:val="20"/>
                <w:szCs w:val="20"/>
                <w:lang w:eastAsia="zh-CN"/>
              </w:rPr>
            </w:pPr>
            <w:r w:rsidRPr="00B97A09">
              <w:rPr>
                <w:rFonts w:eastAsia="Times New Roman" w:cstheme="minorHAnsi"/>
                <w:sz w:val="20"/>
                <w:szCs w:val="20"/>
                <w:lang w:eastAsia="zh-CN"/>
              </w:rPr>
              <w:t>No choice</w:t>
            </w:r>
          </w:p>
        </w:tc>
        <w:tc>
          <w:tcPr>
            <w:tcW w:w="992" w:type="dxa"/>
            <w:tcBorders>
              <w:left w:val="single" w:sz="4" w:space="0" w:color="auto"/>
            </w:tcBorders>
            <w:shd w:val="clear" w:color="auto" w:fill="auto"/>
            <w:vAlign w:val="bottom"/>
          </w:tcPr>
          <w:p w:rsidR="00232A7F" w:rsidRPr="00B97A09" w:rsidRDefault="00232A7F" w:rsidP="006C5CEE">
            <w:pPr>
              <w:spacing w:before="0" w:after="0"/>
              <w:jc w:val="right"/>
              <w:rPr>
                <w:rFonts w:eastAsia="Times New Roman" w:cstheme="minorHAnsi"/>
                <w:color w:val="000000"/>
                <w:sz w:val="20"/>
                <w:szCs w:val="20"/>
                <w:lang w:eastAsia="zh-CN"/>
              </w:rPr>
            </w:pPr>
            <w:r w:rsidRPr="00B97A09">
              <w:rPr>
                <w:rFonts w:eastAsia="Times New Roman" w:cstheme="minorHAnsi"/>
                <w:color w:val="000000"/>
                <w:sz w:val="20"/>
                <w:szCs w:val="20"/>
                <w:lang w:eastAsia="zh-CN"/>
              </w:rPr>
              <w:t>20</w:t>
            </w:r>
          </w:p>
        </w:tc>
        <w:tc>
          <w:tcPr>
            <w:tcW w:w="992" w:type="dxa"/>
            <w:shd w:val="clear" w:color="auto" w:fill="auto"/>
            <w:vAlign w:val="bottom"/>
          </w:tcPr>
          <w:p w:rsidR="00232A7F" w:rsidRPr="00B97A09" w:rsidRDefault="00232A7F" w:rsidP="006C5CEE">
            <w:pPr>
              <w:spacing w:before="0" w:after="0"/>
              <w:jc w:val="right"/>
              <w:rPr>
                <w:rFonts w:eastAsia="Times New Roman" w:cstheme="minorHAnsi"/>
                <w:color w:val="000000"/>
                <w:sz w:val="20"/>
                <w:szCs w:val="20"/>
                <w:lang w:eastAsia="zh-CN"/>
              </w:rPr>
            </w:pPr>
            <w:r w:rsidRPr="00B97A09">
              <w:rPr>
                <w:rFonts w:eastAsia="Times New Roman" w:cstheme="minorHAnsi"/>
                <w:color w:val="000000"/>
                <w:sz w:val="20"/>
                <w:szCs w:val="20"/>
                <w:lang w:eastAsia="zh-CN"/>
              </w:rPr>
              <w:t>17</w:t>
            </w:r>
          </w:p>
        </w:tc>
        <w:tc>
          <w:tcPr>
            <w:tcW w:w="1134" w:type="dxa"/>
            <w:shd w:val="clear" w:color="auto" w:fill="auto"/>
            <w:vAlign w:val="bottom"/>
          </w:tcPr>
          <w:p w:rsidR="00232A7F" w:rsidRPr="00B97A09" w:rsidRDefault="00232A7F" w:rsidP="006C5CEE">
            <w:pPr>
              <w:spacing w:before="0" w:after="0"/>
              <w:jc w:val="right"/>
              <w:rPr>
                <w:rFonts w:eastAsia="Times New Roman" w:cstheme="minorHAnsi"/>
                <w:color w:val="000000"/>
                <w:sz w:val="20"/>
                <w:szCs w:val="20"/>
                <w:lang w:eastAsia="zh-CN"/>
              </w:rPr>
            </w:pPr>
            <w:r w:rsidRPr="00B97A09">
              <w:rPr>
                <w:rFonts w:eastAsia="Times New Roman" w:cstheme="minorHAnsi"/>
                <w:color w:val="000000"/>
                <w:sz w:val="20"/>
                <w:szCs w:val="20"/>
                <w:lang w:eastAsia="zh-CN"/>
              </w:rPr>
              <w:t>6</w:t>
            </w:r>
          </w:p>
        </w:tc>
        <w:tc>
          <w:tcPr>
            <w:tcW w:w="993" w:type="dxa"/>
            <w:shd w:val="clear" w:color="auto" w:fill="auto"/>
            <w:vAlign w:val="bottom"/>
          </w:tcPr>
          <w:p w:rsidR="00232A7F" w:rsidRPr="00B97A09" w:rsidRDefault="00232A7F" w:rsidP="006C5CEE">
            <w:pPr>
              <w:spacing w:before="0" w:after="0"/>
              <w:jc w:val="right"/>
              <w:rPr>
                <w:rFonts w:eastAsia="Times New Roman" w:cstheme="minorHAnsi"/>
                <w:color w:val="000000"/>
                <w:sz w:val="20"/>
                <w:szCs w:val="20"/>
                <w:lang w:eastAsia="zh-CN"/>
              </w:rPr>
            </w:pPr>
            <w:r w:rsidRPr="00B97A09">
              <w:rPr>
                <w:rFonts w:eastAsia="Times New Roman" w:cstheme="minorHAnsi"/>
                <w:color w:val="000000"/>
                <w:sz w:val="20"/>
                <w:szCs w:val="20"/>
                <w:lang w:eastAsia="zh-CN"/>
              </w:rPr>
              <w:t>17</w:t>
            </w:r>
          </w:p>
        </w:tc>
        <w:tc>
          <w:tcPr>
            <w:tcW w:w="992" w:type="dxa"/>
            <w:shd w:val="clear" w:color="auto" w:fill="auto"/>
            <w:vAlign w:val="bottom"/>
          </w:tcPr>
          <w:p w:rsidR="00232A7F" w:rsidRPr="00B97A09" w:rsidRDefault="00232A7F" w:rsidP="006C5CEE">
            <w:pPr>
              <w:spacing w:before="0" w:after="0"/>
              <w:jc w:val="right"/>
              <w:rPr>
                <w:rFonts w:eastAsia="Times New Roman" w:cstheme="minorHAnsi"/>
                <w:color w:val="000000"/>
                <w:sz w:val="20"/>
                <w:szCs w:val="20"/>
                <w:lang w:eastAsia="zh-CN"/>
              </w:rPr>
            </w:pPr>
            <w:r w:rsidRPr="00B97A09">
              <w:rPr>
                <w:rFonts w:eastAsia="Times New Roman" w:cstheme="minorHAnsi"/>
                <w:color w:val="000000"/>
                <w:sz w:val="20"/>
                <w:szCs w:val="20"/>
                <w:lang w:eastAsia="zh-CN"/>
              </w:rPr>
              <w:t>6</w:t>
            </w:r>
          </w:p>
        </w:tc>
        <w:tc>
          <w:tcPr>
            <w:tcW w:w="992" w:type="dxa"/>
            <w:shd w:val="clear" w:color="auto" w:fill="auto"/>
            <w:vAlign w:val="bottom"/>
          </w:tcPr>
          <w:p w:rsidR="00232A7F" w:rsidRPr="00B97A09" w:rsidRDefault="00232A7F" w:rsidP="006C5CEE">
            <w:pPr>
              <w:spacing w:before="0" w:after="0"/>
              <w:jc w:val="right"/>
              <w:rPr>
                <w:rFonts w:eastAsia="Times New Roman" w:cstheme="minorHAnsi"/>
                <w:color w:val="000000"/>
                <w:sz w:val="20"/>
                <w:szCs w:val="20"/>
                <w:lang w:eastAsia="zh-CN"/>
              </w:rPr>
            </w:pPr>
            <w:r w:rsidRPr="00B97A09">
              <w:rPr>
                <w:rFonts w:eastAsia="Times New Roman" w:cstheme="minorHAnsi"/>
                <w:color w:val="000000"/>
                <w:sz w:val="20"/>
                <w:szCs w:val="20"/>
                <w:lang w:eastAsia="zh-CN"/>
              </w:rPr>
              <w:t>2</w:t>
            </w:r>
          </w:p>
        </w:tc>
        <w:tc>
          <w:tcPr>
            <w:tcW w:w="992" w:type="dxa"/>
            <w:vAlign w:val="bottom"/>
          </w:tcPr>
          <w:p w:rsidR="00232A7F" w:rsidRPr="00B97A09" w:rsidRDefault="00232A7F" w:rsidP="006C5CEE">
            <w:pPr>
              <w:spacing w:before="0" w:after="0"/>
              <w:jc w:val="right"/>
              <w:rPr>
                <w:rFonts w:eastAsia="Times New Roman" w:cstheme="minorHAnsi"/>
                <w:color w:val="000000"/>
                <w:sz w:val="20"/>
                <w:szCs w:val="20"/>
                <w:lang w:eastAsia="zh-CN"/>
              </w:rPr>
            </w:pPr>
            <w:r w:rsidRPr="00B97A09">
              <w:rPr>
                <w:rFonts w:eastAsia="Times New Roman" w:cstheme="minorHAnsi"/>
                <w:color w:val="000000"/>
                <w:sz w:val="20"/>
                <w:szCs w:val="20"/>
                <w:lang w:eastAsia="zh-CN"/>
              </w:rPr>
              <w:t>68</w:t>
            </w:r>
          </w:p>
        </w:tc>
      </w:tr>
      <w:tr w:rsidR="00232A7F" w:rsidRPr="00E877CA" w:rsidTr="006C5CEE">
        <w:tc>
          <w:tcPr>
            <w:tcW w:w="2093" w:type="dxa"/>
            <w:tcBorders>
              <w:right w:val="single" w:sz="4" w:space="0" w:color="auto"/>
            </w:tcBorders>
            <w:shd w:val="clear" w:color="auto" w:fill="auto"/>
            <w:vAlign w:val="bottom"/>
          </w:tcPr>
          <w:p w:rsidR="00232A7F" w:rsidRPr="00B97A09" w:rsidRDefault="00232A7F" w:rsidP="006C5CEE">
            <w:pPr>
              <w:spacing w:before="20" w:after="20"/>
              <w:jc w:val="right"/>
              <w:rPr>
                <w:rFonts w:eastAsia="Times New Roman" w:cstheme="minorHAnsi"/>
                <w:sz w:val="20"/>
                <w:szCs w:val="20"/>
                <w:lang w:eastAsia="zh-CN"/>
              </w:rPr>
            </w:pPr>
          </w:p>
        </w:tc>
        <w:tc>
          <w:tcPr>
            <w:tcW w:w="992" w:type="dxa"/>
            <w:tcBorders>
              <w:left w:val="single" w:sz="4" w:space="0" w:color="auto"/>
            </w:tcBorders>
            <w:shd w:val="clear" w:color="auto" w:fill="auto"/>
            <w:vAlign w:val="center"/>
          </w:tcPr>
          <w:p w:rsidR="00232A7F" w:rsidRPr="00B97A09" w:rsidRDefault="00232A7F" w:rsidP="00D907AF">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29.4</w:t>
            </w:r>
            <w:r>
              <w:rPr>
                <w:rFonts w:eastAsia="Times New Roman" w:cstheme="minorHAnsi"/>
                <w:color w:val="000000"/>
                <w:sz w:val="20"/>
                <w:szCs w:val="20"/>
                <w:lang w:eastAsia="zh-CN"/>
              </w:rPr>
              <w:t>%</w:t>
            </w:r>
          </w:p>
        </w:tc>
        <w:tc>
          <w:tcPr>
            <w:tcW w:w="992" w:type="dxa"/>
            <w:shd w:val="clear" w:color="auto" w:fill="auto"/>
            <w:vAlign w:val="center"/>
          </w:tcPr>
          <w:p w:rsidR="00232A7F" w:rsidRPr="00B97A09" w:rsidRDefault="00232A7F" w:rsidP="00D907AF">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25.0</w:t>
            </w:r>
            <w:r>
              <w:rPr>
                <w:rFonts w:eastAsia="Times New Roman" w:cstheme="minorHAnsi"/>
                <w:color w:val="000000"/>
                <w:sz w:val="20"/>
                <w:szCs w:val="20"/>
                <w:lang w:eastAsia="zh-CN"/>
              </w:rPr>
              <w:t>%</w:t>
            </w:r>
          </w:p>
        </w:tc>
        <w:tc>
          <w:tcPr>
            <w:tcW w:w="1134" w:type="dxa"/>
            <w:shd w:val="clear" w:color="auto" w:fill="auto"/>
            <w:vAlign w:val="center"/>
          </w:tcPr>
          <w:p w:rsidR="00232A7F" w:rsidRPr="00B97A09" w:rsidRDefault="00232A7F" w:rsidP="00D907AF">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8.8</w:t>
            </w:r>
            <w:r>
              <w:rPr>
                <w:rFonts w:eastAsia="Times New Roman" w:cstheme="minorHAnsi"/>
                <w:color w:val="000000"/>
                <w:sz w:val="20"/>
                <w:szCs w:val="20"/>
                <w:lang w:eastAsia="zh-CN"/>
              </w:rPr>
              <w:t>%</w:t>
            </w:r>
          </w:p>
        </w:tc>
        <w:tc>
          <w:tcPr>
            <w:tcW w:w="993" w:type="dxa"/>
            <w:shd w:val="clear" w:color="auto" w:fill="auto"/>
            <w:vAlign w:val="center"/>
          </w:tcPr>
          <w:p w:rsidR="00232A7F" w:rsidRPr="00B97A09" w:rsidRDefault="00232A7F" w:rsidP="00D907AF">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25.0</w:t>
            </w:r>
            <w:r>
              <w:rPr>
                <w:rFonts w:eastAsia="Times New Roman" w:cstheme="minorHAnsi"/>
                <w:color w:val="000000"/>
                <w:sz w:val="20"/>
                <w:szCs w:val="20"/>
                <w:lang w:eastAsia="zh-CN"/>
              </w:rPr>
              <w:t>%</w:t>
            </w:r>
          </w:p>
        </w:tc>
        <w:tc>
          <w:tcPr>
            <w:tcW w:w="992" w:type="dxa"/>
            <w:shd w:val="clear" w:color="auto" w:fill="auto"/>
            <w:vAlign w:val="center"/>
          </w:tcPr>
          <w:p w:rsidR="00232A7F" w:rsidRPr="00B97A09" w:rsidRDefault="00232A7F" w:rsidP="00D907AF">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8.8</w:t>
            </w:r>
            <w:r>
              <w:rPr>
                <w:rFonts w:eastAsia="Times New Roman" w:cstheme="minorHAnsi"/>
                <w:color w:val="000000"/>
                <w:sz w:val="20"/>
                <w:szCs w:val="20"/>
                <w:lang w:eastAsia="zh-CN"/>
              </w:rPr>
              <w:t>%</w:t>
            </w:r>
          </w:p>
        </w:tc>
        <w:tc>
          <w:tcPr>
            <w:tcW w:w="992" w:type="dxa"/>
            <w:shd w:val="clear" w:color="auto" w:fill="auto"/>
            <w:vAlign w:val="center"/>
          </w:tcPr>
          <w:p w:rsidR="00232A7F" w:rsidRPr="00B97A09" w:rsidRDefault="00232A7F" w:rsidP="00D907AF">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2.9</w:t>
            </w:r>
            <w:r>
              <w:rPr>
                <w:rFonts w:eastAsia="Times New Roman" w:cstheme="minorHAnsi"/>
                <w:color w:val="000000"/>
                <w:sz w:val="20"/>
                <w:szCs w:val="20"/>
                <w:lang w:eastAsia="zh-CN"/>
              </w:rPr>
              <w:t>%</w:t>
            </w:r>
          </w:p>
        </w:tc>
        <w:tc>
          <w:tcPr>
            <w:tcW w:w="992" w:type="dxa"/>
            <w:vAlign w:val="center"/>
          </w:tcPr>
          <w:p w:rsidR="00232A7F" w:rsidRPr="00B97A09" w:rsidRDefault="00232A7F" w:rsidP="00D907AF">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100.0</w:t>
            </w:r>
            <w:r>
              <w:rPr>
                <w:rFonts w:eastAsia="Times New Roman" w:cstheme="minorHAnsi"/>
                <w:color w:val="000000"/>
                <w:sz w:val="20"/>
                <w:szCs w:val="20"/>
                <w:lang w:eastAsia="zh-CN"/>
              </w:rPr>
              <w:t>%</w:t>
            </w:r>
          </w:p>
        </w:tc>
      </w:tr>
      <w:tr w:rsidR="00232A7F" w:rsidRPr="00E877CA" w:rsidTr="00F52A2D">
        <w:trPr>
          <w:trHeight w:val="340"/>
        </w:trPr>
        <w:tc>
          <w:tcPr>
            <w:tcW w:w="2093" w:type="dxa"/>
            <w:tcBorders>
              <w:right w:val="single" w:sz="4" w:space="0" w:color="auto"/>
            </w:tcBorders>
            <w:shd w:val="clear" w:color="auto" w:fill="auto"/>
            <w:vAlign w:val="bottom"/>
          </w:tcPr>
          <w:p w:rsidR="00232A7F" w:rsidRPr="00B97A09" w:rsidRDefault="00232A7F" w:rsidP="006C5CEE">
            <w:pPr>
              <w:spacing w:before="20" w:after="20"/>
              <w:jc w:val="right"/>
              <w:rPr>
                <w:rFonts w:eastAsia="Times New Roman" w:cstheme="minorHAnsi"/>
                <w:sz w:val="20"/>
                <w:szCs w:val="20"/>
                <w:lang w:eastAsia="zh-CN"/>
              </w:rPr>
            </w:pPr>
            <w:r w:rsidRPr="00B97A09">
              <w:rPr>
                <w:rFonts w:ascii="Calibri" w:eastAsia="Calibri" w:hAnsi="Calibri" w:cs="Calibri"/>
                <w:sz w:val="20"/>
                <w:szCs w:val="20"/>
              </w:rPr>
              <w:t>It varies depending on the type of supports</w:t>
            </w:r>
          </w:p>
        </w:tc>
        <w:tc>
          <w:tcPr>
            <w:tcW w:w="992" w:type="dxa"/>
            <w:tcBorders>
              <w:left w:val="single" w:sz="4" w:space="0" w:color="auto"/>
            </w:tcBorders>
            <w:shd w:val="clear" w:color="auto" w:fill="auto"/>
            <w:vAlign w:val="center"/>
          </w:tcPr>
          <w:p w:rsidR="00232A7F" w:rsidRPr="00B97A09" w:rsidRDefault="00232A7F" w:rsidP="00F52A2D">
            <w:pPr>
              <w:spacing w:before="0" w:after="0"/>
              <w:jc w:val="right"/>
              <w:rPr>
                <w:rFonts w:eastAsia="Times New Roman" w:cstheme="minorHAnsi"/>
                <w:color w:val="000000"/>
                <w:sz w:val="20"/>
                <w:szCs w:val="20"/>
                <w:lang w:eastAsia="zh-CN"/>
              </w:rPr>
            </w:pPr>
            <w:r w:rsidRPr="00B97A09">
              <w:rPr>
                <w:rFonts w:eastAsia="Times New Roman" w:cstheme="minorHAnsi"/>
                <w:color w:val="000000"/>
                <w:sz w:val="20"/>
                <w:szCs w:val="20"/>
                <w:lang w:eastAsia="zh-CN"/>
              </w:rPr>
              <w:t>8</w:t>
            </w:r>
          </w:p>
        </w:tc>
        <w:tc>
          <w:tcPr>
            <w:tcW w:w="992" w:type="dxa"/>
            <w:shd w:val="clear" w:color="auto" w:fill="auto"/>
            <w:vAlign w:val="center"/>
          </w:tcPr>
          <w:p w:rsidR="00232A7F" w:rsidRPr="00B97A09" w:rsidRDefault="00232A7F" w:rsidP="00F52A2D">
            <w:pPr>
              <w:spacing w:before="0" w:after="0"/>
              <w:jc w:val="right"/>
              <w:rPr>
                <w:rFonts w:eastAsia="Times New Roman" w:cstheme="minorHAnsi"/>
                <w:color w:val="000000"/>
                <w:sz w:val="20"/>
                <w:szCs w:val="20"/>
                <w:lang w:eastAsia="zh-CN"/>
              </w:rPr>
            </w:pPr>
            <w:r w:rsidRPr="00B97A09">
              <w:rPr>
                <w:rFonts w:eastAsia="Times New Roman" w:cstheme="minorHAnsi"/>
                <w:color w:val="000000"/>
                <w:sz w:val="20"/>
                <w:szCs w:val="20"/>
                <w:lang w:eastAsia="zh-CN"/>
              </w:rPr>
              <w:t>1</w:t>
            </w:r>
          </w:p>
        </w:tc>
        <w:tc>
          <w:tcPr>
            <w:tcW w:w="1134" w:type="dxa"/>
            <w:shd w:val="clear" w:color="auto" w:fill="auto"/>
            <w:vAlign w:val="center"/>
          </w:tcPr>
          <w:p w:rsidR="00232A7F" w:rsidRPr="00B97A09" w:rsidRDefault="00232A7F" w:rsidP="00F52A2D">
            <w:pPr>
              <w:spacing w:before="0" w:after="0"/>
              <w:jc w:val="right"/>
              <w:rPr>
                <w:rFonts w:eastAsia="Times New Roman" w:cstheme="minorHAnsi"/>
                <w:color w:val="000000"/>
                <w:sz w:val="20"/>
                <w:szCs w:val="20"/>
                <w:lang w:eastAsia="zh-CN"/>
              </w:rPr>
            </w:pPr>
            <w:r w:rsidRPr="00B97A09">
              <w:rPr>
                <w:rFonts w:eastAsia="Times New Roman" w:cstheme="minorHAnsi"/>
                <w:color w:val="000000"/>
                <w:sz w:val="20"/>
                <w:szCs w:val="20"/>
                <w:lang w:eastAsia="zh-CN"/>
              </w:rPr>
              <w:t>1</w:t>
            </w:r>
          </w:p>
        </w:tc>
        <w:tc>
          <w:tcPr>
            <w:tcW w:w="993" w:type="dxa"/>
            <w:shd w:val="clear" w:color="auto" w:fill="auto"/>
            <w:vAlign w:val="center"/>
          </w:tcPr>
          <w:p w:rsidR="00232A7F" w:rsidRPr="00B97A09" w:rsidRDefault="00232A7F" w:rsidP="00F52A2D">
            <w:pPr>
              <w:spacing w:before="0" w:after="0"/>
              <w:jc w:val="right"/>
              <w:rPr>
                <w:rFonts w:eastAsia="Times New Roman" w:cstheme="minorHAnsi"/>
                <w:color w:val="000000"/>
                <w:sz w:val="20"/>
                <w:szCs w:val="20"/>
                <w:lang w:eastAsia="zh-CN"/>
              </w:rPr>
            </w:pPr>
            <w:r w:rsidRPr="00B97A09">
              <w:rPr>
                <w:rFonts w:eastAsia="Times New Roman" w:cstheme="minorHAnsi"/>
                <w:color w:val="000000"/>
                <w:sz w:val="20"/>
                <w:szCs w:val="20"/>
                <w:lang w:eastAsia="zh-CN"/>
              </w:rPr>
              <w:t>1</w:t>
            </w:r>
          </w:p>
        </w:tc>
        <w:tc>
          <w:tcPr>
            <w:tcW w:w="992" w:type="dxa"/>
            <w:shd w:val="clear" w:color="auto" w:fill="auto"/>
            <w:vAlign w:val="center"/>
          </w:tcPr>
          <w:p w:rsidR="00232A7F" w:rsidRPr="00B97A09" w:rsidRDefault="00232A7F" w:rsidP="00F52A2D">
            <w:pPr>
              <w:spacing w:before="0" w:after="0"/>
              <w:jc w:val="right"/>
              <w:rPr>
                <w:rFonts w:eastAsia="Times New Roman" w:cstheme="minorHAnsi"/>
                <w:color w:val="000000"/>
                <w:sz w:val="20"/>
                <w:szCs w:val="20"/>
                <w:lang w:eastAsia="zh-CN"/>
              </w:rPr>
            </w:pPr>
            <w:r w:rsidRPr="00B97A09">
              <w:rPr>
                <w:rFonts w:eastAsia="Times New Roman" w:cstheme="minorHAnsi"/>
                <w:color w:val="000000"/>
                <w:sz w:val="20"/>
                <w:szCs w:val="20"/>
                <w:lang w:eastAsia="zh-CN"/>
              </w:rPr>
              <w:t>18</w:t>
            </w:r>
          </w:p>
        </w:tc>
        <w:tc>
          <w:tcPr>
            <w:tcW w:w="992" w:type="dxa"/>
            <w:shd w:val="clear" w:color="auto" w:fill="auto"/>
            <w:vAlign w:val="center"/>
          </w:tcPr>
          <w:p w:rsidR="00232A7F" w:rsidRPr="00B97A09" w:rsidRDefault="00232A7F" w:rsidP="00F52A2D">
            <w:pPr>
              <w:spacing w:before="0" w:after="0"/>
              <w:jc w:val="right"/>
              <w:rPr>
                <w:rFonts w:eastAsia="Times New Roman" w:cstheme="minorHAnsi"/>
                <w:color w:val="000000"/>
                <w:sz w:val="20"/>
                <w:szCs w:val="20"/>
                <w:lang w:eastAsia="zh-CN"/>
              </w:rPr>
            </w:pPr>
            <w:r w:rsidRPr="00B97A09">
              <w:rPr>
                <w:rFonts w:eastAsia="Times New Roman" w:cstheme="minorHAnsi"/>
                <w:color w:val="000000"/>
                <w:sz w:val="20"/>
                <w:szCs w:val="20"/>
                <w:lang w:eastAsia="zh-CN"/>
              </w:rPr>
              <w:t>1</w:t>
            </w:r>
          </w:p>
        </w:tc>
        <w:tc>
          <w:tcPr>
            <w:tcW w:w="992" w:type="dxa"/>
            <w:vAlign w:val="center"/>
          </w:tcPr>
          <w:p w:rsidR="00232A7F" w:rsidRPr="00B97A09" w:rsidRDefault="00232A7F" w:rsidP="00F52A2D">
            <w:pPr>
              <w:spacing w:before="0" w:after="0"/>
              <w:jc w:val="right"/>
              <w:rPr>
                <w:rFonts w:eastAsia="Times New Roman" w:cstheme="minorHAnsi"/>
                <w:color w:val="000000"/>
                <w:sz w:val="20"/>
                <w:szCs w:val="20"/>
                <w:lang w:eastAsia="zh-CN"/>
              </w:rPr>
            </w:pPr>
            <w:r w:rsidRPr="00B97A09">
              <w:rPr>
                <w:rFonts w:eastAsia="Times New Roman" w:cstheme="minorHAnsi"/>
                <w:color w:val="000000"/>
                <w:sz w:val="20"/>
                <w:szCs w:val="20"/>
                <w:lang w:eastAsia="zh-CN"/>
              </w:rPr>
              <w:t>30</w:t>
            </w:r>
          </w:p>
        </w:tc>
      </w:tr>
      <w:tr w:rsidR="00232A7F" w:rsidRPr="00E877CA" w:rsidTr="006C5CEE">
        <w:tc>
          <w:tcPr>
            <w:tcW w:w="2093" w:type="dxa"/>
            <w:tcBorders>
              <w:right w:val="single" w:sz="4" w:space="0" w:color="auto"/>
            </w:tcBorders>
            <w:shd w:val="clear" w:color="auto" w:fill="auto"/>
            <w:vAlign w:val="bottom"/>
          </w:tcPr>
          <w:p w:rsidR="00232A7F" w:rsidRPr="00B97A09" w:rsidRDefault="00232A7F" w:rsidP="006C5CEE">
            <w:pPr>
              <w:spacing w:before="20" w:after="20"/>
              <w:jc w:val="right"/>
              <w:rPr>
                <w:rFonts w:eastAsia="Times New Roman" w:cstheme="minorHAnsi"/>
                <w:sz w:val="20"/>
                <w:szCs w:val="20"/>
                <w:lang w:eastAsia="zh-CN"/>
              </w:rPr>
            </w:pPr>
          </w:p>
        </w:tc>
        <w:tc>
          <w:tcPr>
            <w:tcW w:w="992" w:type="dxa"/>
            <w:tcBorders>
              <w:left w:val="single" w:sz="4" w:space="0" w:color="auto"/>
            </w:tcBorders>
            <w:shd w:val="clear" w:color="auto" w:fill="auto"/>
            <w:vAlign w:val="center"/>
          </w:tcPr>
          <w:p w:rsidR="00232A7F" w:rsidRPr="00B97A09" w:rsidRDefault="00232A7F" w:rsidP="00D907AF">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26.7</w:t>
            </w:r>
            <w:r>
              <w:rPr>
                <w:rFonts w:eastAsia="Times New Roman" w:cstheme="minorHAnsi"/>
                <w:color w:val="000000"/>
                <w:sz w:val="20"/>
                <w:szCs w:val="20"/>
                <w:lang w:eastAsia="zh-CN"/>
              </w:rPr>
              <w:t>%</w:t>
            </w:r>
          </w:p>
        </w:tc>
        <w:tc>
          <w:tcPr>
            <w:tcW w:w="992" w:type="dxa"/>
            <w:shd w:val="clear" w:color="auto" w:fill="auto"/>
            <w:vAlign w:val="center"/>
          </w:tcPr>
          <w:p w:rsidR="00232A7F" w:rsidRPr="00B97A09" w:rsidRDefault="00232A7F" w:rsidP="00D907AF">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3.3</w:t>
            </w:r>
            <w:r>
              <w:rPr>
                <w:rFonts w:eastAsia="Times New Roman" w:cstheme="minorHAnsi"/>
                <w:color w:val="000000"/>
                <w:sz w:val="20"/>
                <w:szCs w:val="20"/>
                <w:lang w:eastAsia="zh-CN"/>
              </w:rPr>
              <w:t>%</w:t>
            </w:r>
          </w:p>
        </w:tc>
        <w:tc>
          <w:tcPr>
            <w:tcW w:w="1134" w:type="dxa"/>
            <w:shd w:val="clear" w:color="auto" w:fill="auto"/>
            <w:vAlign w:val="center"/>
          </w:tcPr>
          <w:p w:rsidR="00232A7F" w:rsidRPr="00B97A09" w:rsidRDefault="00232A7F" w:rsidP="00D907AF">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3.3</w:t>
            </w:r>
            <w:r>
              <w:rPr>
                <w:rFonts w:eastAsia="Times New Roman" w:cstheme="minorHAnsi"/>
                <w:color w:val="000000"/>
                <w:sz w:val="20"/>
                <w:szCs w:val="20"/>
                <w:lang w:eastAsia="zh-CN"/>
              </w:rPr>
              <w:t>%</w:t>
            </w:r>
          </w:p>
        </w:tc>
        <w:tc>
          <w:tcPr>
            <w:tcW w:w="993" w:type="dxa"/>
            <w:shd w:val="clear" w:color="auto" w:fill="auto"/>
            <w:vAlign w:val="center"/>
          </w:tcPr>
          <w:p w:rsidR="00232A7F" w:rsidRPr="00B97A09" w:rsidRDefault="00232A7F" w:rsidP="00D907AF">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3.3</w:t>
            </w:r>
            <w:r>
              <w:rPr>
                <w:rFonts w:eastAsia="Times New Roman" w:cstheme="minorHAnsi"/>
                <w:color w:val="000000"/>
                <w:sz w:val="20"/>
                <w:szCs w:val="20"/>
                <w:lang w:eastAsia="zh-CN"/>
              </w:rPr>
              <w:t>%</w:t>
            </w:r>
          </w:p>
        </w:tc>
        <w:tc>
          <w:tcPr>
            <w:tcW w:w="992" w:type="dxa"/>
            <w:shd w:val="clear" w:color="auto" w:fill="auto"/>
            <w:vAlign w:val="center"/>
          </w:tcPr>
          <w:p w:rsidR="00232A7F" w:rsidRPr="00B97A09" w:rsidRDefault="00232A7F" w:rsidP="00D907AF">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60.0</w:t>
            </w:r>
            <w:r>
              <w:rPr>
                <w:rFonts w:eastAsia="Times New Roman" w:cstheme="minorHAnsi"/>
                <w:color w:val="000000"/>
                <w:sz w:val="20"/>
                <w:szCs w:val="20"/>
                <w:lang w:eastAsia="zh-CN"/>
              </w:rPr>
              <w:t>%</w:t>
            </w:r>
          </w:p>
        </w:tc>
        <w:tc>
          <w:tcPr>
            <w:tcW w:w="992" w:type="dxa"/>
            <w:shd w:val="clear" w:color="auto" w:fill="auto"/>
            <w:vAlign w:val="center"/>
          </w:tcPr>
          <w:p w:rsidR="00232A7F" w:rsidRPr="00B97A09" w:rsidRDefault="00232A7F" w:rsidP="00D907AF">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3.3</w:t>
            </w:r>
            <w:r>
              <w:rPr>
                <w:rFonts w:eastAsia="Times New Roman" w:cstheme="minorHAnsi"/>
                <w:color w:val="000000"/>
                <w:sz w:val="20"/>
                <w:szCs w:val="20"/>
                <w:lang w:eastAsia="zh-CN"/>
              </w:rPr>
              <w:t>%</w:t>
            </w:r>
          </w:p>
        </w:tc>
        <w:tc>
          <w:tcPr>
            <w:tcW w:w="992" w:type="dxa"/>
            <w:vAlign w:val="center"/>
          </w:tcPr>
          <w:p w:rsidR="00232A7F" w:rsidRPr="00B97A09" w:rsidRDefault="00232A7F" w:rsidP="00D907AF">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100.0</w:t>
            </w:r>
            <w:r>
              <w:rPr>
                <w:rFonts w:eastAsia="Times New Roman" w:cstheme="minorHAnsi"/>
                <w:color w:val="000000"/>
                <w:sz w:val="20"/>
                <w:szCs w:val="20"/>
                <w:lang w:eastAsia="zh-CN"/>
              </w:rPr>
              <w:t>%</w:t>
            </w:r>
          </w:p>
        </w:tc>
      </w:tr>
      <w:tr w:rsidR="00232A7F" w:rsidRPr="00E877CA" w:rsidTr="006C5CEE">
        <w:trPr>
          <w:trHeight w:val="340"/>
        </w:trPr>
        <w:tc>
          <w:tcPr>
            <w:tcW w:w="2093" w:type="dxa"/>
            <w:tcBorders>
              <w:right w:val="single" w:sz="4" w:space="0" w:color="auto"/>
            </w:tcBorders>
            <w:shd w:val="clear" w:color="auto" w:fill="auto"/>
            <w:vAlign w:val="bottom"/>
          </w:tcPr>
          <w:p w:rsidR="00232A7F" w:rsidRPr="00B97A09" w:rsidRDefault="00232A7F" w:rsidP="006C5CEE">
            <w:pPr>
              <w:spacing w:before="20" w:after="20"/>
              <w:jc w:val="right"/>
              <w:rPr>
                <w:rFonts w:eastAsia="Times New Roman" w:cstheme="minorHAnsi"/>
                <w:sz w:val="20"/>
                <w:szCs w:val="20"/>
                <w:lang w:eastAsia="zh-CN"/>
              </w:rPr>
            </w:pPr>
            <w:r w:rsidRPr="00B97A09">
              <w:rPr>
                <w:rFonts w:eastAsia="Times New Roman" w:cstheme="minorHAnsi"/>
                <w:sz w:val="20"/>
                <w:szCs w:val="20"/>
                <w:lang w:eastAsia="zh-CN"/>
              </w:rPr>
              <w:t xml:space="preserve">Missing </w:t>
            </w:r>
          </w:p>
        </w:tc>
        <w:tc>
          <w:tcPr>
            <w:tcW w:w="992" w:type="dxa"/>
            <w:tcBorders>
              <w:left w:val="single" w:sz="4" w:space="0" w:color="auto"/>
            </w:tcBorders>
            <w:shd w:val="clear" w:color="auto" w:fill="auto"/>
            <w:vAlign w:val="bottom"/>
          </w:tcPr>
          <w:p w:rsidR="00232A7F" w:rsidRPr="00B97A09" w:rsidRDefault="00232A7F" w:rsidP="006C5CEE">
            <w:pPr>
              <w:spacing w:before="0" w:after="0"/>
              <w:jc w:val="right"/>
              <w:rPr>
                <w:rFonts w:eastAsia="Times New Roman" w:cstheme="minorHAnsi"/>
                <w:color w:val="000000"/>
                <w:sz w:val="20"/>
                <w:szCs w:val="20"/>
                <w:lang w:eastAsia="zh-CN"/>
              </w:rPr>
            </w:pPr>
            <w:r w:rsidRPr="00B97A09">
              <w:rPr>
                <w:rFonts w:eastAsia="Times New Roman" w:cstheme="minorHAnsi"/>
                <w:color w:val="000000"/>
                <w:sz w:val="20"/>
                <w:szCs w:val="20"/>
                <w:lang w:eastAsia="zh-CN"/>
              </w:rPr>
              <w:t>7</w:t>
            </w:r>
          </w:p>
        </w:tc>
        <w:tc>
          <w:tcPr>
            <w:tcW w:w="992" w:type="dxa"/>
            <w:shd w:val="clear" w:color="auto" w:fill="auto"/>
            <w:vAlign w:val="bottom"/>
          </w:tcPr>
          <w:p w:rsidR="00232A7F" w:rsidRPr="00B97A09" w:rsidRDefault="00232A7F" w:rsidP="006C5CEE">
            <w:pPr>
              <w:spacing w:before="0" w:after="0"/>
              <w:jc w:val="right"/>
              <w:rPr>
                <w:rFonts w:eastAsia="Times New Roman" w:cstheme="minorHAnsi"/>
                <w:color w:val="000000"/>
                <w:sz w:val="20"/>
                <w:szCs w:val="20"/>
                <w:lang w:eastAsia="zh-CN"/>
              </w:rPr>
            </w:pPr>
            <w:r w:rsidRPr="00B97A09">
              <w:rPr>
                <w:rFonts w:eastAsia="Times New Roman" w:cstheme="minorHAnsi"/>
                <w:color w:val="000000"/>
                <w:sz w:val="20"/>
                <w:szCs w:val="20"/>
                <w:lang w:eastAsia="zh-CN"/>
              </w:rPr>
              <w:t>7</w:t>
            </w:r>
          </w:p>
        </w:tc>
        <w:tc>
          <w:tcPr>
            <w:tcW w:w="1134" w:type="dxa"/>
            <w:shd w:val="clear" w:color="auto" w:fill="auto"/>
            <w:vAlign w:val="bottom"/>
          </w:tcPr>
          <w:p w:rsidR="00232A7F" w:rsidRPr="00B97A09" w:rsidRDefault="00232A7F" w:rsidP="006C5CEE">
            <w:pPr>
              <w:spacing w:before="0" w:after="0"/>
              <w:jc w:val="right"/>
              <w:rPr>
                <w:rFonts w:eastAsia="Times New Roman" w:cstheme="minorHAnsi"/>
                <w:color w:val="000000"/>
                <w:sz w:val="20"/>
                <w:szCs w:val="20"/>
                <w:lang w:eastAsia="zh-CN"/>
              </w:rPr>
            </w:pPr>
            <w:r w:rsidRPr="00B97A09">
              <w:rPr>
                <w:rFonts w:eastAsia="Times New Roman" w:cstheme="minorHAnsi"/>
                <w:color w:val="000000"/>
                <w:sz w:val="20"/>
                <w:szCs w:val="20"/>
                <w:lang w:eastAsia="zh-CN"/>
              </w:rPr>
              <w:t>0</w:t>
            </w:r>
          </w:p>
        </w:tc>
        <w:tc>
          <w:tcPr>
            <w:tcW w:w="993" w:type="dxa"/>
            <w:shd w:val="clear" w:color="auto" w:fill="auto"/>
            <w:vAlign w:val="bottom"/>
          </w:tcPr>
          <w:p w:rsidR="00232A7F" w:rsidRPr="00B97A09" w:rsidRDefault="00232A7F" w:rsidP="006C5CEE">
            <w:pPr>
              <w:spacing w:before="0" w:after="0"/>
              <w:jc w:val="right"/>
              <w:rPr>
                <w:rFonts w:eastAsia="Times New Roman" w:cstheme="minorHAnsi"/>
                <w:color w:val="000000"/>
                <w:sz w:val="20"/>
                <w:szCs w:val="20"/>
                <w:lang w:eastAsia="zh-CN"/>
              </w:rPr>
            </w:pPr>
            <w:r w:rsidRPr="00B97A09">
              <w:rPr>
                <w:rFonts w:eastAsia="Times New Roman" w:cstheme="minorHAnsi"/>
                <w:color w:val="000000"/>
                <w:sz w:val="20"/>
                <w:szCs w:val="20"/>
                <w:lang w:eastAsia="zh-CN"/>
              </w:rPr>
              <w:t>1</w:t>
            </w:r>
          </w:p>
        </w:tc>
        <w:tc>
          <w:tcPr>
            <w:tcW w:w="992" w:type="dxa"/>
            <w:shd w:val="clear" w:color="auto" w:fill="auto"/>
            <w:vAlign w:val="bottom"/>
          </w:tcPr>
          <w:p w:rsidR="00232A7F" w:rsidRPr="00B97A09" w:rsidRDefault="00232A7F" w:rsidP="006C5CEE">
            <w:pPr>
              <w:spacing w:before="0" w:after="0"/>
              <w:jc w:val="right"/>
              <w:rPr>
                <w:rFonts w:eastAsia="Times New Roman" w:cstheme="minorHAnsi"/>
                <w:color w:val="000000"/>
                <w:sz w:val="20"/>
                <w:szCs w:val="20"/>
                <w:lang w:eastAsia="zh-CN"/>
              </w:rPr>
            </w:pPr>
            <w:r w:rsidRPr="00B97A09">
              <w:rPr>
                <w:rFonts w:eastAsia="Times New Roman" w:cstheme="minorHAnsi"/>
                <w:color w:val="000000"/>
                <w:sz w:val="20"/>
                <w:szCs w:val="20"/>
                <w:lang w:eastAsia="zh-CN"/>
              </w:rPr>
              <w:t>2</w:t>
            </w:r>
          </w:p>
        </w:tc>
        <w:tc>
          <w:tcPr>
            <w:tcW w:w="992" w:type="dxa"/>
            <w:shd w:val="clear" w:color="auto" w:fill="auto"/>
            <w:vAlign w:val="bottom"/>
          </w:tcPr>
          <w:p w:rsidR="00232A7F" w:rsidRPr="00B97A09" w:rsidRDefault="00232A7F" w:rsidP="006C5CEE">
            <w:pPr>
              <w:spacing w:before="0" w:after="0"/>
              <w:jc w:val="right"/>
              <w:rPr>
                <w:rFonts w:eastAsia="Times New Roman" w:cstheme="minorHAnsi"/>
                <w:color w:val="000000"/>
                <w:sz w:val="20"/>
                <w:szCs w:val="20"/>
                <w:lang w:eastAsia="zh-CN"/>
              </w:rPr>
            </w:pPr>
            <w:r w:rsidRPr="00B97A09">
              <w:rPr>
                <w:rFonts w:eastAsia="Times New Roman" w:cstheme="minorHAnsi"/>
                <w:color w:val="000000"/>
                <w:sz w:val="20"/>
                <w:szCs w:val="20"/>
                <w:lang w:eastAsia="zh-CN"/>
              </w:rPr>
              <w:t>7</w:t>
            </w:r>
          </w:p>
        </w:tc>
        <w:tc>
          <w:tcPr>
            <w:tcW w:w="992" w:type="dxa"/>
            <w:vAlign w:val="bottom"/>
          </w:tcPr>
          <w:p w:rsidR="00232A7F" w:rsidRPr="00B97A09" w:rsidRDefault="00232A7F" w:rsidP="006C5CEE">
            <w:pPr>
              <w:spacing w:before="0" w:after="0"/>
              <w:jc w:val="right"/>
              <w:rPr>
                <w:rFonts w:eastAsia="Times New Roman" w:cstheme="minorHAnsi"/>
                <w:color w:val="000000"/>
                <w:sz w:val="20"/>
                <w:szCs w:val="20"/>
                <w:lang w:eastAsia="zh-CN"/>
              </w:rPr>
            </w:pPr>
            <w:r w:rsidRPr="00B97A09">
              <w:rPr>
                <w:rFonts w:eastAsia="Times New Roman" w:cstheme="minorHAnsi"/>
                <w:color w:val="000000"/>
                <w:sz w:val="20"/>
                <w:szCs w:val="20"/>
                <w:lang w:eastAsia="zh-CN"/>
              </w:rPr>
              <w:t>24</w:t>
            </w:r>
          </w:p>
        </w:tc>
      </w:tr>
      <w:tr w:rsidR="00232A7F" w:rsidRPr="00E877CA" w:rsidTr="006C5CEE">
        <w:tc>
          <w:tcPr>
            <w:tcW w:w="2093" w:type="dxa"/>
            <w:tcBorders>
              <w:bottom w:val="single" w:sz="4" w:space="0" w:color="auto"/>
              <w:right w:val="single" w:sz="4" w:space="0" w:color="auto"/>
            </w:tcBorders>
            <w:shd w:val="clear" w:color="auto" w:fill="auto"/>
            <w:vAlign w:val="bottom"/>
          </w:tcPr>
          <w:p w:rsidR="00232A7F" w:rsidRPr="00B97A09" w:rsidRDefault="00232A7F" w:rsidP="006C5CEE">
            <w:pPr>
              <w:spacing w:before="20" w:after="20"/>
              <w:jc w:val="right"/>
              <w:rPr>
                <w:rFonts w:eastAsia="Times New Roman" w:cstheme="minorHAnsi"/>
                <w:sz w:val="20"/>
                <w:szCs w:val="20"/>
                <w:lang w:eastAsia="zh-CN"/>
              </w:rPr>
            </w:pPr>
          </w:p>
        </w:tc>
        <w:tc>
          <w:tcPr>
            <w:tcW w:w="992" w:type="dxa"/>
            <w:tcBorders>
              <w:left w:val="single" w:sz="4" w:space="0" w:color="auto"/>
              <w:bottom w:val="single" w:sz="4" w:space="0" w:color="auto"/>
            </w:tcBorders>
            <w:shd w:val="clear" w:color="auto" w:fill="auto"/>
            <w:vAlign w:val="center"/>
          </w:tcPr>
          <w:p w:rsidR="00232A7F" w:rsidRPr="00B97A09" w:rsidRDefault="00232A7F" w:rsidP="00D907AF">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29.2</w:t>
            </w:r>
            <w:r>
              <w:rPr>
                <w:rFonts w:eastAsia="Times New Roman" w:cstheme="minorHAnsi"/>
                <w:color w:val="000000"/>
                <w:sz w:val="20"/>
                <w:szCs w:val="20"/>
                <w:lang w:eastAsia="zh-CN"/>
              </w:rPr>
              <w:t>%</w:t>
            </w:r>
          </w:p>
        </w:tc>
        <w:tc>
          <w:tcPr>
            <w:tcW w:w="992" w:type="dxa"/>
            <w:tcBorders>
              <w:bottom w:val="single" w:sz="4" w:space="0" w:color="auto"/>
            </w:tcBorders>
            <w:shd w:val="clear" w:color="auto" w:fill="auto"/>
            <w:vAlign w:val="center"/>
          </w:tcPr>
          <w:p w:rsidR="00232A7F" w:rsidRPr="00B97A09" w:rsidRDefault="00232A7F" w:rsidP="00D907AF">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29.2</w:t>
            </w:r>
            <w:r>
              <w:rPr>
                <w:rFonts w:eastAsia="Times New Roman" w:cstheme="minorHAnsi"/>
                <w:color w:val="000000"/>
                <w:sz w:val="20"/>
                <w:szCs w:val="20"/>
                <w:lang w:eastAsia="zh-CN"/>
              </w:rPr>
              <w:t>%</w:t>
            </w:r>
          </w:p>
        </w:tc>
        <w:tc>
          <w:tcPr>
            <w:tcW w:w="1134" w:type="dxa"/>
            <w:tcBorders>
              <w:bottom w:val="single" w:sz="4" w:space="0" w:color="auto"/>
            </w:tcBorders>
            <w:shd w:val="clear" w:color="auto" w:fill="auto"/>
            <w:vAlign w:val="center"/>
          </w:tcPr>
          <w:p w:rsidR="00232A7F" w:rsidRPr="00B97A09" w:rsidRDefault="00232A7F" w:rsidP="00D907AF">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0.0</w:t>
            </w:r>
            <w:r>
              <w:rPr>
                <w:rFonts w:eastAsia="Times New Roman" w:cstheme="minorHAnsi"/>
                <w:color w:val="000000"/>
                <w:sz w:val="20"/>
                <w:szCs w:val="20"/>
                <w:lang w:eastAsia="zh-CN"/>
              </w:rPr>
              <w:t>%</w:t>
            </w:r>
          </w:p>
        </w:tc>
        <w:tc>
          <w:tcPr>
            <w:tcW w:w="993" w:type="dxa"/>
            <w:tcBorders>
              <w:bottom w:val="single" w:sz="4" w:space="0" w:color="auto"/>
            </w:tcBorders>
            <w:shd w:val="clear" w:color="auto" w:fill="auto"/>
            <w:vAlign w:val="center"/>
          </w:tcPr>
          <w:p w:rsidR="00232A7F" w:rsidRPr="00B97A09" w:rsidRDefault="00232A7F" w:rsidP="00D907AF">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4.2</w:t>
            </w:r>
            <w:r>
              <w:rPr>
                <w:rFonts w:eastAsia="Times New Roman" w:cstheme="minorHAnsi"/>
                <w:color w:val="000000"/>
                <w:sz w:val="20"/>
                <w:szCs w:val="20"/>
                <w:lang w:eastAsia="zh-CN"/>
              </w:rPr>
              <w:t>%</w:t>
            </w:r>
          </w:p>
        </w:tc>
        <w:tc>
          <w:tcPr>
            <w:tcW w:w="992" w:type="dxa"/>
            <w:tcBorders>
              <w:bottom w:val="single" w:sz="4" w:space="0" w:color="auto"/>
            </w:tcBorders>
            <w:shd w:val="clear" w:color="auto" w:fill="auto"/>
            <w:vAlign w:val="center"/>
          </w:tcPr>
          <w:p w:rsidR="00232A7F" w:rsidRPr="00B97A09" w:rsidRDefault="00232A7F" w:rsidP="00D907AF">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8.3</w:t>
            </w:r>
            <w:r>
              <w:rPr>
                <w:rFonts w:eastAsia="Times New Roman" w:cstheme="minorHAnsi"/>
                <w:color w:val="000000"/>
                <w:sz w:val="20"/>
                <w:szCs w:val="20"/>
                <w:lang w:eastAsia="zh-CN"/>
              </w:rPr>
              <w:t>%</w:t>
            </w:r>
          </w:p>
        </w:tc>
        <w:tc>
          <w:tcPr>
            <w:tcW w:w="992" w:type="dxa"/>
            <w:tcBorders>
              <w:bottom w:val="single" w:sz="4" w:space="0" w:color="auto"/>
            </w:tcBorders>
            <w:shd w:val="clear" w:color="auto" w:fill="auto"/>
            <w:vAlign w:val="center"/>
          </w:tcPr>
          <w:p w:rsidR="00232A7F" w:rsidRPr="00B97A09" w:rsidRDefault="00232A7F" w:rsidP="00D907AF">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29.2</w:t>
            </w:r>
            <w:r>
              <w:rPr>
                <w:rFonts w:eastAsia="Times New Roman" w:cstheme="minorHAnsi"/>
                <w:color w:val="000000"/>
                <w:sz w:val="20"/>
                <w:szCs w:val="20"/>
                <w:lang w:eastAsia="zh-CN"/>
              </w:rPr>
              <w:t>%</w:t>
            </w:r>
          </w:p>
        </w:tc>
        <w:tc>
          <w:tcPr>
            <w:tcW w:w="992" w:type="dxa"/>
            <w:tcBorders>
              <w:bottom w:val="single" w:sz="4" w:space="0" w:color="auto"/>
            </w:tcBorders>
            <w:vAlign w:val="center"/>
          </w:tcPr>
          <w:p w:rsidR="00232A7F" w:rsidRPr="00B97A09" w:rsidRDefault="00232A7F" w:rsidP="00D907AF">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100.0</w:t>
            </w:r>
            <w:r>
              <w:rPr>
                <w:rFonts w:eastAsia="Times New Roman" w:cstheme="minorHAnsi"/>
                <w:color w:val="000000"/>
                <w:sz w:val="20"/>
                <w:szCs w:val="20"/>
                <w:lang w:eastAsia="zh-CN"/>
              </w:rPr>
              <w:t>%</w:t>
            </w:r>
          </w:p>
        </w:tc>
      </w:tr>
      <w:tr w:rsidR="00232A7F" w:rsidRPr="00E877CA" w:rsidTr="006C5CEE">
        <w:tc>
          <w:tcPr>
            <w:tcW w:w="2093" w:type="dxa"/>
            <w:tcBorders>
              <w:top w:val="single" w:sz="4" w:space="0" w:color="auto"/>
            </w:tcBorders>
            <w:shd w:val="clear" w:color="auto" w:fill="auto"/>
            <w:vAlign w:val="bottom"/>
          </w:tcPr>
          <w:p w:rsidR="00232A7F" w:rsidRPr="00B97A09" w:rsidRDefault="00232A7F" w:rsidP="006C5CEE">
            <w:pPr>
              <w:spacing w:before="20" w:after="20"/>
              <w:jc w:val="right"/>
              <w:rPr>
                <w:rFonts w:eastAsia="Times New Roman" w:cstheme="minorHAnsi"/>
                <w:sz w:val="20"/>
                <w:szCs w:val="20"/>
                <w:lang w:eastAsia="zh-CN"/>
              </w:rPr>
            </w:pPr>
            <w:r w:rsidRPr="00B97A09">
              <w:rPr>
                <w:rFonts w:eastAsia="Times New Roman" w:cstheme="minorHAnsi"/>
                <w:b/>
                <w:sz w:val="20"/>
                <w:szCs w:val="20"/>
                <w:lang w:eastAsia="zh-CN"/>
              </w:rPr>
              <w:t>Total</w:t>
            </w:r>
          </w:p>
        </w:tc>
        <w:tc>
          <w:tcPr>
            <w:tcW w:w="992" w:type="dxa"/>
            <w:tcBorders>
              <w:top w:val="single" w:sz="4" w:space="0" w:color="auto"/>
            </w:tcBorders>
            <w:shd w:val="clear" w:color="auto" w:fill="auto"/>
            <w:vAlign w:val="bottom"/>
          </w:tcPr>
          <w:p w:rsidR="00232A7F" w:rsidRPr="00B97A09" w:rsidRDefault="00232A7F" w:rsidP="006C5CEE">
            <w:pPr>
              <w:spacing w:before="0" w:after="0"/>
              <w:jc w:val="right"/>
              <w:rPr>
                <w:rFonts w:eastAsia="Times New Roman" w:cstheme="minorHAnsi"/>
                <w:b/>
                <w:bCs/>
                <w:color w:val="000000"/>
                <w:sz w:val="20"/>
                <w:szCs w:val="20"/>
                <w:lang w:eastAsia="zh-CN"/>
              </w:rPr>
            </w:pPr>
            <w:r w:rsidRPr="00B97A09">
              <w:rPr>
                <w:rFonts w:eastAsia="Times New Roman" w:cstheme="minorHAnsi"/>
                <w:b/>
                <w:bCs/>
                <w:color w:val="000000"/>
                <w:sz w:val="20"/>
                <w:szCs w:val="20"/>
                <w:lang w:eastAsia="zh-CN"/>
              </w:rPr>
              <w:t>93</w:t>
            </w:r>
          </w:p>
        </w:tc>
        <w:tc>
          <w:tcPr>
            <w:tcW w:w="992" w:type="dxa"/>
            <w:tcBorders>
              <w:top w:val="single" w:sz="4" w:space="0" w:color="auto"/>
            </w:tcBorders>
            <w:shd w:val="clear" w:color="auto" w:fill="auto"/>
            <w:vAlign w:val="bottom"/>
          </w:tcPr>
          <w:p w:rsidR="00232A7F" w:rsidRPr="00B97A09" w:rsidRDefault="00232A7F" w:rsidP="006C5CEE">
            <w:pPr>
              <w:spacing w:before="0" w:after="0"/>
              <w:jc w:val="right"/>
              <w:rPr>
                <w:rFonts w:eastAsia="Times New Roman" w:cstheme="minorHAnsi"/>
                <w:b/>
                <w:bCs/>
                <w:color w:val="000000"/>
                <w:sz w:val="20"/>
                <w:szCs w:val="20"/>
                <w:lang w:eastAsia="zh-CN"/>
              </w:rPr>
            </w:pPr>
            <w:r w:rsidRPr="00B97A09">
              <w:rPr>
                <w:rFonts w:eastAsia="Times New Roman" w:cstheme="minorHAnsi"/>
                <w:b/>
                <w:bCs/>
                <w:color w:val="000000"/>
                <w:sz w:val="20"/>
                <w:szCs w:val="20"/>
                <w:lang w:eastAsia="zh-CN"/>
              </w:rPr>
              <w:t>99</w:t>
            </w:r>
          </w:p>
        </w:tc>
        <w:tc>
          <w:tcPr>
            <w:tcW w:w="1134" w:type="dxa"/>
            <w:tcBorders>
              <w:top w:val="single" w:sz="4" w:space="0" w:color="auto"/>
            </w:tcBorders>
            <w:shd w:val="clear" w:color="auto" w:fill="auto"/>
            <w:vAlign w:val="bottom"/>
          </w:tcPr>
          <w:p w:rsidR="00232A7F" w:rsidRPr="00B97A09" w:rsidRDefault="00232A7F" w:rsidP="006C5CEE">
            <w:pPr>
              <w:spacing w:before="0" w:after="0"/>
              <w:jc w:val="right"/>
              <w:rPr>
                <w:rFonts w:eastAsia="Times New Roman" w:cstheme="minorHAnsi"/>
                <w:b/>
                <w:bCs/>
                <w:color w:val="000000"/>
                <w:sz w:val="20"/>
                <w:szCs w:val="20"/>
                <w:lang w:eastAsia="zh-CN"/>
              </w:rPr>
            </w:pPr>
            <w:r w:rsidRPr="00B97A09">
              <w:rPr>
                <w:rFonts w:eastAsia="Times New Roman" w:cstheme="minorHAnsi"/>
                <w:b/>
                <w:bCs/>
                <w:color w:val="000000"/>
                <w:sz w:val="20"/>
                <w:szCs w:val="20"/>
                <w:lang w:eastAsia="zh-CN"/>
              </w:rPr>
              <w:t>26</w:t>
            </w:r>
          </w:p>
        </w:tc>
        <w:tc>
          <w:tcPr>
            <w:tcW w:w="993" w:type="dxa"/>
            <w:tcBorders>
              <w:top w:val="single" w:sz="4" w:space="0" w:color="auto"/>
            </w:tcBorders>
            <w:shd w:val="clear" w:color="auto" w:fill="auto"/>
            <w:vAlign w:val="bottom"/>
          </w:tcPr>
          <w:p w:rsidR="00232A7F" w:rsidRPr="00B97A09" w:rsidRDefault="00232A7F" w:rsidP="006C5CEE">
            <w:pPr>
              <w:spacing w:before="0" w:after="0"/>
              <w:jc w:val="right"/>
              <w:rPr>
                <w:rFonts w:eastAsia="Times New Roman" w:cstheme="minorHAnsi"/>
                <w:b/>
                <w:bCs/>
                <w:color w:val="000000"/>
                <w:sz w:val="20"/>
                <w:szCs w:val="20"/>
                <w:lang w:eastAsia="zh-CN"/>
              </w:rPr>
            </w:pPr>
            <w:r w:rsidRPr="00B97A09">
              <w:rPr>
                <w:rFonts w:eastAsia="Times New Roman" w:cstheme="minorHAnsi"/>
                <w:b/>
                <w:bCs/>
                <w:color w:val="000000"/>
                <w:sz w:val="20"/>
                <w:szCs w:val="20"/>
                <w:lang w:eastAsia="zh-CN"/>
              </w:rPr>
              <w:t>28</w:t>
            </w:r>
          </w:p>
        </w:tc>
        <w:tc>
          <w:tcPr>
            <w:tcW w:w="992" w:type="dxa"/>
            <w:tcBorders>
              <w:top w:val="single" w:sz="4" w:space="0" w:color="auto"/>
            </w:tcBorders>
            <w:shd w:val="clear" w:color="auto" w:fill="auto"/>
            <w:vAlign w:val="bottom"/>
          </w:tcPr>
          <w:p w:rsidR="00232A7F" w:rsidRPr="00B97A09" w:rsidRDefault="00232A7F" w:rsidP="006C5CEE">
            <w:pPr>
              <w:spacing w:before="0" w:after="0"/>
              <w:jc w:val="right"/>
              <w:rPr>
                <w:rFonts w:eastAsia="Times New Roman" w:cstheme="minorHAnsi"/>
                <w:b/>
                <w:bCs/>
                <w:color w:val="000000"/>
                <w:sz w:val="20"/>
                <w:szCs w:val="20"/>
                <w:lang w:eastAsia="zh-CN"/>
              </w:rPr>
            </w:pPr>
            <w:r w:rsidRPr="00B97A09">
              <w:rPr>
                <w:rFonts w:eastAsia="Times New Roman" w:cstheme="minorHAnsi"/>
                <w:b/>
                <w:bCs/>
                <w:color w:val="000000"/>
                <w:sz w:val="20"/>
                <w:szCs w:val="20"/>
                <w:lang w:eastAsia="zh-CN"/>
              </w:rPr>
              <w:t>41</w:t>
            </w:r>
          </w:p>
        </w:tc>
        <w:tc>
          <w:tcPr>
            <w:tcW w:w="992" w:type="dxa"/>
            <w:tcBorders>
              <w:top w:val="single" w:sz="4" w:space="0" w:color="auto"/>
            </w:tcBorders>
            <w:shd w:val="clear" w:color="auto" w:fill="auto"/>
            <w:vAlign w:val="bottom"/>
          </w:tcPr>
          <w:p w:rsidR="00232A7F" w:rsidRPr="00B97A09" w:rsidRDefault="00232A7F" w:rsidP="006C5CEE">
            <w:pPr>
              <w:spacing w:before="0" w:after="0"/>
              <w:jc w:val="right"/>
              <w:rPr>
                <w:rFonts w:eastAsia="Times New Roman" w:cstheme="minorHAnsi"/>
                <w:b/>
                <w:bCs/>
                <w:color w:val="000000"/>
                <w:sz w:val="20"/>
                <w:szCs w:val="20"/>
                <w:lang w:eastAsia="zh-CN"/>
              </w:rPr>
            </w:pPr>
            <w:r w:rsidRPr="00B97A09">
              <w:rPr>
                <w:rFonts w:eastAsia="Times New Roman" w:cstheme="minorHAnsi"/>
                <w:b/>
                <w:bCs/>
                <w:color w:val="000000"/>
                <w:sz w:val="20"/>
                <w:szCs w:val="20"/>
                <w:lang w:eastAsia="zh-CN"/>
              </w:rPr>
              <w:t>13</w:t>
            </w:r>
          </w:p>
        </w:tc>
        <w:tc>
          <w:tcPr>
            <w:tcW w:w="992" w:type="dxa"/>
            <w:tcBorders>
              <w:top w:val="single" w:sz="4" w:space="0" w:color="auto"/>
            </w:tcBorders>
            <w:vAlign w:val="bottom"/>
          </w:tcPr>
          <w:p w:rsidR="00232A7F" w:rsidRPr="00B97A09" w:rsidRDefault="00232A7F" w:rsidP="006C5CEE">
            <w:pPr>
              <w:spacing w:before="0" w:after="0"/>
              <w:jc w:val="right"/>
              <w:rPr>
                <w:rFonts w:eastAsia="Times New Roman" w:cstheme="minorHAnsi"/>
                <w:b/>
                <w:bCs/>
                <w:color w:val="000000"/>
                <w:sz w:val="20"/>
                <w:szCs w:val="20"/>
                <w:lang w:eastAsia="zh-CN"/>
              </w:rPr>
            </w:pPr>
            <w:r w:rsidRPr="00B97A09">
              <w:rPr>
                <w:rFonts w:eastAsia="Times New Roman" w:cstheme="minorHAnsi"/>
                <w:b/>
                <w:bCs/>
                <w:color w:val="000000"/>
                <w:sz w:val="20"/>
                <w:szCs w:val="20"/>
                <w:lang w:eastAsia="zh-CN"/>
              </w:rPr>
              <w:t>300</w:t>
            </w:r>
          </w:p>
        </w:tc>
      </w:tr>
      <w:tr w:rsidR="00232A7F" w:rsidRPr="00E877CA" w:rsidTr="006C5CEE">
        <w:tc>
          <w:tcPr>
            <w:tcW w:w="2093" w:type="dxa"/>
            <w:tcBorders>
              <w:bottom w:val="single" w:sz="4" w:space="0" w:color="auto"/>
            </w:tcBorders>
            <w:shd w:val="clear" w:color="auto" w:fill="auto"/>
            <w:vAlign w:val="bottom"/>
          </w:tcPr>
          <w:p w:rsidR="00232A7F" w:rsidRPr="00B97A09" w:rsidRDefault="00232A7F" w:rsidP="006C5CEE">
            <w:pPr>
              <w:spacing w:before="20" w:after="20"/>
              <w:jc w:val="right"/>
              <w:rPr>
                <w:rFonts w:eastAsia="Times New Roman" w:cstheme="minorHAnsi"/>
                <w:b/>
                <w:sz w:val="20"/>
                <w:szCs w:val="20"/>
                <w:lang w:eastAsia="zh-CN"/>
              </w:rPr>
            </w:pPr>
          </w:p>
        </w:tc>
        <w:tc>
          <w:tcPr>
            <w:tcW w:w="992" w:type="dxa"/>
            <w:tcBorders>
              <w:bottom w:val="single" w:sz="4" w:space="0" w:color="auto"/>
            </w:tcBorders>
            <w:shd w:val="clear" w:color="auto" w:fill="auto"/>
            <w:vAlign w:val="bottom"/>
          </w:tcPr>
          <w:p w:rsidR="00232A7F" w:rsidRPr="00B97A09" w:rsidRDefault="00232A7F" w:rsidP="006C5CEE">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31.0</w:t>
            </w:r>
            <w:r>
              <w:rPr>
                <w:rFonts w:eastAsia="Times New Roman" w:cstheme="minorHAnsi"/>
                <w:color w:val="000000"/>
                <w:sz w:val="20"/>
                <w:szCs w:val="20"/>
                <w:lang w:eastAsia="zh-CN"/>
              </w:rPr>
              <w:t>%</w:t>
            </w:r>
          </w:p>
        </w:tc>
        <w:tc>
          <w:tcPr>
            <w:tcW w:w="992" w:type="dxa"/>
            <w:tcBorders>
              <w:bottom w:val="single" w:sz="4" w:space="0" w:color="auto"/>
            </w:tcBorders>
            <w:shd w:val="clear" w:color="auto" w:fill="auto"/>
            <w:vAlign w:val="bottom"/>
          </w:tcPr>
          <w:p w:rsidR="00232A7F" w:rsidRPr="00B97A09" w:rsidRDefault="00232A7F" w:rsidP="006C5CEE">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33.0</w:t>
            </w:r>
            <w:r>
              <w:rPr>
                <w:rFonts w:eastAsia="Times New Roman" w:cstheme="minorHAnsi"/>
                <w:color w:val="000000"/>
                <w:sz w:val="20"/>
                <w:szCs w:val="20"/>
                <w:lang w:eastAsia="zh-CN"/>
              </w:rPr>
              <w:t>%</w:t>
            </w:r>
          </w:p>
        </w:tc>
        <w:tc>
          <w:tcPr>
            <w:tcW w:w="1134" w:type="dxa"/>
            <w:tcBorders>
              <w:bottom w:val="single" w:sz="4" w:space="0" w:color="auto"/>
            </w:tcBorders>
            <w:shd w:val="clear" w:color="auto" w:fill="auto"/>
            <w:vAlign w:val="bottom"/>
          </w:tcPr>
          <w:p w:rsidR="00232A7F" w:rsidRPr="00B97A09" w:rsidRDefault="00232A7F" w:rsidP="006C5CEE">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8.7</w:t>
            </w:r>
            <w:r>
              <w:rPr>
                <w:rFonts w:eastAsia="Times New Roman" w:cstheme="minorHAnsi"/>
                <w:color w:val="000000"/>
                <w:sz w:val="20"/>
                <w:szCs w:val="20"/>
                <w:lang w:eastAsia="zh-CN"/>
              </w:rPr>
              <w:t>%</w:t>
            </w:r>
          </w:p>
        </w:tc>
        <w:tc>
          <w:tcPr>
            <w:tcW w:w="993" w:type="dxa"/>
            <w:tcBorders>
              <w:bottom w:val="single" w:sz="4" w:space="0" w:color="auto"/>
            </w:tcBorders>
            <w:shd w:val="clear" w:color="auto" w:fill="auto"/>
            <w:vAlign w:val="bottom"/>
          </w:tcPr>
          <w:p w:rsidR="00232A7F" w:rsidRPr="00B97A09" w:rsidRDefault="00232A7F" w:rsidP="006C5CEE">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9.3</w:t>
            </w:r>
            <w:r>
              <w:rPr>
                <w:rFonts w:eastAsia="Times New Roman" w:cstheme="minorHAnsi"/>
                <w:color w:val="000000"/>
                <w:sz w:val="20"/>
                <w:szCs w:val="20"/>
                <w:lang w:eastAsia="zh-CN"/>
              </w:rPr>
              <w:t>%</w:t>
            </w:r>
          </w:p>
        </w:tc>
        <w:tc>
          <w:tcPr>
            <w:tcW w:w="992" w:type="dxa"/>
            <w:tcBorders>
              <w:bottom w:val="single" w:sz="4" w:space="0" w:color="auto"/>
            </w:tcBorders>
            <w:shd w:val="clear" w:color="auto" w:fill="auto"/>
            <w:vAlign w:val="bottom"/>
          </w:tcPr>
          <w:p w:rsidR="00232A7F" w:rsidRPr="00B97A09" w:rsidRDefault="00232A7F" w:rsidP="006C5CEE">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13.7</w:t>
            </w:r>
            <w:r>
              <w:rPr>
                <w:rFonts w:eastAsia="Times New Roman" w:cstheme="minorHAnsi"/>
                <w:color w:val="000000"/>
                <w:sz w:val="20"/>
                <w:szCs w:val="20"/>
                <w:lang w:eastAsia="zh-CN"/>
              </w:rPr>
              <w:t>%</w:t>
            </w:r>
          </w:p>
        </w:tc>
        <w:tc>
          <w:tcPr>
            <w:tcW w:w="992" w:type="dxa"/>
            <w:tcBorders>
              <w:bottom w:val="single" w:sz="4" w:space="0" w:color="auto"/>
            </w:tcBorders>
            <w:shd w:val="clear" w:color="auto" w:fill="auto"/>
            <w:vAlign w:val="bottom"/>
          </w:tcPr>
          <w:p w:rsidR="00232A7F" w:rsidRPr="00B97A09" w:rsidRDefault="00232A7F" w:rsidP="006C5CEE">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4.3</w:t>
            </w:r>
            <w:r>
              <w:rPr>
                <w:rFonts w:eastAsia="Times New Roman" w:cstheme="minorHAnsi"/>
                <w:color w:val="000000"/>
                <w:sz w:val="20"/>
                <w:szCs w:val="20"/>
                <w:lang w:eastAsia="zh-CN"/>
              </w:rPr>
              <w:t>%</w:t>
            </w:r>
          </w:p>
        </w:tc>
        <w:tc>
          <w:tcPr>
            <w:tcW w:w="992" w:type="dxa"/>
            <w:tcBorders>
              <w:bottom w:val="single" w:sz="4" w:space="0" w:color="auto"/>
            </w:tcBorders>
            <w:vAlign w:val="bottom"/>
          </w:tcPr>
          <w:p w:rsidR="00232A7F" w:rsidRPr="00B97A09" w:rsidRDefault="00232A7F" w:rsidP="006C5CEE">
            <w:pPr>
              <w:spacing w:before="0" w:after="0"/>
              <w:jc w:val="right"/>
              <w:rPr>
                <w:rFonts w:eastAsia="Times New Roman" w:cstheme="minorHAnsi"/>
                <w:color w:val="000000"/>
                <w:sz w:val="20"/>
                <w:szCs w:val="20"/>
                <w:lang w:eastAsia="zh-CN"/>
              </w:rPr>
            </w:pPr>
            <w:r>
              <w:rPr>
                <w:rFonts w:eastAsia="Times New Roman" w:cstheme="minorHAnsi"/>
                <w:color w:val="000000"/>
                <w:sz w:val="20"/>
                <w:szCs w:val="20"/>
                <w:lang w:eastAsia="zh-CN"/>
              </w:rPr>
              <w:t xml:space="preserve"> </w:t>
            </w:r>
            <w:r w:rsidRPr="00B97A09">
              <w:rPr>
                <w:rFonts w:eastAsia="Times New Roman" w:cstheme="minorHAnsi"/>
                <w:color w:val="000000"/>
                <w:sz w:val="20"/>
                <w:szCs w:val="20"/>
                <w:lang w:eastAsia="zh-CN"/>
              </w:rPr>
              <w:t>100.0</w:t>
            </w:r>
            <w:r>
              <w:rPr>
                <w:rFonts w:eastAsia="Times New Roman" w:cstheme="minorHAnsi"/>
                <w:color w:val="000000"/>
                <w:sz w:val="20"/>
                <w:szCs w:val="20"/>
                <w:lang w:eastAsia="zh-CN"/>
              </w:rPr>
              <w:t>%</w:t>
            </w:r>
          </w:p>
        </w:tc>
      </w:tr>
    </w:tbl>
    <w:p w:rsidR="00D907AF" w:rsidRPr="00660446" w:rsidRDefault="00D907AF" w:rsidP="006C7BE7">
      <w:pPr>
        <w:pStyle w:val="NILSTabletext"/>
      </w:pPr>
      <w:r w:rsidRPr="00660446">
        <w:t xml:space="preserve">Note: </w:t>
      </w:r>
      <w:r>
        <w:t>t</w:t>
      </w:r>
      <w:r w:rsidRPr="00660446">
        <w:t>rial aged 16 and above current</w:t>
      </w:r>
      <w:r>
        <w:t xml:space="preserve">ly </w:t>
      </w:r>
      <w:r w:rsidRPr="00660446">
        <w:t>receiving</w:t>
      </w:r>
      <w:r>
        <w:t xml:space="preserve"> NDIS</w:t>
      </w:r>
      <w:r w:rsidRPr="00660446">
        <w:t xml:space="preserve"> supports</w:t>
      </w:r>
      <w:r>
        <w:t xml:space="preserve"> and </w:t>
      </w:r>
      <w:r w:rsidRPr="00660446">
        <w:t>received supports before joining the NDIS</w:t>
      </w:r>
      <w:r>
        <w:t>.</w:t>
      </w:r>
      <w:r w:rsidRPr="00660446">
        <w:t xml:space="preserve"> </w:t>
      </w:r>
    </w:p>
    <w:p w:rsidR="003A2B16" w:rsidRDefault="003A2B16">
      <w:r>
        <w:br w:type="page"/>
      </w:r>
    </w:p>
    <w:p w:rsidR="00310628" w:rsidRDefault="00E6455B" w:rsidP="00310628">
      <w:pPr>
        <w:spacing w:after="240"/>
      </w:pPr>
      <w:r>
        <w:lastRenderedPageBreak/>
        <w:t xml:space="preserve">The survey </w:t>
      </w:r>
      <w:r w:rsidR="00D907AF">
        <w:t xml:space="preserve">asked </w:t>
      </w:r>
      <w:r>
        <w:t xml:space="preserve">respondents </w:t>
      </w:r>
      <w:r w:rsidR="00D907AF">
        <w:t xml:space="preserve">where they would like to have more choice. Table 3.70 offers a rich set of options allowing for multiple responses. </w:t>
      </w:r>
      <w:r>
        <w:t>R</w:t>
      </w:r>
      <w:r w:rsidR="00D907AF">
        <w:t>espondents have suggested an average of 2.4 areas each. Notably the ‘other’ category is not very populated which suggests that the list provided is comprehensive. Many of the selected areas of activity are already within the scope of the NDIS to support, for example, personal supports within or outside the home. Here the suggestion would be that people are seeking more intensive support. Other areas, however, are not (directly or indirectly) covered by the NDIS, for example the initiation or maintenance of friendships, or housing and health, suggesting potential shifts in the type of demanded supports.</w:t>
      </w:r>
    </w:p>
    <w:p w:rsidR="00D907AF" w:rsidRDefault="00D907AF" w:rsidP="0044684E">
      <w:pPr>
        <w:pStyle w:val="NILSTableHeading"/>
      </w:pPr>
      <w:bookmarkStart w:id="459" w:name="_Toc428280721"/>
      <w:bookmarkStart w:id="460" w:name="_Toc449955332"/>
      <w:r>
        <w:rPr>
          <w:rFonts w:hint="eastAsia"/>
        </w:rPr>
        <w:t>Table 3.7</w:t>
      </w:r>
      <w:r>
        <w:t>0</w:t>
      </w:r>
      <w:r w:rsidRPr="00233E8A">
        <w:rPr>
          <w:rFonts w:hint="eastAsia"/>
        </w:rPr>
        <w:t xml:space="preserve">: </w:t>
      </w:r>
      <w:r>
        <w:t>In w</w:t>
      </w:r>
      <w:r>
        <w:rPr>
          <w:rFonts w:hint="eastAsia"/>
        </w:rPr>
        <w:t>hich areas of disability supports would you like to have more choice</w:t>
      </w:r>
      <w:r>
        <w:t>?</w:t>
      </w:r>
      <w:bookmarkEnd w:id="459"/>
      <w:bookmarkEnd w:id="460"/>
    </w:p>
    <w:tbl>
      <w:tblPr>
        <w:tblStyle w:val="TableGrid"/>
        <w:tblW w:w="9293" w:type="dxa"/>
        <w:tblLayout w:type="fixed"/>
        <w:tblLook w:val="04A0" w:firstRow="1" w:lastRow="0" w:firstColumn="1" w:lastColumn="0" w:noHBand="0" w:noVBand="1"/>
        <w:tblCaption w:val="Table 3.70 In which areas of disability supports would you like to have more choice?"/>
      </w:tblPr>
      <w:tblGrid>
        <w:gridCol w:w="4077"/>
        <w:gridCol w:w="794"/>
        <w:gridCol w:w="794"/>
        <w:gridCol w:w="1077"/>
        <w:gridCol w:w="1134"/>
        <w:gridCol w:w="708"/>
        <w:gridCol w:w="709"/>
      </w:tblGrid>
      <w:tr w:rsidR="001B74EE" w:rsidRPr="0087485F" w:rsidTr="00502F03">
        <w:trPr>
          <w:cantSplit/>
          <w:tblHeader/>
        </w:trPr>
        <w:tc>
          <w:tcPr>
            <w:tcW w:w="4077" w:type="dxa"/>
            <w:tcBorders>
              <w:top w:val="single" w:sz="4" w:space="0" w:color="auto"/>
              <w:bottom w:val="single" w:sz="4" w:space="0" w:color="auto"/>
            </w:tcBorders>
            <w:shd w:val="clear" w:color="auto" w:fill="auto"/>
          </w:tcPr>
          <w:p w:rsidR="00D907AF" w:rsidRPr="003A2B16" w:rsidRDefault="00D907AF" w:rsidP="00D907AF">
            <w:pPr>
              <w:spacing w:before="20" w:after="20"/>
              <w:rPr>
                <w:rFonts w:cstheme="minorHAnsi"/>
                <w:sz w:val="19"/>
                <w:szCs w:val="19"/>
              </w:rPr>
            </w:pPr>
            <w:bookmarkStart w:id="461" w:name="Title_3_70"/>
            <w:bookmarkEnd w:id="461"/>
          </w:p>
        </w:tc>
        <w:tc>
          <w:tcPr>
            <w:tcW w:w="794" w:type="dxa"/>
            <w:tcBorders>
              <w:top w:val="single" w:sz="4" w:space="0" w:color="auto"/>
              <w:bottom w:val="single" w:sz="4" w:space="0" w:color="auto"/>
            </w:tcBorders>
            <w:shd w:val="clear" w:color="auto" w:fill="auto"/>
          </w:tcPr>
          <w:p w:rsidR="00D907AF" w:rsidRPr="003A2B16" w:rsidRDefault="00AD0950" w:rsidP="001B74EE">
            <w:pPr>
              <w:spacing w:before="20" w:after="20"/>
              <w:jc w:val="center"/>
              <w:rPr>
                <w:rFonts w:cstheme="minorHAnsi"/>
                <w:sz w:val="19"/>
                <w:szCs w:val="19"/>
              </w:rPr>
            </w:pPr>
            <w:r w:rsidRPr="003A2B16">
              <w:rPr>
                <w:rFonts w:cstheme="minorHAnsi"/>
                <w:sz w:val="19"/>
                <w:szCs w:val="19"/>
              </w:rPr>
              <w:t>Trial</w:t>
            </w:r>
            <w:r w:rsidR="00AF4F4E" w:rsidRPr="003A2B16">
              <w:rPr>
                <w:rFonts w:cstheme="minorHAnsi"/>
                <w:sz w:val="19"/>
                <w:szCs w:val="19"/>
              </w:rPr>
              <w:t xml:space="preserve"> Cases</w:t>
            </w:r>
          </w:p>
        </w:tc>
        <w:tc>
          <w:tcPr>
            <w:tcW w:w="794" w:type="dxa"/>
            <w:tcBorders>
              <w:top w:val="single" w:sz="4" w:space="0" w:color="auto"/>
              <w:bottom w:val="single" w:sz="4" w:space="0" w:color="auto"/>
            </w:tcBorders>
            <w:shd w:val="clear" w:color="auto" w:fill="auto"/>
          </w:tcPr>
          <w:p w:rsidR="00502F03" w:rsidRPr="003A2B16" w:rsidRDefault="00AD0950" w:rsidP="001B74EE">
            <w:pPr>
              <w:spacing w:before="20" w:after="20"/>
              <w:jc w:val="center"/>
              <w:rPr>
                <w:rFonts w:cstheme="minorHAnsi"/>
                <w:sz w:val="19"/>
                <w:szCs w:val="19"/>
              </w:rPr>
            </w:pPr>
            <w:r w:rsidRPr="003A2B16">
              <w:rPr>
                <w:rFonts w:cstheme="minorHAnsi"/>
                <w:sz w:val="19"/>
                <w:szCs w:val="19"/>
              </w:rPr>
              <w:t>Trial</w:t>
            </w:r>
            <w:r w:rsidR="001B74EE" w:rsidRPr="003A2B16">
              <w:rPr>
                <w:rFonts w:cstheme="minorHAnsi"/>
                <w:sz w:val="19"/>
                <w:szCs w:val="19"/>
              </w:rPr>
              <w:t xml:space="preserve"> </w:t>
            </w:r>
          </w:p>
          <w:p w:rsidR="00D907AF" w:rsidRPr="003A2B16" w:rsidRDefault="00D907AF" w:rsidP="001B74EE">
            <w:pPr>
              <w:spacing w:before="20" w:after="20"/>
              <w:jc w:val="center"/>
              <w:rPr>
                <w:rFonts w:cstheme="minorHAnsi"/>
                <w:sz w:val="19"/>
                <w:szCs w:val="19"/>
              </w:rPr>
            </w:pPr>
            <w:r w:rsidRPr="003A2B16">
              <w:rPr>
                <w:rFonts w:cstheme="minorHAnsi"/>
                <w:sz w:val="19"/>
                <w:szCs w:val="19"/>
              </w:rPr>
              <w:t>%</w:t>
            </w:r>
          </w:p>
        </w:tc>
        <w:tc>
          <w:tcPr>
            <w:tcW w:w="1077" w:type="dxa"/>
            <w:tcBorders>
              <w:top w:val="single" w:sz="4" w:space="0" w:color="auto"/>
              <w:bottom w:val="single" w:sz="4" w:space="0" w:color="auto"/>
            </w:tcBorders>
            <w:shd w:val="clear" w:color="auto" w:fill="auto"/>
          </w:tcPr>
          <w:p w:rsidR="00D907AF" w:rsidRPr="003A2B16" w:rsidRDefault="00AD0950" w:rsidP="001B74EE">
            <w:pPr>
              <w:spacing w:before="20" w:after="20"/>
              <w:ind w:left="-108"/>
              <w:jc w:val="center"/>
              <w:rPr>
                <w:rFonts w:cstheme="minorHAnsi"/>
                <w:sz w:val="19"/>
                <w:szCs w:val="19"/>
              </w:rPr>
            </w:pPr>
            <w:r w:rsidRPr="003A2B16">
              <w:rPr>
                <w:rFonts w:cstheme="minorHAnsi"/>
                <w:sz w:val="19"/>
                <w:szCs w:val="19"/>
              </w:rPr>
              <w:t>Comparison</w:t>
            </w:r>
            <w:r w:rsidR="00AF4F4E" w:rsidRPr="003A2B16">
              <w:rPr>
                <w:rFonts w:cstheme="minorHAnsi"/>
                <w:sz w:val="19"/>
                <w:szCs w:val="19"/>
              </w:rPr>
              <w:t xml:space="preserve"> Cases</w:t>
            </w:r>
          </w:p>
        </w:tc>
        <w:tc>
          <w:tcPr>
            <w:tcW w:w="1134" w:type="dxa"/>
            <w:tcBorders>
              <w:top w:val="single" w:sz="4" w:space="0" w:color="auto"/>
              <w:bottom w:val="single" w:sz="4" w:space="0" w:color="auto"/>
            </w:tcBorders>
            <w:shd w:val="clear" w:color="auto" w:fill="auto"/>
          </w:tcPr>
          <w:p w:rsidR="00D907AF" w:rsidRPr="003A2B16" w:rsidRDefault="00AD0950" w:rsidP="001B74EE">
            <w:pPr>
              <w:spacing w:before="20" w:after="20"/>
              <w:ind w:left="-108"/>
              <w:jc w:val="center"/>
              <w:rPr>
                <w:rFonts w:cstheme="minorHAnsi"/>
                <w:sz w:val="19"/>
                <w:szCs w:val="19"/>
              </w:rPr>
            </w:pPr>
            <w:r w:rsidRPr="003A2B16">
              <w:rPr>
                <w:rFonts w:cstheme="minorHAnsi"/>
                <w:sz w:val="19"/>
                <w:szCs w:val="19"/>
              </w:rPr>
              <w:t xml:space="preserve">Comparison </w:t>
            </w:r>
            <w:r w:rsidR="00D907AF" w:rsidRPr="003A2B16">
              <w:rPr>
                <w:rFonts w:cstheme="minorHAnsi"/>
                <w:sz w:val="19"/>
                <w:szCs w:val="19"/>
              </w:rPr>
              <w:t>%</w:t>
            </w:r>
          </w:p>
        </w:tc>
        <w:tc>
          <w:tcPr>
            <w:tcW w:w="708" w:type="dxa"/>
            <w:tcBorders>
              <w:top w:val="single" w:sz="4" w:space="0" w:color="auto"/>
              <w:bottom w:val="single" w:sz="4" w:space="0" w:color="auto"/>
            </w:tcBorders>
            <w:shd w:val="clear" w:color="auto" w:fill="auto"/>
          </w:tcPr>
          <w:p w:rsidR="00D907AF" w:rsidRPr="003A2B16" w:rsidRDefault="00AD0950" w:rsidP="001B74EE">
            <w:pPr>
              <w:spacing w:before="20" w:after="20"/>
              <w:jc w:val="center"/>
              <w:rPr>
                <w:rFonts w:cstheme="minorHAnsi"/>
                <w:sz w:val="19"/>
                <w:szCs w:val="19"/>
              </w:rPr>
            </w:pPr>
            <w:r w:rsidRPr="003A2B16">
              <w:rPr>
                <w:rFonts w:cstheme="minorHAnsi"/>
                <w:sz w:val="19"/>
                <w:szCs w:val="19"/>
              </w:rPr>
              <w:t>Total</w:t>
            </w:r>
            <w:r w:rsidR="00AF4F4E" w:rsidRPr="003A2B16">
              <w:rPr>
                <w:rFonts w:cstheme="minorHAnsi"/>
                <w:sz w:val="19"/>
                <w:szCs w:val="19"/>
              </w:rPr>
              <w:t xml:space="preserve"> Cases</w:t>
            </w:r>
          </w:p>
        </w:tc>
        <w:tc>
          <w:tcPr>
            <w:tcW w:w="709" w:type="dxa"/>
            <w:tcBorders>
              <w:top w:val="single" w:sz="4" w:space="0" w:color="auto"/>
              <w:bottom w:val="single" w:sz="4" w:space="0" w:color="auto"/>
            </w:tcBorders>
            <w:shd w:val="clear" w:color="auto" w:fill="auto"/>
          </w:tcPr>
          <w:p w:rsidR="00D907AF" w:rsidRPr="003A2B16" w:rsidRDefault="00AD0950" w:rsidP="001B74EE">
            <w:pPr>
              <w:spacing w:before="20" w:after="20"/>
              <w:jc w:val="center"/>
              <w:rPr>
                <w:rFonts w:cstheme="minorHAnsi"/>
                <w:sz w:val="19"/>
                <w:szCs w:val="19"/>
              </w:rPr>
            </w:pPr>
            <w:r w:rsidRPr="003A2B16">
              <w:rPr>
                <w:rFonts w:cstheme="minorHAnsi"/>
                <w:sz w:val="19"/>
                <w:szCs w:val="19"/>
              </w:rPr>
              <w:t>Total</w:t>
            </w:r>
            <w:r w:rsidR="00D907AF" w:rsidRPr="003A2B16">
              <w:rPr>
                <w:rFonts w:cstheme="minorHAnsi"/>
                <w:sz w:val="19"/>
                <w:szCs w:val="19"/>
              </w:rPr>
              <w:t>%</w:t>
            </w:r>
          </w:p>
        </w:tc>
      </w:tr>
      <w:tr w:rsidR="00D907AF" w:rsidRPr="0087485F" w:rsidTr="00502F03">
        <w:trPr>
          <w:trHeight w:val="227"/>
        </w:trPr>
        <w:tc>
          <w:tcPr>
            <w:tcW w:w="4077" w:type="dxa"/>
            <w:shd w:val="clear" w:color="auto" w:fill="auto"/>
          </w:tcPr>
          <w:p w:rsidR="00D907AF" w:rsidRPr="003A2B16" w:rsidRDefault="00D907AF" w:rsidP="00D907AF">
            <w:pPr>
              <w:spacing w:before="20" w:after="20"/>
              <w:rPr>
                <w:rFonts w:cstheme="minorHAnsi"/>
                <w:sz w:val="19"/>
                <w:szCs w:val="19"/>
              </w:rPr>
            </w:pPr>
            <w:r w:rsidRPr="003A2B16">
              <w:rPr>
                <w:rFonts w:cstheme="minorHAnsi"/>
                <w:sz w:val="19"/>
                <w:szCs w:val="19"/>
              </w:rPr>
              <w:t>Personal support in his/her home</w:t>
            </w:r>
          </w:p>
        </w:tc>
        <w:tc>
          <w:tcPr>
            <w:tcW w:w="794" w:type="dxa"/>
            <w:shd w:val="clear" w:color="auto" w:fill="auto"/>
            <w:vAlign w:val="center"/>
          </w:tcPr>
          <w:p w:rsidR="00D907AF" w:rsidRPr="003A2B16" w:rsidRDefault="00D907AF" w:rsidP="00502F03">
            <w:pPr>
              <w:spacing w:before="20" w:after="20"/>
              <w:ind w:right="113"/>
              <w:jc w:val="right"/>
              <w:rPr>
                <w:rFonts w:cstheme="minorHAnsi"/>
                <w:color w:val="000000"/>
                <w:sz w:val="19"/>
                <w:szCs w:val="19"/>
              </w:rPr>
            </w:pPr>
            <w:r w:rsidRPr="003A2B16">
              <w:rPr>
                <w:rFonts w:cstheme="minorHAnsi"/>
                <w:color w:val="000000"/>
                <w:sz w:val="19"/>
                <w:szCs w:val="19"/>
              </w:rPr>
              <w:t>93</w:t>
            </w:r>
          </w:p>
        </w:tc>
        <w:tc>
          <w:tcPr>
            <w:tcW w:w="794" w:type="dxa"/>
            <w:shd w:val="clear" w:color="auto" w:fill="auto"/>
            <w:vAlign w:val="center"/>
          </w:tcPr>
          <w:p w:rsidR="00D907AF" w:rsidRPr="003A2B16" w:rsidRDefault="00D907AF" w:rsidP="00D907AF">
            <w:pPr>
              <w:spacing w:before="20" w:after="20"/>
              <w:jc w:val="right"/>
              <w:rPr>
                <w:rFonts w:cstheme="minorHAnsi"/>
                <w:color w:val="000000"/>
                <w:sz w:val="19"/>
                <w:szCs w:val="19"/>
              </w:rPr>
            </w:pPr>
            <w:r w:rsidRPr="003A2B16">
              <w:rPr>
                <w:rFonts w:cstheme="minorHAnsi"/>
                <w:color w:val="000000"/>
                <w:sz w:val="19"/>
                <w:szCs w:val="19"/>
              </w:rPr>
              <w:t>24.4</w:t>
            </w:r>
          </w:p>
        </w:tc>
        <w:tc>
          <w:tcPr>
            <w:tcW w:w="1077" w:type="dxa"/>
            <w:shd w:val="clear" w:color="auto" w:fill="auto"/>
            <w:vAlign w:val="center"/>
          </w:tcPr>
          <w:p w:rsidR="00D907AF" w:rsidRPr="003A2B16" w:rsidRDefault="00D907AF" w:rsidP="00502F03">
            <w:pPr>
              <w:spacing w:before="20" w:after="20"/>
              <w:ind w:right="284"/>
              <w:jc w:val="right"/>
              <w:rPr>
                <w:rFonts w:cstheme="minorHAnsi"/>
                <w:color w:val="000000"/>
                <w:sz w:val="19"/>
                <w:szCs w:val="19"/>
              </w:rPr>
            </w:pPr>
            <w:r w:rsidRPr="003A2B16">
              <w:rPr>
                <w:rFonts w:cstheme="minorHAnsi"/>
                <w:color w:val="000000"/>
                <w:sz w:val="19"/>
                <w:szCs w:val="19"/>
              </w:rPr>
              <w:t>87</w:t>
            </w:r>
          </w:p>
        </w:tc>
        <w:tc>
          <w:tcPr>
            <w:tcW w:w="1134" w:type="dxa"/>
            <w:shd w:val="clear" w:color="auto" w:fill="auto"/>
            <w:vAlign w:val="center"/>
          </w:tcPr>
          <w:p w:rsidR="00D907AF" w:rsidRPr="003A2B16" w:rsidRDefault="00D907AF" w:rsidP="00FF1B62">
            <w:pPr>
              <w:spacing w:before="20" w:after="20"/>
              <w:ind w:right="284"/>
              <w:jc w:val="right"/>
              <w:rPr>
                <w:rFonts w:cstheme="minorHAnsi"/>
                <w:color w:val="000000"/>
                <w:sz w:val="19"/>
                <w:szCs w:val="19"/>
              </w:rPr>
            </w:pPr>
            <w:r w:rsidRPr="003A2B16">
              <w:rPr>
                <w:rFonts w:cstheme="minorHAnsi"/>
                <w:color w:val="000000"/>
                <w:sz w:val="19"/>
                <w:szCs w:val="19"/>
              </w:rPr>
              <w:t>26.9</w:t>
            </w:r>
          </w:p>
        </w:tc>
        <w:tc>
          <w:tcPr>
            <w:tcW w:w="708" w:type="dxa"/>
            <w:shd w:val="clear" w:color="auto" w:fill="auto"/>
            <w:vAlign w:val="center"/>
          </w:tcPr>
          <w:p w:rsidR="00D907AF" w:rsidRPr="003A2B16" w:rsidRDefault="00D907AF" w:rsidP="00502F03">
            <w:pPr>
              <w:spacing w:before="20" w:after="20"/>
              <w:ind w:right="113"/>
              <w:jc w:val="right"/>
              <w:rPr>
                <w:rFonts w:cstheme="minorHAnsi"/>
                <w:color w:val="000000"/>
                <w:sz w:val="19"/>
                <w:szCs w:val="19"/>
              </w:rPr>
            </w:pPr>
            <w:r w:rsidRPr="003A2B16">
              <w:rPr>
                <w:rFonts w:cstheme="minorHAnsi"/>
                <w:color w:val="000000"/>
                <w:sz w:val="19"/>
                <w:szCs w:val="19"/>
              </w:rPr>
              <w:t>180</w:t>
            </w:r>
          </w:p>
        </w:tc>
        <w:tc>
          <w:tcPr>
            <w:tcW w:w="709" w:type="dxa"/>
            <w:shd w:val="clear" w:color="auto" w:fill="auto"/>
            <w:vAlign w:val="center"/>
          </w:tcPr>
          <w:p w:rsidR="00D907AF" w:rsidRPr="003A2B16" w:rsidRDefault="00D907AF" w:rsidP="00D907AF">
            <w:pPr>
              <w:spacing w:before="20" w:after="20"/>
              <w:jc w:val="right"/>
              <w:rPr>
                <w:rFonts w:cstheme="minorHAnsi"/>
                <w:color w:val="000000"/>
                <w:sz w:val="19"/>
                <w:szCs w:val="19"/>
              </w:rPr>
            </w:pPr>
            <w:r w:rsidRPr="003A2B16">
              <w:rPr>
                <w:rFonts w:cstheme="minorHAnsi"/>
                <w:color w:val="000000"/>
                <w:sz w:val="19"/>
                <w:szCs w:val="19"/>
              </w:rPr>
              <w:t>25.5</w:t>
            </w:r>
          </w:p>
        </w:tc>
      </w:tr>
      <w:tr w:rsidR="00D907AF" w:rsidRPr="0087485F" w:rsidTr="00502F03">
        <w:trPr>
          <w:trHeight w:val="227"/>
        </w:trPr>
        <w:tc>
          <w:tcPr>
            <w:tcW w:w="4077" w:type="dxa"/>
            <w:shd w:val="clear" w:color="auto" w:fill="auto"/>
          </w:tcPr>
          <w:p w:rsidR="00D907AF" w:rsidRPr="003A2B16" w:rsidRDefault="00D907AF" w:rsidP="00D907AF">
            <w:pPr>
              <w:spacing w:before="20" w:after="20"/>
              <w:rPr>
                <w:rFonts w:cstheme="minorHAnsi"/>
                <w:sz w:val="19"/>
                <w:szCs w:val="19"/>
              </w:rPr>
            </w:pPr>
            <w:r w:rsidRPr="003A2B16">
              <w:rPr>
                <w:rFonts w:cstheme="minorHAnsi"/>
                <w:sz w:val="19"/>
                <w:szCs w:val="19"/>
              </w:rPr>
              <w:t>Personal support outside his/her home</w:t>
            </w:r>
          </w:p>
        </w:tc>
        <w:tc>
          <w:tcPr>
            <w:tcW w:w="794" w:type="dxa"/>
            <w:shd w:val="clear" w:color="auto" w:fill="auto"/>
            <w:vAlign w:val="center"/>
          </w:tcPr>
          <w:p w:rsidR="00D907AF" w:rsidRPr="003A2B16" w:rsidRDefault="00D907AF" w:rsidP="00502F03">
            <w:pPr>
              <w:spacing w:before="20" w:after="20"/>
              <w:ind w:right="113"/>
              <w:jc w:val="right"/>
              <w:rPr>
                <w:rFonts w:cstheme="minorHAnsi"/>
                <w:color w:val="000000"/>
                <w:sz w:val="19"/>
                <w:szCs w:val="19"/>
              </w:rPr>
            </w:pPr>
            <w:r w:rsidRPr="003A2B16">
              <w:rPr>
                <w:rFonts w:cstheme="minorHAnsi"/>
                <w:color w:val="000000"/>
                <w:sz w:val="19"/>
                <w:szCs w:val="19"/>
              </w:rPr>
              <w:t>101</w:t>
            </w:r>
          </w:p>
        </w:tc>
        <w:tc>
          <w:tcPr>
            <w:tcW w:w="794" w:type="dxa"/>
            <w:shd w:val="clear" w:color="auto" w:fill="auto"/>
            <w:vAlign w:val="center"/>
          </w:tcPr>
          <w:p w:rsidR="00D907AF" w:rsidRPr="003A2B16" w:rsidRDefault="00D907AF" w:rsidP="00D907AF">
            <w:pPr>
              <w:spacing w:before="20" w:after="20"/>
              <w:jc w:val="right"/>
              <w:rPr>
                <w:rFonts w:cstheme="minorHAnsi"/>
                <w:color w:val="000000"/>
                <w:sz w:val="19"/>
                <w:szCs w:val="19"/>
              </w:rPr>
            </w:pPr>
            <w:r w:rsidRPr="003A2B16">
              <w:rPr>
                <w:rFonts w:cstheme="minorHAnsi"/>
                <w:color w:val="000000"/>
                <w:sz w:val="19"/>
                <w:szCs w:val="19"/>
              </w:rPr>
              <w:t>26.5</w:t>
            </w:r>
          </w:p>
        </w:tc>
        <w:tc>
          <w:tcPr>
            <w:tcW w:w="1077" w:type="dxa"/>
            <w:shd w:val="clear" w:color="auto" w:fill="auto"/>
            <w:vAlign w:val="center"/>
          </w:tcPr>
          <w:p w:rsidR="00D907AF" w:rsidRPr="003A2B16" w:rsidRDefault="00D907AF" w:rsidP="00502F03">
            <w:pPr>
              <w:spacing w:before="20" w:after="20"/>
              <w:ind w:right="284"/>
              <w:jc w:val="right"/>
              <w:rPr>
                <w:rFonts w:cstheme="minorHAnsi"/>
                <w:color w:val="000000"/>
                <w:sz w:val="19"/>
                <w:szCs w:val="19"/>
              </w:rPr>
            </w:pPr>
            <w:r w:rsidRPr="003A2B16">
              <w:rPr>
                <w:rFonts w:cstheme="minorHAnsi"/>
                <w:color w:val="000000"/>
                <w:sz w:val="19"/>
                <w:szCs w:val="19"/>
              </w:rPr>
              <w:t>98</w:t>
            </w:r>
          </w:p>
        </w:tc>
        <w:tc>
          <w:tcPr>
            <w:tcW w:w="1134" w:type="dxa"/>
            <w:shd w:val="clear" w:color="auto" w:fill="auto"/>
            <w:vAlign w:val="center"/>
          </w:tcPr>
          <w:p w:rsidR="00D907AF" w:rsidRPr="003A2B16" w:rsidRDefault="00D907AF" w:rsidP="00FF1B62">
            <w:pPr>
              <w:spacing w:before="20" w:after="20"/>
              <w:ind w:right="284"/>
              <w:jc w:val="right"/>
              <w:rPr>
                <w:rFonts w:cstheme="minorHAnsi"/>
                <w:color w:val="000000"/>
                <w:sz w:val="19"/>
                <w:szCs w:val="19"/>
              </w:rPr>
            </w:pPr>
            <w:r w:rsidRPr="003A2B16">
              <w:rPr>
                <w:rFonts w:cstheme="minorHAnsi"/>
                <w:color w:val="000000"/>
                <w:sz w:val="19"/>
                <w:szCs w:val="19"/>
              </w:rPr>
              <w:t>30.3</w:t>
            </w:r>
          </w:p>
        </w:tc>
        <w:tc>
          <w:tcPr>
            <w:tcW w:w="708" w:type="dxa"/>
            <w:shd w:val="clear" w:color="auto" w:fill="auto"/>
            <w:vAlign w:val="center"/>
          </w:tcPr>
          <w:p w:rsidR="00D907AF" w:rsidRPr="003A2B16" w:rsidRDefault="00D907AF" w:rsidP="00502F03">
            <w:pPr>
              <w:spacing w:before="20" w:after="20"/>
              <w:ind w:right="113"/>
              <w:jc w:val="right"/>
              <w:rPr>
                <w:rFonts w:cstheme="minorHAnsi"/>
                <w:color w:val="000000"/>
                <w:sz w:val="19"/>
                <w:szCs w:val="19"/>
              </w:rPr>
            </w:pPr>
            <w:r w:rsidRPr="003A2B16">
              <w:rPr>
                <w:rFonts w:cstheme="minorHAnsi"/>
                <w:color w:val="000000"/>
                <w:sz w:val="19"/>
                <w:szCs w:val="19"/>
              </w:rPr>
              <w:t>199</w:t>
            </w:r>
          </w:p>
        </w:tc>
        <w:tc>
          <w:tcPr>
            <w:tcW w:w="709" w:type="dxa"/>
            <w:shd w:val="clear" w:color="auto" w:fill="auto"/>
            <w:vAlign w:val="center"/>
          </w:tcPr>
          <w:p w:rsidR="00D907AF" w:rsidRPr="003A2B16" w:rsidRDefault="00D907AF" w:rsidP="00D907AF">
            <w:pPr>
              <w:spacing w:before="20" w:after="20"/>
              <w:jc w:val="right"/>
              <w:rPr>
                <w:rFonts w:cstheme="minorHAnsi"/>
                <w:color w:val="000000"/>
                <w:sz w:val="19"/>
                <w:szCs w:val="19"/>
              </w:rPr>
            </w:pPr>
            <w:r w:rsidRPr="003A2B16">
              <w:rPr>
                <w:rFonts w:cstheme="minorHAnsi"/>
                <w:color w:val="000000"/>
                <w:sz w:val="19"/>
                <w:szCs w:val="19"/>
              </w:rPr>
              <w:t>28.2</w:t>
            </w:r>
          </w:p>
        </w:tc>
      </w:tr>
      <w:tr w:rsidR="00D907AF" w:rsidRPr="0087485F" w:rsidTr="00502F03">
        <w:trPr>
          <w:trHeight w:val="227"/>
        </w:trPr>
        <w:tc>
          <w:tcPr>
            <w:tcW w:w="4077" w:type="dxa"/>
            <w:shd w:val="clear" w:color="auto" w:fill="auto"/>
          </w:tcPr>
          <w:p w:rsidR="00D907AF" w:rsidRPr="003A2B16" w:rsidRDefault="00D907AF" w:rsidP="00D907AF">
            <w:pPr>
              <w:spacing w:before="20" w:after="20"/>
              <w:rPr>
                <w:rFonts w:cstheme="minorHAnsi"/>
                <w:sz w:val="19"/>
                <w:szCs w:val="19"/>
              </w:rPr>
            </w:pPr>
            <w:r w:rsidRPr="003A2B16">
              <w:rPr>
                <w:rFonts w:cstheme="minorHAnsi"/>
                <w:sz w:val="19"/>
                <w:szCs w:val="19"/>
              </w:rPr>
              <w:t>Personal support at a place of work or study</w:t>
            </w:r>
          </w:p>
        </w:tc>
        <w:tc>
          <w:tcPr>
            <w:tcW w:w="794" w:type="dxa"/>
            <w:shd w:val="clear" w:color="auto" w:fill="auto"/>
            <w:vAlign w:val="center"/>
          </w:tcPr>
          <w:p w:rsidR="00D907AF" w:rsidRPr="003A2B16" w:rsidRDefault="00D907AF" w:rsidP="00502F03">
            <w:pPr>
              <w:spacing w:before="20" w:after="20"/>
              <w:ind w:right="113"/>
              <w:jc w:val="right"/>
              <w:rPr>
                <w:rFonts w:cstheme="minorHAnsi"/>
                <w:color w:val="000000"/>
                <w:sz w:val="19"/>
                <w:szCs w:val="19"/>
              </w:rPr>
            </w:pPr>
            <w:r w:rsidRPr="003A2B16">
              <w:rPr>
                <w:rFonts w:cstheme="minorHAnsi"/>
                <w:color w:val="000000"/>
                <w:sz w:val="19"/>
                <w:szCs w:val="19"/>
              </w:rPr>
              <w:t>48</w:t>
            </w:r>
          </w:p>
        </w:tc>
        <w:tc>
          <w:tcPr>
            <w:tcW w:w="794" w:type="dxa"/>
            <w:shd w:val="clear" w:color="auto" w:fill="auto"/>
            <w:vAlign w:val="center"/>
          </w:tcPr>
          <w:p w:rsidR="00D907AF" w:rsidRPr="003A2B16" w:rsidRDefault="00D907AF" w:rsidP="00D907AF">
            <w:pPr>
              <w:spacing w:before="20" w:after="20"/>
              <w:jc w:val="right"/>
              <w:rPr>
                <w:rFonts w:cstheme="minorHAnsi"/>
                <w:color w:val="000000"/>
                <w:sz w:val="19"/>
                <w:szCs w:val="19"/>
              </w:rPr>
            </w:pPr>
            <w:r w:rsidRPr="003A2B16">
              <w:rPr>
                <w:rFonts w:cstheme="minorHAnsi"/>
                <w:color w:val="000000"/>
                <w:sz w:val="19"/>
                <w:szCs w:val="19"/>
              </w:rPr>
              <w:t>12.6</w:t>
            </w:r>
          </w:p>
        </w:tc>
        <w:tc>
          <w:tcPr>
            <w:tcW w:w="1077" w:type="dxa"/>
            <w:shd w:val="clear" w:color="auto" w:fill="auto"/>
            <w:vAlign w:val="center"/>
          </w:tcPr>
          <w:p w:rsidR="00D907AF" w:rsidRPr="003A2B16" w:rsidRDefault="00D907AF" w:rsidP="00502F03">
            <w:pPr>
              <w:spacing w:before="20" w:after="20"/>
              <w:ind w:right="284"/>
              <w:jc w:val="right"/>
              <w:rPr>
                <w:rFonts w:cstheme="minorHAnsi"/>
                <w:color w:val="000000"/>
                <w:sz w:val="19"/>
                <w:szCs w:val="19"/>
              </w:rPr>
            </w:pPr>
            <w:r w:rsidRPr="003A2B16">
              <w:rPr>
                <w:rFonts w:cstheme="minorHAnsi"/>
                <w:color w:val="000000"/>
                <w:sz w:val="19"/>
                <w:szCs w:val="19"/>
              </w:rPr>
              <w:t>71</w:t>
            </w:r>
          </w:p>
        </w:tc>
        <w:tc>
          <w:tcPr>
            <w:tcW w:w="1134" w:type="dxa"/>
            <w:shd w:val="clear" w:color="auto" w:fill="auto"/>
            <w:vAlign w:val="center"/>
          </w:tcPr>
          <w:p w:rsidR="00D907AF" w:rsidRPr="003A2B16" w:rsidRDefault="00D907AF" w:rsidP="00FF1B62">
            <w:pPr>
              <w:spacing w:before="20" w:after="20"/>
              <w:ind w:right="284"/>
              <w:jc w:val="right"/>
              <w:rPr>
                <w:rFonts w:cstheme="minorHAnsi"/>
                <w:color w:val="000000"/>
                <w:sz w:val="19"/>
                <w:szCs w:val="19"/>
              </w:rPr>
            </w:pPr>
            <w:r w:rsidRPr="003A2B16">
              <w:rPr>
                <w:rFonts w:cstheme="minorHAnsi"/>
                <w:color w:val="000000"/>
                <w:sz w:val="19"/>
                <w:szCs w:val="19"/>
              </w:rPr>
              <w:t>21.9</w:t>
            </w:r>
          </w:p>
        </w:tc>
        <w:tc>
          <w:tcPr>
            <w:tcW w:w="708" w:type="dxa"/>
            <w:shd w:val="clear" w:color="auto" w:fill="auto"/>
            <w:vAlign w:val="center"/>
          </w:tcPr>
          <w:p w:rsidR="00D907AF" w:rsidRPr="003A2B16" w:rsidRDefault="00D907AF" w:rsidP="00502F03">
            <w:pPr>
              <w:spacing w:before="20" w:after="20"/>
              <w:ind w:right="113"/>
              <w:jc w:val="right"/>
              <w:rPr>
                <w:rFonts w:cstheme="minorHAnsi"/>
                <w:color w:val="000000"/>
                <w:sz w:val="19"/>
                <w:szCs w:val="19"/>
              </w:rPr>
            </w:pPr>
            <w:r w:rsidRPr="003A2B16">
              <w:rPr>
                <w:rFonts w:cstheme="minorHAnsi"/>
                <w:color w:val="000000"/>
                <w:sz w:val="19"/>
                <w:szCs w:val="19"/>
              </w:rPr>
              <w:t>119</w:t>
            </w:r>
          </w:p>
        </w:tc>
        <w:tc>
          <w:tcPr>
            <w:tcW w:w="709" w:type="dxa"/>
            <w:shd w:val="clear" w:color="auto" w:fill="auto"/>
            <w:vAlign w:val="center"/>
          </w:tcPr>
          <w:p w:rsidR="00D907AF" w:rsidRPr="003A2B16" w:rsidRDefault="00D907AF" w:rsidP="00D907AF">
            <w:pPr>
              <w:spacing w:before="20" w:after="20"/>
              <w:jc w:val="right"/>
              <w:rPr>
                <w:rFonts w:cstheme="minorHAnsi"/>
                <w:color w:val="000000"/>
                <w:sz w:val="19"/>
                <w:szCs w:val="19"/>
              </w:rPr>
            </w:pPr>
            <w:r w:rsidRPr="003A2B16">
              <w:rPr>
                <w:rFonts w:cstheme="minorHAnsi"/>
                <w:color w:val="000000"/>
                <w:sz w:val="19"/>
                <w:szCs w:val="19"/>
              </w:rPr>
              <w:t>16.9</w:t>
            </w:r>
          </w:p>
        </w:tc>
      </w:tr>
      <w:tr w:rsidR="00D907AF" w:rsidRPr="0087485F" w:rsidTr="00502F03">
        <w:trPr>
          <w:trHeight w:val="227"/>
        </w:trPr>
        <w:tc>
          <w:tcPr>
            <w:tcW w:w="4077" w:type="dxa"/>
            <w:shd w:val="clear" w:color="auto" w:fill="auto"/>
          </w:tcPr>
          <w:p w:rsidR="00D907AF" w:rsidRPr="003A2B16" w:rsidRDefault="00D907AF" w:rsidP="00D907AF">
            <w:pPr>
              <w:spacing w:before="20" w:after="20"/>
              <w:rPr>
                <w:rFonts w:cstheme="minorHAnsi"/>
                <w:sz w:val="19"/>
                <w:szCs w:val="19"/>
              </w:rPr>
            </w:pPr>
            <w:r w:rsidRPr="003A2B16">
              <w:rPr>
                <w:rFonts w:cstheme="minorHAnsi"/>
                <w:sz w:val="19"/>
                <w:szCs w:val="19"/>
              </w:rPr>
              <w:t>Equipment, modifications at home, or assistive technology</w:t>
            </w:r>
          </w:p>
        </w:tc>
        <w:tc>
          <w:tcPr>
            <w:tcW w:w="794" w:type="dxa"/>
            <w:shd w:val="clear" w:color="auto" w:fill="auto"/>
            <w:vAlign w:val="center"/>
          </w:tcPr>
          <w:p w:rsidR="00D907AF" w:rsidRPr="003A2B16" w:rsidRDefault="00D907AF" w:rsidP="00502F03">
            <w:pPr>
              <w:spacing w:before="20" w:after="20"/>
              <w:ind w:right="113"/>
              <w:jc w:val="right"/>
              <w:rPr>
                <w:rFonts w:cstheme="minorHAnsi"/>
                <w:color w:val="000000"/>
                <w:sz w:val="19"/>
                <w:szCs w:val="19"/>
              </w:rPr>
            </w:pPr>
            <w:r w:rsidRPr="003A2B16">
              <w:rPr>
                <w:rFonts w:cstheme="minorHAnsi"/>
                <w:color w:val="000000"/>
                <w:sz w:val="19"/>
                <w:szCs w:val="19"/>
              </w:rPr>
              <w:t>93</w:t>
            </w:r>
          </w:p>
        </w:tc>
        <w:tc>
          <w:tcPr>
            <w:tcW w:w="794" w:type="dxa"/>
            <w:shd w:val="clear" w:color="auto" w:fill="auto"/>
            <w:vAlign w:val="center"/>
          </w:tcPr>
          <w:p w:rsidR="00D907AF" w:rsidRPr="003A2B16" w:rsidRDefault="00D907AF" w:rsidP="00D907AF">
            <w:pPr>
              <w:spacing w:before="20" w:after="20"/>
              <w:jc w:val="right"/>
              <w:rPr>
                <w:rFonts w:cstheme="minorHAnsi"/>
                <w:color w:val="000000"/>
                <w:sz w:val="19"/>
                <w:szCs w:val="19"/>
              </w:rPr>
            </w:pPr>
            <w:r w:rsidRPr="003A2B16">
              <w:rPr>
                <w:rFonts w:cstheme="minorHAnsi"/>
                <w:color w:val="000000"/>
                <w:sz w:val="19"/>
                <w:szCs w:val="19"/>
              </w:rPr>
              <w:t>24.4</w:t>
            </w:r>
          </w:p>
        </w:tc>
        <w:tc>
          <w:tcPr>
            <w:tcW w:w="1077" w:type="dxa"/>
            <w:shd w:val="clear" w:color="auto" w:fill="auto"/>
            <w:vAlign w:val="center"/>
          </w:tcPr>
          <w:p w:rsidR="00D907AF" w:rsidRPr="003A2B16" w:rsidRDefault="00D907AF" w:rsidP="00502F03">
            <w:pPr>
              <w:spacing w:before="20" w:after="20"/>
              <w:ind w:right="284"/>
              <w:jc w:val="right"/>
              <w:rPr>
                <w:rFonts w:cstheme="minorHAnsi"/>
                <w:color w:val="000000"/>
                <w:sz w:val="19"/>
                <w:szCs w:val="19"/>
              </w:rPr>
            </w:pPr>
            <w:r w:rsidRPr="003A2B16">
              <w:rPr>
                <w:rFonts w:cstheme="minorHAnsi"/>
                <w:color w:val="000000"/>
                <w:sz w:val="19"/>
                <w:szCs w:val="19"/>
              </w:rPr>
              <w:t>79</w:t>
            </w:r>
          </w:p>
        </w:tc>
        <w:tc>
          <w:tcPr>
            <w:tcW w:w="1134" w:type="dxa"/>
            <w:shd w:val="clear" w:color="auto" w:fill="auto"/>
            <w:vAlign w:val="center"/>
          </w:tcPr>
          <w:p w:rsidR="00D907AF" w:rsidRPr="003A2B16" w:rsidRDefault="00D907AF" w:rsidP="00FF1B62">
            <w:pPr>
              <w:spacing w:before="20" w:after="20"/>
              <w:ind w:right="284"/>
              <w:jc w:val="right"/>
              <w:rPr>
                <w:rFonts w:cstheme="minorHAnsi"/>
                <w:color w:val="000000"/>
                <w:sz w:val="19"/>
                <w:szCs w:val="19"/>
              </w:rPr>
            </w:pPr>
            <w:r w:rsidRPr="003A2B16">
              <w:rPr>
                <w:rFonts w:cstheme="minorHAnsi"/>
                <w:color w:val="000000"/>
                <w:sz w:val="19"/>
                <w:szCs w:val="19"/>
              </w:rPr>
              <w:t>24.4</w:t>
            </w:r>
          </w:p>
        </w:tc>
        <w:tc>
          <w:tcPr>
            <w:tcW w:w="708" w:type="dxa"/>
            <w:shd w:val="clear" w:color="auto" w:fill="auto"/>
            <w:vAlign w:val="center"/>
          </w:tcPr>
          <w:p w:rsidR="00D907AF" w:rsidRPr="003A2B16" w:rsidRDefault="00D907AF" w:rsidP="00502F03">
            <w:pPr>
              <w:spacing w:before="20" w:after="20"/>
              <w:ind w:right="113"/>
              <w:jc w:val="right"/>
              <w:rPr>
                <w:rFonts w:cstheme="minorHAnsi"/>
                <w:color w:val="000000"/>
                <w:sz w:val="19"/>
                <w:szCs w:val="19"/>
              </w:rPr>
            </w:pPr>
            <w:r w:rsidRPr="003A2B16">
              <w:rPr>
                <w:rFonts w:cstheme="minorHAnsi"/>
                <w:color w:val="000000"/>
                <w:sz w:val="19"/>
                <w:szCs w:val="19"/>
              </w:rPr>
              <w:t>172</w:t>
            </w:r>
          </w:p>
        </w:tc>
        <w:tc>
          <w:tcPr>
            <w:tcW w:w="709" w:type="dxa"/>
            <w:shd w:val="clear" w:color="auto" w:fill="auto"/>
            <w:vAlign w:val="center"/>
          </w:tcPr>
          <w:p w:rsidR="00D907AF" w:rsidRPr="003A2B16" w:rsidRDefault="00D907AF" w:rsidP="00D907AF">
            <w:pPr>
              <w:spacing w:before="20" w:after="20"/>
              <w:jc w:val="right"/>
              <w:rPr>
                <w:rFonts w:cstheme="minorHAnsi"/>
                <w:color w:val="000000"/>
                <w:sz w:val="19"/>
                <w:szCs w:val="19"/>
              </w:rPr>
            </w:pPr>
            <w:r w:rsidRPr="003A2B16">
              <w:rPr>
                <w:rFonts w:cstheme="minorHAnsi"/>
                <w:color w:val="000000"/>
                <w:sz w:val="19"/>
                <w:szCs w:val="19"/>
              </w:rPr>
              <w:t>24.4</w:t>
            </w:r>
          </w:p>
        </w:tc>
      </w:tr>
      <w:tr w:rsidR="00D907AF" w:rsidRPr="0087485F" w:rsidTr="00502F03">
        <w:trPr>
          <w:trHeight w:val="227"/>
        </w:trPr>
        <w:tc>
          <w:tcPr>
            <w:tcW w:w="4077" w:type="dxa"/>
            <w:shd w:val="clear" w:color="auto" w:fill="auto"/>
          </w:tcPr>
          <w:p w:rsidR="00D907AF" w:rsidRPr="003A2B16" w:rsidRDefault="00D907AF" w:rsidP="00D907AF">
            <w:pPr>
              <w:spacing w:before="20" w:after="20"/>
              <w:rPr>
                <w:rFonts w:cstheme="minorHAnsi"/>
                <w:sz w:val="19"/>
                <w:szCs w:val="19"/>
              </w:rPr>
            </w:pPr>
            <w:r w:rsidRPr="003A2B16">
              <w:rPr>
                <w:rFonts w:cstheme="minorHAnsi"/>
                <w:sz w:val="19"/>
                <w:szCs w:val="19"/>
              </w:rPr>
              <w:t>Finding or taking up opportunities for learning</w:t>
            </w:r>
          </w:p>
        </w:tc>
        <w:tc>
          <w:tcPr>
            <w:tcW w:w="794" w:type="dxa"/>
            <w:shd w:val="clear" w:color="auto" w:fill="auto"/>
            <w:vAlign w:val="center"/>
          </w:tcPr>
          <w:p w:rsidR="00D907AF" w:rsidRPr="003A2B16" w:rsidRDefault="00D907AF" w:rsidP="00502F03">
            <w:pPr>
              <w:spacing w:before="20" w:after="20"/>
              <w:ind w:right="113"/>
              <w:jc w:val="right"/>
              <w:rPr>
                <w:rFonts w:cstheme="minorHAnsi"/>
                <w:color w:val="000000"/>
                <w:sz w:val="19"/>
                <w:szCs w:val="19"/>
              </w:rPr>
            </w:pPr>
            <w:r w:rsidRPr="003A2B16">
              <w:rPr>
                <w:rFonts w:cstheme="minorHAnsi"/>
                <w:color w:val="000000"/>
                <w:sz w:val="19"/>
                <w:szCs w:val="19"/>
              </w:rPr>
              <w:t>57</w:t>
            </w:r>
          </w:p>
        </w:tc>
        <w:tc>
          <w:tcPr>
            <w:tcW w:w="794" w:type="dxa"/>
            <w:shd w:val="clear" w:color="auto" w:fill="auto"/>
            <w:vAlign w:val="center"/>
          </w:tcPr>
          <w:p w:rsidR="00D907AF" w:rsidRPr="003A2B16" w:rsidRDefault="00D907AF" w:rsidP="00D907AF">
            <w:pPr>
              <w:spacing w:before="20" w:after="20"/>
              <w:jc w:val="right"/>
              <w:rPr>
                <w:rFonts w:cstheme="minorHAnsi"/>
                <w:color w:val="000000"/>
                <w:sz w:val="19"/>
                <w:szCs w:val="19"/>
              </w:rPr>
            </w:pPr>
            <w:r w:rsidRPr="003A2B16">
              <w:rPr>
                <w:rFonts w:cstheme="minorHAnsi"/>
                <w:color w:val="000000"/>
                <w:sz w:val="19"/>
                <w:szCs w:val="19"/>
              </w:rPr>
              <w:t>15.0</w:t>
            </w:r>
          </w:p>
        </w:tc>
        <w:tc>
          <w:tcPr>
            <w:tcW w:w="1077" w:type="dxa"/>
            <w:shd w:val="clear" w:color="auto" w:fill="auto"/>
            <w:vAlign w:val="center"/>
          </w:tcPr>
          <w:p w:rsidR="00D907AF" w:rsidRPr="003A2B16" w:rsidRDefault="00D907AF" w:rsidP="00502F03">
            <w:pPr>
              <w:spacing w:before="20" w:after="20"/>
              <w:ind w:right="284"/>
              <w:jc w:val="right"/>
              <w:rPr>
                <w:rFonts w:cstheme="minorHAnsi"/>
                <w:color w:val="000000"/>
                <w:sz w:val="19"/>
                <w:szCs w:val="19"/>
              </w:rPr>
            </w:pPr>
            <w:r w:rsidRPr="003A2B16">
              <w:rPr>
                <w:rFonts w:cstheme="minorHAnsi"/>
                <w:color w:val="000000"/>
                <w:sz w:val="19"/>
                <w:szCs w:val="19"/>
              </w:rPr>
              <w:t>82</w:t>
            </w:r>
          </w:p>
        </w:tc>
        <w:tc>
          <w:tcPr>
            <w:tcW w:w="1134" w:type="dxa"/>
            <w:shd w:val="clear" w:color="auto" w:fill="auto"/>
            <w:vAlign w:val="center"/>
          </w:tcPr>
          <w:p w:rsidR="00D907AF" w:rsidRPr="003A2B16" w:rsidRDefault="00D907AF" w:rsidP="00FF1B62">
            <w:pPr>
              <w:spacing w:before="20" w:after="20"/>
              <w:ind w:right="284"/>
              <w:jc w:val="right"/>
              <w:rPr>
                <w:rFonts w:cstheme="minorHAnsi"/>
                <w:color w:val="000000"/>
                <w:sz w:val="19"/>
                <w:szCs w:val="19"/>
              </w:rPr>
            </w:pPr>
            <w:r w:rsidRPr="003A2B16">
              <w:rPr>
                <w:rFonts w:cstheme="minorHAnsi"/>
                <w:color w:val="000000"/>
                <w:sz w:val="19"/>
                <w:szCs w:val="19"/>
              </w:rPr>
              <w:t>25.3</w:t>
            </w:r>
          </w:p>
        </w:tc>
        <w:tc>
          <w:tcPr>
            <w:tcW w:w="708" w:type="dxa"/>
            <w:shd w:val="clear" w:color="auto" w:fill="auto"/>
            <w:vAlign w:val="center"/>
          </w:tcPr>
          <w:p w:rsidR="00D907AF" w:rsidRPr="003A2B16" w:rsidRDefault="00D907AF" w:rsidP="00502F03">
            <w:pPr>
              <w:spacing w:before="20" w:after="20"/>
              <w:ind w:right="113"/>
              <w:jc w:val="right"/>
              <w:rPr>
                <w:rFonts w:cstheme="minorHAnsi"/>
                <w:color w:val="000000"/>
                <w:sz w:val="19"/>
                <w:szCs w:val="19"/>
              </w:rPr>
            </w:pPr>
            <w:r w:rsidRPr="003A2B16">
              <w:rPr>
                <w:rFonts w:cstheme="minorHAnsi"/>
                <w:color w:val="000000"/>
                <w:sz w:val="19"/>
                <w:szCs w:val="19"/>
              </w:rPr>
              <w:t>139</w:t>
            </w:r>
          </w:p>
        </w:tc>
        <w:tc>
          <w:tcPr>
            <w:tcW w:w="709" w:type="dxa"/>
            <w:shd w:val="clear" w:color="auto" w:fill="auto"/>
            <w:vAlign w:val="center"/>
          </w:tcPr>
          <w:p w:rsidR="00D907AF" w:rsidRPr="003A2B16" w:rsidRDefault="00D907AF" w:rsidP="00D907AF">
            <w:pPr>
              <w:spacing w:before="20" w:after="20"/>
              <w:jc w:val="right"/>
              <w:rPr>
                <w:rFonts w:cstheme="minorHAnsi"/>
                <w:color w:val="000000"/>
                <w:sz w:val="19"/>
                <w:szCs w:val="19"/>
              </w:rPr>
            </w:pPr>
            <w:r w:rsidRPr="003A2B16">
              <w:rPr>
                <w:rFonts w:cstheme="minorHAnsi"/>
                <w:color w:val="000000"/>
                <w:sz w:val="19"/>
                <w:szCs w:val="19"/>
              </w:rPr>
              <w:t>19.7</w:t>
            </w:r>
          </w:p>
        </w:tc>
      </w:tr>
      <w:tr w:rsidR="00D907AF" w:rsidRPr="0087485F" w:rsidTr="00502F03">
        <w:trPr>
          <w:trHeight w:val="227"/>
        </w:trPr>
        <w:tc>
          <w:tcPr>
            <w:tcW w:w="4077" w:type="dxa"/>
            <w:shd w:val="clear" w:color="auto" w:fill="auto"/>
          </w:tcPr>
          <w:p w:rsidR="00D907AF" w:rsidRPr="003A2B16" w:rsidRDefault="00D907AF" w:rsidP="00D907AF">
            <w:pPr>
              <w:spacing w:before="20" w:after="20"/>
              <w:rPr>
                <w:rFonts w:cstheme="minorHAnsi"/>
                <w:sz w:val="19"/>
                <w:szCs w:val="19"/>
              </w:rPr>
            </w:pPr>
            <w:r w:rsidRPr="003A2B16">
              <w:rPr>
                <w:rFonts w:cstheme="minorHAnsi"/>
                <w:sz w:val="19"/>
                <w:szCs w:val="19"/>
              </w:rPr>
              <w:t>Finding or taking up employment or paid work</w:t>
            </w:r>
          </w:p>
        </w:tc>
        <w:tc>
          <w:tcPr>
            <w:tcW w:w="794" w:type="dxa"/>
            <w:shd w:val="clear" w:color="auto" w:fill="auto"/>
            <w:vAlign w:val="center"/>
          </w:tcPr>
          <w:p w:rsidR="00D907AF" w:rsidRPr="003A2B16" w:rsidRDefault="00D907AF" w:rsidP="00502F03">
            <w:pPr>
              <w:spacing w:before="20" w:after="20"/>
              <w:ind w:right="113"/>
              <w:jc w:val="right"/>
              <w:rPr>
                <w:rFonts w:cstheme="minorHAnsi"/>
                <w:color w:val="000000"/>
                <w:sz w:val="19"/>
                <w:szCs w:val="19"/>
              </w:rPr>
            </w:pPr>
            <w:r w:rsidRPr="003A2B16">
              <w:rPr>
                <w:rFonts w:cstheme="minorHAnsi"/>
                <w:color w:val="000000"/>
                <w:sz w:val="19"/>
                <w:szCs w:val="19"/>
              </w:rPr>
              <w:t>68</w:t>
            </w:r>
          </w:p>
        </w:tc>
        <w:tc>
          <w:tcPr>
            <w:tcW w:w="794" w:type="dxa"/>
            <w:shd w:val="clear" w:color="auto" w:fill="auto"/>
            <w:vAlign w:val="center"/>
          </w:tcPr>
          <w:p w:rsidR="00D907AF" w:rsidRPr="003A2B16" w:rsidRDefault="00D907AF" w:rsidP="00D907AF">
            <w:pPr>
              <w:spacing w:before="20" w:after="20"/>
              <w:jc w:val="right"/>
              <w:rPr>
                <w:rFonts w:cstheme="minorHAnsi"/>
                <w:color w:val="000000"/>
                <w:sz w:val="19"/>
                <w:szCs w:val="19"/>
              </w:rPr>
            </w:pPr>
            <w:r w:rsidRPr="003A2B16">
              <w:rPr>
                <w:rFonts w:cstheme="minorHAnsi"/>
                <w:color w:val="000000"/>
                <w:sz w:val="19"/>
                <w:szCs w:val="19"/>
              </w:rPr>
              <w:t>17.9</w:t>
            </w:r>
          </w:p>
        </w:tc>
        <w:tc>
          <w:tcPr>
            <w:tcW w:w="1077" w:type="dxa"/>
            <w:shd w:val="clear" w:color="auto" w:fill="auto"/>
            <w:vAlign w:val="center"/>
          </w:tcPr>
          <w:p w:rsidR="00D907AF" w:rsidRPr="003A2B16" w:rsidRDefault="00D907AF" w:rsidP="00502F03">
            <w:pPr>
              <w:spacing w:before="20" w:after="20"/>
              <w:ind w:right="284"/>
              <w:jc w:val="right"/>
              <w:rPr>
                <w:rFonts w:cstheme="minorHAnsi"/>
                <w:color w:val="000000"/>
                <w:sz w:val="19"/>
                <w:szCs w:val="19"/>
              </w:rPr>
            </w:pPr>
            <w:r w:rsidRPr="003A2B16">
              <w:rPr>
                <w:rFonts w:cstheme="minorHAnsi"/>
                <w:color w:val="000000"/>
                <w:sz w:val="19"/>
                <w:szCs w:val="19"/>
              </w:rPr>
              <w:t>83</w:t>
            </w:r>
          </w:p>
        </w:tc>
        <w:tc>
          <w:tcPr>
            <w:tcW w:w="1134" w:type="dxa"/>
            <w:shd w:val="clear" w:color="auto" w:fill="auto"/>
            <w:vAlign w:val="center"/>
          </w:tcPr>
          <w:p w:rsidR="00D907AF" w:rsidRPr="003A2B16" w:rsidRDefault="00D907AF" w:rsidP="00FF1B62">
            <w:pPr>
              <w:spacing w:before="20" w:after="20"/>
              <w:ind w:right="284"/>
              <w:jc w:val="right"/>
              <w:rPr>
                <w:rFonts w:cstheme="minorHAnsi"/>
                <w:color w:val="000000"/>
                <w:sz w:val="19"/>
                <w:szCs w:val="19"/>
              </w:rPr>
            </w:pPr>
            <w:r w:rsidRPr="003A2B16">
              <w:rPr>
                <w:rFonts w:cstheme="minorHAnsi"/>
                <w:color w:val="000000"/>
                <w:sz w:val="19"/>
                <w:szCs w:val="19"/>
              </w:rPr>
              <w:t>25.6</w:t>
            </w:r>
          </w:p>
        </w:tc>
        <w:tc>
          <w:tcPr>
            <w:tcW w:w="708" w:type="dxa"/>
            <w:shd w:val="clear" w:color="auto" w:fill="auto"/>
            <w:vAlign w:val="center"/>
          </w:tcPr>
          <w:p w:rsidR="00D907AF" w:rsidRPr="003A2B16" w:rsidRDefault="00D907AF" w:rsidP="00502F03">
            <w:pPr>
              <w:spacing w:before="20" w:after="20"/>
              <w:ind w:right="113"/>
              <w:jc w:val="right"/>
              <w:rPr>
                <w:rFonts w:cstheme="minorHAnsi"/>
                <w:color w:val="000000"/>
                <w:sz w:val="19"/>
                <w:szCs w:val="19"/>
              </w:rPr>
            </w:pPr>
            <w:r w:rsidRPr="003A2B16">
              <w:rPr>
                <w:rFonts w:cstheme="minorHAnsi"/>
                <w:color w:val="000000"/>
                <w:sz w:val="19"/>
                <w:szCs w:val="19"/>
              </w:rPr>
              <w:t>151</w:t>
            </w:r>
          </w:p>
        </w:tc>
        <w:tc>
          <w:tcPr>
            <w:tcW w:w="709" w:type="dxa"/>
            <w:shd w:val="clear" w:color="auto" w:fill="auto"/>
            <w:vAlign w:val="center"/>
          </w:tcPr>
          <w:p w:rsidR="00D907AF" w:rsidRPr="003A2B16" w:rsidRDefault="00D907AF" w:rsidP="00D907AF">
            <w:pPr>
              <w:spacing w:before="20" w:after="20"/>
              <w:jc w:val="right"/>
              <w:rPr>
                <w:rFonts w:cstheme="minorHAnsi"/>
                <w:color w:val="000000"/>
                <w:sz w:val="19"/>
                <w:szCs w:val="19"/>
              </w:rPr>
            </w:pPr>
            <w:r w:rsidRPr="003A2B16">
              <w:rPr>
                <w:rFonts w:cstheme="minorHAnsi"/>
                <w:color w:val="000000"/>
                <w:sz w:val="19"/>
                <w:szCs w:val="19"/>
              </w:rPr>
              <w:t>21.4</w:t>
            </w:r>
          </w:p>
        </w:tc>
      </w:tr>
      <w:tr w:rsidR="00D907AF" w:rsidRPr="0087485F" w:rsidTr="00502F03">
        <w:trPr>
          <w:trHeight w:val="227"/>
        </w:trPr>
        <w:tc>
          <w:tcPr>
            <w:tcW w:w="4077" w:type="dxa"/>
            <w:shd w:val="clear" w:color="auto" w:fill="auto"/>
          </w:tcPr>
          <w:p w:rsidR="00D907AF" w:rsidRPr="003A2B16" w:rsidRDefault="00D907AF" w:rsidP="00D907AF">
            <w:pPr>
              <w:spacing w:before="20" w:after="20"/>
              <w:rPr>
                <w:rFonts w:cstheme="minorHAnsi"/>
                <w:sz w:val="19"/>
                <w:szCs w:val="19"/>
              </w:rPr>
            </w:pPr>
            <w:r w:rsidRPr="003A2B16">
              <w:rPr>
                <w:rFonts w:cstheme="minorHAnsi"/>
                <w:sz w:val="19"/>
                <w:szCs w:val="19"/>
              </w:rPr>
              <w:t>Finding or taking up voluntary work</w:t>
            </w:r>
          </w:p>
        </w:tc>
        <w:tc>
          <w:tcPr>
            <w:tcW w:w="794" w:type="dxa"/>
            <w:shd w:val="clear" w:color="auto" w:fill="auto"/>
            <w:vAlign w:val="center"/>
          </w:tcPr>
          <w:p w:rsidR="00D907AF" w:rsidRPr="003A2B16" w:rsidRDefault="00D907AF" w:rsidP="00502F03">
            <w:pPr>
              <w:spacing w:before="20" w:after="20"/>
              <w:ind w:right="113"/>
              <w:jc w:val="right"/>
              <w:rPr>
                <w:rFonts w:cstheme="minorHAnsi"/>
                <w:color w:val="000000"/>
                <w:sz w:val="19"/>
                <w:szCs w:val="19"/>
              </w:rPr>
            </w:pPr>
            <w:r w:rsidRPr="003A2B16">
              <w:rPr>
                <w:rFonts w:cstheme="minorHAnsi"/>
                <w:color w:val="000000"/>
                <w:sz w:val="19"/>
                <w:szCs w:val="19"/>
              </w:rPr>
              <w:t>55</w:t>
            </w:r>
          </w:p>
        </w:tc>
        <w:tc>
          <w:tcPr>
            <w:tcW w:w="794" w:type="dxa"/>
            <w:shd w:val="clear" w:color="auto" w:fill="auto"/>
            <w:vAlign w:val="center"/>
          </w:tcPr>
          <w:p w:rsidR="00D907AF" w:rsidRPr="003A2B16" w:rsidRDefault="00D907AF" w:rsidP="00D907AF">
            <w:pPr>
              <w:spacing w:before="20" w:after="20"/>
              <w:jc w:val="right"/>
              <w:rPr>
                <w:rFonts w:cstheme="minorHAnsi"/>
                <w:color w:val="000000"/>
                <w:sz w:val="19"/>
                <w:szCs w:val="19"/>
              </w:rPr>
            </w:pPr>
            <w:r w:rsidRPr="003A2B16">
              <w:rPr>
                <w:rFonts w:cstheme="minorHAnsi"/>
                <w:color w:val="000000"/>
                <w:sz w:val="19"/>
                <w:szCs w:val="19"/>
              </w:rPr>
              <w:t>14.4</w:t>
            </w:r>
          </w:p>
        </w:tc>
        <w:tc>
          <w:tcPr>
            <w:tcW w:w="1077" w:type="dxa"/>
            <w:shd w:val="clear" w:color="auto" w:fill="auto"/>
            <w:vAlign w:val="center"/>
          </w:tcPr>
          <w:p w:rsidR="00D907AF" w:rsidRPr="003A2B16" w:rsidRDefault="00D907AF" w:rsidP="00502F03">
            <w:pPr>
              <w:spacing w:before="20" w:after="20"/>
              <w:ind w:right="284"/>
              <w:jc w:val="right"/>
              <w:rPr>
                <w:rFonts w:cstheme="minorHAnsi"/>
                <w:color w:val="000000"/>
                <w:sz w:val="19"/>
                <w:szCs w:val="19"/>
              </w:rPr>
            </w:pPr>
            <w:r w:rsidRPr="003A2B16">
              <w:rPr>
                <w:rFonts w:cstheme="minorHAnsi"/>
                <w:color w:val="000000"/>
                <w:sz w:val="19"/>
                <w:szCs w:val="19"/>
              </w:rPr>
              <w:t>44</w:t>
            </w:r>
          </w:p>
        </w:tc>
        <w:tc>
          <w:tcPr>
            <w:tcW w:w="1134" w:type="dxa"/>
            <w:shd w:val="clear" w:color="auto" w:fill="auto"/>
            <w:vAlign w:val="center"/>
          </w:tcPr>
          <w:p w:rsidR="00D907AF" w:rsidRPr="003A2B16" w:rsidRDefault="00D907AF" w:rsidP="00FF1B62">
            <w:pPr>
              <w:spacing w:before="20" w:after="20"/>
              <w:ind w:right="284"/>
              <w:jc w:val="right"/>
              <w:rPr>
                <w:rFonts w:cstheme="minorHAnsi"/>
                <w:color w:val="000000"/>
                <w:sz w:val="19"/>
                <w:szCs w:val="19"/>
              </w:rPr>
            </w:pPr>
            <w:r w:rsidRPr="003A2B16">
              <w:rPr>
                <w:rFonts w:cstheme="minorHAnsi"/>
                <w:color w:val="000000"/>
                <w:sz w:val="19"/>
                <w:szCs w:val="19"/>
              </w:rPr>
              <w:t>13.6</w:t>
            </w:r>
          </w:p>
        </w:tc>
        <w:tc>
          <w:tcPr>
            <w:tcW w:w="708" w:type="dxa"/>
            <w:shd w:val="clear" w:color="auto" w:fill="auto"/>
            <w:vAlign w:val="center"/>
          </w:tcPr>
          <w:p w:rsidR="00D907AF" w:rsidRPr="003A2B16" w:rsidRDefault="00D907AF" w:rsidP="00502F03">
            <w:pPr>
              <w:spacing w:before="20" w:after="20"/>
              <w:ind w:right="113"/>
              <w:jc w:val="right"/>
              <w:rPr>
                <w:rFonts w:cstheme="minorHAnsi"/>
                <w:color w:val="000000"/>
                <w:sz w:val="19"/>
                <w:szCs w:val="19"/>
              </w:rPr>
            </w:pPr>
            <w:r w:rsidRPr="003A2B16">
              <w:rPr>
                <w:rFonts w:cstheme="minorHAnsi"/>
                <w:color w:val="000000"/>
                <w:sz w:val="19"/>
                <w:szCs w:val="19"/>
              </w:rPr>
              <w:t>99</w:t>
            </w:r>
          </w:p>
        </w:tc>
        <w:tc>
          <w:tcPr>
            <w:tcW w:w="709" w:type="dxa"/>
            <w:shd w:val="clear" w:color="auto" w:fill="auto"/>
            <w:vAlign w:val="center"/>
          </w:tcPr>
          <w:p w:rsidR="00D907AF" w:rsidRPr="003A2B16" w:rsidRDefault="00D907AF" w:rsidP="00D907AF">
            <w:pPr>
              <w:spacing w:before="20" w:after="20"/>
              <w:jc w:val="right"/>
              <w:rPr>
                <w:rFonts w:cstheme="minorHAnsi"/>
                <w:color w:val="000000"/>
                <w:sz w:val="19"/>
                <w:szCs w:val="19"/>
              </w:rPr>
            </w:pPr>
            <w:r w:rsidRPr="003A2B16">
              <w:rPr>
                <w:rFonts w:cstheme="minorHAnsi"/>
                <w:color w:val="000000"/>
                <w:sz w:val="19"/>
                <w:szCs w:val="19"/>
              </w:rPr>
              <w:t>14.0</w:t>
            </w:r>
          </w:p>
        </w:tc>
      </w:tr>
      <w:tr w:rsidR="00D907AF" w:rsidRPr="0087485F" w:rsidTr="00502F03">
        <w:trPr>
          <w:trHeight w:val="227"/>
        </w:trPr>
        <w:tc>
          <w:tcPr>
            <w:tcW w:w="4077" w:type="dxa"/>
            <w:shd w:val="clear" w:color="auto" w:fill="auto"/>
          </w:tcPr>
          <w:p w:rsidR="00D907AF" w:rsidRPr="003A2B16" w:rsidRDefault="00D907AF" w:rsidP="00D907AF">
            <w:pPr>
              <w:spacing w:before="20" w:after="20"/>
              <w:rPr>
                <w:rFonts w:cstheme="minorHAnsi"/>
                <w:sz w:val="19"/>
                <w:szCs w:val="19"/>
              </w:rPr>
            </w:pPr>
            <w:r w:rsidRPr="003A2B16">
              <w:rPr>
                <w:rFonts w:cstheme="minorHAnsi"/>
                <w:sz w:val="19"/>
                <w:szCs w:val="19"/>
              </w:rPr>
              <w:t>How he/she spends the free time</w:t>
            </w:r>
          </w:p>
        </w:tc>
        <w:tc>
          <w:tcPr>
            <w:tcW w:w="794" w:type="dxa"/>
            <w:shd w:val="clear" w:color="auto" w:fill="auto"/>
            <w:vAlign w:val="center"/>
          </w:tcPr>
          <w:p w:rsidR="00D907AF" w:rsidRPr="003A2B16" w:rsidRDefault="00D907AF" w:rsidP="00502F03">
            <w:pPr>
              <w:spacing w:before="20" w:after="20"/>
              <w:ind w:right="113"/>
              <w:jc w:val="right"/>
              <w:rPr>
                <w:rFonts w:cstheme="minorHAnsi"/>
                <w:color w:val="000000"/>
                <w:sz w:val="19"/>
                <w:szCs w:val="19"/>
              </w:rPr>
            </w:pPr>
            <w:r w:rsidRPr="003A2B16">
              <w:rPr>
                <w:rFonts w:cstheme="minorHAnsi"/>
                <w:color w:val="000000"/>
                <w:sz w:val="19"/>
                <w:szCs w:val="19"/>
              </w:rPr>
              <w:t>83</w:t>
            </w:r>
          </w:p>
        </w:tc>
        <w:tc>
          <w:tcPr>
            <w:tcW w:w="794" w:type="dxa"/>
            <w:shd w:val="clear" w:color="auto" w:fill="auto"/>
            <w:vAlign w:val="center"/>
          </w:tcPr>
          <w:p w:rsidR="00D907AF" w:rsidRPr="003A2B16" w:rsidRDefault="00D907AF" w:rsidP="00D907AF">
            <w:pPr>
              <w:spacing w:before="20" w:after="20"/>
              <w:jc w:val="right"/>
              <w:rPr>
                <w:rFonts w:cstheme="minorHAnsi"/>
                <w:color w:val="000000"/>
                <w:sz w:val="19"/>
                <w:szCs w:val="19"/>
              </w:rPr>
            </w:pPr>
            <w:r w:rsidRPr="003A2B16">
              <w:rPr>
                <w:rFonts w:cstheme="minorHAnsi"/>
                <w:color w:val="000000"/>
                <w:sz w:val="19"/>
                <w:szCs w:val="19"/>
              </w:rPr>
              <w:t>21.8</w:t>
            </w:r>
          </w:p>
        </w:tc>
        <w:tc>
          <w:tcPr>
            <w:tcW w:w="1077" w:type="dxa"/>
            <w:shd w:val="clear" w:color="auto" w:fill="auto"/>
            <w:vAlign w:val="center"/>
          </w:tcPr>
          <w:p w:rsidR="00D907AF" w:rsidRPr="003A2B16" w:rsidRDefault="00D907AF" w:rsidP="00502F03">
            <w:pPr>
              <w:spacing w:before="20" w:after="20"/>
              <w:ind w:right="284"/>
              <w:jc w:val="right"/>
              <w:rPr>
                <w:rFonts w:cstheme="minorHAnsi"/>
                <w:color w:val="000000"/>
                <w:sz w:val="19"/>
                <w:szCs w:val="19"/>
              </w:rPr>
            </w:pPr>
            <w:r w:rsidRPr="003A2B16">
              <w:rPr>
                <w:rFonts w:cstheme="minorHAnsi"/>
                <w:color w:val="000000"/>
                <w:sz w:val="19"/>
                <w:szCs w:val="19"/>
              </w:rPr>
              <w:t>79</w:t>
            </w:r>
          </w:p>
        </w:tc>
        <w:tc>
          <w:tcPr>
            <w:tcW w:w="1134" w:type="dxa"/>
            <w:shd w:val="clear" w:color="auto" w:fill="auto"/>
            <w:vAlign w:val="center"/>
          </w:tcPr>
          <w:p w:rsidR="00D907AF" w:rsidRPr="003A2B16" w:rsidRDefault="00D907AF" w:rsidP="00FF1B62">
            <w:pPr>
              <w:spacing w:before="20" w:after="20"/>
              <w:ind w:right="284"/>
              <w:jc w:val="right"/>
              <w:rPr>
                <w:rFonts w:cstheme="minorHAnsi"/>
                <w:color w:val="000000"/>
                <w:sz w:val="19"/>
                <w:szCs w:val="19"/>
              </w:rPr>
            </w:pPr>
            <w:r w:rsidRPr="003A2B16">
              <w:rPr>
                <w:rFonts w:cstheme="minorHAnsi"/>
                <w:color w:val="000000"/>
                <w:sz w:val="19"/>
                <w:szCs w:val="19"/>
              </w:rPr>
              <w:t>24.4</w:t>
            </w:r>
          </w:p>
        </w:tc>
        <w:tc>
          <w:tcPr>
            <w:tcW w:w="708" w:type="dxa"/>
            <w:shd w:val="clear" w:color="auto" w:fill="auto"/>
            <w:vAlign w:val="center"/>
          </w:tcPr>
          <w:p w:rsidR="00D907AF" w:rsidRPr="003A2B16" w:rsidRDefault="00D907AF" w:rsidP="00502F03">
            <w:pPr>
              <w:spacing w:before="20" w:after="20"/>
              <w:ind w:right="113"/>
              <w:jc w:val="right"/>
              <w:rPr>
                <w:rFonts w:cstheme="minorHAnsi"/>
                <w:color w:val="000000"/>
                <w:sz w:val="19"/>
                <w:szCs w:val="19"/>
              </w:rPr>
            </w:pPr>
            <w:r w:rsidRPr="003A2B16">
              <w:rPr>
                <w:rFonts w:cstheme="minorHAnsi"/>
                <w:color w:val="000000"/>
                <w:sz w:val="19"/>
                <w:szCs w:val="19"/>
              </w:rPr>
              <w:t>162</w:t>
            </w:r>
          </w:p>
        </w:tc>
        <w:tc>
          <w:tcPr>
            <w:tcW w:w="709" w:type="dxa"/>
            <w:shd w:val="clear" w:color="auto" w:fill="auto"/>
            <w:vAlign w:val="center"/>
          </w:tcPr>
          <w:p w:rsidR="00D907AF" w:rsidRPr="003A2B16" w:rsidRDefault="00D907AF" w:rsidP="00D907AF">
            <w:pPr>
              <w:spacing w:before="20" w:after="20"/>
              <w:jc w:val="right"/>
              <w:rPr>
                <w:rFonts w:cstheme="minorHAnsi"/>
                <w:color w:val="000000"/>
                <w:sz w:val="19"/>
                <w:szCs w:val="19"/>
              </w:rPr>
            </w:pPr>
            <w:r w:rsidRPr="003A2B16">
              <w:rPr>
                <w:rFonts w:cstheme="minorHAnsi"/>
                <w:color w:val="000000"/>
                <w:sz w:val="19"/>
                <w:szCs w:val="19"/>
              </w:rPr>
              <w:t>23.0</w:t>
            </w:r>
          </w:p>
        </w:tc>
      </w:tr>
      <w:tr w:rsidR="00D907AF" w:rsidRPr="0087485F" w:rsidTr="00502F03">
        <w:trPr>
          <w:trHeight w:val="227"/>
        </w:trPr>
        <w:tc>
          <w:tcPr>
            <w:tcW w:w="4077" w:type="dxa"/>
            <w:shd w:val="clear" w:color="auto" w:fill="auto"/>
          </w:tcPr>
          <w:p w:rsidR="00D907AF" w:rsidRPr="003A2B16" w:rsidRDefault="00D907AF" w:rsidP="00D907AF">
            <w:pPr>
              <w:spacing w:before="20" w:after="20"/>
              <w:rPr>
                <w:rFonts w:cstheme="minorHAnsi"/>
                <w:sz w:val="19"/>
                <w:szCs w:val="19"/>
              </w:rPr>
            </w:pPr>
            <w:r w:rsidRPr="003A2B16">
              <w:rPr>
                <w:rFonts w:cstheme="minorHAnsi"/>
                <w:sz w:val="19"/>
                <w:szCs w:val="19"/>
              </w:rPr>
              <w:t>Access to support to initiate or maintain friendships or intimate friendships</w:t>
            </w:r>
          </w:p>
        </w:tc>
        <w:tc>
          <w:tcPr>
            <w:tcW w:w="794" w:type="dxa"/>
            <w:shd w:val="clear" w:color="auto" w:fill="auto"/>
            <w:vAlign w:val="center"/>
          </w:tcPr>
          <w:p w:rsidR="00D907AF" w:rsidRPr="003A2B16" w:rsidRDefault="00D907AF" w:rsidP="00502F03">
            <w:pPr>
              <w:spacing w:before="20" w:after="20"/>
              <w:ind w:right="113"/>
              <w:jc w:val="right"/>
              <w:rPr>
                <w:rFonts w:cstheme="minorHAnsi"/>
                <w:color w:val="000000"/>
                <w:sz w:val="19"/>
                <w:szCs w:val="19"/>
              </w:rPr>
            </w:pPr>
            <w:r w:rsidRPr="003A2B16">
              <w:rPr>
                <w:rFonts w:cstheme="minorHAnsi"/>
                <w:color w:val="000000"/>
                <w:sz w:val="19"/>
                <w:szCs w:val="19"/>
              </w:rPr>
              <w:t>61</w:t>
            </w:r>
          </w:p>
        </w:tc>
        <w:tc>
          <w:tcPr>
            <w:tcW w:w="794" w:type="dxa"/>
            <w:shd w:val="clear" w:color="auto" w:fill="auto"/>
            <w:vAlign w:val="center"/>
          </w:tcPr>
          <w:p w:rsidR="00D907AF" w:rsidRPr="003A2B16" w:rsidRDefault="00D907AF" w:rsidP="00D907AF">
            <w:pPr>
              <w:spacing w:before="20" w:after="20"/>
              <w:jc w:val="right"/>
              <w:rPr>
                <w:rFonts w:cstheme="minorHAnsi"/>
                <w:color w:val="000000"/>
                <w:sz w:val="19"/>
                <w:szCs w:val="19"/>
              </w:rPr>
            </w:pPr>
            <w:r w:rsidRPr="003A2B16">
              <w:rPr>
                <w:rFonts w:cstheme="minorHAnsi"/>
                <w:color w:val="000000"/>
                <w:sz w:val="19"/>
                <w:szCs w:val="19"/>
              </w:rPr>
              <w:t>16.0</w:t>
            </w:r>
          </w:p>
        </w:tc>
        <w:tc>
          <w:tcPr>
            <w:tcW w:w="1077" w:type="dxa"/>
            <w:shd w:val="clear" w:color="auto" w:fill="auto"/>
            <w:vAlign w:val="center"/>
          </w:tcPr>
          <w:p w:rsidR="00D907AF" w:rsidRPr="003A2B16" w:rsidRDefault="00D907AF" w:rsidP="00502F03">
            <w:pPr>
              <w:spacing w:before="20" w:after="20"/>
              <w:ind w:right="284"/>
              <w:jc w:val="right"/>
              <w:rPr>
                <w:rFonts w:cstheme="minorHAnsi"/>
                <w:color w:val="000000"/>
                <w:sz w:val="19"/>
                <w:szCs w:val="19"/>
              </w:rPr>
            </w:pPr>
            <w:r w:rsidRPr="003A2B16">
              <w:rPr>
                <w:rFonts w:cstheme="minorHAnsi"/>
                <w:color w:val="000000"/>
                <w:sz w:val="19"/>
                <w:szCs w:val="19"/>
              </w:rPr>
              <w:t>66</w:t>
            </w:r>
          </w:p>
        </w:tc>
        <w:tc>
          <w:tcPr>
            <w:tcW w:w="1134" w:type="dxa"/>
            <w:shd w:val="clear" w:color="auto" w:fill="auto"/>
            <w:vAlign w:val="center"/>
          </w:tcPr>
          <w:p w:rsidR="00D907AF" w:rsidRPr="003A2B16" w:rsidRDefault="00D907AF" w:rsidP="00FF1B62">
            <w:pPr>
              <w:spacing w:before="20" w:after="20"/>
              <w:ind w:right="284"/>
              <w:jc w:val="right"/>
              <w:rPr>
                <w:rFonts w:cstheme="minorHAnsi"/>
                <w:color w:val="000000"/>
                <w:sz w:val="19"/>
                <w:szCs w:val="19"/>
              </w:rPr>
            </w:pPr>
            <w:r w:rsidRPr="003A2B16">
              <w:rPr>
                <w:rFonts w:cstheme="minorHAnsi"/>
                <w:color w:val="000000"/>
                <w:sz w:val="19"/>
                <w:szCs w:val="19"/>
              </w:rPr>
              <w:t>20.4</w:t>
            </w:r>
          </w:p>
        </w:tc>
        <w:tc>
          <w:tcPr>
            <w:tcW w:w="708" w:type="dxa"/>
            <w:shd w:val="clear" w:color="auto" w:fill="auto"/>
            <w:vAlign w:val="center"/>
          </w:tcPr>
          <w:p w:rsidR="00D907AF" w:rsidRPr="003A2B16" w:rsidRDefault="00D907AF" w:rsidP="00502F03">
            <w:pPr>
              <w:spacing w:before="20" w:after="20"/>
              <w:ind w:right="113"/>
              <w:jc w:val="right"/>
              <w:rPr>
                <w:rFonts w:cstheme="minorHAnsi"/>
                <w:color w:val="000000"/>
                <w:sz w:val="19"/>
                <w:szCs w:val="19"/>
              </w:rPr>
            </w:pPr>
            <w:r w:rsidRPr="003A2B16">
              <w:rPr>
                <w:rFonts w:cstheme="minorHAnsi"/>
                <w:color w:val="000000"/>
                <w:sz w:val="19"/>
                <w:szCs w:val="19"/>
              </w:rPr>
              <w:t>127</w:t>
            </w:r>
          </w:p>
        </w:tc>
        <w:tc>
          <w:tcPr>
            <w:tcW w:w="709" w:type="dxa"/>
            <w:shd w:val="clear" w:color="auto" w:fill="auto"/>
            <w:vAlign w:val="center"/>
          </w:tcPr>
          <w:p w:rsidR="00D907AF" w:rsidRPr="003A2B16" w:rsidRDefault="00D907AF" w:rsidP="00D907AF">
            <w:pPr>
              <w:spacing w:before="20" w:after="20"/>
              <w:jc w:val="right"/>
              <w:rPr>
                <w:rFonts w:cstheme="minorHAnsi"/>
                <w:color w:val="000000"/>
                <w:sz w:val="19"/>
                <w:szCs w:val="19"/>
              </w:rPr>
            </w:pPr>
            <w:r w:rsidRPr="003A2B16">
              <w:rPr>
                <w:rFonts w:cstheme="minorHAnsi"/>
                <w:color w:val="000000"/>
                <w:sz w:val="19"/>
                <w:szCs w:val="19"/>
              </w:rPr>
              <w:t>18.0</w:t>
            </w:r>
          </w:p>
        </w:tc>
      </w:tr>
      <w:tr w:rsidR="00D907AF" w:rsidRPr="0087485F" w:rsidTr="00502F03">
        <w:trPr>
          <w:trHeight w:val="227"/>
        </w:trPr>
        <w:tc>
          <w:tcPr>
            <w:tcW w:w="4077" w:type="dxa"/>
            <w:shd w:val="clear" w:color="auto" w:fill="auto"/>
          </w:tcPr>
          <w:p w:rsidR="00D907AF" w:rsidRPr="003A2B16" w:rsidRDefault="00D907AF" w:rsidP="00D907AF">
            <w:pPr>
              <w:spacing w:before="20" w:after="20"/>
              <w:rPr>
                <w:rFonts w:cstheme="minorHAnsi"/>
                <w:sz w:val="19"/>
                <w:szCs w:val="19"/>
              </w:rPr>
            </w:pPr>
            <w:r w:rsidRPr="003A2B16">
              <w:rPr>
                <w:rFonts w:cstheme="minorHAnsi"/>
                <w:sz w:val="19"/>
                <w:szCs w:val="19"/>
              </w:rPr>
              <w:t>Housing</w:t>
            </w:r>
          </w:p>
        </w:tc>
        <w:tc>
          <w:tcPr>
            <w:tcW w:w="794" w:type="dxa"/>
            <w:shd w:val="clear" w:color="auto" w:fill="auto"/>
            <w:vAlign w:val="center"/>
          </w:tcPr>
          <w:p w:rsidR="00D907AF" w:rsidRPr="003A2B16" w:rsidRDefault="00D907AF" w:rsidP="00502F03">
            <w:pPr>
              <w:spacing w:before="20" w:after="20"/>
              <w:ind w:right="113"/>
              <w:jc w:val="right"/>
              <w:rPr>
                <w:rFonts w:cstheme="minorHAnsi"/>
                <w:color w:val="000000"/>
                <w:sz w:val="19"/>
                <w:szCs w:val="19"/>
              </w:rPr>
            </w:pPr>
            <w:r w:rsidRPr="003A2B16">
              <w:rPr>
                <w:rFonts w:cstheme="minorHAnsi"/>
                <w:color w:val="000000"/>
                <w:sz w:val="19"/>
                <w:szCs w:val="19"/>
              </w:rPr>
              <w:t>70</w:t>
            </w:r>
          </w:p>
        </w:tc>
        <w:tc>
          <w:tcPr>
            <w:tcW w:w="794" w:type="dxa"/>
            <w:shd w:val="clear" w:color="auto" w:fill="auto"/>
            <w:vAlign w:val="center"/>
          </w:tcPr>
          <w:p w:rsidR="00D907AF" w:rsidRPr="003A2B16" w:rsidRDefault="00D907AF" w:rsidP="00D907AF">
            <w:pPr>
              <w:spacing w:before="20" w:after="20"/>
              <w:jc w:val="right"/>
              <w:rPr>
                <w:rFonts w:cstheme="minorHAnsi"/>
                <w:color w:val="000000"/>
                <w:sz w:val="19"/>
                <w:szCs w:val="19"/>
              </w:rPr>
            </w:pPr>
            <w:r w:rsidRPr="003A2B16">
              <w:rPr>
                <w:rFonts w:cstheme="minorHAnsi"/>
                <w:color w:val="000000"/>
                <w:sz w:val="19"/>
                <w:szCs w:val="19"/>
              </w:rPr>
              <w:t>18.4</w:t>
            </w:r>
          </w:p>
        </w:tc>
        <w:tc>
          <w:tcPr>
            <w:tcW w:w="1077" w:type="dxa"/>
            <w:shd w:val="clear" w:color="auto" w:fill="auto"/>
            <w:vAlign w:val="center"/>
          </w:tcPr>
          <w:p w:rsidR="00D907AF" w:rsidRPr="003A2B16" w:rsidRDefault="00D907AF" w:rsidP="00502F03">
            <w:pPr>
              <w:spacing w:before="20" w:after="20"/>
              <w:ind w:right="284"/>
              <w:jc w:val="right"/>
              <w:rPr>
                <w:rFonts w:cstheme="minorHAnsi"/>
                <w:color w:val="000000"/>
                <w:sz w:val="19"/>
                <w:szCs w:val="19"/>
              </w:rPr>
            </w:pPr>
            <w:r w:rsidRPr="003A2B16">
              <w:rPr>
                <w:rFonts w:cstheme="minorHAnsi"/>
                <w:color w:val="000000"/>
                <w:sz w:val="19"/>
                <w:szCs w:val="19"/>
              </w:rPr>
              <w:t>42</w:t>
            </w:r>
          </w:p>
        </w:tc>
        <w:tc>
          <w:tcPr>
            <w:tcW w:w="1134" w:type="dxa"/>
            <w:shd w:val="clear" w:color="auto" w:fill="auto"/>
            <w:vAlign w:val="center"/>
          </w:tcPr>
          <w:p w:rsidR="00D907AF" w:rsidRPr="003A2B16" w:rsidRDefault="00D907AF" w:rsidP="00FF1B62">
            <w:pPr>
              <w:spacing w:before="20" w:after="20"/>
              <w:ind w:right="284"/>
              <w:jc w:val="right"/>
              <w:rPr>
                <w:rFonts w:cstheme="minorHAnsi"/>
                <w:color w:val="000000"/>
                <w:sz w:val="19"/>
                <w:szCs w:val="19"/>
              </w:rPr>
            </w:pPr>
            <w:r w:rsidRPr="003A2B16">
              <w:rPr>
                <w:rFonts w:cstheme="minorHAnsi"/>
                <w:color w:val="000000"/>
                <w:sz w:val="19"/>
                <w:szCs w:val="19"/>
              </w:rPr>
              <w:t>13.0</w:t>
            </w:r>
          </w:p>
        </w:tc>
        <w:tc>
          <w:tcPr>
            <w:tcW w:w="708" w:type="dxa"/>
            <w:shd w:val="clear" w:color="auto" w:fill="auto"/>
            <w:vAlign w:val="center"/>
          </w:tcPr>
          <w:p w:rsidR="00D907AF" w:rsidRPr="003A2B16" w:rsidRDefault="00D907AF" w:rsidP="00502F03">
            <w:pPr>
              <w:spacing w:before="20" w:after="20"/>
              <w:ind w:right="113"/>
              <w:jc w:val="right"/>
              <w:rPr>
                <w:rFonts w:cstheme="minorHAnsi"/>
                <w:color w:val="000000"/>
                <w:sz w:val="19"/>
                <w:szCs w:val="19"/>
              </w:rPr>
            </w:pPr>
            <w:r w:rsidRPr="003A2B16">
              <w:rPr>
                <w:rFonts w:cstheme="minorHAnsi"/>
                <w:color w:val="000000"/>
                <w:sz w:val="19"/>
                <w:szCs w:val="19"/>
              </w:rPr>
              <w:t>112</w:t>
            </w:r>
          </w:p>
        </w:tc>
        <w:tc>
          <w:tcPr>
            <w:tcW w:w="709" w:type="dxa"/>
            <w:shd w:val="clear" w:color="auto" w:fill="auto"/>
            <w:vAlign w:val="center"/>
          </w:tcPr>
          <w:p w:rsidR="00D907AF" w:rsidRPr="003A2B16" w:rsidRDefault="00D907AF" w:rsidP="00D907AF">
            <w:pPr>
              <w:spacing w:before="20" w:after="20"/>
              <w:jc w:val="right"/>
              <w:rPr>
                <w:rFonts w:cstheme="minorHAnsi"/>
                <w:color w:val="000000"/>
                <w:sz w:val="19"/>
                <w:szCs w:val="19"/>
              </w:rPr>
            </w:pPr>
            <w:r w:rsidRPr="003A2B16">
              <w:rPr>
                <w:rFonts w:cstheme="minorHAnsi"/>
                <w:color w:val="000000"/>
                <w:sz w:val="19"/>
                <w:szCs w:val="19"/>
              </w:rPr>
              <w:t>15.9</w:t>
            </w:r>
          </w:p>
        </w:tc>
      </w:tr>
      <w:tr w:rsidR="00D907AF" w:rsidRPr="0087485F" w:rsidTr="00502F03">
        <w:trPr>
          <w:trHeight w:val="227"/>
        </w:trPr>
        <w:tc>
          <w:tcPr>
            <w:tcW w:w="4077" w:type="dxa"/>
            <w:shd w:val="clear" w:color="auto" w:fill="auto"/>
          </w:tcPr>
          <w:p w:rsidR="00D907AF" w:rsidRPr="003A2B16" w:rsidRDefault="00D907AF" w:rsidP="00D907AF">
            <w:pPr>
              <w:spacing w:before="20" w:after="20"/>
              <w:rPr>
                <w:rFonts w:cstheme="minorHAnsi"/>
                <w:sz w:val="19"/>
                <w:szCs w:val="19"/>
              </w:rPr>
            </w:pPr>
            <w:r w:rsidRPr="003A2B16">
              <w:rPr>
                <w:rFonts w:cstheme="minorHAnsi"/>
                <w:sz w:val="19"/>
                <w:szCs w:val="19"/>
              </w:rPr>
              <w:t>Use of transport</w:t>
            </w:r>
          </w:p>
        </w:tc>
        <w:tc>
          <w:tcPr>
            <w:tcW w:w="794" w:type="dxa"/>
            <w:shd w:val="clear" w:color="auto" w:fill="auto"/>
            <w:vAlign w:val="center"/>
          </w:tcPr>
          <w:p w:rsidR="00D907AF" w:rsidRPr="003A2B16" w:rsidRDefault="00D907AF" w:rsidP="00502F03">
            <w:pPr>
              <w:spacing w:before="20" w:after="20"/>
              <w:ind w:right="113"/>
              <w:jc w:val="right"/>
              <w:rPr>
                <w:rFonts w:cstheme="minorHAnsi"/>
                <w:color w:val="000000"/>
                <w:sz w:val="19"/>
                <w:szCs w:val="19"/>
              </w:rPr>
            </w:pPr>
            <w:r w:rsidRPr="003A2B16">
              <w:rPr>
                <w:rFonts w:cstheme="minorHAnsi"/>
                <w:color w:val="000000"/>
                <w:sz w:val="19"/>
                <w:szCs w:val="19"/>
              </w:rPr>
              <w:t>65</w:t>
            </w:r>
          </w:p>
        </w:tc>
        <w:tc>
          <w:tcPr>
            <w:tcW w:w="794" w:type="dxa"/>
            <w:shd w:val="clear" w:color="auto" w:fill="auto"/>
            <w:vAlign w:val="center"/>
          </w:tcPr>
          <w:p w:rsidR="00D907AF" w:rsidRPr="003A2B16" w:rsidRDefault="00D907AF" w:rsidP="00D907AF">
            <w:pPr>
              <w:spacing w:before="20" w:after="20"/>
              <w:jc w:val="right"/>
              <w:rPr>
                <w:rFonts w:cstheme="minorHAnsi"/>
                <w:color w:val="000000"/>
                <w:sz w:val="19"/>
                <w:szCs w:val="19"/>
              </w:rPr>
            </w:pPr>
            <w:r w:rsidRPr="003A2B16">
              <w:rPr>
                <w:rFonts w:cstheme="minorHAnsi"/>
                <w:color w:val="000000"/>
                <w:sz w:val="19"/>
                <w:szCs w:val="19"/>
              </w:rPr>
              <w:t>17.1</w:t>
            </w:r>
          </w:p>
        </w:tc>
        <w:tc>
          <w:tcPr>
            <w:tcW w:w="1077" w:type="dxa"/>
            <w:shd w:val="clear" w:color="auto" w:fill="auto"/>
            <w:vAlign w:val="center"/>
          </w:tcPr>
          <w:p w:rsidR="00D907AF" w:rsidRPr="003A2B16" w:rsidRDefault="00D907AF" w:rsidP="00502F03">
            <w:pPr>
              <w:spacing w:before="20" w:after="20"/>
              <w:ind w:right="284"/>
              <w:jc w:val="right"/>
              <w:rPr>
                <w:rFonts w:cstheme="minorHAnsi"/>
                <w:color w:val="000000"/>
                <w:sz w:val="19"/>
                <w:szCs w:val="19"/>
              </w:rPr>
            </w:pPr>
            <w:r w:rsidRPr="003A2B16">
              <w:rPr>
                <w:rFonts w:cstheme="minorHAnsi"/>
                <w:color w:val="000000"/>
                <w:sz w:val="19"/>
                <w:szCs w:val="19"/>
              </w:rPr>
              <w:t>74</w:t>
            </w:r>
          </w:p>
        </w:tc>
        <w:tc>
          <w:tcPr>
            <w:tcW w:w="1134" w:type="dxa"/>
            <w:shd w:val="clear" w:color="auto" w:fill="auto"/>
            <w:vAlign w:val="center"/>
          </w:tcPr>
          <w:p w:rsidR="00D907AF" w:rsidRPr="003A2B16" w:rsidRDefault="00D907AF" w:rsidP="00FF1B62">
            <w:pPr>
              <w:spacing w:before="20" w:after="20"/>
              <w:ind w:right="284"/>
              <w:jc w:val="right"/>
              <w:rPr>
                <w:rFonts w:cstheme="minorHAnsi"/>
                <w:color w:val="000000"/>
                <w:sz w:val="19"/>
                <w:szCs w:val="19"/>
              </w:rPr>
            </w:pPr>
            <w:r w:rsidRPr="003A2B16">
              <w:rPr>
                <w:rFonts w:cstheme="minorHAnsi"/>
                <w:color w:val="000000"/>
                <w:sz w:val="19"/>
                <w:szCs w:val="19"/>
              </w:rPr>
              <w:t>22.8</w:t>
            </w:r>
          </w:p>
        </w:tc>
        <w:tc>
          <w:tcPr>
            <w:tcW w:w="708" w:type="dxa"/>
            <w:shd w:val="clear" w:color="auto" w:fill="auto"/>
            <w:vAlign w:val="center"/>
          </w:tcPr>
          <w:p w:rsidR="00D907AF" w:rsidRPr="003A2B16" w:rsidRDefault="00D907AF" w:rsidP="00502F03">
            <w:pPr>
              <w:spacing w:before="20" w:after="20"/>
              <w:ind w:right="113"/>
              <w:jc w:val="right"/>
              <w:rPr>
                <w:rFonts w:cstheme="minorHAnsi"/>
                <w:color w:val="000000"/>
                <w:sz w:val="19"/>
                <w:szCs w:val="19"/>
              </w:rPr>
            </w:pPr>
            <w:r w:rsidRPr="003A2B16">
              <w:rPr>
                <w:rFonts w:cstheme="minorHAnsi"/>
                <w:color w:val="000000"/>
                <w:sz w:val="19"/>
                <w:szCs w:val="19"/>
              </w:rPr>
              <w:t>139</w:t>
            </w:r>
          </w:p>
        </w:tc>
        <w:tc>
          <w:tcPr>
            <w:tcW w:w="709" w:type="dxa"/>
            <w:shd w:val="clear" w:color="auto" w:fill="auto"/>
            <w:vAlign w:val="center"/>
          </w:tcPr>
          <w:p w:rsidR="00D907AF" w:rsidRPr="003A2B16" w:rsidRDefault="00D907AF" w:rsidP="00D907AF">
            <w:pPr>
              <w:spacing w:before="20" w:after="20"/>
              <w:jc w:val="right"/>
              <w:rPr>
                <w:rFonts w:cstheme="minorHAnsi"/>
                <w:color w:val="000000"/>
                <w:sz w:val="19"/>
                <w:szCs w:val="19"/>
              </w:rPr>
            </w:pPr>
            <w:r w:rsidRPr="003A2B16">
              <w:rPr>
                <w:rFonts w:cstheme="minorHAnsi"/>
                <w:color w:val="000000"/>
                <w:sz w:val="19"/>
                <w:szCs w:val="19"/>
              </w:rPr>
              <w:t>19.7</w:t>
            </w:r>
          </w:p>
        </w:tc>
      </w:tr>
      <w:tr w:rsidR="00D907AF" w:rsidRPr="0087485F" w:rsidTr="00502F03">
        <w:trPr>
          <w:trHeight w:val="227"/>
        </w:trPr>
        <w:tc>
          <w:tcPr>
            <w:tcW w:w="4077" w:type="dxa"/>
            <w:shd w:val="clear" w:color="auto" w:fill="auto"/>
          </w:tcPr>
          <w:p w:rsidR="00D907AF" w:rsidRPr="003A2B16" w:rsidRDefault="00D907AF" w:rsidP="00D907AF">
            <w:pPr>
              <w:spacing w:before="20" w:after="20"/>
              <w:rPr>
                <w:rFonts w:cstheme="minorHAnsi"/>
                <w:sz w:val="19"/>
                <w:szCs w:val="19"/>
              </w:rPr>
            </w:pPr>
            <w:r w:rsidRPr="003A2B16">
              <w:rPr>
                <w:rFonts w:cstheme="minorHAnsi"/>
                <w:sz w:val="19"/>
                <w:szCs w:val="19"/>
              </w:rPr>
              <w:t>Health care</w:t>
            </w:r>
          </w:p>
        </w:tc>
        <w:tc>
          <w:tcPr>
            <w:tcW w:w="794" w:type="dxa"/>
            <w:shd w:val="clear" w:color="auto" w:fill="auto"/>
            <w:vAlign w:val="center"/>
          </w:tcPr>
          <w:p w:rsidR="00D907AF" w:rsidRPr="003A2B16" w:rsidRDefault="00D907AF" w:rsidP="00502F03">
            <w:pPr>
              <w:spacing w:before="20" w:after="20"/>
              <w:ind w:right="113"/>
              <w:jc w:val="right"/>
              <w:rPr>
                <w:rFonts w:cstheme="minorHAnsi"/>
                <w:color w:val="000000"/>
                <w:sz w:val="19"/>
                <w:szCs w:val="19"/>
              </w:rPr>
            </w:pPr>
            <w:r w:rsidRPr="003A2B16">
              <w:rPr>
                <w:rFonts w:cstheme="minorHAnsi"/>
                <w:color w:val="000000"/>
                <w:sz w:val="19"/>
                <w:szCs w:val="19"/>
              </w:rPr>
              <w:t>65</w:t>
            </w:r>
          </w:p>
        </w:tc>
        <w:tc>
          <w:tcPr>
            <w:tcW w:w="794" w:type="dxa"/>
            <w:shd w:val="clear" w:color="auto" w:fill="auto"/>
            <w:vAlign w:val="center"/>
          </w:tcPr>
          <w:p w:rsidR="00D907AF" w:rsidRPr="003A2B16" w:rsidRDefault="00D907AF" w:rsidP="00D907AF">
            <w:pPr>
              <w:spacing w:before="20" w:after="20"/>
              <w:jc w:val="right"/>
              <w:rPr>
                <w:rFonts w:cstheme="minorHAnsi"/>
                <w:color w:val="000000"/>
                <w:sz w:val="19"/>
                <w:szCs w:val="19"/>
              </w:rPr>
            </w:pPr>
            <w:r w:rsidRPr="003A2B16">
              <w:rPr>
                <w:rFonts w:cstheme="minorHAnsi"/>
                <w:color w:val="000000"/>
                <w:sz w:val="19"/>
                <w:szCs w:val="19"/>
              </w:rPr>
              <w:t>17.1</w:t>
            </w:r>
          </w:p>
        </w:tc>
        <w:tc>
          <w:tcPr>
            <w:tcW w:w="1077" w:type="dxa"/>
            <w:shd w:val="clear" w:color="auto" w:fill="auto"/>
            <w:vAlign w:val="center"/>
          </w:tcPr>
          <w:p w:rsidR="00D907AF" w:rsidRPr="003A2B16" w:rsidRDefault="00D907AF" w:rsidP="00502F03">
            <w:pPr>
              <w:spacing w:before="20" w:after="20"/>
              <w:ind w:right="284"/>
              <w:jc w:val="right"/>
              <w:rPr>
                <w:rFonts w:cstheme="minorHAnsi"/>
                <w:color w:val="000000"/>
                <w:sz w:val="19"/>
                <w:szCs w:val="19"/>
              </w:rPr>
            </w:pPr>
            <w:r w:rsidRPr="003A2B16">
              <w:rPr>
                <w:rFonts w:cstheme="minorHAnsi"/>
                <w:color w:val="000000"/>
                <w:sz w:val="19"/>
                <w:szCs w:val="19"/>
              </w:rPr>
              <w:t>79</w:t>
            </w:r>
          </w:p>
        </w:tc>
        <w:tc>
          <w:tcPr>
            <w:tcW w:w="1134" w:type="dxa"/>
            <w:shd w:val="clear" w:color="auto" w:fill="auto"/>
            <w:vAlign w:val="center"/>
          </w:tcPr>
          <w:p w:rsidR="00D907AF" w:rsidRPr="003A2B16" w:rsidRDefault="00D907AF" w:rsidP="00FF1B62">
            <w:pPr>
              <w:spacing w:before="20" w:after="20"/>
              <w:ind w:right="284"/>
              <w:jc w:val="right"/>
              <w:rPr>
                <w:rFonts w:cstheme="minorHAnsi"/>
                <w:color w:val="000000"/>
                <w:sz w:val="19"/>
                <w:szCs w:val="19"/>
              </w:rPr>
            </w:pPr>
            <w:r w:rsidRPr="003A2B16">
              <w:rPr>
                <w:rFonts w:cstheme="minorHAnsi"/>
                <w:color w:val="000000"/>
                <w:sz w:val="19"/>
                <w:szCs w:val="19"/>
              </w:rPr>
              <w:t>24.4</w:t>
            </w:r>
          </w:p>
        </w:tc>
        <w:tc>
          <w:tcPr>
            <w:tcW w:w="708" w:type="dxa"/>
            <w:shd w:val="clear" w:color="auto" w:fill="auto"/>
            <w:vAlign w:val="center"/>
          </w:tcPr>
          <w:p w:rsidR="00D907AF" w:rsidRPr="003A2B16" w:rsidRDefault="00D907AF" w:rsidP="00502F03">
            <w:pPr>
              <w:spacing w:before="20" w:after="20"/>
              <w:ind w:right="113"/>
              <w:jc w:val="right"/>
              <w:rPr>
                <w:rFonts w:cstheme="minorHAnsi"/>
                <w:color w:val="000000"/>
                <w:sz w:val="19"/>
                <w:szCs w:val="19"/>
              </w:rPr>
            </w:pPr>
            <w:r w:rsidRPr="003A2B16">
              <w:rPr>
                <w:rFonts w:cstheme="minorHAnsi"/>
                <w:color w:val="000000"/>
                <w:sz w:val="19"/>
                <w:szCs w:val="19"/>
              </w:rPr>
              <w:t>144</w:t>
            </w:r>
          </w:p>
        </w:tc>
        <w:tc>
          <w:tcPr>
            <w:tcW w:w="709" w:type="dxa"/>
            <w:shd w:val="clear" w:color="auto" w:fill="auto"/>
            <w:vAlign w:val="center"/>
          </w:tcPr>
          <w:p w:rsidR="00D907AF" w:rsidRPr="003A2B16" w:rsidRDefault="00D907AF" w:rsidP="00D907AF">
            <w:pPr>
              <w:spacing w:before="20" w:after="20"/>
              <w:jc w:val="right"/>
              <w:rPr>
                <w:rFonts w:cstheme="minorHAnsi"/>
                <w:color w:val="000000"/>
                <w:sz w:val="19"/>
                <w:szCs w:val="19"/>
              </w:rPr>
            </w:pPr>
            <w:r w:rsidRPr="003A2B16">
              <w:rPr>
                <w:rFonts w:cstheme="minorHAnsi"/>
                <w:color w:val="000000"/>
                <w:sz w:val="19"/>
                <w:szCs w:val="19"/>
              </w:rPr>
              <w:t>20.4</w:t>
            </w:r>
          </w:p>
        </w:tc>
      </w:tr>
      <w:tr w:rsidR="00D907AF" w:rsidRPr="0087485F" w:rsidTr="00502F03">
        <w:trPr>
          <w:trHeight w:val="227"/>
        </w:trPr>
        <w:tc>
          <w:tcPr>
            <w:tcW w:w="4077" w:type="dxa"/>
            <w:shd w:val="clear" w:color="auto" w:fill="auto"/>
          </w:tcPr>
          <w:p w:rsidR="00D907AF" w:rsidRPr="003A2B16" w:rsidRDefault="00D907AF" w:rsidP="00D907AF">
            <w:pPr>
              <w:spacing w:before="20" w:after="20"/>
              <w:rPr>
                <w:rFonts w:cstheme="minorHAnsi"/>
                <w:sz w:val="19"/>
                <w:szCs w:val="19"/>
              </w:rPr>
            </w:pPr>
            <w:r w:rsidRPr="003A2B16">
              <w:rPr>
                <w:rFonts w:cstheme="minorHAnsi"/>
                <w:sz w:val="19"/>
                <w:szCs w:val="19"/>
              </w:rPr>
              <w:t>Support with self-managed funding</w:t>
            </w:r>
          </w:p>
        </w:tc>
        <w:tc>
          <w:tcPr>
            <w:tcW w:w="794" w:type="dxa"/>
            <w:shd w:val="clear" w:color="auto" w:fill="auto"/>
            <w:vAlign w:val="center"/>
          </w:tcPr>
          <w:p w:rsidR="00D907AF" w:rsidRPr="003A2B16" w:rsidRDefault="00D907AF" w:rsidP="00502F03">
            <w:pPr>
              <w:spacing w:before="20" w:after="20"/>
              <w:ind w:right="113"/>
              <w:jc w:val="right"/>
              <w:rPr>
                <w:rFonts w:cstheme="minorHAnsi"/>
                <w:color w:val="000000"/>
                <w:sz w:val="19"/>
                <w:szCs w:val="19"/>
              </w:rPr>
            </w:pPr>
            <w:r w:rsidRPr="003A2B16">
              <w:rPr>
                <w:rFonts w:cstheme="minorHAnsi"/>
                <w:color w:val="000000"/>
                <w:sz w:val="19"/>
                <w:szCs w:val="19"/>
              </w:rPr>
              <w:t>41</w:t>
            </w:r>
          </w:p>
        </w:tc>
        <w:tc>
          <w:tcPr>
            <w:tcW w:w="794" w:type="dxa"/>
            <w:shd w:val="clear" w:color="auto" w:fill="auto"/>
            <w:vAlign w:val="center"/>
          </w:tcPr>
          <w:p w:rsidR="00D907AF" w:rsidRPr="003A2B16" w:rsidRDefault="00D907AF" w:rsidP="00D907AF">
            <w:pPr>
              <w:spacing w:before="20" w:after="20"/>
              <w:jc w:val="right"/>
              <w:rPr>
                <w:rFonts w:cstheme="minorHAnsi"/>
                <w:color w:val="000000"/>
                <w:sz w:val="19"/>
                <w:szCs w:val="19"/>
              </w:rPr>
            </w:pPr>
            <w:r w:rsidRPr="003A2B16">
              <w:rPr>
                <w:rFonts w:cstheme="minorHAnsi"/>
                <w:color w:val="000000"/>
                <w:sz w:val="19"/>
                <w:szCs w:val="19"/>
              </w:rPr>
              <w:t>10.8</w:t>
            </w:r>
          </w:p>
        </w:tc>
        <w:tc>
          <w:tcPr>
            <w:tcW w:w="1077" w:type="dxa"/>
            <w:shd w:val="clear" w:color="auto" w:fill="auto"/>
            <w:vAlign w:val="center"/>
          </w:tcPr>
          <w:p w:rsidR="00D907AF" w:rsidRPr="003A2B16" w:rsidRDefault="00D907AF" w:rsidP="00502F03">
            <w:pPr>
              <w:spacing w:before="20" w:after="20"/>
              <w:ind w:right="284"/>
              <w:jc w:val="right"/>
              <w:rPr>
                <w:rFonts w:cstheme="minorHAnsi"/>
                <w:color w:val="000000"/>
                <w:sz w:val="19"/>
                <w:szCs w:val="19"/>
              </w:rPr>
            </w:pPr>
            <w:r w:rsidRPr="003A2B16">
              <w:rPr>
                <w:rFonts w:cstheme="minorHAnsi"/>
                <w:color w:val="000000"/>
                <w:sz w:val="19"/>
                <w:szCs w:val="19"/>
              </w:rPr>
              <w:t>40</w:t>
            </w:r>
          </w:p>
        </w:tc>
        <w:tc>
          <w:tcPr>
            <w:tcW w:w="1134" w:type="dxa"/>
            <w:shd w:val="clear" w:color="auto" w:fill="auto"/>
            <w:vAlign w:val="center"/>
          </w:tcPr>
          <w:p w:rsidR="00D907AF" w:rsidRPr="003A2B16" w:rsidRDefault="00D907AF" w:rsidP="00FF1B62">
            <w:pPr>
              <w:spacing w:before="20" w:after="20"/>
              <w:ind w:right="284"/>
              <w:jc w:val="right"/>
              <w:rPr>
                <w:rFonts w:cstheme="minorHAnsi"/>
                <w:color w:val="000000"/>
                <w:sz w:val="19"/>
                <w:szCs w:val="19"/>
              </w:rPr>
            </w:pPr>
            <w:r w:rsidRPr="003A2B16">
              <w:rPr>
                <w:rFonts w:cstheme="minorHAnsi"/>
                <w:color w:val="000000"/>
                <w:sz w:val="19"/>
                <w:szCs w:val="19"/>
              </w:rPr>
              <w:t>12.4</w:t>
            </w:r>
          </w:p>
        </w:tc>
        <w:tc>
          <w:tcPr>
            <w:tcW w:w="708" w:type="dxa"/>
            <w:shd w:val="clear" w:color="auto" w:fill="auto"/>
            <w:vAlign w:val="center"/>
          </w:tcPr>
          <w:p w:rsidR="00D907AF" w:rsidRPr="003A2B16" w:rsidRDefault="00D907AF" w:rsidP="00502F03">
            <w:pPr>
              <w:spacing w:before="20" w:after="20"/>
              <w:ind w:right="113"/>
              <w:jc w:val="right"/>
              <w:rPr>
                <w:rFonts w:cstheme="minorHAnsi"/>
                <w:color w:val="000000"/>
                <w:sz w:val="19"/>
                <w:szCs w:val="19"/>
              </w:rPr>
            </w:pPr>
            <w:r w:rsidRPr="003A2B16">
              <w:rPr>
                <w:rFonts w:cstheme="minorHAnsi"/>
                <w:color w:val="000000"/>
                <w:sz w:val="19"/>
                <w:szCs w:val="19"/>
              </w:rPr>
              <w:t>81</w:t>
            </w:r>
          </w:p>
        </w:tc>
        <w:tc>
          <w:tcPr>
            <w:tcW w:w="709" w:type="dxa"/>
            <w:shd w:val="clear" w:color="auto" w:fill="auto"/>
            <w:vAlign w:val="center"/>
          </w:tcPr>
          <w:p w:rsidR="00D907AF" w:rsidRPr="003A2B16" w:rsidRDefault="00D907AF" w:rsidP="00D907AF">
            <w:pPr>
              <w:spacing w:before="20" w:after="20"/>
              <w:jc w:val="right"/>
              <w:rPr>
                <w:rFonts w:cstheme="minorHAnsi"/>
                <w:color w:val="000000"/>
                <w:sz w:val="19"/>
                <w:szCs w:val="19"/>
              </w:rPr>
            </w:pPr>
            <w:r w:rsidRPr="003A2B16">
              <w:rPr>
                <w:rFonts w:cstheme="minorHAnsi"/>
                <w:color w:val="000000"/>
                <w:sz w:val="19"/>
                <w:szCs w:val="19"/>
              </w:rPr>
              <w:t>11.5</w:t>
            </w:r>
          </w:p>
        </w:tc>
      </w:tr>
      <w:tr w:rsidR="00D907AF" w:rsidRPr="0087485F" w:rsidTr="00502F03">
        <w:trPr>
          <w:trHeight w:val="227"/>
        </w:trPr>
        <w:tc>
          <w:tcPr>
            <w:tcW w:w="4077" w:type="dxa"/>
            <w:shd w:val="clear" w:color="auto" w:fill="auto"/>
          </w:tcPr>
          <w:p w:rsidR="00D907AF" w:rsidRPr="003A2B16" w:rsidRDefault="00D907AF" w:rsidP="00D907AF">
            <w:pPr>
              <w:spacing w:before="20" w:after="20"/>
              <w:rPr>
                <w:rFonts w:cstheme="minorHAnsi"/>
                <w:sz w:val="19"/>
                <w:szCs w:val="19"/>
              </w:rPr>
            </w:pPr>
            <w:r w:rsidRPr="003A2B16">
              <w:rPr>
                <w:rFonts w:cstheme="minorHAnsi"/>
                <w:sz w:val="19"/>
                <w:szCs w:val="19"/>
              </w:rPr>
              <w:t>Other types of support</w:t>
            </w:r>
          </w:p>
        </w:tc>
        <w:tc>
          <w:tcPr>
            <w:tcW w:w="794" w:type="dxa"/>
            <w:shd w:val="clear" w:color="auto" w:fill="auto"/>
            <w:vAlign w:val="center"/>
          </w:tcPr>
          <w:p w:rsidR="00D907AF" w:rsidRPr="003A2B16" w:rsidRDefault="00D907AF" w:rsidP="00502F03">
            <w:pPr>
              <w:spacing w:before="20" w:after="20"/>
              <w:ind w:right="113"/>
              <w:jc w:val="right"/>
              <w:rPr>
                <w:rFonts w:cstheme="minorHAnsi"/>
                <w:color w:val="000000"/>
                <w:sz w:val="19"/>
                <w:szCs w:val="19"/>
              </w:rPr>
            </w:pPr>
            <w:r w:rsidRPr="003A2B16">
              <w:rPr>
                <w:rFonts w:cstheme="minorHAnsi"/>
                <w:color w:val="000000"/>
                <w:sz w:val="19"/>
                <w:szCs w:val="19"/>
              </w:rPr>
              <w:t>31</w:t>
            </w:r>
          </w:p>
        </w:tc>
        <w:tc>
          <w:tcPr>
            <w:tcW w:w="794" w:type="dxa"/>
            <w:shd w:val="clear" w:color="auto" w:fill="auto"/>
            <w:vAlign w:val="center"/>
          </w:tcPr>
          <w:p w:rsidR="00D907AF" w:rsidRPr="003A2B16" w:rsidRDefault="00D907AF" w:rsidP="00D907AF">
            <w:pPr>
              <w:spacing w:before="20" w:after="20"/>
              <w:jc w:val="right"/>
              <w:rPr>
                <w:rFonts w:cstheme="minorHAnsi"/>
                <w:color w:val="000000"/>
                <w:sz w:val="19"/>
                <w:szCs w:val="19"/>
              </w:rPr>
            </w:pPr>
            <w:r w:rsidRPr="003A2B16">
              <w:rPr>
                <w:rFonts w:cstheme="minorHAnsi"/>
                <w:color w:val="000000"/>
                <w:sz w:val="19"/>
                <w:szCs w:val="19"/>
              </w:rPr>
              <w:t>8.1</w:t>
            </w:r>
          </w:p>
        </w:tc>
        <w:tc>
          <w:tcPr>
            <w:tcW w:w="1077" w:type="dxa"/>
            <w:shd w:val="clear" w:color="auto" w:fill="auto"/>
            <w:vAlign w:val="center"/>
          </w:tcPr>
          <w:p w:rsidR="00D907AF" w:rsidRPr="003A2B16" w:rsidRDefault="00D907AF" w:rsidP="00502F03">
            <w:pPr>
              <w:spacing w:before="20" w:after="20"/>
              <w:ind w:right="284"/>
              <w:jc w:val="right"/>
              <w:rPr>
                <w:rFonts w:cstheme="minorHAnsi"/>
                <w:color w:val="000000"/>
                <w:sz w:val="19"/>
                <w:szCs w:val="19"/>
              </w:rPr>
            </w:pPr>
            <w:r w:rsidRPr="003A2B16">
              <w:rPr>
                <w:rFonts w:cstheme="minorHAnsi"/>
                <w:color w:val="000000"/>
                <w:sz w:val="19"/>
                <w:szCs w:val="19"/>
              </w:rPr>
              <w:t>23</w:t>
            </w:r>
          </w:p>
        </w:tc>
        <w:tc>
          <w:tcPr>
            <w:tcW w:w="1134" w:type="dxa"/>
            <w:shd w:val="clear" w:color="auto" w:fill="auto"/>
            <w:vAlign w:val="center"/>
          </w:tcPr>
          <w:p w:rsidR="00D907AF" w:rsidRPr="003A2B16" w:rsidRDefault="00D907AF" w:rsidP="00FF1B62">
            <w:pPr>
              <w:spacing w:before="20" w:after="20"/>
              <w:ind w:right="284"/>
              <w:jc w:val="right"/>
              <w:rPr>
                <w:rFonts w:cstheme="minorHAnsi"/>
                <w:color w:val="000000"/>
                <w:sz w:val="19"/>
                <w:szCs w:val="19"/>
              </w:rPr>
            </w:pPr>
            <w:r w:rsidRPr="003A2B16">
              <w:rPr>
                <w:rFonts w:cstheme="minorHAnsi"/>
                <w:color w:val="000000"/>
                <w:sz w:val="19"/>
                <w:szCs w:val="19"/>
              </w:rPr>
              <w:t>7.1</w:t>
            </w:r>
          </w:p>
        </w:tc>
        <w:tc>
          <w:tcPr>
            <w:tcW w:w="708" w:type="dxa"/>
            <w:shd w:val="clear" w:color="auto" w:fill="auto"/>
            <w:vAlign w:val="center"/>
          </w:tcPr>
          <w:p w:rsidR="00D907AF" w:rsidRPr="003A2B16" w:rsidRDefault="00D907AF" w:rsidP="00502F03">
            <w:pPr>
              <w:spacing w:before="20" w:after="20"/>
              <w:ind w:right="113"/>
              <w:jc w:val="right"/>
              <w:rPr>
                <w:rFonts w:cstheme="minorHAnsi"/>
                <w:color w:val="000000"/>
                <w:sz w:val="19"/>
                <w:szCs w:val="19"/>
              </w:rPr>
            </w:pPr>
            <w:r w:rsidRPr="003A2B16">
              <w:rPr>
                <w:rFonts w:cstheme="minorHAnsi"/>
                <w:color w:val="000000"/>
                <w:sz w:val="19"/>
                <w:szCs w:val="19"/>
              </w:rPr>
              <w:t>54</w:t>
            </w:r>
          </w:p>
        </w:tc>
        <w:tc>
          <w:tcPr>
            <w:tcW w:w="709" w:type="dxa"/>
            <w:shd w:val="clear" w:color="auto" w:fill="auto"/>
            <w:vAlign w:val="center"/>
          </w:tcPr>
          <w:p w:rsidR="00D907AF" w:rsidRPr="003A2B16" w:rsidRDefault="00D907AF" w:rsidP="00D907AF">
            <w:pPr>
              <w:spacing w:before="20" w:after="20"/>
              <w:jc w:val="right"/>
              <w:rPr>
                <w:rFonts w:cstheme="minorHAnsi"/>
                <w:color w:val="000000"/>
                <w:sz w:val="19"/>
                <w:szCs w:val="19"/>
              </w:rPr>
            </w:pPr>
            <w:r w:rsidRPr="003A2B16">
              <w:rPr>
                <w:rFonts w:cstheme="minorHAnsi"/>
                <w:color w:val="000000"/>
                <w:sz w:val="19"/>
                <w:szCs w:val="19"/>
              </w:rPr>
              <w:t>7.7</w:t>
            </w:r>
          </w:p>
        </w:tc>
      </w:tr>
      <w:tr w:rsidR="00D907AF" w:rsidRPr="0087485F" w:rsidTr="00502F03">
        <w:trPr>
          <w:trHeight w:val="340"/>
        </w:trPr>
        <w:tc>
          <w:tcPr>
            <w:tcW w:w="4077" w:type="dxa"/>
            <w:tcBorders>
              <w:top w:val="single" w:sz="4" w:space="0" w:color="auto"/>
              <w:bottom w:val="single" w:sz="4" w:space="0" w:color="auto"/>
            </w:tcBorders>
            <w:shd w:val="clear" w:color="auto" w:fill="auto"/>
          </w:tcPr>
          <w:p w:rsidR="00D907AF" w:rsidRPr="003A2B16" w:rsidRDefault="00D907AF" w:rsidP="00D907AF">
            <w:pPr>
              <w:spacing w:before="20" w:after="20"/>
              <w:rPr>
                <w:rFonts w:cstheme="minorHAnsi"/>
                <w:sz w:val="19"/>
                <w:szCs w:val="19"/>
              </w:rPr>
            </w:pPr>
            <w:r w:rsidRPr="003A2B16">
              <w:rPr>
                <w:rFonts w:cstheme="minorHAnsi"/>
                <w:b/>
                <w:sz w:val="19"/>
                <w:szCs w:val="19"/>
              </w:rPr>
              <w:t>Total</w:t>
            </w:r>
          </w:p>
        </w:tc>
        <w:tc>
          <w:tcPr>
            <w:tcW w:w="794" w:type="dxa"/>
            <w:tcBorders>
              <w:top w:val="single" w:sz="4" w:space="0" w:color="auto"/>
              <w:bottom w:val="single" w:sz="4" w:space="0" w:color="auto"/>
            </w:tcBorders>
            <w:shd w:val="clear" w:color="auto" w:fill="auto"/>
          </w:tcPr>
          <w:p w:rsidR="00D907AF" w:rsidRPr="003A2B16" w:rsidRDefault="00D907AF" w:rsidP="00502F03">
            <w:pPr>
              <w:spacing w:before="20" w:after="20"/>
              <w:ind w:right="113"/>
              <w:jc w:val="right"/>
              <w:rPr>
                <w:rFonts w:cstheme="minorHAnsi"/>
                <w:b/>
                <w:sz w:val="19"/>
                <w:szCs w:val="19"/>
              </w:rPr>
            </w:pPr>
            <w:r w:rsidRPr="003A2B16">
              <w:rPr>
                <w:rFonts w:cstheme="minorHAnsi"/>
                <w:b/>
                <w:sz w:val="19"/>
                <w:szCs w:val="19"/>
              </w:rPr>
              <w:t>381</w:t>
            </w:r>
          </w:p>
        </w:tc>
        <w:tc>
          <w:tcPr>
            <w:tcW w:w="794" w:type="dxa"/>
            <w:tcBorders>
              <w:top w:val="single" w:sz="4" w:space="0" w:color="auto"/>
              <w:bottom w:val="single" w:sz="4" w:space="0" w:color="auto"/>
            </w:tcBorders>
            <w:shd w:val="clear" w:color="auto" w:fill="auto"/>
          </w:tcPr>
          <w:p w:rsidR="00D907AF" w:rsidRPr="003A2B16" w:rsidRDefault="00D907AF" w:rsidP="00D907AF">
            <w:pPr>
              <w:spacing w:before="20" w:after="20"/>
              <w:jc w:val="right"/>
              <w:rPr>
                <w:rFonts w:cstheme="minorHAnsi"/>
                <w:b/>
                <w:sz w:val="19"/>
                <w:szCs w:val="19"/>
              </w:rPr>
            </w:pPr>
          </w:p>
        </w:tc>
        <w:tc>
          <w:tcPr>
            <w:tcW w:w="1077" w:type="dxa"/>
            <w:tcBorders>
              <w:top w:val="single" w:sz="4" w:space="0" w:color="auto"/>
              <w:bottom w:val="single" w:sz="4" w:space="0" w:color="auto"/>
            </w:tcBorders>
            <w:shd w:val="clear" w:color="auto" w:fill="auto"/>
          </w:tcPr>
          <w:p w:rsidR="00D907AF" w:rsidRPr="003A2B16" w:rsidRDefault="00D907AF" w:rsidP="00502F03">
            <w:pPr>
              <w:spacing w:before="20" w:after="20"/>
              <w:ind w:right="284"/>
              <w:jc w:val="right"/>
              <w:rPr>
                <w:rFonts w:cstheme="minorHAnsi"/>
                <w:b/>
                <w:color w:val="000000"/>
                <w:sz w:val="19"/>
                <w:szCs w:val="19"/>
              </w:rPr>
            </w:pPr>
            <w:r w:rsidRPr="003A2B16">
              <w:rPr>
                <w:rFonts w:cstheme="minorHAnsi"/>
                <w:b/>
                <w:color w:val="000000"/>
                <w:sz w:val="19"/>
                <w:szCs w:val="19"/>
              </w:rPr>
              <w:t>324</w:t>
            </w:r>
          </w:p>
        </w:tc>
        <w:tc>
          <w:tcPr>
            <w:tcW w:w="1134" w:type="dxa"/>
            <w:tcBorders>
              <w:top w:val="single" w:sz="4" w:space="0" w:color="auto"/>
              <w:bottom w:val="single" w:sz="4" w:space="0" w:color="auto"/>
            </w:tcBorders>
            <w:shd w:val="clear" w:color="auto" w:fill="auto"/>
          </w:tcPr>
          <w:p w:rsidR="00D907AF" w:rsidRPr="003A2B16" w:rsidRDefault="00D907AF" w:rsidP="00D907AF">
            <w:pPr>
              <w:spacing w:before="20" w:after="20"/>
              <w:jc w:val="right"/>
              <w:rPr>
                <w:rFonts w:cstheme="minorHAnsi"/>
                <w:b/>
                <w:sz w:val="19"/>
                <w:szCs w:val="19"/>
              </w:rPr>
            </w:pPr>
          </w:p>
        </w:tc>
        <w:tc>
          <w:tcPr>
            <w:tcW w:w="708" w:type="dxa"/>
            <w:tcBorders>
              <w:top w:val="single" w:sz="4" w:space="0" w:color="auto"/>
              <w:bottom w:val="single" w:sz="4" w:space="0" w:color="auto"/>
            </w:tcBorders>
            <w:shd w:val="clear" w:color="auto" w:fill="auto"/>
          </w:tcPr>
          <w:p w:rsidR="00D907AF" w:rsidRPr="003A2B16" w:rsidRDefault="00D907AF" w:rsidP="00502F03">
            <w:pPr>
              <w:spacing w:before="20" w:after="20"/>
              <w:ind w:right="113"/>
              <w:jc w:val="right"/>
              <w:rPr>
                <w:rFonts w:cstheme="minorHAnsi"/>
                <w:b/>
                <w:sz w:val="19"/>
                <w:szCs w:val="19"/>
              </w:rPr>
            </w:pPr>
            <w:r w:rsidRPr="003A2B16">
              <w:rPr>
                <w:rFonts w:cstheme="minorHAnsi"/>
                <w:b/>
                <w:sz w:val="19"/>
                <w:szCs w:val="19"/>
              </w:rPr>
              <w:t>705</w:t>
            </w:r>
          </w:p>
        </w:tc>
        <w:tc>
          <w:tcPr>
            <w:tcW w:w="709" w:type="dxa"/>
            <w:tcBorders>
              <w:top w:val="single" w:sz="4" w:space="0" w:color="auto"/>
              <w:bottom w:val="single" w:sz="4" w:space="0" w:color="auto"/>
            </w:tcBorders>
            <w:shd w:val="clear" w:color="auto" w:fill="auto"/>
          </w:tcPr>
          <w:p w:rsidR="00D907AF" w:rsidRPr="003A2B16" w:rsidRDefault="00D907AF" w:rsidP="00D907AF">
            <w:pPr>
              <w:spacing w:before="20" w:after="20"/>
              <w:jc w:val="right"/>
              <w:rPr>
                <w:rFonts w:cstheme="minorHAnsi"/>
                <w:b/>
                <w:sz w:val="19"/>
                <w:szCs w:val="19"/>
              </w:rPr>
            </w:pPr>
          </w:p>
        </w:tc>
      </w:tr>
    </w:tbl>
    <w:p w:rsidR="00D907AF" w:rsidRPr="00661CC4" w:rsidRDefault="00D907AF" w:rsidP="006C7BE7">
      <w:pPr>
        <w:pStyle w:val="NILSTabletext"/>
      </w:pPr>
      <w:r w:rsidRPr="00661CC4">
        <w:t xml:space="preserve">Note: </w:t>
      </w:r>
      <w:r>
        <w:t>trial and comparison</w:t>
      </w:r>
      <w:r w:rsidRPr="00661CC4">
        <w:t xml:space="preserve"> aged 16 and above</w:t>
      </w:r>
      <w:r>
        <w:t xml:space="preserve"> </w:t>
      </w:r>
      <w:r w:rsidRPr="00661CC4">
        <w:t xml:space="preserve">currently receiving </w:t>
      </w:r>
      <w:r>
        <w:t>supports; ‘Total’ indicates the number of respondents to answer this question; multiple response question; percentages do not add to 100.</w:t>
      </w:r>
    </w:p>
    <w:p w:rsidR="00D907AF" w:rsidRDefault="00D907AF" w:rsidP="00D907AF">
      <w:r>
        <w:t>The degree that support recipients are satisfied that their supports are reasonable and necessary is recorded in Table 3.71. In the trial group a large majority of 76 per cent are satisfied or very satisfied against 7 per cent who are dissatisfied or very dissatisfied. These percentages can be compared with those reported by the comparison group, but this would be a comparison of limited use. The important comparison will be that between the Wave 1 and the Wave 2 answers provided by the same people, thus measuring the degree to which living with NDIS supports for a year has or has not made a difference.</w:t>
      </w:r>
    </w:p>
    <w:p w:rsidR="00D907AF" w:rsidRPr="006C0603" w:rsidRDefault="00D907AF" w:rsidP="0044684E">
      <w:pPr>
        <w:pStyle w:val="NILSTableHeading"/>
      </w:pPr>
      <w:bookmarkStart w:id="462" w:name="_Toc428280722"/>
      <w:bookmarkStart w:id="463" w:name="_Toc449955333"/>
      <w:r w:rsidRPr="006C0603">
        <w:t xml:space="preserve">Table </w:t>
      </w:r>
      <w:r>
        <w:t>3.</w:t>
      </w:r>
      <w:r w:rsidRPr="006C0603">
        <w:t>7</w:t>
      </w:r>
      <w:r>
        <w:t>1</w:t>
      </w:r>
      <w:r w:rsidRPr="006C0603">
        <w:t xml:space="preserve">: Satisfaction </w:t>
      </w:r>
      <w:r>
        <w:t xml:space="preserve">that </w:t>
      </w:r>
      <w:r w:rsidRPr="006C0603">
        <w:t>supports received</w:t>
      </w:r>
      <w:r>
        <w:t xml:space="preserve"> are</w:t>
      </w:r>
      <w:r w:rsidRPr="006C0603">
        <w:t xml:space="preserve"> reasonable and necessary</w:t>
      </w:r>
      <w:bookmarkEnd w:id="462"/>
      <w:bookmarkEnd w:id="463"/>
      <w:r w:rsidRPr="006C0603">
        <w:t xml:space="preserve"> </w:t>
      </w:r>
    </w:p>
    <w:tbl>
      <w:tblPr>
        <w:tblStyle w:val="TableGrid"/>
        <w:tblW w:w="8981" w:type="dxa"/>
        <w:tblLayout w:type="fixed"/>
        <w:tblLook w:val="04A0" w:firstRow="1" w:lastRow="0" w:firstColumn="1" w:lastColumn="0" w:noHBand="0" w:noVBand="1"/>
        <w:tblCaption w:val="Table 3.71 Satisfaction that supports received are reasonable and necessary "/>
      </w:tblPr>
      <w:tblGrid>
        <w:gridCol w:w="2943"/>
        <w:gridCol w:w="851"/>
        <w:gridCol w:w="850"/>
        <w:gridCol w:w="1247"/>
        <w:gridCol w:w="1247"/>
        <w:gridCol w:w="850"/>
        <w:gridCol w:w="993"/>
      </w:tblGrid>
      <w:tr w:rsidR="00DA2FC5" w:rsidRPr="0087485F" w:rsidTr="0067288A">
        <w:trPr>
          <w:tblHeader/>
        </w:trPr>
        <w:tc>
          <w:tcPr>
            <w:tcW w:w="2943" w:type="dxa"/>
            <w:tcBorders>
              <w:top w:val="single" w:sz="4" w:space="0" w:color="auto"/>
              <w:bottom w:val="single" w:sz="4" w:space="0" w:color="auto"/>
            </w:tcBorders>
            <w:shd w:val="clear" w:color="auto" w:fill="auto"/>
          </w:tcPr>
          <w:p w:rsidR="001C7454" w:rsidRPr="003A2B16" w:rsidRDefault="001C7454" w:rsidP="002E7470">
            <w:pPr>
              <w:spacing w:before="20" w:after="20"/>
              <w:jc w:val="center"/>
              <w:rPr>
                <w:rFonts w:cstheme="minorHAnsi"/>
                <w:sz w:val="19"/>
                <w:szCs w:val="19"/>
              </w:rPr>
            </w:pPr>
            <w:bookmarkStart w:id="464" w:name="Title_3_71"/>
            <w:bookmarkEnd w:id="464"/>
          </w:p>
        </w:tc>
        <w:tc>
          <w:tcPr>
            <w:tcW w:w="851" w:type="dxa"/>
            <w:tcBorders>
              <w:top w:val="single" w:sz="4" w:space="0" w:color="auto"/>
              <w:bottom w:val="single" w:sz="4" w:space="0" w:color="auto"/>
            </w:tcBorders>
            <w:shd w:val="clear" w:color="auto" w:fill="auto"/>
          </w:tcPr>
          <w:p w:rsidR="001C7454" w:rsidRPr="003A2B16" w:rsidRDefault="001C7454" w:rsidP="002E7470">
            <w:pPr>
              <w:spacing w:before="20" w:after="20"/>
              <w:jc w:val="center"/>
              <w:rPr>
                <w:rFonts w:cstheme="minorHAnsi"/>
                <w:color w:val="000000"/>
                <w:sz w:val="19"/>
                <w:szCs w:val="19"/>
              </w:rPr>
            </w:pPr>
            <w:r w:rsidRPr="003A2B16">
              <w:rPr>
                <w:rFonts w:cstheme="minorHAnsi"/>
                <w:color w:val="000000"/>
                <w:sz w:val="19"/>
                <w:szCs w:val="19"/>
              </w:rPr>
              <w:t>Trial</w:t>
            </w:r>
            <w:r w:rsidR="005645AA" w:rsidRPr="003A2B16">
              <w:rPr>
                <w:rFonts w:cstheme="minorHAnsi"/>
                <w:color w:val="000000"/>
                <w:sz w:val="19"/>
                <w:szCs w:val="19"/>
              </w:rPr>
              <w:t xml:space="preserve"> </w:t>
            </w:r>
            <w:r w:rsidR="005645AA" w:rsidRPr="003A2B16">
              <w:rPr>
                <w:rFonts w:cstheme="minorHAnsi"/>
                <w:sz w:val="19"/>
                <w:szCs w:val="19"/>
              </w:rPr>
              <w:t>Cases</w:t>
            </w:r>
          </w:p>
        </w:tc>
        <w:tc>
          <w:tcPr>
            <w:tcW w:w="850" w:type="dxa"/>
            <w:tcBorders>
              <w:top w:val="single" w:sz="4" w:space="0" w:color="auto"/>
              <w:bottom w:val="single" w:sz="4" w:space="0" w:color="auto"/>
            </w:tcBorders>
            <w:shd w:val="clear" w:color="auto" w:fill="auto"/>
          </w:tcPr>
          <w:p w:rsidR="00B8777F" w:rsidRPr="003A2B16" w:rsidRDefault="001C7454" w:rsidP="002E7470">
            <w:pPr>
              <w:spacing w:before="20" w:after="20"/>
              <w:jc w:val="center"/>
              <w:rPr>
                <w:rFonts w:cstheme="minorHAnsi"/>
                <w:sz w:val="19"/>
                <w:szCs w:val="19"/>
              </w:rPr>
            </w:pPr>
            <w:r w:rsidRPr="003A2B16">
              <w:rPr>
                <w:rFonts w:cstheme="minorHAnsi"/>
                <w:sz w:val="19"/>
                <w:szCs w:val="19"/>
              </w:rPr>
              <w:t>Trial</w:t>
            </w:r>
          </w:p>
          <w:p w:rsidR="001C7454" w:rsidRPr="003A2B16" w:rsidRDefault="001C7454" w:rsidP="002E7470">
            <w:pPr>
              <w:spacing w:before="20" w:after="20"/>
              <w:jc w:val="center"/>
              <w:rPr>
                <w:rFonts w:cstheme="minorHAnsi"/>
                <w:color w:val="000000"/>
                <w:sz w:val="19"/>
                <w:szCs w:val="19"/>
              </w:rPr>
            </w:pPr>
            <w:r w:rsidRPr="003A2B16">
              <w:rPr>
                <w:rFonts w:cstheme="minorHAnsi"/>
                <w:sz w:val="19"/>
                <w:szCs w:val="19"/>
              </w:rPr>
              <w:t>%</w:t>
            </w:r>
          </w:p>
        </w:tc>
        <w:tc>
          <w:tcPr>
            <w:tcW w:w="1247" w:type="dxa"/>
            <w:tcBorders>
              <w:top w:val="single" w:sz="4" w:space="0" w:color="auto"/>
              <w:bottom w:val="single" w:sz="4" w:space="0" w:color="auto"/>
            </w:tcBorders>
            <w:shd w:val="clear" w:color="auto" w:fill="auto"/>
          </w:tcPr>
          <w:p w:rsidR="001C7454" w:rsidRPr="003A2B16" w:rsidRDefault="001C7454" w:rsidP="002E7470">
            <w:pPr>
              <w:spacing w:before="20" w:after="20"/>
              <w:jc w:val="center"/>
              <w:rPr>
                <w:rFonts w:cstheme="minorHAnsi"/>
                <w:color w:val="000000"/>
                <w:sz w:val="19"/>
                <w:szCs w:val="19"/>
              </w:rPr>
            </w:pPr>
            <w:r w:rsidRPr="003A2B16">
              <w:rPr>
                <w:rFonts w:cstheme="minorHAnsi"/>
                <w:color w:val="000000"/>
                <w:sz w:val="19"/>
                <w:szCs w:val="19"/>
              </w:rPr>
              <w:t>Comparison</w:t>
            </w:r>
            <w:r w:rsidR="005645AA" w:rsidRPr="003A2B16">
              <w:rPr>
                <w:rFonts w:cstheme="minorHAnsi"/>
                <w:color w:val="000000"/>
                <w:sz w:val="19"/>
                <w:szCs w:val="19"/>
              </w:rPr>
              <w:t xml:space="preserve"> </w:t>
            </w:r>
            <w:r w:rsidR="005645AA" w:rsidRPr="003A2B16">
              <w:rPr>
                <w:rFonts w:cstheme="minorHAnsi"/>
                <w:sz w:val="19"/>
                <w:szCs w:val="19"/>
              </w:rPr>
              <w:t>Cases</w:t>
            </w:r>
          </w:p>
        </w:tc>
        <w:tc>
          <w:tcPr>
            <w:tcW w:w="1247" w:type="dxa"/>
            <w:tcBorders>
              <w:top w:val="single" w:sz="4" w:space="0" w:color="auto"/>
              <w:bottom w:val="single" w:sz="4" w:space="0" w:color="auto"/>
            </w:tcBorders>
            <w:shd w:val="clear" w:color="auto" w:fill="auto"/>
          </w:tcPr>
          <w:p w:rsidR="00B8777F" w:rsidRPr="003A2B16" w:rsidRDefault="001C7454" w:rsidP="002E7470">
            <w:pPr>
              <w:spacing w:before="20" w:after="20"/>
              <w:jc w:val="center"/>
              <w:rPr>
                <w:rFonts w:cstheme="minorHAnsi"/>
                <w:sz w:val="19"/>
                <w:szCs w:val="19"/>
              </w:rPr>
            </w:pPr>
            <w:r w:rsidRPr="003A2B16">
              <w:rPr>
                <w:rFonts w:cstheme="minorHAnsi"/>
                <w:sz w:val="19"/>
                <w:szCs w:val="19"/>
              </w:rPr>
              <w:t>Comparison</w:t>
            </w:r>
          </w:p>
          <w:p w:rsidR="001C7454" w:rsidRPr="003A2B16" w:rsidRDefault="001C7454" w:rsidP="002E7470">
            <w:pPr>
              <w:spacing w:before="20" w:after="20"/>
              <w:jc w:val="center"/>
              <w:rPr>
                <w:rFonts w:cstheme="minorHAnsi"/>
                <w:color w:val="000000"/>
                <w:sz w:val="19"/>
                <w:szCs w:val="19"/>
              </w:rPr>
            </w:pPr>
            <w:r w:rsidRPr="003A2B16">
              <w:rPr>
                <w:rFonts w:cstheme="minorHAnsi"/>
                <w:sz w:val="19"/>
                <w:szCs w:val="19"/>
              </w:rPr>
              <w:t>%</w:t>
            </w:r>
          </w:p>
        </w:tc>
        <w:tc>
          <w:tcPr>
            <w:tcW w:w="850" w:type="dxa"/>
            <w:tcBorders>
              <w:top w:val="single" w:sz="4" w:space="0" w:color="auto"/>
              <w:bottom w:val="single" w:sz="4" w:space="0" w:color="auto"/>
            </w:tcBorders>
            <w:shd w:val="clear" w:color="auto" w:fill="auto"/>
          </w:tcPr>
          <w:p w:rsidR="001C7454" w:rsidRPr="003A2B16" w:rsidRDefault="001C7454" w:rsidP="002E7470">
            <w:pPr>
              <w:spacing w:before="20" w:after="20"/>
              <w:jc w:val="center"/>
              <w:rPr>
                <w:rFonts w:cstheme="minorHAnsi"/>
                <w:color w:val="000000"/>
                <w:sz w:val="19"/>
                <w:szCs w:val="19"/>
              </w:rPr>
            </w:pPr>
            <w:r w:rsidRPr="003A2B16">
              <w:rPr>
                <w:rFonts w:cstheme="minorHAnsi"/>
                <w:sz w:val="19"/>
                <w:szCs w:val="19"/>
              </w:rPr>
              <w:t>Total</w:t>
            </w:r>
            <w:r w:rsidR="005645AA" w:rsidRPr="003A2B16">
              <w:rPr>
                <w:rFonts w:cstheme="minorHAnsi"/>
                <w:sz w:val="19"/>
                <w:szCs w:val="19"/>
              </w:rPr>
              <w:t xml:space="preserve"> Cases</w:t>
            </w:r>
          </w:p>
        </w:tc>
        <w:tc>
          <w:tcPr>
            <w:tcW w:w="993" w:type="dxa"/>
            <w:tcBorders>
              <w:top w:val="single" w:sz="4" w:space="0" w:color="auto"/>
              <w:bottom w:val="single" w:sz="4" w:space="0" w:color="auto"/>
            </w:tcBorders>
            <w:shd w:val="clear" w:color="auto" w:fill="auto"/>
          </w:tcPr>
          <w:p w:rsidR="00B8777F" w:rsidRPr="003A2B16" w:rsidRDefault="001C7454" w:rsidP="002E7470">
            <w:pPr>
              <w:spacing w:before="20" w:after="20"/>
              <w:jc w:val="center"/>
              <w:rPr>
                <w:rFonts w:cstheme="minorHAnsi"/>
                <w:sz w:val="19"/>
                <w:szCs w:val="19"/>
              </w:rPr>
            </w:pPr>
            <w:r w:rsidRPr="003A2B16">
              <w:rPr>
                <w:rFonts w:cstheme="minorHAnsi"/>
                <w:sz w:val="19"/>
                <w:szCs w:val="19"/>
              </w:rPr>
              <w:t>Total</w:t>
            </w:r>
          </w:p>
          <w:p w:rsidR="001C7454" w:rsidRPr="003A2B16" w:rsidRDefault="001C7454" w:rsidP="002E7470">
            <w:pPr>
              <w:spacing w:before="20" w:after="20"/>
              <w:jc w:val="center"/>
              <w:rPr>
                <w:rFonts w:cstheme="minorHAnsi"/>
                <w:color w:val="000000"/>
                <w:sz w:val="19"/>
                <w:szCs w:val="19"/>
              </w:rPr>
            </w:pPr>
            <w:r w:rsidRPr="003A2B16">
              <w:rPr>
                <w:rFonts w:cstheme="minorHAnsi"/>
                <w:sz w:val="19"/>
                <w:szCs w:val="19"/>
              </w:rPr>
              <w:t>%</w:t>
            </w:r>
          </w:p>
        </w:tc>
      </w:tr>
      <w:tr w:rsidR="00DA2FC5" w:rsidRPr="0087485F" w:rsidTr="0067288A">
        <w:tc>
          <w:tcPr>
            <w:tcW w:w="2943" w:type="dxa"/>
            <w:tcBorders>
              <w:top w:val="single" w:sz="4" w:space="0" w:color="auto"/>
            </w:tcBorders>
            <w:shd w:val="clear" w:color="auto" w:fill="auto"/>
          </w:tcPr>
          <w:p w:rsidR="00D907AF" w:rsidRPr="003A2B16" w:rsidRDefault="00D907AF" w:rsidP="00D907AF">
            <w:pPr>
              <w:spacing w:before="20" w:after="20"/>
              <w:rPr>
                <w:rFonts w:cstheme="minorHAnsi"/>
                <w:sz w:val="19"/>
                <w:szCs w:val="19"/>
              </w:rPr>
            </w:pPr>
            <w:r w:rsidRPr="003A2B16">
              <w:rPr>
                <w:rFonts w:cstheme="minorHAnsi"/>
                <w:sz w:val="19"/>
                <w:szCs w:val="19"/>
              </w:rPr>
              <w:t>Very satisfied</w:t>
            </w:r>
          </w:p>
        </w:tc>
        <w:tc>
          <w:tcPr>
            <w:tcW w:w="851" w:type="dxa"/>
            <w:tcBorders>
              <w:top w:val="single" w:sz="4" w:space="0" w:color="auto"/>
            </w:tcBorders>
            <w:shd w:val="clear" w:color="auto" w:fill="auto"/>
            <w:vAlign w:val="center"/>
          </w:tcPr>
          <w:p w:rsidR="00D907AF" w:rsidRPr="003A2B16" w:rsidRDefault="00D907AF" w:rsidP="001C7454">
            <w:pPr>
              <w:spacing w:before="20" w:after="20"/>
              <w:jc w:val="center"/>
              <w:rPr>
                <w:rFonts w:cstheme="minorHAnsi"/>
                <w:color w:val="000000"/>
                <w:sz w:val="19"/>
                <w:szCs w:val="19"/>
              </w:rPr>
            </w:pPr>
            <w:r w:rsidRPr="003A2B16">
              <w:rPr>
                <w:rFonts w:cstheme="minorHAnsi"/>
                <w:color w:val="000000"/>
                <w:sz w:val="19"/>
                <w:szCs w:val="19"/>
              </w:rPr>
              <w:t>126</w:t>
            </w:r>
          </w:p>
        </w:tc>
        <w:tc>
          <w:tcPr>
            <w:tcW w:w="850" w:type="dxa"/>
            <w:tcBorders>
              <w:top w:val="single" w:sz="4" w:space="0" w:color="auto"/>
            </w:tcBorders>
            <w:shd w:val="clear" w:color="auto" w:fill="auto"/>
            <w:vAlign w:val="center"/>
          </w:tcPr>
          <w:p w:rsidR="00D907AF" w:rsidRPr="003A2B16" w:rsidRDefault="00D907AF" w:rsidP="001C7454">
            <w:pPr>
              <w:spacing w:before="20" w:after="20"/>
              <w:jc w:val="center"/>
              <w:rPr>
                <w:rFonts w:cstheme="minorHAnsi"/>
                <w:color w:val="000000"/>
                <w:sz w:val="19"/>
                <w:szCs w:val="19"/>
              </w:rPr>
            </w:pPr>
            <w:r w:rsidRPr="003A2B16">
              <w:rPr>
                <w:rFonts w:cstheme="minorHAnsi"/>
                <w:color w:val="000000"/>
                <w:sz w:val="19"/>
                <w:szCs w:val="19"/>
              </w:rPr>
              <w:t>33.1</w:t>
            </w:r>
          </w:p>
        </w:tc>
        <w:tc>
          <w:tcPr>
            <w:tcW w:w="1247" w:type="dxa"/>
            <w:tcBorders>
              <w:top w:val="single" w:sz="4" w:space="0" w:color="auto"/>
            </w:tcBorders>
            <w:shd w:val="clear" w:color="auto" w:fill="auto"/>
            <w:vAlign w:val="center"/>
          </w:tcPr>
          <w:p w:rsidR="00D907AF" w:rsidRPr="003A2B16" w:rsidRDefault="00D907AF" w:rsidP="001C7454">
            <w:pPr>
              <w:spacing w:before="20" w:after="20"/>
              <w:jc w:val="center"/>
              <w:rPr>
                <w:rFonts w:cstheme="minorHAnsi"/>
                <w:color w:val="000000"/>
                <w:sz w:val="19"/>
                <w:szCs w:val="19"/>
              </w:rPr>
            </w:pPr>
            <w:r w:rsidRPr="003A2B16">
              <w:rPr>
                <w:rFonts w:cstheme="minorHAnsi"/>
                <w:color w:val="000000"/>
                <w:sz w:val="19"/>
                <w:szCs w:val="19"/>
              </w:rPr>
              <w:t>64</w:t>
            </w:r>
          </w:p>
        </w:tc>
        <w:tc>
          <w:tcPr>
            <w:tcW w:w="1247" w:type="dxa"/>
            <w:tcBorders>
              <w:top w:val="single" w:sz="4" w:space="0" w:color="auto"/>
            </w:tcBorders>
            <w:shd w:val="clear" w:color="auto" w:fill="auto"/>
            <w:vAlign w:val="center"/>
          </w:tcPr>
          <w:p w:rsidR="00D907AF" w:rsidRPr="003A2B16" w:rsidRDefault="00D907AF" w:rsidP="001C7454">
            <w:pPr>
              <w:spacing w:before="20" w:after="20"/>
              <w:jc w:val="center"/>
              <w:rPr>
                <w:rFonts w:cstheme="minorHAnsi"/>
                <w:color w:val="000000"/>
                <w:sz w:val="19"/>
                <w:szCs w:val="19"/>
              </w:rPr>
            </w:pPr>
            <w:r w:rsidRPr="003A2B16">
              <w:rPr>
                <w:rFonts w:cstheme="minorHAnsi"/>
                <w:color w:val="000000"/>
                <w:sz w:val="19"/>
                <w:szCs w:val="19"/>
              </w:rPr>
              <w:t>19.8</w:t>
            </w:r>
          </w:p>
        </w:tc>
        <w:tc>
          <w:tcPr>
            <w:tcW w:w="850" w:type="dxa"/>
            <w:tcBorders>
              <w:top w:val="single" w:sz="4" w:space="0" w:color="auto"/>
            </w:tcBorders>
            <w:shd w:val="clear" w:color="auto" w:fill="auto"/>
            <w:vAlign w:val="center"/>
          </w:tcPr>
          <w:p w:rsidR="00D907AF" w:rsidRPr="003A2B16" w:rsidRDefault="00D907AF" w:rsidP="001C7454">
            <w:pPr>
              <w:spacing w:before="20" w:after="20"/>
              <w:jc w:val="center"/>
              <w:rPr>
                <w:rFonts w:cstheme="minorHAnsi"/>
                <w:color w:val="000000"/>
                <w:sz w:val="19"/>
                <w:szCs w:val="19"/>
              </w:rPr>
            </w:pPr>
            <w:r w:rsidRPr="003A2B16">
              <w:rPr>
                <w:rFonts w:cstheme="minorHAnsi"/>
                <w:color w:val="000000"/>
                <w:sz w:val="19"/>
                <w:szCs w:val="19"/>
              </w:rPr>
              <w:t>190</w:t>
            </w:r>
          </w:p>
        </w:tc>
        <w:tc>
          <w:tcPr>
            <w:tcW w:w="993" w:type="dxa"/>
            <w:tcBorders>
              <w:top w:val="single" w:sz="4" w:space="0" w:color="auto"/>
            </w:tcBorders>
            <w:shd w:val="clear" w:color="auto" w:fill="auto"/>
            <w:vAlign w:val="center"/>
          </w:tcPr>
          <w:p w:rsidR="00D907AF" w:rsidRPr="003A2B16" w:rsidRDefault="00D907AF" w:rsidP="001C7454">
            <w:pPr>
              <w:spacing w:before="20" w:after="20"/>
              <w:jc w:val="center"/>
              <w:rPr>
                <w:rFonts w:cstheme="minorHAnsi"/>
                <w:color w:val="000000"/>
                <w:sz w:val="19"/>
                <w:szCs w:val="19"/>
              </w:rPr>
            </w:pPr>
            <w:r w:rsidRPr="003A2B16">
              <w:rPr>
                <w:rFonts w:cstheme="minorHAnsi"/>
                <w:color w:val="000000"/>
                <w:sz w:val="19"/>
                <w:szCs w:val="19"/>
              </w:rPr>
              <w:t>27.0</w:t>
            </w:r>
          </w:p>
        </w:tc>
      </w:tr>
      <w:tr w:rsidR="00DA2FC5" w:rsidRPr="0087485F" w:rsidTr="0067288A">
        <w:tc>
          <w:tcPr>
            <w:tcW w:w="2943" w:type="dxa"/>
            <w:shd w:val="clear" w:color="auto" w:fill="auto"/>
          </w:tcPr>
          <w:p w:rsidR="00D907AF" w:rsidRPr="003A2B16" w:rsidRDefault="00D907AF" w:rsidP="00D907AF">
            <w:pPr>
              <w:spacing w:before="20" w:after="20"/>
              <w:rPr>
                <w:rFonts w:cstheme="minorHAnsi"/>
                <w:sz w:val="19"/>
                <w:szCs w:val="19"/>
              </w:rPr>
            </w:pPr>
            <w:r w:rsidRPr="003A2B16">
              <w:rPr>
                <w:rFonts w:cstheme="minorHAnsi"/>
                <w:sz w:val="19"/>
                <w:szCs w:val="19"/>
              </w:rPr>
              <w:t>Satisfied</w:t>
            </w:r>
          </w:p>
        </w:tc>
        <w:tc>
          <w:tcPr>
            <w:tcW w:w="851" w:type="dxa"/>
            <w:shd w:val="clear" w:color="auto" w:fill="auto"/>
            <w:vAlign w:val="center"/>
          </w:tcPr>
          <w:p w:rsidR="00D907AF" w:rsidRPr="003A2B16" w:rsidRDefault="00D907AF" w:rsidP="001C7454">
            <w:pPr>
              <w:spacing w:before="20" w:after="20"/>
              <w:jc w:val="center"/>
              <w:rPr>
                <w:rFonts w:cstheme="minorHAnsi"/>
                <w:color w:val="000000"/>
                <w:sz w:val="19"/>
                <w:szCs w:val="19"/>
              </w:rPr>
            </w:pPr>
            <w:r w:rsidRPr="003A2B16">
              <w:rPr>
                <w:rFonts w:cstheme="minorHAnsi"/>
                <w:color w:val="000000"/>
                <w:sz w:val="19"/>
                <w:szCs w:val="19"/>
              </w:rPr>
              <w:t>165</w:t>
            </w:r>
          </w:p>
        </w:tc>
        <w:tc>
          <w:tcPr>
            <w:tcW w:w="850" w:type="dxa"/>
            <w:shd w:val="clear" w:color="auto" w:fill="auto"/>
            <w:vAlign w:val="center"/>
          </w:tcPr>
          <w:p w:rsidR="00D907AF" w:rsidRPr="003A2B16" w:rsidRDefault="00D907AF" w:rsidP="001C7454">
            <w:pPr>
              <w:spacing w:before="20" w:after="20"/>
              <w:jc w:val="center"/>
              <w:rPr>
                <w:rFonts w:cstheme="minorHAnsi"/>
                <w:color w:val="000000"/>
                <w:sz w:val="19"/>
                <w:szCs w:val="19"/>
              </w:rPr>
            </w:pPr>
            <w:r w:rsidRPr="003A2B16">
              <w:rPr>
                <w:rFonts w:cstheme="minorHAnsi"/>
                <w:color w:val="000000"/>
                <w:sz w:val="19"/>
                <w:szCs w:val="19"/>
              </w:rPr>
              <w:t>43.3</w:t>
            </w:r>
          </w:p>
        </w:tc>
        <w:tc>
          <w:tcPr>
            <w:tcW w:w="1247" w:type="dxa"/>
            <w:shd w:val="clear" w:color="auto" w:fill="auto"/>
            <w:vAlign w:val="center"/>
          </w:tcPr>
          <w:p w:rsidR="00D907AF" w:rsidRPr="003A2B16" w:rsidRDefault="00D907AF" w:rsidP="001C7454">
            <w:pPr>
              <w:spacing w:before="20" w:after="20"/>
              <w:jc w:val="center"/>
              <w:rPr>
                <w:rFonts w:cstheme="minorHAnsi"/>
                <w:color w:val="000000"/>
                <w:sz w:val="19"/>
                <w:szCs w:val="19"/>
              </w:rPr>
            </w:pPr>
            <w:r w:rsidRPr="003A2B16">
              <w:rPr>
                <w:rFonts w:cstheme="minorHAnsi"/>
                <w:color w:val="000000"/>
                <w:sz w:val="19"/>
                <w:szCs w:val="19"/>
              </w:rPr>
              <w:t>114</w:t>
            </w:r>
          </w:p>
        </w:tc>
        <w:tc>
          <w:tcPr>
            <w:tcW w:w="1247" w:type="dxa"/>
            <w:shd w:val="clear" w:color="auto" w:fill="auto"/>
            <w:vAlign w:val="center"/>
          </w:tcPr>
          <w:p w:rsidR="00D907AF" w:rsidRPr="003A2B16" w:rsidRDefault="00D907AF" w:rsidP="001C7454">
            <w:pPr>
              <w:spacing w:before="20" w:after="20"/>
              <w:jc w:val="center"/>
              <w:rPr>
                <w:rFonts w:cstheme="minorHAnsi"/>
                <w:color w:val="000000"/>
                <w:sz w:val="19"/>
                <w:szCs w:val="19"/>
              </w:rPr>
            </w:pPr>
            <w:r w:rsidRPr="003A2B16">
              <w:rPr>
                <w:rFonts w:cstheme="minorHAnsi"/>
                <w:color w:val="000000"/>
                <w:sz w:val="19"/>
                <w:szCs w:val="19"/>
              </w:rPr>
              <w:t>35.2</w:t>
            </w:r>
          </w:p>
        </w:tc>
        <w:tc>
          <w:tcPr>
            <w:tcW w:w="850" w:type="dxa"/>
            <w:shd w:val="clear" w:color="auto" w:fill="auto"/>
            <w:vAlign w:val="center"/>
          </w:tcPr>
          <w:p w:rsidR="00D907AF" w:rsidRPr="003A2B16" w:rsidRDefault="00D907AF" w:rsidP="001C7454">
            <w:pPr>
              <w:spacing w:before="20" w:after="20"/>
              <w:jc w:val="center"/>
              <w:rPr>
                <w:rFonts w:cstheme="minorHAnsi"/>
                <w:color w:val="000000"/>
                <w:sz w:val="19"/>
                <w:szCs w:val="19"/>
              </w:rPr>
            </w:pPr>
            <w:r w:rsidRPr="003A2B16">
              <w:rPr>
                <w:rFonts w:cstheme="minorHAnsi"/>
                <w:color w:val="000000"/>
                <w:sz w:val="19"/>
                <w:szCs w:val="19"/>
              </w:rPr>
              <w:t>279</w:t>
            </w:r>
          </w:p>
        </w:tc>
        <w:tc>
          <w:tcPr>
            <w:tcW w:w="993" w:type="dxa"/>
            <w:shd w:val="clear" w:color="auto" w:fill="auto"/>
            <w:vAlign w:val="center"/>
          </w:tcPr>
          <w:p w:rsidR="00D907AF" w:rsidRPr="003A2B16" w:rsidRDefault="00D907AF" w:rsidP="001C7454">
            <w:pPr>
              <w:spacing w:before="20" w:after="20"/>
              <w:jc w:val="center"/>
              <w:rPr>
                <w:rFonts w:cstheme="minorHAnsi"/>
                <w:color w:val="000000"/>
                <w:sz w:val="19"/>
                <w:szCs w:val="19"/>
              </w:rPr>
            </w:pPr>
            <w:r w:rsidRPr="003A2B16">
              <w:rPr>
                <w:rFonts w:cstheme="minorHAnsi"/>
                <w:color w:val="000000"/>
                <w:sz w:val="19"/>
                <w:szCs w:val="19"/>
              </w:rPr>
              <w:t>39.6</w:t>
            </w:r>
          </w:p>
        </w:tc>
      </w:tr>
      <w:tr w:rsidR="00DA2FC5" w:rsidRPr="0087485F" w:rsidTr="0067288A">
        <w:tc>
          <w:tcPr>
            <w:tcW w:w="2943" w:type="dxa"/>
            <w:shd w:val="clear" w:color="auto" w:fill="auto"/>
          </w:tcPr>
          <w:p w:rsidR="00D907AF" w:rsidRPr="003A2B16" w:rsidRDefault="00D907AF" w:rsidP="00D907AF">
            <w:pPr>
              <w:spacing w:before="20" w:after="20"/>
              <w:rPr>
                <w:rFonts w:cstheme="minorHAnsi"/>
                <w:sz w:val="19"/>
                <w:szCs w:val="19"/>
              </w:rPr>
            </w:pPr>
            <w:r w:rsidRPr="003A2B16">
              <w:rPr>
                <w:rFonts w:cstheme="minorHAnsi"/>
                <w:sz w:val="19"/>
                <w:szCs w:val="19"/>
              </w:rPr>
              <w:t>Neither satisfied nor dissatisfied</w:t>
            </w:r>
          </w:p>
        </w:tc>
        <w:tc>
          <w:tcPr>
            <w:tcW w:w="851" w:type="dxa"/>
            <w:shd w:val="clear" w:color="auto" w:fill="auto"/>
            <w:vAlign w:val="center"/>
          </w:tcPr>
          <w:p w:rsidR="00D907AF" w:rsidRPr="003A2B16" w:rsidRDefault="00D907AF" w:rsidP="001C7454">
            <w:pPr>
              <w:spacing w:before="20" w:after="20"/>
              <w:jc w:val="center"/>
              <w:rPr>
                <w:rFonts w:cstheme="minorHAnsi"/>
                <w:color w:val="000000"/>
                <w:sz w:val="19"/>
                <w:szCs w:val="19"/>
              </w:rPr>
            </w:pPr>
            <w:r w:rsidRPr="003A2B16">
              <w:rPr>
                <w:rFonts w:cstheme="minorHAnsi"/>
                <w:color w:val="000000"/>
                <w:sz w:val="19"/>
                <w:szCs w:val="19"/>
              </w:rPr>
              <w:t>52</w:t>
            </w:r>
          </w:p>
        </w:tc>
        <w:tc>
          <w:tcPr>
            <w:tcW w:w="850" w:type="dxa"/>
            <w:shd w:val="clear" w:color="auto" w:fill="auto"/>
            <w:vAlign w:val="center"/>
          </w:tcPr>
          <w:p w:rsidR="00D907AF" w:rsidRPr="003A2B16" w:rsidRDefault="00D907AF" w:rsidP="001C7454">
            <w:pPr>
              <w:spacing w:before="20" w:after="20"/>
              <w:jc w:val="center"/>
              <w:rPr>
                <w:rFonts w:cstheme="minorHAnsi"/>
                <w:color w:val="000000"/>
                <w:sz w:val="19"/>
                <w:szCs w:val="19"/>
              </w:rPr>
            </w:pPr>
            <w:r w:rsidRPr="003A2B16">
              <w:rPr>
                <w:rFonts w:cstheme="minorHAnsi"/>
                <w:color w:val="000000"/>
                <w:sz w:val="19"/>
                <w:szCs w:val="19"/>
              </w:rPr>
              <w:t>13.7</w:t>
            </w:r>
          </w:p>
        </w:tc>
        <w:tc>
          <w:tcPr>
            <w:tcW w:w="1247" w:type="dxa"/>
            <w:shd w:val="clear" w:color="auto" w:fill="auto"/>
            <w:vAlign w:val="center"/>
          </w:tcPr>
          <w:p w:rsidR="00D907AF" w:rsidRPr="003A2B16" w:rsidRDefault="00D907AF" w:rsidP="001C7454">
            <w:pPr>
              <w:spacing w:before="20" w:after="20"/>
              <w:jc w:val="center"/>
              <w:rPr>
                <w:rFonts w:cstheme="minorHAnsi"/>
                <w:color w:val="000000"/>
                <w:sz w:val="19"/>
                <w:szCs w:val="19"/>
              </w:rPr>
            </w:pPr>
            <w:r w:rsidRPr="003A2B16">
              <w:rPr>
                <w:rFonts w:cstheme="minorHAnsi"/>
                <w:color w:val="000000"/>
                <w:sz w:val="19"/>
                <w:szCs w:val="19"/>
              </w:rPr>
              <w:t>64</w:t>
            </w:r>
          </w:p>
        </w:tc>
        <w:tc>
          <w:tcPr>
            <w:tcW w:w="1247" w:type="dxa"/>
            <w:shd w:val="clear" w:color="auto" w:fill="auto"/>
            <w:vAlign w:val="center"/>
          </w:tcPr>
          <w:p w:rsidR="00D907AF" w:rsidRPr="003A2B16" w:rsidRDefault="00D907AF" w:rsidP="001C7454">
            <w:pPr>
              <w:spacing w:before="20" w:after="20"/>
              <w:jc w:val="center"/>
              <w:rPr>
                <w:rFonts w:cstheme="minorHAnsi"/>
                <w:color w:val="000000"/>
                <w:sz w:val="19"/>
                <w:szCs w:val="19"/>
              </w:rPr>
            </w:pPr>
            <w:r w:rsidRPr="003A2B16">
              <w:rPr>
                <w:rFonts w:cstheme="minorHAnsi"/>
                <w:color w:val="000000"/>
                <w:sz w:val="19"/>
                <w:szCs w:val="19"/>
              </w:rPr>
              <w:t>19.8</w:t>
            </w:r>
          </w:p>
        </w:tc>
        <w:tc>
          <w:tcPr>
            <w:tcW w:w="850" w:type="dxa"/>
            <w:shd w:val="clear" w:color="auto" w:fill="auto"/>
            <w:vAlign w:val="center"/>
          </w:tcPr>
          <w:p w:rsidR="00D907AF" w:rsidRPr="003A2B16" w:rsidRDefault="00D907AF" w:rsidP="001C7454">
            <w:pPr>
              <w:spacing w:before="20" w:after="20"/>
              <w:jc w:val="center"/>
              <w:rPr>
                <w:rFonts w:cstheme="minorHAnsi"/>
                <w:color w:val="000000"/>
                <w:sz w:val="19"/>
                <w:szCs w:val="19"/>
              </w:rPr>
            </w:pPr>
            <w:r w:rsidRPr="003A2B16">
              <w:rPr>
                <w:rFonts w:cstheme="minorHAnsi"/>
                <w:color w:val="000000"/>
                <w:sz w:val="19"/>
                <w:szCs w:val="19"/>
              </w:rPr>
              <w:t>116</w:t>
            </w:r>
          </w:p>
        </w:tc>
        <w:tc>
          <w:tcPr>
            <w:tcW w:w="993" w:type="dxa"/>
            <w:shd w:val="clear" w:color="auto" w:fill="auto"/>
            <w:vAlign w:val="center"/>
          </w:tcPr>
          <w:p w:rsidR="00D907AF" w:rsidRPr="003A2B16" w:rsidRDefault="00D907AF" w:rsidP="001C7454">
            <w:pPr>
              <w:spacing w:before="20" w:after="20"/>
              <w:jc w:val="center"/>
              <w:rPr>
                <w:rFonts w:cstheme="minorHAnsi"/>
                <w:color w:val="000000"/>
                <w:sz w:val="19"/>
                <w:szCs w:val="19"/>
              </w:rPr>
            </w:pPr>
            <w:r w:rsidRPr="003A2B16">
              <w:rPr>
                <w:rFonts w:cstheme="minorHAnsi"/>
                <w:color w:val="000000"/>
                <w:sz w:val="19"/>
                <w:szCs w:val="19"/>
              </w:rPr>
              <w:t>16.5</w:t>
            </w:r>
          </w:p>
        </w:tc>
      </w:tr>
      <w:tr w:rsidR="00DA2FC5" w:rsidRPr="0087485F" w:rsidTr="0067288A">
        <w:tc>
          <w:tcPr>
            <w:tcW w:w="2943" w:type="dxa"/>
            <w:shd w:val="clear" w:color="auto" w:fill="auto"/>
          </w:tcPr>
          <w:p w:rsidR="00D907AF" w:rsidRPr="003A2B16" w:rsidRDefault="00D907AF" w:rsidP="00D907AF">
            <w:pPr>
              <w:spacing w:before="20" w:after="20"/>
              <w:rPr>
                <w:rFonts w:cstheme="minorHAnsi"/>
                <w:sz w:val="19"/>
                <w:szCs w:val="19"/>
              </w:rPr>
            </w:pPr>
            <w:r w:rsidRPr="003A2B16">
              <w:rPr>
                <w:rFonts w:cstheme="minorHAnsi"/>
                <w:sz w:val="19"/>
                <w:szCs w:val="19"/>
              </w:rPr>
              <w:t>Dissatisfied</w:t>
            </w:r>
          </w:p>
        </w:tc>
        <w:tc>
          <w:tcPr>
            <w:tcW w:w="851" w:type="dxa"/>
            <w:shd w:val="clear" w:color="auto" w:fill="auto"/>
            <w:vAlign w:val="center"/>
          </w:tcPr>
          <w:p w:rsidR="00D907AF" w:rsidRPr="003A2B16" w:rsidRDefault="00D907AF" w:rsidP="001C7454">
            <w:pPr>
              <w:spacing w:before="20" w:after="20"/>
              <w:jc w:val="center"/>
              <w:rPr>
                <w:rFonts w:cstheme="minorHAnsi"/>
                <w:color w:val="000000"/>
                <w:sz w:val="19"/>
                <w:szCs w:val="19"/>
              </w:rPr>
            </w:pPr>
            <w:r w:rsidRPr="003A2B16">
              <w:rPr>
                <w:rFonts w:cstheme="minorHAnsi"/>
                <w:color w:val="000000"/>
                <w:sz w:val="19"/>
                <w:szCs w:val="19"/>
              </w:rPr>
              <w:t>17</w:t>
            </w:r>
          </w:p>
        </w:tc>
        <w:tc>
          <w:tcPr>
            <w:tcW w:w="850" w:type="dxa"/>
            <w:shd w:val="clear" w:color="auto" w:fill="auto"/>
            <w:vAlign w:val="center"/>
          </w:tcPr>
          <w:p w:rsidR="00D907AF" w:rsidRPr="003A2B16" w:rsidRDefault="00D907AF" w:rsidP="001C7454">
            <w:pPr>
              <w:spacing w:before="20" w:after="20"/>
              <w:jc w:val="center"/>
              <w:rPr>
                <w:rFonts w:cstheme="minorHAnsi"/>
                <w:color w:val="000000"/>
                <w:sz w:val="19"/>
                <w:szCs w:val="19"/>
              </w:rPr>
            </w:pPr>
            <w:r w:rsidRPr="003A2B16">
              <w:rPr>
                <w:rFonts w:cstheme="minorHAnsi"/>
                <w:color w:val="000000"/>
                <w:sz w:val="19"/>
                <w:szCs w:val="19"/>
              </w:rPr>
              <w:t>4.5</w:t>
            </w:r>
          </w:p>
        </w:tc>
        <w:tc>
          <w:tcPr>
            <w:tcW w:w="1247" w:type="dxa"/>
            <w:shd w:val="clear" w:color="auto" w:fill="auto"/>
            <w:vAlign w:val="center"/>
          </w:tcPr>
          <w:p w:rsidR="00D907AF" w:rsidRPr="003A2B16" w:rsidRDefault="00D907AF" w:rsidP="001C7454">
            <w:pPr>
              <w:spacing w:before="20" w:after="20"/>
              <w:jc w:val="center"/>
              <w:rPr>
                <w:rFonts w:cstheme="minorHAnsi"/>
                <w:color w:val="000000"/>
                <w:sz w:val="19"/>
                <w:szCs w:val="19"/>
              </w:rPr>
            </w:pPr>
            <w:r w:rsidRPr="003A2B16">
              <w:rPr>
                <w:rFonts w:cstheme="minorHAnsi"/>
                <w:color w:val="000000"/>
                <w:sz w:val="19"/>
                <w:szCs w:val="19"/>
              </w:rPr>
              <w:t>31</w:t>
            </w:r>
          </w:p>
        </w:tc>
        <w:tc>
          <w:tcPr>
            <w:tcW w:w="1247" w:type="dxa"/>
            <w:shd w:val="clear" w:color="auto" w:fill="auto"/>
            <w:vAlign w:val="center"/>
          </w:tcPr>
          <w:p w:rsidR="00D907AF" w:rsidRPr="003A2B16" w:rsidRDefault="00D907AF" w:rsidP="001C7454">
            <w:pPr>
              <w:spacing w:before="20" w:after="20"/>
              <w:jc w:val="center"/>
              <w:rPr>
                <w:rFonts w:cstheme="minorHAnsi"/>
                <w:color w:val="000000"/>
                <w:sz w:val="19"/>
                <w:szCs w:val="19"/>
              </w:rPr>
            </w:pPr>
            <w:r w:rsidRPr="003A2B16">
              <w:rPr>
                <w:rFonts w:cstheme="minorHAnsi"/>
                <w:color w:val="000000"/>
                <w:sz w:val="19"/>
                <w:szCs w:val="19"/>
              </w:rPr>
              <w:t>9.6</w:t>
            </w:r>
          </w:p>
        </w:tc>
        <w:tc>
          <w:tcPr>
            <w:tcW w:w="850" w:type="dxa"/>
            <w:shd w:val="clear" w:color="auto" w:fill="auto"/>
            <w:vAlign w:val="center"/>
          </w:tcPr>
          <w:p w:rsidR="00D907AF" w:rsidRPr="003A2B16" w:rsidRDefault="00D907AF" w:rsidP="001C7454">
            <w:pPr>
              <w:spacing w:before="20" w:after="20"/>
              <w:jc w:val="center"/>
              <w:rPr>
                <w:rFonts w:cstheme="minorHAnsi"/>
                <w:color w:val="000000"/>
                <w:sz w:val="19"/>
                <w:szCs w:val="19"/>
              </w:rPr>
            </w:pPr>
            <w:r w:rsidRPr="003A2B16">
              <w:rPr>
                <w:rFonts w:cstheme="minorHAnsi"/>
                <w:color w:val="000000"/>
                <w:sz w:val="19"/>
                <w:szCs w:val="19"/>
              </w:rPr>
              <w:t>48</w:t>
            </w:r>
          </w:p>
        </w:tc>
        <w:tc>
          <w:tcPr>
            <w:tcW w:w="993" w:type="dxa"/>
            <w:shd w:val="clear" w:color="auto" w:fill="auto"/>
            <w:vAlign w:val="center"/>
          </w:tcPr>
          <w:p w:rsidR="00D907AF" w:rsidRPr="003A2B16" w:rsidRDefault="00D907AF" w:rsidP="001C7454">
            <w:pPr>
              <w:spacing w:before="20" w:after="20"/>
              <w:jc w:val="center"/>
              <w:rPr>
                <w:rFonts w:cstheme="minorHAnsi"/>
                <w:color w:val="000000"/>
                <w:sz w:val="19"/>
                <w:szCs w:val="19"/>
              </w:rPr>
            </w:pPr>
            <w:r w:rsidRPr="003A2B16">
              <w:rPr>
                <w:rFonts w:cstheme="minorHAnsi"/>
                <w:color w:val="000000"/>
                <w:sz w:val="19"/>
                <w:szCs w:val="19"/>
              </w:rPr>
              <w:t>6.8</w:t>
            </w:r>
          </w:p>
        </w:tc>
      </w:tr>
      <w:tr w:rsidR="00DA2FC5" w:rsidRPr="0087485F" w:rsidTr="0067288A">
        <w:tc>
          <w:tcPr>
            <w:tcW w:w="2943" w:type="dxa"/>
            <w:shd w:val="clear" w:color="auto" w:fill="auto"/>
          </w:tcPr>
          <w:p w:rsidR="00D907AF" w:rsidRPr="003A2B16" w:rsidRDefault="00D907AF" w:rsidP="00D907AF">
            <w:pPr>
              <w:spacing w:before="20" w:after="20"/>
              <w:rPr>
                <w:rFonts w:cstheme="minorHAnsi"/>
                <w:sz w:val="19"/>
                <w:szCs w:val="19"/>
              </w:rPr>
            </w:pPr>
            <w:r w:rsidRPr="003A2B16">
              <w:rPr>
                <w:rFonts w:cstheme="minorHAnsi"/>
                <w:sz w:val="19"/>
                <w:szCs w:val="19"/>
              </w:rPr>
              <w:t>Very dissatisfied</w:t>
            </w:r>
          </w:p>
        </w:tc>
        <w:tc>
          <w:tcPr>
            <w:tcW w:w="851" w:type="dxa"/>
            <w:shd w:val="clear" w:color="auto" w:fill="auto"/>
            <w:vAlign w:val="center"/>
          </w:tcPr>
          <w:p w:rsidR="00D907AF" w:rsidRPr="003A2B16" w:rsidRDefault="00D907AF" w:rsidP="001C7454">
            <w:pPr>
              <w:spacing w:before="20" w:after="20"/>
              <w:jc w:val="center"/>
              <w:rPr>
                <w:rFonts w:cstheme="minorHAnsi"/>
                <w:color w:val="000000"/>
                <w:sz w:val="19"/>
                <w:szCs w:val="19"/>
              </w:rPr>
            </w:pPr>
            <w:r w:rsidRPr="003A2B16">
              <w:rPr>
                <w:rFonts w:cstheme="minorHAnsi"/>
                <w:color w:val="000000"/>
                <w:sz w:val="19"/>
                <w:szCs w:val="19"/>
              </w:rPr>
              <w:t>8</w:t>
            </w:r>
          </w:p>
        </w:tc>
        <w:tc>
          <w:tcPr>
            <w:tcW w:w="850" w:type="dxa"/>
            <w:shd w:val="clear" w:color="auto" w:fill="auto"/>
            <w:vAlign w:val="center"/>
          </w:tcPr>
          <w:p w:rsidR="00D907AF" w:rsidRPr="003A2B16" w:rsidRDefault="00D907AF" w:rsidP="001C7454">
            <w:pPr>
              <w:spacing w:before="20" w:after="20"/>
              <w:jc w:val="center"/>
              <w:rPr>
                <w:rFonts w:cstheme="minorHAnsi"/>
                <w:color w:val="000000"/>
                <w:sz w:val="19"/>
                <w:szCs w:val="19"/>
              </w:rPr>
            </w:pPr>
            <w:r w:rsidRPr="003A2B16">
              <w:rPr>
                <w:rFonts w:cstheme="minorHAnsi"/>
                <w:color w:val="000000"/>
                <w:sz w:val="19"/>
                <w:szCs w:val="19"/>
              </w:rPr>
              <w:t>2.1</w:t>
            </w:r>
          </w:p>
        </w:tc>
        <w:tc>
          <w:tcPr>
            <w:tcW w:w="1247" w:type="dxa"/>
            <w:shd w:val="clear" w:color="auto" w:fill="auto"/>
            <w:vAlign w:val="center"/>
          </w:tcPr>
          <w:p w:rsidR="00D907AF" w:rsidRPr="003A2B16" w:rsidRDefault="00D907AF" w:rsidP="001C7454">
            <w:pPr>
              <w:spacing w:before="20" w:after="20"/>
              <w:jc w:val="center"/>
              <w:rPr>
                <w:rFonts w:cstheme="minorHAnsi"/>
                <w:color w:val="000000"/>
                <w:sz w:val="19"/>
                <w:szCs w:val="19"/>
              </w:rPr>
            </w:pPr>
            <w:r w:rsidRPr="003A2B16">
              <w:rPr>
                <w:rFonts w:cstheme="minorHAnsi"/>
                <w:color w:val="000000"/>
                <w:sz w:val="19"/>
                <w:szCs w:val="19"/>
              </w:rPr>
              <w:t>17</w:t>
            </w:r>
          </w:p>
        </w:tc>
        <w:tc>
          <w:tcPr>
            <w:tcW w:w="1247" w:type="dxa"/>
            <w:shd w:val="clear" w:color="auto" w:fill="auto"/>
            <w:vAlign w:val="center"/>
          </w:tcPr>
          <w:p w:rsidR="00D907AF" w:rsidRPr="003A2B16" w:rsidRDefault="00D907AF" w:rsidP="001C7454">
            <w:pPr>
              <w:spacing w:before="20" w:after="20"/>
              <w:jc w:val="center"/>
              <w:rPr>
                <w:rFonts w:cstheme="minorHAnsi"/>
                <w:color w:val="000000"/>
                <w:sz w:val="19"/>
                <w:szCs w:val="19"/>
              </w:rPr>
            </w:pPr>
            <w:r w:rsidRPr="003A2B16">
              <w:rPr>
                <w:rFonts w:cstheme="minorHAnsi"/>
                <w:color w:val="000000"/>
                <w:sz w:val="19"/>
                <w:szCs w:val="19"/>
              </w:rPr>
              <w:t>5.3</w:t>
            </w:r>
          </w:p>
        </w:tc>
        <w:tc>
          <w:tcPr>
            <w:tcW w:w="850" w:type="dxa"/>
            <w:shd w:val="clear" w:color="auto" w:fill="auto"/>
            <w:vAlign w:val="center"/>
          </w:tcPr>
          <w:p w:rsidR="00D907AF" w:rsidRPr="003A2B16" w:rsidRDefault="00D907AF" w:rsidP="001C7454">
            <w:pPr>
              <w:spacing w:before="20" w:after="20"/>
              <w:jc w:val="center"/>
              <w:rPr>
                <w:rFonts w:cstheme="minorHAnsi"/>
                <w:color w:val="000000"/>
                <w:sz w:val="19"/>
                <w:szCs w:val="19"/>
              </w:rPr>
            </w:pPr>
            <w:r w:rsidRPr="003A2B16">
              <w:rPr>
                <w:rFonts w:cstheme="minorHAnsi"/>
                <w:color w:val="000000"/>
                <w:sz w:val="19"/>
                <w:szCs w:val="19"/>
              </w:rPr>
              <w:t>25</w:t>
            </w:r>
          </w:p>
        </w:tc>
        <w:tc>
          <w:tcPr>
            <w:tcW w:w="993" w:type="dxa"/>
            <w:shd w:val="clear" w:color="auto" w:fill="auto"/>
            <w:vAlign w:val="center"/>
          </w:tcPr>
          <w:p w:rsidR="00D907AF" w:rsidRPr="003A2B16" w:rsidRDefault="00D907AF" w:rsidP="001C7454">
            <w:pPr>
              <w:spacing w:before="20" w:after="20"/>
              <w:jc w:val="center"/>
              <w:rPr>
                <w:rFonts w:cstheme="minorHAnsi"/>
                <w:color w:val="000000"/>
                <w:sz w:val="19"/>
                <w:szCs w:val="19"/>
              </w:rPr>
            </w:pPr>
            <w:r w:rsidRPr="003A2B16">
              <w:rPr>
                <w:rFonts w:cstheme="minorHAnsi"/>
                <w:color w:val="000000"/>
                <w:sz w:val="19"/>
                <w:szCs w:val="19"/>
              </w:rPr>
              <w:t>3.6</w:t>
            </w:r>
          </w:p>
        </w:tc>
      </w:tr>
      <w:tr w:rsidR="00DA2FC5" w:rsidRPr="0087485F" w:rsidTr="0067288A">
        <w:tc>
          <w:tcPr>
            <w:tcW w:w="2943" w:type="dxa"/>
            <w:tcBorders>
              <w:bottom w:val="single" w:sz="4" w:space="0" w:color="auto"/>
            </w:tcBorders>
            <w:shd w:val="clear" w:color="auto" w:fill="auto"/>
          </w:tcPr>
          <w:p w:rsidR="00D907AF" w:rsidRPr="003A2B16" w:rsidRDefault="00D907AF" w:rsidP="00D907AF">
            <w:pPr>
              <w:spacing w:before="20" w:after="20"/>
              <w:rPr>
                <w:rFonts w:cstheme="minorHAnsi"/>
                <w:sz w:val="19"/>
                <w:szCs w:val="19"/>
              </w:rPr>
            </w:pPr>
            <w:r w:rsidRPr="003A2B16">
              <w:rPr>
                <w:rFonts w:cstheme="minorHAnsi"/>
                <w:sz w:val="19"/>
                <w:szCs w:val="19"/>
              </w:rPr>
              <w:t xml:space="preserve">Missing </w:t>
            </w:r>
          </w:p>
        </w:tc>
        <w:tc>
          <w:tcPr>
            <w:tcW w:w="851" w:type="dxa"/>
            <w:tcBorders>
              <w:bottom w:val="single" w:sz="4" w:space="0" w:color="auto"/>
            </w:tcBorders>
            <w:shd w:val="clear" w:color="auto" w:fill="auto"/>
            <w:vAlign w:val="center"/>
          </w:tcPr>
          <w:p w:rsidR="00D907AF" w:rsidRPr="003A2B16" w:rsidRDefault="00D907AF" w:rsidP="001C7454">
            <w:pPr>
              <w:spacing w:before="20" w:after="20"/>
              <w:jc w:val="center"/>
              <w:rPr>
                <w:rFonts w:cstheme="minorHAnsi"/>
                <w:color w:val="000000"/>
                <w:sz w:val="19"/>
                <w:szCs w:val="19"/>
              </w:rPr>
            </w:pPr>
            <w:r w:rsidRPr="003A2B16">
              <w:rPr>
                <w:rFonts w:cstheme="minorHAnsi"/>
                <w:color w:val="000000"/>
                <w:sz w:val="19"/>
                <w:szCs w:val="19"/>
              </w:rPr>
              <w:t>13</w:t>
            </w:r>
          </w:p>
        </w:tc>
        <w:tc>
          <w:tcPr>
            <w:tcW w:w="850" w:type="dxa"/>
            <w:tcBorders>
              <w:bottom w:val="single" w:sz="4" w:space="0" w:color="auto"/>
            </w:tcBorders>
            <w:shd w:val="clear" w:color="auto" w:fill="auto"/>
            <w:vAlign w:val="center"/>
          </w:tcPr>
          <w:p w:rsidR="00D907AF" w:rsidRPr="003A2B16" w:rsidRDefault="00D907AF" w:rsidP="001C7454">
            <w:pPr>
              <w:spacing w:before="20" w:after="20"/>
              <w:jc w:val="center"/>
              <w:rPr>
                <w:rFonts w:cstheme="minorHAnsi"/>
                <w:color w:val="000000"/>
                <w:sz w:val="19"/>
                <w:szCs w:val="19"/>
              </w:rPr>
            </w:pPr>
            <w:r w:rsidRPr="003A2B16">
              <w:rPr>
                <w:rFonts w:cstheme="minorHAnsi"/>
                <w:color w:val="000000"/>
                <w:sz w:val="19"/>
                <w:szCs w:val="19"/>
              </w:rPr>
              <w:t>3.4</w:t>
            </w:r>
          </w:p>
        </w:tc>
        <w:tc>
          <w:tcPr>
            <w:tcW w:w="1247" w:type="dxa"/>
            <w:tcBorders>
              <w:bottom w:val="single" w:sz="4" w:space="0" w:color="auto"/>
            </w:tcBorders>
            <w:shd w:val="clear" w:color="auto" w:fill="auto"/>
            <w:vAlign w:val="center"/>
          </w:tcPr>
          <w:p w:rsidR="00D907AF" w:rsidRPr="003A2B16" w:rsidRDefault="00D907AF" w:rsidP="001C7454">
            <w:pPr>
              <w:spacing w:before="20" w:after="20"/>
              <w:jc w:val="center"/>
              <w:rPr>
                <w:rFonts w:cstheme="minorHAnsi"/>
                <w:color w:val="000000"/>
                <w:sz w:val="19"/>
                <w:szCs w:val="19"/>
              </w:rPr>
            </w:pPr>
            <w:r w:rsidRPr="003A2B16">
              <w:rPr>
                <w:rFonts w:cstheme="minorHAnsi"/>
                <w:color w:val="000000"/>
                <w:sz w:val="19"/>
                <w:szCs w:val="19"/>
              </w:rPr>
              <w:t>34</w:t>
            </w:r>
          </w:p>
        </w:tc>
        <w:tc>
          <w:tcPr>
            <w:tcW w:w="1247" w:type="dxa"/>
            <w:tcBorders>
              <w:bottom w:val="single" w:sz="4" w:space="0" w:color="auto"/>
            </w:tcBorders>
            <w:shd w:val="clear" w:color="auto" w:fill="auto"/>
            <w:vAlign w:val="center"/>
          </w:tcPr>
          <w:p w:rsidR="00D907AF" w:rsidRPr="003A2B16" w:rsidRDefault="00D907AF" w:rsidP="001C7454">
            <w:pPr>
              <w:spacing w:before="20" w:after="20"/>
              <w:jc w:val="center"/>
              <w:rPr>
                <w:rFonts w:cstheme="minorHAnsi"/>
                <w:color w:val="000000"/>
                <w:sz w:val="19"/>
                <w:szCs w:val="19"/>
              </w:rPr>
            </w:pPr>
            <w:r w:rsidRPr="003A2B16">
              <w:rPr>
                <w:rFonts w:cstheme="minorHAnsi"/>
                <w:color w:val="000000"/>
                <w:sz w:val="19"/>
                <w:szCs w:val="19"/>
              </w:rPr>
              <w:t>10.5</w:t>
            </w:r>
          </w:p>
        </w:tc>
        <w:tc>
          <w:tcPr>
            <w:tcW w:w="850" w:type="dxa"/>
            <w:tcBorders>
              <w:bottom w:val="single" w:sz="4" w:space="0" w:color="auto"/>
            </w:tcBorders>
            <w:shd w:val="clear" w:color="auto" w:fill="auto"/>
            <w:vAlign w:val="center"/>
          </w:tcPr>
          <w:p w:rsidR="00D907AF" w:rsidRPr="003A2B16" w:rsidRDefault="00D907AF" w:rsidP="001C7454">
            <w:pPr>
              <w:spacing w:before="20" w:after="20"/>
              <w:jc w:val="center"/>
              <w:rPr>
                <w:rFonts w:cstheme="minorHAnsi"/>
                <w:color w:val="000000"/>
                <w:sz w:val="19"/>
                <w:szCs w:val="19"/>
              </w:rPr>
            </w:pPr>
            <w:r w:rsidRPr="003A2B16">
              <w:rPr>
                <w:rFonts w:cstheme="minorHAnsi"/>
                <w:color w:val="000000"/>
                <w:sz w:val="19"/>
                <w:szCs w:val="19"/>
              </w:rPr>
              <w:t>47</w:t>
            </w:r>
          </w:p>
        </w:tc>
        <w:tc>
          <w:tcPr>
            <w:tcW w:w="993" w:type="dxa"/>
            <w:tcBorders>
              <w:bottom w:val="single" w:sz="4" w:space="0" w:color="auto"/>
            </w:tcBorders>
            <w:shd w:val="clear" w:color="auto" w:fill="auto"/>
            <w:vAlign w:val="center"/>
          </w:tcPr>
          <w:p w:rsidR="00D907AF" w:rsidRPr="003A2B16" w:rsidRDefault="00D907AF" w:rsidP="001C7454">
            <w:pPr>
              <w:spacing w:before="20" w:after="20"/>
              <w:jc w:val="center"/>
              <w:rPr>
                <w:rFonts w:cstheme="minorHAnsi"/>
                <w:color w:val="000000"/>
                <w:sz w:val="19"/>
                <w:szCs w:val="19"/>
              </w:rPr>
            </w:pPr>
            <w:r w:rsidRPr="003A2B16">
              <w:rPr>
                <w:rFonts w:cstheme="minorHAnsi"/>
                <w:color w:val="000000"/>
                <w:sz w:val="19"/>
                <w:szCs w:val="19"/>
              </w:rPr>
              <w:t>6.7</w:t>
            </w:r>
          </w:p>
        </w:tc>
      </w:tr>
      <w:tr w:rsidR="00DA2FC5" w:rsidRPr="0087485F" w:rsidTr="0067288A">
        <w:tc>
          <w:tcPr>
            <w:tcW w:w="2943" w:type="dxa"/>
            <w:tcBorders>
              <w:top w:val="single" w:sz="4" w:space="0" w:color="auto"/>
              <w:bottom w:val="single" w:sz="4" w:space="0" w:color="auto"/>
            </w:tcBorders>
            <w:shd w:val="clear" w:color="auto" w:fill="auto"/>
          </w:tcPr>
          <w:p w:rsidR="00D907AF" w:rsidRPr="003A2B16" w:rsidRDefault="00D907AF" w:rsidP="00D907AF">
            <w:pPr>
              <w:spacing w:before="20" w:after="20"/>
              <w:rPr>
                <w:rFonts w:cstheme="minorHAnsi"/>
                <w:sz w:val="19"/>
                <w:szCs w:val="19"/>
              </w:rPr>
            </w:pPr>
            <w:r w:rsidRPr="003A2B16">
              <w:rPr>
                <w:rFonts w:cstheme="minorHAnsi"/>
                <w:b/>
                <w:sz w:val="19"/>
                <w:szCs w:val="19"/>
              </w:rPr>
              <w:t>Total</w:t>
            </w:r>
          </w:p>
        </w:tc>
        <w:tc>
          <w:tcPr>
            <w:tcW w:w="851" w:type="dxa"/>
            <w:tcBorders>
              <w:top w:val="single" w:sz="4" w:space="0" w:color="auto"/>
              <w:bottom w:val="single" w:sz="4" w:space="0" w:color="auto"/>
            </w:tcBorders>
            <w:shd w:val="clear" w:color="auto" w:fill="auto"/>
            <w:vAlign w:val="center"/>
          </w:tcPr>
          <w:p w:rsidR="00D907AF" w:rsidRPr="003A2B16" w:rsidRDefault="00D907AF" w:rsidP="001C7454">
            <w:pPr>
              <w:spacing w:before="20" w:after="20"/>
              <w:jc w:val="center"/>
              <w:rPr>
                <w:rFonts w:cstheme="minorHAnsi"/>
                <w:b/>
                <w:sz w:val="19"/>
                <w:szCs w:val="19"/>
              </w:rPr>
            </w:pPr>
            <w:r w:rsidRPr="003A2B16">
              <w:rPr>
                <w:rFonts w:cstheme="minorHAnsi"/>
                <w:b/>
                <w:sz w:val="19"/>
                <w:szCs w:val="19"/>
              </w:rPr>
              <w:t>381</w:t>
            </w:r>
          </w:p>
        </w:tc>
        <w:tc>
          <w:tcPr>
            <w:tcW w:w="850" w:type="dxa"/>
            <w:tcBorders>
              <w:top w:val="single" w:sz="4" w:space="0" w:color="auto"/>
              <w:bottom w:val="single" w:sz="4" w:space="0" w:color="auto"/>
            </w:tcBorders>
            <w:shd w:val="clear" w:color="auto" w:fill="auto"/>
            <w:vAlign w:val="center"/>
          </w:tcPr>
          <w:p w:rsidR="00D907AF" w:rsidRPr="003A2B16" w:rsidRDefault="00D907AF" w:rsidP="001C7454">
            <w:pPr>
              <w:spacing w:before="20" w:after="20"/>
              <w:jc w:val="center"/>
              <w:rPr>
                <w:rFonts w:cstheme="minorHAnsi"/>
                <w:b/>
                <w:sz w:val="19"/>
                <w:szCs w:val="19"/>
              </w:rPr>
            </w:pPr>
            <w:r w:rsidRPr="003A2B16">
              <w:rPr>
                <w:rFonts w:cstheme="minorHAnsi"/>
                <w:b/>
                <w:sz w:val="19"/>
                <w:szCs w:val="19"/>
              </w:rPr>
              <w:t>100</w:t>
            </w:r>
          </w:p>
        </w:tc>
        <w:tc>
          <w:tcPr>
            <w:tcW w:w="1247" w:type="dxa"/>
            <w:tcBorders>
              <w:top w:val="single" w:sz="4" w:space="0" w:color="auto"/>
              <w:bottom w:val="single" w:sz="4" w:space="0" w:color="auto"/>
            </w:tcBorders>
            <w:shd w:val="clear" w:color="auto" w:fill="auto"/>
            <w:vAlign w:val="center"/>
          </w:tcPr>
          <w:p w:rsidR="00D907AF" w:rsidRPr="003A2B16" w:rsidRDefault="00D907AF" w:rsidP="001C7454">
            <w:pPr>
              <w:spacing w:before="20" w:after="20"/>
              <w:jc w:val="center"/>
              <w:rPr>
                <w:rFonts w:cstheme="minorHAnsi"/>
                <w:b/>
                <w:sz w:val="19"/>
                <w:szCs w:val="19"/>
              </w:rPr>
            </w:pPr>
            <w:r w:rsidRPr="003A2B16">
              <w:rPr>
                <w:rFonts w:cstheme="minorHAnsi"/>
                <w:b/>
                <w:sz w:val="19"/>
                <w:szCs w:val="19"/>
              </w:rPr>
              <w:t>324</w:t>
            </w:r>
          </w:p>
        </w:tc>
        <w:tc>
          <w:tcPr>
            <w:tcW w:w="1247" w:type="dxa"/>
            <w:tcBorders>
              <w:top w:val="single" w:sz="4" w:space="0" w:color="auto"/>
              <w:bottom w:val="single" w:sz="4" w:space="0" w:color="auto"/>
            </w:tcBorders>
            <w:shd w:val="clear" w:color="auto" w:fill="auto"/>
            <w:vAlign w:val="center"/>
          </w:tcPr>
          <w:p w:rsidR="00D907AF" w:rsidRPr="003A2B16" w:rsidRDefault="00D907AF" w:rsidP="001C7454">
            <w:pPr>
              <w:spacing w:before="20" w:after="20"/>
              <w:jc w:val="center"/>
              <w:rPr>
                <w:rFonts w:cstheme="minorHAnsi"/>
                <w:b/>
                <w:sz w:val="19"/>
                <w:szCs w:val="19"/>
              </w:rPr>
            </w:pPr>
            <w:r w:rsidRPr="003A2B16">
              <w:rPr>
                <w:rFonts w:cstheme="minorHAnsi"/>
                <w:b/>
                <w:sz w:val="19"/>
                <w:szCs w:val="19"/>
              </w:rPr>
              <w:t>100</w:t>
            </w:r>
          </w:p>
        </w:tc>
        <w:tc>
          <w:tcPr>
            <w:tcW w:w="850" w:type="dxa"/>
            <w:tcBorders>
              <w:top w:val="single" w:sz="4" w:space="0" w:color="auto"/>
              <w:bottom w:val="single" w:sz="4" w:space="0" w:color="auto"/>
            </w:tcBorders>
            <w:shd w:val="clear" w:color="auto" w:fill="auto"/>
            <w:vAlign w:val="center"/>
          </w:tcPr>
          <w:p w:rsidR="00D907AF" w:rsidRPr="003A2B16" w:rsidRDefault="00D907AF" w:rsidP="001C7454">
            <w:pPr>
              <w:spacing w:before="20" w:after="20"/>
              <w:jc w:val="center"/>
              <w:rPr>
                <w:rFonts w:cstheme="minorHAnsi"/>
                <w:b/>
                <w:sz w:val="19"/>
                <w:szCs w:val="19"/>
              </w:rPr>
            </w:pPr>
            <w:r w:rsidRPr="003A2B16">
              <w:rPr>
                <w:rFonts w:cstheme="minorHAnsi"/>
                <w:b/>
                <w:sz w:val="19"/>
                <w:szCs w:val="19"/>
              </w:rPr>
              <w:t>705</w:t>
            </w:r>
          </w:p>
        </w:tc>
        <w:tc>
          <w:tcPr>
            <w:tcW w:w="993" w:type="dxa"/>
            <w:tcBorders>
              <w:top w:val="single" w:sz="4" w:space="0" w:color="auto"/>
              <w:bottom w:val="single" w:sz="4" w:space="0" w:color="auto"/>
            </w:tcBorders>
            <w:shd w:val="clear" w:color="auto" w:fill="auto"/>
            <w:vAlign w:val="center"/>
          </w:tcPr>
          <w:p w:rsidR="00D907AF" w:rsidRPr="003A2B16" w:rsidRDefault="00D907AF" w:rsidP="001C7454">
            <w:pPr>
              <w:spacing w:before="20" w:after="20"/>
              <w:jc w:val="center"/>
              <w:rPr>
                <w:rFonts w:cstheme="minorHAnsi"/>
                <w:b/>
                <w:sz w:val="19"/>
                <w:szCs w:val="19"/>
              </w:rPr>
            </w:pPr>
            <w:r w:rsidRPr="003A2B16">
              <w:rPr>
                <w:rFonts w:cstheme="minorHAnsi"/>
                <w:b/>
                <w:sz w:val="19"/>
                <w:szCs w:val="19"/>
              </w:rPr>
              <w:t>100</w:t>
            </w:r>
          </w:p>
        </w:tc>
      </w:tr>
    </w:tbl>
    <w:p w:rsidR="00D907AF" w:rsidRPr="00661CC4" w:rsidRDefault="00D907AF" w:rsidP="006C7BE7">
      <w:pPr>
        <w:pStyle w:val="NILSTabletext"/>
      </w:pPr>
      <w:r w:rsidRPr="00661CC4">
        <w:t xml:space="preserve">Note: </w:t>
      </w:r>
      <w:r>
        <w:t>trial and comparison</w:t>
      </w:r>
      <w:r w:rsidRPr="00661CC4">
        <w:t xml:space="preserve"> aged 16 and above</w:t>
      </w:r>
      <w:r>
        <w:t xml:space="preserve"> </w:t>
      </w:r>
      <w:r w:rsidRPr="00661CC4">
        <w:t xml:space="preserve">currently receiving </w:t>
      </w:r>
      <w:r>
        <w:t>supports.</w:t>
      </w:r>
    </w:p>
    <w:p w:rsidR="00D907AF" w:rsidRDefault="00D907AF" w:rsidP="00343280">
      <w:pPr>
        <w:spacing w:before="240" w:after="240"/>
      </w:pPr>
      <w:r w:rsidRPr="00E73961">
        <w:lastRenderedPageBreak/>
        <w:t>Finally, all respondents who answered Part B, excluding children under the age of 8 years, were asked if they had received any help in filling in the questionnaires.</w:t>
      </w:r>
      <w:r>
        <w:t xml:space="preserve"> </w:t>
      </w:r>
    </w:p>
    <w:p w:rsidR="00D907AF" w:rsidRPr="002E7470" w:rsidRDefault="00D907AF" w:rsidP="002E7470">
      <w:pPr>
        <w:pStyle w:val="Heading2"/>
      </w:pPr>
      <w:bookmarkStart w:id="465" w:name="_Toc428280649"/>
      <w:bookmarkStart w:id="466" w:name="_Toc449955025"/>
      <w:r>
        <w:t>3.7 The NDIS surveys and the Key Evaluation Questions: Preliminary thoughts</w:t>
      </w:r>
      <w:bookmarkEnd w:id="465"/>
      <w:bookmarkEnd w:id="466"/>
    </w:p>
    <w:p w:rsidR="00D907AF" w:rsidRDefault="00D907AF" w:rsidP="00D907AF">
      <w:r>
        <w:t>In this concluding section we relate the initial findings from the NDIS surveys to the Key Evaluation Questions identified by the Department of Social Services for the purposes of the NDIS Evaluation. The findings we present come with several qualifications and caveats. First, the Initial Report is based on the first wave of the longitudinal data collection. Second, the Initial Report is the first of two reports, with the first one designed to present the first wave of data descriptively and the second to analyse the first wave of data. Third, the sample sizes of the data we present are below their targeted levels because the first wave fieldwork is yet to be completed as it has been following the delayed NDIS roll-out. We discuss these briefly in turn before we turn to the discussion of the relevant Key Evaluation Questions.</w:t>
      </w:r>
    </w:p>
    <w:p w:rsidR="00CC1E9C" w:rsidRDefault="00CC1E9C" w:rsidP="00D907AF"/>
    <w:p w:rsidR="00D907AF" w:rsidRDefault="00D907AF" w:rsidP="00D907AF">
      <w:r>
        <w:t xml:space="preserve">First, the very nature of evaluating a policy through the use of longitudinal information means that more often than not, the formal evaluation cannot be performed before the changes in the outcomes of the policy have been observed over a period of time. Hence, much of what this </w:t>
      </w:r>
      <w:r w:rsidR="00190419">
        <w:t>e</w:t>
      </w:r>
      <w:r>
        <w:t>valuation is designed to find will only become available after the second wave of data has been collected and the two waves have been appropriately analysed and compared. Some questions will only be addressed in the Final Report, which will utilise both Waves 1 and 2.</w:t>
      </w:r>
    </w:p>
    <w:p w:rsidR="00CC1E9C" w:rsidRDefault="00CC1E9C" w:rsidP="00D907AF"/>
    <w:p w:rsidR="00D907AF" w:rsidRDefault="00D907AF" w:rsidP="00D907AF">
      <w:r>
        <w:t xml:space="preserve">Second, there is a lot of information in the data we present. The picture that emerges is complex and the data structure reflects this. As the new data comes in, appropriate statistical analyses will continue to be performed and new understandings will continue to arise. This is a continuous process that takes time. The period between July 2015 and </w:t>
      </w:r>
      <w:r w:rsidR="00B41454">
        <w:t>mid</w:t>
      </w:r>
      <w:r w:rsidR="00190419">
        <w:t xml:space="preserve"> 2016 will be spent by the e</w:t>
      </w:r>
      <w:r>
        <w:t>valuation team assessing the first wave data collections. There are many aspects of the data that can only be understood by carrying out further cross tabulations and by applying multivariate regression to account for the data complexity and interdependence. The conclusions from our further analyses will be presented in the Intermediate Report.</w:t>
      </w:r>
    </w:p>
    <w:p w:rsidR="00CC1E9C" w:rsidRDefault="00CC1E9C" w:rsidP="00D907AF"/>
    <w:p w:rsidR="00D907AF" w:rsidRDefault="00D907AF" w:rsidP="00D907AF">
      <w:r>
        <w:t>Third, one has to be careful with the interpretation of our present findings for the main reason that they are based on sample sizes that we believe to be inadequate for purposes of the project. In essence this report is based on about one third of the target sample sizes the project expects to achieve. Until this happens we believe that it is possible that some of the numbers we present here may change. There are two main reasons for this. The first is that the smaller the sample sizes at hand the more likely it is that a future table based on a larger sample may differ. The second is that as the NDIS roll out makes progress, the composition of the NDIS participants will become more and more representative of the broader population of people with disability in Australia. To the degree that the roll-out has been happening in a non-random way, we can expect that the larger sample estimates will be different by virtue of having been drawn at a later point in time.</w:t>
      </w:r>
    </w:p>
    <w:p w:rsidR="00D907AF" w:rsidRDefault="00D907AF" w:rsidP="00D907AF"/>
    <w:p w:rsidR="00CC1E9C" w:rsidRDefault="00CC1E9C">
      <w:pPr>
        <w:rPr>
          <w:rFonts w:eastAsia="Times" w:cstheme="minorHAnsi"/>
          <w:b/>
          <w:kern w:val="32"/>
          <w:sz w:val="26"/>
          <w:szCs w:val="24"/>
          <w:lang w:val="en-AU" w:eastAsia="zh-CN"/>
        </w:rPr>
      </w:pPr>
      <w:bookmarkStart w:id="467" w:name="_Toc428280650"/>
      <w:bookmarkStart w:id="468" w:name="_Toc425752383"/>
      <w:r>
        <w:br w:type="page"/>
      </w:r>
    </w:p>
    <w:p w:rsidR="00D907AF" w:rsidRPr="00C87DE1" w:rsidRDefault="00D907AF" w:rsidP="00367B24">
      <w:pPr>
        <w:pStyle w:val="Heading2"/>
      </w:pPr>
      <w:bookmarkStart w:id="469" w:name="_Toc449955026"/>
      <w:r w:rsidRPr="00C87DE1">
        <w:lastRenderedPageBreak/>
        <w:t>3.8 Summary and comments</w:t>
      </w:r>
      <w:bookmarkEnd w:id="467"/>
      <w:bookmarkEnd w:id="469"/>
    </w:p>
    <w:p w:rsidR="00D907AF" w:rsidRDefault="00D907AF" w:rsidP="00D907AF">
      <w:r w:rsidRPr="00DC7FBB">
        <w:t>The purpose of the NDIS surveys of people with disability</w:t>
      </w:r>
      <w:r>
        <w:t>,</w:t>
      </w:r>
      <w:r w:rsidRPr="00DC7FBB">
        <w:t xml:space="preserve"> and their families and carers is to build a powerful national evidence base to evaluate the impact of the NDIS on people with disability, </w:t>
      </w:r>
      <w:r>
        <w:t xml:space="preserve">and </w:t>
      </w:r>
      <w:r w:rsidRPr="00DC7FBB">
        <w:t xml:space="preserve">their </w:t>
      </w:r>
      <w:r w:rsidRPr="0071602F">
        <w:t xml:space="preserve">families and carers, as the NDIS is rolled out in the trial sites between 2013 and 2016. </w:t>
      </w:r>
    </w:p>
    <w:p w:rsidR="00CC1E9C" w:rsidRPr="0071602F" w:rsidRDefault="00CC1E9C" w:rsidP="00D907AF"/>
    <w:p w:rsidR="00D907AF" w:rsidRDefault="00D907AF" w:rsidP="00D907AF">
      <w:r w:rsidRPr="008F0CED">
        <w:t>We have reported the beginning phases of th</w:t>
      </w:r>
      <w:r>
        <w:t>ese</w:t>
      </w:r>
      <w:r w:rsidRPr="008F0CED">
        <w:t xml:space="preserve"> major data collections. </w:t>
      </w:r>
      <w:r w:rsidR="001D1E4A">
        <w:t>T</w:t>
      </w:r>
      <w:r w:rsidRPr="008F0CED">
        <w:t>he</w:t>
      </w:r>
      <w:r>
        <w:t xml:space="preserve"> data collections have been very</w:t>
      </w:r>
      <w:r w:rsidRPr="008F0CED">
        <w:t xml:space="preserve"> ambitious in their objectives</w:t>
      </w:r>
      <w:r w:rsidR="00190419">
        <w:t>, as the e</w:t>
      </w:r>
      <w:r>
        <w:t xml:space="preserve">valuation’s objectives are demanding. They have also been </w:t>
      </w:r>
      <w:r w:rsidRPr="008F0CED">
        <w:t xml:space="preserve">innovative </w:t>
      </w:r>
      <w:r>
        <w:t>in their design in order to accomplish these objectives and</w:t>
      </w:r>
      <w:r w:rsidRPr="008F0CED">
        <w:t xml:space="preserve"> comprehensive</w:t>
      </w:r>
      <w:r>
        <w:t xml:space="preserve"> in their scope to accommodate the diversity of their subject group. </w:t>
      </w:r>
      <w:r w:rsidR="001D1E4A">
        <w:t xml:space="preserve">There have been </w:t>
      </w:r>
      <w:r>
        <w:t xml:space="preserve">many challenges, especially </w:t>
      </w:r>
      <w:r w:rsidRPr="008F0CED">
        <w:t xml:space="preserve">in the beginning of the implementation </w:t>
      </w:r>
      <w:r>
        <w:t xml:space="preserve">of the data collections, but overall </w:t>
      </w:r>
      <w:r w:rsidRPr="008F0CED">
        <w:t>preliminary outcomes</w:t>
      </w:r>
      <w:r w:rsidR="001D1E4A">
        <w:t xml:space="preserve"> are judged</w:t>
      </w:r>
      <w:r w:rsidRPr="006B2A86">
        <w:t xml:space="preserve"> </w:t>
      </w:r>
      <w:r>
        <w:t xml:space="preserve">to have been successful. </w:t>
      </w:r>
    </w:p>
    <w:p w:rsidR="00CC1E9C" w:rsidRPr="008F0CED" w:rsidRDefault="00CC1E9C" w:rsidP="00D907AF"/>
    <w:p w:rsidR="00D907AF" w:rsidRDefault="00D907AF" w:rsidP="00D907AF">
      <w:r w:rsidRPr="008F0CED">
        <w:t xml:space="preserve">The objectives were </w:t>
      </w:r>
      <w:r w:rsidR="001D1E4A">
        <w:t xml:space="preserve">quickly </w:t>
      </w:r>
      <w:r w:rsidRPr="008F0CED">
        <w:t xml:space="preserve">recognised </w:t>
      </w:r>
      <w:r>
        <w:t xml:space="preserve">to be too </w:t>
      </w:r>
      <w:r w:rsidR="001D1E4A">
        <w:t>optimistic</w:t>
      </w:r>
      <w:r w:rsidRPr="008F0CED">
        <w:t xml:space="preserve"> with regards to their timing, as the data collection had to tailgate the NDIS roll</w:t>
      </w:r>
      <w:r>
        <w:t>-</w:t>
      </w:r>
      <w:r w:rsidRPr="008F0CED">
        <w:t>out</w:t>
      </w:r>
      <w:r>
        <w:t>. I</w:t>
      </w:r>
      <w:r w:rsidRPr="008F0CED">
        <w:t xml:space="preserve">n many instances </w:t>
      </w:r>
      <w:r>
        <w:t xml:space="preserve">the NDIS surveys </w:t>
      </w:r>
      <w:r w:rsidRPr="008F0CED">
        <w:t>ha</w:t>
      </w:r>
      <w:r>
        <w:t>d</w:t>
      </w:r>
      <w:r w:rsidRPr="008F0CED">
        <w:t xml:space="preserve"> to wait </w:t>
      </w:r>
      <w:r>
        <w:t>for teething problems to</w:t>
      </w:r>
      <w:r w:rsidRPr="008F0CED">
        <w:t xml:space="preserve"> be overcome. The data design faced and had to overcome its own teething problems as it broke many new frontiers, for example, in overcoming the sampling initial difficulties created by the lack of readily available linked records, </w:t>
      </w:r>
      <w:r w:rsidR="001D1E4A">
        <w:t>undertaken</w:t>
      </w:r>
      <w:r w:rsidRPr="008F0CED">
        <w:t xml:space="preserve"> through the design of a bespoke registration process. </w:t>
      </w:r>
      <w:r>
        <w:t xml:space="preserve">The registration process </w:t>
      </w:r>
      <w:r w:rsidR="001D1E4A">
        <w:t>was</w:t>
      </w:r>
      <w:r>
        <w:t xml:space="preserve"> a lengthy and complicated exercise which has had a negative impact on response rates, but </w:t>
      </w:r>
      <w:r w:rsidR="001D1E4A">
        <w:t xml:space="preserve">in itself </w:t>
      </w:r>
      <w:r>
        <w:t>provided invaluable information. By the time we got to those who responded that they are willing to take part in the survey, about half of all originally sampled people had already been lost to the survey.</w:t>
      </w:r>
    </w:p>
    <w:p w:rsidR="00CC1E9C" w:rsidRPr="008F0CED" w:rsidRDefault="00CC1E9C" w:rsidP="00D907AF"/>
    <w:p w:rsidR="00D907AF" w:rsidRDefault="00D907AF" w:rsidP="00D907AF">
      <w:r w:rsidRPr="008F0CED">
        <w:t>The design and the development of the survey</w:t>
      </w:r>
      <w:r>
        <w:t>s</w:t>
      </w:r>
      <w:r w:rsidRPr="008F0CED">
        <w:t xml:space="preserve"> are c</w:t>
      </w:r>
      <w:r>
        <w:t>onceptually and technically</w:t>
      </w:r>
      <w:r w:rsidRPr="008F0CED">
        <w:t xml:space="preserve"> </w:t>
      </w:r>
      <w:r>
        <w:t xml:space="preserve">innovative and </w:t>
      </w:r>
      <w:r w:rsidRPr="008F0CED">
        <w:t xml:space="preserve">complicated. </w:t>
      </w:r>
      <w:r w:rsidR="00140957">
        <w:t>S</w:t>
      </w:r>
      <w:r w:rsidR="00140957" w:rsidRPr="008F0CED">
        <w:t>ampling</w:t>
      </w:r>
      <w:r w:rsidR="00A66B2F">
        <w:t xml:space="preserve"> necessarily</w:t>
      </w:r>
      <w:r w:rsidR="00A66B2F" w:rsidRPr="008F0CED">
        <w:t xml:space="preserve"> </w:t>
      </w:r>
      <w:r w:rsidR="00140957" w:rsidRPr="008F0CED">
        <w:t>follow</w:t>
      </w:r>
      <w:r w:rsidR="00140957">
        <w:t xml:space="preserve">ed </w:t>
      </w:r>
      <w:r w:rsidRPr="008F0CED">
        <w:t>the roll</w:t>
      </w:r>
      <w:r>
        <w:t>-</w:t>
      </w:r>
      <w:r w:rsidRPr="008F0CED">
        <w:t>out of the NDIS</w:t>
      </w:r>
      <w:r w:rsidR="00CD5880">
        <w:t>,</w:t>
      </w:r>
      <w:r w:rsidR="006D78CB">
        <w:t xml:space="preserve"> </w:t>
      </w:r>
      <w:r w:rsidR="00CD5880">
        <w:t>the slower uptake</w:t>
      </w:r>
      <w:r w:rsidR="006D78CB">
        <w:t xml:space="preserve"> </w:t>
      </w:r>
      <w:r w:rsidR="00140957">
        <w:t xml:space="preserve">making </w:t>
      </w:r>
      <w:r>
        <w:t>our initial sample</w:t>
      </w:r>
      <w:r w:rsidRPr="008F0CED">
        <w:t xml:space="preserve"> a census of all NDIS participants </w:t>
      </w:r>
      <w:r>
        <w:t xml:space="preserve">who consented to being approached for research purposes </w:t>
      </w:r>
      <w:r w:rsidRPr="008F0CED">
        <w:t xml:space="preserve">for at least the first year. One consequence was that the sampling also followed closely the non-random </w:t>
      </w:r>
      <w:r>
        <w:t xml:space="preserve">attributes of the </w:t>
      </w:r>
      <w:r w:rsidRPr="008F0CED">
        <w:t>phasing in of the NDIS, including the later NDIS start in the ACT. The roll</w:t>
      </w:r>
      <w:r>
        <w:t>-</w:t>
      </w:r>
      <w:r w:rsidRPr="008F0CED">
        <w:t xml:space="preserve">out constraints have made it impossible to collect the complete first wave within a single fieldwork exercise. It is only now (July 2015) that NDIS participants are reaching the number that will allow the originally planned </w:t>
      </w:r>
      <w:r>
        <w:t xml:space="preserve">evaluation </w:t>
      </w:r>
      <w:r w:rsidRPr="008F0CED">
        <w:t>sample size to be achieved and the exact details of the remainder of Wave 1 data collections are currently being decided with the Department</w:t>
      </w:r>
      <w:r>
        <w:t xml:space="preserve"> of Social Services</w:t>
      </w:r>
      <w:r w:rsidRPr="008F0CED">
        <w:t xml:space="preserve">. We expect the second wave to be a lot more compressed in its fieldwork duration and less complex in its implementation. </w:t>
      </w:r>
    </w:p>
    <w:p w:rsidR="00CC1E9C" w:rsidRPr="008F0CED" w:rsidRDefault="00CC1E9C" w:rsidP="00D907AF"/>
    <w:p w:rsidR="00D907AF" w:rsidRDefault="00D907AF" w:rsidP="00D907AF">
      <w:r>
        <w:t>The project has been</w:t>
      </w:r>
      <w:r w:rsidRPr="008F0CED">
        <w:t xml:space="preserve"> breaking new ground in many methodological aspects by designing and delivering a questionnaire through several modes, in two distinct parts, to a very diverse group of people</w:t>
      </w:r>
      <w:r>
        <w:t xml:space="preserve"> in the</w:t>
      </w:r>
      <w:r w:rsidRPr="008F0CED">
        <w:t xml:space="preserve"> trial </w:t>
      </w:r>
      <w:r>
        <w:t xml:space="preserve">sites </w:t>
      </w:r>
      <w:r w:rsidRPr="008F0CED">
        <w:t xml:space="preserve">and </w:t>
      </w:r>
      <w:r>
        <w:t xml:space="preserve">the broader </w:t>
      </w:r>
      <w:r w:rsidRPr="008F0CED">
        <w:t xml:space="preserve">comparison </w:t>
      </w:r>
      <w:r>
        <w:t>group</w:t>
      </w:r>
      <w:r w:rsidRPr="008F0CED">
        <w:t>. The questionnaires were split in</w:t>
      </w:r>
      <w:r>
        <w:t>to</w:t>
      </w:r>
      <w:r w:rsidRPr="008F0CED">
        <w:t xml:space="preserve"> two parts to allow for the elicitation of diverse types of information, ranging </w:t>
      </w:r>
      <w:r>
        <w:t>from</w:t>
      </w:r>
      <w:r w:rsidRPr="008F0CED">
        <w:t xml:space="preserve"> relatively straightforward demographic information in Part A to reported </w:t>
      </w:r>
      <w:r>
        <w:t>perceptions</w:t>
      </w:r>
      <w:r w:rsidRPr="008F0CED">
        <w:t xml:space="preserve"> and feelings in Part B. The introduction of</w:t>
      </w:r>
      <w:r>
        <w:t xml:space="preserve"> pictorial</w:t>
      </w:r>
      <w:r w:rsidRPr="008F0CED">
        <w:t xml:space="preserve"> Easy English is an innovation in this </w:t>
      </w:r>
      <w:r>
        <w:t>type of large scale data collection.</w:t>
      </w:r>
      <w:r w:rsidRPr="008F0CED">
        <w:t xml:space="preserve"> </w:t>
      </w:r>
      <w:r>
        <w:t>F</w:t>
      </w:r>
      <w:r w:rsidRPr="008F0CED">
        <w:t xml:space="preserve">irst indications suggest that it has been received </w:t>
      </w:r>
      <w:r>
        <w:t xml:space="preserve">very </w:t>
      </w:r>
      <w:r w:rsidRPr="008F0CED">
        <w:t>favourably. Strong efforts were made in piloting and in developing accessible instruments in an age-</w:t>
      </w:r>
      <w:r w:rsidRPr="00F4445E">
        <w:t>appropriate manner. The desire to minimise the involvement of proxy respondents and maximise the direct voice of people with disability</w:t>
      </w:r>
      <w:r>
        <w:t>,</w:t>
      </w:r>
      <w:r w:rsidRPr="00F4445E">
        <w:t xml:space="preserve"> but without undue burden, has underpinned the overall </w:t>
      </w:r>
      <w:r>
        <w:t xml:space="preserve">survey </w:t>
      </w:r>
      <w:r w:rsidRPr="00F4445E">
        <w:t>design.</w:t>
      </w:r>
    </w:p>
    <w:p w:rsidR="00CC1E9C" w:rsidRPr="00F4445E" w:rsidRDefault="00CC1E9C" w:rsidP="00D907AF"/>
    <w:p w:rsidR="00EF3E32" w:rsidRDefault="00EF3E32">
      <w:pPr>
        <w:rPr>
          <w:rFonts w:ascii="Calibri" w:hAnsi="Calibri" w:cs="Calibri"/>
        </w:rPr>
      </w:pPr>
      <w:r>
        <w:rPr>
          <w:rFonts w:ascii="Calibri" w:hAnsi="Calibri" w:cs="Calibri"/>
        </w:rPr>
        <w:br w:type="page"/>
      </w:r>
    </w:p>
    <w:p w:rsidR="00D907AF" w:rsidRDefault="00D907AF" w:rsidP="00D907AF">
      <w:pPr>
        <w:rPr>
          <w:rFonts w:ascii="Calibri" w:hAnsi="Calibri" w:cs="Calibri"/>
        </w:rPr>
      </w:pPr>
      <w:r>
        <w:rPr>
          <w:rFonts w:ascii="Calibri" w:hAnsi="Calibri" w:cs="Calibri"/>
        </w:rPr>
        <w:lastRenderedPageBreak/>
        <w:t xml:space="preserve">Response rates have been lower than expected. </w:t>
      </w:r>
      <w:r w:rsidRPr="00F4445E">
        <w:rPr>
          <w:rFonts w:ascii="Calibri" w:hAnsi="Calibri" w:cs="Calibri"/>
        </w:rPr>
        <w:t xml:space="preserve">We are still to form a concrete opinion as to the response rates that we can expect to get for the remainder of the data collections. </w:t>
      </w:r>
      <w:r w:rsidR="001D1E4A">
        <w:rPr>
          <w:rFonts w:ascii="Calibri" w:hAnsi="Calibri" w:cs="Calibri"/>
        </w:rPr>
        <w:t>T</w:t>
      </w:r>
      <w:r>
        <w:rPr>
          <w:rFonts w:ascii="Calibri" w:hAnsi="Calibri" w:cs="Calibri"/>
        </w:rPr>
        <w:t>he registration process and the rest of the opportunities for non-response to happen</w:t>
      </w:r>
      <w:r w:rsidR="00DB00EE">
        <w:rPr>
          <w:rFonts w:ascii="Calibri" w:hAnsi="Calibri" w:cs="Calibri"/>
        </w:rPr>
        <w:t>,</w:t>
      </w:r>
      <w:r>
        <w:rPr>
          <w:rFonts w:ascii="Calibri" w:hAnsi="Calibri" w:cs="Calibri"/>
        </w:rPr>
        <w:t xml:space="preserve"> appear to be taking the final expected response rate to about 20 per cent of the original sample</w:t>
      </w:r>
      <w:r w:rsidR="00DB00EE">
        <w:rPr>
          <w:rFonts w:ascii="Calibri" w:hAnsi="Calibri" w:cs="Calibri"/>
        </w:rPr>
        <w:t xml:space="preserve"> (</w:t>
      </w:r>
      <w:r w:rsidR="005B0FB1">
        <w:rPr>
          <w:rFonts w:ascii="Calibri" w:hAnsi="Calibri" w:cs="Calibri"/>
        </w:rPr>
        <w:t>Trial</w:t>
      </w:r>
      <w:r w:rsidR="00DB00EE">
        <w:rPr>
          <w:rFonts w:ascii="Calibri" w:hAnsi="Calibri" w:cs="Calibri"/>
        </w:rPr>
        <w:t xml:space="preserve"> and </w:t>
      </w:r>
      <w:r w:rsidR="005B0FB1">
        <w:rPr>
          <w:rFonts w:ascii="Calibri" w:hAnsi="Calibri" w:cs="Calibri"/>
        </w:rPr>
        <w:t>C</w:t>
      </w:r>
      <w:r w:rsidR="00DB00EE">
        <w:rPr>
          <w:rFonts w:ascii="Calibri" w:hAnsi="Calibri" w:cs="Calibri"/>
        </w:rPr>
        <w:t>omparison)</w:t>
      </w:r>
      <w:r>
        <w:rPr>
          <w:rFonts w:ascii="Calibri" w:hAnsi="Calibri" w:cs="Calibri"/>
        </w:rPr>
        <w:t xml:space="preserve">, which we consider low and would like to increase. </w:t>
      </w:r>
      <w:r w:rsidR="001D1E4A">
        <w:rPr>
          <w:rFonts w:ascii="Calibri" w:hAnsi="Calibri" w:cs="Calibri"/>
        </w:rPr>
        <w:t xml:space="preserve">However, </w:t>
      </w:r>
      <w:r>
        <w:rPr>
          <w:rFonts w:ascii="Calibri" w:hAnsi="Calibri" w:cs="Calibri"/>
        </w:rPr>
        <w:t>cases of incomplete records (missing values) and unusable information are minimal. The first part of Wave 1 which is almost completed appears to have been more productive than the second part which is approximately half way through its fieldwork.</w:t>
      </w:r>
    </w:p>
    <w:p w:rsidR="00CC1E9C" w:rsidRDefault="00CC1E9C" w:rsidP="00D907AF">
      <w:pPr>
        <w:rPr>
          <w:rFonts w:ascii="Calibri" w:hAnsi="Calibri" w:cs="Calibri"/>
        </w:rPr>
      </w:pPr>
    </w:p>
    <w:p w:rsidR="00D907AF" w:rsidRDefault="001D1E4A" w:rsidP="00D907AF">
      <w:r>
        <w:t>I</w:t>
      </w:r>
      <w:r w:rsidR="00D907AF">
        <w:t xml:space="preserve">n contrast with the qualitative evidence collection, the large surveys take a much longer time to start producing </w:t>
      </w:r>
      <w:r w:rsidR="0061590C">
        <w:t xml:space="preserve">seriously </w:t>
      </w:r>
      <w:r w:rsidR="00D907AF">
        <w:t xml:space="preserve">useable information. </w:t>
      </w:r>
      <w:r w:rsidR="00D907AF" w:rsidRPr="00852372">
        <w:t xml:space="preserve">We are reporting only Wave 1 of a two-wave data collection, where for many of the questions the relevant information is neither the content of Wave 1, nor of Wave 2 answers, but the difference between the two waves. This is because the </w:t>
      </w:r>
      <w:r w:rsidR="00190419">
        <w:t>e</w:t>
      </w:r>
      <w:r w:rsidR="00BD356D">
        <w:t>valuation</w:t>
      </w:r>
      <w:r w:rsidR="00D907AF" w:rsidRPr="00852372">
        <w:t xml:space="preserve"> will be driven by measuring the change that happened to each individual when they were introduced to the NDIS (which is captured by the direction and size of the difference between Waves 1 and 2, and not by the diversity we observe within each of the two waves). The implication is that by design the Wave 1 data collection cannot be expected to </w:t>
      </w:r>
      <w:r w:rsidR="00D907AF">
        <w:t>answer Key Evaluation Questions in a satisfactory manner. It is best to treat this information cautiously as both preliminary and incomplete</w:t>
      </w:r>
      <w:r w:rsidR="00D907AF" w:rsidRPr="00852372">
        <w:t xml:space="preserve">. </w:t>
      </w:r>
    </w:p>
    <w:p w:rsidR="00CC1E9C" w:rsidRDefault="00CC1E9C" w:rsidP="00D907AF"/>
    <w:p w:rsidR="00D907AF" w:rsidRDefault="00D907AF" w:rsidP="00D907AF">
      <w:r w:rsidRPr="00852372">
        <w:t xml:space="preserve">We are reporting only part of Wave 1, hence we expect that we will see changes in the reported statistics once Wave 1 has reached its intended size. The likelihood that we will end up with a different statistic at the end of Wave 1 will be higher for the less well populated categories of data. </w:t>
      </w:r>
    </w:p>
    <w:p w:rsidR="00D907AF" w:rsidRDefault="00D907AF" w:rsidP="00D907AF">
      <w:r w:rsidRPr="00852372">
        <w:t xml:space="preserve">We are only reporting the data on people with disability but not the data on their families and carers. The </w:t>
      </w:r>
      <w:r>
        <w:t>information about</w:t>
      </w:r>
      <w:r w:rsidRPr="00852372">
        <w:t xml:space="preserve"> the people with disability</w:t>
      </w:r>
      <w:r>
        <w:t xml:space="preserve"> along with that</w:t>
      </w:r>
      <w:r w:rsidRPr="00852372">
        <w:t xml:space="preserve"> provided by their families and carers will add valuable dimensions to the data. The data will be richer by looking at similar matters through different lens</w:t>
      </w:r>
      <w:r>
        <w:t>es</w:t>
      </w:r>
      <w:r w:rsidRPr="00852372">
        <w:t xml:space="preserve"> (and comparing the</w:t>
      </w:r>
      <w:r>
        <w:t>m</w:t>
      </w:r>
      <w:r w:rsidRPr="00852372">
        <w:t xml:space="preserve">) and by providing the views of families and carers about themselves and their own circumstances, which are of great importance </w:t>
      </w:r>
      <w:r>
        <w:t xml:space="preserve">not only in their own right, but also </w:t>
      </w:r>
      <w:r w:rsidRPr="00852372">
        <w:t>for the people with disability</w:t>
      </w:r>
      <w:r>
        <w:t xml:space="preserve"> who they may care for</w:t>
      </w:r>
      <w:r w:rsidRPr="00852372">
        <w:t xml:space="preserve">. </w:t>
      </w:r>
    </w:p>
    <w:p w:rsidR="00CC1E9C" w:rsidRDefault="00CC1E9C" w:rsidP="00D907AF"/>
    <w:p w:rsidR="00D907AF" w:rsidRDefault="00D907AF" w:rsidP="00D907AF">
      <w:r w:rsidRPr="00852372">
        <w:t xml:space="preserve">Although we are reporting the trial sites data next to the data from the comparison group, a direct comparison is not advisable. This is because the composition of the two sub-samples may not be </w:t>
      </w:r>
      <w:r>
        <w:t xml:space="preserve">sufficiently </w:t>
      </w:r>
      <w:r w:rsidRPr="00852372">
        <w:t xml:space="preserve">similar. This is only a </w:t>
      </w:r>
      <w:r>
        <w:t>temporary</w:t>
      </w:r>
      <w:r w:rsidRPr="00852372">
        <w:t xml:space="preserve"> problem and </w:t>
      </w:r>
      <w:r>
        <w:t>will not affect the comparisons the</w:t>
      </w:r>
      <w:r w:rsidRPr="00852372">
        <w:t xml:space="preserve"> </w:t>
      </w:r>
      <w:r w:rsidR="00190419">
        <w:t>e</w:t>
      </w:r>
      <w:r w:rsidR="00BD356D">
        <w:t>valuation</w:t>
      </w:r>
      <w:r w:rsidRPr="00852372">
        <w:t xml:space="preserve"> </w:t>
      </w:r>
      <w:r>
        <w:t>will be making</w:t>
      </w:r>
      <w:r w:rsidRPr="00852372">
        <w:t>. Once we have all the data at hand, we will be able to “control” for the differences between the trial and the comparison sub-samples (using the appropriate multivariate methodologies) in order to allow for meaningful analyses to be conducted. For now and at the present preliminary stage, comparisons should only be made with caution.</w:t>
      </w:r>
    </w:p>
    <w:p w:rsidR="00CC1E9C" w:rsidRPr="00852372" w:rsidRDefault="00CC1E9C" w:rsidP="00D907AF"/>
    <w:p w:rsidR="00D907AF" w:rsidRDefault="00D907AF" w:rsidP="00D907AF">
      <w:r>
        <w:t>Notwithstanding the caution suggested by these caveats, there are valuable findings that are already visible.</w:t>
      </w:r>
    </w:p>
    <w:p w:rsidR="00CC1E9C" w:rsidRDefault="00CC1E9C" w:rsidP="00D907AF"/>
    <w:p w:rsidR="00D907AF" w:rsidRDefault="00D907AF" w:rsidP="00D907AF">
      <w:r>
        <w:t xml:space="preserve">First and foremost, we have seen that the design of the data collection works well. The individual sections of each of the questionnaires appear to have been completed correctly. The quality checks we have carried out have not identified any major problem areas. We provided commentary below each table, which we will not repeat here. </w:t>
      </w:r>
    </w:p>
    <w:p w:rsidR="00CC1E9C" w:rsidRDefault="00CC1E9C" w:rsidP="00D907AF"/>
    <w:p w:rsidR="00D907AF" w:rsidRDefault="00D907AF" w:rsidP="00D907AF">
      <w:r>
        <w:t>The next stage of the work will be in several major directions. First, we will continue with the data collection in order to complete Wave 1. We will continue the fieldwork of families and carers and conduct the linking between data on people with disability with data on their own matched families and carers. We will add the second part of the comparison group sample to reach the necessary sample size. We will complete the remaining fieldwork for Wave 1 with the objective to reach the target sample size and in consultation with the Department of Social Services regarding the sampling alternatives, including the target size for the ACT sample.</w:t>
      </w:r>
    </w:p>
    <w:p w:rsidR="00D907AF" w:rsidRDefault="00D907AF" w:rsidP="00D907AF">
      <w:r>
        <w:lastRenderedPageBreak/>
        <w:t xml:space="preserve">Second, we will continue with the quality checking as the data comes in and the sample size increases. We will be checking for the robustness and consistency of the data in all relevant dimensions, primarily at the three levels (i) the person with disability; (ii) the families and carers; (iii) the relationship between persons and families. We will also begin with the intensive analysis of the data through appropriate cross tabulations and through multivariate regression methodologies. The objective is to understand the data and make sure that we have the necessary high quality information to be addressing the </w:t>
      </w:r>
      <w:r w:rsidR="00190419">
        <w:t>e</w:t>
      </w:r>
      <w:r>
        <w:t>valuation questions.</w:t>
      </w:r>
    </w:p>
    <w:p w:rsidR="00CC1E9C" w:rsidRDefault="00CC1E9C" w:rsidP="00D907AF"/>
    <w:p w:rsidR="00D907AF" w:rsidRDefault="00D907AF" w:rsidP="00D907AF">
      <w:r>
        <w:t xml:space="preserve">Third, we will organise a workshop for the cross examination of information generated through the qualitative and the quantitative evidence collection teams. This will help the </w:t>
      </w:r>
      <w:r w:rsidR="00190419">
        <w:t>e</w:t>
      </w:r>
      <w:r w:rsidR="00BD356D">
        <w:t>valuation</w:t>
      </w:r>
      <w:r>
        <w:t xml:space="preserve"> as a whole to explore potential improvements in either of the two methodologies and highlight where there may be new opportunities and synergies in the way the data is interpreted and understood.</w:t>
      </w:r>
    </w:p>
    <w:p w:rsidR="00CC1E9C" w:rsidRDefault="00CC1E9C" w:rsidP="00D907AF"/>
    <w:p w:rsidR="00D907AF" w:rsidRDefault="00D907AF" w:rsidP="00D907AF">
      <w:r>
        <w:t xml:space="preserve">Finally, we will be making the necessary preparations for the collection of Wave 2. The main task will be to identify the questions that do not need to be asked again and remove them, and to introduce new questions that may arise as we examine the data more closely and we also compare the qualitative evidence with the Wave 1 quantitative collection. The longitudinal data needs of the </w:t>
      </w:r>
      <w:r w:rsidR="00190419">
        <w:t>e</w:t>
      </w:r>
      <w:r w:rsidR="00BD356D">
        <w:t>valuation</w:t>
      </w:r>
      <w:r>
        <w:t xml:space="preserve"> require that we make minimal changes to questions between waves.</w:t>
      </w:r>
      <w:bookmarkEnd w:id="468"/>
    </w:p>
    <w:bookmarkEnd w:id="10"/>
    <w:p w:rsidR="00685BE5" w:rsidRDefault="00685BE5">
      <w:r>
        <w:br w:type="page"/>
      </w:r>
    </w:p>
    <w:p w:rsidR="00685BE5" w:rsidRPr="00CA3864" w:rsidRDefault="00685BE5" w:rsidP="00367B24">
      <w:pPr>
        <w:pStyle w:val="Heading1"/>
      </w:pPr>
      <w:bookmarkStart w:id="470" w:name="_Toc428279179"/>
      <w:bookmarkStart w:id="471" w:name="_Toc449955027"/>
      <w:r>
        <w:lastRenderedPageBreak/>
        <w:t>4. The 2014 NDIS Disability Support Providers Surveys</w:t>
      </w:r>
      <w:bookmarkEnd w:id="470"/>
      <w:bookmarkEnd w:id="471"/>
    </w:p>
    <w:p w:rsidR="00685BE5" w:rsidRPr="00CA3864" w:rsidRDefault="00685BE5" w:rsidP="004744EE">
      <w:pPr>
        <w:pStyle w:val="Heading2"/>
      </w:pPr>
      <w:bookmarkStart w:id="472" w:name="_Toc428279180"/>
      <w:bookmarkStart w:id="473" w:name="_Toc449955028"/>
      <w:r>
        <w:t>4.1 Introduction</w:t>
      </w:r>
      <w:bookmarkEnd w:id="472"/>
      <w:bookmarkEnd w:id="473"/>
    </w:p>
    <w:p w:rsidR="00685BE5" w:rsidRDefault="00685BE5" w:rsidP="006E7B83">
      <w:pPr>
        <w:ind w:right="423"/>
      </w:pPr>
      <w:r w:rsidRPr="00665ED5">
        <w:rPr>
          <w:rFonts w:ascii="Calibri" w:hAnsi="Calibri" w:cs="Calibri"/>
        </w:rPr>
        <w:t>A brief description is provided here of the purpose of the 2014 NDIS D</w:t>
      </w:r>
      <w:r>
        <w:rPr>
          <w:rFonts w:ascii="Calibri" w:hAnsi="Calibri" w:cs="Calibri"/>
        </w:rPr>
        <w:t xml:space="preserve">isability </w:t>
      </w:r>
      <w:r w:rsidRPr="00665ED5">
        <w:rPr>
          <w:rFonts w:ascii="Calibri" w:hAnsi="Calibri" w:cs="Calibri"/>
        </w:rPr>
        <w:t>S</w:t>
      </w:r>
      <w:r>
        <w:rPr>
          <w:rFonts w:ascii="Calibri" w:hAnsi="Calibri" w:cs="Calibri"/>
        </w:rPr>
        <w:t xml:space="preserve">upport </w:t>
      </w:r>
      <w:r w:rsidRPr="00665ED5">
        <w:rPr>
          <w:rFonts w:ascii="Calibri" w:hAnsi="Calibri" w:cs="Calibri"/>
        </w:rPr>
        <w:t>P</w:t>
      </w:r>
      <w:r>
        <w:rPr>
          <w:rFonts w:ascii="Calibri" w:hAnsi="Calibri" w:cs="Calibri"/>
        </w:rPr>
        <w:t>roviders</w:t>
      </w:r>
      <w:r w:rsidRPr="00665ED5">
        <w:rPr>
          <w:rFonts w:ascii="Calibri" w:hAnsi="Calibri" w:cs="Calibri"/>
        </w:rPr>
        <w:t xml:space="preserve"> </w:t>
      </w:r>
      <w:r w:rsidR="00AA6DAB">
        <w:rPr>
          <w:rFonts w:ascii="Calibri" w:hAnsi="Calibri" w:cs="Calibri"/>
        </w:rPr>
        <w:t>S</w:t>
      </w:r>
      <w:r w:rsidRPr="00665ED5">
        <w:rPr>
          <w:rFonts w:ascii="Calibri" w:hAnsi="Calibri" w:cs="Calibri"/>
        </w:rPr>
        <w:t>urveys</w:t>
      </w:r>
      <w:r>
        <w:rPr>
          <w:rFonts w:ascii="Calibri" w:hAnsi="Calibri" w:cs="Calibri"/>
        </w:rPr>
        <w:t xml:space="preserve"> </w:t>
      </w:r>
      <w:r>
        <w:t>(subsequently 2014 NDIS DSP surveys)</w:t>
      </w:r>
      <w:r w:rsidRPr="00665ED5">
        <w:rPr>
          <w:rFonts w:ascii="Calibri" w:hAnsi="Calibri" w:cs="Calibri"/>
        </w:rPr>
        <w:t xml:space="preserve">, their </w:t>
      </w:r>
      <w:r w:rsidRPr="00665ED5">
        <w:t>design</w:t>
      </w:r>
      <w:r>
        <w:t>,</w:t>
      </w:r>
      <w:r w:rsidRPr="00665ED5">
        <w:t xml:space="preserve"> development and fieldwork.</w:t>
      </w:r>
      <w:r w:rsidR="006E7B83">
        <w:t xml:space="preserve"> </w:t>
      </w:r>
      <w:r>
        <w:t>This is followed by the main findings for each of the three surveys: of the individual outlets of DSP, their workforce and of self-employed service providers. A brief summary with some interpretation is offered at the end of each section.</w:t>
      </w:r>
    </w:p>
    <w:p w:rsidR="00685BE5" w:rsidRDefault="00685BE5" w:rsidP="00EC2C19">
      <w:pPr>
        <w:pStyle w:val="Heading3"/>
      </w:pPr>
      <w:bookmarkStart w:id="474" w:name="_Toc428279181"/>
      <w:bookmarkStart w:id="475" w:name="_Toc449955029"/>
      <w:r>
        <w:t>4.1.1 T</w:t>
      </w:r>
      <w:r w:rsidRPr="00665ED5">
        <w:t>he purpose of the 2014 NDIS DSP surveys</w:t>
      </w:r>
      <w:bookmarkEnd w:id="474"/>
      <w:bookmarkEnd w:id="475"/>
    </w:p>
    <w:p w:rsidR="00685BE5" w:rsidRDefault="00685BE5" w:rsidP="00AE4C3A">
      <w:r>
        <w:t xml:space="preserve">The focus of the </w:t>
      </w:r>
      <w:r w:rsidRPr="00FB41C3">
        <w:t xml:space="preserve">2014 NDIS </w:t>
      </w:r>
      <w:r>
        <w:t>DSP</w:t>
      </w:r>
      <w:r w:rsidRPr="00FB41C3">
        <w:t xml:space="preserve"> </w:t>
      </w:r>
      <w:r>
        <w:t>s</w:t>
      </w:r>
      <w:r w:rsidRPr="00FB41C3">
        <w:t>urvey</w:t>
      </w:r>
      <w:r>
        <w:t>s</w:t>
      </w:r>
      <w:r w:rsidRPr="00FB41C3" w:rsidDel="00FB41C3">
        <w:t xml:space="preserve"> </w:t>
      </w:r>
      <w:r>
        <w:t xml:space="preserve">was on understanding the current operations of disability support providers and on workforce issues. A major part consisted of trying to understand whether there will </w:t>
      </w:r>
      <w:r w:rsidRPr="008B6F53">
        <w:t>be sufficient workforce capacity to meet the growing and changing demands that will accompany the full NDIS rollout.</w:t>
      </w:r>
      <w:r>
        <w:t xml:space="preserve"> In the 2014 NDIS DSP surveys the focus was on forming a baseline of understanding for the current operations of disability support providers and the current dimensions of the disability sector workforce. A second round of surveys is planned to commence in late 2015. </w:t>
      </w:r>
    </w:p>
    <w:p w:rsidR="00685BE5" w:rsidRDefault="00685BE5" w:rsidP="00367B24">
      <w:pPr>
        <w:pStyle w:val="Heading3"/>
      </w:pPr>
      <w:bookmarkStart w:id="476" w:name="_Toc428279182"/>
      <w:bookmarkStart w:id="477" w:name="_Toc449955030"/>
      <w:r>
        <w:rPr>
          <w:rFonts w:cs="Calibri"/>
        </w:rPr>
        <w:t xml:space="preserve">4.1.2 </w:t>
      </w:r>
      <w:r w:rsidRPr="0014029A">
        <w:rPr>
          <w:rFonts w:cs="Calibri"/>
        </w:rPr>
        <w:t xml:space="preserve">2014 NDIS DSP surveys </w:t>
      </w:r>
      <w:r w:rsidRPr="00665ED5">
        <w:t>design</w:t>
      </w:r>
      <w:r>
        <w:t>,</w:t>
      </w:r>
      <w:r w:rsidRPr="00665ED5">
        <w:t xml:space="preserve"> development </w:t>
      </w:r>
      <w:r>
        <w:t>and fieldwork</w:t>
      </w:r>
      <w:bookmarkEnd w:id="476"/>
      <w:bookmarkEnd w:id="477"/>
    </w:p>
    <w:p w:rsidR="00CC1E9C" w:rsidRDefault="00685BE5" w:rsidP="00DE1CE9">
      <w:pPr>
        <w:spacing w:after="240"/>
      </w:pPr>
      <w:r>
        <w:t xml:space="preserve">A chief challenge of the DSP surveys was to define the population of </w:t>
      </w:r>
      <w:r w:rsidRPr="00DF50B5">
        <w:t>disability support providers</w:t>
      </w:r>
      <w:r>
        <w:t xml:space="preserve"> and achieve adequate coverage of them. It was difficult to accurately identify and locate outlets that delivered disability supports: no comprehensive list of this group existed, nor does one currently exist. As a result, it was difficult to know with satisfactory accuracy how representative the sample of respondents was. Our responses to this challenge are set out below.</w:t>
      </w:r>
    </w:p>
    <w:p w:rsidR="00685BE5" w:rsidRDefault="00685BE5" w:rsidP="00AE4C3A">
      <w:r w:rsidRPr="00DF50B5">
        <w:t xml:space="preserve">A sample list was constructed of disability support providers in the initial trial </w:t>
      </w:r>
      <w:r>
        <w:t>states</w:t>
      </w:r>
      <w:r w:rsidRPr="00DF50B5">
        <w:t xml:space="preserve"> of the NDIS, i.e. N</w:t>
      </w:r>
      <w:r>
        <w:t xml:space="preserve">ew </w:t>
      </w:r>
      <w:r w:rsidRPr="00DF50B5">
        <w:t>S</w:t>
      </w:r>
      <w:r>
        <w:t xml:space="preserve">outh </w:t>
      </w:r>
      <w:r w:rsidRPr="00DF50B5">
        <w:t>W</w:t>
      </w:r>
      <w:r>
        <w:t>ales (NSW)</w:t>
      </w:r>
      <w:r w:rsidRPr="00DF50B5">
        <w:t>, Victoria, S</w:t>
      </w:r>
      <w:r>
        <w:t xml:space="preserve">outh </w:t>
      </w:r>
      <w:r w:rsidRPr="00DF50B5">
        <w:t>A</w:t>
      </w:r>
      <w:r>
        <w:t>ustralia (SA)</w:t>
      </w:r>
      <w:r w:rsidRPr="00DF50B5">
        <w:t>, Tasmania, and the A</w:t>
      </w:r>
      <w:r>
        <w:t xml:space="preserve">ustralian </w:t>
      </w:r>
      <w:r w:rsidRPr="00DF50B5">
        <w:t>C</w:t>
      </w:r>
      <w:r>
        <w:t xml:space="preserve">apital </w:t>
      </w:r>
      <w:r w:rsidRPr="00DF50B5">
        <w:t>T</w:t>
      </w:r>
      <w:r>
        <w:t>erritory (ACT; in the ACT</w:t>
      </w:r>
      <w:r w:rsidRPr="00DF50B5">
        <w:t xml:space="preserve"> a staged introduction of the NDIS started in </w:t>
      </w:r>
      <w:r>
        <w:t xml:space="preserve">July </w:t>
      </w:r>
      <w:r w:rsidRPr="00DF50B5">
        <w:t>2014</w:t>
      </w:r>
      <w:r>
        <w:t>)</w:t>
      </w:r>
      <w:r w:rsidRPr="00DF50B5">
        <w:t xml:space="preserve">. </w:t>
      </w:r>
      <w:r>
        <w:t>While Queensland (QLD) is not a trial site, it</w:t>
      </w:r>
      <w:r w:rsidRPr="00DF50B5">
        <w:t xml:space="preserve"> was later added as a new component of the </w:t>
      </w:r>
      <w:r>
        <w:t>NDIS E</w:t>
      </w:r>
      <w:r w:rsidRPr="00DF50B5">
        <w:t>valuation. The scope of the 2014 NDIS DSP surveys did not include providers from W</w:t>
      </w:r>
      <w:r>
        <w:t xml:space="preserve">estern </w:t>
      </w:r>
      <w:r w:rsidRPr="00DF50B5">
        <w:t>A</w:t>
      </w:r>
      <w:r>
        <w:t>ustralia (WA)</w:t>
      </w:r>
      <w:r w:rsidRPr="00DF50B5">
        <w:t xml:space="preserve"> or the N</w:t>
      </w:r>
      <w:r>
        <w:t xml:space="preserve">orthern </w:t>
      </w:r>
      <w:r w:rsidRPr="00DF50B5">
        <w:t>T</w:t>
      </w:r>
      <w:r>
        <w:t>erritory (NT)</w:t>
      </w:r>
      <w:r w:rsidRPr="00DF50B5">
        <w:t xml:space="preserve">. At the time of the NDIS </w:t>
      </w:r>
      <w:r>
        <w:t>E</w:t>
      </w:r>
      <w:r w:rsidRPr="00DF50B5">
        <w:t>valuation initiation, the nature and timing of W</w:t>
      </w:r>
      <w:r>
        <w:t xml:space="preserve">estern </w:t>
      </w:r>
      <w:r w:rsidRPr="00DF50B5">
        <w:t>A</w:t>
      </w:r>
      <w:r>
        <w:t>ustralia</w:t>
      </w:r>
      <w:r w:rsidRPr="00DF50B5">
        <w:t xml:space="preserve"> participation in the NDIS was undecided. Due to its small population size, the N</w:t>
      </w:r>
      <w:r>
        <w:t xml:space="preserve">orthern </w:t>
      </w:r>
      <w:r w:rsidRPr="00DF50B5">
        <w:t>T</w:t>
      </w:r>
      <w:r>
        <w:t>erritory</w:t>
      </w:r>
      <w:r w:rsidRPr="00DF50B5">
        <w:t xml:space="preserve"> is being treated separately and studied mainly via qualitative methods.</w:t>
      </w:r>
      <w:r>
        <w:t xml:space="preserve"> All data collections have been designed for two waves of data, where the same outlets and the same self-employed providers will be interviewed twice (once in 2014 and once in 2015), with the exception of Queensland which will only take part with a one-off 2014 survey. The fieldwork for the surveys was sub-contracted to I-view.</w:t>
      </w:r>
    </w:p>
    <w:p w:rsidR="00CC1E9C" w:rsidRDefault="00CC1E9C" w:rsidP="00AE4C3A"/>
    <w:p w:rsidR="00685BE5" w:rsidRDefault="00685BE5" w:rsidP="00AE4C3A">
      <w:pPr>
        <w:rPr>
          <w:rFonts w:cstheme="minorHAnsi"/>
        </w:rPr>
      </w:pPr>
      <w:r w:rsidRPr="00DF50B5">
        <w:rPr>
          <w:rFonts w:cstheme="minorHAnsi"/>
        </w:rPr>
        <w:t>Within the six included jurisdictions, a sample list was constructed of current disability support providers. It was not a requirement that an organisation provide disability services exclusively</w:t>
      </w:r>
      <w:r>
        <w:rPr>
          <w:rFonts w:cstheme="minorHAnsi"/>
        </w:rPr>
        <w:t>.</w:t>
      </w:r>
    </w:p>
    <w:p w:rsidR="0078325B" w:rsidRDefault="0078325B" w:rsidP="00AE4C3A"/>
    <w:p w:rsidR="00685BE5" w:rsidRDefault="00685BE5" w:rsidP="00AE4C3A">
      <w:pPr>
        <w:rPr>
          <w:rFonts w:cstheme="minorHAnsi"/>
        </w:rPr>
      </w:pPr>
      <w:r>
        <w:rPr>
          <w:rFonts w:cstheme="minorHAnsi"/>
        </w:rPr>
        <w:t>The main source of sample was</w:t>
      </w:r>
      <w:r w:rsidRPr="00DF50B5">
        <w:rPr>
          <w:rFonts w:cstheme="minorHAnsi"/>
        </w:rPr>
        <w:t xml:space="preserve"> a list of </w:t>
      </w:r>
      <w:r>
        <w:rPr>
          <w:rFonts w:cstheme="minorHAnsi"/>
        </w:rPr>
        <w:t>‘r</w:t>
      </w:r>
      <w:r w:rsidRPr="00DF50B5">
        <w:rPr>
          <w:rFonts w:cstheme="minorHAnsi"/>
        </w:rPr>
        <w:t>egistered providers</w:t>
      </w:r>
      <w:r>
        <w:rPr>
          <w:rFonts w:cstheme="minorHAnsi"/>
        </w:rPr>
        <w:t>’ maintained by the National Disability Insurance Agency (NDIA),</w:t>
      </w:r>
      <w:r w:rsidRPr="00DF50B5">
        <w:rPr>
          <w:rFonts w:cstheme="minorHAnsi"/>
        </w:rPr>
        <w:t xml:space="preserve"> which include</w:t>
      </w:r>
      <w:r>
        <w:rPr>
          <w:rFonts w:cstheme="minorHAnsi"/>
        </w:rPr>
        <w:t>d</w:t>
      </w:r>
      <w:r w:rsidRPr="00DF50B5">
        <w:rPr>
          <w:rFonts w:cstheme="minorHAnsi"/>
        </w:rPr>
        <w:t xml:space="preserve"> those that ha</w:t>
      </w:r>
      <w:r>
        <w:rPr>
          <w:rFonts w:cstheme="minorHAnsi"/>
        </w:rPr>
        <w:t>d</w:t>
      </w:r>
      <w:r w:rsidRPr="00DF50B5">
        <w:rPr>
          <w:rFonts w:cstheme="minorHAnsi"/>
        </w:rPr>
        <w:t xml:space="preserve"> been approved by the agency to provide supports to </w:t>
      </w:r>
      <w:r>
        <w:rPr>
          <w:rFonts w:cstheme="minorHAnsi"/>
        </w:rPr>
        <w:t>people with disability</w:t>
      </w:r>
      <w:r w:rsidRPr="00DF50B5">
        <w:rPr>
          <w:rFonts w:cstheme="minorHAnsi"/>
        </w:rPr>
        <w:t xml:space="preserve"> funded by the NDIS. All registered NDIS providers were included </w:t>
      </w:r>
      <w:r>
        <w:rPr>
          <w:rFonts w:cstheme="minorHAnsi"/>
        </w:rPr>
        <w:t>i</w:t>
      </w:r>
      <w:r w:rsidRPr="00DF50B5">
        <w:rPr>
          <w:rFonts w:cstheme="minorHAnsi"/>
        </w:rPr>
        <w:t xml:space="preserve">n the sampling list for the NDIS DSP surveys. However, the broader nature of the sample scope meant that the NDIA register could not be the only source to provide </w:t>
      </w:r>
      <w:r>
        <w:rPr>
          <w:rFonts w:cstheme="minorHAnsi"/>
        </w:rPr>
        <w:t xml:space="preserve">the </w:t>
      </w:r>
      <w:r w:rsidRPr="00DF50B5">
        <w:rPr>
          <w:rFonts w:cstheme="minorHAnsi"/>
        </w:rPr>
        <w:t>survey sample for the NDIS DSP surveys</w:t>
      </w:r>
      <w:r>
        <w:rPr>
          <w:rFonts w:cstheme="minorHAnsi"/>
        </w:rPr>
        <w:t>.</w:t>
      </w:r>
    </w:p>
    <w:p w:rsidR="0078325B" w:rsidRDefault="0078325B" w:rsidP="00AE4C3A">
      <w:pPr>
        <w:rPr>
          <w:rFonts w:cstheme="minorHAnsi"/>
        </w:rPr>
      </w:pPr>
    </w:p>
    <w:p w:rsidR="00685BE5" w:rsidRDefault="00685BE5" w:rsidP="00AE4C3A">
      <w:pPr>
        <w:rPr>
          <w:rFonts w:cstheme="minorHAnsi"/>
        </w:rPr>
      </w:pPr>
      <w:r>
        <w:rPr>
          <w:rFonts w:cstheme="minorHAnsi"/>
        </w:rPr>
        <w:lastRenderedPageBreak/>
        <w:t>T</w:t>
      </w:r>
      <w:r w:rsidRPr="00DF50B5">
        <w:rPr>
          <w:rFonts w:cstheme="minorHAnsi"/>
        </w:rPr>
        <w:t>o increase the coverage of the sampling list additiona</w:t>
      </w:r>
      <w:r>
        <w:rPr>
          <w:rFonts w:cstheme="minorHAnsi"/>
        </w:rPr>
        <w:t>l sources were used. These were t</w:t>
      </w:r>
      <w:r w:rsidRPr="00DF50B5">
        <w:rPr>
          <w:rFonts w:cstheme="minorHAnsi"/>
        </w:rPr>
        <w:t>he disability service provider sample list from the NILS 2009 Community and Disability Services Ministerial Advisory Council project (CDSMAC)</w:t>
      </w:r>
      <w:r>
        <w:rPr>
          <w:rStyle w:val="FootnoteReference"/>
          <w:rFonts w:cstheme="minorHAnsi"/>
        </w:rPr>
        <w:footnoteReference w:id="23"/>
      </w:r>
      <w:r>
        <w:rPr>
          <w:rFonts w:cstheme="minorHAnsi"/>
        </w:rPr>
        <w:t>;</w:t>
      </w:r>
      <w:r w:rsidRPr="00DF50B5">
        <w:rPr>
          <w:rFonts w:cstheme="minorHAnsi"/>
        </w:rPr>
        <w:t xml:space="preserve"> </w:t>
      </w:r>
      <w:r>
        <w:rPr>
          <w:rFonts w:cstheme="minorHAnsi"/>
        </w:rPr>
        <w:t>l</w:t>
      </w:r>
      <w:r w:rsidRPr="00DF50B5">
        <w:rPr>
          <w:rFonts w:cstheme="minorHAnsi"/>
        </w:rPr>
        <w:t>ists of providers from peak organisations, in particular Nat</w:t>
      </w:r>
      <w:r>
        <w:rPr>
          <w:rFonts w:cstheme="minorHAnsi"/>
        </w:rPr>
        <w:t>ional Disability Services (NDS); l</w:t>
      </w:r>
      <w:r w:rsidRPr="00DF50B5">
        <w:rPr>
          <w:rFonts w:cstheme="minorHAnsi"/>
        </w:rPr>
        <w:t xml:space="preserve">ists of providers from specific programs, especially the Better Start for Children initiative, which included details for significant numbers of smaller </w:t>
      </w:r>
      <w:r>
        <w:rPr>
          <w:rFonts w:cstheme="minorHAnsi"/>
        </w:rPr>
        <w:t>organisations and self-employed providers; l</w:t>
      </w:r>
      <w:r w:rsidRPr="00DF50B5">
        <w:rPr>
          <w:rFonts w:cstheme="minorHAnsi"/>
        </w:rPr>
        <w:t xml:space="preserve">ocation searches through the websites of </w:t>
      </w:r>
      <w:r>
        <w:rPr>
          <w:rFonts w:cstheme="minorHAnsi"/>
        </w:rPr>
        <w:t>particular larger organisations; and a</w:t>
      </w:r>
      <w:r w:rsidRPr="000853B4">
        <w:rPr>
          <w:rFonts w:cstheme="minorHAnsi"/>
        </w:rPr>
        <w:t>dvice</w:t>
      </w:r>
      <w:r w:rsidRPr="00DF50B5">
        <w:rPr>
          <w:rFonts w:cstheme="minorHAnsi"/>
        </w:rPr>
        <w:t xml:space="preserve"> from the NDIS Evaluation State Expert</w:t>
      </w:r>
      <w:r w:rsidRPr="00330604">
        <w:rPr>
          <w:rFonts w:cstheme="minorHAnsi"/>
        </w:rPr>
        <w:t>s</w:t>
      </w:r>
      <w:r w:rsidRPr="005F1538">
        <w:rPr>
          <w:rFonts w:cstheme="minorHAnsi"/>
        </w:rPr>
        <w:t>.</w:t>
      </w:r>
    </w:p>
    <w:p w:rsidR="0078325B" w:rsidRPr="00127FDC" w:rsidRDefault="0078325B" w:rsidP="00AE4C3A">
      <w:pPr>
        <w:rPr>
          <w:rFonts w:cstheme="minorHAnsi"/>
          <w:highlight w:val="yellow"/>
        </w:rPr>
      </w:pPr>
    </w:p>
    <w:p w:rsidR="00685BE5" w:rsidRDefault="00685BE5" w:rsidP="00AE4C3A">
      <w:pPr>
        <w:rPr>
          <w:rFonts w:cstheme="minorHAnsi"/>
        </w:rPr>
      </w:pPr>
      <w:r w:rsidRPr="00DF50B5">
        <w:rPr>
          <w:rFonts w:cstheme="minorHAnsi"/>
        </w:rPr>
        <w:t xml:space="preserve">The NDIS </w:t>
      </w:r>
      <w:r w:rsidR="00FB6CA3">
        <w:rPr>
          <w:rFonts w:cstheme="minorHAnsi"/>
        </w:rPr>
        <w:t>Evaluation</w:t>
      </w:r>
      <w:r w:rsidRPr="00DF50B5">
        <w:rPr>
          <w:rFonts w:cstheme="minorHAnsi"/>
        </w:rPr>
        <w:t xml:space="preserve"> design required DSP data collection at outlet/service location level, so in all cases </w:t>
      </w:r>
      <w:r>
        <w:rPr>
          <w:rFonts w:cstheme="minorHAnsi"/>
        </w:rPr>
        <w:t xml:space="preserve">an </w:t>
      </w:r>
      <w:r w:rsidRPr="00DF50B5">
        <w:rPr>
          <w:rFonts w:cstheme="minorHAnsi"/>
        </w:rPr>
        <w:t>attempt was made to identify the locations and contact details of specific outlets within larger (multi-site) organisations. In the resulting 2014 NDIS DSP outlet survey, 17 organisations did not provide information at this level but only for their entire organisation.</w:t>
      </w:r>
    </w:p>
    <w:p w:rsidR="0078325B" w:rsidRDefault="0078325B" w:rsidP="00AE4C3A">
      <w:pPr>
        <w:rPr>
          <w:rFonts w:cstheme="minorHAnsi"/>
        </w:rPr>
      </w:pPr>
    </w:p>
    <w:p w:rsidR="00685BE5" w:rsidRDefault="00685BE5" w:rsidP="00AE4C3A">
      <w:pPr>
        <w:rPr>
          <w:rFonts w:cstheme="minorHAnsi"/>
        </w:rPr>
      </w:pPr>
      <w:r w:rsidRPr="00127FDC">
        <w:rPr>
          <w:rFonts w:cstheme="minorHAnsi"/>
        </w:rPr>
        <w:t>Three questionnaires were developed for the 2014 NDIS DSP survey</w:t>
      </w:r>
      <w:r>
        <w:rPr>
          <w:rFonts w:cstheme="minorHAnsi"/>
        </w:rPr>
        <w:t>s</w:t>
      </w:r>
      <w:r w:rsidRPr="00127FDC">
        <w:rPr>
          <w:rFonts w:cstheme="minorHAnsi"/>
        </w:rPr>
        <w:t xml:space="preserve"> data collection:</w:t>
      </w:r>
    </w:p>
    <w:p w:rsidR="00685BE5" w:rsidRPr="00B63599" w:rsidRDefault="00685BE5" w:rsidP="00AF5E38">
      <w:pPr>
        <w:numPr>
          <w:ilvl w:val="0"/>
          <w:numId w:val="16"/>
        </w:numPr>
        <w:spacing w:before="240" w:after="120"/>
        <w:ind w:left="426" w:hanging="426"/>
        <w:rPr>
          <w:rFonts w:cstheme="minorHAnsi"/>
        </w:rPr>
      </w:pPr>
      <w:r>
        <w:rPr>
          <w:rFonts w:cstheme="minorHAnsi"/>
        </w:rPr>
        <w:t>a</w:t>
      </w:r>
      <w:r w:rsidRPr="00127FDC">
        <w:rPr>
          <w:rFonts w:cstheme="minorHAnsi"/>
        </w:rPr>
        <w:t xml:space="preserve"> questionnaire to be completed by specialist DSP outlet managers, </w:t>
      </w:r>
      <w:r>
        <w:rPr>
          <w:rFonts w:cstheme="minorHAnsi"/>
        </w:rPr>
        <w:t>covering</w:t>
      </w:r>
      <w:r w:rsidRPr="00127FDC">
        <w:rPr>
          <w:rFonts w:cstheme="minorHAnsi"/>
        </w:rPr>
        <w:t xml:space="preserve"> information on behalf of their whole service location about workforce composition, hiring practices, funding, and preparation for the NDIS. The managers are also asked to distribute the employee surveys (see below) to a random sample of employees in their outlet, based on the workforce size of the outlet</w:t>
      </w:r>
    </w:p>
    <w:p w:rsidR="00685BE5" w:rsidRPr="00B63599" w:rsidRDefault="00685BE5" w:rsidP="00AF5E38">
      <w:pPr>
        <w:numPr>
          <w:ilvl w:val="0"/>
          <w:numId w:val="16"/>
        </w:numPr>
        <w:spacing w:before="240" w:after="120"/>
        <w:ind w:left="426" w:hanging="426"/>
        <w:rPr>
          <w:rFonts w:cstheme="minorHAnsi"/>
        </w:rPr>
      </w:pPr>
      <w:r>
        <w:rPr>
          <w:rFonts w:cstheme="minorHAnsi"/>
        </w:rPr>
        <w:t>a</w:t>
      </w:r>
      <w:r w:rsidRPr="00127FDC">
        <w:rPr>
          <w:rFonts w:cstheme="minorHAnsi"/>
        </w:rPr>
        <w:t xml:space="preserve"> questionnaire to be completed by a random sample of employees in the DSP outlets, </w:t>
      </w:r>
      <w:r>
        <w:rPr>
          <w:rFonts w:cstheme="minorHAnsi"/>
        </w:rPr>
        <w:t>providing</w:t>
      </w:r>
      <w:r w:rsidRPr="00127FDC">
        <w:rPr>
          <w:rFonts w:cstheme="minorHAnsi"/>
        </w:rPr>
        <w:t xml:space="preserve"> information on their own characteristics, qualifications, earnings, career pathways and views about their satisfaction with elements of their work and their current workplace</w:t>
      </w:r>
    </w:p>
    <w:p w:rsidR="00685BE5" w:rsidRDefault="00685BE5" w:rsidP="00AF5E38">
      <w:pPr>
        <w:numPr>
          <w:ilvl w:val="0"/>
          <w:numId w:val="16"/>
        </w:numPr>
        <w:spacing w:before="240" w:after="240"/>
        <w:ind w:left="426" w:hanging="426"/>
        <w:rPr>
          <w:rFonts w:cstheme="minorHAnsi"/>
        </w:rPr>
      </w:pPr>
      <w:r>
        <w:rPr>
          <w:rFonts w:cstheme="minorHAnsi"/>
        </w:rPr>
        <w:t>a</w:t>
      </w:r>
      <w:r w:rsidRPr="00127FDC">
        <w:rPr>
          <w:rFonts w:cstheme="minorHAnsi"/>
        </w:rPr>
        <w:t xml:space="preserve"> questionnaire to be completed by self-employed </w:t>
      </w:r>
      <w:r>
        <w:rPr>
          <w:rFonts w:cstheme="minorHAnsi"/>
        </w:rPr>
        <w:t>providers</w:t>
      </w:r>
      <w:r w:rsidRPr="00127FDC">
        <w:rPr>
          <w:rFonts w:cstheme="minorHAnsi"/>
        </w:rPr>
        <w:t xml:space="preserve">. This drew on elements of both the above two questionnaires. The main difference </w:t>
      </w:r>
      <w:r>
        <w:rPr>
          <w:rFonts w:cstheme="minorHAnsi"/>
        </w:rPr>
        <w:t>wa</w:t>
      </w:r>
      <w:r w:rsidRPr="00127FDC">
        <w:rPr>
          <w:rFonts w:cstheme="minorHAnsi"/>
        </w:rPr>
        <w:t xml:space="preserve">s that self-employed </w:t>
      </w:r>
      <w:r>
        <w:rPr>
          <w:rFonts w:cstheme="minorHAnsi"/>
        </w:rPr>
        <w:t>providers we</w:t>
      </w:r>
      <w:r w:rsidRPr="00127FDC">
        <w:rPr>
          <w:rFonts w:cstheme="minorHAnsi"/>
        </w:rPr>
        <w:t>re not asked to provide the same level of detail about their workforce composition, based on the assumption that they have few or no employees.</w:t>
      </w:r>
    </w:p>
    <w:p w:rsidR="00685BE5" w:rsidRDefault="00685BE5" w:rsidP="00AE4C3A">
      <w:pPr>
        <w:rPr>
          <w:rFonts w:cstheme="minorHAnsi"/>
        </w:rPr>
      </w:pPr>
      <w:r w:rsidRPr="00127FDC">
        <w:rPr>
          <w:rFonts w:cstheme="minorHAnsi"/>
        </w:rPr>
        <w:t>The questionnaires were adapted from previously</w:t>
      </w:r>
      <w:r>
        <w:rPr>
          <w:rFonts w:cstheme="minorHAnsi"/>
        </w:rPr>
        <w:t xml:space="preserve"> </w:t>
      </w:r>
      <w:r w:rsidRPr="00127FDC">
        <w:rPr>
          <w:rFonts w:cstheme="minorHAnsi"/>
        </w:rPr>
        <w:t>tested NILS questionnaires used for similar data collections in the aged care</w:t>
      </w:r>
      <w:r>
        <w:rPr>
          <w:rStyle w:val="FootnoteReference"/>
          <w:rFonts w:cstheme="minorHAnsi"/>
        </w:rPr>
        <w:footnoteReference w:id="24"/>
      </w:r>
      <w:r w:rsidRPr="00127FDC">
        <w:rPr>
          <w:rFonts w:cstheme="minorHAnsi"/>
        </w:rPr>
        <w:t xml:space="preserve"> and disability community care workforce settings</w:t>
      </w:r>
      <w:r>
        <w:rPr>
          <w:rStyle w:val="FootnoteReference"/>
          <w:rFonts w:cstheme="minorHAnsi"/>
        </w:rPr>
        <w:footnoteReference w:id="25"/>
      </w:r>
      <w:r w:rsidRPr="00127FDC">
        <w:rPr>
          <w:rFonts w:cstheme="minorHAnsi"/>
        </w:rPr>
        <w:t xml:space="preserve">, and with </w:t>
      </w:r>
      <w:r>
        <w:rPr>
          <w:rFonts w:cstheme="minorHAnsi"/>
        </w:rPr>
        <w:t xml:space="preserve">additional </w:t>
      </w:r>
      <w:r w:rsidRPr="00127FDC">
        <w:rPr>
          <w:rFonts w:cstheme="minorHAnsi"/>
        </w:rPr>
        <w:t>input from a range of disability sector experts, survey experts, and external stakeholders.</w:t>
      </w:r>
      <w:r>
        <w:rPr>
          <w:rFonts w:cstheme="minorHAnsi"/>
        </w:rPr>
        <w:t xml:space="preserve"> </w:t>
      </w:r>
      <w:r w:rsidRPr="00127FDC">
        <w:rPr>
          <w:rFonts w:cstheme="minorHAnsi"/>
        </w:rPr>
        <w:t>Additional relevant questions were also sourced or adapted from other major surveys, including:</w:t>
      </w:r>
    </w:p>
    <w:p w:rsidR="00685BE5" w:rsidRPr="00127FDC" w:rsidRDefault="00685BE5" w:rsidP="00AF5E38">
      <w:pPr>
        <w:numPr>
          <w:ilvl w:val="0"/>
          <w:numId w:val="17"/>
        </w:numPr>
        <w:spacing w:before="240" w:after="240"/>
        <w:rPr>
          <w:rFonts w:cstheme="minorHAnsi"/>
        </w:rPr>
      </w:pPr>
      <w:r w:rsidRPr="00127FDC">
        <w:rPr>
          <w:rFonts w:cstheme="minorHAnsi"/>
        </w:rPr>
        <w:t>ABS Business Longitudinal Database (BLD), which has a set of skill shortage questions</w:t>
      </w:r>
    </w:p>
    <w:p w:rsidR="00685BE5" w:rsidRPr="00127FDC" w:rsidRDefault="00685BE5" w:rsidP="00AF5E38">
      <w:pPr>
        <w:numPr>
          <w:ilvl w:val="0"/>
          <w:numId w:val="17"/>
        </w:numPr>
        <w:spacing w:before="240" w:after="240"/>
        <w:rPr>
          <w:rFonts w:cstheme="minorHAnsi"/>
        </w:rPr>
      </w:pPr>
      <w:r w:rsidRPr="00127FDC">
        <w:rPr>
          <w:rFonts w:cstheme="minorHAnsi"/>
        </w:rPr>
        <w:t>UK Workplace Employment Relations Survey (WERS)</w:t>
      </w:r>
    </w:p>
    <w:p w:rsidR="00685BE5" w:rsidRDefault="00685BE5" w:rsidP="00AF5E38">
      <w:pPr>
        <w:numPr>
          <w:ilvl w:val="0"/>
          <w:numId w:val="17"/>
        </w:numPr>
        <w:spacing w:before="240" w:after="240"/>
        <w:rPr>
          <w:rFonts w:cstheme="minorHAnsi"/>
        </w:rPr>
      </w:pPr>
      <w:r w:rsidRPr="00127FDC">
        <w:rPr>
          <w:rFonts w:cstheme="minorHAnsi"/>
        </w:rPr>
        <w:t>Australian Chamber of Commerce and Industry (ACCI) Business Expectations Survey</w:t>
      </w:r>
      <w:r>
        <w:rPr>
          <w:rFonts w:cstheme="minorHAnsi"/>
        </w:rPr>
        <w:t>.</w:t>
      </w:r>
    </w:p>
    <w:p w:rsidR="00685BE5" w:rsidRDefault="00685BE5" w:rsidP="00AE4C3A">
      <w:pPr>
        <w:rPr>
          <w:rFonts w:cstheme="minorHAnsi"/>
        </w:rPr>
      </w:pPr>
      <w:r w:rsidRPr="00127FDC">
        <w:rPr>
          <w:rFonts w:cstheme="minorHAnsi"/>
        </w:rPr>
        <w:t>Finally, survey expertise and guidance was provided by the ABS Statistical Clearinghouse</w:t>
      </w:r>
      <w:r>
        <w:rPr>
          <w:rFonts w:cstheme="minorHAnsi"/>
        </w:rPr>
        <w:t>.</w:t>
      </w:r>
    </w:p>
    <w:p w:rsidR="0078325B" w:rsidRDefault="0078325B" w:rsidP="00AE4C3A">
      <w:pPr>
        <w:rPr>
          <w:rFonts w:cstheme="minorHAnsi"/>
        </w:rPr>
      </w:pPr>
    </w:p>
    <w:p w:rsidR="00685BE5" w:rsidRDefault="00685BE5" w:rsidP="00AE4C3A">
      <w:pPr>
        <w:rPr>
          <w:rFonts w:cstheme="minorHAnsi"/>
        </w:rPr>
      </w:pPr>
      <w:r w:rsidRPr="0026241D">
        <w:rPr>
          <w:rFonts w:cstheme="minorHAnsi"/>
        </w:rPr>
        <w:t xml:space="preserve">Questionnaires were supplied in </w:t>
      </w:r>
      <w:r>
        <w:rPr>
          <w:rFonts w:cstheme="minorHAnsi"/>
        </w:rPr>
        <w:t>hardcopy</w:t>
      </w:r>
      <w:r w:rsidRPr="0026241D">
        <w:rPr>
          <w:rFonts w:cstheme="minorHAnsi"/>
        </w:rPr>
        <w:t xml:space="preserve"> by mail to the sample list and were available for completion in hardcopy format and online. A series of survey materials were created to complement the questionnaires</w:t>
      </w:r>
      <w:r>
        <w:rPr>
          <w:rFonts w:cstheme="minorHAnsi"/>
        </w:rPr>
        <w:t xml:space="preserve">. </w:t>
      </w:r>
      <w:r w:rsidRPr="0026241D">
        <w:rPr>
          <w:rFonts w:cstheme="minorHAnsi"/>
        </w:rPr>
        <w:t xml:space="preserve">These materials were collated with one questionnaire per service (e.g. 1 x Specialist Outlet) and </w:t>
      </w:r>
      <w:r>
        <w:rPr>
          <w:rFonts w:cstheme="minorHAnsi"/>
        </w:rPr>
        <w:t xml:space="preserve">for the pilot </w:t>
      </w:r>
      <w:r w:rsidRPr="0026241D">
        <w:rPr>
          <w:rFonts w:cstheme="minorHAnsi"/>
        </w:rPr>
        <w:t xml:space="preserve">six Specialist Employee questionnaires and inserted into a </w:t>
      </w:r>
      <w:r w:rsidRPr="0026241D">
        <w:rPr>
          <w:rFonts w:cstheme="minorHAnsi"/>
        </w:rPr>
        <w:lastRenderedPageBreak/>
        <w:t>questionnaire pack for mail distribution.</w:t>
      </w:r>
      <w:r>
        <w:rPr>
          <w:rFonts w:cstheme="minorHAnsi"/>
        </w:rPr>
        <w:t xml:space="preserve"> </w:t>
      </w:r>
      <w:r w:rsidRPr="0026241D">
        <w:rPr>
          <w:rFonts w:cstheme="minorHAnsi"/>
        </w:rPr>
        <w:t>An appropriate number of reply-paid envelopes were provided (</w:t>
      </w:r>
      <w:r>
        <w:rPr>
          <w:rFonts w:cstheme="minorHAnsi"/>
        </w:rPr>
        <w:t>in this example this would be one for the outlet reply and six for the employees invited to respond, making a total of seven</w:t>
      </w:r>
      <w:r w:rsidRPr="0026241D">
        <w:rPr>
          <w:rFonts w:cstheme="minorHAnsi"/>
        </w:rPr>
        <w:t xml:space="preserve">). </w:t>
      </w:r>
    </w:p>
    <w:p w:rsidR="0078325B" w:rsidRDefault="0078325B" w:rsidP="00AE4C3A">
      <w:pPr>
        <w:rPr>
          <w:rFonts w:cstheme="minorHAnsi"/>
        </w:rPr>
      </w:pPr>
    </w:p>
    <w:p w:rsidR="00685BE5" w:rsidRPr="0026241D" w:rsidRDefault="00685BE5" w:rsidP="00AE4C3A">
      <w:pPr>
        <w:rPr>
          <w:rFonts w:cstheme="minorHAnsi"/>
        </w:rPr>
      </w:pPr>
      <w:r w:rsidRPr="0026241D">
        <w:rPr>
          <w:rFonts w:cstheme="minorHAnsi"/>
        </w:rPr>
        <w:t>The other survey materials included:</w:t>
      </w:r>
    </w:p>
    <w:p w:rsidR="00685BE5" w:rsidRPr="001A21C4" w:rsidRDefault="00685BE5" w:rsidP="00AF5E38">
      <w:pPr>
        <w:numPr>
          <w:ilvl w:val="0"/>
          <w:numId w:val="16"/>
        </w:numPr>
        <w:spacing w:before="240" w:after="120"/>
        <w:ind w:left="426" w:hanging="426"/>
        <w:rPr>
          <w:rFonts w:cstheme="minorHAnsi"/>
        </w:rPr>
      </w:pPr>
      <w:r>
        <w:rPr>
          <w:rFonts w:cstheme="minorHAnsi"/>
        </w:rPr>
        <w:t>a</w:t>
      </w:r>
      <w:r w:rsidRPr="001A21C4">
        <w:rPr>
          <w:rFonts w:cstheme="minorHAnsi"/>
        </w:rPr>
        <w:t xml:space="preserve"> loose covering letter addressed to the service or organisation receiving the questionnaire package. The letter introduced the project as being conducted for DSS by NILS, explained the contents of the questionnaire package, the benefits of completion, how to participate in the study and how to distribute the surveys. The covering letter also advised of the 1800 Helpline that the recipient could call if they had any queries (there were eight calls received in the pilot outcomes)</w:t>
      </w:r>
    </w:p>
    <w:p w:rsidR="00685BE5" w:rsidRPr="001A21C4" w:rsidRDefault="00685BE5" w:rsidP="00AF5E38">
      <w:pPr>
        <w:numPr>
          <w:ilvl w:val="0"/>
          <w:numId w:val="16"/>
        </w:numPr>
        <w:spacing w:before="120" w:after="120"/>
        <w:ind w:left="426" w:hanging="426"/>
        <w:rPr>
          <w:rFonts w:cstheme="minorHAnsi"/>
        </w:rPr>
      </w:pPr>
      <w:r>
        <w:rPr>
          <w:rFonts w:cstheme="minorHAnsi"/>
        </w:rPr>
        <w:t>a</w:t>
      </w:r>
      <w:r w:rsidRPr="001A21C4">
        <w:rPr>
          <w:rFonts w:cstheme="minorHAnsi"/>
        </w:rPr>
        <w:t xml:space="preserve"> survey covering letter – the first page of each questionnaire. The covering letter explained the purpose of the survey and provided the recipient with a unique username and password to complete the survey online </w:t>
      </w:r>
    </w:p>
    <w:p w:rsidR="00685BE5" w:rsidRPr="001A21C4" w:rsidRDefault="00685BE5" w:rsidP="00AF5E38">
      <w:pPr>
        <w:numPr>
          <w:ilvl w:val="0"/>
          <w:numId w:val="16"/>
        </w:numPr>
        <w:spacing w:before="120" w:after="120"/>
        <w:ind w:left="426" w:hanging="426"/>
        <w:rPr>
          <w:rFonts w:cstheme="minorHAnsi"/>
        </w:rPr>
      </w:pPr>
      <w:r>
        <w:rPr>
          <w:rFonts w:cstheme="minorHAnsi"/>
        </w:rPr>
        <w:t>a</w:t>
      </w:r>
      <w:r w:rsidRPr="001A21C4">
        <w:rPr>
          <w:rFonts w:cstheme="minorHAnsi"/>
        </w:rPr>
        <w:t xml:space="preserve"> survey inside covering letter – the second page of the questionnaire. The inside covering letter provided additional, more detailed information, about the study and benefits of completion including information about ethics and privacy, tips on how to complete the questionnaire accurately and a series of key definitions. The survey inside covering letter also advised of the 1800 Helpline that the recipient could call if they had any queries regarding the study.</w:t>
      </w:r>
    </w:p>
    <w:p w:rsidR="0078325B" w:rsidRDefault="0078325B" w:rsidP="00AE4C3A"/>
    <w:p w:rsidR="00685BE5" w:rsidRDefault="00685BE5" w:rsidP="00AE4C3A">
      <w:r w:rsidRPr="007D1AC7">
        <w:t xml:space="preserve">The initial questionnaire packages were mailed out </w:t>
      </w:r>
      <w:r>
        <w:t>in</w:t>
      </w:r>
      <w:r w:rsidRPr="007D1AC7">
        <w:t xml:space="preserve"> March 2014.</w:t>
      </w:r>
      <w:r>
        <w:t xml:space="preserve"> Pilot testing occurred mainly in March and April 2014, and was completed in June 2014. The purpose was to check on the questionnaire content, the lists for survey mail-out and response, and the processing of responses received.</w:t>
      </w:r>
    </w:p>
    <w:p w:rsidR="0078325B" w:rsidRDefault="0078325B" w:rsidP="00AE4C3A"/>
    <w:p w:rsidR="00685BE5" w:rsidRDefault="00685BE5" w:rsidP="00AE4C3A">
      <w:r w:rsidRPr="008C2996">
        <w:t xml:space="preserve">The pilot led to the inclusion of a </w:t>
      </w:r>
      <w:r>
        <w:t>pre</w:t>
      </w:r>
      <w:r w:rsidR="004F4645">
        <w:t>-</w:t>
      </w:r>
      <w:r>
        <w:t>call</w:t>
      </w:r>
      <w:r w:rsidRPr="008C2996">
        <w:t xml:space="preserve"> stage</w:t>
      </w:r>
      <w:r>
        <w:t xml:space="preserve"> (in the form of an initial contact by telephone)</w:t>
      </w:r>
      <w:r w:rsidRPr="008C2996">
        <w:t xml:space="preserve"> in the main</w:t>
      </w:r>
      <w:r>
        <w:t xml:space="preserve"> </w:t>
      </w:r>
      <w:r w:rsidRPr="008C2996">
        <w:t xml:space="preserve">stage fieldwork. Prior to starting the main survey mail fieldwork, the consolidated sample list was thoroughly checked through </w:t>
      </w:r>
      <w:r>
        <w:t xml:space="preserve">the </w:t>
      </w:r>
      <w:r w:rsidRPr="008C2996">
        <w:t xml:space="preserve">telephone calls </w:t>
      </w:r>
      <w:r>
        <w:t>(the ‘pre</w:t>
      </w:r>
      <w:r w:rsidR="004F4645">
        <w:t>-</w:t>
      </w:r>
      <w:r>
        <w:t xml:space="preserve">calls’) </w:t>
      </w:r>
      <w:r w:rsidRPr="008C2996">
        <w:t>to all listed organisations.</w:t>
      </w:r>
      <w:r>
        <w:t xml:space="preserve">  </w:t>
      </w:r>
      <w:r w:rsidRPr="008C2996">
        <w:t xml:space="preserve">In this </w:t>
      </w:r>
      <w:r>
        <w:t xml:space="preserve">initial </w:t>
      </w:r>
      <w:r w:rsidRPr="008C2996">
        <w:t>pre</w:t>
      </w:r>
      <w:r w:rsidR="004F4645">
        <w:t>-</w:t>
      </w:r>
      <w:r w:rsidRPr="008C2996">
        <w:t xml:space="preserve">call telephone fieldwork, a number of aspects of the list sample </w:t>
      </w:r>
      <w:r>
        <w:t xml:space="preserve">(such as eligibility, contact details, and outlet information, including the number of people employed at the given establishment) </w:t>
      </w:r>
      <w:r w:rsidRPr="008C2996">
        <w:t xml:space="preserve">were </w:t>
      </w:r>
      <w:r>
        <w:t>clarified</w:t>
      </w:r>
      <w:r w:rsidRPr="008C2996">
        <w:t xml:space="preserve">. </w:t>
      </w:r>
    </w:p>
    <w:p w:rsidR="0078325B" w:rsidRDefault="0078325B" w:rsidP="00AE4C3A"/>
    <w:p w:rsidR="00685BE5" w:rsidRDefault="00685BE5" w:rsidP="00AE4C3A">
      <w:pPr>
        <w:rPr>
          <w:lang w:val="en-US"/>
        </w:rPr>
      </w:pPr>
      <w:r>
        <w:rPr>
          <w:lang w:val="en-US"/>
        </w:rPr>
        <w:t>For this initial pre</w:t>
      </w:r>
      <w:r w:rsidR="004F4645">
        <w:rPr>
          <w:lang w:val="en-US"/>
        </w:rPr>
        <w:t>-</w:t>
      </w:r>
      <w:r>
        <w:rPr>
          <w:lang w:val="en-US"/>
        </w:rPr>
        <w:t xml:space="preserve">call stage, </w:t>
      </w:r>
      <w:r w:rsidRPr="008C2996">
        <w:rPr>
          <w:lang w:val="en-US"/>
        </w:rPr>
        <w:t>NILS supplied a sample list to I-view (see above for details of how this sample list was initially defined). The sample list consisted of 4</w:t>
      </w:r>
      <w:r>
        <w:rPr>
          <w:lang w:val="en-US"/>
        </w:rPr>
        <w:t>,</w:t>
      </w:r>
      <w:r w:rsidRPr="008C2996">
        <w:rPr>
          <w:lang w:val="en-US"/>
        </w:rPr>
        <w:t>207 DSP outlets and 853 Self-employed DSP (</w:t>
      </w:r>
      <w:r>
        <w:rPr>
          <w:lang w:val="en-US"/>
        </w:rPr>
        <w:t>5,060</w:t>
      </w:r>
      <w:r w:rsidRPr="008C2996">
        <w:rPr>
          <w:lang w:val="en-US"/>
        </w:rPr>
        <w:t xml:space="preserve"> cases in total). </w:t>
      </w:r>
    </w:p>
    <w:p w:rsidR="0078325B" w:rsidRDefault="0078325B" w:rsidP="00AE4C3A">
      <w:pPr>
        <w:rPr>
          <w:lang w:val="en-US"/>
        </w:rPr>
      </w:pPr>
    </w:p>
    <w:p w:rsidR="00685BE5" w:rsidRDefault="00685BE5" w:rsidP="00AE4C3A">
      <w:pPr>
        <w:rPr>
          <w:lang w:eastAsia="en-GB"/>
        </w:rPr>
      </w:pPr>
      <w:r w:rsidRPr="008C2996">
        <w:rPr>
          <w:lang w:val="en-US"/>
        </w:rPr>
        <w:t>The fieldwork period for the telephone pre</w:t>
      </w:r>
      <w:r w:rsidR="001A3322">
        <w:rPr>
          <w:lang w:val="en-US"/>
        </w:rPr>
        <w:t>-</w:t>
      </w:r>
      <w:r w:rsidRPr="008C2996">
        <w:rPr>
          <w:lang w:val="en-US"/>
        </w:rPr>
        <w:t xml:space="preserve">calls </w:t>
      </w:r>
      <w:r>
        <w:rPr>
          <w:lang w:val="en-US"/>
        </w:rPr>
        <w:t>occurred over a 23 day period from early</w:t>
      </w:r>
      <w:r w:rsidRPr="008C2996">
        <w:rPr>
          <w:lang w:val="en-US"/>
        </w:rPr>
        <w:t xml:space="preserve"> June 2014 </w:t>
      </w:r>
      <w:r>
        <w:rPr>
          <w:lang w:val="en-US"/>
        </w:rPr>
        <w:t>to early</w:t>
      </w:r>
      <w:r w:rsidRPr="008C2996">
        <w:rPr>
          <w:lang w:val="en-US"/>
        </w:rPr>
        <w:t xml:space="preserve"> July 2014. </w:t>
      </w:r>
      <w:r>
        <w:rPr>
          <w:lang w:val="en-US"/>
        </w:rPr>
        <w:t>T</w:t>
      </w:r>
      <w:r w:rsidRPr="008C2996">
        <w:rPr>
          <w:lang w:val="en-US"/>
        </w:rPr>
        <w:t>elephone contact was achieved with 3</w:t>
      </w:r>
      <w:r>
        <w:rPr>
          <w:lang w:val="en-US"/>
        </w:rPr>
        <w:t>,</w:t>
      </w:r>
      <w:r w:rsidRPr="008C2996">
        <w:rPr>
          <w:lang w:val="en-US"/>
        </w:rPr>
        <w:t>415 cases</w:t>
      </w:r>
      <w:r>
        <w:rPr>
          <w:lang w:val="en-US"/>
        </w:rPr>
        <w:t xml:space="preserve"> (5,060 cases in total)</w:t>
      </w:r>
      <w:r w:rsidRPr="008C2996">
        <w:rPr>
          <w:lang w:val="en-US"/>
        </w:rPr>
        <w:t>. Of these 3</w:t>
      </w:r>
      <w:r>
        <w:rPr>
          <w:lang w:val="en-US"/>
        </w:rPr>
        <w:t>,</w:t>
      </w:r>
      <w:r w:rsidRPr="008C2996">
        <w:rPr>
          <w:lang w:val="en-US"/>
        </w:rPr>
        <w:t xml:space="preserve">415 </w:t>
      </w:r>
      <w:r>
        <w:rPr>
          <w:lang w:val="en-US"/>
        </w:rPr>
        <w:t xml:space="preserve">cases </w:t>
      </w:r>
      <w:r w:rsidRPr="008C2996">
        <w:rPr>
          <w:lang w:val="en-US"/>
        </w:rPr>
        <w:t>that completed the pre</w:t>
      </w:r>
      <w:r w:rsidR="001A3322">
        <w:rPr>
          <w:lang w:val="en-US"/>
        </w:rPr>
        <w:t>-</w:t>
      </w:r>
      <w:r w:rsidRPr="008C2996">
        <w:rPr>
          <w:lang w:val="en-US"/>
        </w:rPr>
        <w:t xml:space="preserve">call </w:t>
      </w:r>
      <w:r>
        <w:rPr>
          <w:lang w:val="en-US"/>
        </w:rPr>
        <w:t>questions</w:t>
      </w:r>
      <w:r w:rsidRPr="008C2996">
        <w:rPr>
          <w:lang w:val="en-US"/>
        </w:rPr>
        <w:t>, 2</w:t>
      </w:r>
      <w:r>
        <w:rPr>
          <w:lang w:val="en-US"/>
        </w:rPr>
        <w:t>,</w:t>
      </w:r>
      <w:r w:rsidRPr="008C2996">
        <w:rPr>
          <w:lang w:val="en-US"/>
        </w:rPr>
        <w:t xml:space="preserve">996 indicated that they were eligible </w:t>
      </w:r>
      <w:r>
        <w:rPr>
          <w:lang w:val="en-US"/>
        </w:rPr>
        <w:t>to participate in the full survey</w:t>
      </w:r>
      <w:r w:rsidRPr="008C2996">
        <w:rPr>
          <w:lang w:val="en-US"/>
        </w:rPr>
        <w:t>. These were the cases taken forward to the mainstage fieldwork</w:t>
      </w:r>
      <w:r>
        <w:rPr>
          <w:lang w:eastAsia="en-GB"/>
        </w:rPr>
        <w:t>, where</w:t>
      </w:r>
      <w:r w:rsidRPr="00452001">
        <w:rPr>
          <w:lang w:eastAsia="en-GB"/>
        </w:rPr>
        <w:t xml:space="preserve"> three different questionnaire types</w:t>
      </w:r>
      <w:r>
        <w:rPr>
          <w:lang w:eastAsia="en-GB"/>
        </w:rPr>
        <w:t xml:space="preserve"> were sent out</w:t>
      </w:r>
      <w:r w:rsidRPr="00452001">
        <w:rPr>
          <w:lang w:eastAsia="en-GB"/>
        </w:rPr>
        <w:t xml:space="preserve">. They were essentially the same as those used for the pilot, with several small changes around wording and dates. </w:t>
      </w:r>
    </w:p>
    <w:p w:rsidR="0078325B" w:rsidRDefault="0078325B" w:rsidP="00AE4C3A">
      <w:pPr>
        <w:rPr>
          <w:lang w:eastAsia="en-GB"/>
        </w:rPr>
      </w:pPr>
    </w:p>
    <w:p w:rsidR="00685BE5" w:rsidRDefault="00685BE5" w:rsidP="00AE4C3A">
      <w:r>
        <w:t xml:space="preserve">The three mainstage questionnaires were designed for: </w:t>
      </w:r>
    </w:p>
    <w:p w:rsidR="001A6B65" w:rsidRDefault="001A6B65" w:rsidP="00AE4C3A"/>
    <w:p w:rsidR="00685BE5" w:rsidRDefault="00685BE5" w:rsidP="00AF5E38">
      <w:pPr>
        <w:pStyle w:val="Bullets"/>
        <w:numPr>
          <w:ilvl w:val="0"/>
          <w:numId w:val="18"/>
        </w:numPr>
        <w:spacing w:before="0"/>
      </w:pPr>
      <w:r>
        <w:t>DSP outlet managers</w:t>
      </w:r>
    </w:p>
    <w:p w:rsidR="00685BE5" w:rsidRDefault="00685BE5" w:rsidP="00AF5E38">
      <w:pPr>
        <w:pStyle w:val="Bullets"/>
        <w:numPr>
          <w:ilvl w:val="0"/>
          <w:numId w:val="18"/>
        </w:numPr>
        <w:spacing w:before="0"/>
      </w:pPr>
      <w:r>
        <w:t>DSP outlet employees within those outlets</w:t>
      </w:r>
    </w:p>
    <w:p w:rsidR="00685BE5" w:rsidRDefault="006D282F" w:rsidP="00AF5E38">
      <w:pPr>
        <w:pStyle w:val="Bullets"/>
        <w:numPr>
          <w:ilvl w:val="0"/>
          <w:numId w:val="18"/>
        </w:numPr>
        <w:spacing w:before="0"/>
      </w:pPr>
      <w:r>
        <w:t>self-employed DSP</w:t>
      </w:r>
    </w:p>
    <w:p w:rsidR="00685BE5" w:rsidRDefault="00685BE5" w:rsidP="00AE4C3A">
      <w:r>
        <w:lastRenderedPageBreak/>
        <w:t>The DSP outlet direct care employees were sampled within their establishments and each outlet was sent a variable number of employee questionnaires, depending on the pre</w:t>
      </w:r>
      <w:r w:rsidR="00F52A2D">
        <w:t>-</w:t>
      </w:r>
      <w:r>
        <w:t xml:space="preserve">call stage information collected about establishment size. An NDIS Evaluation information sheet was included in each survey pack. </w:t>
      </w:r>
    </w:p>
    <w:p w:rsidR="0078325B" w:rsidRDefault="0078325B" w:rsidP="00AE4C3A"/>
    <w:p w:rsidR="00685BE5" w:rsidRDefault="00685BE5" w:rsidP="00AE4C3A">
      <w:r w:rsidRPr="00DA10C7">
        <w:t>A series of survey materials were created to complement the questionnaires</w:t>
      </w:r>
      <w:r>
        <w:t>, similar to those in the pilot phase</w:t>
      </w:r>
      <w:r w:rsidRPr="00DA10C7">
        <w:t>.</w:t>
      </w:r>
      <w:r>
        <w:t xml:space="preserve"> </w:t>
      </w:r>
      <w:r w:rsidRPr="00DA10C7">
        <w:t xml:space="preserve">These materials were collated </w:t>
      </w:r>
      <w:r>
        <w:t xml:space="preserve">for DSP outlets </w:t>
      </w:r>
      <w:r w:rsidRPr="00DA10C7">
        <w:t xml:space="preserve">with one questionnaire per service (e.g. 1 x Specialist Outlet) and </w:t>
      </w:r>
      <w:r>
        <w:t>a set of</w:t>
      </w:r>
      <w:r w:rsidRPr="00DA10C7">
        <w:t xml:space="preserve"> </w:t>
      </w:r>
      <w:r>
        <w:t>outlet e</w:t>
      </w:r>
      <w:r w:rsidRPr="00DA10C7">
        <w:t>mployee questionnaires</w:t>
      </w:r>
      <w:r>
        <w:t>,</w:t>
      </w:r>
      <w:r w:rsidRPr="00DA10C7">
        <w:t xml:space="preserve"> and inserted into a questionnaire pack for mail distribution.</w:t>
      </w:r>
      <w:r>
        <w:t xml:space="preserve"> The number of outlet employee</w:t>
      </w:r>
      <w:r w:rsidRPr="00DA10C7">
        <w:t xml:space="preserve"> questionnaires </w:t>
      </w:r>
      <w:r>
        <w:t>was determined by reference to the employee size of the firm gathered in the pre</w:t>
      </w:r>
      <w:r w:rsidR="006D282F">
        <w:t>-</w:t>
      </w:r>
      <w:r>
        <w:t>call stage. As in the pilot phase, q</w:t>
      </w:r>
      <w:r w:rsidRPr="00DA10C7">
        <w:t>uestionnaires were supplied in hardcopy by mail to the sample list and were available for completion in hardcopy format and online.</w:t>
      </w:r>
    </w:p>
    <w:p w:rsidR="0078325B" w:rsidRDefault="0078325B" w:rsidP="00AE4C3A"/>
    <w:p w:rsidR="00685BE5" w:rsidRDefault="00685BE5" w:rsidP="00AE4C3A">
      <w:r w:rsidRPr="008C2996">
        <w:t xml:space="preserve">The sample list provided to </w:t>
      </w:r>
      <w:r>
        <w:t xml:space="preserve">the survey company </w:t>
      </w:r>
      <w:r w:rsidRPr="008C2996">
        <w:t>I-</w:t>
      </w:r>
      <w:r>
        <w:t>v</w:t>
      </w:r>
      <w:r w:rsidRPr="008C2996">
        <w:t xml:space="preserve">iew for the </w:t>
      </w:r>
      <w:r>
        <w:t xml:space="preserve">mainstage </w:t>
      </w:r>
      <w:r w:rsidRPr="008C2996">
        <w:t xml:space="preserve">mail out </w:t>
      </w:r>
      <w:r>
        <w:t xml:space="preserve">contained 2,996 cases. Duplicate cases and those for which no separate outlet mailing address was available were then removed. The final sample consisted of </w:t>
      </w:r>
      <w:r w:rsidRPr="008C2996">
        <w:t>2</w:t>
      </w:r>
      <w:r>
        <w:t>,</w:t>
      </w:r>
      <w:r w:rsidRPr="008C2996">
        <w:t>323 DSP outlets with 11</w:t>
      </w:r>
      <w:r>
        <w:t>,</w:t>
      </w:r>
      <w:r w:rsidRPr="008C2996">
        <w:t xml:space="preserve">299 associated employee surveys, </w:t>
      </w:r>
      <w:r>
        <w:t xml:space="preserve">and </w:t>
      </w:r>
      <w:r w:rsidRPr="008C2996">
        <w:t xml:space="preserve">495 self-employed DSP. </w:t>
      </w:r>
    </w:p>
    <w:p w:rsidR="0078325B" w:rsidRDefault="0078325B" w:rsidP="00AE4C3A"/>
    <w:p w:rsidR="00685BE5" w:rsidRDefault="00685BE5" w:rsidP="00AE4C3A">
      <w:pPr>
        <w:rPr>
          <w:lang w:val="en-US"/>
        </w:rPr>
      </w:pPr>
      <w:r w:rsidRPr="008C2996">
        <w:t xml:space="preserve">Fieldwork started </w:t>
      </w:r>
      <w:r>
        <w:t>in</w:t>
      </w:r>
      <w:r w:rsidRPr="008C2996">
        <w:t xml:space="preserve"> August 2014</w:t>
      </w:r>
      <w:r>
        <w:t xml:space="preserve"> and was completed at the end of May 2015.</w:t>
      </w:r>
      <w:r w:rsidRPr="008C2996">
        <w:t xml:space="preserve"> </w:t>
      </w:r>
      <w:r w:rsidRPr="008C2996">
        <w:rPr>
          <w:bCs/>
          <w:lang w:val="en-US"/>
        </w:rPr>
        <w:t xml:space="preserve">During </w:t>
      </w:r>
      <w:r>
        <w:rPr>
          <w:bCs/>
          <w:lang w:val="en-US"/>
        </w:rPr>
        <w:t xml:space="preserve">the </w:t>
      </w:r>
      <w:r w:rsidRPr="008C2996">
        <w:rPr>
          <w:bCs/>
          <w:lang w:val="en-US"/>
        </w:rPr>
        <w:t>fieldwork</w:t>
      </w:r>
      <w:r>
        <w:rPr>
          <w:bCs/>
          <w:lang w:val="en-US"/>
        </w:rPr>
        <w:t>,</w:t>
      </w:r>
      <w:r w:rsidRPr="008C2996">
        <w:rPr>
          <w:bCs/>
          <w:lang w:val="en-US"/>
        </w:rPr>
        <w:t xml:space="preserve"> inquiries were received from </w:t>
      </w:r>
      <w:r>
        <w:rPr>
          <w:bCs/>
          <w:lang w:val="en-US"/>
        </w:rPr>
        <w:t>four outlets and</w:t>
      </w:r>
      <w:r w:rsidRPr="008C2996">
        <w:rPr>
          <w:bCs/>
          <w:lang w:val="en-US"/>
        </w:rPr>
        <w:t xml:space="preserve"> </w:t>
      </w:r>
      <w:r>
        <w:rPr>
          <w:bCs/>
          <w:lang w:val="en-US"/>
        </w:rPr>
        <w:t>seven s</w:t>
      </w:r>
      <w:r w:rsidRPr="008C2996">
        <w:rPr>
          <w:bCs/>
          <w:lang w:val="en-US"/>
        </w:rPr>
        <w:t>elf-</w:t>
      </w:r>
      <w:r>
        <w:rPr>
          <w:bCs/>
          <w:lang w:val="en-US"/>
        </w:rPr>
        <w:t>e</w:t>
      </w:r>
      <w:r w:rsidRPr="008C2996">
        <w:rPr>
          <w:bCs/>
          <w:lang w:val="en-US"/>
        </w:rPr>
        <w:t>mployed providers that had heard about the study and wanted to take part. Their details were added to the sample list, and information regarding the study was se</w:t>
      </w:r>
      <w:r>
        <w:rPr>
          <w:bCs/>
          <w:lang w:val="en-US"/>
        </w:rPr>
        <w:t>nt to these providers via email</w:t>
      </w:r>
      <w:r>
        <w:rPr>
          <w:lang w:val="en-US"/>
        </w:rPr>
        <w:t>.</w:t>
      </w:r>
    </w:p>
    <w:p w:rsidR="0078325B" w:rsidRDefault="0078325B" w:rsidP="00AE4C3A">
      <w:pPr>
        <w:rPr>
          <w:lang w:val="en-US"/>
        </w:rPr>
      </w:pPr>
    </w:p>
    <w:p w:rsidR="00685BE5" w:rsidRDefault="00685BE5" w:rsidP="00AE4C3A">
      <w:pPr>
        <w:rPr>
          <w:bCs/>
        </w:rPr>
      </w:pPr>
      <w:r w:rsidRPr="001A0893">
        <w:t xml:space="preserve">A 1800 Helpline was hosted </w:t>
      </w:r>
      <w:r>
        <w:t xml:space="preserve">by I-view </w:t>
      </w:r>
      <w:r w:rsidRPr="001A0893">
        <w:t xml:space="preserve">during fieldwork. Respondents were asked to call the helpline if they had any questions regarding the </w:t>
      </w:r>
      <w:r>
        <w:t>surveys</w:t>
      </w:r>
      <w:r w:rsidRPr="001A0893">
        <w:t xml:space="preserve">. Throughout </w:t>
      </w:r>
      <w:r>
        <w:t xml:space="preserve">the </w:t>
      </w:r>
      <w:r w:rsidRPr="001A0893">
        <w:t xml:space="preserve">fieldwork a total of 311 voice messages </w:t>
      </w:r>
      <w:r>
        <w:t xml:space="preserve">were </w:t>
      </w:r>
      <w:r w:rsidRPr="001A0893">
        <w:t>left</w:t>
      </w:r>
      <w:r>
        <w:t xml:space="preserve"> by outlets and </w:t>
      </w:r>
      <w:r w:rsidRPr="001A0893">
        <w:t xml:space="preserve">call backs were made to </w:t>
      </w:r>
      <w:r>
        <w:t xml:space="preserve">each of these. </w:t>
      </w:r>
      <w:r w:rsidRPr="001A0893">
        <w:rPr>
          <w:bCs/>
        </w:rPr>
        <w:t>A small number of calls (4) were also made directly to Flinders University’s Ethics helpline instead of the 1800 Helpline</w:t>
      </w:r>
      <w:r>
        <w:rPr>
          <w:bCs/>
        </w:rPr>
        <w:t>; these were mostly about ethics issues and were dealt with appropriately on a case-by-case basis</w:t>
      </w:r>
      <w:r w:rsidRPr="001A0893">
        <w:rPr>
          <w:bCs/>
        </w:rPr>
        <w:t>.</w:t>
      </w:r>
    </w:p>
    <w:p w:rsidR="0078325B" w:rsidRDefault="0078325B"/>
    <w:p w:rsidR="00685BE5" w:rsidRDefault="00685BE5">
      <w:r w:rsidRPr="001A0893">
        <w:t xml:space="preserve">Reminder calls </w:t>
      </w:r>
      <w:r>
        <w:t xml:space="preserve">were made to 1,712 outlets, </w:t>
      </w:r>
      <w:r w:rsidRPr="001A0893">
        <w:t>start</w:t>
      </w:r>
      <w:r>
        <w:t>ing</w:t>
      </w:r>
      <w:r w:rsidRPr="001A0893">
        <w:t xml:space="preserve"> </w:t>
      </w:r>
      <w:r>
        <w:t>in early September</w:t>
      </w:r>
      <w:r w:rsidRPr="001A0893">
        <w:t xml:space="preserve"> 2014. These calls were made to encourage those as yet non-responding organisations to complete and return their questionnaires. During </w:t>
      </w:r>
      <w:r>
        <w:t>these</w:t>
      </w:r>
      <w:r w:rsidRPr="001A0893">
        <w:t xml:space="preserve"> reminder calls email addresses were collected</w:t>
      </w:r>
      <w:r>
        <w:t xml:space="preserve"> and reminder emails were sent subsequently,</w:t>
      </w:r>
      <w:r w:rsidRPr="001A0893">
        <w:t xml:space="preserve"> contain</w:t>
      </w:r>
      <w:r>
        <w:t>ing</w:t>
      </w:r>
      <w:r w:rsidRPr="001A0893">
        <w:t xml:space="preserve"> information on the project, how to participate, the link to the survey</w:t>
      </w:r>
      <w:r>
        <w:t>,</w:t>
      </w:r>
      <w:r w:rsidRPr="001A0893">
        <w:t xml:space="preserve"> and their corresponding usernames and passwords to access the unique questionnaire.</w:t>
      </w:r>
    </w:p>
    <w:p w:rsidR="0078325B" w:rsidRDefault="0078325B" w:rsidP="00AE4C3A"/>
    <w:p w:rsidR="00685BE5" w:rsidRDefault="00685BE5" w:rsidP="00AE4C3A">
      <w:r w:rsidRPr="001A0893">
        <w:t>Towards the end of the reminder call period it was de</w:t>
      </w:r>
      <w:r>
        <w:t>cided</w:t>
      </w:r>
      <w:r w:rsidRPr="001A0893">
        <w:t xml:space="preserve"> that further contact should be made with the </w:t>
      </w:r>
      <w:r>
        <w:t>DSP</w:t>
      </w:r>
      <w:r w:rsidRPr="001A0893">
        <w:t xml:space="preserve"> </w:t>
      </w:r>
      <w:r>
        <w:t>o</w:t>
      </w:r>
      <w:r w:rsidRPr="001A0893">
        <w:t xml:space="preserve">utlets and </w:t>
      </w:r>
      <w:r>
        <w:t>s</w:t>
      </w:r>
      <w:r w:rsidRPr="001A0893">
        <w:t>elf</w:t>
      </w:r>
      <w:r>
        <w:t>-e</w:t>
      </w:r>
      <w:r w:rsidRPr="001A0893">
        <w:t>mployed</w:t>
      </w:r>
      <w:r>
        <w:t xml:space="preserve"> DSP</w:t>
      </w:r>
      <w:r w:rsidRPr="001A0893">
        <w:t xml:space="preserve">. These calls started in early January 2015 and continued </w:t>
      </w:r>
      <w:r>
        <w:t>until</w:t>
      </w:r>
      <w:r w:rsidRPr="001A0893">
        <w:t xml:space="preserve"> </w:t>
      </w:r>
      <w:r>
        <w:t xml:space="preserve">the </w:t>
      </w:r>
      <w:r w:rsidRPr="001A0893">
        <w:t>end of May 2015.</w:t>
      </w:r>
    </w:p>
    <w:p w:rsidR="0078325B" w:rsidRDefault="0078325B" w:rsidP="00AE4C3A"/>
    <w:p w:rsidR="00685BE5" w:rsidRPr="008C2996" w:rsidRDefault="00685BE5" w:rsidP="00AE4C3A">
      <w:pPr>
        <w:rPr>
          <w:lang w:val="en-US"/>
        </w:rPr>
      </w:pPr>
      <w:r w:rsidRPr="001A0893">
        <w:t>T</w:t>
      </w:r>
      <w:r>
        <w:t>he t</w:t>
      </w:r>
      <w:r w:rsidRPr="001A0893">
        <w:t xml:space="preserve">hree </w:t>
      </w:r>
      <w:r>
        <w:t xml:space="preserve">survey </w:t>
      </w:r>
      <w:r w:rsidRPr="001A0893">
        <w:t>groups were targeted with further reminder calls to gather updated information on questionnaire completion status and to encourage them to take part. The plan for further targeted follow</w:t>
      </w:r>
      <w:r>
        <w:t>-</w:t>
      </w:r>
      <w:r w:rsidRPr="001A0893">
        <w:t>up activities was devised based on the response patterns in the December 2014 data, and implemented from early January 2015. This involved making and prioritising telephone calls to providers based on which of the partial</w:t>
      </w:r>
      <w:r>
        <w:t xml:space="preserve"> </w:t>
      </w:r>
      <w:r w:rsidRPr="001A0893">
        <w:t>response/non-response categories they belonged to</w:t>
      </w:r>
      <w:r>
        <w:t xml:space="preserve"> in the December 2014 data</w:t>
      </w:r>
      <w:r w:rsidRPr="001A0893">
        <w:t>. These targeted calls produced</w:t>
      </w:r>
      <w:r>
        <w:t xml:space="preserve"> improvements in response rates.</w:t>
      </w:r>
    </w:p>
    <w:p w:rsidR="0078325B" w:rsidRDefault="0078325B" w:rsidP="00AE4C3A"/>
    <w:p w:rsidR="00685BE5" w:rsidRDefault="00685BE5" w:rsidP="00AE4C3A">
      <w:r w:rsidRPr="008C2996">
        <w:t xml:space="preserve">The fieldwork period produced responses which cover approximately 40 weeks/ten and half months of the 2014/15 financial year. </w:t>
      </w:r>
      <w:r>
        <w:t>In total, there were 697 responses from DSP outlets, 2,133 responses from</w:t>
      </w:r>
      <w:r w:rsidRPr="008C2996">
        <w:t xml:space="preserve"> </w:t>
      </w:r>
      <w:r>
        <w:t xml:space="preserve">employees and 272 from self-employed providers. </w:t>
      </w:r>
      <w:r w:rsidRPr="001A0893">
        <w:t xml:space="preserve">The response rates when the survey was closed were: DSP outlets </w:t>
      </w:r>
      <w:r>
        <w:t xml:space="preserve">- </w:t>
      </w:r>
      <w:r w:rsidRPr="001A0893">
        <w:t>30 per cent</w:t>
      </w:r>
      <w:r>
        <w:t xml:space="preserve"> from 2,323 invited to participate</w:t>
      </w:r>
      <w:r w:rsidRPr="001A0893">
        <w:t xml:space="preserve">; employees </w:t>
      </w:r>
      <w:r>
        <w:t>of s</w:t>
      </w:r>
      <w:r w:rsidR="00FB089D">
        <w:t xml:space="preserve">pecialist </w:t>
      </w:r>
      <w:r w:rsidRPr="001A0893">
        <w:t xml:space="preserve">DSP outlets </w:t>
      </w:r>
      <w:r>
        <w:t xml:space="preserve">- </w:t>
      </w:r>
      <w:r w:rsidRPr="001A0893">
        <w:t>18 per cent</w:t>
      </w:r>
      <w:r w:rsidRPr="00850DF4">
        <w:t xml:space="preserve"> </w:t>
      </w:r>
      <w:r>
        <w:t>from 11,299 invited to participate</w:t>
      </w:r>
      <w:r w:rsidRPr="001A0893">
        <w:t xml:space="preserve">; </w:t>
      </w:r>
      <w:r>
        <w:t>self-employed DSP - 54 per cent</w:t>
      </w:r>
      <w:r w:rsidRPr="00850DF4">
        <w:t xml:space="preserve"> </w:t>
      </w:r>
      <w:r>
        <w:t xml:space="preserve">from 495 invited to participate. </w:t>
      </w:r>
    </w:p>
    <w:p w:rsidR="00685BE5" w:rsidRPr="0038493C" w:rsidRDefault="00685BE5" w:rsidP="00367B24">
      <w:pPr>
        <w:pStyle w:val="Heading3"/>
      </w:pPr>
      <w:bookmarkStart w:id="478" w:name="_Toc425326589"/>
      <w:bookmarkStart w:id="479" w:name="_Toc428279183"/>
      <w:bookmarkStart w:id="480" w:name="_Toc449955031"/>
      <w:r>
        <w:lastRenderedPageBreak/>
        <w:t>4.1.3 T</w:t>
      </w:r>
      <w:r w:rsidRPr="0038493C">
        <w:t xml:space="preserve">he </w:t>
      </w:r>
      <w:r w:rsidRPr="00BC66B6">
        <w:t>achieved</w:t>
      </w:r>
      <w:r w:rsidRPr="0038493C">
        <w:t xml:space="preserve"> sample</w:t>
      </w:r>
      <w:bookmarkEnd w:id="478"/>
      <w:bookmarkEnd w:id="479"/>
      <w:bookmarkEnd w:id="480"/>
    </w:p>
    <w:p w:rsidR="00685BE5" w:rsidRDefault="00685BE5" w:rsidP="00AE4C3A">
      <w:pPr>
        <w:rPr>
          <w:rFonts w:asciiTheme="majorHAnsi" w:eastAsiaTheme="majorEastAsia" w:hAnsiTheme="majorHAnsi" w:cstheme="majorBidi"/>
          <w:b/>
          <w:bCs/>
          <w:sz w:val="26"/>
          <w:szCs w:val="26"/>
        </w:rPr>
      </w:pPr>
      <w:r w:rsidRPr="00BC7390">
        <w:t xml:space="preserve">In order to </w:t>
      </w:r>
      <w:r>
        <w:t>check</w:t>
      </w:r>
      <w:r w:rsidRPr="00BC7390">
        <w:t xml:space="preserve"> the profile of the achieved sample </w:t>
      </w:r>
      <w:r>
        <w:t>compared</w:t>
      </w:r>
      <w:r w:rsidRPr="00BC7390">
        <w:t xml:space="preserve"> to that of the sample list from which it was developed, </w:t>
      </w:r>
      <w:r>
        <w:t>analysis</w:t>
      </w:r>
      <w:r w:rsidRPr="00BC7390">
        <w:t xml:space="preserve"> on outlet size was </w:t>
      </w:r>
      <w:r>
        <w:t>undertaken</w:t>
      </w:r>
      <w:r w:rsidRPr="00BC7390">
        <w:t xml:space="preserve"> for the outlet survey and the outlet</w:t>
      </w:r>
      <w:r>
        <w:t xml:space="preserve"> </w:t>
      </w:r>
      <w:r w:rsidRPr="00BC7390">
        <w:t>employee survey.</w:t>
      </w:r>
      <w:r>
        <w:t xml:space="preserve"> </w:t>
      </w:r>
      <w:r w:rsidRPr="00BC7390">
        <w:t xml:space="preserve">It was not possible to </w:t>
      </w:r>
      <w:r>
        <w:t>do</w:t>
      </w:r>
      <w:r w:rsidRPr="00BC7390">
        <w:t xml:space="preserve"> comparable </w:t>
      </w:r>
      <w:r>
        <w:t>analysis</w:t>
      </w:r>
      <w:r w:rsidRPr="00BC7390">
        <w:t xml:space="preserve"> for the self-employed </w:t>
      </w:r>
      <w:r>
        <w:t xml:space="preserve">providers since </w:t>
      </w:r>
      <w:r w:rsidRPr="00BC7390">
        <w:t xml:space="preserve">no size information </w:t>
      </w:r>
      <w:r>
        <w:t xml:space="preserve">had been </w:t>
      </w:r>
      <w:r w:rsidRPr="00BC7390">
        <w:t xml:space="preserve">collected. </w:t>
      </w:r>
      <w:r>
        <w:t xml:space="preserve">The respondents matched closely the sample from which they were derived, on the characteristics for which comparison was possible. </w:t>
      </w:r>
    </w:p>
    <w:p w:rsidR="0078325B" w:rsidRDefault="0078325B">
      <w:pPr>
        <w:rPr>
          <w:rFonts w:eastAsia="Times" w:cstheme="minorHAnsi"/>
          <w:b/>
          <w:kern w:val="32"/>
          <w:sz w:val="26"/>
          <w:szCs w:val="24"/>
          <w:lang w:val="en-AU" w:eastAsia="zh-CN"/>
        </w:rPr>
      </w:pPr>
      <w:bookmarkStart w:id="481" w:name="_Toc428279184"/>
    </w:p>
    <w:p w:rsidR="00685BE5" w:rsidRDefault="00685BE5" w:rsidP="00EC2C19">
      <w:pPr>
        <w:pStyle w:val="Heading2"/>
      </w:pPr>
      <w:bookmarkStart w:id="482" w:name="_Toc449955032"/>
      <w:r>
        <w:t xml:space="preserve">4.2 </w:t>
      </w:r>
      <w:r w:rsidRPr="006B1072">
        <w:t xml:space="preserve">Initial </w:t>
      </w:r>
      <w:r w:rsidRPr="005509AD">
        <w:t>findings</w:t>
      </w:r>
      <w:r>
        <w:t xml:space="preserve"> for DSP outlets</w:t>
      </w:r>
      <w:bookmarkEnd w:id="481"/>
      <w:bookmarkEnd w:id="482"/>
    </w:p>
    <w:p w:rsidR="00685BE5" w:rsidRPr="00AD12EB" w:rsidRDefault="00685BE5" w:rsidP="00AE4C3A">
      <w:r w:rsidRPr="009A04BD">
        <w:t xml:space="preserve">In this </w:t>
      </w:r>
      <w:r>
        <w:t>section</w:t>
      </w:r>
      <w:r w:rsidRPr="009A04BD">
        <w:t xml:space="preserve"> we provide an overview</w:t>
      </w:r>
      <w:r w:rsidRPr="00AD12EB">
        <w:t xml:space="preserve"> </w:t>
      </w:r>
      <w:r>
        <w:t>of where outlets were located, how they were structured, what disability services they delivered and to which age groups, their recruitment needs and strategies, and their use of non-PAYG workers and volunteers in delivering disability services. Surveys were sent to 2,323 DSP outlets and valid responses were received from 30 per cent or 697 from 2,323 invited to participate. The respondents matched closely the sample from which they were derived, on the characteristics for which comparison was possible.</w:t>
      </w:r>
    </w:p>
    <w:p w:rsidR="00685BE5" w:rsidRPr="009A04BD" w:rsidRDefault="00685BE5" w:rsidP="00EC2C19">
      <w:pPr>
        <w:pStyle w:val="Heading3"/>
      </w:pPr>
      <w:bookmarkStart w:id="483" w:name="_Toc428279185"/>
      <w:bookmarkStart w:id="484" w:name="_Toc449955033"/>
      <w:r w:rsidRPr="009A04BD">
        <w:t xml:space="preserve">4.2.1 A profile of </w:t>
      </w:r>
      <w:r>
        <w:t>DSP o</w:t>
      </w:r>
      <w:r w:rsidRPr="009A04BD">
        <w:t>utlets</w:t>
      </w:r>
      <w:bookmarkEnd w:id="483"/>
      <w:bookmarkEnd w:id="484"/>
    </w:p>
    <w:p w:rsidR="00685BE5" w:rsidRDefault="00685BE5" w:rsidP="00AE4C3A">
      <w:r>
        <w:t xml:space="preserve">Table 4.1 shows the profile of State/Territory location of outlets, ownership type and the associated number of employees in these outlets. A total of 47,913 employees were reported by the 678 outlets following a headcount of PAYG employees on their payroll records. </w:t>
      </w:r>
    </w:p>
    <w:p w:rsidR="0078325B" w:rsidRDefault="0078325B" w:rsidP="00AE4C3A"/>
    <w:p w:rsidR="00685BE5" w:rsidRDefault="00685BE5" w:rsidP="00AE4C3A">
      <w:r>
        <w:t xml:space="preserve">Among respondents, the rank order of number of outlets in each jurisdiction matched their rank order by population size (and, hence, the expected size of people with disability populations). The jurisdictions with the highest number of outlets providing disability supports were, in decreasing order, New South Wales, Victoria, Queensland, South Australia, Tasmania and the Australian Capital Territory. </w:t>
      </w:r>
    </w:p>
    <w:p w:rsidR="0078325B" w:rsidRDefault="0078325B" w:rsidP="00AE4C3A"/>
    <w:p w:rsidR="00685BE5" w:rsidRDefault="00685BE5" w:rsidP="00AE4C3A">
      <w:r>
        <w:t>The same cannot be said for the number of employees. The rank order for total number of PAYG employees by jurisdiction was Victoria, South Australia, New South Wales, Queensland, Tasmania and the Australian Capital Territory. The average number of employees per outlet varied from a high of 131 (</w:t>
      </w:r>
      <w:r w:rsidRPr="000B15CB">
        <w:t>11</w:t>
      </w:r>
      <w:r>
        <w:t>,</w:t>
      </w:r>
      <w:r w:rsidRPr="000B15CB">
        <w:t>534</w:t>
      </w:r>
      <w:r>
        <w:t>/88) in South Australia to a low of 41 (</w:t>
      </w:r>
      <w:r w:rsidRPr="000B15CB">
        <w:rPr>
          <w:rFonts w:ascii="Calibri" w:eastAsia="Times New Roman" w:hAnsi="Calibri" w:cs="Calibri"/>
          <w:color w:val="000000"/>
          <w:lang w:eastAsia="en-AU"/>
        </w:rPr>
        <w:t>8</w:t>
      </w:r>
      <w:r>
        <w:rPr>
          <w:rFonts w:ascii="Calibri" w:eastAsia="Times New Roman" w:hAnsi="Calibri" w:cs="Calibri"/>
          <w:color w:val="000000"/>
          <w:lang w:eastAsia="en-AU"/>
        </w:rPr>
        <w:t>,</w:t>
      </w:r>
      <w:r w:rsidRPr="000B15CB">
        <w:rPr>
          <w:rFonts w:ascii="Calibri" w:eastAsia="Times New Roman" w:hAnsi="Calibri" w:cs="Calibri"/>
          <w:color w:val="000000"/>
          <w:lang w:eastAsia="en-AU"/>
        </w:rPr>
        <w:t>520</w:t>
      </w:r>
      <w:r>
        <w:t xml:space="preserve">/210) in New South Wales. While the average number of employees per outlet was low in New South Wales taken as a whole, it was higher (1,776/29=61) in the Hunter region NDIS trial site. </w:t>
      </w:r>
    </w:p>
    <w:p w:rsidR="0078325B" w:rsidRDefault="0078325B" w:rsidP="00AE4C3A"/>
    <w:p w:rsidR="00685BE5" w:rsidRDefault="00685BE5" w:rsidP="00AE4C3A">
      <w:r>
        <w:t xml:space="preserve">The outlet type is also shown in Table 4.1, and the most common form of outlet type was not for profit or charitable (75 per cent). Most disability service employees (72 per cent) were also found in not for profit or charitable entities. While the fewest outlets were public (8 per cent) these accounted for a higher proportion of workers (20 per cent) than would be anticipated by their number. </w:t>
      </w:r>
    </w:p>
    <w:p w:rsidR="0078325B" w:rsidRDefault="0078325B" w:rsidP="00AE4C3A">
      <w:pPr>
        <w:rPr>
          <w:rFonts w:ascii="Calibri" w:eastAsia="SimHei" w:hAnsi="Calibri" w:cs="Times New Roman"/>
          <w:lang w:val="en-US"/>
        </w:rPr>
      </w:pPr>
    </w:p>
    <w:p w:rsidR="00685BE5" w:rsidRDefault="00685BE5" w:rsidP="00AE4C3A">
      <w:pPr>
        <w:rPr>
          <w:rFonts w:ascii="Calibri" w:eastAsia="SimHei" w:hAnsi="Calibri" w:cs="Times New Roman"/>
          <w:lang w:val="en-US"/>
        </w:rPr>
      </w:pPr>
      <w:r w:rsidRPr="00F158BF">
        <w:rPr>
          <w:rFonts w:ascii="Calibri" w:eastAsia="SimHei" w:hAnsi="Calibri" w:cs="Times New Roman"/>
          <w:lang w:val="en-US"/>
        </w:rPr>
        <w:t xml:space="preserve">This table also shows that slightly under one third of the surveyed </w:t>
      </w:r>
      <w:r>
        <w:rPr>
          <w:rFonts w:ascii="Calibri" w:eastAsia="SimHei" w:hAnsi="Calibri" w:cs="Times New Roman"/>
          <w:lang w:val="en-US"/>
        </w:rPr>
        <w:t xml:space="preserve">disability support </w:t>
      </w:r>
      <w:r w:rsidRPr="00F158BF">
        <w:rPr>
          <w:rFonts w:ascii="Calibri" w:eastAsia="SimHei" w:hAnsi="Calibri" w:cs="Times New Roman"/>
          <w:lang w:val="en-US"/>
        </w:rPr>
        <w:t>provider</w:t>
      </w:r>
      <w:r>
        <w:rPr>
          <w:rFonts w:ascii="Calibri" w:eastAsia="SimHei" w:hAnsi="Calibri" w:cs="Times New Roman"/>
          <w:lang w:val="en-US"/>
        </w:rPr>
        <w:t xml:space="preserve"> outlet</w:t>
      </w:r>
      <w:r w:rsidRPr="00F158BF">
        <w:rPr>
          <w:rFonts w:ascii="Calibri" w:eastAsia="SimHei" w:hAnsi="Calibri" w:cs="Times New Roman"/>
          <w:lang w:val="en-US"/>
        </w:rPr>
        <w:t>s (29 per cent) were servicing NDIS trial areas, which was a very different picture to that found for self-employed providers (See Table 4.44: 43 per cent).</w:t>
      </w:r>
    </w:p>
    <w:p w:rsidR="00685BE5" w:rsidRDefault="00685BE5" w:rsidP="00AE4C3A"/>
    <w:p w:rsidR="00685BE5" w:rsidRDefault="00685BE5">
      <w:pPr>
        <w:rPr>
          <w:b/>
          <w:sz w:val="20"/>
        </w:rPr>
      </w:pPr>
      <w:r>
        <w:br w:type="page"/>
      </w:r>
    </w:p>
    <w:p w:rsidR="00685BE5" w:rsidRPr="003915E3" w:rsidRDefault="00685BE5" w:rsidP="0044684E">
      <w:pPr>
        <w:pStyle w:val="NILSTableHeading"/>
      </w:pPr>
      <w:bookmarkStart w:id="485" w:name="_Toc428279205"/>
      <w:bookmarkStart w:id="486" w:name="_Toc449955334"/>
      <w:r w:rsidRPr="003915E3">
        <w:lastRenderedPageBreak/>
        <w:t xml:space="preserve">Table </w:t>
      </w:r>
      <w:r>
        <w:t>4.</w:t>
      </w:r>
      <w:r w:rsidRPr="003915E3">
        <w:t>1:</w:t>
      </w:r>
      <w:r>
        <w:t xml:space="preserve"> Distribution of outlets and all PAYG </w:t>
      </w:r>
      <w:r w:rsidRPr="003915E3">
        <w:t>employees by State</w:t>
      </w:r>
      <w:r>
        <w:t>/Territory and ownership type</w:t>
      </w:r>
      <w:bookmarkEnd w:id="485"/>
      <w:bookmarkEnd w:id="486"/>
      <w:r w:rsidRPr="003915E3">
        <w:t xml:space="preserve"> </w:t>
      </w:r>
    </w:p>
    <w:tbl>
      <w:tblPr>
        <w:tblW w:w="8472" w:type="dxa"/>
        <w:tblLayout w:type="fixed"/>
        <w:tblLook w:val="0000" w:firstRow="0" w:lastRow="0" w:firstColumn="0" w:lastColumn="0" w:noHBand="0" w:noVBand="0"/>
        <w:tblCaption w:val="Table 4.1 Distribution of outlets and all PAYG employees by State/Territory and ownership type "/>
      </w:tblPr>
      <w:tblGrid>
        <w:gridCol w:w="4219"/>
        <w:gridCol w:w="851"/>
        <w:gridCol w:w="1134"/>
        <w:gridCol w:w="2268"/>
      </w:tblGrid>
      <w:tr w:rsidR="00CF3492" w:rsidRPr="00A415AD" w:rsidTr="00171EB3">
        <w:trPr>
          <w:cantSplit/>
          <w:trHeight w:val="254"/>
          <w:tblHeader/>
        </w:trPr>
        <w:tc>
          <w:tcPr>
            <w:tcW w:w="4219" w:type="dxa"/>
            <w:tcBorders>
              <w:top w:val="single" w:sz="4" w:space="0" w:color="auto"/>
              <w:bottom w:val="single" w:sz="4" w:space="0" w:color="auto"/>
            </w:tcBorders>
            <w:vAlign w:val="center"/>
          </w:tcPr>
          <w:p w:rsidR="00CF3492" w:rsidRPr="001032EF" w:rsidRDefault="00CF3492" w:rsidP="00171EB3">
            <w:pPr>
              <w:spacing w:before="20" w:after="20"/>
              <w:rPr>
                <w:sz w:val="20"/>
                <w:szCs w:val="20"/>
              </w:rPr>
            </w:pPr>
            <w:bookmarkStart w:id="487" w:name="Title_4_1"/>
            <w:bookmarkEnd w:id="487"/>
          </w:p>
        </w:tc>
        <w:tc>
          <w:tcPr>
            <w:tcW w:w="851" w:type="dxa"/>
            <w:tcBorders>
              <w:top w:val="single" w:sz="4" w:space="0" w:color="auto"/>
              <w:bottom w:val="single" w:sz="4" w:space="0" w:color="auto"/>
            </w:tcBorders>
            <w:vAlign w:val="center"/>
          </w:tcPr>
          <w:p w:rsidR="00CF3492" w:rsidRPr="001032EF" w:rsidRDefault="00CF3492" w:rsidP="00171EB3">
            <w:pPr>
              <w:spacing w:before="20" w:after="20"/>
              <w:jc w:val="center"/>
              <w:rPr>
                <w:sz w:val="20"/>
                <w:szCs w:val="20"/>
              </w:rPr>
            </w:pPr>
            <w:r w:rsidRPr="001032EF">
              <w:rPr>
                <w:sz w:val="20"/>
                <w:szCs w:val="20"/>
              </w:rPr>
              <w:t>Total outlets</w:t>
            </w:r>
          </w:p>
        </w:tc>
        <w:tc>
          <w:tcPr>
            <w:tcW w:w="1134" w:type="dxa"/>
            <w:tcBorders>
              <w:top w:val="single" w:sz="4" w:space="0" w:color="auto"/>
              <w:bottom w:val="single" w:sz="4" w:space="0" w:color="auto"/>
            </w:tcBorders>
            <w:vAlign w:val="center"/>
          </w:tcPr>
          <w:p w:rsidR="00CF3492" w:rsidRPr="001032EF" w:rsidRDefault="00CF3492" w:rsidP="00171EB3">
            <w:pPr>
              <w:spacing w:before="20" w:after="20"/>
              <w:jc w:val="center"/>
              <w:rPr>
                <w:sz w:val="20"/>
                <w:szCs w:val="20"/>
              </w:rPr>
            </w:pPr>
            <w:r w:rsidRPr="001032EF">
              <w:rPr>
                <w:sz w:val="20"/>
                <w:szCs w:val="20"/>
              </w:rPr>
              <w:t>Number of employees</w:t>
            </w:r>
          </w:p>
        </w:tc>
        <w:tc>
          <w:tcPr>
            <w:tcW w:w="2268" w:type="dxa"/>
            <w:tcBorders>
              <w:top w:val="single" w:sz="4" w:space="0" w:color="auto"/>
              <w:bottom w:val="single" w:sz="4" w:space="0" w:color="auto"/>
            </w:tcBorders>
            <w:vAlign w:val="center"/>
          </w:tcPr>
          <w:p w:rsidR="00CF3492" w:rsidRPr="001032EF" w:rsidRDefault="00CF3492" w:rsidP="00171EB3">
            <w:pPr>
              <w:spacing w:before="20" w:after="20"/>
              <w:jc w:val="center"/>
              <w:rPr>
                <w:sz w:val="20"/>
                <w:szCs w:val="20"/>
              </w:rPr>
            </w:pPr>
            <w:r w:rsidRPr="001032EF">
              <w:rPr>
                <w:sz w:val="20"/>
                <w:szCs w:val="20"/>
              </w:rPr>
              <w:t>Number of outlets reporting their number of employees</w:t>
            </w:r>
          </w:p>
        </w:tc>
      </w:tr>
      <w:tr w:rsidR="00CF3492" w:rsidRPr="00A415AD" w:rsidTr="004509AC">
        <w:trPr>
          <w:trHeight w:val="254"/>
        </w:trPr>
        <w:tc>
          <w:tcPr>
            <w:tcW w:w="4219" w:type="dxa"/>
            <w:tcBorders>
              <w:top w:val="single" w:sz="4" w:space="0" w:color="auto"/>
            </w:tcBorders>
            <w:vAlign w:val="center"/>
          </w:tcPr>
          <w:p w:rsidR="00CF3492" w:rsidRPr="001032EF" w:rsidRDefault="00CF3492" w:rsidP="001032EF">
            <w:pPr>
              <w:spacing w:before="20" w:after="20"/>
              <w:rPr>
                <w:sz w:val="20"/>
                <w:szCs w:val="20"/>
              </w:rPr>
            </w:pPr>
            <w:r w:rsidRPr="001032EF">
              <w:rPr>
                <w:sz w:val="20"/>
                <w:szCs w:val="20"/>
              </w:rPr>
              <w:t>New South Wales</w:t>
            </w:r>
          </w:p>
        </w:tc>
        <w:tc>
          <w:tcPr>
            <w:tcW w:w="851" w:type="dxa"/>
            <w:tcBorders>
              <w:top w:val="single" w:sz="4" w:space="0" w:color="auto"/>
            </w:tcBorders>
            <w:vAlign w:val="bottom"/>
          </w:tcPr>
          <w:p w:rsidR="00CF3492" w:rsidRPr="001032EF" w:rsidRDefault="00CF3492" w:rsidP="001032EF">
            <w:pPr>
              <w:spacing w:before="20" w:after="20"/>
              <w:jc w:val="right"/>
              <w:rPr>
                <w:sz w:val="20"/>
                <w:szCs w:val="20"/>
              </w:rPr>
            </w:pPr>
            <w:r w:rsidRPr="001032EF">
              <w:rPr>
                <w:sz w:val="20"/>
                <w:szCs w:val="20"/>
              </w:rPr>
              <w:t>218</w:t>
            </w:r>
          </w:p>
        </w:tc>
        <w:tc>
          <w:tcPr>
            <w:tcW w:w="1134" w:type="dxa"/>
            <w:tcBorders>
              <w:top w:val="single" w:sz="4" w:space="0" w:color="auto"/>
            </w:tcBorders>
            <w:vAlign w:val="bottom"/>
          </w:tcPr>
          <w:p w:rsidR="00CF3492" w:rsidRPr="001032EF" w:rsidRDefault="00CF3492" w:rsidP="001032EF">
            <w:pPr>
              <w:spacing w:before="20" w:after="20"/>
              <w:ind w:right="33"/>
              <w:jc w:val="right"/>
              <w:rPr>
                <w:sz w:val="20"/>
                <w:szCs w:val="20"/>
              </w:rPr>
            </w:pPr>
            <w:r w:rsidRPr="001032EF">
              <w:rPr>
                <w:sz w:val="20"/>
                <w:szCs w:val="20"/>
              </w:rPr>
              <w:t>8,520</w:t>
            </w:r>
          </w:p>
        </w:tc>
        <w:tc>
          <w:tcPr>
            <w:tcW w:w="2268" w:type="dxa"/>
            <w:tcBorders>
              <w:top w:val="single" w:sz="4" w:space="0" w:color="auto"/>
            </w:tcBorders>
            <w:vAlign w:val="bottom"/>
          </w:tcPr>
          <w:p w:rsidR="00CF3492" w:rsidRPr="001032EF" w:rsidRDefault="00CF3492" w:rsidP="001032EF">
            <w:pPr>
              <w:spacing w:before="20" w:after="20"/>
              <w:ind w:right="743"/>
              <w:jc w:val="right"/>
              <w:rPr>
                <w:sz w:val="20"/>
                <w:szCs w:val="20"/>
              </w:rPr>
            </w:pPr>
            <w:r w:rsidRPr="001032EF">
              <w:rPr>
                <w:sz w:val="20"/>
                <w:szCs w:val="20"/>
              </w:rPr>
              <w:t>210</w:t>
            </w:r>
          </w:p>
        </w:tc>
      </w:tr>
      <w:tr w:rsidR="00CF3492" w:rsidRPr="00A415AD" w:rsidTr="004509AC">
        <w:trPr>
          <w:trHeight w:val="254"/>
        </w:trPr>
        <w:tc>
          <w:tcPr>
            <w:tcW w:w="4219" w:type="dxa"/>
            <w:vAlign w:val="center"/>
          </w:tcPr>
          <w:p w:rsidR="00CF3492" w:rsidRPr="001032EF" w:rsidRDefault="00CF3492" w:rsidP="00DD49FE">
            <w:pPr>
              <w:spacing w:before="20" w:after="20"/>
              <w:ind w:firstLine="284"/>
              <w:rPr>
                <w:sz w:val="20"/>
                <w:szCs w:val="20"/>
              </w:rPr>
            </w:pPr>
            <w:r w:rsidRPr="001032EF">
              <w:rPr>
                <w:sz w:val="20"/>
                <w:szCs w:val="20"/>
              </w:rPr>
              <w:t>Hunter region of New South Wales</w:t>
            </w:r>
          </w:p>
        </w:tc>
        <w:tc>
          <w:tcPr>
            <w:tcW w:w="851" w:type="dxa"/>
            <w:vAlign w:val="bottom"/>
          </w:tcPr>
          <w:p w:rsidR="00CF3492" w:rsidRPr="001032EF" w:rsidRDefault="00CF3492" w:rsidP="001032EF">
            <w:pPr>
              <w:spacing w:before="20" w:after="20"/>
              <w:jc w:val="right"/>
              <w:rPr>
                <w:sz w:val="20"/>
                <w:szCs w:val="20"/>
              </w:rPr>
            </w:pPr>
            <w:r w:rsidRPr="001032EF">
              <w:rPr>
                <w:sz w:val="20"/>
                <w:szCs w:val="20"/>
              </w:rPr>
              <w:t>29</w:t>
            </w:r>
          </w:p>
        </w:tc>
        <w:tc>
          <w:tcPr>
            <w:tcW w:w="1134" w:type="dxa"/>
            <w:vAlign w:val="bottom"/>
          </w:tcPr>
          <w:p w:rsidR="00CF3492" w:rsidRPr="001032EF" w:rsidRDefault="00CF3492" w:rsidP="001032EF">
            <w:pPr>
              <w:spacing w:before="20" w:after="20"/>
              <w:ind w:right="33"/>
              <w:jc w:val="right"/>
              <w:rPr>
                <w:sz w:val="20"/>
                <w:szCs w:val="20"/>
              </w:rPr>
            </w:pPr>
            <w:r w:rsidRPr="001032EF">
              <w:rPr>
                <w:sz w:val="20"/>
                <w:szCs w:val="20"/>
              </w:rPr>
              <w:t>1,776</w:t>
            </w:r>
          </w:p>
        </w:tc>
        <w:tc>
          <w:tcPr>
            <w:tcW w:w="2268" w:type="dxa"/>
            <w:vAlign w:val="bottom"/>
          </w:tcPr>
          <w:p w:rsidR="00CF3492" w:rsidRPr="001032EF" w:rsidRDefault="00CF3492" w:rsidP="001032EF">
            <w:pPr>
              <w:spacing w:before="20" w:after="20"/>
              <w:ind w:right="743"/>
              <w:jc w:val="right"/>
              <w:rPr>
                <w:sz w:val="20"/>
                <w:szCs w:val="20"/>
              </w:rPr>
            </w:pPr>
            <w:r w:rsidRPr="001032EF">
              <w:rPr>
                <w:sz w:val="20"/>
                <w:szCs w:val="20"/>
              </w:rPr>
              <w:t>29</w:t>
            </w:r>
          </w:p>
        </w:tc>
      </w:tr>
      <w:tr w:rsidR="00CF3492" w:rsidRPr="00A415AD" w:rsidTr="004509AC">
        <w:trPr>
          <w:trHeight w:val="254"/>
        </w:trPr>
        <w:tc>
          <w:tcPr>
            <w:tcW w:w="4219" w:type="dxa"/>
            <w:vAlign w:val="center"/>
          </w:tcPr>
          <w:p w:rsidR="00CF3492" w:rsidRPr="001032EF" w:rsidRDefault="00CF3492" w:rsidP="00DD49FE">
            <w:pPr>
              <w:spacing w:before="20" w:after="20"/>
              <w:ind w:firstLine="284"/>
              <w:rPr>
                <w:sz w:val="20"/>
                <w:szCs w:val="20"/>
              </w:rPr>
            </w:pPr>
            <w:r w:rsidRPr="001032EF">
              <w:rPr>
                <w:sz w:val="20"/>
                <w:szCs w:val="20"/>
              </w:rPr>
              <w:t xml:space="preserve">Rest of New South Wales </w:t>
            </w:r>
          </w:p>
        </w:tc>
        <w:tc>
          <w:tcPr>
            <w:tcW w:w="851" w:type="dxa"/>
            <w:vAlign w:val="bottom"/>
          </w:tcPr>
          <w:p w:rsidR="00CF3492" w:rsidRPr="001032EF" w:rsidRDefault="00CF3492" w:rsidP="001032EF">
            <w:pPr>
              <w:spacing w:before="20" w:after="20"/>
              <w:jc w:val="right"/>
              <w:rPr>
                <w:sz w:val="20"/>
                <w:szCs w:val="20"/>
              </w:rPr>
            </w:pPr>
            <w:r w:rsidRPr="001032EF">
              <w:rPr>
                <w:sz w:val="20"/>
                <w:szCs w:val="20"/>
              </w:rPr>
              <w:t>189</w:t>
            </w:r>
          </w:p>
        </w:tc>
        <w:tc>
          <w:tcPr>
            <w:tcW w:w="1134" w:type="dxa"/>
            <w:vAlign w:val="bottom"/>
          </w:tcPr>
          <w:p w:rsidR="00CF3492" w:rsidRPr="001032EF" w:rsidRDefault="00CF3492" w:rsidP="001032EF">
            <w:pPr>
              <w:spacing w:before="20" w:after="20"/>
              <w:ind w:right="33"/>
              <w:jc w:val="right"/>
              <w:rPr>
                <w:sz w:val="20"/>
                <w:szCs w:val="20"/>
              </w:rPr>
            </w:pPr>
            <w:r w:rsidRPr="001032EF">
              <w:rPr>
                <w:sz w:val="20"/>
                <w:szCs w:val="20"/>
              </w:rPr>
              <w:t>6,744</w:t>
            </w:r>
          </w:p>
        </w:tc>
        <w:tc>
          <w:tcPr>
            <w:tcW w:w="2268" w:type="dxa"/>
            <w:vAlign w:val="bottom"/>
          </w:tcPr>
          <w:p w:rsidR="00CF3492" w:rsidRPr="001032EF" w:rsidRDefault="00CF3492" w:rsidP="001032EF">
            <w:pPr>
              <w:spacing w:before="20" w:after="20"/>
              <w:ind w:right="743"/>
              <w:jc w:val="right"/>
              <w:rPr>
                <w:sz w:val="20"/>
                <w:szCs w:val="20"/>
              </w:rPr>
            </w:pPr>
            <w:r w:rsidRPr="001032EF">
              <w:rPr>
                <w:sz w:val="20"/>
                <w:szCs w:val="20"/>
              </w:rPr>
              <w:t>181</w:t>
            </w:r>
          </w:p>
        </w:tc>
      </w:tr>
      <w:tr w:rsidR="00CF3492" w:rsidRPr="00A415AD" w:rsidTr="004509AC">
        <w:trPr>
          <w:trHeight w:val="254"/>
        </w:trPr>
        <w:tc>
          <w:tcPr>
            <w:tcW w:w="4219" w:type="dxa"/>
            <w:vAlign w:val="center"/>
          </w:tcPr>
          <w:p w:rsidR="00CF3492" w:rsidRPr="001032EF" w:rsidRDefault="00CF3492" w:rsidP="001032EF">
            <w:pPr>
              <w:spacing w:before="20" w:after="20"/>
              <w:rPr>
                <w:sz w:val="20"/>
                <w:szCs w:val="20"/>
              </w:rPr>
            </w:pPr>
            <w:r w:rsidRPr="001032EF">
              <w:rPr>
                <w:sz w:val="20"/>
                <w:szCs w:val="20"/>
              </w:rPr>
              <w:t>South Australia</w:t>
            </w:r>
          </w:p>
        </w:tc>
        <w:tc>
          <w:tcPr>
            <w:tcW w:w="851" w:type="dxa"/>
            <w:vAlign w:val="bottom"/>
          </w:tcPr>
          <w:p w:rsidR="00CF3492" w:rsidRPr="001032EF" w:rsidRDefault="00CF3492" w:rsidP="001032EF">
            <w:pPr>
              <w:spacing w:before="20" w:after="20"/>
              <w:jc w:val="right"/>
              <w:rPr>
                <w:sz w:val="20"/>
                <w:szCs w:val="20"/>
              </w:rPr>
            </w:pPr>
            <w:r w:rsidRPr="001032EF">
              <w:rPr>
                <w:sz w:val="20"/>
                <w:szCs w:val="20"/>
              </w:rPr>
              <w:t>90</w:t>
            </w:r>
          </w:p>
        </w:tc>
        <w:tc>
          <w:tcPr>
            <w:tcW w:w="1134" w:type="dxa"/>
            <w:vAlign w:val="bottom"/>
          </w:tcPr>
          <w:p w:rsidR="00CF3492" w:rsidRPr="001032EF" w:rsidRDefault="00CF3492" w:rsidP="001032EF">
            <w:pPr>
              <w:spacing w:before="20" w:after="20"/>
              <w:ind w:right="33"/>
              <w:jc w:val="right"/>
              <w:rPr>
                <w:sz w:val="20"/>
                <w:szCs w:val="20"/>
              </w:rPr>
            </w:pPr>
            <w:r w:rsidRPr="001032EF">
              <w:rPr>
                <w:sz w:val="20"/>
                <w:szCs w:val="20"/>
              </w:rPr>
              <w:t>11,534</w:t>
            </w:r>
          </w:p>
        </w:tc>
        <w:tc>
          <w:tcPr>
            <w:tcW w:w="2268" w:type="dxa"/>
            <w:vAlign w:val="bottom"/>
          </w:tcPr>
          <w:p w:rsidR="00CF3492" w:rsidRPr="001032EF" w:rsidRDefault="00CF3492" w:rsidP="001032EF">
            <w:pPr>
              <w:spacing w:before="20" w:after="20"/>
              <w:ind w:right="743"/>
              <w:jc w:val="right"/>
              <w:rPr>
                <w:sz w:val="20"/>
                <w:szCs w:val="20"/>
              </w:rPr>
            </w:pPr>
            <w:r w:rsidRPr="001032EF">
              <w:rPr>
                <w:sz w:val="20"/>
                <w:szCs w:val="20"/>
              </w:rPr>
              <w:t>88</w:t>
            </w:r>
          </w:p>
        </w:tc>
      </w:tr>
      <w:tr w:rsidR="00CF3492" w:rsidRPr="00A415AD" w:rsidTr="004509AC">
        <w:trPr>
          <w:trHeight w:val="254"/>
        </w:trPr>
        <w:tc>
          <w:tcPr>
            <w:tcW w:w="4219" w:type="dxa"/>
            <w:vAlign w:val="center"/>
          </w:tcPr>
          <w:p w:rsidR="00CF3492" w:rsidRPr="001032EF" w:rsidRDefault="00CF3492" w:rsidP="001032EF">
            <w:pPr>
              <w:spacing w:before="20" w:after="20"/>
              <w:rPr>
                <w:sz w:val="20"/>
                <w:szCs w:val="20"/>
              </w:rPr>
            </w:pPr>
            <w:r w:rsidRPr="001032EF">
              <w:rPr>
                <w:sz w:val="20"/>
                <w:szCs w:val="20"/>
              </w:rPr>
              <w:t>Tasmania</w:t>
            </w:r>
          </w:p>
        </w:tc>
        <w:tc>
          <w:tcPr>
            <w:tcW w:w="851" w:type="dxa"/>
            <w:vAlign w:val="bottom"/>
          </w:tcPr>
          <w:p w:rsidR="00CF3492" w:rsidRPr="001032EF" w:rsidRDefault="00CF3492" w:rsidP="001032EF">
            <w:pPr>
              <w:spacing w:before="20" w:after="20"/>
              <w:jc w:val="right"/>
              <w:rPr>
                <w:sz w:val="20"/>
                <w:szCs w:val="20"/>
              </w:rPr>
            </w:pPr>
            <w:r w:rsidRPr="001032EF">
              <w:rPr>
                <w:sz w:val="20"/>
                <w:szCs w:val="20"/>
              </w:rPr>
              <w:t>48</w:t>
            </w:r>
          </w:p>
        </w:tc>
        <w:tc>
          <w:tcPr>
            <w:tcW w:w="1134" w:type="dxa"/>
            <w:vAlign w:val="bottom"/>
          </w:tcPr>
          <w:p w:rsidR="00CF3492" w:rsidRPr="001032EF" w:rsidRDefault="00CF3492" w:rsidP="001032EF">
            <w:pPr>
              <w:spacing w:before="20" w:after="20"/>
              <w:ind w:right="33"/>
              <w:jc w:val="right"/>
              <w:rPr>
                <w:sz w:val="20"/>
                <w:szCs w:val="20"/>
              </w:rPr>
            </w:pPr>
            <w:r w:rsidRPr="001032EF">
              <w:rPr>
                <w:sz w:val="20"/>
                <w:szCs w:val="20"/>
              </w:rPr>
              <w:t>2,511</w:t>
            </w:r>
          </w:p>
        </w:tc>
        <w:tc>
          <w:tcPr>
            <w:tcW w:w="2268" w:type="dxa"/>
            <w:vAlign w:val="bottom"/>
          </w:tcPr>
          <w:p w:rsidR="00CF3492" w:rsidRPr="001032EF" w:rsidRDefault="00CF3492" w:rsidP="001032EF">
            <w:pPr>
              <w:spacing w:before="20" w:after="20"/>
              <w:ind w:right="743"/>
              <w:jc w:val="right"/>
              <w:rPr>
                <w:sz w:val="20"/>
                <w:szCs w:val="20"/>
              </w:rPr>
            </w:pPr>
            <w:r w:rsidRPr="001032EF">
              <w:rPr>
                <w:sz w:val="20"/>
                <w:szCs w:val="20"/>
              </w:rPr>
              <w:t>48</w:t>
            </w:r>
          </w:p>
        </w:tc>
      </w:tr>
      <w:tr w:rsidR="00CF3492" w:rsidRPr="00A415AD" w:rsidTr="004509AC">
        <w:trPr>
          <w:trHeight w:val="254"/>
        </w:trPr>
        <w:tc>
          <w:tcPr>
            <w:tcW w:w="4219" w:type="dxa"/>
            <w:vAlign w:val="center"/>
          </w:tcPr>
          <w:p w:rsidR="00CF3492" w:rsidRPr="001032EF" w:rsidRDefault="00CF3492" w:rsidP="001032EF">
            <w:pPr>
              <w:spacing w:before="20" w:after="20"/>
              <w:rPr>
                <w:sz w:val="20"/>
                <w:szCs w:val="20"/>
              </w:rPr>
            </w:pPr>
            <w:r w:rsidRPr="001032EF">
              <w:rPr>
                <w:sz w:val="20"/>
                <w:szCs w:val="20"/>
              </w:rPr>
              <w:t>Victoria</w:t>
            </w:r>
          </w:p>
        </w:tc>
        <w:tc>
          <w:tcPr>
            <w:tcW w:w="851" w:type="dxa"/>
            <w:vAlign w:val="bottom"/>
          </w:tcPr>
          <w:p w:rsidR="00CF3492" w:rsidRPr="001032EF" w:rsidRDefault="00CF3492" w:rsidP="001032EF">
            <w:pPr>
              <w:spacing w:before="20" w:after="20"/>
              <w:jc w:val="right"/>
              <w:rPr>
                <w:sz w:val="20"/>
                <w:szCs w:val="20"/>
              </w:rPr>
            </w:pPr>
            <w:r w:rsidRPr="001032EF">
              <w:rPr>
                <w:sz w:val="20"/>
                <w:szCs w:val="20"/>
              </w:rPr>
              <w:t>179</w:t>
            </w:r>
          </w:p>
        </w:tc>
        <w:tc>
          <w:tcPr>
            <w:tcW w:w="1134" w:type="dxa"/>
            <w:vAlign w:val="bottom"/>
          </w:tcPr>
          <w:p w:rsidR="00CF3492" w:rsidRPr="001032EF" w:rsidRDefault="00CF3492" w:rsidP="001032EF">
            <w:pPr>
              <w:spacing w:before="20" w:after="20"/>
              <w:ind w:right="33"/>
              <w:jc w:val="right"/>
              <w:rPr>
                <w:sz w:val="20"/>
                <w:szCs w:val="20"/>
              </w:rPr>
            </w:pPr>
            <w:r w:rsidRPr="001032EF">
              <w:rPr>
                <w:sz w:val="20"/>
                <w:szCs w:val="20"/>
              </w:rPr>
              <w:t>17,810</w:t>
            </w:r>
          </w:p>
        </w:tc>
        <w:tc>
          <w:tcPr>
            <w:tcW w:w="2268" w:type="dxa"/>
            <w:vAlign w:val="bottom"/>
          </w:tcPr>
          <w:p w:rsidR="00CF3492" w:rsidRPr="001032EF" w:rsidRDefault="00CF3492" w:rsidP="001032EF">
            <w:pPr>
              <w:spacing w:before="20" w:after="20"/>
              <w:ind w:right="743"/>
              <w:jc w:val="right"/>
              <w:rPr>
                <w:sz w:val="20"/>
                <w:szCs w:val="20"/>
              </w:rPr>
            </w:pPr>
            <w:r w:rsidRPr="001032EF">
              <w:rPr>
                <w:sz w:val="20"/>
                <w:szCs w:val="20"/>
              </w:rPr>
              <w:t>174</w:t>
            </w:r>
          </w:p>
        </w:tc>
      </w:tr>
      <w:tr w:rsidR="00CF3492" w:rsidRPr="00A415AD" w:rsidTr="004509AC">
        <w:trPr>
          <w:trHeight w:val="254"/>
        </w:trPr>
        <w:tc>
          <w:tcPr>
            <w:tcW w:w="4219" w:type="dxa"/>
            <w:vAlign w:val="center"/>
          </w:tcPr>
          <w:p w:rsidR="00CF3492" w:rsidRPr="001032EF" w:rsidRDefault="00CF3492" w:rsidP="00DD49FE">
            <w:pPr>
              <w:spacing w:before="20" w:after="20"/>
              <w:ind w:firstLine="284"/>
              <w:rPr>
                <w:sz w:val="20"/>
                <w:szCs w:val="20"/>
              </w:rPr>
            </w:pPr>
            <w:r w:rsidRPr="001032EF">
              <w:rPr>
                <w:sz w:val="20"/>
                <w:szCs w:val="20"/>
              </w:rPr>
              <w:t xml:space="preserve">Barwon area of Victoria </w:t>
            </w:r>
          </w:p>
        </w:tc>
        <w:tc>
          <w:tcPr>
            <w:tcW w:w="851" w:type="dxa"/>
            <w:vAlign w:val="bottom"/>
          </w:tcPr>
          <w:p w:rsidR="00CF3492" w:rsidRPr="001032EF" w:rsidRDefault="00CF3492" w:rsidP="001032EF">
            <w:pPr>
              <w:spacing w:before="20" w:after="20"/>
              <w:jc w:val="right"/>
              <w:rPr>
                <w:sz w:val="20"/>
                <w:szCs w:val="20"/>
              </w:rPr>
            </w:pPr>
            <w:r w:rsidRPr="001032EF">
              <w:rPr>
                <w:sz w:val="20"/>
                <w:szCs w:val="20"/>
              </w:rPr>
              <w:t>16</w:t>
            </w:r>
          </w:p>
        </w:tc>
        <w:tc>
          <w:tcPr>
            <w:tcW w:w="1134" w:type="dxa"/>
            <w:vAlign w:val="bottom"/>
          </w:tcPr>
          <w:p w:rsidR="00CF3492" w:rsidRPr="001032EF" w:rsidRDefault="00CF3492" w:rsidP="001032EF">
            <w:pPr>
              <w:spacing w:before="20" w:after="20"/>
              <w:ind w:right="33"/>
              <w:jc w:val="right"/>
              <w:rPr>
                <w:sz w:val="20"/>
                <w:szCs w:val="20"/>
              </w:rPr>
            </w:pPr>
            <w:r w:rsidRPr="001032EF">
              <w:rPr>
                <w:sz w:val="20"/>
                <w:szCs w:val="20"/>
              </w:rPr>
              <w:t>1,475</w:t>
            </w:r>
          </w:p>
        </w:tc>
        <w:tc>
          <w:tcPr>
            <w:tcW w:w="2268" w:type="dxa"/>
            <w:vAlign w:val="bottom"/>
          </w:tcPr>
          <w:p w:rsidR="00CF3492" w:rsidRPr="001032EF" w:rsidRDefault="00CF3492" w:rsidP="001032EF">
            <w:pPr>
              <w:spacing w:before="20" w:after="20"/>
              <w:ind w:right="743"/>
              <w:jc w:val="right"/>
              <w:rPr>
                <w:sz w:val="20"/>
                <w:szCs w:val="20"/>
              </w:rPr>
            </w:pPr>
            <w:r w:rsidRPr="001032EF">
              <w:rPr>
                <w:sz w:val="20"/>
                <w:szCs w:val="20"/>
              </w:rPr>
              <w:t>16</w:t>
            </w:r>
          </w:p>
        </w:tc>
      </w:tr>
      <w:tr w:rsidR="00CF3492" w:rsidRPr="00A415AD" w:rsidTr="004509AC">
        <w:trPr>
          <w:trHeight w:val="254"/>
        </w:trPr>
        <w:tc>
          <w:tcPr>
            <w:tcW w:w="4219" w:type="dxa"/>
            <w:vAlign w:val="center"/>
          </w:tcPr>
          <w:p w:rsidR="00CF3492" w:rsidRPr="001032EF" w:rsidRDefault="00CF3492" w:rsidP="00DD49FE">
            <w:pPr>
              <w:spacing w:before="20" w:after="20"/>
              <w:ind w:firstLine="284"/>
              <w:rPr>
                <w:sz w:val="20"/>
                <w:szCs w:val="20"/>
              </w:rPr>
            </w:pPr>
            <w:r w:rsidRPr="001032EF">
              <w:rPr>
                <w:sz w:val="20"/>
                <w:szCs w:val="20"/>
              </w:rPr>
              <w:t xml:space="preserve">Rest of Victoria </w:t>
            </w:r>
          </w:p>
        </w:tc>
        <w:tc>
          <w:tcPr>
            <w:tcW w:w="851" w:type="dxa"/>
            <w:vAlign w:val="bottom"/>
          </w:tcPr>
          <w:p w:rsidR="00CF3492" w:rsidRPr="001032EF" w:rsidRDefault="00CF3492" w:rsidP="001032EF">
            <w:pPr>
              <w:spacing w:before="20" w:after="20"/>
              <w:jc w:val="right"/>
              <w:rPr>
                <w:sz w:val="20"/>
                <w:szCs w:val="20"/>
              </w:rPr>
            </w:pPr>
            <w:r w:rsidRPr="001032EF">
              <w:rPr>
                <w:sz w:val="20"/>
                <w:szCs w:val="20"/>
              </w:rPr>
              <w:t>163</w:t>
            </w:r>
          </w:p>
        </w:tc>
        <w:tc>
          <w:tcPr>
            <w:tcW w:w="1134" w:type="dxa"/>
            <w:vAlign w:val="bottom"/>
          </w:tcPr>
          <w:p w:rsidR="00CF3492" w:rsidRPr="001032EF" w:rsidRDefault="00CF3492" w:rsidP="001032EF">
            <w:pPr>
              <w:spacing w:before="20" w:after="20"/>
              <w:ind w:right="33"/>
              <w:jc w:val="right"/>
              <w:rPr>
                <w:sz w:val="20"/>
                <w:szCs w:val="20"/>
              </w:rPr>
            </w:pPr>
            <w:r w:rsidRPr="001032EF">
              <w:rPr>
                <w:sz w:val="20"/>
                <w:szCs w:val="20"/>
              </w:rPr>
              <w:t>16,335</w:t>
            </w:r>
          </w:p>
        </w:tc>
        <w:tc>
          <w:tcPr>
            <w:tcW w:w="2268" w:type="dxa"/>
            <w:vAlign w:val="bottom"/>
          </w:tcPr>
          <w:p w:rsidR="00CF3492" w:rsidRPr="001032EF" w:rsidRDefault="00CF3492" w:rsidP="001032EF">
            <w:pPr>
              <w:spacing w:before="20" w:after="20"/>
              <w:ind w:right="743"/>
              <w:jc w:val="right"/>
              <w:rPr>
                <w:sz w:val="20"/>
                <w:szCs w:val="20"/>
              </w:rPr>
            </w:pPr>
            <w:r w:rsidRPr="001032EF">
              <w:rPr>
                <w:sz w:val="20"/>
                <w:szCs w:val="20"/>
              </w:rPr>
              <w:t>158</w:t>
            </w:r>
          </w:p>
        </w:tc>
      </w:tr>
      <w:tr w:rsidR="00CF3492" w:rsidRPr="00A415AD" w:rsidTr="004509AC">
        <w:trPr>
          <w:trHeight w:val="254"/>
        </w:trPr>
        <w:tc>
          <w:tcPr>
            <w:tcW w:w="4219" w:type="dxa"/>
            <w:vAlign w:val="center"/>
          </w:tcPr>
          <w:p w:rsidR="00CF3492" w:rsidRPr="001032EF" w:rsidRDefault="00CF3492" w:rsidP="001032EF">
            <w:pPr>
              <w:spacing w:before="20" w:after="20"/>
              <w:rPr>
                <w:sz w:val="20"/>
                <w:szCs w:val="20"/>
              </w:rPr>
            </w:pPr>
            <w:r w:rsidRPr="001032EF">
              <w:rPr>
                <w:sz w:val="20"/>
                <w:szCs w:val="20"/>
              </w:rPr>
              <w:t>Australian Capital Territory</w:t>
            </w:r>
          </w:p>
        </w:tc>
        <w:tc>
          <w:tcPr>
            <w:tcW w:w="851" w:type="dxa"/>
            <w:vAlign w:val="bottom"/>
          </w:tcPr>
          <w:p w:rsidR="00CF3492" w:rsidRPr="001032EF" w:rsidRDefault="00CF3492" w:rsidP="001032EF">
            <w:pPr>
              <w:spacing w:before="20" w:after="20"/>
              <w:jc w:val="right"/>
              <w:rPr>
                <w:sz w:val="20"/>
                <w:szCs w:val="20"/>
              </w:rPr>
            </w:pPr>
            <w:r w:rsidRPr="001032EF">
              <w:rPr>
                <w:sz w:val="20"/>
                <w:szCs w:val="20"/>
              </w:rPr>
              <w:t>19</w:t>
            </w:r>
          </w:p>
        </w:tc>
        <w:tc>
          <w:tcPr>
            <w:tcW w:w="1134" w:type="dxa"/>
            <w:vAlign w:val="bottom"/>
          </w:tcPr>
          <w:p w:rsidR="00CF3492" w:rsidRPr="001032EF" w:rsidRDefault="00CF3492" w:rsidP="001032EF">
            <w:pPr>
              <w:spacing w:before="20" w:after="20"/>
              <w:ind w:right="33"/>
              <w:jc w:val="right"/>
              <w:rPr>
                <w:sz w:val="20"/>
                <w:szCs w:val="20"/>
              </w:rPr>
            </w:pPr>
            <w:r w:rsidRPr="001032EF">
              <w:rPr>
                <w:sz w:val="20"/>
                <w:szCs w:val="20"/>
              </w:rPr>
              <w:t>985</w:t>
            </w:r>
          </w:p>
        </w:tc>
        <w:tc>
          <w:tcPr>
            <w:tcW w:w="2268" w:type="dxa"/>
            <w:vAlign w:val="bottom"/>
          </w:tcPr>
          <w:p w:rsidR="00CF3492" w:rsidRPr="001032EF" w:rsidRDefault="00CF3492" w:rsidP="001032EF">
            <w:pPr>
              <w:spacing w:before="20" w:after="20"/>
              <w:ind w:right="743"/>
              <w:jc w:val="right"/>
              <w:rPr>
                <w:sz w:val="20"/>
                <w:szCs w:val="20"/>
              </w:rPr>
            </w:pPr>
            <w:r w:rsidRPr="001032EF">
              <w:rPr>
                <w:sz w:val="20"/>
                <w:szCs w:val="20"/>
              </w:rPr>
              <w:t>19</w:t>
            </w:r>
          </w:p>
        </w:tc>
      </w:tr>
      <w:tr w:rsidR="00CF3492" w:rsidRPr="00A415AD" w:rsidTr="004509AC">
        <w:trPr>
          <w:trHeight w:val="254"/>
        </w:trPr>
        <w:tc>
          <w:tcPr>
            <w:tcW w:w="4219" w:type="dxa"/>
            <w:vAlign w:val="center"/>
          </w:tcPr>
          <w:p w:rsidR="00CF3492" w:rsidRPr="001032EF" w:rsidRDefault="00CF3492" w:rsidP="001032EF">
            <w:pPr>
              <w:spacing w:before="20" w:after="20"/>
              <w:rPr>
                <w:sz w:val="20"/>
                <w:szCs w:val="20"/>
              </w:rPr>
            </w:pPr>
            <w:r w:rsidRPr="001032EF">
              <w:rPr>
                <w:sz w:val="20"/>
                <w:szCs w:val="20"/>
              </w:rPr>
              <w:t>Queensland</w:t>
            </w:r>
          </w:p>
        </w:tc>
        <w:tc>
          <w:tcPr>
            <w:tcW w:w="851" w:type="dxa"/>
            <w:vAlign w:val="bottom"/>
          </w:tcPr>
          <w:p w:rsidR="00CF3492" w:rsidRPr="001032EF" w:rsidRDefault="00CF3492" w:rsidP="001032EF">
            <w:pPr>
              <w:spacing w:before="20" w:after="20"/>
              <w:jc w:val="right"/>
              <w:rPr>
                <w:sz w:val="20"/>
                <w:szCs w:val="20"/>
              </w:rPr>
            </w:pPr>
            <w:r w:rsidRPr="001032EF">
              <w:rPr>
                <w:sz w:val="20"/>
                <w:szCs w:val="20"/>
              </w:rPr>
              <w:t>143</w:t>
            </w:r>
          </w:p>
        </w:tc>
        <w:tc>
          <w:tcPr>
            <w:tcW w:w="1134" w:type="dxa"/>
            <w:vAlign w:val="bottom"/>
          </w:tcPr>
          <w:p w:rsidR="00CF3492" w:rsidRPr="001032EF" w:rsidRDefault="00CF3492" w:rsidP="001032EF">
            <w:pPr>
              <w:spacing w:before="20" w:after="20"/>
              <w:ind w:right="33"/>
              <w:jc w:val="right"/>
              <w:rPr>
                <w:sz w:val="20"/>
                <w:szCs w:val="20"/>
              </w:rPr>
            </w:pPr>
            <w:r w:rsidRPr="001032EF">
              <w:rPr>
                <w:sz w:val="20"/>
                <w:szCs w:val="20"/>
              </w:rPr>
              <w:t>6,553</w:t>
            </w:r>
          </w:p>
        </w:tc>
        <w:tc>
          <w:tcPr>
            <w:tcW w:w="2268" w:type="dxa"/>
            <w:vAlign w:val="bottom"/>
          </w:tcPr>
          <w:p w:rsidR="00CF3492" w:rsidRPr="001032EF" w:rsidRDefault="00CF3492" w:rsidP="001032EF">
            <w:pPr>
              <w:spacing w:before="20" w:after="20"/>
              <w:ind w:right="743"/>
              <w:jc w:val="right"/>
              <w:rPr>
                <w:sz w:val="20"/>
                <w:szCs w:val="20"/>
              </w:rPr>
            </w:pPr>
            <w:r w:rsidRPr="001032EF">
              <w:rPr>
                <w:sz w:val="20"/>
                <w:szCs w:val="20"/>
              </w:rPr>
              <w:t>139</w:t>
            </w:r>
          </w:p>
        </w:tc>
      </w:tr>
      <w:tr w:rsidR="00CF3492" w:rsidRPr="00A415AD" w:rsidTr="00A072C9">
        <w:trPr>
          <w:trHeight w:val="454"/>
        </w:trPr>
        <w:tc>
          <w:tcPr>
            <w:tcW w:w="4219" w:type="dxa"/>
            <w:vAlign w:val="bottom"/>
          </w:tcPr>
          <w:p w:rsidR="00CF3492" w:rsidRPr="001032EF" w:rsidRDefault="00CF3492" w:rsidP="00A072C9">
            <w:pPr>
              <w:spacing w:before="60" w:after="20"/>
              <w:ind w:right="-108"/>
              <w:rPr>
                <w:sz w:val="20"/>
                <w:szCs w:val="20"/>
              </w:rPr>
            </w:pPr>
            <w:r w:rsidRPr="001032EF">
              <w:rPr>
                <w:sz w:val="20"/>
                <w:szCs w:val="20"/>
              </w:rPr>
              <w:t xml:space="preserve">Question not answered </w:t>
            </w:r>
            <w:r w:rsidR="00D433AF">
              <w:rPr>
                <w:sz w:val="20"/>
                <w:szCs w:val="20"/>
              </w:rPr>
              <w:t>(</w:t>
            </w:r>
            <w:r w:rsidRPr="001032EF">
              <w:rPr>
                <w:sz w:val="20"/>
                <w:szCs w:val="20"/>
              </w:rPr>
              <w:t>number of employees</w:t>
            </w:r>
            <w:r w:rsidR="00D433AF">
              <w:rPr>
                <w:sz w:val="20"/>
                <w:szCs w:val="20"/>
              </w:rPr>
              <w:t>)</w:t>
            </w:r>
          </w:p>
        </w:tc>
        <w:tc>
          <w:tcPr>
            <w:tcW w:w="851" w:type="dxa"/>
            <w:vAlign w:val="center"/>
          </w:tcPr>
          <w:p w:rsidR="00CF3492" w:rsidRPr="001032EF" w:rsidRDefault="00CF3492" w:rsidP="001032EF">
            <w:pPr>
              <w:spacing w:before="20" w:after="20"/>
              <w:jc w:val="right"/>
              <w:rPr>
                <w:sz w:val="20"/>
                <w:szCs w:val="20"/>
              </w:rPr>
            </w:pPr>
          </w:p>
        </w:tc>
        <w:tc>
          <w:tcPr>
            <w:tcW w:w="1134" w:type="dxa"/>
            <w:vAlign w:val="bottom"/>
          </w:tcPr>
          <w:p w:rsidR="00CF3492" w:rsidRPr="001032EF" w:rsidRDefault="00CF3492" w:rsidP="001032EF">
            <w:pPr>
              <w:spacing w:before="20" w:after="20"/>
              <w:ind w:right="33"/>
              <w:jc w:val="right"/>
              <w:rPr>
                <w:sz w:val="20"/>
                <w:szCs w:val="20"/>
              </w:rPr>
            </w:pPr>
          </w:p>
        </w:tc>
        <w:tc>
          <w:tcPr>
            <w:tcW w:w="2268" w:type="dxa"/>
            <w:vAlign w:val="bottom"/>
          </w:tcPr>
          <w:p w:rsidR="00CF3492" w:rsidRPr="001032EF" w:rsidRDefault="00CF3492" w:rsidP="001032EF">
            <w:pPr>
              <w:spacing w:before="20" w:after="20"/>
              <w:ind w:right="743"/>
              <w:jc w:val="right"/>
              <w:rPr>
                <w:sz w:val="20"/>
                <w:szCs w:val="20"/>
              </w:rPr>
            </w:pPr>
            <w:r w:rsidRPr="001032EF">
              <w:rPr>
                <w:sz w:val="20"/>
                <w:szCs w:val="20"/>
              </w:rPr>
              <w:t>19</w:t>
            </w:r>
          </w:p>
        </w:tc>
      </w:tr>
      <w:tr w:rsidR="00CF3492" w:rsidRPr="00A415AD" w:rsidTr="00A072C9">
        <w:trPr>
          <w:trHeight w:val="454"/>
        </w:trPr>
        <w:tc>
          <w:tcPr>
            <w:tcW w:w="4219" w:type="dxa"/>
            <w:vAlign w:val="bottom"/>
          </w:tcPr>
          <w:p w:rsidR="00CF3492" w:rsidRPr="001032EF" w:rsidRDefault="00CF3492" w:rsidP="009C368A">
            <w:pPr>
              <w:spacing w:before="60" w:after="20"/>
              <w:rPr>
                <w:sz w:val="20"/>
                <w:szCs w:val="20"/>
              </w:rPr>
            </w:pPr>
            <w:r w:rsidRPr="001032EF">
              <w:rPr>
                <w:sz w:val="20"/>
                <w:szCs w:val="20"/>
              </w:rPr>
              <w:t>Not for profit or charitable</w:t>
            </w:r>
          </w:p>
        </w:tc>
        <w:tc>
          <w:tcPr>
            <w:tcW w:w="851" w:type="dxa"/>
            <w:vAlign w:val="bottom"/>
          </w:tcPr>
          <w:p w:rsidR="00CF3492" w:rsidRPr="001032EF" w:rsidRDefault="00CF3492" w:rsidP="00CF3492">
            <w:pPr>
              <w:spacing w:before="20" w:after="20"/>
              <w:jc w:val="right"/>
              <w:rPr>
                <w:sz w:val="20"/>
                <w:szCs w:val="20"/>
              </w:rPr>
            </w:pPr>
            <w:r w:rsidRPr="001032EF">
              <w:rPr>
                <w:sz w:val="20"/>
                <w:szCs w:val="20"/>
              </w:rPr>
              <w:t>516</w:t>
            </w:r>
          </w:p>
        </w:tc>
        <w:tc>
          <w:tcPr>
            <w:tcW w:w="1134" w:type="dxa"/>
            <w:vAlign w:val="bottom"/>
          </w:tcPr>
          <w:p w:rsidR="00CF3492" w:rsidRPr="001032EF" w:rsidRDefault="00CF3492" w:rsidP="00CF3492">
            <w:pPr>
              <w:spacing w:before="20" w:after="20"/>
              <w:ind w:right="33"/>
              <w:jc w:val="right"/>
              <w:rPr>
                <w:sz w:val="20"/>
                <w:szCs w:val="20"/>
              </w:rPr>
            </w:pPr>
            <w:r w:rsidRPr="001032EF">
              <w:rPr>
                <w:sz w:val="20"/>
                <w:szCs w:val="20"/>
              </w:rPr>
              <w:t>34,364</w:t>
            </w:r>
          </w:p>
        </w:tc>
        <w:tc>
          <w:tcPr>
            <w:tcW w:w="2268" w:type="dxa"/>
            <w:vAlign w:val="bottom"/>
          </w:tcPr>
          <w:p w:rsidR="00CF3492" w:rsidRPr="001032EF" w:rsidRDefault="00CF3492" w:rsidP="00CF3492">
            <w:pPr>
              <w:spacing w:before="20" w:after="20"/>
              <w:ind w:right="743"/>
              <w:jc w:val="right"/>
              <w:rPr>
                <w:sz w:val="20"/>
                <w:szCs w:val="20"/>
              </w:rPr>
            </w:pPr>
            <w:r w:rsidRPr="001032EF">
              <w:rPr>
                <w:sz w:val="20"/>
                <w:szCs w:val="20"/>
              </w:rPr>
              <w:t>506</w:t>
            </w:r>
          </w:p>
        </w:tc>
      </w:tr>
      <w:tr w:rsidR="00CF3492" w:rsidRPr="00A415AD" w:rsidTr="004509AC">
        <w:trPr>
          <w:trHeight w:val="254"/>
        </w:trPr>
        <w:tc>
          <w:tcPr>
            <w:tcW w:w="4219" w:type="dxa"/>
            <w:vAlign w:val="center"/>
          </w:tcPr>
          <w:p w:rsidR="00CF3492" w:rsidRPr="001032EF" w:rsidRDefault="00CF3492" w:rsidP="001032EF">
            <w:pPr>
              <w:spacing w:before="20" w:after="20"/>
              <w:rPr>
                <w:sz w:val="20"/>
                <w:szCs w:val="20"/>
              </w:rPr>
            </w:pPr>
            <w:r w:rsidRPr="001032EF">
              <w:rPr>
                <w:sz w:val="20"/>
                <w:szCs w:val="20"/>
              </w:rPr>
              <w:t>Privately owned, for profit</w:t>
            </w:r>
          </w:p>
        </w:tc>
        <w:tc>
          <w:tcPr>
            <w:tcW w:w="851" w:type="dxa"/>
            <w:vAlign w:val="center"/>
          </w:tcPr>
          <w:p w:rsidR="00CF3492" w:rsidRPr="001032EF" w:rsidRDefault="00CF3492" w:rsidP="001032EF">
            <w:pPr>
              <w:spacing w:before="20" w:after="20"/>
              <w:jc w:val="right"/>
              <w:rPr>
                <w:sz w:val="20"/>
                <w:szCs w:val="20"/>
              </w:rPr>
            </w:pPr>
            <w:r w:rsidRPr="001032EF">
              <w:rPr>
                <w:sz w:val="20"/>
                <w:szCs w:val="20"/>
              </w:rPr>
              <w:t>121</w:t>
            </w:r>
          </w:p>
        </w:tc>
        <w:tc>
          <w:tcPr>
            <w:tcW w:w="1134" w:type="dxa"/>
            <w:vAlign w:val="bottom"/>
          </w:tcPr>
          <w:p w:rsidR="00CF3492" w:rsidRPr="001032EF" w:rsidRDefault="00CF3492" w:rsidP="001032EF">
            <w:pPr>
              <w:spacing w:before="20" w:after="20"/>
              <w:ind w:right="33"/>
              <w:jc w:val="right"/>
              <w:rPr>
                <w:sz w:val="20"/>
                <w:szCs w:val="20"/>
              </w:rPr>
            </w:pPr>
            <w:r w:rsidRPr="001032EF">
              <w:rPr>
                <w:sz w:val="20"/>
                <w:szCs w:val="20"/>
              </w:rPr>
              <w:t>4,147</w:t>
            </w:r>
          </w:p>
        </w:tc>
        <w:tc>
          <w:tcPr>
            <w:tcW w:w="2268" w:type="dxa"/>
            <w:vAlign w:val="bottom"/>
          </w:tcPr>
          <w:p w:rsidR="00CF3492" w:rsidRPr="001032EF" w:rsidRDefault="00CF3492" w:rsidP="001032EF">
            <w:pPr>
              <w:spacing w:before="20" w:after="20"/>
              <w:ind w:right="743"/>
              <w:jc w:val="right"/>
              <w:rPr>
                <w:sz w:val="20"/>
                <w:szCs w:val="20"/>
              </w:rPr>
            </w:pPr>
            <w:r w:rsidRPr="001032EF">
              <w:rPr>
                <w:sz w:val="20"/>
                <w:szCs w:val="20"/>
              </w:rPr>
              <w:t>114</w:t>
            </w:r>
          </w:p>
        </w:tc>
      </w:tr>
      <w:tr w:rsidR="00CF3492" w:rsidRPr="00A415AD" w:rsidTr="004509AC">
        <w:trPr>
          <w:trHeight w:val="254"/>
        </w:trPr>
        <w:tc>
          <w:tcPr>
            <w:tcW w:w="4219" w:type="dxa"/>
            <w:vAlign w:val="center"/>
          </w:tcPr>
          <w:p w:rsidR="00CF3492" w:rsidRPr="001032EF" w:rsidRDefault="00CF3492" w:rsidP="001032EF">
            <w:pPr>
              <w:spacing w:before="20" w:after="20"/>
              <w:rPr>
                <w:sz w:val="20"/>
                <w:szCs w:val="20"/>
              </w:rPr>
            </w:pPr>
            <w:r w:rsidRPr="001032EF">
              <w:rPr>
                <w:sz w:val="20"/>
                <w:szCs w:val="20"/>
              </w:rPr>
              <w:t>Public</w:t>
            </w:r>
          </w:p>
        </w:tc>
        <w:tc>
          <w:tcPr>
            <w:tcW w:w="851" w:type="dxa"/>
            <w:vAlign w:val="center"/>
          </w:tcPr>
          <w:p w:rsidR="00CF3492" w:rsidRPr="001032EF" w:rsidRDefault="00CF3492" w:rsidP="001032EF">
            <w:pPr>
              <w:spacing w:before="20" w:after="20"/>
              <w:jc w:val="right"/>
              <w:rPr>
                <w:sz w:val="20"/>
                <w:szCs w:val="20"/>
              </w:rPr>
            </w:pPr>
            <w:r w:rsidRPr="001032EF">
              <w:rPr>
                <w:sz w:val="20"/>
                <w:szCs w:val="20"/>
              </w:rPr>
              <w:t>59</w:t>
            </w:r>
          </w:p>
        </w:tc>
        <w:tc>
          <w:tcPr>
            <w:tcW w:w="1134" w:type="dxa"/>
            <w:vAlign w:val="bottom"/>
          </w:tcPr>
          <w:p w:rsidR="00CF3492" w:rsidRPr="001032EF" w:rsidRDefault="00CF3492" w:rsidP="001032EF">
            <w:pPr>
              <w:spacing w:before="20" w:after="20"/>
              <w:ind w:right="33"/>
              <w:jc w:val="right"/>
              <w:rPr>
                <w:sz w:val="20"/>
                <w:szCs w:val="20"/>
              </w:rPr>
            </w:pPr>
            <w:r w:rsidRPr="001032EF">
              <w:rPr>
                <w:sz w:val="20"/>
                <w:szCs w:val="20"/>
              </w:rPr>
              <w:t>9,389</w:t>
            </w:r>
          </w:p>
        </w:tc>
        <w:tc>
          <w:tcPr>
            <w:tcW w:w="2268" w:type="dxa"/>
            <w:vAlign w:val="bottom"/>
          </w:tcPr>
          <w:p w:rsidR="00CF3492" w:rsidRPr="001032EF" w:rsidRDefault="00CF3492" w:rsidP="001032EF">
            <w:pPr>
              <w:spacing w:before="20" w:after="20"/>
              <w:ind w:right="743"/>
              <w:jc w:val="right"/>
              <w:rPr>
                <w:sz w:val="20"/>
                <w:szCs w:val="20"/>
              </w:rPr>
            </w:pPr>
            <w:r w:rsidRPr="001032EF">
              <w:rPr>
                <w:sz w:val="20"/>
                <w:szCs w:val="20"/>
              </w:rPr>
              <w:t>57</w:t>
            </w:r>
          </w:p>
        </w:tc>
      </w:tr>
      <w:tr w:rsidR="00CF3492" w:rsidRPr="00A415AD" w:rsidTr="004509AC">
        <w:trPr>
          <w:trHeight w:val="254"/>
        </w:trPr>
        <w:tc>
          <w:tcPr>
            <w:tcW w:w="4219" w:type="dxa"/>
            <w:tcBorders>
              <w:bottom w:val="single" w:sz="4" w:space="0" w:color="auto"/>
            </w:tcBorders>
            <w:vAlign w:val="center"/>
          </w:tcPr>
          <w:p w:rsidR="00CF3492" w:rsidRPr="001032EF" w:rsidRDefault="00CF3492" w:rsidP="004509AC">
            <w:pPr>
              <w:spacing w:before="20" w:after="20"/>
              <w:rPr>
                <w:sz w:val="20"/>
                <w:szCs w:val="20"/>
              </w:rPr>
            </w:pPr>
            <w:r w:rsidRPr="001032EF">
              <w:rPr>
                <w:sz w:val="20"/>
                <w:szCs w:val="20"/>
              </w:rPr>
              <w:t xml:space="preserve">Question not answered </w:t>
            </w:r>
            <w:r w:rsidR="00D433AF">
              <w:rPr>
                <w:sz w:val="20"/>
                <w:szCs w:val="20"/>
              </w:rPr>
              <w:t>(</w:t>
            </w:r>
            <w:r w:rsidRPr="001032EF">
              <w:rPr>
                <w:sz w:val="20"/>
                <w:szCs w:val="20"/>
              </w:rPr>
              <w:t>ownership type</w:t>
            </w:r>
            <w:r w:rsidR="00D433AF">
              <w:rPr>
                <w:sz w:val="20"/>
                <w:szCs w:val="20"/>
              </w:rPr>
              <w:t>)</w:t>
            </w:r>
          </w:p>
        </w:tc>
        <w:tc>
          <w:tcPr>
            <w:tcW w:w="851" w:type="dxa"/>
            <w:tcBorders>
              <w:bottom w:val="single" w:sz="4" w:space="0" w:color="auto"/>
            </w:tcBorders>
            <w:vAlign w:val="bottom"/>
          </w:tcPr>
          <w:p w:rsidR="00CF3492" w:rsidRPr="001032EF" w:rsidRDefault="00CF3492" w:rsidP="00045FD7">
            <w:pPr>
              <w:spacing w:before="20" w:after="20"/>
              <w:jc w:val="right"/>
              <w:rPr>
                <w:sz w:val="20"/>
                <w:szCs w:val="20"/>
              </w:rPr>
            </w:pPr>
            <w:r w:rsidRPr="001032EF">
              <w:rPr>
                <w:sz w:val="20"/>
                <w:szCs w:val="20"/>
              </w:rPr>
              <w:t>1</w:t>
            </w:r>
          </w:p>
        </w:tc>
        <w:tc>
          <w:tcPr>
            <w:tcW w:w="1134" w:type="dxa"/>
            <w:tcBorders>
              <w:bottom w:val="single" w:sz="4" w:space="0" w:color="auto"/>
            </w:tcBorders>
            <w:vAlign w:val="bottom"/>
          </w:tcPr>
          <w:p w:rsidR="00CF3492" w:rsidRPr="001032EF" w:rsidRDefault="00CF3492" w:rsidP="00045FD7">
            <w:pPr>
              <w:spacing w:before="20" w:after="20"/>
              <w:ind w:right="33"/>
              <w:jc w:val="right"/>
              <w:rPr>
                <w:sz w:val="20"/>
                <w:szCs w:val="20"/>
              </w:rPr>
            </w:pPr>
            <w:r w:rsidRPr="001032EF">
              <w:rPr>
                <w:sz w:val="20"/>
                <w:szCs w:val="20"/>
              </w:rPr>
              <w:t>13</w:t>
            </w:r>
          </w:p>
        </w:tc>
        <w:tc>
          <w:tcPr>
            <w:tcW w:w="2268" w:type="dxa"/>
            <w:tcBorders>
              <w:bottom w:val="single" w:sz="4" w:space="0" w:color="auto"/>
            </w:tcBorders>
            <w:vAlign w:val="bottom"/>
          </w:tcPr>
          <w:p w:rsidR="00CF3492" w:rsidRPr="001032EF" w:rsidRDefault="00CF3492" w:rsidP="00045FD7">
            <w:pPr>
              <w:spacing w:before="20" w:after="20"/>
              <w:ind w:right="743"/>
              <w:jc w:val="right"/>
              <w:rPr>
                <w:sz w:val="20"/>
                <w:szCs w:val="20"/>
              </w:rPr>
            </w:pPr>
            <w:r w:rsidRPr="001032EF">
              <w:rPr>
                <w:sz w:val="20"/>
                <w:szCs w:val="20"/>
              </w:rPr>
              <w:t>1</w:t>
            </w:r>
          </w:p>
        </w:tc>
      </w:tr>
      <w:tr w:rsidR="00CF3492" w:rsidRPr="00A415AD" w:rsidTr="004509AC">
        <w:trPr>
          <w:trHeight w:val="254"/>
        </w:trPr>
        <w:tc>
          <w:tcPr>
            <w:tcW w:w="4219" w:type="dxa"/>
            <w:tcBorders>
              <w:top w:val="single" w:sz="4" w:space="0" w:color="auto"/>
              <w:bottom w:val="single" w:sz="4" w:space="0" w:color="auto"/>
            </w:tcBorders>
            <w:vAlign w:val="center"/>
          </w:tcPr>
          <w:p w:rsidR="00CF3492" w:rsidRPr="001032EF" w:rsidRDefault="00CF3492" w:rsidP="001032EF">
            <w:pPr>
              <w:spacing w:before="20" w:after="20"/>
              <w:rPr>
                <w:b/>
                <w:sz w:val="20"/>
                <w:szCs w:val="20"/>
              </w:rPr>
            </w:pPr>
            <w:r w:rsidRPr="001032EF">
              <w:rPr>
                <w:b/>
                <w:sz w:val="20"/>
                <w:szCs w:val="20"/>
              </w:rPr>
              <w:t>Total</w:t>
            </w:r>
          </w:p>
        </w:tc>
        <w:tc>
          <w:tcPr>
            <w:tcW w:w="851" w:type="dxa"/>
            <w:tcBorders>
              <w:top w:val="single" w:sz="4" w:space="0" w:color="auto"/>
              <w:bottom w:val="single" w:sz="4" w:space="0" w:color="auto"/>
            </w:tcBorders>
            <w:vAlign w:val="bottom"/>
          </w:tcPr>
          <w:p w:rsidR="00CF3492" w:rsidRPr="001032EF" w:rsidRDefault="00CF3492" w:rsidP="001032EF">
            <w:pPr>
              <w:spacing w:before="20" w:after="20"/>
              <w:jc w:val="right"/>
              <w:rPr>
                <w:b/>
                <w:sz w:val="20"/>
                <w:szCs w:val="20"/>
              </w:rPr>
            </w:pPr>
            <w:r w:rsidRPr="001032EF">
              <w:rPr>
                <w:b/>
                <w:sz w:val="20"/>
                <w:szCs w:val="20"/>
              </w:rPr>
              <w:t>697</w:t>
            </w:r>
          </w:p>
        </w:tc>
        <w:tc>
          <w:tcPr>
            <w:tcW w:w="1134" w:type="dxa"/>
            <w:tcBorders>
              <w:top w:val="single" w:sz="4" w:space="0" w:color="auto"/>
              <w:bottom w:val="single" w:sz="4" w:space="0" w:color="auto"/>
            </w:tcBorders>
            <w:vAlign w:val="bottom"/>
          </w:tcPr>
          <w:p w:rsidR="00CF3492" w:rsidRPr="001032EF" w:rsidRDefault="00CF3492" w:rsidP="001032EF">
            <w:pPr>
              <w:spacing w:before="20" w:after="20"/>
              <w:ind w:right="33"/>
              <w:jc w:val="right"/>
              <w:rPr>
                <w:b/>
                <w:sz w:val="20"/>
                <w:szCs w:val="20"/>
              </w:rPr>
            </w:pPr>
            <w:r w:rsidRPr="001032EF">
              <w:rPr>
                <w:b/>
                <w:sz w:val="20"/>
                <w:szCs w:val="20"/>
              </w:rPr>
              <w:t>47,913</w:t>
            </w:r>
          </w:p>
        </w:tc>
        <w:tc>
          <w:tcPr>
            <w:tcW w:w="2268" w:type="dxa"/>
            <w:tcBorders>
              <w:top w:val="single" w:sz="4" w:space="0" w:color="auto"/>
              <w:bottom w:val="single" w:sz="4" w:space="0" w:color="auto"/>
            </w:tcBorders>
            <w:vAlign w:val="bottom"/>
          </w:tcPr>
          <w:p w:rsidR="00CF3492" w:rsidRPr="001032EF" w:rsidRDefault="00CF3492" w:rsidP="001032EF">
            <w:pPr>
              <w:spacing w:before="20" w:after="20"/>
              <w:ind w:right="743"/>
              <w:jc w:val="right"/>
              <w:rPr>
                <w:b/>
                <w:sz w:val="20"/>
                <w:szCs w:val="20"/>
              </w:rPr>
            </w:pPr>
            <w:r w:rsidRPr="001032EF">
              <w:rPr>
                <w:b/>
                <w:sz w:val="20"/>
                <w:szCs w:val="20"/>
              </w:rPr>
              <w:t>697</w:t>
            </w:r>
          </w:p>
        </w:tc>
      </w:tr>
    </w:tbl>
    <w:p w:rsidR="00685BE5" w:rsidRPr="007D2274" w:rsidRDefault="00685BE5" w:rsidP="00AE4C3A">
      <w:pPr>
        <w:pStyle w:val="NILSReference"/>
      </w:pPr>
      <w:r w:rsidRPr="007D2274">
        <w:t xml:space="preserve">Source: 2014 NDIS DSP outlet survey, Questions A5 and B1. </w:t>
      </w:r>
    </w:p>
    <w:p w:rsidR="0078325B" w:rsidRDefault="0078325B" w:rsidP="00AE4C3A"/>
    <w:p w:rsidR="00685BE5" w:rsidRDefault="00685BE5" w:rsidP="00AE4C3A">
      <w:r>
        <w:t>Table 4.2 gives a more detailed profile of the range of outlet sizes, as measured by the number of PAYG employees. Across outlets, there was a wide range of size, with 16 per cent indicating fewer than 5 employees but also 15 per cent with 100 employees</w:t>
      </w:r>
      <w:r w:rsidDel="0082283A">
        <w:t xml:space="preserve"> </w:t>
      </w:r>
      <w:r>
        <w:t>or more. The most common staff size was 20 to 49 employees (20 per cent of outlets).</w:t>
      </w:r>
    </w:p>
    <w:p w:rsidR="0078325B" w:rsidRDefault="0078325B" w:rsidP="00AE4C3A"/>
    <w:p w:rsidR="00685BE5" w:rsidRPr="008D279C" w:rsidRDefault="00685BE5" w:rsidP="0044684E">
      <w:pPr>
        <w:pStyle w:val="NILSTableHeading"/>
      </w:pPr>
      <w:bookmarkStart w:id="488" w:name="_Toc428279206"/>
      <w:bookmarkStart w:id="489" w:name="_Toc449955335"/>
      <w:r>
        <w:t>Table 4.2</w:t>
      </w:r>
      <w:r w:rsidRPr="008D279C">
        <w:t xml:space="preserve">: </w:t>
      </w:r>
      <w:r>
        <w:t>Distribution</w:t>
      </w:r>
      <w:r w:rsidRPr="008D279C">
        <w:t xml:space="preserve"> of </w:t>
      </w:r>
      <w:r>
        <w:t>PAYG employees in outlets</w:t>
      </w:r>
      <w:bookmarkEnd w:id="488"/>
      <w:bookmarkEnd w:id="489"/>
      <w:r>
        <w:t xml:space="preserve"> </w:t>
      </w:r>
    </w:p>
    <w:tbl>
      <w:tblPr>
        <w:tblW w:w="4219" w:type="dxa"/>
        <w:tblLayout w:type="fixed"/>
        <w:tblLook w:val="0000" w:firstRow="0" w:lastRow="0" w:firstColumn="0" w:lastColumn="0" w:noHBand="0" w:noVBand="0"/>
        <w:tblCaption w:val="Table 4.2 Distribution of PAYG employees in outlets "/>
      </w:tblPr>
      <w:tblGrid>
        <w:gridCol w:w="3510"/>
        <w:gridCol w:w="709"/>
      </w:tblGrid>
      <w:tr w:rsidR="00685BE5" w:rsidRPr="00A415AD" w:rsidTr="00182881">
        <w:trPr>
          <w:cantSplit/>
          <w:trHeight w:val="254"/>
          <w:tblHeader/>
        </w:trPr>
        <w:tc>
          <w:tcPr>
            <w:tcW w:w="3510" w:type="dxa"/>
            <w:tcBorders>
              <w:top w:val="single" w:sz="4" w:space="0" w:color="auto"/>
              <w:bottom w:val="single" w:sz="4" w:space="0" w:color="auto"/>
            </w:tcBorders>
            <w:vAlign w:val="center"/>
          </w:tcPr>
          <w:p w:rsidR="00685BE5" w:rsidRPr="001032EF" w:rsidRDefault="00016778" w:rsidP="001032EF">
            <w:pPr>
              <w:rPr>
                <w:sz w:val="20"/>
                <w:szCs w:val="20"/>
              </w:rPr>
            </w:pPr>
            <w:bookmarkStart w:id="490" w:name="Title_4_2"/>
            <w:bookmarkEnd w:id="490"/>
            <w:r>
              <w:rPr>
                <w:sz w:val="20"/>
                <w:szCs w:val="20"/>
              </w:rPr>
              <w:t>Number of employees</w:t>
            </w:r>
          </w:p>
        </w:tc>
        <w:tc>
          <w:tcPr>
            <w:tcW w:w="709" w:type="dxa"/>
            <w:tcBorders>
              <w:top w:val="single" w:sz="4" w:space="0" w:color="auto"/>
              <w:bottom w:val="single" w:sz="4" w:space="0" w:color="auto"/>
            </w:tcBorders>
            <w:vAlign w:val="center"/>
          </w:tcPr>
          <w:p w:rsidR="00685BE5" w:rsidRPr="001032EF" w:rsidRDefault="002456D4" w:rsidP="00182881">
            <w:pPr>
              <w:jc w:val="center"/>
              <w:rPr>
                <w:sz w:val="20"/>
                <w:szCs w:val="20"/>
              </w:rPr>
            </w:pPr>
            <w:r>
              <w:rPr>
                <w:sz w:val="20"/>
                <w:szCs w:val="20"/>
              </w:rPr>
              <w:t>%</w:t>
            </w:r>
          </w:p>
        </w:tc>
      </w:tr>
      <w:tr w:rsidR="00685BE5" w:rsidRPr="00A415AD" w:rsidTr="00182881">
        <w:trPr>
          <w:trHeight w:val="254"/>
        </w:trPr>
        <w:tc>
          <w:tcPr>
            <w:tcW w:w="3510" w:type="dxa"/>
            <w:tcBorders>
              <w:top w:val="single" w:sz="4" w:space="0" w:color="auto"/>
            </w:tcBorders>
            <w:vAlign w:val="center"/>
          </w:tcPr>
          <w:p w:rsidR="00685BE5" w:rsidRPr="001032EF" w:rsidRDefault="00685BE5" w:rsidP="001032EF">
            <w:pPr>
              <w:rPr>
                <w:sz w:val="20"/>
                <w:szCs w:val="20"/>
              </w:rPr>
            </w:pPr>
            <w:r w:rsidRPr="001032EF">
              <w:rPr>
                <w:sz w:val="20"/>
                <w:szCs w:val="20"/>
              </w:rPr>
              <w:t>0 to 4</w:t>
            </w:r>
          </w:p>
        </w:tc>
        <w:tc>
          <w:tcPr>
            <w:tcW w:w="709" w:type="dxa"/>
            <w:tcBorders>
              <w:top w:val="single" w:sz="4" w:space="0" w:color="auto"/>
            </w:tcBorders>
            <w:vAlign w:val="bottom"/>
          </w:tcPr>
          <w:p w:rsidR="00685BE5" w:rsidRPr="001032EF" w:rsidRDefault="00685BE5" w:rsidP="001032EF">
            <w:pPr>
              <w:ind w:right="-11"/>
              <w:jc w:val="right"/>
              <w:rPr>
                <w:sz w:val="20"/>
                <w:szCs w:val="20"/>
              </w:rPr>
            </w:pPr>
            <w:r w:rsidRPr="001032EF">
              <w:rPr>
                <w:sz w:val="20"/>
                <w:szCs w:val="20"/>
              </w:rPr>
              <w:t>15.6</w:t>
            </w:r>
          </w:p>
        </w:tc>
      </w:tr>
      <w:tr w:rsidR="00685BE5" w:rsidRPr="00A415AD" w:rsidTr="00182881">
        <w:trPr>
          <w:trHeight w:val="254"/>
        </w:trPr>
        <w:tc>
          <w:tcPr>
            <w:tcW w:w="3510" w:type="dxa"/>
            <w:vAlign w:val="center"/>
          </w:tcPr>
          <w:p w:rsidR="00685BE5" w:rsidRPr="001032EF" w:rsidRDefault="00685BE5" w:rsidP="001032EF">
            <w:pPr>
              <w:rPr>
                <w:sz w:val="20"/>
                <w:szCs w:val="20"/>
              </w:rPr>
            </w:pPr>
            <w:r w:rsidRPr="001032EF">
              <w:rPr>
                <w:sz w:val="20"/>
                <w:szCs w:val="20"/>
              </w:rPr>
              <w:t>5 to 9</w:t>
            </w:r>
          </w:p>
        </w:tc>
        <w:tc>
          <w:tcPr>
            <w:tcW w:w="709" w:type="dxa"/>
            <w:vAlign w:val="bottom"/>
          </w:tcPr>
          <w:p w:rsidR="00685BE5" w:rsidRPr="001032EF" w:rsidRDefault="00685BE5" w:rsidP="001032EF">
            <w:pPr>
              <w:ind w:right="-11"/>
              <w:jc w:val="right"/>
              <w:rPr>
                <w:sz w:val="20"/>
                <w:szCs w:val="20"/>
              </w:rPr>
            </w:pPr>
            <w:r w:rsidRPr="001032EF">
              <w:rPr>
                <w:sz w:val="20"/>
                <w:szCs w:val="20"/>
              </w:rPr>
              <w:t>17.9</w:t>
            </w:r>
          </w:p>
        </w:tc>
      </w:tr>
      <w:tr w:rsidR="00685BE5" w:rsidRPr="00A415AD" w:rsidTr="00182881">
        <w:trPr>
          <w:trHeight w:val="254"/>
        </w:trPr>
        <w:tc>
          <w:tcPr>
            <w:tcW w:w="3510" w:type="dxa"/>
            <w:vAlign w:val="center"/>
          </w:tcPr>
          <w:p w:rsidR="00685BE5" w:rsidRPr="001032EF" w:rsidRDefault="00685BE5" w:rsidP="001032EF">
            <w:pPr>
              <w:rPr>
                <w:sz w:val="20"/>
                <w:szCs w:val="20"/>
              </w:rPr>
            </w:pPr>
            <w:r w:rsidRPr="001032EF">
              <w:rPr>
                <w:sz w:val="20"/>
                <w:szCs w:val="20"/>
              </w:rPr>
              <w:t>10 to 19</w:t>
            </w:r>
          </w:p>
        </w:tc>
        <w:tc>
          <w:tcPr>
            <w:tcW w:w="709" w:type="dxa"/>
            <w:vAlign w:val="bottom"/>
          </w:tcPr>
          <w:p w:rsidR="00685BE5" w:rsidRPr="001032EF" w:rsidRDefault="00685BE5" w:rsidP="001032EF">
            <w:pPr>
              <w:ind w:right="-11"/>
              <w:jc w:val="right"/>
              <w:rPr>
                <w:sz w:val="20"/>
                <w:szCs w:val="20"/>
              </w:rPr>
            </w:pPr>
            <w:r w:rsidRPr="001032EF">
              <w:rPr>
                <w:sz w:val="20"/>
                <w:szCs w:val="20"/>
              </w:rPr>
              <w:t>15.9</w:t>
            </w:r>
          </w:p>
        </w:tc>
      </w:tr>
      <w:tr w:rsidR="00685BE5" w:rsidRPr="00A415AD" w:rsidTr="00182881">
        <w:trPr>
          <w:trHeight w:val="254"/>
        </w:trPr>
        <w:tc>
          <w:tcPr>
            <w:tcW w:w="3510" w:type="dxa"/>
            <w:vAlign w:val="center"/>
          </w:tcPr>
          <w:p w:rsidR="00685BE5" w:rsidRPr="001032EF" w:rsidRDefault="00685BE5" w:rsidP="001032EF">
            <w:pPr>
              <w:rPr>
                <w:sz w:val="20"/>
                <w:szCs w:val="20"/>
              </w:rPr>
            </w:pPr>
            <w:r w:rsidRPr="001032EF">
              <w:rPr>
                <w:sz w:val="20"/>
                <w:szCs w:val="20"/>
              </w:rPr>
              <w:t>20 to 49</w:t>
            </w:r>
          </w:p>
        </w:tc>
        <w:tc>
          <w:tcPr>
            <w:tcW w:w="709" w:type="dxa"/>
            <w:vAlign w:val="bottom"/>
          </w:tcPr>
          <w:p w:rsidR="00685BE5" w:rsidRPr="001032EF" w:rsidRDefault="00685BE5" w:rsidP="001032EF">
            <w:pPr>
              <w:ind w:right="-11"/>
              <w:jc w:val="right"/>
              <w:rPr>
                <w:sz w:val="20"/>
                <w:szCs w:val="20"/>
              </w:rPr>
            </w:pPr>
            <w:r w:rsidRPr="001032EF">
              <w:rPr>
                <w:sz w:val="20"/>
                <w:szCs w:val="20"/>
              </w:rPr>
              <w:t>20.2</w:t>
            </w:r>
          </w:p>
        </w:tc>
      </w:tr>
      <w:tr w:rsidR="00685BE5" w:rsidRPr="00A415AD" w:rsidTr="00182881">
        <w:trPr>
          <w:trHeight w:val="254"/>
        </w:trPr>
        <w:tc>
          <w:tcPr>
            <w:tcW w:w="3510" w:type="dxa"/>
            <w:vAlign w:val="center"/>
          </w:tcPr>
          <w:p w:rsidR="00685BE5" w:rsidRPr="001032EF" w:rsidRDefault="00685BE5" w:rsidP="001032EF">
            <w:pPr>
              <w:rPr>
                <w:sz w:val="20"/>
                <w:szCs w:val="20"/>
              </w:rPr>
            </w:pPr>
            <w:r w:rsidRPr="001032EF">
              <w:rPr>
                <w:sz w:val="20"/>
                <w:szCs w:val="20"/>
              </w:rPr>
              <w:t>50 to 99</w:t>
            </w:r>
          </w:p>
        </w:tc>
        <w:tc>
          <w:tcPr>
            <w:tcW w:w="709" w:type="dxa"/>
            <w:vAlign w:val="bottom"/>
          </w:tcPr>
          <w:p w:rsidR="00685BE5" w:rsidRPr="001032EF" w:rsidRDefault="00685BE5" w:rsidP="001032EF">
            <w:pPr>
              <w:ind w:right="-11"/>
              <w:jc w:val="right"/>
              <w:rPr>
                <w:sz w:val="20"/>
                <w:szCs w:val="20"/>
              </w:rPr>
            </w:pPr>
            <w:r w:rsidRPr="001032EF">
              <w:rPr>
                <w:sz w:val="20"/>
                <w:szCs w:val="20"/>
              </w:rPr>
              <w:t>12.5</w:t>
            </w:r>
          </w:p>
        </w:tc>
      </w:tr>
      <w:tr w:rsidR="00685BE5" w:rsidRPr="00A415AD" w:rsidTr="00182881">
        <w:trPr>
          <w:trHeight w:val="254"/>
        </w:trPr>
        <w:tc>
          <w:tcPr>
            <w:tcW w:w="3510" w:type="dxa"/>
            <w:vAlign w:val="center"/>
          </w:tcPr>
          <w:p w:rsidR="00685BE5" w:rsidRPr="001032EF" w:rsidRDefault="00685BE5" w:rsidP="001032EF">
            <w:pPr>
              <w:rPr>
                <w:sz w:val="20"/>
                <w:szCs w:val="20"/>
              </w:rPr>
            </w:pPr>
            <w:r w:rsidRPr="001032EF">
              <w:rPr>
                <w:sz w:val="20"/>
                <w:szCs w:val="20"/>
              </w:rPr>
              <w:t>100 or more</w:t>
            </w:r>
          </w:p>
        </w:tc>
        <w:tc>
          <w:tcPr>
            <w:tcW w:w="709" w:type="dxa"/>
            <w:vAlign w:val="bottom"/>
          </w:tcPr>
          <w:p w:rsidR="00685BE5" w:rsidRPr="001032EF" w:rsidRDefault="00685BE5" w:rsidP="001032EF">
            <w:pPr>
              <w:ind w:right="-11"/>
              <w:jc w:val="right"/>
              <w:rPr>
                <w:sz w:val="20"/>
                <w:szCs w:val="20"/>
              </w:rPr>
            </w:pPr>
            <w:r w:rsidRPr="001032EF">
              <w:rPr>
                <w:sz w:val="20"/>
                <w:szCs w:val="20"/>
              </w:rPr>
              <w:t>15.1</w:t>
            </w:r>
          </w:p>
        </w:tc>
      </w:tr>
      <w:tr w:rsidR="00685BE5" w:rsidRPr="00A415AD" w:rsidTr="00182881">
        <w:trPr>
          <w:trHeight w:val="254"/>
        </w:trPr>
        <w:tc>
          <w:tcPr>
            <w:tcW w:w="3510" w:type="dxa"/>
            <w:tcBorders>
              <w:bottom w:val="single" w:sz="4" w:space="0" w:color="auto"/>
            </w:tcBorders>
            <w:vAlign w:val="center"/>
          </w:tcPr>
          <w:p w:rsidR="00685BE5" w:rsidRPr="001032EF" w:rsidRDefault="00685BE5" w:rsidP="001032EF">
            <w:pPr>
              <w:rPr>
                <w:sz w:val="20"/>
                <w:szCs w:val="20"/>
              </w:rPr>
            </w:pPr>
            <w:r w:rsidRPr="001032EF">
              <w:rPr>
                <w:sz w:val="20"/>
                <w:szCs w:val="20"/>
              </w:rPr>
              <w:t xml:space="preserve">Question not answered </w:t>
            </w:r>
          </w:p>
        </w:tc>
        <w:tc>
          <w:tcPr>
            <w:tcW w:w="709" w:type="dxa"/>
            <w:tcBorders>
              <w:bottom w:val="single" w:sz="4" w:space="0" w:color="auto"/>
            </w:tcBorders>
            <w:vAlign w:val="bottom"/>
          </w:tcPr>
          <w:p w:rsidR="00685BE5" w:rsidRPr="001032EF" w:rsidRDefault="00685BE5" w:rsidP="001032EF">
            <w:pPr>
              <w:ind w:right="-11"/>
              <w:jc w:val="right"/>
              <w:rPr>
                <w:sz w:val="20"/>
                <w:szCs w:val="20"/>
              </w:rPr>
            </w:pPr>
            <w:r w:rsidRPr="001032EF">
              <w:rPr>
                <w:sz w:val="20"/>
                <w:szCs w:val="20"/>
              </w:rPr>
              <w:t>2.7</w:t>
            </w:r>
          </w:p>
        </w:tc>
      </w:tr>
      <w:tr w:rsidR="00685BE5" w:rsidRPr="00A415AD" w:rsidTr="00182881">
        <w:trPr>
          <w:trHeight w:val="254"/>
        </w:trPr>
        <w:tc>
          <w:tcPr>
            <w:tcW w:w="3510" w:type="dxa"/>
            <w:tcBorders>
              <w:top w:val="single" w:sz="4" w:space="0" w:color="auto"/>
              <w:bottom w:val="single" w:sz="4" w:space="0" w:color="auto"/>
            </w:tcBorders>
            <w:vAlign w:val="center"/>
          </w:tcPr>
          <w:p w:rsidR="00685BE5" w:rsidRPr="001032EF" w:rsidRDefault="00685BE5" w:rsidP="001032EF">
            <w:pPr>
              <w:rPr>
                <w:b/>
                <w:sz w:val="20"/>
                <w:szCs w:val="20"/>
              </w:rPr>
            </w:pPr>
            <w:r w:rsidRPr="001032EF">
              <w:rPr>
                <w:b/>
                <w:sz w:val="20"/>
                <w:szCs w:val="20"/>
              </w:rPr>
              <w:t xml:space="preserve"> Total number of outlets  697</w:t>
            </w:r>
          </w:p>
        </w:tc>
        <w:tc>
          <w:tcPr>
            <w:tcW w:w="709" w:type="dxa"/>
            <w:tcBorders>
              <w:top w:val="single" w:sz="4" w:space="0" w:color="auto"/>
              <w:bottom w:val="single" w:sz="4" w:space="0" w:color="auto"/>
            </w:tcBorders>
            <w:vAlign w:val="bottom"/>
          </w:tcPr>
          <w:p w:rsidR="00685BE5" w:rsidRPr="001032EF" w:rsidRDefault="00685BE5" w:rsidP="001032EF">
            <w:pPr>
              <w:ind w:right="-11"/>
              <w:jc w:val="right"/>
              <w:rPr>
                <w:b/>
                <w:sz w:val="20"/>
                <w:szCs w:val="20"/>
              </w:rPr>
            </w:pPr>
            <w:r w:rsidRPr="001032EF">
              <w:rPr>
                <w:b/>
                <w:sz w:val="20"/>
                <w:szCs w:val="20"/>
              </w:rPr>
              <w:t>100</w:t>
            </w:r>
          </w:p>
        </w:tc>
      </w:tr>
    </w:tbl>
    <w:p w:rsidR="00685BE5" w:rsidRPr="007D2274" w:rsidRDefault="00685BE5" w:rsidP="00AE4C3A">
      <w:pPr>
        <w:pStyle w:val="NILSReference"/>
      </w:pPr>
      <w:r w:rsidRPr="007D2274">
        <w:t xml:space="preserve">Source: 2014 NDIS DSP outlet survey, Question B1. </w:t>
      </w:r>
    </w:p>
    <w:p w:rsidR="0078325B" w:rsidRDefault="0078325B" w:rsidP="00AE4C3A"/>
    <w:p w:rsidR="00685BE5" w:rsidRPr="006B1072" w:rsidRDefault="00685BE5" w:rsidP="00AE4C3A">
      <w:r>
        <w:t>Table 4.3 shows the proportion of outlets currently delivering particular types of disability support to users. Outlets were asked to indicate every type of service they provide. There appears to be some specialisation in service provision as shown by the fact that no service was offered by all 697 of the outlets. On average, outlets provided 3.5 out of a possible 10 types of service. The service most commonly offered was community access (offered by 60 per cent of outlets), followed by personal support (55 per cent). The remaining eight types of service were provided by fewer than half of outlets. Employment was the service least commonly offered (16 per cent of outlets). There is some suggestion that the more capital intensive types of support (accommodation, therapeutic services, aids and equipment) were less frequently offered. It is possible, although cannot</w:t>
      </w:r>
      <w:r w:rsidR="00087948">
        <w:t xml:space="preserve"> be</w:t>
      </w:r>
      <w:r>
        <w:t xml:space="preserve"> know</w:t>
      </w:r>
      <w:r w:rsidR="00087948">
        <w:t>n</w:t>
      </w:r>
      <w:r>
        <w:t xml:space="preserve"> from this </w:t>
      </w:r>
      <w:r>
        <w:lastRenderedPageBreak/>
        <w:t xml:space="preserve">table alone, that the less frequently offered services were also the ones for which there was less demand. </w:t>
      </w:r>
    </w:p>
    <w:p w:rsidR="00685BE5" w:rsidRPr="0086134C" w:rsidRDefault="00685BE5" w:rsidP="0044684E">
      <w:pPr>
        <w:pStyle w:val="NILSTableHeading"/>
      </w:pPr>
      <w:bookmarkStart w:id="491" w:name="_Toc428279207"/>
      <w:bookmarkStart w:id="492" w:name="_Toc449955336"/>
      <w:r w:rsidRPr="0086134C">
        <w:t xml:space="preserve">Table </w:t>
      </w:r>
      <w:r>
        <w:t>4.3</w:t>
      </w:r>
      <w:r w:rsidRPr="0086134C">
        <w:t>:</w:t>
      </w:r>
      <w:r>
        <w:t xml:space="preserve"> </w:t>
      </w:r>
      <w:r w:rsidRPr="0086134C">
        <w:t>Types of disability supp</w:t>
      </w:r>
      <w:r>
        <w:t>ort currently provided</w:t>
      </w:r>
      <w:bookmarkEnd w:id="491"/>
      <w:bookmarkEnd w:id="492"/>
    </w:p>
    <w:tbl>
      <w:tblPr>
        <w:tblW w:w="7621" w:type="dxa"/>
        <w:tblLayout w:type="fixed"/>
        <w:tblLook w:val="0000" w:firstRow="0" w:lastRow="0" w:firstColumn="0" w:lastColumn="0" w:noHBand="0" w:noVBand="0"/>
        <w:tblCaption w:val="Table 4.3 Types of disability support currently provided"/>
      </w:tblPr>
      <w:tblGrid>
        <w:gridCol w:w="5637"/>
        <w:gridCol w:w="1984"/>
      </w:tblGrid>
      <w:tr w:rsidR="00685BE5" w:rsidRPr="003F6098" w:rsidTr="006E6480">
        <w:trPr>
          <w:cantSplit/>
          <w:tblHeader/>
        </w:trPr>
        <w:tc>
          <w:tcPr>
            <w:tcW w:w="5637" w:type="dxa"/>
            <w:tcBorders>
              <w:top w:val="single" w:sz="4" w:space="0" w:color="auto"/>
              <w:bottom w:val="single" w:sz="4" w:space="0" w:color="auto"/>
            </w:tcBorders>
            <w:vAlign w:val="center"/>
          </w:tcPr>
          <w:p w:rsidR="00685BE5" w:rsidRPr="007D2274" w:rsidRDefault="00685BE5" w:rsidP="00AE4C3A">
            <w:pPr>
              <w:spacing w:before="20" w:after="20"/>
              <w:rPr>
                <w:sz w:val="20"/>
                <w:szCs w:val="20"/>
              </w:rPr>
            </w:pPr>
            <w:bookmarkStart w:id="493" w:name="Title_4_3"/>
            <w:bookmarkEnd w:id="493"/>
          </w:p>
        </w:tc>
        <w:tc>
          <w:tcPr>
            <w:tcW w:w="1984" w:type="dxa"/>
            <w:tcBorders>
              <w:top w:val="single" w:sz="4" w:space="0" w:color="auto"/>
              <w:bottom w:val="single" w:sz="4" w:space="0" w:color="auto"/>
            </w:tcBorders>
          </w:tcPr>
          <w:p w:rsidR="00AE6806" w:rsidRPr="007D2274" w:rsidRDefault="006E6480" w:rsidP="006E6480">
            <w:pPr>
              <w:spacing w:before="20" w:after="20"/>
              <w:jc w:val="center"/>
              <w:rPr>
                <w:sz w:val="20"/>
                <w:szCs w:val="20"/>
              </w:rPr>
            </w:pPr>
            <w:r>
              <w:rPr>
                <w:sz w:val="20"/>
                <w:szCs w:val="20"/>
              </w:rPr>
              <w:t>Per cent of o</w:t>
            </w:r>
            <w:r w:rsidR="00685BE5" w:rsidRPr="007D2274">
              <w:rPr>
                <w:sz w:val="20"/>
                <w:szCs w:val="20"/>
              </w:rPr>
              <w:t>utlets</w:t>
            </w:r>
          </w:p>
        </w:tc>
      </w:tr>
      <w:tr w:rsidR="00685BE5" w:rsidRPr="005509AD" w:rsidTr="006E6480">
        <w:tc>
          <w:tcPr>
            <w:tcW w:w="5637" w:type="dxa"/>
            <w:tcBorders>
              <w:top w:val="single" w:sz="4" w:space="0" w:color="auto"/>
            </w:tcBorders>
            <w:vAlign w:val="center"/>
          </w:tcPr>
          <w:p w:rsidR="00685BE5" w:rsidRPr="007D2274" w:rsidRDefault="00685BE5" w:rsidP="00AE4C3A">
            <w:pPr>
              <w:spacing w:before="20" w:after="20"/>
              <w:rPr>
                <w:sz w:val="20"/>
                <w:szCs w:val="20"/>
              </w:rPr>
            </w:pPr>
            <w:r w:rsidRPr="007D2274">
              <w:rPr>
                <w:sz w:val="20"/>
                <w:szCs w:val="20"/>
              </w:rPr>
              <w:t>Accommodation support</w:t>
            </w:r>
          </w:p>
        </w:tc>
        <w:tc>
          <w:tcPr>
            <w:tcW w:w="1984" w:type="dxa"/>
            <w:tcBorders>
              <w:top w:val="single" w:sz="4" w:space="0" w:color="auto"/>
            </w:tcBorders>
            <w:vAlign w:val="bottom"/>
          </w:tcPr>
          <w:p w:rsidR="00685BE5" w:rsidRPr="007D2274" w:rsidRDefault="00685BE5" w:rsidP="006E6480">
            <w:pPr>
              <w:tabs>
                <w:tab w:val="decimal" w:pos="884"/>
              </w:tabs>
              <w:spacing w:before="20" w:after="20"/>
              <w:ind w:right="101"/>
              <w:rPr>
                <w:sz w:val="20"/>
                <w:szCs w:val="20"/>
              </w:rPr>
            </w:pPr>
            <w:r w:rsidRPr="007D2274">
              <w:rPr>
                <w:sz w:val="20"/>
                <w:szCs w:val="20"/>
              </w:rPr>
              <w:t>30.0</w:t>
            </w:r>
          </w:p>
        </w:tc>
      </w:tr>
      <w:tr w:rsidR="00685BE5" w:rsidRPr="005509AD" w:rsidTr="006E6480">
        <w:tc>
          <w:tcPr>
            <w:tcW w:w="5637" w:type="dxa"/>
            <w:vAlign w:val="center"/>
          </w:tcPr>
          <w:p w:rsidR="00685BE5" w:rsidRPr="007D2274" w:rsidRDefault="00685BE5" w:rsidP="00AE4C3A">
            <w:pPr>
              <w:spacing w:before="20" w:after="20"/>
              <w:rPr>
                <w:sz w:val="20"/>
                <w:szCs w:val="20"/>
              </w:rPr>
            </w:pPr>
            <w:r w:rsidRPr="007D2274">
              <w:rPr>
                <w:sz w:val="20"/>
                <w:szCs w:val="20"/>
              </w:rPr>
              <w:t>Personal support</w:t>
            </w:r>
          </w:p>
        </w:tc>
        <w:tc>
          <w:tcPr>
            <w:tcW w:w="1984" w:type="dxa"/>
            <w:vAlign w:val="bottom"/>
          </w:tcPr>
          <w:p w:rsidR="00685BE5" w:rsidRPr="007D2274" w:rsidRDefault="00685BE5" w:rsidP="006E6480">
            <w:pPr>
              <w:tabs>
                <w:tab w:val="decimal" w:pos="884"/>
              </w:tabs>
              <w:spacing w:before="20" w:after="20"/>
              <w:ind w:right="101"/>
              <w:rPr>
                <w:sz w:val="20"/>
                <w:szCs w:val="20"/>
              </w:rPr>
            </w:pPr>
            <w:r w:rsidRPr="007D2274">
              <w:rPr>
                <w:sz w:val="20"/>
                <w:szCs w:val="20"/>
              </w:rPr>
              <w:t>54.9</w:t>
            </w:r>
          </w:p>
        </w:tc>
      </w:tr>
      <w:tr w:rsidR="00685BE5" w:rsidRPr="005509AD" w:rsidTr="006E6480">
        <w:tc>
          <w:tcPr>
            <w:tcW w:w="5637" w:type="dxa"/>
            <w:vAlign w:val="center"/>
          </w:tcPr>
          <w:p w:rsidR="00685BE5" w:rsidRPr="007D2274" w:rsidRDefault="00685BE5" w:rsidP="00AE4C3A">
            <w:pPr>
              <w:spacing w:before="20" w:after="20"/>
              <w:rPr>
                <w:sz w:val="20"/>
                <w:szCs w:val="20"/>
              </w:rPr>
            </w:pPr>
            <w:r w:rsidRPr="007D2274">
              <w:rPr>
                <w:sz w:val="20"/>
                <w:szCs w:val="20"/>
              </w:rPr>
              <w:t>Community access</w:t>
            </w:r>
          </w:p>
        </w:tc>
        <w:tc>
          <w:tcPr>
            <w:tcW w:w="1984" w:type="dxa"/>
            <w:vAlign w:val="bottom"/>
          </w:tcPr>
          <w:p w:rsidR="00685BE5" w:rsidRPr="007D2274" w:rsidRDefault="00685BE5" w:rsidP="006E6480">
            <w:pPr>
              <w:tabs>
                <w:tab w:val="decimal" w:pos="884"/>
              </w:tabs>
              <w:spacing w:before="20" w:after="20"/>
              <w:ind w:right="101"/>
              <w:rPr>
                <w:sz w:val="20"/>
                <w:szCs w:val="20"/>
              </w:rPr>
            </w:pPr>
            <w:r w:rsidRPr="007D2274">
              <w:rPr>
                <w:sz w:val="20"/>
                <w:szCs w:val="20"/>
              </w:rPr>
              <w:t>60.1</w:t>
            </w:r>
          </w:p>
        </w:tc>
      </w:tr>
      <w:tr w:rsidR="00685BE5" w:rsidRPr="005509AD" w:rsidTr="006E6480">
        <w:tc>
          <w:tcPr>
            <w:tcW w:w="5637" w:type="dxa"/>
            <w:vAlign w:val="center"/>
          </w:tcPr>
          <w:p w:rsidR="00685BE5" w:rsidRPr="007D2274" w:rsidRDefault="00685BE5" w:rsidP="00AE4C3A">
            <w:pPr>
              <w:spacing w:before="20" w:after="20"/>
              <w:rPr>
                <w:sz w:val="20"/>
                <w:szCs w:val="20"/>
              </w:rPr>
            </w:pPr>
            <w:r w:rsidRPr="007D2274">
              <w:rPr>
                <w:sz w:val="20"/>
                <w:szCs w:val="20"/>
              </w:rPr>
              <w:t>Respite</w:t>
            </w:r>
          </w:p>
        </w:tc>
        <w:tc>
          <w:tcPr>
            <w:tcW w:w="1984" w:type="dxa"/>
            <w:vAlign w:val="bottom"/>
          </w:tcPr>
          <w:p w:rsidR="00685BE5" w:rsidRPr="007D2274" w:rsidRDefault="00685BE5" w:rsidP="006E6480">
            <w:pPr>
              <w:tabs>
                <w:tab w:val="decimal" w:pos="884"/>
              </w:tabs>
              <w:spacing w:before="20" w:after="20"/>
              <w:ind w:right="101"/>
              <w:rPr>
                <w:sz w:val="20"/>
                <w:szCs w:val="20"/>
              </w:rPr>
            </w:pPr>
            <w:r w:rsidRPr="007D2274">
              <w:rPr>
                <w:sz w:val="20"/>
                <w:szCs w:val="20"/>
              </w:rPr>
              <w:t>41.2</w:t>
            </w:r>
          </w:p>
        </w:tc>
      </w:tr>
      <w:tr w:rsidR="00685BE5" w:rsidRPr="005509AD" w:rsidTr="006E6480">
        <w:tc>
          <w:tcPr>
            <w:tcW w:w="5637" w:type="dxa"/>
            <w:vAlign w:val="center"/>
          </w:tcPr>
          <w:p w:rsidR="00685BE5" w:rsidRPr="007D2274" w:rsidRDefault="00685BE5" w:rsidP="00AE4C3A">
            <w:pPr>
              <w:spacing w:before="20" w:after="20"/>
              <w:rPr>
                <w:sz w:val="20"/>
                <w:szCs w:val="20"/>
              </w:rPr>
            </w:pPr>
            <w:r w:rsidRPr="007D2274">
              <w:rPr>
                <w:sz w:val="20"/>
                <w:szCs w:val="20"/>
              </w:rPr>
              <w:t>Employment</w:t>
            </w:r>
          </w:p>
        </w:tc>
        <w:tc>
          <w:tcPr>
            <w:tcW w:w="1984" w:type="dxa"/>
            <w:vAlign w:val="bottom"/>
          </w:tcPr>
          <w:p w:rsidR="00685BE5" w:rsidRPr="007D2274" w:rsidRDefault="00685BE5" w:rsidP="006E6480">
            <w:pPr>
              <w:tabs>
                <w:tab w:val="decimal" w:pos="884"/>
              </w:tabs>
              <w:spacing w:before="20" w:after="20"/>
              <w:ind w:right="101"/>
              <w:rPr>
                <w:sz w:val="20"/>
                <w:szCs w:val="20"/>
              </w:rPr>
            </w:pPr>
            <w:r w:rsidRPr="007D2274">
              <w:rPr>
                <w:sz w:val="20"/>
                <w:szCs w:val="20"/>
              </w:rPr>
              <w:t>16.1</w:t>
            </w:r>
          </w:p>
        </w:tc>
      </w:tr>
      <w:tr w:rsidR="00685BE5" w:rsidRPr="005509AD" w:rsidTr="006E6480">
        <w:tc>
          <w:tcPr>
            <w:tcW w:w="5637" w:type="dxa"/>
            <w:vAlign w:val="center"/>
          </w:tcPr>
          <w:p w:rsidR="00685BE5" w:rsidRPr="007D2274" w:rsidRDefault="00685BE5" w:rsidP="00AE4C3A">
            <w:pPr>
              <w:spacing w:before="20" w:after="20"/>
              <w:rPr>
                <w:sz w:val="20"/>
                <w:szCs w:val="20"/>
              </w:rPr>
            </w:pPr>
            <w:r w:rsidRPr="007D2274">
              <w:rPr>
                <w:sz w:val="20"/>
                <w:szCs w:val="20"/>
              </w:rPr>
              <w:t>Advocacy, information and alternative forms of communication</w:t>
            </w:r>
          </w:p>
        </w:tc>
        <w:tc>
          <w:tcPr>
            <w:tcW w:w="1984" w:type="dxa"/>
            <w:vAlign w:val="bottom"/>
          </w:tcPr>
          <w:p w:rsidR="00685BE5" w:rsidRPr="007D2274" w:rsidRDefault="00685BE5" w:rsidP="006E6480">
            <w:pPr>
              <w:tabs>
                <w:tab w:val="decimal" w:pos="884"/>
              </w:tabs>
              <w:spacing w:before="20" w:after="20"/>
              <w:ind w:right="101"/>
              <w:rPr>
                <w:sz w:val="20"/>
                <w:szCs w:val="20"/>
              </w:rPr>
            </w:pPr>
            <w:r w:rsidRPr="007D2274">
              <w:rPr>
                <w:sz w:val="20"/>
                <w:szCs w:val="20"/>
              </w:rPr>
              <w:t>39.6</w:t>
            </w:r>
          </w:p>
        </w:tc>
      </w:tr>
      <w:tr w:rsidR="00685BE5" w:rsidRPr="005509AD" w:rsidTr="006E6480">
        <w:tc>
          <w:tcPr>
            <w:tcW w:w="5637" w:type="dxa"/>
            <w:vAlign w:val="center"/>
          </w:tcPr>
          <w:p w:rsidR="00685BE5" w:rsidRPr="007D2274" w:rsidRDefault="00685BE5" w:rsidP="00AE4C3A">
            <w:pPr>
              <w:spacing w:before="20" w:after="20"/>
              <w:rPr>
                <w:sz w:val="20"/>
                <w:szCs w:val="20"/>
              </w:rPr>
            </w:pPr>
            <w:r w:rsidRPr="007D2274">
              <w:rPr>
                <w:sz w:val="20"/>
                <w:szCs w:val="20"/>
              </w:rPr>
              <w:t>Early intervention</w:t>
            </w:r>
          </w:p>
        </w:tc>
        <w:tc>
          <w:tcPr>
            <w:tcW w:w="1984" w:type="dxa"/>
            <w:vAlign w:val="bottom"/>
          </w:tcPr>
          <w:p w:rsidR="00685BE5" w:rsidRPr="007D2274" w:rsidRDefault="00685BE5" w:rsidP="006E6480">
            <w:pPr>
              <w:tabs>
                <w:tab w:val="decimal" w:pos="884"/>
              </w:tabs>
              <w:spacing w:before="20" w:after="20"/>
              <w:ind w:right="101"/>
              <w:rPr>
                <w:sz w:val="20"/>
                <w:szCs w:val="20"/>
              </w:rPr>
            </w:pPr>
            <w:r w:rsidRPr="007D2274">
              <w:rPr>
                <w:sz w:val="20"/>
                <w:szCs w:val="20"/>
              </w:rPr>
              <w:t>32.6</w:t>
            </w:r>
          </w:p>
        </w:tc>
      </w:tr>
      <w:tr w:rsidR="00685BE5" w:rsidRPr="005509AD" w:rsidTr="006E6480">
        <w:tc>
          <w:tcPr>
            <w:tcW w:w="5637" w:type="dxa"/>
            <w:vAlign w:val="center"/>
          </w:tcPr>
          <w:p w:rsidR="00685BE5" w:rsidRPr="007D2274" w:rsidRDefault="00685BE5" w:rsidP="00AE4C3A">
            <w:pPr>
              <w:spacing w:before="20" w:after="20"/>
              <w:rPr>
                <w:sz w:val="20"/>
                <w:szCs w:val="20"/>
              </w:rPr>
            </w:pPr>
            <w:r w:rsidRPr="007D2274">
              <w:rPr>
                <w:sz w:val="20"/>
                <w:szCs w:val="20"/>
              </w:rPr>
              <w:t>Aids and equipment</w:t>
            </w:r>
          </w:p>
        </w:tc>
        <w:tc>
          <w:tcPr>
            <w:tcW w:w="1984" w:type="dxa"/>
            <w:vAlign w:val="bottom"/>
          </w:tcPr>
          <w:p w:rsidR="00685BE5" w:rsidRPr="007D2274" w:rsidRDefault="00685BE5" w:rsidP="006E6480">
            <w:pPr>
              <w:tabs>
                <w:tab w:val="decimal" w:pos="884"/>
              </w:tabs>
              <w:spacing w:before="20" w:after="20"/>
              <w:ind w:right="101"/>
              <w:rPr>
                <w:sz w:val="20"/>
                <w:szCs w:val="20"/>
              </w:rPr>
            </w:pPr>
            <w:r w:rsidRPr="007D2274">
              <w:rPr>
                <w:sz w:val="20"/>
                <w:szCs w:val="20"/>
              </w:rPr>
              <w:t>21.8</w:t>
            </w:r>
          </w:p>
        </w:tc>
      </w:tr>
      <w:tr w:rsidR="00685BE5" w:rsidRPr="005509AD" w:rsidTr="006E6480">
        <w:tc>
          <w:tcPr>
            <w:tcW w:w="5637" w:type="dxa"/>
            <w:vAlign w:val="center"/>
          </w:tcPr>
          <w:p w:rsidR="00685BE5" w:rsidRPr="007D2274" w:rsidRDefault="00685BE5" w:rsidP="00AE4C3A">
            <w:pPr>
              <w:spacing w:before="20" w:after="20"/>
              <w:rPr>
                <w:sz w:val="20"/>
                <w:szCs w:val="20"/>
              </w:rPr>
            </w:pPr>
            <w:r w:rsidRPr="007D2274">
              <w:rPr>
                <w:sz w:val="20"/>
                <w:szCs w:val="20"/>
              </w:rPr>
              <w:t>Therapeutic services</w:t>
            </w:r>
          </w:p>
        </w:tc>
        <w:tc>
          <w:tcPr>
            <w:tcW w:w="1984" w:type="dxa"/>
            <w:vAlign w:val="bottom"/>
          </w:tcPr>
          <w:p w:rsidR="00685BE5" w:rsidRPr="007D2274" w:rsidRDefault="00685BE5" w:rsidP="006E6480">
            <w:pPr>
              <w:tabs>
                <w:tab w:val="decimal" w:pos="884"/>
              </w:tabs>
              <w:spacing w:before="20" w:after="20"/>
              <w:ind w:right="101"/>
              <w:rPr>
                <w:sz w:val="20"/>
                <w:szCs w:val="20"/>
              </w:rPr>
            </w:pPr>
            <w:r w:rsidRPr="007D2274">
              <w:rPr>
                <w:sz w:val="20"/>
                <w:szCs w:val="20"/>
              </w:rPr>
              <w:t>30.7</w:t>
            </w:r>
          </w:p>
        </w:tc>
      </w:tr>
      <w:tr w:rsidR="00685BE5" w:rsidRPr="005509AD" w:rsidTr="006E6480">
        <w:tc>
          <w:tcPr>
            <w:tcW w:w="5637" w:type="dxa"/>
            <w:vAlign w:val="center"/>
          </w:tcPr>
          <w:p w:rsidR="00685BE5" w:rsidRPr="007D2274" w:rsidRDefault="00685BE5" w:rsidP="00AE4C3A">
            <w:pPr>
              <w:spacing w:before="20" w:after="20"/>
              <w:rPr>
                <w:sz w:val="20"/>
                <w:szCs w:val="20"/>
              </w:rPr>
            </w:pPr>
            <w:r w:rsidRPr="007D2274">
              <w:rPr>
                <w:sz w:val="20"/>
                <w:szCs w:val="20"/>
              </w:rPr>
              <w:t>Other</w:t>
            </w:r>
          </w:p>
        </w:tc>
        <w:tc>
          <w:tcPr>
            <w:tcW w:w="1984" w:type="dxa"/>
            <w:vAlign w:val="bottom"/>
          </w:tcPr>
          <w:p w:rsidR="00685BE5" w:rsidRPr="007D2274" w:rsidRDefault="00685BE5" w:rsidP="006E6480">
            <w:pPr>
              <w:tabs>
                <w:tab w:val="decimal" w:pos="884"/>
              </w:tabs>
              <w:spacing w:before="20" w:after="20"/>
              <w:ind w:right="101"/>
              <w:rPr>
                <w:sz w:val="20"/>
                <w:szCs w:val="20"/>
              </w:rPr>
            </w:pPr>
            <w:r w:rsidRPr="007D2274">
              <w:rPr>
                <w:sz w:val="20"/>
                <w:szCs w:val="20"/>
              </w:rPr>
              <w:t>21.7</w:t>
            </w:r>
          </w:p>
        </w:tc>
      </w:tr>
      <w:tr w:rsidR="00685BE5" w:rsidRPr="005509AD" w:rsidTr="006E6480">
        <w:tc>
          <w:tcPr>
            <w:tcW w:w="5637" w:type="dxa"/>
            <w:tcBorders>
              <w:bottom w:val="single" w:sz="4" w:space="0" w:color="auto"/>
            </w:tcBorders>
            <w:vAlign w:val="center"/>
          </w:tcPr>
          <w:p w:rsidR="00685BE5" w:rsidRPr="005C469C" w:rsidRDefault="00685BE5" w:rsidP="00AE4C3A">
            <w:pPr>
              <w:spacing w:before="20" w:after="20"/>
              <w:rPr>
                <w:sz w:val="20"/>
                <w:szCs w:val="20"/>
              </w:rPr>
            </w:pPr>
            <w:r w:rsidRPr="005C469C">
              <w:rPr>
                <w:sz w:val="20"/>
                <w:szCs w:val="20"/>
              </w:rPr>
              <w:t xml:space="preserve">Question not answered </w:t>
            </w:r>
          </w:p>
        </w:tc>
        <w:tc>
          <w:tcPr>
            <w:tcW w:w="1984" w:type="dxa"/>
            <w:tcBorders>
              <w:bottom w:val="single" w:sz="4" w:space="0" w:color="auto"/>
            </w:tcBorders>
            <w:vAlign w:val="bottom"/>
          </w:tcPr>
          <w:p w:rsidR="00685BE5" w:rsidRPr="007D2274" w:rsidRDefault="00685BE5" w:rsidP="006E6480">
            <w:pPr>
              <w:tabs>
                <w:tab w:val="decimal" w:pos="884"/>
              </w:tabs>
              <w:spacing w:before="20" w:after="20"/>
              <w:ind w:right="101"/>
              <w:rPr>
                <w:b/>
                <w:color w:val="EEECE1" w:themeColor="background2"/>
                <w:sz w:val="20"/>
                <w:szCs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7D2274">
              <w:rPr>
                <w:sz w:val="20"/>
                <w:szCs w:val="20"/>
              </w:rPr>
              <w:t>0.6</w:t>
            </w:r>
          </w:p>
        </w:tc>
      </w:tr>
      <w:tr w:rsidR="00685BE5" w:rsidRPr="003F6098" w:rsidTr="006E6480">
        <w:tc>
          <w:tcPr>
            <w:tcW w:w="5637" w:type="dxa"/>
            <w:tcBorders>
              <w:top w:val="single" w:sz="4" w:space="0" w:color="auto"/>
              <w:bottom w:val="single" w:sz="4" w:space="0" w:color="auto"/>
            </w:tcBorders>
            <w:vAlign w:val="center"/>
          </w:tcPr>
          <w:p w:rsidR="00685BE5" w:rsidRPr="007D2274" w:rsidRDefault="00685BE5" w:rsidP="00AE4C3A">
            <w:pPr>
              <w:spacing w:before="20" w:after="20"/>
              <w:rPr>
                <w:b/>
                <w:sz w:val="20"/>
                <w:szCs w:val="20"/>
              </w:rPr>
            </w:pPr>
            <w:r w:rsidRPr="007D2274">
              <w:rPr>
                <w:b/>
                <w:sz w:val="20"/>
                <w:szCs w:val="20"/>
              </w:rPr>
              <w:t>Total number of outlets</w:t>
            </w:r>
            <w:r w:rsidRPr="007D2274">
              <w:rPr>
                <w:b/>
                <w:sz w:val="20"/>
                <w:szCs w:val="20"/>
              </w:rPr>
              <w:tab/>
              <w:t>697</w:t>
            </w:r>
          </w:p>
        </w:tc>
        <w:tc>
          <w:tcPr>
            <w:tcW w:w="1984" w:type="dxa"/>
            <w:tcBorders>
              <w:top w:val="single" w:sz="4" w:space="0" w:color="auto"/>
              <w:bottom w:val="single" w:sz="4" w:space="0" w:color="auto"/>
            </w:tcBorders>
            <w:vAlign w:val="bottom"/>
          </w:tcPr>
          <w:p w:rsidR="00685BE5" w:rsidRPr="007D2274" w:rsidRDefault="00685BE5" w:rsidP="006E6480">
            <w:pPr>
              <w:tabs>
                <w:tab w:val="decimal" w:pos="708"/>
                <w:tab w:val="decimal" w:pos="884"/>
              </w:tabs>
              <w:spacing w:before="20" w:after="20"/>
              <w:ind w:right="101"/>
              <w:rPr>
                <w:b/>
                <w:sz w:val="20"/>
                <w:szCs w:val="20"/>
              </w:rPr>
            </w:pPr>
          </w:p>
        </w:tc>
      </w:tr>
    </w:tbl>
    <w:p w:rsidR="00685BE5" w:rsidRPr="007D2274" w:rsidRDefault="00685BE5" w:rsidP="00AE4C3A">
      <w:pPr>
        <w:pStyle w:val="NILSReference"/>
      </w:pPr>
      <w:r w:rsidRPr="007D2274">
        <w:t>Source: 2014 NDIS DSP outlet survey, Question A9.</w:t>
      </w:r>
    </w:p>
    <w:p w:rsidR="00685BE5" w:rsidRPr="007D2274" w:rsidRDefault="00685BE5" w:rsidP="00AE4C3A">
      <w:pPr>
        <w:pStyle w:val="NILSReference"/>
      </w:pPr>
      <w:r w:rsidRPr="007D2274">
        <w:t>Note: Multiple responses allowed.</w:t>
      </w:r>
    </w:p>
    <w:p w:rsidR="0078325B" w:rsidRDefault="0078325B" w:rsidP="00AE4C3A">
      <w:pPr>
        <w:rPr>
          <w:rFonts w:cstheme="minorHAnsi"/>
        </w:rPr>
      </w:pPr>
    </w:p>
    <w:p w:rsidR="00685BE5" w:rsidRDefault="00685BE5" w:rsidP="00AE4C3A">
      <w:pPr>
        <w:rPr>
          <w:rFonts w:cstheme="minorHAnsi"/>
        </w:rPr>
      </w:pPr>
      <w:r>
        <w:rPr>
          <w:rFonts w:cstheme="minorHAnsi"/>
        </w:rPr>
        <w:t xml:space="preserve">Table 4.4 considers the users of the outlets’ disability services, in terms of their age and primary disability type. Again this was a multiple response question, and each entry can be up to 100 per cent. There are ten disability types listed and five age groups. To illustrate how to read the table, consider the first cell, with the number 22.2. This says that 22.2 per cent of facilities had among their client group children aged 0-4 years who had a physical disability as their primary disability type. Similarly, </w:t>
      </w:r>
      <w:r w:rsidR="0090288F">
        <w:rPr>
          <w:rFonts w:cstheme="minorHAnsi"/>
        </w:rPr>
        <w:t>when</w:t>
      </w:r>
      <w:r>
        <w:rPr>
          <w:rFonts w:cstheme="minorHAnsi"/>
        </w:rPr>
        <w:t xml:space="preserve"> consider</w:t>
      </w:r>
      <w:r w:rsidR="0090288F">
        <w:rPr>
          <w:rFonts w:cstheme="minorHAnsi"/>
        </w:rPr>
        <w:t>ing</w:t>
      </w:r>
      <w:r>
        <w:rPr>
          <w:rFonts w:cstheme="minorHAnsi"/>
        </w:rPr>
        <w:t xml:space="preserve"> psychiatric disability, 27 per cent of outlets had clients with this condition and who were aged 25-64 years. The bolded row ‘any type of disability’ shows a construct which in each entry reflects whether outlets recorded ‘users with any type of disability are provided services in this age group’. Similarly the bolded column ‘users with this disability type of any age’ shows whether outlets recorded that services were provided for this disability type for any age group. </w:t>
      </w:r>
    </w:p>
    <w:p w:rsidR="0078325B" w:rsidRDefault="0078325B" w:rsidP="00AE4C3A">
      <w:pPr>
        <w:rPr>
          <w:rFonts w:cstheme="minorHAnsi"/>
        </w:rPr>
      </w:pPr>
    </w:p>
    <w:p w:rsidR="00685BE5" w:rsidRDefault="00685BE5" w:rsidP="00AE4C3A">
      <w:pPr>
        <w:rPr>
          <w:rFonts w:cstheme="minorHAnsi"/>
        </w:rPr>
      </w:pPr>
      <w:r>
        <w:rPr>
          <w:rFonts w:cstheme="minorHAnsi"/>
        </w:rPr>
        <w:t>Some outlets reported rarely working with people of a certain age with particular disability types</w:t>
      </w:r>
      <w:r w:rsidRPr="00557BFB">
        <w:rPr>
          <w:rFonts w:cstheme="minorHAnsi"/>
        </w:rPr>
        <w:t xml:space="preserve"> (</w:t>
      </w:r>
      <w:r>
        <w:rPr>
          <w:rFonts w:cstheme="minorHAnsi"/>
        </w:rPr>
        <w:t xml:space="preserve">judged as </w:t>
      </w:r>
      <w:r w:rsidRPr="00557BFB">
        <w:rPr>
          <w:rFonts w:cstheme="minorHAnsi"/>
        </w:rPr>
        <w:t xml:space="preserve">15 per cent or less of outlets </w:t>
      </w:r>
      <w:r>
        <w:rPr>
          <w:rFonts w:cstheme="minorHAnsi"/>
        </w:rPr>
        <w:t xml:space="preserve">currently </w:t>
      </w:r>
      <w:r w:rsidRPr="00557BFB">
        <w:rPr>
          <w:rFonts w:cstheme="minorHAnsi"/>
        </w:rPr>
        <w:t>deliver service</w:t>
      </w:r>
      <w:r>
        <w:rPr>
          <w:rFonts w:cstheme="minorHAnsi"/>
        </w:rPr>
        <w:t>s to these client groups</w:t>
      </w:r>
      <w:r w:rsidRPr="00557BFB">
        <w:rPr>
          <w:rFonts w:cstheme="minorHAnsi"/>
        </w:rPr>
        <w:t>)</w:t>
      </w:r>
      <w:r>
        <w:rPr>
          <w:rFonts w:cstheme="minorHAnsi"/>
        </w:rPr>
        <w:t>.</w:t>
      </w:r>
      <w:r w:rsidRPr="00557BFB">
        <w:rPr>
          <w:rFonts w:cstheme="minorHAnsi"/>
        </w:rPr>
        <w:t xml:space="preserve"> </w:t>
      </w:r>
      <w:r>
        <w:rPr>
          <w:rFonts w:cstheme="minorHAnsi"/>
        </w:rPr>
        <w:t xml:space="preserve">These included children (aged 0-4 years) with a mental health/psychosocial, psychiatric or visual disability; children (aged 5-14 years) with a mental health/psychosocial, psychiatric, hearing or visual disability; young people (aged 15-24 years) with a hearing or visual disability; and older people (aged 65 years and older) with a psychiatric, hearing, speech, visual, developmental or congenital disability. This likely reflected the proportion of people in each age group within the population with these disability types. </w:t>
      </w:r>
    </w:p>
    <w:p w:rsidR="0078325B" w:rsidRPr="00557BFB" w:rsidRDefault="0078325B" w:rsidP="00AE4C3A">
      <w:pPr>
        <w:rPr>
          <w:rFonts w:cstheme="minorHAnsi"/>
        </w:rPr>
      </w:pPr>
    </w:p>
    <w:p w:rsidR="00685BE5" w:rsidRDefault="00685BE5" w:rsidP="00AE4C3A">
      <w:pPr>
        <w:rPr>
          <w:rFonts w:cstheme="minorHAnsi"/>
        </w:rPr>
      </w:pPr>
      <w:r w:rsidRPr="00557BFB">
        <w:rPr>
          <w:rFonts w:cstheme="minorHAnsi"/>
        </w:rPr>
        <w:t>The disability types for which outlets least commonly gave provision (</w:t>
      </w:r>
      <w:r>
        <w:rPr>
          <w:rFonts w:cstheme="minorHAnsi"/>
        </w:rPr>
        <w:t xml:space="preserve">i.e. </w:t>
      </w:r>
      <w:r w:rsidRPr="00557BFB">
        <w:rPr>
          <w:rFonts w:cstheme="minorHAnsi"/>
        </w:rPr>
        <w:t>servicing to this disability type for any age group delivered by fewer than 50 per cent of outlets)</w:t>
      </w:r>
      <w:r>
        <w:rPr>
          <w:rFonts w:cstheme="minorHAnsi"/>
        </w:rPr>
        <w:t xml:space="preserve"> were</w:t>
      </w:r>
      <w:r w:rsidRPr="00557BFB">
        <w:rPr>
          <w:rFonts w:cstheme="minorHAnsi"/>
        </w:rPr>
        <w:t xml:space="preserve">: </w:t>
      </w:r>
      <w:r>
        <w:rPr>
          <w:rFonts w:cstheme="minorHAnsi"/>
        </w:rPr>
        <w:t>p</w:t>
      </w:r>
      <w:r w:rsidRPr="00557BFB">
        <w:rPr>
          <w:rFonts w:cstheme="minorHAnsi"/>
        </w:rPr>
        <w:t xml:space="preserve">sychiatric, </w:t>
      </w:r>
      <w:r>
        <w:rPr>
          <w:rFonts w:cstheme="minorHAnsi"/>
        </w:rPr>
        <w:t>h</w:t>
      </w:r>
      <w:r w:rsidRPr="00557BFB">
        <w:rPr>
          <w:rFonts w:cstheme="minorHAnsi"/>
        </w:rPr>
        <w:t xml:space="preserve">earing, </w:t>
      </w:r>
      <w:r>
        <w:rPr>
          <w:rFonts w:cstheme="minorHAnsi"/>
        </w:rPr>
        <w:t>s</w:t>
      </w:r>
      <w:r w:rsidRPr="00557BFB">
        <w:rPr>
          <w:rFonts w:cstheme="minorHAnsi"/>
        </w:rPr>
        <w:t>peech</w:t>
      </w:r>
      <w:r>
        <w:rPr>
          <w:rFonts w:cstheme="minorHAnsi"/>
        </w:rPr>
        <w:t xml:space="preserve"> and v</w:t>
      </w:r>
      <w:r w:rsidRPr="00557BFB">
        <w:rPr>
          <w:rFonts w:cstheme="minorHAnsi"/>
        </w:rPr>
        <w:t>isual</w:t>
      </w:r>
      <w:r>
        <w:rPr>
          <w:rFonts w:cstheme="minorHAnsi"/>
        </w:rPr>
        <w:t xml:space="preserve"> disabilities. Outlets most commonly worked with people with physical, intellectual, neurological and mental health disabilities. </w:t>
      </w:r>
      <w:r w:rsidRPr="00557BFB">
        <w:rPr>
          <w:rFonts w:cstheme="minorHAnsi"/>
        </w:rPr>
        <w:t>The age groups for which outlets least commonly gave disability support provision (</w:t>
      </w:r>
      <w:r>
        <w:rPr>
          <w:rFonts w:cstheme="minorHAnsi"/>
        </w:rPr>
        <w:t xml:space="preserve">i.e. </w:t>
      </w:r>
      <w:r w:rsidRPr="00557BFB">
        <w:rPr>
          <w:rFonts w:cstheme="minorHAnsi"/>
        </w:rPr>
        <w:t xml:space="preserve">servicing to any disability type for this age group delivered by fewer than 50 per cent or less of outlets) were </w:t>
      </w:r>
      <w:r>
        <w:rPr>
          <w:rFonts w:cstheme="minorHAnsi"/>
        </w:rPr>
        <w:t>for children (0-4 years and 5-14 years) and older people (</w:t>
      </w:r>
      <w:r w:rsidRPr="00557BFB">
        <w:rPr>
          <w:rFonts w:cstheme="minorHAnsi"/>
        </w:rPr>
        <w:t>65 years plus</w:t>
      </w:r>
      <w:r>
        <w:rPr>
          <w:rFonts w:cstheme="minorHAnsi"/>
        </w:rPr>
        <w:t>)</w:t>
      </w:r>
      <w:r w:rsidRPr="00557BFB">
        <w:rPr>
          <w:rFonts w:cstheme="minorHAnsi"/>
        </w:rPr>
        <w:t>.</w:t>
      </w:r>
    </w:p>
    <w:p w:rsidR="00685BE5" w:rsidRDefault="00685BE5" w:rsidP="00AE4C3A">
      <w:pPr>
        <w:rPr>
          <w:rFonts w:cstheme="minorHAnsi"/>
        </w:rPr>
      </w:pPr>
    </w:p>
    <w:p w:rsidR="00685BE5" w:rsidRDefault="00685BE5">
      <w:pPr>
        <w:rPr>
          <w:b/>
          <w:sz w:val="20"/>
        </w:rPr>
      </w:pPr>
      <w:r>
        <w:br w:type="page"/>
      </w:r>
    </w:p>
    <w:p w:rsidR="0049441C" w:rsidRDefault="00685BE5" w:rsidP="008E1FD0">
      <w:pPr>
        <w:pStyle w:val="NILSTableHeading"/>
        <w:spacing w:after="0"/>
        <w:rPr>
          <w:rFonts w:cstheme="minorHAnsi"/>
          <w:szCs w:val="20"/>
          <w:lang w:val="en-AU"/>
        </w:rPr>
      </w:pPr>
      <w:bookmarkStart w:id="494" w:name="_Toc428279208"/>
      <w:bookmarkStart w:id="495" w:name="_Toc449955337"/>
      <w:r w:rsidRPr="00557BFB">
        <w:lastRenderedPageBreak/>
        <w:t xml:space="preserve">Table </w:t>
      </w:r>
      <w:r>
        <w:t>4.4</w:t>
      </w:r>
      <w:r w:rsidRPr="00557BFB">
        <w:t>: Primary disability types and ages of the current users of the outlet’s supports</w:t>
      </w:r>
      <w:bookmarkEnd w:id="494"/>
      <w:bookmarkEnd w:id="495"/>
      <w:r w:rsidR="0049441C" w:rsidRPr="0049441C">
        <w:rPr>
          <w:rFonts w:cstheme="minorHAnsi"/>
          <w:szCs w:val="20"/>
        </w:rPr>
        <w:t xml:space="preserve"> </w:t>
      </w:r>
    </w:p>
    <w:p w:rsidR="00685BE5" w:rsidRPr="00557BFB" w:rsidRDefault="000B0F2E" w:rsidP="008E1FD0">
      <w:pPr>
        <w:pStyle w:val="NILSTableHeading"/>
        <w:spacing w:before="0"/>
      </w:pPr>
      <w:bookmarkStart w:id="496" w:name="_Toc449955338"/>
      <w:r>
        <w:t>Per</w:t>
      </w:r>
      <w:r w:rsidR="0049441C" w:rsidRPr="007D2274">
        <w:t>cent of outlets recording current user age group, for each disability type listed</w:t>
      </w:r>
      <w:bookmarkEnd w:id="496"/>
    </w:p>
    <w:tbl>
      <w:tblPr>
        <w:tblW w:w="9859" w:type="dxa"/>
        <w:jc w:val="center"/>
        <w:tblBorders>
          <w:top w:val="single" w:sz="4" w:space="0" w:color="auto"/>
          <w:bottom w:val="single" w:sz="4" w:space="0" w:color="auto"/>
        </w:tblBorders>
        <w:tblLayout w:type="fixed"/>
        <w:tblLook w:val="04A0" w:firstRow="1" w:lastRow="0" w:firstColumn="1" w:lastColumn="0" w:noHBand="0" w:noVBand="1"/>
        <w:tblCaption w:val="Table 4.4 Primary disability types and ages of the current users of the outlet’s supports"/>
      </w:tblPr>
      <w:tblGrid>
        <w:gridCol w:w="3798"/>
        <w:gridCol w:w="935"/>
        <w:gridCol w:w="935"/>
        <w:gridCol w:w="936"/>
        <w:gridCol w:w="935"/>
        <w:gridCol w:w="936"/>
        <w:gridCol w:w="1384"/>
      </w:tblGrid>
      <w:tr w:rsidR="00685BE5" w:rsidRPr="005509AD" w:rsidTr="00474504">
        <w:trPr>
          <w:cantSplit/>
          <w:tblHeader/>
          <w:jc w:val="center"/>
        </w:trPr>
        <w:tc>
          <w:tcPr>
            <w:tcW w:w="3798" w:type="dxa"/>
            <w:tcBorders>
              <w:top w:val="single" w:sz="4" w:space="0" w:color="auto"/>
              <w:bottom w:val="single" w:sz="4" w:space="0" w:color="auto"/>
            </w:tcBorders>
            <w:vAlign w:val="center"/>
          </w:tcPr>
          <w:p w:rsidR="00685BE5" w:rsidRPr="007D2274" w:rsidRDefault="0049441C" w:rsidP="00AE4C3A">
            <w:pPr>
              <w:spacing w:before="20" w:after="20"/>
              <w:rPr>
                <w:rFonts w:cstheme="minorHAnsi"/>
                <w:sz w:val="20"/>
                <w:szCs w:val="20"/>
              </w:rPr>
            </w:pPr>
            <w:bookmarkStart w:id="497" w:name="Title_4_4"/>
            <w:bookmarkEnd w:id="497"/>
            <w:r w:rsidRPr="005C469C">
              <w:rPr>
                <w:rFonts w:cstheme="minorHAnsi"/>
                <w:sz w:val="20"/>
                <w:szCs w:val="20"/>
              </w:rPr>
              <w:t>Primary disability type</w:t>
            </w:r>
          </w:p>
        </w:tc>
        <w:tc>
          <w:tcPr>
            <w:tcW w:w="935" w:type="dxa"/>
            <w:tcBorders>
              <w:top w:val="single" w:sz="4" w:space="0" w:color="auto"/>
              <w:bottom w:val="single" w:sz="4" w:space="0" w:color="auto"/>
            </w:tcBorders>
            <w:vAlign w:val="bottom"/>
          </w:tcPr>
          <w:p w:rsidR="00685BE5" w:rsidRDefault="001D1526" w:rsidP="001A6BA5">
            <w:pPr>
              <w:spacing w:before="20" w:after="20"/>
              <w:jc w:val="center"/>
              <w:rPr>
                <w:rFonts w:cstheme="minorHAnsi"/>
                <w:sz w:val="20"/>
                <w:szCs w:val="20"/>
              </w:rPr>
            </w:pPr>
            <w:r>
              <w:rPr>
                <w:rFonts w:cstheme="minorHAnsi"/>
                <w:sz w:val="20"/>
                <w:szCs w:val="20"/>
              </w:rPr>
              <w:t xml:space="preserve">0 to </w:t>
            </w:r>
            <w:r w:rsidR="00685BE5" w:rsidRPr="007D2274">
              <w:rPr>
                <w:rFonts w:cstheme="minorHAnsi"/>
                <w:sz w:val="20"/>
                <w:szCs w:val="20"/>
              </w:rPr>
              <w:t>4 years</w:t>
            </w:r>
          </w:p>
          <w:p w:rsidR="000B0F2E" w:rsidRPr="007D2274" w:rsidRDefault="000B0F2E" w:rsidP="001A6BA5">
            <w:pPr>
              <w:spacing w:before="20" w:after="20"/>
              <w:jc w:val="center"/>
              <w:rPr>
                <w:rFonts w:cstheme="minorHAnsi"/>
                <w:sz w:val="20"/>
                <w:szCs w:val="20"/>
              </w:rPr>
            </w:pPr>
            <w:r>
              <w:rPr>
                <w:rFonts w:cstheme="minorHAnsi"/>
                <w:sz w:val="20"/>
                <w:szCs w:val="20"/>
              </w:rPr>
              <w:t>%</w:t>
            </w:r>
          </w:p>
        </w:tc>
        <w:tc>
          <w:tcPr>
            <w:tcW w:w="935" w:type="dxa"/>
            <w:tcBorders>
              <w:top w:val="single" w:sz="4" w:space="0" w:color="auto"/>
              <w:bottom w:val="single" w:sz="4" w:space="0" w:color="auto"/>
            </w:tcBorders>
            <w:vAlign w:val="bottom"/>
          </w:tcPr>
          <w:p w:rsidR="00685BE5" w:rsidRDefault="001D1526" w:rsidP="001A6BA5">
            <w:pPr>
              <w:spacing w:before="20" w:after="20"/>
              <w:jc w:val="center"/>
              <w:rPr>
                <w:rFonts w:cstheme="minorHAnsi"/>
                <w:sz w:val="20"/>
                <w:szCs w:val="20"/>
              </w:rPr>
            </w:pPr>
            <w:r>
              <w:rPr>
                <w:rFonts w:cstheme="minorHAnsi"/>
                <w:sz w:val="20"/>
                <w:szCs w:val="20"/>
              </w:rPr>
              <w:t xml:space="preserve">5 to </w:t>
            </w:r>
            <w:r w:rsidR="00685BE5" w:rsidRPr="007D2274">
              <w:rPr>
                <w:rFonts w:cstheme="minorHAnsi"/>
                <w:sz w:val="20"/>
                <w:szCs w:val="20"/>
              </w:rPr>
              <w:t>14 years</w:t>
            </w:r>
          </w:p>
          <w:p w:rsidR="000B0F2E" w:rsidRPr="007D2274" w:rsidRDefault="000B0F2E" w:rsidP="001A6BA5">
            <w:pPr>
              <w:spacing w:before="20" w:after="20"/>
              <w:jc w:val="center"/>
              <w:rPr>
                <w:rFonts w:cstheme="minorHAnsi"/>
                <w:sz w:val="20"/>
                <w:szCs w:val="20"/>
              </w:rPr>
            </w:pPr>
            <w:r>
              <w:rPr>
                <w:rFonts w:cstheme="minorHAnsi"/>
                <w:sz w:val="20"/>
                <w:szCs w:val="20"/>
              </w:rPr>
              <w:t>%</w:t>
            </w:r>
          </w:p>
        </w:tc>
        <w:tc>
          <w:tcPr>
            <w:tcW w:w="936" w:type="dxa"/>
            <w:tcBorders>
              <w:top w:val="single" w:sz="4" w:space="0" w:color="auto"/>
              <w:bottom w:val="single" w:sz="4" w:space="0" w:color="auto"/>
            </w:tcBorders>
            <w:vAlign w:val="bottom"/>
          </w:tcPr>
          <w:p w:rsidR="00685BE5" w:rsidRDefault="00685BE5" w:rsidP="001A6BA5">
            <w:pPr>
              <w:spacing w:before="20" w:after="20"/>
              <w:jc w:val="center"/>
              <w:rPr>
                <w:rFonts w:cstheme="minorHAnsi"/>
                <w:sz w:val="20"/>
                <w:szCs w:val="20"/>
              </w:rPr>
            </w:pPr>
            <w:r w:rsidRPr="007D2274">
              <w:rPr>
                <w:rFonts w:cstheme="minorHAnsi"/>
                <w:sz w:val="20"/>
                <w:szCs w:val="20"/>
              </w:rPr>
              <w:t>15</w:t>
            </w:r>
            <w:r w:rsidR="001D1526">
              <w:rPr>
                <w:rFonts w:cstheme="minorHAnsi"/>
                <w:sz w:val="20"/>
                <w:szCs w:val="20"/>
              </w:rPr>
              <w:t xml:space="preserve"> to </w:t>
            </w:r>
            <w:r w:rsidRPr="007D2274">
              <w:rPr>
                <w:rFonts w:cstheme="minorHAnsi"/>
                <w:sz w:val="20"/>
                <w:szCs w:val="20"/>
              </w:rPr>
              <w:t>24 years</w:t>
            </w:r>
          </w:p>
          <w:p w:rsidR="000B0F2E" w:rsidRPr="007D2274" w:rsidRDefault="000B0F2E" w:rsidP="001A6BA5">
            <w:pPr>
              <w:spacing w:before="20" w:after="20"/>
              <w:jc w:val="center"/>
              <w:rPr>
                <w:rFonts w:cstheme="minorHAnsi"/>
                <w:sz w:val="20"/>
                <w:szCs w:val="20"/>
              </w:rPr>
            </w:pPr>
            <w:r>
              <w:rPr>
                <w:rFonts w:cstheme="minorHAnsi"/>
                <w:sz w:val="20"/>
                <w:szCs w:val="20"/>
              </w:rPr>
              <w:t>%</w:t>
            </w:r>
          </w:p>
        </w:tc>
        <w:tc>
          <w:tcPr>
            <w:tcW w:w="935" w:type="dxa"/>
            <w:tcBorders>
              <w:top w:val="single" w:sz="4" w:space="0" w:color="auto"/>
              <w:bottom w:val="single" w:sz="4" w:space="0" w:color="auto"/>
            </w:tcBorders>
            <w:vAlign w:val="bottom"/>
          </w:tcPr>
          <w:p w:rsidR="00685BE5" w:rsidRDefault="00685BE5" w:rsidP="001A6BA5">
            <w:pPr>
              <w:spacing w:before="20" w:after="20"/>
              <w:jc w:val="center"/>
              <w:rPr>
                <w:rFonts w:cstheme="minorHAnsi"/>
                <w:sz w:val="20"/>
                <w:szCs w:val="20"/>
              </w:rPr>
            </w:pPr>
            <w:r w:rsidRPr="007D2274">
              <w:rPr>
                <w:rFonts w:cstheme="minorHAnsi"/>
                <w:sz w:val="20"/>
                <w:szCs w:val="20"/>
              </w:rPr>
              <w:t>25</w:t>
            </w:r>
            <w:r w:rsidR="001D1526">
              <w:rPr>
                <w:rFonts w:cstheme="minorHAnsi"/>
                <w:sz w:val="20"/>
                <w:szCs w:val="20"/>
              </w:rPr>
              <w:t xml:space="preserve"> to </w:t>
            </w:r>
            <w:r w:rsidRPr="007D2274">
              <w:rPr>
                <w:rFonts w:cstheme="minorHAnsi"/>
                <w:sz w:val="20"/>
                <w:szCs w:val="20"/>
              </w:rPr>
              <w:t>64 years</w:t>
            </w:r>
          </w:p>
          <w:p w:rsidR="000B0F2E" w:rsidRPr="007D2274" w:rsidRDefault="000B0F2E" w:rsidP="001A6BA5">
            <w:pPr>
              <w:spacing w:before="20" w:after="20"/>
              <w:jc w:val="center"/>
              <w:rPr>
                <w:rFonts w:cstheme="minorHAnsi"/>
                <w:sz w:val="20"/>
                <w:szCs w:val="20"/>
              </w:rPr>
            </w:pPr>
            <w:r>
              <w:rPr>
                <w:rFonts w:cstheme="minorHAnsi"/>
                <w:sz w:val="20"/>
                <w:szCs w:val="20"/>
              </w:rPr>
              <w:t>%</w:t>
            </w:r>
          </w:p>
        </w:tc>
        <w:tc>
          <w:tcPr>
            <w:tcW w:w="936" w:type="dxa"/>
            <w:tcBorders>
              <w:top w:val="single" w:sz="4" w:space="0" w:color="auto"/>
              <w:bottom w:val="single" w:sz="4" w:space="0" w:color="auto"/>
            </w:tcBorders>
            <w:vAlign w:val="bottom"/>
          </w:tcPr>
          <w:p w:rsidR="00685BE5" w:rsidRDefault="00685BE5" w:rsidP="001A6BA5">
            <w:pPr>
              <w:spacing w:before="20" w:after="20"/>
              <w:jc w:val="center"/>
              <w:rPr>
                <w:rFonts w:cstheme="minorHAnsi"/>
                <w:sz w:val="20"/>
                <w:szCs w:val="20"/>
              </w:rPr>
            </w:pPr>
            <w:r w:rsidRPr="007D2274">
              <w:rPr>
                <w:rFonts w:cstheme="minorHAnsi"/>
                <w:sz w:val="20"/>
                <w:szCs w:val="20"/>
              </w:rPr>
              <w:t>65+ years</w:t>
            </w:r>
          </w:p>
          <w:p w:rsidR="000B0F2E" w:rsidRPr="007D2274" w:rsidRDefault="000B0F2E" w:rsidP="001A6BA5">
            <w:pPr>
              <w:spacing w:before="20" w:after="20"/>
              <w:jc w:val="center"/>
              <w:rPr>
                <w:rFonts w:cstheme="minorHAnsi"/>
                <w:sz w:val="20"/>
                <w:szCs w:val="20"/>
              </w:rPr>
            </w:pPr>
            <w:r>
              <w:rPr>
                <w:rFonts w:cstheme="minorHAnsi"/>
                <w:sz w:val="20"/>
                <w:szCs w:val="20"/>
              </w:rPr>
              <w:t>%</w:t>
            </w:r>
          </w:p>
        </w:tc>
        <w:tc>
          <w:tcPr>
            <w:tcW w:w="1384" w:type="dxa"/>
            <w:tcBorders>
              <w:top w:val="single" w:sz="4" w:space="0" w:color="auto"/>
              <w:bottom w:val="single" w:sz="4" w:space="0" w:color="auto"/>
            </w:tcBorders>
          </w:tcPr>
          <w:p w:rsidR="00685BE5" w:rsidRDefault="00685BE5" w:rsidP="000B0F2E">
            <w:pPr>
              <w:spacing w:before="20" w:after="20"/>
              <w:ind w:left="-108" w:right="-55"/>
              <w:jc w:val="center"/>
              <w:rPr>
                <w:rFonts w:cstheme="minorHAnsi"/>
                <w:sz w:val="20"/>
                <w:szCs w:val="20"/>
              </w:rPr>
            </w:pPr>
            <w:r w:rsidRPr="00E3331B">
              <w:rPr>
                <w:rFonts w:cstheme="minorHAnsi"/>
                <w:sz w:val="20"/>
                <w:szCs w:val="20"/>
              </w:rPr>
              <w:t xml:space="preserve">Users with this disability type </w:t>
            </w:r>
            <w:r w:rsidR="000B0F2E">
              <w:rPr>
                <w:rFonts w:cstheme="minorHAnsi"/>
                <w:sz w:val="20"/>
                <w:szCs w:val="20"/>
              </w:rPr>
              <w:t>(all</w:t>
            </w:r>
            <w:r w:rsidRPr="00E3331B">
              <w:rPr>
                <w:rFonts w:cstheme="minorHAnsi"/>
                <w:sz w:val="20"/>
                <w:szCs w:val="20"/>
              </w:rPr>
              <w:t xml:space="preserve"> age</w:t>
            </w:r>
            <w:r w:rsidR="000B0F2E">
              <w:rPr>
                <w:rFonts w:cstheme="minorHAnsi"/>
                <w:sz w:val="20"/>
                <w:szCs w:val="20"/>
              </w:rPr>
              <w:t>s)</w:t>
            </w:r>
          </w:p>
          <w:p w:rsidR="000B0F2E" w:rsidRPr="00E3331B" w:rsidRDefault="000B0F2E" w:rsidP="00AE4C3A">
            <w:pPr>
              <w:spacing w:before="20" w:after="20"/>
              <w:jc w:val="center"/>
              <w:rPr>
                <w:rFonts w:cstheme="minorHAnsi"/>
                <w:sz w:val="20"/>
                <w:szCs w:val="20"/>
              </w:rPr>
            </w:pPr>
            <w:r>
              <w:rPr>
                <w:rFonts w:cstheme="minorHAnsi"/>
                <w:sz w:val="20"/>
                <w:szCs w:val="20"/>
              </w:rPr>
              <w:t>%</w:t>
            </w:r>
          </w:p>
        </w:tc>
      </w:tr>
      <w:tr w:rsidR="00685BE5" w:rsidRPr="005509AD" w:rsidTr="00474504">
        <w:trPr>
          <w:jc w:val="center"/>
        </w:trPr>
        <w:tc>
          <w:tcPr>
            <w:tcW w:w="3798" w:type="dxa"/>
            <w:vAlign w:val="center"/>
          </w:tcPr>
          <w:p w:rsidR="00685BE5" w:rsidRPr="007D2274" w:rsidRDefault="00685BE5" w:rsidP="00474504">
            <w:pPr>
              <w:spacing w:before="20" w:after="20"/>
              <w:rPr>
                <w:rFonts w:cstheme="minorHAnsi"/>
                <w:sz w:val="20"/>
                <w:szCs w:val="20"/>
              </w:rPr>
            </w:pPr>
            <w:r w:rsidRPr="007D2274">
              <w:rPr>
                <w:rFonts w:cstheme="minorHAnsi"/>
                <w:sz w:val="20"/>
                <w:szCs w:val="20"/>
              </w:rPr>
              <w:t xml:space="preserve">Physical </w:t>
            </w:r>
          </w:p>
        </w:tc>
        <w:tc>
          <w:tcPr>
            <w:tcW w:w="935" w:type="dxa"/>
            <w:vAlign w:val="bottom"/>
          </w:tcPr>
          <w:p w:rsidR="00685BE5" w:rsidRPr="007D2274" w:rsidRDefault="00685BE5" w:rsidP="00474504">
            <w:pPr>
              <w:spacing w:before="20" w:after="20"/>
              <w:ind w:right="113"/>
              <w:jc w:val="right"/>
              <w:rPr>
                <w:rFonts w:cstheme="minorHAnsi"/>
                <w:sz w:val="20"/>
                <w:szCs w:val="20"/>
              </w:rPr>
            </w:pPr>
            <w:r w:rsidRPr="007D2274">
              <w:rPr>
                <w:rFonts w:cstheme="minorHAnsi"/>
                <w:sz w:val="20"/>
                <w:szCs w:val="20"/>
              </w:rPr>
              <w:t>22.2</w:t>
            </w:r>
          </w:p>
        </w:tc>
        <w:tc>
          <w:tcPr>
            <w:tcW w:w="935" w:type="dxa"/>
            <w:vAlign w:val="bottom"/>
          </w:tcPr>
          <w:p w:rsidR="00685BE5" w:rsidRPr="007D2274" w:rsidRDefault="00685BE5" w:rsidP="00474504">
            <w:pPr>
              <w:spacing w:before="20" w:after="20"/>
              <w:ind w:right="113"/>
              <w:jc w:val="right"/>
              <w:rPr>
                <w:rFonts w:cstheme="minorHAnsi"/>
                <w:sz w:val="20"/>
                <w:szCs w:val="20"/>
              </w:rPr>
            </w:pPr>
            <w:r w:rsidRPr="007D2274">
              <w:rPr>
                <w:rFonts w:cstheme="minorHAnsi"/>
                <w:sz w:val="20"/>
                <w:szCs w:val="20"/>
              </w:rPr>
              <w:t>28.6</w:t>
            </w:r>
          </w:p>
        </w:tc>
        <w:tc>
          <w:tcPr>
            <w:tcW w:w="936" w:type="dxa"/>
            <w:vAlign w:val="bottom"/>
          </w:tcPr>
          <w:p w:rsidR="00685BE5" w:rsidRPr="007D2274" w:rsidRDefault="00685BE5" w:rsidP="00474504">
            <w:pPr>
              <w:tabs>
                <w:tab w:val="decimal" w:pos="344"/>
              </w:tabs>
              <w:spacing w:before="20" w:after="20"/>
              <w:ind w:right="113"/>
              <w:jc w:val="right"/>
              <w:rPr>
                <w:rFonts w:cstheme="minorHAnsi"/>
                <w:sz w:val="20"/>
                <w:szCs w:val="20"/>
              </w:rPr>
            </w:pPr>
            <w:r w:rsidRPr="007D2274">
              <w:rPr>
                <w:rFonts w:cstheme="minorHAnsi"/>
                <w:sz w:val="20"/>
                <w:szCs w:val="20"/>
              </w:rPr>
              <w:t>34.9</w:t>
            </w:r>
          </w:p>
        </w:tc>
        <w:tc>
          <w:tcPr>
            <w:tcW w:w="935" w:type="dxa"/>
            <w:vAlign w:val="bottom"/>
          </w:tcPr>
          <w:p w:rsidR="00685BE5" w:rsidRPr="007D2274" w:rsidRDefault="00685BE5" w:rsidP="00474504">
            <w:pPr>
              <w:tabs>
                <w:tab w:val="decimal" w:pos="346"/>
              </w:tabs>
              <w:spacing w:before="20" w:after="20"/>
              <w:ind w:right="113"/>
              <w:jc w:val="right"/>
              <w:rPr>
                <w:rFonts w:cstheme="minorHAnsi"/>
                <w:sz w:val="20"/>
                <w:szCs w:val="20"/>
              </w:rPr>
            </w:pPr>
            <w:r w:rsidRPr="007D2274">
              <w:rPr>
                <w:rFonts w:cstheme="minorHAnsi"/>
                <w:sz w:val="20"/>
                <w:szCs w:val="20"/>
              </w:rPr>
              <w:t>50.9</w:t>
            </w:r>
          </w:p>
        </w:tc>
        <w:tc>
          <w:tcPr>
            <w:tcW w:w="936" w:type="dxa"/>
            <w:vAlign w:val="bottom"/>
          </w:tcPr>
          <w:p w:rsidR="00685BE5" w:rsidRPr="007D2274" w:rsidRDefault="00685BE5" w:rsidP="00474504">
            <w:pPr>
              <w:tabs>
                <w:tab w:val="decimal" w:pos="375"/>
              </w:tabs>
              <w:spacing w:before="20" w:after="20"/>
              <w:ind w:right="113"/>
              <w:jc w:val="right"/>
              <w:rPr>
                <w:rFonts w:cstheme="minorHAnsi"/>
                <w:sz w:val="20"/>
                <w:szCs w:val="20"/>
              </w:rPr>
            </w:pPr>
            <w:r w:rsidRPr="007D2274">
              <w:rPr>
                <w:rFonts w:cstheme="minorHAnsi"/>
                <w:sz w:val="20"/>
                <w:szCs w:val="20"/>
              </w:rPr>
              <w:t>22.1</w:t>
            </w:r>
          </w:p>
        </w:tc>
        <w:tc>
          <w:tcPr>
            <w:tcW w:w="1384" w:type="dxa"/>
            <w:vAlign w:val="bottom"/>
          </w:tcPr>
          <w:p w:rsidR="00685BE5" w:rsidRPr="007D2274" w:rsidRDefault="00685BE5" w:rsidP="00FB0DF6">
            <w:pPr>
              <w:spacing w:before="20" w:after="20"/>
              <w:ind w:right="454"/>
              <w:jc w:val="right"/>
              <w:rPr>
                <w:rFonts w:cstheme="minorHAnsi"/>
                <w:b/>
                <w:sz w:val="20"/>
                <w:szCs w:val="20"/>
              </w:rPr>
            </w:pPr>
            <w:r w:rsidRPr="007D2274">
              <w:rPr>
                <w:rFonts w:cstheme="minorHAnsi"/>
                <w:b/>
                <w:sz w:val="20"/>
                <w:szCs w:val="20"/>
              </w:rPr>
              <w:t>66.1</w:t>
            </w:r>
          </w:p>
        </w:tc>
      </w:tr>
      <w:tr w:rsidR="00685BE5" w:rsidRPr="005509AD" w:rsidTr="00474504">
        <w:trPr>
          <w:jc w:val="center"/>
        </w:trPr>
        <w:tc>
          <w:tcPr>
            <w:tcW w:w="3798" w:type="dxa"/>
            <w:vAlign w:val="center"/>
          </w:tcPr>
          <w:p w:rsidR="00685BE5" w:rsidRPr="007D2274" w:rsidRDefault="00685BE5" w:rsidP="00474504">
            <w:pPr>
              <w:spacing w:before="20" w:after="20"/>
              <w:rPr>
                <w:rFonts w:cstheme="minorHAnsi"/>
                <w:sz w:val="20"/>
                <w:szCs w:val="20"/>
              </w:rPr>
            </w:pPr>
            <w:r w:rsidRPr="007D2274">
              <w:rPr>
                <w:rFonts w:cstheme="minorHAnsi"/>
                <w:sz w:val="20"/>
                <w:szCs w:val="20"/>
              </w:rPr>
              <w:t>Mental health/psychosocial</w:t>
            </w:r>
          </w:p>
        </w:tc>
        <w:tc>
          <w:tcPr>
            <w:tcW w:w="935" w:type="dxa"/>
            <w:vAlign w:val="bottom"/>
          </w:tcPr>
          <w:p w:rsidR="00685BE5" w:rsidRPr="007D2274" w:rsidRDefault="00685BE5" w:rsidP="00474504">
            <w:pPr>
              <w:spacing w:before="20" w:after="20"/>
              <w:ind w:right="113"/>
              <w:jc w:val="right"/>
              <w:rPr>
                <w:rFonts w:cstheme="minorHAnsi"/>
                <w:sz w:val="20"/>
                <w:szCs w:val="20"/>
              </w:rPr>
            </w:pPr>
            <w:r w:rsidRPr="007D2274">
              <w:rPr>
                <w:rFonts w:cstheme="minorHAnsi"/>
                <w:sz w:val="20"/>
                <w:szCs w:val="20"/>
              </w:rPr>
              <w:t>9.0</w:t>
            </w:r>
          </w:p>
        </w:tc>
        <w:tc>
          <w:tcPr>
            <w:tcW w:w="935" w:type="dxa"/>
            <w:vAlign w:val="bottom"/>
          </w:tcPr>
          <w:p w:rsidR="00685BE5" w:rsidRPr="007D2274" w:rsidRDefault="00685BE5" w:rsidP="00474504">
            <w:pPr>
              <w:spacing w:before="20" w:after="20"/>
              <w:ind w:right="113"/>
              <w:jc w:val="right"/>
              <w:rPr>
                <w:rFonts w:cstheme="minorHAnsi"/>
                <w:sz w:val="20"/>
                <w:szCs w:val="20"/>
              </w:rPr>
            </w:pPr>
            <w:r w:rsidRPr="007D2274">
              <w:rPr>
                <w:rFonts w:cstheme="minorHAnsi"/>
                <w:sz w:val="20"/>
                <w:szCs w:val="20"/>
              </w:rPr>
              <w:t>14.8</w:t>
            </w:r>
          </w:p>
        </w:tc>
        <w:tc>
          <w:tcPr>
            <w:tcW w:w="936" w:type="dxa"/>
            <w:vAlign w:val="bottom"/>
          </w:tcPr>
          <w:p w:rsidR="00685BE5" w:rsidRPr="007D2274" w:rsidRDefault="00685BE5" w:rsidP="00474504">
            <w:pPr>
              <w:tabs>
                <w:tab w:val="decimal" w:pos="344"/>
              </w:tabs>
              <w:spacing w:before="20" w:after="20"/>
              <w:ind w:right="113"/>
              <w:jc w:val="right"/>
              <w:rPr>
                <w:rFonts w:cstheme="minorHAnsi"/>
                <w:sz w:val="20"/>
                <w:szCs w:val="20"/>
              </w:rPr>
            </w:pPr>
            <w:r w:rsidRPr="007D2274">
              <w:rPr>
                <w:rFonts w:cstheme="minorHAnsi"/>
                <w:sz w:val="20"/>
                <w:szCs w:val="20"/>
              </w:rPr>
              <w:t>29.6</w:t>
            </w:r>
          </w:p>
        </w:tc>
        <w:tc>
          <w:tcPr>
            <w:tcW w:w="935" w:type="dxa"/>
            <w:vAlign w:val="bottom"/>
          </w:tcPr>
          <w:p w:rsidR="00685BE5" w:rsidRPr="007D2274" w:rsidRDefault="00685BE5" w:rsidP="00474504">
            <w:pPr>
              <w:tabs>
                <w:tab w:val="decimal" w:pos="346"/>
              </w:tabs>
              <w:spacing w:before="20" w:after="20"/>
              <w:ind w:right="113"/>
              <w:jc w:val="right"/>
              <w:rPr>
                <w:rFonts w:cstheme="minorHAnsi"/>
                <w:sz w:val="20"/>
                <w:szCs w:val="20"/>
              </w:rPr>
            </w:pPr>
            <w:r w:rsidRPr="007D2274">
              <w:rPr>
                <w:rFonts w:cstheme="minorHAnsi"/>
                <w:sz w:val="20"/>
                <w:szCs w:val="20"/>
              </w:rPr>
              <w:t>45.1</w:t>
            </w:r>
          </w:p>
        </w:tc>
        <w:tc>
          <w:tcPr>
            <w:tcW w:w="936" w:type="dxa"/>
            <w:vAlign w:val="bottom"/>
          </w:tcPr>
          <w:p w:rsidR="00685BE5" w:rsidRPr="007D2274" w:rsidRDefault="00685BE5" w:rsidP="00474504">
            <w:pPr>
              <w:tabs>
                <w:tab w:val="decimal" w:pos="375"/>
              </w:tabs>
              <w:spacing w:before="20" w:after="20"/>
              <w:ind w:right="113"/>
              <w:jc w:val="right"/>
              <w:rPr>
                <w:rFonts w:cstheme="minorHAnsi"/>
                <w:sz w:val="20"/>
                <w:szCs w:val="20"/>
              </w:rPr>
            </w:pPr>
            <w:r w:rsidRPr="007D2274">
              <w:rPr>
                <w:rFonts w:cstheme="minorHAnsi"/>
                <w:sz w:val="20"/>
                <w:szCs w:val="20"/>
              </w:rPr>
              <w:t>19.2</w:t>
            </w:r>
          </w:p>
        </w:tc>
        <w:tc>
          <w:tcPr>
            <w:tcW w:w="1384" w:type="dxa"/>
            <w:vAlign w:val="bottom"/>
          </w:tcPr>
          <w:p w:rsidR="00685BE5" w:rsidRPr="007D2274" w:rsidRDefault="00685BE5" w:rsidP="00FB0DF6">
            <w:pPr>
              <w:spacing w:before="20" w:after="20"/>
              <w:ind w:right="454"/>
              <w:jc w:val="right"/>
              <w:rPr>
                <w:rFonts w:cstheme="minorHAnsi"/>
                <w:b/>
                <w:sz w:val="20"/>
                <w:szCs w:val="20"/>
              </w:rPr>
            </w:pPr>
            <w:r w:rsidRPr="007D2274">
              <w:rPr>
                <w:rFonts w:cstheme="minorHAnsi"/>
                <w:b/>
                <w:sz w:val="20"/>
                <w:szCs w:val="20"/>
              </w:rPr>
              <w:t>55.1</w:t>
            </w:r>
          </w:p>
        </w:tc>
      </w:tr>
      <w:tr w:rsidR="00685BE5" w:rsidRPr="005509AD" w:rsidTr="00474504">
        <w:trPr>
          <w:jc w:val="center"/>
        </w:trPr>
        <w:tc>
          <w:tcPr>
            <w:tcW w:w="3798" w:type="dxa"/>
            <w:vAlign w:val="center"/>
          </w:tcPr>
          <w:p w:rsidR="00685BE5" w:rsidRPr="007D2274" w:rsidRDefault="00685BE5" w:rsidP="00474504">
            <w:pPr>
              <w:spacing w:before="20" w:after="20"/>
              <w:rPr>
                <w:rFonts w:cstheme="minorHAnsi"/>
                <w:sz w:val="20"/>
                <w:szCs w:val="20"/>
              </w:rPr>
            </w:pPr>
            <w:r w:rsidRPr="007D2274">
              <w:rPr>
                <w:rFonts w:cstheme="minorHAnsi"/>
                <w:sz w:val="20"/>
                <w:szCs w:val="20"/>
              </w:rPr>
              <w:t xml:space="preserve">Psychiatric </w:t>
            </w:r>
          </w:p>
        </w:tc>
        <w:tc>
          <w:tcPr>
            <w:tcW w:w="935" w:type="dxa"/>
            <w:vAlign w:val="bottom"/>
          </w:tcPr>
          <w:p w:rsidR="00685BE5" w:rsidRPr="007D2274" w:rsidRDefault="00685BE5" w:rsidP="00474504">
            <w:pPr>
              <w:spacing w:before="20" w:after="20"/>
              <w:ind w:right="113"/>
              <w:jc w:val="right"/>
              <w:rPr>
                <w:rFonts w:cstheme="minorHAnsi"/>
                <w:sz w:val="20"/>
                <w:szCs w:val="20"/>
              </w:rPr>
            </w:pPr>
            <w:r w:rsidRPr="007D2274">
              <w:rPr>
                <w:rFonts w:cstheme="minorHAnsi"/>
                <w:sz w:val="20"/>
                <w:szCs w:val="20"/>
              </w:rPr>
              <w:t>1.9</w:t>
            </w:r>
          </w:p>
        </w:tc>
        <w:tc>
          <w:tcPr>
            <w:tcW w:w="935" w:type="dxa"/>
            <w:vAlign w:val="bottom"/>
          </w:tcPr>
          <w:p w:rsidR="00685BE5" w:rsidRPr="007D2274" w:rsidRDefault="00685BE5" w:rsidP="00474504">
            <w:pPr>
              <w:spacing w:before="20" w:after="20"/>
              <w:ind w:right="113"/>
              <w:jc w:val="right"/>
              <w:rPr>
                <w:rFonts w:cstheme="minorHAnsi"/>
                <w:sz w:val="20"/>
                <w:szCs w:val="20"/>
              </w:rPr>
            </w:pPr>
            <w:r w:rsidRPr="007D2274">
              <w:rPr>
                <w:rFonts w:cstheme="minorHAnsi"/>
                <w:sz w:val="20"/>
                <w:szCs w:val="20"/>
              </w:rPr>
              <w:t>5.2</w:t>
            </w:r>
          </w:p>
        </w:tc>
        <w:tc>
          <w:tcPr>
            <w:tcW w:w="936" w:type="dxa"/>
            <w:vAlign w:val="bottom"/>
          </w:tcPr>
          <w:p w:rsidR="00685BE5" w:rsidRPr="007D2274" w:rsidRDefault="00685BE5" w:rsidP="00474504">
            <w:pPr>
              <w:tabs>
                <w:tab w:val="decimal" w:pos="344"/>
              </w:tabs>
              <w:spacing w:before="20" w:after="20"/>
              <w:ind w:right="113"/>
              <w:jc w:val="right"/>
              <w:rPr>
                <w:rFonts w:cstheme="minorHAnsi"/>
                <w:sz w:val="20"/>
                <w:szCs w:val="20"/>
              </w:rPr>
            </w:pPr>
            <w:r w:rsidRPr="007D2274">
              <w:rPr>
                <w:rFonts w:cstheme="minorHAnsi"/>
                <w:sz w:val="20"/>
                <w:szCs w:val="20"/>
              </w:rPr>
              <w:t>16.4</w:t>
            </w:r>
          </w:p>
        </w:tc>
        <w:tc>
          <w:tcPr>
            <w:tcW w:w="935" w:type="dxa"/>
            <w:vAlign w:val="bottom"/>
          </w:tcPr>
          <w:p w:rsidR="00685BE5" w:rsidRPr="007D2274" w:rsidRDefault="00685BE5" w:rsidP="00474504">
            <w:pPr>
              <w:tabs>
                <w:tab w:val="decimal" w:pos="346"/>
              </w:tabs>
              <w:spacing w:before="20" w:after="20"/>
              <w:ind w:right="113"/>
              <w:jc w:val="right"/>
              <w:rPr>
                <w:rFonts w:cstheme="minorHAnsi"/>
                <w:sz w:val="20"/>
                <w:szCs w:val="20"/>
              </w:rPr>
            </w:pPr>
            <w:r w:rsidRPr="007D2274">
              <w:rPr>
                <w:rFonts w:cstheme="minorHAnsi"/>
                <w:sz w:val="20"/>
                <w:szCs w:val="20"/>
              </w:rPr>
              <w:t>26.7</w:t>
            </w:r>
          </w:p>
        </w:tc>
        <w:tc>
          <w:tcPr>
            <w:tcW w:w="936" w:type="dxa"/>
            <w:vAlign w:val="bottom"/>
          </w:tcPr>
          <w:p w:rsidR="00685BE5" w:rsidRPr="007D2274" w:rsidRDefault="00685BE5" w:rsidP="00474504">
            <w:pPr>
              <w:tabs>
                <w:tab w:val="decimal" w:pos="375"/>
              </w:tabs>
              <w:spacing w:before="20" w:after="20"/>
              <w:ind w:right="113"/>
              <w:jc w:val="right"/>
              <w:rPr>
                <w:rFonts w:cstheme="minorHAnsi"/>
                <w:sz w:val="20"/>
                <w:szCs w:val="20"/>
              </w:rPr>
            </w:pPr>
            <w:r w:rsidRPr="007D2274">
              <w:rPr>
                <w:rFonts w:cstheme="minorHAnsi"/>
                <w:sz w:val="20"/>
                <w:szCs w:val="20"/>
              </w:rPr>
              <w:t>11.9</w:t>
            </w:r>
          </w:p>
        </w:tc>
        <w:tc>
          <w:tcPr>
            <w:tcW w:w="1384" w:type="dxa"/>
            <w:vAlign w:val="bottom"/>
          </w:tcPr>
          <w:p w:rsidR="00685BE5" w:rsidRPr="007D2274" w:rsidRDefault="00685BE5" w:rsidP="00FB0DF6">
            <w:pPr>
              <w:spacing w:before="20" w:after="20"/>
              <w:ind w:right="454"/>
              <w:jc w:val="right"/>
              <w:rPr>
                <w:rFonts w:cstheme="minorHAnsi"/>
                <w:b/>
                <w:sz w:val="20"/>
                <w:szCs w:val="20"/>
              </w:rPr>
            </w:pPr>
            <w:r w:rsidRPr="007D2274">
              <w:rPr>
                <w:rFonts w:cstheme="minorHAnsi"/>
                <w:b/>
                <w:sz w:val="20"/>
                <w:szCs w:val="20"/>
              </w:rPr>
              <w:t>29.4</w:t>
            </w:r>
          </w:p>
        </w:tc>
      </w:tr>
      <w:tr w:rsidR="00685BE5" w:rsidRPr="005509AD" w:rsidTr="00474504">
        <w:trPr>
          <w:jc w:val="center"/>
        </w:trPr>
        <w:tc>
          <w:tcPr>
            <w:tcW w:w="3798" w:type="dxa"/>
            <w:vAlign w:val="center"/>
          </w:tcPr>
          <w:p w:rsidR="00685BE5" w:rsidRPr="007D2274" w:rsidRDefault="00685BE5" w:rsidP="00474504">
            <w:pPr>
              <w:spacing w:before="20" w:after="20"/>
              <w:rPr>
                <w:rFonts w:cstheme="minorHAnsi"/>
                <w:sz w:val="20"/>
                <w:szCs w:val="20"/>
              </w:rPr>
            </w:pPr>
            <w:r w:rsidRPr="007D2274">
              <w:rPr>
                <w:rFonts w:cstheme="minorHAnsi"/>
                <w:sz w:val="20"/>
                <w:szCs w:val="20"/>
              </w:rPr>
              <w:t xml:space="preserve">Hearing </w:t>
            </w:r>
          </w:p>
        </w:tc>
        <w:tc>
          <w:tcPr>
            <w:tcW w:w="935" w:type="dxa"/>
            <w:vAlign w:val="bottom"/>
          </w:tcPr>
          <w:p w:rsidR="00685BE5" w:rsidRPr="007D2274" w:rsidRDefault="00685BE5" w:rsidP="00474504">
            <w:pPr>
              <w:spacing w:before="20" w:after="20"/>
              <w:ind w:right="113"/>
              <w:jc w:val="right"/>
              <w:rPr>
                <w:rFonts w:cstheme="minorHAnsi"/>
                <w:sz w:val="20"/>
                <w:szCs w:val="20"/>
              </w:rPr>
            </w:pPr>
            <w:r w:rsidRPr="007D2274">
              <w:rPr>
                <w:rFonts w:cstheme="minorHAnsi"/>
                <w:sz w:val="20"/>
                <w:szCs w:val="20"/>
              </w:rPr>
              <w:t>10.3</w:t>
            </w:r>
          </w:p>
        </w:tc>
        <w:tc>
          <w:tcPr>
            <w:tcW w:w="935" w:type="dxa"/>
            <w:vAlign w:val="bottom"/>
          </w:tcPr>
          <w:p w:rsidR="00685BE5" w:rsidRPr="007D2274" w:rsidRDefault="00685BE5" w:rsidP="00474504">
            <w:pPr>
              <w:spacing w:before="20" w:after="20"/>
              <w:ind w:right="113"/>
              <w:jc w:val="right"/>
              <w:rPr>
                <w:rFonts w:cstheme="minorHAnsi"/>
                <w:sz w:val="20"/>
                <w:szCs w:val="20"/>
              </w:rPr>
            </w:pPr>
            <w:r w:rsidRPr="007D2274">
              <w:rPr>
                <w:rFonts w:cstheme="minorHAnsi"/>
                <w:sz w:val="20"/>
                <w:szCs w:val="20"/>
              </w:rPr>
              <w:t>11.0</w:t>
            </w:r>
          </w:p>
        </w:tc>
        <w:tc>
          <w:tcPr>
            <w:tcW w:w="936" w:type="dxa"/>
            <w:vAlign w:val="bottom"/>
          </w:tcPr>
          <w:p w:rsidR="00685BE5" w:rsidRPr="007D2274" w:rsidRDefault="00685BE5" w:rsidP="00474504">
            <w:pPr>
              <w:tabs>
                <w:tab w:val="decimal" w:pos="344"/>
              </w:tabs>
              <w:spacing w:before="20" w:after="20"/>
              <w:ind w:right="113"/>
              <w:jc w:val="right"/>
              <w:rPr>
                <w:rFonts w:cstheme="minorHAnsi"/>
                <w:sz w:val="20"/>
                <w:szCs w:val="20"/>
              </w:rPr>
            </w:pPr>
            <w:r w:rsidRPr="007D2274">
              <w:rPr>
                <w:rFonts w:cstheme="minorHAnsi"/>
                <w:sz w:val="20"/>
                <w:szCs w:val="20"/>
              </w:rPr>
              <w:t>12.8</w:t>
            </w:r>
          </w:p>
        </w:tc>
        <w:tc>
          <w:tcPr>
            <w:tcW w:w="935" w:type="dxa"/>
            <w:vAlign w:val="bottom"/>
          </w:tcPr>
          <w:p w:rsidR="00685BE5" w:rsidRPr="007D2274" w:rsidRDefault="00685BE5" w:rsidP="00474504">
            <w:pPr>
              <w:tabs>
                <w:tab w:val="decimal" w:pos="346"/>
              </w:tabs>
              <w:spacing w:before="20" w:after="20"/>
              <w:ind w:right="113"/>
              <w:jc w:val="right"/>
              <w:rPr>
                <w:rFonts w:cstheme="minorHAnsi"/>
                <w:sz w:val="20"/>
                <w:szCs w:val="20"/>
              </w:rPr>
            </w:pPr>
            <w:r w:rsidRPr="007D2274">
              <w:rPr>
                <w:rFonts w:cstheme="minorHAnsi"/>
                <w:sz w:val="20"/>
                <w:szCs w:val="20"/>
              </w:rPr>
              <w:t>18.7</w:t>
            </w:r>
          </w:p>
        </w:tc>
        <w:tc>
          <w:tcPr>
            <w:tcW w:w="936" w:type="dxa"/>
            <w:vAlign w:val="bottom"/>
          </w:tcPr>
          <w:p w:rsidR="00685BE5" w:rsidRPr="007D2274" w:rsidRDefault="00685BE5" w:rsidP="00474504">
            <w:pPr>
              <w:tabs>
                <w:tab w:val="decimal" w:pos="375"/>
              </w:tabs>
              <w:spacing w:before="20" w:after="20"/>
              <w:ind w:right="113"/>
              <w:jc w:val="right"/>
              <w:rPr>
                <w:rFonts w:cstheme="minorHAnsi"/>
                <w:sz w:val="20"/>
                <w:szCs w:val="20"/>
              </w:rPr>
            </w:pPr>
            <w:r w:rsidRPr="007D2274">
              <w:rPr>
                <w:rFonts w:cstheme="minorHAnsi"/>
                <w:sz w:val="20"/>
                <w:szCs w:val="20"/>
              </w:rPr>
              <w:t>9.0</w:t>
            </w:r>
          </w:p>
        </w:tc>
        <w:tc>
          <w:tcPr>
            <w:tcW w:w="1384" w:type="dxa"/>
            <w:vAlign w:val="bottom"/>
          </w:tcPr>
          <w:p w:rsidR="00685BE5" w:rsidRPr="007D2274" w:rsidRDefault="00685BE5" w:rsidP="00FB0DF6">
            <w:pPr>
              <w:spacing w:before="20" w:after="20"/>
              <w:ind w:right="454"/>
              <w:jc w:val="right"/>
              <w:rPr>
                <w:rFonts w:cstheme="minorHAnsi"/>
                <w:b/>
                <w:sz w:val="20"/>
                <w:szCs w:val="20"/>
              </w:rPr>
            </w:pPr>
            <w:r w:rsidRPr="007D2274">
              <w:rPr>
                <w:rFonts w:cstheme="minorHAnsi"/>
                <w:b/>
                <w:sz w:val="20"/>
                <w:szCs w:val="20"/>
              </w:rPr>
              <w:t>30.3</w:t>
            </w:r>
          </w:p>
        </w:tc>
      </w:tr>
      <w:tr w:rsidR="00685BE5" w:rsidRPr="005509AD" w:rsidTr="00474504">
        <w:trPr>
          <w:jc w:val="center"/>
        </w:trPr>
        <w:tc>
          <w:tcPr>
            <w:tcW w:w="3798" w:type="dxa"/>
            <w:vAlign w:val="center"/>
          </w:tcPr>
          <w:p w:rsidR="00685BE5" w:rsidRPr="007D2274" w:rsidRDefault="00685BE5" w:rsidP="00474504">
            <w:pPr>
              <w:spacing w:before="20" w:after="20"/>
              <w:rPr>
                <w:rFonts w:cstheme="minorHAnsi"/>
                <w:sz w:val="20"/>
                <w:szCs w:val="20"/>
              </w:rPr>
            </w:pPr>
            <w:r w:rsidRPr="007D2274">
              <w:rPr>
                <w:rFonts w:cstheme="minorHAnsi"/>
                <w:sz w:val="20"/>
                <w:szCs w:val="20"/>
              </w:rPr>
              <w:t xml:space="preserve">Speech </w:t>
            </w:r>
          </w:p>
        </w:tc>
        <w:tc>
          <w:tcPr>
            <w:tcW w:w="935" w:type="dxa"/>
            <w:vAlign w:val="bottom"/>
          </w:tcPr>
          <w:p w:rsidR="00685BE5" w:rsidRPr="007D2274" w:rsidRDefault="00685BE5" w:rsidP="00474504">
            <w:pPr>
              <w:spacing w:before="20" w:after="20"/>
              <w:ind w:right="113"/>
              <w:jc w:val="right"/>
              <w:rPr>
                <w:rFonts w:cstheme="minorHAnsi"/>
                <w:sz w:val="20"/>
                <w:szCs w:val="20"/>
              </w:rPr>
            </w:pPr>
            <w:r w:rsidRPr="007D2274">
              <w:rPr>
                <w:rFonts w:cstheme="minorHAnsi"/>
                <w:sz w:val="20"/>
                <w:szCs w:val="20"/>
              </w:rPr>
              <w:t>19.2</w:t>
            </w:r>
          </w:p>
        </w:tc>
        <w:tc>
          <w:tcPr>
            <w:tcW w:w="935" w:type="dxa"/>
            <w:vAlign w:val="bottom"/>
          </w:tcPr>
          <w:p w:rsidR="00685BE5" w:rsidRPr="007D2274" w:rsidRDefault="00685BE5" w:rsidP="00474504">
            <w:pPr>
              <w:spacing w:before="20" w:after="20"/>
              <w:ind w:right="113"/>
              <w:jc w:val="right"/>
              <w:rPr>
                <w:rFonts w:cstheme="minorHAnsi"/>
                <w:sz w:val="20"/>
                <w:szCs w:val="20"/>
              </w:rPr>
            </w:pPr>
            <w:r w:rsidRPr="007D2274">
              <w:rPr>
                <w:rFonts w:cstheme="minorHAnsi"/>
                <w:sz w:val="20"/>
                <w:szCs w:val="20"/>
              </w:rPr>
              <w:t>20.7</w:t>
            </w:r>
          </w:p>
        </w:tc>
        <w:tc>
          <w:tcPr>
            <w:tcW w:w="936" w:type="dxa"/>
            <w:vAlign w:val="bottom"/>
          </w:tcPr>
          <w:p w:rsidR="00685BE5" w:rsidRPr="007D2274" w:rsidRDefault="00685BE5" w:rsidP="00474504">
            <w:pPr>
              <w:tabs>
                <w:tab w:val="decimal" w:pos="344"/>
              </w:tabs>
              <w:spacing w:before="20" w:after="20"/>
              <w:ind w:right="113"/>
              <w:jc w:val="right"/>
              <w:rPr>
                <w:rFonts w:cstheme="minorHAnsi"/>
                <w:sz w:val="20"/>
                <w:szCs w:val="20"/>
              </w:rPr>
            </w:pPr>
            <w:r w:rsidRPr="007D2274">
              <w:rPr>
                <w:rFonts w:cstheme="minorHAnsi"/>
                <w:sz w:val="20"/>
                <w:szCs w:val="20"/>
              </w:rPr>
              <w:t>18.5</w:t>
            </w:r>
          </w:p>
        </w:tc>
        <w:tc>
          <w:tcPr>
            <w:tcW w:w="935" w:type="dxa"/>
            <w:vAlign w:val="bottom"/>
          </w:tcPr>
          <w:p w:rsidR="00685BE5" w:rsidRPr="007D2274" w:rsidRDefault="00685BE5" w:rsidP="00474504">
            <w:pPr>
              <w:tabs>
                <w:tab w:val="decimal" w:pos="346"/>
              </w:tabs>
              <w:spacing w:before="20" w:after="20"/>
              <w:ind w:right="113"/>
              <w:jc w:val="right"/>
              <w:rPr>
                <w:rFonts w:cstheme="minorHAnsi"/>
                <w:sz w:val="20"/>
                <w:szCs w:val="20"/>
              </w:rPr>
            </w:pPr>
            <w:r w:rsidRPr="007D2274">
              <w:rPr>
                <w:rFonts w:cstheme="minorHAnsi"/>
                <w:sz w:val="20"/>
                <w:szCs w:val="20"/>
              </w:rPr>
              <w:t>23.8</w:t>
            </w:r>
          </w:p>
        </w:tc>
        <w:tc>
          <w:tcPr>
            <w:tcW w:w="936" w:type="dxa"/>
            <w:vAlign w:val="bottom"/>
          </w:tcPr>
          <w:p w:rsidR="00685BE5" w:rsidRPr="007D2274" w:rsidRDefault="00685BE5" w:rsidP="00474504">
            <w:pPr>
              <w:tabs>
                <w:tab w:val="decimal" w:pos="375"/>
              </w:tabs>
              <w:spacing w:before="20" w:after="20"/>
              <w:ind w:right="113"/>
              <w:jc w:val="right"/>
              <w:rPr>
                <w:rFonts w:cstheme="minorHAnsi"/>
                <w:sz w:val="20"/>
                <w:szCs w:val="20"/>
              </w:rPr>
            </w:pPr>
            <w:r w:rsidRPr="007D2274">
              <w:rPr>
                <w:rFonts w:cstheme="minorHAnsi"/>
                <w:sz w:val="20"/>
                <w:szCs w:val="20"/>
              </w:rPr>
              <w:t>9.2</w:t>
            </w:r>
          </w:p>
        </w:tc>
        <w:tc>
          <w:tcPr>
            <w:tcW w:w="1384" w:type="dxa"/>
            <w:vAlign w:val="bottom"/>
          </w:tcPr>
          <w:p w:rsidR="00685BE5" w:rsidRPr="007D2274" w:rsidRDefault="00685BE5" w:rsidP="00FB0DF6">
            <w:pPr>
              <w:spacing w:before="20" w:after="20"/>
              <w:ind w:right="454"/>
              <w:jc w:val="right"/>
              <w:rPr>
                <w:rFonts w:cstheme="minorHAnsi"/>
                <w:b/>
                <w:sz w:val="20"/>
                <w:szCs w:val="20"/>
              </w:rPr>
            </w:pPr>
            <w:r w:rsidRPr="007D2274">
              <w:rPr>
                <w:rFonts w:cstheme="minorHAnsi"/>
                <w:b/>
                <w:sz w:val="20"/>
                <w:szCs w:val="20"/>
              </w:rPr>
              <w:t>41.0</w:t>
            </w:r>
          </w:p>
        </w:tc>
      </w:tr>
      <w:tr w:rsidR="00685BE5" w:rsidRPr="005509AD" w:rsidTr="00474504">
        <w:trPr>
          <w:jc w:val="center"/>
        </w:trPr>
        <w:tc>
          <w:tcPr>
            <w:tcW w:w="3798" w:type="dxa"/>
            <w:vAlign w:val="center"/>
          </w:tcPr>
          <w:p w:rsidR="00685BE5" w:rsidRPr="007D2274" w:rsidRDefault="00685BE5" w:rsidP="00474504">
            <w:pPr>
              <w:spacing w:before="20" w:after="20"/>
              <w:rPr>
                <w:rFonts w:cstheme="minorHAnsi"/>
                <w:sz w:val="20"/>
                <w:szCs w:val="20"/>
              </w:rPr>
            </w:pPr>
            <w:r w:rsidRPr="007D2274">
              <w:rPr>
                <w:rFonts w:cstheme="minorHAnsi"/>
                <w:sz w:val="20"/>
                <w:szCs w:val="20"/>
              </w:rPr>
              <w:t xml:space="preserve">Visual </w:t>
            </w:r>
          </w:p>
        </w:tc>
        <w:tc>
          <w:tcPr>
            <w:tcW w:w="935" w:type="dxa"/>
            <w:vAlign w:val="bottom"/>
          </w:tcPr>
          <w:p w:rsidR="00685BE5" w:rsidRPr="007D2274" w:rsidRDefault="00685BE5" w:rsidP="00474504">
            <w:pPr>
              <w:spacing w:before="20" w:after="20"/>
              <w:ind w:right="113"/>
              <w:jc w:val="right"/>
              <w:rPr>
                <w:rFonts w:cstheme="minorHAnsi"/>
                <w:sz w:val="20"/>
                <w:szCs w:val="20"/>
              </w:rPr>
            </w:pPr>
            <w:r w:rsidRPr="007D2274">
              <w:rPr>
                <w:rFonts w:cstheme="minorHAnsi"/>
                <w:sz w:val="20"/>
                <w:szCs w:val="20"/>
              </w:rPr>
              <w:t>9.8</w:t>
            </w:r>
          </w:p>
        </w:tc>
        <w:tc>
          <w:tcPr>
            <w:tcW w:w="935" w:type="dxa"/>
            <w:vAlign w:val="bottom"/>
          </w:tcPr>
          <w:p w:rsidR="00685BE5" w:rsidRPr="007D2274" w:rsidRDefault="00685BE5" w:rsidP="00474504">
            <w:pPr>
              <w:spacing w:before="20" w:after="20"/>
              <w:ind w:right="113"/>
              <w:jc w:val="right"/>
              <w:rPr>
                <w:rFonts w:cstheme="minorHAnsi"/>
                <w:sz w:val="20"/>
                <w:szCs w:val="20"/>
              </w:rPr>
            </w:pPr>
            <w:r w:rsidRPr="007D2274">
              <w:rPr>
                <w:rFonts w:cstheme="minorHAnsi"/>
                <w:sz w:val="20"/>
                <w:szCs w:val="20"/>
              </w:rPr>
              <w:t>10.9</w:t>
            </w:r>
          </w:p>
        </w:tc>
        <w:tc>
          <w:tcPr>
            <w:tcW w:w="936" w:type="dxa"/>
            <w:vAlign w:val="bottom"/>
          </w:tcPr>
          <w:p w:rsidR="00685BE5" w:rsidRPr="007D2274" w:rsidRDefault="00685BE5" w:rsidP="00474504">
            <w:pPr>
              <w:tabs>
                <w:tab w:val="decimal" w:pos="344"/>
              </w:tabs>
              <w:spacing w:before="20" w:after="20"/>
              <w:ind w:right="113"/>
              <w:jc w:val="right"/>
              <w:rPr>
                <w:rFonts w:cstheme="minorHAnsi"/>
                <w:sz w:val="20"/>
                <w:szCs w:val="20"/>
              </w:rPr>
            </w:pPr>
            <w:r w:rsidRPr="007D2274">
              <w:rPr>
                <w:rFonts w:cstheme="minorHAnsi"/>
                <w:sz w:val="20"/>
                <w:szCs w:val="20"/>
              </w:rPr>
              <w:t>13.2</w:t>
            </w:r>
          </w:p>
        </w:tc>
        <w:tc>
          <w:tcPr>
            <w:tcW w:w="935" w:type="dxa"/>
            <w:vAlign w:val="bottom"/>
          </w:tcPr>
          <w:p w:rsidR="00685BE5" w:rsidRPr="007D2274" w:rsidRDefault="00685BE5" w:rsidP="00474504">
            <w:pPr>
              <w:tabs>
                <w:tab w:val="decimal" w:pos="346"/>
              </w:tabs>
              <w:spacing w:before="20" w:after="20"/>
              <w:ind w:right="113"/>
              <w:jc w:val="right"/>
              <w:rPr>
                <w:rFonts w:cstheme="minorHAnsi"/>
                <w:sz w:val="20"/>
                <w:szCs w:val="20"/>
              </w:rPr>
            </w:pPr>
            <w:r w:rsidRPr="007D2274">
              <w:rPr>
                <w:rFonts w:cstheme="minorHAnsi"/>
                <w:sz w:val="20"/>
                <w:szCs w:val="20"/>
              </w:rPr>
              <w:t>21.4</w:t>
            </w:r>
          </w:p>
        </w:tc>
        <w:tc>
          <w:tcPr>
            <w:tcW w:w="936" w:type="dxa"/>
            <w:vAlign w:val="bottom"/>
          </w:tcPr>
          <w:p w:rsidR="00685BE5" w:rsidRPr="007D2274" w:rsidRDefault="00685BE5" w:rsidP="00474504">
            <w:pPr>
              <w:tabs>
                <w:tab w:val="decimal" w:pos="375"/>
              </w:tabs>
              <w:spacing w:before="20" w:after="20"/>
              <w:ind w:right="113"/>
              <w:jc w:val="right"/>
              <w:rPr>
                <w:rFonts w:cstheme="minorHAnsi"/>
                <w:sz w:val="20"/>
                <w:szCs w:val="20"/>
              </w:rPr>
            </w:pPr>
            <w:r w:rsidRPr="007D2274">
              <w:rPr>
                <w:rFonts w:cstheme="minorHAnsi"/>
                <w:sz w:val="20"/>
                <w:szCs w:val="20"/>
              </w:rPr>
              <w:t>10.0</w:t>
            </w:r>
          </w:p>
        </w:tc>
        <w:tc>
          <w:tcPr>
            <w:tcW w:w="1384" w:type="dxa"/>
            <w:vAlign w:val="bottom"/>
          </w:tcPr>
          <w:p w:rsidR="00685BE5" w:rsidRPr="007D2274" w:rsidRDefault="00685BE5" w:rsidP="00FB0DF6">
            <w:pPr>
              <w:spacing w:before="20" w:after="20"/>
              <w:ind w:right="454"/>
              <w:jc w:val="right"/>
              <w:rPr>
                <w:rFonts w:cstheme="minorHAnsi"/>
                <w:b/>
                <w:sz w:val="20"/>
                <w:szCs w:val="20"/>
              </w:rPr>
            </w:pPr>
            <w:r w:rsidRPr="007D2274">
              <w:rPr>
                <w:rFonts w:cstheme="minorHAnsi"/>
                <w:b/>
                <w:sz w:val="20"/>
                <w:szCs w:val="20"/>
              </w:rPr>
              <w:t>31.6</w:t>
            </w:r>
          </w:p>
        </w:tc>
      </w:tr>
      <w:tr w:rsidR="00685BE5" w:rsidRPr="005509AD" w:rsidTr="00474504">
        <w:trPr>
          <w:jc w:val="center"/>
        </w:trPr>
        <w:tc>
          <w:tcPr>
            <w:tcW w:w="3798" w:type="dxa"/>
            <w:vAlign w:val="center"/>
          </w:tcPr>
          <w:p w:rsidR="00685BE5" w:rsidRPr="007D2274" w:rsidRDefault="00685BE5" w:rsidP="00474504">
            <w:pPr>
              <w:spacing w:before="20" w:after="20"/>
              <w:rPr>
                <w:rFonts w:cstheme="minorHAnsi"/>
                <w:sz w:val="20"/>
                <w:szCs w:val="20"/>
              </w:rPr>
            </w:pPr>
            <w:r w:rsidRPr="007D2274">
              <w:rPr>
                <w:rFonts w:cstheme="minorHAnsi"/>
                <w:sz w:val="20"/>
                <w:szCs w:val="20"/>
              </w:rPr>
              <w:t>Developmental</w:t>
            </w:r>
          </w:p>
        </w:tc>
        <w:tc>
          <w:tcPr>
            <w:tcW w:w="935" w:type="dxa"/>
            <w:vAlign w:val="bottom"/>
          </w:tcPr>
          <w:p w:rsidR="00685BE5" w:rsidRPr="007D2274" w:rsidRDefault="00685BE5" w:rsidP="00474504">
            <w:pPr>
              <w:spacing w:before="20" w:after="20"/>
              <w:ind w:right="113"/>
              <w:jc w:val="right"/>
              <w:rPr>
                <w:rFonts w:cstheme="minorHAnsi"/>
                <w:sz w:val="20"/>
                <w:szCs w:val="20"/>
              </w:rPr>
            </w:pPr>
            <w:r w:rsidRPr="007D2274">
              <w:rPr>
                <w:rFonts w:cstheme="minorHAnsi"/>
                <w:sz w:val="20"/>
                <w:szCs w:val="20"/>
              </w:rPr>
              <w:t>29.6</w:t>
            </w:r>
          </w:p>
        </w:tc>
        <w:tc>
          <w:tcPr>
            <w:tcW w:w="935" w:type="dxa"/>
            <w:vAlign w:val="bottom"/>
          </w:tcPr>
          <w:p w:rsidR="00685BE5" w:rsidRPr="007D2274" w:rsidRDefault="00685BE5" w:rsidP="00474504">
            <w:pPr>
              <w:spacing w:before="20" w:after="20"/>
              <w:ind w:right="113"/>
              <w:jc w:val="right"/>
              <w:rPr>
                <w:rFonts w:cstheme="minorHAnsi"/>
                <w:sz w:val="20"/>
                <w:szCs w:val="20"/>
              </w:rPr>
            </w:pPr>
            <w:r w:rsidRPr="007D2274">
              <w:rPr>
                <w:rFonts w:cstheme="minorHAnsi"/>
                <w:sz w:val="20"/>
                <w:szCs w:val="20"/>
              </w:rPr>
              <w:t>32.9</w:t>
            </w:r>
          </w:p>
        </w:tc>
        <w:tc>
          <w:tcPr>
            <w:tcW w:w="936" w:type="dxa"/>
            <w:vAlign w:val="bottom"/>
          </w:tcPr>
          <w:p w:rsidR="00685BE5" w:rsidRPr="007D2274" w:rsidRDefault="00685BE5" w:rsidP="00474504">
            <w:pPr>
              <w:tabs>
                <w:tab w:val="decimal" w:pos="344"/>
              </w:tabs>
              <w:spacing w:before="20" w:after="20"/>
              <w:ind w:right="113"/>
              <w:jc w:val="right"/>
              <w:rPr>
                <w:rFonts w:cstheme="minorHAnsi"/>
                <w:sz w:val="20"/>
                <w:szCs w:val="20"/>
              </w:rPr>
            </w:pPr>
            <w:r w:rsidRPr="007D2274">
              <w:rPr>
                <w:rFonts w:cstheme="minorHAnsi"/>
                <w:sz w:val="20"/>
                <w:szCs w:val="20"/>
              </w:rPr>
              <w:t>29.8</w:t>
            </w:r>
          </w:p>
        </w:tc>
        <w:tc>
          <w:tcPr>
            <w:tcW w:w="935" w:type="dxa"/>
            <w:vAlign w:val="bottom"/>
          </w:tcPr>
          <w:p w:rsidR="00685BE5" w:rsidRPr="007D2274" w:rsidRDefault="00685BE5" w:rsidP="00474504">
            <w:pPr>
              <w:tabs>
                <w:tab w:val="decimal" w:pos="346"/>
              </w:tabs>
              <w:spacing w:before="20" w:after="20"/>
              <w:ind w:right="113"/>
              <w:jc w:val="right"/>
              <w:rPr>
                <w:rFonts w:cstheme="minorHAnsi"/>
                <w:sz w:val="20"/>
                <w:szCs w:val="20"/>
              </w:rPr>
            </w:pPr>
            <w:r w:rsidRPr="007D2274">
              <w:rPr>
                <w:rFonts w:cstheme="minorHAnsi"/>
                <w:sz w:val="20"/>
                <w:szCs w:val="20"/>
              </w:rPr>
              <w:t>28.3</w:t>
            </w:r>
          </w:p>
        </w:tc>
        <w:tc>
          <w:tcPr>
            <w:tcW w:w="936" w:type="dxa"/>
            <w:vAlign w:val="bottom"/>
          </w:tcPr>
          <w:p w:rsidR="00685BE5" w:rsidRPr="007D2274" w:rsidRDefault="00685BE5" w:rsidP="00474504">
            <w:pPr>
              <w:tabs>
                <w:tab w:val="decimal" w:pos="375"/>
              </w:tabs>
              <w:spacing w:before="20" w:after="20"/>
              <w:ind w:right="113"/>
              <w:jc w:val="right"/>
              <w:rPr>
                <w:rFonts w:cstheme="minorHAnsi"/>
                <w:sz w:val="20"/>
                <w:szCs w:val="20"/>
              </w:rPr>
            </w:pPr>
            <w:r w:rsidRPr="007D2274">
              <w:rPr>
                <w:rFonts w:cstheme="minorHAnsi"/>
                <w:sz w:val="20"/>
                <w:szCs w:val="20"/>
              </w:rPr>
              <w:t>9.3</w:t>
            </w:r>
          </w:p>
        </w:tc>
        <w:tc>
          <w:tcPr>
            <w:tcW w:w="1384" w:type="dxa"/>
            <w:vAlign w:val="bottom"/>
          </w:tcPr>
          <w:p w:rsidR="00685BE5" w:rsidRPr="007D2274" w:rsidRDefault="00685BE5" w:rsidP="00FB0DF6">
            <w:pPr>
              <w:spacing w:before="20" w:after="20"/>
              <w:ind w:right="454"/>
              <w:jc w:val="right"/>
              <w:rPr>
                <w:rFonts w:cstheme="minorHAnsi"/>
                <w:b/>
                <w:sz w:val="20"/>
                <w:szCs w:val="20"/>
              </w:rPr>
            </w:pPr>
            <w:r w:rsidRPr="007D2274">
              <w:rPr>
                <w:rFonts w:cstheme="minorHAnsi"/>
                <w:b/>
                <w:sz w:val="20"/>
                <w:szCs w:val="20"/>
              </w:rPr>
              <w:t>56.7</w:t>
            </w:r>
          </w:p>
        </w:tc>
      </w:tr>
      <w:tr w:rsidR="00685BE5" w:rsidRPr="005509AD" w:rsidTr="00474504">
        <w:trPr>
          <w:jc w:val="center"/>
        </w:trPr>
        <w:tc>
          <w:tcPr>
            <w:tcW w:w="3798" w:type="dxa"/>
            <w:vAlign w:val="center"/>
          </w:tcPr>
          <w:p w:rsidR="00685BE5" w:rsidRPr="007D2274" w:rsidRDefault="00685BE5" w:rsidP="00474504">
            <w:pPr>
              <w:spacing w:before="20" w:after="20"/>
              <w:rPr>
                <w:rFonts w:cstheme="minorHAnsi"/>
                <w:sz w:val="20"/>
                <w:szCs w:val="20"/>
              </w:rPr>
            </w:pPr>
            <w:r w:rsidRPr="007D2274">
              <w:rPr>
                <w:rFonts w:cstheme="minorHAnsi"/>
                <w:sz w:val="20"/>
                <w:szCs w:val="20"/>
              </w:rPr>
              <w:t xml:space="preserve">Other learning or intellectual </w:t>
            </w:r>
          </w:p>
        </w:tc>
        <w:tc>
          <w:tcPr>
            <w:tcW w:w="935" w:type="dxa"/>
            <w:vAlign w:val="bottom"/>
          </w:tcPr>
          <w:p w:rsidR="00685BE5" w:rsidRPr="007D2274" w:rsidRDefault="00685BE5" w:rsidP="00474504">
            <w:pPr>
              <w:spacing w:before="20" w:after="20"/>
              <w:ind w:right="113"/>
              <w:jc w:val="right"/>
              <w:rPr>
                <w:rFonts w:cstheme="minorHAnsi"/>
                <w:sz w:val="20"/>
                <w:szCs w:val="20"/>
              </w:rPr>
            </w:pPr>
            <w:r w:rsidRPr="007D2274">
              <w:rPr>
                <w:rFonts w:cstheme="minorHAnsi"/>
                <w:sz w:val="20"/>
                <w:szCs w:val="20"/>
              </w:rPr>
              <w:t>22.5</w:t>
            </w:r>
          </w:p>
        </w:tc>
        <w:tc>
          <w:tcPr>
            <w:tcW w:w="935" w:type="dxa"/>
            <w:vAlign w:val="bottom"/>
          </w:tcPr>
          <w:p w:rsidR="00685BE5" w:rsidRPr="007D2274" w:rsidRDefault="00685BE5" w:rsidP="00474504">
            <w:pPr>
              <w:spacing w:before="20" w:after="20"/>
              <w:ind w:right="113"/>
              <w:jc w:val="right"/>
              <w:rPr>
                <w:rFonts w:cstheme="minorHAnsi"/>
                <w:sz w:val="20"/>
                <w:szCs w:val="20"/>
              </w:rPr>
            </w:pPr>
            <w:r w:rsidRPr="007D2274">
              <w:rPr>
                <w:rFonts w:cstheme="minorHAnsi"/>
                <w:sz w:val="20"/>
                <w:szCs w:val="20"/>
              </w:rPr>
              <w:t>31.4</w:t>
            </w:r>
          </w:p>
        </w:tc>
        <w:tc>
          <w:tcPr>
            <w:tcW w:w="936" w:type="dxa"/>
            <w:vAlign w:val="bottom"/>
          </w:tcPr>
          <w:p w:rsidR="00685BE5" w:rsidRPr="007D2274" w:rsidRDefault="00685BE5" w:rsidP="00474504">
            <w:pPr>
              <w:tabs>
                <w:tab w:val="decimal" w:pos="344"/>
              </w:tabs>
              <w:spacing w:before="20" w:after="20"/>
              <w:ind w:right="113"/>
              <w:jc w:val="right"/>
              <w:rPr>
                <w:rFonts w:cstheme="minorHAnsi"/>
                <w:sz w:val="20"/>
                <w:szCs w:val="20"/>
              </w:rPr>
            </w:pPr>
            <w:r w:rsidRPr="007D2274">
              <w:rPr>
                <w:rFonts w:cstheme="minorHAnsi"/>
                <w:sz w:val="20"/>
                <w:szCs w:val="20"/>
              </w:rPr>
              <w:t>40.7</w:t>
            </w:r>
          </w:p>
        </w:tc>
        <w:tc>
          <w:tcPr>
            <w:tcW w:w="935" w:type="dxa"/>
            <w:vAlign w:val="bottom"/>
          </w:tcPr>
          <w:p w:rsidR="00685BE5" w:rsidRPr="007D2274" w:rsidRDefault="00685BE5" w:rsidP="00474504">
            <w:pPr>
              <w:tabs>
                <w:tab w:val="decimal" w:pos="346"/>
              </w:tabs>
              <w:spacing w:before="20" w:after="20"/>
              <w:ind w:right="113"/>
              <w:jc w:val="right"/>
              <w:rPr>
                <w:rFonts w:cstheme="minorHAnsi"/>
                <w:sz w:val="20"/>
                <w:szCs w:val="20"/>
              </w:rPr>
            </w:pPr>
            <w:r w:rsidRPr="007D2274">
              <w:rPr>
                <w:rFonts w:cstheme="minorHAnsi"/>
                <w:sz w:val="20"/>
                <w:szCs w:val="20"/>
              </w:rPr>
              <w:t>46.5</w:t>
            </w:r>
          </w:p>
        </w:tc>
        <w:tc>
          <w:tcPr>
            <w:tcW w:w="936" w:type="dxa"/>
            <w:vAlign w:val="bottom"/>
          </w:tcPr>
          <w:p w:rsidR="00685BE5" w:rsidRPr="007D2274" w:rsidRDefault="00685BE5" w:rsidP="00474504">
            <w:pPr>
              <w:tabs>
                <w:tab w:val="decimal" w:pos="375"/>
              </w:tabs>
              <w:spacing w:before="20" w:after="20"/>
              <w:ind w:right="113"/>
              <w:jc w:val="right"/>
              <w:rPr>
                <w:rFonts w:cstheme="minorHAnsi"/>
                <w:sz w:val="20"/>
                <w:szCs w:val="20"/>
              </w:rPr>
            </w:pPr>
            <w:r w:rsidRPr="007D2274">
              <w:rPr>
                <w:rFonts w:cstheme="minorHAnsi"/>
                <w:sz w:val="20"/>
                <w:szCs w:val="20"/>
              </w:rPr>
              <w:t>17.2</w:t>
            </w:r>
          </w:p>
        </w:tc>
        <w:tc>
          <w:tcPr>
            <w:tcW w:w="1384" w:type="dxa"/>
            <w:vAlign w:val="bottom"/>
          </w:tcPr>
          <w:p w:rsidR="00685BE5" w:rsidRPr="007D2274" w:rsidRDefault="00685BE5" w:rsidP="00FB0DF6">
            <w:pPr>
              <w:spacing w:before="20" w:after="20"/>
              <w:ind w:right="454"/>
              <w:jc w:val="right"/>
              <w:rPr>
                <w:rFonts w:cstheme="minorHAnsi"/>
                <w:b/>
                <w:sz w:val="20"/>
                <w:szCs w:val="20"/>
              </w:rPr>
            </w:pPr>
            <w:r w:rsidRPr="007D2274">
              <w:rPr>
                <w:rFonts w:cstheme="minorHAnsi"/>
                <w:b/>
                <w:sz w:val="20"/>
                <w:szCs w:val="20"/>
              </w:rPr>
              <w:t>64.1</w:t>
            </w:r>
          </w:p>
        </w:tc>
      </w:tr>
      <w:tr w:rsidR="00685BE5" w:rsidRPr="005509AD" w:rsidTr="00474504">
        <w:trPr>
          <w:jc w:val="center"/>
        </w:trPr>
        <w:tc>
          <w:tcPr>
            <w:tcW w:w="3798" w:type="dxa"/>
            <w:vAlign w:val="center"/>
          </w:tcPr>
          <w:p w:rsidR="00685BE5" w:rsidRPr="007D2274" w:rsidRDefault="00685BE5" w:rsidP="00474504">
            <w:pPr>
              <w:spacing w:before="20" w:after="20"/>
              <w:ind w:right="-108"/>
              <w:rPr>
                <w:rFonts w:cstheme="minorHAnsi"/>
                <w:sz w:val="20"/>
                <w:szCs w:val="20"/>
              </w:rPr>
            </w:pPr>
            <w:r w:rsidRPr="007D2274">
              <w:rPr>
                <w:rFonts w:cstheme="minorHAnsi"/>
                <w:sz w:val="20"/>
                <w:szCs w:val="20"/>
              </w:rPr>
              <w:t>Neurological, including acquired brain injury</w:t>
            </w:r>
          </w:p>
        </w:tc>
        <w:tc>
          <w:tcPr>
            <w:tcW w:w="935" w:type="dxa"/>
            <w:vAlign w:val="bottom"/>
          </w:tcPr>
          <w:p w:rsidR="00685BE5" w:rsidRPr="007D2274" w:rsidRDefault="00685BE5" w:rsidP="00474504">
            <w:pPr>
              <w:spacing w:before="20" w:after="20"/>
              <w:ind w:right="113"/>
              <w:jc w:val="right"/>
              <w:rPr>
                <w:rFonts w:cstheme="minorHAnsi"/>
                <w:sz w:val="20"/>
                <w:szCs w:val="20"/>
              </w:rPr>
            </w:pPr>
            <w:r w:rsidRPr="007D2274">
              <w:rPr>
                <w:rFonts w:cstheme="minorHAnsi"/>
                <w:sz w:val="20"/>
                <w:szCs w:val="20"/>
              </w:rPr>
              <w:t>16.4</w:t>
            </w:r>
          </w:p>
        </w:tc>
        <w:tc>
          <w:tcPr>
            <w:tcW w:w="935" w:type="dxa"/>
            <w:vAlign w:val="bottom"/>
          </w:tcPr>
          <w:p w:rsidR="00685BE5" w:rsidRPr="007D2274" w:rsidRDefault="00685BE5" w:rsidP="00474504">
            <w:pPr>
              <w:spacing w:before="20" w:after="20"/>
              <w:ind w:right="113"/>
              <w:jc w:val="right"/>
              <w:rPr>
                <w:rFonts w:cstheme="minorHAnsi"/>
                <w:sz w:val="20"/>
                <w:szCs w:val="20"/>
              </w:rPr>
            </w:pPr>
            <w:r w:rsidRPr="007D2274">
              <w:rPr>
                <w:rFonts w:cstheme="minorHAnsi"/>
                <w:sz w:val="20"/>
                <w:szCs w:val="20"/>
              </w:rPr>
              <w:t>21.4</w:t>
            </w:r>
          </w:p>
        </w:tc>
        <w:tc>
          <w:tcPr>
            <w:tcW w:w="936" w:type="dxa"/>
            <w:vAlign w:val="bottom"/>
          </w:tcPr>
          <w:p w:rsidR="00685BE5" w:rsidRPr="007D2274" w:rsidRDefault="00685BE5" w:rsidP="00474504">
            <w:pPr>
              <w:tabs>
                <w:tab w:val="decimal" w:pos="344"/>
              </w:tabs>
              <w:spacing w:before="20" w:after="20"/>
              <w:ind w:right="113"/>
              <w:jc w:val="right"/>
              <w:rPr>
                <w:rFonts w:cstheme="minorHAnsi"/>
                <w:sz w:val="20"/>
                <w:szCs w:val="20"/>
              </w:rPr>
            </w:pPr>
            <w:r w:rsidRPr="007D2274">
              <w:rPr>
                <w:rFonts w:cstheme="minorHAnsi"/>
                <w:sz w:val="20"/>
                <w:szCs w:val="20"/>
              </w:rPr>
              <w:t>31.7</w:t>
            </w:r>
          </w:p>
        </w:tc>
        <w:tc>
          <w:tcPr>
            <w:tcW w:w="935" w:type="dxa"/>
            <w:vAlign w:val="bottom"/>
          </w:tcPr>
          <w:p w:rsidR="00685BE5" w:rsidRPr="007D2274" w:rsidRDefault="00685BE5" w:rsidP="00474504">
            <w:pPr>
              <w:tabs>
                <w:tab w:val="decimal" w:pos="346"/>
              </w:tabs>
              <w:spacing w:before="20" w:after="20"/>
              <w:ind w:right="113"/>
              <w:jc w:val="right"/>
              <w:rPr>
                <w:rFonts w:cstheme="minorHAnsi"/>
                <w:sz w:val="20"/>
                <w:szCs w:val="20"/>
              </w:rPr>
            </w:pPr>
            <w:r w:rsidRPr="007D2274">
              <w:rPr>
                <w:rFonts w:cstheme="minorHAnsi"/>
                <w:sz w:val="20"/>
                <w:szCs w:val="20"/>
              </w:rPr>
              <w:t>45.5</w:t>
            </w:r>
          </w:p>
        </w:tc>
        <w:tc>
          <w:tcPr>
            <w:tcW w:w="936" w:type="dxa"/>
            <w:vAlign w:val="bottom"/>
          </w:tcPr>
          <w:p w:rsidR="00685BE5" w:rsidRPr="007D2274" w:rsidRDefault="00685BE5" w:rsidP="00474504">
            <w:pPr>
              <w:tabs>
                <w:tab w:val="decimal" w:pos="375"/>
              </w:tabs>
              <w:spacing w:before="20" w:after="20"/>
              <w:ind w:right="113"/>
              <w:jc w:val="right"/>
              <w:rPr>
                <w:rFonts w:cstheme="minorHAnsi"/>
                <w:sz w:val="20"/>
                <w:szCs w:val="20"/>
              </w:rPr>
            </w:pPr>
            <w:r w:rsidRPr="007D2274">
              <w:rPr>
                <w:rFonts w:cstheme="minorHAnsi"/>
                <w:sz w:val="20"/>
                <w:szCs w:val="20"/>
              </w:rPr>
              <w:t>18.7</w:t>
            </w:r>
          </w:p>
        </w:tc>
        <w:tc>
          <w:tcPr>
            <w:tcW w:w="1384" w:type="dxa"/>
            <w:vAlign w:val="bottom"/>
          </w:tcPr>
          <w:p w:rsidR="00685BE5" w:rsidRPr="007D2274" w:rsidRDefault="00685BE5" w:rsidP="00FB0DF6">
            <w:pPr>
              <w:spacing w:before="20" w:after="20"/>
              <w:ind w:right="454"/>
              <w:jc w:val="right"/>
              <w:rPr>
                <w:rFonts w:cstheme="minorHAnsi"/>
                <w:b/>
                <w:sz w:val="20"/>
                <w:szCs w:val="20"/>
              </w:rPr>
            </w:pPr>
            <w:r w:rsidRPr="007D2274">
              <w:rPr>
                <w:rFonts w:cstheme="minorHAnsi"/>
                <w:b/>
                <w:sz w:val="20"/>
                <w:szCs w:val="20"/>
              </w:rPr>
              <w:t>58.4</w:t>
            </w:r>
          </w:p>
        </w:tc>
      </w:tr>
      <w:tr w:rsidR="00685BE5" w:rsidRPr="005509AD" w:rsidTr="00474504">
        <w:trPr>
          <w:jc w:val="center"/>
        </w:trPr>
        <w:tc>
          <w:tcPr>
            <w:tcW w:w="3798" w:type="dxa"/>
            <w:vAlign w:val="center"/>
          </w:tcPr>
          <w:p w:rsidR="00685BE5" w:rsidRPr="007D2274" w:rsidRDefault="00685BE5" w:rsidP="00474504">
            <w:pPr>
              <w:spacing w:before="20" w:after="20"/>
              <w:rPr>
                <w:rFonts w:cstheme="minorHAnsi"/>
                <w:sz w:val="20"/>
                <w:szCs w:val="20"/>
              </w:rPr>
            </w:pPr>
            <w:r w:rsidRPr="007D2274">
              <w:rPr>
                <w:rFonts w:cstheme="minorHAnsi"/>
                <w:sz w:val="20"/>
                <w:szCs w:val="20"/>
              </w:rPr>
              <w:t>Congenital or inherited conditions</w:t>
            </w:r>
          </w:p>
        </w:tc>
        <w:tc>
          <w:tcPr>
            <w:tcW w:w="935" w:type="dxa"/>
            <w:vAlign w:val="bottom"/>
          </w:tcPr>
          <w:p w:rsidR="00685BE5" w:rsidRPr="007D2274" w:rsidRDefault="00685BE5" w:rsidP="00474504">
            <w:pPr>
              <w:spacing w:before="20" w:after="20"/>
              <w:ind w:right="113"/>
              <w:jc w:val="right"/>
              <w:rPr>
                <w:rFonts w:cstheme="minorHAnsi"/>
                <w:sz w:val="20"/>
                <w:szCs w:val="20"/>
              </w:rPr>
            </w:pPr>
            <w:r w:rsidRPr="007D2274">
              <w:rPr>
                <w:rFonts w:cstheme="minorHAnsi"/>
                <w:sz w:val="20"/>
                <w:szCs w:val="20"/>
              </w:rPr>
              <w:t>22.2</w:t>
            </w:r>
          </w:p>
        </w:tc>
        <w:tc>
          <w:tcPr>
            <w:tcW w:w="935" w:type="dxa"/>
            <w:vAlign w:val="bottom"/>
          </w:tcPr>
          <w:p w:rsidR="00685BE5" w:rsidRPr="007D2274" w:rsidRDefault="00685BE5" w:rsidP="00474504">
            <w:pPr>
              <w:spacing w:before="20" w:after="20"/>
              <w:ind w:right="113"/>
              <w:jc w:val="right"/>
              <w:rPr>
                <w:rFonts w:cstheme="minorHAnsi"/>
                <w:sz w:val="20"/>
                <w:szCs w:val="20"/>
              </w:rPr>
            </w:pPr>
            <w:r w:rsidRPr="007D2274">
              <w:rPr>
                <w:rFonts w:cstheme="minorHAnsi"/>
                <w:sz w:val="20"/>
                <w:szCs w:val="20"/>
              </w:rPr>
              <w:t>25.3</w:t>
            </w:r>
          </w:p>
        </w:tc>
        <w:tc>
          <w:tcPr>
            <w:tcW w:w="936" w:type="dxa"/>
            <w:vAlign w:val="bottom"/>
          </w:tcPr>
          <w:p w:rsidR="00685BE5" w:rsidRPr="007D2274" w:rsidRDefault="00685BE5" w:rsidP="00474504">
            <w:pPr>
              <w:tabs>
                <w:tab w:val="decimal" w:pos="344"/>
              </w:tabs>
              <w:spacing w:before="20" w:after="20"/>
              <w:ind w:right="113"/>
              <w:jc w:val="right"/>
              <w:rPr>
                <w:rFonts w:cstheme="minorHAnsi"/>
                <w:sz w:val="20"/>
                <w:szCs w:val="20"/>
              </w:rPr>
            </w:pPr>
            <w:r w:rsidRPr="007D2274">
              <w:rPr>
                <w:rFonts w:cstheme="minorHAnsi"/>
                <w:sz w:val="20"/>
                <w:szCs w:val="20"/>
              </w:rPr>
              <w:t>27.3</w:t>
            </w:r>
          </w:p>
        </w:tc>
        <w:tc>
          <w:tcPr>
            <w:tcW w:w="935" w:type="dxa"/>
            <w:vAlign w:val="bottom"/>
          </w:tcPr>
          <w:p w:rsidR="00685BE5" w:rsidRPr="007D2274" w:rsidRDefault="00685BE5" w:rsidP="00474504">
            <w:pPr>
              <w:tabs>
                <w:tab w:val="decimal" w:pos="346"/>
              </w:tabs>
              <w:spacing w:before="20" w:after="20"/>
              <w:ind w:right="113"/>
              <w:jc w:val="right"/>
              <w:rPr>
                <w:rFonts w:cstheme="minorHAnsi"/>
                <w:sz w:val="20"/>
                <w:szCs w:val="20"/>
              </w:rPr>
            </w:pPr>
            <w:r w:rsidRPr="007D2274">
              <w:rPr>
                <w:rFonts w:cstheme="minorHAnsi"/>
                <w:sz w:val="20"/>
                <w:szCs w:val="20"/>
              </w:rPr>
              <w:t>32.7</w:t>
            </w:r>
          </w:p>
        </w:tc>
        <w:tc>
          <w:tcPr>
            <w:tcW w:w="936" w:type="dxa"/>
            <w:vAlign w:val="bottom"/>
          </w:tcPr>
          <w:p w:rsidR="00685BE5" w:rsidRPr="007D2274" w:rsidRDefault="00685BE5" w:rsidP="00474504">
            <w:pPr>
              <w:tabs>
                <w:tab w:val="decimal" w:pos="375"/>
              </w:tabs>
              <w:spacing w:before="20" w:after="20"/>
              <w:ind w:right="113"/>
              <w:jc w:val="right"/>
              <w:rPr>
                <w:rFonts w:cstheme="minorHAnsi"/>
                <w:sz w:val="20"/>
                <w:szCs w:val="20"/>
              </w:rPr>
            </w:pPr>
            <w:r w:rsidRPr="007D2274">
              <w:rPr>
                <w:rFonts w:cstheme="minorHAnsi"/>
                <w:sz w:val="20"/>
                <w:szCs w:val="20"/>
              </w:rPr>
              <w:t>13.2</w:t>
            </w:r>
          </w:p>
        </w:tc>
        <w:tc>
          <w:tcPr>
            <w:tcW w:w="1384" w:type="dxa"/>
            <w:vAlign w:val="bottom"/>
          </w:tcPr>
          <w:p w:rsidR="00685BE5" w:rsidRPr="007D2274" w:rsidRDefault="00685BE5" w:rsidP="00FB0DF6">
            <w:pPr>
              <w:spacing w:before="20" w:after="20"/>
              <w:ind w:right="454"/>
              <w:jc w:val="right"/>
              <w:rPr>
                <w:rFonts w:cstheme="minorHAnsi"/>
                <w:b/>
                <w:sz w:val="20"/>
                <w:szCs w:val="20"/>
              </w:rPr>
            </w:pPr>
            <w:r w:rsidRPr="007D2274">
              <w:rPr>
                <w:rFonts w:cstheme="minorHAnsi"/>
                <w:b/>
                <w:sz w:val="20"/>
                <w:szCs w:val="20"/>
              </w:rPr>
              <w:t>50.8</w:t>
            </w:r>
          </w:p>
        </w:tc>
      </w:tr>
      <w:tr w:rsidR="00685BE5" w:rsidRPr="00FC108A" w:rsidTr="00474504">
        <w:trPr>
          <w:jc w:val="center"/>
        </w:trPr>
        <w:tc>
          <w:tcPr>
            <w:tcW w:w="3798" w:type="dxa"/>
            <w:vAlign w:val="center"/>
          </w:tcPr>
          <w:p w:rsidR="00685BE5" w:rsidRPr="004D7225" w:rsidRDefault="00685BE5" w:rsidP="00AE4C3A">
            <w:pPr>
              <w:spacing w:before="20" w:after="20"/>
              <w:rPr>
                <w:rFonts w:cstheme="minorHAnsi"/>
                <w:sz w:val="20"/>
                <w:szCs w:val="20"/>
              </w:rPr>
            </w:pPr>
            <w:r w:rsidRPr="004D7225">
              <w:rPr>
                <w:rFonts w:cstheme="minorHAnsi"/>
                <w:sz w:val="20"/>
                <w:szCs w:val="20"/>
              </w:rPr>
              <w:t xml:space="preserve">Users with any type of disability for this age </w:t>
            </w:r>
          </w:p>
        </w:tc>
        <w:tc>
          <w:tcPr>
            <w:tcW w:w="935" w:type="dxa"/>
            <w:vAlign w:val="bottom"/>
          </w:tcPr>
          <w:p w:rsidR="00685BE5" w:rsidRPr="004D7225" w:rsidRDefault="00685BE5" w:rsidP="00474504">
            <w:pPr>
              <w:spacing w:before="20" w:after="20"/>
              <w:ind w:right="113"/>
              <w:jc w:val="right"/>
              <w:rPr>
                <w:rFonts w:cstheme="minorHAnsi"/>
                <w:sz w:val="20"/>
                <w:szCs w:val="20"/>
              </w:rPr>
            </w:pPr>
            <w:r w:rsidRPr="004D7225">
              <w:rPr>
                <w:rFonts w:cstheme="minorHAnsi"/>
                <w:sz w:val="20"/>
                <w:szCs w:val="20"/>
              </w:rPr>
              <w:t>38.0</w:t>
            </w:r>
          </w:p>
        </w:tc>
        <w:tc>
          <w:tcPr>
            <w:tcW w:w="935" w:type="dxa"/>
            <w:vAlign w:val="bottom"/>
          </w:tcPr>
          <w:p w:rsidR="00685BE5" w:rsidRPr="004D7225" w:rsidRDefault="00685BE5" w:rsidP="00474504">
            <w:pPr>
              <w:spacing w:before="20" w:after="20"/>
              <w:ind w:right="113"/>
              <w:jc w:val="right"/>
              <w:rPr>
                <w:rFonts w:cstheme="minorHAnsi"/>
                <w:sz w:val="20"/>
                <w:szCs w:val="20"/>
              </w:rPr>
            </w:pPr>
            <w:r w:rsidRPr="004D7225">
              <w:rPr>
                <w:rFonts w:cstheme="minorHAnsi"/>
                <w:sz w:val="20"/>
                <w:szCs w:val="20"/>
              </w:rPr>
              <w:t>49.5</w:t>
            </w:r>
          </w:p>
        </w:tc>
        <w:tc>
          <w:tcPr>
            <w:tcW w:w="936" w:type="dxa"/>
            <w:vAlign w:val="bottom"/>
          </w:tcPr>
          <w:p w:rsidR="00685BE5" w:rsidRPr="004D7225" w:rsidRDefault="00685BE5" w:rsidP="00474504">
            <w:pPr>
              <w:tabs>
                <w:tab w:val="decimal" w:pos="344"/>
              </w:tabs>
              <w:spacing w:before="20" w:after="20"/>
              <w:ind w:right="113"/>
              <w:jc w:val="right"/>
              <w:rPr>
                <w:rFonts w:cstheme="minorHAnsi"/>
                <w:sz w:val="20"/>
                <w:szCs w:val="20"/>
              </w:rPr>
            </w:pPr>
            <w:r w:rsidRPr="004D7225">
              <w:rPr>
                <w:rFonts w:cstheme="minorHAnsi"/>
                <w:sz w:val="20"/>
                <w:szCs w:val="20"/>
              </w:rPr>
              <w:t>66.0</w:t>
            </w:r>
          </w:p>
        </w:tc>
        <w:tc>
          <w:tcPr>
            <w:tcW w:w="935" w:type="dxa"/>
            <w:vAlign w:val="bottom"/>
          </w:tcPr>
          <w:p w:rsidR="00685BE5" w:rsidRPr="004D7225" w:rsidRDefault="00685BE5" w:rsidP="00474504">
            <w:pPr>
              <w:tabs>
                <w:tab w:val="decimal" w:pos="346"/>
              </w:tabs>
              <w:spacing w:before="20" w:after="20"/>
              <w:ind w:right="113"/>
              <w:jc w:val="right"/>
              <w:rPr>
                <w:rFonts w:cstheme="minorHAnsi"/>
                <w:sz w:val="20"/>
                <w:szCs w:val="20"/>
              </w:rPr>
            </w:pPr>
            <w:r w:rsidRPr="004D7225">
              <w:rPr>
                <w:rFonts w:cstheme="minorHAnsi"/>
                <w:sz w:val="20"/>
                <w:szCs w:val="20"/>
              </w:rPr>
              <w:t>77.0</w:t>
            </w:r>
          </w:p>
        </w:tc>
        <w:tc>
          <w:tcPr>
            <w:tcW w:w="936" w:type="dxa"/>
            <w:vAlign w:val="bottom"/>
          </w:tcPr>
          <w:p w:rsidR="00685BE5" w:rsidRPr="004D7225" w:rsidRDefault="00685BE5" w:rsidP="00474504">
            <w:pPr>
              <w:tabs>
                <w:tab w:val="decimal" w:pos="375"/>
              </w:tabs>
              <w:spacing w:before="20" w:after="20"/>
              <w:ind w:right="113"/>
              <w:jc w:val="right"/>
              <w:rPr>
                <w:rFonts w:cstheme="minorHAnsi"/>
                <w:sz w:val="20"/>
                <w:szCs w:val="20"/>
              </w:rPr>
            </w:pPr>
            <w:r w:rsidRPr="004D7225">
              <w:rPr>
                <w:rFonts w:cstheme="minorHAnsi"/>
                <w:sz w:val="20"/>
                <w:szCs w:val="20"/>
              </w:rPr>
              <w:t>41.5</w:t>
            </w:r>
          </w:p>
        </w:tc>
        <w:tc>
          <w:tcPr>
            <w:tcW w:w="1384" w:type="dxa"/>
            <w:vAlign w:val="bottom"/>
          </w:tcPr>
          <w:p w:rsidR="00685BE5" w:rsidRPr="004D7225" w:rsidRDefault="00685BE5" w:rsidP="00FB0DF6">
            <w:pPr>
              <w:spacing w:before="20" w:after="20"/>
              <w:ind w:right="454"/>
              <w:jc w:val="right"/>
              <w:rPr>
                <w:rFonts w:cstheme="minorHAnsi"/>
                <w:sz w:val="20"/>
                <w:szCs w:val="20"/>
              </w:rPr>
            </w:pPr>
          </w:p>
        </w:tc>
      </w:tr>
      <w:tr w:rsidR="00813AB3" w:rsidRPr="00FC108A" w:rsidTr="00474504">
        <w:trPr>
          <w:jc w:val="center"/>
        </w:trPr>
        <w:tc>
          <w:tcPr>
            <w:tcW w:w="3798" w:type="dxa"/>
            <w:vAlign w:val="center"/>
          </w:tcPr>
          <w:p w:rsidR="00813AB3" w:rsidRPr="004D7225" w:rsidRDefault="00813AB3" w:rsidP="00AE4C3A">
            <w:pPr>
              <w:spacing w:before="20" w:after="20"/>
              <w:rPr>
                <w:rFonts w:cstheme="minorHAnsi"/>
                <w:sz w:val="20"/>
                <w:szCs w:val="20"/>
              </w:rPr>
            </w:pPr>
            <w:r w:rsidRPr="005C469C">
              <w:rPr>
                <w:rFonts w:cstheme="minorHAnsi"/>
                <w:sz w:val="20"/>
                <w:szCs w:val="20"/>
              </w:rPr>
              <w:t>Question not answered</w:t>
            </w:r>
          </w:p>
        </w:tc>
        <w:tc>
          <w:tcPr>
            <w:tcW w:w="935" w:type="dxa"/>
            <w:vAlign w:val="bottom"/>
          </w:tcPr>
          <w:p w:rsidR="00813AB3" w:rsidRPr="004D7225" w:rsidRDefault="00813AB3" w:rsidP="00474504">
            <w:pPr>
              <w:spacing w:before="20" w:after="20"/>
              <w:ind w:right="113"/>
              <w:jc w:val="right"/>
              <w:rPr>
                <w:rFonts w:cstheme="minorHAnsi"/>
                <w:sz w:val="20"/>
                <w:szCs w:val="20"/>
              </w:rPr>
            </w:pPr>
          </w:p>
        </w:tc>
        <w:tc>
          <w:tcPr>
            <w:tcW w:w="935" w:type="dxa"/>
            <w:vAlign w:val="bottom"/>
          </w:tcPr>
          <w:p w:rsidR="00813AB3" w:rsidRPr="004D7225" w:rsidRDefault="00813AB3" w:rsidP="00AE4C3A">
            <w:pPr>
              <w:spacing w:before="20" w:after="20"/>
              <w:jc w:val="right"/>
              <w:rPr>
                <w:rFonts w:cstheme="minorHAnsi"/>
                <w:sz w:val="20"/>
                <w:szCs w:val="20"/>
              </w:rPr>
            </w:pPr>
          </w:p>
        </w:tc>
        <w:tc>
          <w:tcPr>
            <w:tcW w:w="936" w:type="dxa"/>
            <w:vAlign w:val="bottom"/>
          </w:tcPr>
          <w:p w:rsidR="00813AB3" w:rsidRPr="004D7225" w:rsidRDefault="00813AB3" w:rsidP="00474504">
            <w:pPr>
              <w:tabs>
                <w:tab w:val="decimal" w:pos="344"/>
              </w:tabs>
              <w:spacing w:before="20" w:after="20"/>
              <w:ind w:right="113"/>
              <w:jc w:val="right"/>
              <w:rPr>
                <w:rFonts w:cstheme="minorHAnsi"/>
                <w:sz w:val="20"/>
                <w:szCs w:val="20"/>
              </w:rPr>
            </w:pPr>
          </w:p>
        </w:tc>
        <w:tc>
          <w:tcPr>
            <w:tcW w:w="935" w:type="dxa"/>
            <w:vAlign w:val="bottom"/>
          </w:tcPr>
          <w:p w:rsidR="00813AB3" w:rsidRPr="004D7225" w:rsidRDefault="00813AB3" w:rsidP="00474504">
            <w:pPr>
              <w:tabs>
                <w:tab w:val="decimal" w:pos="346"/>
              </w:tabs>
              <w:spacing w:before="20" w:after="20"/>
              <w:ind w:right="113"/>
              <w:jc w:val="right"/>
              <w:rPr>
                <w:rFonts w:cstheme="minorHAnsi"/>
                <w:sz w:val="20"/>
                <w:szCs w:val="20"/>
              </w:rPr>
            </w:pPr>
          </w:p>
        </w:tc>
        <w:tc>
          <w:tcPr>
            <w:tcW w:w="936" w:type="dxa"/>
            <w:vAlign w:val="bottom"/>
          </w:tcPr>
          <w:p w:rsidR="00813AB3" w:rsidRPr="004D7225" w:rsidRDefault="00813AB3" w:rsidP="00474504">
            <w:pPr>
              <w:tabs>
                <w:tab w:val="decimal" w:pos="375"/>
              </w:tabs>
              <w:spacing w:before="20" w:after="20"/>
              <w:ind w:right="113"/>
              <w:jc w:val="right"/>
              <w:rPr>
                <w:rFonts w:cstheme="minorHAnsi"/>
                <w:sz w:val="20"/>
                <w:szCs w:val="20"/>
              </w:rPr>
            </w:pPr>
          </w:p>
        </w:tc>
        <w:tc>
          <w:tcPr>
            <w:tcW w:w="1384" w:type="dxa"/>
            <w:vAlign w:val="bottom"/>
          </w:tcPr>
          <w:p w:rsidR="00813AB3" w:rsidRPr="00720668" w:rsidRDefault="00813AB3" w:rsidP="00FB0DF6">
            <w:pPr>
              <w:spacing w:before="20" w:after="20"/>
              <w:ind w:right="454"/>
              <w:jc w:val="right"/>
              <w:rPr>
                <w:rFonts w:cstheme="minorHAnsi"/>
                <w:sz w:val="20"/>
                <w:szCs w:val="20"/>
              </w:rPr>
            </w:pPr>
            <w:r w:rsidRPr="00720668">
              <w:rPr>
                <w:rFonts w:cstheme="minorHAnsi"/>
                <w:sz w:val="20"/>
                <w:szCs w:val="20"/>
              </w:rPr>
              <w:t>2.7</w:t>
            </w:r>
          </w:p>
        </w:tc>
      </w:tr>
    </w:tbl>
    <w:p w:rsidR="005D1943" w:rsidRDefault="005D1943" w:rsidP="005D1943">
      <w:pPr>
        <w:pBdr>
          <w:bottom w:val="single" w:sz="4" w:space="1" w:color="auto"/>
        </w:pBdr>
        <w:ind w:left="-284" w:right="-286" w:firstLine="284"/>
      </w:pPr>
      <w:r w:rsidRPr="007D2274">
        <w:rPr>
          <w:b/>
          <w:sz w:val="20"/>
          <w:szCs w:val="20"/>
        </w:rPr>
        <w:t>Total number of outlets</w:t>
      </w:r>
      <w:r>
        <w:rPr>
          <w:b/>
          <w:sz w:val="20"/>
          <w:szCs w:val="20"/>
        </w:rPr>
        <w:t xml:space="preserve"> 697</w:t>
      </w:r>
    </w:p>
    <w:p w:rsidR="00685BE5" w:rsidRPr="007D2274" w:rsidRDefault="00685BE5" w:rsidP="005D1943">
      <w:pPr>
        <w:pStyle w:val="NILSReference"/>
        <w:ind w:left="-284" w:right="-428" w:firstLine="284"/>
      </w:pPr>
      <w:r w:rsidRPr="007D2274">
        <w:t>Source: 2014 NDIS DSP outlet survey, Question A13.</w:t>
      </w:r>
    </w:p>
    <w:p w:rsidR="00685BE5" w:rsidRPr="007D2274" w:rsidRDefault="00685BE5" w:rsidP="00AE4C3A">
      <w:pPr>
        <w:pStyle w:val="NILSReference"/>
      </w:pPr>
      <w:r w:rsidRPr="007D2274">
        <w:t>Note: Multiple responses allowed.</w:t>
      </w:r>
    </w:p>
    <w:p w:rsidR="00685BE5" w:rsidRDefault="00685BE5" w:rsidP="00367B24">
      <w:pPr>
        <w:pStyle w:val="Heading3"/>
      </w:pPr>
      <w:bookmarkStart w:id="498" w:name="_Toc428279186"/>
      <w:bookmarkStart w:id="499" w:name="_Toc449955034"/>
      <w:r>
        <w:t>4.2.2 Skill shortages and staff skills</w:t>
      </w:r>
      <w:bookmarkEnd w:id="498"/>
      <w:bookmarkEnd w:id="499"/>
    </w:p>
    <w:p w:rsidR="00685BE5" w:rsidRDefault="00685BE5" w:rsidP="00AE4C3A">
      <w:r>
        <w:t xml:space="preserve">The information collected allows us to report on the types of skills used, staff skills balance, extent of skill shortages, the factors thought to underlie the skills shortages and the kinds of responses used to deal with them. These aspects can inform existing workforce strategies and planning for the future. </w:t>
      </w:r>
    </w:p>
    <w:p w:rsidR="0078325B" w:rsidRDefault="0078325B" w:rsidP="00AE4C3A"/>
    <w:p w:rsidR="00685BE5" w:rsidRDefault="00685BE5" w:rsidP="00AE4C3A">
      <w:r>
        <w:t>The information was collected with specific regard to each of the range of disability support worker roles: disability support/residential support worker; personal care/home worker; service or program administrator/manager/co-ordinator; social worker/disability case co-ordinator; employment support worker; peer support worker; allied health worker. Hence in reading the tables in this section, if allied health workers, for example, are of particular interest, then the figures in this row reflect information about this role.</w:t>
      </w:r>
    </w:p>
    <w:p w:rsidR="0078325B" w:rsidRDefault="0078325B" w:rsidP="00AE4C3A"/>
    <w:p w:rsidR="00685BE5" w:rsidRPr="008823CB" w:rsidRDefault="00685BE5" w:rsidP="00AE4C3A">
      <w:r w:rsidRPr="008823CB">
        <w:t>Table</w:t>
      </w:r>
      <w:r>
        <w:t xml:space="preserve"> 4.</w:t>
      </w:r>
      <w:r w:rsidRPr="008823CB">
        <w:t>5 shows within each row, the share of outlet managers who thought their staff were under</w:t>
      </w:r>
      <w:r>
        <w:t>-</w:t>
      </w:r>
      <w:r w:rsidRPr="008823CB">
        <w:t xml:space="preserve">skilled for delivering </w:t>
      </w:r>
      <w:r>
        <w:t>each</w:t>
      </w:r>
      <w:r w:rsidRPr="008823CB">
        <w:t xml:space="preserve"> job role</w:t>
      </w:r>
      <w:r>
        <w:t xml:space="preserve">. The questionnaires </w:t>
      </w:r>
      <w:r w:rsidRPr="008823CB">
        <w:t xml:space="preserve">defined </w:t>
      </w:r>
      <w:r>
        <w:t xml:space="preserve">under-skilling </w:t>
      </w:r>
      <w:r w:rsidRPr="008823CB">
        <w:t xml:space="preserve">as the </w:t>
      </w:r>
      <w:r>
        <w:t xml:space="preserve">situation where a </w:t>
      </w:r>
      <w:r w:rsidRPr="008823CB">
        <w:t>worker</w:t>
      </w:r>
      <w:r>
        <w:t>’</w:t>
      </w:r>
      <w:r w:rsidRPr="008823CB">
        <w:t xml:space="preserve">s skills </w:t>
      </w:r>
      <w:r>
        <w:t>were perceived to be</w:t>
      </w:r>
      <w:r w:rsidRPr="008823CB">
        <w:t xml:space="preserve"> below those required for the job</w:t>
      </w:r>
      <w:r>
        <w:t xml:space="preserve"> they were responsible for</w:t>
      </w:r>
      <w:r w:rsidRPr="008823CB">
        <w:t xml:space="preserve">. </w:t>
      </w:r>
    </w:p>
    <w:p w:rsidR="00685BE5" w:rsidRDefault="00685BE5" w:rsidP="00AE4C3A">
      <w:pPr>
        <w:rPr>
          <w:rFonts w:cstheme="minorHAnsi"/>
        </w:rPr>
      </w:pPr>
      <w:r>
        <w:rPr>
          <w:rFonts w:cstheme="minorHAnsi"/>
        </w:rPr>
        <w:t xml:space="preserve">Many outlet managers did not answer this question (as reflected in the high percentages in the ‘Question not answered’ column). </w:t>
      </w:r>
    </w:p>
    <w:p w:rsidR="0078325B" w:rsidRDefault="0078325B" w:rsidP="00AE4C3A">
      <w:pPr>
        <w:rPr>
          <w:rFonts w:cstheme="minorHAnsi"/>
        </w:rPr>
      </w:pPr>
    </w:p>
    <w:p w:rsidR="00685BE5" w:rsidRDefault="00685BE5" w:rsidP="00AE4C3A">
      <w:r>
        <w:rPr>
          <w:rFonts w:cstheme="minorHAnsi"/>
        </w:rPr>
        <w:t xml:space="preserve">Under-skilling was not seen as a substantial problem as the most frequent response among outlets (that expressed an opinion) was that they had no under-skilled workers. The two roles with the highest levels of reported under-skilling (a total of some, most, all under-skilled) were </w:t>
      </w:r>
      <w:r>
        <w:t>d</w:t>
      </w:r>
      <w:r w:rsidRPr="005A2670">
        <w:t>isability support/</w:t>
      </w:r>
      <w:r>
        <w:t>r</w:t>
      </w:r>
      <w:r w:rsidRPr="005A2670">
        <w:t>esidential support worker</w:t>
      </w:r>
      <w:r>
        <w:t>s (20 per cent of outlets) and service or program administrator/ manager/coordinator (13 per cent).</w:t>
      </w:r>
    </w:p>
    <w:p w:rsidR="00685BE5" w:rsidRDefault="00685BE5" w:rsidP="00AE4C3A"/>
    <w:p w:rsidR="00FB6CA3" w:rsidRDefault="00FB6CA3">
      <w:pPr>
        <w:rPr>
          <w:b/>
          <w:sz w:val="20"/>
        </w:rPr>
      </w:pPr>
      <w:bookmarkStart w:id="500" w:name="_Toc428279209"/>
      <w:r>
        <w:br w:type="page"/>
      </w:r>
    </w:p>
    <w:p w:rsidR="00685BE5" w:rsidRPr="005A2670" w:rsidRDefault="00685BE5" w:rsidP="0044684E">
      <w:pPr>
        <w:pStyle w:val="NILSTableHeading"/>
      </w:pPr>
      <w:bookmarkStart w:id="501" w:name="_Toc449955339"/>
      <w:r>
        <w:lastRenderedPageBreak/>
        <w:t>Table 4.</w:t>
      </w:r>
      <w:r w:rsidRPr="005A2670">
        <w:t xml:space="preserve">5: </w:t>
      </w:r>
      <w:r>
        <w:t>Proportion of outlets reporting under-skilling</w:t>
      </w:r>
      <w:bookmarkEnd w:id="500"/>
      <w:bookmarkEnd w:id="501"/>
    </w:p>
    <w:tbl>
      <w:tblPr>
        <w:tblW w:w="10207" w:type="dxa"/>
        <w:tblInd w:w="-34" w:type="dxa"/>
        <w:tblBorders>
          <w:top w:val="single" w:sz="4" w:space="0" w:color="auto"/>
          <w:bottom w:val="single" w:sz="4" w:space="0" w:color="auto"/>
        </w:tblBorders>
        <w:tblLayout w:type="fixed"/>
        <w:tblLook w:val="04A0" w:firstRow="1" w:lastRow="0" w:firstColumn="1" w:lastColumn="0" w:noHBand="0" w:noVBand="1"/>
        <w:tblCaption w:val="Table 4.5 Proportion of outlets reporting under-skilling"/>
      </w:tblPr>
      <w:tblGrid>
        <w:gridCol w:w="4820"/>
        <w:gridCol w:w="709"/>
        <w:gridCol w:w="1304"/>
        <w:gridCol w:w="1389"/>
        <w:gridCol w:w="567"/>
        <w:gridCol w:w="1418"/>
      </w:tblGrid>
      <w:tr w:rsidR="00685BE5" w:rsidRPr="003F6098" w:rsidTr="00942D39">
        <w:trPr>
          <w:cantSplit/>
          <w:tblHeader/>
        </w:trPr>
        <w:tc>
          <w:tcPr>
            <w:tcW w:w="4820" w:type="dxa"/>
            <w:tcBorders>
              <w:top w:val="single" w:sz="4" w:space="0" w:color="auto"/>
              <w:bottom w:val="single" w:sz="4" w:space="0" w:color="auto"/>
            </w:tcBorders>
            <w:vAlign w:val="center"/>
          </w:tcPr>
          <w:p w:rsidR="00685BE5" w:rsidRPr="007D2274" w:rsidRDefault="00685BE5" w:rsidP="00AE4C3A">
            <w:pPr>
              <w:spacing w:before="20" w:after="20"/>
              <w:rPr>
                <w:sz w:val="20"/>
                <w:szCs w:val="20"/>
              </w:rPr>
            </w:pPr>
            <w:bookmarkStart w:id="502" w:name="Title_4_5"/>
            <w:bookmarkEnd w:id="502"/>
          </w:p>
        </w:tc>
        <w:tc>
          <w:tcPr>
            <w:tcW w:w="709" w:type="dxa"/>
            <w:tcBorders>
              <w:top w:val="single" w:sz="4" w:space="0" w:color="auto"/>
              <w:bottom w:val="single" w:sz="4" w:space="0" w:color="auto"/>
            </w:tcBorders>
            <w:vAlign w:val="bottom"/>
          </w:tcPr>
          <w:p w:rsidR="00685BE5" w:rsidRPr="007D2274" w:rsidRDefault="00685BE5" w:rsidP="00B366D5">
            <w:pPr>
              <w:spacing w:before="20" w:after="20"/>
              <w:jc w:val="center"/>
              <w:rPr>
                <w:sz w:val="20"/>
                <w:szCs w:val="20"/>
              </w:rPr>
            </w:pPr>
            <w:r w:rsidRPr="007D2274">
              <w:rPr>
                <w:sz w:val="20"/>
                <w:szCs w:val="20"/>
              </w:rPr>
              <w:t>None</w:t>
            </w:r>
            <w:r w:rsidR="00B366D5">
              <w:rPr>
                <w:sz w:val="20"/>
                <w:szCs w:val="20"/>
              </w:rPr>
              <w:t xml:space="preserve"> %</w:t>
            </w:r>
          </w:p>
        </w:tc>
        <w:tc>
          <w:tcPr>
            <w:tcW w:w="1304" w:type="dxa"/>
            <w:tcBorders>
              <w:top w:val="single" w:sz="4" w:space="0" w:color="auto"/>
              <w:bottom w:val="single" w:sz="4" w:space="0" w:color="auto"/>
            </w:tcBorders>
            <w:vAlign w:val="bottom"/>
          </w:tcPr>
          <w:p w:rsidR="00942D39" w:rsidRDefault="00685BE5" w:rsidP="00942D39">
            <w:pPr>
              <w:spacing w:before="20" w:after="20"/>
              <w:ind w:right="-80"/>
              <w:jc w:val="center"/>
              <w:rPr>
                <w:sz w:val="20"/>
                <w:szCs w:val="20"/>
              </w:rPr>
            </w:pPr>
            <w:r w:rsidRPr="007D2274">
              <w:rPr>
                <w:sz w:val="20"/>
                <w:szCs w:val="20"/>
              </w:rPr>
              <w:t>Some</w:t>
            </w:r>
            <w:r w:rsidR="00B366D5">
              <w:rPr>
                <w:sz w:val="20"/>
                <w:szCs w:val="20"/>
              </w:rPr>
              <w:t xml:space="preserve"> </w:t>
            </w:r>
          </w:p>
          <w:p w:rsidR="00942D39" w:rsidRDefault="00942D39" w:rsidP="00942D39">
            <w:pPr>
              <w:spacing w:before="20" w:after="20"/>
              <w:ind w:right="-80"/>
              <w:jc w:val="center"/>
              <w:rPr>
                <w:sz w:val="20"/>
                <w:szCs w:val="20"/>
              </w:rPr>
            </w:pPr>
            <w:r>
              <w:rPr>
                <w:sz w:val="20"/>
                <w:szCs w:val="20"/>
              </w:rPr>
              <w:t>(</w:t>
            </w:r>
            <w:r w:rsidR="003F7AF4">
              <w:rPr>
                <w:sz w:val="20"/>
                <w:szCs w:val="20"/>
              </w:rPr>
              <w:t>&lt;50</w:t>
            </w:r>
            <w:r>
              <w:rPr>
                <w:sz w:val="20"/>
                <w:szCs w:val="20"/>
              </w:rPr>
              <w:t xml:space="preserve"> per cent)</w:t>
            </w:r>
          </w:p>
          <w:p w:rsidR="00685BE5" w:rsidRPr="007D2274" w:rsidRDefault="003F7AF4" w:rsidP="00942D39">
            <w:pPr>
              <w:spacing w:before="20" w:after="20"/>
              <w:jc w:val="center"/>
              <w:rPr>
                <w:sz w:val="20"/>
                <w:szCs w:val="20"/>
              </w:rPr>
            </w:pPr>
            <w:r>
              <w:rPr>
                <w:sz w:val="20"/>
                <w:szCs w:val="20"/>
              </w:rPr>
              <w:t xml:space="preserve"> %</w:t>
            </w:r>
          </w:p>
        </w:tc>
        <w:tc>
          <w:tcPr>
            <w:tcW w:w="1389" w:type="dxa"/>
            <w:tcBorders>
              <w:top w:val="single" w:sz="4" w:space="0" w:color="auto"/>
              <w:bottom w:val="single" w:sz="4" w:space="0" w:color="auto"/>
            </w:tcBorders>
            <w:vAlign w:val="bottom"/>
          </w:tcPr>
          <w:p w:rsidR="00942D39" w:rsidRDefault="00685BE5" w:rsidP="00B366D5">
            <w:pPr>
              <w:spacing w:before="20" w:after="20"/>
              <w:jc w:val="center"/>
              <w:rPr>
                <w:sz w:val="20"/>
                <w:szCs w:val="20"/>
              </w:rPr>
            </w:pPr>
            <w:r w:rsidRPr="007D2274">
              <w:rPr>
                <w:sz w:val="20"/>
                <w:szCs w:val="20"/>
              </w:rPr>
              <w:t>Most</w:t>
            </w:r>
            <w:r w:rsidR="00B366D5">
              <w:rPr>
                <w:sz w:val="20"/>
                <w:szCs w:val="20"/>
              </w:rPr>
              <w:t xml:space="preserve"> </w:t>
            </w:r>
          </w:p>
          <w:p w:rsidR="00942D39" w:rsidRDefault="00942D39" w:rsidP="00B366D5">
            <w:pPr>
              <w:spacing w:before="20" w:after="20"/>
              <w:jc w:val="center"/>
              <w:rPr>
                <w:sz w:val="20"/>
                <w:szCs w:val="20"/>
              </w:rPr>
            </w:pPr>
            <w:r>
              <w:rPr>
                <w:sz w:val="20"/>
                <w:szCs w:val="20"/>
              </w:rPr>
              <w:t>(</w:t>
            </w:r>
            <w:r w:rsidR="003F7AF4">
              <w:rPr>
                <w:sz w:val="20"/>
                <w:szCs w:val="20"/>
              </w:rPr>
              <w:t>50+</w:t>
            </w:r>
            <w:r>
              <w:rPr>
                <w:sz w:val="20"/>
                <w:szCs w:val="20"/>
              </w:rPr>
              <w:t xml:space="preserve"> per cent)</w:t>
            </w:r>
          </w:p>
          <w:p w:rsidR="00685BE5" w:rsidRPr="007D2274" w:rsidRDefault="00B366D5" w:rsidP="00B366D5">
            <w:pPr>
              <w:spacing w:before="20" w:after="20"/>
              <w:jc w:val="center"/>
              <w:rPr>
                <w:sz w:val="20"/>
                <w:szCs w:val="20"/>
              </w:rPr>
            </w:pPr>
            <w:r>
              <w:rPr>
                <w:sz w:val="20"/>
                <w:szCs w:val="20"/>
              </w:rPr>
              <w:t xml:space="preserve"> </w:t>
            </w:r>
            <w:r w:rsidR="003F7AF4">
              <w:rPr>
                <w:sz w:val="20"/>
                <w:szCs w:val="20"/>
              </w:rPr>
              <w:t>%</w:t>
            </w:r>
          </w:p>
        </w:tc>
        <w:tc>
          <w:tcPr>
            <w:tcW w:w="567" w:type="dxa"/>
            <w:tcBorders>
              <w:top w:val="single" w:sz="4" w:space="0" w:color="auto"/>
              <w:bottom w:val="single" w:sz="4" w:space="0" w:color="auto"/>
            </w:tcBorders>
            <w:vAlign w:val="bottom"/>
          </w:tcPr>
          <w:p w:rsidR="00685BE5" w:rsidRPr="007D2274" w:rsidRDefault="00685BE5" w:rsidP="00B366D5">
            <w:pPr>
              <w:spacing w:before="20" w:after="20"/>
              <w:jc w:val="center"/>
              <w:rPr>
                <w:sz w:val="20"/>
                <w:szCs w:val="20"/>
              </w:rPr>
            </w:pPr>
            <w:r w:rsidRPr="007D2274">
              <w:rPr>
                <w:sz w:val="20"/>
                <w:szCs w:val="20"/>
              </w:rPr>
              <w:t>All</w:t>
            </w:r>
            <w:r w:rsidR="00B366D5">
              <w:rPr>
                <w:sz w:val="20"/>
                <w:szCs w:val="20"/>
              </w:rPr>
              <w:t xml:space="preserve"> %</w:t>
            </w:r>
          </w:p>
        </w:tc>
        <w:tc>
          <w:tcPr>
            <w:tcW w:w="1418" w:type="dxa"/>
            <w:tcBorders>
              <w:top w:val="single" w:sz="4" w:space="0" w:color="auto"/>
              <w:bottom w:val="single" w:sz="4" w:space="0" w:color="auto"/>
            </w:tcBorders>
            <w:vAlign w:val="bottom"/>
          </w:tcPr>
          <w:p w:rsidR="00942D39" w:rsidRDefault="00685BE5" w:rsidP="00B366D5">
            <w:pPr>
              <w:spacing w:before="20" w:after="20"/>
              <w:jc w:val="center"/>
              <w:rPr>
                <w:sz w:val="20"/>
                <w:szCs w:val="20"/>
              </w:rPr>
            </w:pPr>
            <w:r w:rsidRPr="007D2274">
              <w:rPr>
                <w:sz w:val="20"/>
                <w:szCs w:val="20"/>
              </w:rPr>
              <w:t>Question not answered</w:t>
            </w:r>
            <w:r w:rsidR="00B366D5">
              <w:rPr>
                <w:sz w:val="20"/>
                <w:szCs w:val="20"/>
              </w:rPr>
              <w:t xml:space="preserve"> </w:t>
            </w:r>
          </w:p>
          <w:p w:rsidR="00B366D5" w:rsidRPr="007D2274" w:rsidRDefault="00B366D5" w:rsidP="00B366D5">
            <w:pPr>
              <w:spacing w:before="20" w:after="20"/>
              <w:jc w:val="center"/>
              <w:rPr>
                <w:sz w:val="20"/>
                <w:szCs w:val="20"/>
              </w:rPr>
            </w:pPr>
            <w:r>
              <w:rPr>
                <w:sz w:val="20"/>
                <w:szCs w:val="20"/>
              </w:rPr>
              <w:t>%</w:t>
            </w:r>
          </w:p>
        </w:tc>
      </w:tr>
      <w:tr w:rsidR="00685BE5" w:rsidRPr="003F6098" w:rsidTr="00942D39">
        <w:tc>
          <w:tcPr>
            <w:tcW w:w="4820" w:type="dxa"/>
            <w:tcBorders>
              <w:top w:val="single" w:sz="4" w:space="0" w:color="auto"/>
              <w:bottom w:val="nil"/>
            </w:tcBorders>
            <w:vAlign w:val="center"/>
          </w:tcPr>
          <w:p w:rsidR="00685BE5" w:rsidRPr="007D2274" w:rsidRDefault="00685BE5" w:rsidP="00AE4C3A">
            <w:pPr>
              <w:spacing w:before="20" w:after="20"/>
              <w:rPr>
                <w:sz w:val="20"/>
                <w:szCs w:val="20"/>
              </w:rPr>
            </w:pPr>
            <w:r w:rsidRPr="007D2274">
              <w:rPr>
                <w:sz w:val="20"/>
                <w:szCs w:val="20"/>
              </w:rPr>
              <w:t>Disability support/</w:t>
            </w:r>
            <w:r>
              <w:rPr>
                <w:sz w:val="20"/>
                <w:szCs w:val="20"/>
              </w:rPr>
              <w:t>r</w:t>
            </w:r>
            <w:r w:rsidRPr="007D2274">
              <w:rPr>
                <w:sz w:val="20"/>
                <w:szCs w:val="20"/>
              </w:rPr>
              <w:t>esidential support worker</w:t>
            </w:r>
          </w:p>
        </w:tc>
        <w:tc>
          <w:tcPr>
            <w:tcW w:w="709" w:type="dxa"/>
            <w:tcBorders>
              <w:top w:val="single" w:sz="4" w:space="0" w:color="auto"/>
              <w:bottom w:val="nil"/>
            </w:tcBorders>
            <w:vAlign w:val="bottom"/>
          </w:tcPr>
          <w:p w:rsidR="00685BE5" w:rsidRPr="007D2274" w:rsidRDefault="00685BE5" w:rsidP="00AE4C3A">
            <w:pPr>
              <w:tabs>
                <w:tab w:val="decimal" w:pos="341"/>
              </w:tabs>
              <w:spacing w:before="20" w:after="20"/>
              <w:rPr>
                <w:sz w:val="20"/>
                <w:szCs w:val="20"/>
              </w:rPr>
            </w:pPr>
            <w:r w:rsidRPr="007D2274">
              <w:rPr>
                <w:sz w:val="20"/>
                <w:szCs w:val="20"/>
              </w:rPr>
              <w:t>35.2</w:t>
            </w:r>
          </w:p>
        </w:tc>
        <w:tc>
          <w:tcPr>
            <w:tcW w:w="1304" w:type="dxa"/>
            <w:tcBorders>
              <w:top w:val="single" w:sz="4" w:space="0" w:color="auto"/>
              <w:bottom w:val="nil"/>
            </w:tcBorders>
            <w:vAlign w:val="bottom"/>
          </w:tcPr>
          <w:p w:rsidR="00685BE5" w:rsidRPr="007D2274" w:rsidRDefault="00685BE5" w:rsidP="00942D39">
            <w:pPr>
              <w:tabs>
                <w:tab w:val="decimal" w:pos="601"/>
              </w:tabs>
              <w:spacing w:before="20" w:after="20"/>
              <w:rPr>
                <w:sz w:val="20"/>
                <w:szCs w:val="20"/>
              </w:rPr>
            </w:pPr>
            <w:r w:rsidRPr="007D2274">
              <w:rPr>
                <w:sz w:val="20"/>
                <w:szCs w:val="20"/>
              </w:rPr>
              <w:t>17.4</w:t>
            </w:r>
          </w:p>
        </w:tc>
        <w:tc>
          <w:tcPr>
            <w:tcW w:w="1389" w:type="dxa"/>
            <w:tcBorders>
              <w:top w:val="single" w:sz="4" w:space="0" w:color="auto"/>
              <w:bottom w:val="nil"/>
            </w:tcBorders>
            <w:vAlign w:val="bottom"/>
          </w:tcPr>
          <w:p w:rsidR="00685BE5" w:rsidRPr="007D2274" w:rsidRDefault="00685BE5" w:rsidP="00EB72DF">
            <w:pPr>
              <w:spacing w:before="20" w:after="20"/>
              <w:ind w:right="397"/>
              <w:jc w:val="right"/>
              <w:rPr>
                <w:sz w:val="20"/>
                <w:szCs w:val="20"/>
              </w:rPr>
            </w:pPr>
            <w:r w:rsidRPr="007D2274">
              <w:rPr>
                <w:sz w:val="20"/>
                <w:szCs w:val="20"/>
              </w:rPr>
              <w:t>1.2</w:t>
            </w:r>
          </w:p>
        </w:tc>
        <w:tc>
          <w:tcPr>
            <w:tcW w:w="567" w:type="dxa"/>
            <w:tcBorders>
              <w:top w:val="single" w:sz="4" w:space="0" w:color="auto"/>
              <w:bottom w:val="nil"/>
            </w:tcBorders>
            <w:vAlign w:val="bottom"/>
          </w:tcPr>
          <w:p w:rsidR="00685BE5" w:rsidRPr="007D2274" w:rsidRDefault="00685BE5" w:rsidP="00AE4C3A">
            <w:pPr>
              <w:tabs>
                <w:tab w:val="right" w:pos="318"/>
                <w:tab w:val="decimal" w:pos="742"/>
              </w:tabs>
              <w:spacing w:before="20" w:after="20"/>
              <w:jc w:val="right"/>
              <w:rPr>
                <w:sz w:val="20"/>
                <w:szCs w:val="20"/>
              </w:rPr>
            </w:pPr>
            <w:r w:rsidRPr="007D2274">
              <w:rPr>
                <w:sz w:val="20"/>
                <w:szCs w:val="20"/>
              </w:rPr>
              <w:t>1.0</w:t>
            </w:r>
          </w:p>
        </w:tc>
        <w:tc>
          <w:tcPr>
            <w:tcW w:w="1418" w:type="dxa"/>
            <w:tcBorders>
              <w:top w:val="single" w:sz="4" w:space="0" w:color="auto"/>
              <w:bottom w:val="nil"/>
            </w:tcBorders>
            <w:vAlign w:val="bottom"/>
          </w:tcPr>
          <w:p w:rsidR="00685BE5" w:rsidRPr="007D2274" w:rsidRDefault="00685BE5" w:rsidP="00942D39">
            <w:pPr>
              <w:tabs>
                <w:tab w:val="decimal" w:pos="601"/>
              </w:tabs>
              <w:spacing w:before="20" w:after="20"/>
              <w:rPr>
                <w:sz w:val="20"/>
                <w:szCs w:val="20"/>
              </w:rPr>
            </w:pPr>
            <w:r w:rsidRPr="007D2274">
              <w:rPr>
                <w:sz w:val="20"/>
                <w:szCs w:val="20"/>
              </w:rPr>
              <w:t>45.3</w:t>
            </w:r>
          </w:p>
        </w:tc>
      </w:tr>
      <w:tr w:rsidR="00685BE5" w:rsidRPr="003F6098" w:rsidTr="00942D39">
        <w:tc>
          <w:tcPr>
            <w:tcW w:w="4820" w:type="dxa"/>
            <w:tcBorders>
              <w:top w:val="nil"/>
            </w:tcBorders>
            <w:vAlign w:val="center"/>
          </w:tcPr>
          <w:p w:rsidR="00685BE5" w:rsidRPr="007D2274" w:rsidRDefault="00685BE5" w:rsidP="00AE4C3A">
            <w:pPr>
              <w:spacing w:before="20" w:after="20"/>
              <w:rPr>
                <w:sz w:val="20"/>
                <w:szCs w:val="20"/>
              </w:rPr>
            </w:pPr>
            <w:r w:rsidRPr="007D2274">
              <w:rPr>
                <w:sz w:val="20"/>
                <w:szCs w:val="20"/>
              </w:rPr>
              <w:t>Personal care/</w:t>
            </w:r>
            <w:r>
              <w:rPr>
                <w:sz w:val="20"/>
                <w:szCs w:val="20"/>
              </w:rPr>
              <w:t>h</w:t>
            </w:r>
            <w:r w:rsidRPr="007D2274">
              <w:rPr>
                <w:sz w:val="20"/>
                <w:szCs w:val="20"/>
              </w:rPr>
              <w:t>ome care worker</w:t>
            </w:r>
          </w:p>
        </w:tc>
        <w:tc>
          <w:tcPr>
            <w:tcW w:w="709" w:type="dxa"/>
            <w:tcBorders>
              <w:top w:val="nil"/>
            </w:tcBorders>
            <w:vAlign w:val="bottom"/>
          </w:tcPr>
          <w:p w:rsidR="00685BE5" w:rsidRPr="007D2274" w:rsidRDefault="00685BE5" w:rsidP="00AE4C3A">
            <w:pPr>
              <w:tabs>
                <w:tab w:val="decimal" w:pos="341"/>
              </w:tabs>
              <w:spacing w:before="20" w:after="20"/>
              <w:rPr>
                <w:sz w:val="20"/>
                <w:szCs w:val="20"/>
              </w:rPr>
            </w:pPr>
            <w:r w:rsidRPr="007D2274">
              <w:rPr>
                <w:sz w:val="20"/>
                <w:szCs w:val="20"/>
              </w:rPr>
              <w:t>25.4</w:t>
            </w:r>
          </w:p>
        </w:tc>
        <w:tc>
          <w:tcPr>
            <w:tcW w:w="1304" w:type="dxa"/>
            <w:tcBorders>
              <w:top w:val="nil"/>
            </w:tcBorders>
            <w:vAlign w:val="bottom"/>
          </w:tcPr>
          <w:p w:rsidR="00685BE5" w:rsidRPr="007D2274" w:rsidRDefault="00685BE5" w:rsidP="00942D39">
            <w:pPr>
              <w:tabs>
                <w:tab w:val="decimal" w:pos="601"/>
              </w:tabs>
              <w:spacing w:before="20" w:after="20"/>
              <w:rPr>
                <w:sz w:val="20"/>
                <w:szCs w:val="20"/>
              </w:rPr>
            </w:pPr>
            <w:r w:rsidRPr="007D2274">
              <w:rPr>
                <w:sz w:val="20"/>
                <w:szCs w:val="20"/>
              </w:rPr>
              <w:t>6.9</w:t>
            </w:r>
          </w:p>
        </w:tc>
        <w:tc>
          <w:tcPr>
            <w:tcW w:w="1389" w:type="dxa"/>
            <w:tcBorders>
              <w:top w:val="nil"/>
            </w:tcBorders>
            <w:vAlign w:val="bottom"/>
          </w:tcPr>
          <w:p w:rsidR="00685BE5" w:rsidRPr="007D2274" w:rsidRDefault="00685BE5" w:rsidP="00EB72DF">
            <w:pPr>
              <w:spacing w:before="20" w:after="20"/>
              <w:ind w:right="397"/>
              <w:jc w:val="right"/>
              <w:rPr>
                <w:sz w:val="20"/>
                <w:szCs w:val="20"/>
              </w:rPr>
            </w:pPr>
            <w:r w:rsidRPr="007D2274">
              <w:rPr>
                <w:sz w:val="20"/>
                <w:szCs w:val="20"/>
              </w:rPr>
              <w:t>0.4</w:t>
            </w:r>
          </w:p>
        </w:tc>
        <w:tc>
          <w:tcPr>
            <w:tcW w:w="567" w:type="dxa"/>
            <w:tcBorders>
              <w:top w:val="nil"/>
            </w:tcBorders>
            <w:vAlign w:val="bottom"/>
          </w:tcPr>
          <w:p w:rsidR="00685BE5" w:rsidRPr="007D2274" w:rsidRDefault="00685BE5" w:rsidP="00AE4C3A">
            <w:pPr>
              <w:tabs>
                <w:tab w:val="right" w:pos="318"/>
                <w:tab w:val="decimal" w:pos="742"/>
              </w:tabs>
              <w:spacing w:before="20" w:after="20"/>
              <w:jc w:val="right"/>
              <w:rPr>
                <w:sz w:val="20"/>
                <w:szCs w:val="20"/>
              </w:rPr>
            </w:pPr>
            <w:r w:rsidRPr="007D2274">
              <w:rPr>
                <w:sz w:val="20"/>
                <w:szCs w:val="20"/>
              </w:rPr>
              <w:t>0.4</w:t>
            </w:r>
          </w:p>
        </w:tc>
        <w:tc>
          <w:tcPr>
            <w:tcW w:w="1418" w:type="dxa"/>
            <w:tcBorders>
              <w:top w:val="nil"/>
            </w:tcBorders>
            <w:vAlign w:val="bottom"/>
          </w:tcPr>
          <w:p w:rsidR="00685BE5" w:rsidRPr="007D2274" w:rsidRDefault="00685BE5" w:rsidP="00942D39">
            <w:pPr>
              <w:tabs>
                <w:tab w:val="decimal" w:pos="601"/>
              </w:tabs>
              <w:spacing w:before="20" w:after="20"/>
              <w:rPr>
                <w:sz w:val="20"/>
                <w:szCs w:val="20"/>
              </w:rPr>
            </w:pPr>
            <w:r w:rsidRPr="007D2274">
              <w:rPr>
                <w:sz w:val="20"/>
                <w:szCs w:val="20"/>
              </w:rPr>
              <w:t>66.9</w:t>
            </w:r>
          </w:p>
        </w:tc>
      </w:tr>
      <w:tr w:rsidR="00685BE5" w:rsidRPr="003F6098" w:rsidTr="00942D39">
        <w:tc>
          <w:tcPr>
            <w:tcW w:w="4820" w:type="dxa"/>
            <w:vAlign w:val="center"/>
          </w:tcPr>
          <w:p w:rsidR="00685BE5" w:rsidRPr="007D2274" w:rsidRDefault="00685BE5" w:rsidP="00AE4C3A">
            <w:pPr>
              <w:spacing w:before="20" w:after="20"/>
              <w:rPr>
                <w:sz w:val="20"/>
                <w:szCs w:val="20"/>
              </w:rPr>
            </w:pPr>
            <w:r w:rsidRPr="007D2274">
              <w:rPr>
                <w:sz w:val="20"/>
                <w:szCs w:val="20"/>
              </w:rPr>
              <w:t>Service or program administrator/</w:t>
            </w:r>
            <w:r>
              <w:rPr>
                <w:sz w:val="20"/>
                <w:szCs w:val="20"/>
              </w:rPr>
              <w:t>m</w:t>
            </w:r>
            <w:r w:rsidRPr="007D2274">
              <w:rPr>
                <w:sz w:val="20"/>
                <w:szCs w:val="20"/>
              </w:rPr>
              <w:t>anager/</w:t>
            </w:r>
            <w:r>
              <w:rPr>
                <w:sz w:val="20"/>
                <w:szCs w:val="20"/>
              </w:rPr>
              <w:t>c</w:t>
            </w:r>
            <w:r w:rsidRPr="007D2274">
              <w:rPr>
                <w:sz w:val="20"/>
                <w:szCs w:val="20"/>
              </w:rPr>
              <w:t>oordinator</w:t>
            </w:r>
          </w:p>
        </w:tc>
        <w:tc>
          <w:tcPr>
            <w:tcW w:w="709" w:type="dxa"/>
            <w:vAlign w:val="bottom"/>
          </w:tcPr>
          <w:p w:rsidR="00685BE5" w:rsidRPr="007D2274" w:rsidRDefault="00685BE5" w:rsidP="00AE4C3A">
            <w:pPr>
              <w:tabs>
                <w:tab w:val="decimal" w:pos="341"/>
              </w:tabs>
              <w:spacing w:before="20" w:after="20"/>
              <w:rPr>
                <w:sz w:val="20"/>
                <w:szCs w:val="20"/>
              </w:rPr>
            </w:pPr>
            <w:r w:rsidRPr="007D2274">
              <w:rPr>
                <w:sz w:val="20"/>
                <w:szCs w:val="20"/>
              </w:rPr>
              <w:t>58.0</w:t>
            </w:r>
          </w:p>
        </w:tc>
        <w:tc>
          <w:tcPr>
            <w:tcW w:w="1304" w:type="dxa"/>
            <w:vAlign w:val="bottom"/>
          </w:tcPr>
          <w:p w:rsidR="00685BE5" w:rsidRPr="007D2274" w:rsidRDefault="00685BE5" w:rsidP="00942D39">
            <w:pPr>
              <w:tabs>
                <w:tab w:val="decimal" w:pos="601"/>
              </w:tabs>
              <w:spacing w:before="20" w:after="20"/>
              <w:rPr>
                <w:sz w:val="20"/>
                <w:szCs w:val="20"/>
              </w:rPr>
            </w:pPr>
            <w:r w:rsidRPr="007D2274">
              <w:rPr>
                <w:sz w:val="20"/>
                <w:szCs w:val="20"/>
              </w:rPr>
              <w:t>10.9</w:t>
            </w:r>
          </w:p>
        </w:tc>
        <w:tc>
          <w:tcPr>
            <w:tcW w:w="1389" w:type="dxa"/>
            <w:vAlign w:val="bottom"/>
          </w:tcPr>
          <w:p w:rsidR="00685BE5" w:rsidRPr="007D2274" w:rsidRDefault="00685BE5" w:rsidP="00EB72DF">
            <w:pPr>
              <w:spacing w:before="20" w:after="20"/>
              <w:ind w:right="397"/>
              <w:jc w:val="right"/>
              <w:rPr>
                <w:sz w:val="20"/>
                <w:szCs w:val="20"/>
              </w:rPr>
            </w:pPr>
            <w:r w:rsidRPr="007D2274">
              <w:rPr>
                <w:sz w:val="20"/>
                <w:szCs w:val="20"/>
              </w:rPr>
              <w:t>0.9</w:t>
            </w:r>
          </w:p>
        </w:tc>
        <w:tc>
          <w:tcPr>
            <w:tcW w:w="567" w:type="dxa"/>
            <w:vAlign w:val="bottom"/>
          </w:tcPr>
          <w:p w:rsidR="00685BE5" w:rsidRPr="007D2274" w:rsidRDefault="00685BE5" w:rsidP="00AE4C3A">
            <w:pPr>
              <w:tabs>
                <w:tab w:val="right" w:pos="318"/>
                <w:tab w:val="decimal" w:pos="742"/>
              </w:tabs>
              <w:spacing w:before="20" w:after="20"/>
              <w:jc w:val="right"/>
              <w:rPr>
                <w:sz w:val="20"/>
                <w:szCs w:val="20"/>
              </w:rPr>
            </w:pPr>
            <w:r w:rsidRPr="007D2274">
              <w:rPr>
                <w:sz w:val="20"/>
                <w:szCs w:val="20"/>
              </w:rPr>
              <w:t>0.7</w:t>
            </w:r>
          </w:p>
        </w:tc>
        <w:tc>
          <w:tcPr>
            <w:tcW w:w="1418" w:type="dxa"/>
            <w:vAlign w:val="bottom"/>
          </w:tcPr>
          <w:p w:rsidR="00685BE5" w:rsidRPr="007D2274" w:rsidRDefault="00685BE5" w:rsidP="00942D39">
            <w:pPr>
              <w:tabs>
                <w:tab w:val="decimal" w:pos="601"/>
              </w:tabs>
              <w:spacing w:before="20" w:after="20"/>
              <w:rPr>
                <w:sz w:val="20"/>
                <w:szCs w:val="20"/>
              </w:rPr>
            </w:pPr>
            <w:r w:rsidRPr="007D2274">
              <w:rPr>
                <w:sz w:val="20"/>
                <w:szCs w:val="20"/>
              </w:rPr>
              <w:t>29.6</w:t>
            </w:r>
          </w:p>
        </w:tc>
      </w:tr>
      <w:tr w:rsidR="00685BE5" w:rsidRPr="003F6098" w:rsidTr="00942D39">
        <w:tc>
          <w:tcPr>
            <w:tcW w:w="4820" w:type="dxa"/>
            <w:vAlign w:val="center"/>
          </w:tcPr>
          <w:p w:rsidR="00685BE5" w:rsidRPr="007D2274" w:rsidRDefault="00685BE5" w:rsidP="00AE4C3A">
            <w:pPr>
              <w:spacing w:before="20" w:after="20"/>
              <w:rPr>
                <w:sz w:val="20"/>
                <w:szCs w:val="20"/>
              </w:rPr>
            </w:pPr>
            <w:r>
              <w:rPr>
                <w:sz w:val="20"/>
                <w:szCs w:val="20"/>
              </w:rPr>
              <w:t>Social worker/d</w:t>
            </w:r>
            <w:r w:rsidRPr="007D2274">
              <w:rPr>
                <w:sz w:val="20"/>
                <w:szCs w:val="20"/>
              </w:rPr>
              <w:t>isability case coordinator</w:t>
            </w:r>
          </w:p>
        </w:tc>
        <w:tc>
          <w:tcPr>
            <w:tcW w:w="709" w:type="dxa"/>
            <w:vAlign w:val="bottom"/>
          </w:tcPr>
          <w:p w:rsidR="00685BE5" w:rsidRPr="007D2274" w:rsidRDefault="00685BE5" w:rsidP="00AE4C3A">
            <w:pPr>
              <w:tabs>
                <w:tab w:val="decimal" w:pos="341"/>
              </w:tabs>
              <w:spacing w:before="20" w:after="20"/>
              <w:rPr>
                <w:sz w:val="20"/>
                <w:szCs w:val="20"/>
              </w:rPr>
            </w:pPr>
            <w:r w:rsidRPr="007D2274">
              <w:rPr>
                <w:sz w:val="20"/>
                <w:szCs w:val="20"/>
              </w:rPr>
              <w:t>32.3</w:t>
            </w:r>
          </w:p>
        </w:tc>
        <w:tc>
          <w:tcPr>
            <w:tcW w:w="1304" w:type="dxa"/>
            <w:vAlign w:val="bottom"/>
          </w:tcPr>
          <w:p w:rsidR="00685BE5" w:rsidRPr="007D2274" w:rsidRDefault="00685BE5" w:rsidP="00942D39">
            <w:pPr>
              <w:tabs>
                <w:tab w:val="decimal" w:pos="601"/>
              </w:tabs>
              <w:spacing w:before="20" w:after="20"/>
              <w:rPr>
                <w:sz w:val="20"/>
                <w:szCs w:val="20"/>
              </w:rPr>
            </w:pPr>
            <w:r w:rsidRPr="007D2274">
              <w:rPr>
                <w:sz w:val="20"/>
                <w:szCs w:val="20"/>
              </w:rPr>
              <w:t>3.7</w:t>
            </w:r>
          </w:p>
        </w:tc>
        <w:tc>
          <w:tcPr>
            <w:tcW w:w="1389" w:type="dxa"/>
            <w:vAlign w:val="bottom"/>
          </w:tcPr>
          <w:p w:rsidR="00685BE5" w:rsidRPr="007D2274" w:rsidRDefault="00685BE5" w:rsidP="00EB72DF">
            <w:pPr>
              <w:spacing w:before="20" w:after="20"/>
              <w:ind w:right="397"/>
              <w:jc w:val="right"/>
              <w:rPr>
                <w:sz w:val="20"/>
                <w:szCs w:val="20"/>
              </w:rPr>
            </w:pPr>
            <w:r w:rsidRPr="007D2274">
              <w:rPr>
                <w:sz w:val="20"/>
                <w:szCs w:val="20"/>
              </w:rPr>
              <w:t>0.3</w:t>
            </w:r>
          </w:p>
        </w:tc>
        <w:tc>
          <w:tcPr>
            <w:tcW w:w="567" w:type="dxa"/>
            <w:vAlign w:val="bottom"/>
          </w:tcPr>
          <w:p w:rsidR="00685BE5" w:rsidRPr="007D2274" w:rsidRDefault="00685BE5" w:rsidP="00AE4C3A">
            <w:pPr>
              <w:tabs>
                <w:tab w:val="right" w:pos="318"/>
                <w:tab w:val="decimal" w:pos="742"/>
              </w:tabs>
              <w:spacing w:before="20" w:after="20"/>
              <w:jc w:val="right"/>
              <w:rPr>
                <w:sz w:val="20"/>
                <w:szCs w:val="20"/>
              </w:rPr>
            </w:pPr>
            <w:r w:rsidRPr="007D2274">
              <w:rPr>
                <w:sz w:val="20"/>
                <w:szCs w:val="20"/>
              </w:rPr>
              <w:t>0.3</w:t>
            </w:r>
          </w:p>
        </w:tc>
        <w:tc>
          <w:tcPr>
            <w:tcW w:w="1418" w:type="dxa"/>
            <w:vAlign w:val="bottom"/>
          </w:tcPr>
          <w:p w:rsidR="00685BE5" w:rsidRPr="007D2274" w:rsidRDefault="00685BE5" w:rsidP="00942D39">
            <w:pPr>
              <w:tabs>
                <w:tab w:val="decimal" w:pos="601"/>
              </w:tabs>
              <w:spacing w:before="20" w:after="20"/>
              <w:rPr>
                <w:sz w:val="20"/>
                <w:szCs w:val="20"/>
              </w:rPr>
            </w:pPr>
            <w:r w:rsidRPr="007D2274">
              <w:rPr>
                <w:sz w:val="20"/>
                <w:szCs w:val="20"/>
              </w:rPr>
              <w:t>63.4</w:t>
            </w:r>
          </w:p>
        </w:tc>
      </w:tr>
      <w:tr w:rsidR="00685BE5" w:rsidRPr="003F6098" w:rsidTr="00942D39">
        <w:tc>
          <w:tcPr>
            <w:tcW w:w="4820" w:type="dxa"/>
            <w:vAlign w:val="center"/>
          </w:tcPr>
          <w:p w:rsidR="00685BE5" w:rsidRPr="007D2274" w:rsidRDefault="00685BE5" w:rsidP="00AE4C3A">
            <w:pPr>
              <w:spacing w:before="20" w:after="20"/>
              <w:rPr>
                <w:sz w:val="20"/>
                <w:szCs w:val="20"/>
              </w:rPr>
            </w:pPr>
            <w:r w:rsidRPr="007D2274">
              <w:rPr>
                <w:sz w:val="20"/>
                <w:szCs w:val="20"/>
              </w:rPr>
              <w:t>Employment support worker</w:t>
            </w:r>
          </w:p>
        </w:tc>
        <w:tc>
          <w:tcPr>
            <w:tcW w:w="709" w:type="dxa"/>
            <w:vAlign w:val="bottom"/>
          </w:tcPr>
          <w:p w:rsidR="00685BE5" w:rsidRPr="007D2274" w:rsidRDefault="00685BE5" w:rsidP="00AE4C3A">
            <w:pPr>
              <w:tabs>
                <w:tab w:val="decimal" w:pos="341"/>
              </w:tabs>
              <w:spacing w:before="20" w:after="20"/>
              <w:rPr>
                <w:sz w:val="20"/>
                <w:szCs w:val="20"/>
              </w:rPr>
            </w:pPr>
            <w:r w:rsidRPr="007D2274">
              <w:rPr>
                <w:sz w:val="20"/>
                <w:szCs w:val="20"/>
              </w:rPr>
              <w:t>17.7</w:t>
            </w:r>
          </w:p>
        </w:tc>
        <w:tc>
          <w:tcPr>
            <w:tcW w:w="1304" w:type="dxa"/>
            <w:vAlign w:val="bottom"/>
          </w:tcPr>
          <w:p w:rsidR="00685BE5" w:rsidRPr="007D2274" w:rsidRDefault="00685BE5" w:rsidP="00942D39">
            <w:pPr>
              <w:tabs>
                <w:tab w:val="decimal" w:pos="601"/>
              </w:tabs>
              <w:spacing w:before="20" w:after="20"/>
              <w:rPr>
                <w:sz w:val="20"/>
                <w:szCs w:val="20"/>
              </w:rPr>
            </w:pPr>
            <w:r w:rsidRPr="007D2274">
              <w:rPr>
                <w:sz w:val="20"/>
                <w:szCs w:val="20"/>
              </w:rPr>
              <w:t>3.7</w:t>
            </w:r>
          </w:p>
        </w:tc>
        <w:tc>
          <w:tcPr>
            <w:tcW w:w="1389" w:type="dxa"/>
            <w:vAlign w:val="bottom"/>
          </w:tcPr>
          <w:p w:rsidR="00685BE5" w:rsidRPr="007D2274" w:rsidRDefault="00685BE5" w:rsidP="00EB72DF">
            <w:pPr>
              <w:spacing w:before="20" w:after="20"/>
              <w:ind w:right="397"/>
              <w:jc w:val="right"/>
              <w:rPr>
                <w:sz w:val="20"/>
                <w:szCs w:val="20"/>
              </w:rPr>
            </w:pPr>
            <w:r w:rsidRPr="007D2274">
              <w:rPr>
                <w:sz w:val="20"/>
                <w:szCs w:val="20"/>
              </w:rPr>
              <w:t>0.3</w:t>
            </w:r>
          </w:p>
        </w:tc>
        <w:tc>
          <w:tcPr>
            <w:tcW w:w="567" w:type="dxa"/>
            <w:vAlign w:val="bottom"/>
          </w:tcPr>
          <w:p w:rsidR="00685BE5" w:rsidRPr="007D2274" w:rsidRDefault="00685BE5" w:rsidP="00AE4C3A">
            <w:pPr>
              <w:tabs>
                <w:tab w:val="right" w:pos="318"/>
                <w:tab w:val="decimal" w:pos="742"/>
              </w:tabs>
              <w:spacing w:before="20" w:after="20"/>
              <w:jc w:val="right"/>
              <w:rPr>
                <w:sz w:val="20"/>
                <w:szCs w:val="20"/>
              </w:rPr>
            </w:pPr>
            <w:r w:rsidRPr="007D2274">
              <w:rPr>
                <w:sz w:val="20"/>
                <w:szCs w:val="20"/>
              </w:rPr>
              <w:t>0.6</w:t>
            </w:r>
          </w:p>
        </w:tc>
        <w:tc>
          <w:tcPr>
            <w:tcW w:w="1418" w:type="dxa"/>
            <w:vAlign w:val="bottom"/>
          </w:tcPr>
          <w:p w:rsidR="00685BE5" w:rsidRPr="007D2274" w:rsidRDefault="00685BE5" w:rsidP="00942D39">
            <w:pPr>
              <w:tabs>
                <w:tab w:val="decimal" w:pos="601"/>
              </w:tabs>
              <w:spacing w:before="20" w:after="20"/>
              <w:rPr>
                <w:sz w:val="20"/>
                <w:szCs w:val="20"/>
              </w:rPr>
            </w:pPr>
            <w:r w:rsidRPr="007D2274">
              <w:rPr>
                <w:sz w:val="20"/>
                <w:szCs w:val="20"/>
              </w:rPr>
              <w:t>77.8</w:t>
            </w:r>
          </w:p>
        </w:tc>
      </w:tr>
      <w:tr w:rsidR="00685BE5" w:rsidRPr="003F6098" w:rsidTr="00942D39">
        <w:tc>
          <w:tcPr>
            <w:tcW w:w="4820" w:type="dxa"/>
            <w:vAlign w:val="center"/>
          </w:tcPr>
          <w:p w:rsidR="00685BE5" w:rsidRPr="007D2274" w:rsidRDefault="00685BE5" w:rsidP="00AE4C3A">
            <w:pPr>
              <w:spacing w:before="20" w:after="20"/>
              <w:rPr>
                <w:sz w:val="20"/>
                <w:szCs w:val="20"/>
              </w:rPr>
            </w:pPr>
            <w:r w:rsidRPr="007D2274">
              <w:rPr>
                <w:sz w:val="20"/>
                <w:szCs w:val="20"/>
              </w:rPr>
              <w:t>Peer support worker</w:t>
            </w:r>
          </w:p>
        </w:tc>
        <w:tc>
          <w:tcPr>
            <w:tcW w:w="709" w:type="dxa"/>
            <w:vAlign w:val="bottom"/>
          </w:tcPr>
          <w:p w:rsidR="00685BE5" w:rsidRPr="007D2274" w:rsidRDefault="00685BE5" w:rsidP="00AE4C3A">
            <w:pPr>
              <w:tabs>
                <w:tab w:val="decimal" w:pos="341"/>
              </w:tabs>
              <w:spacing w:before="20" w:after="20"/>
              <w:rPr>
                <w:sz w:val="20"/>
                <w:szCs w:val="20"/>
              </w:rPr>
            </w:pPr>
            <w:r w:rsidRPr="007D2274">
              <w:rPr>
                <w:sz w:val="20"/>
                <w:szCs w:val="20"/>
              </w:rPr>
              <w:t>17.9</w:t>
            </w:r>
          </w:p>
        </w:tc>
        <w:tc>
          <w:tcPr>
            <w:tcW w:w="1304" w:type="dxa"/>
            <w:vAlign w:val="bottom"/>
          </w:tcPr>
          <w:p w:rsidR="00685BE5" w:rsidRPr="007D2274" w:rsidRDefault="00685BE5" w:rsidP="00942D39">
            <w:pPr>
              <w:tabs>
                <w:tab w:val="decimal" w:pos="601"/>
              </w:tabs>
              <w:spacing w:before="20" w:after="20"/>
              <w:rPr>
                <w:sz w:val="20"/>
                <w:szCs w:val="20"/>
              </w:rPr>
            </w:pPr>
            <w:r w:rsidRPr="007D2274">
              <w:rPr>
                <w:sz w:val="20"/>
                <w:szCs w:val="20"/>
              </w:rPr>
              <w:t>1.9</w:t>
            </w:r>
          </w:p>
        </w:tc>
        <w:tc>
          <w:tcPr>
            <w:tcW w:w="1389" w:type="dxa"/>
            <w:vAlign w:val="bottom"/>
          </w:tcPr>
          <w:p w:rsidR="00685BE5" w:rsidRPr="007D2274" w:rsidRDefault="00685BE5" w:rsidP="00EB72DF">
            <w:pPr>
              <w:spacing w:before="20" w:after="20"/>
              <w:ind w:right="397"/>
              <w:jc w:val="right"/>
              <w:rPr>
                <w:sz w:val="20"/>
                <w:szCs w:val="20"/>
              </w:rPr>
            </w:pPr>
            <w:r w:rsidRPr="007D2274">
              <w:rPr>
                <w:sz w:val="20"/>
                <w:szCs w:val="20"/>
              </w:rPr>
              <w:t>0.3</w:t>
            </w:r>
          </w:p>
        </w:tc>
        <w:tc>
          <w:tcPr>
            <w:tcW w:w="567" w:type="dxa"/>
            <w:vAlign w:val="bottom"/>
          </w:tcPr>
          <w:p w:rsidR="00685BE5" w:rsidRPr="007D2274" w:rsidRDefault="00685BE5" w:rsidP="00AE4C3A">
            <w:pPr>
              <w:tabs>
                <w:tab w:val="right" w:pos="318"/>
                <w:tab w:val="decimal" w:pos="742"/>
              </w:tabs>
              <w:spacing w:before="20" w:after="20"/>
              <w:jc w:val="right"/>
              <w:rPr>
                <w:sz w:val="20"/>
                <w:szCs w:val="20"/>
              </w:rPr>
            </w:pPr>
            <w:r w:rsidRPr="007D2274">
              <w:rPr>
                <w:sz w:val="20"/>
                <w:szCs w:val="20"/>
              </w:rPr>
              <w:t>0.7</w:t>
            </w:r>
          </w:p>
        </w:tc>
        <w:tc>
          <w:tcPr>
            <w:tcW w:w="1418" w:type="dxa"/>
            <w:vAlign w:val="bottom"/>
          </w:tcPr>
          <w:p w:rsidR="00685BE5" w:rsidRPr="007D2274" w:rsidRDefault="00685BE5" w:rsidP="00942D39">
            <w:pPr>
              <w:tabs>
                <w:tab w:val="decimal" w:pos="601"/>
              </w:tabs>
              <w:spacing w:before="20" w:after="20"/>
              <w:rPr>
                <w:sz w:val="20"/>
                <w:szCs w:val="20"/>
              </w:rPr>
            </w:pPr>
            <w:r w:rsidRPr="007D2274">
              <w:rPr>
                <w:sz w:val="20"/>
                <w:szCs w:val="20"/>
              </w:rPr>
              <w:t>79.2</w:t>
            </w:r>
          </w:p>
        </w:tc>
      </w:tr>
      <w:tr w:rsidR="00685BE5" w:rsidRPr="003F6098" w:rsidTr="00942D39">
        <w:tc>
          <w:tcPr>
            <w:tcW w:w="4820" w:type="dxa"/>
            <w:vAlign w:val="center"/>
          </w:tcPr>
          <w:p w:rsidR="00685BE5" w:rsidRPr="007D2274" w:rsidRDefault="00685BE5" w:rsidP="00AE4C3A">
            <w:pPr>
              <w:spacing w:before="20" w:after="20"/>
              <w:rPr>
                <w:sz w:val="20"/>
                <w:szCs w:val="20"/>
              </w:rPr>
            </w:pPr>
            <w:r w:rsidRPr="007D2274">
              <w:rPr>
                <w:sz w:val="20"/>
                <w:szCs w:val="20"/>
              </w:rPr>
              <w:t>Allied health worker</w:t>
            </w:r>
          </w:p>
        </w:tc>
        <w:tc>
          <w:tcPr>
            <w:tcW w:w="709" w:type="dxa"/>
            <w:vAlign w:val="bottom"/>
          </w:tcPr>
          <w:p w:rsidR="00685BE5" w:rsidRPr="007D2274" w:rsidRDefault="00685BE5" w:rsidP="00AE4C3A">
            <w:pPr>
              <w:tabs>
                <w:tab w:val="decimal" w:pos="341"/>
              </w:tabs>
              <w:spacing w:before="20" w:after="20"/>
              <w:rPr>
                <w:sz w:val="20"/>
                <w:szCs w:val="20"/>
              </w:rPr>
            </w:pPr>
            <w:r w:rsidRPr="007D2274">
              <w:rPr>
                <w:sz w:val="20"/>
                <w:szCs w:val="20"/>
              </w:rPr>
              <w:t>33.4</w:t>
            </w:r>
          </w:p>
        </w:tc>
        <w:tc>
          <w:tcPr>
            <w:tcW w:w="1304" w:type="dxa"/>
            <w:vAlign w:val="bottom"/>
          </w:tcPr>
          <w:p w:rsidR="00685BE5" w:rsidRPr="007D2274" w:rsidRDefault="00685BE5" w:rsidP="00942D39">
            <w:pPr>
              <w:tabs>
                <w:tab w:val="decimal" w:pos="601"/>
              </w:tabs>
              <w:spacing w:before="20" w:after="20"/>
              <w:rPr>
                <w:sz w:val="20"/>
                <w:szCs w:val="20"/>
              </w:rPr>
            </w:pPr>
            <w:r w:rsidRPr="007D2274">
              <w:rPr>
                <w:sz w:val="20"/>
                <w:szCs w:val="20"/>
              </w:rPr>
              <w:t>3.0</w:t>
            </w:r>
          </w:p>
        </w:tc>
        <w:tc>
          <w:tcPr>
            <w:tcW w:w="1389" w:type="dxa"/>
            <w:vAlign w:val="bottom"/>
          </w:tcPr>
          <w:p w:rsidR="00685BE5" w:rsidRPr="007D2274" w:rsidRDefault="00685BE5" w:rsidP="00EB72DF">
            <w:pPr>
              <w:spacing w:before="20" w:after="20"/>
              <w:ind w:right="397"/>
              <w:jc w:val="right"/>
              <w:rPr>
                <w:sz w:val="20"/>
                <w:szCs w:val="20"/>
              </w:rPr>
            </w:pPr>
            <w:r w:rsidRPr="007D2274">
              <w:rPr>
                <w:sz w:val="20"/>
                <w:szCs w:val="20"/>
              </w:rPr>
              <w:t>0.1</w:t>
            </w:r>
          </w:p>
        </w:tc>
        <w:tc>
          <w:tcPr>
            <w:tcW w:w="567" w:type="dxa"/>
            <w:vAlign w:val="bottom"/>
          </w:tcPr>
          <w:p w:rsidR="00685BE5" w:rsidRPr="007D2274" w:rsidRDefault="00685BE5" w:rsidP="00AE4C3A">
            <w:pPr>
              <w:tabs>
                <w:tab w:val="right" w:pos="318"/>
                <w:tab w:val="decimal" w:pos="742"/>
              </w:tabs>
              <w:spacing w:before="20" w:after="20"/>
              <w:jc w:val="right"/>
              <w:rPr>
                <w:sz w:val="20"/>
                <w:szCs w:val="20"/>
              </w:rPr>
            </w:pPr>
            <w:r w:rsidRPr="007D2274">
              <w:rPr>
                <w:sz w:val="20"/>
                <w:szCs w:val="20"/>
              </w:rPr>
              <w:t>0.1</w:t>
            </w:r>
          </w:p>
        </w:tc>
        <w:tc>
          <w:tcPr>
            <w:tcW w:w="1418" w:type="dxa"/>
            <w:vAlign w:val="bottom"/>
          </w:tcPr>
          <w:p w:rsidR="00685BE5" w:rsidRPr="007D2274" w:rsidRDefault="00685BE5" w:rsidP="00942D39">
            <w:pPr>
              <w:tabs>
                <w:tab w:val="decimal" w:pos="601"/>
              </w:tabs>
              <w:spacing w:before="20" w:after="20"/>
              <w:rPr>
                <w:sz w:val="20"/>
                <w:szCs w:val="20"/>
              </w:rPr>
            </w:pPr>
            <w:r w:rsidRPr="007D2274">
              <w:rPr>
                <w:sz w:val="20"/>
                <w:szCs w:val="20"/>
              </w:rPr>
              <w:t>63.3</w:t>
            </w:r>
          </w:p>
        </w:tc>
      </w:tr>
      <w:tr w:rsidR="00685BE5" w:rsidRPr="003F6098" w:rsidTr="00EB72DF">
        <w:tc>
          <w:tcPr>
            <w:tcW w:w="4820" w:type="dxa"/>
            <w:tcBorders>
              <w:bottom w:val="single" w:sz="4" w:space="0" w:color="auto"/>
            </w:tcBorders>
            <w:vAlign w:val="center"/>
          </w:tcPr>
          <w:p w:rsidR="00685BE5" w:rsidRPr="007D2274" w:rsidRDefault="00685BE5" w:rsidP="00AE4C3A">
            <w:pPr>
              <w:spacing w:before="20" w:after="20"/>
              <w:rPr>
                <w:sz w:val="20"/>
                <w:szCs w:val="20"/>
              </w:rPr>
            </w:pPr>
            <w:r w:rsidRPr="007D2274">
              <w:rPr>
                <w:sz w:val="20"/>
                <w:szCs w:val="20"/>
              </w:rPr>
              <w:t>Other</w:t>
            </w:r>
          </w:p>
        </w:tc>
        <w:tc>
          <w:tcPr>
            <w:tcW w:w="709" w:type="dxa"/>
            <w:tcBorders>
              <w:bottom w:val="single" w:sz="4" w:space="0" w:color="auto"/>
            </w:tcBorders>
            <w:vAlign w:val="bottom"/>
          </w:tcPr>
          <w:p w:rsidR="00685BE5" w:rsidRPr="007D2274" w:rsidRDefault="00685BE5" w:rsidP="00AE4C3A">
            <w:pPr>
              <w:tabs>
                <w:tab w:val="decimal" w:pos="341"/>
              </w:tabs>
              <w:spacing w:before="20" w:after="20"/>
              <w:rPr>
                <w:sz w:val="20"/>
                <w:szCs w:val="20"/>
              </w:rPr>
            </w:pPr>
            <w:r w:rsidRPr="007D2274">
              <w:rPr>
                <w:sz w:val="20"/>
                <w:szCs w:val="20"/>
              </w:rPr>
              <w:t>23.1</w:t>
            </w:r>
          </w:p>
        </w:tc>
        <w:tc>
          <w:tcPr>
            <w:tcW w:w="1304" w:type="dxa"/>
            <w:tcBorders>
              <w:bottom w:val="single" w:sz="4" w:space="0" w:color="auto"/>
            </w:tcBorders>
            <w:vAlign w:val="bottom"/>
          </w:tcPr>
          <w:p w:rsidR="00685BE5" w:rsidRPr="007D2274" w:rsidRDefault="00685BE5" w:rsidP="00942D39">
            <w:pPr>
              <w:tabs>
                <w:tab w:val="decimal" w:pos="601"/>
              </w:tabs>
              <w:spacing w:before="20" w:after="20"/>
              <w:rPr>
                <w:sz w:val="20"/>
                <w:szCs w:val="20"/>
              </w:rPr>
            </w:pPr>
            <w:r w:rsidRPr="007D2274">
              <w:rPr>
                <w:sz w:val="20"/>
                <w:szCs w:val="20"/>
              </w:rPr>
              <w:t>2.3</w:t>
            </w:r>
          </w:p>
        </w:tc>
        <w:tc>
          <w:tcPr>
            <w:tcW w:w="1389" w:type="dxa"/>
            <w:tcBorders>
              <w:bottom w:val="single" w:sz="4" w:space="0" w:color="auto"/>
            </w:tcBorders>
            <w:vAlign w:val="bottom"/>
          </w:tcPr>
          <w:p w:rsidR="00685BE5" w:rsidRPr="007D2274" w:rsidRDefault="00685BE5" w:rsidP="00EB72DF">
            <w:pPr>
              <w:spacing w:before="20" w:after="20"/>
              <w:ind w:right="57"/>
              <w:jc w:val="center"/>
              <w:rPr>
                <w:sz w:val="20"/>
                <w:szCs w:val="20"/>
              </w:rPr>
            </w:pPr>
            <w:r w:rsidRPr="007D2274">
              <w:rPr>
                <w:sz w:val="20"/>
                <w:szCs w:val="20"/>
              </w:rPr>
              <w:t>0</w:t>
            </w:r>
          </w:p>
        </w:tc>
        <w:tc>
          <w:tcPr>
            <w:tcW w:w="567" w:type="dxa"/>
            <w:tcBorders>
              <w:bottom w:val="single" w:sz="4" w:space="0" w:color="auto"/>
            </w:tcBorders>
            <w:vAlign w:val="bottom"/>
          </w:tcPr>
          <w:p w:rsidR="00685BE5" w:rsidRPr="007D2274" w:rsidRDefault="00685BE5" w:rsidP="00AE4C3A">
            <w:pPr>
              <w:tabs>
                <w:tab w:val="right" w:pos="318"/>
                <w:tab w:val="decimal" w:pos="742"/>
              </w:tabs>
              <w:spacing w:before="20" w:after="20"/>
              <w:jc w:val="right"/>
              <w:rPr>
                <w:sz w:val="20"/>
                <w:szCs w:val="20"/>
              </w:rPr>
            </w:pPr>
            <w:r w:rsidRPr="007D2274">
              <w:rPr>
                <w:sz w:val="20"/>
                <w:szCs w:val="20"/>
              </w:rPr>
              <w:t>0.1</w:t>
            </w:r>
          </w:p>
        </w:tc>
        <w:tc>
          <w:tcPr>
            <w:tcW w:w="1418" w:type="dxa"/>
            <w:tcBorders>
              <w:bottom w:val="single" w:sz="4" w:space="0" w:color="auto"/>
            </w:tcBorders>
            <w:vAlign w:val="bottom"/>
          </w:tcPr>
          <w:p w:rsidR="00685BE5" w:rsidRPr="007D2274" w:rsidRDefault="00685BE5" w:rsidP="00942D39">
            <w:pPr>
              <w:tabs>
                <w:tab w:val="decimal" w:pos="601"/>
              </w:tabs>
              <w:spacing w:before="20" w:after="20"/>
              <w:rPr>
                <w:sz w:val="20"/>
                <w:szCs w:val="20"/>
              </w:rPr>
            </w:pPr>
            <w:r w:rsidRPr="007D2274">
              <w:rPr>
                <w:sz w:val="20"/>
                <w:szCs w:val="20"/>
              </w:rPr>
              <w:t>74.5</w:t>
            </w:r>
          </w:p>
        </w:tc>
      </w:tr>
      <w:tr w:rsidR="00C241DA" w:rsidRPr="003F6098" w:rsidTr="00942D39">
        <w:tc>
          <w:tcPr>
            <w:tcW w:w="10207" w:type="dxa"/>
            <w:gridSpan w:val="6"/>
            <w:tcBorders>
              <w:top w:val="single" w:sz="4" w:space="0" w:color="auto"/>
              <w:bottom w:val="single" w:sz="4" w:space="0" w:color="auto"/>
            </w:tcBorders>
            <w:vAlign w:val="bottom"/>
          </w:tcPr>
          <w:p w:rsidR="00C241DA" w:rsidRPr="007D2274" w:rsidRDefault="00C241DA" w:rsidP="00BB309A">
            <w:pPr>
              <w:spacing w:before="20" w:after="20"/>
              <w:rPr>
                <w:b/>
                <w:sz w:val="20"/>
                <w:szCs w:val="20"/>
              </w:rPr>
            </w:pPr>
            <w:r w:rsidRPr="007D2274">
              <w:rPr>
                <w:b/>
                <w:sz w:val="20"/>
                <w:szCs w:val="20"/>
              </w:rPr>
              <w:t>Total number of outlets</w:t>
            </w:r>
            <w:r>
              <w:rPr>
                <w:b/>
                <w:sz w:val="20"/>
                <w:szCs w:val="20"/>
              </w:rPr>
              <w:t xml:space="preserve"> </w:t>
            </w:r>
            <w:r w:rsidRPr="007D2274">
              <w:rPr>
                <w:b/>
                <w:sz w:val="20"/>
                <w:szCs w:val="20"/>
              </w:rPr>
              <w:t xml:space="preserve"> 697</w:t>
            </w:r>
          </w:p>
        </w:tc>
      </w:tr>
    </w:tbl>
    <w:p w:rsidR="00685BE5" w:rsidRPr="007D2274" w:rsidRDefault="00685BE5" w:rsidP="00AE4C3A">
      <w:pPr>
        <w:pStyle w:val="NILSReference"/>
      </w:pPr>
      <w:r w:rsidRPr="007D2274">
        <w:t>Source: 2014 NDIS DSP outlet survey, Question C5.</w:t>
      </w:r>
    </w:p>
    <w:p w:rsidR="00685BE5" w:rsidRPr="007D2274" w:rsidRDefault="00685BE5" w:rsidP="00AE4C3A">
      <w:pPr>
        <w:pStyle w:val="NILSReference"/>
      </w:pPr>
      <w:r w:rsidRPr="007D2274">
        <w:t>Note: Row percentages are shown.</w:t>
      </w:r>
    </w:p>
    <w:p w:rsidR="0078325B" w:rsidRDefault="0078325B" w:rsidP="00AE4C3A">
      <w:pPr>
        <w:rPr>
          <w:rFonts w:cstheme="minorHAnsi"/>
        </w:rPr>
      </w:pPr>
    </w:p>
    <w:p w:rsidR="00685BE5" w:rsidRPr="005A2670" w:rsidRDefault="00685BE5" w:rsidP="00AE4C3A">
      <w:pPr>
        <w:rPr>
          <w:rFonts w:cstheme="minorHAnsi"/>
        </w:rPr>
      </w:pPr>
      <w:r>
        <w:rPr>
          <w:rFonts w:cstheme="minorHAnsi"/>
        </w:rPr>
        <w:t>Skills shortages experienced by outlets are considered in Table 4.6, with each row reflecting the information about a specific worker role. Table 4.</w:t>
      </w:r>
      <w:r w:rsidRPr="005A2670">
        <w:rPr>
          <w:rFonts w:cstheme="minorHAnsi"/>
        </w:rPr>
        <w:t>6 shows skill shortages for this range of staff types during the past 12 months, where a skills shortage was defined as appropriately qualified workers not available or not willing to work under existing market conditions</w:t>
      </w:r>
      <w:r>
        <w:rPr>
          <w:rFonts w:cstheme="minorHAnsi"/>
        </w:rPr>
        <w:t>.</w:t>
      </w:r>
      <w:r w:rsidRPr="005A2670">
        <w:rPr>
          <w:rFonts w:cstheme="minorHAnsi"/>
        </w:rPr>
        <w:t xml:space="preserve"> </w:t>
      </w:r>
      <w:r>
        <w:rPr>
          <w:rFonts w:cstheme="minorHAnsi"/>
        </w:rPr>
        <w:t>As with the question about under-skilling, a large number (around one third of all asked) did not answer this question. We think that it is reasonable to infer that for those cases where the question was not answered, any skills shortage that might be faced by that respondent was not very pressing.</w:t>
      </w:r>
    </w:p>
    <w:p w:rsidR="003A37B0" w:rsidRDefault="003A37B0">
      <w:pPr>
        <w:rPr>
          <w:rFonts w:cstheme="minorHAnsi"/>
        </w:rPr>
      </w:pPr>
    </w:p>
    <w:p w:rsidR="00685BE5" w:rsidRDefault="00685BE5">
      <w:pPr>
        <w:rPr>
          <w:rFonts w:cstheme="minorHAnsi"/>
        </w:rPr>
      </w:pPr>
      <w:r w:rsidRPr="005A2670">
        <w:rPr>
          <w:rFonts w:cstheme="minorHAnsi"/>
        </w:rPr>
        <w:t>Disability support/residential support workers were</w:t>
      </w:r>
      <w:r>
        <w:rPr>
          <w:rFonts w:cstheme="minorHAnsi"/>
        </w:rPr>
        <w:t xml:space="preserve"> the most problematic occupation in terms of skill shortages, being</w:t>
      </w:r>
      <w:r w:rsidRPr="005A2670">
        <w:rPr>
          <w:rFonts w:cstheme="minorHAnsi"/>
        </w:rPr>
        <w:t xml:space="preserve"> continuously in shortage for 8 per cent of outlets, and occasionally in shortage for a further 21 per cent of outlets. </w:t>
      </w:r>
      <w:r>
        <w:rPr>
          <w:rFonts w:cstheme="minorHAnsi"/>
        </w:rPr>
        <w:t>Managers, personal care/home care and allied health workers were the other occupations for which outlets reported higher levels of skill shortage. For all occupation types, however, less than 10 per cent of outlets reported that they faced a continuous shortage of that skill. This suggests that, at the time of the survey, skills shortages were not a serious obstacle to the provision of disability services.</w:t>
      </w:r>
    </w:p>
    <w:p w:rsidR="003A37B0" w:rsidRDefault="003A37B0"/>
    <w:p w:rsidR="00685BE5" w:rsidRPr="00987524" w:rsidRDefault="00685BE5" w:rsidP="0044684E">
      <w:pPr>
        <w:pStyle w:val="NILSTableHeading"/>
      </w:pPr>
      <w:bookmarkStart w:id="503" w:name="_Toc428279210"/>
      <w:bookmarkStart w:id="504" w:name="_Toc449955340"/>
      <w:r>
        <w:t>Table 4.6: Proportion of outlets reporting skill shortages in past 12 months</w:t>
      </w:r>
      <w:bookmarkEnd w:id="503"/>
      <w:bookmarkEnd w:id="504"/>
    </w:p>
    <w:tbl>
      <w:tblPr>
        <w:tblW w:w="9606" w:type="dxa"/>
        <w:tblBorders>
          <w:top w:val="single" w:sz="4" w:space="0" w:color="auto"/>
          <w:bottom w:val="single" w:sz="4" w:space="0" w:color="auto"/>
        </w:tblBorders>
        <w:tblLayout w:type="fixed"/>
        <w:tblLook w:val="04A0" w:firstRow="1" w:lastRow="0" w:firstColumn="1" w:lastColumn="0" w:noHBand="0" w:noVBand="1"/>
        <w:tblCaption w:val="Table 4.6 Proportion of outlets reporting skill shortages in past 12 months (per cent)"/>
      </w:tblPr>
      <w:tblGrid>
        <w:gridCol w:w="4786"/>
        <w:gridCol w:w="1276"/>
        <w:gridCol w:w="1276"/>
        <w:gridCol w:w="850"/>
        <w:gridCol w:w="1418"/>
      </w:tblGrid>
      <w:tr w:rsidR="00685BE5" w:rsidRPr="003F6098" w:rsidTr="001938E9">
        <w:trPr>
          <w:cantSplit/>
          <w:tblHeader/>
        </w:trPr>
        <w:tc>
          <w:tcPr>
            <w:tcW w:w="4786" w:type="dxa"/>
            <w:tcBorders>
              <w:top w:val="single" w:sz="4" w:space="0" w:color="auto"/>
              <w:bottom w:val="nil"/>
            </w:tcBorders>
            <w:vAlign w:val="center"/>
          </w:tcPr>
          <w:p w:rsidR="00685BE5" w:rsidRPr="00055B53" w:rsidRDefault="00685BE5" w:rsidP="00AE4C3A">
            <w:pPr>
              <w:spacing w:before="20" w:after="20"/>
              <w:rPr>
                <w:rFonts w:cstheme="minorHAnsi"/>
                <w:sz w:val="20"/>
                <w:szCs w:val="20"/>
              </w:rPr>
            </w:pPr>
            <w:bookmarkStart w:id="505" w:name="Title_4_6"/>
            <w:bookmarkEnd w:id="505"/>
          </w:p>
        </w:tc>
        <w:tc>
          <w:tcPr>
            <w:tcW w:w="1276" w:type="dxa"/>
            <w:tcBorders>
              <w:top w:val="single" w:sz="4" w:space="0" w:color="auto"/>
              <w:bottom w:val="nil"/>
            </w:tcBorders>
          </w:tcPr>
          <w:p w:rsidR="00685BE5" w:rsidRDefault="00685BE5" w:rsidP="00AE4C3A">
            <w:pPr>
              <w:spacing w:before="20" w:after="20"/>
              <w:jc w:val="center"/>
              <w:rPr>
                <w:rFonts w:cstheme="minorHAnsi"/>
                <w:sz w:val="20"/>
                <w:szCs w:val="20"/>
              </w:rPr>
            </w:pPr>
            <w:r w:rsidRPr="007D2274">
              <w:rPr>
                <w:rFonts w:cstheme="minorHAnsi"/>
                <w:sz w:val="20"/>
                <w:szCs w:val="20"/>
              </w:rPr>
              <w:t>Y</w:t>
            </w:r>
            <w:r>
              <w:rPr>
                <w:rFonts w:cstheme="minorHAnsi"/>
                <w:sz w:val="20"/>
                <w:szCs w:val="20"/>
              </w:rPr>
              <w:t xml:space="preserve">es </w:t>
            </w:r>
            <w:r w:rsidRPr="007D2274">
              <w:rPr>
                <w:rFonts w:cstheme="minorHAnsi"/>
                <w:sz w:val="20"/>
                <w:szCs w:val="20"/>
              </w:rPr>
              <w:t>continuously</w:t>
            </w:r>
          </w:p>
          <w:p w:rsidR="00DF407A" w:rsidRPr="007D2274" w:rsidRDefault="00DF407A" w:rsidP="00AE4C3A">
            <w:pPr>
              <w:spacing w:before="20" w:after="20"/>
              <w:jc w:val="center"/>
              <w:rPr>
                <w:rFonts w:cstheme="minorHAnsi"/>
                <w:sz w:val="20"/>
                <w:szCs w:val="20"/>
              </w:rPr>
            </w:pPr>
            <w:r>
              <w:rPr>
                <w:rFonts w:cstheme="minorHAnsi"/>
                <w:sz w:val="20"/>
                <w:szCs w:val="20"/>
              </w:rPr>
              <w:t>%</w:t>
            </w:r>
          </w:p>
        </w:tc>
        <w:tc>
          <w:tcPr>
            <w:tcW w:w="1276" w:type="dxa"/>
            <w:tcBorders>
              <w:top w:val="single" w:sz="4" w:space="0" w:color="auto"/>
              <w:bottom w:val="nil"/>
            </w:tcBorders>
          </w:tcPr>
          <w:p w:rsidR="00685BE5" w:rsidRDefault="00685BE5" w:rsidP="00AE4C3A">
            <w:pPr>
              <w:spacing w:before="20" w:after="20"/>
              <w:jc w:val="center"/>
              <w:rPr>
                <w:rFonts w:cstheme="minorHAnsi"/>
                <w:sz w:val="20"/>
                <w:szCs w:val="20"/>
              </w:rPr>
            </w:pPr>
            <w:r w:rsidRPr="007D2274">
              <w:rPr>
                <w:rFonts w:cstheme="minorHAnsi"/>
                <w:sz w:val="20"/>
                <w:szCs w:val="20"/>
              </w:rPr>
              <w:t>Y</w:t>
            </w:r>
            <w:r>
              <w:rPr>
                <w:rFonts w:cstheme="minorHAnsi"/>
                <w:sz w:val="20"/>
                <w:szCs w:val="20"/>
              </w:rPr>
              <w:t>es</w:t>
            </w:r>
            <w:r w:rsidRPr="007D2274">
              <w:rPr>
                <w:rFonts w:cstheme="minorHAnsi"/>
                <w:sz w:val="20"/>
                <w:szCs w:val="20"/>
              </w:rPr>
              <w:t xml:space="preserve"> occasionally</w:t>
            </w:r>
          </w:p>
          <w:p w:rsidR="00DF407A" w:rsidRPr="007D2274" w:rsidRDefault="00DF407A" w:rsidP="00AE4C3A">
            <w:pPr>
              <w:spacing w:before="20" w:after="20"/>
              <w:jc w:val="center"/>
              <w:rPr>
                <w:rFonts w:cstheme="minorHAnsi"/>
                <w:sz w:val="20"/>
                <w:szCs w:val="20"/>
              </w:rPr>
            </w:pPr>
            <w:r>
              <w:rPr>
                <w:rFonts w:cstheme="minorHAnsi"/>
                <w:sz w:val="20"/>
                <w:szCs w:val="20"/>
              </w:rPr>
              <w:t>%</w:t>
            </w:r>
          </w:p>
        </w:tc>
        <w:tc>
          <w:tcPr>
            <w:tcW w:w="850" w:type="dxa"/>
            <w:tcBorders>
              <w:top w:val="single" w:sz="4" w:space="0" w:color="auto"/>
              <w:bottom w:val="nil"/>
            </w:tcBorders>
            <w:vAlign w:val="bottom"/>
          </w:tcPr>
          <w:p w:rsidR="00685BE5" w:rsidRDefault="00685BE5" w:rsidP="001938E9">
            <w:pPr>
              <w:spacing w:before="20" w:after="20"/>
              <w:ind w:right="-108"/>
              <w:jc w:val="center"/>
              <w:rPr>
                <w:rFonts w:cstheme="minorHAnsi"/>
                <w:sz w:val="20"/>
                <w:szCs w:val="20"/>
              </w:rPr>
            </w:pPr>
            <w:r w:rsidRPr="007D2274">
              <w:rPr>
                <w:rFonts w:cstheme="minorHAnsi"/>
                <w:sz w:val="20"/>
                <w:szCs w:val="20"/>
              </w:rPr>
              <w:t>N</w:t>
            </w:r>
            <w:r>
              <w:rPr>
                <w:rFonts w:cstheme="minorHAnsi"/>
                <w:sz w:val="20"/>
                <w:szCs w:val="20"/>
              </w:rPr>
              <w:t>o</w:t>
            </w:r>
          </w:p>
          <w:p w:rsidR="00DF407A" w:rsidRDefault="00DF407A" w:rsidP="001938E9">
            <w:pPr>
              <w:spacing w:before="20" w:after="20"/>
              <w:ind w:right="-108"/>
              <w:jc w:val="center"/>
              <w:rPr>
                <w:rFonts w:cstheme="minorHAnsi"/>
                <w:sz w:val="20"/>
                <w:szCs w:val="20"/>
              </w:rPr>
            </w:pPr>
          </w:p>
          <w:p w:rsidR="00DF407A" w:rsidRPr="007D2274" w:rsidRDefault="00DF407A" w:rsidP="001938E9">
            <w:pPr>
              <w:spacing w:before="20" w:after="20"/>
              <w:ind w:right="-108"/>
              <w:jc w:val="center"/>
              <w:rPr>
                <w:rFonts w:cstheme="minorHAnsi"/>
                <w:sz w:val="20"/>
                <w:szCs w:val="20"/>
              </w:rPr>
            </w:pPr>
            <w:r>
              <w:rPr>
                <w:rFonts w:cstheme="minorHAnsi"/>
                <w:sz w:val="20"/>
                <w:szCs w:val="20"/>
              </w:rPr>
              <w:t>%</w:t>
            </w:r>
          </w:p>
        </w:tc>
        <w:tc>
          <w:tcPr>
            <w:tcW w:w="1418" w:type="dxa"/>
            <w:tcBorders>
              <w:top w:val="single" w:sz="4" w:space="0" w:color="auto"/>
              <w:bottom w:val="nil"/>
            </w:tcBorders>
          </w:tcPr>
          <w:p w:rsidR="00685BE5" w:rsidRDefault="00685BE5" w:rsidP="00AE4C3A">
            <w:pPr>
              <w:spacing w:before="20" w:after="20"/>
              <w:jc w:val="center"/>
              <w:rPr>
                <w:rFonts w:cstheme="minorHAnsi"/>
                <w:sz w:val="20"/>
                <w:szCs w:val="20"/>
              </w:rPr>
            </w:pPr>
            <w:r w:rsidRPr="007D2274">
              <w:rPr>
                <w:rFonts w:cstheme="minorHAnsi"/>
                <w:sz w:val="20"/>
                <w:szCs w:val="20"/>
              </w:rPr>
              <w:t>Question not answered</w:t>
            </w:r>
          </w:p>
          <w:p w:rsidR="00DF407A" w:rsidRPr="007D2274" w:rsidRDefault="00DF407A" w:rsidP="00AE4C3A">
            <w:pPr>
              <w:spacing w:before="20" w:after="20"/>
              <w:jc w:val="center"/>
              <w:rPr>
                <w:rFonts w:cstheme="minorHAnsi"/>
                <w:sz w:val="20"/>
                <w:szCs w:val="20"/>
              </w:rPr>
            </w:pPr>
            <w:r>
              <w:rPr>
                <w:rFonts w:cstheme="minorHAnsi"/>
                <w:sz w:val="20"/>
                <w:szCs w:val="20"/>
              </w:rPr>
              <w:t>%</w:t>
            </w:r>
          </w:p>
        </w:tc>
      </w:tr>
      <w:tr w:rsidR="00685BE5" w:rsidRPr="003F6098" w:rsidTr="00AA2302">
        <w:tc>
          <w:tcPr>
            <w:tcW w:w="4786" w:type="dxa"/>
            <w:tcBorders>
              <w:top w:val="single" w:sz="4" w:space="0" w:color="auto"/>
              <w:bottom w:val="nil"/>
            </w:tcBorders>
            <w:vAlign w:val="center"/>
          </w:tcPr>
          <w:p w:rsidR="00685BE5" w:rsidRPr="007D2274" w:rsidRDefault="00685BE5" w:rsidP="00AE4C3A">
            <w:pPr>
              <w:spacing w:before="20" w:after="20"/>
              <w:rPr>
                <w:rFonts w:cstheme="minorHAnsi"/>
                <w:sz w:val="20"/>
                <w:szCs w:val="20"/>
              </w:rPr>
            </w:pPr>
            <w:r w:rsidRPr="007D2274">
              <w:rPr>
                <w:rFonts w:cstheme="minorHAnsi"/>
                <w:sz w:val="20"/>
                <w:szCs w:val="20"/>
              </w:rPr>
              <w:t>Disability suppo</w:t>
            </w:r>
            <w:r>
              <w:rPr>
                <w:rFonts w:cstheme="minorHAnsi"/>
                <w:sz w:val="20"/>
                <w:szCs w:val="20"/>
              </w:rPr>
              <w:t>rt/r</w:t>
            </w:r>
            <w:r w:rsidRPr="007D2274">
              <w:rPr>
                <w:rFonts w:cstheme="minorHAnsi"/>
                <w:sz w:val="20"/>
                <w:szCs w:val="20"/>
              </w:rPr>
              <w:t>esidential support worker</w:t>
            </w:r>
          </w:p>
        </w:tc>
        <w:tc>
          <w:tcPr>
            <w:tcW w:w="1276" w:type="dxa"/>
            <w:tcBorders>
              <w:top w:val="single" w:sz="4" w:space="0" w:color="auto"/>
              <w:bottom w:val="nil"/>
            </w:tcBorders>
            <w:vAlign w:val="bottom"/>
          </w:tcPr>
          <w:p w:rsidR="00685BE5" w:rsidRPr="007D2274" w:rsidRDefault="00685BE5" w:rsidP="00AE4C3A">
            <w:pPr>
              <w:tabs>
                <w:tab w:val="decimal" w:pos="601"/>
              </w:tabs>
              <w:spacing w:before="20" w:after="20"/>
              <w:rPr>
                <w:rFonts w:cstheme="minorHAnsi"/>
                <w:sz w:val="20"/>
                <w:szCs w:val="20"/>
              </w:rPr>
            </w:pPr>
            <w:r w:rsidRPr="007D2274">
              <w:rPr>
                <w:rFonts w:cstheme="minorHAnsi"/>
                <w:sz w:val="20"/>
                <w:szCs w:val="20"/>
              </w:rPr>
              <w:t>8.2</w:t>
            </w:r>
          </w:p>
        </w:tc>
        <w:tc>
          <w:tcPr>
            <w:tcW w:w="1276" w:type="dxa"/>
            <w:tcBorders>
              <w:top w:val="single" w:sz="4" w:space="0" w:color="auto"/>
              <w:bottom w:val="nil"/>
            </w:tcBorders>
            <w:vAlign w:val="bottom"/>
          </w:tcPr>
          <w:p w:rsidR="00685BE5" w:rsidRPr="007D2274" w:rsidRDefault="00685BE5" w:rsidP="00AE4C3A">
            <w:pPr>
              <w:tabs>
                <w:tab w:val="decimal" w:pos="614"/>
              </w:tabs>
              <w:spacing w:before="20" w:after="20"/>
              <w:rPr>
                <w:rFonts w:cstheme="minorHAnsi"/>
                <w:sz w:val="20"/>
                <w:szCs w:val="20"/>
              </w:rPr>
            </w:pPr>
            <w:r w:rsidRPr="007D2274">
              <w:rPr>
                <w:rFonts w:cstheme="minorHAnsi"/>
                <w:sz w:val="20"/>
                <w:szCs w:val="20"/>
              </w:rPr>
              <w:t>21.2</w:t>
            </w:r>
          </w:p>
        </w:tc>
        <w:tc>
          <w:tcPr>
            <w:tcW w:w="850" w:type="dxa"/>
            <w:tcBorders>
              <w:top w:val="single" w:sz="4" w:space="0" w:color="auto"/>
              <w:bottom w:val="nil"/>
            </w:tcBorders>
            <w:vAlign w:val="bottom"/>
          </w:tcPr>
          <w:p w:rsidR="00685BE5" w:rsidRPr="007D2274" w:rsidRDefault="00685BE5" w:rsidP="00AE4C3A">
            <w:pPr>
              <w:tabs>
                <w:tab w:val="decimal" w:pos="459"/>
              </w:tabs>
              <w:spacing w:before="20" w:after="20"/>
              <w:rPr>
                <w:rFonts w:cstheme="minorHAnsi"/>
                <w:sz w:val="20"/>
                <w:szCs w:val="20"/>
              </w:rPr>
            </w:pPr>
            <w:r w:rsidRPr="007D2274">
              <w:rPr>
                <w:rFonts w:cstheme="minorHAnsi"/>
                <w:sz w:val="20"/>
                <w:szCs w:val="20"/>
              </w:rPr>
              <w:t>46.6</w:t>
            </w:r>
          </w:p>
        </w:tc>
        <w:tc>
          <w:tcPr>
            <w:tcW w:w="1418" w:type="dxa"/>
            <w:tcBorders>
              <w:top w:val="single" w:sz="4" w:space="0" w:color="auto"/>
              <w:bottom w:val="nil"/>
            </w:tcBorders>
            <w:vAlign w:val="bottom"/>
          </w:tcPr>
          <w:p w:rsidR="00685BE5" w:rsidRPr="007D2274" w:rsidRDefault="00685BE5" w:rsidP="00AE4C3A">
            <w:pPr>
              <w:spacing w:before="20" w:after="20"/>
              <w:ind w:right="382"/>
              <w:jc w:val="right"/>
              <w:rPr>
                <w:rFonts w:cstheme="minorHAnsi"/>
                <w:sz w:val="20"/>
                <w:szCs w:val="20"/>
              </w:rPr>
            </w:pPr>
            <w:r w:rsidRPr="007D2274">
              <w:rPr>
                <w:rFonts w:cstheme="minorHAnsi"/>
                <w:sz w:val="20"/>
                <w:szCs w:val="20"/>
              </w:rPr>
              <w:t>24.0</w:t>
            </w:r>
          </w:p>
        </w:tc>
      </w:tr>
      <w:tr w:rsidR="00685BE5" w:rsidRPr="003F6098" w:rsidTr="00AA2302">
        <w:tc>
          <w:tcPr>
            <w:tcW w:w="4786" w:type="dxa"/>
            <w:tcBorders>
              <w:top w:val="nil"/>
            </w:tcBorders>
            <w:vAlign w:val="center"/>
          </w:tcPr>
          <w:p w:rsidR="00685BE5" w:rsidRPr="007D2274" w:rsidRDefault="00685BE5" w:rsidP="00AE4C3A">
            <w:pPr>
              <w:spacing w:before="20" w:after="20"/>
              <w:rPr>
                <w:rFonts w:cstheme="minorHAnsi"/>
                <w:sz w:val="20"/>
                <w:szCs w:val="20"/>
              </w:rPr>
            </w:pPr>
            <w:r>
              <w:rPr>
                <w:rFonts w:cstheme="minorHAnsi"/>
                <w:sz w:val="20"/>
                <w:szCs w:val="20"/>
              </w:rPr>
              <w:t>Personal care/h</w:t>
            </w:r>
            <w:r w:rsidRPr="007D2274">
              <w:rPr>
                <w:rFonts w:cstheme="minorHAnsi"/>
                <w:sz w:val="20"/>
                <w:szCs w:val="20"/>
              </w:rPr>
              <w:t>ome care worker</w:t>
            </w:r>
          </w:p>
        </w:tc>
        <w:tc>
          <w:tcPr>
            <w:tcW w:w="1276" w:type="dxa"/>
            <w:tcBorders>
              <w:top w:val="nil"/>
            </w:tcBorders>
            <w:vAlign w:val="bottom"/>
          </w:tcPr>
          <w:p w:rsidR="00685BE5" w:rsidRPr="007D2274" w:rsidRDefault="00685BE5" w:rsidP="00AE4C3A">
            <w:pPr>
              <w:tabs>
                <w:tab w:val="decimal" w:pos="601"/>
              </w:tabs>
              <w:spacing w:before="20" w:after="20"/>
              <w:rPr>
                <w:rFonts w:cstheme="minorHAnsi"/>
                <w:sz w:val="20"/>
                <w:szCs w:val="20"/>
              </w:rPr>
            </w:pPr>
            <w:r w:rsidRPr="007D2274">
              <w:rPr>
                <w:rFonts w:cstheme="minorHAnsi"/>
                <w:sz w:val="20"/>
                <w:szCs w:val="20"/>
              </w:rPr>
              <w:t>4.5</w:t>
            </w:r>
          </w:p>
        </w:tc>
        <w:tc>
          <w:tcPr>
            <w:tcW w:w="1276" w:type="dxa"/>
            <w:tcBorders>
              <w:top w:val="nil"/>
            </w:tcBorders>
            <w:vAlign w:val="bottom"/>
          </w:tcPr>
          <w:p w:rsidR="00685BE5" w:rsidRPr="007D2274" w:rsidRDefault="00685BE5" w:rsidP="00AE4C3A">
            <w:pPr>
              <w:tabs>
                <w:tab w:val="decimal" w:pos="614"/>
              </w:tabs>
              <w:spacing w:before="20" w:after="20"/>
              <w:rPr>
                <w:rFonts w:cstheme="minorHAnsi"/>
                <w:sz w:val="20"/>
                <w:szCs w:val="20"/>
              </w:rPr>
            </w:pPr>
            <w:r w:rsidRPr="007D2274">
              <w:rPr>
                <w:rFonts w:cstheme="minorHAnsi"/>
                <w:sz w:val="20"/>
                <w:szCs w:val="20"/>
              </w:rPr>
              <w:t>11.9</w:t>
            </w:r>
          </w:p>
        </w:tc>
        <w:tc>
          <w:tcPr>
            <w:tcW w:w="850" w:type="dxa"/>
            <w:tcBorders>
              <w:top w:val="nil"/>
            </w:tcBorders>
            <w:vAlign w:val="bottom"/>
          </w:tcPr>
          <w:p w:rsidR="00685BE5" w:rsidRPr="007D2274" w:rsidRDefault="00685BE5" w:rsidP="00AE4C3A">
            <w:pPr>
              <w:tabs>
                <w:tab w:val="decimal" w:pos="459"/>
              </w:tabs>
              <w:spacing w:before="20" w:after="20"/>
              <w:rPr>
                <w:rFonts w:cstheme="minorHAnsi"/>
                <w:sz w:val="20"/>
                <w:szCs w:val="20"/>
              </w:rPr>
            </w:pPr>
            <w:r w:rsidRPr="007D2274">
              <w:rPr>
                <w:rFonts w:cstheme="minorHAnsi"/>
                <w:sz w:val="20"/>
                <w:szCs w:val="20"/>
              </w:rPr>
              <w:t>51.1</w:t>
            </w:r>
          </w:p>
        </w:tc>
        <w:tc>
          <w:tcPr>
            <w:tcW w:w="1418" w:type="dxa"/>
            <w:tcBorders>
              <w:top w:val="nil"/>
            </w:tcBorders>
            <w:vAlign w:val="bottom"/>
          </w:tcPr>
          <w:p w:rsidR="00685BE5" w:rsidRPr="007D2274" w:rsidRDefault="00685BE5" w:rsidP="00AE4C3A">
            <w:pPr>
              <w:spacing w:before="20" w:after="20"/>
              <w:ind w:right="382"/>
              <w:jc w:val="right"/>
              <w:rPr>
                <w:rFonts w:cstheme="minorHAnsi"/>
                <w:sz w:val="20"/>
                <w:szCs w:val="20"/>
              </w:rPr>
            </w:pPr>
            <w:r w:rsidRPr="007D2274">
              <w:rPr>
                <w:rFonts w:cstheme="minorHAnsi"/>
                <w:sz w:val="20"/>
                <w:szCs w:val="20"/>
              </w:rPr>
              <w:t>32.6</w:t>
            </w:r>
          </w:p>
        </w:tc>
      </w:tr>
      <w:tr w:rsidR="00685BE5" w:rsidRPr="003F6098" w:rsidTr="00AA2302">
        <w:tc>
          <w:tcPr>
            <w:tcW w:w="4786" w:type="dxa"/>
            <w:vAlign w:val="center"/>
          </w:tcPr>
          <w:p w:rsidR="00685BE5" w:rsidRPr="007D2274" w:rsidRDefault="00685BE5" w:rsidP="00AE4C3A">
            <w:pPr>
              <w:spacing w:before="20" w:after="20"/>
              <w:rPr>
                <w:rFonts w:cstheme="minorHAnsi"/>
                <w:sz w:val="20"/>
                <w:szCs w:val="20"/>
              </w:rPr>
            </w:pPr>
            <w:r w:rsidRPr="007D2274">
              <w:rPr>
                <w:rFonts w:cstheme="minorHAnsi"/>
                <w:sz w:val="20"/>
                <w:szCs w:val="20"/>
              </w:rPr>
              <w:t>Se</w:t>
            </w:r>
            <w:r>
              <w:rPr>
                <w:rFonts w:cstheme="minorHAnsi"/>
                <w:sz w:val="20"/>
                <w:szCs w:val="20"/>
              </w:rPr>
              <w:t>rvice or program administrator/manager/c</w:t>
            </w:r>
            <w:r w:rsidRPr="007D2274">
              <w:rPr>
                <w:rFonts w:cstheme="minorHAnsi"/>
                <w:sz w:val="20"/>
                <w:szCs w:val="20"/>
              </w:rPr>
              <w:t>oordinator</w:t>
            </w:r>
          </w:p>
        </w:tc>
        <w:tc>
          <w:tcPr>
            <w:tcW w:w="1276" w:type="dxa"/>
            <w:vAlign w:val="bottom"/>
          </w:tcPr>
          <w:p w:rsidR="00685BE5" w:rsidRPr="007D2274" w:rsidRDefault="00685BE5" w:rsidP="00AE4C3A">
            <w:pPr>
              <w:tabs>
                <w:tab w:val="decimal" w:pos="601"/>
              </w:tabs>
              <w:spacing w:before="20" w:after="20"/>
              <w:rPr>
                <w:rFonts w:cstheme="minorHAnsi"/>
                <w:sz w:val="20"/>
                <w:szCs w:val="20"/>
              </w:rPr>
            </w:pPr>
            <w:r w:rsidRPr="007D2274">
              <w:rPr>
                <w:rFonts w:cstheme="minorHAnsi"/>
                <w:sz w:val="20"/>
                <w:szCs w:val="20"/>
              </w:rPr>
              <w:t>3.2</w:t>
            </w:r>
          </w:p>
        </w:tc>
        <w:tc>
          <w:tcPr>
            <w:tcW w:w="1276" w:type="dxa"/>
            <w:vAlign w:val="bottom"/>
          </w:tcPr>
          <w:p w:rsidR="00685BE5" w:rsidRPr="007D2274" w:rsidRDefault="00685BE5" w:rsidP="00AE4C3A">
            <w:pPr>
              <w:tabs>
                <w:tab w:val="decimal" w:pos="614"/>
              </w:tabs>
              <w:spacing w:before="20" w:after="20"/>
              <w:rPr>
                <w:rFonts w:cstheme="minorHAnsi"/>
                <w:sz w:val="20"/>
                <w:szCs w:val="20"/>
              </w:rPr>
            </w:pPr>
            <w:r w:rsidRPr="007D2274">
              <w:rPr>
                <w:rFonts w:cstheme="minorHAnsi"/>
                <w:sz w:val="20"/>
                <w:szCs w:val="20"/>
              </w:rPr>
              <w:t>15.1</w:t>
            </w:r>
          </w:p>
        </w:tc>
        <w:tc>
          <w:tcPr>
            <w:tcW w:w="850" w:type="dxa"/>
            <w:vAlign w:val="bottom"/>
          </w:tcPr>
          <w:p w:rsidR="00685BE5" w:rsidRPr="007D2274" w:rsidRDefault="00685BE5" w:rsidP="00AE4C3A">
            <w:pPr>
              <w:tabs>
                <w:tab w:val="decimal" w:pos="459"/>
              </w:tabs>
              <w:spacing w:before="20" w:after="20"/>
              <w:rPr>
                <w:rFonts w:cstheme="minorHAnsi"/>
                <w:sz w:val="20"/>
                <w:szCs w:val="20"/>
              </w:rPr>
            </w:pPr>
            <w:r w:rsidRPr="007D2274">
              <w:rPr>
                <w:rFonts w:cstheme="minorHAnsi"/>
                <w:sz w:val="20"/>
                <w:szCs w:val="20"/>
              </w:rPr>
              <w:t>65.6</w:t>
            </w:r>
          </w:p>
        </w:tc>
        <w:tc>
          <w:tcPr>
            <w:tcW w:w="1418" w:type="dxa"/>
            <w:vAlign w:val="bottom"/>
          </w:tcPr>
          <w:p w:rsidR="00685BE5" w:rsidRPr="007D2274" w:rsidRDefault="00685BE5" w:rsidP="00AE4C3A">
            <w:pPr>
              <w:spacing w:before="20" w:after="20"/>
              <w:ind w:right="382"/>
              <w:jc w:val="right"/>
              <w:rPr>
                <w:rFonts w:cstheme="minorHAnsi"/>
                <w:sz w:val="20"/>
                <w:szCs w:val="20"/>
              </w:rPr>
            </w:pPr>
            <w:r w:rsidRPr="007D2274">
              <w:rPr>
                <w:rFonts w:cstheme="minorHAnsi"/>
                <w:sz w:val="20"/>
                <w:szCs w:val="20"/>
              </w:rPr>
              <w:t>16.2</w:t>
            </w:r>
          </w:p>
        </w:tc>
      </w:tr>
      <w:tr w:rsidR="00685BE5" w:rsidRPr="003F6098" w:rsidTr="00AA2302">
        <w:tc>
          <w:tcPr>
            <w:tcW w:w="4786" w:type="dxa"/>
            <w:vAlign w:val="center"/>
          </w:tcPr>
          <w:p w:rsidR="00685BE5" w:rsidRPr="007D2274" w:rsidRDefault="00685BE5" w:rsidP="00AE4C3A">
            <w:pPr>
              <w:spacing w:before="20" w:after="20"/>
              <w:rPr>
                <w:rFonts w:cstheme="minorHAnsi"/>
                <w:sz w:val="20"/>
                <w:szCs w:val="20"/>
              </w:rPr>
            </w:pPr>
            <w:r>
              <w:rPr>
                <w:rFonts w:cstheme="minorHAnsi"/>
                <w:sz w:val="20"/>
                <w:szCs w:val="20"/>
              </w:rPr>
              <w:t>Social worker/d</w:t>
            </w:r>
            <w:r w:rsidRPr="007D2274">
              <w:rPr>
                <w:rFonts w:cstheme="minorHAnsi"/>
                <w:sz w:val="20"/>
                <w:szCs w:val="20"/>
              </w:rPr>
              <w:t>isability case coordinator</w:t>
            </w:r>
          </w:p>
        </w:tc>
        <w:tc>
          <w:tcPr>
            <w:tcW w:w="1276" w:type="dxa"/>
            <w:vAlign w:val="bottom"/>
          </w:tcPr>
          <w:p w:rsidR="00685BE5" w:rsidRPr="007D2274" w:rsidRDefault="00685BE5" w:rsidP="00AE4C3A">
            <w:pPr>
              <w:tabs>
                <w:tab w:val="decimal" w:pos="601"/>
              </w:tabs>
              <w:spacing w:before="20" w:after="20"/>
              <w:rPr>
                <w:rFonts w:cstheme="minorHAnsi"/>
                <w:sz w:val="20"/>
                <w:szCs w:val="20"/>
              </w:rPr>
            </w:pPr>
            <w:r w:rsidRPr="007D2274">
              <w:rPr>
                <w:rFonts w:cstheme="minorHAnsi"/>
                <w:sz w:val="20"/>
                <w:szCs w:val="20"/>
              </w:rPr>
              <w:t>2.3</w:t>
            </w:r>
          </w:p>
        </w:tc>
        <w:tc>
          <w:tcPr>
            <w:tcW w:w="1276" w:type="dxa"/>
            <w:vAlign w:val="bottom"/>
          </w:tcPr>
          <w:p w:rsidR="00685BE5" w:rsidRPr="007D2274" w:rsidRDefault="00685BE5" w:rsidP="00AE4C3A">
            <w:pPr>
              <w:tabs>
                <w:tab w:val="decimal" w:pos="614"/>
              </w:tabs>
              <w:spacing w:before="20" w:after="20"/>
              <w:rPr>
                <w:rFonts w:cstheme="minorHAnsi"/>
                <w:sz w:val="20"/>
                <w:szCs w:val="20"/>
              </w:rPr>
            </w:pPr>
            <w:r w:rsidRPr="007D2274">
              <w:rPr>
                <w:rFonts w:cstheme="minorHAnsi"/>
                <w:sz w:val="20"/>
                <w:szCs w:val="20"/>
              </w:rPr>
              <w:t>7.6</w:t>
            </w:r>
          </w:p>
        </w:tc>
        <w:tc>
          <w:tcPr>
            <w:tcW w:w="850" w:type="dxa"/>
            <w:vAlign w:val="bottom"/>
          </w:tcPr>
          <w:p w:rsidR="00685BE5" w:rsidRPr="007D2274" w:rsidRDefault="00685BE5" w:rsidP="00AE4C3A">
            <w:pPr>
              <w:tabs>
                <w:tab w:val="decimal" w:pos="459"/>
              </w:tabs>
              <w:spacing w:before="20" w:after="20"/>
              <w:rPr>
                <w:rFonts w:cstheme="minorHAnsi"/>
                <w:sz w:val="20"/>
                <w:szCs w:val="20"/>
              </w:rPr>
            </w:pPr>
            <w:r w:rsidRPr="007D2274">
              <w:rPr>
                <w:rFonts w:cstheme="minorHAnsi"/>
                <w:sz w:val="20"/>
                <w:szCs w:val="20"/>
              </w:rPr>
              <w:t>57.5</w:t>
            </w:r>
          </w:p>
        </w:tc>
        <w:tc>
          <w:tcPr>
            <w:tcW w:w="1418" w:type="dxa"/>
            <w:vAlign w:val="bottom"/>
          </w:tcPr>
          <w:p w:rsidR="00685BE5" w:rsidRPr="007D2274" w:rsidRDefault="00685BE5" w:rsidP="00AE4C3A">
            <w:pPr>
              <w:spacing w:before="20" w:after="20"/>
              <w:ind w:right="382"/>
              <w:jc w:val="right"/>
              <w:rPr>
                <w:rFonts w:cstheme="minorHAnsi"/>
                <w:sz w:val="20"/>
                <w:szCs w:val="20"/>
              </w:rPr>
            </w:pPr>
            <w:r w:rsidRPr="007D2274">
              <w:rPr>
                <w:rFonts w:cstheme="minorHAnsi"/>
                <w:sz w:val="20"/>
                <w:szCs w:val="20"/>
              </w:rPr>
              <w:t>32.6</w:t>
            </w:r>
          </w:p>
        </w:tc>
      </w:tr>
      <w:tr w:rsidR="00685BE5" w:rsidRPr="003F6098" w:rsidTr="00AA2302">
        <w:tc>
          <w:tcPr>
            <w:tcW w:w="4786" w:type="dxa"/>
            <w:vAlign w:val="center"/>
          </w:tcPr>
          <w:p w:rsidR="00685BE5" w:rsidRPr="007D2274" w:rsidRDefault="00685BE5" w:rsidP="00AE4C3A">
            <w:pPr>
              <w:spacing w:before="20" w:after="20"/>
              <w:rPr>
                <w:rFonts w:cstheme="minorHAnsi"/>
                <w:sz w:val="20"/>
                <w:szCs w:val="20"/>
              </w:rPr>
            </w:pPr>
            <w:r w:rsidRPr="007D2274">
              <w:rPr>
                <w:rFonts w:cstheme="minorHAnsi"/>
                <w:sz w:val="20"/>
                <w:szCs w:val="20"/>
              </w:rPr>
              <w:t>Employment support worker</w:t>
            </w:r>
          </w:p>
        </w:tc>
        <w:tc>
          <w:tcPr>
            <w:tcW w:w="1276" w:type="dxa"/>
            <w:vAlign w:val="bottom"/>
          </w:tcPr>
          <w:p w:rsidR="00685BE5" w:rsidRPr="007D2274" w:rsidRDefault="00685BE5" w:rsidP="00AE4C3A">
            <w:pPr>
              <w:tabs>
                <w:tab w:val="decimal" w:pos="601"/>
              </w:tabs>
              <w:spacing w:before="20" w:after="20"/>
              <w:rPr>
                <w:rFonts w:cstheme="minorHAnsi"/>
                <w:sz w:val="20"/>
                <w:szCs w:val="20"/>
              </w:rPr>
            </w:pPr>
            <w:r w:rsidRPr="007D2274">
              <w:rPr>
                <w:rFonts w:cstheme="minorHAnsi"/>
                <w:sz w:val="20"/>
                <w:szCs w:val="20"/>
              </w:rPr>
              <w:t>1.7</w:t>
            </w:r>
          </w:p>
        </w:tc>
        <w:tc>
          <w:tcPr>
            <w:tcW w:w="1276" w:type="dxa"/>
            <w:vAlign w:val="bottom"/>
          </w:tcPr>
          <w:p w:rsidR="00685BE5" w:rsidRPr="007D2274" w:rsidRDefault="00685BE5" w:rsidP="00AE4C3A">
            <w:pPr>
              <w:tabs>
                <w:tab w:val="decimal" w:pos="614"/>
              </w:tabs>
              <w:spacing w:before="20" w:after="20"/>
              <w:rPr>
                <w:rFonts w:cstheme="minorHAnsi"/>
                <w:sz w:val="20"/>
                <w:szCs w:val="20"/>
              </w:rPr>
            </w:pPr>
            <w:r w:rsidRPr="007D2274">
              <w:rPr>
                <w:rFonts w:cstheme="minorHAnsi"/>
                <w:sz w:val="20"/>
                <w:szCs w:val="20"/>
              </w:rPr>
              <w:t>5.2</w:t>
            </w:r>
          </w:p>
        </w:tc>
        <w:tc>
          <w:tcPr>
            <w:tcW w:w="850" w:type="dxa"/>
            <w:vAlign w:val="bottom"/>
          </w:tcPr>
          <w:p w:rsidR="00685BE5" w:rsidRPr="007D2274" w:rsidRDefault="00685BE5" w:rsidP="00AE4C3A">
            <w:pPr>
              <w:tabs>
                <w:tab w:val="decimal" w:pos="459"/>
              </w:tabs>
              <w:spacing w:before="20" w:after="20"/>
              <w:rPr>
                <w:rFonts w:cstheme="minorHAnsi"/>
                <w:sz w:val="20"/>
                <w:szCs w:val="20"/>
              </w:rPr>
            </w:pPr>
            <w:r w:rsidRPr="007D2274">
              <w:rPr>
                <w:rFonts w:cstheme="minorHAnsi"/>
                <w:sz w:val="20"/>
                <w:szCs w:val="20"/>
              </w:rPr>
              <w:t>53.8</w:t>
            </w:r>
          </w:p>
        </w:tc>
        <w:tc>
          <w:tcPr>
            <w:tcW w:w="1418" w:type="dxa"/>
            <w:vAlign w:val="bottom"/>
          </w:tcPr>
          <w:p w:rsidR="00685BE5" w:rsidRPr="007D2274" w:rsidRDefault="00685BE5" w:rsidP="00AE4C3A">
            <w:pPr>
              <w:spacing w:before="20" w:after="20"/>
              <w:ind w:right="382"/>
              <w:jc w:val="right"/>
              <w:rPr>
                <w:rFonts w:cstheme="minorHAnsi"/>
                <w:sz w:val="20"/>
                <w:szCs w:val="20"/>
              </w:rPr>
            </w:pPr>
            <w:r w:rsidRPr="007D2274">
              <w:rPr>
                <w:rFonts w:cstheme="minorHAnsi"/>
                <w:sz w:val="20"/>
                <w:szCs w:val="20"/>
              </w:rPr>
              <w:t>39.3</w:t>
            </w:r>
          </w:p>
        </w:tc>
      </w:tr>
      <w:tr w:rsidR="00685BE5" w:rsidRPr="003F6098" w:rsidTr="00AA2302">
        <w:tc>
          <w:tcPr>
            <w:tcW w:w="4786" w:type="dxa"/>
            <w:vAlign w:val="center"/>
          </w:tcPr>
          <w:p w:rsidR="00685BE5" w:rsidRPr="007D2274" w:rsidRDefault="00685BE5" w:rsidP="00AE4C3A">
            <w:pPr>
              <w:spacing w:before="20" w:after="20"/>
              <w:rPr>
                <w:rFonts w:cstheme="minorHAnsi"/>
                <w:sz w:val="20"/>
                <w:szCs w:val="20"/>
              </w:rPr>
            </w:pPr>
            <w:r w:rsidRPr="007D2274">
              <w:rPr>
                <w:rFonts w:cstheme="minorHAnsi"/>
                <w:sz w:val="20"/>
                <w:szCs w:val="20"/>
              </w:rPr>
              <w:t>Peer support worker</w:t>
            </w:r>
          </w:p>
        </w:tc>
        <w:tc>
          <w:tcPr>
            <w:tcW w:w="1276" w:type="dxa"/>
            <w:vAlign w:val="bottom"/>
          </w:tcPr>
          <w:p w:rsidR="00685BE5" w:rsidRPr="007D2274" w:rsidRDefault="00685BE5" w:rsidP="00AE4C3A">
            <w:pPr>
              <w:tabs>
                <w:tab w:val="decimal" w:pos="601"/>
              </w:tabs>
              <w:spacing w:before="20" w:after="20"/>
              <w:rPr>
                <w:rFonts w:cstheme="minorHAnsi"/>
                <w:sz w:val="20"/>
                <w:szCs w:val="20"/>
              </w:rPr>
            </w:pPr>
            <w:r w:rsidRPr="007D2274">
              <w:rPr>
                <w:rFonts w:cstheme="minorHAnsi"/>
                <w:sz w:val="20"/>
                <w:szCs w:val="20"/>
              </w:rPr>
              <w:t>1.6</w:t>
            </w:r>
          </w:p>
        </w:tc>
        <w:tc>
          <w:tcPr>
            <w:tcW w:w="1276" w:type="dxa"/>
            <w:vAlign w:val="bottom"/>
          </w:tcPr>
          <w:p w:rsidR="00685BE5" w:rsidRPr="007D2274" w:rsidRDefault="00685BE5" w:rsidP="00AE4C3A">
            <w:pPr>
              <w:tabs>
                <w:tab w:val="decimal" w:pos="614"/>
              </w:tabs>
              <w:spacing w:before="20" w:after="20"/>
              <w:rPr>
                <w:rFonts w:cstheme="minorHAnsi"/>
                <w:sz w:val="20"/>
                <w:szCs w:val="20"/>
              </w:rPr>
            </w:pPr>
            <w:r w:rsidRPr="007D2274">
              <w:rPr>
                <w:rFonts w:cstheme="minorHAnsi"/>
                <w:sz w:val="20"/>
                <w:szCs w:val="20"/>
              </w:rPr>
              <w:t>3.7</w:t>
            </w:r>
          </w:p>
        </w:tc>
        <w:tc>
          <w:tcPr>
            <w:tcW w:w="850" w:type="dxa"/>
            <w:vAlign w:val="bottom"/>
          </w:tcPr>
          <w:p w:rsidR="00685BE5" w:rsidRPr="007D2274" w:rsidRDefault="00685BE5" w:rsidP="00AE4C3A">
            <w:pPr>
              <w:tabs>
                <w:tab w:val="decimal" w:pos="459"/>
              </w:tabs>
              <w:spacing w:before="20" w:after="20"/>
              <w:rPr>
                <w:rFonts w:cstheme="minorHAnsi"/>
                <w:sz w:val="20"/>
                <w:szCs w:val="20"/>
              </w:rPr>
            </w:pPr>
            <w:r w:rsidRPr="007D2274">
              <w:rPr>
                <w:rFonts w:cstheme="minorHAnsi"/>
                <w:sz w:val="20"/>
                <w:szCs w:val="20"/>
              </w:rPr>
              <w:t>55.7</w:t>
            </w:r>
          </w:p>
        </w:tc>
        <w:tc>
          <w:tcPr>
            <w:tcW w:w="1418" w:type="dxa"/>
            <w:vAlign w:val="bottom"/>
          </w:tcPr>
          <w:p w:rsidR="00685BE5" w:rsidRPr="007D2274" w:rsidRDefault="00685BE5" w:rsidP="00AE4C3A">
            <w:pPr>
              <w:spacing w:before="20" w:after="20"/>
              <w:ind w:right="382"/>
              <w:jc w:val="right"/>
              <w:rPr>
                <w:rFonts w:cstheme="minorHAnsi"/>
                <w:sz w:val="20"/>
                <w:szCs w:val="20"/>
              </w:rPr>
            </w:pPr>
            <w:r w:rsidRPr="007D2274">
              <w:rPr>
                <w:rFonts w:cstheme="minorHAnsi"/>
                <w:sz w:val="20"/>
                <w:szCs w:val="20"/>
              </w:rPr>
              <w:t>39.0</w:t>
            </w:r>
          </w:p>
        </w:tc>
      </w:tr>
      <w:tr w:rsidR="00685BE5" w:rsidRPr="003F6098" w:rsidTr="00AA2302">
        <w:tc>
          <w:tcPr>
            <w:tcW w:w="4786" w:type="dxa"/>
            <w:vAlign w:val="center"/>
          </w:tcPr>
          <w:p w:rsidR="00685BE5" w:rsidRPr="007D2274" w:rsidRDefault="00685BE5" w:rsidP="00AE4C3A">
            <w:pPr>
              <w:spacing w:before="20" w:after="20"/>
              <w:rPr>
                <w:rFonts w:cstheme="minorHAnsi"/>
                <w:sz w:val="20"/>
                <w:szCs w:val="20"/>
              </w:rPr>
            </w:pPr>
            <w:r w:rsidRPr="007D2274">
              <w:rPr>
                <w:rFonts w:cstheme="minorHAnsi"/>
                <w:sz w:val="20"/>
                <w:szCs w:val="20"/>
              </w:rPr>
              <w:t>Allied health worker</w:t>
            </w:r>
          </w:p>
        </w:tc>
        <w:tc>
          <w:tcPr>
            <w:tcW w:w="1276" w:type="dxa"/>
            <w:vAlign w:val="bottom"/>
          </w:tcPr>
          <w:p w:rsidR="00685BE5" w:rsidRPr="007D2274" w:rsidRDefault="00685BE5" w:rsidP="00AE4C3A">
            <w:pPr>
              <w:tabs>
                <w:tab w:val="decimal" w:pos="601"/>
              </w:tabs>
              <w:spacing w:before="20" w:after="20"/>
              <w:rPr>
                <w:rFonts w:cstheme="minorHAnsi"/>
                <w:sz w:val="20"/>
                <w:szCs w:val="20"/>
              </w:rPr>
            </w:pPr>
            <w:r w:rsidRPr="007D2274">
              <w:rPr>
                <w:rFonts w:cstheme="minorHAnsi"/>
                <w:sz w:val="20"/>
                <w:szCs w:val="20"/>
              </w:rPr>
              <w:t>5.2</w:t>
            </w:r>
          </w:p>
        </w:tc>
        <w:tc>
          <w:tcPr>
            <w:tcW w:w="1276" w:type="dxa"/>
            <w:vAlign w:val="bottom"/>
          </w:tcPr>
          <w:p w:rsidR="00685BE5" w:rsidRPr="007D2274" w:rsidRDefault="00685BE5" w:rsidP="00AE4C3A">
            <w:pPr>
              <w:tabs>
                <w:tab w:val="decimal" w:pos="614"/>
              </w:tabs>
              <w:spacing w:before="20" w:after="20"/>
              <w:rPr>
                <w:rFonts w:cstheme="minorHAnsi"/>
                <w:sz w:val="20"/>
                <w:szCs w:val="20"/>
              </w:rPr>
            </w:pPr>
            <w:r w:rsidRPr="007D2274">
              <w:rPr>
                <w:rFonts w:cstheme="minorHAnsi"/>
                <w:sz w:val="20"/>
                <w:szCs w:val="20"/>
              </w:rPr>
              <w:t>9.9</w:t>
            </w:r>
          </w:p>
        </w:tc>
        <w:tc>
          <w:tcPr>
            <w:tcW w:w="850" w:type="dxa"/>
            <w:vAlign w:val="bottom"/>
          </w:tcPr>
          <w:p w:rsidR="00685BE5" w:rsidRPr="007D2274" w:rsidRDefault="00685BE5" w:rsidP="00AE4C3A">
            <w:pPr>
              <w:tabs>
                <w:tab w:val="decimal" w:pos="459"/>
              </w:tabs>
              <w:spacing w:before="20" w:after="20"/>
              <w:rPr>
                <w:rFonts w:cstheme="minorHAnsi"/>
                <w:sz w:val="20"/>
                <w:szCs w:val="20"/>
              </w:rPr>
            </w:pPr>
            <w:r w:rsidRPr="007D2274">
              <w:rPr>
                <w:rFonts w:cstheme="minorHAnsi"/>
                <w:sz w:val="20"/>
                <w:szCs w:val="20"/>
              </w:rPr>
              <w:t>53.8</w:t>
            </w:r>
          </w:p>
        </w:tc>
        <w:tc>
          <w:tcPr>
            <w:tcW w:w="1418" w:type="dxa"/>
            <w:vAlign w:val="bottom"/>
          </w:tcPr>
          <w:p w:rsidR="00685BE5" w:rsidRPr="007D2274" w:rsidRDefault="00685BE5" w:rsidP="00AE4C3A">
            <w:pPr>
              <w:spacing w:before="20" w:after="20"/>
              <w:ind w:right="382"/>
              <w:jc w:val="right"/>
              <w:rPr>
                <w:rFonts w:cstheme="minorHAnsi"/>
                <w:sz w:val="20"/>
                <w:szCs w:val="20"/>
              </w:rPr>
            </w:pPr>
            <w:r w:rsidRPr="007D2274">
              <w:rPr>
                <w:rFonts w:cstheme="minorHAnsi"/>
                <w:sz w:val="20"/>
                <w:szCs w:val="20"/>
              </w:rPr>
              <w:t>31.1</w:t>
            </w:r>
          </w:p>
        </w:tc>
      </w:tr>
      <w:tr w:rsidR="00685BE5" w:rsidRPr="003F6098" w:rsidTr="00AA2302">
        <w:tc>
          <w:tcPr>
            <w:tcW w:w="4786" w:type="dxa"/>
            <w:tcBorders>
              <w:bottom w:val="single" w:sz="4" w:space="0" w:color="auto"/>
            </w:tcBorders>
            <w:vAlign w:val="center"/>
          </w:tcPr>
          <w:p w:rsidR="00685BE5" w:rsidRPr="007D2274" w:rsidRDefault="00685BE5" w:rsidP="00AE4C3A">
            <w:pPr>
              <w:spacing w:before="20" w:after="20"/>
              <w:rPr>
                <w:rFonts w:cstheme="minorHAnsi"/>
                <w:sz w:val="20"/>
                <w:szCs w:val="20"/>
              </w:rPr>
            </w:pPr>
            <w:r w:rsidRPr="007D2274">
              <w:rPr>
                <w:rFonts w:cstheme="minorHAnsi"/>
                <w:sz w:val="20"/>
                <w:szCs w:val="20"/>
              </w:rPr>
              <w:t>Other</w:t>
            </w:r>
          </w:p>
        </w:tc>
        <w:tc>
          <w:tcPr>
            <w:tcW w:w="1276" w:type="dxa"/>
            <w:tcBorders>
              <w:bottom w:val="single" w:sz="4" w:space="0" w:color="auto"/>
            </w:tcBorders>
            <w:vAlign w:val="bottom"/>
          </w:tcPr>
          <w:p w:rsidR="00685BE5" w:rsidRPr="007D2274" w:rsidRDefault="00685BE5" w:rsidP="00AE4C3A">
            <w:pPr>
              <w:tabs>
                <w:tab w:val="decimal" w:pos="601"/>
              </w:tabs>
              <w:spacing w:before="20" w:after="20"/>
              <w:rPr>
                <w:rFonts w:cstheme="minorHAnsi"/>
                <w:sz w:val="20"/>
                <w:szCs w:val="20"/>
              </w:rPr>
            </w:pPr>
            <w:r w:rsidRPr="007D2274">
              <w:rPr>
                <w:rFonts w:cstheme="minorHAnsi"/>
                <w:sz w:val="20"/>
                <w:szCs w:val="20"/>
              </w:rPr>
              <w:t>2.3</w:t>
            </w:r>
          </w:p>
        </w:tc>
        <w:tc>
          <w:tcPr>
            <w:tcW w:w="1276" w:type="dxa"/>
            <w:tcBorders>
              <w:bottom w:val="single" w:sz="4" w:space="0" w:color="auto"/>
            </w:tcBorders>
            <w:vAlign w:val="bottom"/>
          </w:tcPr>
          <w:p w:rsidR="00685BE5" w:rsidRPr="007D2274" w:rsidRDefault="00685BE5" w:rsidP="00AE4C3A">
            <w:pPr>
              <w:tabs>
                <w:tab w:val="decimal" w:pos="614"/>
              </w:tabs>
              <w:spacing w:before="20" w:after="20"/>
              <w:rPr>
                <w:rFonts w:cstheme="minorHAnsi"/>
                <w:sz w:val="20"/>
                <w:szCs w:val="20"/>
              </w:rPr>
            </w:pPr>
            <w:r w:rsidRPr="007D2274">
              <w:rPr>
                <w:rFonts w:cstheme="minorHAnsi"/>
                <w:sz w:val="20"/>
                <w:szCs w:val="20"/>
              </w:rPr>
              <w:t>4.</w:t>
            </w:r>
            <w:r>
              <w:rPr>
                <w:rFonts w:cstheme="minorHAnsi"/>
                <w:sz w:val="20"/>
                <w:szCs w:val="20"/>
              </w:rPr>
              <w:t>4</w:t>
            </w:r>
          </w:p>
        </w:tc>
        <w:tc>
          <w:tcPr>
            <w:tcW w:w="850" w:type="dxa"/>
            <w:tcBorders>
              <w:bottom w:val="single" w:sz="4" w:space="0" w:color="auto"/>
            </w:tcBorders>
            <w:vAlign w:val="bottom"/>
          </w:tcPr>
          <w:p w:rsidR="00685BE5" w:rsidRPr="007D2274" w:rsidRDefault="00685BE5" w:rsidP="00AE4C3A">
            <w:pPr>
              <w:tabs>
                <w:tab w:val="decimal" w:pos="459"/>
              </w:tabs>
              <w:spacing w:before="20" w:after="20"/>
              <w:rPr>
                <w:rFonts w:cstheme="minorHAnsi"/>
                <w:sz w:val="20"/>
                <w:szCs w:val="20"/>
              </w:rPr>
            </w:pPr>
            <w:r w:rsidRPr="007D2274">
              <w:rPr>
                <w:rFonts w:cstheme="minorHAnsi"/>
                <w:sz w:val="20"/>
                <w:szCs w:val="20"/>
              </w:rPr>
              <w:t>55.8</w:t>
            </w:r>
          </w:p>
        </w:tc>
        <w:tc>
          <w:tcPr>
            <w:tcW w:w="1418" w:type="dxa"/>
            <w:tcBorders>
              <w:bottom w:val="single" w:sz="4" w:space="0" w:color="auto"/>
            </w:tcBorders>
            <w:vAlign w:val="bottom"/>
          </w:tcPr>
          <w:p w:rsidR="00685BE5" w:rsidRPr="007D2274" w:rsidRDefault="00685BE5" w:rsidP="00AE4C3A">
            <w:pPr>
              <w:spacing w:before="20" w:after="20"/>
              <w:ind w:right="382"/>
              <w:jc w:val="right"/>
              <w:rPr>
                <w:rFonts w:cstheme="minorHAnsi"/>
                <w:sz w:val="20"/>
                <w:szCs w:val="20"/>
              </w:rPr>
            </w:pPr>
            <w:r w:rsidRPr="007D2274">
              <w:rPr>
                <w:rFonts w:cstheme="minorHAnsi"/>
                <w:sz w:val="20"/>
                <w:szCs w:val="20"/>
              </w:rPr>
              <w:t>37.4</w:t>
            </w:r>
          </w:p>
        </w:tc>
      </w:tr>
      <w:tr w:rsidR="00296A77" w:rsidRPr="003F6098" w:rsidTr="00296A77">
        <w:tc>
          <w:tcPr>
            <w:tcW w:w="9606" w:type="dxa"/>
            <w:gridSpan w:val="5"/>
            <w:tcBorders>
              <w:top w:val="single" w:sz="4" w:space="0" w:color="auto"/>
              <w:bottom w:val="single" w:sz="4" w:space="0" w:color="auto"/>
            </w:tcBorders>
            <w:vAlign w:val="bottom"/>
          </w:tcPr>
          <w:p w:rsidR="00296A77" w:rsidRPr="007D2274" w:rsidRDefault="00296A77" w:rsidP="00296A77">
            <w:pPr>
              <w:spacing w:before="20" w:after="20"/>
              <w:ind w:right="224"/>
              <w:rPr>
                <w:rFonts w:cstheme="minorHAnsi"/>
                <w:sz w:val="20"/>
                <w:szCs w:val="20"/>
              </w:rPr>
            </w:pPr>
            <w:r w:rsidRPr="007D2274">
              <w:rPr>
                <w:b/>
                <w:sz w:val="20"/>
                <w:szCs w:val="20"/>
              </w:rPr>
              <w:t>Total number of outlets 697</w:t>
            </w:r>
          </w:p>
        </w:tc>
      </w:tr>
    </w:tbl>
    <w:p w:rsidR="00685BE5" w:rsidRPr="007D2274" w:rsidRDefault="00685BE5" w:rsidP="00AE4C3A">
      <w:pPr>
        <w:pStyle w:val="NILSReference"/>
      </w:pPr>
      <w:r w:rsidRPr="007D2274">
        <w:t>Source: 2014 NDIS DSP outlet survey, Question C6.</w:t>
      </w:r>
    </w:p>
    <w:p w:rsidR="00685BE5" w:rsidRPr="007D2274" w:rsidRDefault="00685BE5" w:rsidP="003A37B0">
      <w:pPr>
        <w:pStyle w:val="NILSReference"/>
      </w:pPr>
      <w:r w:rsidRPr="007D2274">
        <w:t xml:space="preserve">Note: Row </w:t>
      </w:r>
      <w:r w:rsidRPr="003A37B0">
        <w:t>percentages</w:t>
      </w:r>
      <w:r w:rsidRPr="007D2274">
        <w:t xml:space="preserve"> are shown.</w:t>
      </w:r>
    </w:p>
    <w:p w:rsidR="00685BE5" w:rsidRPr="005A2670" w:rsidRDefault="00685BE5" w:rsidP="00AE4C3A">
      <w:pPr>
        <w:rPr>
          <w:rFonts w:cstheme="minorHAnsi"/>
        </w:rPr>
      </w:pPr>
    </w:p>
    <w:p w:rsidR="00A06AE2" w:rsidRDefault="00A06AE2">
      <w:pPr>
        <w:rPr>
          <w:rFonts w:cstheme="minorHAnsi"/>
        </w:rPr>
      </w:pPr>
      <w:r>
        <w:rPr>
          <w:rFonts w:cstheme="minorHAnsi"/>
        </w:rPr>
        <w:br w:type="page"/>
      </w:r>
    </w:p>
    <w:p w:rsidR="00685BE5" w:rsidRDefault="00685BE5" w:rsidP="00AE4C3A">
      <w:pPr>
        <w:rPr>
          <w:rFonts w:cstheme="minorHAnsi"/>
        </w:rPr>
      </w:pPr>
      <w:r>
        <w:rPr>
          <w:rFonts w:cstheme="minorHAnsi"/>
        </w:rPr>
        <w:lastRenderedPageBreak/>
        <w:t>Table 4.7 shows that several reasons were put forward for the reported skill shortages. To illustrate how to interpret this table, consider the top left hand cell: it says that 16.1 per cent of facilities reported that specialist knowledge was never a cause of skill shortage. The next cells across the row show that 30 per cent reported that it was a cause some of the time, 7.6 per cent most of the time and 4.7 per cent always. When we look at Table 4.7 as a whole, we see that no single reason was reported to be never present (minimum at 16.1 per cent for specialist knowledge and maximum 29.8 per cent for wage/salary costs), showing considerable diversity in the causes of skill shortages. Multivariate analysis is required to unpack this evidence and relate it to the overall sector workforce picture.</w:t>
      </w:r>
    </w:p>
    <w:p w:rsidR="00685BE5" w:rsidRPr="005A2670" w:rsidRDefault="00685BE5" w:rsidP="0044684E">
      <w:pPr>
        <w:pStyle w:val="NILSTableHeading"/>
        <w:rPr>
          <w:bCs/>
        </w:rPr>
      </w:pPr>
      <w:bookmarkStart w:id="506" w:name="_Toc428279211"/>
      <w:bookmarkStart w:id="507" w:name="_Toc449955341"/>
      <w:r>
        <w:t>Table 4.</w:t>
      </w:r>
      <w:r w:rsidRPr="005A2670">
        <w:t xml:space="preserve">7: Reasons </w:t>
      </w:r>
      <w:r>
        <w:t>for skill shortages</w:t>
      </w:r>
      <w:bookmarkEnd w:id="506"/>
      <w:bookmarkEnd w:id="507"/>
    </w:p>
    <w:tbl>
      <w:tblPr>
        <w:tblW w:w="9881" w:type="dxa"/>
        <w:tblLook w:val="04A0" w:firstRow="1" w:lastRow="0" w:firstColumn="1" w:lastColumn="0" w:noHBand="0" w:noVBand="1"/>
        <w:tblCaption w:val="Table 4.7 Reasons for skill shortages (per cent)"/>
      </w:tblPr>
      <w:tblGrid>
        <w:gridCol w:w="4139"/>
        <w:gridCol w:w="804"/>
        <w:gridCol w:w="985"/>
        <w:gridCol w:w="945"/>
        <w:gridCol w:w="757"/>
        <w:gridCol w:w="1247"/>
        <w:gridCol w:w="1004"/>
      </w:tblGrid>
      <w:tr w:rsidR="00685BE5" w:rsidRPr="009C368A" w:rsidTr="00482937">
        <w:trPr>
          <w:cantSplit/>
          <w:tblHeader/>
        </w:trPr>
        <w:tc>
          <w:tcPr>
            <w:tcW w:w="4139" w:type="dxa"/>
            <w:tcBorders>
              <w:top w:val="single" w:sz="4" w:space="0" w:color="auto"/>
              <w:left w:val="nil"/>
              <w:bottom w:val="single" w:sz="4" w:space="0" w:color="auto"/>
              <w:right w:val="nil"/>
            </w:tcBorders>
            <w:shd w:val="clear" w:color="auto" w:fill="auto"/>
            <w:noWrap/>
            <w:hideMark/>
          </w:tcPr>
          <w:p w:rsidR="00685BE5" w:rsidRPr="00D57031" w:rsidRDefault="00685BE5" w:rsidP="00A06AE2">
            <w:pPr>
              <w:spacing w:before="10" w:after="20"/>
              <w:rPr>
                <w:rFonts w:cstheme="minorHAnsi"/>
                <w:sz w:val="19"/>
                <w:szCs w:val="19"/>
              </w:rPr>
            </w:pPr>
            <w:bookmarkStart w:id="508" w:name="Title_4_7"/>
            <w:bookmarkEnd w:id="508"/>
          </w:p>
        </w:tc>
        <w:tc>
          <w:tcPr>
            <w:tcW w:w="804" w:type="dxa"/>
            <w:tcBorders>
              <w:top w:val="single" w:sz="4" w:space="0" w:color="auto"/>
              <w:left w:val="nil"/>
              <w:bottom w:val="single" w:sz="4" w:space="0" w:color="auto"/>
              <w:right w:val="nil"/>
            </w:tcBorders>
            <w:shd w:val="clear" w:color="auto" w:fill="auto"/>
            <w:noWrap/>
            <w:vAlign w:val="bottom"/>
            <w:hideMark/>
          </w:tcPr>
          <w:p w:rsidR="001938E9" w:rsidRPr="00D57031" w:rsidRDefault="00685BE5" w:rsidP="008C30DA">
            <w:pPr>
              <w:spacing w:before="10" w:after="20"/>
              <w:jc w:val="center"/>
              <w:rPr>
                <w:rFonts w:cstheme="minorHAnsi"/>
                <w:bCs/>
                <w:sz w:val="19"/>
                <w:szCs w:val="19"/>
              </w:rPr>
            </w:pPr>
            <w:r w:rsidRPr="00D57031">
              <w:rPr>
                <w:rFonts w:cstheme="minorHAnsi"/>
                <w:bCs/>
                <w:sz w:val="19"/>
                <w:szCs w:val="19"/>
              </w:rPr>
              <w:t>Never</w:t>
            </w:r>
          </w:p>
          <w:p w:rsidR="001938E9" w:rsidRPr="00D57031" w:rsidRDefault="001938E9" w:rsidP="008C30DA">
            <w:pPr>
              <w:spacing w:before="10" w:after="20"/>
              <w:jc w:val="center"/>
              <w:rPr>
                <w:rFonts w:cstheme="minorHAnsi"/>
                <w:bCs/>
                <w:sz w:val="19"/>
                <w:szCs w:val="19"/>
              </w:rPr>
            </w:pPr>
            <w:r w:rsidRPr="00D57031">
              <w:rPr>
                <w:rFonts w:cstheme="minorHAnsi"/>
                <w:bCs/>
                <w:sz w:val="19"/>
                <w:szCs w:val="19"/>
              </w:rPr>
              <w:t>%</w:t>
            </w:r>
          </w:p>
        </w:tc>
        <w:tc>
          <w:tcPr>
            <w:tcW w:w="985" w:type="dxa"/>
            <w:tcBorders>
              <w:top w:val="single" w:sz="4" w:space="0" w:color="auto"/>
              <w:left w:val="nil"/>
              <w:bottom w:val="single" w:sz="4" w:space="0" w:color="auto"/>
              <w:right w:val="nil"/>
            </w:tcBorders>
            <w:shd w:val="clear" w:color="auto" w:fill="auto"/>
            <w:vAlign w:val="bottom"/>
            <w:hideMark/>
          </w:tcPr>
          <w:p w:rsidR="00685BE5" w:rsidRPr="00D57031" w:rsidRDefault="00685BE5" w:rsidP="008C30DA">
            <w:pPr>
              <w:spacing w:before="10" w:after="20"/>
              <w:jc w:val="center"/>
              <w:rPr>
                <w:rFonts w:cstheme="minorHAnsi"/>
                <w:bCs/>
                <w:sz w:val="19"/>
                <w:szCs w:val="19"/>
              </w:rPr>
            </w:pPr>
            <w:r w:rsidRPr="00D57031">
              <w:rPr>
                <w:rFonts w:cstheme="minorHAnsi"/>
                <w:bCs/>
                <w:sz w:val="19"/>
                <w:szCs w:val="19"/>
              </w:rPr>
              <w:t>Some of the time</w:t>
            </w:r>
          </w:p>
          <w:p w:rsidR="001938E9" w:rsidRPr="00D57031" w:rsidRDefault="001938E9" w:rsidP="008C30DA">
            <w:pPr>
              <w:spacing w:before="10" w:after="20"/>
              <w:jc w:val="center"/>
              <w:rPr>
                <w:rFonts w:cstheme="minorHAnsi"/>
                <w:bCs/>
                <w:sz w:val="19"/>
                <w:szCs w:val="19"/>
              </w:rPr>
            </w:pPr>
            <w:r w:rsidRPr="00D57031">
              <w:rPr>
                <w:rFonts w:cstheme="minorHAnsi"/>
                <w:bCs/>
                <w:sz w:val="19"/>
                <w:szCs w:val="19"/>
              </w:rPr>
              <w:t>%</w:t>
            </w:r>
          </w:p>
        </w:tc>
        <w:tc>
          <w:tcPr>
            <w:tcW w:w="945" w:type="dxa"/>
            <w:tcBorders>
              <w:top w:val="single" w:sz="4" w:space="0" w:color="auto"/>
              <w:left w:val="nil"/>
              <w:bottom w:val="single" w:sz="4" w:space="0" w:color="auto"/>
              <w:right w:val="nil"/>
            </w:tcBorders>
            <w:shd w:val="clear" w:color="auto" w:fill="auto"/>
            <w:vAlign w:val="bottom"/>
            <w:hideMark/>
          </w:tcPr>
          <w:p w:rsidR="00685BE5" w:rsidRPr="00D57031" w:rsidRDefault="00685BE5" w:rsidP="008C30DA">
            <w:pPr>
              <w:spacing w:before="10" w:after="20"/>
              <w:jc w:val="center"/>
              <w:rPr>
                <w:rFonts w:cstheme="minorHAnsi"/>
                <w:bCs/>
                <w:sz w:val="19"/>
                <w:szCs w:val="19"/>
              </w:rPr>
            </w:pPr>
            <w:r w:rsidRPr="00D57031">
              <w:rPr>
                <w:rFonts w:cstheme="minorHAnsi"/>
                <w:bCs/>
                <w:sz w:val="19"/>
                <w:szCs w:val="19"/>
              </w:rPr>
              <w:t>Most of the time</w:t>
            </w:r>
            <w:r w:rsidR="001938E9" w:rsidRPr="00D57031">
              <w:rPr>
                <w:rFonts w:cstheme="minorHAnsi"/>
                <w:bCs/>
                <w:sz w:val="19"/>
                <w:szCs w:val="19"/>
              </w:rPr>
              <w:t xml:space="preserve"> %</w:t>
            </w:r>
          </w:p>
        </w:tc>
        <w:tc>
          <w:tcPr>
            <w:tcW w:w="757" w:type="dxa"/>
            <w:tcBorders>
              <w:top w:val="single" w:sz="4" w:space="0" w:color="auto"/>
              <w:left w:val="nil"/>
              <w:bottom w:val="single" w:sz="4" w:space="0" w:color="auto"/>
              <w:right w:val="nil"/>
            </w:tcBorders>
            <w:shd w:val="clear" w:color="auto" w:fill="auto"/>
            <w:noWrap/>
            <w:vAlign w:val="bottom"/>
            <w:hideMark/>
          </w:tcPr>
          <w:p w:rsidR="001938E9" w:rsidRPr="00D57031" w:rsidRDefault="00685BE5" w:rsidP="008C30DA">
            <w:pPr>
              <w:spacing w:before="10" w:after="20"/>
              <w:jc w:val="center"/>
              <w:rPr>
                <w:rFonts w:cstheme="minorHAnsi"/>
                <w:bCs/>
                <w:sz w:val="19"/>
                <w:szCs w:val="19"/>
              </w:rPr>
            </w:pPr>
            <w:r w:rsidRPr="00D57031">
              <w:rPr>
                <w:rFonts w:cstheme="minorHAnsi"/>
                <w:bCs/>
                <w:sz w:val="19"/>
                <w:szCs w:val="19"/>
              </w:rPr>
              <w:t>Always</w:t>
            </w:r>
          </w:p>
          <w:p w:rsidR="001938E9" w:rsidRPr="00D57031" w:rsidRDefault="001938E9" w:rsidP="008C30DA">
            <w:pPr>
              <w:spacing w:before="10" w:after="20"/>
              <w:jc w:val="center"/>
              <w:rPr>
                <w:rFonts w:cstheme="minorHAnsi"/>
                <w:bCs/>
                <w:sz w:val="19"/>
                <w:szCs w:val="19"/>
              </w:rPr>
            </w:pPr>
            <w:r w:rsidRPr="00D57031">
              <w:rPr>
                <w:rFonts w:cstheme="minorHAnsi"/>
                <w:bCs/>
                <w:sz w:val="19"/>
                <w:szCs w:val="19"/>
              </w:rPr>
              <w:t>%</w:t>
            </w:r>
          </w:p>
        </w:tc>
        <w:tc>
          <w:tcPr>
            <w:tcW w:w="1247" w:type="dxa"/>
            <w:tcBorders>
              <w:top w:val="single" w:sz="4" w:space="0" w:color="auto"/>
              <w:left w:val="nil"/>
              <w:bottom w:val="single" w:sz="4" w:space="0" w:color="auto"/>
              <w:right w:val="nil"/>
            </w:tcBorders>
            <w:shd w:val="clear" w:color="auto" w:fill="auto"/>
            <w:noWrap/>
            <w:vAlign w:val="bottom"/>
            <w:hideMark/>
          </w:tcPr>
          <w:p w:rsidR="001938E9" w:rsidRPr="00D57031" w:rsidRDefault="00685BE5" w:rsidP="008C30DA">
            <w:pPr>
              <w:spacing w:before="10" w:after="20"/>
              <w:jc w:val="center"/>
              <w:rPr>
                <w:rFonts w:cstheme="minorHAnsi"/>
                <w:bCs/>
                <w:sz w:val="19"/>
                <w:szCs w:val="19"/>
              </w:rPr>
            </w:pPr>
            <w:r w:rsidRPr="00D57031">
              <w:rPr>
                <w:rFonts w:cstheme="minorHAnsi"/>
                <w:bCs/>
                <w:sz w:val="19"/>
                <w:szCs w:val="19"/>
              </w:rPr>
              <w:t>Question not answered</w:t>
            </w:r>
          </w:p>
          <w:p w:rsidR="00685BE5" w:rsidRPr="00D57031" w:rsidRDefault="001938E9" w:rsidP="008C30DA">
            <w:pPr>
              <w:spacing w:before="10" w:after="20"/>
              <w:jc w:val="center"/>
              <w:rPr>
                <w:rFonts w:cstheme="minorHAnsi"/>
                <w:bCs/>
                <w:sz w:val="19"/>
                <w:szCs w:val="19"/>
              </w:rPr>
            </w:pPr>
            <w:r w:rsidRPr="00D57031">
              <w:rPr>
                <w:rFonts w:cstheme="minorHAnsi"/>
                <w:bCs/>
                <w:sz w:val="19"/>
                <w:szCs w:val="19"/>
              </w:rPr>
              <w:t>%</w:t>
            </w:r>
          </w:p>
        </w:tc>
        <w:tc>
          <w:tcPr>
            <w:tcW w:w="1004" w:type="dxa"/>
            <w:tcBorders>
              <w:top w:val="single" w:sz="4" w:space="0" w:color="auto"/>
              <w:left w:val="nil"/>
              <w:bottom w:val="single" w:sz="4" w:space="0" w:color="auto"/>
              <w:right w:val="nil"/>
            </w:tcBorders>
            <w:shd w:val="clear" w:color="auto" w:fill="auto"/>
            <w:vAlign w:val="bottom"/>
            <w:hideMark/>
          </w:tcPr>
          <w:p w:rsidR="00685BE5" w:rsidRPr="00D57031" w:rsidRDefault="00685BE5" w:rsidP="008C30DA">
            <w:pPr>
              <w:spacing w:before="10" w:after="20"/>
              <w:jc w:val="center"/>
              <w:rPr>
                <w:rFonts w:cstheme="minorHAnsi"/>
                <w:bCs/>
                <w:sz w:val="19"/>
                <w:szCs w:val="19"/>
              </w:rPr>
            </w:pPr>
            <w:r w:rsidRPr="00D57031">
              <w:rPr>
                <w:rFonts w:cstheme="minorHAnsi"/>
                <w:bCs/>
                <w:sz w:val="19"/>
                <w:szCs w:val="19"/>
              </w:rPr>
              <w:t>Not applicable</w:t>
            </w:r>
          </w:p>
          <w:p w:rsidR="001938E9" w:rsidRPr="00D57031" w:rsidRDefault="001938E9" w:rsidP="008C30DA">
            <w:pPr>
              <w:spacing w:before="10" w:after="20"/>
              <w:jc w:val="center"/>
              <w:rPr>
                <w:rFonts w:cstheme="minorHAnsi"/>
                <w:bCs/>
                <w:sz w:val="19"/>
                <w:szCs w:val="19"/>
              </w:rPr>
            </w:pPr>
            <w:r w:rsidRPr="00D57031">
              <w:rPr>
                <w:rFonts w:cstheme="minorHAnsi"/>
                <w:bCs/>
                <w:sz w:val="19"/>
                <w:szCs w:val="19"/>
              </w:rPr>
              <w:t>%</w:t>
            </w:r>
          </w:p>
        </w:tc>
      </w:tr>
      <w:tr w:rsidR="00685BE5" w:rsidRPr="009C368A" w:rsidTr="00482937">
        <w:tc>
          <w:tcPr>
            <w:tcW w:w="4139" w:type="dxa"/>
            <w:tcBorders>
              <w:top w:val="single" w:sz="4" w:space="0" w:color="auto"/>
              <w:left w:val="nil"/>
              <w:bottom w:val="nil"/>
              <w:right w:val="nil"/>
            </w:tcBorders>
            <w:shd w:val="clear" w:color="auto" w:fill="auto"/>
            <w:noWrap/>
            <w:vAlign w:val="bottom"/>
            <w:hideMark/>
          </w:tcPr>
          <w:p w:rsidR="00685BE5" w:rsidRPr="00D57031" w:rsidRDefault="00685BE5" w:rsidP="00A06AE2">
            <w:pPr>
              <w:spacing w:before="10" w:after="20"/>
              <w:rPr>
                <w:rFonts w:cstheme="minorHAnsi"/>
                <w:sz w:val="19"/>
                <w:szCs w:val="19"/>
              </w:rPr>
            </w:pPr>
            <w:r w:rsidRPr="00D57031">
              <w:rPr>
                <w:rFonts w:cstheme="minorHAnsi"/>
                <w:sz w:val="19"/>
                <w:szCs w:val="19"/>
              </w:rPr>
              <w:t>Specialist knowledge required</w:t>
            </w:r>
          </w:p>
        </w:tc>
        <w:tc>
          <w:tcPr>
            <w:tcW w:w="804" w:type="dxa"/>
            <w:tcBorders>
              <w:top w:val="single" w:sz="4" w:space="0" w:color="auto"/>
              <w:left w:val="nil"/>
              <w:bottom w:val="nil"/>
              <w:right w:val="nil"/>
            </w:tcBorders>
            <w:shd w:val="clear" w:color="auto" w:fill="auto"/>
            <w:noWrap/>
            <w:vAlign w:val="bottom"/>
            <w:hideMark/>
          </w:tcPr>
          <w:p w:rsidR="00685BE5" w:rsidRPr="00D57031" w:rsidRDefault="00685BE5" w:rsidP="00BE64D5">
            <w:pPr>
              <w:tabs>
                <w:tab w:val="decimal" w:pos="299"/>
              </w:tabs>
              <w:spacing w:before="10" w:after="20"/>
              <w:rPr>
                <w:rFonts w:cstheme="minorHAnsi"/>
                <w:sz w:val="19"/>
                <w:szCs w:val="19"/>
              </w:rPr>
            </w:pPr>
            <w:r w:rsidRPr="00D57031">
              <w:rPr>
                <w:rFonts w:cstheme="minorHAnsi"/>
                <w:sz w:val="19"/>
                <w:szCs w:val="19"/>
              </w:rPr>
              <w:t>16.1</w:t>
            </w:r>
          </w:p>
        </w:tc>
        <w:tc>
          <w:tcPr>
            <w:tcW w:w="985" w:type="dxa"/>
            <w:tcBorders>
              <w:top w:val="single" w:sz="4" w:space="0" w:color="auto"/>
              <w:left w:val="nil"/>
              <w:bottom w:val="nil"/>
              <w:right w:val="nil"/>
            </w:tcBorders>
            <w:shd w:val="clear" w:color="auto" w:fill="auto"/>
            <w:noWrap/>
            <w:vAlign w:val="bottom"/>
            <w:hideMark/>
          </w:tcPr>
          <w:p w:rsidR="00685BE5" w:rsidRPr="00D57031" w:rsidRDefault="00685BE5" w:rsidP="00BE64D5">
            <w:pPr>
              <w:tabs>
                <w:tab w:val="decimal" w:pos="450"/>
              </w:tabs>
              <w:spacing w:before="10" w:after="20"/>
              <w:rPr>
                <w:rFonts w:cstheme="minorHAnsi"/>
                <w:sz w:val="19"/>
                <w:szCs w:val="19"/>
              </w:rPr>
            </w:pPr>
            <w:r w:rsidRPr="00D57031">
              <w:rPr>
                <w:rFonts w:cstheme="minorHAnsi"/>
                <w:sz w:val="19"/>
                <w:szCs w:val="19"/>
              </w:rPr>
              <w:t>30.0</w:t>
            </w:r>
          </w:p>
        </w:tc>
        <w:tc>
          <w:tcPr>
            <w:tcW w:w="945" w:type="dxa"/>
            <w:tcBorders>
              <w:top w:val="single" w:sz="4" w:space="0" w:color="auto"/>
              <w:left w:val="nil"/>
              <w:bottom w:val="nil"/>
              <w:right w:val="nil"/>
            </w:tcBorders>
            <w:shd w:val="clear" w:color="auto" w:fill="auto"/>
            <w:noWrap/>
            <w:vAlign w:val="bottom"/>
            <w:hideMark/>
          </w:tcPr>
          <w:p w:rsidR="00685BE5" w:rsidRPr="00D57031" w:rsidRDefault="00685BE5" w:rsidP="00BE64D5">
            <w:pPr>
              <w:tabs>
                <w:tab w:val="decimal" w:pos="299"/>
              </w:tabs>
              <w:spacing w:before="10" w:after="20"/>
              <w:rPr>
                <w:rFonts w:cstheme="minorHAnsi"/>
                <w:sz w:val="19"/>
                <w:szCs w:val="19"/>
              </w:rPr>
            </w:pPr>
            <w:r w:rsidRPr="00D57031">
              <w:rPr>
                <w:rFonts w:cstheme="minorHAnsi"/>
                <w:sz w:val="19"/>
                <w:szCs w:val="19"/>
              </w:rPr>
              <w:t>7.6</w:t>
            </w:r>
          </w:p>
        </w:tc>
        <w:tc>
          <w:tcPr>
            <w:tcW w:w="757" w:type="dxa"/>
            <w:tcBorders>
              <w:top w:val="single" w:sz="4" w:space="0" w:color="auto"/>
              <w:left w:val="nil"/>
              <w:bottom w:val="nil"/>
              <w:right w:val="nil"/>
            </w:tcBorders>
            <w:shd w:val="clear" w:color="auto" w:fill="auto"/>
            <w:noWrap/>
            <w:vAlign w:val="bottom"/>
            <w:hideMark/>
          </w:tcPr>
          <w:p w:rsidR="00685BE5" w:rsidRPr="00D57031" w:rsidRDefault="00685BE5" w:rsidP="00BE64D5">
            <w:pPr>
              <w:tabs>
                <w:tab w:val="decimal" w:pos="299"/>
              </w:tabs>
              <w:spacing w:before="10" w:after="20"/>
              <w:rPr>
                <w:rFonts w:cstheme="minorHAnsi"/>
                <w:sz w:val="19"/>
                <w:szCs w:val="19"/>
              </w:rPr>
            </w:pPr>
            <w:r w:rsidRPr="00D57031">
              <w:rPr>
                <w:rFonts w:cstheme="minorHAnsi"/>
                <w:sz w:val="19"/>
                <w:szCs w:val="19"/>
              </w:rPr>
              <w:t>4.7</w:t>
            </w:r>
          </w:p>
        </w:tc>
        <w:tc>
          <w:tcPr>
            <w:tcW w:w="1247" w:type="dxa"/>
            <w:tcBorders>
              <w:top w:val="single" w:sz="4" w:space="0" w:color="auto"/>
              <w:left w:val="nil"/>
              <w:bottom w:val="nil"/>
              <w:right w:val="nil"/>
            </w:tcBorders>
            <w:shd w:val="clear" w:color="auto" w:fill="auto"/>
            <w:noWrap/>
            <w:vAlign w:val="bottom"/>
            <w:hideMark/>
          </w:tcPr>
          <w:p w:rsidR="00685BE5" w:rsidRPr="00D57031" w:rsidRDefault="00685BE5" w:rsidP="00BE64D5">
            <w:pPr>
              <w:tabs>
                <w:tab w:val="decimal" w:pos="674"/>
              </w:tabs>
              <w:spacing w:before="10" w:after="20"/>
              <w:rPr>
                <w:rFonts w:cstheme="minorHAnsi"/>
                <w:sz w:val="19"/>
                <w:szCs w:val="19"/>
              </w:rPr>
            </w:pPr>
            <w:r w:rsidRPr="00D57031">
              <w:rPr>
                <w:rFonts w:cstheme="minorHAnsi"/>
                <w:sz w:val="19"/>
                <w:szCs w:val="19"/>
              </w:rPr>
              <w:t>17.6</w:t>
            </w:r>
          </w:p>
        </w:tc>
        <w:tc>
          <w:tcPr>
            <w:tcW w:w="1004" w:type="dxa"/>
            <w:tcBorders>
              <w:top w:val="single" w:sz="4" w:space="0" w:color="auto"/>
              <w:left w:val="nil"/>
              <w:bottom w:val="nil"/>
              <w:right w:val="nil"/>
            </w:tcBorders>
            <w:shd w:val="clear" w:color="auto" w:fill="auto"/>
            <w:noWrap/>
            <w:vAlign w:val="bottom"/>
            <w:hideMark/>
          </w:tcPr>
          <w:p w:rsidR="00685BE5" w:rsidRPr="00D57031" w:rsidRDefault="00685BE5" w:rsidP="00BE64D5">
            <w:pPr>
              <w:tabs>
                <w:tab w:val="decimal" w:pos="469"/>
              </w:tabs>
              <w:spacing w:before="10" w:after="20"/>
              <w:rPr>
                <w:rFonts w:cstheme="minorHAnsi"/>
                <w:sz w:val="19"/>
                <w:szCs w:val="19"/>
              </w:rPr>
            </w:pPr>
            <w:r w:rsidRPr="00D57031">
              <w:rPr>
                <w:rFonts w:cstheme="minorHAnsi"/>
                <w:sz w:val="19"/>
                <w:szCs w:val="19"/>
              </w:rPr>
              <w:t>24.0</w:t>
            </w:r>
          </w:p>
        </w:tc>
      </w:tr>
      <w:tr w:rsidR="00685BE5" w:rsidRPr="009C368A" w:rsidTr="00482937">
        <w:tc>
          <w:tcPr>
            <w:tcW w:w="4139" w:type="dxa"/>
            <w:tcBorders>
              <w:top w:val="nil"/>
              <w:left w:val="nil"/>
              <w:bottom w:val="nil"/>
              <w:right w:val="nil"/>
            </w:tcBorders>
            <w:shd w:val="clear" w:color="auto" w:fill="auto"/>
            <w:noWrap/>
            <w:vAlign w:val="bottom"/>
            <w:hideMark/>
          </w:tcPr>
          <w:p w:rsidR="00685BE5" w:rsidRPr="00D57031" w:rsidRDefault="00685BE5" w:rsidP="00A06AE2">
            <w:pPr>
              <w:spacing w:before="10" w:after="20"/>
              <w:rPr>
                <w:rFonts w:cstheme="minorHAnsi"/>
                <w:sz w:val="19"/>
                <w:szCs w:val="19"/>
              </w:rPr>
            </w:pPr>
            <w:r w:rsidRPr="00D57031">
              <w:rPr>
                <w:rFonts w:cstheme="minorHAnsi"/>
                <w:sz w:val="19"/>
                <w:szCs w:val="19"/>
              </w:rPr>
              <w:t>Geographic location of the outlet</w:t>
            </w:r>
          </w:p>
        </w:tc>
        <w:tc>
          <w:tcPr>
            <w:tcW w:w="804" w:type="dxa"/>
            <w:tcBorders>
              <w:top w:val="nil"/>
              <w:left w:val="nil"/>
              <w:bottom w:val="nil"/>
              <w:right w:val="nil"/>
            </w:tcBorders>
            <w:shd w:val="clear" w:color="auto" w:fill="auto"/>
            <w:noWrap/>
            <w:vAlign w:val="bottom"/>
            <w:hideMark/>
          </w:tcPr>
          <w:p w:rsidR="00685BE5" w:rsidRPr="00D57031" w:rsidRDefault="00685BE5" w:rsidP="00BE64D5">
            <w:pPr>
              <w:tabs>
                <w:tab w:val="decimal" w:pos="299"/>
              </w:tabs>
              <w:spacing w:before="10" w:after="20"/>
              <w:rPr>
                <w:rFonts w:cstheme="minorHAnsi"/>
                <w:sz w:val="19"/>
                <w:szCs w:val="19"/>
              </w:rPr>
            </w:pPr>
            <w:r w:rsidRPr="00D57031">
              <w:rPr>
                <w:rFonts w:cstheme="minorHAnsi"/>
                <w:sz w:val="19"/>
                <w:szCs w:val="19"/>
              </w:rPr>
              <w:t>25.1</w:t>
            </w:r>
          </w:p>
        </w:tc>
        <w:tc>
          <w:tcPr>
            <w:tcW w:w="985" w:type="dxa"/>
            <w:tcBorders>
              <w:top w:val="nil"/>
              <w:left w:val="nil"/>
              <w:bottom w:val="nil"/>
              <w:right w:val="nil"/>
            </w:tcBorders>
            <w:shd w:val="clear" w:color="auto" w:fill="auto"/>
            <w:noWrap/>
            <w:vAlign w:val="bottom"/>
            <w:hideMark/>
          </w:tcPr>
          <w:p w:rsidR="00685BE5" w:rsidRPr="00D57031" w:rsidRDefault="00685BE5" w:rsidP="00BE64D5">
            <w:pPr>
              <w:tabs>
                <w:tab w:val="decimal" w:pos="450"/>
              </w:tabs>
              <w:spacing w:before="10" w:after="20"/>
              <w:rPr>
                <w:rFonts w:cstheme="minorHAnsi"/>
                <w:sz w:val="19"/>
                <w:szCs w:val="19"/>
              </w:rPr>
            </w:pPr>
            <w:r w:rsidRPr="00D57031">
              <w:rPr>
                <w:rFonts w:cstheme="minorHAnsi"/>
                <w:sz w:val="19"/>
                <w:szCs w:val="19"/>
              </w:rPr>
              <w:t>22.7</w:t>
            </w:r>
          </w:p>
        </w:tc>
        <w:tc>
          <w:tcPr>
            <w:tcW w:w="945" w:type="dxa"/>
            <w:tcBorders>
              <w:top w:val="nil"/>
              <w:left w:val="nil"/>
              <w:bottom w:val="nil"/>
              <w:right w:val="nil"/>
            </w:tcBorders>
            <w:shd w:val="clear" w:color="auto" w:fill="auto"/>
            <w:noWrap/>
            <w:vAlign w:val="bottom"/>
            <w:hideMark/>
          </w:tcPr>
          <w:p w:rsidR="00685BE5" w:rsidRPr="00D57031" w:rsidRDefault="00685BE5" w:rsidP="00BE64D5">
            <w:pPr>
              <w:tabs>
                <w:tab w:val="decimal" w:pos="299"/>
              </w:tabs>
              <w:spacing w:before="10" w:after="20"/>
              <w:rPr>
                <w:rFonts w:cstheme="minorHAnsi"/>
                <w:sz w:val="19"/>
                <w:szCs w:val="19"/>
              </w:rPr>
            </w:pPr>
            <w:r w:rsidRPr="00D57031">
              <w:rPr>
                <w:rFonts w:cstheme="minorHAnsi"/>
                <w:sz w:val="19"/>
                <w:szCs w:val="19"/>
              </w:rPr>
              <w:t>6.2</w:t>
            </w:r>
          </w:p>
        </w:tc>
        <w:tc>
          <w:tcPr>
            <w:tcW w:w="757" w:type="dxa"/>
            <w:tcBorders>
              <w:top w:val="nil"/>
              <w:left w:val="nil"/>
              <w:bottom w:val="nil"/>
              <w:right w:val="nil"/>
            </w:tcBorders>
            <w:shd w:val="clear" w:color="auto" w:fill="auto"/>
            <w:noWrap/>
            <w:vAlign w:val="bottom"/>
            <w:hideMark/>
          </w:tcPr>
          <w:p w:rsidR="00685BE5" w:rsidRPr="00D57031" w:rsidRDefault="00685BE5" w:rsidP="00BE64D5">
            <w:pPr>
              <w:tabs>
                <w:tab w:val="decimal" w:pos="299"/>
              </w:tabs>
              <w:spacing w:before="10" w:after="20"/>
              <w:rPr>
                <w:rFonts w:cstheme="minorHAnsi"/>
                <w:sz w:val="19"/>
                <w:szCs w:val="19"/>
              </w:rPr>
            </w:pPr>
            <w:r w:rsidRPr="00D57031">
              <w:rPr>
                <w:rFonts w:cstheme="minorHAnsi"/>
                <w:sz w:val="19"/>
                <w:szCs w:val="19"/>
              </w:rPr>
              <w:t>2.9</w:t>
            </w:r>
          </w:p>
        </w:tc>
        <w:tc>
          <w:tcPr>
            <w:tcW w:w="1247" w:type="dxa"/>
            <w:tcBorders>
              <w:top w:val="nil"/>
              <w:left w:val="nil"/>
              <w:bottom w:val="nil"/>
              <w:right w:val="nil"/>
            </w:tcBorders>
            <w:shd w:val="clear" w:color="auto" w:fill="auto"/>
            <w:noWrap/>
            <w:vAlign w:val="bottom"/>
            <w:hideMark/>
          </w:tcPr>
          <w:p w:rsidR="00685BE5" w:rsidRPr="00D57031" w:rsidRDefault="00685BE5" w:rsidP="00BE64D5">
            <w:pPr>
              <w:tabs>
                <w:tab w:val="decimal" w:pos="674"/>
              </w:tabs>
              <w:spacing w:before="10" w:after="20"/>
              <w:rPr>
                <w:rFonts w:cstheme="minorHAnsi"/>
                <w:sz w:val="19"/>
                <w:szCs w:val="19"/>
              </w:rPr>
            </w:pPr>
            <w:r w:rsidRPr="00D57031">
              <w:rPr>
                <w:rFonts w:cstheme="minorHAnsi"/>
                <w:sz w:val="19"/>
                <w:szCs w:val="19"/>
              </w:rPr>
              <w:t>19.2</w:t>
            </w:r>
          </w:p>
        </w:tc>
        <w:tc>
          <w:tcPr>
            <w:tcW w:w="1004" w:type="dxa"/>
            <w:tcBorders>
              <w:top w:val="nil"/>
              <w:left w:val="nil"/>
              <w:bottom w:val="nil"/>
              <w:right w:val="nil"/>
            </w:tcBorders>
            <w:shd w:val="clear" w:color="auto" w:fill="auto"/>
            <w:noWrap/>
            <w:vAlign w:val="bottom"/>
            <w:hideMark/>
          </w:tcPr>
          <w:p w:rsidR="00685BE5" w:rsidRPr="00D57031" w:rsidRDefault="00685BE5" w:rsidP="00BE64D5">
            <w:pPr>
              <w:tabs>
                <w:tab w:val="decimal" w:pos="469"/>
              </w:tabs>
              <w:spacing w:before="10" w:after="20"/>
              <w:rPr>
                <w:rFonts w:cstheme="minorHAnsi"/>
                <w:sz w:val="19"/>
                <w:szCs w:val="19"/>
              </w:rPr>
            </w:pPr>
            <w:r w:rsidRPr="00D57031">
              <w:rPr>
                <w:rFonts w:cstheme="minorHAnsi"/>
                <w:sz w:val="19"/>
                <w:szCs w:val="19"/>
              </w:rPr>
              <w:t>24.0</w:t>
            </w:r>
          </w:p>
        </w:tc>
      </w:tr>
      <w:tr w:rsidR="00685BE5" w:rsidRPr="009C368A" w:rsidTr="00482937">
        <w:tc>
          <w:tcPr>
            <w:tcW w:w="4139" w:type="dxa"/>
            <w:tcBorders>
              <w:top w:val="nil"/>
              <w:left w:val="nil"/>
              <w:bottom w:val="nil"/>
              <w:right w:val="nil"/>
            </w:tcBorders>
            <w:shd w:val="clear" w:color="auto" w:fill="auto"/>
            <w:noWrap/>
            <w:vAlign w:val="bottom"/>
            <w:hideMark/>
          </w:tcPr>
          <w:p w:rsidR="00685BE5" w:rsidRPr="00D57031" w:rsidRDefault="00685BE5" w:rsidP="00A06AE2">
            <w:pPr>
              <w:spacing w:before="10" w:after="20"/>
              <w:rPr>
                <w:rFonts w:cstheme="minorHAnsi"/>
                <w:sz w:val="19"/>
                <w:szCs w:val="19"/>
              </w:rPr>
            </w:pPr>
            <w:r w:rsidRPr="00D57031">
              <w:rPr>
                <w:rFonts w:cstheme="minorHAnsi"/>
                <w:sz w:val="19"/>
                <w:szCs w:val="19"/>
              </w:rPr>
              <w:t>Wage/salary costs too high for the outlet</w:t>
            </w:r>
          </w:p>
        </w:tc>
        <w:tc>
          <w:tcPr>
            <w:tcW w:w="804" w:type="dxa"/>
            <w:tcBorders>
              <w:top w:val="nil"/>
              <w:left w:val="nil"/>
              <w:bottom w:val="nil"/>
              <w:right w:val="nil"/>
            </w:tcBorders>
            <w:shd w:val="clear" w:color="auto" w:fill="auto"/>
            <w:noWrap/>
            <w:vAlign w:val="bottom"/>
            <w:hideMark/>
          </w:tcPr>
          <w:p w:rsidR="00685BE5" w:rsidRPr="00D57031" w:rsidRDefault="00685BE5" w:rsidP="00BE64D5">
            <w:pPr>
              <w:tabs>
                <w:tab w:val="decimal" w:pos="299"/>
              </w:tabs>
              <w:spacing w:before="10" w:after="20"/>
              <w:rPr>
                <w:rFonts w:cstheme="minorHAnsi"/>
                <w:sz w:val="19"/>
                <w:szCs w:val="19"/>
              </w:rPr>
            </w:pPr>
            <w:r w:rsidRPr="00D57031">
              <w:rPr>
                <w:rFonts w:cstheme="minorHAnsi"/>
                <w:sz w:val="19"/>
                <w:szCs w:val="19"/>
              </w:rPr>
              <w:t>29.8</w:t>
            </w:r>
          </w:p>
        </w:tc>
        <w:tc>
          <w:tcPr>
            <w:tcW w:w="985" w:type="dxa"/>
            <w:tcBorders>
              <w:top w:val="nil"/>
              <w:left w:val="nil"/>
              <w:bottom w:val="nil"/>
              <w:right w:val="nil"/>
            </w:tcBorders>
            <w:shd w:val="clear" w:color="auto" w:fill="auto"/>
            <w:noWrap/>
            <w:vAlign w:val="bottom"/>
            <w:hideMark/>
          </w:tcPr>
          <w:p w:rsidR="00685BE5" w:rsidRPr="00D57031" w:rsidRDefault="00685BE5" w:rsidP="00BE64D5">
            <w:pPr>
              <w:tabs>
                <w:tab w:val="decimal" w:pos="450"/>
              </w:tabs>
              <w:spacing w:before="10" w:after="20"/>
              <w:rPr>
                <w:rFonts w:cstheme="minorHAnsi"/>
                <w:sz w:val="19"/>
                <w:szCs w:val="19"/>
              </w:rPr>
            </w:pPr>
            <w:r w:rsidRPr="00D57031">
              <w:rPr>
                <w:rFonts w:cstheme="minorHAnsi"/>
                <w:sz w:val="19"/>
                <w:szCs w:val="19"/>
              </w:rPr>
              <w:t>18.8</w:t>
            </w:r>
          </w:p>
        </w:tc>
        <w:tc>
          <w:tcPr>
            <w:tcW w:w="945" w:type="dxa"/>
            <w:tcBorders>
              <w:top w:val="nil"/>
              <w:left w:val="nil"/>
              <w:bottom w:val="nil"/>
              <w:right w:val="nil"/>
            </w:tcBorders>
            <w:shd w:val="clear" w:color="auto" w:fill="auto"/>
            <w:noWrap/>
            <w:vAlign w:val="bottom"/>
            <w:hideMark/>
          </w:tcPr>
          <w:p w:rsidR="00685BE5" w:rsidRPr="00D57031" w:rsidRDefault="00685BE5" w:rsidP="00BE64D5">
            <w:pPr>
              <w:tabs>
                <w:tab w:val="decimal" w:pos="299"/>
              </w:tabs>
              <w:spacing w:before="10" w:after="20"/>
              <w:rPr>
                <w:rFonts w:cstheme="minorHAnsi"/>
                <w:sz w:val="19"/>
                <w:szCs w:val="19"/>
              </w:rPr>
            </w:pPr>
            <w:r w:rsidRPr="00D57031">
              <w:rPr>
                <w:rFonts w:cstheme="minorHAnsi"/>
                <w:sz w:val="19"/>
                <w:szCs w:val="19"/>
              </w:rPr>
              <w:t>4.7</w:t>
            </w:r>
          </w:p>
        </w:tc>
        <w:tc>
          <w:tcPr>
            <w:tcW w:w="757" w:type="dxa"/>
            <w:tcBorders>
              <w:top w:val="nil"/>
              <w:left w:val="nil"/>
              <w:bottom w:val="nil"/>
              <w:right w:val="nil"/>
            </w:tcBorders>
            <w:shd w:val="clear" w:color="auto" w:fill="auto"/>
            <w:noWrap/>
            <w:vAlign w:val="bottom"/>
            <w:hideMark/>
          </w:tcPr>
          <w:p w:rsidR="00685BE5" w:rsidRPr="00D57031" w:rsidRDefault="00685BE5" w:rsidP="00BE64D5">
            <w:pPr>
              <w:tabs>
                <w:tab w:val="decimal" w:pos="299"/>
              </w:tabs>
              <w:spacing w:before="10" w:after="20"/>
              <w:rPr>
                <w:rFonts w:cstheme="minorHAnsi"/>
                <w:sz w:val="19"/>
                <w:szCs w:val="19"/>
              </w:rPr>
            </w:pPr>
            <w:r w:rsidRPr="00D57031">
              <w:rPr>
                <w:rFonts w:cstheme="minorHAnsi"/>
                <w:sz w:val="19"/>
                <w:szCs w:val="19"/>
              </w:rPr>
              <w:t>1.7</w:t>
            </w:r>
          </w:p>
        </w:tc>
        <w:tc>
          <w:tcPr>
            <w:tcW w:w="1247" w:type="dxa"/>
            <w:tcBorders>
              <w:top w:val="nil"/>
              <w:left w:val="nil"/>
              <w:bottom w:val="nil"/>
              <w:right w:val="nil"/>
            </w:tcBorders>
            <w:shd w:val="clear" w:color="auto" w:fill="auto"/>
            <w:noWrap/>
            <w:vAlign w:val="bottom"/>
            <w:hideMark/>
          </w:tcPr>
          <w:p w:rsidR="00685BE5" w:rsidRPr="00D57031" w:rsidRDefault="00685BE5" w:rsidP="00BE64D5">
            <w:pPr>
              <w:tabs>
                <w:tab w:val="decimal" w:pos="674"/>
              </w:tabs>
              <w:spacing w:before="10" w:after="20"/>
              <w:rPr>
                <w:rFonts w:cstheme="minorHAnsi"/>
                <w:sz w:val="19"/>
                <w:szCs w:val="19"/>
              </w:rPr>
            </w:pPr>
            <w:r w:rsidRPr="00D57031">
              <w:rPr>
                <w:rFonts w:cstheme="minorHAnsi"/>
                <w:sz w:val="19"/>
                <w:szCs w:val="19"/>
              </w:rPr>
              <w:t>20.9</w:t>
            </w:r>
          </w:p>
        </w:tc>
        <w:tc>
          <w:tcPr>
            <w:tcW w:w="1004" w:type="dxa"/>
            <w:tcBorders>
              <w:top w:val="nil"/>
              <w:left w:val="nil"/>
              <w:bottom w:val="nil"/>
              <w:right w:val="nil"/>
            </w:tcBorders>
            <w:shd w:val="clear" w:color="auto" w:fill="auto"/>
            <w:noWrap/>
            <w:vAlign w:val="bottom"/>
            <w:hideMark/>
          </w:tcPr>
          <w:p w:rsidR="00685BE5" w:rsidRPr="00D57031" w:rsidRDefault="00685BE5" w:rsidP="00BE64D5">
            <w:pPr>
              <w:tabs>
                <w:tab w:val="decimal" w:pos="469"/>
              </w:tabs>
              <w:spacing w:before="10" w:after="20"/>
              <w:rPr>
                <w:rFonts w:cstheme="minorHAnsi"/>
                <w:sz w:val="19"/>
                <w:szCs w:val="19"/>
              </w:rPr>
            </w:pPr>
            <w:r w:rsidRPr="00D57031">
              <w:rPr>
                <w:rFonts w:cstheme="minorHAnsi"/>
                <w:sz w:val="19"/>
                <w:szCs w:val="19"/>
              </w:rPr>
              <w:t>24.0</w:t>
            </w:r>
          </w:p>
        </w:tc>
      </w:tr>
      <w:tr w:rsidR="00685BE5" w:rsidRPr="009C368A" w:rsidTr="00482937">
        <w:tc>
          <w:tcPr>
            <w:tcW w:w="4139" w:type="dxa"/>
            <w:tcBorders>
              <w:top w:val="nil"/>
              <w:left w:val="nil"/>
              <w:bottom w:val="nil"/>
              <w:right w:val="nil"/>
            </w:tcBorders>
            <w:shd w:val="clear" w:color="auto" w:fill="auto"/>
            <w:noWrap/>
            <w:vAlign w:val="bottom"/>
            <w:hideMark/>
          </w:tcPr>
          <w:p w:rsidR="00685BE5" w:rsidRPr="00D57031" w:rsidRDefault="00685BE5" w:rsidP="00A06AE2">
            <w:pPr>
              <w:spacing w:before="10" w:after="20"/>
              <w:rPr>
                <w:rFonts w:cstheme="minorHAnsi"/>
                <w:sz w:val="19"/>
                <w:szCs w:val="19"/>
              </w:rPr>
            </w:pPr>
            <w:r w:rsidRPr="00D57031">
              <w:rPr>
                <w:rFonts w:cstheme="minorHAnsi"/>
                <w:sz w:val="19"/>
                <w:szCs w:val="19"/>
              </w:rPr>
              <w:t>Lack of availability of adequate training</w:t>
            </w:r>
          </w:p>
        </w:tc>
        <w:tc>
          <w:tcPr>
            <w:tcW w:w="804" w:type="dxa"/>
            <w:tcBorders>
              <w:top w:val="nil"/>
              <w:left w:val="nil"/>
              <w:bottom w:val="nil"/>
              <w:right w:val="nil"/>
            </w:tcBorders>
            <w:shd w:val="clear" w:color="auto" w:fill="auto"/>
            <w:noWrap/>
            <w:vAlign w:val="bottom"/>
            <w:hideMark/>
          </w:tcPr>
          <w:p w:rsidR="00685BE5" w:rsidRPr="00D57031" w:rsidRDefault="00685BE5" w:rsidP="00BE64D5">
            <w:pPr>
              <w:tabs>
                <w:tab w:val="decimal" w:pos="299"/>
              </w:tabs>
              <w:spacing w:before="10" w:after="20"/>
              <w:rPr>
                <w:rFonts w:cstheme="minorHAnsi"/>
                <w:sz w:val="19"/>
                <w:szCs w:val="19"/>
              </w:rPr>
            </w:pPr>
            <w:r w:rsidRPr="00D57031">
              <w:rPr>
                <w:rFonts w:cstheme="minorHAnsi"/>
                <w:sz w:val="19"/>
                <w:szCs w:val="19"/>
              </w:rPr>
              <w:t>29.1</w:t>
            </w:r>
          </w:p>
        </w:tc>
        <w:tc>
          <w:tcPr>
            <w:tcW w:w="985" w:type="dxa"/>
            <w:tcBorders>
              <w:top w:val="nil"/>
              <w:left w:val="nil"/>
              <w:bottom w:val="nil"/>
              <w:right w:val="nil"/>
            </w:tcBorders>
            <w:shd w:val="clear" w:color="auto" w:fill="auto"/>
            <w:noWrap/>
            <w:vAlign w:val="bottom"/>
            <w:hideMark/>
          </w:tcPr>
          <w:p w:rsidR="00685BE5" w:rsidRPr="00D57031" w:rsidRDefault="00685BE5" w:rsidP="00BE64D5">
            <w:pPr>
              <w:tabs>
                <w:tab w:val="decimal" w:pos="450"/>
              </w:tabs>
              <w:spacing w:before="10" w:after="20"/>
              <w:rPr>
                <w:rFonts w:cstheme="minorHAnsi"/>
                <w:sz w:val="19"/>
                <w:szCs w:val="19"/>
              </w:rPr>
            </w:pPr>
            <w:r w:rsidRPr="00D57031">
              <w:rPr>
                <w:rFonts w:cstheme="minorHAnsi"/>
                <w:sz w:val="19"/>
                <w:szCs w:val="19"/>
              </w:rPr>
              <w:t>21.2</w:t>
            </w:r>
          </w:p>
        </w:tc>
        <w:tc>
          <w:tcPr>
            <w:tcW w:w="945" w:type="dxa"/>
            <w:tcBorders>
              <w:top w:val="nil"/>
              <w:left w:val="nil"/>
              <w:bottom w:val="nil"/>
              <w:right w:val="nil"/>
            </w:tcBorders>
            <w:shd w:val="clear" w:color="auto" w:fill="auto"/>
            <w:noWrap/>
            <w:vAlign w:val="bottom"/>
            <w:hideMark/>
          </w:tcPr>
          <w:p w:rsidR="00685BE5" w:rsidRPr="00D57031" w:rsidRDefault="00685BE5" w:rsidP="00BE64D5">
            <w:pPr>
              <w:tabs>
                <w:tab w:val="decimal" w:pos="299"/>
              </w:tabs>
              <w:spacing w:before="10" w:after="20"/>
              <w:rPr>
                <w:rFonts w:cstheme="minorHAnsi"/>
                <w:sz w:val="19"/>
                <w:szCs w:val="19"/>
              </w:rPr>
            </w:pPr>
            <w:r w:rsidRPr="00D57031">
              <w:rPr>
                <w:rFonts w:cstheme="minorHAnsi"/>
                <w:sz w:val="19"/>
                <w:szCs w:val="19"/>
              </w:rPr>
              <w:t>4.2</w:t>
            </w:r>
          </w:p>
        </w:tc>
        <w:tc>
          <w:tcPr>
            <w:tcW w:w="757" w:type="dxa"/>
            <w:tcBorders>
              <w:top w:val="nil"/>
              <w:left w:val="nil"/>
              <w:bottom w:val="nil"/>
              <w:right w:val="nil"/>
            </w:tcBorders>
            <w:shd w:val="clear" w:color="auto" w:fill="auto"/>
            <w:noWrap/>
            <w:vAlign w:val="bottom"/>
            <w:hideMark/>
          </w:tcPr>
          <w:p w:rsidR="00685BE5" w:rsidRPr="00D57031" w:rsidRDefault="00685BE5" w:rsidP="00BE64D5">
            <w:pPr>
              <w:tabs>
                <w:tab w:val="decimal" w:pos="299"/>
              </w:tabs>
              <w:spacing w:before="10" w:after="20"/>
              <w:rPr>
                <w:rFonts w:cstheme="minorHAnsi"/>
                <w:sz w:val="19"/>
                <w:szCs w:val="19"/>
              </w:rPr>
            </w:pPr>
            <w:r w:rsidRPr="00D57031">
              <w:rPr>
                <w:rFonts w:cstheme="minorHAnsi"/>
                <w:sz w:val="19"/>
                <w:szCs w:val="19"/>
              </w:rPr>
              <w:t>1.3</w:t>
            </w:r>
          </w:p>
        </w:tc>
        <w:tc>
          <w:tcPr>
            <w:tcW w:w="1247" w:type="dxa"/>
            <w:tcBorders>
              <w:top w:val="nil"/>
              <w:left w:val="nil"/>
              <w:bottom w:val="nil"/>
              <w:right w:val="nil"/>
            </w:tcBorders>
            <w:shd w:val="clear" w:color="auto" w:fill="auto"/>
            <w:noWrap/>
            <w:vAlign w:val="bottom"/>
            <w:hideMark/>
          </w:tcPr>
          <w:p w:rsidR="00685BE5" w:rsidRPr="00D57031" w:rsidRDefault="00685BE5" w:rsidP="00BE64D5">
            <w:pPr>
              <w:tabs>
                <w:tab w:val="decimal" w:pos="674"/>
              </w:tabs>
              <w:spacing w:before="10" w:after="20"/>
              <w:rPr>
                <w:rFonts w:cstheme="minorHAnsi"/>
                <w:sz w:val="19"/>
                <w:szCs w:val="19"/>
              </w:rPr>
            </w:pPr>
            <w:r w:rsidRPr="00D57031">
              <w:rPr>
                <w:rFonts w:cstheme="minorHAnsi"/>
                <w:sz w:val="19"/>
                <w:szCs w:val="19"/>
              </w:rPr>
              <w:t>20.2</w:t>
            </w:r>
          </w:p>
        </w:tc>
        <w:tc>
          <w:tcPr>
            <w:tcW w:w="1004" w:type="dxa"/>
            <w:tcBorders>
              <w:top w:val="nil"/>
              <w:left w:val="nil"/>
              <w:bottom w:val="nil"/>
              <w:right w:val="nil"/>
            </w:tcBorders>
            <w:shd w:val="clear" w:color="auto" w:fill="auto"/>
            <w:noWrap/>
            <w:vAlign w:val="bottom"/>
            <w:hideMark/>
          </w:tcPr>
          <w:p w:rsidR="00685BE5" w:rsidRPr="00D57031" w:rsidRDefault="00685BE5" w:rsidP="00BE64D5">
            <w:pPr>
              <w:tabs>
                <w:tab w:val="decimal" w:pos="469"/>
              </w:tabs>
              <w:spacing w:before="10" w:after="20"/>
              <w:rPr>
                <w:rFonts w:cstheme="minorHAnsi"/>
                <w:sz w:val="19"/>
                <w:szCs w:val="19"/>
              </w:rPr>
            </w:pPr>
            <w:r w:rsidRPr="00D57031">
              <w:rPr>
                <w:rFonts w:cstheme="minorHAnsi"/>
                <w:sz w:val="19"/>
                <w:szCs w:val="19"/>
              </w:rPr>
              <w:t>24.0</w:t>
            </w:r>
          </w:p>
        </w:tc>
      </w:tr>
      <w:tr w:rsidR="00685BE5" w:rsidRPr="009C368A" w:rsidTr="00482937">
        <w:tc>
          <w:tcPr>
            <w:tcW w:w="4139" w:type="dxa"/>
            <w:tcBorders>
              <w:top w:val="nil"/>
              <w:left w:val="nil"/>
              <w:bottom w:val="nil"/>
              <w:right w:val="nil"/>
            </w:tcBorders>
            <w:shd w:val="clear" w:color="auto" w:fill="auto"/>
            <w:noWrap/>
            <w:vAlign w:val="bottom"/>
            <w:hideMark/>
          </w:tcPr>
          <w:p w:rsidR="00685BE5" w:rsidRPr="00D57031" w:rsidRDefault="00685BE5" w:rsidP="00A06AE2">
            <w:pPr>
              <w:spacing w:before="10" w:after="20"/>
              <w:rPr>
                <w:rFonts w:cstheme="minorHAnsi"/>
                <w:sz w:val="19"/>
                <w:szCs w:val="19"/>
              </w:rPr>
            </w:pPr>
            <w:r w:rsidRPr="00D57031">
              <w:rPr>
                <w:rFonts w:cstheme="minorHAnsi"/>
                <w:sz w:val="19"/>
                <w:szCs w:val="19"/>
              </w:rPr>
              <w:t>Unsure of long-term demand for services provided</w:t>
            </w:r>
          </w:p>
        </w:tc>
        <w:tc>
          <w:tcPr>
            <w:tcW w:w="804" w:type="dxa"/>
            <w:tcBorders>
              <w:top w:val="nil"/>
              <w:left w:val="nil"/>
              <w:bottom w:val="nil"/>
              <w:right w:val="nil"/>
            </w:tcBorders>
            <w:shd w:val="clear" w:color="auto" w:fill="auto"/>
            <w:noWrap/>
            <w:vAlign w:val="center"/>
            <w:hideMark/>
          </w:tcPr>
          <w:p w:rsidR="00685BE5" w:rsidRPr="00D57031" w:rsidRDefault="00685BE5" w:rsidP="00BE64D5">
            <w:pPr>
              <w:tabs>
                <w:tab w:val="decimal" w:pos="299"/>
              </w:tabs>
              <w:spacing w:before="10" w:after="20"/>
              <w:rPr>
                <w:rFonts w:cstheme="minorHAnsi"/>
                <w:sz w:val="19"/>
                <w:szCs w:val="19"/>
              </w:rPr>
            </w:pPr>
            <w:r w:rsidRPr="00D57031">
              <w:rPr>
                <w:rFonts w:cstheme="minorHAnsi"/>
                <w:sz w:val="19"/>
                <w:szCs w:val="19"/>
              </w:rPr>
              <w:t>26.0</w:t>
            </w:r>
          </w:p>
        </w:tc>
        <w:tc>
          <w:tcPr>
            <w:tcW w:w="985" w:type="dxa"/>
            <w:tcBorders>
              <w:top w:val="nil"/>
              <w:left w:val="nil"/>
              <w:bottom w:val="nil"/>
              <w:right w:val="nil"/>
            </w:tcBorders>
            <w:shd w:val="clear" w:color="auto" w:fill="auto"/>
            <w:noWrap/>
            <w:vAlign w:val="center"/>
            <w:hideMark/>
          </w:tcPr>
          <w:p w:rsidR="00685BE5" w:rsidRPr="00D57031" w:rsidRDefault="00685BE5" w:rsidP="00BE64D5">
            <w:pPr>
              <w:tabs>
                <w:tab w:val="decimal" w:pos="450"/>
              </w:tabs>
              <w:spacing w:before="10" w:after="20"/>
              <w:rPr>
                <w:rFonts w:cstheme="minorHAnsi"/>
                <w:sz w:val="19"/>
                <w:szCs w:val="19"/>
              </w:rPr>
            </w:pPr>
            <w:r w:rsidRPr="00D57031">
              <w:rPr>
                <w:rFonts w:cstheme="minorHAnsi"/>
                <w:sz w:val="19"/>
                <w:szCs w:val="19"/>
              </w:rPr>
              <w:t>22.7</w:t>
            </w:r>
          </w:p>
        </w:tc>
        <w:tc>
          <w:tcPr>
            <w:tcW w:w="945" w:type="dxa"/>
            <w:tcBorders>
              <w:top w:val="nil"/>
              <w:left w:val="nil"/>
              <w:bottom w:val="nil"/>
              <w:right w:val="nil"/>
            </w:tcBorders>
            <w:shd w:val="clear" w:color="auto" w:fill="auto"/>
            <w:noWrap/>
            <w:vAlign w:val="center"/>
            <w:hideMark/>
          </w:tcPr>
          <w:p w:rsidR="00685BE5" w:rsidRPr="00D57031" w:rsidRDefault="00685BE5" w:rsidP="00BE64D5">
            <w:pPr>
              <w:tabs>
                <w:tab w:val="decimal" w:pos="299"/>
              </w:tabs>
              <w:spacing w:before="10" w:after="20"/>
              <w:rPr>
                <w:rFonts w:cstheme="minorHAnsi"/>
                <w:sz w:val="19"/>
                <w:szCs w:val="19"/>
              </w:rPr>
            </w:pPr>
            <w:r w:rsidRPr="00D57031">
              <w:rPr>
                <w:rFonts w:cstheme="minorHAnsi"/>
                <w:sz w:val="19"/>
                <w:szCs w:val="19"/>
              </w:rPr>
              <w:t>5.5</w:t>
            </w:r>
          </w:p>
        </w:tc>
        <w:tc>
          <w:tcPr>
            <w:tcW w:w="757" w:type="dxa"/>
            <w:tcBorders>
              <w:top w:val="nil"/>
              <w:left w:val="nil"/>
              <w:bottom w:val="nil"/>
              <w:right w:val="nil"/>
            </w:tcBorders>
            <w:shd w:val="clear" w:color="auto" w:fill="auto"/>
            <w:noWrap/>
            <w:vAlign w:val="center"/>
            <w:hideMark/>
          </w:tcPr>
          <w:p w:rsidR="00685BE5" w:rsidRPr="00D57031" w:rsidRDefault="00685BE5" w:rsidP="00BE64D5">
            <w:pPr>
              <w:tabs>
                <w:tab w:val="decimal" w:pos="299"/>
              </w:tabs>
              <w:spacing w:before="10" w:after="20"/>
              <w:rPr>
                <w:rFonts w:cstheme="minorHAnsi"/>
                <w:sz w:val="19"/>
                <w:szCs w:val="19"/>
              </w:rPr>
            </w:pPr>
            <w:r w:rsidRPr="00D57031">
              <w:rPr>
                <w:rFonts w:cstheme="minorHAnsi"/>
                <w:sz w:val="19"/>
                <w:szCs w:val="19"/>
              </w:rPr>
              <w:t>1.9</w:t>
            </w:r>
          </w:p>
        </w:tc>
        <w:tc>
          <w:tcPr>
            <w:tcW w:w="1247" w:type="dxa"/>
            <w:tcBorders>
              <w:top w:val="nil"/>
              <w:left w:val="nil"/>
              <w:bottom w:val="nil"/>
              <w:right w:val="nil"/>
            </w:tcBorders>
            <w:shd w:val="clear" w:color="auto" w:fill="auto"/>
            <w:noWrap/>
            <w:vAlign w:val="center"/>
            <w:hideMark/>
          </w:tcPr>
          <w:p w:rsidR="00685BE5" w:rsidRPr="00D57031" w:rsidRDefault="00685BE5" w:rsidP="00BE64D5">
            <w:pPr>
              <w:tabs>
                <w:tab w:val="decimal" w:pos="674"/>
              </w:tabs>
              <w:spacing w:before="10" w:after="20"/>
              <w:rPr>
                <w:rFonts w:cstheme="minorHAnsi"/>
                <w:sz w:val="19"/>
                <w:szCs w:val="19"/>
              </w:rPr>
            </w:pPr>
            <w:r w:rsidRPr="00D57031">
              <w:rPr>
                <w:rFonts w:cstheme="minorHAnsi"/>
                <w:sz w:val="19"/>
                <w:szCs w:val="19"/>
              </w:rPr>
              <w:t>20.1</w:t>
            </w:r>
          </w:p>
        </w:tc>
        <w:tc>
          <w:tcPr>
            <w:tcW w:w="1004" w:type="dxa"/>
            <w:tcBorders>
              <w:top w:val="nil"/>
              <w:left w:val="nil"/>
              <w:bottom w:val="nil"/>
              <w:right w:val="nil"/>
            </w:tcBorders>
            <w:shd w:val="clear" w:color="auto" w:fill="auto"/>
            <w:noWrap/>
            <w:vAlign w:val="center"/>
            <w:hideMark/>
          </w:tcPr>
          <w:p w:rsidR="00685BE5" w:rsidRPr="00D57031" w:rsidRDefault="00685BE5" w:rsidP="00BE64D5">
            <w:pPr>
              <w:tabs>
                <w:tab w:val="decimal" w:pos="469"/>
              </w:tabs>
              <w:spacing w:before="10" w:after="20"/>
              <w:rPr>
                <w:rFonts w:cstheme="minorHAnsi"/>
                <w:sz w:val="19"/>
                <w:szCs w:val="19"/>
              </w:rPr>
            </w:pPr>
            <w:r w:rsidRPr="00D57031">
              <w:rPr>
                <w:rFonts w:cstheme="minorHAnsi"/>
                <w:sz w:val="19"/>
                <w:szCs w:val="19"/>
              </w:rPr>
              <w:t>24.0</w:t>
            </w:r>
          </w:p>
        </w:tc>
      </w:tr>
      <w:tr w:rsidR="00685BE5" w:rsidRPr="009C368A" w:rsidTr="00482937">
        <w:tc>
          <w:tcPr>
            <w:tcW w:w="4139" w:type="dxa"/>
            <w:tcBorders>
              <w:top w:val="nil"/>
              <w:left w:val="nil"/>
              <w:bottom w:val="nil"/>
              <w:right w:val="nil"/>
            </w:tcBorders>
            <w:shd w:val="clear" w:color="auto" w:fill="auto"/>
            <w:noWrap/>
            <w:vAlign w:val="bottom"/>
            <w:hideMark/>
          </w:tcPr>
          <w:p w:rsidR="00685BE5" w:rsidRPr="00D57031" w:rsidRDefault="00685BE5" w:rsidP="00A06AE2">
            <w:pPr>
              <w:spacing w:before="10" w:after="20"/>
              <w:rPr>
                <w:rFonts w:cstheme="minorHAnsi"/>
                <w:sz w:val="19"/>
                <w:szCs w:val="19"/>
              </w:rPr>
            </w:pPr>
            <w:r w:rsidRPr="00D57031">
              <w:rPr>
                <w:rFonts w:cstheme="minorHAnsi"/>
                <w:sz w:val="19"/>
                <w:szCs w:val="19"/>
              </w:rPr>
              <w:t>Recruitment too slow</w:t>
            </w:r>
          </w:p>
        </w:tc>
        <w:tc>
          <w:tcPr>
            <w:tcW w:w="804" w:type="dxa"/>
            <w:tcBorders>
              <w:top w:val="nil"/>
              <w:left w:val="nil"/>
              <w:bottom w:val="nil"/>
              <w:right w:val="nil"/>
            </w:tcBorders>
            <w:shd w:val="clear" w:color="auto" w:fill="auto"/>
            <w:noWrap/>
            <w:vAlign w:val="bottom"/>
            <w:hideMark/>
          </w:tcPr>
          <w:p w:rsidR="00685BE5" w:rsidRPr="00D57031" w:rsidRDefault="00685BE5" w:rsidP="00A06AE2">
            <w:pPr>
              <w:tabs>
                <w:tab w:val="decimal" w:pos="299"/>
              </w:tabs>
              <w:spacing w:before="10" w:after="20"/>
              <w:rPr>
                <w:rFonts w:cstheme="minorHAnsi"/>
                <w:sz w:val="19"/>
                <w:szCs w:val="19"/>
              </w:rPr>
            </w:pPr>
            <w:r w:rsidRPr="00D57031">
              <w:rPr>
                <w:rFonts w:cstheme="minorHAnsi"/>
                <w:sz w:val="19"/>
                <w:szCs w:val="19"/>
              </w:rPr>
              <w:t>25.4</w:t>
            </w:r>
          </w:p>
        </w:tc>
        <w:tc>
          <w:tcPr>
            <w:tcW w:w="985" w:type="dxa"/>
            <w:tcBorders>
              <w:top w:val="nil"/>
              <w:left w:val="nil"/>
              <w:bottom w:val="nil"/>
              <w:right w:val="nil"/>
            </w:tcBorders>
            <w:shd w:val="clear" w:color="auto" w:fill="auto"/>
            <w:noWrap/>
            <w:vAlign w:val="bottom"/>
            <w:hideMark/>
          </w:tcPr>
          <w:p w:rsidR="00685BE5" w:rsidRPr="00D57031" w:rsidRDefault="00685BE5" w:rsidP="00A06AE2">
            <w:pPr>
              <w:tabs>
                <w:tab w:val="decimal" w:pos="450"/>
              </w:tabs>
              <w:spacing w:before="10" w:after="20"/>
              <w:rPr>
                <w:rFonts w:cstheme="minorHAnsi"/>
                <w:sz w:val="19"/>
                <w:szCs w:val="19"/>
              </w:rPr>
            </w:pPr>
            <w:r w:rsidRPr="00D57031">
              <w:rPr>
                <w:rFonts w:cstheme="minorHAnsi"/>
                <w:sz w:val="19"/>
                <w:szCs w:val="19"/>
              </w:rPr>
              <w:t>24.2</w:t>
            </w:r>
          </w:p>
        </w:tc>
        <w:tc>
          <w:tcPr>
            <w:tcW w:w="945" w:type="dxa"/>
            <w:tcBorders>
              <w:top w:val="nil"/>
              <w:left w:val="nil"/>
              <w:bottom w:val="nil"/>
              <w:right w:val="nil"/>
            </w:tcBorders>
            <w:shd w:val="clear" w:color="auto" w:fill="auto"/>
            <w:noWrap/>
            <w:vAlign w:val="bottom"/>
            <w:hideMark/>
          </w:tcPr>
          <w:p w:rsidR="00685BE5" w:rsidRPr="00D57031" w:rsidRDefault="00685BE5" w:rsidP="00A06AE2">
            <w:pPr>
              <w:tabs>
                <w:tab w:val="decimal" w:pos="299"/>
              </w:tabs>
              <w:spacing w:before="10" w:after="20"/>
              <w:rPr>
                <w:rFonts w:cstheme="minorHAnsi"/>
                <w:sz w:val="19"/>
                <w:szCs w:val="19"/>
              </w:rPr>
            </w:pPr>
            <w:r w:rsidRPr="00D57031">
              <w:rPr>
                <w:rFonts w:cstheme="minorHAnsi"/>
                <w:sz w:val="19"/>
                <w:szCs w:val="19"/>
              </w:rPr>
              <w:t>5.9</w:t>
            </w:r>
          </w:p>
        </w:tc>
        <w:tc>
          <w:tcPr>
            <w:tcW w:w="757" w:type="dxa"/>
            <w:tcBorders>
              <w:top w:val="nil"/>
              <w:left w:val="nil"/>
              <w:bottom w:val="nil"/>
              <w:right w:val="nil"/>
            </w:tcBorders>
            <w:shd w:val="clear" w:color="auto" w:fill="auto"/>
            <w:noWrap/>
            <w:vAlign w:val="bottom"/>
            <w:hideMark/>
          </w:tcPr>
          <w:p w:rsidR="00685BE5" w:rsidRPr="00D57031" w:rsidRDefault="00685BE5" w:rsidP="00A06AE2">
            <w:pPr>
              <w:tabs>
                <w:tab w:val="decimal" w:pos="299"/>
              </w:tabs>
              <w:spacing w:before="10" w:after="20"/>
              <w:rPr>
                <w:rFonts w:cstheme="minorHAnsi"/>
                <w:sz w:val="19"/>
                <w:szCs w:val="19"/>
              </w:rPr>
            </w:pPr>
            <w:r w:rsidRPr="00D57031">
              <w:rPr>
                <w:rFonts w:cstheme="minorHAnsi"/>
                <w:sz w:val="19"/>
                <w:szCs w:val="19"/>
              </w:rPr>
              <w:t>1.9</w:t>
            </w:r>
          </w:p>
        </w:tc>
        <w:tc>
          <w:tcPr>
            <w:tcW w:w="1247" w:type="dxa"/>
            <w:tcBorders>
              <w:top w:val="nil"/>
              <w:left w:val="nil"/>
              <w:bottom w:val="nil"/>
              <w:right w:val="nil"/>
            </w:tcBorders>
            <w:shd w:val="clear" w:color="auto" w:fill="auto"/>
            <w:noWrap/>
            <w:vAlign w:val="bottom"/>
            <w:hideMark/>
          </w:tcPr>
          <w:p w:rsidR="00685BE5" w:rsidRPr="00D57031" w:rsidRDefault="00685BE5" w:rsidP="00A06AE2">
            <w:pPr>
              <w:tabs>
                <w:tab w:val="decimal" w:pos="674"/>
              </w:tabs>
              <w:spacing w:before="10" w:after="20"/>
              <w:rPr>
                <w:rFonts w:cstheme="minorHAnsi"/>
                <w:sz w:val="19"/>
                <w:szCs w:val="19"/>
              </w:rPr>
            </w:pPr>
            <w:r w:rsidRPr="00D57031">
              <w:rPr>
                <w:rFonts w:cstheme="minorHAnsi"/>
                <w:sz w:val="19"/>
                <w:szCs w:val="19"/>
              </w:rPr>
              <w:t>18.7</w:t>
            </w:r>
          </w:p>
        </w:tc>
        <w:tc>
          <w:tcPr>
            <w:tcW w:w="1004" w:type="dxa"/>
            <w:tcBorders>
              <w:top w:val="nil"/>
              <w:left w:val="nil"/>
              <w:bottom w:val="nil"/>
              <w:right w:val="nil"/>
            </w:tcBorders>
            <w:shd w:val="clear" w:color="auto" w:fill="auto"/>
            <w:noWrap/>
            <w:vAlign w:val="bottom"/>
            <w:hideMark/>
          </w:tcPr>
          <w:p w:rsidR="00685BE5" w:rsidRPr="00D57031" w:rsidRDefault="00685BE5" w:rsidP="00A06AE2">
            <w:pPr>
              <w:tabs>
                <w:tab w:val="decimal" w:pos="469"/>
              </w:tabs>
              <w:spacing w:before="10" w:after="20"/>
              <w:rPr>
                <w:rFonts w:cstheme="minorHAnsi"/>
                <w:sz w:val="19"/>
                <w:szCs w:val="19"/>
              </w:rPr>
            </w:pPr>
            <w:r w:rsidRPr="00D57031">
              <w:rPr>
                <w:rFonts w:cstheme="minorHAnsi"/>
                <w:sz w:val="19"/>
                <w:szCs w:val="19"/>
              </w:rPr>
              <w:t>24.0</w:t>
            </w:r>
          </w:p>
        </w:tc>
      </w:tr>
      <w:tr w:rsidR="00685BE5" w:rsidRPr="009C368A" w:rsidTr="00482937">
        <w:tc>
          <w:tcPr>
            <w:tcW w:w="4139" w:type="dxa"/>
            <w:tcBorders>
              <w:top w:val="nil"/>
              <w:left w:val="nil"/>
              <w:bottom w:val="single" w:sz="4" w:space="0" w:color="auto"/>
              <w:right w:val="nil"/>
            </w:tcBorders>
            <w:shd w:val="clear" w:color="auto" w:fill="auto"/>
            <w:noWrap/>
            <w:vAlign w:val="bottom"/>
            <w:hideMark/>
          </w:tcPr>
          <w:p w:rsidR="00685BE5" w:rsidRPr="00D57031" w:rsidRDefault="00685BE5" w:rsidP="00A06AE2">
            <w:pPr>
              <w:spacing w:before="10" w:after="20"/>
              <w:rPr>
                <w:rFonts w:cstheme="minorHAnsi"/>
                <w:sz w:val="19"/>
                <w:szCs w:val="19"/>
              </w:rPr>
            </w:pPr>
            <w:r w:rsidRPr="00D57031">
              <w:rPr>
                <w:rFonts w:cstheme="minorHAnsi"/>
                <w:sz w:val="19"/>
                <w:szCs w:val="19"/>
              </w:rPr>
              <w:t>Other</w:t>
            </w:r>
          </w:p>
        </w:tc>
        <w:tc>
          <w:tcPr>
            <w:tcW w:w="804" w:type="dxa"/>
            <w:tcBorders>
              <w:top w:val="nil"/>
              <w:left w:val="nil"/>
              <w:bottom w:val="single" w:sz="4" w:space="0" w:color="auto"/>
              <w:right w:val="nil"/>
            </w:tcBorders>
            <w:shd w:val="clear" w:color="auto" w:fill="auto"/>
            <w:noWrap/>
            <w:vAlign w:val="bottom"/>
            <w:hideMark/>
          </w:tcPr>
          <w:p w:rsidR="00685BE5" w:rsidRPr="00D57031" w:rsidRDefault="00685BE5" w:rsidP="00A06AE2">
            <w:pPr>
              <w:tabs>
                <w:tab w:val="decimal" w:pos="299"/>
              </w:tabs>
              <w:spacing w:before="10" w:after="20"/>
              <w:rPr>
                <w:rFonts w:cstheme="minorHAnsi"/>
                <w:sz w:val="19"/>
                <w:szCs w:val="19"/>
              </w:rPr>
            </w:pPr>
            <w:r w:rsidRPr="00D57031">
              <w:rPr>
                <w:rFonts w:cstheme="minorHAnsi"/>
                <w:sz w:val="19"/>
                <w:szCs w:val="19"/>
              </w:rPr>
              <w:t>30.6</w:t>
            </w:r>
          </w:p>
        </w:tc>
        <w:tc>
          <w:tcPr>
            <w:tcW w:w="985" w:type="dxa"/>
            <w:tcBorders>
              <w:top w:val="nil"/>
              <w:left w:val="nil"/>
              <w:bottom w:val="single" w:sz="4" w:space="0" w:color="auto"/>
              <w:right w:val="nil"/>
            </w:tcBorders>
            <w:shd w:val="clear" w:color="auto" w:fill="auto"/>
            <w:noWrap/>
            <w:vAlign w:val="bottom"/>
            <w:hideMark/>
          </w:tcPr>
          <w:p w:rsidR="00685BE5" w:rsidRPr="00D57031" w:rsidRDefault="00685BE5" w:rsidP="00A06AE2">
            <w:pPr>
              <w:tabs>
                <w:tab w:val="decimal" w:pos="450"/>
              </w:tabs>
              <w:spacing w:before="10" w:after="20"/>
              <w:rPr>
                <w:rFonts w:cstheme="minorHAnsi"/>
                <w:sz w:val="19"/>
                <w:szCs w:val="19"/>
              </w:rPr>
            </w:pPr>
            <w:r w:rsidRPr="00D57031">
              <w:rPr>
                <w:rFonts w:cstheme="minorHAnsi"/>
                <w:sz w:val="19"/>
                <w:szCs w:val="19"/>
              </w:rPr>
              <w:t>3.2</w:t>
            </w:r>
          </w:p>
        </w:tc>
        <w:tc>
          <w:tcPr>
            <w:tcW w:w="945" w:type="dxa"/>
            <w:tcBorders>
              <w:top w:val="nil"/>
              <w:left w:val="nil"/>
              <w:bottom w:val="single" w:sz="4" w:space="0" w:color="auto"/>
              <w:right w:val="nil"/>
            </w:tcBorders>
            <w:shd w:val="clear" w:color="auto" w:fill="auto"/>
            <w:noWrap/>
            <w:vAlign w:val="bottom"/>
            <w:hideMark/>
          </w:tcPr>
          <w:p w:rsidR="00685BE5" w:rsidRPr="00D57031" w:rsidRDefault="00685BE5" w:rsidP="00A06AE2">
            <w:pPr>
              <w:tabs>
                <w:tab w:val="decimal" w:pos="299"/>
              </w:tabs>
              <w:spacing w:before="10" w:after="20"/>
              <w:rPr>
                <w:rFonts w:cstheme="minorHAnsi"/>
                <w:sz w:val="19"/>
                <w:szCs w:val="19"/>
              </w:rPr>
            </w:pPr>
            <w:r w:rsidRPr="00D57031">
              <w:rPr>
                <w:rFonts w:cstheme="minorHAnsi"/>
                <w:sz w:val="19"/>
                <w:szCs w:val="19"/>
              </w:rPr>
              <w:t>1.9</w:t>
            </w:r>
          </w:p>
        </w:tc>
        <w:tc>
          <w:tcPr>
            <w:tcW w:w="757" w:type="dxa"/>
            <w:tcBorders>
              <w:top w:val="nil"/>
              <w:left w:val="nil"/>
              <w:bottom w:val="single" w:sz="4" w:space="0" w:color="auto"/>
              <w:right w:val="nil"/>
            </w:tcBorders>
            <w:shd w:val="clear" w:color="auto" w:fill="auto"/>
            <w:noWrap/>
            <w:vAlign w:val="bottom"/>
            <w:hideMark/>
          </w:tcPr>
          <w:p w:rsidR="00685BE5" w:rsidRPr="00D57031" w:rsidRDefault="00685BE5" w:rsidP="00A06AE2">
            <w:pPr>
              <w:tabs>
                <w:tab w:val="decimal" w:pos="299"/>
              </w:tabs>
              <w:spacing w:before="10" w:after="20"/>
              <w:rPr>
                <w:rFonts w:cstheme="minorHAnsi"/>
                <w:sz w:val="19"/>
                <w:szCs w:val="19"/>
              </w:rPr>
            </w:pPr>
            <w:r w:rsidRPr="00D57031">
              <w:rPr>
                <w:rFonts w:cstheme="minorHAnsi"/>
                <w:sz w:val="19"/>
                <w:szCs w:val="19"/>
              </w:rPr>
              <w:t>1.1</w:t>
            </w:r>
          </w:p>
        </w:tc>
        <w:tc>
          <w:tcPr>
            <w:tcW w:w="1247" w:type="dxa"/>
            <w:tcBorders>
              <w:top w:val="nil"/>
              <w:left w:val="nil"/>
              <w:bottom w:val="single" w:sz="4" w:space="0" w:color="auto"/>
              <w:right w:val="nil"/>
            </w:tcBorders>
            <w:shd w:val="clear" w:color="auto" w:fill="auto"/>
            <w:noWrap/>
            <w:vAlign w:val="bottom"/>
            <w:hideMark/>
          </w:tcPr>
          <w:p w:rsidR="00685BE5" w:rsidRPr="00D57031" w:rsidRDefault="00685BE5" w:rsidP="00A06AE2">
            <w:pPr>
              <w:tabs>
                <w:tab w:val="decimal" w:pos="674"/>
              </w:tabs>
              <w:spacing w:before="10" w:after="20"/>
              <w:rPr>
                <w:rFonts w:cstheme="minorHAnsi"/>
                <w:sz w:val="19"/>
                <w:szCs w:val="19"/>
              </w:rPr>
            </w:pPr>
            <w:r w:rsidRPr="00D57031">
              <w:rPr>
                <w:rFonts w:cstheme="minorHAnsi"/>
                <w:sz w:val="19"/>
                <w:szCs w:val="19"/>
              </w:rPr>
              <w:t>39.6</w:t>
            </w:r>
          </w:p>
        </w:tc>
        <w:tc>
          <w:tcPr>
            <w:tcW w:w="1004" w:type="dxa"/>
            <w:tcBorders>
              <w:top w:val="nil"/>
              <w:left w:val="nil"/>
              <w:bottom w:val="single" w:sz="4" w:space="0" w:color="auto"/>
              <w:right w:val="nil"/>
            </w:tcBorders>
            <w:shd w:val="clear" w:color="auto" w:fill="auto"/>
            <w:noWrap/>
            <w:vAlign w:val="bottom"/>
            <w:hideMark/>
          </w:tcPr>
          <w:p w:rsidR="00685BE5" w:rsidRPr="00D57031" w:rsidRDefault="00685BE5" w:rsidP="00A06AE2">
            <w:pPr>
              <w:tabs>
                <w:tab w:val="decimal" w:pos="469"/>
              </w:tabs>
              <w:spacing w:before="10" w:after="20"/>
              <w:rPr>
                <w:rFonts w:cstheme="minorHAnsi"/>
                <w:sz w:val="19"/>
                <w:szCs w:val="19"/>
              </w:rPr>
            </w:pPr>
            <w:r w:rsidRPr="00D57031">
              <w:rPr>
                <w:rFonts w:cstheme="minorHAnsi"/>
                <w:sz w:val="19"/>
                <w:szCs w:val="19"/>
              </w:rPr>
              <w:t>23.7</w:t>
            </w:r>
          </w:p>
        </w:tc>
      </w:tr>
      <w:tr w:rsidR="00807DF2" w:rsidRPr="009C368A" w:rsidTr="00D57031">
        <w:trPr>
          <w:cantSplit/>
        </w:trPr>
        <w:tc>
          <w:tcPr>
            <w:tcW w:w="9881" w:type="dxa"/>
            <w:gridSpan w:val="7"/>
            <w:tcBorders>
              <w:top w:val="single" w:sz="4" w:space="0" w:color="auto"/>
              <w:left w:val="nil"/>
              <w:bottom w:val="single" w:sz="4" w:space="0" w:color="auto"/>
              <w:right w:val="nil"/>
            </w:tcBorders>
            <w:shd w:val="clear" w:color="auto" w:fill="auto"/>
            <w:noWrap/>
            <w:vAlign w:val="bottom"/>
          </w:tcPr>
          <w:p w:rsidR="00807DF2" w:rsidRPr="00D57031" w:rsidRDefault="00807DF2" w:rsidP="00A06AE2">
            <w:pPr>
              <w:tabs>
                <w:tab w:val="decimal" w:pos="546"/>
              </w:tabs>
              <w:spacing w:before="10" w:after="20"/>
              <w:rPr>
                <w:rFonts w:cstheme="minorHAnsi"/>
                <w:sz w:val="19"/>
                <w:szCs w:val="19"/>
              </w:rPr>
            </w:pPr>
            <w:r w:rsidRPr="00D57031">
              <w:rPr>
                <w:rFonts w:cstheme="minorHAnsi"/>
                <w:b/>
                <w:sz w:val="19"/>
                <w:szCs w:val="19"/>
              </w:rPr>
              <w:t>Total number of outlets  697</w:t>
            </w:r>
          </w:p>
        </w:tc>
      </w:tr>
    </w:tbl>
    <w:p w:rsidR="00685BE5" w:rsidRPr="007D2274" w:rsidRDefault="00685BE5" w:rsidP="00AE4C3A">
      <w:pPr>
        <w:pStyle w:val="NILSReference"/>
      </w:pPr>
      <w:r w:rsidRPr="007D2274">
        <w:t>Source: 2014 NDIS DSP outlet survey, Question C7.</w:t>
      </w:r>
    </w:p>
    <w:p w:rsidR="00685BE5" w:rsidRPr="007D2274" w:rsidRDefault="00685BE5" w:rsidP="00AE4C3A">
      <w:pPr>
        <w:pStyle w:val="NILSReference"/>
      </w:pPr>
      <w:r w:rsidRPr="007D2274">
        <w:t>Note: Row percentages are shown.</w:t>
      </w:r>
    </w:p>
    <w:p w:rsidR="003A37B0" w:rsidRDefault="003A37B0">
      <w:pPr>
        <w:rPr>
          <w:rFonts w:cstheme="minorHAnsi"/>
        </w:rPr>
      </w:pPr>
    </w:p>
    <w:p w:rsidR="00685BE5" w:rsidRDefault="00685BE5">
      <w:pPr>
        <w:rPr>
          <w:rFonts w:cstheme="minorHAnsi"/>
        </w:rPr>
      </w:pPr>
      <w:r>
        <w:rPr>
          <w:rFonts w:cstheme="minorHAnsi"/>
        </w:rPr>
        <w:t>Table 4.</w:t>
      </w:r>
      <w:r w:rsidRPr="003E3CE5">
        <w:rPr>
          <w:rFonts w:cstheme="minorHAnsi"/>
        </w:rPr>
        <w:t xml:space="preserve">8 shows that the </w:t>
      </w:r>
      <w:r>
        <w:rPr>
          <w:rFonts w:cstheme="minorHAnsi"/>
        </w:rPr>
        <w:t xml:space="preserve">outlet </w:t>
      </w:r>
      <w:r w:rsidRPr="003E3CE5">
        <w:rPr>
          <w:rFonts w:cstheme="minorHAnsi"/>
        </w:rPr>
        <w:t xml:space="preserve">responses </w:t>
      </w:r>
      <w:r>
        <w:rPr>
          <w:rFonts w:cstheme="minorHAnsi"/>
        </w:rPr>
        <w:t>to</w:t>
      </w:r>
      <w:r w:rsidRPr="003E3CE5">
        <w:rPr>
          <w:rFonts w:cstheme="minorHAnsi"/>
        </w:rPr>
        <w:t xml:space="preserve"> skill shortages </w:t>
      </w:r>
      <w:r>
        <w:rPr>
          <w:rFonts w:cstheme="minorHAnsi"/>
        </w:rPr>
        <w:t>we</w:t>
      </w:r>
      <w:r w:rsidRPr="003E3CE5">
        <w:rPr>
          <w:rFonts w:cstheme="minorHAnsi"/>
        </w:rPr>
        <w:t>re diverse</w:t>
      </w:r>
      <w:r>
        <w:rPr>
          <w:rFonts w:cstheme="minorHAnsi"/>
        </w:rPr>
        <w:t>:</w:t>
      </w:r>
      <w:r w:rsidRPr="003E3CE5">
        <w:rPr>
          <w:rFonts w:cstheme="minorHAnsi"/>
        </w:rPr>
        <w:t xml:space="preserve"> </w:t>
      </w:r>
      <w:r>
        <w:rPr>
          <w:rFonts w:cstheme="minorHAnsi"/>
        </w:rPr>
        <w:t>very</w:t>
      </w:r>
      <w:r w:rsidRPr="003E3CE5">
        <w:rPr>
          <w:rFonts w:cstheme="minorHAnsi"/>
        </w:rPr>
        <w:t xml:space="preserve"> few of these responses to skill shortages </w:t>
      </w:r>
      <w:r>
        <w:rPr>
          <w:rFonts w:cstheme="minorHAnsi"/>
        </w:rPr>
        <w:t xml:space="preserve">were </w:t>
      </w:r>
      <w:r w:rsidRPr="003E3CE5">
        <w:rPr>
          <w:rFonts w:cstheme="minorHAnsi"/>
        </w:rPr>
        <w:t>adopted in all situations (</w:t>
      </w:r>
      <w:r>
        <w:rPr>
          <w:rFonts w:cstheme="minorHAnsi"/>
        </w:rPr>
        <w:t xml:space="preserve">less than 5 </w:t>
      </w:r>
      <w:r w:rsidRPr="003E3CE5">
        <w:rPr>
          <w:rFonts w:cstheme="minorHAnsi"/>
        </w:rPr>
        <w:t xml:space="preserve">per cent of outlet managers always made use of </w:t>
      </w:r>
      <w:r>
        <w:rPr>
          <w:rFonts w:cstheme="minorHAnsi"/>
        </w:rPr>
        <w:t xml:space="preserve">a </w:t>
      </w:r>
      <w:r w:rsidRPr="003E3CE5">
        <w:rPr>
          <w:rFonts w:cstheme="minorHAnsi"/>
        </w:rPr>
        <w:t>particular measure</w:t>
      </w:r>
      <w:r>
        <w:rPr>
          <w:rFonts w:cstheme="minorHAnsi"/>
        </w:rPr>
        <w:t>, the most common being</w:t>
      </w:r>
      <w:r w:rsidRPr="003E3CE5">
        <w:rPr>
          <w:rFonts w:cstheme="minorHAnsi"/>
        </w:rPr>
        <w:t xml:space="preserve"> on-the-job or internal training of </w:t>
      </w:r>
      <w:r>
        <w:rPr>
          <w:rFonts w:cstheme="minorHAnsi"/>
        </w:rPr>
        <w:t>employees)</w:t>
      </w:r>
      <w:r w:rsidRPr="003E3CE5">
        <w:rPr>
          <w:rFonts w:cstheme="minorHAnsi"/>
        </w:rPr>
        <w:t xml:space="preserve">. </w:t>
      </w:r>
      <w:r>
        <w:rPr>
          <w:rFonts w:cstheme="minorHAnsi"/>
        </w:rPr>
        <w:t>However, 46 per cent of managers used this strategy at least some of the time and only 11 per cent said they never used this strategy to respond to skill shortages.</w:t>
      </w:r>
    </w:p>
    <w:p w:rsidR="003A37B0" w:rsidRDefault="003A37B0">
      <w:pPr>
        <w:rPr>
          <w:rFonts w:cstheme="minorHAnsi"/>
        </w:rPr>
      </w:pPr>
    </w:p>
    <w:p w:rsidR="00685BE5" w:rsidRDefault="00685BE5">
      <w:pPr>
        <w:rPr>
          <w:rFonts w:cstheme="minorHAnsi"/>
        </w:rPr>
      </w:pPr>
      <w:r>
        <w:rPr>
          <w:rFonts w:cstheme="minorHAnsi"/>
        </w:rPr>
        <w:t xml:space="preserve">Other strategies that had been adopted in the last 12 months by more than a third of outlets were more </w:t>
      </w:r>
      <w:r w:rsidRPr="00C3267C">
        <w:rPr>
          <w:rFonts w:cstheme="minorHAnsi"/>
        </w:rPr>
        <w:t xml:space="preserve">use of external training of </w:t>
      </w:r>
      <w:r>
        <w:rPr>
          <w:rFonts w:cstheme="minorHAnsi"/>
        </w:rPr>
        <w:t>employees</w:t>
      </w:r>
      <w:r w:rsidRPr="00C3267C">
        <w:rPr>
          <w:rFonts w:cstheme="minorHAnsi"/>
        </w:rPr>
        <w:t xml:space="preserve"> </w:t>
      </w:r>
      <w:r>
        <w:rPr>
          <w:rFonts w:cstheme="minorHAnsi"/>
        </w:rPr>
        <w:t>(37 per cent at least some of the time) and their e</w:t>
      </w:r>
      <w:r w:rsidRPr="00C3267C">
        <w:rPr>
          <w:rFonts w:cstheme="minorHAnsi"/>
        </w:rPr>
        <w:t>xisting</w:t>
      </w:r>
      <w:r>
        <w:rPr>
          <w:rFonts w:cstheme="minorHAnsi"/>
        </w:rPr>
        <w:t xml:space="preserve"> workforce working longer hours e.g. overtime (37 per cent</w:t>
      </w:r>
      <w:r w:rsidRPr="00286854">
        <w:rPr>
          <w:rFonts w:cstheme="minorHAnsi"/>
        </w:rPr>
        <w:t xml:space="preserve"> </w:t>
      </w:r>
      <w:r>
        <w:rPr>
          <w:rFonts w:cstheme="minorHAnsi"/>
        </w:rPr>
        <w:t xml:space="preserve">at least some of the time). </w:t>
      </w:r>
    </w:p>
    <w:p w:rsidR="003A37B0" w:rsidRDefault="003A37B0">
      <w:pPr>
        <w:rPr>
          <w:rFonts w:cstheme="minorHAnsi"/>
        </w:rPr>
      </w:pPr>
    </w:p>
    <w:p w:rsidR="00685BE5" w:rsidRDefault="00685BE5" w:rsidP="00AE4C3A">
      <w:pPr>
        <w:rPr>
          <w:rFonts w:cstheme="minorHAnsi"/>
        </w:rPr>
      </w:pPr>
      <w:r>
        <w:rPr>
          <w:rFonts w:cstheme="minorHAnsi"/>
        </w:rPr>
        <w:t xml:space="preserve">The strategies used to deal with skill shortages centred on development of and more extensive use of their existing workforce. Managers reported that it was relatively uncommon to supplement their workforce with agency staff or volunteers, sub-contract or outsource work, or reduce the amount of service provision. The implication of these types of responses is that, should outlets be faced in the future with substantially higher levels of skills shortage, presumably due to increased demand for some or all of their services, it is likely that they would face limitations from their current preferred strategies and would have to look to make use of a broader range of strategies. This finding is mirrored in the hiring expectations reported in Section 4.2.4. </w:t>
      </w:r>
    </w:p>
    <w:p w:rsidR="00685BE5" w:rsidRDefault="00685BE5">
      <w:pPr>
        <w:rPr>
          <w:b/>
          <w:sz w:val="20"/>
        </w:rPr>
      </w:pPr>
    </w:p>
    <w:p w:rsidR="00A06AE2" w:rsidRDefault="00A06AE2">
      <w:pPr>
        <w:rPr>
          <w:b/>
          <w:sz w:val="20"/>
        </w:rPr>
      </w:pPr>
      <w:bookmarkStart w:id="509" w:name="_Toc428279212"/>
      <w:r>
        <w:br w:type="page"/>
      </w:r>
    </w:p>
    <w:p w:rsidR="00685BE5" w:rsidRPr="005A2670" w:rsidRDefault="00685BE5" w:rsidP="0044684E">
      <w:pPr>
        <w:pStyle w:val="NILSTableHeading"/>
      </w:pPr>
      <w:bookmarkStart w:id="510" w:name="_Toc449955342"/>
      <w:r>
        <w:lastRenderedPageBreak/>
        <w:t>Table 4.</w:t>
      </w:r>
      <w:r w:rsidRPr="005A2670">
        <w:t xml:space="preserve">8: </w:t>
      </w:r>
      <w:r>
        <w:t>Outlet r</w:t>
      </w:r>
      <w:r w:rsidRPr="005A2670">
        <w:t>esponses</w:t>
      </w:r>
      <w:r>
        <w:t xml:space="preserve"> to skill shortages</w:t>
      </w:r>
      <w:bookmarkEnd w:id="510"/>
      <w:r>
        <w:t xml:space="preserve"> </w:t>
      </w:r>
      <w:bookmarkEnd w:id="509"/>
    </w:p>
    <w:tbl>
      <w:tblPr>
        <w:tblW w:w="10058" w:type="dxa"/>
        <w:tblInd w:w="-176" w:type="dxa"/>
        <w:tblLayout w:type="fixed"/>
        <w:tblLook w:val="04A0" w:firstRow="1" w:lastRow="0" w:firstColumn="1" w:lastColumn="0" w:noHBand="0" w:noVBand="1"/>
        <w:tblCaption w:val="Table 4.8 Outlet responses to skill shortages (per cent)"/>
      </w:tblPr>
      <w:tblGrid>
        <w:gridCol w:w="4559"/>
        <w:gridCol w:w="705"/>
        <w:gridCol w:w="974"/>
        <w:gridCol w:w="907"/>
        <w:gridCol w:w="794"/>
        <w:gridCol w:w="1191"/>
        <w:gridCol w:w="889"/>
        <w:gridCol w:w="39"/>
      </w:tblGrid>
      <w:tr w:rsidR="00BF5EB3" w:rsidRPr="009B3265" w:rsidTr="00C77B88">
        <w:trPr>
          <w:gridAfter w:val="1"/>
          <w:wAfter w:w="39" w:type="dxa"/>
          <w:cantSplit/>
          <w:tblHeader/>
        </w:trPr>
        <w:tc>
          <w:tcPr>
            <w:tcW w:w="4559" w:type="dxa"/>
            <w:tcBorders>
              <w:top w:val="single" w:sz="4" w:space="0" w:color="auto"/>
              <w:left w:val="nil"/>
              <w:bottom w:val="single" w:sz="4" w:space="0" w:color="auto"/>
              <w:right w:val="nil"/>
            </w:tcBorders>
            <w:shd w:val="clear" w:color="auto" w:fill="auto"/>
            <w:noWrap/>
            <w:hideMark/>
          </w:tcPr>
          <w:p w:rsidR="00BF5EB3" w:rsidRPr="00E3331B" w:rsidRDefault="00BF5EB3" w:rsidP="00A06AE2">
            <w:pPr>
              <w:spacing w:before="20" w:after="20"/>
              <w:rPr>
                <w:rFonts w:cstheme="minorHAnsi"/>
                <w:sz w:val="19"/>
                <w:szCs w:val="19"/>
              </w:rPr>
            </w:pPr>
            <w:bookmarkStart w:id="511" w:name="Title_4_8"/>
            <w:bookmarkEnd w:id="511"/>
          </w:p>
        </w:tc>
        <w:tc>
          <w:tcPr>
            <w:tcW w:w="705" w:type="dxa"/>
            <w:tcBorders>
              <w:top w:val="single" w:sz="4" w:space="0" w:color="auto"/>
              <w:left w:val="nil"/>
              <w:bottom w:val="single" w:sz="4" w:space="0" w:color="auto"/>
              <w:right w:val="nil"/>
            </w:tcBorders>
            <w:shd w:val="clear" w:color="auto" w:fill="auto"/>
            <w:noWrap/>
            <w:vAlign w:val="bottom"/>
            <w:hideMark/>
          </w:tcPr>
          <w:p w:rsidR="00BF5EB3" w:rsidRDefault="00BF5EB3" w:rsidP="00595174">
            <w:pPr>
              <w:spacing w:before="10" w:after="20"/>
              <w:jc w:val="center"/>
              <w:rPr>
                <w:rFonts w:cstheme="minorHAnsi"/>
                <w:bCs/>
                <w:sz w:val="20"/>
                <w:szCs w:val="20"/>
              </w:rPr>
            </w:pPr>
            <w:r w:rsidRPr="009C368A">
              <w:rPr>
                <w:rFonts w:cstheme="minorHAnsi"/>
                <w:bCs/>
                <w:sz w:val="20"/>
                <w:szCs w:val="20"/>
              </w:rPr>
              <w:t>Never</w:t>
            </w:r>
          </w:p>
          <w:p w:rsidR="00BF5EB3" w:rsidRPr="009C368A" w:rsidRDefault="00BF5EB3" w:rsidP="00595174">
            <w:pPr>
              <w:spacing w:before="10" w:after="20"/>
              <w:jc w:val="center"/>
              <w:rPr>
                <w:rFonts w:cstheme="minorHAnsi"/>
                <w:bCs/>
                <w:sz w:val="20"/>
                <w:szCs w:val="20"/>
              </w:rPr>
            </w:pPr>
            <w:r>
              <w:rPr>
                <w:rFonts w:cstheme="minorHAnsi"/>
                <w:bCs/>
                <w:sz w:val="20"/>
                <w:szCs w:val="20"/>
              </w:rPr>
              <w:t>%</w:t>
            </w:r>
          </w:p>
        </w:tc>
        <w:tc>
          <w:tcPr>
            <w:tcW w:w="974" w:type="dxa"/>
            <w:tcBorders>
              <w:top w:val="single" w:sz="4" w:space="0" w:color="auto"/>
              <w:left w:val="nil"/>
              <w:bottom w:val="single" w:sz="4" w:space="0" w:color="auto"/>
              <w:right w:val="nil"/>
            </w:tcBorders>
            <w:shd w:val="clear" w:color="auto" w:fill="auto"/>
            <w:vAlign w:val="bottom"/>
            <w:hideMark/>
          </w:tcPr>
          <w:p w:rsidR="00BF5EB3" w:rsidRDefault="00BF5EB3" w:rsidP="00595174">
            <w:pPr>
              <w:spacing w:before="10" w:after="20"/>
              <w:jc w:val="center"/>
              <w:rPr>
                <w:rFonts w:cstheme="minorHAnsi"/>
                <w:bCs/>
                <w:sz w:val="20"/>
                <w:szCs w:val="20"/>
              </w:rPr>
            </w:pPr>
            <w:r w:rsidRPr="009C368A">
              <w:rPr>
                <w:rFonts w:cstheme="minorHAnsi"/>
                <w:bCs/>
                <w:sz w:val="20"/>
                <w:szCs w:val="20"/>
              </w:rPr>
              <w:t>Some of the time</w:t>
            </w:r>
          </w:p>
          <w:p w:rsidR="00BF5EB3" w:rsidRPr="009C368A" w:rsidRDefault="00BF5EB3" w:rsidP="00595174">
            <w:pPr>
              <w:spacing w:before="10" w:after="20"/>
              <w:jc w:val="center"/>
              <w:rPr>
                <w:rFonts w:cstheme="minorHAnsi"/>
                <w:bCs/>
                <w:sz w:val="20"/>
                <w:szCs w:val="20"/>
              </w:rPr>
            </w:pPr>
            <w:r>
              <w:rPr>
                <w:rFonts w:cstheme="minorHAnsi"/>
                <w:bCs/>
                <w:sz w:val="20"/>
                <w:szCs w:val="20"/>
              </w:rPr>
              <w:t>%</w:t>
            </w:r>
          </w:p>
        </w:tc>
        <w:tc>
          <w:tcPr>
            <w:tcW w:w="907" w:type="dxa"/>
            <w:tcBorders>
              <w:top w:val="single" w:sz="4" w:space="0" w:color="auto"/>
              <w:left w:val="nil"/>
              <w:bottom w:val="single" w:sz="4" w:space="0" w:color="auto"/>
              <w:right w:val="nil"/>
            </w:tcBorders>
            <w:shd w:val="clear" w:color="auto" w:fill="auto"/>
            <w:vAlign w:val="bottom"/>
            <w:hideMark/>
          </w:tcPr>
          <w:p w:rsidR="00BF5EB3" w:rsidRPr="009C368A" w:rsidRDefault="00BF5EB3" w:rsidP="00595174">
            <w:pPr>
              <w:spacing w:before="10" w:after="20"/>
              <w:jc w:val="center"/>
              <w:rPr>
                <w:rFonts w:cstheme="minorHAnsi"/>
                <w:bCs/>
                <w:sz w:val="20"/>
                <w:szCs w:val="20"/>
              </w:rPr>
            </w:pPr>
            <w:r w:rsidRPr="009C368A">
              <w:rPr>
                <w:rFonts w:cstheme="minorHAnsi"/>
                <w:bCs/>
                <w:sz w:val="20"/>
                <w:szCs w:val="20"/>
              </w:rPr>
              <w:t>Most of the time</w:t>
            </w:r>
            <w:r>
              <w:rPr>
                <w:rFonts w:cstheme="minorHAnsi"/>
                <w:bCs/>
                <w:sz w:val="20"/>
                <w:szCs w:val="20"/>
              </w:rPr>
              <w:t xml:space="preserve"> %</w:t>
            </w:r>
          </w:p>
        </w:tc>
        <w:tc>
          <w:tcPr>
            <w:tcW w:w="794" w:type="dxa"/>
            <w:tcBorders>
              <w:top w:val="single" w:sz="4" w:space="0" w:color="auto"/>
              <w:left w:val="nil"/>
              <w:bottom w:val="single" w:sz="4" w:space="0" w:color="auto"/>
              <w:right w:val="nil"/>
            </w:tcBorders>
            <w:shd w:val="clear" w:color="auto" w:fill="auto"/>
            <w:noWrap/>
            <w:vAlign w:val="bottom"/>
            <w:hideMark/>
          </w:tcPr>
          <w:p w:rsidR="00BF5EB3" w:rsidRDefault="00BF5EB3" w:rsidP="00595174">
            <w:pPr>
              <w:spacing w:before="10" w:after="20"/>
              <w:jc w:val="center"/>
              <w:rPr>
                <w:rFonts w:cstheme="minorHAnsi"/>
                <w:bCs/>
                <w:sz w:val="20"/>
                <w:szCs w:val="20"/>
              </w:rPr>
            </w:pPr>
            <w:r w:rsidRPr="009C368A">
              <w:rPr>
                <w:rFonts w:cstheme="minorHAnsi"/>
                <w:bCs/>
                <w:sz w:val="20"/>
                <w:szCs w:val="20"/>
              </w:rPr>
              <w:t>Always</w:t>
            </w:r>
          </w:p>
          <w:p w:rsidR="00BF5EB3" w:rsidRPr="009C368A" w:rsidRDefault="00BF5EB3" w:rsidP="00595174">
            <w:pPr>
              <w:spacing w:before="10" w:after="20"/>
              <w:jc w:val="center"/>
              <w:rPr>
                <w:rFonts w:cstheme="minorHAnsi"/>
                <w:bCs/>
                <w:sz w:val="20"/>
                <w:szCs w:val="20"/>
              </w:rPr>
            </w:pPr>
            <w:r>
              <w:rPr>
                <w:rFonts w:cstheme="minorHAnsi"/>
                <w:bCs/>
                <w:sz w:val="20"/>
                <w:szCs w:val="20"/>
              </w:rPr>
              <w:t>%</w:t>
            </w:r>
          </w:p>
        </w:tc>
        <w:tc>
          <w:tcPr>
            <w:tcW w:w="1191" w:type="dxa"/>
            <w:tcBorders>
              <w:top w:val="single" w:sz="4" w:space="0" w:color="auto"/>
              <w:left w:val="nil"/>
              <w:bottom w:val="single" w:sz="4" w:space="0" w:color="auto"/>
              <w:right w:val="nil"/>
            </w:tcBorders>
            <w:shd w:val="clear" w:color="auto" w:fill="auto"/>
            <w:noWrap/>
            <w:vAlign w:val="bottom"/>
            <w:hideMark/>
          </w:tcPr>
          <w:p w:rsidR="00BF5EB3" w:rsidRDefault="00BF5EB3" w:rsidP="00595174">
            <w:pPr>
              <w:spacing w:before="10" w:after="20"/>
              <w:ind w:left="-61" w:right="-147" w:hanging="47"/>
              <w:jc w:val="center"/>
              <w:rPr>
                <w:rFonts w:cstheme="minorHAnsi"/>
                <w:bCs/>
                <w:sz w:val="20"/>
                <w:szCs w:val="20"/>
              </w:rPr>
            </w:pPr>
            <w:r w:rsidRPr="009C368A">
              <w:rPr>
                <w:rFonts w:cstheme="minorHAnsi"/>
                <w:bCs/>
                <w:sz w:val="20"/>
                <w:szCs w:val="20"/>
              </w:rPr>
              <w:t>Question not answered</w:t>
            </w:r>
          </w:p>
          <w:p w:rsidR="00BF5EB3" w:rsidRPr="009C368A" w:rsidRDefault="00BF5EB3" w:rsidP="00595174">
            <w:pPr>
              <w:spacing w:before="10" w:after="20"/>
              <w:jc w:val="center"/>
              <w:rPr>
                <w:rFonts w:cstheme="minorHAnsi"/>
                <w:bCs/>
                <w:sz w:val="20"/>
                <w:szCs w:val="20"/>
              </w:rPr>
            </w:pPr>
            <w:r>
              <w:rPr>
                <w:rFonts w:cstheme="minorHAnsi"/>
                <w:bCs/>
                <w:sz w:val="20"/>
                <w:szCs w:val="20"/>
              </w:rPr>
              <w:t>%</w:t>
            </w:r>
          </w:p>
        </w:tc>
        <w:tc>
          <w:tcPr>
            <w:tcW w:w="889" w:type="dxa"/>
            <w:tcBorders>
              <w:top w:val="single" w:sz="4" w:space="0" w:color="auto"/>
              <w:left w:val="nil"/>
              <w:bottom w:val="single" w:sz="4" w:space="0" w:color="auto"/>
              <w:right w:val="nil"/>
            </w:tcBorders>
            <w:shd w:val="clear" w:color="auto" w:fill="auto"/>
            <w:vAlign w:val="bottom"/>
            <w:hideMark/>
          </w:tcPr>
          <w:p w:rsidR="00BF5EB3" w:rsidRDefault="00BF5EB3" w:rsidP="00595174">
            <w:pPr>
              <w:spacing w:before="10" w:after="20"/>
              <w:ind w:left="-108" w:right="-108"/>
              <w:jc w:val="center"/>
              <w:rPr>
                <w:rFonts w:cstheme="minorHAnsi"/>
                <w:bCs/>
                <w:sz w:val="20"/>
                <w:szCs w:val="20"/>
              </w:rPr>
            </w:pPr>
            <w:r w:rsidRPr="009C368A">
              <w:rPr>
                <w:rFonts w:cstheme="minorHAnsi"/>
                <w:bCs/>
                <w:sz w:val="20"/>
                <w:szCs w:val="20"/>
              </w:rPr>
              <w:t>Not applicable</w:t>
            </w:r>
          </w:p>
          <w:p w:rsidR="00BF5EB3" w:rsidRPr="009C368A" w:rsidRDefault="00BF5EB3" w:rsidP="00595174">
            <w:pPr>
              <w:spacing w:before="10" w:after="20"/>
              <w:jc w:val="center"/>
              <w:rPr>
                <w:rFonts w:cstheme="minorHAnsi"/>
                <w:bCs/>
                <w:sz w:val="20"/>
                <w:szCs w:val="20"/>
              </w:rPr>
            </w:pPr>
            <w:r>
              <w:rPr>
                <w:rFonts w:cstheme="minorHAnsi"/>
                <w:bCs/>
                <w:sz w:val="20"/>
                <w:szCs w:val="20"/>
              </w:rPr>
              <w:t>%</w:t>
            </w:r>
          </w:p>
        </w:tc>
      </w:tr>
      <w:tr w:rsidR="00BF5EB3" w:rsidRPr="009B3265" w:rsidTr="00C77B88">
        <w:trPr>
          <w:gridAfter w:val="1"/>
          <w:wAfter w:w="39" w:type="dxa"/>
        </w:trPr>
        <w:tc>
          <w:tcPr>
            <w:tcW w:w="4559" w:type="dxa"/>
            <w:tcBorders>
              <w:top w:val="single" w:sz="4" w:space="0" w:color="auto"/>
              <w:left w:val="nil"/>
              <w:bottom w:val="nil"/>
              <w:right w:val="nil"/>
            </w:tcBorders>
            <w:shd w:val="clear" w:color="auto" w:fill="auto"/>
            <w:noWrap/>
            <w:vAlign w:val="bottom"/>
            <w:hideMark/>
          </w:tcPr>
          <w:p w:rsidR="00BF5EB3" w:rsidRPr="00E3331B" w:rsidRDefault="00BF5EB3" w:rsidP="00A06AE2">
            <w:pPr>
              <w:spacing w:before="20" w:after="20"/>
              <w:rPr>
                <w:rFonts w:cstheme="minorHAnsi"/>
                <w:sz w:val="19"/>
                <w:szCs w:val="19"/>
              </w:rPr>
            </w:pPr>
            <w:r w:rsidRPr="00E3331B">
              <w:rPr>
                <w:rFonts w:cstheme="minorHAnsi"/>
                <w:sz w:val="19"/>
                <w:szCs w:val="19"/>
              </w:rPr>
              <w:t>More use of external training of staff</w:t>
            </w:r>
          </w:p>
        </w:tc>
        <w:tc>
          <w:tcPr>
            <w:tcW w:w="705" w:type="dxa"/>
            <w:tcBorders>
              <w:top w:val="single" w:sz="4" w:space="0" w:color="auto"/>
              <w:left w:val="nil"/>
              <w:bottom w:val="nil"/>
              <w:right w:val="nil"/>
            </w:tcBorders>
            <w:shd w:val="clear" w:color="auto" w:fill="auto"/>
            <w:noWrap/>
            <w:vAlign w:val="bottom"/>
            <w:hideMark/>
          </w:tcPr>
          <w:p w:rsidR="00BF5EB3" w:rsidRPr="00E3331B" w:rsidRDefault="00BF5EB3" w:rsidP="00A06AE2">
            <w:pPr>
              <w:tabs>
                <w:tab w:val="decimal" w:pos="295"/>
              </w:tabs>
              <w:spacing w:before="20" w:after="20"/>
              <w:rPr>
                <w:rFonts w:cstheme="minorHAnsi"/>
                <w:sz w:val="19"/>
                <w:szCs w:val="19"/>
              </w:rPr>
            </w:pPr>
            <w:r w:rsidRPr="00E3331B">
              <w:rPr>
                <w:rFonts w:cstheme="minorHAnsi"/>
                <w:sz w:val="19"/>
                <w:szCs w:val="19"/>
              </w:rPr>
              <w:t>18.2</w:t>
            </w:r>
          </w:p>
        </w:tc>
        <w:tc>
          <w:tcPr>
            <w:tcW w:w="974" w:type="dxa"/>
            <w:tcBorders>
              <w:top w:val="single" w:sz="4" w:space="0" w:color="auto"/>
              <w:left w:val="nil"/>
              <w:bottom w:val="nil"/>
              <w:right w:val="nil"/>
            </w:tcBorders>
            <w:shd w:val="clear" w:color="auto" w:fill="auto"/>
            <w:noWrap/>
            <w:vAlign w:val="bottom"/>
            <w:hideMark/>
          </w:tcPr>
          <w:p w:rsidR="00BF5EB3" w:rsidRPr="00E3331B" w:rsidRDefault="00BF5EB3" w:rsidP="00A06AE2">
            <w:pPr>
              <w:tabs>
                <w:tab w:val="decimal" w:pos="452"/>
              </w:tabs>
              <w:spacing w:before="20" w:after="20"/>
              <w:rPr>
                <w:rFonts w:cstheme="minorHAnsi"/>
                <w:sz w:val="19"/>
                <w:szCs w:val="19"/>
              </w:rPr>
            </w:pPr>
            <w:r w:rsidRPr="00E3331B">
              <w:rPr>
                <w:rFonts w:cstheme="minorHAnsi"/>
                <w:sz w:val="19"/>
                <w:szCs w:val="19"/>
              </w:rPr>
              <w:t>31.7</w:t>
            </w:r>
          </w:p>
        </w:tc>
        <w:tc>
          <w:tcPr>
            <w:tcW w:w="907" w:type="dxa"/>
            <w:tcBorders>
              <w:top w:val="single" w:sz="4" w:space="0" w:color="auto"/>
              <w:left w:val="nil"/>
              <w:bottom w:val="nil"/>
              <w:right w:val="nil"/>
            </w:tcBorders>
            <w:shd w:val="clear" w:color="auto" w:fill="auto"/>
            <w:noWrap/>
            <w:vAlign w:val="bottom"/>
            <w:hideMark/>
          </w:tcPr>
          <w:p w:rsidR="00BF5EB3" w:rsidRPr="00E3331B" w:rsidRDefault="00BF5EB3" w:rsidP="00A06AE2">
            <w:pPr>
              <w:tabs>
                <w:tab w:val="decimal" w:pos="357"/>
              </w:tabs>
              <w:spacing w:before="20" w:after="20"/>
              <w:rPr>
                <w:rFonts w:cstheme="minorHAnsi"/>
                <w:sz w:val="19"/>
                <w:szCs w:val="19"/>
              </w:rPr>
            </w:pPr>
            <w:r w:rsidRPr="00E3331B">
              <w:rPr>
                <w:rFonts w:cstheme="minorHAnsi"/>
                <w:sz w:val="19"/>
                <w:szCs w:val="19"/>
              </w:rPr>
              <w:t>4.6</w:t>
            </w:r>
          </w:p>
        </w:tc>
        <w:tc>
          <w:tcPr>
            <w:tcW w:w="794" w:type="dxa"/>
            <w:tcBorders>
              <w:top w:val="single" w:sz="4" w:space="0" w:color="auto"/>
              <w:left w:val="nil"/>
              <w:bottom w:val="nil"/>
              <w:right w:val="nil"/>
            </w:tcBorders>
            <w:shd w:val="clear" w:color="auto" w:fill="auto"/>
            <w:noWrap/>
            <w:vAlign w:val="bottom"/>
            <w:hideMark/>
          </w:tcPr>
          <w:p w:rsidR="00BF5EB3" w:rsidRPr="00E3331B" w:rsidRDefault="00BF5EB3" w:rsidP="00A06AE2">
            <w:pPr>
              <w:tabs>
                <w:tab w:val="decimal" w:pos="242"/>
              </w:tabs>
              <w:spacing w:before="20" w:after="20"/>
              <w:rPr>
                <w:rFonts w:cstheme="minorHAnsi"/>
                <w:sz w:val="19"/>
                <w:szCs w:val="19"/>
              </w:rPr>
            </w:pPr>
            <w:r w:rsidRPr="00E3331B">
              <w:rPr>
                <w:rFonts w:cstheme="minorHAnsi"/>
                <w:sz w:val="19"/>
                <w:szCs w:val="19"/>
              </w:rPr>
              <w:t>1.1</w:t>
            </w:r>
          </w:p>
        </w:tc>
        <w:tc>
          <w:tcPr>
            <w:tcW w:w="1191" w:type="dxa"/>
            <w:tcBorders>
              <w:top w:val="single" w:sz="4" w:space="0" w:color="auto"/>
              <w:left w:val="nil"/>
              <w:bottom w:val="nil"/>
              <w:right w:val="nil"/>
            </w:tcBorders>
            <w:shd w:val="clear" w:color="auto" w:fill="auto"/>
            <w:noWrap/>
            <w:vAlign w:val="bottom"/>
            <w:hideMark/>
          </w:tcPr>
          <w:p w:rsidR="00BF5EB3" w:rsidRPr="00E3331B" w:rsidRDefault="00BF5EB3" w:rsidP="00A06AE2">
            <w:pPr>
              <w:tabs>
                <w:tab w:val="decimal" w:pos="516"/>
              </w:tabs>
              <w:spacing w:before="20" w:after="20"/>
              <w:rPr>
                <w:rFonts w:cstheme="minorHAnsi"/>
                <w:sz w:val="19"/>
                <w:szCs w:val="19"/>
              </w:rPr>
            </w:pPr>
            <w:r w:rsidRPr="00E3331B">
              <w:rPr>
                <w:rFonts w:cstheme="minorHAnsi"/>
                <w:sz w:val="19"/>
                <w:szCs w:val="19"/>
              </w:rPr>
              <w:t>20.4</w:t>
            </w:r>
          </w:p>
        </w:tc>
        <w:tc>
          <w:tcPr>
            <w:tcW w:w="889" w:type="dxa"/>
            <w:tcBorders>
              <w:top w:val="single" w:sz="4" w:space="0" w:color="auto"/>
              <w:left w:val="nil"/>
              <w:bottom w:val="nil"/>
              <w:right w:val="nil"/>
            </w:tcBorders>
            <w:shd w:val="clear" w:color="auto" w:fill="auto"/>
            <w:noWrap/>
            <w:vAlign w:val="bottom"/>
            <w:hideMark/>
          </w:tcPr>
          <w:p w:rsidR="00BF5EB3" w:rsidRPr="00E3331B" w:rsidRDefault="00BF5EB3" w:rsidP="00A06AE2">
            <w:pPr>
              <w:tabs>
                <w:tab w:val="decimal" w:pos="516"/>
              </w:tabs>
              <w:spacing w:before="20" w:after="20"/>
              <w:rPr>
                <w:rFonts w:cstheme="minorHAnsi"/>
                <w:sz w:val="19"/>
                <w:szCs w:val="19"/>
              </w:rPr>
            </w:pPr>
            <w:r w:rsidRPr="00E3331B">
              <w:rPr>
                <w:rFonts w:cstheme="minorHAnsi"/>
                <w:sz w:val="19"/>
                <w:szCs w:val="19"/>
              </w:rPr>
              <w:t>24.0</w:t>
            </w:r>
          </w:p>
        </w:tc>
      </w:tr>
      <w:tr w:rsidR="00BF5EB3" w:rsidRPr="009B3265" w:rsidTr="00C77B88">
        <w:trPr>
          <w:gridAfter w:val="1"/>
          <w:wAfter w:w="39" w:type="dxa"/>
        </w:trPr>
        <w:tc>
          <w:tcPr>
            <w:tcW w:w="4559" w:type="dxa"/>
            <w:tcBorders>
              <w:top w:val="nil"/>
              <w:left w:val="nil"/>
              <w:bottom w:val="nil"/>
              <w:right w:val="nil"/>
            </w:tcBorders>
            <w:shd w:val="clear" w:color="auto" w:fill="auto"/>
            <w:noWrap/>
            <w:vAlign w:val="bottom"/>
            <w:hideMark/>
          </w:tcPr>
          <w:p w:rsidR="00BF5EB3" w:rsidRPr="00E3331B" w:rsidRDefault="00BF5EB3" w:rsidP="00A06AE2">
            <w:pPr>
              <w:spacing w:before="20" w:after="20"/>
              <w:rPr>
                <w:rFonts w:cstheme="minorHAnsi"/>
                <w:sz w:val="19"/>
                <w:szCs w:val="19"/>
              </w:rPr>
            </w:pPr>
            <w:r w:rsidRPr="00E3331B">
              <w:rPr>
                <w:rFonts w:cstheme="minorHAnsi"/>
                <w:sz w:val="19"/>
                <w:szCs w:val="19"/>
              </w:rPr>
              <w:t>More use of on-the-job or internal training of staff</w:t>
            </w:r>
          </w:p>
        </w:tc>
        <w:tc>
          <w:tcPr>
            <w:tcW w:w="705" w:type="dxa"/>
            <w:tcBorders>
              <w:top w:val="nil"/>
              <w:left w:val="nil"/>
              <w:bottom w:val="nil"/>
              <w:right w:val="nil"/>
            </w:tcBorders>
            <w:shd w:val="clear" w:color="auto" w:fill="auto"/>
            <w:noWrap/>
            <w:vAlign w:val="bottom"/>
            <w:hideMark/>
          </w:tcPr>
          <w:p w:rsidR="00BF5EB3" w:rsidRPr="00E3331B" w:rsidRDefault="00BF5EB3" w:rsidP="00A06AE2">
            <w:pPr>
              <w:tabs>
                <w:tab w:val="decimal" w:pos="295"/>
              </w:tabs>
              <w:spacing w:before="20" w:after="20"/>
              <w:rPr>
                <w:rFonts w:cstheme="minorHAnsi"/>
                <w:sz w:val="19"/>
                <w:szCs w:val="19"/>
              </w:rPr>
            </w:pPr>
            <w:r w:rsidRPr="00E3331B">
              <w:rPr>
                <w:rFonts w:cstheme="minorHAnsi"/>
                <w:sz w:val="19"/>
                <w:szCs w:val="19"/>
              </w:rPr>
              <w:t>10.8</w:t>
            </w:r>
          </w:p>
        </w:tc>
        <w:tc>
          <w:tcPr>
            <w:tcW w:w="974" w:type="dxa"/>
            <w:tcBorders>
              <w:top w:val="nil"/>
              <w:left w:val="nil"/>
              <w:bottom w:val="nil"/>
              <w:right w:val="nil"/>
            </w:tcBorders>
            <w:shd w:val="clear" w:color="auto" w:fill="auto"/>
            <w:noWrap/>
            <w:vAlign w:val="bottom"/>
            <w:hideMark/>
          </w:tcPr>
          <w:p w:rsidR="00BF5EB3" w:rsidRPr="00E3331B" w:rsidRDefault="00BF5EB3" w:rsidP="00A06AE2">
            <w:pPr>
              <w:tabs>
                <w:tab w:val="decimal" w:pos="452"/>
              </w:tabs>
              <w:spacing w:before="20" w:after="20"/>
              <w:rPr>
                <w:rFonts w:cstheme="minorHAnsi"/>
                <w:sz w:val="19"/>
                <w:szCs w:val="19"/>
              </w:rPr>
            </w:pPr>
            <w:r w:rsidRPr="00E3331B">
              <w:rPr>
                <w:rFonts w:cstheme="minorHAnsi"/>
                <w:sz w:val="19"/>
                <w:szCs w:val="19"/>
              </w:rPr>
              <w:t>23.7</w:t>
            </w:r>
          </w:p>
        </w:tc>
        <w:tc>
          <w:tcPr>
            <w:tcW w:w="907" w:type="dxa"/>
            <w:tcBorders>
              <w:top w:val="nil"/>
              <w:left w:val="nil"/>
              <w:bottom w:val="nil"/>
              <w:right w:val="nil"/>
            </w:tcBorders>
            <w:shd w:val="clear" w:color="auto" w:fill="auto"/>
            <w:noWrap/>
            <w:vAlign w:val="bottom"/>
            <w:hideMark/>
          </w:tcPr>
          <w:p w:rsidR="00BF5EB3" w:rsidRPr="00E3331B" w:rsidRDefault="00BF5EB3" w:rsidP="00A06AE2">
            <w:pPr>
              <w:tabs>
                <w:tab w:val="decimal" w:pos="357"/>
              </w:tabs>
              <w:spacing w:before="20" w:after="20"/>
              <w:rPr>
                <w:rFonts w:cstheme="minorHAnsi"/>
                <w:sz w:val="19"/>
                <w:szCs w:val="19"/>
              </w:rPr>
            </w:pPr>
            <w:r w:rsidRPr="00E3331B">
              <w:rPr>
                <w:rFonts w:cstheme="minorHAnsi"/>
                <w:sz w:val="19"/>
                <w:szCs w:val="19"/>
              </w:rPr>
              <w:t>17.6</w:t>
            </w:r>
          </w:p>
        </w:tc>
        <w:tc>
          <w:tcPr>
            <w:tcW w:w="794" w:type="dxa"/>
            <w:tcBorders>
              <w:top w:val="nil"/>
              <w:left w:val="nil"/>
              <w:bottom w:val="nil"/>
              <w:right w:val="nil"/>
            </w:tcBorders>
            <w:shd w:val="clear" w:color="auto" w:fill="auto"/>
            <w:noWrap/>
            <w:vAlign w:val="bottom"/>
            <w:hideMark/>
          </w:tcPr>
          <w:p w:rsidR="00BF5EB3" w:rsidRPr="00E3331B" w:rsidRDefault="00BF5EB3" w:rsidP="00A06AE2">
            <w:pPr>
              <w:tabs>
                <w:tab w:val="decimal" w:pos="242"/>
              </w:tabs>
              <w:spacing w:before="20" w:after="20"/>
              <w:rPr>
                <w:rFonts w:cstheme="minorHAnsi"/>
                <w:sz w:val="19"/>
                <w:szCs w:val="19"/>
              </w:rPr>
            </w:pPr>
            <w:r w:rsidRPr="00E3331B">
              <w:rPr>
                <w:rFonts w:cstheme="minorHAnsi"/>
                <w:sz w:val="19"/>
                <w:szCs w:val="19"/>
              </w:rPr>
              <w:t>4.9</w:t>
            </w:r>
          </w:p>
        </w:tc>
        <w:tc>
          <w:tcPr>
            <w:tcW w:w="1191" w:type="dxa"/>
            <w:tcBorders>
              <w:top w:val="nil"/>
              <w:left w:val="nil"/>
              <w:bottom w:val="nil"/>
              <w:right w:val="nil"/>
            </w:tcBorders>
            <w:shd w:val="clear" w:color="auto" w:fill="auto"/>
            <w:noWrap/>
            <w:vAlign w:val="bottom"/>
            <w:hideMark/>
          </w:tcPr>
          <w:p w:rsidR="00BF5EB3" w:rsidRPr="00E3331B" w:rsidRDefault="00BF5EB3" w:rsidP="00A06AE2">
            <w:pPr>
              <w:tabs>
                <w:tab w:val="decimal" w:pos="516"/>
              </w:tabs>
              <w:spacing w:before="20" w:after="20"/>
              <w:rPr>
                <w:rFonts w:cstheme="minorHAnsi"/>
                <w:sz w:val="19"/>
                <w:szCs w:val="19"/>
              </w:rPr>
            </w:pPr>
            <w:r w:rsidRPr="00E3331B">
              <w:rPr>
                <w:rFonts w:cstheme="minorHAnsi"/>
                <w:sz w:val="19"/>
                <w:szCs w:val="19"/>
              </w:rPr>
              <w:t>19.2</w:t>
            </w:r>
          </w:p>
        </w:tc>
        <w:tc>
          <w:tcPr>
            <w:tcW w:w="889" w:type="dxa"/>
            <w:tcBorders>
              <w:top w:val="nil"/>
              <w:left w:val="nil"/>
              <w:bottom w:val="nil"/>
              <w:right w:val="nil"/>
            </w:tcBorders>
            <w:shd w:val="clear" w:color="auto" w:fill="auto"/>
            <w:noWrap/>
            <w:vAlign w:val="bottom"/>
            <w:hideMark/>
          </w:tcPr>
          <w:p w:rsidR="00BF5EB3" w:rsidRPr="00E3331B" w:rsidRDefault="00BF5EB3" w:rsidP="00A06AE2">
            <w:pPr>
              <w:tabs>
                <w:tab w:val="decimal" w:pos="516"/>
              </w:tabs>
              <w:spacing w:before="20" w:after="20"/>
              <w:rPr>
                <w:rFonts w:cstheme="minorHAnsi"/>
                <w:sz w:val="19"/>
                <w:szCs w:val="19"/>
              </w:rPr>
            </w:pPr>
            <w:r w:rsidRPr="00E3331B">
              <w:rPr>
                <w:rFonts w:cstheme="minorHAnsi"/>
                <w:sz w:val="19"/>
                <w:szCs w:val="19"/>
              </w:rPr>
              <w:t>23.8</w:t>
            </w:r>
          </w:p>
        </w:tc>
      </w:tr>
      <w:tr w:rsidR="00BF5EB3" w:rsidRPr="009B3265" w:rsidTr="00C77B88">
        <w:trPr>
          <w:gridAfter w:val="1"/>
          <w:wAfter w:w="39" w:type="dxa"/>
        </w:trPr>
        <w:tc>
          <w:tcPr>
            <w:tcW w:w="4559" w:type="dxa"/>
            <w:tcBorders>
              <w:top w:val="nil"/>
              <w:left w:val="nil"/>
              <w:bottom w:val="nil"/>
              <w:right w:val="nil"/>
            </w:tcBorders>
            <w:shd w:val="clear" w:color="auto" w:fill="auto"/>
            <w:noWrap/>
            <w:vAlign w:val="bottom"/>
            <w:hideMark/>
          </w:tcPr>
          <w:p w:rsidR="00BF5EB3" w:rsidRPr="00E3331B" w:rsidRDefault="00BF5EB3" w:rsidP="00A06AE2">
            <w:pPr>
              <w:spacing w:before="20" w:after="20"/>
              <w:rPr>
                <w:rFonts w:cstheme="minorHAnsi"/>
                <w:sz w:val="19"/>
                <w:szCs w:val="19"/>
              </w:rPr>
            </w:pPr>
            <w:r w:rsidRPr="00E3331B">
              <w:rPr>
                <w:rFonts w:cstheme="minorHAnsi"/>
                <w:sz w:val="19"/>
                <w:szCs w:val="19"/>
              </w:rPr>
              <w:t>Existing workforce worked longer hours (e.g. overtime)</w:t>
            </w:r>
          </w:p>
        </w:tc>
        <w:tc>
          <w:tcPr>
            <w:tcW w:w="705" w:type="dxa"/>
            <w:tcBorders>
              <w:top w:val="nil"/>
              <w:left w:val="nil"/>
              <w:bottom w:val="nil"/>
              <w:right w:val="nil"/>
            </w:tcBorders>
            <w:shd w:val="clear" w:color="auto" w:fill="auto"/>
            <w:noWrap/>
            <w:vAlign w:val="bottom"/>
            <w:hideMark/>
          </w:tcPr>
          <w:p w:rsidR="00BF5EB3" w:rsidRPr="00E3331B" w:rsidRDefault="00BF5EB3" w:rsidP="00A06AE2">
            <w:pPr>
              <w:tabs>
                <w:tab w:val="decimal" w:pos="295"/>
              </w:tabs>
              <w:spacing w:before="20" w:after="20"/>
              <w:rPr>
                <w:rFonts w:cstheme="minorHAnsi"/>
                <w:sz w:val="19"/>
                <w:szCs w:val="19"/>
              </w:rPr>
            </w:pPr>
            <w:r w:rsidRPr="00E3331B">
              <w:rPr>
                <w:rFonts w:cstheme="minorHAnsi"/>
                <w:sz w:val="19"/>
                <w:szCs w:val="19"/>
              </w:rPr>
              <w:t>19.4</w:t>
            </w:r>
          </w:p>
        </w:tc>
        <w:tc>
          <w:tcPr>
            <w:tcW w:w="974" w:type="dxa"/>
            <w:tcBorders>
              <w:top w:val="nil"/>
              <w:left w:val="nil"/>
              <w:bottom w:val="nil"/>
              <w:right w:val="nil"/>
            </w:tcBorders>
            <w:shd w:val="clear" w:color="auto" w:fill="auto"/>
            <w:noWrap/>
            <w:vAlign w:val="bottom"/>
            <w:hideMark/>
          </w:tcPr>
          <w:p w:rsidR="00BF5EB3" w:rsidRPr="00E3331B" w:rsidRDefault="00BF5EB3" w:rsidP="00A06AE2">
            <w:pPr>
              <w:tabs>
                <w:tab w:val="decimal" w:pos="452"/>
              </w:tabs>
              <w:spacing w:before="20" w:after="20"/>
              <w:rPr>
                <w:rFonts w:cstheme="minorHAnsi"/>
                <w:sz w:val="19"/>
                <w:szCs w:val="19"/>
              </w:rPr>
            </w:pPr>
            <w:r w:rsidRPr="00E3331B">
              <w:rPr>
                <w:rFonts w:cstheme="minorHAnsi"/>
                <w:sz w:val="19"/>
                <w:szCs w:val="19"/>
              </w:rPr>
              <w:t>26.0</w:t>
            </w:r>
          </w:p>
        </w:tc>
        <w:tc>
          <w:tcPr>
            <w:tcW w:w="907" w:type="dxa"/>
            <w:tcBorders>
              <w:top w:val="nil"/>
              <w:left w:val="nil"/>
              <w:bottom w:val="nil"/>
              <w:right w:val="nil"/>
            </w:tcBorders>
            <w:shd w:val="clear" w:color="auto" w:fill="auto"/>
            <w:noWrap/>
            <w:vAlign w:val="bottom"/>
            <w:hideMark/>
          </w:tcPr>
          <w:p w:rsidR="00BF5EB3" w:rsidRPr="00E3331B" w:rsidRDefault="00BF5EB3" w:rsidP="00A06AE2">
            <w:pPr>
              <w:tabs>
                <w:tab w:val="decimal" w:pos="357"/>
              </w:tabs>
              <w:spacing w:before="20" w:after="20"/>
              <w:rPr>
                <w:rFonts w:cstheme="minorHAnsi"/>
                <w:sz w:val="19"/>
                <w:szCs w:val="19"/>
              </w:rPr>
            </w:pPr>
            <w:r w:rsidRPr="00E3331B">
              <w:rPr>
                <w:rFonts w:cstheme="minorHAnsi"/>
                <w:sz w:val="19"/>
                <w:szCs w:val="19"/>
              </w:rPr>
              <w:t>7.7</w:t>
            </w:r>
          </w:p>
        </w:tc>
        <w:tc>
          <w:tcPr>
            <w:tcW w:w="794" w:type="dxa"/>
            <w:tcBorders>
              <w:top w:val="nil"/>
              <w:left w:val="nil"/>
              <w:bottom w:val="nil"/>
              <w:right w:val="nil"/>
            </w:tcBorders>
            <w:shd w:val="clear" w:color="auto" w:fill="auto"/>
            <w:noWrap/>
            <w:vAlign w:val="bottom"/>
            <w:hideMark/>
          </w:tcPr>
          <w:p w:rsidR="00BF5EB3" w:rsidRPr="00E3331B" w:rsidRDefault="00BF5EB3" w:rsidP="00A06AE2">
            <w:pPr>
              <w:tabs>
                <w:tab w:val="decimal" w:pos="242"/>
              </w:tabs>
              <w:spacing w:before="20" w:after="20"/>
              <w:rPr>
                <w:rFonts w:cstheme="minorHAnsi"/>
                <w:sz w:val="19"/>
                <w:szCs w:val="19"/>
              </w:rPr>
            </w:pPr>
            <w:r w:rsidRPr="00E3331B">
              <w:rPr>
                <w:rFonts w:cstheme="minorHAnsi"/>
                <w:sz w:val="19"/>
                <w:szCs w:val="19"/>
              </w:rPr>
              <w:t>2.9</w:t>
            </w:r>
          </w:p>
        </w:tc>
        <w:tc>
          <w:tcPr>
            <w:tcW w:w="1191" w:type="dxa"/>
            <w:tcBorders>
              <w:top w:val="nil"/>
              <w:left w:val="nil"/>
              <w:bottom w:val="nil"/>
              <w:right w:val="nil"/>
            </w:tcBorders>
            <w:shd w:val="clear" w:color="auto" w:fill="auto"/>
            <w:noWrap/>
            <w:vAlign w:val="bottom"/>
            <w:hideMark/>
          </w:tcPr>
          <w:p w:rsidR="00BF5EB3" w:rsidRPr="00E3331B" w:rsidRDefault="00BF5EB3" w:rsidP="00A06AE2">
            <w:pPr>
              <w:tabs>
                <w:tab w:val="decimal" w:pos="516"/>
              </w:tabs>
              <w:spacing w:before="20" w:after="20"/>
              <w:rPr>
                <w:rFonts w:cstheme="minorHAnsi"/>
                <w:sz w:val="19"/>
                <w:szCs w:val="19"/>
              </w:rPr>
            </w:pPr>
            <w:r w:rsidRPr="00E3331B">
              <w:rPr>
                <w:rFonts w:cstheme="minorHAnsi"/>
                <w:sz w:val="19"/>
                <w:szCs w:val="19"/>
              </w:rPr>
              <w:t>20.1</w:t>
            </w:r>
          </w:p>
        </w:tc>
        <w:tc>
          <w:tcPr>
            <w:tcW w:w="889" w:type="dxa"/>
            <w:tcBorders>
              <w:top w:val="nil"/>
              <w:left w:val="nil"/>
              <w:bottom w:val="nil"/>
              <w:right w:val="nil"/>
            </w:tcBorders>
            <w:shd w:val="clear" w:color="auto" w:fill="auto"/>
            <w:noWrap/>
            <w:vAlign w:val="bottom"/>
            <w:hideMark/>
          </w:tcPr>
          <w:p w:rsidR="00BF5EB3" w:rsidRPr="00E3331B" w:rsidRDefault="00BF5EB3" w:rsidP="00A06AE2">
            <w:pPr>
              <w:tabs>
                <w:tab w:val="decimal" w:pos="516"/>
              </w:tabs>
              <w:spacing w:before="20" w:after="20"/>
              <w:rPr>
                <w:rFonts w:cstheme="minorHAnsi"/>
                <w:sz w:val="19"/>
                <w:szCs w:val="19"/>
              </w:rPr>
            </w:pPr>
            <w:r w:rsidRPr="00E3331B">
              <w:rPr>
                <w:rFonts w:cstheme="minorHAnsi"/>
                <w:sz w:val="19"/>
                <w:szCs w:val="19"/>
              </w:rPr>
              <w:t>24.0</w:t>
            </w:r>
          </w:p>
        </w:tc>
      </w:tr>
      <w:tr w:rsidR="00BF5EB3" w:rsidRPr="009B3265" w:rsidTr="00C77B88">
        <w:trPr>
          <w:gridAfter w:val="1"/>
          <w:wAfter w:w="39" w:type="dxa"/>
        </w:trPr>
        <w:tc>
          <w:tcPr>
            <w:tcW w:w="4559" w:type="dxa"/>
            <w:tcBorders>
              <w:top w:val="nil"/>
              <w:left w:val="nil"/>
              <w:bottom w:val="nil"/>
              <w:right w:val="nil"/>
            </w:tcBorders>
            <w:shd w:val="clear" w:color="auto" w:fill="auto"/>
            <w:noWrap/>
            <w:vAlign w:val="bottom"/>
            <w:hideMark/>
          </w:tcPr>
          <w:p w:rsidR="00BF5EB3" w:rsidRPr="00E3331B" w:rsidRDefault="00BF5EB3" w:rsidP="007D4BFE">
            <w:pPr>
              <w:spacing w:before="20" w:after="20"/>
              <w:rPr>
                <w:rFonts w:cstheme="minorHAnsi"/>
                <w:sz w:val="19"/>
                <w:szCs w:val="19"/>
              </w:rPr>
            </w:pPr>
            <w:r w:rsidRPr="00E3331B">
              <w:rPr>
                <w:rFonts w:cstheme="minorHAnsi"/>
                <w:sz w:val="19"/>
                <w:szCs w:val="19"/>
              </w:rPr>
              <w:t>Made greater use of non-</w:t>
            </w:r>
            <w:r w:rsidR="007D4BFE">
              <w:rPr>
                <w:rFonts w:cstheme="minorHAnsi"/>
                <w:sz w:val="19"/>
                <w:szCs w:val="19"/>
              </w:rPr>
              <w:t>PAYG</w:t>
            </w:r>
            <w:r w:rsidRPr="00E3331B">
              <w:rPr>
                <w:rFonts w:cstheme="minorHAnsi"/>
                <w:sz w:val="19"/>
                <w:szCs w:val="19"/>
              </w:rPr>
              <w:t xml:space="preserve"> staff (e.g. agency staff)</w:t>
            </w:r>
          </w:p>
        </w:tc>
        <w:tc>
          <w:tcPr>
            <w:tcW w:w="705" w:type="dxa"/>
            <w:tcBorders>
              <w:top w:val="nil"/>
              <w:left w:val="nil"/>
              <w:bottom w:val="nil"/>
              <w:right w:val="nil"/>
            </w:tcBorders>
            <w:shd w:val="clear" w:color="auto" w:fill="auto"/>
            <w:noWrap/>
            <w:vAlign w:val="bottom"/>
            <w:hideMark/>
          </w:tcPr>
          <w:p w:rsidR="00BF5EB3" w:rsidRPr="00E3331B" w:rsidRDefault="00BF5EB3" w:rsidP="00A06AE2">
            <w:pPr>
              <w:tabs>
                <w:tab w:val="decimal" w:pos="295"/>
              </w:tabs>
              <w:spacing w:before="20" w:after="20"/>
              <w:rPr>
                <w:rFonts w:cstheme="minorHAnsi"/>
                <w:sz w:val="19"/>
                <w:szCs w:val="19"/>
              </w:rPr>
            </w:pPr>
            <w:r w:rsidRPr="00E3331B">
              <w:rPr>
                <w:rFonts w:cstheme="minorHAnsi"/>
                <w:sz w:val="19"/>
                <w:szCs w:val="19"/>
              </w:rPr>
              <w:t>37.4</w:t>
            </w:r>
          </w:p>
        </w:tc>
        <w:tc>
          <w:tcPr>
            <w:tcW w:w="974" w:type="dxa"/>
            <w:tcBorders>
              <w:top w:val="nil"/>
              <w:left w:val="nil"/>
              <w:bottom w:val="nil"/>
              <w:right w:val="nil"/>
            </w:tcBorders>
            <w:shd w:val="clear" w:color="auto" w:fill="auto"/>
            <w:noWrap/>
            <w:vAlign w:val="bottom"/>
            <w:hideMark/>
          </w:tcPr>
          <w:p w:rsidR="00BF5EB3" w:rsidRPr="00E3331B" w:rsidRDefault="00BF5EB3" w:rsidP="00A06AE2">
            <w:pPr>
              <w:tabs>
                <w:tab w:val="decimal" w:pos="452"/>
              </w:tabs>
              <w:spacing w:before="20" w:after="20"/>
              <w:rPr>
                <w:rFonts w:cstheme="minorHAnsi"/>
                <w:sz w:val="19"/>
                <w:szCs w:val="19"/>
              </w:rPr>
            </w:pPr>
            <w:r w:rsidRPr="00E3331B">
              <w:rPr>
                <w:rFonts w:cstheme="minorHAnsi"/>
                <w:sz w:val="19"/>
                <w:szCs w:val="19"/>
              </w:rPr>
              <w:t>13.9</w:t>
            </w:r>
          </w:p>
        </w:tc>
        <w:tc>
          <w:tcPr>
            <w:tcW w:w="907" w:type="dxa"/>
            <w:tcBorders>
              <w:top w:val="nil"/>
              <w:left w:val="nil"/>
              <w:bottom w:val="nil"/>
              <w:right w:val="nil"/>
            </w:tcBorders>
            <w:shd w:val="clear" w:color="auto" w:fill="auto"/>
            <w:noWrap/>
            <w:vAlign w:val="bottom"/>
            <w:hideMark/>
          </w:tcPr>
          <w:p w:rsidR="00BF5EB3" w:rsidRPr="00E3331B" w:rsidRDefault="00BF5EB3" w:rsidP="00A06AE2">
            <w:pPr>
              <w:tabs>
                <w:tab w:val="decimal" w:pos="357"/>
              </w:tabs>
              <w:spacing w:before="20" w:after="20"/>
              <w:rPr>
                <w:rFonts w:cstheme="minorHAnsi"/>
                <w:sz w:val="19"/>
                <w:szCs w:val="19"/>
              </w:rPr>
            </w:pPr>
            <w:r w:rsidRPr="00E3331B">
              <w:rPr>
                <w:rFonts w:cstheme="minorHAnsi"/>
                <w:sz w:val="19"/>
                <w:szCs w:val="19"/>
              </w:rPr>
              <w:t>3.0</w:t>
            </w:r>
          </w:p>
        </w:tc>
        <w:tc>
          <w:tcPr>
            <w:tcW w:w="794" w:type="dxa"/>
            <w:tcBorders>
              <w:top w:val="nil"/>
              <w:left w:val="nil"/>
              <w:bottom w:val="nil"/>
              <w:right w:val="nil"/>
            </w:tcBorders>
            <w:shd w:val="clear" w:color="auto" w:fill="auto"/>
            <w:noWrap/>
            <w:vAlign w:val="bottom"/>
            <w:hideMark/>
          </w:tcPr>
          <w:p w:rsidR="00BF5EB3" w:rsidRPr="00E3331B" w:rsidRDefault="00BF5EB3" w:rsidP="00A06AE2">
            <w:pPr>
              <w:tabs>
                <w:tab w:val="decimal" w:pos="242"/>
              </w:tabs>
              <w:spacing w:before="20" w:after="20"/>
              <w:rPr>
                <w:rFonts w:cstheme="minorHAnsi"/>
                <w:sz w:val="19"/>
                <w:szCs w:val="19"/>
              </w:rPr>
            </w:pPr>
            <w:r w:rsidRPr="00E3331B">
              <w:rPr>
                <w:rFonts w:cstheme="minorHAnsi"/>
                <w:sz w:val="19"/>
                <w:szCs w:val="19"/>
              </w:rPr>
              <w:t>0.6</w:t>
            </w:r>
          </w:p>
        </w:tc>
        <w:tc>
          <w:tcPr>
            <w:tcW w:w="1191" w:type="dxa"/>
            <w:tcBorders>
              <w:top w:val="nil"/>
              <w:left w:val="nil"/>
              <w:bottom w:val="nil"/>
              <w:right w:val="nil"/>
            </w:tcBorders>
            <w:shd w:val="clear" w:color="auto" w:fill="auto"/>
            <w:noWrap/>
            <w:vAlign w:val="bottom"/>
            <w:hideMark/>
          </w:tcPr>
          <w:p w:rsidR="00BF5EB3" w:rsidRPr="00E3331B" w:rsidRDefault="00BF5EB3" w:rsidP="00A06AE2">
            <w:pPr>
              <w:tabs>
                <w:tab w:val="decimal" w:pos="516"/>
              </w:tabs>
              <w:spacing w:before="20" w:after="20"/>
              <w:rPr>
                <w:rFonts w:cstheme="minorHAnsi"/>
                <w:sz w:val="19"/>
                <w:szCs w:val="19"/>
              </w:rPr>
            </w:pPr>
            <w:r w:rsidRPr="00E3331B">
              <w:rPr>
                <w:rFonts w:cstheme="minorHAnsi"/>
                <w:sz w:val="19"/>
                <w:szCs w:val="19"/>
              </w:rPr>
              <w:t>21.1</w:t>
            </w:r>
          </w:p>
        </w:tc>
        <w:tc>
          <w:tcPr>
            <w:tcW w:w="889" w:type="dxa"/>
            <w:tcBorders>
              <w:top w:val="nil"/>
              <w:left w:val="nil"/>
              <w:bottom w:val="nil"/>
              <w:right w:val="nil"/>
            </w:tcBorders>
            <w:shd w:val="clear" w:color="auto" w:fill="auto"/>
            <w:noWrap/>
            <w:vAlign w:val="bottom"/>
            <w:hideMark/>
          </w:tcPr>
          <w:p w:rsidR="00BF5EB3" w:rsidRPr="00E3331B" w:rsidRDefault="00BF5EB3" w:rsidP="00A06AE2">
            <w:pPr>
              <w:tabs>
                <w:tab w:val="decimal" w:pos="516"/>
              </w:tabs>
              <w:spacing w:before="20" w:after="20"/>
              <w:rPr>
                <w:rFonts w:cstheme="minorHAnsi"/>
                <w:sz w:val="19"/>
                <w:szCs w:val="19"/>
              </w:rPr>
            </w:pPr>
            <w:r w:rsidRPr="00E3331B">
              <w:rPr>
                <w:rFonts w:cstheme="minorHAnsi"/>
                <w:sz w:val="19"/>
                <w:szCs w:val="19"/>
              </w:rPr>
              <w:t>24.0</w:t>
            </w:r>
          </w:p>
        </w:tc>
      </w:tr>
      <w:tr w:rsidR="00BF5EB3" w:rsidRPr="009B3265" w:rsidTr="00C77B88">
        <w:trPr>
          <w:gridAfter w:val="1"/>
          <w:wAfter w:w="39" w:type="dxa"/>
        </w:trPr>
        <w:tc>
          <w:tcPr>
            <w:tcW w:w="4559" w:type="dxa"/>
            <w:tcBorders>
              <w:top w:val="nil"/>
              <w:left w:val="nil"/>
              <w:bottom w:val="nil"/>
              <w:right w:val="nil"/>
            </w:tcBorders>
            <w:shd w:val="clear" w:color="auto" w:fill="auto"/>
            <w:noWrap/>
            <w:vAlign w:val="bottom"/>
            <w:hideMark/>
          </w:tcPr>
          <w:p w:rsidR="00BF5EB3" w:rsidRPr="00E3331B" w:rsidRDefault="00BF5EB3" w:rsidP="00A06AE2">
            <w:pPr>
              <w:spacing w:before="20" w:after="20"/>
              <w:rPr>
                <w:rFonts w:cstheme="minorHAnsi"/>
                <w:sz w:val="19"/>
                <w:szCs w:val="19"/>
              </w:rPr>
            </w:pPr>
            <w:r w:rsidRPr="00E3331B">
              <w:rPr>
                <w:rFonts w:cstheme="minorHAnsi"/>
                <w:sz w:val="19"/>
                <w:szCs w:val="19"/>
              </w:rPr>
              <w:t>Made greater use of volunteers</w:t>
            </w:r>
          </w:p>
        </w:tc>
        <w:tc>
          <w:tcPr>
            <w:tcW w:w="705" w:type="dxa"/>
            <w:tcBorders>
              <w:top w:val="nil"/>
              <w:left w:val="nil"/>
              <w:bottom w:val="nil"/>
              <w:right w:val="nil"/>
            </w:tcBorders>
            <w:shd w:val="clear" w:color="auto" w:fill="auto"/>
            <w:noWrap/>
            <w:vAlign w:val="bottom"/>
            <w:hideMark/>
          </w:tcPr>
          <w:p w:rsidR="00BF5EB3" w:rsidRPr="00E3331B" w:rsidRDefault="00BF5EB3" w:rsidP="00A06AE2">
            <w:pPr>
              <w:tabs>
                <w:tab w:val="decimal" w:pos="295"/>
              </w:tabs>
              <w:spacing w:before="20" w:after="20"/>
              <w:rPr>
                <w:rFonts w:cstheme="minorHAnsi"/>
                <w:sz w:val="19"/>
                <w:szCs w:val="19"/>
              </w:rPr>
            </w:pPr>
            <w:r w:rsidRPr="00E3331B">
              <w:rPr>
                <w:rFonts w:cstheme="minorHAnsi"/>
                <w:sz w:val="19"/>
                <w:szCs w:val="19"/>
              </w:rPr>
              <w:t>38.9</w:t>
            </w:r>
          </w:p>
        </w:tc>
        <w:tc>
          <w:tcPr>
            <w:tcW w:w="974" w:type="dxa"/>
            <w:tcBorders>
              <w:top w:val="nil"/>
              <w:left w:val="nil"/>
              <w:bottom w:val="nil"/>
              <w:right w:val="nil"/>
            </w:tcBorders>
            <w:shd w:val="clear" w:color="auto" w:fill="auto"/>
            <w:noWrap/>
            <w:vAlign w:val="bottom"/>
            <w:hideMark/>
          </w:tcPr>
          <w:p w:rsidR="00BF5EB3" w:rsidRPr="00E3331B" w:rsidRDefault="00BF5EB3" w:rsidP="00A06AE2">
            <w:pPr>
              <w:tabs>
                <w:tab w:val="decimal" w:pos="452"/>
              </w:tabs>
              <w:spacing w:before="20" w:after="20"/>
              <w:rPr>
                <w:rFonts w:cstheme="minorHAnsi"/>
                <w:sz w:val="19"/>
                <w:szCs w:val="19"/>
              </w:rPr>
            </w:pPr>
            <w:r w:rsidRPr="00E3331B">
              <w:rPr>
                <w:rFonts w:cstheme="minorHAnsi"/>
                <w:sz w:val="19"/>
                <w:szCs w:val="19"/>
              </w:rPr>
              <w:t>13.6</w:t>
            </w:r>
          </w:p>
        </w:tc>
        <w:tc>
          <w:tcPr>
            <w:tcW w:w="907" w:type="dxa"/>
            <w:tcBorders>
              <w:top w:val="nil"/>
              <w:left w:val="nil"/>
              <w:bottom w:val="nil"/>
              <w:right w:val="nil"/>
            </w:tcBorders>
            <w:shd w:val="clear" w:color="auto" w:fill="auto"/>
            <w:noWrap/>
            <w:vAlign w:val="bottom"/>
            <w:hideMark/>
          </w:tcPr>
          <w:p w:rsidR="00BF5EB3" w:rsidRPr="00E3331B" w:rsidRDefault="00BF5EB3" w:rsidP="00A06AE2">
            <w:pPr>
              <w:tabs>
                <w:tab w:val="decimal" w:pos="357"/>
              </w:tabs>
              <w:spacing w:before="20" w:after="20"/>
              <w:rPr>
                <w:rFonts w:cstheme="minorHAnsi"/>
                <w:sz w:val="19"/>
                <w:szCs w:val="19"/>
              </w:rPr>
            </w:pPr>
            <w:r w:rsidRPr="00E3331B">
              <w:rPr>
                <w:rFonts w:cstheme="minorHAnsi"/>
                <w:sz w:val="19"/>
                <w:szCs w:val="19"/>
              </w:rPr>
              <w:t>1.6</w:t>
            </w:r>
          </w:p>
        </w:tc>
        <w:tc>
          <w:tcPr>
            <w:tcW w:w="794" w:type="dxa"/>
            <w:tcBorders>
              <w:top w:val="nil"/>
              <w:left w:val="nil"/>
              <w:bottom w:val="nil"/>
              <w:right w:val="nil"/>
            </w:tcBorders>
            <w:shd w:val="clear" w:color="auto" w:fill="auto"/>
            <w:noWrap/>
            <w:vAlign w:val="bottom"/>
            <w:hideMark/>
          </w:tcPr>
          <w:p w:rsidR="00BF5EB3" w:rsidRPr="00E3331B" w:rsidRDefault="00BF5EB3" w:rsidP="00A06AE2">
            <w:pPr>
              <w:tabs>
                <w:tab w:val="decimal" w:pos="242"/>
              </w:tabs>
              <w:spacing w:before="20" w:after="20"/>
              <w:rPr>
                <w:rFonts w:cstheme="minorHAnsi"/>
                <w:sz w:val="19"/>
                <w:szCs w:val="19"/>
              </w:rPr>
            </w:pPr>
            <w:r w:rsidRPr="00E3331B">
              <w:rPr>
                <w:rFonts w:cstheme="minorHAnsi"/>
                <w:sz w:val="19"/>
                <w:szCs w:val="19"/>
              </w:rPr>
              <w:t>1.3</w:t>
            </w:r>
          </w:p>
        </w:tc>
        <w:tc>
          <w:tcPr>
            <w:tcW w:w="1191" w:type="dxa"/>
            <w:tcBorders>
              <w:top w:val="nil"/>
              <w:left w:val="nil"/>
              <w:bottom w:val="nil"/>
              <w:right w:val="nil"/>
            </w:tcBorders>
            <w:shd w:val="clear" w:color="auto" w:fill="auto"/>
            <w:noWrap/>
            <w:vAlign w:val="bottom"/>
            <w:hideMark/>
          </w:tcPr>
          <w:p w:rsidR="00BF5EB3" w:rsidRPr="00E3331B" w:rsidRDefault="00BF5EB3" w:rsidP="00A06AE2">
            <w:pPr>
              <w:tabs>
                <w:tab w:val="decimal" w:pos="516"/>
              </w:tabs>
              <w:spacing w:before="20" w:after="20"/>
              <w:rPr>
                <w:rFonts w:cstheme="minorHAnsi"/>
                <w:sz w:val="19"/>
                <w:szCs w:val="19"/>
              </w:rPr>
            </w:pPr>
            <w:r w:rsidRPr="00E3331B">
              <w:rPr>
                <w:rFonts w:cstheme="minorHAnsi"/>
                <w:sz w:val="19"/>
                <w:szCs w:val="19"/>
              </w:rPr>
              <w:t>20.8</w:t>
            </w:r>
          </w:p>
        </w:tc>
        <w:tc>
          <w:tcPr>
            <w:tcW w:w="889" w:type="dxa"/>
            <w:tcBorders>
              <w:top w:val="nil"/>
              <w:left w:val="nil"/>
              <w:bottom w:val="nil"/>
              <w:right w:val="nil"/>
            </w:tcBorders>
            <w:shd w:val="clear" w:color="auto" w:fill="auto"/>
            <w:noWrap/>
            <w:vAlign w:val="bottom"/>
            <w:hideMark/>
          </w:tcPr>
          <w:p w:rsidR="00BF5EB3" w:rsidRPr="00E3331B" w:rsidRDefault="00BF5EB3" w:rsidP="00A06AE2">
            <w:pPr>
              <w:tabs>
                <w:tab w:val="decimal" w:pos="516"/>
              </w:tabs>
              <w:spacing w:before="20" w:after="20"/>
              <w:rPr>
                <w:rFonts w:cstheme="minorHAnsi"/>
                <w:sz w:val="19"/>
                <w:szCs w:val="19"/>
              </w:rPr>
            </w:pPr>
            <w:r w:rsidRPr="00E3331B">
              <w:rPr>
                <w:rFonts w:cstheme="minorHAnsi"/>
                <w:sz w:val="19"/>
                <w:szCs w:val="19"/>
              </w:rPr>
              <w:t>23.8</w:t>
            </w:r>
          </w:p>
        </w:tc>
      </w:tr>
      <w:tr w:rsidR="00BF5EB3" w:rsidRPr="009B3265" w:rsidTr="00C77B88">
        <w:trPr>
          <w:gridAfter w:val="1"/>
          <w:wAfter w:w="39" w:type="dxa"/>
        </w:trPr>
        <w:tc>
          <w:tcPr>
            <w:tcW w:w="4559" w:type="dxa"/>
            <w:tcBorders>
              <w:top w:val="nil"/>
              <w:left w:val="nil"/>
              <w:bottom w:val="nil"/>
              <w:right w:val="nil"/>
            </w:tcBorders>
            <w:shd w:val="clear" w:color="auto" w:fill="auto"/>
            <w:noWrap/>
            <w:vAlign w:val="bottom"/>
            <w:hideMark/>
          </w:tcPr>
          <w:p w:rsidR="00BF5EB3" w:rsidRPr="00E3331B" w:rsidRDefault="00BF5EB3" w:rsidP="00A06AE2">
            <w:pPr>
              <w:spacing w:before="20" w:after="20"/>
              <w:rPr>
                <w:rFonts w:cstheme="minorHAnsi"/>
                <w:sz w:val="19"/>
                <w:szCs w:val="19"/>
              </w:rPr>
            </w:pPr>
            <w:r w:rsidRPr="00E3331B">
              <w:rPr>
                <w:rFonts w:cstheme="minorHAnsi"/>
                <w:sz w:val="19"/>
                <w:szCs w:val="19"/>
              </w:rPr>
              <w:t>Sub-contracted or outsourced work to other outlets</w:t>
            </w:r>
          </w:p>
        </w:tc>
        <w:tc>
          <w:tcPr>
            <w:tcW w:w="705" w:type="dxa"/>
            <w:tcBorders>
              <w:top w:val="nil"/>
              <w:left w:val="nil"/>
              <w:bottom w:val="nil"/>
              <w:right w:val="nil"/>
            </w:tcBorders>
            <w:shd w:val="clear" w:color="auto" w:fill="auto"/>
            <w:noWrap/>
            <w:vAlign w:val="bottom"/>
            <w:hideMark/>
          </w:tcPr>
          <w:p w:rsidR="00BF5EB3" w:rsidRPr="00E3331B" w:rsidRDefault="00BF5EB3" w:rsidP="00A06AE2">
            <w:pPr>
              <w:tabs>
                <w:tab w:val="decimal" w:pos="295"/>
              </w:tabs>
              <w:spacing w:before="20" w:after="20"/>
              <w:rPr>
                <w:rFonts w:cstheme="minorHAnsi"/>
                <w:sz w:val="19"/>
                <w:szCs w:val="19"/>
              </w:rPr>
            </w:pPr>
            <w:r w:rsidRPr="00E3331B">
              <w:rPr>
                <w:rFonts w:cstheme="minorHAnsi"/>
                <w:sz w:val="19"/>
                <w:szCs w:val="19"/>
              </w:rPr>
              <w:t>39.7</w:t>
            </w:r>
          </w:p>
        </w:tc>
        <w:tc>
          <w:tcPr>
            <w:tcW w:w="974" w:type="dxa"/>
            <w:tcBorders>
              <w:top w:val="nil"/>
              <w:left w:val="nil"/>
              <w:bottom w:val="nil"/>
              <w:right w:val="nil"/>
            </w:tcBorders>
            <w:shd w:val="clear" w:color="auto" w:fill="auto"/>
            <w:noWrap/>
            <w:vAlign w:val="bottom"/>
            <w:hideMark/>
          </w:tcPr>
          <w:p w:rsidR="00BF5EB3" w:rsidRPr="00E3331B" w:rsidRDefault="00BF5EB3" w:rsidP="00A06AE2">
            <w:pPr>
              <w:tabs>
                <w:tab w:val="decimal" w:pos="452"/>
              </w:tabs>
              <w:spacing w:before="20" w:after="20"/>
              <w:rPr>
                <w:rFonts w:cstheme="minorHAnsi"/>
                <w:sz w:val="19"/>
                <w:szCs w:val="19"/>
              </w:rPr>
            </w:pPr>
            <w:r w:rsidRPr="00E3331B">
              <w:rPr>
                <w:rFonts w:cstheme="minorHAnsi"/>
                <w:sz w:val="19"/>
                <w:szCs w:val="19"/>
              </w:rPr>
              <w:t>13.2</w:t>
            </w:r>
          </w:p>
        </w:tc>
        <w:tc>
          <w:tcPr>
            <w:tcW w:w="907" w:type="dxa"/>
            <w:tcBorders>
              <w:top w:val="nil"/>
              <w:left w:val="nil"/>
              <w:bottom w:val="nil"/>
              <w:right w:val="nil"/>
            </w:tcBorders>
            <w:shd w:val="clear" w:color="auto" w:fill="auto"/>
            <w:noWrap/>
            <w:vAlign w:val="bottom"/>
            <w:hideMark/>
          </w:tcPr>
          <w:p w:rsidR="00BF5EB3" w:rsidRPr="00E3331B" w:rsidRDefault="00BF5EB3" w:rsidP="00A06AE2">
            <w:pPr>
              <w:tabs>
                <w:tab w:val="decimal" w:pos="357"/>
              </w:tabs>
              <w:spacing w:before="20" w:after="20"/>
              <w:rPr>
                <w:rFonts w:cstheme="minorHAnsi"/>
                <w:sz w:val="19"/>
                <w:szCs w:val="19"/>
              </w:rPr>
            </w:pPr>
            <w:r w:rsidRPr="00E3331B">
              <w:rPr>
                <w:rFonts w:cstheme="minorHAnsi"/>
                <w:sz w:val="19"/>
                <w:szCs w:val="19"/>
              </w:rPr>
              <w:t>1.4</w:t>
            </w:r>
          </w:p>
        </w:tc>
        <w:tc>
          <w:tcPr>
            <w:tcW w:w="794" w:type="dxa"/>
            <w:tcBorders>
              <w:top w:val="nil"/>
              <w:left w:val="nil"/>
              <w:bottom w:val="nil"/>
              <w:right w:val="nil"/>
            </w:tcBorders>
            <w:shd w:val="clear" w:color="auto" w:fill="auto"/>
            <w:noWrap/>
            <w:vAlign w:val="bottom"/>
            <w:hideMark/>
          </w:tcPr>
          <w:p w:rsidR="00BF5EB3" w:rsidRPr="00E3331B" w:rsidRDefault="00BF5EB3" w:rsidP="00A06AE2">
            <w:pPr>
              <w:tabs>
                <w:tab w:val="decimal" w:pos="242"/>
              </w:tabs>
              <w:spacing w:before="20" w:after="20"/>
              <w:rPr>
                <w:rFonts w:cstheme="minorHAnsi"/>
                <w:sz w:val="19"/>
                <w:szCs w:val="19"/>
              </w:rPr>
            </w:pPr>
            <w:r w:rsidRPr="00E3331B">
              <w:rPr>
                <w:rFonts w:cstheme="minorHAnsi"/>
                <w:sz w:val="19"/>
                <w:szCs w:val="19"/>
              </w:rPr>
              <w:t>0.9</w:t>
            </w:r>
          </w:p>
        </w:tc>
        <w:tc>
          <w:tcPr>
            <w:tcW w:w="1191" w:type="dxa"/>
            <w:tcBorders>
              <w:top w:val="nil"/>
              <w:left w:val="nil"/>
              <w:bottom w:val="nil"/>
              <w:right w:val="nil"/>
            </w:tcBorders>
            <w:shd w:val="clear" w:color="auto" w:fill="auto"/>
            <w:noWrap/>
            <w:vAlign w:val="bottom"/>
            <w:hideMark/>
          </w:tcPr>
          <w:p w:rsidR="00BF5EB3" w:rsidRPr="00E3331B" w:rsidRDefault="00BF5EB3" w:rsidP="00A06AE2">
            <w:pPr>
              <w:tabs>
                <w:tab w:val="decimal" w:pos="516"/>
              </w:tabs>
              <w:spacing w:before="20" w:after="20"/>
              <w:rPr>
                <w:rFonts w:cstheme="minorHAnsi"/>
                <w:sz w:val="19"/>
                <w:szCs w:val="19"/>
              </w:rPr>
            </w:pPr>
            <w:r w:rsidRPr="00E3331B">
              <w:rPr>
                <w:rFonts w:cstheme="minorHAnsi"/>
                <w:sz w:val="19"/>
                <w:szCs w:val="19"/>
              </w:rPr>
              <w:t>20.8</w:t>
            </w:r>
          </w:p>
        </w:tc>
        <w:tc>
          <w:tcPr>
            <w:tcW w:w="889" w:type="dxa"/>
            <w:tcBorders>
              <w:top w:val="nil"/>
              <w:left w:val="nil"/>
              <w:bottom w:val="nil"/>
              <w:right w:val="nil"/>
            </w:tcBorders>
            <w:shd w:val="clear" w:color="auto" w:fill="auto"/>
            <w:noWrap/>
            <w:vAlign w:val="bottom"/>
            <w:hideMark/>
          </w:tcPr>
          <w:p w:rsidR="00BF5EB3" w:rsidRPr="00E3331B" w:rsidRDefault="00BF5EB3" w:rsidP="00A06AE2">
            <w:pPr>
              <w:tabs>
                <w:tab w:val="decimal" w:pos="516"/>
              </w:tabs>
              <w:spacing w:before="20" w:after="20"/>
              <w:rPr>
                <w:rFonts w:cstheme="minorHAnsi"/>
                <w:sz w:val="19"/>
                <w:szCs w:val="19"/>
              </w:rPr>
            </w:pPr>
            <w:r w:rsidRPr="00E3331B">
              <w:rPr>
                <w:rFonts w:cstheme="minorHAnsi"/>
                <w:sz w:val="19"/>
                <w:szCs w:val="19"/>
              </w:rPr>
              <w:t>24.0</w:t>
            </w:r>
          </w:p>
        </w:tc>
      </w:tr>
      <w:tr w:rsidR="00BF5EB3" w:rsidRPr="009B3265" w:rsidTr="00C77B88">
        <w:trPr>
          <w:gridAfter w:val="1"/>
          <w:wAfter w:w="39" w:type="dxa"/>
        </w:trPr>
        <w:tc>
          <w:tcPr>
            <w:tcW w:w="4559" w:type="dxa"/>
            <w:tcBorders>
              <w:top w:val="nil"/>
              <w:left w:val="nil"/>
              <w:bottom w:val="nil"/>
              <w:right w:val="nil"/>
            </w:tcBorders>
            <w:shd w:val="clear" w:color="auto" w:fill="auto"/>
            <w:noWrap/>
            <w:vAlign w:val="bottom"/>
            <w:hideMark/>
          </w:tcPr>
          <w:p w:rsidR="00BF5EB3" w:rsidRPr="00E3331B" w:rsidRDefault="00BF5EB3" w:rsidP="00A06AE2">
            <w:pPr>
              <w:spacing w:before="20" w:after="20"/>
              <w:rPr>
                <w:rFonts w:cstheme="minorHAnsi"/>
                <w:sz w:val="19"/>
                <w:szCs w:val="19"/>
              </w:rPr>
            </w:pPr>
            <w:r w:rsidRPr="00E3331B">
              <w:rPr>
                <w:rFonts w:cstheme="minorHAnsi"/>
                <w:sz w:val="19"/>
                <w:szCs w:val="19"/>
              </w:rPr>
              <w:t>Employed staff on short-term contract basis</w:t>
            </w:r>
          </w:p>
        </w:tc>
        <w:tc>
          <w:tcPr>
            <w:tcW w:w="705" w:type="dxa"/>
            <w:tcBorders>
              <w:top w:val="nil"/>
              <w:left w:val="nil"/>
              <w:bottom w:val="nil"/>
              <w:right w:val="nil"/>
            </w:tcBorders>
            <w:shd w:val="clear" w:color="auto" w:fill="auto"/>
            <w:noWrap/>
            <w:vAlign w:val="bottom"/>
            <w:hideMark/>
          </w:tcPr>
          <w:p w:rsidR="00BF5EB3" w:rsidRPr="00E3331B" w:rsidRDefault="00BF5EB3" w:rsidP="00A06AE2">
            <w:pPr>
              <w:tabs>
                <w:tab w:val="decimal" w:pos="295"/>
              </w:tabs>
              <w:spacing w:before="20" w:after="20"/>
              <w:rPr>
                <w:rFonts w:cstheme="minorHAnsi"/>
                <w:sz w:val="19"/>
                <w:szCs w:val="19"/>
              </w:rPr>
            </w:pPr>
            <w:r w:rsidRPr="00E3331B">
              <w:rPr>
                <w:rFonts w:cstheme="minorHAnsi"/>
                <w:sz w:val="19"/>
                <w:szCs w:val="19"/>
              </w:rPr>
              <w:t>29.8</w:t>
            </w:r>
          </w:p>
        </w:tc>
        <w:tc>
          <w:tcPr>
            <w:tcW w:w="974" w:type="dxa"/>
            <w:tcBorders>
              <w:top w:val="nil"/>
              <w:left w:val="nil"/>
              <w:bottom w:val="nil"/>
              <w:right w:val="nil"/>
            </w:tcBorders>
            <w:shd w:val="clear" w:color="auto" w:fill="auto"/>
            <w:noWrap/>
            <w:vAlign w:val="bottom"/>
            <w:hideMark/>
          </w:tcPr>
          <w:p w:rsidR="00BF5EB3" w:rsidRPr="00E3331B" w:rsidRDefault="00BF5EB3" w:rsidP="00A06AE2">
            <w:pPr>
              <w:tabs>
                <w:tab w:val="decimal" w:pos="452"/>
              </w:tabs>
              <w:spacing w:before="20" w:after="20"/>
              <w:rPr>
                <w:rFonts w:cstheme="minorHAnsi"/>
                <w:sz w:val="19"/>
                <w:szCs w:val="19"/>
              </w:rPr>
            </w:pPr>
            <w:r w:rsidRPr="00E3331B">
              <w:rPr>
                <w:rFonts w:cstheme="minorHAnsi"/>
                <w:sz w:val="19"/>
                <w:szCs w:val="19"/>
              </w:rPr>
              <w:t>23.4</w:t>
            </w:r>
          </w:p>
        </w:tc>
        <w:tc>
          <w:tcPr>
            <w:tcW w:w="907" w:type="dxa"/>
            <w:tcBorders>
              <w:top w:val="nil"/>
              <w:left w:val="nil"/>
              <w:bottom w:val="nil"/>
              <w:right w:val="nil"/>
            </w:tcBorders>
            <w:shd w:val="clear" w:color="auto" w:fill="auto"/>
            <w:noWrap/>
            <w:vAlign w:val="bottom"/>
            <w:hideMark/>
          </w:tcPr>
          <w:p w:rsidR="00BF5EB3" w:rsidRPr="00E3331B" w:rsidRDefault="00BF5EB3" w:rsidP="00A06AE2">
            <w:pPr>
              <w:tabs>
                <w:tab w:val="decimal" w:pos="357"/>
              </w:tabs>
              <w:spacing w:before="20" w:after="20"/>
              <w:rPr>
                <w:rFonts w:cstheme="minorHAnsi"/>
                <w:sz w:val="19"/>
                <w:szCs w:val="19"/>
              </w:rPr>
            </w:pPr>
            <w:r w:rsidRPr="00E3331B">
              <w:rPr>
                <w:rFonts w:cstheme="minorHAnsi"/>
                <w:sz w:val="19"/>
                <w:szCs w:val="19"/>
              </w:rPr>
              <w:t>1.1</w:t>
            </w:r>
          </w:p>
        </w:tc>
        <w:tc>
          <w:tcPr>
            <w:tcW w:w="794" w:type="dxa"/>
            <w:tcBorders>
              <w:top w:val="nil"/>
              <w:left w:val="nil"/>
              <w:bottom w:val="nil"/>
              <w:right w:val="nil"/>
            </w:tcBorders>
            <w:shd w:val="clear" w:color="auto" w:fill="auto"/>
            <w:noWrap/>
            <w:vAlign w:val="bottom"/>
            <w:hideMark/>
          </w:tcPr>
          <w:p w:rsidR="00BF5EB3" w:rsidRPr="00E3331B" w:rsidRDefault="00BF5EB3" w:rsidP="00A06AE2">
            <w:pPr>
              <w:tabs>
                <w:tab w:val="decimal" w:pos="242"/>
              </w:tabs>
              <w:spacing w:before="20" w:after="20"/>
              <w:rPr>
                <w:rFonts w:cstheme="minorHAnsi"/>
                <w:sz w:val="19"/>
                <w:szCs w:val="19"/>
              </w:rPr>
            </w:pPr>
            <w:r w:rsidRPr="00E3331B">
              <w:rPr>
                <w:rFonts w:cstheme="minorHAnsi"/>
                <w:sz w:val="19"/>
                <w:szCs w:val="19"/>
              </w:rPr>
              <w:t>1.1</w:t>
            </w:r>
          </w:p>
        </w:tc>
        <w:tc>
          <w:tcPr>
            <w:tcW w:w="1191" w:type="dxa"/>
            <w:tcBorders>
              <w:top w:val="nil"/>
              <w:left w:val="nil"/>
              <w:bottom w:val="nil"/>
              <w:right w:val="nil"/>
            </w:tcBorders>
            <w:shd w:val="clear" w:color="auto" w:fill="auto"/>
            <w:noWrap/>
            <w:vAlign w:val="bottom"/>
            <w:hideMark/>
          </w:tcPr>
          <w:p w:rsidR="00BF5EB3" w:rsidRPr="00E3331B" w:rsidRDefault="00BF5EB3" w:rsidP="00A06AE2">
            <w:pPr>
              <w:tabs>
                <w:tab w:val="decimal" w:pos="516"/>
              </w:tabs>
              <w:spacing w:before="20" w:after="20"/>
              <w:rPr>
                <w:rFonts w:cstheme="minorHAnsi"/>
                <w:sz w:val="19"/>
                <w:szCs w:val="19"/>
              </w:rPr>
            </w:pPr>
            <w:r w:rsidRPr="00E3331B">
              <w:rPr>
                <w:rFonts w:cstheme="minorHAnsi"/>
                <w:sz w:val="19"/>
                <w:szCs w:val="19"/>
              </w:rPr>
              <w:t>20.5</w:t>
            </w:r>
          </w:p>
        </w:tc>
        <w:tc>
          <w:tcPr>
            <w:tcW w:w="889" w:type="dxa"/>
            <w:tcBorders>
              <w:top w:val="nil"/>
              <w:left w:val="nil"/>
              <w:bottom w:val="nil"/>
              <w:right w:val="nil"/>
            </w:tcBorders>
            <w:shd w:val="clear" w:color="auto" w:fill="auto"/>
            <w:noWrap/>
            <w:vAlign w:val="bottom"/>
            <w:hideMark/>
          </w:tcPr>
          <w:p w:rsidR="00BF5EB3" w:rsidRPr="00E3331B" w:rsidRDefault="00BF5EB3" w:rsidP="00A06AE2">
            <w:pPr>
              <w:tabs>
                <w:tab w:val="decimal" w:pos="516"/>
              </w:tabs>
              <w:spacing w:before="20" w:after="20"/>
              <w:rPr>
                <w:rFonts w:cstheme="minorHAnsi"/>
                <w:sz w:val="19"/>
                <w:szCs w:val="19"/>
              </w:rPr>
            </w:pPr>
            <w:r w:rsidRPr="00E3331B">
              <w:rPr>
                <w:rFonts w:cstheme="minorHAnsi"/>
                <w:sz w:val="19"/>
                <w:szCs w:val="19"/>
              </w:rPr>
              <w:t>24.0</w:t>
            </w:r>
          </w:p>
        </w:tc>
      </w:tr>
      <w:tr w:rsidR="00BF5EB3" w:rsidRPr="009B3265" w:rsidTr="00C77B88">
        <w:trPr>
          <w:gridAfter w:val="1"/>
          <w:wAfter w:w="39" w:type="dxa"/>
        </w:trPr>
        <w:tc>
          <w:tcPr>
            <w:tcW w:w="4559" w:type="dxa"/>
            <w:tcBorders>
              <w:top w:val="nil"/>
              <w:left w:val="nil"/>
              <w:bottom w:val="nil"/>
              <w:right w:val="nil"/>
            </w:tcBorders>
            <w:shd w:val="clear" w:color="auto" w:fill="auto"/>
            <w:noWrap/>
            <w:vAlign w:val="bottom"/>
            <w:hideMark/>
          </w:tcPr>
          <w:p w:rsidR="00BF5EB3" w:rsidRPr="00E3331B" w:rsidRDefault="00BF5EB3" w:rsidP="00A06AE2">
            <w:pPr>
              <w:spacing w:before="20" w:after="20"/>
              <w:rPr>
                <w:rFonts w:cstheme="minorHAnsi"/>
                <w:sz w:val="19"/>
                <w:szCs w:val="19"/>
              </w:rPr>
            </w:pPr>
            <w:r w:rsidRPr="00E3331B">
              <w:rPr>
                <w:rFonts w:cstheme="minorHAnsi"/>
                <w:sz w:val="19"/>
                <w:szCs w:val="19"/>
              </w:rPr>
              <w:t>Wages, salaries and/or working conditions increased</w:t>
            </w:r>
          </w:p>
        </w:tc>
        <w:tc>
          <w:tcPr>
            <w:tcW w:w="705" w:type="dxa"/>
            <w:tcBorders>
              <w:top w:val="nil"/>
              <w:left w:val="nil"/>
              <w:bottom w:val="nil"/>
              <w:right w:val="nil"/>
            </w:tcBorders>
            <w:shd w:val="clear" w:color="auto" w:fill="auto"/>
            <w:noWrap/>
            <w:vAlign w:val="bottom"/>
            <w:hideMark/>
          </w:tcPr>
          <w:p w:rsidR="00BF5EB3" w:rsidRPr="00E3331B" w:rsidRDefault="00BF5EB3" w:rsidP="00A06AE2">
            <w:pPr>
              <w:tabs>
                <w:tab w:val="decimal" w:pos="295"/>
              </w:tabs>
              <w:spacing w:before="20" w:after="20"/>
              <w:rPr>
                <w:rFonts w:cstheme="minorHAnsi"/>
                <w:sz w:val="19"/>
                <w:szCs w:val="19"/>
              </w:rPr>
            </w:pPr>
            <w:r w:rsidRPr="00E3331B">
              <w:rPr>
                <w:rFonts w:cstheme="minorHAnsi"/>
                <w:sz w:val="19"/>
                <w:szCs w:val="19"/>
              </w:rPr>
              <w:t>33.0</w:t>
            </w:r>
          </w:p>
        </w:tc>
        <w:tc>
          <w:tcPr>
            <w:tcW w:w="974" w:type="dxa"/>
            <w:tcBorders>
              <w:top w:val="nil"/>
              <w:left w:val="nil"/>
              <w:bottom w:val="nil"/>
              <w:right w:val="nil"/>
            </w:tcBorders>
            <w:shd w:val="clear" w:color="auto" w:fill="auto"/>
            <w:noWrap/>
            <w:vAlign w:val="bottom"/>
            <w:hideMark/>
          </w:tcPr>
          <w:p w:rsidR="00BF5EB3" w:rsidRPr="00E3331B" w:rsidRDefault="00BF5EB3" w:rsidP="00A06AE2">
            <w:pPr>
              <w:tabs>
                <w:tab w:val="decimal" w:pos="452"/>
              </w:tabs>
              <w:spacing w:before="20" w:after="20"/>
              <w:rPr>
                <w:rFonts w:cstheme="minorHAnsi"/>
                <w:sz w:val="19"/>
                <w:szCs w:val="19"/>
              </w:rPr>
            </w:pPr>
            <w:r w:rsidRPr="00E3331B">
              <w:rPr>
                <w:rFonts w:cstheme="minorHAnsi"/>
                <w:sz w:val="19"/>
                <w:szCs w:val="19"/>
              </w:rPr>
              <w:t>17.6</w:t>
            </w:r>
          </w:p>
        </w:tc>
        <w:tc>
          <w:tcPr>
            <w:tcW w:w="907" w:type="dxa"/>
            <w:tcBorders>
              <w:top w:val="nil"/>
              <w:left w:val="nil"/>
              <w:bottom w:val="nil"/>
              <w:right w:val="nil"/>
            </w:tcBorders>
            <w:shd w:val="clear" w:color="auto" w:fill="auto"/>
            <w:noWrap/>
            <w:vAlign w:val="bottom"/>
            <w:hideMark/>
          </w:tcPr>
          <w:p w:rsidR="00BF5EB3" w:rsidRPr="00E3331B" w:rsidRDefault="00BF5EB3" w:rsidP="00A06AE2">
            <w:pPr>
              <w:tabs>
                <w:tab w:val="decimal" w:pos="357"/>
              </w:tabs>
              <w:spacing w:before="20" w:after="20"/>
              <w:rPr>
                <w:rFonts w:cstheme="minorHAnsi"/>
                <w:sz w:val="19"/>
                <w:szCs w:val="19"/>
              </w:rPr>
            </w:pPr>
            <w:r w:rsidRPr="00E3331B">
              <w:rPr>
                <w:rFonts w:cstheme="minorHAnsi"/>
                <w:sz w:val="19"/>
                <w:szCs w:val="19"/>
              </w:rPr>
              <w:t>2.7</w:t>
            </w:r>
          </w:p>
        </w:tc>
        <w:tc>
          <w:tcPr>
            <w:tcW w:w="794" w:type="dxa"/>
            <w:tcBorders>
              <w:top w:val="nil"/>
              <w:left w:val="nil"/>
              <w:bottom w:val="nil"/>
              <w:right w:val="nil"/>
            </w:tcBorders>
            <w:shd w:val="clear" w:color="auto" w:fill="auto"/>
            <w:noWrap/>
            <w:vAlign w:val="bottom"/>
            <w:hideMark/>
          </w:tcPr>
          <w:p w:rsidR="00BF5EB3" w:rsidRPr="00E3331B" w:rsidRDefault="00BF5EB3" w:rsidP="00A06AE2">
            <w:pPr>
              <w:tabs>
                <w:tab w:val="decimal" w:pos="242"/>
              </w:tabs>
              <w:spacing w:before="20" w:after="20"/>
              <w:rPr>
                <w:rFonts w:cstheme="minorHAnsi"/>
                <w:sz w:val="19"/>
                <w:szCs w:val="19"/>
              </w:rPr>
            </w:pPr>
            <w:r w:rsidRPr="00E3331B">
              <w:rPr>
                <w:rFonts w:cstheme="minorHAnsi"/>
                <w:sz w:val="19"/>
                <w:szCs w:val="19"/>
              </w:rPr>
              <w:t>1.3</w:t>
            </w:r>
          </w:p>
        </w:tc>
        <w:tc>
          <w:tcPr>
            <w:tcW w:w="1191" w:type="dxa"/>
            <w:tcBorders>
              <w:top w:val="nil"/>
              <w:left w:val="nil"/>
              <w:bottom w:val="nil"/>
              <w:right w:val="nil"/>
            </w:tcBorders>
            <w:shd w:val="clear" w:color="auto" w:fill="auto"/>
            <w:noWrap/>
            <w:vAlign w:val="bottom"/>
            <w:hideMark/>
          </w:tcPr>
          <w:p w:rsidR="00BF5EB3" w:rsidRPr="00E3331B" w:rsidRDefault="00BF5EB3" w:rsidP="00A06AE2">
            <w:pPr>
              <w:tabs>
                <w:tab w:val="decimal" w:pos="516"/>
              </w:tabs>
              <w:spacing w:before="20" w:after="20"/>
              <w:rPr>
                <w:rFonts w:cstheme="minorHAnsi"/>
                <w:sz w:val="19"/>
                <w:szCs w:val="19"/>
              </w:rPr>
            </w:pPr>
            <w:r w:rsidRPr="00E3331B">
              <w:rPr>
                <w:rFonts w:cstheme="minorHAnsi"/>
                <w:sz w:val="19"/>
                <w:szCs w:val="19"/>
              </w:rPr>
              <w:t>21.4</w:t>
            </w:r>
          </w:p>
        </w:tc>
        <w:tc>
          <w:tcPr>
            <w:tcW w:w="889" w:type="dxa"/>
            <w:tcBorders>
              <w:top w:val="nil"/>
              <w:left w:val="nil"/>
              <w:bottom w:val="nil"/>
              <w:right w:val="nil"/>
            </w:tcBorders>
            <w:shd w:val="clear" w:color="auto" w:fill="auto"/>
            <w:noWrap/>
            <w:vAlign w:val="bottom"/>
            <w:hideMark/>
          </w:tcPr>
          <w:p w:rsidR="00BF5EB3" w:rsidRPr="00E3331B" w:rsidRDefault="00BF5EB3" w:rsidP="00A06AE2">
            <w:pPr>
              <w:tabs>
                <w:tab w:val="decimal" w:pos="516"/>
              </w:tabs>
              <w:spacing w:before="20" w:after="20"/>
              <w:rPr>
                <w:rFonts w:cstheme="minorHAnsi"/>
                <w:sz w:val="19"/>
                <w:szCs w:val="19"/>
              </w:rPr>
            </w:pPr>
            <w:r w:rsidRPr="00E3331B">
              <w:rPr>
                <w:rFonts w:cstheme="minorHAnsi"/>
                <w:sz w:val="19"/>
                <w:szCs w:val="19"/>
              </w:rPr>
              <w:t>24.0</w:t>
            </w:r>
          </w:p>
        </w:tc>
      </w:tr>
      <w:tr w:rsidR="00BF5EB3" w:rsidRPr="009B3265" w:rsidTr="00C77B88">
        <w:trPr>
          <w:gridAfter w:val="1"/>
          <w:wAfter w:w="39" w:type="dxa"/>
        </w:trPr>
        <w:tc>
          <w:tcPr>
            <w:tcW w:w="4559" w:type="dxa"/>
            <w:tcBorders>
              <w:top w:val="nil"/>
              <w:left w:val="nil"/>
              <w:bottom w:val="nil"/>
              <w:right w:val="nil"/>
            </w:tcBorders>
            <w:shd w:val="clear" w:color="auto" w:fill="auto"/>
            <w:noWrap/>
            <w:vAlign w:val="bottom"/>
            <w:hideMark/>
          </w:tcPr>
          <w:p w:rsidR="00BF5EB3" w:rsidRPr="00E3331B" w:rsidRDefault="00BF5EB3" w:rsidP="00A06AE2">
            <w:pPr>
              <w:spacing w:before="20" w:after="20"/>
              <w:rPr>
                <w:rFonts w:cstheme="minorHAnsi"/>
                <w:sz w:val="19"/>
                <w:szCs w:val="19"/>
              </w:rPr>
            </w:pPr>
            <w:r w:rsidRPr="00E3331B">
              <w:rPr>
                <w:rFonts w:cstheme="minorHAnsi"/>
                <w:sz w:val="19"/>
                <w:szCs w:val="19"/>
              </w:rPr>
              <w:t>Reduced the amount of service provision</w:t>
            </w:r>
          </w:p>
        </w:tc>
        <w:tc>
          <w:tcPr>
            <w:tcW w:w="705" w:type="dxa"/>
            <w:tcBorders>
              <w:top w:val="nil"/>
              <w:left w:val="nil"/>
              <w:bottom w:val="nil"/>
              <w:right w:val="nil"/>
            </w:tcBorders>
            <w:shd w:val="clear" w:color="auto" w:fill="auto"/>
            <w:noWrap/>
            <w:vAlign w:val="bottom"/>
            <w:hideMark/>
          </w:tcPr>
          <w:p w:rsidR="00BF5EB3" w:rsidRPr="00E3331B" w:rsidRDefault="00BF5EB3" w:rsidP="00A06AE2">
            <w:pPr>
              <w:tabs>
                <w:tab w:val="decimal" w:pos="295"/>
              </w:tabs>
              <w:spacing w:before="20" w:after="20"/>
              <w:rPr>
                <w:rFonts w:cstheme="minorHAnsi"/>
                <w:sz w:val="19"/>
                <w:szCs w:val="19"/>
              </w:rPr>
            </w:pPr>
            <w:r w:rsidRPr="00E3331B">
              <w:rPr>
                <w:rFonts w:cstheme="minorHAnsi"/>
                <w:sz w:val="19"/>
                <w:szCs w:val="19"/>
              </w:rPr>
              <w:t>34.4</w:t>
            </w:r>
          </w:p>
        </w:tc>
        <w:tc>
          <w:tcPr>
            <w:tcW w:w="974" w:type="dxa"/>
            <w:tcBorders>
              <w:top w:val="nil"/>
              <w:left w:val="nil"/>
              <w:bottom w:val="nil"/>
              <w:right w:val="nil"/>
            </w:tcBorders>
            <w:shd w:val="clear" w:color="auto" w:fill="auto"/>
            <w:noWrap/>
            <w:vAlign w:val="bottom"/>
            <w:hideMark/>
          </w:tcPr>
          <w:p w:rsidR="00BF5EB3" w:rsidRPr="00E3331B" w:rsidRDefault="00BF5EB3" w:rsidP="00A06AE2">
            <w:pPr>
              <w:tabs>
                <w:tab w:val="decimal" w:pos="452"/>
              </w:tabs>
              <w:spacing w:before="20" w:after="20"/>
              <w:rPr>
                <w:rFonts w:cstheme="minorHAnsi"/>
                <w:sz w:val="19"/>
                <w:szCs w:val="19"/>
              </w:rPr>
            </w:pPr>
            <w:r w:rsidRPr="00E3331B">
              <w:rPr>
                <w:rFonts w:cstheme="minorHAnsi"/>
                <w:sz w:val="19"/>
                <w:szCs w:val="19"/>
              </w:rPr>
              <w:t>18.5</w:t>
            </w:r>
          </w:p>
        </w:tc>
        <w:tc>
          <w:tcPr>
            <w:tcW w:w="907" w:type="dxa"/>
            <w:tcBorders>
              <w:top w:val="nil"/>
              <w:left w:val="nil"/>
              <w:bottom w:val="nil"/>
              <w:right w:val="nil"/>
            </w:tcBorders>
            <w:shd w:val="clear" w:color="auto" w:fill="auto"/>
            <w:noWrap/>
            <w:vAlign w:val="bottom"/>
            <w:hideMark/>
          </w:tcPr>
          <w:p w:rsidR="00BF5EB3" w:rsidRPr="00E3331B" w:rsidRDefault="00BF5EB3" w:rsidP="00A06AE2">
            <w:pPr>
              <w:tabs>
                <w:tab w:val="decimal" w:pos="357"/>
              </w:tabs>
              <w:spacing w:before="20" w:after="20"/>
              <w:rPr>
                <w:rFonts w:cstheme="minorHAnsi"/>
                <w:sz w:val="19"/>
                <w:szCs w:val="19"/>
              </w:rPr>
            </w:pPr>
            <w:r w:rsidRPr="00E3331B">
              <w:rPr>
                <w:rFonts w:cstheme="minorHAnsi"/>
                <w:sz w:val="19"/>
                <w:szCs w:val="19"/>
              </w:rPr>
              <w:t>1.9</w:t>
            </w:r>
          </w:p>
        </w:tc>
        <w:tc>
          <w:tcPr>
            <w:tcW w:w="794" w:type="dxa"/>
            <w:tcBorders>
              <w:top w:val="nil"/>
              <w:left w:val="nil"/>
              <w:bottom w:val="nil"/>
              <w:right w:val="nil"/>
            </w:tcBorders>
            <w:shd w:val="clear" w:color="auto" w:fill="auto"/>
            <w:noWrap/>
            <w:vAlign w:val="bottom"/>
            <w:hideMark/>
          </w:tcPr>
          <w:p w:rsidR="00BF5EB3" w:rsidRPr="00E3331B" w:rsidRDefault="00BF5EB3" w:rsidP="00A06AE2">
            <w:pPr>
              <w:tabs>
                <w:tab w:val="decimal" w:pos="242"/>
              </w:tabs>
              <w:spacing w:before="20" w:after="20"/>
              <w:rPr>
                <w:rFonts w:cstheme="minorHAnsi"/>
                <w:sz w:val="19"/>
                <w:szCs w:val="19"/>
              </w:rPr>
            </w:pPr>
            <w:r w:rsidRPr="00E3331B">
              <w:rPr>
                <w:rFonts w:cstheme="minorHAnsi"/>
                <w:sz w:val="19"/>
                <w:szCs w:val="19"/>
              </w:rPr>
              <w:t>0.9</w:t>
            </w:r>
          </w:p>
        </w:tc>
        <w:tc>
          <w:tcPr>
            <w:tcW w:w="1191" w:type="dxa"/>
            <w:tcBorders>
              <w:top w:val="nil"/>
              <w:left w:val="nil"/>
              <w:bottom w:val="nil"/>
              <w:right w:val="nil"/>
            </w:tcBorders>
            <w:shd w:val="clear" w:color="auto" w:fill="auto"/>
            <w:noWrap/>
            <w:vAlign w:val="bottom"/>
            <w:hideMark/>
          </w:tcPr>
          <w:p w:rsidR="00BF5EB3" w:rsidRPr="00E3331B" w:rsidRDefault="00BF5EB3" w:rsidP="00A06AE2">
            <w:pPr>
              <w:tabs>
                <w:tab w:val="decimal" w:pos="516"/>
              </w:tabs>
              <w:spacing w:before="20" w:after="20"/>
              <w:rPr>
                <w:rFonts w:cstheme="minorHAnsi"/>
                <w:sz w:val="19"/>
                <w:szCs w:val="19"/>
              </w:rPr>
            </w:pPr>
            <w:r w:rsidRPr="00E3331B">
              <w:rPr>
                <w:rFonts w:cstheme="minorHAnsi"/>
                <w:sz w:val="19"/>
                <w:szCs w:val="19"/>
              </w:rPr>
              <w:t>20.4</w:t>
            </w:r>
          </w:p>
        </w:tc>
        <w:tc>
          <w:tcPr>
            <w:tcW w:w="889" w:type="dxa"/>
            <w:tcBorders>
              <w:top w:val="nil"/>
              <w:left w:val="nil"/>
              <w:bottom w:val="nil"/>
              <w:right w:val="nil"/>
            </w:tcBorders>
            <w:shd w:val="clear" w:color="auto" w:fill="auto"/>
            <w:noWrap/>
            <w:vAlign w:val="bottom"/>
            <w:hideMark/>
          </w:tcPr>
          <w:p w:rsidR="00BF5EB3" w:rsidRPr="00E3331B" w:rsidRDefault="00BF5EB3" w:rsidP="00A06AE2">
            <w:pPr>
              <w:tabs>
                <w:tab w:val="decimal" w:pos="516"/>
              </w:tabs>
              <w:spacing w:before="20" w:after="20"/>
              <w:rPr>
                <w:rFonts w:cstheme="minorHAnsi"/>
                <w:sz w:val="19"/>
                <w:szCs w:val="19"/>
              </w:rPr>
            </w:pPr>
            <w:r w:rsidRPr="00E3331B">
              <w:rPr>
                <w:rFonts w:cstheme="minorHAnsi"/>
                <w:sz w:val="19"/>
                <w:szCs w:val="19"/>
              </w:rPr>
              <w:t>24.0</w:t>
            </w:r>
          </w:p>
        </w:tc>
      </w:tr>
      <w:tr w:rsidR="00BF5EB3" w:rsidRPr="009B3265" w:rsidTr="00C77B88">
        <w:trPr>
          <w:gridAfter w:val="1"/>
          <w:wAfter w:w="39" w:type="dxa"/>
        </w:trPr>
        <w:tc>
          <w:tcPr>
            <w:tcW w:w="4559" w:type="dxa"/>
            <w:tcBorders>
              <w:top w:val="nil"/>
              <w:left w:val="nil"/>
              <w:bottom w:val="nil"/>
              <w:right w:val="nil"/>
            </w:tcBorders>
            <w:shd w:val="clear" w:color="auto" w:fill="auto"/>
            <w:noWrap/>
            <w:vAlign w:val="bottom"/>
            <w:hideMark/>
          </w:tcPr>
          <w:p w:rsidR="00BF5EB3" w:rsidRPr="00E3331B" w:rsidRDefault="00BF5EB3" w:rsidP="00A06AE2">
            <w:pPr>
              <w:spacing w:before="20" w:after="20"/>
              <w:rPr>
                <w:rFonts w:cstheme="minorHAnsi"/>
                <w:sz w:val="19"/>
                <w:szCs w:val="19"/>
              </w:rPr>
            </w:pPr>
            <w:r w:rsidRPr="00E3331B">
              <w:rPr>
                <w:rFonts w:cstheme="minorHAnsi"/>
                <w:sz w:val="19"/>
                <w:szCs w:val="19"/>
              </w:rPr>
              <w:t>Reduced the range of services provided</w:t>
            </w:r>
          </w:p>
        </w:tc>
        <w:tc>
          <w:tcPr>
            <w:tcW w:w="705" w:type="dxa"/>
            <w:tcBorders>
              <w:top w:val="nil"/>
              <w:left w:val="nil"/>
              <w:bottom w:val="nil"/>
              <w:right w:val="nil"/>
            </w:tcBorders>
            <w:shd w:val="clear" w:color="auto" w:fill="auto"/>
            <w:noWrap/>
            <w:vAlign w:val="bottom"/>
            <w:hideMark/>
          </w:tcPr>
          <w:p w:rsidR="00BF5EB3" w:rsidRPr="00E3331B" w:rsidRDefault="00BF5EB3" w:rsidP="00A06AE2">
            <w:pPr>
              <w:tabs>
                <w:tab w:val="decimal" w:pos="295"/>
              </w:tabs>
              <w:spacing w:before="20" w:after="20"/>
              <w:rPr>
                <w:rFonts w:cstheme="minorHAnsi"/>
                <w:sz w:val="19"/>
                <w:szCs w:val="19"/>
              </w:rPr>
            </w:pPr>
            <w:r w:rsidRPr="00E3331B">
              <w:rPr>
                <w:rFonts w:cstheme="minorHAnsi"/>
                <w:sz w:val="19"/>
                <w:szCs w:val="19"/>
              </w:rPr>
              <w:t>40.5</w:t>
            </w:r>
          </w:p>
        </w:tc>
        <w:tc>
          <w:tcPr>
            <w:tcW w:w="974" w:type="dxa"/>
            <w:tcBorders>
              <w:top w:val="nil"/>
              <w:left w:val="nil"/>
              <w:bottom w:val="nil"/>
              <w:right w:val="nil"/>
            </w:tcBorders>
            <w:shd w:val="clear" w:color="auto" w:fill="auto"/>
            <w:noWrap/>
            <w:vAlign w:val="bottom"/>
            <w:hideMark/>
          </w:tcPr>
          <w:p w:rsidR="00BF5EB3" w:rsidRPr="00E3331B" w:rsidRDefault="00BF5EB3" w:rsidP="00A06AE2">
            <w:pPr>
              <w:tabs>
                <w:tab w:val="decimal" w:pos="452"/>
              </w:tabs>
              <w:spacing w:before="20" w:after="20"/>
              <w:rPr>
                <w:rFonts w:cstheme="minorHAnsi"/>
                <w:sz w:val="19"/>
                <w:szCs w:val="19"/>
              </w:rPr>
            </w:pPr>
            <w:r w:rsidRPr="00E3331B">
              <w:rPr>
                <w:rFonts w:cstheme="minorHAnsi"/>
                <w:sz w:val="19"/>
                <w:szCs w:val="19"/>
              </w:rPr>
              <w:t>12.5</w:t>
            </w:r>
          </w:p>
        </w:tc>
        <w:tc>
          <w:tcPr>
            <w:tcW w:w="907" w:type="dxa"/>
            <w:tcBorders>
              <w:top w:val="nil"/>
              <w:left w:val="nil"/>
              <w:bottom w:val="nil"/>
              <w:right w:val="nil"/>
            </w:tcBorders>
            <w:shd w:val="clear" w:color="auto" w:fill="auto"/>
            <w:noWrap/>
            <w:vAlign w:val="bottom"/>
            <w:hideMark/>
          </w:tcPr>
          <w:p w:rsidR="00BF5EB3" w:rsidRPr="00E3331B" w:rsidRDefault="00BF5EB3" w:rsidP="00A06AE2">
            <w:pPr>
              <w:tabs>
                <w:tab w:val="decimal" w:pos="357"/>
              </w:tabs>
              <w:spacing w:before="20" w:after="20"/>
              <w:rPr>
                <w:rFonts w:cstheme="minorHAnsi"/>
                <w:sz w:val="19"/>
                <w:szCs w:val="19"/>
              </w:rPr>
            </w:pPr>
            <w:r w:rsidRPr="00E3331B">
              <w:rPr>
                <w:rFonts w:cstheme="minorHAnsi"/>
                <w:sz w:val="19"/>
                <w:szCs w:val="19"/>
              </w:rPr>
              <w:t>1.0</w:t>
            </w:r>
          </w:p>
        </w:tc>
        <w:tc>
          <w:tcPr>
            <w:tcW w:w="794" w:type="dxa"/>
            <w:tcBorders>
              <w:top w:val="nil"/>
              <w:left w:val="nil"/>
              <w:bottom w:val="nil"/>
              <w:right w:val="nil"/>
            </w:tcBorders>
            <w:shd w:val="clear" w:color="auto" w:fill="auto"/>
            <w:noWrap/>
            <w:vAlign w:val="bottom"/>
            <w:hideMark/>
          </w:tcPr>
          <w:p w:rsidR="00BF5EB3" w:rsidRPr="00E3331B" w:rsidRDefault="00BF5EB3" w:rsidP="00A06AE2">
            <w:pPr>
              <w:tabs>
                <w:tab w:val="decimal" w:pos="242"/>
              </w:tabs>
              <w:spacing w:before="20" w:after="20"/>
              <w:rPr>
                <w:rFonts w:cstheme="minorHAnsi"/>
                <w:sz w:val="19"/>
                <w:szCs w:val="19"/>
              </w:rPr>
            </w:pPr>
            <w:r w:rsidRPr="00E3331B">
              <w:rPr>
                <w:rFonts w:cstheme="minorHAnsi"/>
                <w:sz w:val="19"/>
                <w:szCs w:val="19"/>
              </w:rPr>
              <w:t>0.9</w:t>
            </w:r>
          </w:p>
        </w:tc>
        <w:tc>
          <w:tcPr>
            <w:tcW w:w="1191" w:type="dxa"/>
            <w:tcBorders>
              <w:top w:val="nil"/>
              <w:left w:val="nil"/>
              <w:bottom w:val="nil"/>
              <w:right w:val="nil"/>
            </w:tcBorders>
            <w:shd w:val="clear" w:color="auto" w:fill="auto"/>
            <w:noWrap/>
            <w:vAlign w:val="bottom"/>
            <w:hideMark/>
          </w:tcPr>
          <w:p w:rsidR="00BF5EB3" w:rsidRPr="00E3331B" w:rsidRDefault="00BF5EB3" w:rsidP="00A06AE2">
            <w:pPr>
              <w:tabs>
                <w:tab w:val="decimal" w:pos="516"/>
              </w:tabs>
              <w:spacing w:before="20" w:after="20"/>
              <w:rPr>
                <w:rFonts w:cstheme="minorHAnsi"/>
                <w:sz w:val="19"/>
                <w:szCs w:val="19"/>
              </w:rPr>
            </w:pPr>
            <w:r w:rsidRPr="00E3331B">
              <w:rPr>
                <w:rFonts w:cstheme="minorHAnsi"/>
                <w:sz w:val="19"/>
                <w:szCs w:val="19"/>
              </w:rPr>
              <w:t>21.2</w:t>
            </w:r>
          </w:p>
        </w:tc>
        <w:tc>
          <w:tcPr>
            <w:tcW w:w="889" w:type="dxa"/>
            <w:tcBorders>
              <w:top w:val="nil"/>
              <w:left w:val="nil"/>
              <w:bottom w:val="nil"/>
              <w:right w:val="nil"/>
            </w:tcBorders>
            <w:shd w:val="clear" w:color="auto" w:fill="auto"/>
            <w:noWrap/>
            <w:vAlign w:val="bottom"/>
            <w:hideMark/>
          </w:tcPr>
          <w:p w:rsidR="00BF5EB3" w:rsidRPr="00E3331B" w:rsidRDefault="00BF5EB3" w:rsidP="00A06AE2">
            <w:pPr>
              <w:tabs>
                <w:tab w:val="decimal" w:pos="516"/>
              </w:tabs>
              <w:spacing w:before="20" w:after="20"/>
              <w:rPr>
                <w:rFonts w:cstheme="minorHAnsi"/>
                <w:sz w:val="19"/>
                <w:szCs w:val="19"/>
              </w:rPr>
            </w:pPr>
            <w:r w:rsidRPr="00E3331B">
              <w:rPr>
                <w:rFonts w:cstheme="minorHAnsi"/>
                <w:sz w:val="19"/>
                <w:szCs w:val="19"/>
              </w:rPr>
              <w:t>24.0</w:t>
            </w:r>
          </w:p>
        </w:tc>
      </w:tr>
      <w:tr w:rsidR="00BF5EB3" w:rsidRPr="009B3265" w:rsidTr="00C77B88">
        <w:trPr>
          <w:gridAfter w:val="1"/>
          <w:wAfter w:w="39" w:type="dxa"/>
        </w:trPr>
        <w:tc>
          <w:tcPr>
            <w:tcW w:w="4559" w:type="dxa"/>
            <w:tcBorders>
              <w:top w:val="nil"/>
              <w:left w:val="nil"/>
              <w:bottom w:val="single" w:sz="4" w:space="0" w:color="auto"/>
              <w:right w:val="nil"/>
            </w:tcBorders>
            <w:shd w:val="clear" w:color="auto" w:fill="auto"/>
            <w:noWrap/>
            <w:vAlign w:val="bottom"/>
            <w:hideMark/>
          </w:tcPr>
          <w:p w:rsidR="00BF5EB3" w:rsidRPr="00E3331B" w:rsidRDefault="00BF5EB3" w:rsidP="00A06AE2">
            <w:pPr>
              <w:spacing w:before="20" w:after="20"/>
              <w:rPr>
                <w:rFonts w:cstheme="minorHAnsi"/>
                <w:sz w:val="19"/>
                <w:szCs w:val="19"/>
              </w:rPr>
            </w:pPr>
            <w:r w:rsidRPr="00E3331B">
              <w:rPr>
                <w:rFonts w:cstheme="minorHAnsi"/>
                <w:sz w:val="19"/>
                <w:szCs w:val="19"/>
              </w:rPr>
              <w:t>Other</w:t>
            </w:r>
          </w:p>
        </w:tc>
        <w:tc>
          <w:tcPr>
            <w:tcW w:w="705" w:type="dxa"/>
            <w:tcBorders>
              <w:top w:val="nil"/>
              <w:left w:val="nil"/>
              <w:bottom w:val="single" w:sz="4" w:space="0" w:color="auto"/>
              <w:right w:val="nil"/>
            </w:tcBorders>
            <w:shd w:val="clear" w:color="auto" w:fill="auto"/>
            <w:noWrap/>
            <w:vAlign w:val="bottom"/>
            <w:hideMark/>
          </w:tcPr>
          <w:p w:rsidR="00BF5EB3" w:rsidRPr="00E3331B" w:rsidRDefault="00BF5EB3" w:rsidP="00A06AE2">
            <w:pPr>
              <w:tabs>
                <w:tab w:val="decimal" w:pos="295"/>
              </w:tabs>
              <w:spacing w:before="20" w:after="20"/>
              <w:rPr>
                <w:rFonts w:cstheme="minorHAnsi"/>
                <w:sz w:val="19"/>
                <w:szCs w:val="19"/>
              </w:rPr>
            </w:pPr>
            <w:r w:rsidRPr="00E3331B">
              <w:rPr>
                <w:rFonts w:cstheme="minorHAnsi"/>
                <w:sz w:val="19"/>
                <w:szCs w:val="19"/>
              </w:rPr>
              <w:t>33.3</w:t>
            </w:r>
          </w:p>
        </w:tc>
        <w:tc>
          <w:tcPr>
            <w:tcW w:w="974" w:type="dxa"/>
            <w:tcBorders>
              <w:top w:val="nil"/>
              <w:left w:val="nil"/>
              <w:bottom w:val="single" w:sz="4" w:space="0" w:color="auto"/>
              <w:right w:val="nil"/>
            </w:tcBorders>
            <w:shd w:val="clear" w:color="auto" w:fill="auto"/>
            <w:noWrap/>
            <w:vAlign w:val="bottom"/>
            <w:hideMark/>
          </w:tcPr>
          <w:p w:rsidR="00BF5EB3" w:rsidRPr="00E3331B" w:rsidRDefault="00BF5EB3" w:rsidP="00A06AE2">
            <w:pPr>
              <w:tabs>
                <w:tab w:val="decimal" w:pos="452"/>
              </w:tabs>
              <w:spacing w:before="20" w:after="20"/>
              <w:rPr>
                <w:rFonts w:cstheme="minorHAnsi"/>
                <w:sz w:val="19"/>
                <w:szCs w:val="19"/>
              </w:rPr>
            </w:pPr>
            <w:r w:rsidRPr="00E3331B">
              <w:rPr>
                <w:rFonts w:cstheme="minorHAnsi"/>
                <w:sz w:val="19"/>
                <w:szCs w:val="19"/>
              </w:rPr>
              <w:t>0.6</w:t>
            </w:r>
          </w:p>
        </w:tc>
        <w:tc>
          <w:tcPr>
            <w:tcW w:w="907" w:type="dxa"/>
            <w:tcBorders>
              <w:top w:val="nil"/>
              <w:left w:val="nil"/>
              <w:bottom w:val="single" w:sz="4" w:space="0" w:color="auto"/>
              <w:right w:val="nil"/>
            </w:tcBorders>
            <w:shd w:val="clear" w:color="auto" w:fill="auto"/>
            <w:noWrap/>
            <w:vAlign w:val="bottom"/>
            <w:hideMark/>
          </w:tcPr>
          <w:p w:rsidR="00BF5EB3" w:rsidRPr="00E3331B" w:rsidRDefault="00BF5EB3" w:rsidP="00A06AE2">
            <w:pPr>
              <w:tabs>
                <w:tab w:val="decimal" w:pos="357"/>
              </w:tabs>
              <w:spacing w:before="20" w:after="20"/>
              <w:rPr>
                <w:rFonts w:cstheme="minorHAnsi"/>
                <w:sz w:val="19"/>
                <w:szCs w:val="19"/>
              </w:rPr>
            </w:pPr>
            <w:r w:rsidRPr="00E3331B">
              <w:rPr>
                <w:rFonts w:cstheme="minorHAnsi"/>
                <w:sz w:val="19"/>
                <w:szCs w:val="19"/>
              </w:rPr>
              <w:t>0.0</w:t>
            </w:r>
          </w:p>
        </w:tc>
        <w:tc>
          <w:tcPr>
            <w:tcW w:w="794" w:type="dxa"/>
            <w:tcBorders>
              <w:top w:val="nil"/>
              <w:left w:val="nil"/>
              <w:bottom w:val="single" w:sz="4" w:space="0" w:color="auto"/>
              <w:right w:val="nil"/>
            </w:tcBorders>
            <w:shd w:val="clear" w:color="auto" w:fill="auto"/>
            <w:noWrap/>
            <w:vAlign w:val="bottom"/>
            <w:hideMark/>
          </w:tcPr>
          <w:p w:rsidR="00BF5EB3" w:rsidRPr="00E3331B" w:rsidRDefault="00BF5EB3" w:rsidP="00A06AE2">
            <w:pPr>
              <w:tabs>
                <w:tab w:val="decimal" w:pos="242"/>
              </w:tabs>
              <w:spacing w:before="20" w:after="20"/>
              <w:rPr>
                <w:rFonts w:cstheme="minorHAnsi"/>
                <w:sz w:val="19"/>
                <w:szCs w:val="19"/>
              </w:rPr>
            </w:pPr>
            <w:r w:rsidRPr="00E3331B">
              <w:rPr>
                <w:rFonts w:cstheme="minorHAnsi"/>
                <w:sz w:val="19"/>
                <w:szCs w:val="19"/>
              </w:rPr>
              <w:t>0.6</w:t>
            </w:r>
          </w:p>
        </w:tc>
        <w:tc>
          <w:tcPr>
            <w:tcW w:w="1191" w:type="dxa"/>
            <w:tcBorders>
              <w:top w:val="nil"/>
              <w:left w:val="nil"/>
              <w:bottom w:val="single" w:sz="4" w:space="0" w:color="auto"/>
              <w:right w:val="nil"/>
            </w:tcBorders>
            <w:shd w:val="clear" w:color="auto" w:fill="auto"/>
            <w:noWrap/>
            <w:vAlign w:val="bottom"/>
            <w:hideMark/>
          </w:tcPr>
          <w:p w:rsidR="00BF5EB3" w:rsidRPr="00E3331B" w:rsidRDefault="00BF5EB3" w:rsidP="00A06AE2">
            <w:pPr>
              <w:tabs>
                <w:tab w:val="decimal" w:pos="516"/>
              </w:tabs>
              <w:spacing w:before="20" w:after="20"/>
              <w:rPr>
                <w:rFonts w:cstheme="minorHAnsi"/>
                <w:sz w:val="19"/>
                <w:szCs w:val="19"/>
              </w:rPr>
            </w:pPr>
            <w:r w:rsidRPr="00E3331B">
              <w:rPr>
                <w:rFonts w:cstheme="minorHAnsi"/>
                <w:sz w:val="19"/>
                <w:szCs w:val="19"/>
              </w:rPr>
              <w:t>41.5</w:t>
            </w:r>
          </w:p>
        </w:tc>
        <w:tc>
          <w:tcPr>
            <w:tcW w:w="889" w:type="dxa"/>
            <w:tcBorders>
              <w:top w:val="nil"/>
              <w:left w:val="nil"/>
              <w:bottom w:val="single" w:sz="4" w:space="0" w:color="auto"/>
              <w:right w:val="nil"/>
            </w:tcBorders>
            <w:shd w:val="clear" w:color="auto" w:fill="auto"/>
            <w:noWrap/>
            <w:vAlign w:val="bottom"/>
            <w:hideMark/>
          </w:tcPr>
          <w:p w:rsidR="00BF5EB3" w:rsidRPr="00E3331B" w:rsidRDefault="00BF5EB3" w:rsidP="00A06AE2">
            <w:pPr>
              <w:tabs>
                <w:tab w:val="decimal" w:pos="516"/>
              </w:tabs>
              <w:spacing w:before="20" w:after="20"/>
              <w:rPr>
                <w:rFonts w:cstheme="minorHAnsi"/>
                <w:sz w:val="19"/>
                <w:szCs w:val="19"/>
              </w:rPr>
            </w:pPr>
            <w:r w:rsidRPr="00E3331B">
              <w:rPr>
                <w:rFonts w:cstheme="minorHAnsi"/>
                <w:sz w:val="19"/>
                <w:szCs w:val="19"/>
              </w:rPr>
              <w:t>24.1</w:t>
            </w:r>
          </w:p>
        </w:tc>
      </w:tr>
      <w:tr w:rsidR="00BF5EB3" w:rsidRPr="009B3265" w:rsidTr="00C77B88">
        <w:tc>
          <w:tcPr>
            <w:tcW w:w="4559" w:type="dxa"/>
            <w:tcBorders>
              <w:top w:val="single" w:sz="4" w:space="0" w:color="auto"/>
              <w:left w:val="nil"/>
              <w:bottom w:val="single" w:sz="4" w:space="0" w:color="auto"/>
              <w:right w:val="nil"/>
            </w:tcBorders>
            <w:shd w:val="clear" w:color="auto" w:fill="auto"/>
            <w:noWrap/>
            <w:vAlign w:val="bottom"/>
          </w:tcPr>
          <w:p w:rsidR="00BF5EB3" w:rsidRPr="00E3331B" w:rsidRDefault="00BF5EB3" w:rsidP="00A06AE2">
            <w:pPr>
              <w:spacing w:before="20" w:after="20"/>
              <w:rPr>
                <w:rFonts w:cstheme="minorHAnsi"/>
                <w:sz w:val="19"/>
                <w:szCs w:val="19"/>
              </w:rPr>
            </w:pPr>
            <w:r w:rsidRPr="00E3331B">
              <w:rPr>
                <w:b/>
                <w:sz w:val="19"/>
                <w:szCs w:val="19"/>
              </w:rPr>
              <w:t>Total number of outlets</w:t>
            </w:r>
            <w:r>
              <w:rPr>
                <w:b/>
                <w:sz w:val="19"/>
                <w:szCs w:val="19"/>
              </w:rPr>
              <w:t xml:space="preserve">  </w:t>
            </w:r>
            <w:r w:rsidRPr="00E3331B">
              <w:rPr>
                <w:b/>
                <w:sz w:val="19"/>
                <w:szCs w:val="19"/>
              </w:rPr>
              <w:t>697</w:t>
            </w:r>
          </w:p>
        </w:tc>
        <w:tc>
          <w:tcPr>
            <w:tcW w:w="705" w:type="dxa"/>
            <w:tcBorders>
              <w:top w:val="single" w:sz="4" w:space="0" w:color="auto"/>
              <w:left w:val="nil"/>
              <w:bottom w:val="single" w:sz="4" w:space="0" w:color="auto"/>
              <w:right w:val="nil"/>
            </w:tcBorders>
            <w:shd w:val="clear" w:color="auto" w:fill="auto"/>
            <w:noWrap/>
            <w:vAlign w:val="bottom"/>
          </w:tcPr>
          <w:p w:rsidR="00BF5EB3" w:rsidRPr="00E3331B" w:rsidRDefault="00BF5EB3" w:rsidP="00A06AE2">
            <w:pPr>
              <w:tabs>
                <w:tab w:val="decimal" w:pos="242"/>
              </w:tabs>
              <w:spacing w:before="20" w:after="20"/>
              <w:rPr>
                <w:rFonts w:cstheme="minorHAnsi"/>
                <w:sz w:val="19"/>
                <w:szCs w:val="19"/>
              </w:rPr>
            </w:pPr>
          </w:p>
        </w:tc>
        <w:tc>
          <w:tcPr>
            <w:tcW w:w="974" w:type="dxa"/>
            <w:tcBorders>
              <w:top w:val="single" w:sz="4" w:space="0" w:color="auto"/>
              <w:left w:val="nil"/>
              <w:bottom w:val="single" w:sz="4" w:space="0" w:color="auto"/>
              <w:right w:val="nil"/>
            </w:tcBorders>
            <w:shd w:val="clear" w:color="auto" w:fill="auto"/>
            <w:noWrap/>
            <w:vAlign w:val="bottom"/>
          </w:tcPr>
          <w:p w:rsidR="00BF5EB3" w:rsidRPr="00E3331B" w:rsidRDefault="00BF5EB3" w:rsidP="00A06AE2">
            <w:pPr>
              <w:tabs>
                <w:tab w:val="decimal" w:pos="242"/>
              </w:tabs>
              <w:spacing w:before="20" w:after="20"/>
              <w:rPr>
                <w:rFonts w:cstheme="minorHAnsi"/>
                <w:sz w:val="19"/>
                <w:szCs w:val="19"/>
              </w:rPr>
            </w:pPr>
          </w:p>
        </w:tc>
        <w:tc>
          <w:tcPr>
            <w:tcW w:w="907" w:type="dxa"/>
            <w:tcBorders>
              <w:top w:val="single" w:sz="4" w:space="0" w:color="auto"/>
              <w:left w:val="nil"/>
              <w:bottom w:val="single" w:sz="4" w:space="0" w:color="auto"/>
              <w:right w:val="nil"/>
            </w:tcBorders>
            <w:shd w:val="clear" w:color="auto" w:fill="auto"/>
            <w:noWrap/>
            <w:vAlign w:val="bottom"/>
          </w:tcPr>
          <w:p w:rsidR="00BF5EB3" w:rsidRPr="00E3331B" w:rsidRDefault="00BF5EB3" w:rsidP="00A06AE2">
            <w:pPr>
              <w:tabs>
                <w:tab w:val="decimal" w:pos="242"/>
              </w:tabs>
              <w:spacing w:before="20" w:after="20"/>
              <w:rPr>
                <w:rFonts w:cstheme="minorHAnsi"/>
                <w:sz w:val="19"/>
                <w:szCs w:val="19"/>
              </w:rPr>
            </w:pPr>
          </w:p>
        </w:tc>
        <w:tc>
          <w:tcPr>
            <w:tcW w:w="794" w:type="dxa"/>
            <w:tcBorders>
              <w:top w:val="single" w:sz="4" w:space="0" w:color="auto"/>
              <w:left w:val="nil"/>
              <w:bottom w:val="single" w:sz="4" w:space="0" w:color="auto"/>
              <w:right w:val="nil"/>
            </w:tcBorders>
            <w:shd w:val="clear" w:color="auto" w:fill="auto"/>
            <w:noWrap/>
            <w:vAlign w:val="bottom"/>
          </w:tcPr>
          <w:p w:rsidR="00BF5EB3" w:rsidRPr="00E3331B" w:rsidRDefault="00BF5EB3" w:rsidP="00A06AE2">
            <w:pPr>
              <w:tabs>
                <w:tab w:val="decimal" w:pos="242"/>
              </w:tabs>
              <w:spacing w:before="20" w:after="20"/>
              <w:rPr>
                <w:rFonts w:cstheme="minorHAnsi"/>
                <w:sz w:val="19"/>
                <w:szCs w:val="19"/>
              </w:rPr>
            </w:pPr>
          </w:p>
        </w:tc>
        <w:tc>
          <w:tcPr>
            <w:tcW w:w="1191" w:type="dxa"/>
            <w:tcBorders>
              <w:top w:val="single" w:sz="4" w:space="0" w:color="auto"/>
              <w:left w:val="nil"/>
              <w:bottom w:val="single" w:sz="4" w:space="0" w:color="auto"/>
              <w:right w:val="nil"/>
            </w:tcBorders>
            <w:shd w:val="clear" w:color="auto" w:fill="auto"/>
            <w:noWrap/>
            <w:vAlign w:val="bottom"/>
          </w:tcPr>
          <w:p w:rsidR="00BF5EB3" w:rsidRPr="00E3331B" w:rsidRDefault="00BF5EB3" w:rsidP="00A06AE2">
            <w:pPr>
              <w:tabs>
                <w:tab w:val="decimal" w:pos="516"/>
              </w:tabs>
              <w:spacing w:before="20" w:after="20"/>
              <w:rPr>
                <w:rFonts w:cstheme="minorHAnsi"/>
                <w:sz w:val="19"/>
                <w:szCs w:val="19"/>
              </w:rPr>
            </w:pPr>
          </w:p>
        </w:tc>
        <w:tc>
          <w:tcPr>
            <w:tcW w:w="928" w:type="dxa"/>
            <w:gridSpan w:val="2"/>
            <w:tcBorders>
              <w:top w:val="single" w:sz="4" w:space="0" w:color="auto"/>
              <w:left w:val="nil"/>
              <w:bottom w:val="single" w:sz="4" w:space="0" w:color="auto"/>
              <w:right w:val="nil"/>
            </w:tcBorders>
            <w:shd w:val="clear" w:color="auto" w:fill="auto"/>
            <w:noWrap/>
            <w:vAlign w:val="bottom"/>
          </w:tcPr>
          <w:p w:rsidR="00BF5EB3" w:rsidRPr="00E3331B" w:rsidRDefault="00BF5EB3" w:rsidP="00A06AE2">
            <w:pPr>
              <w:tabs>
                <w:tab w:val="decimal" w:pos="516"/>
              </w:tabs>
              <w:spacing w:before="20" w:after="20"/>
              <w:rPr>
                <w:rFonts w:cstheme="minorHAnsi"/>
                <w:sz w:val="19"/>
                <w:szCs w:val="19"/>
              </w:rPr>
            </w:pPr>
          </w:p>
        </w:tc>
      </w:tr>
    </w:tbl>
    <w:p w:rsidR="00685BE5" w:rsidRPr="007D2274" w:rsidRDefault="00685BE5" w:rsidP="00AE4C3A">
      <w:pPr>
        <w:pStyle w:val="NILSReference"/>
      </w:pPr>
      <w:r w:rsidRPr="007D2274">
        <w:t>Source: 2014 NDIS DSP outlet survey, Question C8.</w:t>
      </w:r>
    </w:p>
    <w:p w:rsidR="00685BE5" w:rsidRPr="007D2274" w:rsidRDefault="00685BE5" w:rsidP="00AE4C3A">
      <w:pPr>
        <w:pStyle w:val="NILSReference"/>
      </w:pPr>
      <w:r w:rsidRPr="007D2274">
        <w:t>Note: Row percentages are shown.</w:t>
      </w:r>
    </w:p>
    <w:p w:rsidR="00685BE5" w:rsidRDefault="00685BE5" w:rsidP="00367B24">
      <w:pPr>
        <w:pStyle w:val="Heading3"/>
      </w:pPr>
      <w:bookmarkStart w:id="512" w:name="_Toc428279187"/>
      <w:bookmarkStart w:id="513" w:name="_Toc449955035"/>
      <w:r>
        <w:t>4.2.3 Vacancies</w:t>
      </w:r>
      <w:bookmarkEnd w:id="512"/>
      <w:bookmarkEnd w:id="513"/>
    </w:p>
    <w:p w:rsidR="00685BE5" w:rsidRDefault="00685BE5" w:rsidP="00AE4C3A">
      <w:pPr>
        <w:rPr>
          <w:rFonts w:cstheme="minorHAnsi"/>
        </w:rPr>
      </w:pPr>
      <w:r>
        <w:rPr>
          <w:rFonts w:cstheme="minorHAnsi"/>
        </w:rPr>
        <w:t>Job vacancies are another indicator of skill shortage or labour turnover. Table 4.</w:t>
      </w:r>
      <w:r w:rsidRPr="00206BA4">
        <w:rPr>
          <w:rFonts w:cstheme="minorHAnsi"/>
        </w:rPr>
        <w:t>9 considers the number of</w:t>
      </w:r>
      <w:r>
        <w:rPr>
          <w:rFonts w:cstheme="minorHAnsi"/>
        </w:rPr>
        <w:t xml:space="preserve"> current </w:t>
      </w:r>
      <w:r w:rsidRPr="00206BA4">
        <w:rPr>
          <w:rFonts w:cstheme="minorHAnsi"/>
        </w:rPr>
        <w:t xml:space="preserve">vacancies at outlets for each </w:t>
      </w:r>
      <w:r>
        <w:rPr>
          <w:rFonts w:cstheme="minorHAnsi"/>
        </w:rPr>
        <w:t>employee</w:t>
      </w:r>
      <w:r w:rsidRPr="00206BA4">
        <w:rPr>
          <w:rFonts w:cstheme="minorHAnsi"/>
        </w:rPr>
        <w:t xml:space="preserve"> type, with the vacancy advertised and available to fill immediately (at date</w:t>
      </w:r>
      <w:r>
        <w:rPr>
          <w:rFonts w:cstheme="minorHAnsi"/>
        </w:rPr>
        <w:t xml:space="preserve"> of survey</w:t>
      </w:r>
      <w:r w:rsidRPr="00206BA4">
        <w:rPr>
          <w:rFonts w:cstheme="minorHAnsi"/>
        </w:rPr>
        <w:t xml:space="preserve"> during the 2014/15 financial year). </w:t>
      </w:r>
    </w:p>
    <w:p w:rsidR="003A37B0" w:rsidRPr="00206BA4" w:rsidRDefault="003A37B0" w:rsidP="00AE4C3A">
      <w:pPr>
        <w:rPr>
          <w:rFonts w:cstheme="minorHAnsi"/>
        </w:rPr>
      </w:pPr>
    </w:p>
    <w:p w:rsidR="00685BE5" w:rsidRDefault="00685BE5" w:rsidP="00AE4C3A">
      <w:pPr>
        <w:rPr>
          <w:rFonts w:cstheme="minorHAnsi"/>
        </w:rPr>
      </w:pPr>
      <w:r w:rsidRPr="00206BA4">
        <w:rPr>
          <w:rFonts w:cstheme="minorHAnsi"/>
        </w:rPr>
        <w:t xml:space="preserve">For each type of </w:t>
      </w:r>
      <w:r>
        <w:rPr>
          <w:rFonts w:cstheme="minorHAnsi"/>
        </w:rPr>
        <w:t>employee</w:t>
      </w:r>
      <w:r w:rsidRPr="00206BA4">
        <w:rPr>
          <w:rFonts w:cstheme="minorHAnsi"/>
        </w:rPr>
        <w:t>, more than 60 per cent of all outlets recorded no vacancies</w:t>
      </w:r>
      <w:r>
        <w:rPr>
          <w:rFonts w:cstheme="minorHAnsi"/>
        </w:rPr>
        <w:t xml:space="preserve"> and where there were vacancies the numbers were generally small. The largest number of vacancies were for disability support/residential support workers (20 per cent of outlets reported at least one vacancy), personal care/home care workers (12 per cent) and allied health workers (9 per cent)</w:t>
      </w:r>
      <w:r w:rsidRPr="00206BA4">
        <w:rPr>
          <w:rFonts w:cstheme="minorHAnsi"/>
        </w:rPr>
        <w:t xml:space="preserve">. </w:t>
      </w:r>
      <w:r>
        <w:rPr>
          <w:rFonts w:cstheme="minorHAnsi"/>
        </w:rPr>
        <w:t>As we show in a later section of this report (Table 4.18), disability support/residential support workers accounted for 48 per cent of the whole direct care workforce, and it is thus not surprising that they also represented a high proportion of all vacancies.</w:t>
      </w:r>
    </w:p>
    <w:p w:rsidR="003A37B0" w:rsidRDefault="003A37B0" w:rsidP="00AE4C3A">
      <w:pPr>
        <w:rPr>
          <w:rFonts w:cstheme="minorHAnsi"/>
        </w:rPr>
      </w:pPr>
    </w:p>
    <w:p w:rsidR="00685BE5" w:rsidRPr="005A2670" w:rsidRDefault="00685BE5" w:rsidP="0044684E">
      <w:pPr>
        <w:pStyle w:val="NILSTableHeading"/>
        <w:rPr>
          <w:bCs/>
        </w:rPr>
      </w:pPr>
      <w:bookmarkStart w:id="514" w:name="_Toc428279213"/>
      <w:bookmarkStart w:id="515" w:name="_Toc449955343"/>
      <w:r>
        <w:t>Table 4.</w:t>
      </w:r>
      <w:r w:rsidRPr="005A2670">
        <w:t>9: Number o</w:t>
      </w:r>
      <w:r>
        <w:t>f current vacancies by occupation</w:t>
      </w:r>
      <w:bookmarkEnd w:id="514"/>
      <w:bookmarkEnd w:id="515"/>
    </w:p>
    <w:tbl>
      <w:tblPr>
        <w:tblW w:w="9371" w:type="dxa"/>
        <w:tblInd w:w="93" w:type="dxa"/>
        <w:tblLook w:val="04A0" w:firstRow="1" w:lastRow="0" w:firstColumn="1" w:lastColumn="0" w:noHBand="0" w:noVBand="1"/>
        <w:tblCaption w:val="Table 4.9 Number of current vacancies by occupation"/>
      </w:tblPr>
      <w:tblGrid>
        <w:gridCol w:w="4852"/>
        <w:gridCol w:w="740"/>
        <w:gridCol w:w="740"/>
        <w:gridCol w:w="740"/>
        <w:gridCol w:w="960"/>
        <w:gridCol w:w="1339"/>
      </w:tblGrid>
      <w:tr w:rsidR="00685BE5" w:rsidRPr="00B90E88" w:rsidTr="008C30DA">
        <w:trPr>
          <w:tblHeader/>
        </w:trPr>
        <w:tc>
          <w:tcPr>
            <w:tcW w:w="4852" w:type="dxa"/>
            <w:tcBorders>
              <w:top w:val="single" w:sz="4" w:space="0" w:color="auto"/>
              <w:left w:val="nil"/>
              <w:bottom w:val="single" w:sz="4" w:space="0" w:color="auto"/>
              <w:right w:val="nil"/>
            </w:tcBorders>
            <w:shd w:val="clear" w:color="auto" w:fill="auto"/>
            <w:noWrap/>
          </w:tcPr>
          <w:p w:rsidR="00685BE5" w:rsidRPr="00055B53" w:rsidRDefault="00685BE5" w:rsidP="00A06AE2">
            <w:pPr>
              <w:spacing w:before="20" w:after="20"/>
              <w:rPr>
                <w:rFonts w:cstheme="minorHAnsi"/>
                <w:sz w:val="20"/>
                <w:szCs w:val="20"/>
              </w:rPr>
            </w:pPr>
            <w:bookmarkStart w:id="516" w:name="Title_4_9"/>
            <w:bookmarkEnd w:id="516"/>
          </w:p>
        </w:tc>
        <w:tc>
          <w:tcPr>
            <w:tcW w:w="740" w:type="dxa"/>
            <w:tcBorders>
              <w:top w:val="single" w:sz="4" w:space="0" w:color="auto"/>
              <w:left w:val="nil"/>
              <w:bottom w:val="single" w:sz="4" w:space="0" w:color="auto"/>
              <w:right w:val="nil"/>
            </w:tcBorders>
            <w:shd w:val="clear" w:color="auto" w:fill="auto"/>
            <w:noWrap/>
            <w:vAlign w:val="bottom"/>
            <w:hideMark/>
          </w:tcPr>
          <w:p w:rsidR="00685BE5" w:rsidRDefault="00685BE5" w:rsidP="008C30DA">
            <w:pPr>
              <w:spacing w:before="20" w:after="20"/>
              <w:jc w:val="center"/>
              <w:rPr>
                <w:rFonts w:cstheme="minorHAnsi"/>
                <w:bCs/>
                <w:sz w:val="20"/>
                <w:szCs w:val="20"/>
              </w:rPr>
            </w:pPr>
            <w:r w:rsidRPr="007D2274">
              <w:rPr>
                <w:rFonts w:cstheme="minorHAnsi"/>
                <w:bCs/>
                <w:sz w:val="20"/>
                <w:szCs w:val="20"/>
              </w:rPr>
              <w:t>None</w:t>
            </w:r>
          </w:p>
          <w:p w:rsidR="008C30DA" w:rsidRPr="007D2274" w:rsidRDefault="008C30DA" w:rsidP="008C30DA">
            <w:pPr>
              <w:spacing w:before="20" w:after="20"/>
              <w:jc w:val="center"/>
              <w:rPr>
                <w:rFonts w:cstheme="minorHAnsi"/>
                <w:bCs/>
                <w:sz w:val="20"/>
                <w:szCs w:val="20"/>
              </w:rPr>
            </w:pPr>
            <w:r>
              <w:rPr>
                <w:rFonts w:cstheme="minorHAnsi"/>
                <w:bCs/>
                <w:sz w:val="20"/>
                <w:szCs w:val="20"/>
              </w:rPr>
              <w:t>%</w:t>
            </w:r>
          </w:p>
        </w:tc>
        <w:tc>
          <w:tcPr>
            <w:tcW w:w="740" w:type="dxa"/>
            <w:tcBorders>
              <w:top w:val="single" w:sz="4" w:space="0" w:color="auto"/>
              <w:left w:val="nil"/>
              <w:bottom w:val="single" w:sz="4" w:space="0" w:color="auto"/>
              <w:right w:val="nil"/>
            </w:tcBorders>
            <w:shd w:val="clear" w:color="auto" w:fill="auto"/>
            <w:noWrap/>
            <w:vAlign w:val="bottom"/>
            <w:hideMark/>
          </w:tcPr>
          <w:p w:rsidR="00685BE5" w:rsidRDefault="00685BE5" w:rsidP="008C30DA">
            <w:pPr>
              <w:spacing w:before="20" w:after="20"/>
              <w:jc w:val="center"/>
              <w:rPr>
                <w:rFonts w:cstheme="minorHAnsi"/>
                <w:bCs/>
                <w:sz w:val="20"/>
                <w:szCs w:val="20"/>
              </w:rPr>
            </w:pPr>
            <w:r w:rsidRPr="007D2274">
              <w:rPr>
                <w:rFonts w:cstheme="minorHAnsi"/>
                <w:bCs/>
                <w:sz w:val="20"/>
                <w:szCs w:val="20"/>
              </w:rPr>
              <w:t>One</w:t>
            </w:r>
          </w:p>
          <w:p w:rsidR="008C30DA" w:rsidRPr="007D2274" w:rsidRDefault="008C30DA" w:rsidP="008C30DA">
            <w:pPr>
              <w:spacing w:before="20" w:after="20"/>
              <w:jc w:val="center"/>
              <w:rPr>
                <w:rFonts w:cstheme="minorHAnsi"/>
                <w:bCs/>
                <w:sz w:val="20"/>
                <w:szCs w:val="20"/>
              </w:rPr>
            </w:pPr>
            <w:r>
              <w:rPr>
                <w:rFonts w:cstheme="minorHAnsi"/>
                <w:bCs/>
                <w:sz w:val="20"/>
                <w:szCs w:val="20"/>
              </w:rPr>
              <w:t>%</w:t>
            </w:r>
          </w:p>
        </w:tc>
        <w:tc>
          <w:tcPr>
            <w:tcW w:w="740" w:type="dxa"/>
            <w:tcBorders>
              <w:top w:val="single" w:sz="4" w:space="0" w:color="auto"/>
              <w:left w:val="nil"/>
              <w:bottom w:val="single" w:sz="4" w:space="0" w:color="auto"/>
              <w:right w:val="nil"/>
            </w:tcBorders>
            <w:shd w:val="clear" w:color="auto" w:fill="auto"/>
            <w:noWrap/>
            <w:vAlign w:val="bottom"/>
            <w:hideMark/>
          </w:tcPr>
          <w:p w:rsidR="00685BE5" w:rsidRDefault="00685BE5" w:rsidP="008C30DA">
            <w:pPr>
              <w:spacing w:before="20" w:after="20"/>
              <w:jc w:val="center"/>
              <w:rPr>
                <w:rFonts w:cstheme="minorHAnsi"/>
                <w:bCs/>
                <w:sz w:val="20"/>
                <w:szCs w:val="20"/>
              </w:rPr>
            </w:pPr>
            <w:r w:rsidRPr="007D2274">
              <w:rPr>
                <w:rFonts w:cstheme="minorHAnsi"/>
                <w:bCs/>
                <w:sz w:val="20"/>
                <w:szCs w:val="20"/>
              </w:rPr>
              <w:t>Two</w:t>
            </w:r>
          </w:p>
          <w:p w:rsidR="008C30DA" w:rsidRPr="007D2274" w:rsidRDefault="008C30DA" w:rsidP="008C30DA">
            <w:pPr>
              <w:spacing w:before="20" w:after="20"/>
              <w:jc w:val="center"/>
              <w:rPr>
                <w:rFonts w:cstheme="minorHAnsi"/>
                <w:bCs/>
                <w:sz w:val="20"/>
                <w:szCs w:val="20"/>
              </w:rPr>
            </w:pPr>
            <w:r>
              <w:rPr>
                <w:rFonts w:cstheme="minorHAnsi"/>
                <w:bCs/>
                <w:sz w:val="20"/>
                <w:szCs w:val="20"/>
              </w:rPr>
              <w:t>%</w:t>
            </w:r>
          </w:p>
        </w:tc>
        <w:tc>
          <w:tcPr>
            <w:tcW w:w="960" w:type="dxa"/>
            <w:tcBorders>
              <w:top w:val="single" w:sz="4" w:space="0" w:color="auto"/>
              <w:left w:val="nil"/>
              <w:bottom w:val="single" w:sz="4" w:space="0" w:color="auto"/>
              <w:right w:val="nil"/>
            </w:tcBorders>
            <w:shd w:val="clear" w:color="auto" w:fill="auto"/>
            <w:hideMark/>
          </w:tcPr>
          <w:p w:rsidR="00685BE5" w:rsidRDefault="00685BE5" w:rsidP="00A06AE2">
            <w:pPr>
              <w:spacing w:before="20" w:after="20"/>
              <w:jc w:val="center"/>
              <w:rPr>
                <w:rFonts w:cstheme="minorHAnsi"/>
                <w:bCs/>
                <w:sz w:val="20"/>
                <w:szCs w:val="20"/>
              </w:rPr>
            </w:pPr>
            <w:r w:rsidRPr="007D2274">
              <w:rPr>
                <w:rFonts w:cstheme="minorHAnsi"/>
                <w:bCs/>
                <w:sz w:val="20"/>
                <w:szCs w:val="20"/>
              </w:rPr>
              <w:t>Three or more</w:t>
            </w:r>
          </w:p>
          <w:p w:rsidR="008C30DA" w:rsidRPr="007D2274" w:rsidRDefault="008C30DA" w:rsidP="00A06AE2">
            <w:pPr>
              <w:spacing w:before="20" w:after="20"/>
              <w:jc w:val="center"/>
              <w:rPr>
                <w:rFonts w:cstheme="minorHAnsi"/>
                <w:bCs/>
                <w:sz w:val="20"/>
                <w:szCs w:val="20"/>
              </w:rPr>
            </w:pPr>
            <w:r>
              <w:rPr>
                <w:rFonts w:cstheme="minorHAnsi"/>
                <w:bCs/>
                <w:sz w:val="20"/>
                <w:szCs w:val="20"/>
              </w:rPr>
              <w:t>%</w:t>
            </w:r>
          </w:p>
        </w:tc>
        <w:tc>
          <w:tcPr>
            <w:tcW w:w="1339" w:type="dxa"/>
            <w:tcBorders>
              <w:top w:val="single" w:sz="4" w:space="0" w:color="auto"/>
              <w:left w:val="nil"/>
              <w:bottom w:val="single" w:sz="4" w:space="0" w:color="auto"/>
              <w:right w:val="nil"/>
            </w:tcBorders>
            <w:shd w:val="clear" w:color="auto" w:fill="auto"/>
            <w:noWrap/>
            <w:hideMark/>
          </w:tcPr>
          <w:p w:rsidR="00685BE5" w:rsidRDefault="00685BE5" w:rsidP="00A06AE2">
            <w:pPr>
              <w:spacing w:before="20" w:after="20"/>
              <w:jc w:val="center"/>
              <w:rPr>
                <w:rFonts w:cstheme="minorHAnsi"/>
                <w:bCs/>
                <w:sz w:val="20"/>
                <w:szCs w:val="20"/>
              </w:rPr>
            </w:pPr>
            <w:r w:rsidRPr="007D2274">
              <w:rPr>
                <w:rFonts w:cstheme="minorHAnsi"/>
                <w:bCs/>
                <w:sz w:val="20"/>
                <w:szCs w:val="20"/>
              </w:rPr>
              <w:t>Question not answered</w:t>
            </w:r>
          </w:p>
          <w:p w:rsidR="008C30DA" w:rsidRPr="007D2274" w:rsidRDefault="008C30DA" w:rsidP="00A06AE2">
            <w:pPr>
              <w:spacing w:before="20" w:after="20"/>
              <w:jc w:val="center"/>
              <w:rPr>
                <w:rFonts w:cstheme="minorHAnsi"/>
                <w:bCs/>
                <w:sz w:val="20"/>
                <w:szCs w:val="20"/>
              </w:rPr>
            </w:pPr>
            <w:r>
              <w:rPr>
                <w:rFonts w:cstheme="minorHAnsi"/>
                <w:bCs/>
                <w:sz w:val="20"/>
                <w:szCs w:val="20"/>
              </w:rPr>
              <w:t>%</w:t>
            </w:r>
          </w:p>
        </w:tc>
      </w:tr>
      <w:tr w:rsidR="00685BE5" w:rsidRPr="00B90E88" w:rsidTr="008D0772">
        <w:tc>
          <w:tcPr>
            <w:tcW w:w="4852" w:type="dxa"/>
            <w:tcBorders>
              <w:top w:val="single" w:sz="4" w:space="0" w:color="auto"/>
              <w:left w:val="nil"/>
              <w:bottom w:val="nil"/>
              <w:right w:val="nil"/>
            </w:tcBorders>
            <w:shd w:val="clear" w:color="auto" w:fill="auto"/>
            <w:noWrap/>
            <w:hideMark/>
          </w:tcPr>
          <w:p w:rsidR="00685BE5" w:rsidRPr="007D2274" w:rsidRDefault="00685BE5" w:rsidP="00A06AE2">
            <w:pPr>
              <w:spacing w:before="20" w:after="20"/>
              <w:rPr>
                <w:rFonts w:cstheme="minorHAnsi"/>
                <w:sz w:val="20"/>
                <w:szCs w:val="20"/>
              </w:rPr>
            </w:pPr>
            <w:r w:rsidRPr="007D2274">
              <w:rPr>
                <w:rFonts w:cstheme="minorHAnsi"/>
                <w:sz w:val="20"/>
                <w:szCs w:val="20"/>
              </w:rPr>
              <w:t>Disability support/</w:t>
            </w:r>
            <w:r>
              <w:rPr>
                <w:rFonts w:cstheme="minorHAnsi"/>
                <w:sz w:val="20"/>
                <w:szCs w:val="20"/>
              </w:rPr>
              <w:t>r</w:t>
            </w:r>
            <w:r w:rsidRPr="007D2274">
              <w:rPr>
                <w:rFonts w:cstheme="minorHAnsi"/>
                <w:sz w:val="20"/>
                <w:szCs w:val="20"/>
              </w:rPr>
              <w:t>esidential support worker</w:t>
            </w:r>
          </w:p>
        </w:tc>
        <w:tc>
          <w:tcPr>
            <w:tcW w:w="740" w:type="dxa"/>
            <w:tcBorders>
              <w:top w:val="single" w:sz="4" w:space="0" w:color="auto"/>
              <w:left w:val="nil"/>
              <w:bottom w:val="nil"/>
              <w:right w:val="nil"/>
            </w:tcBorders>
            <w:shd w:val="clear" w:color="auto" w:fill="auto"/>
            <w:noWrap/>
            <w:hideMark/>
          </w:tcPr>
          <w:p w:rsidR="00685BE5" w:rsidRPr="007D2274" w:rsidRDefault="00685BE5" w:rsidP="00A06AE2">
            <w:pPr>
              <w:tabs>
                <w:tab w:val="decimal" w:pos="300"/>
              </w:tabs>
              <w:spacing w:before="20" w:after="20"/>
              <w:rPr>
                <w:rFonts w:cstheme="minorHAnsi"/>
                <w:sz w:val="20"/>
                <w:szCs w:val="20"/>
              </w:rPr>
            </w:pPr>
            <w:r w:rsidRPr="007D2274">
              <w:rPr>
                <w:rFonts w:cstheme="minorHAnsi"/>
                <w:sz w:val="20"/>
                <w:szCs w:val="20"/>
              </w:rPr>
              <w:t>60.8</w:t>
            </w:r>
          </w:p>
        </w:tc>
        <w:tc>
          <w:tcPr>
            <w:tcW w:w="740" w:type="dxa"/>
            <w:tcBorders>
              <w:top w:val="single" w:sz="4" w:space="0" w:color="auto"/>
              <w:left w:val="nil"/>
              <w:bottom w:val="nil"/>
              <w:right w:val="nil"/>
            </w:tcBorders>
            <w:shd w:val="clear" w:color="auto" w:fill="auto"/>
            <w:noWrap/>
            <w:hideMark/>
          </w:tcPr>
          <w:p w:rsidR="00685BE5" w:rsidRPr="007D2274" w:rsidRDefault="00685BE5" w:rsidP="00A06AE2">
            <w:pPr>
              <w:tabs>
                <w:tab w:val="decimal" w:pos="269"/>
              </w:tabs>
              <w:spacing w:before="20" w:after="20"/>
              <w:rPr>
                <w:rFonts w:cstheme="minorHAnsi"/>
                <w:sz w:val="20"/>
                <w:szCs w:val="20"/>
              </w:rPr>
            </w:pPr>
            <w:r w:rsidRPr="007D2274">
              <w:rPr>
                <w:rFonts w:cstheme="minorHAnsi"/>
                <w:sz w:val="20"/>
                <w:szCs w:val="20"/>
              </w:rPr>
              <w:t>5.2</w:t>
            </w:r>
          </w:p>
        </w:tc>
        <w:tc>
          <w:tcPr>
            <w:tcW w:w="740" w:type="dxa"/>
            <w:tcBorders>
              <w:top w:val="single" w:sz="4" w:space="0" w:color="auto"/>
              <w:left w:val="nil"/>
              <w:bottom w:val="nil"/>
              <w:right w:val="nil"/>
            </w:tcBorders>
            <w:shd w:val="clear" w:color="auto" w:fill="auto"/>
            <w:noWrap/>
            <w:hideMark/>
          </w:tcPr>
          <w:p w:rsidR="00685BE5" w:rsidRPr="007D2274" w:rsidRDefault="00685BE5" w:rsidP="00A06AE2">
            <w:pPr>
              <w:tabs>
                <w:tab w:val="decimal" w:pos="242"/>
              </w:tabs>
              <w:spacing w:before="20" w:after="20"/>
              <w:rPr>
                <w:rFonts w:cstheme="minorHAnsi"/>
                <w:sz w:val="20"/>
                <w:szCs w:val="20"/>
              </w:rPr>
            </w:pPr>
            <w:r w:rsidRPr="007D2274">
              <w:rPr>
                <w:rFonts w:cstheme="minorHAnsi"/>
                <w:sz w:val="20"/>
                <w:szCs w:val="20"/>
              </w:rPr>
              <w:t>5.3</w:t>
            </w:r>
          </w:p>
        </w:tc>
        <w:tc>
          <w:tcPr>
            <w:tcW w:w="960" w:type="dxa"/>
            <w:tcBorders>
              <w:top w:val="single" w:sz="4" w:space="0" w:color="auto"/>
              <w:left w:val="nil"/>
              <w:bottom w:val="nil"/>
              <w:right w:val="nil"/>
            </w:tcBorders>
            <w:shd w:val="clear" w:color="auto" w:fill="auto"/>
            <w:noWrap/>
            <w:hideMark/>
          </w:tcPr>
          <w:p w:rsidR="00685BE5" w:rsidRPr="007D2274" w:rsidRDefault="00685BE5" w:rsidP="00A06AE2">
            <w:pPr>
              <w:tabs>
                <w:tab w:val="decimal" w:pos="348"/>
              </w:tabs>
              <w:spacing w:before="20" w:after="20"/>
              <w:jc w:val="both"/>
              <w:rPr>
                <w:rFonts w:cstheme="minorHAnsi"/>
                <w:sz w:val="20"/>
                <w:szCs w:val="20"/>
              </w:rPr>
            </w:pPr>
            <w:r w:rsidRPr="007D2274">
              <w:rPr>
                <w:rFonts w:cstheme="minorHAnsi"/>
                <w:sz w:val="20"/>
                <w:szCs w:val="20"/>
              </w:rPr>
              <w:t>9.5</w:t>
            </w:r>
          </w:p>
        </w:tc>
        <w:tc>
          <w:tcPr>
            <w:tcW w:w="1339" w:type="dxa"/>
            <w:tcBorders>
              <w:top w:val="single" w:sz="4" w:space="0" w:color="auto"/>
              <w:left w:val="nil"/>
              <w:bottom w:val="nil"/>
              <w:right w:val="nil"/>
            </w:tcBorders>
            <w:shd w:val="clear" w:color="auto" w:fill="auto"/>
            <w:noWrap/>
            <w:hideMark/>
          </w:tcPr>
          <w:p w:rsidR="00685BE5" w:rsidRPr="007D2274" w:rsidRDefault="00685BE5" w:rsidP="00A06AE2">
            <w:pPr>
              <w:tabs>
                <w:tab w:val="decimal" w:pos="522"/>
              </w:tabs>
              <w:spacing w:before="20" w:after="20"/>
              <w:rPr>
                <w:rFonts w:cstheme="minorHAnsi"/>
                <w:sz w:val="20"/>
                <w:szCs w:val="20"/>
              </w:rPr>
            </w:pPr>
            <w:r w:rsidRPr="007D2274">
              <w:rPr>
                <w:rFonts w:cstheme="minorHAnsi"/>
                <w:sz w:val="20"/>
                <w:szCs w:val="20"/>
              </w:rPr>
              <w:t>19.2</w:t>
            </w:r>
          </w:p>
        </w:tc>
      </w:tr>
      <w:tr w:rsidR="00685BE5" w:rsidRPr="00B90E88" w:rsidTr="008D0772">
        <w:tc>
          <w:tcPr>
            <w:tcW w:w="4852" w:type="dxa"/>
            <w:tcBorders>
              <w:top w:val="nil"/>
              <w:left w:val="nil"/>
              <w:bottom w:val="nil"/>
              <w:right w:val="nil"/>
            </w:tcBorders>
            <w:shd w:val="clear" w:color="auto" w:fill="auto"/>
            <w:noWrap/>
            <w:hideMark/>
          </w:tcPr>
          <w:p w:rsidR="00685BE5" w:rsidRPr="007D2274" w:rsidRDefault="00685BE5" w:rsidP="00A06AE2">
            <w:pPr>
              <w:spacing w:before="20" w:after="20"/>
              <w:rPr>
                <w:rFonts w:cstheme="minorHAnsi"/>
                <w:sz w:val="20"/>
                <w:szCs w:val="20"/>
              </w:rPr>
            </w:pPr>
            <w:r w:rsidRPr="007D2274">
              <w:rPr>
                <w:rFonts w:cstheme="minorHAnsi"/>
                <w:sz w:val="20"/>
                <w:szCs w:val="20"/>
              </w:rPr>
              <w:t>Personal care/</w:t>
            </w:r>
            <w:r>
              <w:rPr>
                <w:rFonts w:cstheme="minorHAnsi"/>
                <w:sz w:val="20"/>
                <w:szCs w:val="20"/>
              </w:rPr>
              <w:t>h</w:t>
            </w:r>
            <w:r w:rsidRPr="007D2274">
              <w:rPr>
                <w:rFonts w:cstheme="minorHAnsi"/>
                <w:sz w:val="20"/>
                <w:szCs w:val="20"/>
              </w:rPr>
              <w:t>ome care worker</w:t>
            </w:r>
          </w:p>
        </w:tc>
        <w:tc>
          <w:tcPr>
            <w:tcW w:w="740" w:type="dxa"/>
            <w:tcBorders>
              <w:top w:val="nil"/>
              <w:left w:val="nil"/>
              <w:bottom w:val="nil"/>
              <w:right w:val="nil"/>
            </w:tcBorders>
            <w:shd w:val="clear" w:color="auto" w:fill="auto"/>
            <w:noWrap/>
            <w:hideMark/>
          </w:tcPr>
          <w:p w:rsidR="00685BE5" w:rsidRPr="007D2274" w:rsidRDefault="00685BE5" w:rsidP="00A06AE2">
            <w:pPr>
              <w:tabs>
                <w:tab w:val="decimal" w:pos="300"/>
              </w:tabs>
              <w:spacing w:before="20" w:after="20"/>
              <w:rPr>
                <w:rFonts w:cstheme="minorHAnsi"/>
                <w:sz w:val="20"/>
                <w:szCs w:val="20"/>
              </w:rPr>
            </w:pPr>
            <w:r w:rsidRPr="007D2274">
              <w:rPr>
                <w:rFonts w:cstheme="minorHAnsi"/>
                <w:sz w:val="20"/>
                <w:szCs w:val="20"/>
              </w:rPr>
              <w:t>61.8</w:t>
            </w:r>
          </w:p>
        </w:tc>
        <w:tc>
          <w:tcPr>
            <w:tcW w:w="740" w:type="dxa"/>
            <w:tcBorders>
              <w:top w:val="nil"/>
              <w:left w:val="nil"/>
              <w:bottom w:val="nil"/>
              <w:right w:val="nil"/>
            </w:tcBorders>
            <w:shd w:val="clear" w:color="auto" w:fill="auto"/>
            <w:noWrap/>
            <w:hideMark/>
          </w:tcPr>
          <w:p w:rsidR="00685BE5" w:rsidRPr="007D2274" w:rsidRDefault="00685BE5" w:rsidP="00A06AE2">
            <w:pPr>
              <w:tabs>
                <w:tab w:val="decimal" w:pos="269"/>
              </w:tabs>
              <w:spacing w:before="20" w:after="20"/>
              <w:rPr>
                <w:rFonts w:cstheme="minorHAnsi"/>
                <w:sz w:val="20"/>
                <w:szCs w:val="20"/>
              </w:rPr>
            </w:pPr>
            <w:r w:rsidRPr="007D2274">
              <w:rPr>
                <w:rFonts w:cstheme="minorHAnsi"/>
                <w:sz w:val="20"/>
                <w:szCs w:val="20"/>
              </w:rPr>
              <w:t>2.4</w:t>
            </w:r>
          </w:p>
        </w:tc>
        <w:tc>
          <w:tcPr>
            <w:tcW w:w="740" w:type="dxa"/>
            <w:tcBorders>
              <w:top w:val="nil"/>
              <w:left w:val="nil"/>
              <w:bottom w:val="nil"/>
              <w:right w:val="nil"/>
            </w:tcBorders>
            <w:shd w:val="clear" w:color="auto" w:fill="auto"/>
            <w:noWrap/>
            <w:hideMark/>
          </w:tcPr>
          <w:p w:rsidR="00685BE5" w:rsidRPr="007D2274" w:rsidRDefault="00685BE5" w:rsidP="00A06AE2">
            <w:pPr>
              <w:tabs>
                <w:tab w:val="decimal" w:pos="242"/>
              </w:tabs>
              <w:spacing w:before="20" w:after="20"/>
              <w:rPr>
                <w:rFonts w:cstheme="minorHAnsi"/>
                <w:sz w:val="20"/>
                <w:szCs w:val="20"/>
              </w:rPr>
            </w:pPr>
            <w:r w:rsidRPr="007D2274">
              <w:rPr>
                <w:rFonts w:cstheme="minorHAnsi"/>
                <w:sz w:val="20"/>
                <w:szCs w:val="20"/>
              </w:rPr>
              <w:t>3.0</w:t>
            </w:r>
          </w:p>
        </w:tc>
        <w:tc>
          <w:tcPr>
            <w:tcW w:w="960" w:type="dxa"/>
            <w:tcBorders>
              <w:top w:val="nil"/>
              <w:left w:val="nil"/>
              <w:bottom w:val="nil"/>
              <w:right w:val="nil"/>
            </w:tcBorders>
            <w:shd w:val="clear" w:color="auto" w:fill="auto"/>
            <w:noWrap/>
            <w:hideMark/>
          </w:tcPr>
          <w:p w:rsidR="00685BE5" w:rsidRPr="007D2274" w:rsidRDefault="00685BE5" w:rsidP="00A06AE2">
            <w:pPr>
              <w:tabs>
                <w:tab w:val="decimal" w:pos="348"/>
              </w:tabs>
              <w:spacing w:before="20" w:after="20"/>
              <w:jc w:val="both"/>
              <w:rPr>
                <w:rFonts w:cstheme="minorHAnsi"/>
                <w:sz w:val="20"/>
                <w:szCs w:val="20"/>
              </w:rPr>
            </w:pPr>
            <w:r w:rsidRPr="007D2274">
              <w:rPr>
                <w:rFonts w:cstheme="minorHAnsi"/>
                <w:sz w:val="20"/>
                <w:szCs w:val="20"/>
              </w:rPr>
              <w:t>6.3</w:t>
            </w:r>
          </w:p>
        </w:tc>
        <w:tc>
          <w:tcPr>
            <w:tcW w:w="1339" w:type="dxa"/>
            <w:tcBorders>
              <w:top w:val="nil"/>
              <w:left w:val="nil"/>
              <w:bottom w:val="nil"/>
              <w:right w:val="nil"/>
            </w:tcBorders>
            <w:shd w:val="clear" w:color="auto" w:fill="auto"/>
            <w:noWrap/>
            <w:hideMark/>
          </w:tcPr>
          <w:p w:rsidR="00685BE5" w:rsidRPr="007D2274" w:rsidRDefault="00685BE5" w:rsidP="00A06AE2">
            <w:pPr>
              <w:tabs>
                <w:tab w:val="decimal" w:pos="522"/>
              </w:tabs>
              <w:spacing w:before="20" w:after="20"/>
              <w:rPr>
                <w:rFonts w:cstheme="minorHAnsi"/>
                <w:sz w:val="20"/>
                <w:szCs w:val="20"/>
              </w:rPr>
            </w:pPr>
            <w:r w:rsidRPr="007D2274">
              <w:rPr>
                <w:rFonts w:cstheme="minorHAnsi"/>
                <w:sz w:val="20"/>
                <w:szCs w:val="20"/>
              </w:rPr>
              <w:t>26.4</w:t>
            </w:r>
          </w:p>
        </w:tc>
      </w:tr>
      <w:tr w:rsidR="00685BE5" w:rsidRPr="00B90E88" w:rsidTr="008D0772">
        <w:tc>
          <w:tcPr>
            <w:tcW w:w="4852" w:type="dxa"/>
            <w:tcBorders>
              <w:top w:val="nil"/>
              <w:left w:val="nil"/>
              <w:bottom w:val="nil"/>
              <w:right w:val="nil"/>
            </w:tcBorders>
            <w:shd w:val="clear" w:color="auto" w:fill="auto"/>
            <w:noWrap/>
            <w:hideMark/>
          </w:tcPr>
          <w:p w:rsidR="00685BE5" w:rsidRPr="007D2274" w:rsidRDefault="00685BE5" w:rsidP="00A06AE2">
            <w:pPr>
              <w:spacing w:before="20" w:after="20"/>
              <w:rPr>
                <w:rFonts w:cstheme="minorHAnsi"/>
                <w:sz w:val="20"/>
                <w:szCs w:val="20"/>
              </w:rPr>
            </w:pPr>
            <w:r w:rsidRPr="007D2274">
              <w:rPr>
                <w:rFonts w:cstheme="minorHAnsi"/>
                <w:sz w:val="20"/>
                <w:szCs w:val="20"/>
              </w:rPr>
              <w:t>Service or program administrator/</w:t>
            </w:r>
            <w:r>
              <w:rPr>
                <w:rFonts w:cstheme="minorHAnsi"/>
                <w:sz w:val="20"/>
                <w:szCs w:val="20"/>
              </w:rPr>
              <w:t>m</w:t>
            </w:r>
            <w:r w:rsidRPr="007D2274">
              <w:rPr>
                <w:rFonts w:cstheme="minorHAnsi"/>
                <w:sz w:val="20"/>
                <w:szCs w:val="20"/>
              </w:rPr>
              <w:t>anager/</w:t>
            </w:r>
            <w:r>
              <w:rPr>
                <w:rFonts w:cstheme="minorHAnsi"/>
                <w:sz w:val="20"/>
                <w:szCs w:val="20"/>
              </w:rPr>
              <w:t>c</w:t>
            </w:r>
            <w:r w:rsidRPr="007D2274">
              <w:rPr>
                <w:rFonts w:cstheme="minorHAnsi"/>
                <w:sz w:val="20"/>
                <w:szCs w:val="20"/>
              </w:rPr>
              <w:t>oordinator</w:t>
            </w:r>
          </w:p>
        </w:tc>
        <w:tc>
          <w:tcPr>
            <w:tcW w:w="740" w:type="dxa"/>
            <w:tcBorders>
              <w:top w:val="nil"/>
              <w:left w:val="nil"/>
              <w:bottom w:val="nil"/>
              <w:right w:val="nil"/>
            </w:tcBorders>
            <w:shd w:val="clear" w:color="auto" w:fill="auto"/>
            <w:noWrap/>
            <w:hideMark/>
          </w:tcPr>
          <w:p w:rsidR="00685BE5" w:rsidRPr="007D2274" w:rsidRDefault="00685BE5" w:rsidP="00A06AE2">
            <w:pPr>
              <w:tabs>
                <w:tab w:val="decimal" w:pos="300"/>
              </w:tabs>
              <w:spacing w:before="20" w:after="20"/>
              <w:rPr>
                <w:rFonts w:cstheme="minorHAnsi"/>
                <w:sz w:val="20"/>
                <w:szCs w:val="20"/>
              </w:rPr>
            </w:pPr>
            <w:r w:rsidRPr="007D2274">
              <w:rPr>
                <w:rFonts w:cstheme="minorHAnsi"/>
                <w:sz w:val="20"/>
                <w:szCs w:val="20"/>
              </w:rPr>
              <w:t>77.2</w:t>
            </w:r>
          </w:p>
        </w:tc>
        <w:tc>
          <w:tcPr>
            <w:tcW w:w="740" w:type="dxa"/>
            <w:tcBorders>
              <w:top w:val="nil"/>
              <w:left w:val="nil"/>
              <w:bottom w:val="nil"/>
              <w:right w:val="nil"/>
            </w:tcBorders>
            <w:shd w:val="clear" w:color="auto" w:fill="auto"/>
            <w:noWrap/>
            <w:hideMark/>
          </w:tcPr>
          <w:p w:rsidR="00685BE5" w:rsidRPr="007D2274" w:rsidRDefault="00685BE5" w:rsidP="00A06AE2">
            <w:pPr>
              <w:tabs>
                <w:tab w:val="decimal" w:pos="269"/>
              </w:tabs>
              <w:spacing w:before="20" w:after="20"/>
              <w:rPr>
                <w:rFonts w:cstheme="minorHAnsi"/>
                <w:sz w:val="20"/>
                <w:szCs w:val="20"/>
              </w:rPr>
            </w:pPr>
            <w:r w:rsidRPr="007D2274">
              <w:rPr>
                <w:rFonts w:cstheme="minorHAnsi"/>
                <w:sz w:val="20"/>
                <w:szCs w:val="20"/>
              </w:rPr>
              <w:t>6.5</w:t>
            </w:r>
          </w:p>
        </w:tc>
        <w:tc>
          <w:tcPr>
            <w:tcW w:w="740" w:type="dxa"/>
            <w:tcBorders>
              <w:top w:val="nil"/>
              <w:left w:val="nil"/>
              <w:bottom w:val="nil"/>
              <w:right w:val="nil"/>
            </w:tcBorders>
            <w:shd w:val="clear" w:color="auto" w:fill="auto"/>
            <w:noWrap/>
            <w:hideMark/>
          </w:tcPr>
          <w:p w:rsidR="00685BE5" w:rsidRPr="007D2274" w:rsidRDefault="00685BE5" w:rsidP="00A06AE2">
            <w:pPr>
              <w:tabs>
                <w:tab w:val="decimal" w:pos="242"/>
              </w:tabs>
              <w:spacing w:before="20" w:after="20"/>
              <w:rPr>
                <w:rFonts w:cstheme="minorHAnsi"/>
                <w:sz w:val="20"/>
                <w:szCs w:val="20"/>
              </w:rPr>
            </w:pPr>
            <w:r w:rsidRPr="007D2274">
              <w:rPr>
                <w:rFonts w:cstheme="minorHAnsi"/>
                <w:sz w:val="20"/>
                <w:szCs w:val="20"/>
              </w:rPr>
              <w:t>0.7</w:t>
            </w:r>
          </w:p>
        </w:tc>
        <w:tc>
          <w:tcPr>
            <w:tcW w:w="960" w:type="dxa"/>
            <w:tcBorders>
              <w:top w:val="nil"/>
              <w:left w:val="nil"/>
              <w:bottom w:val="nil"/>
              <w:right w:val="nil"/>
            </w:tcBorders>
            <w:shd w:val="clear" w:color="auto" w:fill="auto"/>
            <w:noWrap/>
            <w:hideMark/>
          </w:tcPr>
          <w:p w:rsidR="00685BE5" w:rsidRPr="007D2274" w:rsidRDefault="00685BE5" w:rsidP="00A06AE2">
            <w:pPr>
              <w:tabs>
                <w:tab w:val="decimal" w:pos="348"/>
              </w:tabs>
              <w:spacing w:before="20" w:after="20"/>
              <w:jc w:val="both"/>
              <w:rPr>
                <w:rFonts w:cstheme="minorHAnsi"/>
                <w:sz w:val="20"/>
                <w:szCs w:val="20"/>
              </w:rPr>
            </w:pPr>
            <w:r w:rsidRPr="007D2274">
              <w:rPr>
                <w:rFonts w:cstheme="minorHAnsi"/>
                <w:sz w:val="20"/>
                <w:szCs w:val="20"/>
              </w:rPr>
              <w:t>1.0</w:t>
            </w:r>
          </w:p>
        </w:tc>
        <w:tc>
          <w:tcPr>
            <w:tcW w:w="1339" w:type="dxa"/>
            <w:tcBorders>
              <w:top w:val="nil"/>
              <w:left w:val="nil"/>
              <w:bottom w:val="nil"/>
              <w:right w:val="nil"/>
            </w:tcBorders>
            <w:shd w:val="clear" w:color="auto" w:fill="auto"/>
            <w:noWrap/>
            <w:hideMark/>
          </w:tcPr>
          <w:p w:rsidR="00685BE5" w:rsidRPr="007D2274" w:rsidRDefault="00685BE5" w:rsidP="00A06AE2">
            <w:pPr>
              <w:tabs>
                <w:tab w:val="decimal" w:pos="522"/>
              </w:tabs>
              <w:spacing w:before="20" w:after="20"/>
              <w:rPr>
                <w:rFonts w:cstheme="minorHAnsi"/>
                <w:sz w:val="20"/>
                <w:szCs w:val="20"/>
              </w:rPr>
            </w:pPr>
            <w:r w:rsidRPr="007D2274">
              <w:rPr>
                <w:rFonts w:cstheme="minorHAnsi"/>
                <w:sz w:val="20"/>
                <w:szCs w:val="20"/>
              </w:rPr>
              <w:t>14.6</w:t>
            </w:r>
          </w:p>
        </w:tc>
      </w:tr>
      <w:tr w:rsidR="00685BE5" w:rsidRPr="00B90E88" w:rsidTr="008D0772">
        <w:tc>
          <w:tcPr>
            <w:tcW w:w="4852" w:type="dxa"/>
            <w:tcBorders>
              <w:top w:val="nil"/>
              <w:left w:val="nil"/>
              <w:bottom w:val="nil"/>
              <w:right w:val="nil"/>
            </w:tcBorders>
            <w:shd w:val="clear" w:color="auto" w:fill="auto"/>
            <w:noWrap/>
            <w:hideMark/>
          </w:tcPr>
          <w:p w:rsidR="00685BE5" w:rsidRPr="007D2274" w:rsidRDefault="00685BE5" w:rsidP="00A06AE2">
            <w:pPr>
              <w:spacing w:before="20" w:after="20"/>
              <w:rPr>
                <w:rFonts w:cstheme="minorHAnsi"/>
                <w:sz w:val="20"/>
                <w:szCs w:val="20"/>
              </w:rPr>
            </w:pPr>
            <w:r w:rsidRPr="007D2274">
              <w:rPr>
                <w:rFonts w:cstheme="minorHAnsi"/>
                <w:sz w:val="20"/>
                <w:szCs w:val="20"/>
              </w:rPr>
              <w:t>Social worker/</w:t>
            </w:r>
            <w:r>
              <w:rPr>
                <w:rFonts w:cstheme="minorHAnsi"/>
                <w:sz w:val="20"/>
                <w:szCs w:val="20"/>
              </w:rPr>
              <w:t>d</w:t>
            </w:r>
            <w:r w:rsidRPr="007D2274">
              <w:rPr>
                <w:rFonts w:cstheme="minorHAnsi"/>
                <w:sz w:val="20"/>
                <w:szCs w:val="20"/>
              </w:rPr>
              <w:t>isability case coordinator</w:t>
            </w:r>
          </w:p>
        </w:tc>
        <w:tc>
          <w:tcPr>
            <w:tcW w:w="740" w:type="dxa"/>
            <w:tcBorders>
              <w:top w:val="nil"/>
              <w:left w:val="nil"/>
              <w:bottom w:val="nil"/>
              <w:right w:val="nil"/>
            </w:tcBorders>
            <w:shd w:val="clear" w:color="auto" w:fill="auto"/>
            <w:noWrap/>
            <w:hideMark/>
          </w:tcPr>
          <w:p w:rsidR="00685BE5" w:rsidRPr="007D2274" w:rsidRDefault="00685BE5" w:rsidP="00A06AE2">
            <w:pPr>
              <w:tabs>
                <w:tab w:val="decimal" w:pos="300"/>
              </w:tabs>
              <w:spacing w:before="20" w:after="20"/>
              <w:rPr>
                <w:rFonts w:cstheme="minorHAnsi"/>
                <w:sz w:val="20"/>
                <w:szCs w:val="20"/>
              </w:rPr>
            </w:pPr>
            <w:r w:rsidRPr="007D2274">
              <w:rPr>
                <w:rFonts w:cstheme="minorHAnsi"/>
                <w:sz w:val="20"/>
                <w:szCs w:val="20"/>
              </w:rPr>
              <w:t>68.4</w:t>
            </w:r>
          </w:p>
        </w:tc>
        <w:tc>
          <w:tcPr>
            <w:tcW w:w="740" w:type="dxa"/>
            <w:tcBorders>
              <w:top w:val="nil"/>
              <w:left w:val="nil"/>
              <w:bottom w:val="nil"/>
              <w:right w:val="nil"/>
            </w:tcBorders>
            <w:shd w:val="clear" w:color="auto" w:fill="auto"/>
            <w:noWrap/>
            <w:hideMark/>
          </w:tcPr>
          <w:p w:rsidR="00685BE5" w:rsidRPr="007D2274" w:rsidRDefault="00685BE5" w:rsidP="00A06AE2">
            <w:pPr>
              <w:tabs>
                <w:tab w:val="decimal" w:pos="269"/>
              </w:tabs>
              <w:spacing w:before="20" w:after="20"/>
              <w:rPr>
                <w:rFonts w:cstheme="minorHAnsi"/>
                <w:sz w:val="20"/>
                <w:szCs w:val="20"/>
              </w:rPr>
            </w:pPr>
            <w:r w:rsidRPr="007D2274">
              <w:rPr>
                <w:rFonts w:cstheme="minorHAnsi"/>
                <w:sz w:val="20"/>
                <w:szCs w:val="20"/>
              </w:rPr>
              <w:t>4.3</w:t>
            </w:r>
          </w:p>
        </w:tc>
        <w:tc>
          <w:tcPr>
            <w:tcW w:w="740" w:type="dxa"/>
            <w:tcBorders>
              <w:top w:val="nil"/>
              <w:left w:val="nil"/>
              <w:bottom w:val="nil"/>
              <w:right w:val="nil"/>
            </w:tcBorders>
            <w:shd w:val="clear" w:color="auto" w:fill="auto"/>
            <w:noWrap/>
            <w:hideMark/>
          </w:tcPr>
          <w:p w:rsidR="00685BE5" w:rsidRPr="007D2274" w:rsidRDefault="00685BE5" w:rsidP="00A06AE2">
            <w:pPr>
              <w:tabs>
                <w:tab w:val="decimal" w:pos="242"/>
              </w:tabs>
              <w:spacing w:before="20" w:after="20"/>
              <w:rPr>
                <w:rFonts w:cstheme="minorHAnsi"/>
                <w:sz w:val="20"/>
                <w:szCs w:val="20"/>
              </w:rPr>
            </w:pPr>
            <w:r w:rsidRPr="007D2274">
              <w:rPr>
                <w:rFonts w:cstheme="minorHAnsi"/>
                <w:sz w:val="20"/>
                <w:szCs w:val="20"/>
              </w:rPr>
              <w:t>1.3</w:t>
            </w:r>
          </w:p>
        </w:tc>
        <w:tc>
          <w:tcPr>
            <w:tcW w:w="960" w:type="dxa"/>
            <w:tcBorders>
              <w:top w:val="nil"/>
              <w:left w:val="nil"/>
              <w:bottom w:val="nil"/>
              <w:right w:val="nil"/>
            </w:tcBorders>
            <w:shd w:val="clear" w:color="auto" w:fill="auto"/>
            <w:noWrap/>
            <w:hideMark/>
          </w:tcPr>
          <w:p w:rsidR="00685BE5" w:rsidRPr="007D2274" w:rsidRDefault="00685BE5" w:rsidP="00A06AE2">
            <w:pPr>
              <w:tabs>
                <w:tab w:val="decimal" w:pos="348"/>
              </w:tabs>
              <w:spacing w:before="20" w:after="20"/>
              <w:jc w:val="both"/>
              <w:rPr>
                <w:rFonts w:cstheme="minorHAnsi"/>
                <w:sz w:val="20"/>
                <w:szCs w:val="20"/>
              </w:rPr>
            </w:pPr>
            <w:r w:rsidRPr="007D2274">
              <w:rPr>
                <w:rFonts w:cstheme="minorHAnsi"/>
                <w:sz w:val="20"/>
                <w:szCs w:val="20"/>
              </w:rPr>
              <w:t>0.6</w:t>
            </w:r>
          </w:p>
        </w:tc>
        <w:tc>
          <w:tcPr>
            <w:tcW w:w="1339" w:type="dxa"/>
            <w:tcBorders>
              <w:top w:val="nil"/>
              <w:left w:val="nil"/>
              <w:bottom w:val="nil"/>
              <w:right w:val="nil"/>
            </w:tcBorders>
            <w:shd w:val="clear" w:color="auto" w:fill="auto"/>
            <w:noWrap/>
            <w:hideMark/>
          </w:tcPr>
          <w:p w:rsidR="00685BE5" w:rsidRPr="007D2274" w:rsidRDefault="00685BE5" w:rsidP="00A06AE2">
            <w:pPr>
              <w:tabs>
                <w:tab w:val="decimal" w:pos="522"/>
              </w:tabs>
              <w:spacing w:before="20" w:after="20"/>
              <w:rPr>
                <w:rFonts w:cstheme="minorHAnsi"/>
                <w:sz w:val="20"/>
                <w:szCs w:val="20"/>
              </w:rPr>
            </w:pPr>
            <w:r w:rsidRPr="007D2274">
              <w:rPr>
                <w:rFonts w:cstheme="minorHAnsi"/>
                <w:sz w:val="20"/>
                <w:szCs w:val="20"/>
              </w:rPr>
              <w:t>25.4</w:t>
            </w:r>
          </w:p>
        </w:tc>
      </w:tr>
      <w:tr w:rsidR="00685BE5" w:rsidRPr="00B90E88" w:rsidTr="008D0772">
        <w:tc>
          <w:tcPr>
            <w:tcW w:w="4852" w:type="dxa"/>
            <w:tcBorders>
              <w:top w:val="nil"/>
              <w:left w:val="nil"/>
              <w:bottom w:val="nil"/>
              <w:right w:val="nil"/>
            </w:tcBorders>
            <w:shd w:val="clear" w:color="auto" w:fill="auto"/>
            <w:noWrap/>
            <w:hideMark/>
          </w:tcPr>
          <w:p w:rsidR="00685BE5" w:rsidRPr="007D2274" w:rsidRDefault="00685BE5" w:rsidP="00A06AE2">
            <w:pPr>
              <w:spacing w:before="20" w:after="20"/>
              <w:rPr>
                <w:rFonts w:cstheme="minorHAnsi"/>
                <w:sz w:val="20"/>
                <w:szCs w:val="20"/>
              </w:rPr>
            </w:pPr>
            <w:r w:rsidRPr="007D2274">
              <w:rPr>
                <w:rFonts w:cstheme="minorHAnsi"/>
                <w:sz w:val="20"/>
                <w:szCs w:val="20"/>
              </w:rPr>
              <w:t>Employment support worker</w:t>
            </w:r>
          </w:p>
        </w:tc>
        <w:tc>
          <w:tcPr>
            <w:tcW w:w="740" w:type="dxa"/>
            <w:tcBorders>
              <w:top w:val="nil"/>
              <w:left w:val="nil"/>
              <w:bottom w:val="nil"/>
              <w:right w:val="nil"/>
            </w:tcBorders>
            <w:shd w:val="clear" w:color="auto" w:fill="auto"/>
            <w:noWrap/>
            <w:hideMark/>
          </w:tcPr>
          <w:p w:rsidR="00685BE5" w:rsidRPr="007D2274" w:rsidRDefault="00685BE5" w:rsidP="00A06AE2">
            <w:pPr>
              <w:tabs>
                <w:tab w:val="decimal" w:pos="300"/>
              </w:tabs>
              <w:spacing w:before="20" w:after="20"/>
              <w:rPr>
                <w:rFonts w:cstheme="minorHAnsi"/>
                <w:sz w:val="20"/>
                <w:szCs w:val="20"/>
              </w:rPr>
            </w:pPr>
            <w:r w:rsidRPr="007D2274">
              <w:rPr>
                <w:rFonts w:cstheme="minorHAnsi"/>
                <w:sz w:val="20"/>
                <w:szCs w:val="20"/>
              </w:rPr>
              <w:t>67.9</w:t>
            </w:r>
          </w:p>
        </w:tc>
        <w:tc>
          <w:tcPr>
            <w:tcW w:w="740" w:type="dxa"/>
            <w:tcBorders>
              <w:top w:val="nil"/>
              <w:left w:val="nil"/>
              <w:bottom w:val="nil"/>
              <w:right w:val="nil"/>
            </w:tcBorders>
            <w:shd w:val="clear" w:color="auto" w:fill="auto"/>
            <w:noWrap/>
            <w:hideMark/>
          </w:tcPr>
          <w:p w:rsidR="00685BE5" w:rsidRPr="007D2274" w:rsidRDefault="00685BE5" w:rsidP="00A06AE2">
            <w:pPr>
              <w:tabs>
                <w:tab w:val="decimal" w:pos="269"/>
              </w:tabs>
              <w:spacing w:before="20" w:after="20"/>
              <w:rPr>
                <w:rFonts w:cstheme="minorHAnsi"/>
                <w:sz w:val="20"/>
                <w:szCs w:val="20"/>
              </w:rPr>
            </w:pPr>
            <w:r w:rsidRPr="007D2274">
              <w:rPr>
                <w:rFonts w:cstheme="minorHAnsi"/>
                <w:sz w:val="20"/>
                <w:szCs w:val="20"/>
              </w:rPr>
              <w:t>1.4</w:t>
            </w:r>
          </w:p>
        </w:tc>
        <w:tc>
          <w:tcPr>
            <w:tcW w:w="740" w:type="dxa"/>
            <w:tcBorders>
              <w:top w:val="nil"/>
              <w:left w:val="nil"/>
              <w:bottom w:val="nil"/>
              <w:right w:val="nil"/>
            </w:tcBorders>
            <w:shd w:val="clear" w:color="auto" w:fill="auto"/>
            <w:noWrap/>
            <w:hideMark/>
          </w:tcPr>
          <w:p w:rsidR="00685BE5" w:rsidRPr="007D2274" w:rsidRDefault="00685BE5" w:rsidP="00A06AE2">
            <w:pPr>
              <w:tabs>
                <w:tab w:val="decimal" w:pos="242"/>
              </w:tabs>
              <w:spacing w:before="20" w:after="20"/>
              <w:rPr>
                <w:rFonts w:cstheme="minorHAnsi"/>
                <w:sz w:val="20"/>
                <w:szCs w:val="20"/>
              </w:rPr>
            </w:pPr>
            <w:r w:rsidRPr="007D2274">
              <w:rPr>
                <w:rFonts w:cstheme="minorHAnsi"/>
                <w:sz w:val="20"/>
                <w:szCs w:val="20"/>
              </w:rPr>
              <w:t>0.3</w:t>
            </w:r>
          </w:p>
        </w:tc>
        <w:tc>
          <w:tcPr>
            <w:tcW w:w="960" w:type="dxa"/>
            <w:tcBorders>
              <w:top w:val="nil"/>
              <w:left w:val="nil"/>
              <w:bottom w:val="nil"/>
              <w:right w:val="nil"/>
            </w:tcBorders>
            <w:shd w:val="clear" w:color="auto" w:fill="auto"/>
            <w:noWrap/>
            <w:hideMark/>
          </w:tcPr>
          <w:p w:rsidR="00685BE5" w:rsidRPr="007D2274" w:rsidRDefault="00685BE5" w:rsidP="00A06AE2">
            <w:pPr>
              <w:tabs>
                <w:tab w:val="decimal" w:pos="348"/>
              </w:tabs>
              <w:spacing w:before="20" w:after="20"/>
              <w:jc w:val="both"/>
              <w:rPr>
                <w:rFonts w:cstheme="minorHAnsi"/>
                <w:sz w:val="20"/>
                <w:szCs w:val="20"/>
              </w:rPr>
            </w:pPr>
            <w:r w:rsidRPr="007D2274">
              <w:rPr>
                <w:rFonts w:cstheme="minorHAnsi"/>
                <w:sz w:val="20"/>
                <w:szCs w:val="20"/>
              </w:rPr>
              <w:t>0.4</w:t>
            </w:r>
          </w:p>
        </w:tc>
        <w:tc>
          <w:tcPr>
            <w:tcW w:w="1339" w:type="dxa"/>
            <w:tcBorders>
              <w:top w:val="nil"/>
              <w:left w:val="nil"/>
              <w:bottom w:val="nil"/>
              <w:right w:val="nil"/>
            </w:tcBorders>
            <w:shd w:val="clear" w:color="auto" w:fill="auto"/>
            <w:noWrap/>
            <w:hideMark/>
          </w:tcPr>
          <w:p w:rsidR="00685BE5" w:rsidRPr="007D2274" w:rsidRDefault="00685BE5" w:rsidP="00A06AE2">
            <w:pPr>
              <w:tabs>
                <w:tab w:val="decimal" w:pos="522"/>
              </w:tabs>
              <w:spacing w:before="20" w:after="20"/>
              <w:rPr>
                <w:rFonts w:cstheme="minorHAnsi"/>
                <w:sz w:val="20"/>
                <w:szCs w:val="20"/>
              </w:rPr>
            </w:pPr>
            <w:r w:rsidRPr="007D2274">
              <w:rPr>
                <w:rFonts w:cstheme="minorHAnsi"/>
                <w:sz w:val="20"/>
                <w:szCs w:val="20"/>
              </w:rPr>
              <w:t>30.0</w:t>
            </w:r>
          </w:p>
        </w:tc>
      </w:tr>
      <w:tr w:rsidR="00685BE5" w:rsidRPr="00B90E88" w:rsidTr="008D0772">
        <w:tc>
          <w:tcPr>
            <w:tcW w:w="4852" w:type="dxa"/>
            <w:tcBorders>
              <w:top w:val="nil"/>
              <w:left w:val="nil"/>
              <w:bottom w:val="nil"/>
              <w:right w:val="nil"/>
            </w:tcBorders>
            <w:shd w:val="clear" w:color="auto" w:fill="auto"/>
            <w:noWrap/>
            <w:hideMark/>
          </w:tcPr>
          <w:p w:rsidR="00685BE5" w:rsidRPr="007D2274" w:rsidRDefault="00685BE5" w:rsidP="00A06AE2">
            <w:pPr>
              <w:spacing w:before="20" w:after="20"/>
              <w:rPr>
                <w:rFonts w:cstheme="minorHAnsi"/>
                <w:sz w:val="20"/>
                <w:szCs w:val="20"/>
              </w:rPr>
            </w:pPr>
            <w:r w:rsidRPr="007D2274">
              <w:rPr>
                <w:rFonts w:cstheme="minorHAnsi"/>
                <w:sz w:val="20"/>
                <w:szCs w:val="20"/>
              </w:rPr>
              <w:t>Peer support worker</w:t>
            </w:r>
          </w:p>
        </w:tc>
        <w:tc>
          <w:tcPr>
            <w:tcW w:w="740" w:type="dxa"/>
            <w:tcBorders>
              <w:top w:val="nil"/>
              <w:left w:val="nil"/>
              <w:bottom w:val="nil"/>
              <w:right w:val="nil"/>
            </w:tcBorders>
            <w:shd w:val="clear" w:color="auto" w:fill="auto"/>
            <w:noWrap/>
            <w:hideMark/>
          </w:tcPr>
          <w:p w:rsidR="00685BE5" w:rsidRPr="007D2274" w:rsidRDefault="00685BE5" w:rsidP="00A06AE2">
            <w:pPr>
              <w:tabs>
                <w:tab w:val="decimal" w:pos="300"/>
              </w:tabs>
              <w:spacing w:before="20" w:after="20"/>
              <w:rPr>
                <w:rFonts w:cstheme="minorHAnsi"/>
                <w:sz w:val="20"/>
                <w:szCs w:val="20"/>
              </w:rPr>
            </w:pPr>
            <w:r w:rsidRPr="007D2274">
              <w:rPr>
                <w:rFonts w:cstheme="minorHAnsi"/>
                <w:sz w:val="20"/>
                <w:szCs w:val="20"/>
              </w:rPr>
              <w:t>67.7</w:t>
            </w:r>
          </w:p>
        </w:tc>
        <w:tc>
          <w:tcPr>
            <w:tcW w:w="740" w:type="dxa"/>
            <w:tcBorders>
              <w:top w:val="nil"/>
              <w:left w:val="nil"/>
              <w:bottom w:val="nil"/>
              <w:right w:val="nil"/>
            </w:tcBorders>
            <w:shd w:val="clear" w:color="auto" w:fill="auto"/>
            <w:noWrap/>
            <w:hideMark/>
          </w:tcPr>
          <w:p w:rsidR="00685BE5" w:rsidRPr="007D2274" w:rsidRDefault="00685BE5" w:rsidP="00A06AE2">
            <w:pPr>
              <w:tabs>
                <w:tab w:val="decimal" w:pos="269"/>
              </w:tabs>
              <w:spacing w:before="20" w:after="20"/>
              <w:rPr>
                <w:rFonts w:cstheme="minorHAnsi"/>
                <w:sz w:val="20"/>
                <w:szCs w:val="20"/>
              </w:rPr>
            </w:pPr>
            <w:r w:rsidRPr="007D2274">
              <w:rPr>
                <w:rFonts w:cstheme="minorHAnsi"/>
                <w:sz w:val="20"/>
                <w:szCs w:val="20"/>
              </w:rPr>
              <w:t>1.0</w:t>
            </w:r>
          </w:p>
        </w:tc>
        <w:tc>
          <w:tcPr>
            <w:tcW w:w="740" w:type="dxa"/>
            <w:tcBorders>
              <w:top w:val="nil"/>
              <w:left w:val="nil"/>
              <w:bottom w:val="nil"/>
              <w:right w:val="nil"/>
            </w:tcBorders>
            <w:shd w:val="clear" w:color="auto" w:fill="auto"/>
            <w:noWrap/>
            <w:hideMark/>
          </w:tcPr>
          <w:p w:rsidR="00685BE5" w:rsidRPr="007D2274" w:rsidRDefault="00685BE5" w:rsidP="00A06AE2">
            <w:pPr>
              <w:tabs>
                <w:tab w:val="decimal" w:pos="242"/>
              </w:tabs>
              <w:spacing w:before="20" w:after="20"/>
              <w:rPr>
                <w:rFonts w:cstheme="minorHAnsi"/>
                <w:sz w:val="20"/>
                <w:szCs w:val="20"/>
              </w:rPr>
            </w:pPr>
            <w:r w:rsidRPr="007D2274">
              <w:rPr>
                <w:rFonts w:cstheme="minorHAnsi"/>
                <w:sz w:val="20"/>
                <w:szCs w:val="20"/>
              </w:rPr>
              <w:t>0.7</w:t>
            </w:r>
          </w:p>
        </w:tc>
        <w:tc>
          <w:tcPr>
            <w:tcW w:w="960" w:type="dxa"/>
            <w:tcBorders>
              <w:top w:val="nil"/>
              <w:left w:val="nil"/>
              <w:bottom w:val="nil"/>
              <w:right w:val="nil"/>
            </w:tcBorders>
            <w:shd w:val="clear" w:color="auto" w:fill="auto"/>
            <w:noWrap/>
            <w:hideMark/>
          </w:tcPr>
          <w:p w:rsidR="00685BE5" w:rsidRPr="007D2274" w:rsidRDefault="00685BE5" w:rsidP="00A06AE2">
            <w:pPr>
              <w:tabs>
                <w:tab w:val="decimal" w:pos="348"/>
              </w:tabs>
              <w:spacing w:before="20" w:after="20"/>
              <w:jc w:val="both"/>
              <w:rPr>
                <w:rFonts w:cstheme="minorHAnsi"/>
                <w:sz w:val="20"/>
                <w:szCs w:val="20"/>
              </w:rPr>
            </w:pPr>
            <w:r w:rsidRPr="007D2274">
              <w:rPr>
                <w:rFonts w:cstheme="minorHAnsi"/>
                <w:sz w:val="20"/>
                <w:szCs w:val="20"/>
              </w:rPr>
              <w:t>0.7</w:t>
            </w:r>
          </w:p>
        </w:tc>
        <w:tc>
          <w:tcPr>
            <w:tcW w:w="1339" w:type="dxa"/>
            <w:tcBorders>
              <w:top w:val="nil"/>
              <w:left w:val="nil"/>
              <w:bottom w:val="nil"/>
              <w:right w:val="nil"/>
            </w:tcBorders>
            <w:shd w:val="clear" w:color="auto" w:fill="auto"/>
            <w:noWrap/>
            <w:hideMark/>
          </w:tcPr>
          <w:p w:rsidR="00685BE5" w:rsidRPr="007D2274" w:rsidRDefault="00685BE5" w:rsidP="00A06AE2">
            <w:pPr>
              <w:tabs>
                <w:tab w:val="decimal" w:pos="522"/>
              </w:tabs>
              <w:spacing w:before="20" w:after="20"/>
              <w:rPr>
                <w:rFonts w:cstheme="minorHAnsi"/>
                <w:sz w:val="20"/>
                <w:szCs w:val="20"/>
              </w:rPr>
            </w:pPr>
            <w:r w:rsidRPr="007D2274">
              <w:rPr>
                <w:rFonts w:cstheme="minorHAnsi"/>
                <w:sz w:val="20"/>
                <w:szCs w:val="20"/>
              </w:rPr>
              <w:t>29.8</w:t>
            </w:r>
          </w:p>
        </w:tc>
      </w:tr>
      <w:tr w:rsidR="00685BE5" w:rsidRPr="00B90E88" w:rsidTr="008D0772">
        <w:tc>
          <w:tcPr>
            <w:tcW w:w="4852" w:type="dxa"/>
            <w:tcBorders>
              <w:top w:val="nil"/>
              <w:left w:val="nil"/>
              <w:bottom w:val="nil"/>
              <w:right w:val="nil"/>
            </w:tcBorders>
            <w:shd w:val="clear" w:color="auto" w:fill="auto"/>
            <w:noWrap/>
            <w:hideMark/>
          </w:tcPr>
          <w:p w:rsidR="00685BE5" w:rsidRPr="007D2274" w:rsidRDefault="00685BE5" w:rsidP="00A06AE2">
            <w:pPr>
              <w:spacing w:before="20" w:after="20"/>
              <w:rPr>
                <w:rFonts w:cstheme="minorHAnsi"/>
                <w:sz w:val="20"/>
                <w:szCs w:val="20"/>
              </w:rPr>
            </w:pPr>
            <w:r w:rsidRPr="007D2274">
              <w:rPr>
                <w:rFonts w:cstheme="minorHAnsi"/>
                <w:sz w:val="20"/>
                <w:szCs w:val="20"/>
              </w:rPr>
              <w:t>Allied health worker</w:t>
            </w:r>
          </w:p>
        </w:tc>
        <w:tc>
          <w:tcPr>
            <w:tcW w:w="740" w:type="dxa"/>
            <w:tcBorders>
              <w:top w:val="nil"/>
              <w:left w:val="nil"/>
              <w:bottom w:val="nil"/>
              <w:right w:val="nil"/>
            </w:tcBorders>
            <w:shd w:val="clear" w:color="auto" w:fill="auto"/>
            <w:noWrap/>
            <w:hideMark/>
          </w:tcPr>
          <w:p w:rsidR="00685BE5" w:rsidRPr="007D2274" w:rsidRDefault="00685BE5" w:rsidP="00A06AE2">
            <w:pPr>
              <w:tabs>
                <w:tab w:val="decimal" w:pos="300"/>
              </w:tabs>
              <w:spacing w:before="20" w:after="20"/>
              <w:rPr>
                <w:rFonts w:cstheme="minorHAnsi"/>
                <w:sz w:val="20"/>
                <w:szCs w:val="20"/>
              </w:rPr>
            </w:pPr>
            <w:r w:rsidRPr="007D2274">
              <w:rPr>
                <w:rFonts w:cstheme="minorHAnsi"/>
                <w:sz w:val="20"/>
                <w:szCs w:val="20"/>
              </w:rPr>
              <w:t>67.1</w:t>
            </w:r>
          </w:p>
        </w:tc>
        <w:tc>
          <w:tcPr>
            <w:tcW w:w="740" w:type="dxa"/>
            <w:tcBorders>
              <w:top w:val="nil"/>
              <w:left w:val="nil"/>
              <w:bottom w:val="nil"/>
              <w:right w:val="nil"/>
            </w:tcBorders>
            <w:shd w:val="clear" w:color="auto" w:fill="auto"/>
            <w:noWrap/>
            <w:hideMark/>
          </w:tcPr>
          <w:p w:rsidR="00685BE5" w:rsidRPr="007D2274" w:rsidRDefault="00685BE5" w:rsidP="00A06AE2">
            <w:pPr>
              <w:tabs>
                <w:tab w:val="decimal" w:pos="269"/>
              </w:tabs>
              <w:spacing w:before="20" w:after="20"/>
              <w:rPr>
                <w:rFonts w:cstheme="minorHAnsi"/>
                <w:sz w:val="20"/>
                <w:szCs w:val="20"/>
              </w:rPr>
            </w:pPr>
            <w:r w:rsidRPr="007D2274">
              <w:rPr>
                <w:rFonts w:cstheme="minorHAnsi"/>
                <w:sz w:val="20"/>
                <w:szCs w:val="20"/>
              </w:rPr>
              <w:t>5.7</w:t>
            </w:r>
          </w:p>
        </w:tc>
        <w:tc>
          <w:tcPr>
            <w:tcW w:w="740" w:type="dxa"/>
            <w:tcBorders>
              <w:top w:val="nil"/>
              <w:left w:val="nil"/>
              <w:bottom w:val="nil"/>
              <w:right w:val="nil"/>
            </w:tcBorders>
            <w:shd w:val="clear" w:color="auto" w:fill="auto"/>
            <w:noWrap/>
            <w:hideMark/>
          </w:tcPr>
          <w:p w:rsidR="00685BE5" w:rsidRPr="007D2274" w:rsidRDefault="00685BE5" w:rsidP="00A06AE2">
            <w:pPr>
              <w:tabs>
                <w:tab w:val="decimal" w:pos="242"/>
              </w:tabs>
              <w:spacing w:before="20" w:after="20"/>
              <w:rPr>
                <w:rFonts w:cstheme="minorHAnsi"/>
                <w:sz w:val="20"/>
                <w:szCs w:val="20"/>
              </w:rPr>
            </w:pPr>
            <w:r w:rsidRPr="007D2274">
              <w:rPr>
                <w:rFonts w:cstheme="minorHAnsi"/>
                <w:sz w:val="20"/>
                <w:szCs w:val="20"/>
              </w:rPr>
              <w:t>1.7</w:t>
            </w:r>
          </w:p>
        </w:tc>
        <w:tc>
          <w:tcPr>
            <w:tcW w:w="960" w:type="dxa"/>
            <w:tcBorders>
              <w:top w:val="nil"/>
              <w:left w:val="nil"/>
              <w:bottom w:val="nil"/>
              <w:right w:val="nil"/>
            </w:tcBorders>
            <w:shd w:val="clear" w:color="auto" w:fill="auto"/>
            <w:noWrap/>
            <w:hideMark/>
          </w:tcPr>
          <w:p w:rsidR="00685BE5" w:rsidRPr="007D2274" w:rsidRDefault="00685BE5" w:rsidP="00A06AE2">
            <w:pPr>
              <w:tabs>
                <w:tab w:val="decimal" w:pos="348"/>
              </w:tabs>
              <w:spacing w:before="20" w:after="20"/>
              <w:jc w:val="both"/>
              <w:rPr>
                <w:rFonts w:cstheme="minorHAnsi"/>
                <w:sz w:val="20"/>
                <w:szCs w:val="20"/>
              </w:rPr>
            </w:pPr>
            <w:r w:rsidRPr="007D2274">
              <w:rPr>
                <w:rFonts w:cstheme="minorHAnsi"/>
                <w:sz w:val="20"/>
                <w:szCs w:val="20"/>
              </w:rPr>
              <w:t>1.3</w:t>
            </w:r>
          </w:p>
        </w:tc>
        <w:tc>
          <w:tcPr>
            <w:tcW w:w="1339" w:type="dxa"/>
            <w:tcBorders>
              <w:top w:val="nil"/>
              <w:left w:val="nil"/>
              <w:bottom w:val="nil"/>
              <w:right w:val="nil"/>
            </w:tcBorders>
            <w:shd w:val="clear" w:color="auto" w:fill="auto"/>
            <w:noWrap/>
            <w:hideMark/>
          </w:tcPr>
          <w:p w:rsidR="00685BE5" w:rsidRPr="007D2274" w:rsidRDefault="00685BE5" w:rsidP="00A06AE2">
            <w:pPr>
              <w:tabs>
                <w:tab w:val="decimal" w:pos="522"/>
              </w:tabs>
              <w:spacing w:before="20" w:after="20"/>
              <w:rPr>
                <w:rFonts w:cstheme="minorHAnsi"/>
                <w:sz w:val="20"/>
                <w:szCs w:val="20"/>
              </w:rPr>
            </w:pPr>
            <w:r w:rsidRPr="007D2274">
              <w:rPr>
                <w:rFonts w:cstheme="minorHAnsi"/>
                <w:sz w:val="20"/>
                <w:szCs w:val="20"/>
              </w:rPr>
              <w:t>24.1</w:t>
            </w:r>
          </w:p>
        </w:tc>
      </w:tr>
      <w:tr w:rsidR="00685BE5" w:rsidRPr="00B90E88" w:rsidTr="008D0772">
        <w:tc>
          <w:tcPr>
            <w:tcW w:w="4852" w:type="dxa"/>
            <w:tcBorders>
              <w:top w:val="nil"/>
              <w:left w:val="nil"/>
              <w:bottom w:val="single" w:sz="4" w:space="0" w:color="auto"/>
              <w:right w:val="nil"/>
            </w:tcBorders>
            <w:shd w:val="clear" w:color="auto" w:fill="auto"/>
            <w:noWrap/>
            <w:hideMark/>
          </w:tcPr>
          <w:p w:rsidR="00685BE5" w:rsidRPr="007D2274" w:rsidRDefault="00685BE5" w:rsidP="00A06AE2">
            <w:pPr>
              <w:spacing w:before="20" w:after="20"/>
              <w:rPr>
                <w:rFonts w:cstheme="minorHAnsi"/>
                <w:sz w:val="20"/>
                <w:szCs w:val="20"/>
              </w:rPr>
            </w:pPr>
            <w:r w:rsidRPr="007D2274">
              <w:rPr>
                <w:rFonts w:cstheme="minorHAnsi"/>
                <w:sz w:val="20"/>
                <w:szCs w:val="20"/>
              </w:rPr>
              <w:t>Other</w:t>
            </w:r>
          </w:p>
        </w:tc>
        <w:tc>
          <w:tcPr>
            <w:tcW w:w="740" w:type="dxa"/>
            <w:tcBorders>
              <w:top w:val="nil"/>
              <w:left w:val="nil"/>
              <w:bottom w:val="single" w:sz="4" w:space="0" w:color="auto"/>
              <w:right w:val="nil"/>
            </w:tcBorders>
            <w:shd w:val="clear" w:color="auto" w:fill="auto"/>
            <w:noWrap/>
            <w:hideMark/>
          </w:tcPr>
          <w:p w:rsidR="00685BE5" w:rsidRPr="007D2274" w:rsidRDefault="00685BE5" w:rsidP="00A06AE2">
            <w:pPr>
              <w:tabs>
                <w:tab w:val="decimal" w:pos="300"/>
              </w:tabs>
              <w:spacing w:before="20" w:after="20"/>
              <w:rPr>
                <w:rFonts w:cstheme="minorHAnsi"/>
                <w:sz w:val="20"/>
                <w:szCs w:val="20"/>
              </w:rPr>
            </w:pPr>
            <w:r w:rsidRPr="007D2274">
              <w:rPr>
                <w:rFonts w:cstheme="minorHAnsi"/>
                <w:sz w:val="20"/>
                <w:szCs w:val="20"/>
              </w:rPr>
              <w:t>63.6</w:t>
            </w:r>
          </w:p>
        </w:tc>
        <w:tc>
          <w:tcPr>
            <w:tcW w:w="740" w:type="dxa"/>
            <w:tcBorders>
              <w:top w:val="nil"/>
              <w:left w:val="nil"/>
              <w:bottom w:val="single" w:sz="4" w:space="0" w:color="auto"/>
              <w:right w:val="nil"/>
            </w:tcBorders>
            <w:shd w:val="clear" w:color="auto" w:fill="auto"/>
            <w:noWrap/>
            <w:hideMark/>
          </w:tcPr>
          <w:p w:rsidR="00685BE5" w:rsidRPr="007D2274" w:rsidRDefault="00685BE5" w:rsidP="00A06AE2">
            <w:pPr>
              <w:tabs>
                <w:tab w:val="decimal" w:pos="269"/>
              </w:tabs>
              <w:spacing w:before="20" w:after="20"/>
              <w:rPr>
                <w:rFonts w:cstheme="minorHAnsi"/>
                <w:sz w:val="20"/>
                <w:szCs w:val="20"/>
              </w:rPr>
            </w:pPr>
            <w:r w:rsidRPr="007D2274">
              <w:rPr>
                <w:rFonts w:cstheme="minorHAnsi"/>
                <w:sz w:val="20"/>
                <w:szCs w:val="20"/>
              </w:rPr>
              <w:t>1.4</w:t>
            </w:r>
          </w:p>
        </w:tc>
        <w:tc>
          <w:tcPr>
            <w:tcW w:w="740" w:type="dxa"/>
            <w:tcBorders>
              <w:top w:val="nil"/>
              <w:left w:val="nil"/>
              <w:bottom w:val="single" w:sz="4" w:space="0" w:color="auto"/>
              <w:right w:val="nil"/>
            </w:tcBorders>
            <w:shd w:val="clear" w:color="auto" w:fill="auto"/>
            <w:noWrap/>
            <w:hideMark/>
          </w:tcPr>
          <w:p w:rsidR="00685BE5" w:rsidRPr="007D2274" w:rsidRDefault="00685BE5" w:rsidP="00A06AE2">
            <w:pPr>
              <w:tabs>
                <w:tab w:val="decimal" w:pos="242"/>
              </w:tabs>
              <w:spacing w:before="20" w:after="20"/>
              <w:rPr>
                <w:rFonts w:cstheme="minorHAnsi"/>
                <w:sz w:val="20"/>
                <w:szCs w:val="20"/>
              </w:rPr>
            </w:pPr>
            <w:r w:rsidRPr="007D2274">
              <w:rPr>
                <w:rFonts w:cstheme="minorHAnsi"/>
                <w:sz w:val="20"/>
                <w:szCs w:val="20"/>
              </w:rPr>
              <w:t>1.0</w:t>
            </w:r>
          </w:p>
        </w:tc>
        <w:tc>
          <w:tcPr>
            <w:tcW w:w="960" w:type="dxa"/>
            <w:tcBorders>
              <w:top w:val="nil"/>
              <w:left w:val="nil"/>
              <w:bottom w:val="single" w:sz="4" w:space="0" w:color="auto"/>
              <w:right w:val="nil"/>
            </w:tcBorders>
            <w:shd w:val="clear" w:color="auto" w:fill="auto"/>
            <w:noWrap/>
            <w:hideMark/>
          </w:tcPr>
          <w:p w:rsidR="00685BE5" w:rsidRPr="007D2274" w:rsidRDefault="00685BE5" w:rsidP="00A06AE2">
            <w:pPr>
              <w:tabs>
                <w:tab w:val="decimal" w:pos="348"/>
              </w:tabs>
              <w:spacing w:before="20" w:after="20"/>
              <w:jc w:val="both"/>
              <w:rPr>
                <w:rFonts w:cstheme="minorHAnsi"/>
                <w:sz w:val="20"/>
                <w:szCs w:val="20"/>
              </w:rPr>
            </w:pPr>
            <w:r w:rsidRPr="007D2274">
              <w:rPr>
                <w:rFonts w:cstheme="minorHAnsi"/>
                <w:sz w:val="20"/>
                <w:szCs w:val="20"/>
              </w:rPr>
              <w:t>0.9</w:t>
            </w:r>
          </w:p>
        </w:tc>
        <w:tc>
          <w:tcPr>
            <w:tcW w:w="1339" w:type="dxa"/>
            <w:tcBorders>
              <w:top w:val="nil"/>
              <w:left w:val="nil"/>
              <w:bottom w:val="single" w:sz="4" w:space="0" w:color="auto"/>
              <w:right w:val="nil"/>
            </w:tcBorders>
            <w:shd w:val="clear" w:color="auto" w:fill="auto"/>
            <w:noWrap/>
            <w:hideMark/>
          </w:tcPr>
          <w:p w:rsidR="00685BE5" w:rsidRPr="007D2274" w:rsidRDefault="00685BE5" w:rsidP="00A06AE2">
            <w:pPr>
              <w:tabs>
                <w:tab w:val="decimal" w:pos="522"/>
              </w:tabs>
              <w:spacing w:before="20" w:after="20"/>
              <w:rPr>
                <w:rFonts w:cstheme="minorHAnsi"/>
                <w:sz w:val="20"/>
                <w:szCs w:val="20"/>
              </w:rPr>
            </w:pPr>
            <w:r w:rsidRPr="007D2274">
              <w:rPr>
                <w:rFonts w:cstheme="minorHAnsi"/>
                <w:sz w:val="20"/>
                <w:szCs w:val="20"/>
              </w:rPr>
              <w:t>33.1</w:t>
            </w:r>
          </w:p>
        </w:tc>
      </w:tr>
      <w:tr w:rsidR="00A80753" w:rsidRPr="00B90E88" w:rsidTr="008D0772">
        <w:tc>
          <w:tcPr>
            <w:tcW w:w="9371" w:type="dxa"/>
            <w:gridSpan w:val="6"/>
            <w:tcBorders>
              <w:top w:val="single" w:sz="4" w:space="0" w:color="auto"/>
              <w:left w:val="nil"/>
              <w:bottom w:val="single" w:sz="4" w:space="0" w:color="auto"/>
              <w:right w:val="nil"/>
            </w:tcBorders>
            <w:shd w:val="clear" w:color="auto" w:fill="auto"/>
            <w:noWrap/>
          </w:tcPr>
          <w:p w:rsidR="00A80753" w:rsidRPr="007D2274" w:rsidRDefault="00A80753" w:rsidP="00A06AE2">
            <w:pPr>
              <w:tabs>
                <w:tab w:val="decimal" w:pos="242"/>
              </w:tabs>
              <w:spacing w:before="20" w:after="20"/>
              <w:rPr>
                <w:rFonts w:cstheme="minorHAnsi"/>
                <w:sz w:val="20"/>
                <w:szCs w:val="20"/>
              </w:rPr>
            </w:pPr>
            <w:r w:rsidRPr="007D2274">
              <w:rPr>
                <w:b/>
                <w:sz w:val="20"/>
                <w:szCs w:val="20"/>
              </w:rPr>
              <w:t>Total number of outlets</w:t>
            </w:r>
            <w:r>
              <w:rPr>
                <w:b/>
                <w:sz w:val="20"/>
                <w:szCs w:val="20"/>
              </w:rPr>
              <w:t xml:space="preserve">  </w:t>
            </w:r>
            <w:r w:rsidRPr="007D2274">
              <w:rPr>
                <w:b/>
                <w:sz w:val="20"/>
                <w:szCs w:val="20"/>
              </w:rPr>
              <w:t>697</w:t>
            </w:r>
          </w:p>
        </w:tc>
      </w:tr>
    </w:tbl>
    <w:p w:rsidR="00161A38" w:rsidRDefault="00685BE5" w:rsidP="00AE4C3A">
      <w:pPr>
        <w:pStyle w:val="NILSReference"/>
        <w:rPr>
          <w:rFonts w:cstheme="minorHAnsi"/>
        </w:rPr>
      </w:pPr>
      <w:r w:rsidRPr="007D2274">
        <w:t xml:space="preserve">Source: </w:t>
      </w:r>
      <w:r w:rsidRPr="007D2274">
        <w:rPr>
          <w:rFonts w:cstheme="minorHAnsi"/>
        </w:rPr>
        <w:t>2014 NDIS DSP outlet survey, Question C9.</w:t>
      </w:r>
    </w:p>
    <w:p w:rsidR="00685BE5" w:rsidRDefault="00685BE5" w:rsidP="00AE4C3A">
      <w:pPr>
        <w:pStyle w:val="NILSReference"/>
      </w:pPr>
      <w:r w:rsidRPr="007D2274">
        <w:t>Note: Row percentages are shown.</w:t>
      </w:r>
    </w:p>
    <w:p w:rsidR="003A37B0" w:rsidRDefault="003A37B0" w:rsidP="00AE4C3A"/>
    <w:p w:rsidR="00685BE5" w:rsidRPr="000C0BF5" w:rsidRDefault="00685BE5" w:rsidP="00AE4C3A">
      <w:r w:rsidRPr="000C0BF5">
        <w:lastRenderedPageBreak/>
        <w:t>This information aligns well with that provided for each employee</w:t>
      </w:r>
      <w:r w:rsidRPr="000C0BF5" w:rsidDel="00CA163D">
        <w:t xml:space="preserve"> </w:t>
      </w:r>
      <w:r w:rsidRPr="000C0BF5">
        <w:t xml:space="preserve">type for Tables 4.6 (skills shortages in the past 12 months) and 4.11 (additional employees to hire in the next 12 months). </w:t>
      </w:r>
    </w:p>
    <w:p w:rsidR="00685BE5" w:rsidRDefault="00685BE5" w:rsidP="00AE4C3A">
      <w:pPr>
        <w:rPr>
          <w:rFonts w:cstheme="minorHAnsi"/>
        </w:rPr>
      </w:pPr>
    </w:p>
    <w:p w:rsidR="00685BE5" w:rsidRDefault="00685BE5" w:rsidP="00AE4C3A">
      <w:r>
        <w:t>Table 4.</w:t>
      </w:r>
      <w:r w:rsidRPr="00A4756E">
        <w:t>10 shows that there were few unfilled vacancies</w:t>
      </w:r>
      <w:r w:rsidRPr="005458B4">
        <w:t xml:space="preserve">, with at most 5 per cent of outlets recording that a vacancy advertised in the last </w:t>
      </w:r>
      <w:r>
        <w:t>six</w:t>
      </w:r>
      <w:r w:rsidRPr="005458B4">
        <w:t xml:space="preserve"> months was not filled for any of these disability services worker types. Unfilled vacancies were most commonly reported for service or program administrator/manager/coordinator (5 per cent) and allied health worker roles</w:t>
      </w:r>
      <w:r>
        <w:t xml:space="preserve"> </w:t>
      </w:r>
      <w:r w:rsidRPr="005458B4">
        <w:t xml:space="preserve">(5 per cent). </w:t>
      </w:r>
    </w:p>
    <w:p w:rsidR="00685BE5" w:rsidRPr="005A2670" w:rsidRDefault="00685BE5" w:rsidP="0044684E">
      <w:pPr>
        <w:pStyle w:val="NILSTableHeading"/>
      </w:pPr>
      <w:bookmarkStart w:id="517" w:name="_Toc428279214"/>
      <w:bookmarkStart w:id="518" w:name="_Toc449955344"/>
      <w:r>
        <w:t>Table 4.</w:t>
      </w:r>
      <w:r w:rsidRPr="005A2670">
        <w:t>10: Whether the most recent</w:t>
      </w:r>
      <w:r>
        <w:t xml:space="preserve"> vacancy was filled</w:t>
      </w:r>
      <w:bookmarkEnd w:id="517"/>
      <w:bookmarkEnd w:id="518"/>
    </w:p>
    <w:tbl>
      <w:tblPr>
        <w:tblW w:w="9140" w:type="dxa"/>
        <w:tblInd w:w="93" w:type="dxa"/>
        <w:tblLook w:val="04A0" w:firstRow="1" w:lastRow="0" w:firstColumn="1" w:lastColumn="0" w:noHBand="0" w:noVBand="1"/>
        <w:tblCaption w:val="Table 4.10 Whether the most recent vacancy was filled"/>
      </w:tblPr>
      <w:tblGrid>
        <w:gridCol w:w="5020"/>
        <w:gridCol w:w="860"/>
        <w:gridCol w:w="860"/>
        <w:gridCol w:w="1355"/>
        <w:gridCol w:w="1045"/>
      </w:tblGrid>
      <w:tr w:rsidR="00685BE5" w:rsidRPr="00B90E88" w:rsidTr="00371AE1">
        <w:trPr>
          <w:tblHeader/>
        </w:trPr>
        <w:tc>
          <w:tcPr>
            <w:tcW w:w="5020" w:type="dxa"/>
            <w:tcBorders>
              <w:top w:val="single" w:sz="4" w:space="0" w:color="auto"/>
              <w:left w:val="nil"/>
              <w:bottom w:val="single" w:sz="4" w:space="0" w:color="auto"/>
              <w:right w:val="nil"/>
            </w:tcBorders>
            <w:shd w:val="clear" w:color="auto" w:fill="auto"/>
            <w:noWrap/>
            <w:hideMark/>
          </w:tcPr>
          <w:p w:rsidR="00685BE5" w:rsidRPr="00E3331B" w:rsidRDefault="00685BE5" w:rsidP="00AE4C3A">
            <w:pPr>
              <w:spacing w:before="20" w:after="20"/>
              <w:rPr>
                <w:rFonts w:cstheme="minorHAnsi"/>
                <w:sz w:val="20"/>
                <w:szCs w:val="20"/>
                <w:highlight w:val="yellow"/>
              </w:rPr>
            </w:pPr>
            <w:bookmarkStart w:id="519" w:name="Title_4_10"/>
            <w:bookmarkEnd w:id="519"/>
          </w:p>
        </w:tc>
        <w:tc>
          <w:tcPr>
            <w:tcW w:w="860" w:type="dxa"/>
            <w:tcBorders>
              <w:top w:val="single" w:sz="4" w:space="0" w:color="auto"/>
              <w:left w:val="nil"/>
              <w:bottom w:val="single" w:sz="4" w:space="0" w:color="auto"/>
              <w:right w:val="nil"/>
            </w:tcBorders>
            <w:shd w:val="clear" w:color="auto" w:fill="auto"/>
            <w:noWrap/>
            <w:vAlign w:val="bottom"/>
            <w:hideMark/>
          </w:tcPr>
          <w:p w:rsidR="00685BE5" w:rsidRDefault="00685BE5" w:rsidP="00371AE1">
            <w:pPr>
              <w:spacing w:before="20" w:after="20"/>
              <w:jc w:val="center"/>
              <w:rPr>
                <w:rFonts w:cstheme="minorHAnsi"/>
                <w:bCs/>
                <w:sz w:val="20"/>
                <w:szCs w:val="20"/>
              </w:rPr>
            </w:pPr>
            <w:r w:rsidRPr="007D2274">
              <w:rPr>
                <w:rFonts w:cstheme="minorHAnsi"/>
                <w:bCs/>
                <w:sz w:val="20"/>
                <w:szCs w:val="20"/>
              </w:rPr>
              <w:t>Yes</w:t>
            </w:r>
          </w:p>
          <w:p w:rsidR="00371AE1" w:rsidRPr="007D2274" w:rsidRDefault="00371AE1" w:rsidP="00371AE1">
            <w:pPr>
              <w:spacing w:before="20" w:after="20"/>
              <w:jc w:val="center"/>
              <w:rPr>
                <w:rFonts w:cstheme="minorHAnsi"/>
                <w:bCs/>
                <w:sz w:val="20"/>
                <w:szCs w:val="20"/>
              </w:rPr>
            </w:pPr>
            <w:r>
              <w:rPr>
                <w:rFonts w:cstheme="minorHAnsi"/>
                <w:bCs/>
                <w:sz w:val="20"/>
                <w:szCs w:val="20"/>
              </w:rPr>
              <w:t>%</w:t>
            </w:r>
          </w:p>
        </w:tc>
        <w:tc>
          <w:tcPr>
            <w:tcW w:w="860" w:type="dxa"/>
            <w:tcBorders>
              <w:top w:val="single" w:sz="4" w:space="0" w:color="auto"/>
              <w:left w:val="nil"/>
              <w:bottom w:val="single" w:sz="4" w:space="0" w:color="auto"/>
              <w:right w:val="nil"/>
            </w:tcBorders>
            <w:shd w:val="clear" w:color="auto" w:fill="auto"/>
            <w:noWrap/>
            <w:vAlign w:val="bottom"/>
            <w:hideMark/>
          </w:tcPr>
          <w:p w:rsidR="00371AE1" w:rsidRDefault="00685BE5" w:rsidP="00371AE1">
            <w:pPr>
              <w:spacing w:before="20" w:after="20"/>
              <w:jc w:val="center"/>
              <w:rPr>
                <w:rFonts w:cstheme="minorHAnsi"/>
                <w:bCs/>
                <w:sz w:val="20"/>
                <w:szCs w:val="20"/>
              </w:rPr>
            </w:pPr>
            <w:r w:rsidRPr="007D2274">
              <w:rPr>
                <w:rFonts w:cstheme="minorHAnsi"/>
                <w:bCs/>
                <w:sz w:val="20"/>
                <w:szCs w:val="20"/>
              </w:rPr>
              <w:t>No</w:t>
            </w:r>
          </w:p>
          <w:p w:rsidR="00685BE5" w:rsidRPr="007D2274" w:rsidRDefault="00371AE1" w:rsidP="00371AE1">
            <w:pPr>
              <w:spacing w:before="20" w:after="20"/>
              <w:jc w:val="center"/>
              <w:rPr>
                <w:rFonts w:cstheme="minorHAnsi"/>
                <w:bCs/>
                <w:sz w:val="20"/>
                <w:szCs w:val="20"/>
              </w:rPr>
            </w:pPr>
            <w:r>
              <w:rPr>
                <w:rFonts w:cstheme="minorHAnsi"/>
                <w:bCs/>
                <w:sz w:val="20"/>
                <w:szCs w:val="20"/>
              </w:rPr>
              <w:t>%</w:t>
            </w:r>
          </w:p>
        </w:tc>
        <w:tc>
          <w:tcPr>
            <w:tcW w:w="1355" w:type="dxa"/>
            <w:tcBorders>
              <w:top w:val="single" w:sz="4" w:space="0" w:color="auto"/>
              <w:left w:val="nil"/>
              <w:bottom w:val="single" w:sz="4" w:space="0" w:color="auto"/>
              <w:right w:val="nil"/>
            </w:tcBorders>
            <w:shd w:val="clear" w:color="auto" w:fill="auto"/>
            <w:noWrap/>
            <w:vAlign w:val="bottom"/>
            <w:hideMark/>
          </w:tcPr>
          <w:p w:rsidR="00685BE5" w:rsidRDefault="00685BE5" w:rsidP="00371AE1">
            <w:pPr>
              <w:spacing w:before="20" w:after="20"/>
              <w:jc w:val="center"/>
              <w:rPr>
                <w:rFonts w:cstheme="minorHAnsi"/>
                <w:bCs/>
                <w:sz w:val="20"/>
                <w:szCs w:val="20"/>
              </w:rPr>
            </w:pPr>
            <w:r w:rsidRPr="007D2274">
              <w:rPr>
                <w:rFonts w:cstheme="minorHAnsi"/>
                <w:bCs/>
                <w:sz w:val="20"/>
                <w:szCs w:val="20"/>
              </w:rPr>
              <w:t>Question not answered</w:t>
            </w:r>
          </w:p>
          <w:p w:rsidR="00371AE1" w:rsidRPr="007D2274" w:rsidRDefault="00371AE1" w:rsidP="00371AE1">
            <w:pPr>
              <w:spacing w:before="20" w:after="20"/>
              <w:jc w:val="center"/>
              <w:rPr>
                <w:rFonts w:cstheme="minorHAnsi"/>
                <w:bCs/>
                <w:sz w:val="20"/>
                <w:szCs w:val="20"/>
              </w:rPr>
            </w:pPr>
            <w:r>
              <w:rPr>
                <w:rFonts w:cstheme="minorHAnsi"/>
                <w:bCs/>
                <w:sz w:val="20"/>
                <w:szCs w:val="20"/>
              </w:rPr>
              <w:t>%</w:t>
            </w:r>
          </w:p>
        </w:tc>
        <w:tc>
          <w:tcPr>
            <w:tcW w:w="1045" w:type="dxa"/>
            <w:tcBorders>
              <w:top w:val="single" w:sz="4" w:space="0" w:color="auto"/>
              <w:left w:val="nil"/>
              <w:bottom w:val="single" w:sz="4" w:space="0" w:color="auto"/>
              <w:right w:val="nil"/>
            </w:tcBorders>
            <w:shd w:val="clear" w:color="auto" w:fill="auto"/>
            <w:vAlign w:val="bottom"/>
            <w:hideMark/>
          </w:tcPr>
          <w:p w:rsidR="00685BE5" w:rsidRDefault="00685BE5" w:rsidP="00371AE1">
            <w:pPr>
              <w:spacing w:before="20" w:after="20"/>
              <w:jc w:val="center"/>
              <w:rPr>
                <w:rFonts w:cstheme="minorHAnsi"/>
                <w:bCs/>
                <w:sz w:val="20"/>
                <w:szCs w:val="20"/>
              </w:rPr>
            </w:pPr>
            <w:r w:rsidRPr="007D2274">
              <w:rPr>
                <w:rFonts w:cstheme="minorHAnsi"/>
                <w:bCs/>
                <w:sz w:val="20"/>
                <w:szCs w:val="20"/>
              </w:rPr>
              <w:t>Not applicable</w:t>
            </w:r>
          </w:p>
          <w:p w:rsidR="00371AE1" w:rsidRPr="007D2274" w:rsidRDefault="00371AE1" w:rsidP="00371AE1">
            <w:pPr>
              <w:spacing w:before="20" w:after="20"/>
              <w:jc w:val="center"/>
              <w:rPr>
                <w:rFonts w:cstheme="minorHAnsi"/>
                <w:bCs/>
                <w:sz w:val="20"/>
                <w:szCs w:val="20"/>
              </w:rPr>
            </w:pPr>
            <w:r>
              <w:rPr>
                <w:rFonts w:cstheme="minorHAnsi"/>
                <w:bCs/>
                <w:sz w:val="20"/>
                <w:szCs w:val="20"/>
              </w:rPr>
              <w:t>%</w:t>
            </w:r>
          </w:p>
        </w:tc>
      </w:tr>
      <w:tr w:rsidR="00685BE5" w:rsidRPr="00B90E88" w:rsidTr="00AE4C3A">
        <w:tc>
          <w:tcPr>
            <w:tcW w:w="5020" w:type="dxa"/>
            <w:tcBorders>
              <w:top w:val="single" w:sz="4" w:space="0" w:color="auto"/>
              <w:left w:val="nil"/>
              <w:bottom w:val="nil"/>
              <w:right w:val="nil"/>
            </w:tcBorders>
            <w:shd w:val="clear" w:color="auto" w:fill="auto"/>
            <w:noWrap/>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Disability support/</w:t>
            </w:r>
            <w:r>
              <w:rPr>
                <w:rFonts w:cstheme="minorHAnsi"/>
                <w:sz w:val="20"/>
                <w:szCs w:val="20"/>
              </w:rPr>
              <w:t>r</w:t>
            </w:r>
            <w:r w:rsidRPr="007D2274">
              <w:rPr>
                <w:rFonts w:cstheme="minorHAnsi"/>
                <w:sz w:val="20"/>
                <w:szCs w:val="20"/>
              </w:rPr>
              <w:t>esidential support worker</w:t>
            </w:r>
          </w:p>
        </w:tc>
        <w:tc>
          <w:tcPr>
            <w:tcW w:w="860" w:type="dxa"/>
            <w:tcBorders>
              <w:top w:val="single" w:sz="4" w:space="0" w:color="auto"/>
              <w:left w:val="nil"/>
              <w:bottom w:val="nil"/>
              <w:right w:val="nil"/>
            </w:tcBorders>
            <w:shd w:val="clear" w:color="auto" w:fill="auto"/>
            <w:noWrap/>
            <w:vAlign w:val="bottom"/>
            <w:hideMark/>
          </w:tcPr>
          <w:p w:rsidR="00685BE5" w:rsidRPr="007D2274" w:rsidRDefault="00685BE5" w:rsidP="00AE4C3A">
            <w:pPr>
              <w:tabs>
                <w:tab w:val="decimal" w:pos="346"/>
              </w:tabs>
              <w:spacing w:before="20" w:after="20"/>
              <w:rPr>
                <w:rFonts w:cstheme="minorHAnsi"/>
                <w:sz w:val="20"/>
                <w:szCs w:val="20"/>
              </w:rPr>
            </w:pPr>
            <w:r w:rsidRPr="007D2274">
              <w:rPr>
                <w:rFonts w:cstheme="minorHAnsi"/>
                <w:sz w:val="20"/>
                <w:szCs w:val="20"/>
              </w:rPr>
              <w:t>38.9</w:t>
            </w:r>
          </w:p>
        </w:tc>
        <w:tc>
          <w:tcPr>
            <w:tcW w:w="860" w:type="dxa"/>
            <w:tcBorders>
              <w:top w:val="single" w:sz="4" w:space="0" w:color="auto"/>
              <w:left w:val="nil"/>
              <w:bottom w:val="nil"/>
              <w:right w:val="nil"/>
            </w:tcBorders>
            <w:shd w:val="clear" w:color="auto" w:fill="auto"/>
            <w:noWrap/>
            <w:vAlign w:val="bottom"/>
            <w:hideMark/>
          </w:tcPr>
          <w:p w:rsidR="00685BE5" w:rsidRPr="007D2274" w:rsidRDefault="00685BE5" w:rsidP="00AE4C3A">
            <w:pPr>
              <w:tabs>
                <w:tab w:val="decimal" w:pos="346"/>
              </w:tabs>
              <w:spacing w:before="20" w:after="20"/>
              <w:rPr>
                <w:rFonts w:cstheme="minorHAnsi"/>
                <w:sz w:val="20"/>
                <w:szCs w:val="20"/>
              </w:rPr>
            </w:pPr>
            <w:r w:rsidRPr="007D2274">
              <w:rPr>
                <w:rFonts w:cstheme="minorHAnsi"/>
                <w:sz w:val="20"/>
                <w:szCs w:val="20"/>
              </w:rPr>
              <w:t>2.9</w:t>
            </w:r>
          </w:p>
        </w:tc>
        <w:tc>
          <w:tcPr>
            <w:tcW w:w="1355" w:type="dxa"/>
            <w:tcBorders>
              <w:top w:val="single" w:sz="4" w:space="0" w:color="auto"/>
              <w:left w:val="nil"/>
              <w:bottom w:val="nil"/>
              <w:right w:val="nil"/>
            </w:tcBorders>
            <w:shd w:val="clear" w:color="auto" w:fill="auto"/>
            <w:noWrap/>
            <w:vAlign w:val="bottom"/>
            <w:hideMark/>
          </w:tcPr>
          <w:p w:rsidR="00685BE5" w:rsidRPr="007D2274" w:rsidRDefault="00685BE5" w:rsidP="00AE4C3A">
            <w:pPr>
              <w:tabs>
                <w:tab w:val="decimal" w:pos="680"/>
              </w:tabs>
              <w:spacing w:before="20" w:after="20"/>
              <w:rPr>
                <w:rFonts w:cstheme="minorHAnsi"/>
                <w:sz w:val="20"/>
                <w:szCs w:val="20"/>
              </w:rPr>
            </w:pPr>
            <w:r w:rsidRPr="007D2274">
              <w:rPr>
                <w:rFonts w:cstheme="minorHAnsi"/>
                <w:sz w:val="20"/>
                <w:szCs w:val="20"/>
              </w:rPr>
              <w:t>17.6</w:t>
            </w:r>
          </w:p>
        </w:tc>
        <w:tc>
          <w:tcPr>
            <w:tcW w:w="1045" w:type="dxa"/>
            <w:tcBorders>
              <w:top w:val="single" w:sz="4" w:space="0" w:color="auto"/>
              <w:left w:val="nil"/>
              <w:bottom w:val="nil"/>
              <w:right w:val="nil"/>
            </w:tcBorders>
            <w:shd w:val="clear" w:color="auto" w:fill="auto"/>
            <w:noWrap/>
            <w:vAlign w:val="bottom"/>
            <w:hideMark/>
          </w:tcPr>
          <w:p w:rsidR="00685BE5" w:rsidRPr="007D2274" w:rsidRDefault="00685BE5" w:rsidP="00AE4C3A">
            <w:pPr>
              <w:tabs>
                <w:tab w:val="decimal" w:pos="559"/>
              </w:tabs>
              <w:spacing w:before="20" w:after="20"/>
              <w:rPr>
                <w:rFonts w:cstheme="minorHAnsi"/>
                <w:sz w:val="20"/>
                <w:szCs w:val="20"/>
              </w:rPr>
            </w:pPr>
            <w:r w:rsidRPr="007D2274">
              <w:rPr>
                <w:rFonts w:cstheme="minorHAnsi"/>
                <w:sz w:val="20"/>
                <w:szCs w:val="20"/>
              </w:rPr>
              <w:t>40.6</w:t>
            </w:r>
          </w:p>
        </w:tc>
      </w:tr>
      <w:tr w:rsidR="00685BE5" w:rsidRPr="00B90E88" w:rsidTr="00AE4C3A">
        <w:tc>
          <w:tcPr>
            <w:tcW w:w="5020" w:type="dxa"/>
            <w:tcBorders>
              <w:top w:val="nil"/>
              <w:left w:val="nil"/>
              <w:bottom w:val="nil"/>
              <w:right w:val="nil"/>
            </w:tcBorders>
            <w:shd w:val="clear" w:color="auto" w:fill="auto"/>
            <w:noWrap/>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Personal care/</w:t>
            </w:r>
            <w:r>
              <w:rPr>
                <w:rFonts w:cstheme="minorHAnsi"/>
                <w:sz w:val="20"/>
                <w:szCs w:val="20"/>
              </w:rPr>
              <w:t>h</w:t>
            </w:r>
            <w:r w:rsidRPr="007D2274">
              <w:rPr>
                <w:rFonts w:cstheme="minorHAnsi"/>
                <w:sz w:val="20"/>
                <w:szCs w:val="20"/>
              </w:rPr>
              <w:t>ome care worker</w:t>
            </w:r>
          </w:p>
        </w:tc>
        <w:tc>
          <w:tcPr>
            <w:tcW w:w="860" w:type="dxa"/>
            <w:tcBorders>
              <w:top w:val="nil"/>
              <w:left w:val="nil"/>
              <w:bottom w:val="nil"/>
              <w:right w:val="nil"/>
            </w:tcBorders>
            <w:shd w:val="clear" w:color="auto" w:fill="auto"/>
            <w:noWrap/>
            <w:vAlign w:val="bottom"/>
            <w:hideMark/>
          </w:tcPr>
          <w:p w:rsidR="00685BE5" w:rsidRPr="007D2274" w:rsidRDefault="00685BE5" w:rsidP="00AE4C3A">
            <w:pPr>
              <w:tabs>
                <w:tab w:val="decimal" w:pos="346"/>
              </w:tabs>
              <w:spacing w:before="20" w:after="20"/>
              <w:rPr>
                <w:rFonts w:cstheme="minorHAnsi"/>
                <w:sz w:val="20"/>
                <w:szCs w:val="20"/>
              </w:rPr>
            </w:pPr>
            <w:r w:rsidRPr="007D2274">
              <w:rPr>
                <w:rFonts w:cstheme="minorHAnsi"/>
                <w:sz w:val="20"/>
                <w:szCs w:val="20"/>
              </w:rPr>
              <w:t>18.7</w:t>
            </w:r>
          </w:p>
        </w:tc>
        <w:tc>
          <w:tcPr>
            <w:tcW w:w="860" w:type="dxa"/>
            <w:tcBorders>
              <w:top w:val="nil"/>
              <w:left w:val="nil"/>
              <w:bottom w:val="nil"/>
              <w:right w:val="nil"/>
            </w:tcBorders>
            <w:shd w:val="clear" w:color="auto" w:fill="auto"/>
            <w:noWrap/>
            <w:vAlign w:val="bottom"/>
            <w:hideMark/>
          </w:tcPr>
          <w:p w:rsidR="00685BE5" w:rsidRPr="007D2274" w:rsidRDefault="00685BE5" w:rsidP="00AE4C3A">
            <w:pPr>
              <w:tabs>
                <w:tab w:val="decimal" w:pos="346"/>
              </w:tabs>
              <w:spacing w:before="20" w:after="20"/>
              <w:rPr>
                <w:rFonts w:cstheme="minorHAnsi"/>
                <w:sz w:val="20"/>
                <w:szCs w:val="20"/>
              </w:rPr>
            </w:pPr>
            <w:r w:rsidRPr="007D2274">
              <w:rPr>
                <w:rFonts w:cstheme="minorHAnsi"/>
                <w:sz w:val="20"/>
                <w:szCs w:val="20"/>
              </w:rPr>
              <w:t>2.7</w:t>
            </w:r>
          </w:p>
        </w:tc>
        <w:tc>
          <w:tcPr>
            <w:tcW w:w="1355" w:type="dxa"/>
            <w:tcBorders>
              <w:top w:val="nil"/>
              <w:left w:val="nil"/>
              <w:bottom w:val="nil"/>
              <w:right w:val="nil"/>
            </w:tcBorders>
            <w:shd w:val="clear" w:color="auto" w:fill="auto"/>
            <w:noWrap/>
            <w:vAlign w:val="bottom"/>
            <w:hideMark/>
          </w:tcPr>
          <w:p w:rsidR="00685BE5" w:rsidRPr="007D2274" w:rsidRDefault="00685BE5" w:rsidP="00AE4C3A">
            <w:pPr>
              <w:tabs>
                <w:tab w:val="decimal" w:pos="680"/>
              </w:tabs>
              <w:spacing w:before="20" w:after="20"/>
              <w:rPr>
                <w:rFonts w:cstheme="minorHAnsi"/>
                <w:sz w:val="20"/>
                <w:szCs w:val="20"/>
              </w:rPr>
            </w:pPr>
            <w:r w:rsidRPr="007D2274">
              <w:rPr>
                <w:rFonts w:cstheme="minorHAnsi"/>
                <w:sz w:val="20"/>
                <w:szCs w:val="20"/>
              </w:rPr>
              <w:t>23.5</w:t>
            </w:r>
          </w:p>
        </w:tc>
        <w:tc>
          <w:tcPr>
            <w:tcW w:w="1045" w:type="dxa"/>
            <w:tcBorders>
              <w:top w:val="nil"/>
              <w:left w:val="nil"/>
              <w:bottom w:val="nil"/>
              <w:right w:val="nil"/>
            </w:tcBorders>
            <w:shd w:val="clear" w:color="auto" w:fill="auto"/>
            <w:noWrap/>
            <w:vAlign w:val="bottom"/>
            <w:hideMark/>
          </w:tcPr>
          <w:p w:rsidR="00685BE5" w:rsidRPr="007D2274" w:rsidRDefault="00685BE5" w:rsidP="00AE4C3A">
            <w:pPr>
              <w:tabs>
                <w:tab w:val="decimal" w:pos="559"/>
              </w:tabs>
              <w:spacing w:before="20" w:after="20"/>
              <w:rPr>
                <w:rFonts w:cstheme="minorHAnsi"/>
                <w:sz w:val="20"/>
                <w:szCs w:val="20"/>
              </w:rPr>
            </w:pPr>
            <w:r w:rsidRPr="007D2274">
              <w:rPr>
                <w:rFonts w:cstheme="minorHAnsi"/>
                <w:sz w:val="20"/>
                <w:szCs w:val="20"/>
              </w:rPr>
              <w:t>55.1</w:t>
            </w:r>
          </w:p>
        </w:tc>
      </w:tr>
      <w:tr w:rsidR="00685BE5" w:rsidRPr="00B90E88" w:rsidTr="00AE4C3A">
        <w:tc>
          <w:tcPr>
            <w:tcW w:w="5020" w:type="dxa"/>
            <w:tcBorders>
              <w:top w:val="nil"/>
              <w:left w:val="nil"/>
              <w:bottom w:val="nil"/>
              <w:right w:val="nil"/>
            </w:tcBorders>
            <w:shd w:val="clear" w:color="auto" w:fill="auto"/>
            <w:noWrap/>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Service or program administrator/</w:t>
            </w:r>
            <w:r>
              <w:rPr>
                <w:rFonts w:cstheme="minorHAnsi"/>
                <w:sz w:val="20"/>
                <w:szCs w:val="20"/>
              </w:rPr>
              <w:t>m</w:t>
            </w:r>
            <w:r w:rsidRPr="007D2274">
              <w:rPr>
                <w:rFonts w:cstheme="minorHAnsi"/>
                <w:sz w:val="20"/>
                <w:szCs w:val="20"/>
              </w:rPr>
              <w:t>anager/</w:t>
            </w:r>
            <w:r>
              <w:rPr>
                <w:rFonts w:cstheme="minorHAnsi"/>
                <w:sz w:val="20"/>
                <w:szCs w:val="20"/>
              </w:rPr>
              <w:t>c</w:t>
            </w:r>
            <w:r w:rsidRPr="007D2274">
              <w:rPr>
                <w:rFonts w:cstheme="minorHAnsi"/>
                <w:sz w:val="20"/>
                <w:szCs w:val="20"/>
              </w:rPr>
              <w:t>oordinator</w:t>
            </w:r>
          </w:p>
        </w:tc>
        <w:tc>
          <w:tcPr>
            <w:tcW w:w="860" w:type="dxa"/>
            <w:tcBorders>
              <w:top w:val="nil"/>
              <w:left w:val="nil"/>
              <w:bottom w:val="nil"/>
              <w:right w:val="nil"/>
            </w:tcBorders>
            <w:shd w:val="clear" w:color="auto" w:fill="auto"/>
            <w:noWrap/>
            <w:vAlign w:val="bottom"/>
            <w:hideMark/>
          </w:tcPr>
          <w:p w:rsidR="00685BE5" w:rsidRPr="007D2274" w:rsidRDefault="00685BE5" w:rsidP="00AE4C3A">
            <w:pPr>
              <w:tabs>
                <w:tab w:val="decimal" w:pos="346"/>
              </w:tabs>
              <w:spacing w:before="20" w:after="20"/>
              <w:rPr>
                <w:rFonts w:cstheme="minorHAnsi"/>
                <w:sz w:val="20"/>
                <w:szCs w:val="20"/>
              </w:rPr>
            </w:pPr>
            <w:r w:rsidRPr="007D2274">
              <w:rPr>
                <w:rFonts w:cstheme="minorHAnsi"/>
                <w:sz w:val="20"/>
                <w:szCs w:val="20"/>
              </w:rPr>
              <w:t>33.4</w:t>
            </w:r>
          </w:p>
        </w:tc>
        <w:tc>
          <w:tcPr>
            <w:tcW w:w="860" w:type="dxa"/>
            <w:tcBorders>
              <w:top w:val="nil"/>
              <w:left w:val="nil"/>
              <w:bottom w:val="nil"/>
              <w:right w:val="nil"/>
            </w:tcBorders>
            <w:shd w:val="clear" w:color="auto" w:fill="auto"/>
            <w:noWrap/>
            <w:vAlign w:val="bottom"/>
            <w:hideMark/>
          </w:tcPr>
          <w:p w:rsidR="00685BE5" w:rsidRPr="007D2274" w:rsidRDefault="00685BE5" w:rsidP="00AE4C3A">
            <w:pPr>
              <w:tabs>
                <w:tab w:val="decimal" w:pos="346"/>
              </w:tabs>
              <w:spacing w:before="20" w:after="20"/>
              <w:rPr>
                <w:rFonts w:cstheme="minorHAnsi"/>
                <w:sz w:val="20"/>
                <w:szCs w:val="20"/>
              </w:rPr>
            </w:pPr>
            <w:r w:rsidRPr="007D2274">
              <w:rPr>
                <w:rFonts w:cstheme="minorHAnsi"/>
                <w:sz w:val="20"/>
                <w:szCs w:val="20"/>
              </w:rPr>
              <w:t>5.0</w:t>
            </w:r>
          </w:p>
        </w:tc>
        <w:tc>
          <w:tcPr>
            <w:tcW w:w="1355" w:type="dxa"/>
            <w:tcBorders>
              <w:top w:val="nil"/>
              <w:left w:val="nil"/>
              <w:bottom w:val="nil"/>
              <w:right w:val="nil"/>
            </w:tcBorders>
            <w:shd w:val="clear" w:color="auto" w:fill="auto"/>
            <w:noWrap/>
            <w:vAlign w:val="bottom"/>
            <w:hideMark/>
          </w:tcPr>
          <w:p w:rsidR="00685BE5" w:rsidRPr="007D2274" w:rsidRDefault="00685BE5" w:rsidP="00AE4C3A">
            <w:pPr>
              <w:tabs>
                <w:tab w:val="decimal" w:pos="680"/>
              </w:tabs>
              <w:spacing w:before="20" w:after="20"/>
              <w:rPr>
                <w:rFonts w:cstheme="minorHAnsi"/>
                <w:sz w:val="20"/>
                <w:szCs w:val="20"/>
              </w:rPr>
            </w:pPr>
            <w:r w:rsidRPr="007D2274">
              <w:rPr>
                <w:rFonts w:cstheme="minorHAnsi"/>
                <w:sz w:val="20"/>
                <w:szCs w:val="20"/>
              </w:rPr>
              <w:t>15.2</w:t>
            </w:r>
          </w:p>
        </w:tc>
        <w:tc>
          <w:tcPr>
            <w:tcW w:w="1045" w:type="dxa"/>
            <w:tcBorders>
              <w:top w:val="nil"/>
              <w:left w:val="nil"/>
              <w:bottom w:val="nil"/>
              <w:right w:val="nil"/>
            </w:tcBorders>
            <w:shd w:val="clear" w:color="auto" w:fill="auto"/>
            <w:noWrap/>
            <w:vAlign w:val="bottom"/>
            <w:hideMark/>
          </w:tcPr>
          <w:p w:rsidR="00685BE5" w:rsidRPr="007D2274" w:rsidRDefault="00685BE5" w:rsidP="00AE4C3A">
            <w:pPr>
              <w:tabs>
                <w:tab w:val="decimal" w:pos="559"/>
              </w:tabs>
              <w:spacing w:before="20" w:after="20"/>
              <w:rPr>
                <w:rFonts w:cstheme="minorHAnsi"/>
                <w:sz w:val="20"/>
                <w:szCs w:val="20"/>
              </w:rPr>
            </w:pPr>
            <w:r w:rsidRPr="007D2274">
              <w:rPr>
                <w:rFonts w:cstheme="minorHAnsi"/>
                <w:sz w:val="20"/>
                <w:szCs w:val="20"/>
              </w:rPr>
              <w:t>46.3</w:t>
            </w:r>
          </w:p>
        </w:tc>
      </w:tr>
      <w:tr w:rsidR="00685BE5" w:rsidRPr="00B90E88" w:rsidTr="00AE4C3A">
        <w:tc>
          <w:tcPr>
            <w:tcW w:w="5020" w:type="dxa"/>
            <w:tcBorders>
              <w:top w:val="nil"/>
              <w:left w:val="nil"/>
              <w:bottom w:val="nil"/>
              <w:right w:val="nil"/>
            </w:tcBorders>
            <w:shd w:val="clear" w:color="auto" w:fill="auto"/>
            <w:noWrap/>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Social worker/</w:t>
            </w:r>
            <w:r>
              <w:rPr>
                <w:rFonts w:cstheme="minorHAnsi"/>
                <w:sz w:val="20"/>
                <w:szCs w:val="20"/>
              </w:rPr>
              <w:t>d</w:t>
            </w:r>
            <w:r w:rsidRPr="007D2274">
              <w:rPr>
                <w:rFonts w:cstheme="minorHAnsi"/>
                <w:sz w:val="20"/>
                <w:szCs w:val="20"/>
              </w:rPr>
              <w:t>isability case coordinator</w:t>
            </w:r>
          </w:p>
        </w:tc>
        <w:tc>
          <w:tcPr>
            <w:tcW w:w="860" w:type="dxa"/>
            <w:tcBorders>
              <w:top w:val="nil"/>
              <w:left w:val="nil"/>
              <w:bottom w:val="nil"/>
              <w:right w:val="nil"/>
            </w:tcBorders>
            <w:shd w:val="clear" w:color="auto" w:fill="auto"/>
            <w:noWrap/>
            <w:vAlign w:val="bottom"/>
            <w:hideMark/>
          </w:tcPr>
          <w:p w:rsidR="00685BE5" w:rsidRPr="007D2274" w:rsidRDefault="00685BE5" w:rsidP="00AE4C3A">
            <w:pPr>
              <w:tabs>
                <w:tab w:val="decimal" w:pos="346"/>
              </w:tabs>
              <w:spacing w:before="20" w:after="20"/>
              <w:rPr>
                <w:rFonts w:cstheme="minorHAnsi"/>
                <w:sz w:val="20"/>
                <w:szCs w:val="20"/>
              </w:rPr>
            </w:pPr>
            <w:r w:rsidRPr="007D2274">
              <w:rPr>
                <w:rFonts w:cstheme="minorHAnsi"/>
                <w:sz w:val="20"/>
                <w:szCs w:val="20"/>
              </w:rPr>
              <w:t>15.9</w:t>
            </w:r>
          </w:p>
        </w:tc>
        <w:tc>
          <w:tcPr>
            <w:tcW w:w="860" w:type="dxa"/>
            <w:tcBorders>
              <w:top w:val="nil"/>
              <w:left w:val="nil"/>
              <w:bottom w:val="nil"/>
              <w:right w:val="nil"/>
            </w:tcBorders>
            <w:shd w:val="clear" w:color="auto" w:fill="auto"/>
            <w:noWrap/>
            <w:vAlign w:val="bottom"/>
            <w:hideMark/>
          </w:tcPr>
          <w:p w:rsidR="00685BE5" w:rsidRPr="007D2274" w:rsidRDefault="00685BE5" w:rsidP="00AE4C3A">
            <w:pPr>
              <w:tabs>
                <w:tab w:val="decimal" w:pos="346"/>
              </w:tabs>
              <w:spacing w:before="20" w:after="20"/>
              <w:rPr>
                <w:rFonts w:cstheme="minorHAnsi"/>
                <w:sz w:val="20"/>
                <w:szCs w:val="20"/>
              </w:rPr>
            </w:pPr>
            <w:r w:rsidRPr="007D2274">
              <w:rPr>
                <w:rFonts w:cstheme="minorHAnsi"/>
                <w:sz w:val="20"/>
                <w:szCs w:val="20"/>
              </w:rPr>
              <w:t>3.3</w:t>
            </w:r>
          </w:p>
        </w:tc>
        <w:tc>
          <w:tcPr>
            <w:tcW w:w="1355" w:type="dxa"/>
            <w:tcBorders>
              <w:top w:val="nil"/>
              <w:left w:val="nil"/>
              <w:bottom w:val="nil"/>
              <w:right w:val="nil"/>
            </w:tcBorders>
            <w:shd w:val="clear" w:color="auto" w:fill="auto"/>
            <w:noWrap/>
            <w:vAlign w:val="bottom"/>
            <w:hideMark/>
          </w:tcPr>
          <w:p w:rsidR="00685BE5" w:rsidRPr="007D2274" w:rsidRDefault="00685BE5" w:rsidP="00AE4C3A">
            <w:pPr>
              <w:tabs>
                <w:tab w:val="decimal" w:pos="680"/>
              </w:tabs>
              <w:spacing w:before="20" w:after="20"/>
              <w:rPr>
                <w:rFonts w:cstheme="minorHAnsi"/>
                <w:sz w:val="20"/>
                <w:szCs w:val="20"/>
              </w:rPr>
            </w:pPr>
            <w:r w:rsidRPr="007D2274">
              <w:rPr>
                <w:rFonts w:cstheme="minorHAnsi"/>
                <w:sz w:val="20"/>
                <w:szCs w:val="20"/>
              </w:rPr>
              <w:t>22.8</w:t>
            </w:r>
          </w:p>
        </w:tc>
        <w:tc>
          <w:tcPr>
            <w:tcW w:w="1045" w:type="dxa"/>
            <w:tcBorders>
              <w:top w:val="nil"/>
              <w:left w:val="nil"/>
              <w:bottom w:val="nil"/>
              <w:right w:val="nil"/>
            </w:tcBorders>
            <w:shd w:val="clear" w:color="auto" w:fill="auto"/>
            <w:noWrap/>
            <w:vAlign w:val="bottom"/>
            <w:hideMark/>
          </w:tcPr>
          <w:p w:rsidR="00685BE5" w:rsidRPr="007D2274" w:rsidRDefault="00685BE5" w:rsidP="00AE4C3A">
            <w:pPr>
              <w:tabs>
                <w:tab w:val="decimal" w:pos="559"/>
              </w:tabs>
              <w:spacing w:before="20" w:after="20"/>
              <w:rPr>
                <w:rFonts w:cstheme="minorHAnsi"/>
                <w:sz w:val="20"/>
                <w:szCs w:val="20"/>
              </w:rPr>
            </w:pPr>
            <w:r w:rsidRPr="007D2274">
              <w:rPr>
                <w:rFonts w:cstheme="minorHAnsi"/>
                <w:sz w:val="20"/>
                <w:szCs w:val="20"/>
              </w:rPr>
              <w:t>58.0</w:t>
            </w:r>
          </w:p>
        </w:tc>
      </w:tr>
      <w:tr w:rsidR="00685BE5" w:rsidRPr="00B90E88" w:rsidTr="00AE4C3A">
        <w:tc>
          <w:tcPr>
            <w:tcW w:w="5020" w:type="dxa"/>
            <w:tcBorders>
              <w:top w:val="nil"/>
              <w:left w:val="nil"/>
              <w:bottom w:val="nil"/>
              <w:right w:val="nil"/>
            </w:tcBorders>
            <w:shd w:val="clear" w:color="auto" w:fill="auto"/>
            <w:noWrap/>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Employment support worker</w:t>
            </w:r>
          </w:p>
        </w:tc>
        <w:tc>
          <w:tcPr>
            <w:tcW w:w="860" w:type="dxa"/>
            <w:tcBorders>
              <w:top w:val="nil"/>
              <w:left w:val="nil"/>
              <w:bottom w:val="nil"/>
              <w:right w:val="nil"/>
            </w:tcBorders>
            <w:shd w:val="clear" w:color="auto" w:fill="auto"/>
            <w:noWrap/>
            <w:vAlign w:val="bottom"/>
            <w:hideMark/>
          </w:tcPr>
          <w:p w:rsidR="00685BE5" w:rsidRPr="007D2274" w:rsidRDefault="00685BE5" w:rsidP="00AE4C3A">
            <w:pPr>
              <w:tabs>
                <w:tab w:val="decimal" w:pos="346"/>
              </w:tabs>
              <w:spacing w:before="20" w:after="20"/>
              <w:rPr>
                <w:rFonts w:cstheme="minorHAnsi"/>
                <w:sz w:val="20"/>
                <w:szCs w:val="20"/>
              </w:rPr>
            </w:pPr>
            <w:r w:rsidRPr="007D2274">
              <w:rPr>
                <w:rFonts w:cstheme="minorHAnsi"/>
                <w:sz w:val="20"/>
                <w:szCs w:val="20"/>
              </w:rPr>
              <w:t>7.9</w:t>
            </w:r>
          </w:p>
        </w:tc>
        <w:tc>
          <w:tcPr>
            <w:tcW w:w="860" w:type="dxa"/>
            <w:tcBorders>
              <w:top w:val="nil"/>
              <w:left w:val="nil"/>
              <w:bottom w:val="nil"/>
              <w:right w:val="nil"/>
            </w:tcBorders>
            <w:shd w:val="clear" w:color="auto" w:fill="auto"/>
            <w:noWrap/>
            <w:vAlign w:val="bottom"/>
            <w:hideMark/>
          </w:tcPr>
          <w:p w:rsidR="00685BE5" w:rsidRPr="007D2274" w:rsidRDefault="00685BE5" w:rsidP="00AE4C3A">
            <w:pPr>
              <w:tabs>
                <w:tab w:val="decimal" w:pos="346"/>
              </w:tabs>
              <w:spacing w:before="20" w:after="20"/>
              <w:rPr>
                <w:rFonts w:cstheme="minorHAnsi"/>
                <w:sz w:val="20"/>
                <w:szCs w:val="20"/>
              </w:rPr>
            </w:pPr>
            <w:r w:rsidRPr="007D2274">
              <w:rPr>
                <w:rFonts w:cstheme="minorHAnsi"/>
                <w:sz w:val="20"/>
                <w:szCs w:val="20"/>
              </w:rPr>
              <w:t>2.2</w:t>
            </w:r>
          </w:p>
        </w:tc>
        <w:tc>
          <w:tcPr>
            <w:tcW w:w="1355" w:type="dxa"/>
            <w:tcBorders>
              <w:top w:val="nil"/>
              <w:left w:val="nil"/>
              <w:bottom w:val="nil"/>
              <w:right w:val="nil"/>
            </w:tcBorders>
            <w:shd w:val="clear" w:color="auto" w:fill="auto"/>
            <w:noWrap/>
            <w:vAlign w:val="bottom"/>
            <w:hideMark/>
          </w:tcPr>
          <w:p w:rsidR="00685BE5" w:rsidRPr="007D2274" w:rsidRDefault="00685BE5" w:rsidP="00AE4C3A">
            <w:pPr>
              <w:tabs>
                <w:tab w:val="decimal" w:pos="680"/>
              </w:tabs>
              <w:spacing w:before="20" w:after="20"/>
              <w:rPr>
                <w:rFonts w:cstheme="minorHAnsi"/>
                <w:sz w:val="20"/>
                <w:szCs w:val="20"/>
              </w:rPr>
            </w:pPr>
            <w:r w:rsidRPr="007D2274">
              <w:rPr>
                <w:rFonts w:cstheme="minorHAnsi"/>
                <w:sz w:val="20"/>
                <w:szCs w:val="20"/>
              </w:rPr>
              <w:t>27.0</w:t>
            </w:r>
          </w:p>
        </w:tc>
        <w:tc>
          <w:tcPr>
            <w:tcW w:w="1045" w:type="dxa"/>
            <w:tcBorders>
              <w:top w:val="nil"/>
              <w:left w:val="nil"/>
              <w:bottom w:val="nil"/>
              <w:right w:val="nil"/>
            </w:tcBorders>
            <w:shd w:val="clear" w:color="auto" w:fill="auto"/>
            <w:noWrap/>
            <w:vAlign w:val="bottom"/>
            <w:hideMark/>
          </w:tcPr>
          <w:p w:rsidR="00685BE5" w:rsidRPr="007D2274" w:rsidRDefault="00685BE5" w:rsidP="00AE4C3A">
            <w:pPr>
              <w:tabs>
                <w:tab w:val="decimal" w:pos="559"/>
              </w:tabs>
              <w:spacing w:before="20" w:after="20"/>
              <w:rPr>
                <w:rFonts w:cstheme="minorHAnsi"/>
                <w:sz w:val="20"/>
                <w:szCs w:val="20"/>
              </w:rPr>
            </w:pPr>
            <w:r w:rsidRPr="007D2274">
              <w:rPr>
                <w:rFonts w:cstheme="minorHAnsi"/>
                <w:sz w:val="20"/>
                <w:szCs w:val="20"/>
              </w:rPr>
              <w:t>63.0</w:t>
            </w:r>
          </w:p>
        </w:tc>
      </w:tr>
      <w:tr w:rsidR="00685BE5" w:rsidRPr="00B90E88" w:rsidTr="00AE4C3A">
        <w:tc>
          <w:tcPr>
            <w:tcW w:w="5020" w:type="dxa"/>
            <w:tcBorders>
              <w:top w:val="nil"/>
              <w:left w:val="nil"/>
              <w:bottom w:val="nil"/>
              <w:right w:val="nil"/>
            </w:tcBorders>
            <w:shd w:val="clear" w:color="auto" w:fill="auto"/>
            <w:noWrap/>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Peer support worker</w:t>
            </w:r>
          </w:p>
        </w:tc>
        <w:tc>
          <w:tcPr>
            <w:tcW w:w="860" w:type="dxa"/>
            <w:tcBorders>
              <w:top w:val="nil"/>
              <w:left w:val="nil"/>
              <w:bottom w:val="nil"/>
              <w:right w:val="nil"/>
            </w:tcBorders>
            <w:shd w:val="clear" w:color="auto" w:fill="auto"/>
            <w:noWrap/>
            <w:vAlign w:val="bottom"/>
            <w:hideMark/>
          </w:tcPr>
          <w:p w:rsidR="00685BE5" w:rsidRPr="007D2274" w:rsidRDefault="00685BE5" w:rsidP="00AE4C3A">
            <w:pPr>
              <w:tabs>
                <w:tab w:val="decimal" w:pos="346"/>
              </w:tabs>
              <w:spacing w:before="20" w:after="20"/>
              <w:rPr>
                <w:rFonts w:cstheme="minorHAnsi"/>
                <w:sz w:val="20"/>
                <w:szCs w:val="20"/>
              </w:rPr>
            </w:pPr>
            <w:r w:rsidRPr="007D2274">
              <w:rPr>
                <w:rFonts w:cstheme="minorHAnsi"/>
                <w:sz w:val="20"/>
                <w:szCs w:val="20"/>
              </w:rPr>
              <w:t>6.9</w:t>
            </w:r>
          </w:p>
        </w:tc>
        <w:tc>
          <w:tcPr>
            <w:tcW w:w="860" w:type="dxa"/>
            <w:tcBorders>
              <w:top w:val="nil"/>
              <w:left w:val="nil"/>
              <w:bottom w:val="nil"/>
              <w:right w:val="nil"/>
            </w:tcBorders>
            <w:shd w:val="clear" w:color="auto" w:fill="auto"/>
            <w:noWrap/>
            <w:vAlign w:val="bottom"/>
            <w:hideMark/>
          </w:tcPr>
          <w:p w:rsidR="00685BE5" w:rsidRPr="007D2274" w:rsidRDefault="00685BE5" w:rsidP="00AE4C3A">
            <w:pPr>
              <w:tabs>
                <w:tab w:val="decimal" w:pos="346"/>
              </w:tabs>
              <w:spacing w:before="20" w:after="20"/>
              <w:rPr>
                <w:rFonts w:cstheme="minorHAnsi"/>
                <w:sz w:val="20"/>
                <w:szCs w:val="20"/>
              </w:rPr>
            </w:pPr>
            <w:r w:rsidRPr="007D2274">
              <w:rPr>
                <w:rFonts w:cstheme="minorHAnsi"/>
                <w:sz w:val="20"/>
                <w:szCs w:val="20"/>
              </w:rPr>
              <w:t>1.9</w:t>
            </w:r>
          </w:p>
        </w:tc>
        <w:tc>
          <w:tcPr>
            <w:tcW w:w="1355" w:type="dxa"/>
            <w:tcBorders>
              <w:top w:val="nil"/>
              <w:left w:val="nil"/>
              <w:bottom w:val="nil"/>
              <w:right w:val="nil"/>
            </w:tcBorders>
            <w:shd w:val="clear" w:color="auto" w:fill="auto"/>
            <w:noWrap/>
            <w:vAlign w:val="bottom"/>
            <w:hideMark/>
          </w:tcPr>
          <w:p w:rsidR="00685BE5" w:rsidRPr="007D2274" w:rsidRDefault="00685BE5" w:rsidP="00AE4C3A">
            <w:pPr>
              <w:tabs>
                <w:tab w:val="decimal" w:pos="680"/>
              </w:tabs>
              <w:spacing w:before="20" w:after="20"/>
              <w:rPr>
                <w:rFonts w:cstheme="minorHAnsi"/>
                <w:sz w:val="20"/>
                <w:szCs w:val="20"/>
              </w:rPr>
            </w:pPr>
            <w:r w:rsidRPr="007D2274">
              <w:rPr>
                <w:rFonts w:cstheme="minorHAnsi"/>
                <w:sz w:val="20"/>
                <w:szCs w:val="20"/>
              </w:rPr>
              <w:t>28.0</w:t>
            </w:r>
          </w:p>
        </w:tc>
        <w:tc>
          <w:tcPr>
            <w:tcW w:w="1045" w:type="dxa"/>
            <w:tcBorders>
              <w:top w:val="nil"/>
              <w:left w:val="nil"/>
              <w:bottom w:val="nil"/>
              <w:right w:val="nil"/>
            </w:tcBorders>
            <w:shd w:val="clear" w:color="auto" w:fill="auto"/>
            <w:noWrap/>
            <w:vAlign w:val="bottom"/>
            <w:hideMark/>
          </w:tcPr>
          <w:p w:rsidR="00685BE5" w:rsidRPr="007D2274" w:rsidRDefault="00685BE5" w:rsidP="00AE4C3A">
            <w:pPr>
              <w:tabs>
                <w:tab w:val="decimal" w:pos="559"/>
              </w:tabs>
              <w:spacing w:before="20" w:after="20"/>
              <w:rPr>
                <w:rFonts w:cstheme="minorHAnsi"/>
                <w:sz w:val="20"/>
                <w:szCs w:val="20"/>
              </w:rPr>
            </w:pPr>
            <w:r w:rsidRPr="007D2274">
              <w:rPr>
                <w:rFonts w:cstheme="minorHAnsi"/>
                <w:sz w:val="20"/>
                <w:szCs w:val="20"/>
              </w:rPr>
              <w:t>63.3</w:t>
            </w:r>
          </w:p>
        </w:tc>
      </w:tr>
      <w:tr w:rsidR="00685BE5" w:rsidRPr="00B90E88" w:rsidTr="00AE4C3A">
        <w:tc>
          <w:tcPr>
            <w:tcW w:w="5020" w:type="dxa"/>
            <w:tcBorders>
              <w:top w:val="nil"/>
              <w:left w:val="nil"/>
              <w:bottom w:val="nil"/>
              <w:right w:val="nil"/>
            </w:tcBorders>
            <w:shd w:val="clear" w:color="auto" w:fill="auto"/>
            <w:noWrap/>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Allied health worker</w:t>
            </w:r>
          </w:p>
        </w:tc>
        <w:tc>
          <w:tcPr>
            <w:tcW w:w="860" w:type="dxa"/>
            <w:tcBorders>
              <w:top w:val="nil"/>
              <w:left w:val="nil"/>
              <w:bottom w:val="nil"/>
              <w:right w:val="nil"/>
            </w:tcBorders>
            <w:shd w:val="clear" w:color="auto" w:fill="auto"/>
            <w:noWrap/>
            <w:vAlign w:val="bottom"/>
            <w:hideMark/>
          </w:tcPr>
          <w:p w:rsidR="00685BE5" w:rsidRPr="007D2274" w:rsidRDefault="00685BE5" w:rsidP="00AE4C3A">
            <w:pPr>
              <w:tabs>
                <w:tab w:val="decimal" w:pos="346"/>
              </w:tabs>
              <w:spacing w:before="20" w:after="20"/>
              <w:rPr>
                <w:rFonts w:cstheme="minorHAnsi"/>
                <w:sz w:val="20"/>
                <w:szCs w:val="20"/>
              </w:rPr>
            </w:pPr>
            <w:r w:rsidRPr="007D2274">
              <w:rPr>
                <w:rFonts w:cstheme="minorHAnsi"/>
                <w:sz w:val="20"/>
                <w:szCs w:val="20"/>
              </w:rPr>
              <w:t>17.2</w:t>
            </w:r>
          </w:p>
        </w:tc>
        <w:tc>
          <w:tcPr>
            <w:tcW w:w="860" w:type="dxa"/>
            <w:tcBorders>
              <w:top w:val="nil"/>
              <w:left w:val="nil"/>
              <w:bottom w:val="nil"/>
              <w:right w:val="nil"/>
            </w:tcBorders>
            <w:shd w:val="clear" w:color="auto" w:fill="auto"/>
            <w:noWrap/>
            <w:vAlign w:val="bottom"/>
            <w:hideMark/>
          </w:tcPr>
          <w:p w:rsidR="00685BE5" w:rsidRPr="007D2274" w:rsidRDefault="00685BE5" w:rsidP="00AE4C3A">
            <w:pPr>
              <w:tabs>
                <w:tab w:val="decimal" w:pos="346"/>
              </w:tabs>
              <w:spacing w:before="20" w:after="20"/>
              <w:rPr>
                <w:rFonts w:cstheme="minorHAnsi"/>
                <w:sz w:val="20"/>
                <w:szCs w:val="20"/>
              </w:rPr>
            </w:pPr>
            <w:r w:rsidRPr="007D2274">
              <w:rPr>
                <w:rFonts w:cstheme="minorHAnsi"/>
                <w:sz w:val="20"/>
                <w:szCs w:val="20"/>
              </w:rPr>
              <w:t>4.9</w:t>
            </w:r>
          </w:p>
        </w:tc>
        <w:tc>
          <w:tcPr>
            <w:tcW w:w="1355" w:type="dxa"/>
            <w:tcBorders>
              <w:top w:val="nil"/>
              <w:left w:val="nil"/>
              <w:bottom w:val="nil"/>
              <w:right w:val="nil"/>
            </w:tcBorders>
            <w:shd w:val="clear" w:color="auto" w:fill="auto"/>
            <w:noWrap/>
            <w:vAlign w:val="bottom"/>
            <w:hideMark/>
          </w:tcPr>
          <w:p w:rsidR="00685BE5" w:rsidRPr="007D2274" w:rsidRDefault="00685BE5" w:rsidP="00AE4C3A">
            <w:pPr>
              <w:tabs>
                <w:tab w:val="decimal" w:pos="680"/>
              </w:tabs>
              <w:spacing w:before="20" w:after="20"/>
              <w:rPr>
                <w:rFonts w:cstheme="minorHAnsi"/>
                <w:sz w:val="20"/>
                <w:szCs w:val="20"/>
              </w:rPr>
            </w:pPr>
            <w:r w:rsidRPr="007D2274">
              <w:rPr>
                <w:rFonts w:cstheme="minorHAnsi"/>
                <w:sz w:val="20"/>
                <w:szCs w:val="20"/>
              </w:rPr>
              <w:t>23.8</w:t>
            </w:r>
          </w:p>
        </w:tc>
        <w:tc>
          <w:tcPr>
            <w:tcW w:w="1045" w:type="dxa"/>
            <w:tcBorders>
              <w:top w:val="nil"/>
              <w:left w:val="nil"/>
              <w:bottom w:val="nil"/>
              <w:right w:val="nil"/>
            </w:tcBorders>
            <w:shd w:val="clear" w:color="auto" w:fill="auto"/>
            <w:noWrap/>
            <w:vAlign w:val="bottom"/>
            <w:hideMark/>
          </w:tcPr>
          <w:p w:rsidR="00685BE5" w:rsidRPr="007D2274" w:rsidRDefault="00685BE5" w:rsidP="00AE4C3A">
            <w:pPr>
              <w:tabs>
                <w:tab w:val="decimal" w:pos="559"/>
              </w:tabs>
              <w:spacing w:before="20" w:after="20"/>
              <w:rPr>
                <w:rFonts w:cstheme="minorHAnsi"/>
                <w:sz w:val="20"/>
                <w:szCs w:val="20"/>
              </w:rPr>
            </w:pPr>
            <w:r w:rsidRPr="007D2274">
              <w:rPr>
                <w:rFonts w:cstheme="minorHAnsi"/>
                <w:sz w:val="20"/>
                <w:szCs w:val="20"/>
              </w:rPr>
              <w:t>54.1</w:t>
            </w:r>
          </w:p>
        </w:tc>
      </w:tr>
      <w:tr w:rsidR="00685BE5" w:rsidRPr="00B90E88" w:rsidTr="00AE4C3A">
        <w:tc>
          <w:tcPr>
            <w:tcW w:w="5020" w:type="dxa"/>
            <w:tcBorders>
              <w:top w:val="nil"/>
              <w:left w:val="nil"/>
              <w:bottom w:val="single" w:sz="4" w:space="0" w:color="auto"/>
              <w:right w:val="nil"/>
            </w:tcBorders>
            <w:shd w:val="clear" w:color="auto" w:fill="auto"/>
            <w:noWrap/>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Other</w:t>
            </w:r>
          </w:p>
        </w:tc>
        <w:tc>
          <w:tcPr>
            <w:tcW w:w="860" w:type="dxa"/>
            <w:tcBorders>
              <w:top w:val="nil"/>
              <w:left w:val="nil"/>
              <w:bottom w:val="single" w:sz="4" w:space="0" w:color="auto"/>
              <w:right w:val="nil"/>
            </w:tcBorders>
            <w:shd w:val="clear" w:color="auto" w:fill="auto"/>
            <w:noWrap/>
            <w:vAlign w:val="bottom"/>
            <w:hideMark/>
          </w:tcPr>
          <w:p w:rsidR="00685BE5" w:rsidRPr="007D2274" w:rsidRDefault="00685BE5" w:rsidP="00AE4C3A">
            <w:pPr>
              <w:tabs>
                <w:tab w:val="decimal" w:pos="346"/>
              </w:tabs>
              <w:spacing w:before="20" w:after="20"/>
              <w:rPr>
                <w:rFonts w:cstheme="minorHAnsi"/>
                <w:sz w:val="20"/>
                <w:szCs w:val="20"/>
              </w:rPr>
            </w:pPr>
            <w:r w:rsidRPr="007D2274">
              <w:rPr>
                <w:rFonts w:cstheme="minorHAnsi"/>
                <w:sz w:val="20"/>
                <w:szCs w:val="20"/>
              </w:rPr>
              <w:t>8.8</w:t>
            </w:r>
          </w:p>
        </w:tc>
        <w:tc>
          <w:tcPr>
            <w:tcW w:w="860" w:type="dxa"/>
            <w:tcBorders>
              <w:top w:val="nil"/>
              <w:left w:val="nil"/>
              <w:bottom w:val="single" w:sz="4" w:space="0" w:color="auto"/>
              <w:right w:val="nil"/>
            </w:tcBorders>
            <w:shd w:val="clear" w:color="auto" w:fill="auto"/>
            <w:noWrap/>
            <w:vAlign w:val="bottom"/>
            <w:hideMark/>
          </w:tcPr>
          <w:p w:rsidR="00685BE5" w:rsidRPr="007D2274" w:rsidRDefault="00685BE5" w:rsidP="00AE4C3A">
            <w:pPr>
              <w:tabs>
                <w:tab w:val="decimal" w:pos="346"/>
              </w:tabs>
              <w:spacing w:before="20" w:after="20"/>
              <w:rPr>
                <w:rFonts w:cstheme="minorHAnsi"/>
                <w:sz w:val="20"/>
                <w:szCs w:val="20"/>
              </w:rPr>
            </w:pPr>
            <w:r w:rsidRPr="007D2274">
              <w:rPr>
                <w:rFonts w:cstheme="minorHAnsi"/>
                <w:sz w:val="20"/>
                <w:szCs w:val="20"/>
              </w:rPr>
              <w:t>2.7</w:t>
            </w:r>
          </w:p>
        </w:tc>
        <w:tc>
          <w:tcPr>
            <w:tcW w:w="1355" w:type="dxa"/>
            <w:tcBorders>
              <w:top w:val="nil"/>
              <w:left w:val="nil"/>
              <w:bottom w:val="single" w:sz="4" w:space="0" w:color="auto"/>
              <w:right w:val="nil"/>
            </w:tcBorders>
            <w:shd w:val="clear" w:color="auto" w:fill="auto"/>
            <w:noWrap/>
            <w:vAlign w:val="bottom"/>
            <w:hideMark/>
          </w:tcPr>
          <w:p w:rsidR="00685BE5" w:rsidRPr="007D2274" w:rsidRDefault="00685BE5" w:rsidP="00AE4C3A">
            <w:pPr>
              <w:tabs>
                <w:tab w:val="decimal" w:pos="680"/>
              </w:tabs>
              <w:spacing w:before="20" w:after="20"/>
              <w:rPr>
                <w:rFonts w:cstheme="minorHAnsi"/>
                <w:sz w:val="20"/>
                <w:szCs w:val="20"/>
              </w:rPr>
            </w:pPr>
            <w:r w:rsidRPr="007D2274">
              <w:rPr>
                <w:rFonts w:cstheme="minorHAnsi"/>
                <w:sz w:val="20"/>
                <w:szCs w:val="20"/>
              </w:rPr>
              <w:t>31.3</w:t>
            </w:r>
          </w:p>
        </w:tc>
        <w:tc>
          <w:tcPr>
            <w:tcW w:w="1045" w:type="dxa"/>
            <w:tcBorders>
              <w:top w:val="nil"/>
              <w:left w:val="nil"/>
              <w:bottom w:val="single" w:sz="4" w:space="0" w:color="auto"/>
              <w:right w:val="nil"/>
            </w:tcBorders>
            <w:shd w:val="clear" w:color="auto" w:fill="auto"/>
            <w:noWrap/>
            <w:vAlign w:val="bottom"/>
            <w:hideMark/>
          </w:tcPr>
          <w:p w:rsidR="00685BE5" w:rsidRPr="007D2274" w:rsidRDefault="00685BE5" w:rsidP="00AE4C3A">
            <w:pPr>
              <w:tabs>
                <w:tab w:val="decimal" w:pos="559"/>
              </w:tabs>
              <w:spacing w:before="20" w:after="20"/>
              <w:rPr>
                <w:rFonts w:cstheme="minorHAnsi"/>
                <w:sz w:val="20"/>
                <w:szCs w:val="20"/>
              </w:rPr>
            </w:pPr>
            <w:r w:rsidRPr="007D2274">
              <w:rPr>
                <w:rFonts w:cstheme="minorHAnsi"/>
                <w:sz w:val="20"/>
                <w:szCs w:val="20"/>
              </w:rPr>
              <w:t>57.2</w:t>
            </w:r>
          </w:p>
        </w:tc>
      </w:tr>
      <w:tr w:rsidR="00685BE5" w:rsidRPr="00B90E88" w:rsidTr="00AE4C3A">
        <w:tc>
          <w:tcPr>
            <w:tcW w:w="5020" w:type="dxa"/>
            <w:tcBorders>
              <w:top w:val="single" w:sz="4" w:space="0" w:color="auto"/>
              <w:left w:val="nil"/>
              <w:bottom w:val="single" w:sz="4" w:space="0" w:color="auto"/>
              <w:right w:val="nil"/>
            </w:tcBorders>
            <w:shd w:val="clear" w:color="auto" w:fill="auto"/>
            <w:noWrap/>
            <w:vAlign w:val="bottom"/>
          </w:tcPr>
          <w:p w:rsidR="00685BE5" w:rsidRPr="007D2274" w:rsidRDefault="00685BE5" w:rsidP="00AE4C3A">
            <w:pPr>
              <w:spacing w:before="20" w:after="20"/>
              <w:rPr>
                <w:rFonts w:cstheme="minorHAnsi"/>
                <w:sz w:val="20"/>
                <w:szCs w:val="20"/>
              </w:rPr>
            </w:pPr>
            <w:r w:rsidRPr="007D2274">
              <w:rPr>
                <w:b/>
                <w:sz w:val="20"/>
                <w:szCs w:val="20"/>
              </w:rPr>
              <w:t>Total number of outlets</w:t>
            </w:r>
            <w:r>
              <w:rPr>
                <w:b/>
                <w:sz w:val="20"/>
                <w:szCs w:val="20"/>
              </w:rPr>
              <w:t xml:space="preserve">  </w:t>
            </w:r>
            <w:r w:rsidRPr="007D2274">
              <w:rPr>
                <w:b/>
                <w:sz w:val="20"/>
                <w:szCs w:val="20"/>
              </w:rPr>
              <w:t>697</w:t>
            </w:r>
          </w:p>
        </w:tc>
        <w:tc>
          <w:tcPr>
            <w:tcW w:w="860" w:type="dxa"/>
            <w:tcBorders>
              <w:top w:val="single" w:sz="4" w:space="0" w:color="auto"/>
              <w:left w:val="nil"/>
              <w:bottom w:val="single" w:sz="4" w:space="0" w:color="auto"/>
              <w:right w:val="nil"/>
            </w:tcBorders>
            <w:shd w:val="clear" w:color="auto" w:fill="auto"/>
            <w:noWrap/>
            <w:vAlign w:val="bottom"/>
          </w:tcPr>
          <w:p w:rsidR="00685BE5" w:rsidRPr="007D2274" w:rsidRDefault="00685BE5" w:rsidP="00AE4C3A">
            <w:pPr>
              <w:spacing w:before="20" w:after="20"/>
              <w:rPr>
                <w:rFonts w:cstheme="minorHAnsi"/>
                <w:sz w:val="20"/>
                <w:szCs w:val="20"/>
              </w:rPr>
            </w:pPr>
          </w:p>
        </w:tc>
        <w:tc>
          <w:tcPr>
            <w:tcW w:w="860" w:type="dxa"/>
            <w:tcBorders>
              <w:top w:val="single" w:sz="4" w:space="0" w:color="auto"/>
              <w:left w:val="nil"/>
              <w:bottom w:val="single" w:sz="4" w:space="0" w:color="auto"/>
              <w:right w:val="nil"/>
            </w:tcBorders>
            <w:shd w:val="clear" w:color="auto" w:fill="auto"/>
            <w:noWrap/>
            <w:vAlign w:val="bottom"/>
          </w:tcPr>
          <w:p w:rsidR="00685BE5" w:rsidRPr="007D2274" w:rsidRDefault="00685BE5" w:rsidP="00AE4C3A">
            <w:pPr>
              <w:spacing w:before="20" w:after="20"/>
              <w:rPr>
                <w:rFonts w:cstheme="minorHAnsi"/>
                <w:sz w:val="20"/>
                <w:szCs w:val="20"/>
              </w:rPr>
            </w:pPr>
          </w:p>
        </w:tc>
        <w:tc>
          <w:tcPr>
            <w:tcW w:w="1355" w:type="dxa"/>
            <w:tcBorders>
              <w:top w:val="single" w:sz="4" w:space="0" w:color="auto"/>
              <w:left w:val="nil"/>
              <w:bottom w:val="single" w:sz="4" w:space="0" w:color="auto"/>
              <w:right w:val="nil"/>
            </w:tcBorders>
            <w:shd w:val="clear" w:color="auto" w:fill="auto"/>
            <w:noWrap/>
            <w:vAlign w:val="bottom"/>
          </w:tcPr>
          <w:p w:rsidR="00685BE5" w:rsidRPr="007D2274" w:rsidRDefault="00685BE5" w:rsidP="00AE4C3A">
            <w:pPr>
              <w:spacing w:before="20" w:after="20"/>
              <w:rPr>
                <w:rFonts w:cstheme="minorHAnsi"/>
                <w:sz w:val="20"/>
                <w:szCs w:val="20"/>
              </w:rPr>
            </w:pPr>
          </w:p>
        </w:tc>
        <w:tc>
          <w:tcPr>
            <w:tcW w:w="1045" w:type="dxa"/>
            <w:tcBorders>
              <w:top w:val="single" w:sz="4" w:space="0" w:color="auto"/>
              <w:left w:val="nil"/>
              <w:bottom w:val="single" w:sz="4" w:space="0" w:color="auto"/>
              <w:right w:val="nil"/>
            </w:tcBorders>
            <w:shd w:val="clear" w:color="auto" w:fill="auto"/>
            <w:noWrap/>
            <w:vAlign w:val="bottom"/>
          </w:tcPr>
          <w:p w:rsidR="00685BE5" w:rsidRPr="007D2274" w:rsidRDefault="00685BE5" w:rsidP="00AE4C3A">
            <w:pPr>
              <w:spacing w:before="20" w:after="20"/>
              <w:rPr>
                <w:rFonts w:cstheme="minorHAnsi"/>
                <w:sz w:val="20"/>
                <w:szCs w:val="20"/>
              </w:rPr>
            </w:pPr>
          </w:p>
        </w:tc>
      </w:tr>
    </w:tbl>
    <w:p w:rsidR="00685BE5" w:rsidRDefault="00685BE5" w:rsidP="00AE4C3A">
      <w:pPr>
        <w:pStyle w:val="NILSReference"/>
      </w:pPr>
      <w:r w:rsidRPr="00E3331B">
        <w:t xml:space="preserve">Source: 2014 NDIS DSP outlet survey, Question C10. </w:t>
      </w:r>
    </w:p>
    <w:p w:rsidR="00685BE5" w:rsidRDefault="00685BE5" w:rsidP="00AE4C3A">
      <w:pPr>
        <w:pStyle w:val="NILSReference"/>
      </w:pPr>
      <w:r w:rsidRPr="00E3331B">
        <w:t>Note: Row percentages are shown.</w:t>
      </w:r>
    </w:p>
    <w:p w:rsidR="00685BE5" w:rsidRPr="00140B39" w:rsidRDefault="00685BE5" w:rsidP="00367B24">
      <w:pPr>
        <w:pStyle w:val="Heading3"/>
      </w:pPr>
      <w:bookmarkStart w:id="520" w:name="_Toc428279188"/>
      <w:bookmarkStart w:id="521" w:name="_Toc449955036"/>
      <w:r>
        <w:t>4.2.4 H</w:t>
      </w:r>
      <w:r w:rsidRPr="00140B39">
        <w:t>iring intention</w:t>
      </w:r>
      <w:r>
        <w:t>s</w:t>
      </w:r>
      <w:bookmarkEnd w:id="520"/>
      <w:bookmarkEnd w:id="521"/>
    </w:p>
    <w:p w:rsidR="00685BE5" w:rsidRDefault="00685BE5" w:rsidP="00AE4C3A">
      <w:r>
        <w:t xml:space="preserve">The hiring intentions reported by outlet managers give a sign as to whether they foresee a need to replace workers, or supplement their numbers. The tables in this section, as for the earlier information on skills and vacancies, are presented by worker type. </w:t>
      </w:r>
    </w:p>
    <w:p w:rsidR="003A37B0" w:rsidRDefault="003A37B0" w:rsidP="00AE4C3A"/>
    <w:p w:rsidR="00685BE5" w:rsidRDefault="00685BE5" w:rsidP="00AE4C3A">
      <w:r>
        <w:t>Table 4.11</w:t>
      </w:r>
      <w:r w:rsidRPr="00140B39">
        <w:t xml:space="preserve"> indicates the number of additional hires for each staff c</w:t>
      </w:r>
      <w:r>
        <w:t>ategory together with the number</w:t>
      </w:r>
      <w:r w:rsidRPr="00140B39">
        <w:t xml:space="preserve"> of outlets that indicated </w:t>
      </w:r>
      <w:r>
        <w:t xml:space="preserve">this </w:t>
      </w:r>
      <w:r w:rsidRPr="00140B39">
        <w:t>information</w:t>
      </w:r>
      <w:r>
        <w:t xml:space="preserve"> for each worker type</w:t>
      </w:r>
      <w:r w:rsidRPr="00140B39">
        <w:t xml:space="preserve">. </w:t>
      </w:r>
      <w:r>
        <w:t xml:space="preserve">Each entry in a row </w:t>
      </w:r>
      <w:r w:rsidRPr="00140B39">
        <w:t xml:space="preserve">shows the </w:t>
      </w:r>
      <w:r>
        <w:t>expected number of employees</w:t>
      </w:r>
      <w:r w:rsidRPr="00140B39">
        <w:t xml:space="preserve"> </w:t>
      </w:r>
      <w:r>
        <w:t xml:space="preserve">that </w:t>
      </w:r>
      <w:r w:rsidRPr="00140B39">
        <w:t>outlet managers report</w:t>
      </w:r>
      <w:r>
        <w:t>ed</w:t>
      </w:r>
      <w:r w:rsidRPr="00140B39">
        <w:t xml:space="preserve"> </w:t>
      </w:r>
      <w:r>
        <w:t>an intention to hire, of each worker type</w:t>
      </w:r>
      <w:r w:rsidRPr="00140B39">
        <w:t xml:space="preserve"> in the next year. </w:t>
      </w:r>
      <w:r>
        <w:t xml:space="preserve">For each of the listed occupations, the intent to hire will be larger if the occupation is widely employed across outlets and if the total number of such workers is relatively high. It is not surprising then to see that disability support/residential support workers were expected to be hired in the greatest number. Strong future demand for additional </w:t>
      </w:r>
      <w:r w:rsidRPr="00522C49">
        <w:rPr>
          <w:rFonts w:eastAsia="Times New Roman" w:cstheme="minorHAnsi"/>
        </w:rPr>
        <w:t>service or program administrator/</w:t>
      </w:r>
      <w:r>
        <w:rPr>
          <w:rFonts w:eastAsia="Times New Roman" w:cstheme="minorHAnsi"/>
        </w:rPr>
        <w:t xml:space="preserve"> </w:t>
      </w:r>
      <w:r w:rsidRPr="00522C49">
        <w:rPr>
          <w:rFonts w:eastAsia="Times New Roman" w:cstheme="minorHAnsi"/>
        </w:rPr>
        <w:t>manager/coordinators</w:t>
      </w:r>
      <w:r w:rsidRPr="00522C49">
        <w:rPr>
          <w:rFonts w:cstheme="minorHAnsi"/>
        </w:rPr>
        <w:t>,</w:t>
      </w:r>
      <w:r>
        <w:t xml:space="preserve"> personal care/home care workers and allied health workers was also noted.</w:t>
      </w:r>
    </w:p>
    <w:p w:rsidR="003A37B0" w:rsidRPr="00140B39" w:rsidRDefault="003A37B0" w:rsidP="00AE4C3A"/>
    <w:p w:rsidR="00685BE5" w:rsidRDefault="00685BE5" w:rsidP="00AE4C3A">
      <w:pPr>
        <w:rPr>
          <w:rFonts w:cstheme="minorHAnsi"/>
        </w:rPr>
      </w:pPr>
      <w:r>
        <w:rPr>
          <w:rFonts w:cstheme="minorHAnsi"/>
        </w:rPr>
        <w:t>Also shown in the final column of Table 4.11 is the calculation a</w:t>
      </w:r>
      <w:r w:rsidRPr="00140B39">
        <w:rPr>
          <w:rFonts w:cstheme="minorHAnsi"/>
        </w:rPr>
        <w:t>cross outlets</w:t>
      </w:r>
      <w:r>
        <w:rPr>
          <w:rFonts w:cstheme="minorHAnsi"/>
        </w:rPr>
        <w:t xml:space="preserve"> of the average number</w:t>
      </w:r>
      <w:r w:rsidRPr="00140B39">
        <w:rPr>
          <w:rFonts w:cstheme="minorHAnsi"/>
        </w:rPr>
        <w:t xml:space="preserve"> </w:t>
      </w:r>
      <w:r>
        <w:rPr>
          <w:rFonts w:cstheme="minorHAnsi"/>
        </w:rPr>
        <w:t>of employees that managers</w:t>
      </w:r>
      <w:r w:rsidRPr="00140B39">
        <w:rPr>
          <w:rFonts w:cstheme="minorHAnsi"/>
        </w:rPr>
        <w:t xml:space="preserve"> </w:t>
      </w:r>
      <w:r>
        <w:rPr>
          <w:rFonts w:cstheme="minorHAnsi"/>
        </w:rPr>
        <w:t>expected</w:t>
      </w:r>
      <w:r w:rsidRPr="00140B39">
        <w:rPr>
          <w:rFonts w:cstheme="minorHAnsi"/>
        </w:rPr>
        <w:t xml:space="preserve"> </w:t>
      </w:r>
      <w:r>
        <w:rPr>
          <w:rFonts w:cstheme="minorHAnsi"/>
        </w:rPr>
        <w:t xml:space="preserve">to hire. This shows </w:t>
      </w:r>
      <w:r w:rsidRPr="00140B39">
        <w:rPr>
          <w:rFonts w:cstheme="minorHAnsi"/>
        </w:rPr>
        <w:t xml:space="preserve">an average of </w:t>
      </w:r>
      <w:r>
        <w:rPr>
          <w:rFonts w:cstheme="minorHAnsi"/>
        </w:rPr>
        <w:t>five</w:t>
      </w:r>
      <w:r w:rsidRPr="00140B39">
        <w:rPr>
          <w:rFonts w:cstheme="minorHAnsi"/>
        </w:rPr>
        <w:t xml:space="preserve"> additional disability support/residential support workers and </w:t>
      </w:r>
      <w:r>
        <w:rPr>
          <w:rFonts w:cstheme="minorHAnsi"/>
        </w:rPr>
        <w:t>three</w:t>
      </w:r>
      <w:r w:rsidRPr="00140B39">
        <w:rPr>
          <w:rFonts w:cstheme="minorHAnsi"/>
        </w:rPr>
        <w:t xml:space="preserve"> personal care/home care</w:t>
      </w:r>
      <w:r>
        <w:rPr>
          <w:rFonts w:cstheme="minorHAnsi"/>
        </w:rPr>
        <w:t xml:space="preserve"> </w:t>
      </w:r>
      <w:r w:rsidRPr="00140B39">
        <w:rPr>
          <w:rFonts w:cstheme="minorHAnsi"/>
        </w:rPr>
        <w:t>workers (</w:t>
      </w:r>
      <w:r>
        <w:rPr>
          <w:rFonts w:cstheme="minorHAnsi"/>
        </w:rPr>
        <w:t>Table 4.11</w:t>
      </w:r>
      <w:r w:rsidRPr="00140B39">
        <w:rPr>
          <w:rFonts w:cstheme="minorHAnsi"/>
        </w:rPr>
        <w:t>: total number of additional employees of this type divided by number of outlets reporting).</w:t>
      </w:r>
    </w:p>
    <w:p w:rsidR="003A37B0" w:rsidRDefault="003A37B0" w:rsidP="00AE4C3A">
      <w:pPr>
        <w:rPr>
          <w:rFonts w:cstheme="minorHAnsi"/>
        </w:rPr>
      </w:pPr>
    </w:p>
    <w:p w:rsidR="00077E06" w:rsidRDefault="00685BE5" w:rsidP="00AE4C3A">
      <w:pPr>
        <w:rPr>
          <w:rFonts w:cstheme="minorHAnsi"/>
        </w:rPr>
        <w:sectPr w:rsidR="00077E06" w:rsidSect="003E2395">
          <w:footerReference w:type="default" r:id="rId38"/>
          <w:footnotePr>
            <w:numStart w:val="2"/>
          </w:footnotePr>
          <w:pgSz w:w="11906" w:h="16838" w:code="9"/>
          <w:pgMar w:top="1418" w:right="1418" w:bottom="1247" w:left="1418" w:header="709" w:footer="709" w:gutter="0"/>
          <w:cols w:space="709"/>
          <w:docGrid w:linePitch="299"/>
        </w:sectPr>
      </w:pPr>
      <w:r w:rsidRPr="00522C49">
        <w:rPr>
          <w:rFonts w:cstheme="minorHAnsi"/>
        </w:rPr>
        <w:t xml:space="preserve">This </w:t>
      </w:r>
      <w:r>
        <w:rPr>
          <w:rFonts w:cstheme="minorHAnsi"/>
        </w:rPr>
        <w:t xml:space="preserve">estimate </w:t>
      </w:r>
      <w:r w:rsidRPr="00522C49">
        <w:rPr>
          <w:rFonts w:cstheme="minorHAnsi"/>
        </w:rPr>
        <w:t>reflects the fact that almost two thirds of outlet managers foresaw hiring at least one worker of these types in the coming year (at least one additional worker across all occupations, 65 per cent). Although disability support /residential support workers were expected to be the most commonly sought worker type, almost half of all outlet managers did not foresee hiring any staff of this type over the next year</w:t>
      </w:r>
      <w:r>
        <w:rPr>
          <w:rFonts w:cstheme="minorHAnsi"/>
        </w:rPr>
        <w:t xml:space="preserve"> (49 per cent)</w:t>
      </w:r>
      <w:r w:rsidRPr="00522C49">
        <w:rPr>
          <w:rFonts w:cstheme="minorHAnsi"/>
        </w:rPr>
        <w:t xml:space="preserve">. For all of the other staff types more than half of outlet managers did not have intentions to hire in the next year. </w:t>
      </w:r>
    </w:p>
    <w:p w:rsidR="00685BE5" w:rsidRPr="00587856" w:rsidRDefault="00685BE5" w:rsidP="0044684E">
      <w:pPr>
        <w:pStyle w:val="NILSTableHeading"/>
      </w:pPr>
      <w:bookmarkStart w:id="522" w:name="_Toc428279215"/>
      <w:bookmarkStart w:id="523" w:name="_Toc449955345"/>
      <w:r w:rsidRPr="008823CB">
        <w:lastRenderedPageBreak/>
        <w:t xml:space="preserve">Table </w:t>
      </w:r>
      <w:r>
        <w:t>4.11</w:t>
      </w:r>
      <w:r w:rsidRPr="00980A58">
        <w:t>:</w:t>
      </w:r>
      <w:r>
        <w:t xml:space="preserve"> </w:t>
      </w:r>
      <w:r w:rsidRPr="00C7579B">
        <w:t>Hiring</w:t>
      </w:r>
      <w:r w:rsidRPr="00980A58">
        <w:t xml:space="preserve"> intentions in next 12 months</w:t>
      </w:r>
      <w:bookmarkEnd w:id="522"/>
      <w:bookmarkEnd w:id="523"/>
      <w:r w:rsidRPr="00587856">
        <w:t xml:space="preserve"> </w:t>
      </w:r>
    </w:p>
    <w:tbl>
      <w:tblPr>
        <w:tblW w:w="10123" w:type="dxa"/>
        <w:tblInd w:w="-34" w:type="dxa"/>
        <w:tblLayout w:type="fixed"/>
        <w:tblLook w:val="0000" w:firstRow="0" w:lastRow="0" w:firstColumn="0" w:lastColumn="0" w:noHBand="0" w:noVBand="0"/>
        <w:tblCaption w:val="Table 4.11 Hiring intentions in next 12 months "/>
        <w:tblDescription w:val="Table show hiring intentions by type of work, percentage of outlets not hiring, hiring and the average number of new hires per outlet."/>
      </w:tblPr>
      <w:tblGrid>
        <w:gridCol w:w="3713"/>
        <w:gridCol w:w="1532"/>
        <w:gridCol w:w="1587"/>
        <w:gridCol w:w="1732"/>
        <w:gridCol w:w="1559"/>
      </w:tblGrid>
      <w:tr w:rsidR="00685BE5" w:rsidRPr="00827534" w:rsidTr="00077E06">
        <w:trPr>
          <w:tblHeader/>
        </w:trPr>
        <w:tc>
          <w:tcPr>
            <w:tcW w:w="3713" w:type="dxa"/>
            <w:tcBorders>
              <w:top w:val="single" w:sz="4" w:space="0" w:color="auto"/>
              <w:bottom w:val="single" w:sz="4" w:space="0" w:color="auto"/>
            </w:tcBorders>
          </w:tcPr>
          <w:p w:rsidR="00685BE5" w:rsidRPr="00827534" w:rsidRDefault="00685BE5" w:rsidP="00AE4C3A">
            <w:pPr>
              <w:spacing w:before="20" w:after="20"/>
              <w:rPr>
                <w:rFonts w:ascii="Calibri" w:eastAsia="Times New Roman" w:hAnsi="Calibri" w:cs="Calibri"/>
                <w:sz w:val="19"/>
                <w:szCs w:val="19"/>
              </w:rPr>
            </w:pPr>
            <w:bookmarkStart w:id="524" w:name="Title_4_11"/>
            <w:bookmarkEnd w:id="524"/>
          </w:p>
        </w:tc>
        <w:tc>
          <w:tcPr>
            <w:tcW w:w="1532" w:type="dxa"/>
            <w:tcBorders>
              <w:top w:val="single" w:sz="4" w:space="0" w:color="auto"/>
              <w:bottom w:val="single" w:sz="4" w:space="0" w:color="auto"/>
            </w:tcBorders>
            <w:vAlign w:val="bottom"/>
          </w:tcPr>
          <w:p w:rsidR="00685BE5" w:rsidRPr="00CC6F32" w:rsidRDefault="00077E06" w:rsidP="003F4342">
            <w:pPr>
              <w:spacing w:before="20" w:after="20"/>
              <w:ind w:left="7"/>
              <w:jc w:val="center"/>
              <w:rPr>
                <w:rFonts w:ascii="Calibri" w:eastAsia="Times New Roman" w:hAnsi="Calibri" w:cs="Calibri"/>
                <w:sz w:val="19"/>
                <w:szCs w:val="19"/>
              </w:rPr>
            </w:pPr>
            <w:r>
              <w:rPr>
                <w:rFonts w:ascii="Calibri" w:eastAsia="Times New Roman" w:hAnsi="Calibri" w:cs="Calibri"/>
                <w:sz w:val="19"/>
                <w:szCs w:val="19"/>
              </w:rPr>
              <w:t>Nu</w:t>
            </w:r>
            <w:r w:rsidR="00685BE5" w:rsidRPr="00CC6F32">
              <w:rPr>
                <w:rFonts w:ascii="Calibri" w:eastAsia="Times New Roman" w:hAnsi="Calibri" w:cs="Calibri"/>
                <w:sz w:val="19"/>
                <w:szCs w:val="19"/>
              </w:rPr>
              <w:t>mber of</w:t>
            </w:r>
            <w:r w:rsidR="009B3426" w:rsidRPr="00CC6F32">
              <w:rPr>
                <w:rFonts w:ascii="Calibri" w:eastAsia="Times New Roman" w:hAnsi="Calibri" w:cs="Calibri"/>
                <w:sz w:val="19"/>
                <w:szCs w:val="19"/>
              </w:rPr>
              <w:t xml:space="preserve"> </w:t>
            </w:r>
            <w:r w:rsidR="00BA6373">
              <w:rPr>
                <w:rFonts w:ascii="Calibri" w:eastAsia="Times New Roman" w:hAnsi="Calibri" w:cs="Calibri"/>
                <w:sz w:val="19"/>
                <w:szCs w:val="19"/>
              </w:rPr>
              <w:t>new hires</w:t>
            </w:r>
            <w:r w:rsidR="009B3426" w:rsidRPr="00CC6F32">
              <w:rPr>
                <w:rFonts w:ascii="Calibri" w:eastAsia="Times New Roman" w:hAnsi="Calibri" w:cs="Calibri"/>
                <w:sz w:val="19"/>
                <w:szCs w:val="19"/>
              </w:rPr>
              <w:t xml:space="preserve"> </w:t>
            </w:r>
            <w:r w:rsidR="003F4342">
              <w:rPr>
                <w:rFonts w:ascii="Calibri" w:eastAsia="Times New Roman" w:hAnsi="Calibri" w:cs="Calibri"/>
                <w:sz w:val="19"/>
                <w:szCs w:val="19"/>
              </w:rPr>
              <w:t>by occupation</w:t>
            </w:r>
            <w:r w:rsidR="00685BE5" w:rsidRPr="00CC6F32">
              <w:rPr>
                <w:rFonts w:ascii="Calibri" w:eastAsia="Times New Roman" w:hAnsi="Calibri" w:cs="Calibri"/>
                <w:sz w:val="19"/>
                <w:szCs w:val="19"/>
              </w:rPr>
              <w:t xml:space="preserve"> across all outlets</w:t>
            </w:r>
          </w:p>
        </w:tc>
        <w:tc>
          <w:tcPr>
            <w:tcW w:w="1587" w:type="dxa"/>
            <w:tcBorders>
              <w:top w:val="single" w:sz="4" w:space="0" w:color="auto"/>
              <w:bottom w:val="single" w:sz="4" w:space="0" w:color="auto"/>
            </w:tcBorders>
            <w:vAlign w:val="bottom"/>
          </w:tcPr>
          <w:p w:rsidR="00AE6806" w:rsidRPr="00CC6F32" w:rsidRDefault="00DC601E" w:rsidP="00F2761C">
            <w:pPr>
              <w:spacing w:before="20" w:after="20"/>
              <w:ind w:left="34"/>
              <w:jc w:val="center"/>
              <w:rPr>
                <w:rFonts w:ascii="Calibri" w:eastAsia="Times New Roman" w:hAnsi="Calibri" w:cs="Calibri"/>
                <w:sz w:val="19"/>
                <w:szCs w:val="19"/>
              </w:rPr>
            </w:pPr>
            <w:r>
              <w:rPr>
                <w:rFonts w:ascii="Calibri" w:eastAsia="Times New Roman" w:hAnsi="Calibri" w:cs="Calibri"/>
                <w:sz w:val="19"/>
                <w:szCs w:val="19"/>
              </w:rPr>
              <w:t>Per cent of</w:t>
            </w:r>
            <w:r w:rsidR="004C38ED" w:rsidRPr="00CC6F32">
              <w:rPr>
                <w:rFonts w:ascii="Calibri" w:eastAsia="Times New Roman" w:hAnsi="Calibri" w:cs="Calibri"/>
                <w:sz w:val="19"/>
                <w:szCs w:val="19"/>
              </w:rPr>
              <w:t xml:space="preserve"> o</w:t>
            </w:r>
            <w:r w:rsidR="00685BE5" w:rsidRPr="00CC6F32">
              <w:rPr>
                <w:rFonts w:ascii="Calibri" w:eastAsia="Times New Roman" w:hAnsi="Calibri" w:cs="Calibri"/>
                <w:sz w:val="19"/>
                <w:szCs w:val="19"/>
              </w:rPr>
              <w:t>utlets</w:t>
            </w:r>
            <w:r w:rsidR="004C38ED" w:rsidRPr="00CC6F32">
              <w:rPr>
                <w:rFonts w:ascii="Calibri" w:eastAsia="Times New Roman" w:hAnsi="Calibri" w:cs="Calibri"/>
                <w:sz w:val="19"/>
                <w:szCs w:val="19"/>
              </w:rPr>
              <w:t xml:space="preserve"> </w:t>
            </w:r>
            <w:r>
              <w:rPr>
                <w:rFonts w:ascii="Calibri" w:eastAsia="Times New Roman" w:hAnsi="Calibri" w:cs="Calibri"/>
                <w:sz w:val="19"/>
                <w:szCs w:val="19"/>
              </w:rPr>
              <w:t xml:space="preserve">with </w:t>
            </w:r>
            <w:r w:rsidR="004C38ED" w:rsidRPr="00CC6F32">
              <w:rPr>
                <w:rFonts w:ascii="Calibri" w:eastAsia="Times New Roman" w:hAnsi="Calibri" w:cs="Calibri"/>
                <w:sz w:val="19"/>
                <w:szCs w:val="19"/>
              </w:rPr>
              <w:t xml:space="preserve">no expected </w:t>
            </w:r>
            <w:r w:rsidR="00F2761C">
              <w:rPr>
                <w:rFonts w:ascii="Calibri" w:eastAsia="Times New Roman" w:hAnsi="Calibri" w:cs="Calibri"/>
                <w:sz w:val="19"/>
                <w:szCs w:val="19"/>
              </w:rPr>
              <w:t>new</w:t>
            </w:r>
            <w:r w:rsidR="00685BE5" w:rsidRPr="00CC6F32">
              <w:rPr>
                <w:rFonts w:ascii="Calibri" w:eastAsia="Times New Roman" w:hAnsi="Calibri" w:cs="Calibri"/>
                <w:sz w:val="19"/>
                <w:szCs w:val="19"/>
              </w:rPr>
              <w:t xml:space="preserve"> </w:t>
            </w:r>
            <w:r w:rsidR="004C38ED" w:rsidRPr="00CC6F32">
              <w:rPr>
                <w:rFonts w:ascii="Calibri" w:eastAsia="Times New Roman" w:hAnsi="Calibri" w:cs="Calibri"/>
                <w:sz w:val="19"/>
                <w:szCs w:val="19"/>
              </w:rPr>
              <w:t>hires</w:t>
            </w:r>
            <w:r w:rsidR="009B3426" w:rsidRPr="00CC6F32">
              <w:rPr>
                <w:rFonts w:ascii="Calibri" w:eastAsia="Times New Roman" w:hAnsi="Calibri" w:cs="Calibri"/>
                <w:sz w:val="19"/>
                <w:szCs w:val="19"/>
              </w:rPr>
              <w:t xml:space="preserve"> </w:t>
            </w:r>
            <w:r w:rsidR="00685BE5" w:rsidRPr="00CC6F32">
              <w:rPr>
                <w:rFonts w:ascii="Calibri" w:eastAsia="Times New Roman" w:hAnsi="Calibri" w:cs="Calibri"/>
                <w:sz w:val="19"/>
                <w:szCs w:val="19"/>
              </w:rPr>
              <w:t xml:space="preserve">of </w:t>
            </w:r>
            <w:r w:rsidR="008E5884" w:rsidRPr="00CC6F32">
              <w:rPr>
                <w:rFonts w:ascii="Calibri" w:eastAsia="Times New Roman" w:hAnsi="Calibri" w:cs="Calibri"/>
                <w:sz w:val="19"/>
                <w:szCs w:val="19"/>
              </w:rPr>
              <w:t xml:space="preserve">workers of </w:t>
            </w:r>
            <w:r w:rsidR="00685BE5" w:rsidRPr="00CC6F32">
              <w:rPr>
                <w:rFonts w:ascii="Calibri" w:eastAsia="Times New Roman" w:hAnsi="Calibri" w:cs="Calibri"/>
                <w:sz w:val="19"/>
                <w:szCs w:val="19"/>
              </w:rPr>
              <w:t>this type</w:t>
            </w:r>
          </w:p>
        </w:tc>
        <w:tc>
          <w:tcPr>
            <w:tcW w:w="1732" w:type="dxa"/>
            <w:tcBorders>
              <w:top w:val="single" w:sz="4" w:space="0" w:color="auto"/>
              <w:bottom w:val="single" w:sz="4" w:space="0" w:color="auto"/>
            </w:tcBorders>
            <w:vAlign w:val="bottom"/>
          </w:tcPr>
          <w:p w:rsidR="00AE6806" w:rsidRPr="00CC6F32" w:rsidRDefault="00DC601E" w:rsidP="00F2761C">
            <w:pPr>
              <w:spacing w:before="20" w:after="20"/>
              <w:ind w:left="6"/>
              <w:jc w:val="center"/>
              <w:rPr>
                <w:rFonts w:ascii="Calibri" w:eastAsia="Times New Roman" w:hAnsi="Calibri" w:cs="Calibri"/>
                <w:sz w:val="19"/>
                <w:szCs w:val="19"/>
              </w:rPr>
            </w:pPr>
            <w:r>
              <w:rPr>
                <w:rFonts w:ascii="Calibri" w:eastAsia="Times New Roman" w:hAnsi="Calibri" w:cs="Calibri"/>
                <w:sz w:val="19"/>
                <w:szCs w:val="19"/>
              </w:rPr>
              <w:t>Per cent of</w:t>
            </w:r>
            <w:r w:rsidR="004C38ED" w:rsidRPr="00CC6F32">
              <w:rPr>
                <w:rFonts w:ascii="Calibri" w:eastAsia="Times New Roman" w:hAnsi="Calibri" w:cs="Calibri"/>
                <w:sz w:val="19"/>
                <w:szCs w:val="19"/>
              </w:rPr>
              <w:t xml:space="preserve"> o</w:t>
            </w:r>
            <w:r w:rsidR="00685BE5" w:rsidRPr="00CC6F32">
              <w:rPr>
                <w:rFonts w:ascii="Calibri" w:eastAsia="Times New Roman" w:hAnsi="Calibri" w:cs="Calibri"/>
                <w:sz w:val="19"/>
                <w:szCs w:val="19"/>
              </w:rPr>
              <w:t xml:space="preserve">utlets </w:t>
            </w:r>
            <w:r w:rsidR="009B3426" w:rsidRPr="00CC6F32">
              <w:rPr>
                <w:rFonts w:ascii="Calibri" w:eastAsia="Times New Roman" w:hAnsi="Calibri" w:cs="Calibri"/>
                <w:sz w:val="19"/>
                <w:szCs w:val="19"/>
              </w:rPr>
              <w:t xml:space="preserve">expecting new hires of </w:t>
            </w:r>
            <w:r w:rsidR="00685BE5" w:rsidRPr="00CC6F32">
              <w:rPr>
                <w:rFonts w:ascii="Calibri" w:eastAsia="Times New Roman" w:hAnsi="Calibri" w:cs="Calibri"/>
                <w:sz w:val="19"/>
                <w:szCs w:val="19"/>
              </w:rPr>
              <w:t>1 or more workers</w:t>
            </w:r>
            <w:r w:rsidR="009B3426" w:rsidRPr="00CC6F32">
              <w:rPr>
                <w:rFonts w:ascii="Calibri" w:eastAsia="Times New Roman" w:hAnsi="Calibri" w:cs="Calibri"/>
                <w:sz w:val="19"/>
                <w:szCs w:val="19"/>
              </w:rPr>
              <w:t xml:space="preserve"> </w:t>
            </w:r>
            <w:r w:rsidR="00685BE5" w:rsidRPr="00CC6F32">
              <w:rPr>
                <w:rFonts w:ascii="Calibri" w:eastAsia="Times New Roman" w:hAnsi="Calibri" w:cs="Calibri"/>
                <w:sz w:val="19"/>
                <w:szCs w:val="19"/>
              </w:rPr>
              <w:t>of this type</w:t>
            </w:r>
          </w:p>
        </w:tc>
        <w:tc>
          <w:tcPr>
            <w:tcW w:w="1559" w:type="dxa"/>
            <w:tcBorders>
              <w:top w:val="single" w:sz="4" w:space="0" w:color="auto"/>
              <w:bottom w:val="single" w:sz="4" w:space="0" w:color="auto"/>
            </w:tcBorders>
            <w:vAlign w:val="bottom"/>
          </w:tcPr>
          <w:p w:rsidR="00685BE5" w:rsidRPr="00CC6F32" w:rsidRDefault="00685BE5" w:rsidP="008E5884">
            <w:pPr>
              <w:spacing w:before="20" w:after="20"/>
              <w:ind w:left="5" w:hanging="5"/>
              <w:jc w:val="center"/>
              <w:rPr>
                <w:rFonts w:ascii="Calibri" w:eastAsia="Times New Roman" w:hAnsi="Calibri" w:cs="Calibri"/>
                <w:sz w:val="19"/>
                <w:szCs w:val="19"/>
              </w:rPr>
            </w:pPr>
            <w:r w:rsidRPr="00CC6F32">
              <w:rPr>
                <w:rFonts w:ascii="Calibri" w:eastAsia="Times New Roman" w:hAnsi="Calibri" w:cs="Calibri"/>
                <w:sz w:val="19"/>
                <w:szCs w:val="19"/>
              </w:rPr>
              <w:t>Average</w:t>
            </w:r>
            <w:r w:rsidR="00371AE1" w:rsidRPr="00CC6F32">
              <w:rPr>
                <w:rFonts w:ascii="Calibri" w:eastAsia="Times New Roman" w:hAnsi="Calibri" w:cs="Calibri"/>
                <w:sz w:val="19"/>
                <w:szCs w:val="19"/>
              </w:rPr>
              <w:t xml:space="preserve"> </w:t>
            </w:r>
            <w:r w:rsidRPr="00CC6F32">
              <w:rPr>
                <w:rFonts w:ascii="Calibri" w:eastAsia="Times New Roman" w:hAnsi="Calibri" w:cs="Calibri"/>
                <w:sz w:val="19"/>
                <w:szCs w:val="19"/>
              </w:rPr>
              <w:t xml:space="preserve">number of </w:t>
            </w:r>
            <w:r w:rsidR="004C38ED" w:rsidRPr="00CC6F32">
              <w:rPr>
                <w:rFonts w:ascii="Calibri" w:eastAsia="Times New Roman" w:hAnsi="Calibri" w:cs="Calibri"/>
                <w:sz w:val="19"/>
                <w:szCs w:val="19"/>
              </w:rPr>
              <w:t>expected new hires</w:t>
            </w:r>
            <w:r w:rsidR="008E5884" w:rsidRPr="00CC6F32">
              <w:rPr>
                <w:rFonts w:ascii="Calibri" w:eastAsia="Times New Roman" w:hAnsi="Calibri" w:cs="Calibri"/>
                <w:sz w:val="19"/>
                <w:szCs w:val="19"/>
              </w:rPr>
              <w:t xml:space="preserve"> </w:t>
            </w:r>
            <w:r w:rsidRPr="00CC6F32">
              <w:rPr>
                <w:rFonts w:ascii="Calibri" w:eastAsia="Times New Roman" w:hAnsi="Calibri" w:cs="Calibri"/>
                <w:sz w:val="19"/>
                <w:szCs w:val="19"/>
              </w:rPr>
              <w:t>per outlet</w:t>
            </w:r>
          </w:p>
        </w:tc>
      </w:tr>
      <w:tr w:rsidR="00685BE5" w:rsidRPr="004D7225" w:rsidTr="00077E06">
        <w:trPr>
          <w:trHeight w:val="340"/>
        </w:trPr>
        <w:tc>
          <w:tcPr>
            <w:tcW w:w="3713" w:type="dxa"/>
            <w:tcBorders>
              <w:top w:val="single" w:sz="4" w:space="0" w:color="auto"/>
            </w:tcBorders>
            <w:vAlign w:val="center"/>
          </w:tcPr>
          <w:p w:rsidR="00685BE5" w:rsidRPr="004D7225" w:rsidRDefault="00685BE5" w:rsidP="009B3426">
            <w:pPr>
              <w:spacing w:before="20" w:after="20"/>
              <w:rPr>
                <w:rFonts w:ascii="Calibri" w:eastAsia="Times New Roman" w:hAnsi="Calibri" w:cs="Calibri"/>
                <w:sz w:val="19"/>
                <w:szCs w:val="19"/>
              </w:rPr>
            </w:pPr>
            <w:r w:rsidRPr="004D7225">
              <w:rPr>
                <w:rFonts w:ascii="Calibri" w:eastAsia="Times New Roman" w:hAnsi="Calibri" w:cs="Calibri"/>
                <w:sz w:val="19"/>
                <w:szCs w:val="19"/>
              </w:rPr>
              <w:t>Disability support/</w:t>
            </w:r>
            <w:r>
              <w:rPr>
                <w:rFonts w:ascii="Calibri" w:eastAsia="Times New Roman" w:hAnsi="Calibri" w:cs="Calibri"/>
                <w:sz w:val="19"/>
                <w:szCs w:val="19"/>
              </w:rPr>
              <w:t>r</w:t>
            </w:r>
            <w:r w:rsidRPr="004D7225">
              <w:rPr>
                <w:rFonts w:ascii="Calibri" w:eastAsia="Times New Roman" w:hAnsi="Calibri" w:cs="Calibri"/>
                <w:sz w:val="19"/>
                <w:szCs w:val="19"/>
              </w:rPr>
              <w:t>esidential support worker</w:t>
            </w:r>
          </w:p>
        </w:tc>
        <w:tc>
          <w:tcPr>
            <w:tcW w:w="1532" w:type="dxa"/>
            <w:tcBorders>
              <w:top w:val="single" w:sz="4" w:space="0" w:color="auto"/>
            </w:tcBorders>
            <w:vAlign w:val="center"/>
          </w:tcPr>
          <w:p w:rsidR="00685BE5" w:rsidRPr="004D7225" w:rsidRDefault="00685BE5" w:rsidP="009B3426">
            <w:pPr>
              <w:spacing w:before="20" w:after="20"/>
              <w:ind w:right="487"/>
              <w:jc w:val="right"/>
              <w:rPr>
                <w:rFonts w:ascii="Calibri" w:eastAsia="Times New Roman" w:hAnsi="Calibri" w:cs="Calibri"/>
                <w:snapToGrid w:val="0"/>
                <w:sz w:val="19"/>
                <w:szCs w:val="19"/>
              </w:rPr>
            </w:pPr>
            <w:r w:rsidRPr="004D7225">
              <w:rPr>
                <w:rFonts w:ascii="Calibri" w:eastAsia="Times New Roman" w:hAnsi="Calibri" w:cs="Calibri"/>
                <w:snapToGrid w:val="0"/>
                <w:sz w:val="19"/>
                <w:szCs w:val="19"/>
              </w:rPr>
              <w:t>3,014</w:t>
            </w:r>
          </w:p>
        </w:tc>
        <w:tc>
          <w:tcPr>
            <w:tcW w:w="1587" w:type="dxa"/>
            <w:tcBorders>
              <w:top w:val="single" w:sz="4" w:space="0" w:color="auto"/>
            </w:tcBorders>
            <w:vAlign w:val="center"/>
          </w:tcPr>
          <w:p w:rsidR="00685BE5" w:rsidRPr="004D7225" w:rsidRDefault="00685BE5" w:rsidP="008E5884">
            <w:pPr>
              <w:spacing w:before="20" w:after="20"/>
              <w:ind w:right="515"/>
              <w:jc w:val="right"/>
              <w:rPr>
                <w:rFonts w:ascii="Calibri" w:eastAsia="Times New Roman" w:hAnsi="Calibri" w:cs="Calibri"/>
                <w:snapToGrid w:val="0"/>
                <w:sz w:val="19"/>
                <w:szCs w:val="19"/>
              </w:rPr>
            </w:pPr>
            <w:r w:rsidRPr="004D7225">
              <w:rPr>
                <w:rFonts w:ascii="Calibri" w:eastAsia="Times New Roman" w:hAnsi="Calibri" w:cs="Calibri"/>
                <w:snapToGrid w:val="0"/>
                <w:sz w:val="19"/>
                <w:szCs w:val="19"/>
              </w:rPr>
              <w:t>49.2</w:t>
            </w:r>
          </w:p>
        </w:tc>
        <w:tc>
          <w:tcPr>
            <w:tcW w:w="1732" w:type="dxa"/>
            <w:tcBorders>
              <w:top w:val="single" w:sz="4" w:space="0" w:color="auto"/>
            </w:tcBorders>
            <w:vAlign w:val="center"/>
          </w:tcPr>
          <w:p w:rsidR="00685BE5" w:rsidRPr="004D7225" w:rsidRDefault="00685BE5" w:rsidP="009B3426">
            <w:pPr>
              <w:spacing w:before="20" w:after="20"/>
              <w:ind w:right="571"/>
              <w:jc w:val="right"/>
              <w:rPr>
                <w:rFonts w:ascii="Calibri" w:eastAsia="Times New Roman" w:hAnsi="Calibri" w:cs="Calibri"/>
                <w:snapToGrid w:val="0"/>
                <w:sz w:val="19"/>
                <w:szCs w:val="19"/>
              </w:rPr>
            </w:pPr>
            <w:r w:rsidRPr="004D7225">
              <w:rPr>
                <w:rFonts w:ascii="Calibri" w:eastAsia="Times New Roman" w:hAnsi="Calibri" w:cs="Calibri"/>
                <w:snapToGrid w:val="0"/>
                <w:sz w:val="19"/>
                <w:szCs w:val="19"/>
              </w:rPr>
              <w:t>35.3</w:t>
            </w:r>
          </w:p>
        </w:tc>
        <w:tc>
          <w:tcPr>
            <w:tcW w:w="1559" w:type="dxa"/>
            <w:tcBorders>
              <w:top w:val="single" w:sz="4" w:space="0" w:color="auto"/>
            </w:tcBorders>
            <w:vAlign w:val="center"/>
          </w:tcPr>
          <w:p w:rsidR="00685BE5" w:rsidRPr="004D7225" w:rsidRDefault="00685BE5" w:rsidP="00CC6F32">
            <w:pPr>
              <w:spacing w:before="20" w:after="20"/>
              <w:ind w:right="459"/>
              <w:jc w:val="right"/>
              <w:rPr>
                <w:rFonts w:ascii="Calibri" w:eastAsia="Times New Roman" w:hAnsi="Calibri" w:cs="Calibri"/>
                <w:snapToGrid w:val="0"/>
                <w:sz w:val="19"/>
                <w:szCs w:val="19"/>
              </w:rPr>
            </w:pPr>
            <w:r w:rsidRPr="004D7225">
              <w:rPr>
                <w:rFonts w:ascii="Calibri" w:eastAsia="Times New Roman" w:hAnsi="Calibri" w:cs="Calibri"/>
                <w:snapToGrid w:val="0"/>
                <w:sz w:val="19"/>
                <w:szCs w:val="19"/>
              </w:rPr>
              <w:t>5.1</w:t>
            </w:r>
          </w:p>
        </w:tc>
      </w:tr>
      <w:tr w:rsidR="00685BE5" w:rsidRPr="004D7225" w:rsidTr="00077E06">
        <w:trPr>
          <w:trHeight w:val="340"/>
        </w:trPr>
        <w:tc>
          <w:tcPr>
            <w:tcW w:w="3713" w:type="dxa"/>
            <w:vAlign w:val="center"/>
          </w:tcPr>
          <w:p w:rsidR="00685BE5" w:rsidRPr="004D7225" w:rsidRDefault="00685BE5" w:rsidP="009B3426">
            <w:pPr>
              <w:spacing w:before="20" w:after="20"/>
              <w:rPr>
                <w:rFonts w:ascii="Calibri" w:eastAsia="Times New Roman" w:hAnsi="Calibri" w:cs="Calibri"/>
                <w:sz w:val="19"/>
                <w:szCs w:val="19"/>
              </w:rPr>
            </w:pPr>
            <w:r w:rsidRPr="004D7225">
              <w:rPr>
                <w:rFonts w:ascii="Calibri" w:eastAsia="Times New Roman" w:hAnsi="Calibri" w:cs="Calibri"/>
                <w:sz w:val="19"/>
                <w:szCs w:val="19"/>
              </w:rPr>
              <w:t>Personal care/</w:t>
            </w:r>
            <w:r>
              <w:rPr>
                <w:rFonts w:ascii="Calibri" w:eastAsia="Times New Roman" w:hAnsi="Calibri" w:cs="Calibri"/>
                <w:sz w:val="19"/>
                <w:szCs w:val="19"/>
              </w:rPr>
              <w:t>h</w:t>
            </w:r>
            <w:r w:rsidRPr="004D7225">
              <w:rPr>
                <w:rFonts w:ascii="Calibri" w:eastAsia="Times New Roman" w:hAnsi="Calibri" w:cs="Calibri"/>
                <w:sz w:val="19"/>
                <w:szCs w:val="19"/>
              </w:rPr>
              <w:t>ome care worker</w:t>
            </w:r>
          </w:p>
        </w:tc>
        <w:tc>
          <w:tcPr>
            <w:tcW w:w="1532" w:type="dxa"/>
            <w:vAlign w:val="center"/>
          </w:tcPr>
          <w:p w:rsidR="00685BE5" w:rsidRPr="004D7225" w:rsidRDefault="00685BE5" w:rsidP="009B3426">
            <w:pPr>
              <w:spacing w:before="20" w:after="20"/>
              <w:ind w:right="487"/>
              <w:jc w:val="right"/>
              <w:rPr>
                <w:rFonts w:ascii="Calibri" w:eastAsia="Times New Roman" w:hAnsi="Calibri" w:cs="Calibri"/>
                <w:snapToGrid w:val="0"/>
                <w:sz w:val="19"/>
                <w:szCs w:val="19"/>
              </w:rPr>
            </w:pPr>
            <w:r w:rsidRPr="004D7225">
              <w:rPr>
                <w:rFonts w:ascii="Calibri" w:eastAsia="Times New Roman" w:hAnsi="Calibri" w:cs="Calibri"/>
                <w:snapToGrid w:val="0"/>
                <w:sz w:val="19"/>
                <w:szCs w:val="19"/>
              </w:rPr>
              <w:t>1,752</w:t>
            </w:r>
          </w:p>
        </w:tc>
        <w:tc>
          <w:tcPr>
            <w:tcW w:w="1587" w:type="dxa"/>
            <w:vAlign w:val="center"/>
          </w:tcPr>
          <w:p w:rsidR="00685BE5" w:rsidRPr="004D7225" w:rsidRDefault="00685BE5" w:rsidP="008E5884">
            <w:pPr>
              <w:spacing w:before="20" w:after="20"/>
              <w:ind w:right="515"/>
              <w:jc w:val="right"/>
              <w:rPr>
                <w:rFonts w:ascii="Calibri" w:hAnsi="Calibri" w:cs="Calibri"/>
                <w:color w:val="000000"/>
                <w:sz w:val="19"/>
                <w:szCs w:val="19"/>
              </w:rPr>
            </w:pPr>
            <w:r w:rsidRPr="004D7225">
              <w:rPr>
                <w:rFonts w:ascii="Calibri" w:hAnsi="Calibri" w:cs="Calibri"/>
                <w:color w:val="000000"/>
                <w:sz w:val="19"/>
                <w:szCs w:val="19"/>
              </w:rPr>
              <w:t>60.8</w:t>
            </w:r>
          </w:p>
        </w:tc>
        <w:tc>
          <w:tcPr>
            <w:tcW w:w="1732" w:type="dxa"/>
            <w:vAlign w:val="center"/>
          </w:tcPr>
          <w:p w:rsidR="00685BE5" w:rsidRPr="004D7225" w:rsidRDefault="00685BE5" w:rsidP="009B3426">
            <w:pPr>
              <w:spacing w:before="20" w:after="20"/>
              <w:ind w:right="571"/>
              <w:jc w:val="right"/>
              <w:rPr>
                <w:rFonts w:ascii="Calibri" w:hAnsi="Calibri" w:cs="Calibri"/>
                <w:color w:val="000000"/>
                <w:sz w:val="19"/>
                <w:szCs w:val="19"/>
              </w:rPr>
            </w:pPr>
            <w:r w:rsidRPr="004D7225">
              <w:rPr>
                <w:rFonts w:ascii="Calibri" w:hAnsi="Calibri" w:cs="Calibri"/>
                <w:color w:val="000000"/>
                <w:sz w:val="19"/>
                <w:szCs w:val="19"/>
              </w:rPr>
              <w:t>19.3</w:t>
            </w:r>
          </w:p>
        </w:tc>
        <w:tc>
          <w:tcPr>
            <w:tcW w:w="1559" w:type="dxa"/>
            <w:vAlign w:val="center"/>
          </w:tcPr>
          <w:p w:rsidR="00685BE5" w:rsidRPr="004D7225" w:rsidRDefault="00685BE5" w:rsidP="00CC6F32">
            <w:pPr>
              <w:spacing w:before="20" w:after="20"/>
              <w:ind w:right="459"/>
              <w:jc w:val="right"/>
              <w:rPr>
                <w:rFonts w:ascii="Calibri" w:eastAsia="Times New Roman" w:hAnsi="Calibri" w:cs="Calibri"/>
                <w:snapToGrid w:val="0"/>
                <w:sz w:val="19"/>
                <w:szCs w:val="19"/>
              </w:rPr>
            </w:pPr>
            <w:r w:rsidRPr="004D7225">
              <w:rPr>
                <w:rFonts w:ascii="Calibri" w:eastAsia="Times New Roman" w:hAnsi="Calibri" w:cs="Calibri"/>
                <w:snapToGrid w:val="0"/>
                <w:sz w:val="19"/>
                <w:szCs w:val="19"/>
              </w:rPr>
              <w:t>3.1</w:t>
            </w:r>
          </w:p>
        </w:tc>
      </w:tr>
      <w:tr w:rsidR="00685BE5" w:rsidRPr="004D7225" w:rsidTr="00077E06">
        <w:trPr>
          <w:trHeight w:val="340"/>
        </w:trPr>
        <w:tc>
          <w:tcPr>
            <w:tcW w:w="3713" w:type="dxa"/>
            <w:vAlign w:val="center"/>
          </w:tcPr>
          <w:p w:rsidR="00685BE5" w:rsidRPr="004D7225" w:rsidRDefault="00685BE5" w:rsidP="009B3426">
            <w:pPr>
              <w:spacing w:before="20" w:after="20"/>
              <w:rPr>
                <w:rFonts w:ascii="Calibri" w:eastAsia="Times New Roman" w:hAnsi="Calibri" w:cs="Calibri"/>
                <w:sz w:val="19"/>
                <w:szCs w:val="19"/>
              </w:rPr>
            </w:pPr>
            <w:r w:rsidRPr="004D7225">
              <w:rPr>
                <w:rFonts w:ascii="Calibri" w:eastAsia="Times New Roman" w:hAnsi="Calibri" w:cs="Calibri"/>
                <w:sz w:val="19"/>
                <w:szCs w:val="19"/>
              </w:rPr>
              <w:t>Service or program administrator/</w:t>
            </w:r>
            <w:r>
              <w:rPr>
                <w:rFonts w:ascii="Calibri" w:eastAsia="Times New Roman" w:hAnsi="Calibri" w:cs="Calibri"/>
                <w:sz w:val="19"/>
                <w:szCs w:val="19"/>
              </w:rPr>
              <w:t>m</w:t>
            </w:r>
            <w:r w:rsidRPr="004D7225">
              <w:rPr>
                <w:rFonts w:ascii="Calibri" w:eastAsia="Times New Roman" w:hAnsi="Calibri" w:cs="Calibri"/>
                <w:sz w:val="19"/>
                <w:szCs w:val="19"/>
              </w:rPr>
              <w:t>anager/</w:t>
            </w:r>
            <w:r>
              <w:rPr>
                <w:rFonts w:ascii="Calibri" w:eastAsia="Times New Roman" w:hAnsi="Calibri" w:cs="Calibri"/>
                <w:sz w:val="19"/>
                <w:szCs w:val="19"/>
              </w:rPr>
              <w:t>c</w:t>
            </w:r>
            <w:r w:rsidRPr="004D7225">
              <w:rPr>
                <w:rFonts w:ascii="Calibri" w:eastAsia="Times New Roman" w:hAnsi="Calibri" w:cs="Calibri"/>
                <w:sz w:val="19"/>
                <w:szCs w:val="19"/>
              </w:rPr>
              <w:t>oordinator</w:t>
            </w:r>
          </w:p>
        </w:tc>
        <w:tc>
          <w:tcPr>
            <w:tcW w:w="1532" w:type="dxa"/>
            <w:vAlign w:val="center"/>
          </w:tcPr>
          <w:p w:rsidR="00685BE5" w:rsidRPr="004D7225" w:rsidRDefault="00685BE5" w:rsidP="009B3426">
            <w:pPr>
              <w:spacing w:before="20" w:after="20"/>
              <w:ind w:right="487"/>
              <w:jc w:val="right"/>
              <w:rPr>
                <w:rFonts w:ascii="Calibri" w:eastAsia="Times New Roman" w:hAnsi="Calibri" w:cs="Calibri"/>
                <w:snapToGrid w:val="0"/>
                <w:sz w:val="19"/>
                <w:szCs w:val="19"/>
              </w:rPr>
            </w:pPr>
            <w:r w:rsidRPr="004D7225">
              <w:rPr>
                <w:rFonts w:ascii="Calibri" w:eastAsia="Times New Roman" w:hAnsi="Calibri" w:cs="Calibri"/>
                <w:snapToGrid w:val="0"/>
                <w:sz w:val="19"/>
                <w:szCs w:val="19"/>
              </w:rPr>
              <w:t>266</w:t>
            </w:r>
          </w:p>
        </w:tc>
        <w:tc>
          <w:tcPr>
            <w:tcW w:w="1587" w:type="dxa"/>
            <w:vAlign w:val="center"/>
          </w:tcPr>
          <w:p w:rsidR="00685BE5" w:rsidRPr="004D7225" w:rsidRDefault="00685BE5" w:rsidP="008E5884">
            <w:pPr>
              <w:spacing w:before="20" w:after="20"/>
              <w:ind w:right="515"/>
              <w:jc w:val="right"/>
              <w:rPr>
                <w:rFonts w:ascii="Calibri" w:hAnsi="Calibri" w:cs="Calibri"/>
                <w:color w:val="000000"/>
                <w:sz w:val="19"/>
                <w:szCs w:val="19"/>
              </w:rPr>
            </w:pPr>
            <w:r w:rsidRPr="004D7225">
              <w:rPr>
                <w:rFonts w:ascii="Calibri" w:hAnsi="Calibri" w:cs="Calibri"/>
                <w:color w:val="000000"/>
                <w:sz w:val="19"/>
                <w:szCs w:val="19"/>
              </w:rPr>
              <w:t>62.1</w:t>
            </w:r>
          </w:p>
        </w:tc>
        <w:tc>
          <w:tcPr>
            <w:tcW w:w="1732" w:type="dxa"/>
            <w:vAlign w:val="center"/>
          </w:tcPr>
          <w:p w:rsidR="00685BE5" w:rsidRPr="004D7225" w:rsidRDefault="00685BE5" w:rsidP="009B3426">
            <w:pPr>
              <w:spacing w:before="20" w:after="20"/>
              <w:ind w:right="571"/>
              <w:jc w:val="right"/>
              <w:rPr>
                <w:rFonts w:ascii="Calibri" w:hAnsi="Calibri" w:cs="Calibri"/>
                <w:color w:val="000000"/>
                <w:sz w:val="19"/>
                <w:szCs w:val="19"/>
              </w:rPr>
            </w:pPr>
            <w:r w:rsidRPr="004D7225">
              <w:rPr>
                <w:rFonts w:ascii="Calibri" w:hAnsi="Calibri" w:cs="Calibri"/>
                <w:color w:val="000000"/>
                <w:sz w:val="19"/>
                <w:szCs w:val="19"/>
              </w:rPr>
              <w:t>20.2</w:t>
            </w:r>
          </w:p>
        </w:tc>
        <w:tc>
          <w:tcPr>
            <w:tcW w:w="1559" w:type="dxa"/>
            <w:vAlign w:val="center"/>
          </w:tcPr>
          <w:p w:rsidR="00685BE5" w:rsidRPr="004D7225" w:rsidRDefault="00685BE5" w:rsidP="00CC6F32">
            <w:pPr>
              <w:spacing w:before="20" w:after="20"/>
              <w:ind w:right="459"/>
              <w:jc w:val="right"/>
              <w:rPr>
                <w:rFonts w:ascii="Calibri" w:eastAsia="Times New Roman" w:hAnsi="Calibri" w:cs="Calibri"/>
                <w:snapToGrid w:val="0"/>
                <w:sz w:val="19"/>
                <w:szCs w:val="19"/>
              </w:rPr>
            </w:pPr>
            <w:r w:rsidRPr="004D7225">
              <w:rPr>
                <w:rFonts w:ascii="Calibri" w:eastAsia="Times New Roman" w:hAnsi="Calibri" w:cs="Calibri"/>
                <w:snapToGrid w:val="0"/>
                <w:sz w:val="19"/>
                <w:szCs w:val="19"/>
              </w:rPr>
              <w:t>0.5</w:t>
            </w:r>
          </w:p>
        </w:tc>
      </w:tr>
      <w:tr w:rsidR="00685BE5" w:rsidRPr="004D7225" w:rsidTr="00077E06">
        <w:trPr>
          <w:trHeight w:val="340"/>
        </w:trPr>
        <w:tc>
          <w:tcPr>
            <w:tcW w:w="3713" w:type="dxa"/>
            <w:vAlign w:val="center"/>
          </w:tcPr>
          <w:p w:rsidR="00685BE5" w:rsidRPr="004D7225" w:rsidRDefault="00685BE5" w:rsidP="009B3426">
            <w:pPr>
              <w:spacing w:before="20" w:after="20"/>
              <w:rPr>
                <w:rFonts w:ascii="Calibri" w:eastAsia="Times New Roman" w:hAnsi="Calibri" w:cs="Calibri"/>
                <w:sz w:val="19"/>
                <w:szCs w:val="19"/>
              </w:rPr>
            </w:pPr>
            <w:r w:rsidRPr="004D7225">
              <w:rPr>
                <w:rFonts w:ascii="Calibri" w:eastAsia="Times New Roman" w:hAnsi="Calibri" w:cs="Calibri"/>
                <w:sz w:val="19"/>
                <w:szCs w:val="19"/>
              </w:rPr>
              <w:t>Social worker/</w:t>
            </w:r>
            <w:r>
              <w:rPr>
                <w:rFonts w:ascii="Calibri" w:eastAsia="Times New Roman" w:hAnsi="Calibri" w:cs="Calibri"/>
                <w:sz w:val="19"/>
                <w:szCs w:val="19"/>
              </w:rPr>
              <w:t>d</w:t>
            </w:r>
            <w:r w:rsidRPr="004D7225">
              <w:rPr>
                <w:rFonts w:ascii="Calibri" w:eastAsia="Times New Roman" w:hAnsi="Calibri" w:cs="Calibri"/>
                <w:sz w:val="19"/>
                <w:szCs w:val="19"/>
              </w:rPr>
              <w:t>isability case coordinator</w:t>
            </w:r>
          </w:p>
        </w:tc>
        <w:tc>
          <w:tcPr>
            <w:tcW w:w="1532" w:type="dxa"/>
            <w:vAlign w:val="center"/>
          </w:tcPr>
          <w:p w:rsidR="00685BE5" w:rsidRPr="004D7225" w:rsidRDefault="00685BE5" w:rsidP="009B3426">
            <w:pPr>
              <w:spacing w:before="20" w:after="20"/>
              <w:ind w:right="487"/>
              <w:jc w:val="right"/>
              <w:rPr>
                <w:rFonts w:ascii="Calibri" w:eastAsia="Times New Roman" w:hAnsi="Calibri" w:cs="Calibri"/>
                <w:snapToGrid w:val="0"/>
                <w:sz w:val="19"/>
                <w:szCs w:val="19"/>
              </w:rPr>
            </w:pPr>
            <w:r w:rsidRPr="004D7225">
              <w:rPr>
                <w:rFonts w:ascii="Calibri" w:eastAsia="Times New Roman" w:hAnsi="Calibri" w:cs="Calibri"/>
                <w:snapToGrid w:val="0"/>
                <w:sz w:val="19"/>
                <w:szCs w:val="19"/>
              </w:rPr>
              <w:t>158</w:t>
            </w:r>
          </w:p>
        </w:tc>
        <w:tc>
          <w:tcPr>
            <w:tcW w:w="1587" w:type="dxa"/>
            <w:vAlign w:val="center"/>
          </w:tcPr>
          <w:p w:rsidR="00685BE5" w:rsidRPr="004D7225" w:rsidRDefault="00685BE5" w:rsidP="008E5884">
            <w:pPr>
              <w:spacing w:before="20" w:after="20"/>
              <w:ind w:right="515"/>
              <w:jc w:val="right"/>
              <w:rPr>
                <w:rFonts w:ascii="Calibri" w:hAnsi="Calibri" w:cs="Calibri"/>
                <w:color w:val="000000"/>
                <w:sz w:val="19"/>
                <w:szCs w:val="19"/>
              </w:rPr>
            </w:pPr>
            <w:r w:rsidRPr="004D7225">
              <w:rPr>
                <w:rFonts w:ascii="Calibri" w:hAnsi="Calibri" w:cs="Calibri"/>
                <w:color w:val="000000"/>
                <w:sz w:val="19"/>
                <w:szCs w:val="19"/>
              </w:rPr>
              <w:t>66.4</w:t>
            </w:r>
          </w:p>
        </w:tc>
        <w:tc>
          <w:tcPr>
            <w:tcW w:w="1732" w:type="dxa"/>
            <w:vAlign w:val="center"/>
          </w:tcPr>
          <w:p w:rsidR="00685BE5" w:rsidRPr="004D7225" w:rsidRDefault="00685BE5" w:rsidP="009B3426">
            <w:pPr>
              <w:spacing w:before="20" w:after="20"/>
              <w:ind w:right="571"/>
              <w:jc w:val="right"/>
              <w:rPr>
                <w:rFonts w:ascii="Calibri" w:hAnsi="Calibri" w:cs="Calibri"/>
                <w:color w:val="000000"/>
                <w:sz w:val="19"/>
                <w:szCs w:val="19"/>
              </w:rPr>
            </w:pPr>
            <w:r w:rsidRPr="004D7225">
              <w:rPr>
                <w:rFonts w:ascii="Calibri" w:hAnsi="Calibri" w:cs="Calibri"/>
                <w:color w:val="000000"/>
                <w:sz w:val="19"/>
                <w:szCs w:val="19"/>
              </w:rPr>
              <w:t>11.3</w:t>
            </w:r>
          </w:p>
        </w:tc>
        <w:tc>
          <w:tcPr>
            <w:tcW w:w="1559" w:type="dxa"/>
            <w:vAlign w:val="center"/>
          </w:tcPr>
          <w:p w:rsidR="00685BE5" w:rsidRPr="004D7225" w:rsidRDefault="00685BE5" w:rsidP="00CC6F32">
            <w:pPr>
              <w:spacing w:before="20" w:after="20"/>
              <w:ind w:right="459"/>
              <w:jc w:val="right"/>
              <w:rPr>
                <w:rFonts w:ascii="Calibri" w:eastAsia="Times New Roman" w:hAnsi="Calibri" w:cs="Calibri"/>
                <w:snapToGrid w:val="0"/>
                <w:sz w:val="19"/>
                <w:szCs w:val="19"/>
              </w:rPr>
            </w:pPr>
            <w:r w:rsidRPr="004D7225">
              <w:rPr>
                <w:rFonts w:ascii="Calibri" w:eastAsia="Times New Roman" w:hAnsi="Calibri" w:cs="Calibri"/>
                <w:snapToGrid w:val="0"/>
                <w:sz w:val="19"/>
                <w:szCs w:val="19"/>
              </w:rPr>
              <w:t>0.3</w:t>
            </w:r>
          </w:p>
        </w:tc>
      </w:tr>
      <w:tr w:rsidR="00685BE5" w:rsidRPr="004D7225" w:rsidTr="00077E06">
        <w:trPr>
          <w:trHeight w:val="340"/>
        </w:trPr>
        <w:tc>
          <w:tcPr>
            <w:tcW w:w="3713" w:type="dxa"/>
            <w:vAlign w:val="center"/>
          </w:tcPr>
          <w:p w:rsidR="00685BE5" w:rsidRPr="004D7225" w:rsidRDefault="00685BE5" w:rsidP="009B3426">
            <w:pPr>
              <w:spacing w:before="20" w:after="20"/>
              <w:rPr>
                <w:rFonts w:ascii="Calibri" w:eastAsia="Times New Roman" w:hAnsi="Calibri" w:cs="Calibri"/>
                <w:sz w:val="19"/>
                <w:szCs w:val="19"/>
              </w:rPr>
            </w:pPr>
            <w:r w:rsidRPr="004D7225">
              <w:rPr>
                <w:rFonts w:ascii="Calibri" w:eastAsia="Times New Roman" w:hAnsi="Calibri" w:cs="Calibri"/>
                <w:sz w:val="19"/>
                <w:szCs w:val="19"/>
              </w:rPr>
              <w:t>Employment support worker</w:t>
            </w:r>
          </w:p>
        </w:tc>
        <w:tc>
          <w:tcPr>
            <w:tcW w:w="1532" w:type="dxa"/>
            <w:vAlign w:val="center"/>
          </w:tcPr>
          <w:p w:rsidR="00685BE5" w:rsidRPr="004D7225" w:rsidRDefault="00685BE5" w:rsidP="009B3426">
            <w:pPr>
              <w:spacing w:before="20" w:after="20"/>
              <w:ind w:right="487"/>
              <w:jc w:val="right"/>
              <w:rPr>
                <w:rFonts w:ascii="Calibri" w:eastAsia="Times New Roman" w:hAnsi="Calibri" w:cs="Calibri"/>
                <w:snapToGrid w:val="0"/>
                <w:sz w:val="19"/>
                <w:szCs w:val="19"/>
              </w:rPr>
            </w:pPr>
            <w:r w:rsidRPr="004D7225">
              <w:rPr>
                <w:rFonts w:ascii="Calibri" w:eastAsia="Times New Roman" w:hAnsi="Calibri" w:cs="Calibri"/>
                <w:snapToGrid w:val="0"/>
                <w:sz w:val="19"/>
                <w:szCs w:val="19"/>
              </w:rPr>
              <w:t>121</w:t>
            </w:r>
          </w:p>
        </w:tc>
        <w:tc>
          <w:tcPr>
            <w:tcW w:w="1587" w:type="dxa"/>
            <w:vAlign w:val="center"/>
          </w:tcPr>
          <w:p w:rsidR="00685BE5" w:rsidRPr="004D7225" w:rsidRDefault="00685BE5" w:rsidP="008E5884">
            <w:pPr>
              <w:spacing w:before="20" w:after="20"/>
              <w:ind w:right="515"/>
              <w:jc w:val="right"/>
              <w:rPr>
                <w:rFonts w:ascii="Calibri" w:hAnsi="Calibri" w:cs="Calibri"/>
                <w:color w:val="000000"/>
                <w:sz w:val="19"/>
                <w:szCs w:val="19"/>
              </w:rPr>
            </w:pPr>
            <w:r w:rsidRPr="004D7225">
              <w:rPr>
                <w:rFonts w:ascii="Calibri" w:hAnsi="Calibri" w:cs="Calibri"/>
                <w:color w:val="000000"/>
                <w:sz w:val="19"/>
                <w:szCs w:val="19"/>
              </w:rPr>
              <w:t>70.4</w:t>
            </w:r>
          </w:p>
        </w:tc>
        <w:tc>
          <w:tcPr>
            <w:tcW w:w="1732" w:type="dxa"/>
            <w:vAlign w:val="center"/>
          </w:tcPr>
          <w:p w:rsidR="00685BE5" w:rsidRPr="004D7225" w:rsidRDefault="00685BE5" w:rsidP="009B3426">
            <w:pPr>
              <w:spacing w:before="20" w:after="20"/>
              <w:ind w:right="571"/>
              <w:jc w:val="right"/>
              <w:rPr>
                <w:rFonts w:ascii="Calibri" w:hAnsi="Calibri" w:cs="Calibri"/>
                <w:color w:val="000000"/>
                <w:sz w:val="19"/>
                <w:szCs w:val="19"/>
              </w:rPr>
            </w:pPr>
            <w:r w:rsidRPr="004D7225">
              <w:rPr>
                <w:rFonts w:ascii="Calibri" w:hAnsi="Calibri" w:cs="Calibri"/>
                <w:color w:val="000000"/>
                <w:sz w:val="19"/>
                <w:szCs w:val="19"/>
              </w:rPr>
              <w:t>5.9</w:t>
            </w:r>
          </w:p>
        </w:tc>
        <w:tc>
          <w:tcPr>
            <w:tcW w:w="1559" w:type="dxa"/>
            <w:vAlign w:val="center"/>
          </w:tcPr>
          <w:p w:rsidR="00685BE5" w:rsidRPr="004D7225" w:rsidRDefault="00685BE5" w:rsidP="00CC6F32">
            <w:pPr>
              <w:spacing w:before="20" w:after="20"/>
              <w:ind w:right="459"/>
              <w:jc w:val="right"/>
              <w:rPr>
                <w:rFonts w:ascii="Calibri" w:eastAsia="Times New Roman" w:hAnsi="Calibri" w:cs="Calibri"/>
                <w:snapToGrid w:val="0"/>
                <w:sz w:val="19"/>
                <w:szCs w:val="19"/>
              </w:rPr>
            </w:pPr>
            <w:r w:rsidRPr="004D7225">
              <w:rPr>
                <w:rFonts w:ascii="Calibri" w:eastAsia="Times New Roman" w:hAnsi="Calibri" w:cs="Calibri"/>
                <w:snapToGrid w:val="0"/>
                <w:sz w:val="19"/>
                <w:szCs w:val="19"/>
              </w:rPr>
              <w:t>0.2</w:t>
            </w:r>
          </w:p>
        </w:tc>
      </w:tr>
      <w:tr w:rsidR="00685BE5" w:rsidRPr="004D7225" w:rsidTr="00077E06">
        <w:trPr>
          <w:trHeight w:val="340"/>
        </w:trPr>
        <w:tc>
          <w:tcPr>
            <w:tcW w:w="3713" w:type="dxa"/>
            <w:vAlign w:val="center"/>
          </w:tcPr>
          <w:p w:rsidR="00685BE5" w:rsidRPr="004D7225" w:rsidRDefault="00685BE5" w:rsidP="009B3426">
            <w:pPr>
              <w:spacing w:before="20" w:after="20"/>
              <w:rPr>
                <w:rFonts w:ascii="Calibri" w:eastAsia="Times New Roman" w:hAnsi="Calibri" w:cs="Calibri"/>
                <w:sz w:val="19"/>
                <w:szCs w:val="19"/>
              </w:rPr>
            </w:pPr>
            <w:r w:rsidRPr="004D7225">
              <w:rPr>
                <w:rFonts w:ascii="Calibri" w:eastAsia="Times New Roman" w:hAnsi="Calibri" w:cs="Calibri"/>
                <w:sz w:val="19"/>
                <w:szCs w:val="19"/>
              </w:rPr>
              <w:t>Peer support worker</w:t>
            </w:r>
          </w:p>
        </w:tc>
        <w:tc>
          <w:tcPr>
            <w:tcW w:w="1532" w:type="dxa"/>
            <w:vAlign w:val="center"/>
          </w:tcPr>
          <w:p w:rsidR="00685BE5" w:rsidRPr="004D7225" w:rsidRDefault="00685BE5" w:rsidP="009B3426">
            <w:pPr>
              <w:spacing w:before="20" w:after="20"/>
              <w:ind w:right="487"/>
              <w:jc w:val="right"/>
              <w:rPr>
                <w:rFonts w:ascii="Calibri" w:eastAsia="Times New Roman" w:hAnsi="Calibri" w:cs="Calibri"/>
                <w:snapToGrid w:val="0"/>
                <w:sz w:val="19"/>
                <w:szCs w:val="19"/>
              </w:rPr>
            </w:pPr>
            <w:r w:rsidRPr="004D7225">
              <w:rPr>
                <w:rFonts w:ascii="Calibri" w:eastAsia="Times New Roman" w:hAnsi="Calibri" w:cs="Calibri"/>
                <w:snapToGrid w:val="0"/>
                <w:sz w:val="19"/>
                <w:szCs w:val="19"/>
              </w:rPr>
              <w:t>124</w:t>
            </w:r>
          </w:p>
        </w:tc>
        <w:tc>
          <w:tcPr>
            <w:tcW w:w="1587" w:type="dxa"/>
            <w:vAlign w:val="center"/>
          </w:tcPr>
          <w:p w:rsidR="00685BE5" w:rsidRPr="004D7225" w:rsidRDefault="00685BE5" w:rsidP="008E5884">
            <w:pPr>
              <w:spacing w:before="20" w:after="20"/>
              <w:ind w:right="515"/>
              <w:jc w:val="right"/>
              <w:rPr>
                <w:rFonts w:ascii="Calibri" w:hAnsi="Calibri" w:cs="Calibri"/>
                <w:color w:val="000000"/>
                <w:sz w:val="19"/>
                <w:szCs w:val="19"/>
              </w:rPr>
            </w:pPr>
            <w:r w:rsidRPr="004D7225">
              <w:rPr>
                <w:rFonts w:ascii="Calibri" w:hAnsi="Calibri" w:cs="Calibri"/>
                <w:color w:val="000000"/>
                <w:sz w:val="19"/>
                <w:szCs w:val="19"/>
              </w:rPr>
              <w:t>71.7</w:t>
            </w:r>
          </w:p>
        </w:tc>
        <w:tc>
          <w:tcPr>
            <w:tcW w:w="1732" w:type="dxa"/>
            <w:vAlign w:val="center"/>
          </w:tcPr>
          <w:p w:rsidR="00685BE5" w:rsidRPr="004D7225" w:rsidRDefault="00685BE5" w:rsidP="009B3426">
            <w:pPr>
              <w:spacing w:before="20" w:after="20"/>
              <w:ind w:right="571"/>
              <w:jc w:val="right"/>
              <w:rPr>
                <w:rFonts w:ascii="Calibri" w:hAnsi="Calibri" w:cs="Calibri"/>
                <w:color w:val="000000"/>
                <w:sz w:val="19"/>
                <w:szCs w:val="19"/>
              </w:rPr>
            </w:pPr>
            <w:r w:rsidRPr="004D7225">
              <w:rPr>
                <w:rFonts w:ascii="Calibri" w:hAnsi="Calibri" w:cs="Calibri"/>
                <w:color w:val="000000"/>
                <w:sz w:val="19"/>
                <w:szCs w:val="19"/>
              </w:rPr>
              <w:t>5.2</w:t>
            </w:r>
          </w:p>
        </w:tc>
        <w:tc>
          <w:tcPr>
            <w:tcW w:w="1559" w:type="dxa"/>
            <w:vAlign w:val="center"/>
          </w:tcPr>
          <w:p w:rsidR="00685BE5" w:rsidRPr="004D7225" w:rsidRDefault="00685BE5" w:rsidP="00CC6F32">
            <w:pPr>
              <w:spacing w:before="20" w:after="20"/>
              <w:ind w:right="459"/>
              <w:jc w:val="right"/>
              <w:rPr>
                <w:rFonts w:ascii="Calibri" w:eastAsia="Times New Roman" w:hAnsi="Calibri" w:cs="Calibri"/>
                <w:snapToGrid w:val="0"/>
                <w:sz w:val="19"/>
                <w:szCs w:val="19"/>
              </w:rPr>
            </w:pPr>
            <w:r w:rsidRPr="004D7225">
              <w:rPr>
                <w:rFonts w:ascii="Calibri" w:eastAsia="Times New Roman" w:hAnsi="Calibri" w:cs="Calibri"/>
                <w:snapToGrid w:val="0"/>
                <w:sz w:val="19"/>
                <w:szCs w:val="19"/>
              </w:rPr>
              <w:t>0.2</w:t>
            </w:r>
          </w:p>
        </w:tc>
      </w:tr>
      <w:tr w:rsidR="00685BE5" w:rsidRPr="004D7225" w:rsidTr="00077E06">
        <w:trPr>
          <w:trHeight w:val="340"/>
        </w:trPr>
        <w:tc>
          <w:tcPr>
            <w:tcW w:w="3713" w:type="dxa"/>
            <w:vAlign w:val="center"/>
          </w:tcPr>
          <w:p w:rsidR="00685BE5" w:rsidRPr="004D7225" w:rsidRDefault="00685BE5" w:rsidP="009B3426">
            <w:pPr>
              <w:spacing w:before="20" w:after="20"/>
              <w:rPr>
                <w:rFonts w:ascii="Calibri" w:eastAsia="Times New Roman" w:hAnsi="Calibri" w:cs="Calibri"/>
                <w:sz w:val="19"/>
                <w:szCs w:val="19"/>
              </w:rPr>
            </w:pPr>
            <w:r w:rsidRPr="004D7225">
              <w:rPr>
                <w:rFonts w:ascii="Calibri" w:eastAsia="Times New Roman" w:hAnsi="Calibri" w:cs="Calibri"/>
                <w:sz w:val="19"/>
                <w:szCs w:val="19"/>
              </w:rPr>
              <w:t>Allied health worker</w:t>
            </w:r>
          </w:p>
        </w:tc>
        <w:tc>
          <w:tcPr>
            <w:tcW w:w="1532" w:type="dxa"/>
            <w:vAlign w:val="center"/>
          </w:tcPr>
          <w:p w:rsidR="00685BE5" w:rsidRPr="004D7225" w:rsidRDefault="00685BE5" w:rsidP="009B3426">
            <w:pPr>
              <w:spacing w:before="20" w:after="20"/>
              <w:ind w:right="487"/>
              <w:jc w:val="right"/>
              <w:rPr>
                <w:rFonts w:ascii="Calibri" w:eastAsia="Times New Roman" w:hAnsi="Calibri" w:cs="Calibri"/>
                <w:snapToGrid w:val="0"/>
                <w:sz w:val="19"/>
                <w:szCs w:val="19"/>
              </w:rPr>
            </w:pPr>
            <w:r w:rsidRPr="004D7225">
              <w:rPr>
                <w:rFonts w:ascii="Calibri" w:eastAsia="Times New Roman" w:hAnsi="Calibri" w:cs="Calibri"/>
                <w:snapToGrid w:val="0"/>
                <w:sz w:val="19"/>
                <w:szCs w:val="19"/>
              </w:rPr>
              <w:t>298</w:t>
            </w:r>
          </w:p>
        </w:tc>
        <w:tc>
          <w:tcPr>
            <w:tcW w:w="1587" w:type="dxa"/>
            <w:vAlign w:val="center"/>
          </w:tcPr>
          <w:p w:rsidR="00685BE5" w:rsidRPr="004D7225" w:rsidRDefault="00685BE5" w:rsidP="008E5884">
            <w:pPr>
              <w:spacing w:before="20" w:after="20"/>
              <w:ind w:right="515"/>
              <w:jc w:val="right"/>
              <w:rPr>
                <w:rFonts w:ascii="Calibri" w:hAnsi="Calibri" w:cs="Calibri"/>
                <w:color w:val="000000"/>
                <w:sz w:val="19"/>
                <w:szCs w:val="19"/>
              </w:rPr>
            </w:pPr>
            <w:r w:rsidRPr="004D7225">
              <w:rPr>
                <w:rFonts w:ascii="Calibri" w:hAnsi="Calibri" w:cs="Calibri"/>
                <w:color w:val="000000"/>
                <w:sz w:val="19"/>
                <w:szCs w:val="19"/>
              </w:rPr>
              <w:t>63.6</w:t>
            </w:r>
          </w:p>
        </w:tc>
        <w:tc>
          <w:tcPr>
            <w:tcW w:w="1732" w:type="dxa"/>
            <w:vAlign w:val="center"/>
          </w:tcPr>
          <w:p w:rsidR="00685BE5" w:rsidRPr="004D7225" w:rsidRDefault="00685BE5" w:rsidP="009B3426">
            <w:pPr>
              <w:spacing w:before="20" w:after="20"/>
              <w:ind w:right="571"/>
              <w:jc w:val="right"/>
              <w:rPr>
                <w:rFonts w:ascii="Calibri" w:hAnsi="Calibri" w:cs="Calibri"/>
                <w:color w:val="000000"/>
                <w:sz w:val="19"/>
                <w:szCs w:val="19"/>
              </w:rPr>
            </w:pPr>
            <w:r w:rsidRPr="004D7225">
              <w:rPr>
                <w:rFonts w:ascii="Calibri" w:hAnsi="Calibri" w:cs="Calibri"/>
                <w:color w:val="000000"/>
                <w:sz w:val="19"/>
                <w:szCs w:val="19"/>
              </w:rPr>
              <w:t>17.9</w:t>
            </w:r>
          </w:p>
        </w:tc>
        <w:tc>
          <w:tcPr>
            <w:tcW w:w="1559" w:type="dxa"/>
            <w:vAlign w:val="center"/>
          </w:tcPr>
          <w:p w:rsidR="00685BE5" w:rsidRPr="004D7225" w:rsidRDefault="00685BE5" w:rsidP="00CC6F32">
            <w:pPr>
              <w:spacing w:before="20" w:after="20"/>
              <w:ind w:right="459"/>
              <w:jc w:val="right"/>
              <w:rPr>
                <w:rFonts w:ascii="Calibri" w:eastAsia="Times New Roman" w:hAnsi="Calibri" w:cs="Calibri"/>
                <w:snapToGrid w:val="0"/>
                <w:sz w:val="19"/>
                <w:szCs w:val="19"/>
              </w:rPr>
            </w:pPr>
            <w:r w:rsidRPr="004D7225">
              <w:rPr>
                <w:rFonts w:ascii="Calibri" w:eastAsia="Times New Roman" w:hAnsi="Calibri" w:cs="Calibri"/>
                <w:snapToGrid w:val="0"/>
                <w:sz w:val="19"/>
                <w:szCs w:val="19"/>
              </w:rPr>
              <w:t>0.5</w:t>
            </w:r>
          </w:p>
        </w:tc>
      </w:tr>
      <w:tr w:rsidR="00685BE5" w:rsidRPr="004D7225" w:rsidTr="00077E06">
        <w:trPr>
          <w:trHeight w:val="340"/>
        </w:trPr>
        <w:tc>
          <w:tcPr>
            <w:tcW w:w="3713" w:type="dxa"/>
            <w:tcBorders>
              <w:bottom w:val="single" w:sz="4" w:space="0" w:color="auto"/>
            </w:tcBorders>
            <w:vAlign w:val="center"/>
          </w:tcPr>
          <w:p w:rsidR="00685BE5" w:rsidRPr="004D7225" w:rsidRDefault="00685BE5" w:rsidP="009B3426">
            <w:pPr>
              <w:spacing w:before="20" w:after="20"/>
              <w:rPr>
                <w:rFonts w:ascii="Calibri" w:eastAsia="Times New Roman" w:hAnsi="Calibri" w:cs="Calibri"/>
                <w:sz w:val="19"/>
                <w:szCs w:val="19"/>
              </w:rPr>
            </w:pPr>
            <w:r w:rsidRPr="004D7225">
              <w:rPr>
                <w:rFonts w:ascii="Calibri" w:eastAsia="Times New Roman" w:hAnsi="Calibri" w:cs="Calibri"/>
                <w:sz w:val="19"/>
                <w:szCs w:val="19"/>
              </w:rPr>
              <w:t>Other</w:t>
            </w:r>
          </w:p>
        </w:tc>
        <w:tc>
          <w:tcPr>
            <w:tcW w:w="1532" w:type="dxa"/>
            <w:tcBorders>
              <w:bottom w:val="single" w:sz="4" w:space="0" w:color="auto"/>
            </w:tcBorders>
            <w:vAlign w:val="center"/>
          </w:tcPr>
          <w:p w:rsidR="00685BE5" w:rsidRPr="004D7225" w:rsidRDefault="00685BE5" w:rsidP="009B3426">
            <w:pPr>
              <w:spacing w:before="20" w:after="20"/>
              <w:ind w:right="487"/>
              <w:jc w:val="right"/>
              <w:rPr>
                <w:rFonts w:ascii="Calibri" w:eastAsia="Times New Roman" w:hAnsi="Calibri" w:cs="Calibri"/>
                <w:snapToGrid w:val="0"/>
                <w:sz w:val="19"/>
                <w:szCs w:val="19"/>
              </w:rPr>
            </w:pPr>
            <w:r w:rsidRPr="004D7225">
              <w:rPr>
                <w:rFonts w:ascii="Calibri" w:eastAsia="Times New Roman" w:hAnsi="Calibri" w:cs="Calibri"/>
                <w:snapToGrid w:val="0"/>
                <w:sz w:val="19"/>
                <w:szCs w:val="19"/>
              </w:rPr>
              <w:t>84</w:t>
            </w:r>
          </w:p>
        </w:tc>
        <w:tc>
          <w:tcPr>
            <w:tcW w:w="1587" w:type="dxa"/>
            <w:tcBorders>
              <w:bottom w:val="single" w:sz="4" w:space="0" w:color="auto"/>
            </w:tcBorders>
            <w:vAlign w:val="center"/>
          </w:tcPr>
          <w:p w:rsidR="00685BE5" w:rsidRPr="004D7225" w:rsidRDefault="00685BE5" w:rsidP="008E5884">
            <w:pPr>
              <w:spacing w:before="20" w:after="20"/>
              <w:ind w:right="515"/>
              <w:jc w:val="right"/>
              <w:rPr>
                <w:rFonts w:ascii="Calibri" w:hAnsi="Calibri" w:cs="Calibri"/>
                <w:color w:val="000000"/>
                <w:sz w:val="19"/>
                <w:szCs w:val="19"/>
              </w:rPr>
            </w:pPr>
            <w:r w:rsidRPr="004D7225">
              <w:rPr>
                <w:rFonts w:ascii="Calibri" w:hAnsi="Calibri" w:cs="Calibri"/>
                <w:color w:val="000000"/>
                <w:sz w:val="19"/>
                <w:szCs w:val="19"/>
              </w:rPr>
              <w:t>65.4</w:t>
            </w:r>
          </w:p>
        </w:tc>
        <w:tc>
          <w:tcPr>
            <w:tcW w:w="1732" w:type="dxa"/>
            <w:tcBorders>
              <w:bottom w:val="single" w:sz="4" w:space="0" w:color="auto"/>
            </w:tcBorders>
            <w:vAlign w:val="center"/>
          </w:tcPr>
          <w:p w:rsidR="00685BE5" w:rsidRPr="004D7225" w:rsidRDefault="00685BE5" w:rsidP="009B3426">
            <w:pPr>
              <w:spacing w:before="20" w:after="20"/>
              <w:ind w:right="571"/>
              <w:jc w:val="right"/>
              <w:rPr>
                <w:rFonts w:ascii="Calibri" w:hAnsi="Calibri" w:cs="Calibri"/>
                <w:color w:val="000000"/>
                <w:sz w:val="19"/>
                <w:szCs w:val="19"/>
              </w:rPr>
            </w:pPr>
            <w:r w:rsidRPr="004D7225">
              <w:rPr>
                <w:rFonts w:ascii="Calibri" w:hAnsi="Calibri" w:cs="Calibri"/>
                <w:color w:val="000000"/>
                <w:sz w:val="19"/>
                <w:szCs w:val="19"/>
              </w:rPr>
              <w:t>5.6</w:t>
            </w:r>
          </w:p>
        </w:tc>
        <w:tc>
          <w:tcPr>
            <w:tcW w:w="1559" w:type="dxa"/>
            <w:tcBorders>
              <w:bottom w:val="single" w:sz="4" w:space="0" w:color="auto"/>
            </w:tcBorders>
            <w:vAlign w:val="center"/>
          </w:tcPr>
          <w:p w:rsidR="00685BE5" w:rsidRPr="004D7225" w:rsidRDefault="00685BE5" w:rsidP="00CC6F32">
            <w:pPr>
              <w:spacing w:before="20" w:after="20"/>
              <w:ind w:right="459"/>
              <w:jc w:val="right"/>
              <w:rPr>
                <w:rFonts w:ascii="Calibri" w:eastAsia="Times New Roman" w:hAnsi="Calibri" w:cs="Calibri"/>
                <w:snapToGrid w:val="0"/>
                <w:sz w:val="19"/>
                <w:szCs w:val="19"/>
              </w:rPr>
            </w:pPr>
            <w:r w:rsidRPr="004D7225">
              <w:rPr>
                <w:rFonts w:ascii="Calibri" w:eastAsia="Times New Roman" w:hAnsi="Calibri" w:cs="Calibri"/>
                <w:snapToGrid w:val="0"/>
                <w:sz w:val="19"/>
                <w:szCs w:val="19"/>
              </w:rPr>
              <w:t>0.2</w:t>
            </w:r>
          </w:p>
        </w:tc>
      </w:tr>
      <w:tr w:rsidR="00685BE5" w:rsidRPr="004D7225" w:rsidTr="00077E06">
        <w:trPr>
          <w:trHeight w:val="340"/>
        </w:trPr>
        <w:tc>
          <w:tcPr>
            <w:tcW w:w="3713" w:type="dxa"/>
            <w:tcBorders>
              <w:bottom w:val="single" w:sz="4" w:space="0" w:color="auto"/>
            </w:tcBorders>
            <w:vAlign w:val="center"/>
          </w:tcPr>
          <w:p w:rsidR="00685BE5" w:rsidRPr="004D7225" w:rsidRDefault="00685BE5" w:rsidP="009B3426">
            <w:pPr>
              <w:spacing w:before="20" w:after="20"/>
              <w:rPr>
                <w:rFonts w:ascii="Calibri" w:eastAsia="Times New Roman" w:hAnsi="Calibri" w:cs="Calibri"/>
                <w:b/>
                <w:sz w:val="19"/>
                <w:szCs w:val="19"/>
              </w:rPr>
            </w:pPr>
            <w:r w:rsidRPr="004D7225">
              <w:rPr>
                <w:rFonts w:ascii="Calibri" w:eastAsia="Times New Roman" w:hAnsi="Calibri" w:cs="Calibri"/>
                <w:b/>
                <w:sz w:val="19"/>
                <w:szCs w:val="19"/>
              </w:rPr>
              <w:t>For all occupations</w:t>
            </w:r>
          </w:p>
        </w:tc>
        <w:tc>
          <w:tcPr>
            <w:tcW w:w="1532" w:type="dxa"/>
            <w:tcBorders>
              <w:bottom w:val="single" w:sz="4" w:space="0" w:color="auto"/>
            </w:tcBorders>
            <w:vAlign w:val="center"/>
          </w:tcPr>
          <w:p w:rsidR="00685BE5" w:rsidRPr="004D7225" w:rsidRDefault="00685BE5" w:rsidP="009B3426">
            <w:pPr>
              <w:spacing w:before="20" w:after="20"/>
              <w:ind w:right="487"/>
              <w:jc w:val="right"/>
              <w:rPr>
                <w:rFonts w:ascii="Calibri" w:eastAsia="Times New Roman" w:hAnsi="Calibri" w:cs="Calibri"/>
                <w:b/>
                <w:snapToGrid w:val="0"/>
                <w:sz w:val="19"/>
                <w:szCs w:val="19"/>
              </w:rPr>
            </w:pPr>
            <w:r w:rsidRPr="004D7225">
              <w:rPr>
                <w:rFonts w:ascii="Calibri" w:eastAsia="Times New Roman" w:hAnsi="Calibri" w:cs="Calibri"/>
                <w:b/>
                <w:snapToGrid w:val="0"/>
                <w:sz w:val="19"/>
                <w:szCs w:val="19"/>
              </w:rPr>
              <w:t>5,817</w:t>
            </w:r>
          </w:p>
        </w:tc>
        <w:tc>
          <w:tcPr>
            <w:tcW w:w="1587" w:type="dxa"/>
            <w:tcBorders>
              <w:bottom w:val="single" w:sz="4" w:space="0" w:color="auto"/>
            </w:tcBorders>
            <w:vAlign w:val="center"/>
          </w:tcPr>
          <w:p w:rsidR="00685BE5" w:rsidRPr="004D7225" w:rsidRDefault="00685BE5" w:rsidP="008E5884">
            <w:pPr>
              <w:spacing w:before="20" w:after="20"/>
              <w:ind w:right="515"/>
              <w:jc w:val="right"/>
              <w:rPr>
                <w:rFonts w:ascii="Calibri" w:hAnsi="Calibri" w:cs="Calibri"/>
                <w:b/>
                <w:color w:val="000000"/>
                <w:sz w:val="19"/>
                <w:szCs w:val="19"/>
              </w:rPr>
            </w:pPr>
            <w:r w:rsidRPr="004D7225">
              <w:rPr>
                <w:rFonts w:ascii="Calibri" w:hAnsi="Calibri" w:cs="Calibri"/>
                <w:b/>
                <w:color w:val="000000"/>
                <w:sz w:val="19"/>
                <w:szCs w:val="19"/>
              </w:rPr>
              <w:t>28.1</w:t>
            </w:r>
          </w:p>
        </w:tc>
        <w:tc>
          <w:tcPr>
            <w:tcW w:w="1732" w:type="dxa"/>
            <w:tcBorders>
              <w:bottom w:val="single" w:sz="4" w:space="0" w:color="auto"/>
            </w:tcBorders>
            <w:vAlign w:val="center"/>
          </w:tcPr>
          <w:p w:rsidR="00685BE5" w:rsidRPr="004D7225" w:rsidRDefault="00685BE5" w:rsidP="009B3426">
            <w:pPr>
              <w:spacing w:before="20" w:after="20"/>
              <w:ind w:right="571"/>
              <w:jc w:val="right"/>
              <w:rPr>
                <w:rFonts w:ascii="Calibri" w:hAnsi="Calibri" w:cs="Calibri"/>
                <w:b/>
                <w:color w:val="000000"/>
                <w:sz w:val="19"/>
                <w:szCs w:val="19"/>
              </w:rPr>
            </w:pPr>
            <w:r w:rsidRPr="004D7225">
              <w:rPr>
                <w:rFonts w:ascii="Calibri" w:hAnsi="Calibri" w:cs="Calibri"/>
                <w:b/>
                <w:color w:val="000000"/>
                <w:sz w:val="19"/>
                <w:szCs w:val="19"/>
              </w:rPr>
              <w:t>65.4</w:t>
            </w:r>
          </w:p>
        </w:tc>
        <w:tc>
          <w:tcPr>
            <w:tcW w:w="1559" w:type="dxa"/>
            <w:tcBorders>
              <w:bottom w:val="single" w:sz="4" w:space="0" w:color="auto"/>
            </w:tcBorders>
            <w:vAlign w:val="center"/>
          </w:tcPr>
          <w:p w:rsidR="00685BE5" w:rsidRPr="004D7225" w:rsidRDefault="00685BE5" w:rsidP="00CC6F32">
            <w:pPr>
              <w:spacing w:before="20" w:after="20"/>
              <w:ind w:right="459"/>
              <w:jc w:val="right"/>
              <w:rPr>
                <w:rFonts w:ascii="Calibri" w:eastAsia="Times New Roman" w:hAnsi="Calibri" w:cs="Calibri"/>
                <w:b/>
                <w:snapToGrid w:val="0"/>
                <w:sz w:val="19"/>
                <w:szCs w:val="19"/>
              </w:rPr>
            </w:pPr>
            <w:r w:rsidRPr="004D7225">
              <w:rPr>
                <w:rFonts w:ascii="Calibri" w:eastAsia="Times New Roman" w:hAnsi="Calibri" w:cs="Calibri"/>
                <w:b/>
                <w:snapToGrid w:val="0"/>
                <w:sz w:val="19"/>
                <w:szCs w:val="19"/>
              </w:rPr>
              <w:t>8.9</w:t>
            </w:r>
          </w:p>
        </w:tc>
      </w:tr>
    </w:tbl>
    <w:p w:rsidR="00685BE5" w:rsidRDefault="00685BE5" w:rsidP="00AE4C3A">
      <w:pPr>
        <w:pStyle w:val="NILSReference"/>
      </w:pPr>
      <w:r w:rsidRPr="00E3331B">
        <w:t>Source: 2014 NDIS DSP outlet survey, Question C3.</w:t>
      </w:r>
    </w:p>
    <w:p w:rsidR="00685BE5" w:rsidRPr="00E3331B" w:rsidRDefault="00685BE5" w:rsidP="00AE4C3A">
      <w:pPr>
        <w:pStyle w:val="NILSReference"/>
      </w:pPr>
      <w:r>
        <w:t xml:space="preserve">Note: The average number of employees to hire per outlet is the number of employees to hire across all outlets divided by the total number of outlets answering the question; it includes intending to hire zero employees. </w:t>
      </w:r>
      <w:r w:rsidRPr="00E3331B">
        <w:t>Row percentages are shown.</w:t>
      </w:r>
    </w:p>
    <w:p w:rsidR="00685BE5" w:rsidRPr="00140B39" w:rsidRDefault="00685BE5" w:rsidP="00AE4C3A">
      <w:pPr>
        <w:rPr>
          <w:rFonts w:cstheme="minorHAnsi"/>
          <w:b/>
        </w:rPr>
      </w:pPr>
    </w:p>
    <w:p w:rsidR="00685BE5" w:rsidRDefault="00C63368" w:rsidP="00AE4C3A">
      <w:pPr>
        <w:rPr>
          <w:rFonts w:cstheme="minorHAnsi"/>
        </w:rPr>
      </w:pPr>
      <w:r w:rsidRPr="00C63368">
        <w:rPr>
          <w:rFonts w:cstheme="minorHAnsi"/>
        </w:rPr>
        <w:t>Further detail is presented in Table 4.11a, which shows that most of the expected additional hiring was intended by the larger outlets—particularly those with 100 or more employees (in considering all occupations, outlets with more than 100 or more employees made up 44.8 per cent of the total number of employees to be hired). Whilst overall outlets reported that they were most likely to hire disability support/residential support workers, administrators/managers/ coordinators, and allied health workers, variation was seen in the hiring intentions by worker type across the different sizes of outlets. For example outlets with 20 to 49 and 100 or more staff reported that they were most likely to hire disability support/residential support workers, while smaller outlets with less than 20 staff most commonly wished to hire new allied health staff. Interestingly given the emphasis of the NDIS on the economic participation of people with disability, the hiring intention of employment support workers was most often found amongst outlets with more than 20 employees.</w:t>
      </w:r>
    </w:p>
    <w:p w:rsidR="00C63368" w:rsidRDefault="00C63368" w:rsidP="00AE4C3A">
      <w:pPr>
        <w:rPr>
          <w:rFonts w:cstheme="minorHAnsi"/>
        </w:rPr>
      </w:pPr>
    </w:p>
    <w:p w:rsidR="00C63368" w:rsidRPr="00C07716" w:rsidRDefault="00C63368" w:rsidP="00C63368">
      <w:pPr>
        <w:rPr>
          <w:rFonts w:cstheme="minorHAnsi"/>
          <w:lang w:val="en-AU"/>
        </w:rPr>
      </w:pPr>
      <w:r>
        <w:rPr>
          <w:rFonts w:cstheme="minorHAnsi"/>
          <w:lang w:val="en-AU"/>
        </w:rPr>
        <w:t>Table 4.11b</w:t>
      </w:r>
      <w:r w:rsidRPr="00C07716">
        <w:rPr>
          <w:rFonts w:cstheme="minorHAnsi"/>
          <w:lang w:val="en-AU"/>
        </w:rPr>
        <w:t xml:space="preserve"> show</w:t>
      </w:r>
      <w:r>
        <w:rPr>
          <w:rFonts w:cstheme="minorHAnsi"/>
          <w:lang w:val="en-AU"/>
        </w:rPr>
        <w:t>s</w:t>
      </w:r>
      <w:r w:rsidRPr="00C07716">
        <w:rPr>
          <w:rFonts w:cstheme="minorHAnsi"/>
          <w:lang w:val="en-AU"/>
        </w:rPr>
        <w:t xml:space="preserve"> the proportion of each outlet size that intends to hire workers of any occupational type in the next 12 months</w:t>
      </w:r>
      <w:r>
        <w:rPr>
          <w:rFonts w:cstheme="minorHAnsi"/>
          <w:lang w:val="en-AU"/>
        </w:rPr>
        <w:t>. Reported intentions for growth are universally spread, but they are at their lowest among outlets that employed less than 10 employees and appeared very vigorous in all outlets with 10 or more employees. There appears to be considerable diversity in the occupation of growth, which will be</w:t>
      </w:r>
      <w:r w:rsidR="002235A9">
        <w:rPr>
          <w:rFonts w:cstheme="minorHAnsi"/>
          <w:lang w:val="en-AU"/>
        </w:rPr>
        <w:t xml:space="preserve"> a subject for analysis in the I</w:t>
      </w:r>
      <w:r>
        <w:rPr>
          <w:rFonts w:cstheme="minorHAnsi"/>
          <w:lang w:val="en-AU"/>
        </w:rPr>
        <w:t xml:space="preserve">ntermediate </w:t>
      </w:r>
      <w:r w:rsidR="002235A9">
        <w:rPr>
          <w:rFonts w:cstheme="minorHAnsi"/>
          <w:lang w:val="en-AU"/>
        </w:rPr>
        <w:t>R</w:t>
      </w:r>
      <w:r>
        <w:rPr>
          <w:rFonts w:cstheme="minorHAnsi"/>
          <w:lang w:val="en-AU"/>
        </w:rPr>
        <w:t>eport.</w:t>
      </w:r>
    </w:p>
    <w:p w:rsidR="00C63368" w:rsidRPr="00140B39" w:rsidRDefault="00C63368" w:rsidP="00C63368">
      <w:pPr>
        <w:rPr>
          <w:rFonts w:cstheme="minorHAnsi"/>
          <w:b/>
        </w:rPr>
      </w:pPr>
    </w:p>
    <w:p w:rsidR="00C63368" w:rsidRDefault="00C63368" w:rsidP="00C63368">
      <w:pPr>
        <w:rPr>
          <w:rFonts w:cstheme="minorHAnsi"/>
        </w:rPr>
        <w:sectPr w:rsidR="00C63368" w:rsidSect="003E2395">
          <w:footnotePr>
            <w:numStart w:val="2"/>
          </w:footnotePr>
          <w:pgSz w:w="11906" w:h="16838" w:code="9"/>
          <w:pgMar w:top="1418" w:right="1418" w:bottom="1247" w:left="1418" w:header="709" w:footer="709" w:gutter="0"/>
          <w:cols w:space="709"/>
          <w:docGrid w:linePitch="299"/>
        </w:sectPr>
      </w:pPr>
    </w:p>
    <w:p w:rsidR="00C63368" w:rsidRPr="00AE0EFB" w:rsidRDefault="00C63368" w:rsidP="0044684E">
      <w:pPr>
        <w:pStyle w:val="NILSTableHeading"/>
        <w:rPr>
          <w:lang w:val="en-AU"/>
        </w:rPr>
      </w:pPr>
      <w:bookmarkStart w:id="525" w:name="_Toc449955346"/>
      <w:r w:rsidRPr="008814CC">
        <w:lastRenderedPageBreak/>
        <w:t xml:space="preserve">Table </w:t>
      </w:r>
      <w:r>
        <w:t>4.11a</w:t>
      </w:r>
      <w:r w:rsidRPr="008814CC">
        <w:t>:</w:t>
      </w:r>
      <w:r w:rsidR="00F62204">
        <w:rPr>
          <w:lang w:val="en-AU"/>
        </w:rPr>
        <w:t xml:space="preserve"> </w:t>
      </w:r>
      <w:r w:rsidR="00975F79">
        <w:rPr>
          <w:lang w:val="en-AU"/>
        </w:rPr>
        <w:t xml:space="preserve">Intentions to hire </w:t>
      </w:r>
      <w:r w:rsidRPr="00C07716">
        <w:t>in next 12 months</w:t>
      </w:r>
      <w:r>
        <w:t xml:space="preserve"> as a proportion of total number of </w:t>
      </w:r>
      <w:r w:rsidR="00975F79">
        <w:rPr>
          <w:lang w:val="en-AU"/>
        </w:rPr>
        <w:t>new hires</w:t>
      </w:r>
      <w:r w:rsidRPr="00C07716">
        <w:t xml:space="preserve"> by occupation and outlet size</w:t>
      </w:r>
      <w:bookmarkEnd w:id="525"/>
    </w:p>
    <w:tbl>
      <w:tblPr>
        <w:tblW w:w="15134" w:type="dxa"/>
        <w:tblLayout w:type="fixed"/>
        <w:tblLook w:val="0000" w:firstRow="0" w:lastRow="0" w:firstColumn="0" w:lastColumn="0" w:noHBand="0" w:noVBand="0"/>
        <w:tblCaption w:val="Table 4.11a Intentions to hire in next 12 months as a proportion of total number of employees to hire by occupation and outlet size"/>
      </w:tblPr>
      <w:tblGrid>
        <w:gridCol w:w="15134"/>
      </w:tblGrid>
      <w:tr w:rsidR="00F847D2" w:rsidRPr="008814CC" w:rsidTr="007E6D53">
        <w:trPr>
          <w:cantSplit/>
          <w:tblHeader/>
        </w:trPr>
        <w:tc>
          <w:tcPr>
            <w:tcW w:w="15134" w:type="dxa"/>
            <w:tcBorders>
              <w:top w:val="single" w:sz="4" w:space="0" w:color="auto"/>
            </w:tcBorders>
          </w:tcPr>
          <w:p w:rsidR="00F847D2" w:rsidRPr="009028BA" w:rsidRDefault="00F847D2" w:rsidP="00825773">
            <w:pPr>
              <w:spacing w:before="20" w:after="20"/>
              <w:jc w:val="center"/>
              <w:rPr>
                <w:rFonts w:cstheme="minorHAnsi"/>
                <w:sz w:val="18"/>
                <w:szCs w:val="18"/>
              </w:rPr>
            </w:pPr>
            <w:r>
              <w:rPr>
                <w:rFonts w:ascii="Calibri" w:eastAsia="Times New Roman" w:hAnsi="Calibri" w:cs="Calibri"/>
                <w:sz w:val="20"/>
                <w:szCs w:val="20"/>
              </w:rPr>
              <w:t>Size of outlet</w:t>
            </w:r>
          </w:p>
        </w:tc>
      </w:tr>
    </w:tbl>
    <w:p w:rsidR="00F847D2" w:rsidRPr="00F847D2" w:rsidRDefault="00F847D2">
      <w:pPr>
        <w:rPr>
          <w:sz w:val="2"/>
          <w:szCs w:val="2"/>
        </w:rPr>
      </w:pPr>
    </w:p>
    <w:tbl>
      <w:tblPr>
        <w:tblW w:w="15134" w:type="dxa"/>
        <w:tblLayout w:type="fixed"/>
        <w:tblLook w:val="0000" w:firstRow="0" w:lastRow="0" w:firstColumn="0" w:lastColumn="0" w:noHBand="0" w:noVBand="0"/>
        <w:tblCaption w:val="Table 4.11a Headers for columns 2 to 6 relate to the size of outlet and are labelled as 0 to 4 employees, 5 to 9 employees, 10 to 19 employees, 20 to 49 employees, 50 to 99 employees and 100+ employees."/>
      </w:tblPr>
      <w:tblGrid>
        <w:gridCol w:w="4299"/>
        <w:gridCol w:w="1120"/>
        <w:gridCol w:w="1121"/>
        <w:gridCol w:w="1121"/>
        <w:gridCol w:w="1120"/>
        <w:gridCol w:w="1121"/>
        <w:gridCol w:w="1121"/>
        <w:gridCol w:w="992"/>
        <w:gridCol w:w="1560"/>
        <w:gridCol w:w="1559"/>
      </w:tblGrid>
      <w:tr w:rsidR="00AE0EFB" w:rsidRPr="008814CC" w:rsidTr="009808A1">
        <w:trPr>
          <w:tblHeader/>
        </w:trPr>
        <w:tc>
          <w:tcPr>
            <w:tcW w:w="4299" w:type="dxa"/>
            <w:tcBorders>
              <w:bottom w:val="single" w:sz="4" w:space="0" w:color="auto"/>
            </w:tcBorders>
          </w:tcPr>
          <w:p w:rsidR="00AE0EFB" w:rsidRPr="00C0007F" w:rsidRDefault="00AE0EFB" w:rsidP="00382DCB">
            <w:pPr>
              <w:spacing w:before="20" w:after="20"/>
              <w:rPr>
                <w:rFonts w:ascii="Calibri" w:eastAsia="Times New Roman" w:hAnsi="Calibri" w:cs="Calibri"/>
                <w:b/>
                <w:sz w:val="18"/>
                <w:szCs w:val="18"/>
              </w:rPr>
            </w:pPr>
            <w:bookmarkStart w:id="526" w:name="Title_4_11a"/>
            <w:bookmarkEnd w:id="526"/>
          </w:p>
        </w:tc>
        <w:tc>
          <w:tcPr>
            <w:tcW w:w="1120" w:type="dxa"/>
            <w:tcBorders>
              <w:bottom w:val="single" w:sz="4" w:space="0" w:color="auto"/>
            </w:tcBorders>
            <w:vAlign w:val="bottom"/>
          </w:tcPr>
          <w:p w:rsidR="00AE0EFB" w:rsidRDefault="00AE0EFB" w:rsidP="00825773">
            <w:pPr>
              <w:spacing w:before="20" w:after="20"/>
              <w:jc w:val="center"/>
              <w:rPr>
                <w:rFonts w:ascii="Calibri" w:eastAsia="Times New Roman" w:hAnsi="Calibri" w:cs="Calibri"/>
                <w:sz w:val="20"/>
                <w:szCs w:val="20"/>
              </w:rPr>
            </w:pPr>
            <w:r w:rsidRPr="00427A4D">
              <w:rPr>
                <w:rFonts w:ascii="Calibri" w:eastAsia="Times New Roman" w:hAnsi="Calibri" w:cs="Calibri"/>
                <w:sz w:val="20"/>
                <w:szCs w:val="20"/>
              </w:rPr>
              <w:t>0 to 4</w:t>
            </w:r>
            <w:r>
              <w:rPr>
                <w:rFonts w:ascii="Calibri" w:eastAsia="Times New Roman" w:hAnsi="Calibri" w:cs="Calibri"/>
                <w:sz w:val="20"/>
                <w:szCs w:val="20"/>
              </w:rPr>
              <w:t xml:space="preserve"> employees</w:t>
            </w:r>
          </w:p>
          <w:p w:rsidR="009808A1" w:rsidRPr="00427A4D" w:rsidRDefault="009808A1" w:rsidP="00825773">
            <w:pPr>
              <w:spacing w:before="20" w:after="20"/>
              <w:jc w:val="center"/>
              <w:rPr>
                <w:rFonts w:ascii="Calibri" w:eastAsia="Times New Roman" w:hAnsi="Calibri" w:cs="Calibri"/>
                <w:sz w:val="20"/>
                <w:szCs w:val="20"/>
              </w:rPr>
            </w:pPr>
            <w:r>
              <w:rPr>
                <w:rFonts w:ascii="Calibri" w:eastAsia="Times New Roman" w:hAnsi="Calibri" w:cs="Calibri"/>
                <w:sz w:val="20"/>
                <w:szCs w:val="20"/>
              </w:rPr>
              <w:t>%</w:t>
            </w:r>
          </w:p>
        </w:tc>
        <w:tc>
          <w:tcPr>
            <w:tcW w:w="1121" w:type="dxa"/>
            <w:tcBorders>
              <w:bottom w:val="single" w:sz="4" w:space="0" w:color="auto"/>
            </w:tcBorders>
            <w:vAlign w:val="bottom"/>
          </w:tcPr>
          <w:p w:rsidR="00AE0EFB" w:rsidRDefault="00AE0EFB" w:rsidP="00825773">
            <w:pPr>
              <w:spacing w:before="20" w:after="20"/>
              <w:jc w:val="center"/>
              <w:rPr>
                <w:rFonts w:ascii="Calibri" w:eastAsia="Times New Roman" w:hAnsi="Calibri" w:cs="Calibri"/>
                <w:sz w:val="20"/>
                <w:szCs w:val="20"/>
              </w:rPr>
            </w:pPr>
            <w:r w:rsidRPr="00427A4D">
              <w:rPr>
                <w:rFonts w:ascii="Calibri" w:eastAsia="Times New Roman" w:hAnsi="Calibri" w:cs="Calibri"/>
                <w:sz w:val="20"/>
                <w:szCs w:val="20"/>
              </w:rPr>
              <w:t>5 to 9</w:t>
            </w:r>
            <w:r>
              <w:rPr>
                <w:rFonts w:ascii="Calibri" w:eastAsia="Times New Roman" w:hAnsi="Calibri" w:cs="Calibri"/>
                <w:sz w:val="20"/>
                <w:szCs w:val="20"/>
              </w:rPr>
              <w:t xml:space="preserve"> employees</w:t>
            </w:r>
          </w:p>
          <w:p w:rsidR="009808A1" w:rsidRPr="00427A4D" w:rsidRDefault="009808A1" w:rsidP="00825773">
            <w:pPr>
              <w:spacing w:before="20" w:after="20"/>
              <w:jc w:val="center"/>
              <w:rPr>
                <w:rFonts w:ascii="Calibri" w:eastAsia="Times New Roman" w:hAnsi="Calibri" w:cs="Calibri"/>
                <w:sz w:val="20"/>
                <w:szCs w:val="20"/>
              </w:rPr>
            </w:pPr>
            <w:r>
              <w:rPr>
                <w:rFonts w:ascii="Calibri" w:eastAsia="Times New Roman" w:hAnsi="Calibri" w:cs="Calibri"/>
                <w:sz w:val="20"/>
                <w:szCs w:val="20"/>
              </w:rPr>
              <w:t>%</w:t>
            </w:r>
          </w:p>
        </w:tc>
        <w:tc>
          <w:tcPr>
            <w:tcW w:w="1121" w:type="dxa"/>
            <w:tcBorders>
              <w:bottom w:val="single" w:sz="4" w:space="0" w:color="auto"/>
            </w:tcBorders>
            <w:vAlign w:val="bottom"/>
          </w:tcPr>
          <w:p w:rsidR="00AE0EFB" w:rsidRDefault="00AE0EFB" w:rsidP="00825773">
            <w:pPr>
              <w:spacing w:before="20" w:after="20"/>
              <w:jc w:val="center"/>
              <w:rPr>
                <w:rFonts w:ascii="Calibri" w:eastAsia="Times New Roman" w:hAnsi="Calibri" w:cs="Calibri"/>
                <w:sz w:val="20"/>
                <w:szCs w:val="20"/>
              </w:rPr>
            </w:pPr>
            <w:r w:rsidRPr="00427A4D">
              <w:rPr>
                <w:rFonts w:ascii="Calibri" w:eastAsia="Times New Roman" w:hAnsi="Calibri" w:cs="Calibri"/>
                <w:sz w:val="20"/>
                <w:szCs w:val="20"/>
              </w:rPr>
              <w:t>10 to 19</w:t>
            </w:r>
            <w:r>
              <w:rPr>
                <w:rFonts w:ascii="Calibri" w:eastAsia="Times New Roman" w:hAnsi="Calibri" w:cs="Calibri"/>
                <w:sz w:val="20"/>
                <w:szCs w:val="20"/>
              </w:rPr>
              <w:t xml:space="preserve"> employees</w:t>
            </w:r>
          </w:p>
          <w:p w:rsidR="009808A1" w:rsidRPr="00427A4D" w:rsidRDefault="009808A1" w:rsidP="00825773">
            <w:pPr>
              <w:spacing w:before="20" w:after="20"/>
              <w:jc w:val="center"/>
              <w:rPr>
                <w:rFonts w:ascii="Calibri" w:eastAsia="Times New Roman" w:hAnsi="Calibri" w:cs="Calibri"/>
                <w:sz w:val="20"/>
                <w:szCs w:val="20"/>
              </w:rPr>
            </w:pPr>
            <w:r>
              <w:rPr>
                <w:rFonts w:ascii="Calibri" w:eastAsia="Times New Roman" w:hAnsi="Calibri" w:cs="Calibri"/>
                <w:sz w:val="20"/>
                <w:szCs w:val="20"/>
              </w:rPr>
              <w:t>%</w:t>
            </w:r>
          </w:p>
        </w:tc>
        <w:tc>
          <w:tcPr>
            <w:tcW w:w="1120" w:type="dxa"/>
            <w:tcBorders>
              <w:bottom w:val="single" w:sz="4" w:space="0" w:color="auto"/>
            </w:tcBorders>
            <w:vAlign w:val="bottom"/>
          </w:tcPr>
          <w:p w:rsidR="00AE0EFB" w:rsidRDefault="00AE0EFB" w:rsidP="00825773">
            <w:pPr>
              <w:spacing w:before="20" w:after="20"/>
              <w:jc w:val="center"/>
              <w:rPr>
                <w:rFonts w:ascii="Calibri" w:eastAsia="Times New Roman" w:hAnsi="Calibri" w:cs="Calibri"/>
                <w:sz w:val="20"/>
                <w:szCs w:val="20"/>
              </w:rPr>
            </w:pPr>
            <w:r w:rsidRPr="00427A4D">
              <w:rPr>
                <w:rFonts w:ascii="Calibri" w:eastAsia="Times New Roman" w:hAnsi="Calibri" w:cs="Calibri"/>
                <w:sz w:val="20"/>
                <w:szCs w:val="20"/>
              </w:rPr>
              <w:t>20 to 49</w:t>
            </w:r>
            <w:r>
              <w:rPr>
                <w:rFonts w:ascii="Calibri" w:eastAsia="Times New Roman" w:hAnsi="Calibri" w:cs="Calibri"/>
                <w:sz w:val="20"/>
                <w:szCs w:val="20"/>
              </w:rPr>
              <w:t xml:space="preserve"> employees</w:t>
            </w:r>
          </w:p>
          <w:p w:rsidR="009808A1" w:rsidRPr="00427A4D" w:rsidRDefault="009808A1" w:rsidP="00825773">
            <w:pPr>
              <w:spacing w:before="20" w:after="20"/>
              <w:jc w:val="center"/>
              <w:rPr>
                <w:rFonts w:ascii="Calibri" w:eastAsia="Times New Roman" w:hAnsi="Calibri" w:cs="Calibri"/>
                <w:sz w:val="20"/>
                <w:szCs w:val="20"/>
              </w:rPr>
            </w:pPr>
            <w:r>
              <w:rPr>
                <w:rFonts w:ascii="Calibri" w:eastAsia="Times New Roman" w:hAnsi="Calibri" w:cs="Calibri"/>
                <w:sz w:val="20"/>
                <w:szCs w:val="20"/>
              </w:rPr>
              <w:t>%</w:t>
            </w:r>
          </w:p>
        </w:tc>
        <w:tc>
          <w:tcPr>
            <w:tcW w:w="1121" w:type="dxa"/>
            <w:tcBorders>
              <w:bottom w:val="single" w:sz="4" w:space="0" w:color="auto"/>
            </w:tcBorders>
            <w:vAlign w:val="bottom"/>
          </w:tcPr>
          <w:p w:rsidR="00AE0EFB" w:rsidRDefault="00AE0EFB" w:rsidP="00825773">
            <w:pPr>
              <w:spacing w:before="20" w:after="20"/>
              <w:jc w:val="center"/>
              <w:rPr>
                <w:rFonts w:ascii="Calibri" w:eastAsia="Times New Roman" w:hAnsi="Calibri" w:cs="Calibri"/>
                <w:sz w:val="20"/>
                <w:szCs w:val="20"/>
              </w:rPr>
            </w:pPr>
            <w:r w:rsidRPr="00427A4D">
              <w:rPr>
                <w:rFonts w:ascii="Calibri" w:eastAsia="Times New Roman" w:hAnsi="Calibri" w:cs="Calibri"/>
                <w:sz w:val="20"/>
                <w:szCs w:val="20"/>
              </w:rPr>
              <w:t>50 to 99</w:t>
            </w:r>
            <w:r>
              <w:rPr>
                <w:rFonts w:ascii="Calibri" w:eastAsia="Times New Roman" w:hAnsi="Calibri" w:cs="Calibri"/>
                <w:sz w:val="20"/>
                <w:szCs w:val="20"/>
              </w:rPr>
              <w:t xml:space="preserve"> employees</w:t>
            </w:r>
          </w:p>
          <w:p w:rsidR="009808A1" w:rsidRPr="00427A4D" w:rsidRDefault="009808A1" w:rsidP="00825773">
            <w:pPr>
              <w:spacing w:before="20" w:after="20"/>
              <w:jc w:val="center"/>
              <w:rPr>
                <w:rFonts w:ascii="Calibri" w:eastAsia="Times New Roman" w:hAnsi="Calibri" w:cs="Calibri"/>
                <w:sz w:val="20"/>
                <w:szCs w:val="20"/>
              </w:rPr>
            </w:pPr>
            <w:r>
              <w:rPr>
                <w:rFonts w:ascii="Calibri" w:eastAsia="Times New Roman" w:hAnsi="Calibri" w:cs="Calibri"/>
                <w:sz w:val="20"/>
                <w:szCs w:val="20"/>
              </w:rPr>
              <w:t>%</w:t>
            </w:r>
          </w:p>
        </w:tc>
        <w:tc>
          <w:tcPr>
            <w:tcW w:w="1121" w:type="dxa"/>
            <w:tcBorders>
              <w:bottom w:val="single" w:sz="4" w:space="0" w:color="auto"/>
            </w:tcBorders>
            <w:vAlign w:val="bottom"/>
          </w:tcPr>
          <w:p w:rsidR="00AE0EFB" w:rsidRDefault="00AE0EFB" w:rsidP="00825773">
            <w:pPr>
              <w:spacing w:before="20" w:after="20"/>
              <w:jc w:val="center"/>
              <w:rPr>
                <w:rFonts w:ascii="Calibri" w:eastAsia="Times New Roman" w:hAnsi="Calibri" w:cs="Calibri"/>
                <w:sz w:val="20"/>
                <w:szCs w:val="20"/>
              </w:rPr>
            </w:pPr>
            <w:r w:rsidRPr="00427A4D">
              <w:rPr>
                <w:rFonts w:ascii="Calibri" w:eastAsia="Times New Roman" w:hAnsi="Calibri" w:cs="Calibri"/>
                <w:sz w:val="20"/>
                <w:szCs w:val="20"/>
              </w:rPr>
              <w:t>100+</w:t>
            </w:r>
            <w:r>
              <w:rPr>
                <w:rFonts w:ascii="Calibri" w:eastAsia="Times New Roman" w:hAnsi="Calibri" w:cs="Calibri"/>
                <w:sz w:val="20"/>
                <w:szCs w:val="20"/>
              </w:rPr>
              <w:t xml:space="preserve"> employees</w:t>
            </w:r>
          </w:p>
          <w:p w:rsidR="009808A1" w:rsidRPr="00427A4D" w:rsidRDefault="009808A1" w:rsidP="00825773">
            <w:pPr>
              <w:spacing w:before="20" w:after="20"/>
              <w:jc w:val="center"/>
              <w:rPr>
                <w:rFonts w:ascii="Calibri" w:eastAsia="Times New Roman" w:hAnsi="Calibri" w:cs="Calibri"/>
                <w:sz w:val="20"/>
                <w:szCs w:val="20"/>
              </w:rPr>
            </w:pPr>
            <w:r>
              <w:rPr>
                <w:rFonts w:ascii="Calibri" w:eastAsia="Times New Roman" w:hAnsi="Calibri" w:cs="Calibri"/>
                <w:sz w:val="20"/>
                <w:szCs w:val="20"/>
              </w:rPr>
              <w:t>%</w:t>
            </w:r>
          </w:p>
        </w:tc>
        <w:tc>
          <w:tcPr>
            <w:tcW w:w="992" w:type="dxa"/>
            <w:tcBorders>
              <w:bottom w:val="single" w:sz="4" w:space="0" w:color="auto"/>
            </w:tcBorders>
            <w:vAlign w:val="bottom"/>
          </w:tcPr>
          <w:p w:rsidR="00AE0EFB" w:rsidRDefault="00AE0EFB" w:rsidP="009808A1">
            <w:pPr>
              <w:spacing w:before="20" w:after="20"/>
              <w:jc w:val="center"/>
              <w:rPr>
                <w:rFonts w:ascii="Calibri" w:eastAsia="Times New Roman" w:hAnsi="Calibri" w:cs="Calibri"/>
                <w:sz w:val="20"/>
                <w:szCs w:val="20"/>
              </w:rPr>
            </w:pPr>
            <w:r w:rsidRPr="00F62204">
              <w:rPr>
                <w:rFonts w:ascii="Calibri" w:eastAsia="Times New Roman" w:hAnsi="Calibri" w:cs="Calibri"/>
                <w:sz w:val="20"/>
                <w:szCs w:val="20"/>
              </w:rPr>
              <w:t>Missing</w:t>
            </w:r>
          </w:p>
          <w:p w:rsidR="009808A1" w:rsidRPr="00F62204" w:rsidRDefault="009808A1" w:rsidP="009808A1">
            <w:pPr>
              <w:spacing w:before="20" w:after="20"/>
              <w:jc w:val="center"/>
              <w:rPr>
                <w:rFonts w:ascii="Calibri" w:eastAsia="Times New Roman" w:hAnsi="Calibri" w:cs="Calibri"/>
                <w:b/>
                <w:sz w:val="20"/>
                <w:szCs w:val="20"/>
              </w:rPr>
            </w:pPr>
            <w:r>
              <w:rPr>
                <w:rFonts w:ascii="Calibri" w:eastAsia="Times New Roman" w:hAnsi="Calibri" w:cs="Calibri"/>
                <w:sz w:val="20"/>
                <w:szCs w:val="20"/>
              </w:rPr>
              <w:t>%</w:t>
            </w:r>
          </w:p>
        </w:tc>
        <w:tc>
          <w:tcPr>
            <w:tcW w:w="1560" w:type="dxa"/>
            <w:tcBorders>
              <w:left w:val="nil"/>
              <w:bottom w:val="single" w:sz="4" w:space="0" w:color="auto"/>
            </w:tcBorders>
            <w:vAlign w:val="bottom"/>
          </w:tcPr>
          <w:p w:rsidR="007B660B" w:rsidRPr="00F62204" w:rsidRDefault="007B660B" w:rsidP="00825773">
            <w:pPr>
              <w:spacing w:before="20" w:after="20"/>
              <w:jc w:val="center"/>
              <w:rPr>
                <w:rFonts w:cstheme="minorHAnsi"/>
                <w:sz w:val="18"/>
                <w:szCs w:val="18"/>
              </w:rPr>
            </w:pPr>
            <w:r w:rsidRPr="00F62204">
              <w:rPr>
                <w:rFonts w:cstheme="minorHAnsi"/>
                <w:sz w:val="18"/>
                <w:szCs w:val="18"/>
              </w:rPr>
              <w:t xml:space="preserve">Total </w:t>
            </w:r>
            <w:r w:rsidR="00BA6373">
              <w:rPr>
                <w:rFonts w:cstheme="minorHAnsi"/>
                <w:sz w:val="18"/>
                <w:szCs w:val="18"/>
              </w:rPr>
              <w:t>n</w:t>
            </w:r>
            <w:r w:rsidRPr="00F62204">
              <w:rPr>
                <w:rFonts w:cstheme="minorHAnsi"/>
                <w:sz w:val="18"/>
                <w:szCs w:val="18"/>
              </w:rPr>
              <w:t>umber</w:t>
            </w:r>
          </w:p>
          <w:p w:rsidR="00AE0EFB" w:rsidRPr="00F62204" w:rsidRDefault="007B660B" w:rsidP="00BA6373">
            <w:pPr>
              <w:spacing w:before="20" w:after="20"/>
              <w:jc w:val="center"/>
              <w:rPr>
                <w:rFonts w:ascii="Calibri" w:eastAsia="Times New Roman" w:hAnsi="Calibri" w:cs="Calibri"/>
                <w:b/>
                <w:sz w:val="20"/>
                <w:szCs w:val="20"/>
              </w:rPr>
            </w:pPr>
            <w:r w:rsidRPr="00F62204">
              <w:rPr>
                <w:rFonts w:cstheme="minorHAnsi"/>
                <w:sz w:val="18"/>
                <w:szCs w:val="18"/>
              </w:rPr>
              <w:t xml:space="preserve">of </w:t>
            </w:r>
            <w:r w:rsidR="00BA6373">
              <w:rPr>
                <w:rFonts w:cstheme="minorHAnsi"/>
                <w:sz w:val="18"/>
                <w:szCs w:val="18"/>
              </w:rPr>
              <w:t>new hires</w:t>
            </w:r>
            <w:r w:rsidR="00716D6A">
              <w:rPr>
                <w:rFonts w:cstheme="minorHAnsi"/>
                <w:sz w:val="18"/>
                <w:szCs w:val="18"/>
              </w:rPr>
              <w:t xml:space="preserve"> by occupation</w:t>
            </w:r>
          </w:p>
        </w:tc>
        <w:tc>
          <w:tcPr>
            <w:tcW w:w="1559" w:type="dxa"/>
            <w:tcBorders>
              <w:bottom w:val="single" w:sz="4" w:space="0" w:color="auto"/>
            </w:tcBorders>
            <w:vAlign w:val="bottom"/>
          </w:tcPr>
          <w:p w:rsidR="007B660B" w:rsidRPr="009028BA" w:rsidRDefault="007B660B" w:rsidP="00825773">
            <w:pPr>
              <w:spacing w:before="20" w:after="20"/>
              <w:jc w:val="center"/>
              <w:rPr>
                <w:rFonts w:cstheme="minorHAnsi"/>
                <w:sz w:val="18"/>
                <w:szCs w:val="18"/>
              </w:rPr>
            </w:pPr>
            <w:r w:rsidRPr="009028BA">
              <w:rPr>
                <w:rFonts w:cstheme="minorHAnsi"/>
                <w:sz w:val="18"/>
                <w:szCs w:val="18"/>
              </w:rPr>
              <w:t>Number of</w:t>
            </w:r>
          </w:p>
          <w:p w:rsidR="00AE0EFB" w:rsidRPr="00864209" w:rsidRDefault="007B660B" w:rsidP="00825773">
            <w:pPr>
              <w:spacing w:before="20" w:after="20"/>
              <w:jc w:val="center"/>
              <w:rPr>
                <w:rFonts w:ascii="Calibri" w:eastAsia="Times New Roman" w:hAnsi="Calibri" w:cs="Calibri"/>
                <w:b/>
                <w:sz w:val="20"/>
                <w:szCs w:val="20"/>
              </w:rPr>
            </w:pPr>
            <w:r w:rsidRPr="009028BA">
              <w:rPr>
                <w:rFonts w:cstheme="minorHAnsi"/>
                <w:sz w:val="18"/>
                <w:szCs w:val="18"/>
              </w:rPr>
              <w:t>outlets answering question</w:t>
            </w:r>
          </w:p>
        </w:tc>
      </w:tr>
      <w:tr w:rsidR="00AE0EFB" w:rsidRPr="008814CC" w:rsidTr="00F847D2">
        <w:tc>
          <w:tcPr>
            <w:tcW w:w="4299" w:type="dxa"/>
            <w:tcBorders>
              <w:top w:val="single" w:sz="4" w:space="0" w:color="auto"/>
            </w:tcBorders>
            <w:vAlign w:val="center"/>
          </w:tcPr>
          <w:p w:rsidR="00AE0EFB" w:rsidRPr="00C0007F" w:rsidRDefault="00AE0EFB" w:rsidP="00F16760">
            <w:pPr>
              <w:spacing w:before="20" w:after="20"/>
              <w:rPr>
                <w:rFonts w:ascii="Calibri" w:eastAsia="Times New Roman" w:hAnsi="Calibri" w:cs="Calibri"/>
                <w:sz w:val="18"/>
                <w:szCs w:val="18"/>
              </w:rPr>
            </w:pPr>
            <w:r w:rsidRPr="00C0007F">
              <w:rPr>
                <w:rFonts w:ascii="Calibri" w:eastAsia="Times New Roman" w:hAnsi="Calibri" w:cs="Calibri"/>
                <w:sz w:val="18"/>
                <w:szCs w:val="18"/>
              </w:rPr>
              <w:t>Disability support/residential support worker</w:t>
            </w:r>
          </w:p>
        </w:tc>
        <w:tc>
          <w:tcPr>
            <w:tcW w:w="1120" w:type="dxa"/>
            <w:tcBorders>
              <w:top w:val="single" w:sz="4" w:space="0" w:color="auto"/>
            </w:tcBorders>
            <w:vAlign w:val="center"/>
          </w:tcPr>
          <w:p w:rsidR="00AE0EFB" w:rsidRPr="00864209" w:rsidRDefault="00AE0EFB" w:rsidP="00CA78E4">
            <w:pPr>
              <w:tabs>
                <w:tab w:val="decimal" w:pos="281"/>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5.4</w:t>
            </w:r>
          </w:p>
        </w:tc>
        <w:tc>
          <w:tcPr>
            <w:tcW w:w="1121" w:type="dxa"/>
            <w:tcBorders>
              <w:top w:val="single" w:sz="4" w:space="0" w:color="auto"/>
            </w:tcBorders>
            <w:vAlign w:val="center"/>
          </w:tcPr>
          <w:p w:rsidR="00AE0EFB" w:rsidRPr="00864209" w:rsidRDefault="00AE0EFB" w:rsidP="00CA78E4">
            <w:pPr>
              <w:tabs>
                <w:tab w:val="decimal" w:pos="350"/>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1.5</w:t>
            </w:r>
          </w:p>
        </w:tc>
        <w:tc>
          <w:tcPr>
            <w:tcW w:w="1121" w:type="dxa"/>
            <w:tcBorders>
              <w:top w:val="single" w:sz="4" w:space="0" w:color="auto"/>
            </w:tcBorders>
            <w:vAlign w:val="center"/>
          </w:tcPr>
          <w:p w:rsidR="00AE0EFB" w:rsidRPr="00864209" w:rsidRDefault="00AE0EFB" w:rsidP="00CA78E4">
            <w:pPr>
              <w:tabs>
                <w:tab w:val="decimal" w:pos="418"/>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3.7</w:t>
            </w:r>
          </w:p>
        </w:tc>
        <w:tc>
          <w:tcPr>
            <w:tcW w:w="1120" w:type="dxa"/>
            <w:tcBorders>
              <w:top w:val="single" w:sz="4" w:space="0" w:color="auto"/>
            </w:tcBorders>
            <w:vAlign w:val="center"/>
          </w:tcPr>
          <w:p w:rsidR="00AE0EFB" w:rsidRPr="00864209" w:rsidRDefault="00AE0EFB" w:rsidP="00CA78E4">
            <w:pPr>
              <w:tabs>
                <w:tab w:val="decimal" w:pos="427"/>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20.9</w:t>
            </w:r>
          </w:p>
        </w:tc>
        <w:tc>
          <w:tcPr>
            <w:tcW w:w="1121" w:type="dxa"/>
            <w:tcBorders>
              <w:top w:val="single" w:sz="4" w:space="0" w:color="auto"/>
            </w:tcBorders>
            <w:vAlign w:val="center"/>
          </w:tcPr>
          <w:p w:rsidR="00AE0EFB" w:rsidRPr="00864209" w:rsidRDefault="00AE0EFB" w:rsidP="00CA78E4">
            <w:pPr>
              <w:tabs>
                <w:tab w:val="decimal" w:pos="435"/>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17.7</w:t>
            </w:r>
          </w:p>
        </w:tc>
        <w:tc>
          <w:tcPr>
            <w:tcW w:w="1121" w:type="dxa"/>
            <w:tcBorders>
              <w:top w:val="single" w:sz="4" w:space="0" w:color="auto"/>
            </w:tcBorders>
            <w:vAlign w:val="center"/>
          </w:tcPr>
          <w:p w:rsidR="00AE0EFB" w:rsidRPr="00864209" w:rsidRDefault="00AE0EFB" w:rsidP="00CA78E4">
            <w:pPr>
              <w:tabs>
                <w:tab w:val="decimal" w:pos="301"/>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48.4</w:t>
            </w:r>
          </w:p>
        </w:tc>
        <w:tc>
          <w:tcPr>
            <w:tcW w:w="992" w:type="dxa"/>
            <w:tcBorders>
              <w:top w:val="single" w:sz="4" w:space="0" w:color="auto"/>
            </w:tcBorders>
            <w:vAlign w:val="center"/>
          </w:tcPr>
          <w:p w:rsidR="00AE0EFB" w:rsidRPr="00864209" w:rsidRDefault="00AE0EFB" w:rsidP="00CA78E4">
            <w:pPr>
              <w:tabs>
                <w:tab w:val="decimal" w:pos="347"/>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2.4</w:t>
            </w:r>
          </w:p>
        </w:tc>
        <w:tc>
          <w:tcPr>
            <w:tcW w:w="1560" w:type="dxa"/>
            <w:tcBorders>
              <w:top w:val="single" w:sz="4" w:space="0" w:color="auto"/>
              <w:left w:val="nil"/>
            </w:tcBorders>
            <w:vAlign w:val="center"/>
          </w:tcPr>
          <w:p w:rsidR="00AE0EFB" w:rsidRPr="00864209" w:rsidRDefault="00AE0EFB" w:rsidP="00CA78E4">
            <w:pPr>
              <w:spacing w:before="20" w:after="20"/>
              <w:ind w:right="118"/>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3</w:t>
            </w:r>
            <w:r>
              <w:rPr>
                <w:rFonts w:ascii="Calibri" w:eastAsia="Times New Roman" w:hAnsi="Calibri" w:cs="Calibri"/>
                <w:snapToGrid w:val="0"/>
                <w:sz w:val="20"/>
                <w:szCs w:val="20"/>
              </w:rPr>
              <w:t>,</w:t>
            </w:r>
            <w:r w:rsidRPr="00864209">
              <w:rPr>
                <w:rFonts w:ascii="Calibri" w:eastAsia="Times New Roman" w:hAnsi="Calibri" w:cs="Calibri"/>
                <w:snapToGrid w:val="0"/>
                <w:sz w:val="20"/>
                <w:szCs w:val="20"/>
              </w:rPr>
              <w:t>014</w:t>
            </w:r>
          </w:p>
        </w:tc>
        <w:tc>
          <w:tcPr>
            <w:tcW w:w="1559" w:type="dxa"/>
            <w:tcBorders>
              <w:top w:val="single" w:sz="4" w:space="0" w:color="auto"/>
            </w:tcBorders>
            <w:vAlign w:val="center"/>
          </w:tcPr>
          <w:p w:rsidR="00AE0EFB" w:rsidRPr="00864209" w:rsidRDefault="00AE0EFB" w:rsidP="00CA78E4">
            <w:pPr>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589</w:t>
            </w:r>
          </w:p>
        </w:tc>
      </w:tr>
      <w:tr w:rsidR="00AE0EFB" w:rsidRPr="008814CC" w:rsidTr="00F847D2">
        <w:tc>
          <w:tcPr>
            <w:tcW w:w="4299" w:type="dxa"/>
            <w:vAlign w:val="center"/>
          </w:tcPr>
          <w:p w:rsidR="00AE0EFB" w:rsidRPr="00C0007F" w:rsidRDefault="00AE0EFB" w:rsidP="00F16760">
            <w:pPr>
              <w:spacing w:before="20" w:after="20"/>
              <w:rPr>
                <w:rFonts w:ascii="Calibri" w:eastAsia="Times New Roman" w:hAnsi="Calibri" w:cs="Calibri"/>
                <w:sz w:val="18"/>
                <w:szCs w:val="18"/>
              </w:rPr>
            </w:pPr>
            <w:r w:rsidRPr="00C0007F">
              <w:rPr>
                <w:rFonts w:ascii="Calibri" w:eastAsia="Times New Roman" w:hAnsi="Calibri" w:cs="Calibri"/>
                <w:sz w:val="18"/>
                <w:szCs w:val="18"/>
              </w:rPr>
              <w:t>Personal care/home care worker</w:t>
            </w:r>
          </w:p>
        </w:tc>
        <w:tc>
          <w:tcPr>
            <w:tcW w:w="1120" w:type="dxa"/>
            <w:vAlign w:val="center"/>
          </w:tcPr>
          <w:p w:rsidR="00AE0EFB" w:rsidRPr="00864209" w:rsidRDefault="00AE0EFB" w:rsidP="00CA78E4">
            <w:pPr>
              <w:tabs>
                <w:tab w:val="decimal" w:pos="281"/>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8.7</w:t>
            </w:r>
          </w:p>
        </w:tc>
        <w:tc>
          <w:tcPr>
            <w:tcW w:w="1121" w:type="dxa"/>
            <w:vAlign w:val="center"/>
          </w:tcPr>
          <w:p w:rsidR="00AE0EFB" w:rsidRPr="00864209" w:rsidRDefault="00AE0EFB" w:rsidP="00CA78E4">
            <w:pPr>
              <w:tabs>
                <w:tab w:val="decimal" w:pos="350"/>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1.3</w:t>
            </w:r>
          </w:p>
        </w:tc>
        <w:tc>
          <w:tcPr>
            <w:tcW w:w="1121" w:type="dxa"/>
            <w:vAlign w:val="center"/>
          </w:tcPr>
          <w:p w:rsidR="00AE0EFB" w:rsidRPr="00864209" w:rsidRDefault="00AE0EFB" w:rsidP="00CA78E4">
            <w:pPr>
              <w:tabs>
                <w:tab w:val="decimal" w:pos="418"/>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3.3</w:t>
            </w:r>
          </w:p>
        </w:tc>
        <w:tc>
          <w:tcPr>
            <w:tcW w:w="1120" w:type="dxa"/>
            <w:vAlign w:val="center"/>
          </w:tcPr>
          <w:p w:rsidR="00AE0EFB" w:rsidRPr="00864209" w:rsidRDefault="00AE0EFB" w:rsidP="00CA78E4">
            <w:pPr>
              <w:tabs>
                <w:tab w:val="decimal" w:pos="427"/>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16.8</w:t>
            </w:r>
          </w:p>
        </w:tc>
        <w:tc>
          <w:tcPr>
            <w:tcW w:w="1121" w:type="dxa"/>
            <w:vAlign w:val="center"/>
          </w:tcPr>
          <w:p w:rsidR="00AE0EFB" w:rsidRPr="00864209" w:rsidRDefault="00AE0EFB" w:rsidP="00CA78E4">
            <w:pPr>
              <w:tabs>
                <w:tab w:val="decimal" w:pos="435"/>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20.4</w:t>
            </w:r>
          </w:p>
        </w:tc>
        <w:tc>
          <w:tcPr>
            <w:tcW w:w="1121" w:type="dxa"/>
            <w:vAlign w:val="center"/>
          </w:tcPr>
          <w:p w:rsidR="00AE0EFB" w:rsidRPr="00864209" w:rsidRDefault="00AE0EFB" w:rsidP="00CA78E4">
            <w:pPr>
              <w:tabs>
                <w:tab w:val="decimal" w:pos="301"/>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45.0</w:t>
            </w:r>
          </w:p>
        </w:tc>
        <w:tc>
          <w:tcPr>
            <w:tcW w:w="992" w:type="dxa"/>
            <w:vAlign w:val="center"/>
          </w:tcPr>
          <w:p w:rsidR="00AE0EFB" w:rsidRPr="00864209" w:rsidRDefault="00AE0EFB" w:rsidP="00CA78E4">
            <w:pPr>
              <w:tabs>
                <w:tab w:val="decimal" w:pos="347"/>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4.5</w:t>
            </w:r>
          </w:p>
        </w:tc>
        <w:tc>
          <w:tcPr>
            <w:tcW w:w="1560" w:type="dxa"/>
            <w:tcBorders>
              <w:left w:val="nil"/>
            </w:tcBorders>
            <w:vAlign w:val="center"/>
          </w:tcPr>
          <w:p w:rsidR="00AE0EFB" w:rsidRPr="00864209" w:rsidRDefault="00AE0EFB" w:rsidP="00CA78E4">
            <w:pPr>
              <w:tabs>
                <w:tab w:val="left" w:pos="601"/>
              </w:tabs>
              <w:spacing w:before="20" w:after="20"/>
              <w:ind w:right="118"/>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1</w:t>
            </w:r>
            <w:r>
              <w:rPr>
                <w:rFonts w:ascii="Calibri" w:eastAsia="Times New Roman" w:hAnsi="Calibri" w:cs="Calibri"/>
                <w:snapToGrid w:val="0"/>
                <w:sz w:val="20"/>
                <w:szCs w:val="20"/>
              </w:rPr>
              <w:t>,</w:t>
            </w:r>
            <w:r w:rsidRPr="00864209">
              <w:rPr>
                <w:rFonts w:ascii="Calibri" w:eastAsia="Times New Roman" w:hAnsi="Calibri" w:cs="Calibri"/>
                <w:snapToGrid w:val="0"/>
                <w:sz w:val="20"/>
                <w:szCs w:val="20"/>
              </w:rPr>
              <w:t>752</w:t>
            </w:r>
          </w:p>
        </w:tc>
        <w:tc>
          <w:tcPr>
            <w:tcW w:w="1559" w:type="dxa"/>
            <w:vAlign w:val="center"/>
          </w:tcPr>
          <w:p w:rsidR="00AE0EFB" w:rsidRPr="00864209" w:rsidRDefault="00AE0EFB" w:rsidP="00CA78E4">
            <w:pPr>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558</w:t>
            </w:r>
          </w:p>
        </w:tc>
      </w:tr>
      <w:tr w:rsidR="00AE0EFB" w:rsidRPr="008814CC" w:rsidTr="00F847D2">
        <w:tc>
          <w:tcPr>
            <w:tcW w:w="4299" w:type="dxa"/>
            <w:vAlign w:val="center"/>
          </w:tcPr>
          <w:p w:rsidR="00AE0EFB" w:rsidRPr="00C0007F" w:rsidRDefault="00AE0EFB" w:rsidP="00F16760">
            <w:pPr>
              <w:spacing w:before="20" w:after="20"/>
              <w:rPr>
                <w:rFonts w:ascii="Calibri" w:eastAsia="Times New Roman" w:hAnsi="Calibri" w:cs="Calibri"/>
                <w:sz w:val="18"/>
                <w:szCs w:val="18"/>
              </w:rPr>
            </w:pPr>
            <w:r w:rsidRPr="00C0007F">
              <w:rPr>
                <w:rFonts w:ascii="Calibri" w:eastAsia="Times New Roman" w:hAnsi="Calibri" w:cs="Calibri"/>
                <w:sz w:val="18"/>
                <w:szCs w:val="18"/>
              </w:rPr>
              <w:t>Service or program administrator/manager/coordinator</w:t>
            </w:r>
          </w:p>
        </w:tc>
        <w:tc>
          <w:tcPr>
            <w:tcW w:w="1120" w:type="dxa"/>
            <w:vAlign w:val="center"/>
          </w:tcPr>
          <w:p w:rsidR="00AE0EFB" w:rsidRPr="00864209" w:rsidRDefault="00AE0EFB" w:rsidP="00CA78E4">
            <w:pPr>
              <w:tabs>
                <w:tab w:val="decimal" w:pos="281"/>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10.9</w:t>
            </w:r>
          </w:p>
        </w:tc>
        <w:tc>
          <w:tcPr>
            <w:tcW w:w="1121" w:type="dxa"/>
            <w:vAlign w:val="center"/>
          </w:tcPr>
          <w:p w:rsidR="00AE0EFB" w:rsidRPr="00864209" w:rsidRDefault="00AE0EFB" w:rsidP="00CA78E4">
            <w:pPr>
              <w:tabs>
                <w:tab w:val="decimal" w:pos="350"/>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6.4</w:t>
            </w:r>
          </w:p>
        </w:tc>
        <w:tc>
          <w:tcPr>
            <w:tcW w:w="1121" w:type="dxa"/>
            <w:vAlign w:val="center"/>
          </w:tcPr>
          <w:p w:rsidR="00AE0EFB" w:rsidRPr="00864209" w:rsidRDefault="00AE0EFB" w:rsidP="00CA78E4">
            <w:pPr>
              <w:tabs>
                <w:tab w:val="decimal" w:pos="418"/>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6.0</w:t>
            </w:r>
          </w:p>
        </w:tc>
        <w:tc>
          <w:tcPr>
            <w:tcW w:w="1120" w:type="dxa"/>
            <w:vAlign w:val="center"/>
          </w:tcPr>
          <w:p w:rsidR="00AE0EFB" w:rsidRPr="00864209" w:rsidRDefault="00AE0EFB" w:rsidP="00CA78E4">
            <w:pPr>
              <w:tabs>
                <w:tab w:val="decimal" w:pos="427"/>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18.4</w:t>
            </w:r>
          </w:p>
        </w:tc>
        <w:tc>
          <w:tcPr>
            <w:tcW w:w="1121" w:type="dxa"/>
            <w:vAlign w:val="center"/>
          </w:tcPr>
          <w:p w:rsidR="00AE0EFB" w:rsidRPr="00864209" w:rsidRDefault="00AE0EFB" w:rsidP="00CA78E4">
            <w:pPr>
              <w:tabs>
                <w:tab w:val="decimal" w:pos="435"/>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16.9</w:t>
            </w:r>
          </w:p>
        </w:tc>
        <w:tc>
          <w:tcPr>
            <w:tcW w:w="1121" w:type="dxa"/>
            <w:vAlign w:val="center"/>
          </w:tcPr>
          <w:p w:rsidR="00AE0EFB" w:rsidRPr="00864209" w:rsidRDefault="00AE0EFB" w:rsidP="00CA78E4">
            <w:pPr>
              <w:tabs>
                <w:tab w:val="decimal" w:pos="301"/>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39.8</w:t>
            </w:r>
          </w:p>
        </w:tc>
        <w:tc>
          <w:tcPr>
            <w:tcW w:w="992" w:type="dxa"/>
            <w:vAlign w:val="center"/>
          </w:tcPr>
          <w:p w:rsidR="00AE0EFB" w:rsidRPr="00864209" w:rsidRDefault="00AE0EFB" w:rsidP="00CA78E4">
            <w:pPr>
              <w:tabs>
                <w:tab w:val="decimal" w:pos="347"/>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1.5</w:t>
            </w:r>
          </w:p>
        </w:tc>
        <w:tc>
          <w:tcPr>
            <w:tcW w:w="1560" w:type="dxa"/>
            <w:tcBorders>
              <w:left w:val="nil"/>
            </w:tcBorders>
            <w:vAlign w:val="center"/>
          </w:tcPr>
          <w:p w:rsidR="00AE0EFB" w:rsidRPr="00864209" w:rsidRDefault="00AE0EFB" w:rsidP="00CA78E4">
            <w:pPr>
              <w:tabs>
                <w:tab w:val="left" w:pos="601"/>
              </w:tabs>
              <w:spacing w:before="20" w:after="20"/>
              <w:ind w:right="118"/>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266</w:t>
            </w:r>
          </w:p>
        </w:tc>
        <w:tc>
          <w:tcPr>
            <w:tcW w:w="1559" w:type="dxa"/>
            <w:vAlign w:val="center"/>
          </w:tcPr>
          <w:p w:rsidR="00AE0EFB" w:rsidRPr="00864209" w:rsidRDefault="00AE0EFB" w:rsidP="00CA78E4">
            <w:pPr>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574</w:t>
            </w:r>
          </w:p>
        </w:tc>
      </w:tr>
      <w:tr w:rsidR="00AE0EFB" w:rsidRPr="008814CC" w:rsidTr="00F847D2">
        <w:tc>
          <w:tcPr>
            <w:tcW w:w="4299" w:type="dxa"/>
            <w:vAlign w:val="center"/>
          </w:tcPr>
          <w:p w:rsidR="00AE0EFB" w:rsidRPr="00C0007F" w:rsidRDefault="00AE0EFB" w:rsidP="00F16760">
            <w:pPr>
              <w:spacing w:before="20" w:after="20"/>
              <w:ind w:right="33"/>
              <w:rPr>
                <w:rFonts w:ascii="Calibri" w:eastAsia="Times New Roman" w:hAnsi="Calibri" w:cs="Calibri"/>
                <w:sz w:val="18"/>
                <w:szCs w:val="18"/>
              </w:rPr>
            </w:pPr>
            <w:r w:rsidRPr="00C0007F">
              <w:rPr>
                <w:rFonts w:ascii="Calibri" w:eastAsia="Times New Roman" w:hAnsi="Calibri" w:cs="Calibri"/>
                <w:sz w:val="18"/>
                <w:szCs w:val="18"/>
              </w:rPr>
              <w:t>Social worker/disability case coordinator</w:t>
            </w:r>
          </w:p>
        </w:tc>
        <w:tc>
          <w:tcPr>
            <w:tcW w:w="1120" w:type="dxa"/>
            <w:vAlign w:val="center"/>
          </w:tcPr>
          <w:p w:rsidR="00AE0EFB" w:rsidRPr="00864209" w:rsidRDefault="00AE0EFB" w:rsidP="00CA78E4">
            <w:pPr>
              <w:tabs>
                <w:tab w:val="decimal" w:pos="281"/>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0.6</w:t>
            </w:r>
          </w:p>
        </w:tc>
        <w:tc>
          <w:tcPr>
            <w:tcW w:w="1121" w:type="dxa"/>
            <w:vAlign w:val="center"/>
          </w:tcPr>
          <w:p w:rsidR="00AE0EFB" w:rsidRPr="00864209" w:rsidRDefault="00AE0EFB" w:rsidP="00CA78E4">
            <w:pPr>
              <w:tabs>
                <w:tab w:val="decimal" w:pos="350"/>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6.3</w:t>
            </w:r>
          </w:p>
        </w:tc>
        <w:tc>
          <w:tcPr>
            <w:tcW w:w="1121" w:type="dxa"/>
            <w:vAlign w:val="center"/>
          </w:tcPr>
          <w:p w:rsidR="00AE0EFB" w:rsidRPr="00864209" w:rsidRDefault="00AE0EFB" w:rsidP="00CA78E4">
            <w:pPr>
              <w:tabs>
                <w:tab w:val="decimal" w:pos="418"/>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13.3</w:t>
            </w:r>
          </w:p>
        </w:tc>
        <w:tc>
          <w:tcPr>
            <w:tcW w:w="1120" w:type="dxa"/>
            <w:vAlign w:val="center"/>
          </w:tcPr>
          <w:p w:rsidR="00AE0EFB" w:rsidRPr="00864209" w:rsidRDefault="00AE0EFB" w:rsidP="00CA78E4">
            <w:pPr>
              <w:tabs>
                <w:tab w:val="decimal" w:pos="427"/>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17.7</w:t>
            </w:r>
          </w:p>
        </w:tc>
        <w:tc>
          <w:tcPr>
            <w:tcW w:w="1121" w:type="dxa"/>
            <w:vAlign w:val="center"/>
          </w:tcPr>
          <w:p w:rsidR="00AE0EFB" w:rsidRPr="00864209" w:rsidRDefault="00AE0EFB" w:rsidP="00CA78E4">
            <w:pPr>
              <w:tabs>
                <w:tab w:val="decimal" w:pos="435"/>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24.1</w:t>
            </w:r>
          </w:p>
        </w:tc>
        <w:tc>
          <w:tcPr>
            <w:tcW w:w="1121" w:type="dxa"/>
            <w:vAlign w:val="center"/>
          </w:tcPr>
          <w:p w:rsidR="00AE0EFB" w:rsidRPr="00864209" w:rsidRDefault="00AE0EFB" w:rsidP="00CA78E4">
            <w:pPr>
              <w:tabs>
                <w:tab w:val="decimal" w:pos="301"/>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36.1</w:t>
            </w:r>
          </w:p>
        </w:tc>
        <w:tc>
          <w:tcPr>
            <w:tcW w:w="992" w:type="dxa"/>
            <w:vAlign w:val="center"/>
          </w:tcPr>
          <w:p w:rsidR="00AE0EFB" w:rsidRPr="00864209" w:rsidRDefault="00AE0EFB" w:rsidP="00CA78E4">
            <w:pPr>
              <w:tabs>
                <w:tab w:val="decimal" w:pos="347"/>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1.9</w:t>
            </w:r>
          </w:p>
        </w:tc>
        <w:tc>
          <w:tcPr>
            <w:tcW w:w="1560" w:type="dxa"/>
            <w:tcBorders>
              <w:left w:val="nil"/>
            </w:tcBorders>
            <w:vAlign w:val="center"/>
          </w:tcPr>
          <w:p w:rsidR="00AE0EFB" w:rsidRPr="00864209" w:rsidRDefault="00AE0EFB" w:rsidP="00CA78E4">
            <w:pPr>
              <w:tabs>
                <w:tab w:val="left" w:pos="601"/>
              </w:tabs>
              <w:spacing w:before="20" w:after="20"/>
              <w:ind w:right="118"/>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158</w:t>
            </w:r>
          </w:p>
        </w:tc>
        <w:tc>
          <w:tcPr>
            <w:tcW w:w="1559" w:type="dxa"/>
            <w:vAlign w:val="center"/>
          </w:tcPr>
          <w:p w:rsidR="00AE0EFB" w:rsidRPr="00864209" w:rsidRDefault="00AE0EFB" w:rsidP="00CA78E4">
            <w:pPr>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542</w:t>
            </w:r>
          </w:p>
        </w:tc>
      </w:tr>
      <w:tr w:rsidR="00AE0EFB" w:rsidRPr="008814CC" w:rsidTr="00F847D2">
        <w:tc>
          <w:tcPr>
            <w:tcW w:w="4299" w:type="dxa"/>
            <w:vAlign w:val="center"/>
          </w:tcPr>
          <w:p w:rsidR="00AE0EFB" w:rsidRPr="00C0007F" w:rsidRDefault="00AE0EFB" w:rsidP="00F16760">
            <w:pPr>
              <w:spacing w:before="20" w:after="20"/>
              <w:rPr>
                <w:rFonts w:ascii="Calibri" w:eastAsia="Times New Roman" w:hAnsi="Calibri" w:cs="Calibri"/>
                <w:sz w:val="18"/>
                <w:szCs w:val="18"/>
              </w:rPr>
            </w:pPr>
            <w:r w:rsidRPr="00C0007F">
              <w:rPr>
                <w:rFonts w:ascii="Calibri" w:eastAsia="Times New Roman" w:hAnsi="Calibri" w:cs="Calibri"/>
                <w:sz w:val="18"/>
                <w:szCs w:val="18"/>
              </w:rPr>
              <w:t>Employment support worker</w:t>
            </w:r>
          </w:p>
        </w:tc>
        <w:tc>
          <w:tcPr>
            <w:tcW w:w="1120" w:type="dxa"/>
            <w:vAlign w:val="center"/>
          </w:tcPr>
          <w:p w:rsidR="00AE0EFB" w:rsidRPr="00864209" w:rsidRDefault="00AE0EFB" w:rsidP="00CA78E4">
            <w:pPr>
              <w:tabs>
                <w:tab w:val="decimal" w:pos="281"/>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6.6</w:t>
            </w:r>
          </w:p>
        </w:tc>
        <w:tc>
          <w:tcPr>
            <w:tcW w:w="1121" w:type="dxa"/>
            <w:vAlign w:val="center"/>
          </w:tcPr>
          <w:p w:rsidR="00AE0EFB" w:rsidRPr="00864209" w:rsidRDefault="00AE0EFB" w:rsidP="00CA78E4">
            <w:pPr>
              <w:tabs>
                <w:tab w:val="decimal" w:pos="350"/>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9.1</w:t>
            </w:r>
          </w:p>
        </w:tc>
        <w:tc>
          <w:tcPr>
            <w:tcW w:w="1121" w:type="dxa"/>
            <w:vAlign w:val="center"/>
          </w:tcPr>
          <w:p w:rsidR="00AE0EFB" w:rsidRPr="00864209" w:rsidRDefault="00AE0EFB" w:rsidP="00CA78E4">
            <w:pPr>
              <w:tabs>
                <w:tab w:val="decimal" w:pos="418"/>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1.7</w:t>
            </w:r>
          </w:p>
        </w:tc>
        <w:tc>
          <w:tcPr>
            <w:tcW w:w="1120" w:type="dxa"/>
            <w:vAlign w:val="center"/>
          </w:tcPr>
          <w:p w:rsidR="00AE0EFB" w:rsidRPr="00864209" w:rsidRDefault="00AE0EFB" w:rsidP="00CA78E4">
            <w:pPr>
              <w:tabs>
                <w:tab w:val="decimal" w:pos="427"/>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19.0</w:t>
            </w:r>
          </w:p>
        </w:tc>
        <w:tc>
          <w:tcPr>
            <w:tcW w:w="1121" w:type="dxa"/>
            <w:vAlign w:val="center"/>
          </w:tcPr>
          <w:p w:rsidR="00AE0EFB" w:rsidRPr="00864209" w:rsidRDefault="00AE0EFB" w:rsidP="00CA78E4">
            <w:pPr>
              <w:tabs>
                <w:tab w:val="decimal" w:pos="435"/>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21.5</w:t>
            </w:r>
          </w:p>
        </w:tc>
        <w:tc>
          <w:tcPr>
            <w:tcW w:w="1121" w:type="dxa"/>
            <w:vAlign w:val="center"/>
          </w:tcPr>
          <w:p w:rsidR="00AE0EFB" w:rsidRPr="00864209" w:rsidRDefault="00AE0EFB" w:rsidP="00CA78E4">
            <w:pPr>
              <w:tabs>
                <w:tab w:val="decimal" w:pos="301"/>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42.1</w:t>
            </w:r>
          </w:p>
        </w:tc>
        <w:tc>
          <w:tcPr>
            <w:tcW w:w="992" w:type="dxa"/>
            <w:vAlign w:val="center"/>
          </w:tcPr>
          <w:p w:rsidR="00AE0EFB" w:rsidRPr="00864209" w:rsidRDefault="00AE0EFB" w:rsidP="00CA78E4">
            <w:pPr>
              <w:tabs>
                <w:tab w:val="decimal" w:pos="347"/>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0.0</w:t>
            </w:r>
          </w:p>
        </w:tc>
        <w:tc>
          <w:tcPr>
            <w:tcW w:w="1560" w:type="dxa"/>
            <w:tcBorders>
              <w:left w:val="nil"/>
            </w:tcBorders>
            <w:vAlign w:val="center"/>
          </w:tcPr>
          <w:p w:rsidR="00AE0EFB" w:rsidRPr="00864209" w:rsidRDefault="00AE0EFB" w:rsidP="00CA78E4">
            <w:pPr>
              <w:tabs>
                <w:tab w:val="left" w:pos="601"/>
              </w:tabs>
              <w:spacing w:before="20" w:after="20"/>
              <w:ind w:right="118"/>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121</w:t>
            </w:r>
          </w:p>
        </w:tc>
        <w:tc>
          <w:tcPr>
            <w:tcW w:w="1559" w:type="dxa"/>
            <w:vAlign w:val="center"/>
          </w:tcPr>
          <w:p w:rsidR="00AE0EFB" w:rsidRPr="00864209" w:rsidRDefault="00AE0EFB" w:rsidP="00CA78E4">
            <w:pPr>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532</w:t>
            </w:r>
          </w:p>
        </w:tc>
      </w:tr>
      <w:tr w:rsidR="00AE0EFB" w:rsidRPr="008814CC" w:rsidTr="00F847D2">
        <w:tc>
          <w:tcPr>
            <w:tcW w:w="4299" w:type="dxa"/>
            <w:vAlign w:val="center"/>
          </w:tcPr>
          <w:p w:rsidR="00AE0EFB" w:rsidRPr="00C0007F" w:rsidRDefault="00AE0EFB" w:rsidP="00F16760">
            <w:pPr>
              <w:spacing w:before="20" w:after="20"/>
              <w:rPr>
                <w:rFonts w:ascii="Calibri" w:eastAsia="Times New Roman" w:hAnsi="Calibri" w:cs="Calibri"/>
                <w:sz w:val="18"/>
                <w:szCs w:val="18"/>
              </w:rPr>
            </w:pPr>
            <w:r w:rsidRPr="00C0007F">
              <w:rPr>
                <w:rFonts w:ascii="Calibri" w:eastAsia="Times New Roman" w:hAnsi="Calibri" w:cs="Calibri"/>
                <w:sz w:val="18"/>
                <w:szCs w:val="18"/>
              </w:rPr>
              <w:t>Peer support worker</w:t>
            </w:r>
          </w:p>
        </w:tc>
        <w:tc>
          <w:tcPr>
            <w:tcW w:w="1120" w:type="dxa"/>
            <w:vAlign w:val="center"/>
          </w:tcPr>
          <w:p w:rsidR="00AE0EFB" w:rsidRPr="00864209" w:rsidRDefault="00AE0EFB" w:rsidP="00CA78E4">
            <w:pPr>
              <w:tabs>
                <w:tab w:val="decimal" w:pos="281"/>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4.8</w:t>
            </w:r>
          </w:p>
        </w:tc>
        <w:tc>
          <w:tcPr>
            <w:tcW w:w="1121" w:type="dxa"/>
            <w:vAlign w:val="center"/>
          </w:tcPr>
          <w:p w:rsidR="00AE0EFB" w:rsidRPr="00864209" w:rsidRDefault="00AE0EFB" w:rsidP="00CA78E4">
            <w:pPr>
              <w:tabs>
                <w:tab w:val="decimal" w:pos="350"/>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8.1</w:t>
            </w:r>
          </w:p>
        </w:tc>
        <w:tc>
          <w:tcPr>
            <w:tcW w:w="1121" w:type="dxa"/>
            <w:vAlign w:val="center"/>
          </w:tcPr>
          <w:p w:rsidR="00AE0EFB" w:rsidRPr="00864209" w:rsidRDefault="00AE0EFB" w:rsidP="00CA78E4">
            <w:pPr>
              <w:tabs>
                <w:tab w:val="decimal" w:pos="418"/>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9.7</w:t>
            </w:r>
          </w:p>
        </w:tc>
        <w:tc>
          <w:tcPr>
            <w:tcW w:w="1120" w:type="dxa"/>
            <w:vAlign w:val="center"/>
          </w:tcPr>
          <w:p w:rsidR="00AE0EFB" w:rsidRPr="00864209" w:rsidRDefault="00AE0EFB" w:rsidP="00CA78E4">
            <w:pPr>
              <w:tabs>
                <w:tab w:val="decimal" w:pos="427"/>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12.9</w:t>
            </w:r>
          </w:p>
        </w:tc>
        <w:tc>
          <w:tcPr>
            <w:tcW w:w="1121" w:type="dxa"/>
            <w:vAlign w:val="center"/>
          </w:tcPr>
          <w:p w:rsidR="00AE0EFB" w:rsidRPr="00864209" w:rsidRDefault="00AE0EFB" w:rsidP="00CA78E4">
            <w:pPr>
              <w:tabs>
                <w:tab w:val="decimal" w:pos="435"/>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32.3</w:t>
            </w:r>
          </w:p>
        </w:tc>
        <w:tc>
          <w:tcPr>
            <w:tcW w:w="1121" w:type="dxa"/>
            <w:vAlign w:val="center"/>
          </w:tcPr>
          <w:p w:rsidR="00AE0EFB" w:rsidRPr="00864209" w:rsidRDefault="00AE0EFB" w:rsidP="00CA78E4">
            <w:pPr>
              <w:tabs>
                <w:tab w:val="decimal" w:pos="301"/>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31.5</w:t>
            </w:r>
          </w:p>
        </w:tc>
        <w:tc>
          <w:tcPr>
            <w:tcW w:w="992" w:type="dxa"/>
            <w:vAlign w:val="center"/>
          </w:tcPr>
          <w:p w:rsidR="00AE0EFB" w:rsidRPr="00864209" w:rsidRDefault="00AE0EFB" w:rsidP="00CA78E4">
            <w:pPr>
              <w:tabs>
                <w:tab w:val="decimal" w:pos="347"/>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0.8</w:t>
            </w:r>
          </w:p>
        </w:tc>
        <w:tc>
          <w:tcPr>
            <w:tcW w:w="1560" w:type="dxa"/>
            <w:tcBorders>
              <w:left w:val="nil"/>
            </w:tcBorders>
            <w:vAlign w:val="center"/>
          </w:tcPr>
          <w:p w:rsidR="00AE0EFB" w:rsidRPr="00864209" w:rsidRDefault="00AE0EFB" w:rsidP="00CA78E4">
            <w:pPr>
              <w:tabs>
                <w:tab w:val="left" w:pos="601"/>
              </w:tabs>
              <w:spacing w:before="20" w:after="20"/>
              <w:ind w:right="118"/>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124</w:t>
            </w:r>
          </w:p>
        </w:tc>
        <w:tc>
          <w:tcPr>
            <w:tcW w:w="1559" w:type="dxa"/>
            <w:vAlign w:val="center"/>
          </w:tcPr>
          <w:p w:rsidR="00AE0EFB" w:rsidRPr="00864209" w:rsidRDefault="00AE0EFB" w:rsidP="00CA78E4">
            <w:pPr>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537</w:t>
            </w:r>
          </w:p>
        </w:tc>
      </w:tr>
      <w:tr w:rsidR="00AE0EFB" w:rsidRPr="008814CC" w:rsidTr="00F847D2">
        <w:tc>
          <w:tcPr>
            <w:tcW w:w="4299" w:type="dxa"/>
            <w:vAlign w:val="center"/>
          </w:tcPr>
          <w:p w:rsidR="00AE0EFB" w:rsidRPr="00C0007F" w:rsidRDefault="00AE0EFB" w:rsidP="00F16760">
            <w:pPr>
              <w:spacing w:before="20" w:after="20"/>
              <w:rPr>
                <w:rFonts w:ascii="Calibri" w:eastAsia="Times New Roman" w:hAnsi="Calibri" w:cs="Calibri"/>
                <w:sz w:val="18"/>
                <w:szCs w:val="18"/>
              </w:rPr>
            </w:pPr>
            <w:r w:rsidRPr="00C0007F">
              <w:rPr>
                <w:rFonts w:ascii="Calibri" w:eastAsia="Times New Roman" w:hAnsi="Calibri" w:cs="Calibri"/>
                <w:sz w:val="18"/>
                <w:szCs w:val="18"/>
              </w:rPr>
              <w:t>Allied health worker</w:t>
            </w:r>
          </w:p>
        </w:tc>
        <w:tc>
          <w:tcPr>
            <w:tcW w:w="1120" w:type="dxa"/>
            <w:vAlign w:val="center"/>
          </w:tcPr>
          <w:p w:rsidR="00AE0EFB" w:rsidRPr="00864209" w:rsidRDefault="00AE0EFB" w:rsidP="00CA78E4">
            <w:pPr>
              <w:tabs>
                <w:tab w:val="decimal" w:pos="281"/>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11.4</w:t>
            </w:r>
          </w:p>
        </w:tc>
        <w:tc>
          <w:tcPr>
            <w:tcW w:w="1121" w:type="dxa"/>
            <w:vAlign w:val="center"/>
          </w:tcPr>
          <w:p w:rsidR="00AE0EFB" w:rsidRPr="00864209" w:rsidRDefault="00AE0EFB" w:rsidP="00CA78E4">
            <w:pPr>
              <w:tabs>
                <w:tab w:val="decimal" w:pos="350"/>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11.1</w:t>
            </w:r>
          </w:p>
        </w:tc>
        <w:tc>
          <w:tcPr>
            <w:tcW w:w="1121" w:type="dxa"/>
            <w:vAlign w:val="center"/>
          </w:tcPr>
          <w:p w:rsidR="00AE0EFB" w:rsidRPr="00864209" w:rsidRDefault="00AE0EFB" w:rsidP="00CA78E4">
            <w:pPr>
              <w:tabs>
                <w:tab w:val="decimal" w:pos="418"/>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18.8</w:t>
            </w:r>
          </w:p>
        </w:tc>
        <w:tc>
          <w:tcPr>
            <w:tcW w:w="1120" w:type="dxa"/>
            <w:vAlign w:val="center"/>
          </w:tcPr>
          <w:p w:rsidR="00AE0EFB" w:rsidRPr="00864209" w:rsidRDefault="00AE0EFB" w:rsidP="00CA78E4">
            <w:pPr>
              <w:tabs>
                <w:tab w:val="decimal" w:pos="427"/>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11.1</w:t>
            </w:r>
          </w:p>
        </w:tc>
        <w:tc>
          <w:tcPr>
            <w:tcW w:w="1121" w:type="dxa"/>
            <w:vAlign w:val="center"/>
          </w:tcPr>
          <w:p w:rsidR="00AE0EFB" w:rsidRPr="00864209" w:rsidRDefault="00AE0EFB" w:rsidP="00CA78E4">
            <w:pPr>
              <w:tabs>
                <w:tab w:val="decimal" w:pos="435"/>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17.8</w:t>
            </w:r>
          </w:p>
        </w:tc>
        <w:tc>
          <w:tcPr>
            <w:tcW w:w="1121" w:type="dxa"/>
            <w:vAlign w:val="center"/>
          </w:tcPr>
          <w:p w:rsidR="00AE0EFB" w:rsidRPr="00864209" w:rsidRDefault="00AE0EFB" w:rsidP="00CA78E4">
            <w:pPr>
              <w:tabs>
                <w:tab w:val="decimal" w:pos="301"/>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28.5</w:t>
            </w:r>
          </w:p>
        </w:tc>
        <w:tc>
          <w:tcPr>
            <w:tcW w:w="992" w:type="dxa"/>
            <w:vAlign w:val="center"/>
          </w:tcPr>
          <w:p w:rsidR="00AE0EFB" w:rsidRPr="00864209" w:rsidRDefault="00AE0EFB" w:rsidP="00CA78E4">
            <w:pPr>
              <w:tabs>
                <w:tab w:val="decimal" w:pos="347"/>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1.3</w:t>
            </w:r>
          </w:p>
        </w:tc>
        <w:tc>
          <w:tcPr>
            <w:tcW w:w="1560" w:type="dxa"/>
            <w:tcBorders>
              <w:left w:val="nil"/>
            </w:tcBorders>
            <w:vAlign w:val="center"/>
          </w:tcPr>
          <w:p w:rsidR="00AE0EFB" w:rsidRPr="00864209" w:rsidRDefault="00AE0EFB" w:rsidP="00CA78E4">
            <w:pPr>
              <w:tabs>
                <w:tab w:val="left" w:pos="601"/>
              </w:tabs>
              <w:spacing w:before="20" w:after="20"/>
              <w:ind w:right="118"/>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298</w:t>
            </w:r>
          </w:p>
        </w:tc>
        <w:tc>
          <w:tcPr>
            <w:tcW w:w="1559" w:type="dxa"/>
            <w:vAlign w:val="center"/>
          </w:tcPr>
          <w:p w:rsidR="00AE0EFB" w:rsidRPr="00864209" w:rsidRDefault="00AE0EFB" w:rsidP="00CA78E4">
            <w:pPr>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568</w:t>
            </w:r>
          </w:p>
        </w:tc>
      </w:tr>
      <w:tr w:rsidR="00AE0EFB" w:rsidRPr="008814CC" w:rsidTr="00F847D2">
        <w:tc>
          <w:tcPr>
            <w:tcW w:w="4299" w:type="dxa"/>
            <w:tcBorders>
              <w:bottom w:val="single" w:sz="4" w:space="0" w:color="auto"/>
            </w:tcBorders>
            <w:vAlign w:val="center"/>
          </w:tcPr>
          <w:p w:rsidR="00AE0EFB" w:rsidRPr="00C0007F" w:rsidRDefault="00AE0EFB" w:rsidP="00F16760">
            <w:pPr>
              <w:spacing w:before="20" w:after="20"/>
              <w:rPr>
                <w:rFonts w:ascii="Calibri" w:eastAsia="Times New Roman" w:hAnsi="Calibri" w:cs="Calibri"/>
                <w:sz w:val="18"/>
                <w:szCs w:val="18"/>
              </w:rPr>
            </w:pPr>
            <w:r w:rsidRPr="00C0007F">
              <w:rPr>
                <w:rFonts w:ascii="Calibri" w:eastAsia="Times New Roman" w:hAnsi="Calibri" w:cs="Calibri"/>
                <w:sz w:val="18"/>
                <w:szCs w:val="18"/>
              </w:rPr>
              <w:t>Other</w:t>
            </w:r>
          </w:p>
        </w:tc>
        <w:tc>
          <w:tcPr>
            <w:tcW w:w="1120" w:type="dxa"/>
            <w:tcBorders>
              <w:bottom w:val="single" w:sz="4" w:space="0" w:color="auto"/>
            </w:tcBorders>
            <w:vAlign w:val="center"/>
          </w:tcPr>
          <w:p w:rsidR="00AE0EFB" w:rsidRPr="00864209" w:rsidRDefault="00AE0EFB" w:rsidP="00CA78E4">
            <w:pPr>
              <w:tabs>
                <w:tab w:val="decimal" w:pos="281"/>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9.5</w:t>
            </w:r>
          </w:p>
        </w:tc>
        <w:tc>
          <w:tcPr>
            <w:tcW w:w="1121" w:type="dxa"/>
            <w:tcBorders>
              <w:bottom w:val="single" w:sz="4" w:space="0" w:color="auto"/>
            </w:tcBorders>
            <w:vAlign w:val="center"/>
          </w:tcPr>
          <w:p w:rsidR="00AE0EFB" w:rsidRPr="00864209" w:rsidRDefault="00AE0EFB" w:rsidP="00CA78E4">
            <w:pPr>
              <w:tabs>
                <w:tab w:val="decimal" w:pos="350"/>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7.1</w:t>
            </w:r>
          </w:p>
        </w:tc>
        <w:tc>
          <w:tcPr>
            <w:tcW w:w="1121" w:type="dxa"/>
            <w:tcBorders>
              <w:bottom w:val="single" w:sz="4" w:space="0" w:color="auto"/>
            </w:tcBorders>
            <w:vAlign w:val="center"/>
          </w:tcPr>
          <w:p w:rsidR="00AE0EFB" w:rsidRPr="00864209" w:rsidRDefault="00AE0EFB" w:rsidP="00CA78E4">
            <w:pPr>
              <w:tabs>
                <w:tab w:val="decimal" w:pos="418"/>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19.0</w:t>
            </w:r>
          </w:p>
        </w:tc>
        <w:tc>
          <w:tcPr>
            <w:tcW w:w="1120" w:type="dxa"/>
            <w:tcBorders>
              <w:bottom w:val="single" w:sz="4" w:space="0" w:color="auto"/>
            </w:tcBorders>
            <w:vAlign w:val="center"/>
          </w:tcPr>
          <w:p w:rsidR="00AE0EFB" w:rsidRPr="00864209" w:rsidRDefault="00AE0EFB" w:rsidP="00CA78E4">
            <w:pPr>
              <w:tabs>
                <w:tab w:val="decimal" w:pos="427"/>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29.8</w:t>
            </w:r>
          </w:p>
        </w:tc>
        <w:tc>
          <w:tcPr>
            <w:tcW w:w="1121" w:type="dxa"/>
            <w:tcBorders>
              <w:bottom w:val="single" w:sz="4" w:space="0" w:color="auto"/>
            </w:tcBorders>
            <w:vAlign w:val="center"/>
          </w:tcPr>
          <w:p w:rsidR="00AE0EFB" w:rsidRPr="00864209" w:rsidRDefault="00AE0EFB" w:rsidP="00CA78E4">
            <w:pPr>
              <w:tabs>
                <w:tab w:val="decimal" w:pos="435"/>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1.2</w:t>
            </w:r>
          </w:p>
        </w:tc>
        <w:tc>
          <w:tcPr>
            <w:tcW w:w="1121" w:type="dxa"/>
            <w:tcBorders>
              <w:bottom w:val="single" w:sz="4" w:space="0" w:color="auto"/>
            </w:tcBorders>
            <w:vAlign w:val="center"/>
          </w:tcPr>
          <w:p w:rsidR="00AE0EFB" w:rsidRPr="00864209" w:rsidRDefault="00AE0EFB" w:rsidP="00CA78E4">
            <w:pPr>
              <w:tabs>
                <w:tab w:val="decimal" w:pos="301"/>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25.0</w:t>
            </w:r>
          </w:p>
        </w:tc>
        <w:tc>
          <w:tcPr>
            <w:tcW w:w="992" w:type="dxa"/>
            <w:tcBorders>
              <w:bottom w:val="single" w:sz="4" w:space="0" w:color="auto"/>
            </w:tcBorders>
            <w:vAlign w:val="center"/>
          </w:tcPr>
          <w:p w:rsidR="00AE0EFB" w:rsidRPr="00864209" w:rsidRDefault="00AE0EFB" w:rsidP="00CA78E4">
            <w:pPr>
              <w:tabs>
                <w:tab w:val="decimal" w:pos="347"/>
              </w:tabs>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8.3</w:t>
            </w:r>
          </w:p>
        </w:tc>
        <w:tc>
          <w:tcPr>
            <w:tcW w:w="1560" w:type="dxa"/>
            <w:tcBorders>
              <w:left w:val="nil"/>
              <w:bottom w:val="single" w:sz="4" w:space="0" w:color="auto"/>
            </w:tcBorders>
            <w:vAlign w:val="center"/>
          </w:tcPr>
          <w:p w:rsidR="00AE0EFB" w:rsidRPr="00864209" w:rsidRDefault="00AE0EFB" w:rsidP="00CA78E4">
            <w:pPr>
              <w:tabs>
                <w:tab w:val="left" w:pos="601"/>
              </w:tabs>
              <w:spacing w:before="20" w:after="20"/>
              <w:ind w:right="118"/>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84</w:t>
            </w:r>
          </w:p>
        </w:tc>
        <w:tc>
          <w:tcPr>
            <w:tcW w:w="1559" w:type="dxa"/>
            <w:tcBorders>
              <w:bottom w:val="single" w:sz="4" w:space="0" w:color="auto"/>
            </w:tcBorders>
            <w:vAlign w:val="center"/>
          </w:tcPr>
          <w:p w:rsidR="00AE0EFB" w:rsidRPr="00864209" w:rsidRDefault="00AE0EFB" w:rsidP="00CA78E4">
            <w:pPr>
              <w:spacing w:before="20" w:after="20"/>
              <w:jc w:val="center"/>
              <w:rPr>
                <w:rFonts w:ascii="Calibri" w:eastAsia="Times New Roman" w:hAnsi="Calibri" w:cs="Calibri"/>
                <w:snapToGrid w:val="0"/>
                <w:sz w:val="20"/>
                <w:szCs w:val="20"/>
              </w:rPr>
            </w:pPr>
            <w:r w:rsidRPr="00864209">
              <w:rPr>
                <w:rFonts w:ascii="Calibri" w:eastAsia="Times New Roman" w:hAnsi="Calibri" w:cs="Calibri"/>
                <w:snapToGrid w:val="0"/>
                <w:sz w:val="20"/>
                <w:szCs w:val="20"/>
              </w:rPr>
              <w:t>495</w:t>
            </w:r>
          </w:p>
        </w:tc>
      </w:tr>
      <w:tr w:rsidR="00AE0EFB" w:rsidRPr="008814CC" w:rsidTr="00D812B4">
        <w:tc>
          <w:tcPr>
            <w:tcW w:w="4299" w:type="dxa"/>
            <w:tcBorders>
              <w:top w:val="single" w:sz="4" w:space="0" w:color="auto"/>
              <w:bottom w:val="single" w:sz="8" w:space="0" w:color="auto"/>
            </w:tcBorders>
            <w:vAlign w:val="center"/>
          </w:tcPr>
          <w:p w:rsidR="00AE0EFB" w:rsidRPr="007300E1" w:rsidRDefault="009B7AC9" w:rsidP="009B7AC9">
            <w:pPr>
              <w:spacing w:before="20" w:after="20"/>
              <w:rPr>
                <w:rFonts w:ascii="Calibri" w:eastAsia="Times New Roman" w:hAnsi="Calibri" w:cs="Calibri"/>
                <w:b/>
                <w:sz w:val="18"/>
                <w:szCs w:val="18"/>
              </w:rPr>
            </w:pPr>
            <w:r w:rsidRPr="007300E1">
              <w:rPr>
                <w:rFonts w:ascii="Calibri" w:eastAsia="Times New Roman" w:hAnsi="Calibri" w:cs="Calibri"/>
                <w:b/>
                <w:sz w:val="18"/>
                <w:szCs w:val="18"/>
              </w:rPr>
              <w:t>F</w:t>
            </w:r>
            <w:r w:rsidR="00781C51" w:rsidRPr="007300E1">
              <w:rPr>
                <w:rFonts w:ascii="Calibri" w:eastAsia="Times New Roman" w:hAnsi="Calibri" w:cs="Calibri"/>
                <w:b/>
                <w:sz w:val="18"/>
                <w:szCs w:val="18"/>
              </w:rPr>
              <w:t>or all occupations</w:t>
            </w:r>
          </w:p>
        </w:tc>
        <w:tc>
          <w:tcPr>
            <w:tcW w:w="1120" w:type="dxa"/>
            <w:tcBorders>
              <w:top w:val="single" w:sz="4" w:space="0" w:color="auto"/>
              <w:bottom w:val="single" w:sz="8" w:space="0" w:color="auto"/>
            </w:tcBorders>
            <w:vAlign w:val="center"/>
          </w:tcPr>
          <w:p w:rsidR="00AE0EFB" w:rsidRPr="007300E1" w:rsidRDefault="00AE0EFB" w:rsidP="00CA78E4">
            <w:pPr>
              <w:tabs>
                <w:tab w:val="decimal" w:pos="281"/>
              </w:tabs>
              <w:spacing w:before="20" w:after="20"/>
              <w:jc w:val="center"/>
              <w:rPr>
                <w:rFonts w:ascii="Calibri" w:eastAsia="Times New Roman" w:hAnsi="Calibri" w:cs="Calibri"/>
                <w:b/>
                <w:snapToGrid w:val="0"/>
                <w:sz w:val="20"/>
                <w:szCs w:val="20"/>
              </w:rPr>
            </w:pPr>
            <w:r w:rsidRPr="007300E1">
              <w:rPr>
                <w:rFonts w:ascii="Calibri" w:eastAsia="Times New Roman" w:hAnsi="Calibri" w:cs="Calibri"/>
                <w:b/>
                <w:snapToGrid w:val="0"/>
                <w:sz w:val="20"/>
                <w:szCs w:val="20"/>
              </w:rPr>
              <w:t>6.9</w:t>
            </w:r>
          </w:p>
        </w:tc>
        <w:tc>
          <w:tcPr>
            <w:tcW w:w="1121" w:type="dxa"/>
            <w:tcBorders>
              <w:top w:val="single" w:sz="4" w:space="0" w:color="auto"/>
              <w:bottom w:val="single" w:sz="8" w:space="0" w:color="auto"/>
            </w:tcBorders>
            <w:vAlign w:val="center"/>
          </w:tcPr>
          <w:p w:rsidR="00AE0EFB" w:rsidRPr="007300E1" w:rsidRDefault="00AE0EFB" w:rsidP="00CA78E4">
            <w:pPr>
              <w:tabs>
                <w:tab w:val="decimal" w:pos="350"/>
              </w:tabs>
              <w:spacing w:before="20" w:after="20"/>
              <w:jc w:val="center"/>
              <w:rPr>
                <w:rFonts w:ascii="Calibri" w:eastAsia="Times New Roman" w:hAnsi="Calibri" w:cs="Calibri"/>
                <w:b/>
                <w:snapToGrid w:val="0"/>
                <w:sz w:val="20"/>
                <w:szCs w:val="20"/>
              </w:rPr>
            </w:pPr>
            <w:r w:rsidRPr="007300E1">
              <w:rPr>
                <w:rFonts w:ascii="Calibri" w:eastAsia="Times New Roman" w:hAnsi="Calibri" w:cs="Calibri"/>
                <w:b/>
                <w:snapToGrid w:val="0"/>
                <w:sz w:val="20"/>
                <w:szCs w:val="20"/>
              </w:rPr>
              <w:t>2.7</w:t>
            </w:r>
          </w:p>
        </w:tc>
        <w:tc>
          <w:tcPr>
            <w:tcW w:w="1121" w:type="dxa"/>
            <w:tcBorders>
              <w:top w:val="single" w:sz="4" w:space="0" w:color="auto"/>
              <w:bottom w:val="single" w:sz="8" w:space="0" w:color="auto"/>
            </w:tcBorders>
            <w:vAlign w:val="center"/>
          </w:tcPr>
          <w:p w:rsidR="00AE0EFB" w:rsidRPr="007300E1" w:rsidRDefault="00AE0EFB" w:rsidP="00CA78E4">
            <w:pPr>
              <w:tabs>
                <w:tab w:val="decimal" w:pos="418"/>
              </w:tabs>
              <w:spacing w:before="20" w:after="20"/>
              <w:jc w:val="center"/>
              <w:rPr>
                <w:rFonts w:ascii="Calibri" w:eastAsia="Times New Roman" w:hAnsi="Calibri" w:cs="Calibri"/>
                <w:b/>
                <w:snapToGrid w:val="0"/>
                <w:sz w:val="20"/>
                <w:szCs w:val="20"/>
              </w:rPr>
            </w:pPr>
            <w:r w:rsidRPr="007300E1">
              <w:rPr>
                <w:rFonts w:ascii="Calibri" w:eastAsia="Times New Roman" w:hAnsi="Calibri" w:cs="Calibri"/>
                <w:b/>
                <w:snapToGrid w:val="0"/>
                <w:sz w:val="20"/>
                <w:szCs w:val="20"/>
              </w:rPr>
              <w:t>5.1</w:t>
            </w:r>
          </w:p>
        </w:tc>
        <w:tc>
          <w:tcPr>
            <w:tcW w:w="1120" w:type="dxa"/>
            <w:tcBorders>
              <w:top w:val="single" w:sz="4" w:space="0" w:color="auto"/>
              <w:bottom w:val="single" w:sz="8" w:space="0" w:color="auto"/>
            </w:tcBorders>
            <w:vAlign w:val="center"/>
          </w:tcPr>
          <w:p w:rsidR="00AE0EFB" w:rsidRPr="007300E1" w:rsidRDefault="00AE0EFB" w:rsidP="00CA78E4">
            <w:pPr>
              <w:tabs>
                <w:tab w:val="decimal" w:pos="427"/>
              </w:tabs>
              <w:spacing w:before="20" w:after="20"/>
              <w:jc w:val="center"/>
              <w:rPr>
                <w:rFonts w:ascii="Calibri" w:eastAsia="Times New Roman" w:hAnsi="Calibri" w:cs="Calibri"/>
                <w:b/>
                <w:snapToGrid w:val="0"/>
                <w:sz w:val="20"/>
                <w:szCs w:val="20"/>
              </w:rPr>
            </w:pPr>
            <w:r w:rsidRPr="007300E1">
              <w:rPr>
                <w:rFonts w:ascii="Calibri" w:eastAsia="Times New Roman" w:hAnsi="Calibri" w:cs="Calibri"/>
                <w:b/>
                <w:snapToGrid w:val="0"/>
                <w:sz w:val="20"/>
                <w:szCs w:val="20"/>
              </w:rPr>
              <w:t>18.9</w:t>
            </w:r>
          </w:p>
        </w:tc>
        <w:tc>
          <w:tcPr>
            <w:tcW w:w="1121" w:type="dxa"/>
            <w:tcBorders>
              <w:top w:val="single" w:sz="4" w:space="0" w:color="auto"/>
              <w:bottom w:val="single" w:sz="8" w:space="0" w:color="auto"/>
            </w:tcBorders>
            <w:vAlign w:val="center"/>
          </w:tcPr>
          <w:p w:rsidR="00AE0EFB" w:rsidRPr="007300E1" w:rsidRDefault="00AE0EFB" w:rsidP="00CA78E4">
            <w:pPr>
              <w:tabs>
                <w:tab w:val="decimal" w:pos="435"/>
              </w:tabs>
              <w:spacing w:before="20" w:after="20"/>
              <w:jc w:val="center"/>
              <w:rPr>
                <w:rFonts w:ascii="Calibri" w:eastAsia="Times New Roman" w:hAnsi="Calibri" w:cs="Calibri"/>
                <w:b/>
                <w:snapToGrid w:val="0"/>
                <w:sz w:val="20"/>
                <w:szCs w:val="20"/>
              </w:rPr>
            </w:pPr>
            <w:r w:rsidRPr="007300E1">
              <w:rPr>
                <w:rFonts w:ascii="Calibri" w:eastAsia="Times New Roman" w:hAnsi="Calibri" w:cs="Calibri"/>
                <w:b/>
                <w:snapToGrid w:val="0"/>
                <w:sz w:val="20"/>
                <w:szCs w:val="20"/>
              </w:rPr>
              <w:t>18.8</w:t>
            </w:r>
          </w:p>
        </w:tc>
        <w:tc>
          <w:tcPr>
            <w:tcW w:w="1121" w:type="dxa"/>
            <w:tcBorders>
              <w:top w:val="single" w:sz="4" w:space="0" w:color="auto"/>
              <w:bottom w:val="single" w:sz="8" w:space="0" w:color="auto"/>
            </w:tcBorders>
            <w:vAlign w:val="center"/>
          </w:tcPr>
          <w:p w:rsidR="00AE0EFB" w:rsidRPr="007300E1" w:rsidRDefault="00AE0EFB" w:rsidP="00CA78E4">
            <w:pPr>
              <w:tabs>
                <w:tab w:val="decimal" w:pos="301"/>
              </w:tabs>
              <w:spacing w:before="20" w:after="20"/>
              <w:jc w:val="center"/>
              <w:rPr>
                <w:rFonts w:ascii="Calibri" w:eastAsia="Times New Roman" w:hAnsi="Calibri" w:cs="Calibri"/>
                <w:b/>
                <w:snapToGrid w:val="0"/>
                <w:sz w:val="20"/>
                <w:szCs w:val="20"/>
              </w:rPr>
            </w:pPr>
            <w:r w:rsidRPr="007300E1">
              <w:rPr>
                <w:rFonts w:ascii="Calibri" w:eastAsia="Times New Roman" w:hAnsi="Calibri" w:cs="Calibri"/>
                <w:b/>
                <w:snapToGrid w:val="0"/>
                <w:sz w:val="20"/>
                <w:szCs w:val="20"/>
              </w:rPr>
              <w:t>44.8</w:t>
            </w:r>
          </w:p>
        </w:tc>
        <w:tc>
          <w:tcPr>
            <w:tcW w:w="992" w:type="dxa"/>
            <w:tcBorders>
              <w:top w:val="single" w:sz="4" w:space="0" w:color="auto"/>
              <w:bottom w:val="single" w:sz="8" w:space="0" w:color="auto"/>
            </w:tcBorders>
            <w:vAlign w:val="center"/>
          </w:tcPr>
          <w:p w:rsidR="00AE0EFB" w:rsidRPr="007300E1" w:rsidRDefault="00AE0EFB" w:rsidP="00CA78E4">
            <w:pPr>
              <w:tabs>
                <w:tab w:val="decimal" w:pos="347"/>
              </w:tabs>
              <w:spacing w:before="20" w:after="20"/>
              <w:jc w:val="center"/>
              <w:rPr>
                <w:rFonts w:ascii="Calibri" w:eastAsia="Times New Roman" w:hAnsi="Calibri" w:cs="Calibri"/>
                <w:b/>
                <w:snapToGrid w:val="0"/>
                <w:sz w:val="20"/>
                <w:szCs w:val="20"/>
              </w:rPr>
            </w:pPr>
            <w:r w:rsidRPr="007300E1">
              <w:rPr>
                <w:rFonts w:ascii="Calibri" w:eastAsia="Times New Roman" w:hAnsi="Calibri" w:cs="Calibri"/>
                <w:b/>
                <w:snapToGrid w:val="0"/>
                <w:sz w:val="20"/>
                <w:szCs w:val="20"/>
              </w:rPr>
              <w:t>2.9</w:t>
            </w:r>
          </w:p>
        </w:tc>
        <w:tc>
          <w:tcPr>
            <w:tcW w:w="1560" w:type="dxa"/>
            <w:tcBorders>
              <w:top w:val="single" w:sz="4" w:space="0" w:color="auto"/>
              <w:left w:val="nil"/>
              <w:bottom w:val="single" w:sz="8" w:space="0" w:color="auto"/>
            </w:tcBorders>
            <w:vAlign w:val="center"/>
          </w:tcPr>
          <w:p w:rsidR="00AE0EFB" w:rsidRPr="007300E1" w:rsidRDefault="00AE0EFB" w:rsidP="00CA78E4">
            <w:pPr>
              <w:tabs>
                <w:tab w:val="left" w:pos="601"/>
              </w:tabs>
              <w:spacing w:before="20" w:after="20"/>
              <w:ind w:right="118"/>
              <w:jc w:val="center"/>
              <w:rPr>
                <w:rFonts w:ascii="Calibri" w:eastAsia="Times New Roman" w:hAnsi="Calibri" w:cs="Calibri"/>
                <w:b/>
                <w:snapToGrid w:val="0"/>
                <w:sz w:val="20"/>
                <w:szCs w:val="20"/>
              </w:rPr>
            </w:pPr>
            <w:r w:rsidRPr="007300E1">
              <w:rPr>
                <w:rFonts w:ascii="Calibri" w:eastAsia="Times New Roman" w:hAnsi="Calibri" w:cs="Calibri"/>
                <w:b/>
                <w:snapToGrid w:val="0"/>
                <w:sz w:val="20"/>
                <w:szCs w:val="20"/>
              </w:rPr>
              <w:t>5,817</w:t>
            </w:r>
          </w:p>
        </w:tc>
        <w:tc>
          <w:tcPr>
            <w:tcW w:w="1559" w:type="dxa"/>
            <w:tcBorders>
              <w:top w:val="single" w:sz="4" w:space="0" w:color="auto"/>
              <w:bottom w:val="single" w:sz="8" w:space="0" w:color="auto"/>
            </w:tcBorders>
            <w:vAlign w:val="center"/>
          </w:tcPr>
          <w:p w:rsidR="00AE0EFB" w:rsidRPr="007300E1" w:rsidRDefault="00AE0EFB" w:rsidP="00CA78E4">
            <w:pPr>
              <w:spacing w:before="20" w:after="20"/>
              <w:jc w:val="center"/>
              <w:rPr>
                <w:rFonts w:ascii="Calibri" w:eastAsia="Times New Roman" w:hAnsi="Calibri" w:cs="Calibri"/>
                <w:b/>
                <w:snapToGrid w:val="0"/>
                <w:sz w:val="20"/>
                <w:szCs w:val="20"/>
              </w:rPr>
            </w:pPr>
            <w:r w:rsidRPr="007300E1">
              <w:rPr>
                <w:rFonts w:ascii="Calibri" w:eastAsia="Times New Roman" w:hAnsi="Calibri" w:cs="Calibri"/>
                <w:b/>
                <w:snapToGrid w:val="0"/>
                <w:sz w:val="20"/>
                <w:szCs w:val="20"/>
              </w:rPr>
              <w:t>652</w:t>
            </w:r>
          </w:p>
        </w:tc>
      </w:tr>
      <w:tr w:rsidR="00AE0EFB" w:rsidRPr="008814CC" w:rsidTr="00D812B4">
        <w:tc>
          <w:tcPr>
            <w:tcW w:w="4299" w:type="dxa"/>
            <w:tcBorders>
              <w:top w:val="single" w:sz="8" w:space="0" w:color="auto"/>
              <w:bottom w:val="single" w:sz="4" w:space="0" w:color="auto"/>
            </w:tcBorders>
            <w:vAlign w:val="center"/>
          </w:tcPr>
          <w:p w:rsidR="00AE0EFB" w:rsidRPr="00C0007F" w:rsidRDefault="00AE0EFB" w:rsidP="00F16760">
            <w:pPr>
              <w:spacing w:before="20" w:after="20"/>
              <w:rPr>
                <w:rFonts w:ascii="Calibri" w:eastAsia="Times New Roman" w:hAnsi="Calibri" w:cs="Calibri"/>
                <w:b/>
                <w:sz w:val="18"/>
                <w:szCs w:val="18"/>
              </w:rPr>
            </w:pPr>
            <w:r w:rsidRPr="00C0007F">
              <w:rPr>
                <w:rFonts w:ascii="Calibri" w:eastAsia="Times New Roman" w:hAnsi="Calibri" w:cs="Calibri"/>
                <w:b/>
                <w:sz w:val="18"/>
                <w:szCs w:val="18"/>
              </w:rPr>
              <w:t>Total cases</w:t>
            </w:r>
          </w:p>
        </w:tc>
        <w:tc>
          <w:tcPr>
            <w:tcW w:w="1120" w:type="dxa"/>
            <w:tcBorders>
              <w:top w:val="single" w:sz="8" w:space="0" w:color="auto"/>
              <w:bottom w:val="single" w:sz="4" w:space="0" w:color="auto"/>
            </w:tcBorders>
            <w:vAlign w:val="center"/>
          </w:tcPr>
          <w:p w:rsidR="00AE0EFB" w:rsidRPr="004523E3" w:rsidRDefault="00AE0EFB" w:rsidP="00AD76AF">
            <w:pPr>
              <w:tabs>
                <w:tab w:val="decimal" w:pos="379"/>
              </w:tabs>
              <w:spacing w:before="20" w:after="20"/>
              <w:jc w:val="center"/>
              <w:rPr>
                <w:rFonts w:ascii="Calibri" w:eastAsia="Times New Roman" w:hAnsi="Calibri" w:cs="Calibri"/>
                <w:b/>
                <w:snapToGrid w:val="0"/>
                <w:sz w:val="20"/>
                <w:szCs w:val="20"/>
              </w:rPr>
            </w:pPr>
            <w:r w:rsidRPr="004523E3">
              <w:rPr>
                <w:rFonts w:ascii="Calibri" w:eastAsia="Times New Roman" w:hAnsi="Calibri" w:cs="Calibri"/>
                <w:b/>
                <w:snapToGrid w:val="0"/>
                <w:sz w:val="20"/>
                <w:szCs w:val="20"/>
              </w:rPr>
              <w:t>109</w:t>
            </w:r>
          </w:p>
        </w:tc>
        <w:tc>
          <w:tcPr>
            <w:tcW w:w="1121" w:type="dxa"/>
            <w:tcBorders>
              <w:top w:val="single" w:sz="8" w:space="0" w:color="auto"/>
              <w:bottom w:val="single" w:sz="4" w:space="0" w:color="auto"/>
            </w:tcBorders>
            <w:vAlign w:val="center"/>
          </w:tcPr>
          <w:p w:rsidR="00AE0EFB" w:rsidRPr="004523E3" w:rsidRDefault="00AE0EFB" w:rsidP="00AD76AF">
            <w:pPr>
              <w:tabs>
                <w:tab w:val="decimal" w:pos="350"/>
              </w:tabs>
              <w:spacing w:before="20" w:after="20"/>
              <w:jc w:val="center"/>
              <w:rPr>
                <w:rFonts w:ascii="Calibri" w:eastAsia="Times New Roman" w:hAnsi="Calibri" w:cs="Calibri"/>
                <w:b/>
                <w:snapToGrid w:val="0"/>
                <w:sz w:val="20"/>
                <w:szCs w:val="20"/>
              </w:rPr>
            </w:pPr>
            <w:r w:rsidRPr="004523E3">
              <w:rPr>
                <w:rFonts w:ascii="Calibri" w:eastAsia="Times New Roman" w:hAnsi="Calibri" w:cs="Calibri"/>
                <w:b/>
                <w:snapToGrid w:val="0"/>
                <w:sz w:val="20"/>
                <w:szCs w:val="20"/>
              </w:rPr>
              <w:t>125</w:t>
            </w:r>
          </w:p>
        </w:tc>
        <w:tc>
          <w:tcPr>
            <w:tcW w:w="1121" w:type="dxa"/>
            <w:tcBorders>
              <w:top w:val="single" w:sz="8" w:space="0" w:color="auto"/>
              <w:bottom w:val="single" w:sz="4" w:space="0" w:color="auto"/>
            </w:tcBorders>
            <w:vAlign w:val="center"/>
          </w:tcPr>
          <w:p w:rsidR="00AE0EFB" w:rsidRPr="004523E3" w:rsidRDefault="00AE0EFB" w:rsidP="00AD76AF">
            <w:pPr>
              <w:tabs>
                <w:tab w:val="decimal" w:pos="501"/>
              </w:tabs>
              <w:spacing w:before="20" w:after="20"/>
              <w:jc w:val="center"/>
              <w:rPr>
                <w:rFonts w:ascii="Calibri" w:eastAsia="Times New Roman" w:hAnsi="Calibri" w:cs="Calibri"/>
                <w:b/>
                <w:snapToGrid w:val="0"/>
                <w:sz w:val="20"/>
                <w:szCs w:val="20"/>
              </w:rPr>
            </w:pPr>
            <w:r w:rsidRPr="004523E3">
              <w:rPr>
                <w:rFonts w:ascii="Calibri" w:eastAsia="Times New Roman" w:hAnsi="Calibri" w:cs="Calibri"/>
                <w:b/>
                <w:snapToGrid w:val="0"/>
                <w:sz w:val="20"/>
                <w:szCs w:val="20"/>
              </w:rPr>
              <w:t>111</w:t>
            </w:r>
          </w:p>
        </w:tc>
        <w:tc>
          <w:tcPr>
            <w:tcW w:w="1120" w:type="dxa"/>
            <w:tcBorders>
              <w:top w:val="single" w:sz="8" w:space="0" w:color="auto"/>
              <w:bottom w:val="single" w:sz="4" w:space="0" w:color="auto"/>
            </w:tcBorders>
            <w:vAlign w:val="center"/>
          </w:tcPr>
          <w:p w:rsidR="00AE0EFB" w:rsidRPr="004523E3" w:rsidRDefault="00AE0EFB" w:rsidP="00AD76AF">
            <w:pPr>
              <w:tabs>
                <w:tab w:val="decimal" w:pos="561"/>
              </w:tabs>
              <w:spacing w:before="20" w:after="20"/>
              <w:jc w:val="center"/>
              <w:rPr>
                <w:rFonts w:ascii="Calibri" w:eastAsia="Times New Roman" w:hAnsi="Calibri" w:cs="Calibri"/>
                <w:b/>
                <w:snapToGrid w:val="0"/>
                <w:sz w:val="20"/>
                <w:szCs w:val="20"/>
              </w:rPr>
            </w:pPr>
            <w:r w:rsidRPr="004523E3">
              <w:rPr>
                <w:rFonts w:ascii="Calibri" w:eastAsia="Times New Roman" w:hAnsi="Calibri" w:cs="Calibri"/>
                <w:b/>
                <w:snapToGrid w:val="0"/>
                <w:sz w:val="20"/>
                <w:szCs w:val="20"/>
              </w:rPr>
              <w:t>141</w:t>
            </w:r>
          </w:p>
        </w:tc>
        <w:tc>
          <w:tcPr>
            <w:tcW w:w="1121" w:type="dxa"/>
            <w:tcBorders>
              <w:top w:val="single" w:sz="8" w:space="0" w:color="auto"/>
              <w:bottom w:val="single" w:sz="4" w:space="0" w:color="auto"/>
            </w:tcBorders>
            <w:vAlign w:val="center"/>
          </w:tcPr>
          <w:p w:rsidR="00AE0EFB" w:rsidRPr="000C0BF5" w:rsidRDefault="00AE0EFB" w:rsidP="004523E3">
            <w:pPr>
              <w:tabs>
                <w:tab w:val="decimal" w:pos="435"/>
              </w:tabs>
              <w:spacing w:before="20" w:after="20"/>
              <w:jc w:val="center"/>
              <w:rPr>
                <w:rFonts w:ascii="Calibri" w:hAnsi="Calibri" w:cs="Calibri"/>
                <w:b/>
                <w:color w:val="000000"/>
                <w:sz w:val="20"/>
                <w:szCs w:val="20"/>
              </w:rPr>
            </w:pPr>
            <w:r w:rsidRPr="004523E3">
              <w:rPr>
                <w:rFonts w:ascii="Calibri" w:eastAsia="Times New Roman" w:hAnsi="Calibri" w:cs="Calibri"/>
                <w:b/>
                <w:snapToGrid w:val="0"/>
                <w:sz w:val="20"/>
                <w:szCs w:val="20"/>
              </w:rPr>
              <w:t>87</w:t>
            </w:r>
          </w:p>
        </w:tc>
        <w:tc>
          <w:tcPr>
            <w:tcW w:w="1121" w:type="dxa"/>
            <w:tcBorders>
              <w:top w:val="single" w:sz="8" w:space="0" w:color="auto"/>
              <w:bottom w:val="single" w:sz="4" w:space="0" w:color="auto"/>
            </w:tcBorders>
            <w:vAlign w:val="center"/>
          </w:tcPr>
          <w:p w:rsidR="00AE0EFB" w:rsidRPr="004523E3" w:rsidRDefault="00AE0EFB" w:rsidP="00AD76AF">
            <w:pPr>
              <w:tabs>
                <w:tab w:val="decimal" w:pos="257"/>
              </w:tabs>
              <w:spacing w:before="20" w:after="20"/>
              <w:jc w:val="center"/>
              <w:rPr>
                <w:rFonts w:ascii="Calibri" w:eastAsia="Times New Roman" w:hAnsi="Calibri" w:cs="Calibri"/>
                <w:b/>
                <w:snapToGrid w:val="0"/>
                <w:sz w:val="20"/>
                <w:szCs w:val="20"/>
              </w:rPr>
            </w:pPr>
            <w:r w:rsidRPr="004523E3">
              <w:rPr>
                <w:rFonts w:ascii="Calibri" w:eastAsia="Times New Roman" w:hAnsi="Calibri" w:cs="Calibri"/>
                <w:b/>
                <w:snapToGrid w:val="0"/>
                <w:sz w:val="20"/>
                <w:szCs w:val="20"/>
              </w:rPr>
              <w:t>105</w:t>
            </w:r>
          </w:p>
        </w:tc>
        <w:tc>
          <w:tcPr>
            <w:tcW w:w="992" w:type="dxa"/>
            <w:tcBorders>
              <w:top w:val="single" w:sz="8" w:space="0" w:color="auto"/>
              <w:bottom w:val="single" w:sz="4" w:space="0" w:color="auto"/>
            </w:tcBorders>
            <w:vAlign w:val="center"/>
          </w:tcPr>
          <w:p w:rsidR="00AE0EFB" w:rsidRPr="000C0BF5" w:rsidRDefault="00AE0EFB" w:rsidP="00C36E06">
            <w:pPr>
              <w:tabs>
                <w:tab w:val="decimal" w:pos="347"/>
              </w:tabs>
              <w:spacing w:before="20" w:after="20"/>
              <w:jc w:val="center"/>
              <w:rPr>
                <w:rFonts w:ascii="Calibri" w:hAnsi="Calibri" w:cs="Calibri"/>
                <w:b/>
                <w:color w:val="000000"/>
                <w:sz w:val="20"/>
                <w:szCs w:val="20"/>
              </w:rPr>
            </w:pPr>
            <w:r w:rsidRPr="00C36E06">
              <w:rPr>
                <w:rFonts w:ascii="Calibri" w:eastAsia="Times New Roman" w:hAnsi="Calibri" w:cs="Calibri"/>
                <w:b/>
                <w:snapToGrid w:val="0"/>
                <w:sz w:val="20"/>
                <w:szCs w:val="20"/>
              </w:rPr>
              <w:t>19</w:t>
            </w:r>
          </w:p>
        </w:tc>
        <w:tc>
          <w:tcPr>
            <w:tcW w:w="1560" w:type="dxa"/>
            <w:tcBorders>
              <w:top w:val="single" w:sz="8" w:space="0" w:color="auto"/>
              <w:left w:val="nil"/>
              <w:bottom w:val="single" w:sz="4" w:space="0" w:color="auto"/>
            </w:tcBorders>
            <w:vAlign w:val="center"/>
          </w:tcPr>
          <w:p w:rsidR="00AE0EFB" w:rsidRPr="000C0BF5" w:rsidRDefault="00AE0EFB" w:rsidP="00CA78E4">
            <w:pPr>
              <w:tabs>
                <w:tab w:val="left" w:pos="601"/>
              </w:tabs>
              <w:spacing w:before="20" w:after="20"/>
              <w:ind w:right="118"/>
              <w:jc w:val="right"/>
              <w:rPr>
                <w:rFonts w:ascii="Calibri" w:hAnsi="Calibri" w:cs="Calibri"/>
                <w:b/>
                <w:color w:val="000000"/>
                <w:sz w:val="20"/>
                <w:szCs w:val="20"/>
              </w:rPr>
            </w:pPr>
          </w:p>
        </w:tc>
        <w:tc>
          <w:tcPr>
            <w:tcW w:w="1559" w:type="dxa"/>
            <w:tcBorders>
              <w:top w:val="single" w:sz="8" w:space="0" w:color="auto"/>
              <w:bottom w:val="single" w:sz="4" w:space="0" w:color="auto"/>
            </w:tcBorders>
            <w:vAlign w:val="center"/>
          </w:tcPr>
          <w:p w:rsidR="00AE0EFB" w:rsidRPr="000C0BF5" w:rsidRDefault="00AE0EFB" w:rsidP="00D3056B">
            <w:pPr>
              <w:spacing w:before="20" w:after="20"/>
              <w:jc w:val="center"/>
              <w:rPr>
                <w:rFonts w:ascii="Calibri" w:eastAsia="Times New Roman" w:hAnsi="Calibri" w:cs="Calibri"/>
                <w:b/>
                <w:snapToGrid w:val="0"/>
                <w:sz w:val="20"/>
                <w:szCs w:val="20"/>
              </w:rPr>
            </w:pPr>
            <w:r w:rsidRPr="000C0BF5">
              <w:rPr>
                <w:rFonts w:ascii="Calibri" w:hAnsi="Calibri" w:cs="Calibri"/>
                <w:b/>
                <w:color w:val="000000"/>
                <w:sz w:val="20"/>
                <w:szCs w:val="20"/>
              </w:rPr>
              <w:t>697</w:t>
            </w:r>
          </w:p>
        </w:tc>
      </w:tr>
    </w:tbl>
    <w:p w:rsidR="00C71513" w:rsidRDefault="00C71513" w:rsidP="00C71513">
      <w:pPr>
        <w:pStyle w:val="NILSReference"/>
      </w:pPr>
      <w:r w:rsidRPr="00E3331B">
        <w:t>Source: 2014 NDIS DSP outlet survey, Question</w:t>
      </w:r>
      <w:r>
        <w:t>s</w:t>
      </w:r>
      <w:r w:rsidRPr="00E3331B">
        <w:t xml:space="preserve"> C3</w:t>
      </w:r>
      <w:r>
        <w:t xml:space="preserve"> and B2</w:t>
      </w:r>
      <w:r w:rsidRPr="00E3331B">
        <w:t>.</w:t>
      </w:r>
    </w:p>
    <w:p w:rsidR="00C71513" w:rsidRDefault="00C71513" w:rsidP="00B96B7F">
      <w:pPr>
        <w:pStyle w:val="NILSReference"/>
        <w:spacing w:after="240"/>
      </w:pPr>
      <w:r w:rsidRPr="00E3331B">
        <w:t>Note: Row percentages are shown.</w:t>
      </w:r>
    </w:p>
    <w:p w:rsidR="00AE6806" w:rsidRDefault="00AE6806" w:rsidP="0044684E">
      <w:pPr>
        <w:pStyle w:val="NILSTableHeading"/>
        <w:rPr>
          <w:lang w:val="en-AU"/>
        </w:rPr>
      </w:pPr>
      <w:bookmarkStart w:id="527" w:name="_Toc449955347"/>
      <w:r w:rsidRPr="00E901FB">
        <w:t xml:space="preserve">Table 4.11b: Hiring intentions in next 12 months by outlet size </w:t>
      </w:r>
      <w:r>
        <w:rPr>
          <w:lang w:val="en-AU"/>
        </w:rPr>
        <w:t>(per cent of outlets by size hiring any workers)</w:t>
      </w:r>
      <w:bookmarkEnd w:id="527"/>
    </w:p>
    <w:tbl>
      <w:tblPr>
        <w:tblStyle w:val="TableGrid"/>
        <w:tblW w:w="0" w:type="auto"/>
        <w:tblInd w:w="-34" w:type="dxa"/>
        <w:tblLook w:val="04A0" w:firstRow="1" w:lastRow="0" w:firstColumn="1" w:lastColumn="0" w:noHBand="0" w:noVBand="1"/>
        <w:tblCaption w:val="Table 4.11b: Hiring intentions in next 12 months by outlet size (per cent of outlets by size hiring any workers)"/>
      </w:tblPr>
      <w:tblGrid>
        <w:gridCol w:w="13609"/>
      </w:tblGrid>
      <w:tr w:rsidR="00EC745A" w:rsidTr="001C1649">
        <w:trPr>
          <w:tblHeader/>
        </w:trPr>
        <w:tc>
          <w:tcPr>
            <w:tcW w:w="13609" w:type="dxa"/>
            <w:tcBorders>
              <w:top w:val="single" w:sz="4" w:space="0" w:color="auto"/>
            </w:tcBorders>
          </w:tcPr>
          <w:p w:rsidR="00EC745A" w:rsidRDefault="00EC745A" w:rsidP="00EC745A">
            <w:pPr>
              <w:jc w:val="center"/>
              <w:rPr>
                <w:lang w:val="en-AU"/>
              </w:rPr>
            </w:pPr>
            <w:r>
              <w:rPr>
                <w:rFonts w:ascii="Calibri" w:eastAsia="Times New Roman" w:hAnsi="Calibri" w:cs="Calibri"/>
                <w:sz w:val="20"/>
                <w:szCs w:val="20"/>
              </w:rPr>
              <w:t>Size of outlet</w:t>
            </w:r>
          </w:p>
        </w:tc>
      </w:tr>
    </w:tbl>
    <w:p w:rsidR="00EC745A" w:rsidRPr="00EC745A" w:rsidRDefault="00EC745A" w:rsidP="00EC745A">
      <w:pPr>
        <w:rPr>
          <w:sz w:val="2"/>
          <w:szCs w:val="2"/>
          <w:lang w:val="en-AU"/>
        </w:rPr>
      </w:pPr>
    </w:p>
    <w:tbl>
      <w:tblPr>
        <w:tblW w:w="13609" w:type="dxa"/>
        <w:tblInd w:w="-34" w:type="dxa"/>
        <w:tblLayout w:type="fixed"/>
        <w:tblLook w:val="0000" w:firstRow="0" w:lastRow="0" w:firstColumn="0" w:lastColumn="0" w:noHBand="0" w:noVBand="0"/>
        <w:tblCaption w:val="Table 4.11b Headers for columns 2 to 6 relate to the size of outlet and are labelled as 0 to 4 employees, 5 to 9 employees, 10 to 19 employees, 20 to 49 employees, 50 to 99 employees and 100+ employees."/>
      </w:tblPr>
      <w:tblGrid>
        <w:gridCol w:w="916"/>
        <w:gridCol w:w="1710"/>
        <w:gridCol w:w="1710"/>
        <w:gridCol w:w="1913"/>
        <w:gridCol w:w="1913"/>
        <w:gridCol w:w="1913"/>
        <w:gridCol w:w="1649"/>
        <w:gridCol w:w="935"/>
        <w:gridCol w:w="950"/>
      </w:tblGrid>
      <w:tr w:rsidR="00AE6806" w:rsidRPr="00427A4D" w:rsidTr="00624AB1">
        <w:trPr>
          <w:tblHeader/>
        </w:trPr>
        <w:tc>
          <w:tcPr>
            <w:tcW w:w="916" w:type="dxa"/>
            <w:tcBorders>
              <w:bottom w:val="single" w:sz="4" w:space="0" w:color="auto"/>
            </w:tcBorders>
          </w:tcPr>
          <w:p w:rsidR="00AE6806" w:rsidRPr="00427A4D" w:rsidRDefault="00AE6806" w:rsidP="00AE6806">
            <w:pPr>
              <w:spacing w:before="20" w:after="20"/>
              <w:jc w:val="center"/>
              <w:rPr>
                <w:rFonts w:ascii="Calibri" w:eastAsia="Times New Roman" w:hAnsi="Calibri" w:cs="Calibri"/>
                <w:b/>
                <w:sz w:val="20"/>
                <w:szCs w:val="20"/>
              </w:rPr>
            </w:pPr>
            <w:bookmarkStart w:id="528" w:name="Title_4_11b"/>
            <w:bookmarkEnd w:id="528"/>
          </w:p>
        </w:tc>
        <w:tc>
          <w:tcPr>
            <w:tcW w:w="1710" w:type="dxa"/>
            <w:tcBorders>
              <w:bottom w:val="single" w:sz="4" w:space="0" w:color="auto"/>
            </w:tcBorders>
          </w:tcPr>
          <w:p w:rsidR="00AE6806" w:rsidRDefault="00AE6806" w:rsidP="00AE6806">
            <w:pPr>
              <w:spacing w:before="20" w:after="20"/>
              <w:jc w:val="center"/>
              <w:rPr>
                <w:rFonts w:ascii="Calibri" w:eastAsia="Times New Roman" w:hAnsi="Calibri" w:cs="Calibri"/>
                <w:sz w:val="20"/>
                <w:szCs w:val="20"/>
              </w:rPr>
            </w:pPr>
            <w:r w:rsidRPr="00427A4D">
              <w:rPr>
                <w:rFonts w:ascii="Calibri" w:eastAsia="Times New Roman" w:hAnsi="Calibri" w:cs="Calibri"/>
                <w:sz w:val="20"/>
                <w:szCs w:val="20"/>
              </w:rPr>
              <w:t>0 to 4</w:t>
            </w:r>
            <w:r>
              <w:rPr>
                <w:rFonts w:ascii="Calibri" w:eastAsia="Times New Roman" w:hAnsi="Calibri" w:cs="Calibri"/>
                <w:sz w:val="20"/>
                <w:szCs w:val="20"/>
              </w:rPr>
              <w:t xml:space="preserve"> </w:t>
            </w:r>
          </w:p>
          <w:p w:rsidR="00AE6806" w:rsidRPr="00427A4D" w:rsidRDefault="00AE6806" w:rsidP="00AE6806">
            <w:pPr>
              <w:spacing w:before="20" w:after="20"/>
              <w:jc w:val="center"/>
              <w:rPr>
                <w:rFonts w:ascii="Calibri" w:eastAsia="Times New Roman" w:hAnsi="Calibri" w:cs="Calibri"/>
                <w:sz w:val="20"/>
                <w:szCs w:val="20"/>
              </w:rPr>
            </w:pPr>
            <w:r>
              <w:rPr>
                <w:rFonts w:ascii="Calibri" w:eastAsia="Times New Roman" w:hAnsi="Calibri" w:cs="Calibri"/>
                <w:sz w:val="20"/>
                <w:szCs w:val="20"/>
              </w:rPr>
              <w:t>employees</w:t>
            </w:r>
          </w:p>
        </w:tc>
        <w:tc>
          <w:tcPr>
            <w:tcW w:w="1710" w:type="dxa"/>
            <w:tcBorders>
              <w:bottom w:val="single" w:sz="4" w:space="0" w:color="auto"/>
            </w:tcBorders>
          </w:tcPr>
          <w:p w:rsidR="00AE6806" w:rsidRDefault="00AE6806" w:rsidP="00AE6806">
            <w:pPr>
              <w:spacing w:before="20" w:after="20"/>
              <w:jc w:val="center"/>
              <w:rPr>
                <w:rFonts w:ascii="Calibri" w:eastAsia="Times New Roman" w:hAnsi="Calibri" w:cs="Calibri"/>
                <w:sz w:val="20"/>
                <w:szCs w:val="20"/>
              </w:rPr>
            </w:pPr>
            <w:r w:rsidRPr="00427A4D">
              <w:rPr>
                <w:rFonts w:ascii="Calibri" w:eastAsia="Times New Roman" w:hAnsi="Calibri" w:cs="Calibri"/>
                <w:sz w:val="20"/>
                <w:szCs w:val="20"/>
              </w:rPr>
              <w:t>5 to 9</w:t>
            </w:r>
            <w:r>
              <w:rPr>
                <w:rFonts w:ascii="Calibri" w:eastAsia="Times New Roman" w:hAnsi="Calibri" w:cs="Calibri"/>
                <w:sz w:val="20"/>
                <w:szCs w:val="20"/>
              </w:rPr>
              <w:t xml:space="preserve"> </w:t>
            </w:r>
          </w:p>
          <w:p w:rsidR="00AE6806" w:rsidRPr="00427A4D" w:rsidRDefault="00AE6806" w:rsidP="00AE6806">
            <w:pPr>
              <w:spacing w:before="20" w:after="20"/>
              <w:jc w:val="center"/>
              <w:rPr>
                <w:rFonts w:ascii="Calibri" w:eastAsia="Times New Roman" w:hAnsi="Calibri" w:cs="Calibri"/>
                <w:sz w:val="20"/>
                <w:szCs w:val="20"/>
              </w:rPr>
            </w:pPr>
            <w:r>
              <w:rPr>
                <w:rFonts w:ascii="Calibri" w:eastAsia="Times New Roman" w:hAnsi="Calibri" w:cs="Calibri"/>
                <w:sz w:val="20"/>
                <w:szCs w:val="20"/>
              </w:rPr>
              <w:t>employees</w:t>
            </w:r>
          </w:p>
        </w:tc>
        <w:tc>
          <w:tcPr>
            <w:tcW w:w="1913" w:type="dxa"/>
            <w:tcBorders>
              <w:bottom w:val="single" w:sz="4" w:space="0" w:color="auto"/>
            </w:tcBorders>
          </w:tcPr>
          <w:p w:rsidR="00AE6806" w:rsidRDefault="00AE6806" w:rsidP="00AE6806">
            <w:pPr>
              <w:spacing w:before="20" w:after="20"/>
              <w:jc w:val="center"/>
              <w:rPr>
                <w:rFonts w:ascii="Calibri" w:eastAsia="Times New Roman" w:hAnsi="Calibri" w:cs="Calibri"/>
                <w:sz w:val="20"/>
                <w:szCs w:val="20"/>
              </w:rPr>
            </w:pPr>
            <w:r w:rsidRPr="00427A4D">
              <w:rPr>
                <w:rFonts w:ascii="Calibri" w:eastAsia="Times New Roman" w:hAnsi="Calibri" w:cs="Calibri"/>
                <w:sz w:val="20"/>
                <w:szCs w:val="20"/>
              </w:rPr>
              <w:t>10 to 19</w:t>
            </w:r>
            <w:r>
              <w:rPr>
                <w:rFonts w:ascii="Calibri" w:eastAsia="Times New Roman" w:hAnsi="Calibri" w:cs="Calibri"/>
                <w:sz w:val="20"/>
                <w:szCs w:val="20"/>
              </w:rPr>
              <w:t xml:space="preserve"> </w:t>
            </w:r>
          </w:p>
          <w:p w:rsidR="00AE6806" w:rsidRPr="00427A4D" w:rsidRDefault="00AE6806" w:rsidP="00AE6806">
            <w:pPr>
              <w:spacing w:before="20" w:after="20"/>
              <w:jc w:val="center"/>
              <w:rPr>
                <w:rFonts w:ascii="Calibri" w:eastAsia="Times New Roman" w:hAnsi="Calibri" w:cs="Calibri"/>
                <w:sz w:val="20"/>
                <w:szCs w:val="20"/>
              </w:rPr>
            </w:pPr>
            <w:r>
              <w:rPr>
                <w:rFonts w:ascii="Calibri" w:eastAsia="Times New Roman" w:hAnsi="Calibri" w:cs="Calibri"/>
                <w:sz w:val="20"/>
                <w:szCs w:val="20"/>
              </w:rPr>
              <w:t>employees</w:t>
            </w:r>
          </w:p>
        </w:tc>
        <w:tc>
          <w:tcPr>
            <w:tcW w:w="1913" w:type="dxa"/>
            <w:tcBorders>
              <w:bottom w:val="single" w:sz="4" w:space="0" w:color="auto"/>
            </w:tcBorders>
          </w:tcPr>
          <w:p w:rsidR="00AE6806" w:rsidRDefault="00AE6806" w:rsidP="00AE6806">
            <w:pPr>
              <w:spacing w:before="20" w:after="20"/>
              <w:jc w:val="center"/>
              <w:rPr>
                <w:rFonts w:ascii="Calibri" w:eastAsia="Times New Roman" w:hAnsi="Calibri" w:cs="Calibri"/>
                <w:sz w:val="20"/>
                <w:szCs w:val="20"/>
              </w:rPr>
            </w:pPr>
            <w:r w:rsidRPr="00427A4D">
              <w:rPr>
                <w:rFonts w:ascii="Calibri" w:eastAsia="Times New Roman" w:hAnsi="Calibri" w:cs="Calibri"/>
                <w:sz w:val="20"/>
                <w:szCs w:val="20"/>
              </w:rPr>
              <w:t>20 to 49</w:t>
            </w:r>
            <w:r>
              <w:rPr>
                <w:rFonts w:ascii="Calibri" w:eastAsia="Times New Roman" w:hAnsi="Calibri" w:cs="Calibri"/>
                <w:sz w:val="20"/>
                <w:szCs w:val="20"/>
              </w:rPr>
              <w:t xml:space="preserve"> </w:t>
            </w:r>
          </w:p>
          <w:p w:rsidR="00AE6806" w:rsidRPr="00427A4D" w:rsidRDefault="00AE6806" w:rsidP="00AE6806">
            <w:pPr>
              <w:spacing w:before="20" w:after="20"/>
              <w:jc w:val="center"/>
              <w:rPr>
                <w:rFonts w:ascii="Calibri" w:eastAsia="Times New Roman" w:hAnsi="Calibri" w:cs="Calibri"/>
                <w:sz w:val="20"/>
                <w:szCs w:val="20"/>
              </w:rPr>
            </w:pPr>
            <w:r>
              <w:rPr>
                <w:rFonts w:ascii="Calibri" w:eastAsia="Times New Roman" w:hAnsi="Calibri" w:cs="Calibri"/>
                <w:sz w:val="20"/>
                <w:szCs w:val="20"/>
              </w:rPr>
              <w:t>employees</w:t>
            </w:r>
          </w:p>
        </w:tc>
        <w:tc>
          <w:tcPr>
            <w:tcW w:w="1913" w:type="dxa"/>
            <w:tcBorders>
              <w:bottom w:val="single" w:sz="4" w:space="0" w:color="auto"/>
            </w:tcBorders>
          </w:tcPr>
          <w:p w:rsidR="00AE6806" w:rsidRDefault="00AE6806" w:rsidP="00AE6806">
            <w:pPr>
              <w:spacing w:before="20" w:after="20"/>
              <w:jc w:val="center"/>
              <w:rPr>
                <w:rFonts w:ascii="Calibri" w:eastAsia="Times New Roman" w:hAnsi="Calibri" w:cs="Calibri"/>
                <w:sz w:val="20"/>
                <w:szCs w:val="20"/>
              </w:rPr>
            </w:pPr>
            <w:r w:rsidRPr="00427A4D">
              <w:rPr>
                <w:rFonts w:ascii="Calibri" w:eastAsia="Times New Roman" w:hAnsi="Calibri" w:cs="Calibri"/>
                <w:sz w:val="20"/>
                <w:szCs w:val="20"/>
              </w:rPr>
              <w:t>50 to 99</w:t>
            </w:r>
          </w:p>
          <w:p w:rsidR="00AE6806" w:rsidRPr="00427A4D" w:rsidRDefault="00AE6806" w:rsidP="00AE6806">
            <w:pPr>
              <w:spacing w:before="20" w:after="20"/>
              <w:jc w:val="center"/>
              <w:rPr>
                <w:rFonts w:ascii="Calibri" w:eastAsia="Times New Roman" w:hAnsi="Calibri" w:cs="Calibri"/>
                <w:sz w:val="20"/>
                <w:szCs w:val="20"/>
              </w:rPr>
            </w:pPr>
            <w:r>
              <w:rPr>
                <w:rFonts w:ascii="Calibri" w:eastAsia="Times New Roman" w:hAnsi="Calibri" w:cs="Calibri"/>
                <w:sz w:val="20"/>
                <w:szCs w:val="20"/>
              </w:rPr>
              <w:t>employees</w:t>
            </w:r>
          </w:p>
        </w:tc>
        <w:tc>
          <w:tcPr>
            <w:tcW w:w="1649" w:type="dxa"/>
            <w:tcBorders>
              <w:bottom w:val="single" w:sz="4" w:space="0" w:color="auto"/>
            </w:tcBorders>
          </w:tcPr>
          <w:p w:rsidR="00AE6806" w:rsidRDefault="00AE6806" w:rsidP="00AE6806">
            <w:pPr>
              <w:spacing w:before="20" w:after="20"/>
              <w:jc w:val="center"/>
              <w:rPr>
                <w:rFonts w:ascii="Calibri" w:eastAsia="Times New Roman" w:hAnsi="Calibri" w:cs="Calibri"/>
                <w:sz w:val="20"/>
                <w:szCs w:val="20"/>
              </w:rPr>
            </w:pPr>
            <w:r w:rsidRPr="00427A4D">
              <w:rPr>
                <w:rFonts w:ascii="Calibri" w:eastAsia="Times New Roman" w:hAnsi="Calibri" w:cs="Calibri"/>
                <w:sz w:val="20"/>
                <w:szCs w:val="20"/>
              </w:rPr>
              <w:t>100+</w:t>
            </w:r>
            <w:r>
              <w:rPr>
                <w:rFonts w:ascii="Calibri" w:eastAsia="Times New Roman" w:hAnsi="Calibri" w:cs="Calibri"/>
                <w:sz w:val="20"/>
                <w:szCs w:val="20"/>
              </w:rPr>
              <w:t xml:space="preserve"> </w:t>
            </w:r>
          </w:p>
          <w:p w:rsidR="00AE6806" w:rsidRPr="00427A4D" w:rsidRDefault="00AE6806" w:rsidP="00AE6806">
            <w:pPr>
              <w:spacing w:before="20" w:after="20"/>
              <w:jc w:val="center"/>
              <w:rPr>
                <w:rFonts w:ascii="Calibri" w:eastAsia="Times New Roman" w:hAnsi="Calibri" w:cs="Calibri"/>
                <w:sz w:val="20"/>
                <w:szCs w:val="20"/>
              </w:rPr>
            </w:pPr>
            <w:r>
              <w:rPr>
                <w:rFonts w:ascii="Calibri" w:eastAsia="Times New Roman" w:hAnsi="Calibri" w:cs="Calibri"/>
                <w:sz w:val="20"/>
                <w:szCs w:val="20"/>
              </w:rPr>
              <w:t>employees</w:t>
            </w:r>
          </w:p>
        </w:tc>
        <w:tc>
          <w:tcPr>
            <w:tcW w:w="935" w:type="dxa"/>
            <w:tcBorders>
              <w:bottom w:val="single" w:sz="4" w:space="0" w:color="auto"/>
            </w:tcBorders>
            <w:vAlign w:val="center"/>
          </w:tcPr>
          <w:p w:rsidR="00AE6806" w:rsidRPr="00427A4D" w:rsidRDefault="00AE6806" w:rsidP="007E7C38">
            <w:pPr>
              <w:spacing w:before="20" w:after="20"/>
              <w:jc w:val="center"/>
              <w:rPr>
                <w:rFonts w:ascii="Calibri" w:eastAsia="Times New Roman" w:hAnsi="Calibri" w:cs="Calibri"/>
                <w:b/>
                <w:sz w:val="20"/>
                <w:szCs w:val="20"/>
              </w:rPr>
            </w:pPr>
            <w:r w:rsidRPr="00427A4D">
              <w:rPr>
                <w:rFonts w:ascii="Calibri" w:eastAsia="Times New Roman" w:hAnsi="Calibri" w:cs="Calibri"/>
                <w:sz w:val="20"/>
                <w:szCs w:val="20"/>
              </w:rPr>
              <w:t>Missing</w:t>
            </w:r>
          </w:p>
        </w:tc>
        <w:tc>
          <w:tcPr>
            <w:tcW w:w="950" w:type="dxa"/>
            <w:tcBorders>
              <w:bottom w:val="single" w:sz="4" w:space="0" w:color="auto"/>
            </w:tcBorders>
            <w:vAlign w:val="center"/>
          </w:tcPr>
          <w:p w:rsidR="00AE6806" w:rsidRPr="00427A4D" w:rsidRDefault="00AE6806" w:rsidP="007E7C38">
            <w:pPr>
              <w:spacing w:before="20" w:after="20"/>
              <w:jc w:val="center"/>
              <w:rPr>
                <w:rFonts w:ascii="Calibri" w:eastAsia="Times New Roman" w:hAnsi="Calibri" w:cs="Calibri"/>
                <w:b/>
                <w:sz w:val="20"/>
                <w:szCs w:val="20"/>
              </w:rPr>
            </w:pPr>
            <w:r>
              <w:rPr>
                <w:rFonts w:ascii="Calibri" w:eastAsia="Calibri" w:hAnsi="Calibri" w:cs="Calibri"/>
                <w:sz w:val="19"/>
                <w:szCs w:val="19"/>
              </w:rPr>
              <w:t>Total</w:t>
            </w:r>
          </w:p>
        </w:tc>
      </w:tr>
      <w:tr w:rsidR="00AE6806" w:rsidRPr="005D6116" w:rsidTr="00EC745A">
        <w:tc>
          <w:tcPr>
            <w:tcW w:w="916" w:type="dxa"/>
            <w:tcBorders>
              <w:top w:val="single" w:sz="4" w:space="0" w:color="auto"/>
            </w:tcBorders>
            <w:vAlign w:val="bottom"/>
          </w:tcPr>
          <w:p w:rsidR="00AE6806" w:rsidRPr="00925344" w:rsidRDefault="00AE6806" w:rsidP="00AE6806">
            <w:pPr>
              <w:spacing w:before="20" w:after="20"/>
              <w:rPr>
                <w:rFonts w:ascii="Calibri" w:eastAsia="Times New Roman" w:hAnsi="Calibri" w:cs="Calibri"/>
                <w:sz w:val="20"/>
                <w:szCs w:val="20"/>
              </w:rPr>
            </w:pPr>
            <w:r>
              <w:rPr>
                <w:rFonts w:ascii="Calibri" w:eastAsia="Times New Roman" w:hAnsi="Calibri" w:cs="Calibri"/>
                <w:sz w:val="20"/>
                <w:szCs w:val="20"/>
              </w:rPr>
              <w:t>Percent</w:t>
            </w:r>
          </w:p>
        </w:tc>
        <w:tc>
          <w:tcPr>
            <w:tcW w:w="1710" w:type="dxa"/>
            <w:tcBorders>
              <w:top w:val="single" w:sz="4" w:space="0" w:color="auto"/>
            </w:tcBorders>
            <w:vAlign w:val="bottom"/>
          </w:tcPr>
          <w:p w:rsidR="00AE6806" w:rsidRPr="00925344" w:rsidRDefault="00AE6806" w:rsidP="00AE6806">
            <w:pPr>
              <w:spacing w:before="20" w:after="20"/>
              <w:jc w:val="center"/>
              <w:rPr>
                <w:rFonts w:ascii="Calibri" w:eastAsia="Times New Roman" w:hAnsi="Calibri" w:cs="Calibri"/>
                <w:snapToGrid w:val="0"/>
                <w:sz w:val="20"/>
                <w:szCs w:val="20"/>
              </w:rPr>
            </w:pPr>
            <w:r w:rsidRPr="00925344">
              <w:rPr>
                <w:rFonts w:ascii="Calibri" w:eastAsia="Times New Roman" w:hAnsi="Calibri" w:cs="Calibri"/>
                <w:snapToGrid w:val="0"/>
                <w:sz w:val="20"/>
                <w:szCs w:val="20"/>
              </w:rPr>
              <w:t>39.4</w:t>
            </w:r>
          </w:p>
        </w:tc>
        <w:tc>
          <w:tcPr>
            <w:tcW w:w="1710" w:type="dxa"/>
            <w:tcBorders>
              <w:top w:val="single" w:sz="4" w:space="0" w:color="auto"/>
            </w:tcBorders>
            <w:vAlign w:val="bottom"/>
          </w:tcPr>
          <w:p w:rsidR="00AE6806" w:rsidRPr="00925344" w:rsidRDefault="00AE6806" w:rsidP="00AE6806">
            <w:pPr>
              <w:spacing w:before="20" w:after="20"/>
              <w:jc w:val="center"/>
              <w:rPr>
                <w:rFonts w:ascii="Calibri" w:eastAsia="Times New Roman" w:hAnsi="Calibri" w:cs="Calibri"/>
                <w:snapToGrid w:val="0"/>
                <w:sz w:val="20"/>
                <w:szCs w:val="20"/>
              </w:rPr>
            </w:pPr>
            <w:r w:rsidRPr="00925344">
              <w:rPr>
                <w:rFonts w:ascii="Calibri" w:eastAsia="Times New Roman" w:hAnsi="Calibri" w:cs="Calibri"/>
                <w:snapToGrid w:val="0"/>
                <w:sz w:val="20"/>
                <w:szCs w:val="20"/>
              </w:rPr>
              <w:t>54.4</w:t>
            </w:r>
          </w:p>
        </w:tc>
        <w:tc>
          <w:tcPr>
            <w:tcW w:w="1913" w:type="dxa"/>
            <w:tcBorders>
              <w:top w:val="single" w:sz="4" w:space="0" w:color="auto"/>
            </w:tcBorders>
            <w:vAlign w:val="bottom"/>
          </w:tcPr>
          <w:p w:rsidR="00AE6806" w:rsidRPr="00925344" w:rsidRDefault="00AE6806" w:rsidP="00AE6806">
            <w:pPr>
              <w:spacing w:before="20" w:after="20"/>
              <w:jc w:val="center"/>
              <w:rPr>
                <w:rFonts w:ascii="Calibri" w:eastAsia="Times New Roman" w:hAnsi="Calibri" w:cs="Calibri"/>
                <w:snapToGrid w:val="0"/>
                <w:sz w:val="20"/>
                <w:szCs w:val="20"/>
              </w:rPr>
            </w:pPr>
            <w:r w:rsidRPr="00925344">
              <w:rPr>
                <w:rFonts w:ascii="Calibri" w:eastAsia="Times New Roman" w:hAnsi="Calibri" w:cs="Calibri"/>
                <w:snapToGrid w:val="0"/>
                <w:sz w:val="20"/>
                <w:szCs w:val="20"/>
              </w:rPr>
              <w:t>70.3</w:t>
            </w:r>
          </w:p>
        </w:tc>
        <w:tc>
          <w:tcPr>
            <w:tcW w:w="1913" w:type="dxa"/>
            <w:tcBorders>
              <w:top w:val="single" w:sz="4" w:space="0" w:color="auto"/>
            </w:tcBorders>
            <w:vAlign w:val="bottom"/>
          </w:tcPr>
          <w:p w:rsidR="00AE6806" w:rsidRPr="00925344" w:rsidRDefault="00AE6806" w:rsidP="00AE6806">
            <w:pPr>
              <w:spacing w:before="20" w:after="20"/>
              <w:jc w:val="center"/>
              <w:rPr>
                <w:rFonts w:ascii="Calibri" w:eastAsia="Times New Roman" w:hAnsi="Calibri" w:cs="Calibri"/>
                <w:snapToGrid w:val="0"/>
                <w:sz w:val="20"/>
                <w:szCs w:val="20"/>
              </w:rPr>
            </w:pPr>
            <w:r w:rsidRPr="00925344">
              <w:rPr>
                <w:rFonts w:ascii="Calibri" w:eastAsia="Times New Roman" w:hAnsi="Calibri" w:cs="Calibri"/>
                <w:snapToGrid w:val="0"/>
                <w:sz w:val="20"/>
                <w:szCs w:val="20"/>
              </w:rPr>
              <w:t>74.5</w:t>
            </w:r>
          </w:p>
        </w:tc>
        <w:tc>
          <w:tcPr>
            <w:tcW w:w="1913" w:type="dxa"/>
            <w:tcBorders>
              <w:top w:val="single" w:sz="4" w:space="0" w:color="auto"/>
            </w:tcBorders>
            <w:vAlign w:val="bottom"/>
          </w:tcPr>
          <w:p w:rsidR="00AE6806" w:rsidRPr="00925344" w:rsidRDefault="00AE6806" w:rsidP="00AE6806">
            <w:pPr>
              <w:spacing w:before="20" w:after="20"/>
              <w:jc w:val="center"/>
              <w:rPr>
                <w:rFonts w:ascii="Calibri" w:eastAsia="Times New Roman" w:hAnsi="Calibri" w:cs="Calibri"/>
                <w:snapToGrid w:val="0"/>
                <w:sz w:val="20"/>
                <w:szCs w:val="20"/>
              </w:rPr>
            </w:pPr>
            <w:r w:rsidRPr="00925344">
              <w:rPr>
                <w:rFonts w:ascii="Calibri" w:eastAsia="Times New Roman" w:hAnsi="Calibri" w:cs="Calibri"/>
                <w:snapToGrid w:val="0"/>
                <w:sz w:val="20"/>
                <w:szCs w:val="20"/>
              </w:rPr>
              <w:t>80.5</w:t>
            </w:r>
          </w:p>
        </w:tc>
        <w:tc>
          <w:tcPr>
            <w:tcW w:w="1649" w:type="dxa"/>
            <w:tcBorders>
              <w:top w:val="single" w:sz="4" w:space="0" w:color="auto"/>
            </w:tcBorders>
            <w:vAlign w:val="bottom"/>
          </w:tcPr>
          <w:p w:rsidR="00AE6806" w:rsidRPr="00925344" w:rsidRDefault="00AE6806" w:rsidP="00AE6806">
            <w:pPr>
              <w:spacing w:before="20" w:after="20"/>
              <w:jc w:val="center"/>
              <w:rPr>
                <w:rFonts w:ascii="Calibri" w:eastAsia="Times New Roman" w:hAnsi="Calibri" w:cs="Calibri"/>
                <w:snapToGrid w:val="0"/>
                <w:sz w:val="20"/>
                <w:szCs w:val="20"/>
              </w:rPr>
            </w:pPr>
            <w:r w:rsidRPr="00925344">
              <w:rPr>
                <w:rFonts w:ascii="Calibri" w:eastAsia="Times New Roman" w:hAnsi="Calibri" w:cs="Calibri"/>
                <w:snapToGrid w:val="0"/>
                <w:sz w:val="20"/>
                <w:szCs w:val="20"/>
              </w:rPr>
              <w:t>77.1</w:t>
            </w:r>
          </w:p>
        </w:tc>
        <w:tc>
          <w:tcPr>
            <w:tcW w:w="935" w:type="dxa"/>
            <w:tcBorders>
              <w:top w:val="single" w:sz="4" w:space="0" w:color="auto"/>
            </w:tcBorders>
            <w:vAlign w:val="bottom"/>
          </w:tcPr>
          <w:p w:rsidR="00AE6806" w:rsidRPr="00925344" w:rsidRDefault="00AE6806" w:rsidP="00AE6806">
            <w:pPr>
              <w:spacing w:before="20" w:after="20"/>
              <w:jc w:val="center"/>
              <w:rPr>
                <w:rFonts w:ascii="Calibri" w:eastAsia="Times New Roman" w:hAnsi="Calibri" w:cs="Calibri"/>
                <w:snapToGrid w:val="0"/>
                <w:sz w:val="20"/>
                <w:szCs w:val="20"/>
              </w:rPr>
            </w:pPr>
            <w:r w:rsidRPr="00925344">
              <w:rPr>
                <w:rFonts w:ascii="Calibri" w:eastAsia="Times New Roman" w:hAnsi="Calibri" w:cs="Calibri"/>
                <w:snapToGrid w:val="0"/>
                <w:sz w:val="20"/>
                <w:szCs w:val="20"/>
              </w:rPr>
              <w:t>57.9</w:t>
            </w:r>
          </w:p>
        </w:tc>
        <w:tc>
          <w:tcPr>
            <w:tcW w:w="950" w:type="dxa"/>
            <w:tcBorders>
              <w:top w:val="single" w:sz="4" w:space="0" w:color="auto"/>
            </w:tcBorders>
            <w:vAlign w:val="bottom"/>
          </w:tcPr>
          <w:p w:rsidR="00AE6806" w:rsidRPr="00925344" w:rsidRDefault="00AE6806" w:rsidP="00AE6806">
            <w:pPr>
              <w:spacing w:before="20" w:after="20"/>
              <w:jc w:val="center"/>
              <w:rPr>
                <w:rFonts w:ascii="Calibri" w:eastAsia="Times New Roman" w:hAnsi="Calibri" w:cs="Calibri"/>
                <w:snapToGrid w:val="0"/>
                <w:sz w:val="20"/>
                <w:szCs w:val="20"/>
              </w:rPr>
            </w:pPr>
            <w:r w:rsidRPr="00925344">
              <w:rPr>
                <w:rFonts w:ascii="Calibri" w:eastAsia="Times New Roman" w:hAnsi="Calibri" w:cs="Calibri"/>
                <w:snapToGrid w:val="0"/>
                <w:sz w:val="20"/>
                <w:szCs w:val="20"/>
              </w:rPr>
              <w:t>65.4</w:t>
            </w:r>
          </w:p>
        </w:tc>
      </w:tr>
      <w:tr w:rsidR="00AE6806" w:rsidRPr="005D6116" w:rsidTr="00EC745A">
        <w:tc>
          <w:tcPr>
            <w:tcW w:w="916" w:type="dxa"/>
            <w:tcBorders>
              <w:bottom w:val="single" w:sz="4" w:space="0" w:color="auto"/>
            </w:tcBorders>
            <w:vAlign w:val="bottom"/>
          </w:tcPr>
          <w:p w:rsidR="00AE6806" w:rsidRPr="00893C86" w:rsidRDefault="00AE6806" w:rsidP="00AE6806">
            <w:pPr>
              <w:spacing w:before="20" w:after="20"/>
              <w:rPr>
                <w:rFonts w:ascii="Calibri" w:eastAsia="Times New Roman" w:hAnsi="Calibri" w:cs="Calibri"/>
                <w:b/>
                <w:sz w:val="20"/>
                <w:szCs w:val="20"/>
              </w:rPr>
            </w:pPr>
            <w:r w:rsidRPr="00893C86">
              <w:rPr>
                <w:rFonts w:ascii="Calibri" w:eastAsia="Times New Roman" w:hAnsi="Calibri" w:cs="Calibri"/>
                <w:b/>
                <w:sz w:val="20"/>
                <w:szCs w:val="20"/>
              </w:rPr>
              <w:t xml:space="preserve">Total </w:t>
            </w:r>
          </w:p>
        </w:tc>
        <w:tc>
          <w:tcPr>
            <w:tcW w:w="1710" w:type="dxa"/>
            <w:tcBorders>
              <w:bottom w:val="single" w:sz="4" w:space="0" w:color="auto"/>
            </w:tcBorders>
            <w:vAlign w:val="bottom"/>
          </w:tcPr>
          <w:p w:rsidR="00AE6806" w:rsidRPr="00893C86" w:rsidRDefault="00AE6806" w:rsidP="00AE6806">
            <w:pPr>
              <w:spacing w:before="20" w:after="20"/>
              <w:jc w:val="center"/>
              <w:rPr>
                <w:rFonts w:ascii="Calibri" w:eastAsia="Calibri" w:hAnsi="Calibri" w:cs="Calibri"/>
                <w:b/>
                <w:color w:val="000000"/>
                <w:sz w:val="20"/>
                <w:szCs w:val="20"/>
              </w:rPr>
            </w:pPr>
            <w:r w:rsidRPr="00893C86">
              <w:rPr>
                <w:rFonts w:ascii="Calibri" w:eastAsia="Calibri" w:hAnsi="Calibri" w:cs="Calibri"/>
                <w:b/>
                <w:color w:val="000000"/>
                <w:sz w:val="20"/>
                <w:szCs w:val="20"/>
              </w:rPr>
              <w:t>109</w:t>
            </w:r>
          </w:p>
        </w:tc>
        <w:tc>
          <w:tcPr>
            <w:tcW w:w="1710" w:type="dxa"/>
            <w:tcBorders>
              <w:bottom w:val="single" w:sz="4" w:space="0" w:color="auto"/>
            </w:tcBorders>
            <w:vAlign w:val="bottom"/>
          </w:tcPr>
          <w:p w:rsidR="00AE6806" w:rsidRPr="00893C86" w:rsidRDefault="00AE6806" w:rsidP="00AE6806">
            <w:pPr>
              <w:tabs>
                <w:tab w:val="decimal" w:pos="350"/>
              </w:tabs>
              <w:spacing w:before="20" w:after="20"/>
              <w:jc w:val="center"/>
              <w:rPr>
                <w:rFonts w:ascii="Calibri" w:eastAsia="Calibri" w:hAnsi="Calibri" w:cs="Calibri"/>
                <w:b/>
                <w:color w:val="000000"/>
                <w:sz w:val="20"/>
                <w:szCs w:val="20"/>
              </w:rPr>
            </w:pPr>
            <w:r w:rsidRPr="00893C86">
              <w:rPr>
                <w:rFonts w:ascii="Calibri" w:eastAsia="Calibri" w:hAnsi="Calibri" w:cs="Calibri"/>
                <w:b/>
                <w:color w:val="000000"/>
                <w:sz w:val="20"/>
                <w:szCs w:val="20"/>
              </w:rPr>
              <w:t>125</w:t>
            </w:r>
          </w:p>
        </w:tc>
        <w:tc>
          <w:tcPr>
            <w:tcW w:w="1913" w:type="dxa"/>
            <w:tcBorders>
              <w:bottom w:val="single" w:sz="4" w:space="0" w:color="auto"/>
            </w:tcBorders>
            <w:vAlign w:val="bottom"/>
          </w:tcPr>
          <w:p w:rsidR="00AE6806" w:rsidRPr="00893C86" w:rsidRDefault="00AE6806" w:rsidP="00AE6806">
            <w:pPr>
              <w:tabs>
                <w:tab w:val="decimal" w:pos="418"/>
              </w:tabs>
              <w:spacing w:before="20" w:after="20"/>
              <w:jc w:val="center"/>
              <w:rPr>
                <w:rFonts w:ascii="Calibri" w:eastAsia="Calibri" w:hAnsi="Calibri" w:cs="Calibri"/>
                <w:b/>
                <w:color w:val="000000"/>
                <w:sz w:val="20"/>
                <w:szCs w:val="20"/>
              </w:rPr>
            </w:pPr>
            <w:r w:rsidRPr="00893C86">
              <w:rPr>
                <w:rFonts w:ascii="Calibri" w:eastAsia="Calibri" w:hAnsi="Calibri" w:cs="Calibri"/>
                <w:b/>
                <w:color w:val="000000"/>
                <w:sz w:val="20"/>
                <w:szCs w:val="20"/>
              </w:rPr>
              <w:t>111</w:t>
            </w:r>
          </w:p>
        </w:tc>
        <w:tc>
          <w:tcPr>
            <w:tcW w:w="1913" w:type="dxa"/>
            <w:tcBorders>
              <w:bottom w:val="single" w:sz="4" w:space="0" w:color="auto"/>
            </w:tcBorders>
            <w:vAlign w:val="bottom"/>
          </w:tcPr>
          <w:p w:rsidR="00AE6806" w:rsidRPr="00893C86" w:rsidRDefault="00AE6806" w:rsidP="00AE6806">
            <w:pPr>
              <w:tabs>
                <w:tab w:val="right" w:pos="568"/>
              </w:tabs>
              <w:spacing w:before="20" w:after="20"/>
              <w:jc w:val="center"/>
              <w:rPr>
                <w:rFonts w:ascii="Calibri" w:eastAsia="Calibri" w:hAnsi="Calibri" w:cs="Calibri"/>
                <w:b/>
                <w:color w:val="000000"/>
                <w:sz w:val="20"/>
                <w:szCs w:val="20"/>
              </w:rPr>
            </w:pPr>
            <w:r w:rsidRPr="00893C86">
              <w:rPr>
                <w:rFonts w:ascii="Calibri" w:eastAsia="Calibri" w:hAnsi="Calibri" w:cs="Calibri"/>
                <w:b/>
                <w:color w:val="000000"/>
                <w:sz w:val="20"/>
                <w:szCs w:val="20"/>
              </w:rPr>
              <w:t>141</w:t>
            </w:r>
          </w:p>
        </w:tc>
        <w:tc>
          <w:tcPr>
            <w:tcW w:w="1913" w:type="dxa"/>
            <w:tcBorders>
              <w:bottom w:val="single" w:sz="4" w:space="0" w:color="auto"/>
            </w:tcBorders>
            <w:vAlign w:val="bottom"/>
          </w:tcPr>
          <w:p w:rsidR="00AE6806" w:rsidRPr="00893C86" w:rsidRDefault="00AE6806" w:rsidP="00AE6806">
            <w:pPr>
              <w:tabs>
                <w:tab w:val="decimal" w:pos="435"/>
              </w:tabs>
              <w:spacing w:before="20" w:after="20"/>
              <w:jc w:val="center"/>
              <w:rPr>
                <w:rFonts w:ascii="Calibri" w:eastAsia="Calibri" w:hAnsi="Calibri" w:cs="Calibri"/>
                <w:b/>
                <w:color w:val="000000"/>
                <w:sz w:val="20"/>
                <w:szCs w:val="20"/>
              </w:rPr>
            </w:pPr>
            <w:r w:rsidRPr="00893C86">
              <w:rPr>
                <w:rFonts w:ascii="Calibri" w:eastAsia="Calibri" w:hAnsi="Calibri" w:cs="Calibri"/>
                <w:b/>
                <w:color w:val="000000"/>
                <w:sz w:val="20"/>
                <w:szCs w:val="20"/>
              </w:rPr>
              <w:t>87</w:t>
            </w:r>
          </w:p>
        </w:tc>
        <w:tc>
          <w:tcPr>
            <w:tcW w:w="1649" w:type="dxa"/>
            <w:tcBorders>
              <w:bottom w:val="single" w:sz="4" w:space="0" w:color="auto"/>
            </w:tcBorders>
            <w:vAlign w:val="bottom"/>
          </w:tcPr>
          <w:p w:rsidR="00AE6806" w:rsidRPr="00893C86" w:rsidRDefault="00AE6806" w:rsidP="00AE6806">
            <w:pPr>
              <w:spacing w:before="20" w:after="20"/>
              <w:jc w:val="center"/>
              <w:rPr>
                <w:rFonts w:ascii="Calibri" w:eastAsia="Calibri" w:hAnsi="Calibri" w:cs="Calibri"/>
                <w:b/>
                <w:color w:val="000000"/>
                <w:sz w:val="20"/>
                <w:szCs w:val="20"/>
              </w:rPr>
            </w:pPr>
            <w:r w:rsidRPr="00893C86">
              <w:rPr>
                <w:rFonts w:ascii="Calibri" w:eastAsia="Calibri" w:hAnsi="Calibri" w:cs="Calibri"/>
                <w:b/>
                <w:color w:val="000000"/>
                <w:sz w:val="20"/>
                <w:szCs w:val="20"/>
              </w:rPr>
              <w:t>105</w:t>
            </w:r>
          </w:p>
        </w:tc>
        <w:tc>
          <w:tcPr>
            <w:tcW w:w="935" w:type="dxa"/>
            <w:tcBorders>
              <w:bottom w:val="single" w:sz="4" w:space="0" w:color="auto"/>
            </w:tcBorders>
            <w:vAlign w:val="bottom"/>
          </w:tcPr>
          <w:p w:rsidR="00AE6806" w:rsidRPr="00893C86" w:rsidRDefault="00AE6806" w:rsidP="00AE6806">
            <w:pPr>
              <w:tabs>
                <w:tab w:val="decimal" w:pos="347"/>
              </w:tabs>
              <w:spacing w:before="20" w:after="20"/>
              <w:jc w:val="center"/>
              <w:rPr>
                <w:rFonts w:ascii="Calibri" w:eastAsia="Calibri" w:hAnsi="Calibri" w:cs="Calibri"/>
                <w:b/>
                <w:color w:val="000000"/>
                <w:sz w:val="20"/>
                <w:szCs w:val="20"/>
              </w:rPr>
            </w:pPr>
            <w:r w:rsidRPr="00893C86">
              <w:rPr>
                <w:rFonts w:ascii="Calibri" w:eastAsia="Calibri" w:hAnsi="Calibri" w:cs="Calibri"/>
                <w:b/>
                <w:color w:val="000000"/>
                <w:sz w:val="20"/>
                <w:szCs w:val="20"/>
              </w:rPr>
              <w:t>19</w:t>
            </w:r>
          </w:p>
        </w:tc>
        <w:tc>
          <w:tcPr>
            <w:tcW w:w="950" w:type="dxa"/>
            <w:tcBorders>
              <w:bottom w:val="single" w:sz="4" w:space="0" w:color="auto"/>
            </w:tcBorders>
            <w:vAlign w:val="bottom"/>
          </w:tcPr>
          <w:p w:rsidR="00AE6806" w:rsidRPr="00893C86" w:rsidRDefault="00AE6806" w:rsidP="00AE6806">
            <w:pPr>
              <w:spacing w:before="20" w:after="20"/>
              <w:jc w:val="center"/>
              <w:rPr>
                <w:rFonts w:ascii="Calibri" w:eastAsia="Times New Roman" w:hAnsi="Calibri" w:cs="Calibri"/>
                <w:b/>
                <w:snapToGrid w:val="0"/>
                <w:sz w:val="20"/>
                <w:szCs w:val="20"/>
              </w:rPr>
            </w:pPr>
            <w:r w:rsidRPr="00893C86">
              <w:rPr>
                <w:rFonts w:ascii="Calibri" w:eastAsia="Calibri" w:hAnsi="Calibri" w:cs="Calibri"/>
                <w:b/>
                <w:color w:val="000000"/>
                <w:sz w:val="20"/>
                <w:szCs w:val="20"/>
              </w:rPr>
              <w:t>697</w:t>
            </w:r>
          </w:p>
        </w:tc>
      </w:tr>
    </w:tbl>
    <w:p w:rsidR="00AE6806" w:rsidRPr="00427A4D" w:rsidRDefault="00AE6806" w:rsidP="00AE6806">
      <w:pPr>
        <w:rPr>
          <w:rFonts w:ascii="Calibri" w:eastAsia="Times New Roman" w:hAnsi="Calibri" w:cs="Times New Roman"/>
          <w:sz w:val="18"/>
        </w:rPr>
      </w:pPr>
      <w:r w:rsidRPr="00427A4D">
        <w:rPr>
          <w:rFonts w:ascii="Calibri" w:eastAsia="Times New Roman" w:hAnsi="Calibri" w:cs="Times New Roman"/>
          <w:sz w:val="18"/>
        </w:rPr>
        <w:t>Source: 2014 NDIS DSP outlet survey, Questions C3 and B2.</w:t>
      </w:r>
    </w:p>
    <w:p w:rsidR="00AE6806" w:rsidRPr="00F32464" w:rsidRDefault="00AE6806" w:rsidP="00AE6806">
      <w:pPr>
        <w:pStyle w:val="NILSReference"/>
      </w:pPr>
      <w:r w:rsidRPr="00893C86">
        <w:t>Note: Percentages of total cases are shown.</w:t>
      </w:r>
    </w:p>
    <w:p w:rsidR="00AE6806" w:rsidRDefault="00AE6806" w:rsidP="00C71513">
      <w:pPr>
        <w:pStyle w:val="NILSReference"/>
        <w:sectPr w:rsidR="00AE6806" w:rsidSect="00CA78E4">
          <w:footerReference w:type="default" r:id="rId39"/>
          <w:footnotePr>
            <w:numStart w:val="2"/>
          </w:footnotePr>
          <w:pgSz w:w="16838" w:h="11906" w:orient="landscape" w:code="9"/>
          <w:pgMar w:top="1418" w:right="1418" w:bottom="1418" w:left="1247" w:header="709" w:footer="709" w:gutter="0"/>
          <w:cols w:space="709"/>
          <w:docGrid w:linePitch="299"/>
        </w:sectPr>
      </w:pPr>
    </w:p>
    <w:p w:rsidR="00685BE5" w:rsidRDefault="00685BE5" w:rsidP="00AE4C3A">
      <w:pPr>
        <w:rPr>
          <w:rFonts w:cstheme="minorHAnsi"/>
        </w:rPr>
      </w:pPr>
      <w:r>
        <w:rPr>
          <w:rFonts w:cstheme="minorHAnsi"/>
        </w:rPr>
        <w:lastRenderedPageBreak/>
        <w:t xml:space="preserve">Table </w:t>
      </w:r>
      <w:r w:rsidRPr="00140B39">
        <w:rPr>
          <w:rFonts w:cstheme="minorHAnsi"/>
        </w:rPr>
        <w:t>4</w:t>
      </w:r>
      <w:r>
        <w:rPr>
          <w:rFonts w:cstheme="minorHAnsi"/>
        </w:rPr>
        <w:t>.12</w:t>
      </w:r>
      <w:r w:rsidRPr="00140B39">
        <w:rPr>
          <w:rFonts w:cstheme="minorHAnsi"/>
        </w:rPr>
        <w:t xml:space="preserve"> shows that </w:t>
      </w:r>
      <w:r>
        <w:rPr>
          <w:rFonts w:cstheme="minorHAnsi"/>
        </w:rPr>
        <w:t xml:space="preserve">overall </w:t>
      </w:r>
      <w:r w:rsidRPr="00140B39">
        <w:rPr>
          <w:rFonts w:cstheme="minorHAnsi"/>
        </w:rPr>
        <w:t>a little more than two thirds of outlet manag</w:t>
      </w:r>
      <w:r>
        <w:rPr>
          <w:rFonts w:cstheme="minorHAnsi"/>
        </w:rPr>
        <w:t>er</w:t>
      </w:r>
      <w:r w:rsidRPr="00140B39">
        <w:rPr>
          <w:rFonts w:cstheme="minorHAnsi"/>
        </w:rPr>
        <w:t>s expected the</w:t>
      </w:r>
      <w:r>
        <w:rPr>
          <w:rFonts w:cstheme="minorHAnsi"/>
        </w:rPr>
        <w:t xml:space="preserve">ir hiring plans </w:t>
      </w:r>
      <w:r w:rsidRPr="00140B39">
        <w:rPr>
          <w:rFonts w:cstheme="minorHAnsi"/>
        </w:rPr>
        <w:t>not to change the outlet’s current mix of support activities (</w:t>
      </w:r>
      <w:r>
        <w:rPr>
          <w:rFonts w:cstheme="minorHAnsi"/>
        </w:rPr>
        <w:t xml:space="preserve">Total column, </w:t>
      </w:r>
      <w:r w:rsidRPr="00140B39">
        <w:rPr>
          <w:rFonts w:cstheme="minorHAnsi"/>
        </w:rPr>
        <w:t>6</w:t>
      </w:r>
      <w:r>
        <w:rPr>
          <w:rFonts w:cstheme="minorHAnsi"/>
        </w:rPr>
        <w:t>8</w:t>
      </w:r>
      <w:r w:rsidRPr="00140B39">
        <w:rPr>
          <w:rFonts w:cstheme="minorHAnsi"/>
        </w:rPr>
        <w:t xml:space="preserve"> per cent). </w:t>
      </w:r>
      <w:r>
        <w:rPr>
          <w:rFonts w:cstheme="minorHAnsi"/>
        </w:rPr>
        <w:t xml:space="preserve">Hence this reflects that hiring intentions were more likely to relate to the replacement of staff to maintain current service levels planned for the year ahead, or an increase in the scale, but not character, of the services they offered. </w:t>
      </w:r>
    </w:p>
    <w:p w:rsidR="003A37B0" w:rsidRPr="00140B39" w:rsidRDefault="003A37B0" w:rsidP="00EC745A">
      <w:pPr>
        <w:ind w:left="57"/>
        <w:rPr>
          <w:rFonts w:cstheme="minorHAnsi"/>
        </w:rPr>
      </w:pPr>
    </w:p>
    <w:p w:rsidR="00685BE5" w:rsidRDefault="00685BE5" w:rsidP="00AE4C3A">
      <w:pPr>
        <w:rPr>
          <w:rFonts w:cstheme="minorHAnsi"/>
        </w:rPr>
      </w:pPr>
      <w:r w:rsidRPr="00140B39">
        <w:rPr>
          <w:rFonts w:cstheme="minorHAnsi"/>
        </w:rPr>
        <w:t>However, for a quarter of outlet managers</w:t>
      </w:r>
      <w:r>
        <w:rPr>
          <w:rFonts w:cstheme="minorHAnsi"/>
        </w:rPr>
        <w:t>,</w:t>
      </w:r>
      <w:r w:rsidRPr="00140B39">
        <w:rPr>
          <w:rFonts w:cstheme="minorHAnsi"/>
        </w:rPr>
        <w:t xml:space="preserve"> the</w:t>
      </w:r>
      <w:r>
        <w:rPr>
          <w:rFonts w:cstheme="minorHAnsi"/>
        </w:rPr>
        <w:t>ir</w:t>
      </w:r>
      <w:r w:rsidRPr="00140B39">
        <w:rPr>
          <w:rFonts w:cstheme="minorHAnsi"/>
        </w:rPr>
        <w:t xml:space="preserve"> hiring plans would increase the focus of the outlet </w:t>
      </w:r>
      <w:r>
        <w:rPr>
          <w:rFonts w:cstheme="minorHAnsi"/>
        </w:rPr>
        <w:t>on</w:t>
      </w:r>
      <w:r w:rsidRPr="00140B39">
        <w:rPr>
          <w:rFonts w:cstheme="minorHAnsi"/>
        </w:rPr>
        <w:t xml:space="preserve"> disability support. Extremely few outlet managers expected the hiring plans to result in reduced outlet disability support activities (</w:t>
      </w:r>
      <w:r>
        <w:rPr>
          <w:rFonts w:cstheme="minorHAnsi"/>
        </w:rPr>
        <w:t>only 2</w:t>
      </w:r>
      <w:r w:rsidRPr="00140B39">
        <w:rPr>
          <w:rFonts w:cstheme="minorHAnsi"/>
        </w:rPr>
        <w:t xml:space="preserve"> per cent). </w:t>
      </w:r>
      <w:r>
        <w:rPr>
          <w:rFonts w:cstheme="minorHAnsi"/>
        </w:rPr>
        <w:t xml:space="preserve">Expectations about whether the hiring plans would change the outlet’s current mix of support activities were similar for outlets of small or large size. A minority (23 per cent of small and 28 per cent of large outlets) expected to increase their outlet focus on disability with their hiring intentions. </w:t>
      </w:r>
    </w:p>
    <w:p w:rsidR="00685BE5" w:rsidRPr="00B40F0A" w:rsidRDefault="00685BE5" w:rsidP="0044684E">
      <w:pPr>
        <w:pStyle w:val="NILSTableHeading"/>
        <w:rPr>
          <w:lang w:val="en-AU"/>
        </w:rPr>
      </w:pPr>
      <w:bookmarkStart w:id="529" w:name="_Toc428279217"/>
      <w:bookmarkStart w:id="530" w:name="_Toc449955348"/>
      <w:r>
        <w:t xml:space="preserve">Table </w:t>
      </w:r>
      <w:r w:rsidRPr="00140B39">
        <w:t>4</w:t>
      </w:r>
      <w:r>
        <w:t>.12</w:t>
      </w:r>
      <w:r w:rsidRPr="00140B39">
        <w:t xml:space="preserve">: Whether hiring plans change the outlet’s </w:t>
      </w:r>
      <w:r w:rsidRPr="006F112D">
        <w:t>current</w:t>
      </w:r>
      <w:r w:rsidRPr="00140B39">
        <w:t xml:space="preserve"> mix of support activities by</w:t>
      </w:r>
      <w:r>
        <w:t xml:space="preserve"> outlet size</w:t>
      </w:r>
      <w:bookmarkEnd w:id="529"/>
      <w:r w:rsidR="00B40F0A">
        <w:rPr>
          <w:lang w:val="en-AU"/>
        </w:rPr>
        <w:t xml:space="preserve"> (per cent)</w:t>
      </w:r>
      <w:bookmarkEnd w:id="530"/>
    </w:p>
    <w:tbl>
      <w:tblPr>
        <w:tblW w:w="8379" w:type="dxa"/>
        <w:tblInd w:w="93" w:type="dxa"/>
        <w:tblLayout w:type="fixed"/>
        <w:tblLook w:val="04A0" w:firstRow="1" w:lastRow="0" w:firstColumn="1" w:lastColumn="0" w:noHBand="0" w:noVBand="1"/>
        <w:tblCaption w:val="Table 4.12 Whether hiring plans change the outlet’s current mix of support activities by outlet size"/>
      </w:tblPr>
      <w:tblGrid>
        <w:gridCol w:w="3843"/>
        <w:gridCol w:w="1559"/>
        <w:gridCol w:w="1701"/>
        <w:gridCol w:w="1276"/>
      </w:tblGrid>
      <w:tr w:rsidR="00685BE5" w:rsidRPr="00B90E88" w:rsidTr="00A5200F">
        <w:trPr>
          <w:tblHeader/>
        </w:trPr>
        <w:tc>
          <w:tcPr>
            <w:tcW w:w="3843" w:type="dxa"/>
            <w:tcBorders>
              <w:top w:val="single" w:sz="4" w:space="0" w:color="auto"/>
              <w:left w:val="nil"/>
              <w:bottom w:val="single" w:sz="4" w:space="0" w:color="auto"/>
              <w:right w:val="nil"/>
            </w:tcBorders>
            <w:shd w:val="clear" w:color="auto" w:fill="auto"/>
            <w:noWrap/>
          </w:tcPr>
          <w:p w:rsidR="00685BE5" w:rsidRPr="007D2274" w:rsidRDefault="00685BE5" w:rsidP="00AE4C3A">
            <w:pPr>
              <w:spacing w:before="20" w:after="20"/>
              <w:rPr>
                <w:rFonts w:cstheme="minorHAnsi"/>
                <w:sz w:val="20"/>
                <w:szCs w:val="20"/>
              </w:rPr>
            </w:pPr>
            <w:bookmarkStart w:id="531" w:name="Title_4_12"/>
            <w:bookmarkEnd w:id="531"/>
          </w:p>
        </w:tc>
        <w:tc>
          <w:tcPr>
            <w:tcW w:w="1559" w:type="dxa"/>
            <w:tcBorders>
              <w:top w:val="single" w:sz="4" w:space="0" w:color="auto"/>
              <w:left w:val="nil"/>
              <w:bottom w:val="single" w:sz="4" w:space="0" w:color="auto"/>
              <w:right w:val="nil"/>
            </w:tcBorders>
            <w:shd w:val="clear" w:color="auto" w:fill="auto"/>
            <w:noWrap/>
          </w:tcPr>
          <w:p w:rsidR="00685BE5" w:rsidRPr="007D2274" w:rsidRDefault="00685BE5" w:rsidP="00AE4C3A">
            <w:pPr>
              <w:spacing w:before="20" w:after="20"/>
              <w:jc w:val="center"/>
              <w:rPr>
                <w:rFonts w:cstheme="minorHAnsi"/>
                <w:bCs/>
                <w:sz w:val="20"/>
                <w:szCs w:val="20"/>
              </w:rPr>
            </w:pPr>
            <w:r w:rsidRPr="007D2274">
              <w:rPr>
                <w:rFonts w:cstheme="minorHAnsi"/>
                <w:bCs/>
                <w:sz w:val="20"/>
                <w:szCs w:val="20"/>
              </w:rPr>
              <w:t>Small</w:t>
            </w:r>
            <w:r w:rsidR="00B40F0A">
              <w:rPr>
                <w:rFonts w:cstheme="minorHAnsi"/>
                <w:bCs/>
                <w:sz w:val="20"/>
                <w:szCs w:val="20"/>
              </w:rPr>
              <w:t xml:space="preserve"> outlet</w:t>
            </w:r>
          </w:p>
          <w:p w:rsidR="00685BE5" w:rsidRPr="007D2274" w:rsidRDefault="00685BE5" w:rsidP="00AE6806">
            <w:pPr>
              <w:spacing w:before="20" w:after="20"/>
              <w:jc w:val="center"/>
              <w:rPr>
                <w:rFonts w:cstheme="minorHAnsi"/>
                <w:sz w:val="20"/>
                <w:szCs w:val="20"/>
              </w:rPr>
            </w:pPr>
            <w:r w:rsidRPr="007D2274">
              <w:rPr>
                <w:rFonts w:cstheme="minorHAnsi"/>
                <w:bCs/>
                <w:sz w:val="20"/>
                <w:szCs w:val="20"/>
              </w:rPr>
              <w:t>up to 18 staff</w:t>
            </w:r>
          </w:p>
        </w:tc>
        <w:tc>
          <w:tcPr>
            <w:tcW w:w="1701" w:type="dxa"/>
            <w:tcBorders>
              <w:top w:val="single" w:sz="4" w:space="0" w:color="auto"/>
              <w:left w:val="nil"/>
              <w:bottom w:val="single" w:sz="4" w:space="0" w:color="auto"/>
              <w:right w:val="nil"/>
            </w:tcBorders>
            <w:shd w:val="clear" w:color="auto" w:fill="auto"/>
            <w:noWrap/>
          </w:tcPr>
          <w:p w:rsidR="00685BE5" w:rsidRPr="007D2274" w:rsidRDefault="00685BE5" w:rsidP="00AE4C3A">
            <w:pPr>
              <w:spacing w:before="20" w:after="20"/>
              <w:jc w:val="center"/>
              <w:rPr>
                <w:rFonts w:cstheme="minorHAnsi"/>
                <w:sz w:val="20"/>
                <w:szCs w:val="20"/>
              </w:rPr>
            </w:pPr>
            <w:r w:rsidRPr="007D2274">
              <w:rPr>
                <w:rFonts w:cstheme="minorHAnsi"/>
                <w:sz w:val="20"/>
                <w:szCs w:val="20"/>
              </w:rPr>
              <w:t>Large</w:t>
            </w:r>
            <w:r w:rsidR="00B40F0A">
              <w:rPr>
                <w:rFonts w:cstheme="minorHAnsi"/>
                <w:sz w:val="20"/>
                <w:szCs w:val="20"/>
              </w:rPr>
              <w:t xml:space="preserve"> outlet</w:t>
            </w:r>
          </w:p>
          <w:p w:rsidR="00685BE5" w:rsidRPr="007D2274" w:rsidRDefault="00685BE5" w:rsidP="00AE6806">
            <w:pPr>
              <w:spacing w:before="20" w:after="20"/>
              <w:jc w:val="center"/>
              <w:rPr>
                <w:rFonts w:cstheme="minorHAnsi"/>
                <w:sz w:val="20"/>
                <w:szCs w:val="20"/>
              </w:rPr>
            </w:pPr>
            <w:r w:rsidRPr="007D2274">
              <w:rPr>
                <w:rFonts w:cstheme="minorHAnsi"/>
                <w:bCs/>
                <w:sz w:val="20"/>
                <w:szCs w:val="20"/>
              </w:rPr>
              <w:t>19 staff or more</w:t>
            </w:r>
          </w:p>
        </w:tc>
        <w:tc>
          <w:tcPr>
            <w:tcW w:w="1276" w:type="dxa"/>
            <w:tcBorders>
              <w:top w:val="single" w:sz="4" w:space="0" w:color="auto"/>
              <w:left w:val="nil"/>
              <w:bottom w:val="single" w:sz="4" w:space="0" w:color="auto"/>
              <w:right w:val="nil"/>
            </w:tcBorders>
            <w:vAlign w:val="center"/>
          </w:tcPr>
          <w:p w:rsidR="00685BE5" w:rsidRPr="00E3331B" w:rsidRDefault="00B40F0A" w:rsidP="00A5200F">
            <w:pPr>
              <w:spacing w:before="20" w:after="20"/>
              <w:jc w:val="center"/>
              <w:rPr>
                <w:rFonts w:cstheme="minorHAnsi"/>
                <w:b/>
                <w:sz w:val="20"/>
                <w:szCs w:val="20"/>
              </w:rPr>
            </w:pPr>
            <w:r w:rsidRPr="00635E24">
              <w:rPr>
                <w:rFonts w:cstheme="minorHAnsi"/>
                <w:b/>
                <w:bCs/>
                <w:sz w:val="20"/>
                <w:szCs w:val="20"/>
              </w:rPr>
              <w:t>Total</w:t>
            </w:r>
          </w:p>
        </w:tc>
      </w:tr>
      <w:tr w:rsidR="00685BE5" w:rsidRPr="00B90E88" w:rsidTr="00A5200F">
        <w:tc>
          <w:tcPr>
            <w:tcW w:w="3843" w:type="dxa"/>
            <w:tcBorders>
              <w:top w:val="single" w:sz="4" w:space="0" w:color="auto"/>
              <w:left w:val="nil"/>
              <w:bottom w:val="nil"/>
              <w:right w:val="nil"/>
            </w:tcBorders>
            <w:shd w:val="clear" w:color="auto" w:fill="auto"/>
            <w:noWrap/>
            <w:vAlign w:val="bottom"/>
          </w:tcPr>
          <w:p w:rsidR="00685BE5" w:rsidRPr="007D2274" w:rsidRDefault="00685BE5" w:rsidP="00AE4C3A">
            <w:pPr>
              <w:spacing w:before="20" w:after="20"/>
              <w:rPr>
                <w:rFonts w:cstheme="minorHAnsi"/>
                <w:sz w:val="20"/>
                <w:szCs w:val="20"/>
              </w:rPr>
            </w:pPr>
            <w:r w:rsidRPr="007D2274">
              <w:rPr>
                <w:rFonts w:cstheme="minorHAnsi"/>
                <w:sz w:val="20"/>
                <w:szCs w:val="20"/>
              </w:rPr>
              <w:t>No</w:t>
            </w:r>
          </w:p>
        </w:tc>
        <w:tc>
          <w:tcPr>
            <w:tcW w:w="1559" w:type="dxa"/>
            <w:tcBorders>
              <w:top w:val="single" w:sz="4" w:space="0" w:color="auto"/>
              <w:left w:val="nil"/>
              <w:bottom w:val="nil"/>
              <w:right w:val="nil"/>
            </w:tcBorders>
            <w:shd w:val="clear" w:color="auto" w:fill="auto"/>
            <w:noWrap/>
            <w:vAlign w:val="bottom"/>
          </w:tcPr>
          <w:p w:rsidR="00685BE5" w:rsidRPr="007D2274" w:rsidRDefault="00685BE5" w:rsidP="00AE4C3A">
            <w:pPr>
              <w:tabs>
                <w:tab w:val="decimal" w:pos="600"/>
              </w:tabs>
              <w:spacing w:before="20" w:after="20"/>
              <w:ind w:right="459"/>
              <w:jc w:val="right"/>
              <w:rPr>
                <w:rFonts w:ascii="Calibri" w:hAnsi="Calibri" w:cs="Calibri"/>
                <w:color w:val="000000"/>
                <w:sz w:val="20"/>
                <w:szCs w:val="20"/>
              </w:rPr>
            </w:pPr>
            <w:r w:rsidRPr="007D2274">
              <w:rPr>
                <w:rFonts w:ascii="Calibri" w:hAnsi="Calibri" w:cs="Calibri"/>
                <w:color w:val="000000"/>
                <w:sz w:val="20"/>
                <w:szCs w:val="20"/>
              </w:rPr>
              <w:t>70.8</w:t>
            </w:r>
          </w:p>
        </w:tc>
        <w:tc>
          <w:tcPr>
            <w:tcW w:w="1701" w:type="dxa"/>
            <w:tcBorders>
              <w:top w:val="single" w:sz="4" w:space="0" w:color="auto"/>
              <w:left w:val="nil"/>
              <w:bottom w:val="nil"/>
              <w:right w:val="nil"/>
            </w:tcBorders>
            <w:shd w:val="clear" w:color="auto" w:fill="auto"/>
            <w:noWrap/>
            <w:vAlign w:val="bottom"/>
          </w:tcPr>
          <w:p w:rsidR="00685BE5" w:rsidRPr="007D2274" w:rsidRDefault="00685BE5" w:rsidP="00AE4C3A">
            <w:pPr>
              <w:tabs>
                <w:tab w:val="decimal" w:pos="742"/>
              </w:tabs>
              <w:spacing w:before="20" w:after="20"/>
              <w:ind w:right="601"/>
              <w:jc w:val="right"/>
              <w:rPr>
                <w:rFonts w:ascii="Calibri" w:hAnsi="Calibri" w:cs="Calibri"/>
                <w:color w:val="000000"/>
                <w:sz w:val="20"/>
                <w:szCs w:val="20"/>
              </w:rPr>
            </w:pPr>
            <w:r w:rsidRPr="007D2274">
              <w:rPr>
                <w:rFonts w:ascii="Calibri" w:hAnsi="Calibri" w:cs="Calibri"/>
                <w:color w:val="000000"/>
                <w:sz w:val="20"/>
                <w:szCs w:val="20"/>
              </w:rPr>
              <w:t>65.8</w:t>
            </w:r>
          </w:p>
        </w:tc>
        <w:tc>
          <w:tcPr>
            <w:tcW w:w="1276" w:type="dxa"/>
            <w:tcBorders>
              <w:top w:val="single" w:sz="4" w:space="0" w:color="auto"/>
              <w:left w:val="nil"/>
              <w:bottom w:val="nil"/>
              <w:right w:val="nil"/>
            </w:tcBorders>
            <w:vAlign w:val="bottom"/>
          </w:tcPr>
          <w:p w:rsidR="00685BE5" w:rsidRPr="00E3331B" w:rsidRDefault="00685BE5" w:rsidP="00AE4C3A">
            <w:pPr>
              <w:spacing w:before="20" w:after="20"/>
              <w:ind w:right="317"/>
              <w:jc w:val="right"/>
              <w:rPr>
                <w:rFonts w:cstheme="minorHAnsi"/>
                <w:b/>
                <w:sz w:val="20"/>
                <w:szCs w:val="20"/>
              </w:rPr>
            </w:pPr>
            <w:r w:rsidRPr="00E3331B">
              <w:rPr>
                <w:rFonts w:cstheme="minorHAnsi"/>
                <w:b/>
                <w:sz w:val="20"/>
                <w:szCs w:val="20"/>
              </w:rPr>
              <w:t>67.9</w:t>
            </w:r>
          </w:p>
        </w:tc>
      </w:tr>
      <w:tr w:rsidR="00685BE5" w:rsidRPr="00B90E88" w:rsidTr="00A5200F">
        <w:tc>
          <w:tcPr>
            <w:tcW w:w="3843" w:type="dxa"/>
            <w:tcBorders>
              <w:top w:val="nil"/>
              <w:left w:val="nil"/>
              <w:bottom w:val="nil"/>
              <w:right w:val="nil"/>
            </w:tcBorders>
            <w:shd w:val="clear" w:color="auto" w:fill="auto"/>
            <w:noWrap/>
            <w:vAlign w:val="bottom"/>
          </w:tcPr>
          <w:p w:rsidR="00685BE5" w:rsidRPr="007D2274" w:rsidRDefault="00685BE5" w:rsidP="00AE4C3A">
            <w:pPr>
              <w:spacing w:before="20" w:after="20"/>
              <w:rPr>
                <w:rFonts w:cstheme="minorHAnsi"/>
                <w:sz w:val="20"/>
                <w:szCs w:val="20"/>
              </w:rPr>
            </w:pPr>
            <w:r w:rsidRPr="007D2274">
              <w:rPr>
                <w:rFonts w:cstheme="minorHAnsi"/>
                <w:sz w:val="20"/>
                <w:szCs w:val="20"/>
              </w:rPr>
              <w:t>Yes, will reduce the focus on disability</w:t>
            </w:r>
          </w:p>
        </w:tc>
        <w:tc>
          <w:tcPr>
            <w:tcW w:w="1559" w:type="dxa"/>
            <w:tcBorders>
              <w:top w:val="nil"/>
              <w:left w:val="nil"/>
              <w:bottom w:val="nil"/>
              <w:right w:val="nil"/>
            </w:tcBorders>
            <w:shd w:val="clear" w:color="auto" w:fill="auto"/>
            <w:noWrap/>
            <w:vAlign w:val="bottom"/>
          </w:tcPr>
          <w:p w:rsidR="00685BE5" w:rsidRPr="007D2274" w:rsidRDefault="00685BE5" w:rsidP="00AE4C3A">
            <w:pPr>
              <w:tabs>
                <w:tab w:val="decimal" w:pos="600"/>
              </w:tabs>
              <w:spacing w:before="20" w:after="20"/>
              <w:ind w:right="459"/>
              <w:jc w:val="right"/>
              <w:rPr>
                <w:rFonts w:cstheme="minorHAnsi"/>
                <w:sz w:val="20"/>
                <w:szCs w:val="20"/>
              </w:rPr>
            </w:pPr>
            <w:r w:rsidRPr="007D2274">
              <w:rPr>
                <w:rFonts w:ascii="Calibri" w:hAnsi="Calibri" w:cs="Calibri"/>
                <w:color w:val="000000"/>
                <w:sz w:val="20"/>
                <w:szCs w:val="20"/>
              </w:rPr>
              <w:t>1.5</w:t>
            </w:r>
          </w:p>
        </w:tc>
        <w:tc>
          <w:tcPr>
            <w:tcW w:w="1701" w:type="dxa"/>
            <w:tcBorders>
              <w:top w:val="nil"/>
              <w:left w:val="nil"/>
              <w:bottom w:val="nil"/>
              <w:right w:val="nil"/>
            </w:tcBorders>
            <w:shd w:val="clear" w:color="auto" w:fill="auto"/>
            <w:noWrap/>
            <w:vAlign w:val="bottom"/>
          </w:tcPr>
          <w:p w:rsidR="00685BE5" w:rsidRPr="007D2274" w:rsidRDefault="00685BE5" w:rsidP="00AE4C3A">
            <w:pPr>
              <w:tabs>
                <w:tab w:val="decimal" w:pos="742"/>
              </w:tabs>
              <w:spacing w:before="20" w:after="20"/>
              <w:ind w:right="601"/>
              <w:jc w:val="right"/>
              <w:rPr>
                <w:rFonts w:cstheme="minorHAnsi"/>
                <w:sz w:val="20"/>
                <w:szCs w:val="20"/>
              </w:rPr>
            </w:pPr>
            <w:r w:rsidRPr="007D2274">
              <w:rPr>
                <w:rFonts w:ascii="Calibri" w:hAnsi="Calibri" w:cs="Calibri"/>
                <w:color w:val="000000"/>
                <w:sz w:val="20"/>
                <w:szCs w:val="20"/>
              </w:rPr>
              <w:t>1.8</w:t>
            </w:r>
          </w:p>
        </w:tc>
        <w:tc>
          <w:tcPr>
            <w:tcW w:w="1276" w:type="dxa"/>
            <w:tcBorders>
              <w:top w:val="nil"/>
              <w:left w:val="nil"/>
              <w:bottom w:val="nil"/>
              <w:right w:val="nil"/>
            </w:tcBorders>
            <w:vAlign w:val="bottom"/>
          </w:tcPr>
          <w:p w:rsidR="00685BE5" w:rsidRPr="00E3331B" w:rsidRDefault="00685BE5" w:rsidP="00AE4C3A">
            <w:pPr>
              <w:spacing w:before="20" w:after="20"/>
              <w:ind w:right="317"/>
              <w:jc w:val="right"/>
              <w:rPr>
                <w:rFonts w:cstheme="minorHAnsi"/>
                <w:b/>
                <w:sz w:val="20"/>
                <w:szCs w:val="20"/>
              </w:rPr>
            </w:pPr>
            <w:r w:rsidRPr="00E3331B">
              <w:rPr>
                <w:rFonts w:cstheme="minorHAnsi"/>
                <w:b/>
                <w:sz w:val="20"/>
                <w:szCs w:val="20"/>
              </w:rPr>
              <w:t>1.6</w:t>
            </w:r>
          </w:p>
        </w:tc>
      </w:tr>
      <w:tr w:rsidR="00685BE5" w:rsidRPr="00B90E88" w:rsidTr="00A5200F">
        <w:tc>
          <w:tcPr>
            <w:tcW w:w="3843" w:type="dxa"/>
            <w:tcBorders>
              <w:top w:val="nil"/>
              <w:left w:val="nil"/>
              <w:bottom w:val="nil"/>
              <w:right w:val="nil"/>
            </w:tcBorders>
            <w:shd w:val="clear" w:color="auto" w:fill="auto"/>
            <w:noWrap/>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Yes, will increase the focus on disability</w:t>
            </w:r>
          </w:p>
        </w:tc>
        <w:tc>
          <w:tcPr>
            <w:tcW w:w="1559" w:type="dxa"/>
            <w:tcBorders>
              <w:top w:val="nil"/>
              <w:left w:val="nil"/>
              <w:bottom w:val="nil"/>
              <w:right w:val="nil"/>
            </w:tcBorders>
            <w:shd w:val="clear" w:color="auto" w:fill="auto"/>
            <w:noWrap/>
            <w:vAlign w:val="bottom"/>
          </w:tcPr>
          <w:p w:rsidR="00685BE5" w:rsidRPr="007D2274" w:rsidRDefault="00685BE5" w:rsidP="00AE4C3A">
            <w:pPr>
              <w:tabs>
                <w:tab w:val="decimal" w:pos="600"/>
              </w:tabs>
              <w:spacing w:before="20" w:after="20"/>
              <w:ind w:right="459"/>
              <w:jc w:val="right"/>
              <w:rPr>
                <w:rFonts w:cstheme="minorHAnsi"/>
                <w:sz w:val="20"/>
                <w:szCs w:val="20"/>
              </w:rPr>
            </w:pPr>
            <w:r w:rsidRPr="007D2274">
              <w:rPr>
                <w:rFonts w:ascii="Calibri" w:hAnsi="Calibri" w:cs="Calibri"/>
                <w:color w:val="000000"/>
                <w:sz w:val="20"/>
                <w:szCs w:val="20"/>
              </w:rPr>
              <w:t>23.0</w:t>
            </w:r>
          </w:p>
        </w:tc>
        <w:tc>
          <w:tcPr>
            <w:tcW w:w="1701" w:type="dxa"/>
            <w:tcBorders>
              <w:top w:val="nil"/>
              <w:left w:val="nil"/>
              <w:bottom w:val="nil"/>
              <w:right w:val="nil"/>
            </w:tcBorders>
            <w:shd w:val="clear" w:color="auto" w:fill="auto"/>
            <w:noWrap/>
            <w:vAlign w:val="bottom"/>
          </w:tcPr>
          <w:p w:rsidR="00685BE5" w:rsidRPr="007D2274" w:rsidRDefault="00685BE5" w:rsidP="00AE4C3A">
            <w:pPr>
              <w:tabs>
                <w:tab w:val="decimal" w:pos="742"/>
              </w:tabs>
              <w:spacing w:before="20" w:after="20"/>
              <w:ind w:right="601"/>
              <w:jc w:val="right"/>
              <w:rPr>
                <w:rFonts w:cstheme="minorHAnsi"/>
                <w:sz w:val="20"/>
                <w:szCs w:val="20"/>
              </w:rPr>
            </w:pPr>
            <w:r w:rsidRPr="007D2274">
              <w:rPr>
                <w:rFonts w:ascii="Calibri" w:hAnsi="Calibri" w:cs="Calibri"/>
                <w:color w:val="000000"/>
                <w:sz w:val="20"/>
                <w:szCs w:val="20"/>
              </w:rPr>
              <w:t>28.0</w:t>
            </w:r>
          </w:p>
        </w:tc>
        <w:tc>
          <w:tcPr>
            <w:tcW w:w="1276" w:type="dxa"/>
            <w:tcBorders>
              <w:top w:val="nil"/>
              <w:left w:val="nil"/>
              <w:bottom w:val="nil"/>
              <w:right w:val="nil"/>
            </w:tcBorders>
            <w:vAlign w:val="bottom"/>
          </w:tcPr>
          <w:p w:rsidR="00685BE5" w:rsidRPr="00E3331B" w:rsidRDefault="00685BE5" w:rsidP="00AE4C3A">
            <w:pPr>
              <w:spacing w:before="20" w:after="20"/>
              <w:ind w:right="317"/>
              <w:jc w:val="right"/>
              <w:rPr>
                <w:rFonts w:cstheme="minorHAnsi"/>
                <w:b/>
                <w:sz w:val="20"/>
                <w:szCs w:val="20"/>
              </w:rPr>
            </w:pPr>
            <w:r w:rsidRPr="00E3331B">
              <w:rPr>
                <w:rFonts w:cstheme="minorHAnsi"/>
                <w:b/>
                <w:sz w:val="20"/>
                <w:szCs w:val="20"/>
              </w:rPr>
              <w:t>25.4</w:t>
            </w:r>
          </w:p>
        </w:tc>
      </w:tr>
      <w:tr w:rsidR="00685BE5" w:rsidRPr="00B90E88" w:rsidTr="00A5200F">
        <w:tc>
          <w:tcPr>
            <w:tcW w:w="3843" w:type="dxa"/>
            <w:tcBorders>
              <w:top w:val="nil"/>
              <w:left w:val="nil"/>
              <w:bottom w:val="single" w:sz="4" w:space="0" w:color="auto"/>
              <w:right w:val="nil"/>
            </w:tcBorders>
            <w:shd w:val="clear" w:color="auto" w:fill="auto"/>
            <w:noWrap/>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 xml:space="preserve">Question not answered </w:t>
            </w:r>
          </w:p>
        </w:tc>
        <w:tc>
          <w:tcPr>
            <w:tcW w:w="1559" w:type="dxa"/>
            <w:tcBorders>
              <w:top w:val="nil"/>
              <w:left w:val="nil"/>
              <w:bottom w:val="single" w:sz="4" w:space="0" w:color="auto"/>
              <w:right w:val="nil"/>
            </w:tcBorders>
            <w:shd w:val="clear" w:color="auto" w:fill="auto"/>
            <w:noWrap/>
            <w:vAlign w:val="bottom"/>
          </w:tcPr>
          <w:p w:rsidR="00685BE5" w:rsidRPr="007D2274" w:rsidRDefault="00685BE5" w:rsidP="00AE4C3A">
            <w:pPr>
              <w:tabs>
                <w:tab w:val="decimal" w:pos="600"/>
              </w:tabs>
              <w:spacing w:before="20" w:after="20"/>
              <w:ind w:right="459"/>
              <w:jc w:val="right"/>
              <w:rPr>
                <w:rFonts w:cstheme="minorHAnsi"/>
                <w:sz w:val="20"/>
                <w:szCs w:val="20"/>
              </w:rPr>
            </w:pPr>
            <w:r w:rsidRPr="007D2274">
              <w:rPr>
                <w:rFonts w:ascii="Calibri" w:hAnsi="Calibri" w:cs="Calibri"/>
                <w:color w:val="000000"/>
                <w:sz w:val="20"/>
                <w:szCs w:val="20"/>
              </w:rPr>
              <w:t>4.7</w:t>
            </w:r>
          </w:p>
        </w:tc>
        <w:tc>
          <w:tcPr>
            <w:tcW w:w="1701" w:type="dxa"/>
            <w:tcBorders>
              <w:top w:val="nil"/>
              <w:left w:val="nil"/>
              <w:bottom w:val="single" w:sz="4" w:space="0" w:color="auto"/>
              <w:right w:val="nil"/>
            </w:tcBorders>
            <w:shd w:val="clear" w:color="auto" w:fill="auto"/>
            <w:noWrap/>
            <w:vAlign w:val="bottom"/>
          </w:tcPr>
          <w:p w:rsidR="00685BE5" w:rsidRPr="007D2274" w:rsidRDefault="00685BE5" w:rsidP="00AE4C3A">
            <w:pPr>
              <w:tabs>
                <w:tab w:val="decimal" w:pos="742"/>
              </w:tabs>
              <w:spacing w:before="20" w:after="20"/>
              <w:ind w:right="601"/>
              <w:jc w:val="right"/>
              <w:rPr>
                <w:rFonts w:cstheme="minorHAnsi"/>
                <w:sz w:val="20"/>
                <w:szCs w:val="20"/>
              </w:rPr>
            </w:pPr>
            <w:r w:rsidRPr="007D2274">
              <w:rPr>
                <w:rFonts w:ascii="Calibri" w:hAnsi="Calibri" w:cs="Calibri"/>
                <w:color w:val="000000"/>
                <w:sz w:val="20"/>
                <w:szCs w:val="20"/>
              </w:rPr>
              <w:t>4.4</w:t>
            </w:r>
          </w:p>
        </w:tc>
        <w:tc>
          <w:tcPr>
            <w:tcW w:w="1276" w:type="dxa"/>
            <w:tcBorders>
              <w:top w:val="nil"/>
              <w:left w:val="nil"/>
              <w:bottom w:val="single" w:sz="4" w:space="0" w:color="auto"/>
              <w:right w:val="nil"/>
            </w:tcBorders>
            <w:vAlign w:val="bottom"/>
          </w:tcPr>
          <w:p w:rsidR="00685BE5" w:rsidRPr="00E3331B" w:rsidRDefault="00685BE5" w:rsidP="00AE4C3A">
            <w:pPr>
              <w:spacing w:before="20" w:after="20"/>
              <w:ind w:right="317"/>
              <w:jc w:val="right"/>
              <w:rPr>
                <w:rFonts w:cstheme="minorHAnsi"/>
                <w:b/>
                <w:sz w:val="20"/>
                <w:szCs w:val="20"/>
              </w:rPr>
            </w:pPr>
            <w:r w:rsidRPr="00E3331B">
              <w:rPr>
                <w:rFonts w:cstheme="minorHAnsi"/>
                <w:b/>
                <w:sz w:val="20"/>
                <w:szCs w:val="20"/>
              </w:rPr>
              <w:t>5.2</w:t>
            </w:r>
          </w:p>
        </w:tc>
      </w:tr>
      <w:tr w:rsidR="00685BE5" w:rsidRPr="00635E24" w:rsidTr="00A5200F">
        <w:tc>
          <w:tcPr>
            <w:tcW w:w="3843" w:type="dxa"/>
            <w:tcBorders>
              <w:top w:val="single" w:sz="4" w:space="0" w:color="auto"/>
              <w:left w:val="nil"/>
              <w:bottom w:val="single" w:sz="4" w:space="0" w:color="auto"/>
              <w:right w:val="nil"/>
            </w:tcBorders>
            <w:shd w:val="clear" w:color="auto" w:fill="auto"/>
            <w:noWrap/>
            <w:vAlign w:val="center"/>
            <w:hideMark/>
          </w:tcPr>
          <w:p w:rsidR="00685BE5" w:rsidRPr="00E3331B" w:rsidRDefault="00685BE5" w:rsidP="004F1EA8">
            <w:pPr>
              <w:spacing w:before="20" w:after="20"/>
              <w:rPr>
                <w:rFonts w:cstheme="minorHAnsi"/>
                <w:b/>
                <w:sz w:val="20"/>
                <w:szCs w:val="20"/>
              </w:rPr>
            </w:pPr>
            <w:r w:rsidRPr="00E3331B">
              <w:rPr>
                <w:rFonts w:cstheme="minorHAnsi"/>
                <w:b/>
                <w:sz w:val="20"/>
                <w:szCs w:val="20"/>
              </w:rPr>
              <w:t>Total</w:t>
            </w:r>
          </w:p>
        </w:tc>
        <w:tc>
          <w:tcPr>
            <w:tcW w:w="1559" w:type="dxa"/>
            <w:tcBorders>
              <w:top w:val="single" w:sz="4" w:space="0" w:color="auto"/>
              <w:left w:val="nil"/>
              <w:bottom w:val="single" w:sz="4" w:space="0" w:color="auto"/>
              <w:right w:val="nil"/>
            </w:tcBorders>
            <w:shd w:val="clear" w:color="auto" w:fill="auto"/>
            <w:noWrap/>
            <w:vAlign w:val="center"/>
          </w:tcPr>
          <w:p w:rsidR="00685BE5" w:rsidRPr="00E3331B" w:rsidRDefault="00685BE5" w:rsidP="004F1EA8">
            <w:pPr>
              <w:spacing w:before="20" w:after="20"/>
              <w:ind w:right="459"/>
              <w:jc w:val="right"/>
              <w:rPr>
                <w:rFonts w:cstheme="minorHAnsi"/>
                <w:b/>
                <w:sz w:val="20"/>
                <w:szCs w:val="20"/>
              </w:rPr>
            </w:pPr>
            <w:r w:rsidRPr="00E3331B">
              <w:rPr>
                <w:rFonts w:ascii="Calibri" w:hAnsi="Calibri" w:cs="Calibri"/>
                <w:b/>
                <w:color w:val="000000"/>
                <w:sz w:val="20"/>
                <w:szCs w:val="20"/>
              </w:rPr>
              <w:t>100</w:t>
            </w:r>
          </w:p>
        </w:tc>
        <w:tc>
          <w:tcPr>
            <w:tcW w:w="1701" w:type="dxa"/>
            <w:tcBorders>
              <w:top w:val="single" w:sz="4" w:space="0" w:color="auto"/>
              <w:left w:val="nil"/>
              <w:bottom w:val="single" w:sz="4" w:space="0" w:color="auto"/>
              <w:right w:val="nil"/>
            </w:tcBorders>
            <w:shd w:val="clear" w:color="auto" w:fill="auto"/>
            <w:noWrap/>
            <w:vAlign w:val="center"/>
          </w:tcPr>
          <w:p w:rsidR="00685BE5" w:rsidRPr="00E3331B" w:rsidRDefault="00685BE5" w:rsidP="004F1EA8">
            <w:pPr>
              <w:tabs>
                <w:tab w:val="decimal" w:pos="742"/>
              </w:tabs>
              <w:spacing w:before="20" w:after="20"/>
              <w:ind w:right="601"/>
              <w:jc w:val="right"/>
              <w:rPr>
                <w:rFonts w:cstheme="minorHAnsi"/>
                <w:b/>
                <w:sz w:val="20"/>
                <w:szCs w:val="20"/>
              </w:rPr>
            </w:pPr>
            <w:r w:rsidRPr="00E3331B">
              <w:rPr>
                <w:rFonts w:ascii="Calibri" w:hAnsi="Calibri" w:cs="Calibri"/>
                <w:b/>
                <w:color w:val="000000"/>
                <w:sz w:val="20"/>
                <w:szCs w:val="20"/>
              </w:rPr>
              <w:t>100</w:t>
            </w:r>
          </w:p>
        </w:tc>
        <w:tc>
          <w:tcPr>
            <w:tcW w:w="1276" w:type="dxa"/>
            <w:tcBorders>
              <w:top w:val="single" w:sz="4" w:space="0" w:color="auto"/>
              <w:left w:val="nil"/>
              <w:bottom w:val="single" w:sz="4" w:space="0" w:color="auto"/>
              <w:right w:val="nil"/>
            </w:tcBorders>
            <w:vAlign w:val="center"/>
          </w:tcPr>
          <w:p w:rsidR="00685BE5" w:rsidRPr="00E3331B" w:rsidRDefault="00685BE5" w:rsidP="004F1EA8">
            <w:pPr>
              <w:spacing w:before="20" w:after="20"/>
              <w:ind w:right="317"/>
              <w:jc w:val="right"/>
              <w:rPr>
                <w:rFonts w:cstheme="minorHAnsi"/>
                <w:b/>
                <w:sz w:val="20"/>
                <w:szCs w:val="20"/>
              </w:rPr>
            </w:pPr>
            <w:r w:rsidRPr="00E3331B">
              <w:rPr>
                <w:rFonts w:cstheme="minorHAnsi"/>
                <w:b/>
                <w:sz w:val="20"/>
                <w:szCs w:val="20"/>
              </w:rPr>
              <w:t>100</w:t>
            </w:r>
          </w:p>
        </w:tc>
      </w:tr>
    </w:tbl>
    <w:p w:rsidR="00685BE5" w:rsidRPr="00E3331B" w:rsidRDefault="00685BE5" w:rsidP="00AE4C3A">
      <w:pPr>
        <w:pStyle w:val="NILSReference"/>
      </w:pPr>
      <w:r w:rsidRPr="00E3331B">
        <w:t>Source: 2014 NDIS DSP outlet survey, Questions B1 and C4.</w:t>
      </w:r>
    </w:p>
    <w:p w:rsidR="00685BE5" w:rsidRDefault="00685BE5" w:rsidP="00AE4C3A">
      <w:pPr>
        <w:pStyle w:val="NILSReference"/>
      </w:pPr>
      <w:r w:rsidRPr="00E3331B">
        <w:t xml:space="preserve">Notes: An outlet is defined as small if it has 18 or </w:t>
      </w:r>
      <w:r>
        <w:t>fewer</w:t>
      </w:r>
      <w:r w:rsidRPr="00E3331B">
        <w:t xml:space="preserve"> employees and as large if it has 19 or more employees. This classification leads to 339 small outlets and 339 large outlets, while 19 outlets did not report their </w:t>
      </w:r>
      <w:r>
        <w:t>size</w:t>
      </w:r>
      <w:r w:rsidRPr="00E3331B">
        <w:t xml:space="preserve">. </w:t>
      </w:r>
    </w:p>
    <w:p w:rsidR="00685BE5" w:rsidRPr="00140B39" w:rsidRDefault="00685BE5" w:rsidP="00367B24">
      <w:pPr>
        <w:pStyle w:val="Heading3"/>
      </w:pPr>
      <w:bookmarkStart w:id="532" w:name="_Toc428279189"/>
      <w:bookmarkStart w:id="533" w:name="_Toc449955037"/>
      <w:r>
        <w:t>4.2.5 Agency, brokered and self-employed</w:t>
      </w:r>
      <w:bookmarkEnd w:id="532"/>
      <w:bookmarkEnd w:id="533"/>
    </w:p>
    <w:p w:rsidR="00685BE5" w:rsidRDefault="00685BE5" w:rsidP="00AE4C3A">
      <w:pPr>
        <w:rPr>
          <w:rFonts w:cstheme="minorHAnsi"/>
        </w:rPr>
      </w:pPr>
      <w:r>
        <w:rPr>
          <w:rFonts w:cstheme="minorHAnsi"/>
        </w:rPr>
        <w:t xml:space="preserve">In addition to those employed directly by outlets, workers may also be sourced from employment agencies (contracted from the agency and the outlet is responsible for their supervision), other disability service providers (contracted from other outlets), or through networks of independent care workers (self-employed workers with their own ABN). These non-PAYG workers are defined here as ‘agency’, ‘brokered’ and ‘self-employed’. These workers augment the employer’s disability services workforce. </w:t>
      </w:r>
    </w:p>
    <w:p w:rsidR="003A37B0" w:rsidRDefault="003A37B0" w:rsidP="00AE4C3A">
      <w:pPr>
        <w:rPr>
          <w:rFonts w:cstheme="minorHAnsi"/>
        </w:rPr>
      </w:pPr>
    </w:p>
    <w:p w:rsidR="00685BE5" w:rsidRDefault="00685BE5" w:rsidP="00AE4C3A">
      <w:pPr>
        <w:rPr>
          <w:rFonts w:cstheme="minorHAnsi"/>
        </w:rPr>
      </w:pPr>
      <w:r>
        <w:rPr>
          <w:rFonts w:cstheme="minorHAnsi"/>
        </w:rPr>
        <w:t>Table 4.13 shows the use of non-PAYG workers by the disability service providers in this sample. As for the earlier sections, information for a particular worker type is reflected within a row.</w:t>
      </w:r>
    </w:p>
    <w:p w:rsidR="003A37B0" w:rsidRDefault="003A37B0" w:rsidP="00AE4C3A">
      <w:pPr>
        <w:rPr>
          <w:rFonts w:cstheme="minorHAnsi"/>
        </w:rPr>
      </w:pPr>
    </w:p>
    <w:p w:rsidR="00685BE5" w:rsidRDefault="00685BE5" w:rsidP="00AE4C3A">
      <w:pPr>
        <w:rPr>
          <w:rFonts w:cstheme="minorHAnsi"/>
          <w:bCs/>
        </w:rPr>
      </w:pPr>
      <w:r>
        <w:rPr>
          <w:rFonts w:cstheme="minorHAnsi"/>
          <w:bCs/>
        </w:rPr>
        <w:t>Although most outlets relied on their own (PAYG) workforce, Table 4.13</w:t>
      </w:r>
      <w:r w:rsidRPr="003675D7">
        <w:rPr>
          <w:rFonts w:cstheme="minorHAnsi"/>
          <w:bCs/>
        </w:rPr>
        <w:t xml:space="preserve"> shows that for a small share of outlets, some alternative employment terms </w:t>
      </w:r>
      <w:r>
        <w:rPr>
          <w:rFonts w:cstheme="minorHAnsi"/>
          <w:bCs/>
        </w:rPr>
        <w:t>we</w:t>
      </w:r>
      <w:r w:rsidRPr="003675D7">
        <w:rPr>
          <w:rFonts w:cstheme="minorHAnsi"/>
          <w:bCs/>
        </w:rPr>
        <w:t xml:space="preserve">re used for workers of certain types. </w:t>
      </w:r>
    </w:p>
    <w:p w:rsidR="003A37B0" w:rsidRDefault="003A37B0" w:rsidP="00AE4C3A">
      <w:pPr>
        <w:rPr>
          <w:rFonts w:cstheme="minorHAnsi"/>
          <w:bCs/>
        </w:rPr>
      </w:pPr>
    </w:p>
    <w:p w:rsidR="00685BE5" w:rsidRDefault="00685BE5" w:rsidP="00AE4C3A">
      <w:pPr>
        <w:rPr>
          <w:rFonts w:cstheme="minorHAnsi"/>
          <w:bCs/>
        </w:rPr>
      </w:pPr>
      <w:r>
        <w:rPr>
          <w:rFonts w:cstheme="minorHAnsi"/>
          <w:bCs/>
        </w:rPr>
        <w:t xml:space="preserve">Across all occupation types, 14 per cent of outlets used agency workers, 11 per cent used self-employed workers, and 8 per cent employed brokered staff. </w:t>
      </w:r>
    </w:p>
    <w:p w:rsidR="003A37B0" w:rsidRDefault="003A37B0" w:rsidP="00AE4C3A">
      <w:pPr>
        <w:rPr>
          <w:rFonts w:cstheme="minorHAnsi"/>
          <w:bCs/>
        </w:rPr>
      </w:pPr>
    </w:p>
    <w:p w:rsidR="00685BE5" w:rsidRDefault="00685BE5">
      <w:pPr>
        <w:rPr>
          <w:rFonts w:cstheme="minorHAnsi"/>
        </w:rPr>
      </w:pPr>
      <w:r>
        <w:rPr>
          <w:rFonts w:cstheme="minorHAnsi"/>
          <w:bCs/>
        </w:rPr>
        <w:t xml:space="preserve">These employment terms were more common for certain types of workers: agency working was used by 9 per cent of outlets for </w:t>
      </w:r>
      <w:r>
        <w:rPr>
          <w:rFonts w:cstheme="minorHAnsi"/>
        </w:rPr>
        <w:t>disability support/r</w:t>
      </w:r>
      <w:r w:rsidRPr="00705D2C">
        <w:rPr>
          <w:rFonts w:cstheme="minorHAnsi"/>
        </w:rPr>
        <w:t>esidential support worker</w:t>
      </w:r>
      <w:r>
        <w:rPr>
          <w:rFonts w:cstheme="minorHAnsi"/>
        </w:rPr>
        <w:t xml:space="preserve"> roles; self-employed allied health workers were reported by 6 per cent of outlets; brokered staff were used by 5 </w:t>
      </w:r>
      <w:r>
        <w:rPr>
          <w:rFonts w:cstheme="minorHAnsi"/>
          <w:bCs/>
        </w:rPr>
        <w:t xml:space="preserve">per cent of outlets for </w:t>
      </w:r>
      <w:r>
        <w:rPr>
          <w:rFonts w:cstheme="minorHAnsi"/>
        </w:rPr>
        <w:t>disability support/r</w:t>
      </w:r>
      <w:r w:rsidRPr="00705D2C">
        <w:rPr>
          <w:rFonts w:cstheme="minorHAnsi"/>
        </w:rPr>
        <w:t>esidential support worker</w:t>
      </w:r>
      <w:r>
        <w:rPr>
          <w:rFonts w:cstheme="minorHAnsi"/>
        </w:rPr>
        <w:t>s and 4 per cent for</w:t>
      </w:r>
      <w:r>
        <w:rPr>
          <w:rFonts w:cstheme="minorHAnsi"/>
          <w:bCs/>
        </w:rPr>
        <w:t xml:space="preserve"> personal care/home workers. </w:t>
      </w:r>
    </w:p>
    <w:p w:rsidR="00685BE5" w:rsidRDefault="00685BE5">
      <w:pPr>
        <w:rPr>
          <w:rFonts w:cstheme="minorHAnsi"/>
        </w:rPr>
        <w:sectPr w:rsidR="00685BE5" w:rsidSect="00AE4C3A">
          <w:footnotePr>
            <w:numStart w:val="2"/>
          </w:footnotePr>
          <w:pgSz w:w="11906" w:h="16838" w:code="9"/>
          <w:pgMar w:top="1418" w:right="1418" w:bottom="1247" w:left="1418" w:header="709" w:footer="709" w:gutter="0"/>
          <w:cols w:space="709"/>
          <w:docGrid w:linePitch="299"/>
        </w:sectPr>
      </w:pPr>
    </w:p>
    <w:p w:rsidR="00685BE5" w:rsidRDefault="00685BE5" w:rsidP="0044684E">
      <w:pPr>
        <w:pStyle w:val="NILSTableHeading"/>
        <w:rPr>
          <w:lang w:val="en-AU"/>
        </w:rPr>
      </w:pPr>
      <w:bookmarkStart w:id="534" w:name="_Toc428279218"/>
      <w:bookmarkStart w:id="535" w:name="_Toc449955349"/>
      <w:r>
        <w:lastRenderedPageBreak/>
        <w:t>Table 4.</w:t>
      </w:r>
      <w:r w:rsidRPr="00705D2C">
        <w:t>1</w:t>
      </w:r>
      <w:r>
        <w:t>3</w:t>
      </w:r>
      <w:r w:rsidRPr="00705D2C">
        <w:t xml:space="preserve">: </w:t>
      </w:r>
      <w:r>
        <w:t>Use</w:t>
      </w:r>
      <w:r w:rsidRPr="00705D2C">
        <w:t xml:space="preserve"> </w:t>
      </w:r>
      <w:r>
        <w:t>of non-PAYG</w:t>
      </w:r>
      <w:r w:rsidR="000664C4">
        <w:t xml:space="preserve"> workers by type of worker (per</w:t>
      </w:r>
      <w:r w:rsidR="00AE6806">
        <w:rPr>
          <w:lang w:val="en-AU"/>
        </w:rPr>
        <w:t xml:space="preserve"> </w:t>
      </w:r>
      <w:r>
        <w:t>cent of outlets)</w:t>
      </w:r>
      <w:bookmarkEnd w:id="534"/>
      <w:bookmarkEnd w:id="535"/>
    </w:p>
    <w:p w:rsidR="00D27E00" w:rsidRPr="00D27E00" w:rsidRDefault="00D27E00" w:rsidP="00D27E00">
      <w:pPr>
        <w:rPr>
          <w:sz w:val="2"/>
          <w:szCs w:val="2"/>
          <w:lang w:val="en-AU"/>
        </w:rPr>
      </w:pPr>
    </w:p>
    <w:tbl>
      <w:tblPr>
        <w:tblW w:w="15368" w:type="dxa"/>
        <w:jc w:val="center"/>
        <w:tblBorders>
          <w:top w:val="single" w:sz="4" w:space="0" w:color="auto"/>
          <w:bottom w:val="single" w:sz="4" w:space="0" w:color="auto"/>
        </w:tblBorders>
        <w:tblLook w:val="04A0" w:firstRow="1" w:lastRow="0" w:firstColumn="1" w:lastColumn="0" w:noHBand="0" w:noVBand="1"/>
        <w:tblCaption w:val="Table 4.13 Use of non-PAYG workers by type of worker (per cent of outlets)"/>
      </w:tblPr>
      <w:tblGrid>
        <w:gridCol w:w="4476"/>
        <w:gridCol w:w="1077"/>
        <w:gridCol w:w="1077"/>
        <w:gridCol w:w="1077"/>
        <w:gridCol w:w="1247"/>
        <w:gridCol w:w="1247"/>
        <w:gridCol w:w="1247"/>
        <w:gridCol w:w="1361"/>
        <w:gridCol w:w="1281"/>
        <w:gridCol w:w="1278"/>
      </w:tblGrid>
      <w:tr w:rsidR="00443F5B" w:rsidRPr="00620F43" w:rsidTr="00D46BC4">
        <w:trPr>
          <w:tblHeader/>
          <w:jc w:val="center"/>
        </w:trPr>
        <w:tc>
          <w:tcPr>
            <w:tcW w:w="4476" w:type="dxa"/>
            <w:tcBorders>
              <w:top w:val="single" w:sz="4" w:space="0" w:color="auto"/>
              <w:bottom w:val="single" w:sz="4" w:space="0" w:color="auto"/>
              <w:right w:val="nil"/>
            </w:tcBorders>
          </w:tcPr>
          <w:p w:rsidR="001B427F" w:rsidRPr="00B907A9" w:rsidRDefault="001B427F" w:rsidP="00AE4C3A">
            <w:pPr>
              <w:spacing w:before="20" w:after="20"/>
              <w:rPr>
                <w:rFonts w:cstheme="minorHAnsi"/>
                <w:sz w:val="20"/>
                <w:szCs w:val="20"/>
              </w:rPr>
            </w:pPr>
            <w:bookmarkStart w:id="536" w:name="Title_4_13"/>
            <w:bookmarkEnd w:id="536"/>
          </w:p>
        </w:tc>
        <w:tc>
          <w:tcPr>
            <w:tcW w:w="1077" w:type="dxa"/>
            <w:tcBorders>
              <w:top w:val="single" w:sz="4" w:space="0" w:color="auto"/>
              <w:left w:val="nil"/>
              <w:bottom w:val="single" w:sz="4" w:space="0" w:color="auto"/>
              <w:right w:val="nil"/>
            </w:tcBorders>
            <w:vAlign w:val="bottom"/>
          </w:tcPr>
          <w:p w:rsidR="001B427F" w:rsidRPr="00620F43" w:rsidRDefault="004F1EA8" w:rsidP="004F1EA8">
            <w:pPr>
              <w:spacing w:before="20" w:after="20"/>
              <w:jc w:val="center"/>
              <w:rPr>
                <w:rFonts w:cstheme="minorHAnsi"/>
                <w:sz w:val="19"/>
                <w:szCs w:val="19"/>
              </w:rPr>
            </w:pPr>
            <w:r w:rsidRPr="00620F43">
              <w:rPr>
                <w:rFonts w:cstheme="minorHAnsi"/>
                <w:sz w:val="19"/>
                <w:szCs w:val="19"/>
              </w:rPr>
              <w:t xml:space="preserve">No </w:t>
            </w:r>
            <w:r w:rsidR="00C51DBF" w:rsidRPr="00620F43">
              <w:rPr>
                <w:rFonts w:cstheme="minorHAnsi"/>
                <w:sz w:val="19"/>
                <w:szCs w:val="19"/>
              </w:rPr>
              <w:t>Agency workers</w:t>
            </w:r>
          </w:p>
        </w:tc>
        <w:tc>
          <w:tcPr>
            <w:tcW w:w="1077" w:type="dxa"/>
            <w:tcBorders>
              <w:top w:val="single" w:sz="4" w:space="0" w:color="auto"/>
              <w:left w:val="nil"/>
              <w:bottom w:val="single" w:sz="4" w:space="0" w:color="auto"/>
              <w:right w:val="nil"/>
            </w:tcBorders>
            <w:vAlign w:val="center"/>
          </w:tcPr>
          <w:p w:rsidR="00C51DBF" w:rsidRPr="00620F43" w:rsidRDefault="00C51DBF" w:rsidP="00017A9E">
            <w:pPr>
              <w:spacing w:before="20" w:after="20"/>
              <w:ind w:left="-83" w:right="-90"/>
              <w:jc w:val="center"/>
              <w:rPr>
                <w:rFonts w:cstheme="minorHAnsi"/>
                <w:sz w:val="19"/>
                <w:szCs w:val="19"/>
              </w:rPr>
            </w:pPr>
            <w:r w:rsidRPr="00620F43">
              <w:rPr>
                <w:rFonts w:cstheme="minorHAnsi"/>
                <w:sz w:val="19"/>
                <w:szCs w:val="19"/>
              </w:rPr>
              <w:t>Agency workers</w:t>
            </w:r>
          </w:p>
          <w:p w:rsidR="001B427F" w:rsidRPr="00443F5B" w:rsidRDefault="001B427F" w:rsidP="00017A9E">
            <w:pPr>
              <w:spacing w:before="20" w:after="20"/>
              <w:ind w:left="-28" w:right="-90"/>
              <w:jc w:val="center"/>
              <w:rPr>
                <w:rFonts w:cstheme="minorHAnsi"/>
                <w:sz w:val="20"/>
                <w:szCs w:val="20"/>
              </w:rPr>
            </w:pPr>
            <w:r w:rsidRPr="00620F43">
              <w:rPr>
                <w:rFonts w:cstheme="minorHAnsi"/>
                <w:sz w:val="19"/>
                <w:szCs w:val="19"/>
              </w:rPr>
              <w:t>1 or more</w:t>
            </w:r>
          </w:p>
        </w:tc>
        <w:tc>
          <w:tcPr>
            <w:tcW w:w="1077" w:type="dxa"/>
            <w:tcBorders>
              <w:top w:val="single" w:sz="4" w:space="0" w:color="auto"/>
              <w:left w:val="nil"/>
              <w:bottom w:val="single" w:sz="4" w:space="0" w:color="auto"/>
              <w:right w:val="nil"/>
            </w:tcBorders>
            <w:vAlign w:val="center"/>
          </w:tcPr>
          <w:p w:rsidR="001B427F" w:rsidRPr="00443F5B" w:rsidRDefault="001B427F" w:rsidP="00D46BC4">
            <w:pPr>
              <w:spacing w:before="20" w:after="20"/>
              <w:ind w:left="-126" w:right="-166"/>
              <w:jc w:val="center"/>
              <w:rPr>
                <w:rFonts w:cstheme="minorHAnsi"/>
                <w:sz w:val="20"/>
                <w:szCs w:val="20"/>
              </w:rPr>
            </w:pPr>
            <w:r w:rsidRPr="00443F5B">
              <w:rPr>
                <w:rFonts w:cstheme="minorHAnsi"/>
                <w:color w:val="FFFFFF" w:themeColor="background1"/>
                <w:sz w:val="10"/>
                <w:szCs w:val="10"/>
              </w:rPr>
              <w:t>Agency workers</w:t>
            </w:r>
            <w:r w:rsidRPr="00443F5B">
              <w:rPr>
                <w:rFonts w:cstheme="minorHAnsi"/>
                <w:color w:val="FFFFFF" w:themeColor="background1"/>
                <w:sz w:val="20"/>
                <w:szCs w:val="20"/>
              </w:rPr>
              <w:t xml:space="preserve"> </w:t>
            </w:r>
            <w:r w:rsidRPr="00620F43">
              <w:rPr>
                <w:rFonts w:cstheme="minorHAnsi"/>
                <w:sz w:val="19"/>
                <w:szCs w:val="19"/>
              </w:rPr>
              <w:t>Question not answered</w:t>
            </w:r>
          </w:p>
        </w:tc>
        <w:tc>
          <w:tcPr>
            <w:tcW w:w="1247" w:type="dxa"/>
            <w:tcBorders>
              <w:top w:val="single" w:sz="4" w:space="0" w:color="auto"/>
              <w:left w:val="nil"/>
              <w:bottom w:val="single" w:sz="4" w:space="0" w:color="auto"/>
              <w:right w:val="nil"/>
            </w:tcBorders>
            <w:vAlign w:val="bottom"/>
          </w:tcPr>
          <w:p w:rsidR="001B427F" w:rsidRPr="00620F43" w:rsidRDefault="004F1EA8" w:rsidP="00D03E14">
            <w:pPr>
              <w:spacing w:before="20" w:after="20"/>
              <w:ind w:left="97" w:right="-103"/>
              <w:jc w:val="center"/>
              <w:rPr>
                <w:rFonts w:cstheme="minorHAnsi"/>
                <w:sz w:val="19"/>
                <w:szCs w:val="19"/>
              </w:rPr>
            </w:pPr>
            <w:r w:rsidRPr="00620F43">
              <w:rPr>
                <w:rFonts w:cstheme="minorHAnsi"/>
                <w:sz w:val="19"/>
                <w:szCs w:val="19"/>
              </w:rPr>
              <w:t xml:space="preserve">No </w:t>
            </w:r>
            <w:r w:rsidR="00C51DBF" w:rsidRPr="00620F43">
              <w:rPr>
                <w:rFonts w:cstheme="minorHAnsi"/>
                <w:sz w:val="19"/>
                <w:szCs w:val="19"/>
              </w:rPr>
              <w:t>Brokered workers</w:t>
            </w:r>
          </w:p>
        </w:tc>
        <w:tc>
          <w:tcPr>
            <w:tcW w:w="1247" w:type="dxa"/>
            <w:tcBorders>
              <w:top w:val="single" w:sz="4" w:space="0" w:color="auto"/>
              <w:left w:val="nil"/>
              <w:bottom w:val="single" w:sz="4" w:space="0" w:color="auto"/>
              <w:right w:val="nil"/>
            </w:tcBorders>
            <w:vAlign w:val="center"/>
          </w:tcPr>
          <w:p w:rsidR="00C51DBF" w:rsidRPr="00BE6A61" w:rsidRDefault="00C51DBF" w:rsidP="00BE6A61">
            <w:pPr>
              <w:spacing w:before="20" w:after="20"/>
              <w:jc w:val="center"/>
              <w:rPr>
                <w:rFonts w:cstheme="minorHAnsi"/>
                <w:sz w:val="19"/>
                <w:szCs w:val="19"/>
              </w:rPr>
            </w:pPr>
            <w:r w:rsidRPr="00BE6A61">
              <w:rPr>
                <w:rFonts w:cstheme="minorHAnsi"/>
                <w:sz w:val="19"/>
                <w:szCs w:val="19"/>
              </w:rPr>
              <w:t>Brokered workers</w:t>
            </w:r>
          </w:p>
          <w:p w:rsidR="001B427F" w:rsidRPr="00443F5B" w:rsidRDefault="001B427F" w:rsidP="00BE6A61">
            <w:pPr>
              <w:spacing w:before="20" w:after="20"/>
              <w:jc w:val="center"/>
              <w:rPr>
                <w:rFonts w:cstheme="minorHAnsi"/>
                <w:sz w:val="20"/>
                <w:szCs w:val="20"/>
              </w:rPr>
            </w:pPr>
            <w:r w:rsidRPr="00BE6A61">
              <w:rPr>
                <w:rFonts w:cstheme="minorHAnsi"/>
                <w:sz w:val="19"/>
                <w:szCs w:val="19"/>
              </w:rPr>
              <w:t>1 or more</w:t>
            </w:r>
          </w:p>
        </w:tc>
        <w:tc>
          <w:tcPr>
            <w:tcW w:w="1247" w:type="dxa"/>
            <w:tcBorders>
              <w:top w:val="single" w:sz="4" w:space="0" w:color="auto"/>
              <w:left w:val="nil"/>
              <w:bottom w:val="single" w:sz="4" w:space="0" w:color="auto"/>
              <w:right w:val="nil"/>
            </w:tcBorders>
            <w:vAlign w:val="bottom"/>
          </w:tcPr>
          <w:p w:rsidR="001B427F" w:rsidRPr="00443F5B" w:rsidRDefault="001B427F" w:rsidP="00D46BC4">
            <w:pPr>
              <w:spacing w:before="20" w:after="20"/>
              <w:ind w:left="-134"/>
              <w:jc w:val="center"/>
              <w:rPr>
                <w:rFonts w:cstheme="minorHAnsi"/>
                <w:sz w:val="20"/>
                <w:szCs w:val="20"/>
              </w:rPr>
            </w:pPr>
            <w:r w:rsidRPr="00443F5B">
              <w:rPr>
                <w:rFonts w:cstheme="minorHAnsi"/>
                <w:color w:val="FFFFFF" w:themeColor="background1"/>
                <w:sz w:val="10"/>
                <w:szCs w:val="10"/>
              </w:rPr>
              <w:t xml:space="preserve">Brokered workers </w:t>
            </w:r>
            <w:r w:rsidRPr="00620F43">
              <w:rPr>
                <w:rFonts w:cstheme="minorHAnsi"/>
                <w:sz w:val="19"/>
                <w:szCs w:val="19"/>
              </w:rPr>
              <w:t>Question not answered</w:t>
            </w:r>
          </w:p>
        </w:tc>
        <w:tc>
          <w:tcPr>
            <w:tcW w:w="1361" w:type="dxa"/>
            <w:tcBorders>
              <w:top w:val="single" w:sz="4" w:space="0" w:color="auto"/>
              <w:left w:val="nil"/>
              <w:bottom w:val="single" w:sz="4" w:space="0" w:color="auto"/>
              <w:right w:val="nil"/>
            </w:tcBorders>
            <w:vAlign w:val="bottom"/>
          </w:tcPr>
          <w:p w:rsidR="004F1EA8" w:rsidRPr="00620F43" w:rsidRDefault="004F1EA8" w:rsidP="00667B53">
            <w:pPr>
              <w:spacing w:before="20" w:after="20"/>
              <w:ind w:left="-87" w:right="-25"/>
              <w:jc w:val="center"/>
              <w:rPr>
                <w:rFonts w:cstheme="minorHAnsi"/>
                <w:sz w:val="19"/>
                <w:szCs w:val="19"/>
              </w:rPr>
            </w:pPr>
            <w:r w:rsidRPr="00620F43">
              <w:rPr>
                <w:rFonts w:cstheme="minorHAnsi"/>
                <w:sz w:val="19"/>
                <w:szCs w:val="19"/>
              </w:rPr>
              <w:t>No</w:t>
            </w:r>
          </w:p>
          <w:p w:rsidR="001B427F" w:rsidRPr="00443F5B" w:rsidRDefault="00C51DBF" w:rsidP="00667B53">
            <w:pPr>
              <w:spacing w:before="20" w:after="20"/>
              <w:ind w:left="54" w:right="-25" w:hanging="54"/>
              <w:jc w:val="center"/>
              <w:rPr>
                <w:rFonts w:cstheme="minorHAnsi"/>
                <w:sz w:val="20"/>
                <w:szCs w:val="20"/>
              </w:rPr>
            </w:pPr>
            <w:r w:rsidRPr="00620F43">
              <w:rPr>
                <w:rFonts w:cstheme="minorHAnsi"/>
                <w:sz w:val="19"/>
                <w:szCs w:val="19"/>
              </w:rPr>
              <w:t>Self-employed</w:t>
            </w:r>
          </w:p>
        </w:tc>
        <w:tc>
          <w:tcPr>
            <w:tcW w:w="1281" w:type="dxa"/>
            <w:tcBorders>
              <w:top w:val="single" w:sz="4" w:space="0" w:color="auto"/>
              <w:left w:val="nil"/>
              <w:bottom w:val="single" w:sz="4" w:space="0" w:color="auto"/>
              <w:right w:val="nil"/>
            </w:tcBorders>
            <w:vAlign w:val="bottom"/>
          </w:tcPr>
          <w:p w:rsidR="000C2915" w:rsidRDefault="00C51DBF" w:rsidP="000C2915">
            <w:pPr>
              <w:spacing w:before="20" w:after="20"/>
              <w:ind w:left="-116" w:right="-108"/>
              <w:jc w:val="center"/>
              <w:rPr>
                <w:rFonts w:cstheme="minorHAnsi"/>
                <w:sz w:val="19"/>
                <w:szCs w:val="19"/>
              </w:rPr>
            </w:pPr>
            <w:r w:rsidRPr="00620F43">
              <w:rPr>
                <w:rFonts w:cstheme="minorHAnsi"/>
                <w:sz w:val="19"/>
                <w:szCs w:val="19"/>
              </w:rPr>
              <w:t>Self-employed</w:t>
            </w:r>
          </w:p>
          <w:p w:rsidR="001B427F" w:rsidRPr="00443F5B" w:rsidRDefault="001B427F" w:rsidP="000C2915">
            <w:pPr>
              <w:spacing w:before="20" w:after="20"/>
              <w:ind w:left="-116" w:right="-108"/>
              <w:jc w:val="center"/>
              <w:rPr>
                <w:rFonts w:cstheme="minorHAnsi"/>
                <w:sz w:val="20"/>
                <w:szCs w:val="20"/>
              </w:rPr>
            </w:pPr>
            <w:r w:rsidRPr="00620F43">
              <w:rPr>
                <w:rFonts w:cstheme="minorHAnsi"/>
                <w:sz w:val="19"/>
                <w:szCs w:val="19"/>
              </w:rPr>
              <w:t>1 or more</w:t>
            </w:r>
          </w:p>
        </w:tc>
        <w:tc>
          <w:tcPr>
            <w:tcW w:w="1278" w:type="dxa"/>
            <w:tcBorders>
              <w:top w:val="single" w:sz="4" w:space="0" w:color="auto"/>
              <w:left w:val="nil"/>
              <w:bottom w:val="single" w:sz="4" w:space="0" w:color="auto"/>
            </w:tcBorders>
            <w:vAlign w:val="bottom"/>
          </w:tcPr>
          <w:p w:rsidR="001B427F" w:rsidRPr="00620F43" w:rsidRDefault="001B427F" w:rsidP="00D37056">
            <w:pPr>
              <w:spacing w:before="20" w:after="20"/>
              <w:ind w:left="-127" w:right="-78"/>
              <w:jc w:val="center"/>
              <w:rPr>
                <w:rFonts w:cstheme="minorHAnsi"/>
                <w:sz w:val="20"/>
                <w:szCs w:val="20"/>
                <w:highlight w:val="red"/>
              </w:rPr>
            </w:pPr>
            <w:r w:rsidRPr="00620F43">
              <w:rPr>
                <w:rFonts w:cstheme="minorHAnsi"/>
                <w:color w:val="FFFFFF" w:themeColor="background1"/>
                <w:sz w:val="10"/>
                <w:szCs w:val="10"/>
              </w:rPr>
              <w:t>Self-employed</w:t>
            </w:r>
            <w:r w:rsidR="00620F43" w:rsidRPr="00620F43">
              <w:rPr>
                <w:rFonts w:cstheme="minorHAnsi"/>
                <w:color w:val="FFFFFF" w:themeColor="background1"/>
                <w:sz w:val="20"/>
                <w:szCs w:val="20"/>
              </w:rPr>
              <w:t xml:space="preserve"> </w:t>
            </w:r>
            <w:r w:rsidRPr="00620F43">
              <w:rPr>
                <w:rFonts w:cstheme="minorHAnsi"/>
                <w:sz w:val="19"/>
                <w:szCs w:val="19"/>
              </w:rPr>
              <w:t>Question not answered</w:t>
            </w:r>
          </w:p>
        </w:tc>
      </w:tr>
      <w:tr w:rsidR="00017A9E" w:rsidRPr="00B90E88" w:rsidTr="00D46BC4">
        <w:trPr>
          <w:trHeight w:val="340"/>
          <w:jc w:val="center"/>
        </w:trPr>
        <w:tc>
          <w:tcPr>
            <w:tcW w:w="4476" w:type="dxa"/>
            <w:tcBorders>
              <w:top w:val="single" w:sz="4" w:space="0" w:color="auto"/>
              <w:bottom w:val="nil"/>
            </w:tcBorders>
          </w:tcPr>
          <w:p w:rsidR="001B427F" w:rsidRPr="00B907A9" w:rsidRDefault="001B427F" w:rsidP="00C51DBF">
            <w:pPr>
              <w:spacing w:before="20" w:after="20"/>
              <w:ind w:right="-108"/>
              <w:rPr>
                <w:rFonts w:cstheme="minorHAnsi"/>
                <w:sz w:val="19"/>
                <w:szCs w:val="19"/>
              </w:rPr>
            </w:pPr>
            <w:r w:rsidRPr="00B907A9">
              <w:rPr>
                <w:rFonts w:cstheme="minorHAnsi"/>
                <w:sz w:val="19"/>
                <w:szCs w:val="19"/>
              </w:rPr>
              <w:t>Disability support/residential support worker</w:t>
            </w:r>
          </w:p>
        </w:tc>
        <w:tc>
          <w:tcPr>
            <w:tcW w:w="1077" w:type="dxa"/>
            <w:tcBorders>
              <w:top w:val="single" w:sz="4" w:space="0" w:color="auto"/>
              <w:bottom w:val="nil"/>
              <w:right w:val="single" w:sz="8" w:space="0" w:color="FFFFFF" w:themeColor="background1"/>
            </w:tcBorders>
            <w:shd w:val="clear" w:color="auto" w:fill="F2F2F2" w:themeFill="background1" w:themeFillShade="F2"/>
            <w:vAlign w:val="center"/>
          </w:tcPr>
          <w:p w:rsidR="001B427F" w:rsidRPr="00B907A9" w:rsidRDefault="001B427F" w:rsidP="003A2DCE">
            <w:pPr>
              <w:tabs>
                <w:tab w:val="decimal" w:pos="470"/>
              </w:tabs>
              <w:spacing w:before="20" w:after="20"/>
              <w:rPr>
                <w:rFonts w:cstheme="minorHAnsi"/>
                <w:sz w:val="19"/>
                <w:szCs w:val="19"/>
              </w:rPr>
            </w:pPr>
            <w:r w:rsidRPr="00B907A9">
              <w:rPr>
                <w:rFonts w:cstheme="minorHAnsi"/>
                <w:sz w:val="19"/>
                <w:szCs w:val="19"/>
              </w:rPr>
              <w:t>69.2</w:t>
            </w:r>
          </w:p>
        </w:tc>
        <w:tc>
          <w:tcPr>
            <w:tcW w:w="1077" w:type="dxa"/>
            <w:tcBorders>
              <w:top w:val="single" w:sz="4" w:space="0" w:color="auto"/>
              <w:left w:val="single" w:sz="8" w:space="0" w:color="FFFFFF" w:themeColor="background1"/>
              <w:bottom w:val="nil"/>
              <w:right w:val="single" w:sz="8" w:space="0" w:color="FFFFFF" w:themeColor="background1"/>
            </w:tcBorders>
            <w:shd w:val="clear" w:color="auto" w:fill="F2F2F2" w:themeFill="background1" w:themeFillShade="F2"/>
            <w:vAlign w:val="center"/>
          </w:tcPr>
          <w:p w:rsidR="001B427F" w:rsidRPr="00B907A9" w:rsidRDefault="001B427F" w:rsidP="00F35789">
            <w:pPr>
              <w:spacing w:before="20" w:after="20"/>
              <w:ind w:right="284"/>
              <w:jc w:val="right"/>
              <w:rPr>
                <w:rFonts w:cstheme="minorHAnsi"/>
                <w:sz w:val="19"/>
                <w:szCs w:val="19"/>
              </w:rPr>
            </w:pPr>
            <w:r w:rsidRPr="00B907A9">
              <w:rPr>
                <w:rFonts w:cstheme="minorHAnsi"/>
                <w:sz w:val="19"/>
                <w:szCs w:val="19"/>
              </w:rPr>
              <w:t>9.2</w:t>
            </w:r>
          </w:p>
        </w:tc>
        <w:tc>
          <w:tcPr>
            <w:tcW w:w="1077" w:type="dxa"/>
            <w:tcBorders>
              <w:top w:val="single" w:sz="4" w:space="0" w:color="auto"/>
              <w:left w:val="single" w:sz="8" w:space="0" w:color="FFFFFF" w:themeColor="background1"/>
              <w:bottom w:val="nil"/>
              <w:right w:val="nil"/>
            </w:tcBorders>
            <w:shd w:val="clear" w:color="auto" w:fill="F2F2F2" w:themeFill="background1" w:themeFillShade="F2"/>
            <w:vAlign w:val="center"/>
          </w:tcPr>
          <w:p w:rsidR="001B427F" w:rsidRPr="00B907A9" w:rsidRDefault="001B427F" w:rsidP="00F35789">
            <w:pPr>
              <w:spacing w:before="20" w:after="20"/>
              <w:ind w:right="227"/>
              <w:jc w:val="right"/>
              <w:rPr>
                <w:rFonts w:cstheme="minorHAnsi"/>
                <w:sz w:val="19"/>
                <w:szCs w:val="19"/>
              </w:rPr>
            </w:pPr>
            <w:r w:rsidRPr="00B907A9">
              <w:rPr>
                <w:rFonts w:cstheme="minorHAnsi"/>
                <w:sz w:val="19"/>
                <w:szCs w:val="19"/>
              </w:rPr>
              <w:t>21.7</w:t>
            </w:r>
          </w:p>
        </w:tc>
        <w:tc>
          <w:tcPr>
            <w:tcW w:w="1247" w:type="dxa"/>
            <w:tcBorders>
              <w:top w:val="single" w:sz="4" w:space="0" w:color="auto"/>
              <w:left w:val="nil"/>
              <w:bottom w:val="nil"/>
            </w:tcBorders>
            <w:vAlign w:val="center"/>
          </w:tcPr>
          <w:p w:rsidR="001B427F" w:rsidRPr="00B907A9" w:rsidRDefault="001B427F" w:rsidP="00D03E14">
            <w:pPr>
              <w:spacing w:before="20" w:after="20"/>
              <w:ind w:left="97" w:right="175"/>
              <w:jc w:val="right"/>
              <w:rPr>
                <w:rFonts w:cstheme="minorHAnsi"/>
                <w:sz w:val="19"/>
                <w:szCs w:val="19"/>
              </w:rPr>
            </w:pPr>
            <w:r w:rsidRPr="00B907A9">
              <w:rPr>
                <w:rFonts w:cstheme="minorHAnsi"/>
                <w:sz w:val="19"/>
                <w:szCs w:val="19"/>
              </w:rPr>
              <w:t>71.9</w:t>
            </w:r>
          </w:p>
        </w:tc>
        <w:tc>
          <w:tcPr>
            <w:tcW w:w="1247" w:type="dxa"/>
            <w:tcBorders>
              <w:top w:val="single" w:sz="4" w:space="0" w:color="auto"/>
              <w:bottom w:val="nil"/>
            </w:tcBorders>
            <w:vAlign w:val="center"/>
          </w:tcPr>
          <w:p w:rsidR="001B427F" w:rsidRPr="00B907A9" w:rsidRDefault="001B427F" w:rsidP="00622E6D">
            <w:pPr>
              <w:spacing w:before="20" w:after="20"/>
              <w:ind w:right="397"/>
              <w:jc w:val="right"/>
              <w:rPr>
                <w:rFonts w:cstheme="minorHAnsi"/>
                <w:sz w:val="19"/>
                <w:szCs w:val="19"/>
              </w:rPr>
            </w:pPr>
            <w:r w:rsidRPr="00B907A9">
              <w:rPr>
                <w:rFonts w:cstheme="minorHAnsi"/>
                <w:sz w:val="19"/>
                <w:szCs w:val="19"/>
              </w:rPr>
              <w:t>4.7</w:t>
            </w:r>
          </w:p>
        </w:tc>
        <w:tc>
          <w:tcPr>
            <w:tcW w:w="1247" w:type="dxa"/>
            <w:tcBorders>
              <w:top w:val="single" w:sz="4" w:space="0" w:color="auto"/>
              <w:bottom w:val="nil"/>
              <w:right w:val="nil"/>
            </w:tcBorders>
          </w:tcPr>
          <w:p w:rsidR="001B427F" w:rsidRPr="00B907A9" w:rsidRDefault="001B427F" w:rsidP="00622E6D">
            <w:pPr>
              <w:tabs>
                <w:tab w:val="decimal" w:pos="438"/>
              </w:tabs>
              <w:spacing w:before="20" w:after="20"/>
              <w:rPr>
                <w:rFonts w:cstheme="minorHAnsi"/>
                <w:sz w:val="19"/>
                <w:szCs w:val="19"/>
              </w:rPr>
            </w:pPr>
            <w:r w:rsidRPr="00B907A9">
              <w:rPr>
                <w:rFonts w:cstheme="minorHAnsi"/>
                <w:sz w:val="19"/>
                <w:szCs w:val="19"/>
              </w:rPr>
              <w:t>23.4</w:t>
            </w:r>
          </w:p>
        </w:tc>
        <w:tc>
          <w:tcPr>
            <w:tcW w:w="1361" w:type="dxa"/>
            <w:tcBorders>
              <w:top w:val="single" w:sz="4" w:space="0" w:color="auto"/>
              <w:left w:val="nil"/>
              <w:bottom w:val="nil"/>
              <w:right w:val="single" w:sz="8" w:space="0" w:color="FFFFFF" w:themeColor="background1"/>
            </w:tcBorders>
            <w:shd w:val="clear" w:color="auto" w:fill="F2F2F2" w:themeFill="background1" w:themeFillShade="F2"/>
            <w:vAlign w:val="center"/>
          </w:tcPr>
          <w:p w:rsidR="001B427F" w:rsidRPr="00B907A9" w:rsidRDefault="001B427F" w:rsidP="00BE6A61">
            <w:pPr>
              <w:spacing w:before="20" w:after="20"/>
              <w:ind w:right="325"/>
              <w:jc w:val="right"/>
              <w:rPr>
                <w:rFonts w:cstheme="minorHAnsi"/>
                <w:sz w:val="19"/>
                <w:szCs w:val="19"/>
              </w:rPr>
            </w:pPr>
            <w:r w:rsidRPr="00B907A9">
              <w:rPr>
                <w:rFonts w:cstheme="minorHAnsi"/>
                <w:sz w:val="19"/>
                <w:szCs w:val="19"/>
              </w:rPr>
              <w:t>74.0</w:t>
            </w:r>
          </w:p>
        </w:tc>
        <w:tc>
          <w:tcPr>
            <w:tcW w:w="1281" w:type="dxa"/>
            <w:tcBorders>
              <w:top w:val="single" w:sz="4" w:space="0" w:color="auto"/>
              <w:left w:val="single" w:sz="8" w:space="0" w:color="FFFFFF" w:themeColor="background1"/>
              <w:bottom w:val="nil"/>
              <w:right w:val="single" w:sz="8" w:space="0" w:color="FFFFFF" w:themeColor="background1"/>
            </w:tcBorders>
            <w:shd w:val="clear" w:color="auto" w:fill="F2F2F2" w:themeFill="background1" w:themeFillShade="F2"/>
          </w:tcPr>
          <w:p w:rsidR="001B427F" w:rsidRPr="00B907A9" w:rsidRDefault="001B427F" w:rsidP="0097613D">
            <w:pPr>
              <w:tabs>
                <w:tab w:val="decimal" w:pos="571"/>
              </w:tabs>
              <w:spacing w:before="20" w:after="20"/>
              <w:rPr>
                <w:rFonts w:cstheme="minorHAnsi"/>
                <w:sz w:val="19"/>
                <w:szCs w:val="19"/>
              </w:rPr>
            </w:pPr>
            <w:r w:rsidRPr="00B907A9">
              <w:rPr>
                <w:rFonts w:cstheme="minorHAnsi"/>
                <w:sz w:val="19"/>
                <w:szCs w:val="19"/>
              </w:rPr>
              <w:t>1.9</w:t>
            </w:r>
          </w:p>
        </w:tc>
        <w:tc>
          <w:tcPr>
            <w:tcW w:w="1278" w:type="dxa"/>
            <w:tcBorders>
              <w:top w:val="single" w:sz="4" w:space="0" w:color="auto"/>
              <w:left w:val="single" w:sz="8" w:space="0" w:color="FFFFFF" w:themeColor="background1"/>
              <w:bottom w:val="nil"/>
            </w:tcBorders>
            <w:shd w:val="clear" w:color="auto" w:fill="F2F2F2" w:themeFill="background1" w:themeFillShade="F2"/>
          </w:tcPr>
          <w:p w:rsidR="001B427F" w:rsidRPr="00B907A9" w:rsidRDefault="001B427F" w:rsidP="00BE6A61">
            <w:pPr>
              <w:tabs>
                <w:tab w:val="decimal" w:pos="591"/>
              </w:tabs>
              <w:spacing w:before="20" w:after="20"/>
              <w:ind w:right="-78"/>
              <w:rPr>
                <w:rFonts w:cstheme="minorHAnsi"/>
                <w:sz w:val="19"/>
                <w:szCs w:val="19"/>
              </w:rPr>
            </w:pPr>
            <w:r w:rsidRPr="00B907A9">
              <w:rPr>
                <w:rFonts w:cstheme="minorHAnsi"/>
                <w:sz w:val="19"/>
                <w:szCs w:val="19"/>
              </w:rPr>
              <w:t>24.1</w:t>
            </w:r>
          </w:p>
        </w:tc>
      </w:tr>
      <w:tr w:rsidR="00017A9E" w:rsidRPr="00B90E88" w:rsidTr="00D46BC4">
        <w:trPr>
          <w:trHeight w:val="340"/>
          <w:jc w:val="center"/>
        </w:trPr>
        <w:tc>
          <w:tcPr>
            <w:tcW w:w="4476" w:type="dxa"/>
            <w:tcBorders>
              <w:top w:val="nil"/>
            </w:tcBorders>
          </w:tcPr>
          <w:p w:rsidR="001B427F" w:rsidRPr="00B907A9" w:rsidRDefault="001B427F" w:rsidP="00AE4C3A">
            <w:pPr>
              <w:spacing w:before="20" w:after="20"/>
              <w:rPr>
                <w:rFonts w:cstheme="minorHAnsi"/>
                <w:sz w:val="19"/>
                <w:szCs w:val="19"/>
              </w:rPr>
            </w:pPr>
            <w:r w:rsidRPr="00B907A9">
              <w:rPr>
                <w:rFonts w:cstheme="minorHAnsi"/>
                <w:sz w:val="19"/>
                <w:szCs w:val="19"/>
              </w:rPr>
              <w:t>Personal care/home care worker</w:t>
            </w:r>
          </w:p>
        </w:tc>
        <w:tc>
          <w:tcPr>
            <w:tcW w:w="1077" w:type="dxa"/>
            <w:tcBorders>
              <w:top w:val="nil"/>
              <w:right w:val="single" w:sz="8" w:space="0" w:color="FFFFFF" w:themeColor="background1"/>
            </w:tcBorders>
            <w:shd w:val="clear" w:color="auto" w:fill="F2F2F2" w:themeFill="background1" w:themeFillShade="F2"/>
            <w:vAlign w:val="center"/>
          </w:tcPr>
          <w:p w:rsidR="001B427F" w:rsidRPr="00B907A9" w:rsidRDefault="001B427F" w:rsidP="003A2DCE">
            <w:pPr>
              <w:tabs>
                <w:tab w:val="decimal" w:pos="470"/>
              </w:tabs>
              <w:spacing w:before="20" w:after="20"/>
              <w:rPr>
                <w:rFonts w:cstheme="minorHAnsi"/>
                <w:sz w:val="19"/>
                <w:szCs w:val="19"/>
              </w:rPr>
            </w:pPr>
            <w:r w:rsidRPr="00B907A9">
              <w:rPr>
                <w:rFonts w:cstheme="minorHAnsi"/>
                <w:sz w:val="19"/>
                <w:szCs w:val="19"/>
              </w:rPr>
              <w:t>70.6</w:t>
            </w:r>
          </w:p>
        </w:tc>
        <w:tc>
          <w:tcPr>
            <w:tcW w:w="1077" w:type="dxa"/>
            <w:tcBorders>
              <w:top w:val="nil"/>
              <w:left w:val="single" w:sz="8" w:space="0" w:color="FFFFFF" w:themeColor="background1"/>
              <w:right w:val="single" w:sz="8" w:space="0" w:color="FFFFFF" w:themeColor="background1"/>
            </w:tcBorders>
            <w:shd w:val="clear" w:color="auto" w:fill="F2F2F2" w:themeFill="background1" w:themeFillShade="F2"/>
            <w:vAlign w:val="center"/>
          </w:tcPr>
          <w:p w:rsidR="001B427F" w:rsidRPr="00B907A9" w:rsidRDefault="001B427F" w:rsidP="00F35789">
            <w:pPr>
              <w:spacing w:before="20" w:after="20"/>
              <w:ind w:right="284"/>
              <w:jc w:val="right"/>
              <w:rPr>
                <w:rFonts w:cstheme="minorHAnsi"/>
                <w:sz w:val="19"/>
                <w:szCs w:val="19"/>
              </w:rPr>
            </w:pPr>
            <w:r w:rsidRPr="00B907A9">
              <w:rPr>
                <w:rFonts w:cstheme="minorHAnsi"/>
                <w:sz w:val="19"/>
                <w:szCs w:val="19"/>
              </w:rPr>
              <w:t>3.7</w:t>
            </w:r>
          </w:p>
        </w:tc>
        <w:tc>
          <w:tcPr>
            <w:tcW w:w="1077" w:type="dxa"/>
            <w:tcBorders>
              <w:top w:val="nil"/>
              <w:left w:val="single" w:sz="8" w:space="0" w:color="FFFFFF" w:themeColor="background1"/>
              <w:right w:val="nil"/>
            </w:tcBorders>
            <w:shd w:val="clear" w:color="auto" w:fill="F2F2F2" w:themeFill="background1" w:themeFillShade="F2"/>
            <w:vAlign w:val="center"/>
          </w:tcPr>
          <w:p w:rsidR="001B427F" w:rsidRPr="00B907A9" w:rsidRDefault="001B427F" w:rsidP="00F35789">
            <w:pPr>
              <w:spacing w:before="20" w:after="20"/>
              <w:ind w:right="227"/>
              <w:jc w:val="right"/>
              <w:rPr>
                <w:rFonts w:cstheme="minorHAnsi"/>
                <w:sz w:val="19"/>
                <w:szCs w:val="19"/>
              </w:rPr>
            </w:pPr>
            <w:r w:rsidRPr="00B907A9">
              <w:rPr>
                <w:rFonts w:cstheme="minorHAnsi"/>
                <w:sz w:val="19"/>
                <w:szCs w:val="19"/>
              </w:rPr>
              <w:t>25.7</w:t>
            </w:r>
          </w:p>
        </w:tc>
        <w:tc>
          <w:tcPr>
            <w:tcW w:w="1247" w:type="dxa"/>
            <w:tcBorders>
              <w:top w:val="nil"/>
              <w:left w:val="nil"/>
            </w:tcBorders>
            <w:vAlign w:val="center"/>
          </w:tcPr>
          <w:p w:rsidR="001B427F" w:rsidRPr="00B907A9" w:rsidRDefault="001B427F" w:rsidP="00D03E14">
            <w:pPr>
              <w:spacing w:before="20" w:after="20"/>
              <w:ind w:left="97" w:right="175"/>
              <w:jc w:val="right"/>
              <w:rPr>
                <w:rFonts w:cstheme="minorHAnsi"/>
                <w:sz w:val="19"/>
                <w:szCs w:val="19"/>
              </w:rPr>
            </w:pPr>
            <w:r w:rsidRPr="00B907A9">
              <w:rPr>
                <w:rFonts w:cstheme="minorHAnsi"/>
                <w:sz w:val="19"/>
                <w:szCs w:val="19"/>
              </w:rPr>
              <w:t>68.6</w:t>
            </w:r>
          </w:p>
        </w:tc>
        <w:tc>
          <w:tcPr>
            <w:tcW w:w="1247" w:type="dxa"/>
            <w:tcBorders>
              <w:top w:val="nil"/>
            </w:tcBorders>
            <w:vAlign w:val="center"/>
          </w:tcPr>
          <w:p w:rsidR="001B427F" w:rsidRPr="00B907A9" w:rsidRDefault="001B427F" w:rsidP="00622E6D">
            <w:pPr>
              <w:spacing w:before="20" w:after="20"/>
              <w:ind w:right="397"/>
              <w:jc w:val="right"/>
              <w:rPr>
                <w:rFonts w:cstheme="minorHAnsi"/>
                <w:sz w:val="19"/>
                <w:szCs w:val="19"/>
              </w:rPr>
            </w:pPr>
            <w:r w:rsidRPr="00B907A9">
              <w:rPr>
                <w:rFonts w:cstheme="minorHAnsi"/>
                <w:sz w:val="19"/>
                <w:szCs w:val="19"/>
              </w:rPr>
              <w:t>4.2</w:t>
            </w:r>
          </w:p>
        </w:tc>
        <w:tc>
          <w:tcPr>
            <w:tcW w:w="1247" w:type="dxa"/>
            <w:tcBorders>
              <w:top w:val="nil"/>
              <w:right w:val="nil"/>
            </w:tcBorders>
            <w:vAlign w:val="bottom"/>
          </w:tcPr>
          <w:p w:rsidR="001B427F" w:rsidRPr="00B907A9" w:rsidRDefault="001B427F" w:rsidP="00622E6D">
            <w:pPr>
              <w:tabs>
                <w:tab w:val="decimal" w:pos="438"/>
              </w:tabs>
              <w:spacing w:before="20" w:after="20"/>
              <w:rPr>
                <w:rFonts w:cstheme="minorHAnsi"/>
                <w:sz w:val="19"/>
                <w:szCs w:val="19"/>
              </w:rPr>
            </w:pPr>
            <w:r w:rsidRPr="00B907A9">
              <w:rPr>
                <w:rFonts w:cstheme="minorHAnsi"/>
                <w:sz w:val="19"/>
                <w:szCs w:val="19"/>
              </w:rPr>
              <w:t>27.3</w:t>
            </w:r>
          </w:p>
        </w:tc>
        <w:tc>
          <w:tcPr>
            <w:tcW w:w="1361" w:type="dxa"/>
            <w:tcBorders>
              <w:top w:val="nil"/>
              <w:left w:val="nil"/>
              <w:right w:val="single" w:sz="8" w:space="0" w:color="FFFFFF" w:themeColor="background1"/>
            </w:tcBorders>
            <w:shd w:val="clear" w:color="auto" w:fill="F2F2F2" w:themeFill="background1" w:themeFillShade="F2"/>
            <w:vAlign w:val="center"/>
          </w:tcPr>
          <w:p w:rsidR="001B427F" w:rsidRPr="00B907A9" w:rsidRDefault="001B427F" w:rsidP="00BE6A61">
            <w:pPr>
              <w:spacing w:before="20" w:after="20"/>
              <w:ind w:right="325"/>
              <w:jc w:val="right"/>
              <w:rPr>
                <w:rFonts w:cstheme="minorHAnsi"/>
                <w:sz w:val="19"/>
                <w:szCs w:val="19"/>
              </w:rPr>
            </w:pPr>
            <w:r w:rsidRPr="00B907A9">
              <w:rPr>
                <w:rFonts w:cstheme="minorHAnsi"/>
                <w:sz w:val="19"/>
                <w:szCs w:val="19"/>
              </w:rPr>
              <w:t>71.7</w:t>
            </w:r>
          </w:p>
        </w:tc>
        <w:tc>
          <w:tcPr>
            <w:tcW w:w="1281" w:type="dxa"/>
            <w:tcBorders>
              <w:top w:val="nil"/>
              <w:left w:val="single" w:sz="8" w:space="0" w:color="FFFFFF" w:themeColor="background1"/>
              <w:right w:val="single" w:sz="8" w:space="0" w:color="FFFFFF" w:themeColor="background1"/>
            </w:tcBorders>
            <w:shd w:val="clear" w:color="auto" w:fill="F2F2F2" w:themeFill="background1" w:themeFillShade="F2"/>
            <w:vAlign w:val="bottom"/>
          </w:tcPr>
          <w:p w:rsidR="001B427F" w:rsidRPr="00B907A9" w:rsidRDefault="001B427F" w:rsidP="00D12065">
            <w:pPr>
              <w:tabs>
                <w:tab w:val="decimal" w:pos="571"/>
              </w:tabs>
              <w:spacing w:before="20" w:after="20"/>
              <w:rPr>
                <w:rFonts w:cstheme="minorHAnsi"/>
                <w:sz w:val="19"/>
                <w:szCs w:val="19"/>
              </w:rPr>
            </w:pPr>
            <w:r w:rsidRPr="00B907A9">
              <w:rPr>
                <w:rFonts w:cstheme="minorHAnsi"/>
                <w:sz w:val="19"/>
                <w:szCs w:val="19"/>
              </w:rPr>
              <w:t>0.9</w:t>
            </w:r>
          </w:p>
        </w:tc>
        <w:tc>
          <w:tcPr>
            <w:tcW w:w="1278" w:type="dxa"/>
            <w:tcBorders>
              <w:top w:val="nil"/>
              <w:left w:val="single" w:sz="8" w:space="0" w:color="FFFFFF" w:themeColor="background1"/>
            </w:tcBorders>
            <w:shd w:val="clear" w:color="auto" w:fill="F2F2F2" w:themeFill="background1" w:themeFillShade="F2"/>
            <w:vAlign w:val="bottom"/>
          </w:tcPr>
          <w:p w:rsidR="001B427F" w:rsidRPr="00B907A9" w:rsidRDefault="001B427F" w:rsidP="00BE6A61">
            <w:pPr>
              <w:tabs>
                <w:tab w:val="decimal" w:pos="591"/>
              </w:tabs>
              <w:spacing w:before="20" w:after="20"/>
              <w:ind w:right="-78"/>
              <w:rPr>
                <w:rFonts w:cstheme="minorHAnsi"/>
                <w:sz w:val="19"/>
                <w:szCs w:val="19"/>
              </w:rPr>
            </w:pPr>
            <w:r w:rsidRPr="00B907A9">
              <w:rPr>
                <w:rFonts w:cstheme="minorHAnsi"/>
                <w:sz w:val="19"/>
                <w:szCs w:val="19"/>
              </w:rPr>
              <w:t>27.4</w:t>
            </w:r>
          </w:p>
        </w:tc>
      </w:tr>
      <w:tr w:rsidR="00017A9E" w:rsidRPr="00B90E88" w:rsidTr="00D46BC4">
        <w:trPr>
          <w:trHeight w:val="340"/>
          <w:jc w:val="center"/>
        </w:trPr>
        <w:tc>
          <w:tcPr>
            <w:tcW w:w="4476" w:type="dxa"/>
          </w:tcPr>
          <w:p w:rsidR="001B427F" w:rsidRPr="00B907A9" w:rsidRDefault="001B427F" w:rsidP="00017A9E">
            <w:pPr>
              <w:spacing w:before="20" w:after="20"/>
              <w:ind w:right="-76"/>
              <w:rPr>
                <w:rFonts w:cstheme="minorHAnsi"/>
                <w:sz w:val="19"/>
                <w:szCs w:val="19"/>
              </w:rPr>
            </w:pPr>
            <w:r w:rsidRPr="00B907A9">
              <w:rPr>
                <w:rFonts w:cstheme="minorHAnsi"/>
                <w:sz w:val="19"/>
                <w:szCs w:val="19"/>
              </w:rPr>
              <w:t>Service or program administrator/manager/coordinator</w:t>
            </w:r>
          </w:p>
        </w:tc>
        <w:tc>
          <w:tcPr>
            <w:tcW w:w="1077" w:type="dxa"/>
            <w:tcBorders>
              <w:right w:val="single" w:sz="8" w:space="0" w:color="FFFFFF" w:themeColor="background1"/>
            </w:tcBorders>
            <w:shd w:val="clear" w:color="auto" w:fill="F2F2F2" w:themeFill="background1" w:themeFillShade="F2"/>
            <w:vAlign w:val="center"/>
          </w:tcPr>
          <w:p w:rsidR="001B427F" w:rsidRPr="00B907A9" w:rsidRDefault="001B427F" w:rsidP="003A2DCE">
            <w:pPr>
              <w:tabs>
                <w:tab w:val="decimal" w:pos="470"/>
              </w:tabs>
              <w:spacing w:before="20" w:after="20"/>
              <w:rPr>
                <w:rFonts w:cstheme="minorHAnsi"/>
                <w:sz w:val="19"/>
                <w:szCs w:val="19"/>
              </w:rPr>
            </w:pPr>
            <w:r w:rsidRPr="00B907A9">
              <w:rPr>
                <w:rFonts w:cstheme="minorHAnsi"/>
                <w:sz w:val="19"/>
                <w:szCs w:val="19"/>
              </w:rPr>
              <w:t>75.2</w:t>
            </w:r>
          </w:p>
        </w:tc>
        <w:tc>
          <w:tcPr>
            <w:tcW w:w="1077" w:type="dxa"/>
            <w:tcBorders>
              <w:left w:val="single" w:sz="8" w:space="0" w:color="FFFFFF" w:themeColor="background1"/>
              <w:right w:val="single" w:sz="8" w:space="0" w:color="FFFFFF" w:themeColor="background1"/>
            </w:tcBorders>
            <w:shd w:val="clear" w:color="auto" w:fill="F2F2F2" w:themeFill="background1" w:themeFillShade="F2"/>
            <w:vAlign w:val="center"/>
          </w:tcPr>
          <w:p w:rsidR="001B427F" w:rsidRPr="00B907A9" w:rsidRDefault="001B427F" w:rsidP="00F35789">
            <w:pPr>
              <w:spacing w:before="20" w:after="20"/>
              <w:ind w:right="284"/>
              <w:jc w:val="right"/>
              <w:rPr>
                <w:rFonts w:cstheme="minorHAnsi"/>
                <w:sz w:val="19"/>
                <w:szCs w:val="19"/>
              </w:rPr>
            </w:pPr>
            <w:r w:rsidRPr="00B907A9">
              <w:rPr>
                <w:rFonts w:cstheme="minorHAnsi"/>
                <w:sz w:val="19"/>
                <w:szCs w:val="19"/>
              </w:rPr>
              <w:t>2.7</w:t>
            </w:r>
          </w:p>
        </w:tc>
        <w:tc>
          <w:tcPr>
            <w:tcW w:w="1077" w:type="dxa"/>
            <w:tcBorders>
              <w:left w:val="single" w:sz="8" w:space="0" w:color="FFFFFF" w:themeColor="background1"/>
              <w:right w:val="nil"/>
            </w:tcBorders>
            <w:shd w:val="clear" w:color="auto" w:fill="F2F2F2" w:themeFill="background1" w:themeFillShade="F2"/>
            <w:vAlign w:val="center"/>
          </w:tcPr>
          <w:p w:rsidR="001B427F" w:rsidRPr="00B907A9" w:rsidRDefault="001B427F" w:rsidP="00F35789">
            <w:pPr>
              <w:spacing w:before="20" w:after="20"/>
              <w:ind w:right="227"/>
              <w:jc w:val="right"/>
              <w:rPr>
                <w:rFonts w:cstheme="minorHAnsi"/>
                <w:sz w:val="19"/>
                <w:szCs w:val="19"/>
              </w:rPr>
            </w:pPr>
            <w:r w:rsidRPr="00B907A9">
              <w:rPr>
                <w:rFonts w:cstheme="minorHAnsi"/>
                <w:sz w:val="19"/>
                <w:szCs w:val="19"/>
              </w:rPr>
              <w:t>22.1</w:t>
            </w:r>
          </w:p>
        </w:tc>
        <w:tc>
          <w:tcPr>
            <w:tcW w:w="1247" w:type="dxa"/>
            <w:tcBorders>
              <w:left w:val="nil"/>
            </w:tcBorders>
            <w:vAlign w:val="center"/>
          </w:tcPr>
          <w:p w:rsidR="001B427F" w:rsidRPr="00B907A9" w:rsidRDefault="001B427F" w:rsidP="00D03E14">
            <w:pPr>
              <w:spacing w:before="20" w:after="20"/>
              <w:ind w:left="97" w:right="175"/>
              <w:jc w:val="right"/>
              <w:rPr>
                <w:rFonts w:cstheme="minorHAnsi"/>
                <w:sz w:val="19"/>
                <w:szCs w:val="19"/>
              </w:rPr>
            </w:pPr>
            <w:r w:rsidRPr="00B907A9">
              <w:rPr>
                <w:rFonts w:cstheme="minorHAnsi"/>
                <w:sz w:val="19"/>
                <w:szCs w:val="19"/>
              </w:rPr>
              <w:t>75.9</w:t>
            </w:r>
          </w:p>
        </w:tc>
        <w:tc>
          <w:tcPr>
            <w:tcW w:w="1247" w:type="dxa"/>
            <w:vAlign w:val="center"/>
          </w:tcPr>
          <w:p w:rsidR="001B427F" w:rsidRPr="00B907A9" w:rsidRDefault="001B427F" w:rsidP="00622E6D">
            <w:pPr>
              <w:spacing w:before="20" w:after="20"/>
              <w:ind w:right="397"/>
              <w:jc w:val="right"/>
              <w:rPr>
                <w:rFonts w:cstheme="minorHAnsi"/>
                <w:sz w:val="19"/>
                <w:szCs w:val="19"/>
              </w:rPr>
            </w:pPr>
            <w:r w:rsidRPr="00B907A9">
              <w:rPr>
                <w:rFonts w:cstheme="minorHAnsi"/>
                <w:sz w:val="19"/>
                <w:szCs w:val="19"/>
              </w:rPr>
              <w:t>0.3</w:t>
            </w:r>
          </w:p>
        </w:tc>
        <w:tc>
          <w:tcPr>
            <w:tcW w:w="1247" w:type="dxa"/>
            <w:tcBorders>
              <w:right w:val="nil"/>
            </w:tcBorders>
            <w:vAlign w:val="center"/>
          </w:tcPr>
          <w:p w:rsidR="001B427F" w:rsidRPr="00B907A9" w:rsidRDefault="001B427F" w:rsidP="00622E6D">
            <w:pPr>
              <w:tabs>
                <w:tab w:val="decimal" w:pos="438"/>
              </w:tabs>
              <w:spacing w:before="20" w:after="20"/>
              <w:rPr>
                <w:rFonts w:cstheme="minorHAnsi"/>
                <w:sz w:val="19"/>
                <w:szCs w:val="19"/>
              </w:rPr>
            </w:pPr>
            <w:r w:rsidRPr="00B907A9">
              <w:rPr>
                <w:rFonts w:cstheme="minorHAnsi"/>
                <w:sz w:val="19"/>
                <w:szCs w:val="19"/>
              </w:rPr>
              <w:t>23.8</w:t>
            </w:r>
          </w:p>
        </w:tc>
        <w:tc>
          <w:tcPr>
            <w:tcW w:w="1361" w:type="dxa"/>
            <w:tcBorders>
              <w:left w:val="nil"/>
              <w:right w:val="single" w:sz="8" w:space="0" w:color="FFFFFF" w:themeColor="background1"/>
            </w:tcBorders>
            <w:shd w:val="clear" w:color="auto" w:fill="F2F2F2" w:themeFill="background1" w:themeFillShade="F2"/>
            <w:vAlign w:val="center"/>
          </w:tcPr>
          <w:p w:rsidR="001B427F" w:rsidRPr="00B907A9" w:rsidRDefault="001B427F" w:rsidP="00BE6A61">
            <w:pPr>
              <w:spacing w:before="20" w:after="20"/>
              <w:ind w:right="325"/>
              <w:jc w:val="right"/>
              <w:rPr>
                <w:rFonts w:cstheme="minorHAnsi"/>
                <w:sz w:val="19"/>
                <w:szCs w:val="19"/>
              </w:rPr>
            </w:pPr>
            <w:r w:rsidRPr="00B907A9">
              <w:rPr>
                <w:rFonts w:cstheme="minorHAnsi"/>
                <w:sz w:val="19"/>
                <w:szCs w:val="19"/>
              </w:rPr>
              <w:t>75.3</w:t>
            </w:r>
          </w:p>
        </w:tc>
        <w:tc>
          <w:tcPr>
            <w:tcW w:w="1281" w:type="dxa"/>
            <w:tcBorders>
              <w:left w:val="single" w:sz="8" w:space="0" w:color="FFFFFF" w:themeColor="background1"/>
              <w:right w:val="single" w:sz="8" w:space="0" w:color="FFFFFF" w:themeColor="background1"/>
            </w:tcBorders>
            <w:shd w:val="clear" w:color="auto" w:fill="F2F2F2" w:themeFill="background1" w:themeFillShade="F2"/>
            <w:vAlign w:val="center"/>
          </w:tcPr>
          <w:p w:rsidR="001B427F" w:rsidRPr="00B907A9" w:rsidRDefault="001B427F" w:rsidP="0097613D">
            <w:pPr>
              <w:tabs>
                <w:tab w:val="decimal" w:pos="571"/>
              </w:tabs>
              <w:spacing w:before="20" w:after="20"/>
              <w:rPr>
                <w:rFonts w:cstheme="minorHAnsi"/>
                <w:sz w:val="19"/>
                <w:szCs w:val="19"/>
              </w:rPr>
            </w:pPr>
            <w:r w:rsidRPr="00B907A9">
              <w:rPr>
                <w:rFonts w:cstheme="minorHAnsi"/>
                <w:sz w:val="19"/>
                <w:szCs w:val="19"/>
              </w:rPr>
              <w:t>1.3</w:t>
            </w:r>
          </w:p>
        </w:tc>
        <w:tc>
          <w:tcPr>
            <w:tcW w:w="1278" w:type="dxa"/>
            <w:tcBorders>
              <w:left w:val="single" w:sz="8" w:space="0" w:color="FFFFFF" w:themeColor="background1"/>
            </w:tcBorders>
            <w:shd w:val="clear" w:color="auto" w:fill="F2F2F2" w:themeFill="background1" w:themeFillShade="F2"/>
            <w:vAlign w:val="center"/>
          </w:tcPr>
          <w:p w:rsidR="001B427F" w:rsidRPr="00B907A9" w:rsidRDefault="001B427F" w:rsidP="00BE6A61">
            <w:pPr>
              <w:tabs>
                <w:tab w:val="decimal" w:pos="591"/>
              </w:tabs>
              <w:spacing w:before="20" w:after="20"/>
              <w:ind w:right="-78"/>
              <w:rPr>
                <w:rFonts w:cstheme="minorHAnsi"/>
                <w:sz w:val="19"/>
                <w:szCs w:val="19"/>
              </w:rPr>
            </w:pPr>
            <w:r w:rsidRPr="00B907A9">
              <w:rPr>
                <w:rFonts w:cstheme="minorHAnsi"/>
                <w:sz w:val="19"/>
                <w:szCs w:val="19"/>
              </w:rPr>
              <w:t>23.4</w:t>
            </w:r>
          </w:p>
        </w:tc>
      </w:tr>
      <w:tr w:rsidR="00017A9E" w:rsidRPr="00B90E88" w:rsidTr="00D46BC4">
        <w:trPr>
          <w:trHeight w:val="340"/>
          <w:jc w:val="center"/>
        </w:trPr>
        <w:tc>
          <w:tcPr>
            <w:tcW w:w="4476" w:type="dxa"/>
          </w:tcPr>
          <w:p w:rsidR="001B427F" w:rsidRPr="00B907A9" w:rsidRDefault="001B427F" w:rsidP="00AE4C3A">
            <w:pPr>
              <w:spacing w:before="20" w:after="20"/>
              <w:rPr>
                <w:rFonts w:cstheme="minorHAnsi"/>
                <w:sz w:val="19"/>
                <w:szCs w:val="19"/>
              </w:rPr>
            </w:pPr>
            <w:r w:rsidRPr="00B907A9">
              <w:rPr>
                <w:rFonts w:cstheme="minorHAnsi"/>
                <w:sz w:val="19"/>
                <w:szCs w:val="19"/>
              </w:rPr>
              <w:t>Social worker/disability case coordinator</w:t>
            </w:r>
          </w:p>
        </w:tc>
        <w:tc>
          <w:tcPr>
            <w:tcW w:w="1077" w:type="dxa"/>
            <w:tcBorders>
              <w:right w:val="single" w:sz="8" w:space="0" w:color="FFFFFF" w:themeColor="background1"/>
            </w:tcBorders>
            <w:shd w:val="clear" w:color="auto" w:fill="F2F2F2" w:themeFill="background1" w:themeFillShade="F2"/>
            <w:vAlign w:val="center"/>
          </w:tcPr>
          <w:p w:rsidR="001B427F" w:rsidRPr="00B907A9" w:rsidRDefault="001B427F" w:rsidP="003A2DCE">
            <w:pPr>
              <w:tabs>
                <w:tab w:val="decimal" w:pos="470"/>
              </w:tabs>
              <w:spacing w:before="20" w:after="20"/>
              <w:rPr>
                <w:rFonts w:cstheme="minorHAnsi"/>
                <w:sz w:val="19"/>
                <w:szCs w:val="19"/>
              </w:rPr>
            </w:pPr>
            <w:r w:rsidRPr="00B907A9">
              <w:rPr>
                <w:rFonts w:cstheme="minorHAnsi"/>
                <w:sz w:val="19"/>
                <w:szCs w:val="19"/>
              </w:rPr>
              <w:t>71.5</w:t>
            </w:r>
          </w:p>
        </w:tc>
        <w:tc>
          <w:tcPr>
            <w:tcW w:w="1077" w:type="dxa"/>
            <w:tcBorders>
              <w:left w:val="single" w:sz="8" w:space="0" w:color="FFFFFF" w:themeColor="background1"/>
              <w:right w:val="single" w:sz="8" w:space="0" w:color="FFFFFF" w:themeColor="background1"/>
            </w:tcBorders>
            <w:shd w:val="clear" w:color="auto" w:fill="F2F2F2" w:themeFill="background1" w:themeFillShade="F2"/>
            <w:vAlign w:val="center"/>
          </w:tcPr>
          <w:p w:rsidR="001B427F" w:rsidRPr="00B907A9" w:rsidRDefault="001B427F" w:rsidP="00F35789">
            <w:pPr>
              <w:spacing w:before="20" w:after="20"/>
              <w:ind w:right="284"/>
              <w:jc w:val="right"/>
              <w:rPr>
                <w:rFonts w:cstheme="minorHAnsi"/>
                <w:sz w:val="19"/>
                <w:szCs w:val="19"/>
              </w:rPr>
            </w:pPr>
            <w:r w:rsidRPr="00B907A9">
              <w:rPr>
                <w:rFonts w:cstheme="minorHAnsi"/>
                <w:sz w:val="19"/>
                <w:szCs w:val="19"/>
              </w:rPr>
              <w:t>2.3</w:t>
            </w:r>
          </w:p>
        </w:tc>
        <w:tc>
          <w:tcPr>
            <w:tcW w:w="1077" w:type="dxa"/>
            <w:tcBorders>
              <w:left w:val="single" w:sz="8" w:space="0" w:color="FFFFFF" w:themeColor="background1"/>
              <w:right w:val="nil"/>
            </w:tcBorders>
            <w:shd w:val="clear" w:color="auto" w:fill="F2F2F2" w:themeFill="background1" w:themeFillShade="F2"/>
            <w:vAlign w:val="center"/>
          </w:tcPr>
          <w:p w:rsidR="001B427F" w:rsidRPr="00B907A9" w:rsidRDefault="001B427F" w:rsidP="00F35789">
            <w:pPr>
              <w:spacing w:before="20" w:after="20"/>
              <w:ind w:right="227"/>
              <w:jc w:val="right"/>
              <w:rPr>
                <w:rFonts w:cstheme="minorHAnsi"/>
                <w:sz w:val="19"/>
                <w:szCs w:val="19"/>
              </w:rPr>
            </w:pPr>
            <w:r w:rsidRPr="00B907A9">
              <w:rPr>
                <w:rFonts w:cstheme="minorHAnsi"/>
                <w:sz w:val="19"/>
                <w:szCs w:val="19"/>
              </w:rPr>
              <w:t>26.3</w:t>
            </w:r>
          </w:p>
        </w:tc>
        <w:tc>
          <w:tcPr>
            <w:tcW w:w="1247" w:type="dxa"/>
            <w:tcBorders>
              <w:left w:val="nil"/>
            </w:tcBorders>
            <w:vAlign w:val="center"/>
          </w:tcPr>
          <w:p w:rsidR="001B427F" w:rsidRPr="00B907A9" w:rsidRDefault="001B427F" w:rsidP="00D03E14">
            <w:pPr>
              <w:spacing w:before="20" w:after="20"/>
              <w:ind w:left="97" w:right="175"/>
              <w:jc w:val="right"/>
              <w:rPr>
                <w:rFonts w:cstheme="minorHAnsi"/>
                <w:sz w:val="19"/>
                <w:szCs w:val="19"/>
              </w:rPr>
            </w:pPr>
            <w:r w:rsidRPr="00B907A9">
              <w:rPr>
                <w:rFonts w:cstheme="minorHAnsi"/>
                <w:sz w:val="19"/>
                <w:szCs w:val="19"/>
              </w:rPr>
              <w:t>72.0</w:t>
            </w:r>
          </w:p>
        </w:tc>
        <w:tc>
          <w:tcPr>
            <w:tcW w:w="1247" w:type="dxa"/>
            <w:vAlign w:val="center"/>
          </w:tcPr>
          <w:p w:rsidR="001B427F" w:rsidRPr="00B907A9" w:rsidRDefault="001B427F" w:rsidP="00622E6D">
            <w:pPr>
              <w:spacing w:before="20" w:after="20"/>
              <w:ind w:right="397"/>
              <w:jc w:val="right"/>
              <w:rPr>
                <w:rFonts w:cstheme="minorHAnsi"/>
                <w:sz w:val="19"/>
                <w:szCs w:val="19"/>
              </w:rPr>
            </w:pPr>
            <w:r w:rsidRPr="00B907A9">
              <w:rPr>
                <w:rFonts w:cstheme="minorHAnsi"/>
                <w:sz w:val="19"/>
                <w:szCs w:val="19"/>
              </w:rPr>
              <w:t>0.2</w:t>
            </w:r>
          </w:p>
        </w:tc>
        <w:tc>
          <w:tcPr>
            <w:tcW w:w="1247" w:type="dxa"/>
            <w:tcBorders>
              <w:right w:val="nil"/>
            </w:tcBorders>
          </w:tcPr>
          <w:p w:rsidR="001B427F" w:rsidRPr="00B907A9" w:rsidRDefault="001B427F" w:rsidP="00622E6D">
            <w:pPr>
              <w:tabs>
                <w:tab w:val="decimal" w:pos="438"/>
              </w:tabs>
              <w:spacing w:before="20" w:after="20"/>
              <w:rPr>
                <w:rFonts w:cstheme="minorHAnsi"/>
                <w:sz w:val="19"/>
                <w:szCs w:val="19"/>
              </w:rPr>
            </w:pPr>
            <w:r w:rsidRPr="00B907A9">
              <w:rPr>
                <w:rFonts w:cstheme="minorHAnsi"/>
                <w:sz w:val="19"/>
                <w:szCs w:val="19"/>
              </w:rPr>
              <w:t>27.8</w:t>
            </w:r>
          </w:p>
        </w:tc>
        <w:tc>
          <w:tcPr>
            <w:tcW w:w="1361" w:type="dxa"/>
            <w:tcBorders>
              <w:left w:val="nil"/>
              <w:right w:val="single" w:sz="8" w:space="0" w:color="FFFFFF" w:themeColor="background1"/>
            </w:tcBorders>
            <w:shd w:val="clear" w:color="auto" w:fill="F2F2F2" w:themeFill="background1" w:themeFillShade="F2"/>
            <w:vAlign w:val="center"/>
          </w:tcPr>
          <w:p w:rsidR="001B427F" w:rsidRPr="00B907A9" w:rsidRDefault="001B427F" w:rsidP="00BE6A61">
            <w:pPr>
              <w:spacing w:before="20" w:after="20"/>
              <w:ind w:right="325"/>
              <w:jc w:val="right"/>
              <w:rPr>
                <w:rFonts w:cstheme="minorHAnsi"/>
                <w:sz w:val="19"/>
                <w:szCs w:val="19"/>
              </w:rPr>
            </w:pPr>
            <w:r w:rsidRPr="00B907A9">
              <w:rPr>
                <w:rFonts w:cstheme="minorHAnsi"/>
                <w:sz w:val="19"/>
                <w:szCs w:val="19"/>
              </w:rPr>
              <w:t>71.9</w:t>
            </w:r>
          </w:p>
        </w:tc>
        <w:tc>
          <w:tcPr>
            <w:tcW w:w="1281" w:type="dxa"/>
            <w:tcBorders>
              <w:left w:val="single" w:sz="8" w:space="0" w:color="FFFFFF" w:themeColor="background1"/>
              <w:right w:val="single" w:sz="8" w:space="0" w:color="FFFFFF" w:themeColor="background1"/>
            </w:tcBorders>
            <w:shd w:val="clear" w:color="auto" w:fill="F2F2F2" w:themeFill="background1" w:themeFillShade="F2"/>
          </w:tcPr>
          <w:p w:rsidR="001B427F" w:rsidRPr="00B907A9" w:rsidRDefault="001B427F" w:rsidP="0097613D">
            <w:pPr>
              <w:tabs>
                <w:tab w:val="decimal" w:pos="571"/>
              </w:tabs>
              <w:spacing w:before="20" w:after="20"/>
              <w:rPr>
                <w:rFonts w:cstheme="minorHAnsi"/>
                <w:sz w:val="19"/>
                <w:szCs w:val="19"/>
              </w:rPr>
            </w:pPr>
            <w:r w:rsidRPr="00B907A9">
              <w:rPr>
                <w:rFonts w:cstheme="minorHAnsi"/>
                <w:sz w:val="19"/>
                <w:szCs w:val="19"/>
              </w:rPr>
              <w:t>0.7</w:t>
            </w:r>
          </w:p>
        </w:tc>
        <w:tc>
          <w:tcPr>
            <w:tcW w:w="1278" w:type="dxa"/>
            <w:tcBorders>
              <w:left w:val="single" w:sz="8" w:space="0" w:color="FFFFFF" w:themeColor="background1"/>
            </w:tcBorders>
            <w:shd w:val="clear" w:color="auto" w:fill="F2F2F2" w:themeFill="background1" w:themeFillShade="F2"/>
          </w:tcPr>
          <w:p w:rsidR="001B427F" w:rsidRPr="00B907A9" w:rsidRDefault="001B427F" w:rsidP="00BE6A61">
            <w:pPr>
              <w:tabs>
                <w:tab w:val="decimal" w:pos="591"/>
              </w:tabs>
              <w:spacing w:before="20" w:after="20"/>
              <w:ind w:right="-78"/>
              <w:rPr>
                <w:rFonts w:cstheme="minorHAnsi"/>
                <w:sz w:val="19"/>
                <w:szCs w:val="19"/>
              </w:rPr>
            </w:pPr>
            <w:r w:rsidRPr="00B907A9">
              <w:rPr>
                <w:rFonts w:cstheme="minorHAnsi"/>
                <w:sz w:val="19"/>
                <w:szCs w:val="19"/>
              </w:rPr>
              <w:t>27.4</w:t>
            </w:r>
          </w:p>
        </w:tc>
      </w:tr>
      <w:tr w:rsidR="00017A9E" w:rsidRPr="00B90E88" w:rsidTr="00D46BC4">
        <w:trPr>
          <w:trHeight w:val="340"/>
          <w:jc w:val="center"/>
        </w:trPr>
        <w:tc>
          <w:tcPr>
            <w:tcW w:w="4476" w:type="dxa"/>
            <w:vAlign w:val="center"/>
          </w:tcPr>
          <w:p w:rsidR="001B427F" w:rsidRPr="00B907A9" w:rsidRDefault="001B427F" w:rsidP="0063435E">
            <w:pPr>
              <w:spacing w:before="20" w:after="20"/>
              <w:rPr>
                <w:rFonts w:cstheme="minorHAnsi"/>
                <w:sz w:val="19"/>
                <w:szCs w:val="19"/>
              </w:rPr>
            </w:pPr>
            <w:r w:rsidRPr="00B907A9">
              <w:rPr>
                <w:rFonts w:cstheme="minorHAnsi"/>
                <w:sz w:val="19"/>
                <w:szCs w:val="19"/>
              </w:rPr>
              <w:t>Employment support worker</w:t>
            </w:r>
          </w:p>
        </w:tc>
        <w:tc>
          <w:tcPr>
            <w:tcW w:w="1077" w:type="dxa"/>
            <w:tcBorders>
              <w:right w:val="single" w:sz="8" w:space="0" w:color="FFFFFF" w:themeColor="background1"/>
            </w:tcBorders>
            <w:shd w:val="clear" w:color="auto" w:fill="F2F2F2" w:themeFill="background1" w:themeFillShade="F2"/>
            <w:vAlign w:val="center"/>
          </w:tcPr>
          <w:p w:rsidR="001B427F" w:rsidRPr="00B907A9" w:rsidRDefault="001B427F" w:rsidP="003A2DCE">
            <w:pPr>
              <w:tabs>
                <w:tab w:val="decimal" w:pos="470"/>
              </w:tabs>
              <w:spacing w:before="20" w:after="20"/>
              <w:rPr>
                <w:rFonts w:cstheme="minorHAnsi"/>
                <w:sz w:val="19"/>
                <w:szCs w:val="19"/>
              </w:rPr>
            </w:pPr>
            <w:r w:rsidRPr="00B907A9">
              <w:rPr>
                <w:rFonts w:cstheme="minorHAnsi"/>
                <w:sz w:val="19"/>
                <w:szCs w:val="19"/>
              </w:rPr>
              <w:t>71.5</w:t>
            </w:r>
          </w:p>
        </w:tc>
        <w:tc>
          <w:tcPr>
            <w:tcW w:w="1077" w:type="dxa"/>
            <w:tcBorders>
              <w:left w:val="single" w:sz="8" w:space="0" w:color="FFFFFF" w:themeColor="background1"/>
              <w:right w:val="single" w:sz="8" w:space="0" w:color="FFFFFF" w:themeColor="background1"/>
            </w:tcBorders>
            <w:shd w:val="clear" w:color="auto" w:fill="F2F2F2" w:themeFill="background1" w:themeFillShade="F2"/>
            <w:vAlign w:val="center"/>
          </w:tcPr>
          <w:p w:rsidR="001B427F" w:rsidRPr="00B907A9" w:rsidRDefault="001B427F" w:rsidP="00F35789">
            <w:pPr>
              <w:spacing w:before="20" w:after="20"/>
              <w:ind w:right="284"/>
              <w:jc w:val="right"/>
              <w:rPr>
                <w:rFonts w:cstheme="minorHAnsi"/>
                <w:sz w:val="19"/>
                <w:szCs w:val="19"/>
              </w:rPr>
            </w:pPr>
            <w:r w:rsidRPr="00B907A9">
              <w:rPr>
                <w:rFonts w:cstheme="minorHAnsi"/>
                <w:sz w:val="19"/>
                <w:szCs w:val="19"/>
              </w:rPr>
              <w:t>1.0</w:t>
            </w:r>
          </w:p>
        </w:tc>
        <w:tc>
          <w:tcPr>
            <w:tcW w:w="1077" w:type="dxa"/>
            <w:tcBorders>
              <w:left w:val="single" w:sz="8" w:space="0" w:color="FFFFFF" w:themeColor="background1"/>
              <w:right w:val="nil"/>
            </w:tcBorders>
            <w:shd w:val="clear" w:color="auto" w:fill="F2F2F2" w:themeFill="background1" w:themeFillShade="F2"/>
            <w:vAlign w:val="center"/>
          </w:tcPr>
          <w:p w:rsidR="001B427F" w:rsidRPr="00B907A9" w:rsidRDefault="001B427F" w:rsidP="00F35789">
            <w:pPr>
              <w:spacing w:before="20" w:after="20"/>
              <w:ind w:right="227"/>
              <w:jc w:val="right"/>
              <w:rPr>
                <w:rFonts w:cstheme="minorHAnsi"/>
                <w:sz w:val="19"/>
                <w:szCs w:val="19"/>
              </w:rPr>
            </w:pPr>
            <w:r w:rsidRPr="00B907A9">
              <w:rPr>
                <w:rFonts w:cstheme="minorHAnsi"/>
                <w:sz w:val="19"/>
                <w:szCs w:val="19"/>
              </w:rPr>
              <w:t>27.6</w:t>
            </w:r>
          </w:p>
        </w:tc>
        <w:tc>
          <w:tcPr>
            <w:tcW w:w="1247" w:type="dxa"/>
            <w:tcBorders>
              <w:left w:val="nil"/>
            </w:tcBorders>
            <w:vAlign w:val="center"/>
          </w:tcPr>
          <w:p w:rsidR="001B427F" w:rsidRPr="00B907A9" w:rsidRDefault="001B427F" w:rsidP="00D03E14">
            <w:pPr>
              <w:spacing w:before="20" w:after="20"/>
              <w:ind w:left="97" w:right="175"/>
              <w:jc w:val="right"/>
              <w:rPr>
                <w:rFonts w:cstheme="minorHAnsi"/>
                <w:sz w:val="19"/>
                <w:szCs w:val="19"/>
              </w:rPr>
            </w:pPr>
            <w:r w:rsidRPr="00B907A9">
              <w:rPr>
                <w:rFonts w:cstheme="minorHAnsi"/>
                <w:sz w:val="19"/>
                <w:szCs w:val="19"/>
              </w:rPr>
              <w:t>71.6</w:t>
            </w:r>
          </w:p>
        </w:tc>
        <w:tc>
          <w:tcPr>
            <w:tcW w:w="1247" w:type="dxa"/>
            <w:vAlign w:val="center"/>
          </w:tcPr>
          <w:p w:rsidR="001B427F" w:rsidRPr="00B907A9" w:rsidRDefault="001B427F" w:rsidP="00622E6D">
            <w:pPr>
              <w:spacing w:before="20" w:after="20"/>
              <w:ind w:right="397"/>
              <w:jc w:val="right"/>
              <w:rPr>
                <w:rFonts w:cstheme="minorHAnsi"/>
                <w:sz w:val="19"/>
                <w:szCs w:val="19"/>
              </w:rPr>
            </w:pPr>
            <w:r w:rsidRPr="00B907A9">
              <w:rPr>
                <w:rFonts w:cstheme="minorHAnsi"/>
                <w:sz w:val="19"/>
                <w:szCs w:val="19"/>
              </w:rPr>
              <w:t>0.0</w:t>
            </w:r>
          </w:p>
        </w:tc>
        <w:tc>
          <w:tcPr>
            <w:tcW w:w="1247" w:type="dxa"/>
            <w:tcBorders>
              <w:right w:val="nil"/>
            </w:tcBorders>
            <w:vAlign w:val="center"/>
          </w:tcPr>
          <w:p w:rsidR="001B427F" w:rsidRPr="00B907A9" w:rsidRDefault="001B427F" w:rsidP="00622E6D">
            <w:pPr>
              <w:tabs>
                <w:tab w:val="decimal" w:pos="438"/>
              </w:tabs>
              <w:spacing w:before="20" w:after="20"/>
              <w:rPr>
                <w:rFonts w:cstheme="minorHAnsi"/>
                <w:sz w:val="19"/>
                <w:szCs w:val="19"/>
              </w:rPr>
            </w:pPr>
            <w:r w:rsidRPr="00B907A9">
              <w:rPr>
                <w:rFonts w:cstheme="minorHAnsi"/>
                <w:sz w:val="19"/>
                <w:szCs w:val="19"/>
              </w:rPr>
              <w:t>28.4</w:t>
            </w:r>
          </w:p>
        </w:tc>
        <w:tc>
          <w:tcPr>
            <w:tcW w:w="1361" w:type="dxa"/>
            <w:tcBorders>
              <w:left w:val="nil"/>
              <w:right w:val="single" w:sz="8" w:space="0" w:color="FFFFFF" w:themeColor="background1"/>
            </w:tcBorders>
            <w:shd w:val="clear" w:color="auto" w:fill="F2F2F2" w:themeFill="background1" w:themeFillShade="F2"/>
            <w:vAlign w:val="center"/>
          </w:tcPr>
          <w:p w:rsidR="001B427F" w:rsidRPr="00B907A9" w:rsidRDefault="001B427F" w:rsidP="00BE6A61">
            <w:pPr>
              <w:spacing w:before="20" w:after="20"/>
              <w:ind w:right="325"/>
              <w:jc w:val="right"/>
              <w:rPr>
                <w:rFonts w:cstheme="minorHAnsi"/>
                <w:sz w:val="19"/>
                <w:szCs w:val="19"/>
              </w:rPr>
            </w:pPr>
            <w:r w:rsidRPr="00B907A9">
              <w:rPr>
                <w:rFonts w:cstheme="minorHAnsi"/>
                <w:sz w:val="19"/>
                <w:szCs w:val="19"/>
              </w:rPr>
              <w:t>71.7</w:t>
            </w:r>
          </w:p>
        </w:tc>
        <w:tc>
          <w:tcPr>
            <w:tcW w:w="1281" w:type="dxa"/>
            <w:tcBorders>
              <w:left w:val="single" w:sz="8" w:space="0" w:color="FFFFFF" w:themeColor="background1"/>
              <w:right w:val="single" w:sz="8" w:space="0" w:color="FFFFFF" w:themeColor="background1"/>
            </w:tcBorders>
            <w:shd w:val="clear" w:color="auto" w:fill="F2F2F2" w:themeFill="background1" w:themeFillShade="F2"/>
            <w:vAlign w:val="center"/>
          </w:tcPr>
          <w:p w:rsidR="001B427F" w:rsidRPr="00B907A9" w:rsidRDefault="001B427F" w:rsidP="0097613D">
            <w:pPr>
              <w:tabs>
                <w:tab w:val="decimal" w:pos="571"/>
              </w:tabs>
              <w:spacing w:before="20" w:after="20"/>
              <w:rPr>
                <w:rFonts w:cstheme="minorHAnsi"/>
                <w:sz w:val="19"/>
                <w:szCs w:val="19"/>
              </w:rPr>
            </w:pPr>
            <w:r w:rsidRPr="00B907A9">
              <w:rPr>
                <w:rFonts w:cstheme="minorHAnsi"/>
                <w:sz w:val="19"/>
                <w:szCs w:val="19"/>
              </w:rPr>
              <w:t>0.0</w:t>
            </w:r>
          </w:p>
        </w:tc>
        <w:tc>
          <w:tcPr>
            <w:tcW w:w="1278" w:type="dxa"/>
            <w:tcBorders>
              <w:left w:val="single" w:sz="8" w:space="0" w:color="FFFFFF" w:themeColor="background1"/>
            </w:tcBorders>
            <w:shd w:val="clear" w:color="auto" w:fill="F2F2F2" w:themeFill="background1" w:themeFillShade="F2"/>
            <w:vAlign w:val="center"/>
          </w:tcPr>
          <w:p w:rsidR="001B427F" w:rsidRPr="00B907A9" w:rsidRDefault="001B427F" w:rsidP="00BE6A61">
            <w:pPr>
              <w:tabs>
                <w:tab w:val="decimal" w:pos="591"/>
              </w:tabs>
              <w:spacing w:before="20" w:after="20"/>
              <w:ind w:right="-78"/>
              <w:rPr>
                <w:rFonts w:cstheme="minorHAnsi"/>
                <w:sz w:val="19"/>
                <w:szCs w:val="19"/>
              </w:rPr>
            </w:pPr>
            <w:r w:rsidRPr="00B907A9">
              <w:rPr>
                <w:rFonts w:cstheme="minorHAnsi"/>
                <w:sz w:val="19"/>
                <w:szCs w:val="19"/>
              </w:rPr>
              <w:t>28.3</w:t>
            </w:r>
          </w:p>
        </w:tc>
      </w:tr>
      <w:tr w:rsidR="00017A9E" w:rsidRPr="00B90E88" w:rsidTr="00D46BC4">
        <w:trPr>
          <w:trHeight w:val="340"/>
          <w:jc w:val="center"/>
        </w:trPr>
        <w:tc>
          <w:tcPr>
            <w:tcW w:w="4476" w:type="dxa"/>
          </w:tcPr>
          <w:p w:rsidR="001B427F" w:rsidRPr="00B907A9" w:rsidRDefault="001B427F" w:rsidP="00AE4C3A">
            <w:pPr>
              <w:spacing w:before="20" w:after="20"/>
              <w:rPr>
                <w:rFonts w:cstheme="minorHAnsi"/>
                <w:sz w:val="19"/>
                <w:szCs w:val="19"/>
              </w:rPr>
            </w:pPr>
            <w:r w:rsidRPr="00B907A9">
              <w:rPr>
                <w:rFonts w:cstheme="minorHAnsi"/>
                <w:sz w:val="19"/>
                <w:szCs w:val="19"/>
              </w:rPr>
              <w:t>Peer support worker</w:t>
            </w:r>
          </w:p>
        </w:tc>
        <w:tc>
          <w:tcPr>
            <w:tcW w:w="1077" w:type="dxa"/>
            <w:tcBorders>
              <w:right w:val="single" w:sz="8" w:space="0" w:color="FFFFFF" w:themeColor="background1"/>
            </w:tcBorders>
            <w:shd w:val="clear" w:color="auto" w:fill="F2F2F2" w:themeFill="background1" w:themeFillShade="F2"/>
            <w:vAlign w:val="center"/>
          </w:tcPr>
          <w:p w:rsidR="001B427F" w:rsidRPr="00B907A9" w:rsidRDefault="001B427F" w:rsidP="003A2DCE">
            <w:pPr>
              <w:tabs>
                <w:tab w:val="decimal" w:pos="470"/>
              </w:tabs>
              <w:spacing w:before="20" w:after="20"/>
              <w:rPr>
                <w:rFonts w:cstheme="minorHAnsi"/>
                <w:sz w:val="19"/>
                <w:szCs w:val="19"/>
              </w:rPr>
            </w:pPr>
            <w:r w:rsidRPr="00B907A9">
              <w:rPr>
                <w:rFonts w:cstheme="minorHAnsi"/>
                <w:sz w:val="19"/>
                <w:szCs w:val="19"/>
              </w:rPr>
              <w:t>71.6</w:t>
            </w:r>
          </w:p>
        </w:tc>
        <w:tc>
          <w:tcPr>
            <w:tcW w:w="1077" w:type="dxa"/>
            <w:tcBorders>
              <w:left w:val="single" w:sz="8" w:space="0" w:color="FFFFFF" w:themeColor="background1"/>
              <w:right w:val="single" w:sz="8" w:space="0" w:color="FFFFFF" w:themeColor="background1"/>
            </w:tcBorders>
            <w:shd w:val="clear" w:color="auto" w:fill="F2F2F2" w:themeFill="background1" w:themeFillShade="F2"/>
            <w:vAlign w:val="center"/>
          </w:tcPr>
          <w:p w:rsidR="001B427F" w:rsidRPr="00B907A9" w:rsidRDefault="001B427F" w:rsidP="00F35789">
            <w:pPr>
              <w:spacing w:before="20" w:after="20"/>
              <w:ind w:right="284"/>
              <w:jc w:val="right"/>
              <w:rPr>
                <w:rFonts w:cstheme="minorHAnsi"/>
                <w:sz w:val="19"/>
                <w:szCs w:val="19"/>
              </w:rPr>
            </w:pPr>
            <w:r w:rsidRPr="00B907A9">
              <w:rPr>
                <w:rFonts w:cstheme="minorHAnsi"/>
                <w:sz w:val="19"/>
                <w:szCs w:val="19"/>
              </w:rPr>
              <w:t>0.6</w:t>
            </w:r>
          </w:p>
        </w:tc>
        <w:tc>
          <w:tcPr>
            <w:tcW w:w="1077" w:type="dxa"/>
            <w:tcBorders>
              <w:left w:val="single" w:sz="8" w:space="0" w:color="FFFFFF" w:themeColor="background1"/>
              <w:right w:val="nil"/>
            </w:tcBorders>
            <w:shd w:val="clear" w:color="auto" w:fill="F2F2F2" w:themeFill="background1" w:themeFillShade="F2"/>
            <w:vAlign w:val="center"/>
          </w:tcPr>
          <w:p w:rsidR="001B427F" w:rsidRPr="00B907A9" w:rsidRDefault="001B427F" w:rsidP="00F35789">
            <w:pPr>
              <w:spacing w:before="20" w:after="20"/>
              <w:ind w:right="227"/>
              <w:jc w:val="right"/>
              <w:rPr>
                <w:rFonts w:cstheme="minorHAnsi"/>
                <w:sz w:val="19"/>
                <w:szCs w:val="19"/>
              </w:rPr>
            </w:pPr>
            <w:r w:rsidRPr="00B907A9">
              <w:rPr>
                <w:rFonts w:cstheme="minorHAnsi"/>
                <w:sz w:val="19"/>
                <w:szCs w:val="19"/>
              </w:rPr>
              <w:t>27.8</w:t>
            </w:r>
          </w:p>
        </w:tc>
        <w:tc>
          <w:tcPr>
            <w:tcW w:w="1247" w:type="dxa"/>
            <w:tcBorders>
              <w:left w:val="nil"/>
            </w:tcBorders>
            <w:vAlign w:val="center"/>
          </w:tcPr>
          <w:p w:rsidR="001B427F" w:rsidRPr="00B907A9" w:rsidRDefault="001B427F" w:rsidP="00D03E14">
            <w:pPr>
              <w:spacing w:before="20" w:after="20"/>
              <w:ind w:left="97" w:right="175"/>
              <w:jc w:val="right"/>
              <w:rPr>
                <w:rFonts w:cstheme="minorHAnsi"/>
                <w:sz w:val="19"/>
                <w:szCs w:val="19"/>
              </w:rPr>
            </w:pPr>
            <w:r w:rsidRPr="00B907A9">
              <w:rPr>
                <w:rFonts w:cstheme="minorHAnsi"/>
                <w:sz w:val="19"/>
                <w:szCs w:val="19"/>
              </w:rPr>
              <w:t>71.0</w:t>
            </w:r>
          </w:p>
        </w:tc>
        <w:tc>
          <w:tcPr>
            <w:tcW w:w="1247" w:type="dxa"/>
            <w:vAlign w:val="center"/>
          </w:tcPr>
          <w:p w:rsidR="001B427F" w:rsidRPr="00B907A9" w:rsidRDefault="001B427F" w:rsidP="00622E6D">
            <w:pPr>
              <w:spacing w:before="20" w:after="20"/>
              <w:ind w:right="397"/>
              <w:jc w:val="right"/>
              <w:rPr>
                <w:rFonts w:cstheme="minorHAnsi"/>
                <w:sz w:val="19"/>
                <w:szCs w:val="19"/>
              </w:rPr>
            </w:pPr>
            <w:r w:rsidRPr="00B907A9">
              <w:rPr>
                <w:rFonts w:cstheme="minorHAnsi"/>
                <w:sz w:val="19"/>
                <w:szCs w:val="19"/>
              </w:rPr>
              <w:t>0.1</w:t>
            </w:r>
          </w:p>
        </w:tc>
        <w:tc>
          <w:tcPr>
            <w:tcW w:w="1247" w:type="dxa"/>
            <w:tcBorders>
              <w:right w:val="nil"/>
            </w:tcBorders>
          </w:tcPr>
          <w:p w:rsidR="001B427F" w:rsidRPr="00B907A9" w:rsidRDefault="001B427F" w:rsidP="00622E6D">
            <w:pPr>
              <w:tabs>
                <w:tab w:val="decimal" w:pos="438"/>
              </w:tabs>
              <w:spacing w:before="20" w:after="20"/>
              <w:rPr>
                <w:rFonts w:cstheme="minorHAnsi"/>
                <w:sz w:val="19"/>
                <w:szCs w:val="19"/>
              </w:rPr>
            </w:pPr>
            <w:r w:rsidRPr="00B907A9">
              <w:rPr>
                <w:rFonts w:cstheme="minorHAnsi"/>
                <w:sz w:val="19"/>
                <w:szCs w:val="19"/>
              </w:rPr>
              <w:t>28.8</w:t>
            </w:r>
          </w:p>
        </w:tc>
        <w:tc>
          <w:tcPr>
            <w:tcW w:w="1361" w:type="dxa"/>
            <w:tcBorders>
              <w:left w:val="nil"/>
              <w:right w:val="single" w:sz="8" w:space="0" w:color="FFFFFF" w:themeColor="background1"/>
            </w:tcBorders>
            <w:shd w:val="clear" w:color="auto" w:fill="F2F2F2" w:themeFill="background1" w:themeFillShade="F2"/>
            <w:vAlign w:val="center"/>
          </w:tcPr>
          <w:p w:rsidR="001B427F" w:rsidRPr="00B907A9" w:rsidRDefault="001B427F" w:rsidP="00BE6A61">
            <w:pPr>
              <w:spacing w:before="20" w:after="20"/>
              <w:ind w:right="325"/>
              <w:jc w:val="right"/>
              <w:rPr>
                <w:rFonts w:cstheme="minorHAnsi"/>
                <w:sz w:val="19"/>
                <w:szCs w:val="19"/>
              </w:rPr>
            </w:pPr>
            <w:r w:rsidRPr="00B907A9">
              <w:rPr>
                <w:rFonts w:cstheme="minorHAnsi"/>
                <w:sz w:val="19"/>
                <w:szCs w:val="19"/>
              </w:rPr>
              <w:t>71.3</w:t>
            </w:r>
          </w:p>
        </w:tc>
        <w:tc>
          <w:tcPr>
            <w:tcW w:w="1281" w:type="dxa"/>
            <w:tcBorders>
              <w:left w:val="single" w:sz="8" w:space="0" w:color="FFFFFF" w:themeColor="background1"/>
              <w:right w:val="single" w:sz="8" w:space="0" w:color="FFFFFF" w:themeColor="background1"/>
            </w:tcBorders>
            <w:shd w:val="clear" w:color="auto" w:fill="F2F2F2" w:themeFill="background1" w:themeFillShade="F2"/>
          </w:tcPr>
          <w:p w:rsidR="001B427F" w:rsidRPr="00B907A9" w:rsidRDefault="001B427F" w:rsidP="0097613D">
            <w:pPr>
              <w:tabs>
                <w:tab w:val="decimal" w:pos="571"/>
              </w:tabs>
              <w:spacing w:before="20" w:after="20"/>
              <w:rPr>
                <w:rFonts w:cstheme="minorHAnsi"/>
                <w:sz w:val="19"/>
                <w:szCs w:val="19"/>
              </w:rPr>
            </w:pPr>
            <w:r w:rsidRPr="00B907A9">
              <w:rPr>
                <w:rFonts w:cstheme="minorHAnsi"/>
                <w:sz w:val="19"/>
                <w:szCs w:val="19"/>
              </w:rPr>
              <w:t>0.0</w:t>
            </w:r>
          </w:p>
        </w:tc>
        <w:tc>
          <w:tcPr>
            <w:tcW w:w="1278" w:type="dxa"/>
            <w:tcBorders>
              <w:left w:val="single" w:sz="8" w:space="0" w:color="FFFFFF" w:themeColor="background1"/>
            </w:tcBorders>
            <w:shd w:val="clear" w:color="auto" w:fill="F2F2F2" w:themeFill="background1" w:themeFillShade="F2"/>
          </w:tcPr>
          <w:p w:rsidR="001B427F" w:rsidRPr="00B907A9" w:rsidRDefault="001B427F" w:rsidP="00BE6A61">
            <w:pPr>
              <w:tabs>
                <w:tab w:val="decimal" w:pos="591"/>
              </w:tabs>
              <w:spacing w:before="20" w:after="20"/>
              <w:ind w:right="-78"/>
              <w:rPr>
                <w:rFonts w:cstheme="minorHAnsi"/>
                <w:sz w:val="19"/>
                <w:szCs w:val="19"/>
              </w:rPr>
            </w:pPr>
            <w:r w:rsidRPr="00B907A9">
              <w:rPr>
                <w:rFonts w:cstheme="minorHAnsi"/>
                <w:sz w:val="19"/>
                <w:szCs w:val="19"/>
              </w:rPr>
              <w:t>28.7</w:t>
            </w:r>
          </w:p>
        </w:tc>
      </w:tr>
      <w:tr w:rsidR="00017A9E" w:rsidRPr="00B90E88" w:rsidTr="00D46BC4">
        <w:trPr>
          <w:trHeight w:val="340"/>
          <w:jc w:val="center"/>
        </w:trPr>
        <w:tc>
          <w:tcPr>
            <w:tcW w:w="4476" w:type="dxa"/>
          </w:tcPr>
          <w:p w:rsidR="001B427F" w:rsidRPr="00B907A9" w:rsidRDefault="001B427F" w:rsidP="00AE4C3A">
            <w:pPr>
              <w:spacing w:before="20" w:after="20"/>
              <w:rPr>
                <w:rFonts w:cstheme="minorHAnsi"/>
                <w:sz w:val="19"/>
                <w:szCs w:val="19"/>
              </w:rPr>
            </w:pPr>
            <w:r w:rsidRPr="00B907A9">
              <w:rPr>
                <w:rFonts w:cstheme="minorHAnsi"/>
                <w:sz w:val="19"/>
                <w:szCs w:val="19"/>
              </w:rPr>
              <w:t>Allied health worker</w:t>
            </w:r>
          </w:p>
        </w:tc>
        <w:tc>
          <w:tcPr>
            <w:tcW w:w="1077" w:type="dxa"/>
            <w:tcBorders>
              <w:right w:val="single" w:sz="8" w:space="0" w:color="FFFFFF" w:themeColor="background1"/>
            </w:tcBorders>
            <w:shd w:val="clear" w:color="auto" w:fill="F2F2F2" w:themeFill="background1" w:themeFillShade="F2"/>
            <w:vAlign w:val="center"/>
          </w:tcPr>
          <w:p w:rsidR="001B427F" w:rsidRPr="00B907A9" w:rsidRDefault="001B427F" w:rsidP="003A2DCE">
            <w:pPr>
              <w:tabs>
                <w:tab w:val="decimal" w:pos="470"/>
              </w:tabs>
              <w:spacing w:before="20" w:after="20"/>
              <w:rPr>
                <w:rFonts w:cstheme="minorHAnsi"/>
                <w:sz w:val="19"/>
                <w:szCs w:val="19"/>
              </w:rPr>
            </w:pPr>
            <w:r w:rsidRPr="00B907A9">
              <w:rPr>
                <w:rFonts w:cstheme="minorHAnsi"/>
                <w:sz w:val="19"/>
                <w:szCs w:val="19"/>
              </w:rPr>
              <w:t>71.5</w:t>
            </w:r>
          </w:p>
        </w:tc>
        <w:tc>
          <w:tcPr>
            <w:tcW w:w="1077" w:type="dxa"/>
            <w:tcBorders>
              <w:left w:val="single" w:sz="8" w:space="0" w:color="FFFFFF" w:themeColor="background1"/>
              <w:right w:val="single" w:sz="8" w:space="0" w:color="FFFFFF" w:themeColor="background1"/>
            </w:tcBorders>
            <w:shd w:val="clear" w:color="auto" w:fill="F2F2F2" w:themeFill="background1" w:themeFillShade="F2"/>
            <w:vAlign w:val="center"/>
          </w:tcPr>
          <w:p w:rsidR="001B427F" w:rsidRPr="00B907A9" w:rsidRDefault="001B427F" w:rsidP="00F35789">
            <w:pPr>
              <w:spacing w:before="20" w:after="20"/>
              <w:ind w:right="284"/>
              <w:jc w:val="right"/>
              <w:rPr>
                <w:rFonts w:cstheme="minorHAnsi"/>
                <w:sz w:val="19"/>
                <w:szCs w:val="19"/>
              </w:rPr>
            </w:pPr>
            <w:r w:rsidRPr="00B907A9">
              <w:rPr>
                <w:rFonts w:cstheme="minorHAnsi"/>
                <w:sz w:val="19"/>
                <w:szCs w:val="19"/>
              </w:rPr>
              <w:t>1.4</w:t>
            </w:r>
          </w:p>
        </w:tc>
        <w:tc>
          <w:tcPr>
            <w:tcW w:w="1077" w:type="dxa"/>
            <w:tcBorders>
              <w:left w:val="single" w:sz="8" w:space="0" w:color="FFFFFF" w:themeColor="background1"/>
              <w:right w:val="nil"/>
            </w:tcBorders>
            <w:shd w:val="clear" w:color="auto" w:fill="F2F2F2" w:themeFill="background1" w:themeFillShade="F2"/>
            <w:vAlign w:val="center"/>
          </w:tcPr>
          <w:p w:rsidR="001B427F" w:rsidRPr="00B907A9" w:rsidRDefault="001B427F" w:rsidP="00F35789">
            <w:pPr>
              <w:spacing w:before="20" w:after="20"/>
              <w:ind w:right="227"/>
              <w:jc w:val="right"/>
              <w:rPr>
                <w:rFonts w:cstheme="minorHAnsi"/>
                <w:sz w:val="19"/>
                <w:szCs w:val="19"/>
              </w:rPr>
            </w:pPr>
            <w:r w:rsidRPr="00B907A9">
              <w:rPr>
                <w:rFonts w:cstheme="minorHAnsi"/>
                <w:sz w:val="19"/>
                <w:szCs w:val="19"/>
              </w:rPr>
              <w:t>27.1</w:t>
            </w:r>
          </w:p>
        </w:tc>
        <w:tc>
          <w:tcPr>
            <w:tcW w:w="1247" w:type="dxa"/>
            <w:tcBorders>
              <w:left w:val="nil"/>
            </w:tcBorders>
            <w:vAlign w:val="center"/>
          </w:tcPr>
          <w:p w:rsidR="001B427F" w:rsidRPr="00B907A9" w:rsidRDefault="001B427F" w:rsidP="00D03E14">
            <w:pPr>
              <w:spacing w:before="20" w:after="20"/>
              <w:ind w:left="97" w:right="175"/>
              <w:jc w:val="right"/>
              <w:rPr>
                <w:rFonts w:cstheme="minorHAnsi"/>
                <w:sz w:val="19"/>
                <w:szCs w:val="19"/>
              </w:rPr>
            </w:pPr>
            <w:r w:rsidRPr="00B907A9">
              <w:rPr>
                <w:rFonts w:cstheme="minorHAnsi"/>
                <w:sz w:val="19"/>
                <w:szCs w:val="19"/>
              </w:rPr>
              <w:t>70.7</w:t>
            </w:r>
          </w:p>
        </w:tc>
        <w:tc>
          <w:tcPr>
            <w:tcW w:w="1247" w:type="dxa"/>
            <w:vAlign w:val="center"/>
          </w:tcPr>
          <w:p w:rsidR="001B427F" w:rsidRPr="00B907A9" w:rsidRDefault="001B427F" w:rsidP="00622E6D">
            <w:pPr>
              <w:spacing w:before="20" w:after="20"/>
              <w:ind w:right="397"/>
              <w:jc w:val="right"/>
              <w:rPr>
                <w:rFonts w:cstheme="minorHAnsi"/>
                <w:sz w:val="19"/>
                <w:szCs w:val="19"/>
              </w:rPr>
            </w:pPr>
            <w:r w:rsidRPr="00B907A9">
              <w:rPr>
                <w:rFonts w:cstheme="minorHAnsi"/>
                <w:sz w:val="19"/>
                <w:szCs w:val="19"/>
              </w:rPr>
              <w:t>1.4</w:t>
            </w:r>
          </w:p>
        </w:tc>
        <w:tc>
          <w:tcPr>
            <w:tcW w:w="1247" w:type="dxa"/>
            <w:tcBorders>
              <w:right w:val="nil"/>
            </w:tcBorders>
          </w:tcPr>
          <w:p w:rsidR="001B427F" w:rsidRPr="00B907A9" w:rsidRDefault="001B427F" w:rsidP="00622E6D">
            <w:pPr>
              <w:tabs>
                <w:tab w:val="decimal" w:pos="438"/>
              </w:tabs>
              <w:spacing w:before="20" w:after="20"/>
              <w:rPr>
                <w:rFonts w:cstheme="minorHAnsi"/>
                <w:sz w:val="19"/>
                <w:szCs w:val="19"/>
              </w:rPr>
            </w:pPr>
            <w:r w:rsidRPr="00B907A9">
              <w:rPr>
                <w:rFonts w:cstheme="minorHAnsi"/>
                <w:sz w:val="19"/>
                <w:szCs w:val="19"/>
              </w:rPr>
              <w:t>27.8</w:t>
            </w:r>
          </w:p>
        </w:tc>
        <w:tc>
          <w:tcPr>
            <w:tcW w:w="1361" w:type="dxa"/>
            <w:tcBorders>
              <w:left w:val="nil"/>
              <w:right w:val="single" w:sz="8" w:space="0" w:color="FFFFFF" w:themeColor="background1"/>
            </w:tcBorders>
            <w:shd w:val="clear" w:color="auto" w:fill="F2F2F2" w:themeFill="background1" w:themeFillShade="F2"/>
            <w:vAlign w:val="center"/>
          </w:tcPr>
          <w:p w:rsidR="001B427F" w:rsidRPr="00B907A9" w:rsidRDefault="001B427F" w:rsidP="00BE6A61">
            <w:pPr>
              <w:spacing w:before="20" w:after="20"/>
              <w:ind w:right="325"/>
              <w:jc w:val="right"/>
              <w:rPr>
                <w:rFonts w:cstheme="minorHAnsi"/>
                <w:sz w:val="19"/>
                <w:szCs w:val="19"/>
              </w:rPr>
            </w:pPr>
            <w:r w:rsidRPr="00B907A9">
              <w:rPr>
                <w:rFonts w:cstheme="minorHAnsi"/>
                <w:sz w:val="19"/>
                <w:szCs w:val="19"/>
              </w:rPr>
              <w:t>68.2</w:t>
            </w:r>
          </w:p>
        </w:tc>
        <w:tc>
          <w:tcPr>
            <w:tcW w:w="1281" w:type="dxa"/>
            <w:tcBorders>
              <w:left w:val="single" w:sz="8" w:space="0" w:color="FFFFFF" w:themeColor="background1"/>
              <w:right w:val="single" w:sz="8" w:space="0" w:color="FFFFFF" w:themeColor="background1"/>
            </w:tcBorders>
            <w:shd w:val="clear" w:color="auto" w:fill="F2F2F2" w:themeFill="background1" w:themeFillShade="F2"/>
          </w:tcPr>
          <w:p w:rsidR="001B427F" w:rsidRPr="00B907A9" w:rsidRDefault="001B427F" w:rsidP="0097613D">
            <w:pPr>
              <w:tabs>
                <w:tab w:val="decimal" w:pos="571"/>
              </w:tabs>
              <w:spacing w:before="20" w:after="20"/>
              <w:rPr>
                <w:rFonts w:cstheme="minorHAnsi"/>
                <w:sz w:val="19"/>
                <w:szCs w:val="19"/>
              </w:rPr>
            </w:pPr>
            <w:r w:rsidRPr="00B907A9">
              <w:rPr>
                <w:rFonts w:cstheme="minorHAnsi"/>
                <w:sz w:val="19"/>
                <w:szCs w:val="19"/>
              </w:rPr>
              <w:t>5.6</w:t>
            </w:r>
          </w:p>
        </w:tc>
        <w:tc>
          <w:tcPr>
            <w:tcW w:w="1278" w:type="dxa"/>
            <w:tcBorders>
              <w:left w:val="single" w:sz="8" w:space="0" w:color="FFFFFF" w:themeColor="background1"/>
            </w:tcBorders>
            <w:shd w:val="clear" w:color="auto" w:fill="F2F2F2" w:themeFill="background1" w:themeFillShade="F2"/>
          </w:tcPr>
          <w:p w:rsidR="001B427F" w:rsidRPr="00B907A9" w:rsidRDefault="001B427F" w:rsidP="00BE6A61">
            <w:pPr>
              <w:tabs>
                <w:tab w:val="decimal" w:pos="591"/>
              </w:tabs>
              <w:spacing w:before="20" w:after="20"/>
              <w:ind w:right="-78"/>
              <w:rPr>
                <w:rFonts w:cstheme="minorHAnsi"/>
                <w:sz w:val="19"/>
                <w:szCs w:val="19"/>
              </w:rPr>
            </w:pPr>
            <w:r w:rsidRPr="00B907A9">
              <w:rPr>
                <w:rFonts w:cstheme="minorHAnsi"/>
                <w:sz w:val="19"/>
                <w:szCs w:val="19"/>
              </w:rPr>
              <w:t>26.3</w:t>
            </w:r>
          </w:p>
        </w:tc>
      </w:tr>
      <w:tr w:rsidR="00017A9E" w:rsidRPr="00B90E88" w:rsidTr="00D46BC4">
        <w:trPr>
          <w:trHeight w:val="340"/>
          <w:jc w:val="center"/>
        </w:trPr>
        <w:tc>
          <w:tcPr>
            <w:tcW w:w="4476" w:type="dxa"/>
          </w:tcPr>
          <w:p w:rsidR="001B427F" w:rsidRPr="00B907A9" w:rsidRDefault="001B427F" w:rsidP="00AE4C3A">
            <w:pPr>
              <w:spacing w:before="20" w:after="20"/>
              <w:rPr>
                <w:rFonts w:cstheme="minorHAnsi"/>
                <w:sz w:val="19"/>
                <w:szCs w:val="19"/>
              </w:rPr>
            </w:pPr>
            <w:r w:rsidRPr="00B907A9">
              <w:rPr>
                <w:rFonts w:cstheme="minorHAnsi"/>
                <w:sz w:val="19"/>
                <w:szCs w:val="19"/>
              </w:rPr>
              <w:t>Other</w:t>
            </w:r>
          </w:p>
        </w:tc>
        <w:tc>
          <w:tcPr>
            <w:tcW w:w="1077" w:type="dxa"/>
            <w:tcBorders>
              <w:right w:val="single" w:sz="8" w:space="0" w:color="FFFFFF" w:themeColor="background1"/>
            </w:tcBorders>
            <w:shd w:val="clear" w:color="auto" w:fill="F2F2F2" w:themeFill="background1" w:themeFillShade="F2"/>
            <w:vAlign w:val="center"/>
          </w:tcPr>
          <w:p w:rsidR="001B427F" w:rsidRPr="00B907A9" w:rsidRDefault="001B427F" w:rsidP="003A2DCE">
            <w:pPr>
              <w:tabs>
                <w:tab w:val="decimal" w:pos="470"/>
              </w:tabs>
              <w:spacing w:before="20" w:after="20"/>
              <w:rPr>
                <w:rFonts w:cstheme="minorHAnsi"/>
                <w:sz w:val="19"/>
                <w:szCs w:val="19"/>
              </w:rPr>
            </w:pPr>
            <w:r w:rsidRPr="00B907A9">
              <w:rPr>
                <w:rFonts w:cstheme="minorHAnsi"/>
                <w:sz w:val="19"/>
                <w:szCs w:val="19"/>
              </w:rPr>
              <w:t>67.1</w:t>
            </w:r>
          </w:p>
        </w:tc>
        <w:tc>
          <w:tcPr>
            <w:tcW w:w="1077" w:type="dxa"/>
            <w:tcBorders>
              <w:left w:val="single" w:sz="8" w:space="0" w:color="FFFFFF" w:themeColor="background1"/>
              <w:right w:val="single" w:sz="8" w:space="0" w:color="FFFFFF" w:themeColor="background1"/>
            </w:tcBorders>
            <w:shd w:val="clear" w:color="auto" w:fill="F2F2F2" w:themeFill="background1" w:themeFillShade="F2"/>
            <w:vAlign w:val="center"/>
          </w:tcPr>
          <w:p w:rsidR="001B427F" w:rsidRPr="00B907A9" w:rsidRDefault="001B427F" w:rsidP="00F35789">
            <w:pPr>
              <w:spacing w:before="20" w:after="20"/>
              <w:ind w:right="284"/>
              <w:jc w:val="right"/>
              <w:rPr>
                <w:rFonts w:cstheme="minorHAnsi"/>
                <w:sz w:val="19"/>
                <w:szCs w:val="19"/>
              </w:rPr>
            </w:pPr>
            <w:r w:rsidRPr="00B907A9">
              <w:rPr>
                <w:rFonts w:cstheme="minorHAnsi"/>
                <w:sz w:val="19"/>
                <w:szCs w:val="19"/>
              </w:rPr>
              <w:t>1.2</w:t>
            </w:r>
          </w:p>
        </w:tc>
        <w:tc>
          <w:tcPr>
            <w:tcW w:w="1077" w:type="dxa"/>
            <w:tcBorders>
              <w:left w:val="single" w:sz="8" w:space="0" w:color="FFFFFF" w:themeColor="background1"/>
              <w:right w:val="nil"/>
            </w:tcBorders>
            <w:shd w:val="clear" w:color="auto" w:fill="F2F2F2" w:themeFill="background1" w:themeFillShade="F2"/>
            <w:vAlign w:val="center"/>
          </w:tcPr>
          <w:p w:rsidR="001B427F" w:rsidRPr="00B907A9" w:rsidRDefault="001B427F" w:rsidP="00F35789">
            <w:pPr>
              <w:spacing w:before="20" w:after="20"/>
              <w:ind w:right="227"/>
              <w:jc w:val="right"/>
              <w:rPr>
                <w:rFonts w:cstheme="minorHAnsi"/>
                <w:sz w:val="19"/>
                <w:szCs w:val="19"/>
              </w:rPr>
            </w:pPr>
            <w:r w:rsidRPr="00B907A9">
              <w:rPr>
                <w:rFonts w:cstheme="minorHAnsi"/>
                <w:sz w:val="19"/>
                <w:szCs w:val="19"/>
              </w:rPr>
              <w:t>31.7</w:t>
            </w:r>
          </w:p>
        </w:tc>
        <w:tc>
          <w:tcPr>
            <w:tcW w:w="1247" w:type="dxa"/>
            <w:tcBorders>
              <w:left w:val="nil"/>
            </w:tcBorders>
            <w:vAlign w:val="center"/>
          </w:tcPr>
          <w:p w:rsidR="001B427F" w:rsidRPr="00B907A9" w:rsidRDefault="001B427F" w:rsidP="00D03E14">
            <w:pPr>
              <w:spacing w:before="20" w:after="20"/>
              <w:ind w:left="97" w:right="175"/>
              <w:jc w:val="right"/>
              <w:rPr>
                <w:rFonts w:cstheme="minorHAnsi"/>
                <w:sz w:val="19"/>
                <w:szCs w:val="19"/>
              </w:rPr>
            </w:pPr>
            <w:r w:rsidRPr="00B907A9">
              <w:rPr>
                <w:rFonts w:cstheme="minorHAnsi"/>
                <w:sz w:val="19"/>
                <w:szCs w:val="19"/>
              </w:rPr>
              <w:t>67.1</w:t>
            </w:r>
          </w:p>
        </w:tc>
        <w:tc>
          <w:tcPr>
            <w:tcW w:w="1247" w:type="dxa"/>
            <w:vAlign w:val="center"/>
          </w:tcPr>
          <w:p w:rsidR="001B427F" w:rsidRPr="00B907A9" w:rsidRDefault="001B427F" w:rsidP="00622E6D">
            <w:pPr>
              <w:spacing w:before="20" w:after="20"/>
              <w:ind w:right="397"/>
              <w:jc w:val="right"/>
              <w:rPr>
                <w:rFonts w:cstheme="minorHAnsi"/>
                <w:sz w:val="19"/>
                <w:szCs w:val="19"/>
              </w:rPr>
            </w:pPr>
            <w:r w:rsidRPr="00B907A9">
              <w:rPr>
                <w:rFonts w:cstheme="minorHAnsi"/>
                <w:sz w:val="19"/>
                <w:szCs w:val="19"/>
              </w:rPr>
              <w:t>0.3</w:t>
            </w:r>
          </w:p>
        </w:tc>
        <w:tc>
          <w:tcPr>
            <w:tcW w:w="1247" w:type="dxa"/>
            <w:tcBorders>
              <w:right w:val="nil"/>
            </w:tcBorders>
          </w:tcPr>
          <w:p w:rsidR="001B427F" w:rsidRPr="00B907A9" w:rsidRDefault="001B427F" w:rsidP="00622E6D">
            <w:pPr>
              <w:tabs>
                <w:tab w:val="decimal" w:pos="438"/>
              </w:tabs>
              <w:spacing w:before="20" w:after="20"/>
              <w:rPr>
                <w:rFonts w:cstheme="minorHAnsi"/>
                <w:sz w:val="19"/>
                <w:szCs w:val="19"/>
              </w:rPr>
            </w:pPr>
            <w:r w:rsidRPr="00B907A9">
              <w:rPr>
                <w:rFonts w:cstheme="minorHAnsi"/>
                <w:sz w:val="19"/>
                <w:szCs w:val="19"/>
              </w:rPr>
              <w:t>32.6</w:t>
            </w:r>
          </w:p>
        </w:tc>
        <w:tc>
          <w:tcPr>
            <w:tcW w:w="1361" w:type="dxa"/>
            <w:tcBorders>
              <w:left w:val="nil"/>
              <w:right w:val="single" w:sz="8" w:space="0" w:color="FFFFFF" w:themeColor="background1"/>
            </w:tcBorders>
            <w:shd w:val="clear" w:color="auto" w:fill="F2F2F2" w:themeFill="background1" w:themeFillShade="F2"/>
            <w:vAlign w:val="center"/>
          </w:tcPr>
          <w:p w:rsidR="001B427F" w:rsidRPr="00B907A9" w:rsidRDefault="001B427F" w:rsidP="00BE6A61">
            <w:pPr>
              <w:spacing w:before="20" w:after="20"/>
              <w:ind w:right="325"/>
              <w:jc w:val="right"/>
              <w:rPr>
                <w:rFonts w:cstheme="minorHAnsi"/>
                <w:sz w:val="19"/>
                <w:szCs w:val="19"/>
              </w:rPr>
            </w:pPr>
            <w:r w:rsidRPr="00B907A9">
              <w:rPr>
                <w:rFonts w:cstheme="minorHAnsi"/>
                <w:sz w:val="19"/>
                <w:szCs w:val="19"/>
              </w:rPr>
              <w:t>66.1</w:t>
            </w:r>
          </w:p>
        </w:tc>
        <w:tc>
          <w:tcPr>
            <w:tcW w:w="1281" w:type="dxa"/>
            <w:tcBorders>
              <w:left w:val="single" w:sz="8" w:space="0" w:color="FFFFFF" w:themeColor="background1"/>
              <w:right w:val="single" w:sz="8" w:space="0" w:color="FFFFFF" w:themeColor="background1"/>
            </w:tcBorders>
            <w:shd w:val="clear" w:color="auto" w:fill="F2F2F2" w:themeFill="background1" w:themeFillShade="F2"/>
          </w:tcPr>
          <w:p w:rsidR="001B427F" w:rsidRPr="00B907A9" w:rsidRDefault="001B427F" w:rsidP="0097613D">
            <w:pPr>
              <w:tabs>
                <w:tab w:val="decimal" w:pos="571"/>
              </w:tabs>
              <w:spacing w:before="20" w:after="20"/>
              <w:rPr>
                <w:rFonts w:cstheme="minorHAnsi"/>
                <w:sz w:val="19"/>
                <w:szCs w:val="19"/>
              </w:rPr>
            </w:pPr>
            <w:r w:rsidRPr="00B907A9">
              <w:rPr>
                <w:rFonts w:cstheme="minorHAnsi"/>
                <w:sz w:val="19"/>
                <w:szCs w:val="19"/>
              </w:rPr>
              <w:t>1.9</w:t>
            </w:r>
          </w:p>
        </w:tc>
        <w:tc>
          <w:tcPr>
            <w:tcW w:w="1278" w:type="dxa"/>
            <w:tcBorders>
              <w:left w:val="single" w:sz="8" w:space="0" w:color="FFFFFF" w:themeColor="background1"/>
            </w:tcBorders>
            <w:shd w:val="clear" w:color="auto" w:fill="F2F2F2" w:themeFill="background1" w:themeFillShade="F2"/>
          </w:tcPr>
          <w:p w:rsidR="001B427F" w:rsidRPr="00B907A9" w:rsidRDefault="001B427F" w:rsidP="00BE6A61">
            <w:pPr>
              <w:tabs>
                <w:tab w:val="decimal" w:pos="591"/>
              </w:tabs>
              <w:spacing w:before="20" w:after="20"/>
              <w:ind w:right="-78"/>
              <w:rPr>
                <w:rFonts w:cstheme="minorHAnsi"/>
                <w:sz w:val="19"/>
                <w:szCs w:val="19"/>
              </w:rPr>
            </w:pPr>
            <w:r w:rsidRPr="00B907A9">
              <w:rPr>
                <w:rFonts w:cstheme="minorHAnsi"/>
                <w:sz w:val="19"/>
                <w:szCs w:val="19"/>
              </w:rPr>
              <w:t>32.0</w:t>
            </w:r>
          </w:p>
        </w:tc>
      </w:tr>
      <w:tr w:rsidR="00017A9E" w:rsidRPr="00B90E88" w:rsidTr="00D46BC4">
        <w:trPr>
          <w:trHeight w:val="340"/>
          <w:jc w:val="center"/>
        </w:trPr>
        <w:tc>
          <w:tcPr>
            <w:tcW w:w="4476" w:type="dxa"/>
            <w:tcBorders>
              <w:bottom w:val="single" w:sz="4" w:space="0" w:color="auto"/>
            </w:tcBorders>
          </w:tcPr>
          <w:p w:rsidR="001B427F" w:rsidRPr="00B907A9" w:rsidRDefault="001B427F" w:rsidP="00AE4C3A">
            <w:pPr>
              <w:spacing w:before="20" w:after="20"/>
              <w:rPr>
                <w:rFonts w:cstheme="minorHAnsi"/>
                <w:b/>
                <w:sz w:val="19"/>
                <w:szCs w:val="19"/>
              </w:rPr>
            </w:pPr>
            <w:r w:rsidRPr="00B907A9">
              <w:rPr>
                <w:rFonts w:cstheme="minorHAnsi"/>
                <w:b/>
                <w:sz w:val="19"/>
                <w:szCs w:val="19"/>
              </w:rPr>
              <w:t>All occupations</w:t>
            </w:r>
          </w:p>
        </w:tc>
        <w:tc>
          <w:tcPr>
            <w:tcW w:w="1077" w:type="dxa"/>
            <w:tcBorders>
              <w:bottom w:val="single" w:sz="4" w:space="0" w:color="auto"/>
              <w:right w:val="single" w:sz="8" w:space="0" w:color="FFFFFF" w:themeColor="background1"/>
            </w:tcBorders>
            <w:shd w:val="clear" w:color="auto" w:fill="F2F2F2" w:themeFill="background1" w:themeFillShade="F2"/>
            <w:vAlign w:val="center"/>
          </w:tcPr>
          <w:p w:rsidR="001B427F" w:rsidRPr="00B907A9" w:rsidRDefault="001B427F" w:rsidP="003A2DCE">
            <w:pPr>
              <w:tabs>
                <w:tab w:val="decimal" w:pos="470"/>
              </w:tabs>
              <w:spacing w:before="20" w:after="20"/>
              <w:rPr>
                <w:rFonts w:cstheme="minorHAnsi"/>
                <w:b/>
                <w:sz w:val="19"/>
                <w:szCs w:val="19"/>
              </w:rPr>
            </w:pPr>
            <w:r w:rsidRPr="00B907A9">
              <w:rPr>
                <w:rFonts w:cstheme="minorHAnsi"/>
                <w:b/>
                <w:sz w:val="19"/>
                <w:szCs w:val="19"/>
              </w:rPr>
              <w:t>69.3</w:t>
            </w:r>
          </w:p>
        </w:tc>
        <w:tc>
          <w:tcPr>
            <w:tcW w:w="1077" w:type="dxa"/>
            <w:tcBorders>
              <w:left w:val="single" w:sz="8" w:space="0" w:color="FFFFFF" w:themeColor="background1"/>
              <w:bottom w:val="single" w:sz="4" w:space="0" w:color="auto"/>
              <w:right w:val="single" w:sz="8" w:space="0" w:color="FFFFFF" w:themeColor="background1"/>
            </w:tcBorders>
            <w:shd w:val="clear" w:color="auto" w:fill="F2F2F2" w:themeFill="background1" w:themeFillShade="F2"/>
            <w:vAlign w:val="center"/>
          </w:tcPr>
          <w:p w:rsidR="001B427F" w:rsidRPr="00B907A9" w:rsidRDefault="001B427F" w:rsidP="00F35789">
            <w:pPr>
              <w:spacing w:before="20" w:after="20"/>
              <w:ind w:right="284"/>
              <w:jc w:val="right"/>
              <w:rPr>
                <w:rFonts w:cstheme="minorHAnsi"/>
                <w:b/>
                <w:sz w:val="19"/>
                <w:szCs w:val="19"/>
              </w:rPr>
            </w:pPr>
            <w:r w:rsidRPr="00B907A9">
              <w:rPr>
                <w:rFonts w:cstheme="minorHAnsi"/>
                <w:b/>
                <w:sz w:val="19"/>
                <w:szCs w:val="19"/>
              </w:rPr>
              <w:t>13.9</w:t>
            </w:r>
          </w:p>
        </w:tc>
        <w:tc>
          <w:tcPr>
            <w:tcW w:w="1077" w:type="dxa"/>
            <w:tcBorders>
              <w:left w:val="single" w:sz="8" w:space="0" w:color="FFFFFF" w:themeColor="background1"/>
              <w:bottom w:val="single" w:sz="4" w:space="0" w:color="auto"/>
              <w:right w:val="nil"/>
            </w:tcBorders>
            <w:shd w:val="clear" w:color="auto" w:fill="F2F2F2" w:themeFill="background1" w:themeFillShade="F2"/>
            <w:vAlign w:val="center"/>
          </w:tcPr>
          <w:p w:rsidR="001B427F" w:rsidRPr="00B907A9" w:rsidRDefault="001B427F" w:rsidP="00F35789">
            <w:pPr>
              <w:spacing w:before="20" w:after="20"/>
              <w:ind w:right="227"/>
              <w:jc w:val="right"/>
              <w:rPr>
                <w:rFonts w:cstheme="minorHAnsi"/>
                <w:b/>
                <w:sz w:val="19"/>
                <w:szCs w:val="19"/>
              </w:rPr>
            </w:pPr>
            <w:r w:rsidRPr="00B907A9">
              <w:rPr>
                <w:rFonts w:cstheme="minorHAnsi"/>
                <w:b/>
                <w:sz w:val="19"/>
                <w:szCs w:val="19"/>
              </w:rPr>
              <w:t>16.8</w:t>
            </w:r>
          </w:p>
        </w:tc>
        <w:tc>
          <w:tcPr>
            <w:tcW w:w="1247" w:type="dxa"/>
            <w:tcBorders>
              <w:left w:val="nil"/>
              <w:bottom w:val="single" w:sz="4" w:space="0" w:color="auto"/>
            </w:tcBorders>
            <w:vAlign w:val="center"/>
          </w:tcPr>
          <w:p w:rsidR="001B427F" w:rsidRPr="00B907A9" w:rsidRDefault="001B427F" w:rsidP="00D03E14">
            <w:pPr>
              <w:spacing w:before="20" w:after="20"/>
              <w:ind w:left="97" w:right="175"/>
              <w:jc w:val="right"/>
              <w:rPr>
                <w:rFonts w:cstheme="minorHAnsi"/>
                <w:b/>
                <w:sz w:val="19"/>
                <w:szCs w:val="19"/>
              </w:rPr>
            </w:pPr>
            <w:r w:rsidRPr="00B907A9">
              <w:rPr>
                <w:rFonts w:cstheme="minorHAnsi"/>
                <w:b/>
                <w:sz w:val="19"/>
                <w:szCs w:val="19"/>
              </w:rPr>
              <w:t>72.2</w:t>
            </w:r>
          </w:p>
        </w:tc>
        <w:tc>
          <w:tcPr>
            <w:tcW w:w="1247" w:type="dxa"/>
            <w:tcBorders>
              <w:bottom w:val="single" w:sz="4" w:space="0" w:color="auto"/>
            </w:tcBorders>
            <w:vAlign w:val="center"/>
          </w:tcPr>
          <w:p w:rsidR="001B427F" w:rsidRPr="00B907A9" w:rsidRDefault="001B427F" w:rsidP="00622E6D">
            <w:pPr>
              <w:spacing w:before="20" w:after="20"/>
              <w:ind w:right="397"/>
              <w:jc w:val="right"/>
              <w:rPr>
                <w:rFonts w:cstheme="minorHAnsi"/>
                <w:b/>
                <w:sz w:val="19"/>
                <w:szCs w:val="19"/>
              </w:rPr>
            </w:pPr>
            <w:r w:rsidRPr="00B907A9">
              <w:rPr>
                <w:rFonts w:cstheme="minorHAnsi"/>
                <w:b/>
                <w:sz w:val="19"/>
                <w:szCs w:val="19"/>
              </w:rPr>
              <w:t>8.2</w:t>
            </w:r>
          </w:p>
        </w:tc>
        <w:tc>
          <w:tcPr>
            <w:tcW w:w="1247" w:type="dxa"/>
            <w:tcBorders>
              <w:bottom w:val="single" w:sz="4" w:space="0" w:color="auto"/>
              <w:right w:val="nil"/>
            </w:tcBorders>
          </w:tcPr>
          <w:p w:rsidR="001B427F" w:rsidRPr="00B907A9" w:rsidRDefault="001B427F" w:rsidP="00622E6D">
            <w:pPr>
              <w:tabs>
                <w:tab w:val="decimal" w:pos="438"/>
              </w:tabs>
              <w:spacing w:before="20" w:after="20"/>
              <w:rPr>
                <w:rFonts w:cstheme="minorHAnsi"/>
                <w:b/>
                <w:sz w:val="19"/>
                <w:szCs w:val="19"/>
              </w:rPr>
            </w:pPr>
            <w:r w:rsidRPr="00B907A9">
              <w:rPr>
                <w:rFonts w:cstheme="minorHAnsi"/>
                <w:b/>
                <w:sz w:val="19"/>
                <w:szCs w:val="19"/>
              </w:rPr>
              <w:t>19.7</w:t>
            </w:r>
          </w:p>
        </w:tc>
        <w:tc>
          <w:tcPr>
            <w:tcW w:w="1361" w:type="dxa"/>
            <w:tcBorders>
              <w:left w:val="nil"/>
              <w:bottom w:val="single" w:sz="4" w:space="0" w:color="auto"/>
              <w:right w:val="single" w:sz="8" w:space="0" w:color="FFFFFF" w:themeColor="background1"/>
            </w:tcBorders>
            <w:shd w:val="clear" w:color="auto" w:fill="F2F2F2" w:themeFill="background1" w:themeFillShade="F2"/>
            <w:vAlign w:val="center"/>
          </w:tcPr>
          <w:p w:rsidR="001B427F" w:rsidRPr="00B907A9" w:rsidRDefault="001B427F" w:rsidP="00BE6A61">
            <w:pPr>
              <w:spacing w:before="20" w:after="20"/>
              <w:ind w:right="325"/>
              <w:jc w:val="right"/>
              <w:rPr>
                <w:rFonts w:cstheme="minorHAnsi"/>
                <w:b/>
                <w:sz w:val="19"/>
                <w:szCs w:val="19"/>
              </w:rPr>
            </w:pPr>
            <w:r w:rsidRPr="00B907A9">
              <w:rPr>
                <w:rFonts w:cstheme="minorHAnsi"/>
                <w:b/>
                <w:sz w:val="19"/>
                <w:szCs w:val="19"/>
              </w:rPr>
              <w:t>71.0</w:t>
            </w:r>
          </w:p>
        </w:tc>
        <w:tc>
          <w:tcPr>
            <w:tcW w:w="1281" w:type="dxa"/>
            <w:tcBorders>
              <w:left w:val="single" w:sz="8" w:space="0" w:color="FFFFFF" w:themeColor="background1"/>
              <w:bottom w:val="single" w:sz="4" w:space="0" w:color="auto"/>
              <w:right w:val="single" w:sz="8" w:space="0" w:color="FFFFFF" w:themeColor="background1"/>
            </w:tcBorders>
            <w:shd w:val="clear" w:color="auto" w:fill="F2F2F2" w:themeFill="background1" w:themeFillShade="F2"/>
          </w:tcPr>
          <w:p w:rsidR="001B427F" w:rsidRPr="00B907A9" w:rsidRDefault="001B427F" w:rsidP="0097613D">
            <w:pPr>
              <w:tabs>
                <w:tab w:val="decimal" w:pos="571"/>
              </w:tabs>
              <w:spacing w:before="20" w:after="20"/>
              <w:rPr>
                <w:rFonts w:cstheme="minorHAnsi"/>
                <w:b/>
                <w:sz w:val="19"/>
                <w:szCs w:val="19"/>
              </w:rPr>
            </w:pPr>
            <w:r w:rsidRPr="00B907A9">
              <w:rPr>
                <w:rFonts w:cstheme="minorHAnsi"/>
                <w:b/>
                <w:sz w:val="19"/>
                <w:szCs w:val="19"/>
              </w:rPr>
              <w:t>10.9</w:t>
            </w:r>
          </w:p>
        </w:tc>
        <w:tc>
          <w:tcPr>
            <w:tcW w:w="1278" w:type="dxa"/>
            <w:tcBorders>
              <w:left w:val="single" w:sz="8" w:space="0" w:color="FFFFFF" w:themeColor="background1"/>
              <w:bottom w:val="single" w:sz="4" w:space="0" w:color="auto"/>
            </w:tcBorders>
            <w:shd w:val="clear" w:color="auto" w:fill="F2F2F2" w:themeFill="background1" w:themeFillShade="F2"/>
          </w:tcPr>
          <w:p w:rsidR="001B427F" w:rsidRPr="00B907A9" w:rsidRDefault="001B427F" w:rsidP="00BE6A61">
            <w:pPr>
              <w:tabs>
                <w:tab w:val="decimal" w:pos="591"/>
              </w:tabs>
              <w:spacing w:before="20" w:after="20"/>
              <w:ind w:right="-78"/>
              <w:rPr>
                <w:rFonts w:cstheme="minorHAnsi"/>
                <w:b/>
                <w:sz w:val="19"/>
                <w:szCs w:val="19"/>
              </w:rPr>
            </w:pPr>
            <w:r w:rsidRPr="00B907A9">
              <w:rPr>
                <w:rFonts w:cstheme="minorHAnsi"/>
                <w:b/>
                <w:sz w:val="19"/>
                <w:szCs w:val="19"/>
              </w:rPr>
              <w:t>18.1</w:t>
            </w:r>
          </w:p>
        </w:tc>
      </w:tr>
      <w:tr w:rsidR="00017A9E" w:rsidRPr="00B90E88" w:rsidTr="00D46BC4">
        <w:trPr>
          <w:jc w:val="center"/>
        </w:trPr>
        <w:tc>
          <w:tcPr>
            <w:tcW w:w="4476" w:type="dxa"/>
            <w:tcBorders>
              <w:top w:val="single" w:sz="4" w:space="0" w:color="auto"/>
              <w:bottom w:val="single" w:sz="4" w:space="0" w:color="auto"/>
            </w:tcBorders>
          </w:tcPr>
          <w:p w:rsidR="000664C4" w:rsidRPr="00B907A9" w:rsidRDefault="000664C4" w:rsidP="00AE4C3A">
            <w:pPr>
              <w:spacing w:before="20" w:after="20"/>
              <w:rPr>
                <w:rFonts w:cstheme="minorHAnsi"/>
                <w:sz w:val="19"/>
                <w:szCs w:val="19"/>
              </w:rPr>
            </w:pPr>
            <w:r w:rsidRPr="00B907A9">
              <w:rPr>
                <w:rFonts w:cstheme="minorHAnsi"/>
                <w:b/>
                <w:sz w:val="19"/>
                <w:szCs w:val="19"/>
              </w:rPr>
              <w:t xml:space="preserve">Total number of outlets  697 </w:t>
            </w:r>
          </w:p>
        </w:tc>
        <w:tc>
          <w:tcPr>
            <w:tcW w:w="10892" w:type="dxa"/>
            <w:gridSpan w:val="9"/>
            <w:tcBorders>
              <w:top w:val="single" w:sz="4" w:space="0" w:color="auto"/>
              <w:bottom w:val="single" w:sz="4" w:space="0" w:color="auto"/>
            </w:tcBorders>
          </w:tcPr>
          <w:p w:rsidR="000664C4" w:rsidRPr="00B907A9" w:rsidRDefault="000664C4" w:rsidP="00AE4C3A">
            <w:pPr>
              <w:tabs>
                <w:tab w:val="decimal" w:pos="470"/>
              </w:tabs>
              <w:spacing w:before="20" w:after="20"/>
              <w:rPr>
                <w:rFonts w:cstheme="minorHAnsi"/>
                <w:b/>
                <w:sz w:val="19"/>
                <w:szCs w:val="19"/>
              </w:rPr>
            </w:pPr>
          </w:p>
        </w:tc>
      </w:tr>
    </w:tbl>
    <w:p w:rsidR="00685BE5" w:rsidRPr="00E3331B" w:rsidRDefault="00685BE5" w:rsidP="00AE4C3A">
      <w:pPr>
        <w:pStyle w:val="NILSReference"/>
      </w:pPr>
      <w:r w:rsidRPr="00E3331B">
        <w:t>Source: 2014 NDIS DSP outlet survey, Questions D1.</w:t>
      </w:r>
    </w:p>
    <w:p w:rsidR="00685BE5" w:rsidRPr="00E3331B" w:rsidRDefault="00685BE5" w:rsidP="00AE4C3A">
      <w:pPr>
        <w:pStyle w:val="NILSReference"/>
        <w:sectPr w:rsidR="00685BE5" w:rsidRPr="00E3331B" w:rsidSect="00AE4C3A">
          <w:footnotePr>
            <w:numStart w:val="2"/>
          </w:footnotePr>
          <w:pgSz w:w="16838" w:h="11906" w:orient="landscape" w:code="9"/>
          <w:pgMar w:top="1418" w:right="1418" w:bottom="1418" w:left="1247" w:header="709" w:footer="709" w:gutter="0"/>
          <w:cols w:space="709"/>
          <w:docGrid w:linePitch="299"/>
        </w:sectPr>
      </w:pPr>
      <w:r w:rsidRPr="00E3331B">
        <w:t xml:space="preserve">Note: Row percentages are shown. Each row sums to 100 within ‘agency’, within ‘brokered’ and within ‘self-employed’. </w:t>
      </w:r>
    </w:p>
    <w:p w:rsidR="00685BE5" w:rsidRPr="00E352D7" w:rsidRDefault="00685BE5" w:rsidP="00367B24">
      <w:pPr>
        <w:pStyle w:val="Heading3"/>
      </w:pPr>
      <w:bookmarkStart w:id="537" w:name="_Toc428279190"/>
      <w:bookmarkStart w:id="538" w:name="_Toc449955038"/>
      <w:r>
        <w:lastRenderedPageBreak/>
        <w:t>4.2.6 Volunteers</w:t>
      </w:r>
      <w:bookmarkEnd w:id="537"/>
      <w:bookmarkEnd w:id="538"/>
    </w:p>
    <w:p w:rsidR="00685BE5" w:rsidRDefault="00685BE5" w:rsidP="00AE4C3A">
      <w:pPr>
        <w:rPr>
          <w:rFonts w:cstheme="minorHAnsi"/>
        </w:rPr>
      </w:pPr>
      <w:r w:rsidRPr="00EB5F9F">
        <w:rPr>
          <w:rFonts w:cstheme="minorHAnsi"/>
        </w:rPr>
        <w:t xml:space="preserve">Some DSP outlets use </w:t>
      </w:r>
      <w:r w:rsidRPr="0027582A">
        <w:rPr>
          <w:rFonts w:cstheme="minorHAnsi"/>
        </w:rPr>
        <w:t xml:space="preserve">volunteers within their workforce to augment service delivery. This section reflects information about the number of volunteers and the hours they contributed within outlet services. Outlet managers were asked to record this information for the previous week when completing the survey. Table </w:t>
      </w:r>
      <w:r>
        <w:rPr>
          <w:rFonts w:cstheme="minorHAnsi"/>
        </w:rPr>
        <w:t>4.14</w:t>
      </w:r>
      <w:r w:rsidRPr="0027582A">
        <w:rPr>
          <w:rFonts w:cstheme="minorHAnsi"/>
        </w:rPr>
        <w:t xml:space="preserve"> shows </w:t>
      </w:r>
      <w:r>
        <w:rPr>
          <w:rFonts w:cstheme="minorHAnsi"/>
        </w:rPr>
        <w:t xml:space="preserve">that </w:t>
      </w:r>
      <w:r w:rsidRPr="00DD74B2">
        <w:rPr>
          <w:rFonts w:eastAsia="Times New Roman" w:cstheme="minorHAnsi"/>
          <w:lang w:val="en-US"/>
        </w:rPr>
        <w:t>about half of outlets had no volunteers</w:t>
      </w:r>
      <w:r>
        <w:rPr>
          <w:rFonts w:eastAsia="Times New Roman" w:cstheme="minorHAnsi"/>
          <w:lang w:val="en-US"/>
        </w:rPr>
        <w:t xml:space="preserve"> in the previous week.</w:t>
      </w:r>
      <w:r w:rsidRPr="00DD74B2">
        <w:rPr>
          <w:rFonts w:eastAsia="Times New Roman" w:cstheme="minorHAnsi"/>
          <w:lang w:val="en-US"/>
        </w:rPr>
        <w:t xml:space="preserve"> Around</w:t>
      </w:r>
      <w:r w:rsidRPr="0027582A">
        <w:rPr>
          <w:rFonts w:cstheme="minorHAnsi"/>
        </w:rPr>
        <w:t xml:space="preserve"> a</w:t>
      </w:r>
      <w:r>
        <w:rPr>
          <w:rFonts w:cstheme="minorHAnsi"/>
        </w:rPr>
        <w:t xml:space="preserve"> quarter of outlets reported having one to five volunteers. A total of 21.2 per cent of all outlets received the equivalent of at least 20 hours of voluntary work in the last week. </w:t>
      </w:r>
    </w:p>
    <w:p w:rsidR="003A37B0" w:rsidRDefault="003A37B0" w:rsidP="00AE4C3A">
      <w:pPr>
        <w:rPr>
          <w:rFonts w:cstheme="minorHAnsi"/>
        </w:rPr>
      </w:pPr>
    </w:p>
    <w:p w:rsidR="00685BE5" w:rsidRDefault="00685BE5" w:rsidP="00AE4C3A">
      <w:pPr>
        <w:rPr>
          <w:rFonts w:cstheme="minorHAnsi"/>
        </w:rPr>
      </w:pPr>
      <w:r>
        <w:rPr>
          <w:rFonts w:cstheme="minorHAnsi"/>
        </w:rPr>
        <w:t>The</w:t>
      </w:r>
      <w:r w:rsidRPr="0027582A">
        <w:rPr>
          <w:rFonts w:cstheme="minorHAnsi"/>
        </w:rPr>
        <w:t xml:space="preserve"> number of volunteers and the </w:t>
      </w:r>
      <w:r>
        <w:rPr>
          <w:rFonts w:cstheme="minorHAnsi"/>
        </w:rPr>
        <w:t xml:space="preserve">weekly </w:t>
      </w:r>
      <w:r w:rsidRPr="0027582A">
        <w:rPr>
          <w:rFonts w:cstheme="minorHAnsi"/>
        </w:rPr>
        <w:t>hours they</w:t>
      </w:r>
      <w:r>
        <w:rPr>
          <w:rFonts w:cstheme="minorHAnsi"/>
        </w:rPr>
        <w:t xml:space="preserve"> worked was also explored by distinguishing between large and small outlets (small defined as up to 18 staff and large as 19 or more staff, see notes for Table 4.12 earlier). This further analysis (not shown) indicat</w:t>
      </w:r>
      <w:r w:rsidRPr="00896CF0">
        <w:rPr>
          <w:rFonts w:cstheme="minorHAnsi"/>
        </w:rPr>
        <w:t>es that a</w:t>
      </w:r>
      <w:r>
        <w:rPr>
          <w:rFonts w:cstheme="minorHAnsi"/>
        </w:rPr>
        <w:t>bout half of both small and large outlets had volunteers. The numbers tended to be small, although 12 per cent of the larger outlets had 11 or more volunteers.</w:t>
      </w:r>
    </w:p>
    <w:p w:rsidR="003A37B0" w:rsidRDefault="003A37B0" w:rsidP="00AE4C3A">
      <w:pPr>
        <w:rPr>
          <w:rFonts w:cstheme="minorHAnsi"/>
        </w:rPr>
      </w:pPr>
    </w:p>
    <w:p w:rsidR="00685BE5" w:rsidRPr="00AE7C41" w:rsidRDefault="00685BE5" w:rsidP="0044684E">
      <w:pPr>
        <w:pStyle w:val="NILSTableHeading"/>
        <w:rPr>
          <w:lang w:val="en-AU"/>
        </w:rPr>
      </w:pPr>
      <w:bookmarkStart w:id="539" w:name="_Toc428279219"/>
      <w:bookmarkStart w:id="540" w:name="_Toc449955350"/>
      <w:bookmarkStart w:id="541" w:name="_Toc425845611"/>
      <w:r w:rsidRPr="00B37A14">
        <w:t xml:space="preserve">Table </w:t>
      </w:r>
      <w:r>
        <w:t>4.14</w:t>
      </w:r>
      <w:r w:rsidRPr="00B37A14">
        <w:t>: Number of volunteers and voluntary hours in th</w:t>
      </w:r>
      <w:r w:rsidRPr="00A92038">
        <w:t>e outl</w:t>
      </w:r>
      <w:r w:rsidRPr="00BD57EF">
        <w:t>et last</w:t>
      </w:r>
      <w:r w:rsidRPr="00A92038">
        <w:t xml:space="preserve"> week</w:t>
      </w:r>
      <w:bookmarkEnd w:id="539"/>
      <w:bookmarkEnd w:id="540"/>
      <w:r w:rsidRPr="00B37A14">
        <w:t xml:space="preserve"> </w:t>
      </w:r>
      <w:bookmarkEnd w:id="541"/>
    </w:p>
    <w:tbl>
      <w:tblPr>
        <w:tblW w:w="0" w:type="auto"/>
        <w:tblInd w:w="93" w:type="dxa"/>
        <w:tblLook w:val="04A0" w:firstRow="1" w:lastRow="0" w:firstColumn="1" w:lastColumn="0" w:noHBand="0" w:noVBand="1"/>
        <w:tblCaption w:val="Table 4.14 Number of volunteers and voluntary hours in the outlet last week "/>
      </w:tblPr>
      <w:tblGrid>
        <w:gridCol w:w="3276"/>
        <w:gridCol w:w="2268"/>
        <w:gridCol w:w="2268"/>
      </w:tblGrid>
      <w:tr w:rsidR="00685BE5" w:rsidRPr="004A64D2" w:rsidTr="00AD4BF5">
        <w:trPr>
          <w:cantSplit/>
          <w:tblHeader/>
        </w:trPr>
        <w:tc>
          <w:tcPr>
            <w:tcW w:w="3276" w:type="dxa"/>
            <w:tcBorders>
              <w:top w:val="single" w:sz="4" w:space="0" w:color="auto"/>
              <w:left w:val="nil"/>
              <w:right w:val="nil"/>
            </w:tcBorders>
            <w:shd w:val="clear" w:color="auto" w:fill="auto"/>
            <w:noWrap/>
            <w:hideMark/>
          </w:tcPr>
          <w:p w:rsidR="00685BE5" w:rsidRPr="00E3331B" w:rsidRDefault="00685BE5">
            <w:pPr>
              <w:spacing w:before="20" w:after="20"/>
              <w:rPr>
                <w:rFonts w:ascii="Calibri" w:eastAsia="Arial" w:hAnsi="Calibri" w:cs="Calibri"/>
                <w:bCs/>
                <w:sz w:val="20"/>
                <w:szCs w:val="20"/>
              </w:rPr>
            </w:pPr>
            <w:bookmarkStart w:id="542" w:name="Title_4_14"/>
            <w:bookmarkEnd w:id="542"/>
          </w:p>
        </w:tc>
        <w:tc>
          <w:tcPr>
            <w:tcW w:w="2268" w:type="dxa"/>
            <w:tcBorders>
              <w:top w:val="single" w:sz="4" w:space="0" w:color="auto"/>
              <w:left w:val="nil"/>
              <w:right w:val="nil"/>
            </w:tcBorders>
          </w:tcPr>
          <w:p w:rsidR="00AD4BF5" w:rsidRDefault="00AD4BF5" w:rsidP="00AE4C3A">
            <w:pPr>
              <w:spacing w:before="20" w:after="20"/>
              <w:jc w:val="center"/>
              <w:rPr>
                <w:rFonts w:ascii="Calibri" w:eastAsia="Arial" w:hAnsi="Calibri" w:cs="Calibri"/>
                <w:bCs/>
                <w:sz w:val="20"/>
                <w:szCs w:val="20"/>
              </w:rPr>
            </w:pPr>
            <w:r>
              <w:rPr>
                <w:rFonts w:ascii="Calibri" w:eastAsia="Arial" w:hAnsi="Calibri" w:cs="Calibri"/>
                <w:bCs/>
                <w:sz w:val="20"/>
                <w:szCs w:val="20"/>
              </w:rPr>
              <w:t>Per</w:t>
            </w:r>
            <w:r w:rsidR="008B6CD8">
              <w:rPr>
                <w:rFonts w:ascii="Calibri" w:eastAsia="Arial" w:hAnsi="Calibri" w:cs="Calibri"/>
                <w:bCs/>
                <w:sz w:val="20"/>
                <w:szCs w:val="20"/>
              </w:rPr>
              <w:t xml:space="preserve"> </w:t>
            </w:r>
            <w:r>
              <w:rPr>
                <w:rFonts w:ascii="Calibri" w:eastAsia="Arial" w:hAnsi="Calibri" w:cs="Calibri"/>
                <w:bCs/>
                <w:sz w:val="20"/>
                <w:szCs w:val="20"/>
              </w:rPr>
              <w:t xml:space="preserve">cent </w:t>
            </w:r>
          </w:p>
          <w:p w:rsidR="00AE7C41" w:rsidRPr="00E3331B" w:rsidRDefault="00AD4BF5" w:rsidP="007B7540">
            <w:pPr>
              <w:spacing w:before="20" w:after="20"/>
              <w:jc w:val="center"/>
              <w:rPr>
                <w:rFonts w:ascii="Calibri" w:eastAsia="Arial" w:hAnsi="Calibri" w:cs="Calibri"/>
                <w:bCs/>
                <w:sz w:val="20"/>
                <w:szCs w:val="20"/>
              </w:rPr>
            </w:pPr>
            <w:r>
              <w:rPr>
                <w:rFonts w:ascii="Calibri" w:eastAsia="Arial" w:hAnsi="Calibri" w:cs="Calibri"/>
                <w:bCs/>
                <w:sz w:val="20"/>
                <w:szCs w:val="20"/>
              </w:rPr>
              <w:t>with v</w:t>
            </w:r>
            <w:r w:rsidR="00685BE5" w:rsidRPr="00E3331B">
              <w:rPr>
                <w:rFonts w:ascii="Calibri" w:eastAsia="Arial" w:hAnsi="Calibri" w:cs="Calibri"/>
                <w:bCs/>
                <w:sz w:val="20"/>
                <w:szCs w:val="20"/>
              </w:rPr>
              <w:t>olunteers</w:t>
            </w:r>
          </w:p>
        </w:tc>
        <w:tc>
          <w:tcPr>
            <w:tcW w:w="2268" w:type="dxa"/>
            <w:tcBorders>
              <w:top w:val="single" w:sz="4" w:space="0" w:color="auto"/>
              <w:left w:val="nil"/>
              <w:right w:val="nil"/>
            </w:tcBorders>
          </w:tcPr>
          <w:p w:rsidR="00AD4BF5" w:rsidRDefault="00AD4BF5" w:rsidP="00AE4C3A">
            <w:pPr>
              <w:spacing w:before="20" w:after="20"/>
              <w:jc w:val="center"/>
              <w:rPr>
                <w:rFonts w:ascii="Calibri" w:eastAsia="Arial" w:hAnsi="Calibri" w:cs="Calibri"/>
                <w:bCs/>
                <w:sz w:val="20"/>
                <w:szCs w:val="20"/>
              </w:rPr>
            </w:pPr>
            <w:r>
              <w:rPr>
                <w:rFonts w:ascii="Calibri" w:eastAsia="Arial" w:hAnsi="Calibri" w:cs="Calibri"/>
                <w:bCs/>
                <w:sz w:val="20"/>
                <w:szCs w:val="20"/>
              </w:rPr>
              <w:t xml:space="preserve">Per cent </w:t>
            </w:r>
          </w:p>
          <w:p w:rsidR="00AE7C41" w:rsidRPr="00E3331B" w:rsidRDefault="00AD4BF5" w:rsidP="007B7540">
            <w:pPr>
              <w:spacing w:before="20" w:after="20"/>
              <w:jc w:val="center"/>
              <w:rPr>
                <w:rFonts w:ascii="Calibri" w:eastAsia="Arial" w:hAnsi="Calibri" w:cs="Calibri"/>
                <w:bCs/>
                <w:sz w:val="20"/>
                <w:szCs w:val="20"/>
              </w:rPr>
            </w:pPr>
            <w:r>
              <w:rPr>
                <w:rFonts w:ascii="Calibri" w:eastAsia="Arial" w:hAnsi="Calibri" w:cs="Calibri"/>
                <w:bCs/>
                <w:sz w:val="20"/>
                <w:szCs w:val="20"/>
              </w:rPr>
              <w:t>with v</w:t>
            </w:r>
            <w:r w:rsidR="00685BE5" w:rsidRPr="00E3331B">
              <w:rPr>
                <w:rFonts w:ascii="Calibri" w:eastAsia="Arial" w:hAnsi="Calibri" w:cs="Calibri"/>
                <w:bCs/>
                <w:sz w:val="20"/>
                <w:szCs w:val="20"/>
              </w:rPr>
              <w:t>oluntary hours</w:t>
            </w:r>
          </w:p>
        </w:tc>
      </w:tr>
      <w:tr w:rsidR="00685BE5" w:rsidRPr="00B90E88" w:rsidTr="00AD4BF5">
        <w:tc>
          <w:tcPr>
            <w:tcW w:w="3276" w:type="dxa"/>
            <w:tcBorders>
              <w:top w:val="single" w:sz="4" w:space="0" w:color="auto"/>
              <w:left w:val="nil"/>
              <w:bottom w:val="nil"/>
              <w:right w:val="nil"/>
            </w:tcBorders>
            <w:shd w:val="clear" w:color="auto" w:fill="auto"/>
            <w:noWrap/>
          </w:tcPr>
          <w:p w:rsidR="00685BE5" w:rsidRPr="00B90E88" w:rsidRDefault="00685BE5" w:rsidP="00AE4C3A">
            <w:pPr>
              <w:spacing w:before="20" w:after="20"/>
              <w:rPr>
                <w:rFonts w:ascii="Calibri" w:eastAsia="Arial" w:hAnsi="Calibri" w:cs="Calibri"/>
                <w:sz w:val="20"/>
                <w:szCs w:val="20"/>
              </w:rPr>
            </w:pPr>
            <w:r w:rsidRPr="00B90E88">
              <w:rPr>
                <w:rFonts w:ascii="Calibri" w:eastAsia="Arial" w:hAnsi="Calibri" w:cs="Calibri"/>
                <w:sz w:val="20"/>
                <w:szCs w:val="20"/>
              </w:rPr>
              <w:t>0</w:t>
            </w:r>
          </w:p>
        </w:tc>
        <w:tc>
          <w:tcPr>
            <w:tcW w:w="2268" w:type="dxa"/>
            <w:tcBorders>
              <w:top w:val="single" w:sz="4" w:space="0" w:color="auto"/>
              <w:left w:val="nil"/>
              <w:bottom w:val="nil"/>
              <w:right w:val="nil"/>
            </w:tcBorders>
          </w:tcPr>
          <w:p w:rsidR="00685BE5" w:rsidRPr="00B90E88" w:rsidRDefault="00685BE5" w:rsidP="00AD4BF5">
            <w:pPr>
              <w:spacing w:before="20" w:after="20"/>
              <w:ind w:right="885"/>
              <w:jc w:val="right"/>
              <w:rPr>
                <w:rFonts w:ascii="Calibri" w:eastAsia="Arial" w:hAnsi="Calibri" w:cs="Calibri"/>
                <w:sz w:val="20"/>
                <w:szCs w:val="20"/>
              </w:rPr>
            </w:pPr>
            <w:r w:rsidRPr="00B90E88">
              <w:rPr>
                <w:rFonts w:ascii="Calibri" w:eastAsia="Arial" w:hAnsi="Calibri" w:cs="Calibri"/>
                <w:sz w:val="20"/>
                <w:szCs w:val="20"/>
              </w:rPr>
              <w:t>53.7</w:t>
            </w:r>
          </w:p>
        </w:tc>
        <w:tc>
          <w:tcPr>
            <w:tcW w:w="2268" w:type="dxa"/>
            <w:tcBorders>
              <w:top w:val="single" w:sz="4" w:space="0" w:color="auto"/>
              <w:left w:val="nil"/>
              <w:bottom w:val="nil"/>
              <w:right w:val="nil"/>
            </w:tcBorders>
          </w:tcPr>
          <w:p w:rsidR="00685BE5" w:rsidRPr="00B90E88" w:rsidRDefault="00685BE5" w:rsidP="007B7540">
            <w:pPr>
              <w:spacing w:before="20" w:after="20"/>
              <w:ind w:right="885"/>
              <w:jc w:val="right"/>
              <w:rPr>
                <w:rFonts w:ascii="Calibri" w:eastAsia="Arial" w:hAnsi="Calibri" w:cs="Calibri"/>
                <w:sz w:val="20"/>
                <w:szCs w:val="20"/>
              </w:rPr>
            </w:pPr>
            <w:r w:rsidRPr="00B90E88">
              <w:rPr>
                <w:rFonts w:ascii="Calibri" w:eastAsia="Arial" w:hAnsi="Calibri" w:cs="Calibri"/>
                <w:sz w:val="20"/>
                <w:szCs w:val="20"/>
              </w:rPr>
              <w:t>50.4</w:t>
            </w:r>
          </w:p>
        </w:tc>
      </w:tr>
      <w:tr w:rsidR="00685BE5" w:rsidRPr="00B90E88" w:rsidTr="00AD4BF5">
        <w:tc>
          <w:tcPr>
            <w:tcW w:w="3276" w:type="dxa"/>
            <w:tcBorders>
              <w:top w:val="nil"/>
              <w:left w:val="nil"/>
              <w:bottom w:val="nil"/>
              <w:right w:val="nil"/>
            </w:tcBorders>
            <w:shd w:val="clear" w:color="auto" w:fill="auto"/>
            <w:noWrap/>
          </w:tcPr>
          <w:p w:rsidR="00685BE5" w:rsidRPr="00B90E88" w:rsidRDefault="00685BE5" w:rsidP="00AE4C3A">
            <w:pPr>
              <w:spacing w:before="20" w:after="20"/>
              <w:rPr>
                <w:rFonts w:ascii="Calibri" w:eastAsia="Arial" w:hAnsi="Calibri" w:cs="Calibri"/>
                <w:sz w:val="20"/>
                <w:szCs w:val="20"/>
              </w:rPr>
            </w:pPr>
            <w:r w:rsidRPr="00B90E88">
              <w:rPr>
                <w:rFonts w:ascii="Calibri" w:eastAsia="Arial" w:hAnsi="Calibri" w:cs="Calibri"/>
                <w:sz w:val="20"/>
                <w:szCs w:val="20"/>
              </w:rPr>
              <w:t>1 to 5</w:t>
            </w:r>
          </w:p>
        </w:tc>
        <w:tc>
          <w:tcPr>
            <w:tcW w:w="2268" w:type="dxa"/>
            <w:tcBorders>
              <w:top w:val="nil"/>
              <w:left w:val="nil"/>
              <w:bottom w:val="nil"/>
              <w:right w:val="nil"/>
            </w:tcBorders>
          </w:tcPr>
          <w:p w:rsidR="00685BE5" w:rsidRPr="00B90E88" w:rsidRDefault="00685BE5" w:rsidP="00AD4BF5">
            <w:pPr>
              <w:spacing w:before="20" w:after="20"/>
              <w:ind w:right="885"/>
              <w:jc w:val="right"/>
              <w:rPr>
                <w:rFonts w:ascii="Calibri" w:eastAsia="Arial" w:hAnsi="Calibri" w:cs="Calibri"/>
                <w:sz w:val="20"/>
                <w:szCs w:val="20"/>
              </w:rPr>
            </w:pPr>
            <w:r w:rsidRPr="00B90E88">
              <w:rPr>
                <w:rFonts w:ascii="Calibri" w:eastAsia="Arial" w:hAnsi="Calibri" w:cs="Calibri"/>
                <w:sz w:val="20"/>
                <w:szCs w:val="20"/>
              </w:rPr>
              <w:t>23.7</w:t>
            </w:r>
          </w:p>
        </w:tc>
        <w:tc>
          <w:tcPr>
            <w:tcW w:w="2268" w:type="dxa"/>
            <w:tcBorders>
              <w:top w:val="nil"/>
              <w:left w:val="nil"/>
              <w:bottom w:val="nil"/>
              <w:right w:val="nil"/>
            </w:tcBorders>
          </w:tcPr>
          <w:p w:rsidR="00685BE5" w:rsidRPr="00B90E88" w:rsidRDefault="00685BE5" w:rsidP="007B7540">
            <w:pPr>
              <w:spacing w:before="20" w:after="20"/>
              <w:ind w:right="885"/>
              <w:jc w:val="right"/>
              <w:rPr>
                <w:rFonts w:ascii="Calibri" w:eastAsia="Arial" w:hAnsi="Calibri" w:cs="Calibri"/>
                <w:sz w:val="20"/>
                <w:szCs w:val="20"/>
              </w:rPr>
            </w:pPr>
            <w:r w:rsidRPr="00B90E88">
              <w:rPr>
                <w:rFonts w:ascii="Calibri" w:eastAsia="Arial" w:hAnsi="Calibri" w:cs="Calibri"/>
                <w:sz w:val="20"/>
                <w:szCs w:val="20"/>
              </w:rPr>
              <w:t>6.3</w:t>
            </w:r>
          </w:p>
        </w:tc>
      </w:tr>
      <w:tr w:rsidR="00685BE5" w:rsidRPr="00B90E88" w:rsidTr="00AD4BF5">
        <w:tc>
          <w:tcPr>
            <w:tcW w:w="3276" w:type="dxa"/>
            <w:tcBorders>
              <w:top w:val="nil"/>
              <w:left w:val="nil"/>
              <w:bottom w:val="nil"/>
              <w:right w:val="nil"/>
            </w:tcBorders>
            <w:shd w:val="clear" w:color="auto" w:fill="auto"/>
            <w:noWrap/>
          </w:tcPr>
          <w:p w:rsidR="00685BE5" w:rsidRPr="00B90E88" w:rsidRDefault="00685BE5" w:rsidP="00AE4C3A">
            <w:pPr>
              <w:spacing w:before="20" w:after="20"/>
              <w:rPr>
                <w:rFonts w:ascii="Calibri" w:eastAsia="Arial" w:hAnsi="Calibri" w:cs="Calibri"/>
                <w:sz w:val="20"/>
                <w:szCs w:val="20"/>
              </w:rPr>
            </w:pPr>
            <w:r w:rsidRPr="00B90E88">
              <w:rPr>
                <w:rFonts w:ascii="Calibri" w:eastAsia="Arial" w:hAnsi="Calibri" w:cs="Calibri"/>
                <w:sz w:val="20"/>
                <w:szCs w:val="20"/>
              </w:rPr>
              <w:t>6 to 10</w:t>
            </w:r>
          </w:p>
        </w:tc>
        <w:tc>
          <w:tcPr>
            <w:tcW w:w="2268" w:type="dxa"/>
            <w:tcBorders>
              <w:top w:val="nil"/>
              <w:left w:val="nil"/>
              <w:bottom w:val="nil"/>
              <w:right w:val="nil"/>
            </w:tcBorders>
          </w:tcPr>
          <w:p w:rsidR="00685BE5" w:rsidRPr="00B90E88" w:rsidRDefault="00685BE5" w:rsidP="00AD4BF5">
            <w:pPr>
              <w:spacing w:before="20" w:after="20"/>
              <w:ind w:right="885"/>
              <w:jc w:val="right"/>
              <w:rPr>
                <w:rFonts w:ascii="Calibri" w:eastAsia="Arial" w:hAnsi="Calibri" w:cs="Calibri"/>
                <w:sz w:val="20"/>
                <w:szCs w:val="20"/>
              </w:rPr>
            </w:pPr>
            <w:r w:rsidRPr="00B90E88">
              <w:rPr>
                <w:rFonts w:ascii="Calibri" w:eastAsia="Arial" w:hAnsi="Calibri" w:cs="Calibri"/>
                <w:sz w:val="20"/>
                <w:szCs w:val="20"/>
              </w:rPr>
              <w:t>6.5</w:t>
            </w:r>
          </w:p>
        </w:tc>
        <w:tc>
          <w:tcPr>
            <w:tcW w:w="2268" w:type="dxa"/>
            <w:tcBorders>
              <w:top w:val="nil"/>
              <w:left w:val="nil"/>
              <w:bottom w:val="nil"/>
              <w:right w:val="nil"/>
            </w:tcBorders>
          </w:tcPr>
          <w:p w:rsidR="00685BE5" w:rsidRPr="00B90E88" w:rsidRDefault="00685BE5" w:rsidP="007B7540">
            <w:pPr>
              <w:spacing w:before="20" w:after="20"/>
              <w:ind w:right="885"/>
              <w:jc w:val="right"/>
              <w:rPr>
                <w:rFonts w:ascii="Calibri" w:eastAsia="Arial" w:hAnsi="Calibri" w:cs="Calibri"/>
                <w:sz w:val="20"/>
                <w:szCs w:val="20"/>
              </w:rPr>
            </w:pPr>
            <w:r w:rsidRPr="00B90E88">
              <w:rPr>
                <w:rFonts w:ascii="Calibri" w:eastAsia="Arial" w:hAnsi="Calibri" w:cs="Calibri"/>
                <w:sz w:val="20"/>
                <w:szCs w:val="20"/>
              </w:rPr>
              <w:t>7.0</w:t>
            </w:r>
          </w:p>
        </w:tc>
      </w:tr>
      <w:tr w:rsidR="00685BE5" w:rsidRPr="00B90E88" w:rsidTr="00AD4BF5">
        <w:tc>
          <w:tcPr>
            <w:tcW w:w="3276" w:type="dxa"/>
            <w:tcBorders>
              <w:top w:val="nil"/>
              <w:left w:val="nil"/>
              <w:bottom w:val="nil"/>
              <w:right w:val="nil"/>
            </w:tcBorders>
            <w:shd w:val="clear" w:color="auto" w:fill="auto"/>
            <w:noWrap/>
          </w:tcPr>
          <w:p w:rsidR="00685BE5" w:rsidRPr="00B90E88" w:rsidRDefault="00685BE5" w:rsidP="00AE4C3A">
            <w:pPr>
              <w:spacing w:before="20" w:after="20"/>
              <w:rPr>
                <w:rFonts w:ascii="Calibri" w:eastAsia="Arial" w:hAnsi="Calibri" w:cs="Calibri"/>
                <w:sz w:val="20"/>
                <w:szCs w:val="20"/>
              </w:rPr>
            </w:pPr>
            <w:r w:rsidRPr="00B90E88">
              <w:rPr>
                <w:rFonts w:ascii="Calibri" w:eastAsia="Arial" w:hAnsi="Calibri" w:cs="Calibri"/>
                <w:sz w:val="20"/>
                <w:szCs w:val="20"/>
              </w:rPr>
              <w:t>11 to 20</w:t>
            </w:r>
          </w:p>
        </w:tc>
        <w:tc>
          <w:tcPr>
            <w:tcW w:w="2268" w:type="dxa"/>
            <w:tcBorders>
              <w:top w:val="nil"/>
              <w:left w:val="nil"/>
              <w:bottom w:val="nil"/>
              <w:right w:val="nil"/>
            </w:tcBorders>
          </w:tcPr>
          <w:p w:rsidR="00685BE5" w:rsidRPr="00B90E88" w:rsidRDefault="00685BE5" w:rsidP="00AD4BF5">
            <w:pPr>
              <w:spacing w:before="20" w:after="20"/>
              <w:ind w:right="885"/>
              <w:jc w:val="right"/>
              <w:rPr>
                <w:rFonts w:ascii="Calibri" w:eastAsia="Arial" w:hAnsi="Calibri" w:cs="Calibri"/>
                <w:sz w:val="20"/>
                <w:szCs w:val="20"/>
              </w:rPr>
            </w:pPr>
            <w:r w:rsidRPr="00B90E88">
              <w:rPr>
                <w:rFonts w:ascii="Calibri" w:eastAsia="Arial" w:hAnsi="Calibri" w:cs="Calibri"/>
                <w:sz w:val="20"/>
                <w:szCs w:val="20"/>
              </w:rPr>
              <w:t>4.7</w:t>
            </w:r>
          </w:p>
        </w:tc>
        <w:tc>
          <w:tcPr>
            <w:tcW w:w="2268" w:type="dxa"/>
            <w:tcBorders>
              <w:top w:val="nil"/>
              <w:left w:val="nil"/>
              <w:bottom w:val="nil"/>
              <w:right w:val="nil"/>
            </w:tcBorders>
          </w:tcPr>
          <w:p w:rsidR="00685BE5" w:rsidRPr="00B90E88" w:rsidRDefault="00685BE5" w:rsidP="007B7540">
            <w:pPr>
              <w:spacing w:before="20" w:after="20"/>
              <w:ind w:right="885"/>
              <w:jc w:val="right"/>
              <w:rPr>
                <w:rFonts w:ascii="Calibri" w:eastAsia="Arial" w:hAnsi="Calibri" w:cs="Calibri"/>
                <w:sz w:val="20"/>
                <w:szCs w:val="20"/>
              </w:rPr>
            </w:pPr>
            <w:r w:rsidRPr="00B90E88">
              <w:rPr>
                <w:rFonts w:ascii="Calibri" w:eastAsia="Arial" w:hAnsi="Calibri" w:cs="Calibri"/>
                <w:sz w:val="20"/>
                <w:szCs w:val="20"/>
              </w:rPr>
              <w:t>7.9</w:t>
            </w:r>
          </w:p>
        </w:tc>
      </w:tr>
      <w:tr w:rsidR="00685BE5" w:rsidRPr="00B90E88" w:rsidTr="00AD4BF5">
        <w:tc>
          <w:tcPr>
            <w:tcW w:w="3276" w:type="dxa"/>
            <w:tcBorders>
              <w:top w:val="nil"/>
              <w:left w:val="nil"/>
              <w:bottom w:val="nil"/>
              <w:right w:val="nil"/>
            </w:tcBorders>
            <w:shd w:val="clear" w:color="auto" w:fill="auto"/>
            <w:noWrap/>
          </w:tcPr>
          <w:p w:rsidR="00685BE5" w:rsidRPr="00B90E88" w:rsidRDefault="00685BE5" w:rsidP="00AE4C3A">
            <w:pPr>
              <w:spacing w:before="20" w:after="20"/>
              <w:rPr>
                <w:rFonts w:ascii="Calibri" w:eastAsia="Arial" w:hAnsi="Calibri" w:cs="Calibri"/>
                <w:sz w:val="20"/>
                <w:szCs w:val="20"/>
              </w:rPr>
            </w:pPr>
            <w:r w:rsidRPr="00B90E88">
              <w:rPr>
                <w:rFonts w:ascii="Calibri" w:eastAsia="Arial" w:hAnsi="Calibri" w:cs="Calibri"/>
                <w:sz w:val="20"/>
                <w:szCs w:val="20"/>
              </w:rPr>
              <w:t>21 or more</w:t>
            </w:r>
          </w:p>
        </w:tc>
        <w:tc>
          <w:tcPr>
            <w:tcW w:w="2268" w:type="dxa"/>
            <w:tcBorders>
              <w:top w:val="nil"/>
              <w:left w:val="nil"/>
              <w:bottom w:val="nil"/>
              <w:right w:val="nil"/>
            </w:tcBorders>
          </w:tcPr>
          <w:p w:rsidR="00685BE5" w:rsidRPr="00B90E88" w:rsidRDefault="00685BE5" w:rsidP="00AD4BF5">
            <w:pPr>
              <w:spacing w:before="20" w:after="20"/>
              <w:ind w:right="885"/>
              <w:jc w:val="right"/>
              <w:rPr>
                <w:rFonts w:ascii="Calibri" w:eastAsia="Arial" w:hAnsi="Calibri" w:cs="Calibri"/>
                <w:sz w:val="20"/>
                <w:szCs w:val="20"/>
              </w:rPr>
            </w:pPr>
            <w:r w:rsidRPr="00B90E88">
              <w:rPr>
                <w:rFonts w:ascii="Calibri" w:eastAsia="Arial" w:hAnsi="Calibri" w:cs="Calibri"/>
                <w:sz w:val="20"/>
                <w:szCs w:val="20"/>
              </w:rPr>
              <w:t>7.6</w:t>
            </w:r>
          </w:p>
        </w:tc>
        <w:tc>
          <w:tcPr>
            <w:tcW w:w="2268" w:type="dxa"/>
            <w:tcBorders>
              <w:top w:val="nil"/>
              <w:left w:val="nil"/>
              <w:bottom w:val="nil"/>
              <w:right w:val="nil"/>
            </w:tcBorders>
          </w:tcPr>
          <w:p w:rsidR="00685BE5" w:rsidRPr="00B90E88" w:rsidRDefault="00685BE5" w:rsidP="007B7540">
            <w:pPr>
              <w:spacing w:before="20" w:after="20"/>
              <w:ind w:right="885"/>
              <w:jc w:val="right"/>
              <w:rPr>
                <w:rFonts w:ascii="Calibri" w:eastAsia="Arial" w:hAnsi="Calibri" w:cs="Calibri"/>
                <w:sz w:val="20"/>
                <w:szCs w:val="20"/>
              </w:rPr>
            </w:pPr>
            <w:r w:rsidRPr="00B90E88">
              <w:rPr>
                <w:rFonts w:ascii="Calibri" w:eastAsia="Arial" w:hAnsi="Calibri" w:cs="Calibri"/>
                <w:sz w:val="20"/>
                <w:szCs w:val="20"/>
              </w:rPr>
              <w:t>20.7</w:t>
            </w:r>
          </w:p>
        </w:tc>
      </w:tr>
      <w:tr w:rsidR="00685BE5" w:rsidRPr="00B90E88" w:rsidTr="00AD4BF5">
        <w:tc>
          <w:tcPr>
            <w:tcW w:w="3276" w:type="dxa"/>
            <w:tcBorders>
              <w:top w:val="nil"/>
              <w:left w:val="nil"/>
              <w:bottom w:val="single" w:sz="4" w:space="0" w:color="auto"/>
              <w:right w:val="nil"/>
            </w:tcBorders>
            <w:shd w:val="clear" w:color="auto" w:fill="auto"/>
            <w:noWrap/>
          </w:tcPr>
          <w:p w:rsidR="00685BE5" w:rsidRPr="00B90E88" w:rsidRDefault="00685BE5" w:rsidP="00AE4C3A">
            <w:pPr>
              <w:spacing w:before="20" w:after="20"/>
              <w:rPr>
                <w:rFonts w:ascii="Calibri" w:eastAsia="Arial" w:hAnsi="Calibri" w:cs="Calibri"/>
                <w:sz w:val="20"/>
                <w:szCs w:val="20"/>
              </w:rPr>
            </w:pPr>
            <w:r w:rsidRPr="00B90E88">
              <w:rPr>
                <w:rFonts w:ascii="Calibri" w:eastAsia="Arial" w:hAnsi="Calibri" w:cs="Calibri"/>
                <w:sz w:val="20"/>
                <w:szCs w:val="20"/>
              </w:rPr>
              <w:t xml:space="preserve">Question not answered </w:t>
            </w:r>
          </w:p>
        </w:tc>
        <w:tc>
          <w:tcPr>
            <w:tcW w:w="2268" w:type="dxa"/>
            <w:tcBorders>
              <w:top w:val="nil"/>
              <w:left w:val="nil"/>
              <w:bottom w:val="single" w:sz="4" w:space="0" w:color="auto"/>
              <w:right w:val="nil"/>
            </w:tcBorders>
          </w:tcPr>
          <w:p w:rsidR="00685BE5" w:rsidRPr="00B90E88" w:rsidRDefault="00685BE5" w:rsidP="00AD4BF5">
            <w:pPr>
              <w:spacing w:before="20" w:after="20"/>
              <w:ind w:right="885"/>
              <w:jc w:val="right"/>
              <w:rPr>
                <w:rFonts w:ascii="Calibri" w:eastAsia="Arial" w:hAnsi="Calibri" w:cs="Calibri"/>
                <w:sz w:val="20"/>
                <w:szCs w:val="20"/>
              </w:rPr>
            </w:pPr>
            <w:r w:rsidRPr="00B90E88">
              <w:rPr>
                <w:rFonts w:ascii="Calibri" w:eastAsia="Arial" w:hAnsi="Calibri" w:cs="Calibri"/>
                <w:sz w:val="20"/>
                <w:szCs w:val="20"/>
              </w:rPr>
              <w:t>3.9</w:t>
            </w:r>
          </w:p>
        </w:tc>
        <w:tc>
          <w:tcPr>
            <w:tcW w:w="2268" w:type="dxa"/>
            <w:tcBorders>
              <w:top w:val="nil"/>
              <w:left w:val="nil"/>
              <w:bottom w:val="single" w:sz="4" w:space="0" w:color="auto"/>
              <w:right w:val="nil"/>
            </w:tcBorders>
          </w:tcPr>
          <w:p w:rsidR="00685BE5" w:rsidRPr="00B90E88" w:rsidRDefault="00685BE5" w:rsidP="007B7540">
            <w:pPr>
              <w:spacing w:before="20" w:after="20"/>
              <w:ind w:right="885"/>
              <w:jc w:val="right"/>
              <w:rPr>
                <w:rFonts w:ascii="Calibri" w:eastAsia="Arial" w:hAnsi="Calibri" w:cs="Calibri"/>
                <w:sz w:val="20"/>
                <w:szCs w:val="20"/>
              </w:rPr>
            </w:pPr>
            <w:r w:rsidRPr="00B90E88">
              <w:rPr>
                <w:rFonts w:ascii="Calibri" w:eastAsia="Arial" w:hAnsi="Calibri" w:cs="Calibri"/>
                <w:sz w:val="20"/>
                <w:szCs w:val="20"/>
              </w:rPr>
              <w:t>7.7</w:t>
            </w:r>
          </w:p>
        </w:tc>
      </w:tr>
      <w:tr w:rsidR="00685BE5" w:rsidRPr="00B90E88" w:rsidTr="00AD4BF5">
        <w:tc>
          <w:tcPr>
            <w:tcW w:w="3276" w:type="dxa"/>
            <w:tcBorders>
              <w:top w:val="single" w:sz="4" w:space="0" w:color="auto"/>
              <w:left w:val="nil"/>
              <w:bottom w:val="single" w:sz="4" w:space="0" w:color="auto"/>
              <w:right w:val="nil"/>
            </w:tcBorders>
            <w:shd w:val="clear" w:color="auto" w:fill="auto"/>
            <w:noWrap/>
          </w:tcPr>
          <w:p w:rsidR="00685BE5" w:rsidRPr="00B90E88" w:rsidRDefault="00685BE5" w:rsidP="00AE4C3A">
            <w:pPr>
              <w:spacing w:before="20" w:after="20"/>
              <w:rPr>
                <w:rFonts w:ascii="Calibri" w:eastAsia="Arial" w:hAnsi="Calibri" w:cs="Calibri"/>
                <w:b/>
                <w:sz w:val="20"/>
                <w:szCs w:val="20"/>
              </w:rPr>
            </w:pPr>
            <w:r w:rsidRPr="00B90E88">
              <w:rPr>
                <w:rFonts w:ascii="Calibri" w:eastAsia="Arial" w:hAnsi="Calibri" w:cs="Calibri"/>
                <w:b/>
                <w:sz w:val="20"/>
                <w:szCs w:val="20"/>
              </w:rPr>
              <w:t>Total number of outlets</w:t>
            </w:r>
            <w:r>
              <w:rPr>
                <w:rFonts w:ascii="Calibri" w:eastAsia="Arial" w:hAnsi="Calibri" w:cs="Calibri"/>
                <w:b/>
                <w:sz w:val="20"/>
                <w:szCs w:val="20"/>
              </w:rPr>
              <w:t xml:space="preserve"> </w:t>
            </w:r>
            <w:r w:rsidRPr="00B90E88">
              <w:rPr>
                <w:rFonts w:ascii="Calibri" w:eastAsia="Arial" w:hAnsi="Calibri" w:cs="Calibri"/>
                <w:b/>
                <w:sz w:val="20"/>
                <w:szCs w:val="20"/>
              </w:rPr>
              <w:t xml:space="preserve"> 697</w:t>
            </w:r>
          </w:p>
        </w:tc>
        <w:tc>
          <w:tcPr>
            <w:tcW w:w="2268" w:type="dxa"/>
            <w:tcBorders>
              <w:top w:val="single" w:sz="4" w:space="0" w:color="auto"/>
              <w:left w:val="nil"/>
              <w:bottom w:val="single" w:sz="4" w:space="0" w:color="auto"/>
              <w:right w:val="nil"/>
            </w:tcBorders>
          </w:tcPr>
          <w:p w:rsidR="00685BE5" w:rsidRPr="00B90E88" w:rsidRDefault="00685BE5" w:rsidP="00AD4BF5">
            <w:pPr>
              <w:spacing w:before="20" w:after="20"/>
              <w:ind w:right="885"/>
              <w:jc w:val="right"/>
              <w:rPr>
                <w:rFonts w:ascii="Calibri" w:eastAsia="Arial" w:hAnsi="Calibri" w:cs="Calibri"/>
                <w:b/>
                <w:sz w:val="20"/>
                <w:szCs w:val="20"/>
              </w:rPr>
            </w:pPr>
            <w:r w:rsidRPr="00B90E88">
              <w:rPr>
                <w:rFonts w:ascii="Calibri" w:eastAsia="Arial" w:hAnsi="Calibri" w:cs="Calibri"/>
                <w:b/>
                <w:sz w:val="20"/>
                <w:szCs w:val="20"/>
              </w:rPr>
              <w:t>100</w:t>
            </w:r>
          </w:p>
        </w:tc>
        <w:tc>
          <w:tcPr>
            <w:tcW w:w="2268" w:type="dxa"/>
            <w:tcBorders>
              <w:top w:val="single" w:sz="4" w:space="0" w:color="auto"/>
              <w:left w:val="nil"/>
              <w:bottom w:val="single" w:sz="4" w:space="0" w:color="auto"/>
              <w:right w:val="nil"/>
            </w:tcBorders>
          </w:tcPr>
          <w:p w:rsidR="00685BE5" w:rsidRPr="00B90E88" w:rsidRDefault="00685BE5" w:rsidP="007B7540">
            <w:pPr>
              <w:spacing w:before="20" w:after="20"/>
              <w:ind w:right="885"/>
              <w:jc w:val="right"/>
              <w:rPr>
                <w:rFonts w:ascii="Calibri" w:eastAsia="Arial" w:hAnsi="Calibri" w:cs="Calibri"/>
                <w:b/>
                <w:sz w:val="20"/>
                <w:szCs w:val="20"/>
              </w:rPr>
            </w:pPr>
            <w:r w:rsidRPr="00B90E88">
              <w:rPr>
                <w:rFonts w:ascii="Calibri" w:eastAsia="Arial" w:hAnsi="Calibri" w:cs="Calibri"/>
                <w:b/>
                <w:sz w:val="20"/>
                <w:szCs w:val="20"/>
              </w:rPr>
              <w:t>100</w:t>
            </w:r>
          </w:p>
        </w:tc>
      </w:tr>
    </w:tbl>
    <w:p w:rsidR="00685BE5" w:rsidRPr="00DE1613" w:rsidRDefault="00685BE5" w:rsidP="00AE4C3A">
      <w:pPr>
        <w:pStyle w:val="NILSReference"/>
        <w:rPr>
          <w:rFonts w:eastAsia="Arial"/>
        </w:rPr>
      </w:pPr>
      <w:r w:rsidRPr="00B37A14">
        <w:rPr>
          <w:rFonts w:eastAsia="Arial"/>
        </w:rPr>
        <w:t xml:space="preserve">Source: </w:t>
      </w:r>
      <w:r w:rsidRPr="00DE1613">
        <w:rPr>
          <w:rFonts w:eastAsia="Arial"/>
        </w:rPr>
        <w:t>2014 NDIS DSP outlet survey, Questions B1 and D3.</w:t>
      </w:r>
    </w:p>
    <w:p w:rsidR="00685BE5" w:rsidRDefault="00685BE5" w:rsidP="00367B24">
      <w:pPr>
        <w:pStyle w:val="Heading3"/>
      </w:pPr>
      <w:bookmarkStart w:id="543" w:name="_Toc428279191"/>
      <w:bookmarkStart w:id="544" w:name="_Toc449955039"/>
      <w:r>
        <w:t>4.2.7 Expected changes</w:t>
      </w:r>
      <w:bookmarkEnd w:id="543"/>
      <w:bookmarkEnd w:id="544"/>
      <w:r>
        <w:t xml:space="preserve"> </w:t>
      </w:r>
    </w:p>
    <w:p w:rsidR="00685BE5" w:rsidRDefault="00685BE5" w:rsidP="00AE4C3A">
      <w:r>
        <w:t>We have some evidence of how outlets expected to be affected by the NDIS and how they were responding, or were planning to respond.</w:t>
      </w:r>
      <w:r w:rsidRPr="00CF7D10">
        <w:t xml:space="preserve"> </w:t>
      </w:r>
      <w:r>
        <w:t>The outlets were asked to look forward 12 months and this time horizon did not embrace the scheduled full rollout of the NDIS. A majority of the outlets surveyed were not within the NDIS trial sites. It would be surprising if these were making complete and concrete changes to their operations at this stage. But they were likely to have views about how the full rollout might affect their operations, to be planning how to respond</w:t>
      </w:r>
      <w:r w:rsidRPr="001E2A1E">
        <w:t xml:space="preserve"> </w:t>
      </w:r>
      <w:r>
        <w:t>and even to be making some current structural changes to help them adapt when the full rollout happens. Further information about how outlets expect to adapt to the changes that might be expected to follow the full rollout of the NDIS will be asked in the next survey of outlets, when the rollout is closer and hence more pertinent to their current operations and planning.</w:t>
      </w:r>
    </w:p>
    <w:p w:rsidR="003A37B0" w:rsidRDefault="003A37B0" w:rsidP="00AE4C3A"/>
    <w:p w:rsidR="00685BE5" w:rsidRDefault="00685BE5" w:rsidP="00AE4C3A">
      <w:r>
        <w:t xml:space="preserve">Outlets were asked how the types of disability support they provided at the time of the survey (between August 2014 and May 2015) differed from what they were providing 12 months prior to that date. This does not directly link any change to the introduction of the NDIS, but it does give a background level of change. In aggregate, every specific type of disability support was offered by more outlets at the time of the survey than it was a year prior. The increases, though, were small of the order of 2-3 per cent. The services with the greatest expansion were community access, respite, accommodation support and advocacy/information. The picture that emerges is that while only </w:t>
      </w:r>
      <w:r>
        <w:lastRenderedPageBreak/>
        <w:t xml:space="preserve">modest changes in services were reported for the past 12 months, outlets were actively changing their businesses and planning further changes, in anticipation of the full NDIS rollout. </w:t>
      </w:r>
    </w:p>
    <w:p w:rsidR="003A37B0" w:rsidRDefault="003A37B0" w:rsidP="00AE4C3A"/>
    <w:p w:rsidR="00685BE5" w:rsidRDefault="00685BE5" w:rsidP="00AE4C3A">
      <w:r>
        <w:t>Table 4.15 shows these actions and plans. Outlets had been particularly active in revising the basis on which they charged for services, and in meeting the specific requirements of the NDIS to prepare personalised plans, engage with Local Area Co-ordinators and provide brokerage services. One third of outlets had already altered their staff profile in order to provide these new services. Collectively, outlets planned to do still more of all these things, with the greatest emphasis on adding new staff and engaging with Local Area Co-ordinators.</w:t>
      </w:r>
    </w:p>
    <w:p w:rsidR="00685BE5" w:rsidRPr="00AE7C41" w:rsidRDefault="00685BE5" w:rsidP="0044684E">
      <w:pPr>
        <w:pStyle w:val="NILSTableHeading"/>
        <w:rPr>
          <w:lang w:val="en-AU"/>
        </w:rPr>
      </w:pPr>
      <w:bookmarkStart w:id="545" w:name="_Toc428279220"/>
      <w:bookmarkStart w:id="546" w:name="_Toc449955351"/>
      <w:r w:rsidRPr="006C7AFD">
        <w:t xml:space="preserve">Table </w:t>
      </w:r>
      <w:r>
        <w:t>4.15</w:t>
      </w:r>
      <w:r w:rsidRPr="006C7AFD">
        <w:t>:</w:t>
      </w:r>
      <w:r>
        <w:t xml:space="preserve"> </w:t>
      </w:r>
      <w:r w:rsidRPr="006C7AFD">
        <w:t>What outlet is already doing/planning to do in response to full NDIS rollout</w:t>
      </w:r>
      <w:bookmarkEnd w:id="545"/>
      <w:bookmarkEnd w:id="546"/>
      <w:r w:rsidR="00AE7C41">
        <w:rPr>
          <w:lang w:val="en-AU"/>
        </w:rPr>
        <w:t xml:space="preserve"> </w:t>
      </w:r>
    </w:p>
    <w:tbl>
      <w:tblPr>
        <w:tblpPr w:leftFromText="180" w:rightFromText="180" w:vertAnchor="text" w:horzAnchor="margin" w:tblpY="76"/>
        <w:tblOverlap w:val="never"/>
        <w:tblW w:w="7336" w:type="dxa"/>
        <w:tblLayout w:type="fixed"/>
        <w:tblLook w:val="0000" w:firstRow="0" w:lastRow="0" w:firstColumn="0" w:lastColumn="0" w:noHBand="0" w:noVBand="0"/>
        <w:tblCaption w:val="Table 4.15 What outlet is already doing/planning to do in response to full NDIS rollout"/>
      </w:tblPr>
      <w:tblGrid>
        <w:gridCol w:w="4487"/>
        <w:gridCol w:w="1439"/>
        <w:gridCol w:w="1410"/>
      </w:tblGrid>
      <w:tr w:rsidR="00685BE5" w:rsidRPr="0096762B" w:rsidTr="00A5200F">
        <w:trPr>
          <w:trHeight w:val="254"/>
          <w:tblHeader/>
        </w:trPr>
        <w:tc>
          <w:tcPr>
            <w:tcW w:w="4487" w:type="dxa"/>
            <w:tcBorders>
              <w:top w:val="single" w:sz="4" w:space="0" w:color="auto"/>
            </w:tcBorders>
            <w:vAlign w:val="center"/>
          </w:tcPr>
          <w:p w:rsidR="00685BE5" w:rsidRPr="0096762B" w:rsidRDefault="00685BE5" w:rsidP="00AE4C3A">
            <w:pPr>
              <w:spacing w:before="20" w:after="20"/>
              <w:jc w:val="both"/>
              <w:rPr>
                <w:rFonts w:ascii="Calibri" w:eastAsia="Times New Roman" w:hAnsi="Calibri" w:cs="Calibri"/>
                <w:sz w:val="20"/>
                <w:szCs w:val="20"/>
              </w:rPr>
            </w:pPr>
            <w:bookmarkStart w:id="547" w:name="Title_4_15"/>
            <w:bookmarkEnd w:id="547"/>
          </w:p>
        </w:tc>
        <w:tc>
          <w:tcPr>
            <w:tcW w:w="1439" w:type="dxa"/>
            <w:tcBorders>
              <w:top w:val="single" w:sz="4" w:space="0" w:color="auto"/>
            </w:tcBorders>
            <w:vAlign w:val="center"/>
          </w:tcPr>
          <w:p w:rsidR="00685BE5" w:rsidRDefault="00685BE5" w:rsidP="00AE4C3A">
            <w:pPr>
              <w:spacing w:before="20" w:after="20"/>
              <w:jc w:val="center"/>
              <w:rPr>
                <w:rFonts w:ascii="Calibri" w:eastAsia="Times New Roman" w:hAnsi="Calibri" w:cs="Calibri"/>
                <w:sz w:val="20"/>
                <w:szCs w:val="20"/>
              </w:rPr>
            </w:pPr>
            <w:r>
              <w:rPr>
                <w:rFonts w:ascii="Calibri" w:eastAsia="Times New Roman" w:hAnsi="Calibri" w:cs="Calibri"/>
                <w:sz w:val="20"/>
                <w:szCs w:val="20"/>
              </w:rPr>
              <w:t>Already d</w:t>
            </w:r>
            <w:r w:rsidRPr="0096762B">
              <w:rPr>
                <w:rFonts w:ascii="Calibri" w:eastAsia="Times New Roman" w:hAnsi="Calibri" w:cs="Calibri"/>
                <w:sz w:val="20"/>
                <w:szCs w:val="20"/>
              </w:rPr>
              <w:t>oing</w:t>
            </w:r>
          </w:p>
          <w:p w:rsidR="005F58A2" w:rsidRPr="0096762B" w:rsidRDefault="005F58A2" w:rsidP="00AE4C3A">
            <w:pPr>
              <w:spacing w:before="20" w:after="20"/>
              <w:jc w:val="center"/>
              <w:rPr>
                <w:rFonts w:ascii="Calibri" w:eastAsia="Times New Roman" w:hAnsi="Calibri" w:cs="Calibri"/>
                <w:sz w:val="20"/>
                <w:szCs w:val="20"/>
              </w:rPr>
            </w:pPr>
            <w:r>
              <w:rPr>
                <w:rFonts w:ascii="Calibri" w:eastAsia="Times New Roman" w:hAnsi="Calibri" w:cs="Calibri"/>
                <w:sz w:val="20"/>
                <w:szCs w:val="20"/>
              </w:rPr>
              <w:t>%</w:t>
            </w:r>
          </w:p>
        </w:tc>
        <w:tc>
          <w:tcPr>
            <w:tcW w:w="1410" w:type="dxa"/>
            <w:tcBorders>
              <w:top w:val="single" w:sz="4" w:space="0" w:color="auto"/>
            </w:tcBorders>
            <w:vAlign w:val="center"/>
          </w:tcPr>
          <w:p w:rsidR="00685BE5" w:rsidRDefault="00685BE5" w:rsidP="00AE4C3A">
            <w:pPr>
              <w:spacing w:before="20" w:after="20"/>
              <w:jc w:val="center"/>
              <w:rPr>
                <w:rFonts w:ascii="Calibri" w:eastAsia="Times New Roman" w:hAnsi="Calibri" w:cs="Calibri"/>
                <w:sz w:val="20"/>
                <w:szCs w:val="20"/>
              </w:rPr>
            </w:pPr>
            <w:r w:rsidRPr="0096762B">
              <w:rPr>
                <w:rFonts w:ascii="Calibri" w:eastAsia="Times New Roman" w:hAnsi="Calibri" w:cs="Calibri"/>
                <w:sz w:val="20"/>
                <w:szCs w:val="20"/>
              </w:rPr>
              <w:t>Planning to do</w:t>
            </w:r>
          </w:p>
          <w:p w:rsidR="005F58A2" w:rsidRPr="0096762B" w:rsidRDefault="005F58A2" w:rsidP="00AE4C3A">
            <w:pPr>
              <w:spacing w:before="20" w:after="20"/>
              <w:jc w:val="center"/>
              <w:rPr>
                <w:rFonts w:ascii="Calibri" w:eastAsia="Times New Roman" w:hAnsi="Calibri" w:cs="Calibri"/>
                <w:sz w:val="20"/>
                <w:szCs w:val="20"/>
              </w:rPr>
            </w:pPr>
            <w:r>
              <w:rPr>
                <w:rFonts w:ascii="Calibri" w:eastAsia="Times New Roman" w:hAnsi="Calibri" w:cs="Calibri"/>
                <w:sz w:val="20"/>
                <w:szCs w:val="20"/>
              </w:rPr>
              <w:t>%</w:t>
            </w:r>
          </w:p>
        </w:tc>
      </w:tr>
      <w:tr w:rsidR="00685BE5" w:rsidRPr="0096762B" w:rsidTr="00A5200F">
        <w:trPr>
          <w:trHeight w:val="254"/>
        </w:trPr>
        <w:tc>
          <w:tcPr>
            <w:tcW w:w="4487" w:type="dxa"/>
            <w:tcBorders>
              <w:top w:val="single" w:sz="4" w:space="0" w:color="auto"/>
            </w:tcBorders>
            <w:vAlign w:val="bottom"/>
          </w:tcPr>
          <w:p w:rsidR="00685BE5" w:rsidRPr="0096762B" w:rsidRDefault="00685BE5" w:rsidP="00AE4C3A">
            <w:pPr>
              <w:spacing w:before="20" w:after="20"/>
              <w:jc w:val="both"/>
              <w:rPr>
                <w:rFonts w:ascii="Calibri" w:eastAsia="Times New Roman" w:hAnsi="Calibri" w:cs="Calibri"/>
                <w:snapToGrid w:val="0"/>
                <w:sz w:val="20"/>
                <w:szCs w:val="20"/>
              </w:rPr>
            </w:pPr>
            <w:r w:rsidRPr="0096762B">
              <w:rPr>
                <w:rFonts w:ascii="Calibri" w:eastAsia="Times New Roman" w:hAnsi="Calibri" w:cs="Calibri"/>
                <w:snapToGrid w:val="0"/>
                <w:sz w:val="20"/>
                <w:szCs w:val="20"/>
              </w:rPr>
              <w:t>Calculating support charges on a per-user basis</w:t>
            </w:r>
          </w:p>
        </w:tc>
        <w:tc>
          <w:tcPr>
            <w:tcW w:w="1439" w:type="dxa"/>
            <w:tcBorders>
              <w:top w:val="single" w:sz="4" w:space="0" w:color="auto"/>
            </w:tcBorders>
            <w:vAlign w:val="bottom"/>
          </w:tcPr>
          <w:p w:rsidR="00685BE5" w:rsidRPr="0096762B" w:rsidRDefault="00685BE5" w:rsidP="00AE4C3A">
            <w:pPr>
              <w:spacing w:before="20" w:after="20"/>
              <w:jc w:val="center"/>
              <w:rPr>
                <w:rFonts w:ascii="Calibri" w:eastAsia="Times New Roman" w:hAnsi="Calibri" w:cs="Calibri"/>
                <w:snapToGrid w:val="0"/>
                <w:sz w:val="20"/>
                <w:szCs w:val="20"/>
              </w:rPr>
            </w:pPr>
            <w:r w:rsidRPr="0096762B">
              <w:rPr>
                <w:rFonts w:ascii="Calibri" w:eastAsia="Times New Roman" w:hAnsi="Calibri" w:cs="Calibri"/>
                <w:snapToGrid w:val="0"/>
                <w:sz w:val="20"/>
                <w:szCs w:val="20"/>
              </w:rPr>
              <w:t>48.5</w:t>
            </w:r>
          </w:p>
        </w:tc>
        <w:tc>
          <w:tcPr>
            <w:tcW w:w="1410" w:type="dxa"/>
            <w:tcBorders>
              <w:top w:val="single" w:sz="4" w:space="0" w:color="auto"/>
            </w:tcBorders>
            <w:vAlign w:val="bottom"/>
          </w:tcPr>
          <w:p w:rsidR="00685BE5" w:rsidRPr="0096762B" w:rsidRDefault="00685BE5" w:rsidP="00AE4C3A">
            <w:pPr>
              <w:spacing w:before="20" w:after="20"/>
              <w:jc w:val="center"/>
              <w:rPr>
                <w:rFonts w:ascii="Calibri" w:eastAsia="Times New Roman" w:hAnsi="Calibri" w:cs="Calibri"/>
                <w:snapToGrid w:val="0"/>
                <w:sz w:val="20"/>
                <w:szCs w:val="20"/>
              </w:rPr>
            </w:pPr>
            <w:r w:rsidRPr="0096762B">
              <w:rPr>
                <w:rFonts w:ascii="Calibri" w:eastAsia="Times New Roman" w:hAnsi="Calibri" w:cs="Calibri"/>
                <w:snapToGrid w:val="0"/>
                <w:sz w:val="20"/>
                <w:szCs w:val="20"/>
              </w:rPr>
              <w:t>24.1</w:t>
            </w:r>
          </w:p>
        </w:tc>
      </w:tr>
      <w:tr w:rsidR="00685BE5" w:rsidRPr="0096762B" w:rsidTr="00A5200F">
        <w:trPr>
          <w:trHeight w:val="254"/>
        </w:trPr>
        <w:tc>
          <w:tcPr>
            <w:tcW w:w="4487" w:type="dxa"/>
            <w:vAlign w:val="bottom"/>
          </w:tcPr>
          <w:p w:rsidR="00685BE5" w:rsidRPr="0096762B" w:rsidRDefault="00685BE5" w:rsidP="00AE4C3A">
            <w:pPr>
              <w:spacing w:before="20" w:after="20"/>
              <w:jc w:val="both"/>
              <w:rPr>
                <w:rFonts w:ascii="Calibri" w:eastAsia="Times New Roman" w:hAnsi="Calibri" w:cs="Calibri"/>
                <w:snapToGrid w:val="0"/>
                <w:sz w:val="20"/>
                <w:szCs w:val="20"/>
              </w:rPr>
            </w:pPr>
            <w:r w:rsidRPr="0096762B">
              <w:rPr>
                <w:rFonts w:ascii="Calibri" w:eastAsia="Times New Roman" w:hAnsi="Calibri" w:cs="Calibri"/>
                <w:snapToGrid w:val="0"/>
                <w:sz w:val="20"/>
                <w:szCs w:val="20"/>
              </w:rPr>
              <w:t>Adding new staff to meet service demand</w:t>
            </w:r>
          </w:p>
        </w:tc>
        <w:tc>
          <w:tcPr>
            <w:tcW w:w="1439" w:type="dxa"/>
            <w:vAlign w:val="bottom"/>
          </w:tcPr>
          <w:p w:rsidR="00685BE5" w:rsidRPr="0096762B" w:rsidRDefault="00685BE5" w:rsidP="00AE4C3A">
            <w:pPr>
              <w:spacing w:before="20" w:after="20"/>
              <w:jc w:val="center"/>
              <w:rPr>
                <w:rFonts w:ascii="Calibri" w:eastAsia="Times New Roman" w:hAnsi="Calibri" w:cs="Calibri"/>
                <w:snapToGrid w:val="0"/>
                <w:sz w:val="20"/>
                <w:szCs w:val="20"/>
              </w:rPr>
            </w:pPr>
            <w:r w:rsidRPr="0096762B">
              <w:rPr>
                <w:rFonts w:ascii="Calibri" w:eastAsia="Times New Roman" w:hAnsi="Calibri" w:cs="Calibri"/>
                <w:snapToGrid w:val="0"/>
                <w:sz w:val="20"/>
                <w:szCs w:val="20"/>
              </w:rPr>
              <w:t>25.0</w:t>
            </w:r>
          </w:p>
        </w:tc>
        <w:tc>
          <w:tcPr>
            <w:tcW w:w="1410" w:type="dxa"/>
            <w:vAlign w:val="bottom"/>
          </w:tcPr>
          <w:p w:rsidR="00685BE5" w:rsidRPr="0096762B" w:rsidRDefault="00685BE5" w:rsidP="00AE4C3A">
            <w:pPr>
              <w:spacing w:before="20" w:after="20"/>
              <w:jc w:val="center"/>
              <w:rPr>
                <w:rFonts w:ascii="Calibri" w:eastAsia="Times New Roman" w:hAnsi="Calibri" w:cs="Calibri"/>
                <w:snapToGrid w:val="0"/>
                <w:sz w:val="20"/>
                <w:szCs w:val="20"/>
              </w:rPr>
            </w:pPr>
            <w:r w:rsidRPr="0096762B">
              <w:rPr>
                <w:rFonts w:ascii="Calibri" w:eastAsia="Times New Roman" w:hAnsi="Calibri" w:cs="Calibri"/>
                <w:snapToGrid w:val="0"/>
                <w:sz w:val="20"/>
                <w:szCs w:val="20"/>
              </w:rPr>
              <w:t>32.7</w:t>
            </w:r>
          </w:p>
        </w:tc>
      </w:tr>
      <w:tr w:rsidR="00685BE5" w:rsidRPr="0096762B" w:rsidTr="00A5200F">
        <w:trPr>
          <w:trHeight w:val="254"/>
        </w:trPr>
        <w:tc>
          <w:tcPr>
            <w:tcW w:w="4487" w:type="dxa"/>
            <w:vAlign w:val="bottom"/>
          </w:tcPr>
          <w:p w:rsidR="00685BE5" w:rsidRPr="0096762B" w:rsidRDefault="00685BE5" w:rsidP="00AE4C3A">
            <w:pPr>
              <w:spacing w:before="20" w:after="20"/>
              <w:jc w:val="both"/>
              <w:rPr>
                <w:rFonts w:ascii="Calibri" w:eastAsia="Times New Roman" w:hAnsi="Calibri" w:cs="Calibri"/>
                <w:snapToGrid w:val="0"/>
                <w:sz w:val="20"/>
                <w:szCs w:val="20"/>
              </w:rPr>
            </w:pPr>
            <w:r w:rsidRPr="0096762B">
              <w:rPr>
                <w:rFonts w:ascii="Calibri" w:eastAsia="Times New Roman" w:hAnsi="Calibri" w:cs="Calibri"/>
                <w:snapToGrid w:val="0"/>
                <w:sz w:val="20"/>
                <w:szCs w:val="20"/>
              </w:rPr>
              <w:t>Changing staff types to meet service demand</w:t>
            </w:r>
          </w:p>
        </w:tc>
        <w:tc>
          <w:tcPr>
            <w:tcW w:w="1439" w:type="dxa"/>
            <w:vAlign w:val="bottom"/>
          </w:tcPr>
          <w:p w:rsidR="00685BE5" w:rsidRPr="0096762B" w:rsidRDefault="00685BE5" w:rsidP="00AE4C3A">
            <w:pPr>
              <w:spacing w:before="20" w:after="20"/>
              <w:jc w:val="center"/>
              <w:rPr>
                <w:rFonts w:ascii="Calibri" w:eastAsia="Times New Roman" w:hAnsi="Calibri" w:cs="Calibri"/>
                <w:snapToGrid w:val="0"/>
                <w:sz w:val="20"/>
                <w:szCs w:val="20"/>
              </w:rPr>
            </w:pPr>
            <w:r w:rsidRPr="0096762B">
              <w:rPr>
                <w:rFonts w:ascii="Calibri" w:eastAsia="Times New Roman" w:hAnsi="Calibri" w:cs="Calibri"/>
                <w:snapToGrid w:val="0"/>
                <w:sz w:val="20"/>
                <w:szCs w:val="20"/>
              </w:rPr>
              <w:t>32.0</w:t>
            </w:r>
          </w:p>
        </w:tc>
        <w:tc>
          <w:tcPr>
            <w:tcW w:w="1410" w:type="dxa"/>
            <w:vAlign w:val="bottom"/>
          </w:tcPr>
          <w:p w:rsidR="00685BE5" w:rsidRPr="0096762B" w:rsidRDefault="00685BE5" w:rsidP="00AE4C3A">
            <w:pPr>
              <w:spacing w:before="20" w:after="20"/>
              <w:jc w:val="center"/>
              <w:rPr>
                <w:rFonts w:ascii="Calibri" w:eastAsia="Times New Roman" w:hAnsi="Calibri" w:cs="Calibri"/>
                <w:snapToGrid w:val="0"/>
                <w:sz w:val="20"/>
                <w:szCs w:val="20"/>
              </w:rPr>
            </w:pPr>
            <w:r w:rsidRPr="0096762B">
              <w:rPr>
                <w:rFonts w:ascii="Calibri" w:eastAsia="Times New Roman" w:hAnsi="Calibri" w:cs="Calibri"/>
                <w:snapToGrid w:val="0"/>
                <w:sz w:val="20"/>
                <w:szCs w:val="20"/>
              </w:rPr>
              <w:t>29.1</w:t>
            </w:r>
          </w:p>
        </w:tc>
      </w:tr>
      <w:tr w:rsidR="00685BE5" w:rsidRPr="0096762B" w:rsidTr="00A5200F">
        <w:trPr>
          <w:trHeight w:val="254"/>
        </w:trPr>
        <w:tc>
          <w:tcPr>
            <w:tcW w:w="4487" w:type="dxa"/>
            <w:vAlign w:val="bottom"/>
          </w:tcPr>
          <w:p w:rsidR="00685BE5" w:rsidRPr="0096762B" w:rsidRDefault="00685BE5" w:rsidP="00AE4C3A">
            <w:pPr>
              <w:spacing w:before="20" w:after="20"/>
              <w:jc w:val="both"/>
              <w:rPr>
                <w:rFonts w:ascii="Calibri" w:eastAsia="Times New Roman" w:hAnsi="Calibri" w:cs="Calibri"/>
                <w:snapToGrid w:val="0"/>
                <w:sz w:val="20"/>
                <w:szCs w:val="20"/>
              </w:rPr>
            </w:pPr>
            <w:r w:rsidRPr="0096762B">
              <w:rPr>
                <w:rFonts w:ascii="Calibri" w:eastAsia="Times New Roman" w:hAnsi="Calibri" w:cs="Calibri"/>
                <w:snapToGrid w:val="0"/>
                <w:sz w:val="20"/>
                <w:szCs w:val="20"/>
              </w:rPr>
              <w:t>Helping service users to prepare personalised plans</w:t>
            </w:r>
          </w:p>
        </w:tc>
        <w:tc>
          <w:tcPr>
            <w:tcW w:w="1439" w:type="dxa"/>
            <w:vAlign w:val="bottom"/>
          </w:tcPr>
          <w:p w:rsidR="00685BE5" w:rsidRPr="0096762B" w:rsidRDefault="00685BE5" w:rsidP="00AE4C3A">
            <w:pPr>
              <w:spacing w:before="20" w:after="20"/>
              <w:jc w:val="center"/>
              <w:rPr>
                <w:rFonts w:ascii="Calibri" w:eastAsia="Times New Roman" w:hAnsi="Calibri" w:cs="Calibri"/>
                <w:snapToGrid w:val="0"/>
                <w:sz w:val="20"/>
                <w:szCs w:val="20"/>
              </w:rPr>
            </w:pPr>
            <w:r w:rsidRPr="0096762B">
              <w:rPr>
                <w:rFonts w:ascii="Calibri" w:eastAsia="Times New Roman" w:hAnsi="Calibri" w:cs="Calibri"/>
                <w:snapToGrid w:val="0"/>
                <w:sz w:val="20"/>
                <w:szCs w:val="20"/>
              </w:rPr>
              <w:t>47.3</w:t>
            </w:r>
          </w:p>
        </w:tc>
        <w:tc>
          <w:tcPr>
            <w:tcW w:w="1410" w:type="dxa"/>
            <w:vAlign w:val="bottom"/>
          </w:tcPr>
          <w:p w:rsidR="00685BE5" w:rsidRPr="0096762B" w:rsidRDefault="00685BE5" w:rsidP="00AE4C3A">
            <w:pPr>
              <w:spacing w:before="20" w:after="20"/>
              <w:jc w:val="center"/>
              <w:rPr>
                <w:rFonts w:ascii="Calibri" w:eastAsia="Times New Roman" w:hAnsi="Calibri" w:cs="Calibri"/>
                <w:snapToGrid w:val="0"/>
                <w:sz w:val="20"/>
                <w:szCs w:val="20"/>
              </w:rPr>
            </w:pPr>
            <w:r w:rsidRPr="0096762B">
              <w:rPr>
                <w:rFonts w:ascii="Calibri" w:eastAsia="Times New Roman" w:hAnsi="Calibri" w:cs="Calibri"/>
                <w:snapToGrid w:val="0"/>
                <w:sz w:val="20"/>
                <w:szCs w:val="20"/>
              </w:rPr>
              <w:t>24.5</w:t>
            </w:r>
          </w:p>
        </w:tc>
      </w:tr>
      <w:tr w:rsidR="00685BE5" w:rsidRPr="0096762B" w:rsidTr="00A5200F">
        <w:trPr>
          <w:trHeight w:val="254"/>
        </w:trPr>
        <w:tc>
          <w:tcPr>
            <w:tcW w:w="4487" w:type="dxa"/>
            <w:vAlign w:val="bottom"/>
          </w:tcPr>
          <w:p w:rsidR="00685BE5" w:rsidRPr="0096762B" w:rsidRDefault="00685BE5" w:rsidP="00AE4C3A">
            <w:pPr>
              <w:spacing w:before="20" w:after="20"/>
              <w:jc w:val="both"/>
              <w:rPr>
                <w:rFonts w:ascii="Calibri" w:eastAsia="Times New Roman" w:hAnsi="Calibri" w:cs="Calibri"/>
                <w:snapToGrid w:val="0"/>
                <w:sz w:val="20"/>
                <w:szCs w:val="20"/>
              </w:rPr>
            </w:pPr>
            <w:r w:rsidRPr="0096762B">
              <w:rPr>
                <w:rFonts w:ascii="Calibri" w:eastAsia="Times New Roman" w:hAnsi="Calibri" w:cs="Calibri"/>
                <w:snapToGrid w:val="0"/>
                <w:sz w:val="20"/>
                <w:szCs w:val="20"/>
              </w:rPr>
              <w:t>Engaging with Local Area Co-ordinators (LACs)</w:t>
            </w:r>
          </w:p>
        </w:tc>
        <w:tc>
          <w:tcPr>
            <w:tcW w:w="1439" w:type="dxa"/>
            <w:vAlign w:val="bottom"/>
          </w:tcPr>
          <w:p w:rsidR="00685BE5" w:rsidRPr="0096762B" w:rsidRDefault="00685BE5" w:rsidP="00AE4C3A">
            <w:pPr>
              <w:spacing w:before="20" w:after="20"/>
              <w:jc w:val="center"/>
              <w:rPr>
                <w:rFonts w:ascii="Calibri" w:eastAsia="Times New Roman" w:hAnsi="Calibri" w:cs="Calibri"/>
                <w:snapToGrid w:val="0"/>
                <w:sz w:val="20"/>
                <w:szCs w:val="20"/>
              </w:rPr>
            </w:pPr>
            <w:r w:rsidRPr="0096762B">
              <w:rPr>
                <w:rFonts w:ascii="Calibri" w:eastAsia="Times New Roman" w:hAnsi="Calibri" w:cs="Calibri"/>
                <w:snapToGrid w:val="0"/>
                <w:sz w:val="20"/>
                <w:szCs w:val="20"/>
              </w:rPr>
              <w:t>31.0</w:t>
            </w:r>
          </w:p>
        </w:tc>
        <w:tc>
          <w:tcPr>
            <w:tcW w:w="1410" w:type="dxa"/>
            <w:vAlign w:val="bottom"/>
          </w:tcPr>
          <w:p w:rsidR="00685BE5" w:rsidRPr="0096762B" w:rsidRDefault="00685BE5" w:rsidP="00AE4C3A">
            <w:pPr>
              <w:spacing w:before="20" w:after="20"/>
              <w:jc w:val="center"/>
              <w:rPr>
                <w:rFonts w:ascii="Calibri" w:eastAsia="Times New Roman" w:hAnsi="Calibri" w:cs="Calibri"/>
                <w:snapToGrid w:val="0"/>
                <w:sz w:val="20"/>
                <w:szCs w:val="20"/>
              </w:rPr>
            </w:pPr>
            <w:r w:rsidRPr="0096762B">
              <w:rPr>
                <w:rFonts w:ascii="Calibri" w:eastAsia="Times New Roman" w:hAnsi="Calibri" w:cs="Calibri"/>
                <w:snapToGrid w:val="0"/>
                <w:sz w:val="20"/>
                <w:szCs w:val="20"/>
              </w:rPr>
              <w:t>33.9</w:t>
            </w:r>
          </w:p>
        </w:tc>
      </w:tr>
      <w:tr w:rsidR="00685BE5" w:rsidRPr="0096762B" w:rsidTr="00A5200F">
        <w:trPr>
          <w:trHeight w:val="254"/>
        </w:trPr>
        <w:tc>
          <w:tcPr>
            <w:tcW w:w="4487" w:type="dxa"/>
            <w:vAlign w:val="bottom"/>
          </w:tcPr>
          <w:p w:rsidR="00685BE5" w:rsidRPr="0096762B" w:rsidRDefault="00685BE5" w:rsidP="00AE4C3A">
            <w:pPr>
              <w:spacing w:before="20" w:after="20"/>
              <w:jc w:val="both"/>
              <w:rPr>
                <w:rFonts w:ascii="Calibri" w:eastAsia="Times New Roman" w:hAnsi="Calibri" w:cs="Calibri"/>
                <w:snapToGrid w:val="0"/>
                <w:sz w:val="20"/>
                <w:szCs w:val="20"/>
              </w:rPr>
            </w:pPr>
            <w:r w:rsidRPr="0096762B">
              <w:rPr>
                <w:rFonts w:ascii="Calibri" w:eastAsia="Times New Roman" w:hAnsi="Calibri" w:cs="Calibri"/>
                <w:snapToGrid w:val="0"/>
                <w:sz w:val="20"/>
                <w:szCs w:val="20"/>
              </w:rPr>
              <w:t>Establishing brokerage services</w:t>
            </w:r>
          </w:p>
        </w:tc>
        <w:tc>
          <w:tcPr>
            <w:tcW w:w="1439" w:type="dxa"/>
            <w:vAlign w:val="bottom"/>
          </w:tcPr>
          <w:p w:rsidR="00685BE5" w:rsidRPr="0096762B" w:rsidRDefault="00685BE5" w:rsidP="00AE4C3A">
            <w:pPr>
              <w:spacing w:before="20" w:after="20"/>
              <w:jc w:val="center"/>
              <w:rPr>
                <w:rFonts w:ascii="Calibri" w:eastAsia="Times New Roman" w:hAnsi="Calibri" w:cs="Calibri"/>
                <w:snapToGrid w:val="0"/>
                <w:sz w:val="20"/>
                <w:szCs w:val="20"/>
              </w:rPr>
            </w:pPr>
            <w:r w:rsidRPr="0096762B">
              <w:rPr>
                <w:rFonts w:ascii="Calibri" w:eastAsia="Times New Roman" w:hAnsi="Calibri" w:cs="Calibri"/>
                <w:snapToGrid w:val="0"/>
                <w:sz w:val="20"/>
                <w:szCs w:val="20"/>
              </w:rPr>
              <w:t>30.0</w:t>
            </w:r>
          </w:p>
        </w:tc>
        <w:tc>
          <w:tcPr>
            <w:tcW w:w="1410" w:type="dxa"/>
            <w:vAlign w:val="bottom"/>
          </w:tcPr>
          <w:p w:rsidR="00685BE5" w:rsidRPr="0096762B" w:rsidRDefault="00685BE5" w:rsidP="00AE4C3A">
            <w:pPr>
              <w:spacing w:before="20" w:after="20"/>
              <w:jc w:val="center"/>
              <w:rPr>
                <w:rFonts w:ascii="Calibri" w:eastAsia="Times New Roman" w:hAnsi="Calibri" w:cs="Calibri"/>
                <w:snapToGrid w:val="0"/>
                <w:sz w:val="20"/>
                <w:szCs w:val="20"/>
              </w:rPr>
            </w:pPr>
            <w:r w:rsidRPr="0096762B">
              <w:rPr>
                <w:rFonts w:ascii="Calibri" w:eastAsia="Times New Roman" w:hAnsi="Calibri" w:cs="Calibri"/>
                <w:snapToGrid w:val="0"/>
                <w:sz w:val="20"/>
                <w:szCs w:val="20"/>
              </w:rPr>
              <w:t>22.5</w:t>
            </w:r>
          </w:p>
        </w:tc>
      </w:tr>
      <w:tr w:rsidR="00685BE5" w:rsidRPr="0096762B" w:rsidTr="00A5200F">
        <w:trPr>
          <w:trHeight w:val="254"/>
        </w:trPr>
        <w:tc>
          <w:tcPr>
            <w:tcW w:w="4487" w:type="dxa"/>
            <w:vAlign w:val="bottom"/>
          </w:tcPr>
          <w:p w:rsidR="00685BE5" w:rsidRPr="0096762B" w:rsidRDefault="00685BE5" w:rsidP="00AE4C3A">
            <w:pPr>
              <w:spacing w:before="20" w:after="20"/>
              <w:jc w:val="both"/>
              <w:rPr>
                <w:rFonts w:ascii="Calibri" w:eastAsia="Times New Roman" w:hAnsi="Calibri" w:cs="Calibri"/>
                <w:snapToGrid w:val="0"/>
                <w:sz w:val="20"/>
                <w:szCs w:val="20"/>
              </w:rPr>
            </w:pPr>
            <w:r w:rsidRPr="0096762B">
              <w:rPr>
                <w:rFonts w:ascii="Calibri" w:eastAsia="Times New Roman" w:hAnsi="Calibri" w:cs="Calibri"/>
                <w:snapToGrid w:val="0"/>
                <w:sz w:val="20"/>
                <w:szCs w:val="20"/>
              </w:rPr>
              <w:t>Other</w:t>
            </w:r>
          </w:p>
        </w:tc>
        <w:tc>
          <w:tcPr>
            <w:tcW w:w="1439" w:type="dxa"/>
            <w:vAlign w:val="bottom"/>
          </w:tcPr>
          <w:p w:rsidR="00685BE5" w:rsidRPr="0096762B" w:rsidRDefault="00685BE5" w:rsidP="00AE4C3A">
            <w:pPr>
              <w:spacing w:before="20" w:after="20"/>
              <w:jc w:val="center"/>
              <w:rPr>
                <w:rFonts w:ascii="Calibri" w:eastAsia="Times New Roman" w:hAnsi="Calibri" w:cs="Calibri"/>
                <w:snapToGrid w:val="0"/>
                <w:sz w:val="20"/>
                <w:szCs w:val="20"/>
              </w:rPr>
            </w:pPr>
            <w:r w:rsidRPr="0096762B">
              <w:rPr>
                <w:rFonts w:ascii="Calibri" w:eastAsia="Times New Roman" w:hAnsi="Calibri" w:cs="Calibri"/>
                <w:snapToGrid w:val="0"/>
                <w:sz w:val="20"/>
                <w:szCs w:val="20"/>
              </w:rPr>
              <w:t>6.0</w:t>
            </w:r>
          </w:p>
        </w:tc>
        <w:tc>
          <w:tcPr>
            <w:tcW w:w="1410" w:type="dxa"/>
            <w:vAlign w:val="bottom"/>
          </w:tcPr>
          <w:p w:rsidR="00685BE5" w:rsidRPr="0096762B" w:rsidRDefault="00685BE5" w:rsidP="00AE4C3A">
            <w:pPr>
              <w:spacing w:before="20" w:after="20"/>
              <w:jc w:val="center"/>
              <w:rPr>
                <w:rFonts w:ascii="Calibri" w:eastAsia="Times New Roman" w:hAnsi="Calibri" w:cs="Calibri"/>
                <w:snapToGrid w:val="0"/>
                <w:sz w:val="20"/>
                <w:szCs w:val="20"/>
              </w:rPr>
            </w:pPr>
            <w:r w:rsidRPr="0096762B">
              <w:rPr>
                <w:rFonts w:ascii="Calibri" w:eastAsia="Times New Roman" w:hAnsi="Calibri" w:cs="Calibri"/>
                <w:snapToGrid w:val="0"/>
                <w:sz w:val="20"/>
                <w:szCs w:val="20"/>
              </w:rPr>
              <w:t>5.9</w:t>
            </w:r>
          </w:p>
        </w:tc>
      </w:tr>
      <w:tr w:rsidR="00AE7C41" w:rsidRPr="0096762B" w:rsidTr="00A5200F">
        <w:trPr>
          <w:trHeight w:val="254"/>
        </w:trPr>
        <w:tc>
          <w:tcPr>
            <w:tcW w:w="4487" w:type="dxa"/>
            <w:vAlign w:val="bottom"/>
          </w:tcPr>
          <w:p w:rsidR="00AE7C41" w:rsidRPr="00F52A2D" w:rsidRDefault="00AE7C41" w:rsidP="00AE4C3A">
            <w:pPr>
              <w:spacing w:before="20" w:after="20"/>
              <w:jc w:val="both"/>
              <w:rPr>
                <w:rFonts w:ascii="Calibri" w:eastAsia="Times New Roman" w:hAnsi="Calibri" w:cs="Calibri"/>
                <w:snapToGrid w:val="0"/>
                <w:sz w:val="20"/>
                <w:szCs w:val="20"/>
              </w:rPr>
            </w:pPr>
            <w:r w:rsidRPr="00F52A2D">
              <w:rPr>
                <w:rFonts w:ascii="Calibri" w:eastAsia="Times New Roman" w:hAnsi="Calibri" w:cs="Calibri"/>
                <w:snapToGrid w:val="0"/>
                <w:sz w:val="20"/>
                <w:szCs w:val="20"/>
              </w:rPr>
              <w:t>Question not answered</w:t>
            </w:r>
          </w:p>
        </w:tc>
        <w:tc>
          <w:tcPr>
            <w:tcW w:w="1439" w:type="dxa"/>
            <w:vAlign w:val="bottom"/>
          </w:tcPr>
          <w:p w:rsidR="00AE7C41" w:rsidRPr="00F52A2D" w:rsidRDefault="00AE7C41" w:rsidP="00AE4C3A">
            <w:pPr>
              <w:spacing w:before="20" w:after="20"/>
              <w:jc w:val="center"/>
              <w:rPr>
                <w:rFonts w:ascii="Calibri" w:eastAsia="Times New Roman" w:hAnsi="Calibri" w:cs="Calibri"/>
                <w:snapToGrid w:val="0"/>
                <w:sz w:val="20"/>
                <w:szCs w:val="20"/>
              </w:rPr>
            </w:pPr>
            <w:r w:rsidRPr="00F52A2D">
              <w:rPr>
                <w:rFonts w:ascii="Calibri" w:eastAsia="Times New Roman" w:hAnsi="Calibri" w:cs="Calibri"/>
                <w:snapToGrid w:val="0"/>
                <w:sz w:val="20"/>
                <w:szCs w:val="20"/>
              </w:rPr>
              <w:t>10.9</w:t>
            </w:r>
          </w:p>
        </w:tc>
        <w:tc>
          <w:tcPr>
            <w:tcW w:w="1410" w:type="dxa"/>
            <w:vAlign w:val="bottom"/>
          </w:tcPr>
          <w:p w:rsidR="00AE7C41" w:rsidRPr="00F52A2D" w:rsidRDefault="00AE7C41" w:rsidP="00AE4C3A">
            <w:pPr>
              <w:spacing w:before="20" w:after="20"/>
              <w:jc w:val="center"/>
              <w:rPr>
                <w:rFonts w:ascii="Calibri" w:eastAsia="Times New Roman" w:hAnsi="Calibri" w:cs="Calibri"/>
                <w:snapToGrid w:val="0"/>
                <w:sz w:val="20"/>
                <w:szCs w:val="20"/>
              </w:rPr>
            </w:pPr>
            <w:r w:rsidRPr="00F52A2D">
              <w:rPr>
                <w:rFonts w:ascii="Calibri" w:eastAsia="Times New Roman" w:hAnsi="Calibri" w:cs="Calibri"/>
                <w:snapToGrid w:val="0"/>
                <w:sz w:val="20"/>
                <w:szCs w:val="20"/>
              </w:rPr>
              <w:t>10.9</w:t>
            </w:r>
          </w:p>
        </w:tc>
      </w:tr>
      <w:tr w:rsidR="00C2441E" w:rsidRPr="0096762B" w:rsidTr="00A5200F">
        <w:trPr>
          <w:trHeight w:val="254"/>
        </w:trPr>
        <w:tc>
          <w:tcPr>
            <w:tcW w:w="7336" w:type="dxa"/>
            <w:gridSpan w:val="3"/>
            <w:tcBorders>
              <w:top w:val="single" w:sz="4" w:space="0" w:color="auto"/>
              <w:bottom w:val="single" w:sz="4" w:space="0" w:color="auto"/>
            </w:tcBorders>
            <w:vAlign w:val="bottom"/>
          </w:tcPr>
          <w:p w:rsidR="00C2441E" w:rsidRPr="0096762B" w:rsidRDefault="00C2441E" w:rsidP="00C2441E">
            <w:pPr>
              <w:spacing w:before="20" w:after="20"/>
              <w:rPr>
                <w:rFonts w:ascii="Calibri" w:eastAsia="Times New Roman" w:hAnsi="Calibri" w:cs="Calibri"/>
                <w:b/>
                <w:snapToGrid w:val="0"/>
                <w:sz w:val="20"/>
                <w:szCs w:val="20"/>
              </w:rPr>
            </w:pPr>
            <w:r w:rsidRPr="00F52A2D">
              <w:rPr>
                <w:rFonts w:ascii="Calibri" w:eastAsia="Times New Roman" w:hAnsi="Calibri" w:cs="Calibri"/>
                <w:b/>
                <w:snapToGrid w:val="0"/>
                <w:sz w:val="20"/>
                <w:szCs w:val="20"/>
              </w:rPr>
              <w:t>Total (N=697)</w:t>
            </w:r>
          </w:p>
        </w:tc>
      </w:tr>
    </w:tbl>
    <w:p w:rsidR="00685BE5" w:rsidRPr="00A1651A" w:rsidRDefault="00685BE5" w:rsidP="00AE4C3A">
      <w:pPr>
        <w:pStyle w:val="NILSReference"/>
      </w:pPr>
      <w:r>
        <w:br w:type="textWrapping" w:clear="all"/>
      </w:r>
      <w:r w:rsidRPr="00A1651A">
        <w:t>Source: 2014 NDIS DSP Outlet survey, Question A24</w:t>
      </w:r>
      <w:r>
        <w:t>.</w:t>
      </w:r>
    </w:p>
    <w:p w:rsidR="00685BE5" w:rsidRPr="00A1651A" w:rsidRDefault="00685BE5" w:rsidP="00AE4C3A">
      <w:pPr>
        <w:pStyle w:val="NILSReference"/>
      </w:pPr>
      <w:r>
        <w:t xml:space="preserve">Notes: Multiple responses allowed. </w:t>
      </w:r>
      <w:r w:rsidRPr="00A1651A">
        <w:t xml:space="preserve">Per cent of outlets reporting </w:t>
      </w:r>
      <w:r w:rsidR="00A5200F">
        <w:t>w</w:t>
      </w:r>
      <w:r w:rsidRPr="00A1651A">
        <w:t>hat they are doing or planning to do each listed action.</w:t>
      </w:r>
    </w:p>
    <w:p w:rsidR="003A37B0" w:rsidRDefault="003A37B0" w:rsidP="00AE4C3A"/>
    <w:p w:rsidR="00685BE5" w:rsidRDefault="00685BE5" w:rsidP="00AE4C3A">
      <w:r>
        <w:t>A broad question was asked about whether outlets expected the NDIS to have a positive or negative effect on their operations. The answers to this question are set out in Table 4.16.</w:t>
      </w:r>
    </w:p>
    <w:p w:rsidR="003A37B0" w:rsidRDefault="003A37B0" w:rsidP="00AE4C3A"/>
    <w:p w:rsidR="00685BE5" w:rsidRDefault="00685BE5" w:rsidP="00AE4C3A">
      <w:r>
        <w:t xml:space="preserve">Almost one third of respondents did not have a view about the likely impact. </w:t>
      </w:r>
      <w:r w:rsidR="003A37B0">
        <w:t xml:space="preserve">Of those that did have a view, </w:t>
      </w:r>
      <w:r>
        <w:t xml:space="preserve">a majority of 38 per cent expected the impact to be positive. But it is worth noting that 22 per cent thought that it would have a negative impact, two thirds of whom thought it would be a significantly negative impact. It is surprising and almost counter-intuitive that providers faced with an expected large rise in demand for their services would view this demand rise in such a negative way. It raises questions about the reasons why they felt threatened by this rise. </w:t>
      </w:r>
      <w:r w:rsidR="0090288F">
        <w:t xml:space="preserve">This will be explored </w:t>
      </w:r>
      <w:r>
        <w:t>more fully in subsequent quantitative and qualitative work.</w:t>
      </w:r>
    </w:p>
    <w:p w:rsidR="00685BE5" w:rsidRPr="006E2922" w:rsidRDefault="00685BE5" w:rsidP="0044684E">
      <w:pPr>
        <w:pStyle w:val="NILSTableHeading"/>
      </w:pPr>
      <w:bookmarkStart w:id="548" w:name="_Toc428279221"/>
      <w:bookmarkStart w:id="549" w:name="_Toc449955352"/>
      <w:r>
        <w:t>Table 4.16</w:t>
      </w:r>
      <w:r w:rsidRPr="006E2922">
        <w:t>:</w:t>
      </w:r>
      <w:r>
        <w:t xml:space="preserve"> </w:t>
      </w:r>
      <w:r w:rsidRPr="006E2922">
        <w:t>Anticipated general impact of NDIS</w:t>
      </w:r>
      <w:bookmarkEnd w:id="548"/>
      <w:bookmarkEnd w:id="549"/>
    </w:p>
    <w:tbl>
      <w:tblPr>
        <w:tblW w:w="4077" w:type="dxa"/>
        <w:tblLayout w:type="fixed"/>
        <w:tblLook w:val="0000" w:firstRow="0" w:lastRow="0" w:firstColumn="0" w:lastColumn="0" w:noHBand="0" w:noVBand="0"/>
        <w:tblCaption w:val="Table 4.16 Anticipated general impact of NDIS"/>
      </w:tblPr>
      <w:tblGrid>
        <w:gridCol w:w="3085"/>
        <w:gridCol w:w="992"/>
      </w:tblGrid>
      <w:tr w:rsidR="00685BE5" w:rsidRPr="006A4BDA" w:rsidTr="00AE7C41">
        <w:trPr>
          <w:trHeight w:val="254"/>
          <w:tblHeader/>
        </w:trPr>
        <w:tc>
          <w:tcPr>
            <w:tcW w:w="3085" w:type="dxa"/>
            <w:tcBorders>
              <w:top w:val="single" w:sz="4" w:space="0" w:color="auto"/>
              <w:bottom w:val="single" w:sz="4" w:space="0" w:color="auto"/>
            </w:tcBorders>
            <w:vAlign w:val="center"/>
          </w:tcPr>
          <w:p w:rsidR="00685BE5" w:rsidRPr="006A4BDA" w:rsidRDefault="00685BE5" w:rsidP="00AE4C3A">
            <w:pPr>
              <w:spacing w:before="20" w:after="20"/>
              <w:jc w:val="both"/>
              <w:rPr>
                <w:rFonts w:eastAsia="Times New Roman" w:cstheme="minorHAnsi"/>
                <w:sz w:val="20"/>
                <w:szCs w:val="20"/>
              </w:rPr>
            </w:pPr>
            <w:bookmarkStart w:id="550" w:name="Title_4_16"/>
            <w:bookmarkEnd w:id="550"/>
          </w:p>
        </w:tc>
        <w:tc>
          <w:tcPr>
            <w:tcW w:w="992" w:type="dxa"/>
            <w:tcBorders>
              <w:top w:val="single" w:sz="4" w:space="0" w:color="auto"/>
              <w:bottom w:val="single" w:sz="4" w:space="0" w:color="auto"/>
            </w:tcBorders>
            <w:vAlign w:val="center"/>
          </w:tcPr>
          <w:p w:rsidR="00685BE5" w:rsidRPr="006A4BDA" w:rsidRDefault="00592921" w:rsidP="00B55008">
            <w:pPr>
              <w:spacing w:before="20" w:after="20"/>
              <w:jc w:val="center"/>
              <w:rPr>
                <w:rFonts w:eastAsia="Times New Roman" w:cstheme="minorHAnsi"/>
                <w:sz w:val="20"/>
                <w:szCs w:val="20"/>
              </w:rPr>
            </w:pPr>
            <w:r>
              <w:rPr>
                <w:rFonts w:eastAsia="Times New Roman" w:cstheme="minorHAnsi"/>
                <w:sz w:val="20"/>
                <w:szCs w:val="20"/>
              </w:rPr>
              <w:t>%</w:t>
            </w:r>
          </w:p>
        </w:tc>
      </w:tr>
      <w:tr w:rsidR="00685BE5" w:rsidRPr="00A1651A" w:rsidTr="00AE7C41">
        <w:trPr>
          <w:trHeight w:val="254"/>
        </w:trPr>
        <w:tc>
          <w:tcPr>
            <w:tcW w:w="3085" w:type="dxa"/>
            <w:tcBorders>
              <w:top w:val="single" w:sz="4" w:space="0" w:color="auto"/>
            </w:tcBorders>
            <w:vAlign w:val="center"/>
          </w:tcPr>
          <w:p w:rsidR="00685BE5" w:rsidRPr="00A1651A" w:rsidRDefault="00685BE5" w:rsidP="00AE4C3A">
            <w:pPr>
              <w:spacing w:before="20" w:after="20"/>
              <w:jc w:val="both"/>
              <w:rPr>
                <w:rFonts w:eastAsia="Times New Roman" w:cstheme="minorHAnsi"/>
                <w:snapToGrid w:val="0"/>
                <w:sz w:val="20"/>
                <w:szCs w:val="20"/>
              </w:rPr>
            </w:pPr>
            <w:r w:rsidRPr="00A1651A">
              <w:rPr>
                <w:rFonts w:eastAsia="Times New Roman" w:cstheme="minorHAnsi"/>
                <w:snapToGrid w:val="0"/>
                <w:sz w:val="20"/>
                <w:szCs w:val="20"/>
              </w:rPr>
              <w:t>A significant positive impact</w:t>
            </w:r>
          </w:p>
        </w:tc>
        <w:tc>
          <w:tcPr>
            <w:tcW w:w="992" w:type="dxa"/>
            <w:tcBorders>
              <w:top w:val="single" w:sz="4" w:space="0" w:color="auto"/>
            </w:tcBorders>
            <w:vAlign w:val="bottom"/>
          </w:tcPr>
          <w:p w:rsidR="00685BE5" w:rsidRPr="00A1651A" w:rsidRDefault="00685BE5" w:rsidP="00FF1B62">
            <w:pPr>
              <w:spacing w:before="20" w:after="20"/>
              <w:ind w:right="170"/>
              <w:jc w:val="right"/>
              <w:rPr>
                <w:rFonts w:cstheme="minorHAnsi"/>
                <w:color w:val="000000"/>
                <w:sz w:val="20"/>
                <w:szCs w:val="20"/>
              </w:rPr>
            </w:pPr>
            <w:r w:rsidRPr="00A1651A">
              <w:rPr>
                <w:rFonts w:cstheme="minorHAnsi"/>
                <w:color w:val="000000"/>
                <w:sz w:val="20"/>
                <w:szCs w:val="20"/>
              </w:rPr>
              <w:t>21.2</w:t>
            </w:r>
          </w:p>
        </w:tc>
      </w:tr>
      <w:tr w:rsidR="00685BE5" w:rsidRPr="00A1651A" w:rsidTr="00AE7C41">
        <w:trPr>
          <w:trHeight w:val="254"/>
        </w:trPr>
        <w:tc>
          <w:tcPr>
            <w:tcW w:w="3085" w:type="dxa"/>
            <w:vAlign w:val="center"/>
          </w:tcPr>
          <w:p w:rsidR="00685BE5" w:rsidRPr="00A1651A" w:rsidRDefault="00685BE5" w:rsidP="00AE4C3A">
            <w:pPr>
              <w:spacing w:before="20" w:after="20"/>
              <w:jc w:val="both"/>
              <w:rPr>
                <w:rFonts w:eastAsia="Times New Roman" w:cstheme="minorHAnsi"/>
                <w:snapToGrid w:val="0"/>
                <w:sz w:val="20"/>
                <w:szCs w:val="20"/>
              </w:rPr>
            </w:pPr>
            <w:r w:rsidRPr="00A1651A">
              <w:rPr>
                <w:rFonts w:eastAsia="Times New Roman" w:cstheme="minorHAnsi"/>
                <w:snapToGrid w:val="0"/>
                <w:sz w:val="20"/>
                <w:szCs w:val="20"/>
              </w:rPr>
              <w:t>A small positive impact</w:t>
            </w:r>
          </w:p>
        </w:tc>
        <w:tc>
          <w:tcPr>
            <w:tcW w:w="992" w:type="dxa"/>
            <w:vAlign w:val="bottom"/>
          </w:tcPr>
          <w:p w:rsidR="00685BE5" w:rsidRPr="00A1651A" w:rsidRDefault="00685BE5" w:rsidP="00FF1B62">
            <w:pPr>
              <w:spacing w:before="20" w:after="20"/>
              <w:ind w:right="170"/>
              <w:jc w:val="right"/>
              <w:rPr>
                <w:rFonts w:cstheme="minorHAnsi"/>
                <w:color w:val="000000"/>
                <w:sz w:val="20"/>
                <w:szCs w:val="20"/>
              </w:rPr>
            </w:pPr>
            <w:r w:rsidRPr="00A1651A">
              <w:rPr>
                <w:rFonts w:cstheme="minorHAnsi"/>
                <w:color w:val="000000"/>
                <w:sz w:val="20"/>
                <w:szCs w:val="20"/>
              </w:rPr>
              <w:t>17.2</w:t>
            </w:r>
          </w:p>
        </w:tc>
      </w:tr>
      <w:tr w:rsidR="00685BE5" w:rsidRPr="00A1651A" w:rsidTr="00AE7C41">
        <w:trPr>
          <w:trHeight w:val="254"/>
        </w:trPr>
        <w:tc>
          <w:tcPr>
            <w:tcW w:w="3085" w:type="dxa"/>
            <w:vAlign w:val="center"/>
          </w:tcPr>
          <w:p w:rsidR="00685BE5" w:rsidRPr="00A1651A" w:rsidRDefault="00685BE5" w:rsidP="00AE4C3A">
            <w:pPr>
              <w:spacing w:before="20" w:after="20"/>
              <w:jc w:val="both"/>
              <w:rPr>
                <w:rFonts w:eastAsia="Times New Roman" w:cstheme="minorHAnsi"/>
                <w:snapToGrid w:val="0"/>
                <w:sz w:val="20"/>
                <w:szCs w:val="20"/>
              </w:rPr>
            </w:pPr>
            <w:r w:rsidRPr="00A1651A">
              <w:rPr>
                <w:rFonts w:eastAsia="Times New Roman" w:cstheme="minorHAnsi"/>
                <w:snapToGrid w:val="0"/>
                <w:sz w:val="20"/>
                <w:szCs w:val="20"/>
              </w:rPr>
              <w:t>No impact</w:t>
            </w:r>
          </w:p>
        </w:tc>
        <w:tc>
          <w:tcPr>
            <w:tcW w:w="992" w:type="dxa"/>
            <w:vAlign w:val="bottom"/>
          </w:tcPr>
          <w:p w:rsidR="00685BE5" w:rsidRPr="00A1651A" w:rsidRDefault="00685BE5" w:rsidP="00FF1B62">
            <w:pPr>
              <w:spacing w:before="20" w:after="20"/>
              <w:ind w:right="170"/>
              <w:jc w:val="right"/>
              <w:rPr>
                <w:rFonts w:cstheme="minorHAnsi"/>
                <w:color w:val="000000"/>
                <w:sz w:val="20"/>
                <w:szCs w:val="20"/>
              </w:rPr>
            </w:pPr>
            <w:r w:rsidRPr="00A1651A">
              <w:rPr>
                <w:rFonts w:cstheme="minorHAnsi"/>
                <w:color w:val="000000"/>
                <w:sz w:val="20"/>
                <w:szCs w:val="20"/>
              </w:rPr>
              <w:t>6.2</w:t>
            </w:r>
          </w:p>
        </w:tc>
      </w:tr>
      <w:tr w:rsidR="00685BE5" w:rsidRPr="00A1651A" w:rsidTr="00AE7C41">
        <w:trPr>
          <w:trHeight w:val="254"/>
        </w:trPr>
        <w:tc>
          <w:tcPr>
            <w:tcW w:w="3085" w:type="dxa"/>
            <w:vAlign w:val="center"/>
          </w:tcPr>
          <w:p w:rsidR="00685BE5" w:rsidRPr="00A1651A" w:rsidRDefault="00685BE5" w:rsidP="00AE4C3A">
            <w:pPr>
              <w:spacing w:before="20" w:after="20"/>
              <w:jc w:val="both"/>
              <w:rPr>
                <w:rFonts w:eastAsia="Times New Roman" w:cstheme="minorHAnsi"/>
                <w:snapToGrid w:val="0"/>
                <w:sz w:val="20"/>
                <w:szCs w:val="20"/>
              </w:rPr>
            </w:pPr>
            <w:r w:rsidRPr="00A1651A">
              <w:rPr>
                <w:rFonts w:eastAsia="Times New Roman" w:cstheme="minorHAnsi"/>
                <w:snapToGrid w:val="0"/>
                <w:sz w:val="20"/>
                <w:szCs w:val="20"/>
              </w:rPr>
              <w:t>A small negative impact</w:t>
            </w:r>
          </w:p>
        </w:tc>
        <w:tc>
          <w:tcPr>
            <w:tcW w:w="992" w:type="dxa"/>
            <w:vAlign w:val="bottom"/>
          </w:tcPr>
          <w:p w:rsidR="00685BE5" w:rsidRPr="00A1651A" w:rsidRDefault="00685BE5" w:rsidP="00FF1B62">
            <w:pPr>
              <w:spacing w:before="20" w:after="20"/>
              <w:ind w:right="170"/>
              <w:jc w:val="right"/>
              <w:rPr>
                <w:rFonts w:cstheme="minorHAnsi"/>
                <w:color w:val="000000"/>
                <w:sz w:val="20"/>
                <w:szCs w:val="20"/>
              </w:rPr>
            </w:pPr>
            <w:r w:rsidRPr="00A1651A">
              <w:rPr>
                <w:rFonts w:cstheme="minorHAnsi"/>
                <w:color w:val="000000"/>
                <w:sz w:val="20"/>
                <w:szCs w:val="20"/>
              </w:rPr>
              <w:t>7.5</w:t>
            </w:r>
          </w:p>
        </w:tc>
      </w:tr>
      <w:tr w:rsidR="00685BE5" w:rsidRPr="00A1651A" w:rsidTr="00AE7C41">
        <w:trPr>
          <w:trHeight w:val="254"/>
        </w:trPr>
        <w:tc>
          <w:tcPr>
            <w:tcW w:w="3085" w:type="dxa"/>
            <w:vAlign w:val="center"/>
          </w:tcPr>
          <w:p w:rsidR="00685BE5" w:rsidRPr="00A1651A" w:rsidRDefault="00685BE5" w:rsidP="00AE4C3A">
            <w:pPr>
              <w:spacing w:before="20" w:after="20"/>
              <w:jc w:val="both"/>
              <w:rPr>
                <w:rFonts w:eastAsia="Times New Roman" w:cstheme="minorHAnsi"/>
                <w:snapToGrid w:val="0"/>
                <w:sz w:val="20"/>
                <w:szCs w:val="20"/>
              </w:rPr>
            </w:pPr>
            <w:r w:rsidRPr="00A1651A">
              <w:rPr>
                <w:rFonts w:eastAsia="Times New Roman" w:cstheme="minorHAnsi"/>
                <w:snapToGrid w:val="0"/>
                <w:sz w:val="20"/>
                <w:szCs w:val="20"/>
              </w:rPr>
              <w:t>A significant negative impact</w:t>
            </w:r>
          </w:p>
        </w:tc>
        <w:tc>
          <w:tcPr>
            <w:tcW w:w="992" w:type="dxa"/>
            <w:vAlign w:val="bottom"/>
          </w:tcPr>
          <w:p w:rsidR="00685BE5" w:rsidRPr="00A1651A" w:rsidRDefault="00685BE5" w:rsidP="00FF1B62">
            <w:pPr>
              <w:spacing w:before="20" w:after="20"/>
              <w:ind w:right="170"/>
              <w:jc w:val="right"/>
              <w:rPr>
                <w:rFonts w:cstheme="minorHAnsi"/>
                <w:color w:val="000000"/>
                <w:sz w:val="20"/>
                <w:szCs w:val="20"/>
              </w:rPr>
            </w:pPr>
            <w:r w:rsidRPr="00A1651A">
              <w:rPr>
                <w:rFonts w:cstheme="minorHAnsi"/>
                <w:color w:val="000000"/>
                <w:sz w:val="20"/>
                <w:szCs w:val="20"/>
              </w:rPr>
              <w:t>14.5</w:t>
            </w:r>
          </w:p>
        </w:tc>
      </w:tr>
      <w:tr w:rsidR="00685BE5" w:rsidRPr="00A1651A" w:rsidTr="00AE7C41">
        <w:trPr>
          <w:trHeight w:val="254"/>
        </w:trPr>
        <w:tc>
          <w:tcPr>
            <w:tcW w:w="3085" w:type="dxa"/>
            <w:vAlign w:val="center"/>
          </w:tcPr>
          <w:p w:rsidR="00685BE5" w:rsidRPr="00A1651A" w:rsidRDefault="00685BE5" w:rsidP="00AE4C3A">
            <w:pPr>
              <w:spacing w:before="20" w:after="20"/>
              <w:jc w:val="both"/>
              <w:rPr>
                <w:rFonts w:eastAsia="Times New Roman" w:cstheme="minorHAnsi"/>
                <w:snapToGrid w:val="0"/>
                <w:sz w:val="20"/>
                <w:szCs w:val="20"/>
              </w:rPr>
            </w:pPr>
            <w:r w:rsidRPr="00A1651A">
              <w:rPr>
                <w:rFonts w:eastAsia="Times New Roman" w:cstheme="minorHAnsi"/>
                <w:snapToGrid w:val="0"/>
                <w:sz w:val="20"/>
                <w:szCs w:val="20"/>
              </w:rPr>
              <w:t>Not sure/</w:t>
            </w:r>
            <w:r>
              <w:rPr>
                <w:rFonts w:eastAsia="Times New Roman" w:cstheme="minorHAnsi"/>
                <w:snapToGrid w:val="0"/>
                <w:sz w:val="20"/>
                <w:szCs w:val="20"/>
              </w:rPr>
              <w:t>d</w:t>
            </w:r>
            <w:r w:rsidRPr="00A1651A">
              <w:rPr>
                <w:rFonts w:eastAsia="Times New Roman" w:cstheme="minorHAnsi"/>
                <w:snapToGrid w:val="0"/>
                <w:sz w:val="20"/>
                <w:szCs w:val="20"/>
              </w:rPr>
              <w:t>on’t know</w:t>
            </w:r>
          </w:p>
        </w:tc>
        <w:tc>
          <w:tcPr>
            <w:tcW w:w="992" w:type="dxa"/>
            <w:vAlign w:val="bottom"/>
          </w:tcPr>
          <w:p w:rsidR="00685BE5" w:rsidRPr="00A1651A" w:rsidRDefault="00685BE5" w:rsidP="00FF1B62">
            <w:pPr>
              <w:spacing w:before="20" w:after="20"/>
              <w:ind w:right="170"/>
              <w:jc w:val="right"/>
              <w:rPr>
                <w:rFonts w:cstheme="minorHAnsi"/>
                <w:color w:val="000000"/>
                <w:sz w:val="20"/>
                <w:szCs w:val="20"/>
              </w:rPr>
            </w:pPr>
            <w:r w:rsidRPr="00A1651A">
              <w:rPr>
                <w:rFonts w:cstheme="minorHAnsi"/>
                <w:color w:val="000000"/>
                <w:sz w:val="20"/>
                <w:szCs w:val="20"/>
              </w:rPr>
              <w:t>31.7</w:t>
            </w:r>
          </w:p>
        </w:tc>
      </w:tr>
      <w:tr w:rsidR="00685BE5" w:rsidRPr="00A1651A" w:rsidTr="00AE7C41">
        <w:trPr>
          <w:trHeight w:val="254"/>
        </w:trPr>
        <w:tc>
          <w:tcPr>
            <w:tcW w:w="3085" w:type="dxa"/>
            <w:tcBorders>
              <w:bottom w:val="single" w:sz="4" w:space="0" w:color="auto"/>
            </w:tcBorders>
            <w:vAlign w:val="center"/>
          </w:tcPr>
          <w:p w:rsidR="00685BE5" w:rsidRPr="00F52A2D" w:rsidRDefault="00685BE5" w:rsidP="00AE4C3A">
            <w:pPr>
              <w:spacing w:before="20" w:after="20"/>
              <w:jc w:val="both"/>
              <w:rPr>
                <w:rFonts w:eastAsia="Times New Roman" w:cstheme="minorHAnsi"/>
                <w:snapToGrid w:val="0"/>
                <w:sz w:val="20"/>
                <w:szCs w:val="20"/>
              </w:rPr>
            </w:pPr>
            <w:r w:rsidRPr="00F52A2D">
              <w:rPr>
                <w:rFonts w:eastAsia="Times New Roman" w:cstheme="minorHAnsi"/>
                <w:snapToGrid w:val="0"/>
                <w:sz w:val="20"/>
                <w:szCs w:val="20"/>
              </w:rPr>
              <w:t>Question not answered</w:t>
            </w:r>
          </w:p>
        </w:tc>
        <w:tc>
          <w:tcPr>
            <w:tcW w:w="992" w:type="dxa"/>
            <w:tcBorders>
              <w:bottom w:val="single" w:sz="4" w:space="0" w:color="auto"/>
            </w:tcBorders>
            <w:vAlign w:val="bottom"/>
          </w:tcPr>
          <w:p w:rsidR="00685BE5" w:rsidRPr="00A1651A" w:rsidRDefault="00685BE5" w:rsidP="00FF1B62">
            <w:pPr>
              <w:spacing w:before="20" w:after="20"/>
              <w:ind w:right="170"/>
              <w:jc w:val="right"/>
              <w:rPr>
                <w:rFonts w:cstheme="minorHAnsi"/>
                <w:color w:val="000000"/>
                <w:sz w:val="20"/>
                <w:szCs w:val="20"/>
              </w:rPr>
            </w:pPr>
            <w:r w:rsidRPr="00A1651A">
              <w:rPr>
                <w:rFonts w:cstheme="minorHAnsi"/>
                <w:color w:val="000000"/>
                <w:sz w:val="20"/>
                <w:szCs w:val="20"/>
              </w:rPr>
              <w:t>1.7</w:t>
            </w:r>
          </w:p>
        </w:tc>
      </w:tr>
      <w:tr w:rsidR="00685BE5" w:rsidRPr="00A1651A" w:rsidTr="00AE7C41">
        <w:trPr>
          <w:trHeight w:val="254"/>
        </w:trPr>
        <w:tc>
          <w:tcPr>
            <w:tcW w:w="3085" w:type="dxa"/>
            <w:tcBorders>
              <w:top w:val="single" w:sz="4" w:space="0" w:color="auto"/>
              <w:bottom w:val="single" w:sz="4" w:space="0" w:color="auto"/>
            </w:tcBorders>
            <w:vAlign w:val="center"/>
          </w:tcPr>
          <w:p w:rsidR="00685BE5" w:rsidRPr="00F52A2D" w:rsidRDefault="00685BE5" w:rsidP="00AE4C3A">
            <w:pPr>
              <w:spacing w:before="20" w:after="20"/>
              <w:jc w:val="both"/>
              <w:rPr>
                <w:rFonts w:eastAsia="Times New Roman" w:cstheme="minorHAnsi"/>
                <w:b/>
                <w:snapToGrid w:val="0"/>
                <w:sz w:val="20"/>
                <w:szCs w:val="20"/>
              </w:rPr>
            </w:pPr>
            <w:r w:rsidRPr="00F52A2D">
              <w:rPr>
                <w:rFonts w:eastAsia="Times New Roman" w:cstheme="minorHAnsi"/>
                <w:b/>
                <w:snapToGrid w:val="0"/>
                <w:sz w:val="20"/>
                <w:szCs w:val="20"/>
              </w:rPr>
              <w:t>Total (N=697)</w:t>
            </w:r>
          </w:p>
        </w:tc>
        <w:tc>
          <w:tcPr>
            <w:tcW w:w="992" w:type="dxa"/>
            <w:tcBorders>
              <w:top w:val="single" w:sz="4" w:space="0" w:color="auto"/>
              <w:bottom w:val="single" w:sz="4" w:space="0" w:color="auto"/>
            </w:tcBorders>
            <w:vAlign w:val="bottom"/>
          </w:tcPr>
          <w:p w:rsidR="00685BE5" w:rsidRPr="00A1651A" w:rsidRDefault="00685BE5" w:rsidP="00FF1B62">
            <w:pPr>
              <w:spacing w:before="20" w:after="20"/>
              <w:ind w:right="170"/>
              <w:jc w:val="right"/>
              <w:rPr>
                <w:rFonts w:cstheme="minorHAnsi"/>
                <w:b/>
                <w:color w:val="000000"/>
                <w:sz w:val="20"/>
                <w:szCs w:val="20"/>
              </w:rPr>
            </w:pPr>
            <w:r w:rsidRPr="00A1651A">
              <w:rPr>
                <w:rFonts w:cstheme="minorHAnsi"/>
                <w:b/>
                <w:color w:val="000000"/>
                <w:sz w:val="20"/>
                <w:szCs w:val="20"/>
              </w:rPr>
              <w:t>100</w:t>
            </w:r>
          </w:p>
        </w:tc>
      </w:tr>
    </w:tbl>
    <w:p w:rsidR="00685BE5" w:rsidRDefault="00685BE5" w:rsidP="00AE4C3A">
      <w:pPr>
        <w:pStyle w:val="NILSReference"/>
      </w:pPr>
      <w:r w:rsidRPr="00A1651A">
        <w:t>Source: 2014 NDIS DSP Outlet survey, Question A22</w:t>
      </w:r>
      <w:r>
        <w:t>.</w:t>
      </w:r>
    </w:p>
    <w:p w:rsidR="00DA6F30" w:rsidRDefault="00DA6F30" w:rsidP="00AE4C3A"/>
    <w:p w:rsidR="00DA6F30" w:rsidRDefault="00DA6F30">
      <w:r>
        <w:br w:type="page"/>
      </w:r>
    </w:p>
    <w:p w:rsidR="00685BE5" w:rsidRDefault="00685BE5" w:rsidP="00AE4C3A">
      <w:r>
        <w:lastRenderedPageBreak/>
        <w:t>Table 4.17 gives more detail about the types of impacts that outlets expected the NDIS would have on the way that their businesses operate, in the 12 months following the date of the survey. One way to read the table is to focus on the column headed ‘no change’. For each category, more outlets expected no change than expected either an increase or decrease. Many were therefore not taking steps in the near future to anticipate the changes that would come with the full rollout of the NDIS.</w:t>
      </w:r>
    </w:p>
    <w:p w:rsidR="003A37B0" w:rsidRDefault="003A37B0" w:rsidP="00AE4C3A"/>
    <w:p w:rsidR="00685BE5" w:rsidRDefault="00685BE5" w:rsidP="00AE4C3A">
      <w:r>
        <w:t>Outlets expected the smallest impacts to be on their use of overtime and investment in buildings. The biggest expected impacts were on the prices that they charge, the number of workers that they employed, wages and their overall performance. In each case, the weight of impact was that these would be higher as a result of the NDIS. In contrast, 27 per cent (somewhat lower 17.1 per cent and much lower 9.5 per cent) expected that the NDIS would cause a fall in their profits (10 per cent expected an increase, somewhat higher 9 per cent, much higher 0.9 per cent). This expected fall in profits was likely to be one reason for the pessimism about the impacts of the NDIS.</w:t>
      </w:r>
    </w:p>
    <w:p w:rsidR="003A37B0" w:rsidRDefault="003A37B0" w:rsidP="00AE4C3A"/>
    <w:p w:rsidR="00685BE5" w:rsidRDefault="00685BE5" w:rsidP="00AE4C3A">
      <w:r>
        <w:t xml:space="preserve">The level of expected adaptation that is revealed in Table 4.17 is unlikely to be sufficient to manage the large task ahead. </w:t>
      </w:r>
      <w:r w:rsidR="0090288F">
        <w:t>H</w:t>
      </w:r>
      <w:r>
        <w:t xml:space="preserve">owever responses </w:t>
      </w:r>
      <w:r w:rsidR="003A37B0">
        <w:t>referred</w:t>
      </w:r>
      <w:r>
        <w:t xml:space="preserve"> only to the next 12 months, and it is reasonable that they would accelerate as the full rollout approaches. </w:t>
      </w:r>
    </w:p>
    <w:p w:rsidR="00685BE5" w:rsidRPr="00195459" w:rsidRDefault="00685BE5" w:rsidP="0044684E">
      <w:pPr>
        <w:pStyle w:val="NILSTableHeading"/>
        <w:rPr>
          <w:lang w:val="en-AU"/>
        </w:rPr>
      </w:pPr>
      <w:bookmarkStart w:id="551" w:name="_Toc428279222"/>
      <w:bookmarkStart w:id="552" w:name="_Toc449955353"/>
      <w:r>
        <w:t>Table 4.17</w:t>
      </w:r>
      <w:r w:rsidRPr="00F209BE">
        <w:t>: Expectations abo</w:t>
      </w:r>
      <w:r w:rsidR="00D40550">
        <w:t>ut how NDIS will change outlet</w:t>
      </w:r>
      <w:r w:rsidR="00D40550">
        <w:rPr>
          <w:lang w:val="en-AU"/>
        </w:rPr>
        <w:t>’s</w:t>
      </w:r>
      <w:r w:rsidRPr="00F209BE">
        <w:t xml:space="preserve"> operations in next 12 months</w:t>
      </w:r>
      <w:bookmarkEnd w:id="551"/>
      <w:bookmarkEnd w:id="552"/>
      <w:r>
        <w:t xml:space="preserve"> </w:t>
      </w:r>
    </w:p>
    <w:tbl>
      <w:tblPr>
        <w:tblStyle w:val="TableGrid10"/>
        <w:tblW w:w="9667"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Table 4.17 Expectations about how NDIS will change outlet’s operations in next 12 months "/>
      </w:tblPr>
      <w:tblGrid>
        <w:gridCol w:w="3392"/>
        <w:gridCol w:w="861"/>
        <w:gridCol w:w="1088"/>
        <w:gridCol w:w="934"/>
        <w:gridCol w:w="1213"/>
        <w:gridCol w:w="903"/>
        <w:gridCol w:w="1276"/>
      </w:tblGrid>
      <w:tr w:rsidR="00685BE5" w:rsidRPr="00A1651A" w:rsidTr="00122968">
        <w:trPr>
          <w:cantSplit/>
          <w:tblHeader/>
        </w:trPr>
        <w:tc>
          <w:tcPr>
            <w:tcW w:w="3392" w:type="dxa"/>
            <w:tcBorders>
              <w:top w:val="single" w:sz="4" w:space="0" w:color="auto"/>
              <w:bottom w:val="single" w:sz="4" w:space="0" w:color="auto"/>
            </w:tcBorders>
            <w:vAlign w:val="center"/>
          </w:tcPr>
          <w:p w:rsidR="00685BE5" w:rsidRPr="00A1651A" w:rsidRDefault="00685BE5" w:rsidP="00AE4C3A">
            <w:pPr>
              <w:spacing w:before="20" w:after="20"/>
              <w:rPr>
                <w:rFonts w:cstheme="minorHAnsi"/>
                <w:sz w:val="20"/>
                <w:szCs w:val="20"/>
              </w:rPr>
            </w:pPr>
            <w:bookmarkStart w:id="553" w:name="Title_4_17"/>
            <w:bookmarkEnd w:id="553"/>
          </w:p>
        </w:tc>
        <w:tc>
          <w:tcPr>
            <w:tcW w:w="861" w:type="dxa"/>
            <w:tcBorders>
              <w:top w:val="single" w:sz="4" w:space="0" w:color="auto"/>
              <w:bottom w:val="single" w:sz="4" w:space="0" w:color="auto"/>
            </w:tcBorders>
          </w:tcPr>
          <w:p w:rsidR="00685BE5" w:rsidRDefault="00685BE5" w:rsidP="00AE4C3A">
            <w:pPr>
              <w:spacing w:before="20" w:after="20"/>
              <w:jc w:val="center"/>
              <w:rPr>
                <w:rFonts w:cstheme="minorHAnsi"/>
                <w:sz w:val="20"/>
                <w:szCs w:val="20"/>
              </w:rPr>
            </w:pPr>
            <w:r w:rsidRPr="00A1651A">
              <w:rPr>
                <w:rFonts w:cstheme="minorHAnsi"/>
                <w:sz w:val="20"/>
                <w:szCs w:val="20"/>
              </w:rPr>
              <w:t>Much higher</w:t>
            </w:r>
          </w:p>
          <w:p w:rsidR="000D42FB" w:rsidRPr="00A1651A" w:rsidRDefault="000D42FB" w:rsidP="00AE4C3A">
            <w:pPr>
              <w:spacing w:before="20" w:after="20"/>
              <w:jc w:val="center"/>
              <w:rPr>
                <w:rFonts w:cstheme="minorHAnsi"/>
                <w:sz w:val="20"/>
                <w:szCs w:val="20"/>
              </w:rPr>
            </w:pPr>
            <w:r>
              <w:rPr>
                <w:rFonts w:cstheme="minorHAnsi"/>
                <w:sz w:val="20"/>
                <w:szCs w:val="20"/>
              </w:rPr>
              <w:t>%</w:t>
            </w:r>
          </w:p>
        </w:tc>
        <w:tc>
          <w:tcPr>
            <w:tcW w:w="1088" w:type="dxa"/>
            <w:tcBorders>
              <w:top w:val="single" w:sz="4" w:space="0" w:color="auto"/>
              <w:bottom w:val="single" w:sz="4" w:space="0" w:color="auto"/>
            </w:tcBorders>
          </w:tcPr>
          <w:p w:rsidR="00685BE5" w:rsidRDefault="00685BE5" w:rsidP="00AE4C3A">
            <w:pPr>
              <w:spacing w:before="20" w:after="20"/>
              <w:jc w:val="center"/>
              <w:rPr>
                <w:rFonts w:cstheme="minorHAnsi"/>
                <w:sz w:val="20"/>
                <w:szCs w:val="20"/>
              </w:rPr>
            </w:pPr>
            <w:r w:rsidRPr="00A1651A">
              <w:rPr>
                <w:rFonts w:cstheme="minorHAnsi"/>
                <w:sz w:val="20"/>
                <w:szCs w:val="20"/>
              </w:rPr>
              <w:t>Somewhat higher</w:t>
            </w:r>
          </w:p>
          <w:p w:rsidR="000D42FB" w:rsidRPr="00A1651A" w:rsidRDefault="000D42FB" w:rsidP="00AE4C3A">
            <w:pPr>
              <w:spacing w:before="20" w:after="20"/>
              <w:jc w:val="center"/>
              <w:rPr>
                <w:rFonts w:cstheme="minorHAnsi"/>
                <w:sz w:val="20"/>
                <w:szCs w:val="20"/>
              </w:rPr>
            </w:pPr>
            <w:r>
              <w:rPr>
                <w:rFonts w:cstheme="minorHAnsi"/>
                <w:sz w:val="20"/>
                <w:szCs w:val="20"/>
              </w:rPr>
              <w:t>%</w:t>
            </w:r>
          </w:p>
        </w:tc>
        <w:tc>
          <w:tcPr>
            <w:tcW w:w="934" w:type="dxa"/>
            <w:tcBorders>
              <w:top w:val="single" w:sz="4" w:space="0" w:color="auto"/>
              <w:bottom w:val="single" w:sz="4" w:space="0" w:color="auto"/>
            </w:tcBorders>
          </w:tcPr>
          <w:p w:rsidR="00685BE5" w:rsidRDefault="00685BE5" w:rsidP="00AE4C3A">
            <w:pPr>
              <w:spacing w:before="20" w:after="20"/>
              <w:jc w:val="center"/>
              <w:rPr>
                <w:rFonts w:cstheme="minorHAnsi"/>
                <w:sz w:val="20"/>
                <w:szCs w:val="20"/>
              </w:rPr>
            </w:pPr>
            <w:r w:rsidRPr="00A1651A">
              <w:rPr>
                <w:rFonts w:cstheme="minorHAnsi"/>
                <w:sz w:val="20"/>
                <w:szCs w:val="20"/>
              </w:rPr>
              <w:t>No change</w:t>
            </w:r>
          </w:p>
          <w:p w:rsidR="000D42FB" w:rsidRPr="00A1651A" w:rsidRDefault="000D42FB" w:rsidP="00AE4C3A">
            <w:pPr>
              <w:spacing w:before="20" w:after="20"/>
              <w:jc w:val="center"/>
              <w:rPr>
                <w:rFonts w:cstheme="minorHAnsi"/>
                <w:sz w:val="20"/>
                <w:szCs w:val="20"/>
              </w:rPr>
            </w:pPr>
            <w:r>
              <w:rPr>
                <w:rFonts w:cstheme="minorHAnsi"/>
                <w:sz w:val="20"/>
                <w:szCs w:val="20"/>
              </w:rPr>
              <w:t>%</w:t>
            </w:r>
          </w:p>
        </w:tc>
        <w:tc>
          <w:tcPr>
            <w:tcW w:w="1213" w:type="dxa"/>
            <w:tcBorders>
              <w:top w:val="single" w:sz="4" w:space="0" w:color="auto"/>
              <w:bottom w:val="single" w:sz="4" w:space="0" w:color="auto"/>
            </w:tcBorders>
          </w:tcPr>
          <w:p w:rsidR="00685BE5" w:rsidRDefault="00685BE5" w:rsidP="00AE4C3A">
            <w:pPr>
              <w:spacing w:before="20" w:after="20"/>
              <w:jc w:val="center"/>
              <w:rPr>
                <w:rFonts w:cstheme="minorHAnsi"/>
                <w:sz w:val="20"/>
                <w:szCs w:val="20"/>
              </w:rPr>
            </w:pPr>
            <w:r w:rsidRPr="00A1651A">
              <w:rPr>
                <w:rFonts w:cstheme="minorHAnsi"/>
                <w:sz w:val="20"/>
                <w:szCs w:val="20"/>
              </w:rPr>
              <w:t>Somewhat lower</w:t>
            </w:r>
          </w:p>
          <w:p w:rsidR="000D42FB" w:rsidRPr="00A1651A" w:rsidRDefault="000D42FB" w:rsidP="00AE4C3A">
            <w:pPr>
              <w:spacing w:before="20" w:after="20"/>
              <w:jc w:val="center"/>
              <w:rPr>
                <w:rFonts w:cstheme="minorHAnsi"/>
                <w:sz w:val="20"/>
                <w:szCs w:val="20"/>
              </w:rPr>
            </w:pPr>
            <w:r>
              <w:rPr>
                <w:rFonts w:cstheme="minorHAnsi"/>
                <w:sz w:val="20"/>
                <w:szCs w:val="20"/>
              </w:rPr>
              <w:t>%</w:t>
            </w:r>
          </w:p>
        </w:tc>
        <w:tc>
          <w:tcPr>
            <w:tcW w:w="903" w:type="dxa"/>
            <w:tcBorders>
              <w:top w:val="single" w:sz="4" w:space="0" w:color="auto"/>
              <w:bottom w:val="single" w:sz="4" w:space="0" w:color="auto"/>
            </w:tcBorders>
          </w:tcPr>
          <w:p w:rsidR="00685BE5" w:rsidRDefault="00685BE5" w:rsidP="00AE4C3A">
            <w:pPr>
              <w:spacing w:before="20" w:after="20"/>
              <w:jc w:val="center"/>
              <w:rPr>
                <w:rFonts w:cstheme="minorHAnsi"/>
                <w:sz w:val="20"/>
                <w:szCs w:val="20"/>
              </w:rPr>
            </w:pPr>
            <w:r w:rsidRPr="00A1651A">
              <w:rPr>
                <w:rFonts w:cstheme="minorHAnsi"/>
                <w:sz w:val="20"/>
                <w:szCs w:val="20"/>
              </w:rPr>
              <w:t>Much lower</w:t>
            </w:r>
          </w:p>
          <w:p w:rsidR="000D42FB" w:rsidRPr="00A1651A" w:rsidRDefault="000D42FB" w:rsidP="00AE4C3A">
            <w:pPr>
              <w:spacing w:before="20" w:after="20"/>
              <w:jc w:val="center"/>
              <w:rPr>
                <w:rFonts w:cstheme="minorHAnsi"/>
                <w:sz w:val="20"/>
                <w:szCs w:val="20"/>
              </w:rPr>
            </w:pPr>
            <w:r>
              <w:rPr>
                <w:rFonts w:cstheme="minorHAnsi"/>
                <w:sz w:val="20"/>
                <w:szCs w:val="20"/>
              </w:rPr>
              <w:t>%</w:t>
            </w:r>
          </w:p>
        </w:tc>
        <w:tc>
          <w:tcPr>
            <w:tcW w:w="1276" w:type="dxa"/>
            <w:tcBorders>
              <w:top w:val="single" w:sz="4" w:space="0" w:color="auto"/>
              <w:bottom w:val="single" w:sz="4" w:space="0" w:color="auto"/>
            </w:tcBorders>
          </w:tcPr>
          <w:p w:rsidR="00685BE5" w:rsidRDefault="00685BE5" w:rsidP="000D42FB">
            <w:pPr>
              <w:spacing w:before="20" w:after="20"/>
              <w:ind w:right="-80"/>
              <w:jc w:val="center"/>
              <w:rPr>
                <w:rFonts w:cstheme="minorHAnsi"/>
                <w:sz w:val="20"/>
                <w:szCs w:val="20"/>
              </w:rPr>
            </w:pPr>
            <w:r w:rsidRPr="00666145">
              <w:rPr>
                <w:rFonts w:cstheme="minorHAnsi"/>
                <w:sz w:val="20"/>
                <w:szCs w:val="20"/>
              </w:rPr>
              <w:t>Question not answered</w:t>
            </w:r>
          </w:p>
          <w:p w:rsidR="000D42FB" w:rsidRPr="00A1651A" w:rsidRDefault="000D42FB" w:rsidP="000D42FB">
            <w:pPr>
              <w:spacing w:before="20" w:after="20"/>
              <w:ind w:right="-80"/>
              <w:jc w:val="center"/>
              <w:rPr>
                <w:rFonts w:cstheme="minorHAnsi"/>
                <w:sz w:val="20"/>
                <w:szCs w:val="20"/>
              </w:rPr>
            </w:pPr>
            <w:r>
              <w:rPr>
                <w:rFonts w:cstheme="minorHAnsi"/>
                <w:sz w:val="20"/>
                <w:szCs w:val="20"/>
              </w:rPr>
              <w:t>%</w:t>
            </w:r>
          </w:p>
        </w:tc>
      </w:tr>
      <w:tr w:rsidR="00685BE5" w:rsidRPr="00A1651A" w:rsidTr="00122968">
        <w:tc>
          <w:tcPr>
            <w:tcW w:w="3392" w:type="dxa"/>
            <w:vAlign w:val="center"/>
          </w:tcPr>
          <w:p w:rsidR="00685BE5" w:rsidRPr="00A1651A" w:rsidRDefault="00685BE5" w:rsidP="00AE4C3A">
            <w:pPr>
              <w:spacing w:before="20" w:after="20"/>
              <w:rPr>
                <w:rFonts w:cstheme="minorHAnsi"/>
                <w:sz w:val="20"/>
                <w:szCs w:val="20"/>
              </w:rPr>
            </w:pPr>
            <w:r w:rsidRPr="00A1651A">
              <w:rPr>
                <w:rFonts w:cstheme="minorHAnsi"/>
                <w:color w:val="211D1E"/>
                <w:sz w:val="20"/>
                <w:szCs w:val="20"/>
              </w:rPr>
              <w:t>Wage growth</w:t>
            </w:r>
          </w:p>
        </w:tc>
        <w:tc>
          <w:tcPr>
            <w:tcW w:w="861" w:type="dxa"/>
            <w:vAlign w:val="bottom"/>
          </w:tcPr>
          <w:p w:rsidR="00685BE5" w:rsidRPr="00A1651A" w:rsidRDefault="00685BE5" w:rsidP="00AE4C3A">
            <w:pPr>
              <w:tabs>
                <w:tab w:val="decimal" w:pos="328"/>
              </w:tabs>
              <w:spacing w:before="20" w:after="20"/>
              <w:rPr>
                <w:rFonts w:cstheme="minorHAnsi"/>
                <w:color w:val="000000"/>
                <w:sz w:val="20"/>
                <w:szCs w:val="20"/>
              </w:rPr>
            </w:pPr>
            <w:r w:rsidRPr="00A1651A">
              <w:rPr>
                <w:rFonts w:cstheme="minorHAnsi"/>
                <w:color w:val="000000"/>
                <w:sz w:val="20"/>
                <w:szCs w:val="20"/>
              </w:rPr>
              <w:t>4.2</w:t>
            </w:r>
          </w:p>
        </w:tc>
        <w:tc>
          <w:tcPr>
            <w:tcW w:w="1088" w:type="dxa"/>
            <w:vAlign w:val="bottom"/>
          </w:tcPr>
          <w:p w:rsidR="00685BE5" w:rsidRPr="00A1651A" w:rsidRDefault="00685BE5" w:rsidP="00AE4C3A">
            <w:pPr>
              <w:tabs>
                <w:tab w:val="decimal" w:pos="459"/>
              </w:tabs>
              <w:spacing w:before="20" w:after="20"/>
              <w:rPr>
                <w:rFonts w:cstheme="minorHAnsi"/>
                <w:color w:val="000000"/>
                <w:sz w:val="20"/>
                <w:szCs w:val="20"/>
              </w:rPr>
            </w:pPr>
            <w:r w:rsidRPr="00A1651A">
              <w:rPr>
                <w:rFonts w:cstheme="minorHAnsi"/>
                <w:color w:val="000000"/>
                <w:sz w:val="20"/>
                <w:szCs w:val="20"/>
              </w:rPr>
              <w:t>23.4</w:t>
            </w:r>
          </w:p>
        </w:tc>
        <w:tc>
          <w:tcPr>
            <w:tcW w:w="934" w:type="dxa"/>
            <w:vAlign w:val="bottom"/>
          </w:tcPr>
          <w:p w:rsidR="00685BE5" w:rsidRPr="00A1651A" w:rsidRDefault="00685BE5" w:rsidP="00AE4C3A">
            <w:pPr>
              <w:tabs>
                <w:tab w:val="decimal" w:pos="459"/>
              </w:tabs>
              <w:spacing w:before="20" w:after="20"/>
              <w:rPr>
                <w:rFonts w:cstheme="minorHAnsi"/>
                <w:color w:val="000000"/>
                <w:sz w:val="20"/>
                <w:szCs w:val="20"/>
              </w:rPr>
            </w:pPr>
            <w:r w:rsidRPr="00A1651A">
              <w:rPr>
                <w:rFonts w:cstheme="minorHAnsi"/>
                <w:color w:val="000000"/>
                <w:sz w:val="20"/>
                <w:szCs w:val="20"/>
              </w:rPr>
              <w:t>52.9</w:t>
            </w:r>
          </w:p>
        </w:tc>
        <w:tc>
          <w:tcPr>
            <w:tcW w:w="1213" w:type="dxa"/>
            <w:vAlign w:val="bottom"/>
          </w:tcPr>
          <w:p w:rsidR="00685BE5" w:rsidRPr="00A1651A" w:rsidRDefault="00685BE5" w:rsidP="00AE4C3A">
            <w:pPr>
              <w:tabs>
                <w:tab w:val="decimal" w:pos="563"/>
              </w:tabs>
              <w:spacing w:before="20" w:after="20"/>
              <w:ind w:right="9"/>
              <w:rPr>
                <w:rFonts w:cstheme="minorHAnsi"/>
                <w:color w:val="000000"/>
                <w:sz w:val="20"/>
                <w:szCs w:val="20"/>
              </w:rPr>
            </w:pPr>
            <w:r w:rsidRPr="00A1651A">
              <w:rPr>
                <w:rFonts w:cstheme="minorHAnsi"/>
                <w:color w:val="000000"/>
                <w:sz w:val="20"/>
                <w:szCs w:val="20"/>
              </w:rPr>
              <w:t>7.0</w:t>
            </w:r>
          </w:p>
        </w:tc>
        <w:tc>
          <w:tcPr>
            <w:tcW w:w="903" w:type="dxa"/>
            <w:vAlign w:val="bottom"/>
          </w:tcPr>
          <w:p w:rsidR="00685BE5" w:rsidRPr="00A1651A" w:rsidRDefault="00685BE5" w:rsidP="00AE4C3A">
            <w:pPr>
              <w:tabs>
                <w:tab w:val="decimal" w:pos="459"/>
              </w:tabs>
              <w:spacing w:before="20" w:after="20"/>
              <w:rPr>
                <w:rFonts w:cstheme="minorHAnsi"/>
                <w:color w:val="000000"/>
                <w:sz w:val="20"/>
                <w:szCs w:val="20"/>
              </w:rPr>
            </w:pPr>
            <w:r w:rsidRPr="00A1651A">
              <w:rPr>
                <w:rFonts w:cstheme="minorHAnsi"/>
                <w:color w:val="000000"/>
                <w:sz w:val="20"/>
                <w:szCs w:val="20"/>
              </w:rPr>
              <w:t>2.9</w:t>
            </w:r>
          </w:p>
        </w:tc>
        <w:tc>
          <w:tcPr>
            <w:tcW w:w="1276" w:type="dxa"/>
            <w:vAlign w:val="bottom"/>
          </w:tcPr>
          <w:p w:rsidR="00685BE5" w:rsidRPr="00A1651A" w:rsidRDefault="00685BE5" w:rsidP="00FF1B62">
            <w:pPr>
              <w:tabs>
                <w:tab w:val="decimal" w:pos="573"/>
              </w:tabs>
              <w:spacing w:before="20" w:after="20"/>
              <w:rPr>
                <w:rFonts w:cstheme="minorHAnsi"/>
                <w:color w:val="000000"/>
                <w:sz w:val="20"/>
                <w:szCs w:val="20"/>
              </w:rPr>
            </w:pPr>
            <w:r w:rsidRPr="00A1651A">
              <w:rPr>
                <w:rFonts w:cstheme="minorHAnsi"/>
                <w:color w:val="000000"/>
                <w:sz w:val="20"/>
                <w:szCs w:val="20"/>
              </w:rPr>
              <w:t>9.6</w:t>
            </w:r>
          </w:p>
        </w:tc>
      </w:tr>
      <w:tr w:rsidR="00685BE5" w:rsidRPr="00A1651A" w:rsidTr="00122968">
        <w:tc>
          <w:tcPr>
            <w:tcW w:w="3392" w:type="dxa"/>
            <w:vAlign w:val="center"/>
          </w:tcPr>
          <w:p w:rsidR="00685BE5" w:rsidRPr="00A1651A" w:rsidRDefault="00685BE5" w:rsidP="00AE4C3A">
            <w:pPr>
              <w:spacing w:before="20" w:after="20"/>
              <w:rPr>
                <w:rFonts w:cstheme="minorHAnsi"/>
                <w:sz w:val="20"/>
                <w:szCs w:val="20"/>
              </w:rPr>
            </w:pPr>
            <w:r w:rsidRPr="00A1651A">
              <w:rPr>
                <w:rFonts w:cstheme="minorHAnsi"/>
                <w:color w:val="211D1E"/>
                <w:sz w:val="20"/>
                <w:szCs w:val="20"/>
              </w:rPr>
              <w:t>Support charges (prices)</w:t>
            </w:r>
          </w:p>
        </w:tc>
        <w:tc>
          <w:tcPr>
            <w:tcW w:w="861" w:type="dxa"/>
            <w:vAlign w:val="bottom"/>
          </w:tcPr>
          <w:p w:rsidR="00685BE5" w:rsidRPr="00A1651A" w:rsidRDefault="00685BE5" w:rsidP="00AE4C3A">
            <w:pPr>
              <w:tabs>
                <w:tab w:val="decimal" w:pos="328"/>
              </w:tabs>
              <w:spacing w:before="20" w:after="20"/>
              <w:rPr>
                <w:rFonts w:cstheme="minorHAnsi"/>
                <w:color w:val="000000"/>
                <w:sz w:val="20"/>
                <w:szCs w:val="20"/>
              </w:rPr>
            </w:pPr>
            <w:r w:rsidRPr="00A1651A">
              <w:rPr>
                <w:rFonts w:cstheme="minorHAnsi"/>
                <w:color w:val="000000"/>
                <w:sz w:val="20"/>
                <w:szCs w:val="20"/>
              </w:rPr>
              <w:t>6.6</w:t>
            </w:r>
          </w:p>
        </w:tc>
        <w:tc>
          <w:tcPr>
            <w:tcW w:w="1088" w:type="dxa"/>
            <w:vAlign w:val="bottom"/>
          </w:tcPr>
          <w:p w:rsidR="00685BE5" w:rsidRPr="00A1651A" w:rsidRDefault="00685BE5" w:rsidP="00AE4C3A">
            <w:pPr>
              <w:tabs>
                <w:tab w:val="decimal" w:pos="459"/>
              </w:tabs>
              <w:spacing w:before="20" w:after="20"/>
              <w:rPr>
                <w:rFonts w:cstheme="minorHAnsi"/>
                <w:color w:val="000000"/>
                <w:sz w:val="20"/>
                <w:szCs w:val="20"/>
              </w:rPr>
            </w:pPr>
            <w:r w:rsidRPr="00A1651A">
              <w:rPr>
                <w:rFonts w:cstheme="minorHAnsi"/>
                <w:color w:val="000000"/>
                <w:sz w:val="20"/>
                <w:szCs w:val="20"/>
              </w:rPr>
              <w:t>26.1</w:t>
            </w:r>
          </w:p>
        </w:tc>
        <w:tc>
          <w:tcPr>
            <w:tcW w:w="934" w:type="dxa"/>
            <w:vAlign w:val="bottom"/>
          </w:tcPr>
          <w:p w:rsidR="00685BE5" w:rsidRPr="00A1651A" w:rsidRDefault="00685BE5" w:rsidP="00AE4C3A">
            <w:pPr>
              <w:tabs>
                <w:tab w:val="decimal" w:pos="459"/>
              </w:tabs>
              <w:spacing w:before="20" w:after="20"/>
              <w:rPr>
                <w:rFonts w:cstheme="minorHAnsi"/>
                <w:color w:val="000000"/>
                <w:sz w:val="20"/>
                <w:szCs w:val="20"/>
              </w:rPr>
            </w:pPr>
            <w:r w:rsidRPr="00A1651A">
              <w:rPr>
                <w:rFonts w:cstheme="minorHAnsi"/>
                <w:color w:val="000000"/>
                <w:sz w:val="20"/>
                <w:szCs w:val="20"/>
              </w:rPr>
              <w:t>42.0</w:t>
            </w:r>
          </w:p>
        </w:tc>
        <w:tc>
          <w:tcPr>
            <w:tcW w:w="1213" w:type="dxa"/>
            <w:vAlign w:val="bottom"/>
          </w:tcPr>
          <w:p w:rsidR="00685BE5" w:rsidRPr="00A1651A" w:rsidRDefault="00685BE5" w:rsidP="00AE4C3A">
            <w:pPr>
              <w:tabs>
                <w:tab w:val="decimal" w:pos="563"/>
              </w:tabs>
              <w:spacing w:before="20" w:after="20"/>
              <w:ind w:right="9"/>
              <w:rPr>
                <w:rFonts w:cstheme="minorHAnsi"/>
                <w:color w:val="000000"/>
                <w:sz w:val="20"/>
                <w:szCs w:val="20"/>
              </w:rPr>
            </w:pPr>
            <w:r w:rsidRPr="00A1651A">
              <w:rPr>
                <w:rFonts w:cstheme="minorHAnsi"/>
                <w:color w:val="000000"/>
                <w:sz w:val="20"/>
                <w:szCs w:val="20"/>
              </w:rPr>
              <w:t>9.3</w:t>
            </w:r>
          </w:p>
        </w:tc>
        <w:tc>
          <w:tcPr>
            <w:tcW w:w="903" w:type="dxa"/>
            <w:vAlign w:val="bottom"/>
          </w:tcPr>
          <w:p w:rsidR="00685BE5" w:rsidRPr="00A1651A" w:rsidRDefault="00685BE5" w:rsidP="00AE4C3A">
            <w:pPr>
              <w:tabs>
                <w:tab w:val="decimal" w:pos="459"/>
              </w:tabs>
              <w:spacing w:before="20" w:after="20"/>
              <w:rPr>
                <w:rFonts w:cstheme="minorHAnsi"/>
                <w:color w:val="000000"/>
                <w:sz w:val="20"/>
                <w:szCs w:val="20"/>
              </w:rPr>
            </w:pPr>
            <w:r w:rsidRPr="00A1651A">
              <w:rPr>
                <w:rFonts w:cstheme="minorHAnsi"/>
                <w:color w:val="000000"/>
                <w:sz w:val="20"/>
                <w:szCs w:val="20"/>
              </w:rPr>
              <w:t>5.0</w:t>
            </w:r>
          </w:p>
        </w:tc>
        <w:tc>
          <w:tcPr>
            <w:tcW w:w="1276" w:type="dxa"/>
            <w:vAlign w:val="bottom"/>
          </w:tcPr>
          <w:p w:rsidR="00685BE5" w:rsidRPr="00A1651A" w:rsidRDefault="00685BE5" w:rsidP="00FF1B62">
            <w:pPr>
              <w:tabs>
                <w:tab w:val="decimal" w:pos="573"/>
              </w:tabs>
              <w:spacing w:before="20" w:after="20"/>
              <w:rPr>
                <w:rFonts w:cstheme="minorHAnsi"/>
                <w:color w:val="000000"/>
                <w:sz w:val="20"/>
                <w:szCs w:val="20"/>
              </w:rPr>
            </w:pPr>
            <w:r w:rsidRPr="00A1651A">
              <w:rPr>
                <w:rFonts w:cstheme="minorHAnsi"/>
                <w:color w:val="000000"/>
                <w:sz w:val="20"/>
                <w:szCs w:val="20"/>
              </w:rPr>
              <w:t>10.9</w:t>
            </w:r>
          </w:p>
        </w:tc>
      </w:tr>
      <w:tr w:rsidR="00685BE5" w:rsidRPr="00A1651A" w:rsidTr="00122968">
        <w:tc>
          <w:tcPr>
            <w:tcW w:w="3392" w:type="dxa"/>
            <w:vAlign w:val="center"/>
          </w:tcPr>
          <w:p w:rsidR="00685BE5" w:rsidRPr="00A1651A" w:rsidRDefault="00685BE5" w:rsidP="00AE4C3A">
            <w:pPr>
              <w:spacing w:before="20" w:after="20"/>
              <w:rPr>
                <w:rFonts w:cstheme="minorHAnsi"/>
                <w:sz w:val="20"/>
                <w:szCs w:val="20"/>
              </w:rPr>
            </w:pPr>
            <w:r w:rsidRPr="00A1651A">
              <w:rPr>
                <w:rFonts w:cstheme="minorHAnsi"/>
                <w:color w:val="211D1E"/>
                <w:sz w:val="20"/>
                <w:szCs w:val="20"/>
              </w:rPr>
              <w:t>Profits</w:t>
            </w:r>
          </w:p>
        </w:tc>
        <w:tc>
          <w:tcPr>
            <w:tcW w:w="861" w:type="dxa"/>
            <w:vAlign w:val="bottom"/>
          </w:tcPr>
          <w:p w:rsidR="00685BE5" w:rsidRPr="00A1651A" w:rsidRDefault="00685BE5" w:rsidP="00AE4C3A">
            <w:pPr>
              <w:tabs>
                <w:tab w:val="decimal" w:pos="328"/>
              </w:tabs>
              <w:spacing w:before="20" w:after="20"/>
              <w:rPr>
                <w:rFonts w:cstheme="minorHAnsi"/>
                <w:color w:val="000000"/>
                <w:sz w:val="20"/>
                <w:szCs w:val="20"/>
              </w:rPr>
            </w:pPr>
            <w:r w:rsidRPr="00A1651A">
              <w:rPr>
                <w:rFonts w:cstheme="minorHAnsi"/>
                <w:color w:val="000000"/>
                <w:sz w:val="20"/>
                <w:szCs w:val="20"/>
              </w:rPr>
              <w:t>0.9</w:t>
            </w:r>
          </w:p>
        </w:tc>
        <w:tc>
          <w:tcPr>
            <w:tcW w:w="1088" w:type="dxa"/>
            <w:vAlign w:val="bottom"/>
          </w:tcPr>
          <w:p w:rsidR="00685BE5" w:rsidRPr="00A1651A" w:rsidRDefault="00685BE5" w:rsidP="00AE4C3A">
            <w:pPr>
              <w:tabs>
                <w:tab w:val="decimal" w:pos="459"/>
              </w:tabs>
              <w:spacing w:before="20" w:after="20"/>
              <w:rPr>
                <w:rFonts w:cstheme="minorHAnsi"/>
                <w:color w:val="000000"/>
                <w:sz w:val="20"/>
                <w:szCs w:val="20"/>
              </w:rPr>
            </w:pPr>
            <w:r w:rsidRPr="00A1651A">
              <w:rPr>
                <w:rFonts w:cstheme="minorHAnsi"/>
                <w:color w:val="000000"/>
                <w:sz w:val="20"/>
                <w:szCs w:val="20"/>
              </w:rPr>
              <w:t>9.0</w:t>
            </w:r>
          </w:p>
        </w:tc>
        <w:tc>
          <w:tcPr>
            <w:tcW w:w="934" w:type="dxa"/>
            <w:vAlign w:val="bottom"/>
          </w:tcPr>
          <w:p w:rsidR="00685BE5" w:rsidRPr="00A1651A" w:rsidRDefault="00685BE5" w:rsidP="00AE4C3A">
            <w:pPr>
              <w:tabs>
                <w:tab w:val="decimal" w:pos="459"/>
              </w:tabs>
              <w:spacing w:before="20" w:after="20"/>
              <w:rPr>
                <w:rFonts w:cstheme="minorHAnsi"/>
                <w:color w:val="000000"/>
                <w:sz w:val="20"/>
                <w:szCs w:val="20"/>
              </w:rPr>
            </w:pPr>
            <w:r w:rsidRPr="00A1651A">
              <w:rPr>
                <w:rFonts w:cstheme="minorHAnsi"/>
                <w:color w:val="000000"/>
                <w:sz w:val="20"/>
                <w:szCs w:val="20"/>
              </w:rPr>
              <w:t>51.1</w:t>
            </w:r>
          </w:p>
        </w:tc>
        <w:tc>
          <w:tcPr>
            <w:tcW w:w="1213" w:type="dxa"/>
            <w:vAlign w:val="bottom"/>
          </w:tcPr>
          <w:p w:rsidR="00685BE5" w:rsidRPr="00A1651A" w:rsidRDefault="00685BE5" w:rsidP="00AE4C3A">
            <w:pPr>
              <w:tabs>
                <w:tab w:val="decimal" w:pos="563"/>
              </w:tabs>
              <w:spacing w:before="20" w:after="20"/>
              <w:ind w:right="9"/>
              <w:rPr>
                <w:rFonts w:cstheme="minorHAnsi"/>
                <w:color w:val="000000"/>
                <w:sz w:val="20"/>
                <w:szCs w:val="20"/>
              </w:rPr>
            </w:pPr>
            <w:r w:rsidRPr="00A1651A">
              <w:rPr>
                <w:rFonts w:cstheme="minorHAnsi"/>
                <w:color w:val="000000"/>
                <w:sz w:val="20"/>
                <w:szCs w:val="20"/>
              </w:rPr>
              <w:t>17.1</w:t>
            </w:r>
          </w:p>
        </w:tc>
        <w:tc>
          <w:tcPr>
            <w:tcW w:w="903" w:type="dxa"/>
            <w:vAlign w:val="bottom"/>
          </w:tcPr>
          <w:p w:rsidR="00685BE5" w:rsidRPr="00A1651A" w:rsidRDefault="00685BE5" w:rsidP="00AE4C3A">
            <w:pPr>
              <w:tabs>
                <w:tab w:val="decimal" w:pos="459"/>
              </w:tabs>
              <w:spacing w:before="20" w:after="20"/>
              <w:rPr>
                <w:rFonts w:cstheme="minorHAnsi"/>
                <w:color w:val="000000"/>
                <w:sz w:val="20"/>
                <w:szCs w:val="20"/>
              </w:rPr>
            </w:pPr>
            <w:r w:rsidRPr="00A1651A">
              <w:rPr>
                <w:rFonts w:cstheme="minorHAnsi"/>
                <w:color w:val="000000"/>
                <w:sz w:val="20"/>
                <w:szCs w:val="20"/>
              </w:rPr>
              <w:t>9.5</w:t>
            </w:r>
          </w:p>
        </w:tc>
        <w:tc>
          <w:tcPr>
            <w:tcW w:w="1276" w:type="dxa"/>
            <w:vAlign w:val="bottom"/>
          </w:tcPr>
          <w:p w:rsidR="00685BE5" w:rsidRPr="00A1651A" w:rsidRDefault="00685BE5" w:rsidP="00FF1B62">
            <w:pPr>
              <w:tabs>
                <w:tab w:val="decimal" w:pos="573"/>
              </w:tabs>
              <w:spacing w:before="20" w:after="20"/>
              <w:rPr>
                <w:rFonts w:cstheme="minorHAnsi"/>
                <w:color w:val="000000"/>
                <w:sz w:val="20"/>
                <w:szCs w:val="20"/>
              </w:rPr>
            </w:pPr>
            <w:r w:rsidRPr="00A1651A">
              <w:rPr>
                <w:rFonts w:cstheme="minorHAnsi"/>
                <w:color w:val="000000"/>
                <w:sz w:val="20"/>
                <w:szCs w:val="20"/>
              </w:rPr>
              <w:t>12.5</w:t>
            </w:r>
          </w:p>
        </w:tc>
      </w:tr>
      <w:tr w:rsidR="00685BE5" w:rsidRPr="00A1651A" w:rsidTr="00122968">
        <w:tc>
          <w:tcPr>
            <w:tcW w:w="3392" w:type="dxa"/>
            <w:vAlign w:val="center"/>
          </w:tcPr>
          <w:p w:rsidR="00685BE5" w:rsidRPr="00A1651A" w:rsidRDefault="00685BE5" w:rsidP="00AE4C3A">
            <w:pPr>
              <w:spacing w:before="20" w:after="20"/>
              <w:rPr>
                <w:rFonts w:cstheme="minorHAnsi"/>
                <w:sz w:val="20"/>
                <w:szCs w:val="20"/>
              </w:rPr>
            </w:pPr>
            <w:r w:rsidRPr="00A1651A">
              <w:rPr>
                <w:rFonts w:cstheme="minorHAnsi"/>
                <w:color w:val="211D1E"/>
                <w:sz w:val="20"/>
                <w:szCs w:val="20"/>
              </w:rPr>
              <w:t>Employment</w:t>
            </w:r>
          </w:p>
        </w:tc>
        <w:tc>
          <w:tcPr>
            <w:tcW w:w="861" w:type="dxa"/>
            <w:vAlign w:val="bottom"/>
          </w:tcPr>
          <w:p w:rsidR="00685BE5" w:rsidRPr="00A1651A" w:rsidRDefault="00685BE5" w:rsidP="00AE4C3A">
            <w:pPr>
              <w:tabs>
                <w:tab w:val="decimal" w:pos="328"/>
              </w:tabs>
              <w:spacing w:before="20" w:after="20"/>
              <w:rPr>
                <w:rFonts w:cstheme="minorHAnsi"/>
                <w:color w:val="000000"/>
                <w:sz w:val="20"/>
                <w:szCs w:val="20"/>
              </w:rPr>
            </w:pPr>
            <w:r w:rsidRPr="00A1651A">
              <w:rPr>
                <w:rFonts w:cstheme="minorHAnsi"/>
                <w:color w:val="000000"/>
                <w:sz w:val="20"/>
                <w:szCs w:val="20"/>
              </w:rPr>
              <w:t>4.6</w:t>
            </w:r>
          </w:p>
        </w:tc>
        <w:tc>
          <w:tcPr>
            <w:tcW w:w="1088" w:type="dxa"/>
            <w:vAlign w:val="bottom"/>
          </w:tcPr>
          <w:p w:rsidR="00685BE5" w:rsidRPr="00A1651A" w:rsidRDefault="00685BE5" w:rsidP="00AE4C3A">
            <w:pPr>
              <w:tabs>
                <w:tab w:val="decimal" w:pos="459"/>
              </w:tabs>
              <w:spacing w:before="20" w:after="20"/>
              <w:rPr>
                <w:rFonts w:cstheme="minorHAnsi"/>
                <w:color w:val="000000"/>
                <w:sz w:val="20"/>
                <w:szCs w:val="20"/>
              </w:rPr>
            </w:pPr>
            <w:r w:rsidRPr="00A1651A">
              <w:rPr>
                <w:rFonts w:cstheme="minorHAnsi"/>
                <w:color w:val="000000"/>
                <w:sz w:val="20"/>
                <w:szCs w:val="20"/>
              </w:rPr>
              <w:t>30.1</w:t>
            </w:r>
          </w:p>
        </w:tc>
        <w:tc>
          <w:tcPr>
            <w:tcW w:w="934" w:type="dxa"/>
            <w:vAlign w:val="bottom"/>
          </w:tcPr>
          <w:p w:rsidR="00685BE5" w:rsidRPr="00A1651A" w:rsidRDefault="00685BE5" w:rsidP="00AE4C3A">
            <w:pPr>
              <w:tabs>
                <w:tab w:val="decimal" w:pos="459"/>
              </w:tabs>
              <w:spacing w:before="20" w:after="20"/>
              <w:rPr>
                <w:rFonts w:cstheme="minorHAnsi"/>
                <w:color w:val="000000"/>
                <w:sz w:val="20"/>
                <w:szCs w:val="20"/>
              </w:rPr>
            </w:pPr>
            <w:r w:rsidRPr="00A1651A">
              <w:rPr>
                <w:rFonts w:cstheme="minorHAnsi"/>
                <w:color w:val="000000"/>
                <w:sz w:val="20"/>
                <w:szCs w:val="20"/>
              </w:rPr>
              <w:t>43.5</w:t>
            </w:r>
          </w:p>
        </w:tc>
        <w:tc>
          <w:tcPr>
            <w:tcW w:w="1213" w:type="dxa"/>
            <w:vAlign w:val="bottom"/>
          </w:tcPr>
          <w:p w:rsidR="00685BE5" w:rsidRPr="00A1651A" w:rsidRDefault="00685BE5" w:rsidP="00AE4C3A">
            <w:pPr>
              <w:tabs>
                <w:tab w:val="decimal" w:pos="563"/>
              </w:tabs>
              <w:spacing w:before="20" w:after="20"/>
              <w:ind w:right="9"/>
              <w:rPr>
                <w:rFonts w:cstheme="minorHAnsi"/>
                <w:color w:val="000000"/>
                <w:sz w:val="20"/>
                <w:szCs w:val="20"/>
              </w:rPr>
            </w:pPr>
            <w:r w:rsidRPr="00A1651A">
              <w:rPr>
                <w:rFonts w:cstheme="minorHAnsi"/>
                <w:color w:val="000000"/>
                <w:sz w:val="20"/>
                <w:szCs w:val="20"/>
              </w:rPr>
              <w:t>9.5</w:t>
            </w:r>
          </w:p>
        </w:tc>
        <w:tc>
          <w:tcPr>
            <w:tcW w:w="903" w:type="dxa"/>
            <w:vAlign w:val="bottom"/>
          </w:tcPr>
          <w:p w:rsidR="00685BE5" w:rsidRPr="00A1651A" w:rsidRDefault="00685BE5" w:rsidP="00AE4C3A">
            <w:pPr>
              <w:tabs>
                <w:tab w:val="decimal" w:pos="459"/>
              </w:tabs>
              <w:spacing w:before="20" w:after="20"/>
              <w:rPr>
                <w:rFonts w:cstheme="minorHAnsi"/>
                <w:color w:val="000000"/>
                <w:sz w:val="20"/>
                <w:szCs w:val="20"/>
              </w:rPr>
            </w:pPr>
            <w:r w:rsidRPr="00A1651A">
              <w:rPr>
                <w:rFonts w:cstheme="minorHAnsi"/>
                <w:color w:val="000000"/>
                <w:sz w:val="20"/>
                <w:szCs w:val="20"/>
              </w:rPr>
              <w:t>2.6</w:t>
            </w:r>
          </w:p>
        </w:tc>
        <w:tc>
          <w:tcPr>
            <w:tcW w:w="1276" w:type="dxa"/>
            <w:vAlign w:val="bottom"/>
          </w:tcPr>
          <w:p w:rsidR="00685BE5" w:rsidRPr="00A1651A" w:rsidRDefault="00685BE5" w:rsidP="00FF1B62">
            <w:pPr>
              <w:tabs>
                <w:tab w:val="decimal" w:pos="573"/>
              </w:tabs>
              <w:spacing w:before="20" w:after="20"/>
              <w:rPr>
                <w:rFonts w:cstheme="minorHAnsi"/>
                <w:color w:val="000000"/>
                <w:sz w:val="20"/>
                <w:szCs w:val="20"/>
              </w:rPr>
            </w:pPr>
            <w:r w:rsidRPr="00A1651A">
              <w:rPr>
                <w:rFonts w:cstheme="minorHAnsi"/>
                <w:color w:val="000000"/>
                <w:sz w:val="20"/>
                <w:szCs w:val="20"/>
              </w:rPr>
              <w:t>9.8</w:t>
            </w:r>
          </w:p>
        </w:tc>
      </w:tr>
      <w:tr w:rsidR="00685BE5" w:rsidRPr="00A1651A" w:rsidTr="00122968">
        <w:tc>
          <w:tcPr>
            <w:tcW w:w="3392" w:type="dxa"/>
            <w:vAlign w:val="center"/>
          </w:tcPr>
          <w:p w:rsidR="00685BE5" w:rsidRPr="00A1651A" w:rsidRDefault="00685BE5" w:rsidP="00AE4C3A">
            <w:pPr>
              <w:spacing w:before="20" w:after="20"/>
              <w:rPr>
                <w:rFonts w:cstheme="minorHAnsi"/>
                <w:i/>
                <w:sz w:val="20"/>
                <w:szCs w:val="20"/>
              </w:rPr>
            </w:pPr>
            <w:r w:rsidRPr="00A1651A">
              <w:rPr>
                <w:rFonts w:cstheme="minorHAnsi"/>
                <w:color w:val="211D1E"/>
                <w:sz w:val="20"/>
                <w:szCs w:val="20"/>
              </w:rPr>
              <w:t>Overtime utilisation</w:t>
            </w:r>
          </w:p>
        </w:tc>
        <w:tc>
          <w:tcPr>
            <w:tcW w:w="861" w:type="dxa"/>
            <w:vAlign w:val="bottom"/>
          </w:tcPr>
          <w:p w:rsidR="00685BE5" w:rsidRPr="00A1651A" w:rsidRDefault="00685BE5" w:rsidP="00AE4C3A">
            <w:pPr>
              <w:tabs>
                <w:tab w:val="decimal" w:pos="328"/>
              </w:tabs>
              <w:spacing w:before="20" w:after="20"/>
              <w:rPr>
                <w:rFonts w:cstheme="minorHAnsi"/>
                <w:color w:val="000000"/>
                <w:sz w:val="20"/>
                <w:szCs w:val="20"/>
              </w:rPr>
            </w:pPr>
            <w:r w:rsidRPr="00A1651A">
              <w:rPr>
                <w:rFonts w:cstheme="minorHAnsi"/>
                <w:color w:val="000000"/>
                <w:sz w:val="20"/>
                <w:szCs w:val="20"/>
              </w:rPr>
              <w:t>3.0</w:t>
            </w:r>
          </w:p>
        </w:tc>
        <w:tc>
          <w:tcPr>
            <w:tcW w:w="1088" w:type="dxa"/>
            <w:vAlign w:val="bottom"/>
          </w:tcPr>
          <w:p w:rsidR="00685BE5" w:rsidRPr="00A1651A" w:rsidRDefault="00685BE5" w:rsidP="00AE4C3A">
            <w:pPr>
              <w:tabs>
                <w:tab w:val="decimal" w:pos="459"/>
              </w:tabs>
              <w:spacing w:before="20" w:after="20"/>
              <w:rPr>
                <w:rFonts w:cstheme="minorHAnsi"/>
                <w:color w:val="000000"/>
                <w:sz w:val="20"/>
                <w:szCs w:val="20"/>
              </w:rPr>
            </w:pPr>
            <w:r w:rsidRPr="00A1651A">
              <w:rPr>
                <w:rFonts w:cstheme="minorHAnsi"/>
                <w:color w:val="000000"/>
                <w:sz w:val="20"/>
                <w:szCs w:val="20"/>
              </w:rPr>
              <w:t>11.8</w:t>
            </w:r>
          </w:p>
        </w:tc>
        <w:tc>
          <w:tcPr>
            <w:tcW w:w="934" w:type="dxa"/>
            <w:vAlign w:val="bottom"/>
          </w:tcPr>
          <w:p w:rsidR="00685BE5" w:rsidRPr="00A1651A" w:rsidRDefault="00685BE5" w:rsidP="00AE4C3A">
            <w:pPr>
              <w:tabs>
                <w:tab w:val="decimal" w:pos="459"/>
              </w:tabs>
              <w:spacing w:before="20" w:after="20"/>
              <w:rPr>
                <w:rFonts w:cstheme="minorHAnsi"/>
                <w:color w:val="000000"/>
                <w:sz w:val="20"/>
                <w:szCs w:val="20"/>
              </w:rPr>
            </w:pPr>
            <w:r w:rsidRPr="00A1651A">
              <w:rPr>
                <w:rFonts w:cstheme="minorHAnsi"/>
                <w:color w:val="000000"/>
                <w:sz w:val="20"/>
                <w:szCs w:val="20"/>
              </w:rPr>
              <w:t>65.9</w:t>
            </w:r>
          </w:p>
        </w:tc>
        <w:tc>
          <w:tcPr>
            <w:tcW w:w="1213" w:type="dxa"/>
            <w:vAlign w:val="bottom"/>
          </w:tcPr>
          <w:p w:rsidR="00685BE5" w:rsidRPr="00A1651A" w:rsidRDefault="00685BE5" w:rsidP="00AE4C3A">
            <w:pPr>
              <w:tabs>
                <w:tab w:val="decimal" w:pos="563"/>
              </w:tabs>
              <w:spacing w:before="20" w:after="20"/>
              <w:ind w:right="9"/>
              <w:rPr>
                <w:rFonts w:cstheme="minorHAnsi"/>
                <w:color w:val="000000"/>
                <w:sz w:val="20"/>
                <w:szCs w:val="20"/>
              </w:rPr>
            </w:pPr>
            <w:r w:rsidRPr="00A1651A">
              <w:rPr>
                <w:rFonts w:cstheme="minorHAnsi"/>
                <w:color w:val="000000"/>
                <w:sz w:val="20"/>
                <w:szCs w:val="20"/>
              </w:rPr>
              <w:t>4.3</w:t>
            </w:r>
          </w:p>
        </w:tc>
        <w:tc>
          <w:tcPr>
            <w:tcW w:w="903" w:type="dxa"/>
            <w:vAlign w:val="bottom"/>
          </w:tcPr>
          <w:p w:rsidR="00685BE5" w:rsidRPr="00A1651A" w:rsidRDefault="00685BE5" w:rsidP="00AE4C3A">
            <w:pPr>
              <w:tabs>
                <w:tab w:val="decimal" w:pos="459"/>
              </w:tabs>
              <w:spacing w:before="20" w:after="20"/>
              <w:rPr>
                <w:rFonts w:cstheme="minorHAnsi"/>
                <w:color w:val="000000"/>
                <w:sz w:val="20"/>
                <w:szCs w:val="20"/>
              </w:rPr>
            </w:pPr>
            <w:r w:rsidRPr="00A1651A">
              <w:rPr>
                <w:rFonts w:cstheme="minorHAnsi"/>
                <w:color w:val="000000"/>
                <w:sz w:val="20"/>
                <w:szCs w:val="20"/>
              </w:rPr>
              <w:t>2.2</w:t>
            </w:r>
          </w:p>
        </w:tc>
        <w:tc>
          <w:tcPr>
            <w:tcW w:w="1276" w:type="dxa"/>
            <w:vAlign w:val="bottom"/>
          </w:tcPr>
          <w:p w:rsidR="00685BE5" w:rsidRPr="00A1651A" w:rsidRDefault="00685BE5" w:rsidP="00FF1B62">
            <w:pPr>
              <w:tabs>
                <w:tab w:val="decimal" w:pos="573"/>
              </w:tabs>
              <w:spacing w:before="20" w:after="20"/>
              <w:rPr>
                <w:rFonts w:cstheme="minorHAnsi"/>
                <w:color w:val="000000"/>
                <w:sz w:val="20"/>
                <w:szCs w:val="20"/>
              </w:rPr>
            </w:pPr>
            <w:r w:rsidRPr="00A1651A">
              <w:rPr>
                <w:rFonts w:cstheme="minorHAnsi"/>
                <w:color w:val="000000"/>
                <w:sz w:val="20"/>
                <w:szCs w:val="20"/>
              </w:rPr>
              <w:t>12.9</w:t>
            </w:r>
          </w:p>
        </w:tc>
      </w:tr>
      <w:tr w:rsidR="00685BE5" w:rsidRPr="00A1651A" w:rsidTr="00122968">
        <w:tc>
          <w:tcPr>
            <w:tcW w:w="3392" w:type="dxa"/>
            <w:vAlign w:val="center"/>
          </w:tcPr>
          <w:p w:rsidR="00685BE5" w:rsidRPr="00A1651A" w:rsidRDefault="00685BE5" w:rsidP="00AE4C3A">
            <w:pPr>
              <w:spacing w:before="20" w:after="20"/>
              <w:rPr>
                <w:rFonts w:cstheme="minorHAnsi"/>
                <w:sz w:val="20"/>
                <w:szCs w:val="20"/>
              </w:rPr>
            </w:pPr>
            <w:r w:rsidRPr="00A1651A">
              <w:rPr>
                <w:rFonts w:cstheme="minorHAnsi"/>
                <w:color w:val="211D1E"/>
                <w:sz w:val="20"/>
                <w:szCs w:val="20"/>
              </w:rPr>
              <w:t>Investment in buildings and structures</w:t>
            </w:r>
          </w:p>
        </w:tc>
        <w:tc>
          <w:tcPr>
            <w:tcW w:w="861" w:type="dxa"/>
            <w:vAlign w:val="bottom"/>
          </w:tcPr>
          <w:p w:rsidR="00685BE5" w:rsidRPr="00A1651A" w:rsidRDefault="00685BE5" w:rsidP="00AE4C3A">
            <w:pPr>
              <w:tabs>
                <w:tab w:val="decimal" w:pos="328"/>
              </w:tabs>
              <w:spacing w:before="20" w:after="20"/>
              <w:rPr>
                <w:rFonts w:cstheme="minorHAnsi"/>
                <w:color w:val="000000"/>
                <w:sz w:val="20"/>
                <w:szCs w:val="20"/>
              </w:rPr>
            </w:pPr>
            <w:r w:rsidRPr="00A1651A">
              <w:rPr>
                <w:rFonts w:cstheme="minorHAnsi"/>
                <w:color w:val="000000"/>
                <w:sz w:val="20"/>
                <w:szCs w:val="20"/>
              </w:rPr>
              <w:t>1.7</w:t>
            </w:r>
          </w:p>
        </w:tc>
        <w:tc>
          <w:tcPr>
            <w:tcW w:w="1088" w:type="dxa"/>
            <w:vAlign w:val="bottom"/>
          </w:tcPr>
          <w:p w:rsidR="00685BE5" w:rsidRPr="00A1651A" w:rsidRDefault="00685BE5" w:rsidP="00AE4C3A">
            <w:pPr>
              <w:tabs>
                <w:tab w:val="decimal" w:pos="459"/>
              </w:tabs>
              <w:spacing w:before="20" w:after="20"/>
              <w:rPr>
                <w:rFonts w:cstheme="minorHAnsi"/>
                <w:color w:val="000000"/>
                <w:sz w:val="20"/>
                <w:szCs w:val="20"/>
              </w:rPr>
            </w:pPr>
            <w:r w:rsidRPr="00A1651A">
              <w:rPr>
                <w:rFonts w:cstheme="minorHAnsi"/>
                <w:color w:val="000000"/>
                <w:sz w:val="20"/>
                <w:szCs w:val="20"/>
              </w:rPr>
              <w:t>11.3</w:t>
            </w:r>
          </w:p>
        </w:tc>
        <w:tc>
          <w:tcPr>
            <w:tcW w:w="934" w:type="dxa"/>
            <w:vAlign w:val="bottom"/>
          </w:tcPr>
          <w:p w:rsidR="00685BE5" w:rsidRPr="00A1651A" w:rsidRDefault="00685BE5" w:rsidP="00AE4C3A">
            <w:pPr>
              <w:tabs>
                <w:tab w:val="decimal" w:pos="459"/>
              </w:tabs>
              <w:spacing w:before="20" w:after="20"/>
              <w:rPr>
                <w:rFonts w:cstheme="minorHAnsi"/>
                <w:color w:val="000000"/>
                <w:sz w:val="20"/>
                <w:szCs w:val="20"/>
              </w:rPr>
            </w:pPr>
            <w:r w:rsidRPr="00A1651A">
              <w:rPr>
                <w:rFonts w:cstheme="minorHAnsi"/>
                <w:color w:val="000000"/>
                <w:sz w:val="20"/>
                <w:szCs w:val="20"/>
              </w:rPr>
              <w:t>61.1</w:t>
            </w:r>
          </w:p>
        </w:tc>
        <w:tc>
          <w:tcPr>
            <w:tcW w:w="1213" w:type="dxa"/>
            <w:vAlign w:val="bottom"/>
          </w:tcPr>
          <w:p w:rsidR="00685BE5" w:rsidRPr="00A1651A" w:rsidRDefault="00685BE5" w:rsidP="00AE4C3A">
            <w:pPr>
              <w:tabs>
                <w:tab w:val="decimal" w:pos="563"/>
              </w:tabs>
              <w:spacing w:before="20" w:after="20"/>
              <w:ind w:right="9"/>
              <w:rPr>
                <w:rFonts w:cstheme="minorHAnsi"/>
                <w:color w:val="000000"/>
                <w:sz w:val="20"/>
                <w:szCs w:val="20"/>
              </w:rPr>
            </w:pPr>
            <w:r w:rsidRPr="00A1651A">
              <w:rPr>
                <w:rFonts w:cstheme="minorHAnsi"/>
                <w:color w:val="000000"/>
                <w:sz w:val="20"/>
                <w:szCs w:val="20"/>
              </w:rPr>
              <w:t>7.0</w:t>
            </w:r>
          </w:p>
        </w:tc>
        <w:tc>
          <w:tcPr>
            <w:tcW w:w="903" w:type="dxa"/>
            <w:vAlign w:val="bottom"/>
          </w:tcPr>
          <w:p w:rsidR="00685BE5" w:rsidRPr="00A1651A" w:rsidRDefault="00685BE5" w:rsidP="00AE4C3A">
            <w:pPr>
              <w:tabs>
                <w:tab w:val="decimal" w:pos="459"/>
              </w:tabs>
              <w:spacing w:before="20" w:after="20"/>
              <w:rPr>
                <w:rFonts w:cstheme="minorHAnsi"/>
                <w:color w:val="000000"/>
                <w:sz w:val="20"/>
                <w:szCs w:val="20"/>
              </w:rPr>
            </w:pPr>
            <w:r w:rsidRPr="00A1651A">
              <w:rPr>
                <w:rFonts w:cstheme="minorHAnsi"/>
                <w:color w:val="000000"/>
                <w:sz w:val="20"/>
                <w:szCs w:val="20"/>
              </w:rPr>
              <w:t>6.0</w:t>
            </w:r>
          </w:p>
        </w:tc>
        <w:tc>
          <w:tcPr>
            <w:tcW w:w="1276" w:type="dxa"/>
            <w:vAlign w:val="bottom"/>
          </w:tcPr>
          <w:p w:rsidR="00685BE5" w:rsidRPr="00A1651A" w:rsidRDefault="00685BE5" w:rsidP="00FF1B62">
            <w:pPr>
              <w:tabs>
                <w:tab w:val="decimal" w:pos="573"/>
              </w:tabs>
              <w:spacing w:before="20" w:after="20"/>
              <w:rPr>
                <w:rFonts w:cstheme="minorHAnsi"/>
                <w:color w:val="000000"/>
                <w:sz w:val="20"/>
                <w:szCs w:val="20"/>
              </w:rPr>
            </w:pPr>
            <w:r w:rsidRPr="00A1651A">
              <w:rPr>
                <w:rFonts w:cstheme="minorHAnsi"/>
                <w:color w:val="000000"/>
                <w:sz w:val="20"/>
                <w:szCs w:val="20"/>
              </w:rPr>
              <w:t>12.8</w:t>
            </w:r>
          </w:p>
        </w:tc>
      </w:tr>
      <w:tr w:rsidR="00685BE5" w:rsidRPr="00A1651A" w:rsidTr="00122968">
        <w:tc>
          <w:tcPr>
            <w:tcW w:w="3392" w:type="dxa"/>
            <w:vAlign w:val="center"/>
          </w:tcPr>
          <w:p w:rsidR="00685BE5" w:rsidRPr="00A1651A" w:rsidRDefault="00685BE5" w:rsidP="00AE4C3A">
            <w:pPr>
              <w:spacing w:before="20" w:after="20"/>
              <w:rPr>
                <w:rFonts w:cstheme="minorHAnsi"/>
                <w:color w:val="211D1E"/>
                <w:sz w:val="20"/>
                <w:szCs w:val="20"/>
              </w:rPr>
            </w:pPr>
            <w:r w:rsidRPr="00A1651A">
              <w:rPr>
                <w:rFonts w:cstheme="minorHAnsi"/>
                <w:color w:val="211D1E"/>
                <w:sz w:val="20"/>
                <w:szCs w:val="20"/>
              </w:rPr>
              <w:t>Investment in plant and equipment</w:t>
            </w:r>
          </w:p>
        </w:tc>
        <w:tc>
          <w:tcPr>
            <w:tcW w:w="861" w:type="dxa"/>
            <w:vAlign w:val="bottom"/>
          </w:tcPr>
          <w:p w:rsidR="00685BE5" w:rsidRPr="00A1651A" w:rsidRDefault="00685BE5" w:rsidP="00AE4C3A">
            <w:pPr>
              <w:tabs>
                <w:tab w:val="decimal" w:pos="328"/>
              </w:tabs>
              <w:spacing w:before="20" w:after="20"/>
              <w:rPr>
                <w:rFonts w:cstheme="minorHAnsi"/>
                <w:color w:val="000000"/>
                <w:sz w:val="20"/>
                <w:szCs w:val="20"/>
              </w:rPr>
            </w:pPr>
            <w:r w:rsidRPr="00A1651A">
              <w:rPr>
                <w:rFonts w:cstheme="minorHAnsi"/>
                <w:color w:val="000000"/>
                <w:sz w:val="20"/>
                <w:szCs w:val="20"/>
              </w:rPr>
              <w:t>1.3</w:t>
            </w:r>
          </w:p>
        </w:tc>
        <w:tc>
          <w:tcPr>
            <w:tcW w:w="1088" w:type="dxa"/>
            <w:vAlign w:val="bottom"/>
          </w:tcPr>
          <w:p w:rsidR="00685BE5" w:rsidRPr="00A1651A" w:rsidRDefault="00685BE5" w:rsidP="00AE4C3A">
            <w:pPr>
              <w:tabs>
                <w:tab w:val="decimal" w:pos="459"/>
              </w:tabs>
              <w:spacing w:before="20" w:after="20"/>
              <w:rPr>
                <w:rFonts w:cstheme="minorHAnsi"/>
                <w:color w:val="000000"/>
                <w:sz w:val="20"/>
                <w:szCs w:val="20"/>
              </w:rPr>
            </w:pPr>
            <w:r w:rsidRPr="00A1651A">
              <w:rPr>
                <w:rFonts w:cstheme="minorHAnsi"/>
                <w:color w:val="000000"/>
                <w:sz w:val="20"/>
                <w:szCs w:val="20"/>
              </w:rPr>
              <w:t>16.4</w:t>
            </w:r>
          </w:p>
        </w:tc>
        <w:tc>
          <w:tcPr>
            <w:tcW w:w="934" w:type="dxa"/>
            <w:vAlign w:val="bottom"/>
          </w:tcPr>
          <w:p w:rsidR="00685BE5" w:rsidRPr="00A1651A" w:rsidRDefault="00685BE5" w:rsidP="00AE4C3A">
            <w:pPr>
              <w:tabs>
                <w:tab w:val="decimal" w:pos="459"/>
              </w:tabs>
              <w:spacing w:before="20" w:after="20"/>
              <w:rPr>
                <w:rFonts w:cstheme="minorHAnsi"/>
                <w:color w:val="000000"/>
                <w:sz w:val="20"/>
                <w:szCs w:val="20"/>
              </w:rPr>
            </w:pPr>
            <w:r w:rsidRPr="00A1651A">
              <w:rPr>
                <w:rFonts w:cstheme="minorHAnsi"/>
                <w:color w:val="000000"/>
                <w:sz w:val="20"/>
                <w:szCs w:val="20"/>
              </w:rPr>
              <w:t>56.7</w:t>
            </w:r>
          </w:p>
        </w:tc>
        <w:tc>
          <w:tcPr>
            <w:tcW w:w="1213" w:type="dxa"/>
            <w:vAlign w:val="bottom"/>
          </w:tcPr>
          <w:p w:rsidR="00685BE5" w:rsidRPr="00A1651A" w:rsidRDefault="00685BE5" w:rsidP="00AE4C3A">
            <w:pPr>
              <w:tabs>
                <w:tab w:val="decimal" w:pos="563"/>
              </w:tabs>
              <w:spacing w:before="20" w:after="20"/>
              <w:ind w:right="9"/>
              <w:rPr>
                <w:rFonts w:cstheme="minorHAnsi"/>
                <w:color w:val="000000"/>
                <w:sz w:val="20"/>
                <w:szCs w:val="20"/>
              </w:rPr>
            </w:pPr>
            <w:r w:rsidRPr="00A1651A">
              <w:rPr>
                <w:rFonts w:cstheme="minorHAnsi"/>
                <w:color w:val="000000"/>
                <w:sz w:val="20"/>
                <w:szCs w:val="20"/>
              </w:rPr>
              <w:t>7.6</w:t>
            </w:r>
          </w:p>
        </w:tc>
        <w:tc>
          <w:tcPr>
            <w:tcW w:w="903" w:type="dxa"/>
            <w:vAlign w:val="bottom"/>
          </w:tcPr>
          <w:p w:rsidR="00685BE5" w:rsidRPr="00A1651A" w:rsidRDefault="00685BE5" w:rsidP="00AE4C3A">
            <w:pPr>
              <w:tabs>
                <w:tab w:val="decimal" w:pos="459"/>
              </w:tabs>
              <w:spacing w:before="20" w:after="20"/>
              <w:rPr>
                <w:rFonts w:cstheme="minorHAnsi"/>
                <w:color w:val="000000"/>
                <w:sz w:val="20"/>
                <w:szCs w:val="20"/>
              </w:rPr>
            </w:pPr>
            <w:r w:rsidRPr="00A1651A">
              <w:rPr>
                <w:rFonts w:cstheme="minorHAnsi"/>
                <w:color w:val="000000"/>
                <w:sz w:val="20"/>
                <w:szCs w:val="20"/>
              </w:rPr>
              <w:t>5.3</w:t>
            </w:r>
          </w:p>
        </w:tc>
        <w:tc>
          <w:tcPr>
            <w:tcW w:w="1276" w:type="dxa"/>
            <w:vAlign w:val="bottom"/>
          </w:tcPr>
          <w:p w:rsidR="00685BE5" w:rsidRPr="00A1651A" w:rsidRDefault="00685BE5" w:rsidP="00FF1B62">
            <w:pPr>
              <w:tabs>
                <w:tab w:val="decimal" w:pos="573"/>
              </w:tabs>
              <w:spacing w:before="20" w:after="20"/>
              <w:rPr>
                <w:rFonts w:cstheme="minorHAnsi"/>
                <w:color w:val="000000"/>
                <w:sz w:val="20"/>
                <w:szCs w:val="20"/>
              </w:rPr>
            </w:pPr>
            <w:r w:rsidRPr="00A1651A">
              <w:rPr>
                <w:rFonts w:cstheme="minorHAnsi"/>
                <w:color w:val="000000"/>
                <w:sz w:val="20"/>
                <w:szCs w:val="20"/>
              </w:rPr>
              <w:t>12.8</w:t>
            </w:r>
          </w:p>
        </w:tc>
      </w:tr>
      <w:tr w:rsidR="00685BE5" w:rsidRPr="00A1651A" w:rsidTr="00122968">
        <w:tc>
          <w:tcPr>
            <w:tcW w:w="3392" w:type="dxa"/>
            <w:vAlign w:val="center"/>
          </w:tcPr>
          <w:p w:rsidR="00685BE5" w:rsidRPr="00A1651A" w:rsidRDefault="00685BE5" w:rsidP="00AE4C3A">
            <w:pPr>
              <w:spacing w:before="20" w:after="20"/>
              <w:rPr>
                <w:rFonts w:cstheme="minorHAnsi"/>
                <w:color w:val="211D1E"/>
                <w:sz w:val="20"/>
                <w:szCs w:val="20"/>
              </w:rPr>
            </w:pPr>
            <w:r w:rsidRPr="00A1651A">
              <w:rPr>
                <w:rFonts w:cstheme="minorHAnsi"/>
                <w:color w:val="211D1E"/>
                <w:sz w:val="20"/>
                <w:szCs w:val="20"/>
              </w:rPr>
              <w:t>Overall performance</w:t>
            </w:r>
          </w:p>
        </w:tc>
        <w:tc>
          <w:tcPr>
            <w:tcW w:w="861" w:type="dxa"/>
            <w:vAlign w:val="bottom"/>
          </w:tcPr>
          <w:p w:rsidR="00685BE5" w:rsidRPr="00A1651A" w:rsidRDefault="00685BE5" w:rsidP="00AE4C3A">
            <w:pPr>
              <w:tabs>
                <w:tab w:val="decimal" w:pos="328"/>
              </w:tabs>
              <w:spacing w:before="20" w:after="20"/>
              <w:rPr>
                <w:rFonts w:cstheme="minorHAnsi"/>
                <w:color w:val="000000"/>
                <w:sz w:val="20"/>
                <w:szCs w:val="20"/>
              </w:rPr>
            </w:pPr>
            <w:r w:rsidRPr="00A1651A">
              <w:rPr>
                <w:rFonts w:cstheme="minorHAnsi"/>
                <w:color w:val="000000"/>
                <w:sz w:val="20"/>
                <w:szCs w:val="20"/>
              </w:rPr>
              <w:t>4.2</w:t>
            </w:r>
          </w:p>
        </w:tc>
        <w:tc>
          <w:tcPr>
            <w:tcW w:w="1088" w:type="dxa"/>
            <w:vAlign w:val="bottom"/>
          </w:tcPr>
          <w:p w:rsidR="00685BE5" w:rsidRPr="00A1651A" w:rsidRDefault="00685BE5" w:rsidP="00AE4C3A">
            <w:pPr>
              <w:tabs>
                <w:tab w:val="decimal" w:pos="459"/>
              </w:tabs>
              <w:spacing w:before="20" w:after="20"/>
              <w:rPr>
                <w:rFonts w:cstheme="minorHAnsi"/>
                <w:color w:val="000000"/>
                <w:sz w:val="20"/>
                <w:szCs w:val="20"/>
              </w:rPr>
            </w:pPr>
            <w:r w:rsidRPr="00A1651A">
              <w:rPr>
                <w:rFonts w:cstheme="minorHAnsi"/>
                <w:color w:val="000000"/>
                <w:sz w:val="20"/>
                <w:szCs w:val="20"/>
              </w:rPr>
              <w:t>30.0</w:t>
            </w:r>
          </w:p>
        </w:tc>
        <w:tc>
          <w:tcPr>
            <w:tcW w:w="934" w:type="dxa"/>
            <w:vAlign w:val="bottom"/>
          </w:tcPr>
          <w:p w:rsidR="00685BE5" w:rsidRPr="00A1651A" w:rsidRDefault="00685BE5" w:rsidP="00AE4C3A">
            <w:pPr>
              <w:tabs>
                <w:tab w:val="decimal" w:pos="459"/>
              </w:tabs>
              <w:spacing w:before="20" w:after="20"/>
              <w:rPr>
                <w:rFonts w:cstheme="minorHAnsi"/>
                <w:color w:val="000000"/>
                <w:sz w:val="20"/>
                <w:szCs w:val="20"/>
              </w:rPr>
            </w:pPr>
            <w:r w:rsidRPr="00A1651A">
              <w:rPr>
                <w:rFonts w:cstheme="minorHAnsi"/>
                <w:color w:val="000000"/>
                <w:sz w:val="20"/>
                <w:szCs w:val="20"/>
              </w:rPr>
              <w:t>42.3</w:t>
            </w:r>
          </w:p>
        </w:tc>
        <w:tc>
          <w:tcPr>
            <w:tcW w:w="1213" w:type="dxa"/>
            <w:vAlign w:val="bottom"/>
          </w:tcPr>
          <w:p w:rsidR="00685BE5" w:rsidRPr="00A1651A" w:rsidRDefault="00685BE5" w:rsidP="00AE4C3A">
            <w:pPr>
              <w:tabs>
                <w:tab w:val="decimal" w:pos="563"/>
              </w:tabs>
              <w:spacing w:before="20" w:after="20"/>
              <w:ind w:right="9"/>
              <w:rPr>
                <w:rFonts w:cstheme="minorHAnsi"/>
                <w:color w:val="000000"/>
                <w:sz w:val="20"/>
                <w:szCs w:val="20"/>
              </w:rPr>
            </w:pPr>
            <w:r w:rsidRPr="00A1651A">
              <w:rPr>
                <w:rFonts w:cstheme="minorHAnsi"/>
                <w:color w:val="000000"/>
                <w:sz w:val="20"/>
                <w:szCs w:val="20"/>
              </w:rPr>
              <w:t>8.6</w:t>
            </w:r>
          </w:p>
        </w:tc>
        <w:tc>
          <w:tcPr>
            <w:tcW w:w="903" w:type="dxa"/>
            <w:vAlign w:val="bottom"/>
          </w:tcPr>
          <w:p w:rsidR="00685BE5" w:rsidRPr="00A1651A" w:rsidRDefault="00685BE5" w:rsidP="00AE4C3A">
            <w:pPr>
              <w:tabs>
                <w:tab w:val="decimal" w:pos="459"/>
              </w:tabs>
              <w:spacing w:before="20" w:after="20"/>
              <w:rPr>
                <w:rFonts w:cstheme="minorHAnsi"/>
                <w:color w:val="000000"/>
                <w:sz w:val="20"/>
                <w:szCs w:val="20"/>
              </w:rPr>
            </w:pPr>
            <w:r w:rsidRPr="00A1651A">
              <w:rPr>
                <w:rFonts w:cstheme="minorHAnsi"/>
                <w:color w:val="000000"/>
                <w:sz w:val="20"/>
                <w:szCs w:val="20"/>
              </w:rPr>
              <w:t>3.6</w:t>
            </w:r>
          </w:p>
        </w:tc>
        <w:tc>
          <w:tcPr>
            <w:tcW w:w="1276" w:type="dxa"/>
            <w:vAlign w:val="bottom"/>
          </w:tcPr>
          <w:p w:rsidR="00685BE5" w:rsidRPr="00A1651A" w:rsidRDefault="00685BE5" w:rsidP="00FF1B62">
            <w:pPr>
              <w:tabs>
                <w:tab w:val="decimal" w:pos="573"/>
              </w:tabs>
              <w:spacing w:before="20" w:after="20"/>
              <w:rPr>
                <w:rFonts w:cstheme="minorHAnsi"/>
                <w:color w:val="000000"/>
                <w:sz w:val="20"/>
                <w:szCs w:val="20"/>
              </w:rPr>
            </w:pPr>
            <w:r w:rsidRPr="00A1651A">
              <w:rPr>
                <w:rFonts w:cstheme="minorHAnsi"/>
                <w:color w:val="000000"/>
                <w:sz w:val="20"/>
                <w:szCs w:val="20"/>
              </w:rPr>
              <w:t>11.3</w:t>
            </w:r>
          </w:p>
        </w:tc>
      </w:tr>
    </w:tbl>
    <w:p w:rsidR="00122968" w:rsidRDefault="00122968" w:rsidP="00122968">
      <w:pPr>
        <w:pBdr>
          <w:bottom w:val="single" w:sz="4" w:space="1" w:color="auto"/>
        </w:pBdr>
        <w:ind w:right="-709"/>
      </w:pPr>
      <w:r w:rsidRPr="00F52A2D">
        <w:rPr>
          <w:rFonts w:cstheme="minorHAnsi"/>
          <w:b/>
          <w:color w:val="211D1E"/>
          <w:sz w:val="20"/>
          <w:szCs w:val="20"/>
        </w:rPr>
        <w:t>Total (N=697)</w:t>
      </w:r>
    </w:p>
    <w:p w:rsidR="00685BE5" w:rsidRDefault="00685BE5" w:rsidP="00AE4C3A">
      <w:pPr>
        <w:pStyle w:val="NILSReference"/>
      </w:pPr>
      <w:r w:rsidRPr="00A1651A">
        <w:t>Source: 2014 NDIS DSP Outlet survey, Question A23.</w:t>
      </w:r>
    </w:p>
    <w:p w:rsidR="00685BE5" w:rsidRDefault="00685BE5" w:rsidP="00AE4C3A">
      <w:pPr>
        <w:pStyle w:val="NILSReference"/>
      </w:pPr>
      <w:r>
        <w:t>Note: Row percentages are shown.</w:t>
      </w:r>
    </w:p>
    <w:p w:rsidR="003A37B0" w:rsidRDefault="003A37B0" w:rsidP="00AE4C3A"/>
    <w:p w:rsidR="00685BE5" w:rsidRDefault="00685BE5" w:rsidP="00AE4C3A">
      <w:r>
        <w:t xml:space="preserve">The evidence above suggests that change is anticipated, but the evidence about its expected shape is not clear. The first Wave of data has much information which will be explored in the forthcoming Intermediate Report using multivariate analysis in order to improve our understanding about the way change was happening. Whilst it is reasonable to expect that change will be at its strongest within the NDIS trial sites, </w:t>
      </w:r>
      <w:r w:rsidR="0090288F">
        <w:t>it</w:t>
      </w:r>
      <w:r>
        <w:t xml:space="preserve"> cannot </w:t>
      </w:r>
      <w:r w:rsidR="0090288F">
        <w:t xml:space="preserve">be </w:t>
      </w:r>
      <w:r>
        <w:t>know</w:t>
      </w:r>
      <w:r w:rsidR="0090288F">
        <w:t>n</w:t>
      </w:r>
      <w:r>
        <w:t xml:space="preserve"> much about the speed at which this change will spread and exactly what shape it will take. For example, change may come through the growth of existing providers or through the entry of new providers in the sector. It may come through the growth of presently small providers or through the expansion of presently large providers. The shape of the market that will emerge during the NDIS full rollout cannot be forecast with much accuracy from the present data. The importance of these remaining questions surrounding the disability services sector supports the view that the second Wave of the providers surveys should include a top up sample in order to capture not only the way present providers develop, but also the way new providers may enter the market and allow the NDIS Evaluation to form a complete view of the change in the services sector.</w:t>
      </w:r>
    </w:p>
    <w:p w:rsidR="00A92038" w:rsidRDefault="00A92038">
      <w:pPr>
        <w:rPr>
          <w:rFonts w:eastAsia="Times" w:cstheme="minorHAnsi"/>
          <w:b/>
          <w:kern w:val="32"/>
          <w:sz w:val="24"/>
          <w:szCs w:val="28"/>
          <w:lang w:val="en-AU" w:eastAsia="zh-CN"/>
        </w:rPr>
      </w:pPr>
      <w:bookmarkStart w:id="554" w:name="_Toc428279192"/>
      <w:r>
        <w:br w:type="page"/>
      </w:r>
    </w:p>
    <w:p w:rsidR="00685BE5" w:rsidRDefault="00685BE5" w:rsidP="00367B24">
      <w:pPr>
        <w:pStyle w:val="Heading3"/>
      </w:pPr>
      <w:bookmarkStart w:id="555" w:name="_Toc449955040"/>
      <w:r>
        <w:lastRenderedPageBreak/>
        <w:t>4.2.8 A brief summary of findings for DSP outlets</w:t>
      </w:r>
      <w:bookmarkEnd w:id="554"/>
      <w:bookmarkEnd w:id="555"/>
    </w:p>
    <w:p w:rsidR="00685BE5" w:rsidRDefault="00685BE5" w:rsidP="00AE4C3A">
      <w:pPr>
        <w:rPr>
          <w:lang w:eastAsia="zh-CN"/>
        </w:rPr>
      </w:pPr>
      <w:r>
        <w:rPr>
          <w:lang w:eastAsia="zh-CN"/>
        </w:rPr>
        <w:t>The principal purpose of this chapter is to set out information about the providers of disability services and their thoughts and facts about their workforce. These are important as a baseline for understanding the capacity of providers and their workers to adapt to the large changes that are likely to occur as a result of the full rollout of the NDIS.</w:t>
      </w:r>
    </w:p>
    <w:p w:rsidR="003A37B0" w:rsidRDefault="003A37B0" w:rsidP="00AE4C3A"/>
    <w:p w:rsidR="00685BE5" w:rsidRDefault="0090288F" w:rsidP="00AE4C3A">
      <w:pPr>
        <w:rPr>
          <w:lang w:eastAsia="zh-CN"/>
        </w:rPr>
      </w:pPr>
      <w:r>
        <w:rPr>
          <w:lang w:eastAsia="zh-CN"/>
        </w:rPr>
        <w:t>T</w:t>
      </w:r>
      <w:r w:rsidR="00685BE5">
        <w:rPr>
          <w:lang w:eastAsia="zh-CN"/>
        </w:rPr>
        <w:t>here was a rich mixture of providers—large and small, mainly not for profit, with some smaller for profit providers and a modest number of large public providers. About 28 per cent employed 50 or more people while 34 per cent employed fewer than 10. There was clear evidence of specialisation in the types of disabilities that were supported, and the types of services that were offered. The diversity in size, ownership and services suggests that the sector has the capacity for resilience, adaptability and growth.</w:t>
      </w:r>
    </w:p>
    <w:p w:rsidR="003A37B0" w:rsidRDefault="003A37B0" w:rsidP="00AE4C3A"/>
    <w:p w:rsidR="00685BE5" w:rsidRDefault="00685BE5" w:rsidP="00AE4C3A">
      <w:r>
        <w:rPr>
          <w:lang w:eastAsia="zh-CN"/>
        </w:rPr>
        <w:t xml:space="preserve">By far the largest occupation among the direct care workers was </w:t>
      </w:r>
      <w:r>
        <w:t>disability support/r</w:t>
      </w:r>
      <w:r w:rsidRPr="005A2670">
        <w:t>esidential support worker</w:t>
      </w:r>
      <w:r>
        <w:t xml:space="preserve">, followed by personal care/home care worker (see later Table 4.18 in section 4.3.2). Both these occupations are critical in the provision of regular care. But they are occupations that can be learned relatively quickly. If there is a sufficient reservoir in the population of people who have a willingness to provide hands-on care for others, then it should be possible to expand this component of the disability workforce as needed. That is, with a little planning it need not provide a bottleneck to the expansion of disability services. In saying this, the data gives no insight into whether it would be necessary to raise the pay of these occupations in order to expand the supply. </w:t>
      </w:r>
      <w:r w:rsidR="0090288F">
        <w:t>A</w:t>
      </w:r>
      <w:r>
        <w:t>lmost a third of the support workers were men (Table 4.18 in section 4.3.2). The fact that this component of the workforce is able to draw on both sexes expands the pool of potential workers and supports the view that the supply has good potential for expansion.</w:t>
      </w:r>
    </w:p>
    <w:p w:rsidR="003A37B0" w:rsidRDefault="003A37B0" w:rsidP="00AE4C3A">
      <w:pPr>
        <w:rPr>
          <w:lang w:eastAsia="zh-CN"/>
        </w:rPr>
      </w:pPr>
    </w:p>
    <w:p w:rsidR="00685BE5" w:rsidRDefault="00685BE5" w:rsidP="00AE4C3A">
      <w:r>
        <w:rPr>
          <w:lang w:eastAsia="zh-CN"/>
        </w:rPr>
        <w:t xml:space="preserve">On the whole, managers thought that their workforce had the skills that it needed to do the job. While they had some concern on this front for their </w:t>
      </w:r>
      <w:r>
        <w:t>disability support/r</w:t>
      </w:r>
      <w:r w:rsidRPr="005A2670">
        <w:t>esidential support worker</w:t>
      </w:r>
      <w:r>
        <w:t xml:space="preserve">s, this may simply reflect the size and turnover of this section of their workforce. Since the main way that outlets said they dealt with skills shortages was to increase their in-house and/or external training, the solution to under-skilling of their existing support and care workers or difficulty in recruiting people with adequate existing skills was largely in their own hands. Managers did report some difficulty in finding the skills they wanted among program administrators/managers/ coordinators and allied health workers. They were more dependent on recruitment rather than on their own training to obtain these higher level skills, which suggests that shortages could be aggravated by a rapid expansion in demand. The evidence on vacancies and intentions to hire supports this view. </w:t>
      </w:r>
    </w:p>
    <w:p w:rsidR="003A37B0" w:rsidRDefault="003A37B0" w:rsidP="00AE4C3A"/>
    <w:p w:rsidR="00685BE5" w:rsidRDefault="00685BE5" w:rsidP="00AE4C3A">
      <w:r>
        <w:t xml:space="preserve">Agency and brokered workers were used by less than one third of outlets. Self-employed workers were mainly allied health professionals and supplemented the direct employment of these skills for a minority of outlets. Consistent with their share in the total workforce, most agency and brokered workers were disability support/residential support and personal/home care workers. The motivation for using this form of employment is not clear, since it was not cited as a major way of responding to skills shortages. </w:t>
      </w:r>
      <w:r w:rsidR="0090288F">
        <w:t>H</w:t>
      </w:r>
      <w:r>
        <w:t>owever</w:t>
      </w:r>
      <w:r w:rsidR="007F18A4">
        <w:t>,</w:t>
      </w:r>
      <w:r>
        <w:t xml:space="preserve"> there is potential for further evidence collection in the second Wave of qualitative and quantitative data.</w:t>
      </w:r>
    </w:p>
    <w:p w:rsidR="003A37B0" w:rsidRDefault="003A37B0" w:rsidP="00AE4C3A"/>
    <w:p w:rsidR="00685BE5" w:rsidRDefault="00685BE5" w:rsidP="00AE4C3A">
      <w:r>
        <w:t xml:space="preserve">The first Wave of the </w:t>
      </w:r>
      <w:r w:rsidR="006D78CB">
        <w:t>Providers</w:t>
      </w:r>
      <w:r w:rsidR="00FB526C">
        <w:t xml:space="preserve"> </w:t>
      </w:r>
      <w:r w:rsidR="006D78CB">
        <w:t>S</w:t>
      </w:r>
      <w:r>
        <w:t>urvey has provided useful information about the sector. However, our findings are relatively low key and do not suggest the level of intense activity that one may have expected from an anticipated strong expansion of the sector.</w:t>
      </w:r>
    </w:p>
    <w:p w:rsidR="00A06AE2" w:rsidRDefault="00A06AE2">
      <w:pPr>
        <w:rPr>
          <w:rFonts w:eastAsia="Times" w:cstheme="minorHAnsi"/>
          <w:b/>
          <w:kern w:val="32"/>
          <w:sz w:val="26"/>
          <w:szCs w:val="24"/>
          <w:lang w:val="en-AU" w:eastAsia="zh-CN"/>
        </w:rPr>
      </w:pPr>
      <w:bookmarkStart w:id="556" w:name="_Toc428279193"/>
      <w:r>
        <w:br w:type="page"/>
      </w:r>
    </w:p>
    <w:p w:rsidR="00685BE5" w:rsidRDefault="00685BE5" w:rsidP="00EC2C19">
      <w:pPr>
        <w:pStyle w:val="Heading2"/>
      </w:pPr>
      <w:bookmarkStart w:id="557" w:name="_Toc449955041"/>
      <w:r>
        <w:lastRenderedPageBreak/>
        <w:t xml:space="preserve">4.3 </w:t>
      </w:r>
      <w:r w:rsidRPr="006B1072">
        <w:t>Initial findings</w:t>
      </w:r>
      <w:r>
        <w:t xml:space="preserve"> for disability support workforce</w:t>
      </w:r>
      <w:bookmarkEnd w:id="556"/>
      <w:bookmarkEnd w:id="557"/>
    </w:p>
    <w:p w:rsidR="00685BE5" w:rsidRDefault="00685BE5" w:rsidP="00EC2C19">
      <w:pPr>
        <w:pStyle w:val="Heading3"/>
      </w:pPr>
      <w:bookmarkStart w:id="558" w:name="_Toc428279194"/>
      <w:bookmarkStart w:id="559" w:name="_Toc449955042"/>
      <w:r>
        <w:t>4.3.1 Introduction</w:t>
      </w:r>
      <w:bookmarkEnd w:id="558"/>
      <w:bookmarkEnd w:id="559"/>
      <w:r>
        <w:t xml:space="preserve"> </w:t>
      </w:r>
    </w:p>
    <w:p w:rsidR="00685BE5" w:rsidRDefault="00685BE5" w:rsidP="00AE4C3A">
      <w:r w:rsidRPr="00640717">
        <w:t xml:space="preserve">In this </w:t>
      </w:r>
      <w:r>
        <w:t>section,</w:t>
      </w:r>
      <w:r w:rsidRPr="00640717">
        <w:t xml:space="preserve"> data from the 2014 NDIS DSP survey of outlet employees </w:t>
      </w:r>
      <w:r w:rsidR="0090288F">
        <w:t xml:space="preserve">is used </w:t>
      </w:r>
      <w:r w:rsidRPr="00640717">
        <w:t>to provide an overview of workforce characteristics and their work, career paths, and their experiences of working in disability support.</w:t>
      </w:r>
      <w:r>
        <w:t xml:space="preserve"> </w:t>
      </w:r>
    </w:p>
    <w:p w:rsidR="003A37B0" w:rsidRDefault="003A37B0" w:rsidP="00AE4C3A"/>
    <w:p w:rsidR="00685BE5" w:rsidRDefault="00685BE5" w:rsidP="00AE4C3A">
      <w:pPr>
        <w:spacing w:after="120"/>
        <w:rPr>
          <w:rFonts w:cstheme="minorHAnsi"/>
        </w:rPr>
      </w:pPr>
      <w:r>
        <w:t xml:space="preserve">Responses were received from 2,133 employees covering 669 outlets, out of a possible 11,299 invited employees in 2,323 outlets. Thus the employee response rate was 18 per cent. The DSP outlet employees were sampled within their establishments and outlet managers were sent a variable number of DSP outlet employee questionnaires, depending on the precall information collected about establishment size. </w:t>
      </w:r>
      <w:r>
        <w:rPr>
          <w:rFonts w:cstheme="minorHAnsi"/>
        </w:rPr>
        <w:t>The</w:t>
      </w:r>
      <w:r w:rsidRPr="00127FDC">
        <w:rPr>
          <w:rFonts w:cstheme="minorHAnsi"/>
        </w:rPr>
        <w:t xml:space="preserve"> questionnaire </w:t>
      </w:r>
      <w:r>
        <w:rPr>
          <w:rFonts w:cstheme="minorHAnsi"/>
        </w:rPr>
        <w:t xml:space="preserve">was </w:t>
      </w:r>
      <w:r w:rsidRPr="00127FDC">
        <w:rPr>
          <w:rFonts w:cstheme="minorHAnsi"/>
        </w:rPr>
        <w:t>to be completed by a random sample of specialist disability support employees employed in the DSP outlets</w:t>
      </w:r>
      <w:r>
        <w:rPr>
          <w:rFonts w:cstheme="minorHAnsi"/>
        </w:rPr>
        <w:t>. Instructions were given to managers on a way to conduct the random sampling by using employee birthdates. The questionnaire collects information on the employees’</w:t>
      </w:r>
      <w:r w:rsidRPr="00127FDC">
        <w:rPr>
          <w:rFonts w:cstheme="minorHAnsi"/>
        </w:rPr>
        <w:t xml:space="preserve"> </w:t>
      </w:r>
      <w:r>
        <w:rPr>
          <w:rFonts w:cstheme="minorHAnsi"/>
        </w:rPr>
        <w:t>demographic</w:t>
      </w:r>
      <w:r w:rsidRPr="00127FDC">
        <w:rPr>
          <w:rFonts w:cstheme="minorHAnsi"/>
        </w:rPr>
        <w:t xml:space="preserve"> characteristics, qualifications, earnings, career pathways and views about their satisfaction with elements of their work and their current workplace.</w:t>
      </w:r>
    </w:p>
    <w:p w:rsidR="00685BE5" w:rsidRPr="00AB33E3" w:rsidRDefault="00685BE5" w:rsidP="00EC2C19">
      <w:pPr>
        <w:pStyle w:val="Heading3"/>
      </w:pPr>
      <w:bookmarkStart w:id="560" w:name="_Toc425425085"/>
      <w:bookmarkStart w:id="561" w:name="_Toc428279195"/>
      <w:bookmarkStart w:id="562" w:name="_Toc449955043"/>
      <w:r w:rsidRPr="00AB33E3">
        <w:t>4.</w:t>
      </w:r>
      <w:r>
        <w:t>3</w:t>
      </w:r>
      <w:r w:rsidRPr="00AB33E3">
        <w:t>.</w:t>
      </w:r>
      <w:r>
        <w:t>2</w:t>
      </w:r>
      <w:r w:rsidRPr="00AB33E3">
        <w:t xml:space="preserve"> Main workforce characteristics</w:t>
      </w:r>
      <w:bookmarkEnd w:id="560"/>
      <w:bookmarkEnd w:id="561"/>
      <w:bookmarkEnd w:id="562"/>
    </w:p>
    <w:p w:rsidR="00685BE5" w:rsidRDefault="00685BE5" w:rsidP="00AE4C3A">
      <w:r>
        <w:t>Table 4.18</w:t>
      </w:r>
      <w:r w:rsidRPr="00AB33E3">
        <w:t xml:space="preserve"> presents the </w:t>
      </w:r>
      <w:r>
        <w:t xml:space="preserve">reported </w:t>
      </w:r>
      <w:r w:rsidRPr="00AB33E3">
        <w:t xml:space="preserve">occupational and gender composition of the DSP workforce. It is a headcount </w:t>
      </w:r>
      <w:r>
        <w:t xml:space="preserve">(i.e., numbers of people, not hours worked) </w:t>
      </w:r>
      <w:r w:rsidRPr="00AB33E3">
        <w:t>of the DSP PAYG employees that provide</w:t>
      </w:r>
      <w:r>
        <w:t>d</w:t>
      </w:r>
      <w:r w:rsidRPr="00AB33E3">
        <w:t xml:space="preserve"> disability care or support to user</w:t>
      </w:r>
      <w:r>
        <w:t>s</w:t>
      </w:r>
      <w:r w:rsidRPr="00AB33E3">
        <w:t xml:space="preserve">. It is important to note that these figures do not include outlet employees </w:t>
      </w:r>
      <w:r>
        <w:t>who</w:t>
      </w:r>
      <w:r w:rsidRPr="00AB33E3">
        <w:t xml:space="preserve"> d</w:t>
      </w:r>
      <w:r>
        <w:t>id</w:t>
      </w:r>
      <w:r w:rsidRPr="00AB33E3">
        <w:t xml:space="preserve"> not provide direct disability support, such as clerical or maintenance staff, volunteers or other unpaid staff, or non-PAYG staff such as agency or self-employed workers (for</w:t>
      </w:r>
      <w:r>
        <w:t xml:space="preserve"> the</w:t>
      </w:r>
      <w:r w:rsidRPr="00AB33E3">
        <w:t xml:space="preserve"> total </w:t>
      </w:r>
      <w:r>
        <w:t xml:space="preserve">number of </w:t>
      </w:r>
      <w:r w:rsidRPr="00AB33E3">
        <w:t>payroll e</w:t>
      </w:r>
      <w:r>
        <w:t>mployees of outlets see Table 4.1</w:t>
      </w:r>
      <w:r w:rsidRPr="00AB33E3">
        <w:t xml:space="preserve">). </w:t>
      </w:r>
    </w:p>
    <w:p w:rsidR="003A37B0" w:rsidRDefault="003A37B0" w:rsidP="00AE4C3A"/>
    <w:p w:rsidR="00685BE5" w:rsidRDefault="00685BE5" w:rsidP="00AE4C3A">
      <w:pPr>
        <w:rPr>
          <w:rFonts w:cstheme="minorHAnsi"/>
        </w:rPr>
      </w:pPr>
      <w:r w:rsidRPr="00AB33E3">
        <w:t xml:space="preserve">The total column per cent </w:t>
      </w:r>
      <w:r>
        <w:t xml:space="preserve">entries (shown in the final column) </w:t>
      </w:r>
      <w:r w:rsidRPr="00AB33E3">
        <w:t xml:space="preserve">show the proportion of each type of worker role </w:t>
      </w:r>
      <w:r>
        <w:t>in</w:t>
      </w:r>
      <w:r w:rsidRPr="00AB33E3">
        <w:t xml:space="preserve"> the workforce. </w:t>
      </w:r>
      <w:r w:rsidRPr="00AB33E3">
        <w:rPr>
          <w:rFonts w:cstheme="minorHAnsi"/>
        </w:rPr>
        <w:t xml:space="preserve">The most common occupation in disability services </w:t>
      </w:r>
      <w:r>
        <w:rPr>
          <w:rFonts w:cstheme="minorHAnsi"/>
        </w:rPr>
        <w:t>wa</w:t>
      </w:r>
      <w:r w:rsidRPr="00AB33E3">
        <w:rPr>
          <w:rFonts w:cstheme="minorHAnsi"/>
        </w:rPr>
        <w:t>s the disability support</w:t>
      </w:r>
      <w:r>
        <w:rPr>
          <w:rFonts w:cstheme="minorHAnsi"/>
        </w:rPr>
        <w:t>/</w:t>
      </w:r>
      <w:r w:rsidRPr="00AB33E3">
        <w:rPr>
          <w:rFonts w:cstheme="minorHAnsi"/>
        </w:rPr>
        <w:t>residential support worker role, which account</w:t>
      </w:r>
      <w:r>
        <w:rPr>
          <w:rFonts w:cstheme="minorHAnsi"/>
        </w:rPr>
        <w:t>ed</w:t>
      </w:r>
      <w:r w:rsidRPr="00AB33E3">
        <w:rPr>
          <w:rFonts w:cstheme="minorHAnsi"/>
        </w:rPr>
        <w:t xml:space="preserve"> for 48 </w:t>
      </w:r>
      <w:r>
        <w:rPr>
          <w:rFonts w:cstheme="minorHAnsi"/>
        </w:rPr>
        <w:t xml:space="preserve">per cent </w:t>
      </w:r>
      <w:r w:rsidRPr="00AB33E3">
        <w:rPr>
          <w:rFonts w:cstheme="minorHAnsi"/>
        </w:rPr>
        <w:t>of the employees</w:t>
      </w:r>
      <w:r>
        <w:rPr>
          <w:rFonts w:cstheme="minorHAnsi"/>
        </w:rPr>
        <w:t xml:space="preserve"> among those outlets that </w:t>
      </w:r>
      <w:r w:rsidRPr="00AB33E3">
        <w:rPr>
          <w:rFonts w:cstheme="minorHAnsi"/>
        </w:rPr>
        <w:t xml:space="preserve">responded to </w:t>
      </w:r>
      <w:r>
        <w:rPr>
          <w:rFonts w:cstheme="minorHAnsi"/>
        </w:rPr>
        <w:t>this</w:t>
      </w:r>
      <w:r w:rsidRPr="00AB33E3">
        <w:rPr>
          <w:rFonts w:cstheme="minorHAnsi"/>
        </w:rPr>
        <w:t xml:space="preserve"> survey. A further 19 per cent of</w:t>
      </w:r>
      <w:r>
        <w:rPr>
          <w:rFonts w:cstheme="minorHAnsi"/>
        </w:rPr>
        <w:t xml:space="preserve"> the</w:t>
      </w:r>
      <w:r w:rsidRPr="00AB33E3">
        <w:rPr>
          <w:rFonts w:cstheme="minorHAnsi"/>
        </w:rPr>
        <w:t xml:space="preserve"> </w:t>
      </w:r>
      <w:r>
        <w:rPr>
          <w:rFonts w:cstheme="minorHAnsi"/>
        </w:rPr>
        <w:t xml:space="preserve">direct care workforce </w:t>
      </w:r>
      <w:r w:rsidR="000C3EA3">
        <w:rPr>
          <w:rFonts w:cstheme="minorHAnsi"/>
        </w:rPr>
        <w:t xml:space="preserve">was </w:t>
      </w:r>
      <w:r w:rsidRPr="00AB33E3">
        <w:rPr>
          <w:rFonts w:cstheme="minorHAnsi"/>
        </w:rPr>
        <w:t>personal care/home care workers. Thus two thirds (67</w:t>
      </w:r>
      <w:r>
        <w:rPr>
          <w:rFonts w:cstheme="minorHAnsi"/>
        </w:rPr>
        <w:t xml:space="preserve"> per cent</w:t>
      </w:r>
      <w:r w:rsidRPr="00AB33E3">
        <w:rPr>
          <w:rFonts w:cstheme="minorHAnsi"/>
        </w:rPr>
        <w:t>) of the direct care workforce provide</w:t>
      </w:r>
      <w:r>
        <w:rPr>
          <w:rFonts w:cstheme="minorHAnsi"/>
        </w:rPr>
        <w:t>d</w:t>
      </w:r>
      <w:r w:rsidRPr="00AB33E3">
        <w:rPr>
          <w:rFonts w:cstheme="minorHAnsi"/>
        </w:rPr>
        <w:t xml:space="preserve"> direct hands on care and ha</w:t>
      </w:r>
      <w:r>
        <w:rPr>
          <w:rFonts w:cstheme="minorHAnsi"/>
        </w:rPr>
        <w:t>d</w:t>
      </w:r>
      <w:r w:rsidRPr="00AB33E3">
        <w:rPr>
          <w:rFonts w:cstheme="minorHAnsi"/>
        </w:rPr>
        <w:t xml:space="preserve"> only modest formal education requirements. A Certificate III in </w:t>
      </w:r>
      <w:r>
        <w:rPr>
          <w:rFonts w:cstheme="minorHAnsi"/>
        </w:rPr>
        <w:t>d</w:t>
      </w:r>
      <w:r w:rsidRPr="00AB33E3">
        <w:rPr>
          <w:rFonts w:cstheme="minorHAnsi"/>
        </w:rPr>
        <w:t xml:space="preserve">isability </w:t>
      </w:r>
      <w:r>
        <w:rPr>
          <w:rFonts w:cstheme="minorHAnsi"/>
        </w:rPr>
        <w:t>c</w:t>
      </w:r>
      <w:r w:rsidRPr="00AB33E3">
        <w:rPr>
          <w:rFonts w:cstheme="minorHAnsi"/>
        </w:rPr>
        <w:t>are can be obtained with</w:t>
      </w:r>
      <w:r>
        <w:rPr>
          <w:rFonts w:cstheme="minorHAnsi"/>
        </w:rPr>
        <w:t>in</w:t>
      </w:r>
      <w:r w:rsidRPr="00AB33E3">
        <w:rPr>
          <w:rFonts w:cstheme="minorHAnsi"/>
        </w:rPr>
        <w:t xml:space="preserve"> </w:t>
      </w:r>
      <w:r>
        <w:rPr>
          <w:rFonts w:cstheme="minorHAnsi"/>
        </w:rPr>
        <w:t>six</w:t>
      </w:r>
      <w:r w:rsidRPr="00AB33E3">
        <w:rPr>
          <w:rFonts w:cstheme="minorHAnsi"/>
        </w:rPr>
        <w:t xml:space="preserve"> months o</w:t>
      </w:r>
      <w:r>
        <w:rPr>
          <w:rFonts w:cstheme="minorHAnsi"/>
        </w:rPr>
        <w:t>f</w:t>
      </w:r>
      <w:r w:rsidRPr="00AB33E3">
        <w:rPr>
          <w:rFonts w:cstheme="minorHAnsi"/>
        </w:rPr>
        <w:t xml:space="preserve"> fulltime study and a Certificate IV takes 12 months</w:t>
      </w:r>
      <w:r>
        <w:rPr>
          <w:rFonts w:cstheme="minorHAnsi"/>
        </w:rPr>
        <w:t>. In some instances the duration may be shorter, especially where relevant prior learning is recognised</w:t>
      </w:r>
      <w:r w:rsidRPr="00AB33E3">
        <w:rPr>
          <w:rFonts w:cstheme="minorHAnsi"/>
        </w:rPr>
        <w:t>. Many people in these jobs d</w:t>
      </w:r>
      <w:r>
        <w:rPr>
          <w:rFonts w:cstheme="minorHAnsi"/>
        </w:rPr>
        <w:t>id</w:t>
      </w:r>
      <w:r w:rsidRPr="00AB33E3">
        <w:rPr>
          <w:rFonts w:cstheme="minorHAnsi"/>
        </w:rPr>
        <w:t xml:space="preserve"> not have a formal qualification in disability care.</w:t>
      </w:r>
    </w:p>
    <w:p w:rsidR="003A37B0" w:rsidRPr="00AB33E3" w:rsidRDefault="003A37B0" w:rsidP="00AE4C3A">
      <w:pPr>
        <w:rPr>
          <w:rFonts w:cstheme="minorHAnsi"/>
        </w:rPr>
      </w:pPr>
    </w:p>
    <w:p w:rsidR="00685BE5" w:rsidRDefault="00685BE5">
      <w:pPr>
        <w:rPr>
          <w:b/>
          <w:sz w:val="20"/>
        </w:rPr>
      </w:pPr>
      <w:r w:rsidRPr="00AB33E3">
        <w:rPr>
          <w:rFonts w:cstheme="minorHAnsi"/>
        </w:rPr>
        <w:t>This is a female domina</w:t>
      </w:r>
      <w:r>
        <w:rPr>
          <w:rFonts w:cstheme="minorHAnsi"/>
        </w:rPr>
        <w:t>ted</w:t>
      </w:r>
      <w:r w:rsidRPr="00AB33E3">
        <w:rPr>
          <w:rFonts w:cstheme="minorHAnsi"/>
        </w:rPr>
        <w:t xml:space="preserve"> industry: three quarters of all employees </w:t>
      </w:r>
      <w:r>
        <w:rPr>
          <w:rFonts w:cstheme="minorHAnsi"/>
        </w:rPr>
        <w:t>we</w:t>
      </w:r>
      <w:r w:rsidRPr="00AB33E3">
        <w:rPr>
          <w:rFonts w:cstheme="minorHAnsi"/>
        </w:rPr>
        <w:t>re female</w:t>
      </w:r>
      <w:r>
        <w:rPr>
          <w:rFonts w:cstheme="minorHAnsi"/>
        </w:rPr>
        <w:t xml:space="preserve"> </w:t>
      </w:r>
      <w:r w:rsidRPr="00AB33E3">
        <w:rPr>
          <w:rFonts w:cstheme="minorHAnsi"/>
        </w:rPr>
        <w:t>and females also form</w:t>
      </w:r>
      <w:r>
        <w:rPr>
          <w:rFonts w:cstheme="minorHAnsi"/>
        </w:rPr>
        <w:t>ed</w:t>
      </w:r>
      <w:r w:rsidRPr="00AB33E3">
        <w:rPr>
          <w:rFonts w:cstheme="minorHAnsi"/>
        </w:rPr>
        <w:t xml:space="preserve"> the majority for all occupation types. Variation according to gender </w:t>
      </w:r>
      <w:r w:rsidR="00FB089D" w:rsidRPr="00AB33E3">
        <w:rPr>
          <w:rFonts w:cstheme="minorHAnsi"/>
        </w:rPr>
        <w:t>occur</w:t>
      </w:r>
      <w:r w:rsidR="00FB089D">
        <w:rPr>
          <w:rFonts w:cstheme="minorHAnsi"/>
        </w:rPr>
        <w:t>red</w:t>
      </w:r>
      <w:r w:rsidRPr="00AB33E3">
        <w:rPr>
          <w:rFonts w:cstheme="minorHAnsi"/>
        </w:rPr>
        <w:t>, however, across occupations</w:t>
      </w:r>
      <w:r>
        <w:rPr>
          <w:rFonts w:cstheme="minorHAnsi"/>
        </w:rPr>
        <w:t>.</w:t>
      </w:r>
      <w:r w:rsidRPr="00AB33E3">
        <w:rPr>
          <w:rFonts w:cstheme="minorHAnsi"/>
        </w:rPr>
        <w:t xml:space="preserve"> </w:t>
      </w:r>
      <w:r>
        <w:rPr>
          <w:rFonts w:cstheme="minorHAnsi"/>
        </w:rPr>
        <w:t>T</w:t>
      </w:r>
      <w:r w:rsidRPr="00AB33E3">
        <w:rPr>
          <w:rFonts w:cstheme="minorHAnsi"/>
        </w:rPr>
        <w:t xml:space="preserve">he highest share of females </w:t>
      </w:r>
      <w:r>
        <w:rPr>
          <w:rFonts w:cstheme="minorHAnsi"/>
        </w:rPr>
        <w:t>was</w:t>
      </w:r>
      <w:r w:rsidRPr="00AB33E3">
        <w:rPr>
          <w:rFonts w:cstheme="minorHAnsi"/>
        </w:rPr>
        <w:t xml:space="preserve"> found in </w:t>
      </w:r>
      <w:r>
        <w:rPr>
          <w:rFonts w:cstheme="minorHAnsi"/>
        </w:rPr>
        <w:t>a</w:t>
      </w:r>
      <w:r w:rsidRPr="00AB33E3">
        <w:rPr>
          <w:rFonts w:cstheme="minorHAnsi"/>
        </w:rPr>
        <w:t>llied health roles (</w:t>
      </w:r>
      <w:r>
        <w:rPr>
          <w:rFonts w:cstheme="minorHAnsi"/>
        </w:rPr>
        <w:t>89 per cent</w:t>
      </w:r>
      <w:r w:rsidRPr="00AB33E3">
        <w:rPr>
          <w:rFonts w:cstheme="minorHAnsi"/>
        </w:rPr>
        <w:t>)</w:t>
      </w:r>
      <w:r>
        <w:rPr>
          <w:rFonts w:cstheme="minorHAnsi"/>
        </w:rPr>
        <w:t>. Significantly,</w:t>
      </w:r>
      <w:r w:rsidRPr="00AB33E3">
        <w:rPr>
          <w:rFonts w:cstheme="minorHAnsi"/>
        </w:rPr>
        <w:t xml:space="preserve"> males </w:t>
      </w:r>
      <w:r>
        <w:rPr>
          <w:rFonts w:cstheme="minorHAnsi"/>
        </w:rPr>
        <w:t>comprised 30 per cent of the largest occupation group -</w:t>
      </w:r>
      <w:r w:rsidRPr="00AB33E3">
        <w:rPr>
          <w:rFonts w:cstheme="minorHAnsi"/>
        </w:rPr>
        <w:t xml:space="preserve"> disability support</w:t>
      </w:r>
      <w:r>
        <w:rPr>
          <w:rFonts w:cstheme="minorHAnsi"/>
        </w:rPr>
        <w:t>/</w:t>
      </w:r>
      <w:r w:rsidRPr="00AB33E3">
        <w:rPr>
          <w:rFonts w:cstheme="minorHAnsi"/>
        </w:rPr>
        <w:t>residential support worker</w:t>
      </w:r>
      <w:r>
        <w:rPr>
          <w:rFonts w:cstheme="minorHAnsi"/>
        </w:rPr>
        <w:t>s</w:t>
      </w:r>
      <w:r w:rsidRPr="00AB33E3">
        <w:rPr>
          <w:rFonts w:cstheme="minorHAnsi"/>
        </w:rPr>
        <w:t>.</w:t>
      </w:r>
      <w:bookmarkStart w:id="563" w:name="_Toc425425092"/>
      <w:r>
        <w:br w:type="page"/>
      </w:r>
    </w:p>
    <w:p w:rsidR="00685BE5" w:rsidRPr="00AB33E3" w:rsidRDefault="00685BE5" w:rsidP="0044684E">
      <w:pPr>
        <w:pStyle w:val="NILSTableHeading"/>
        <w:rPr>
          <w:rFonts w:cstheme="minorHAnsi"/>
        </w:rPr>
      </w:pPr>
      <w:bookmarkStart w:id="564" w:name="_Toc428279223"/>
      <w:bookmarkStart w:id="565" w:name="_Toc449955354"/>
      <w:r>
        <w:lastRenderedPageBreak/>
        <w:t>Table 4.18</w:t>
      </w:r>
      <w:r w:rsidRPr="00AB33E3">
        <w:t>:</w:t>
      </w:r>
      <w:r>
        <w:t xml:space="preserve"> </w:t>
      </w:r>
      <w:r w:rsidRPr="00AB33E3">
        <w:t>Composition of outlets’ total workforce by occupation and gender</w:t>
      </w:r>
      <w:bookmarkEnd w:id="563"/>
      <w:r w:rsidRPr="00AB33E3">
        <w:t xml:space="preserve">: number employed and per cent </w:t>
      </w:r>
      <w:r>
        <w:t>for each</w:t>
      </w:r>
      <w:r w:rsidRPr="00AB33E3">
        <w:t xml:space="preserve"> occupation</w:t>
      </w:r>
      <w:bookmarkEnd w:id="564"/>
      <w:bookmarkEnd w:id="565"/>
    </w:p>
    <w:tbl>
      <w:tblPr>
        <w:tblW w:w="8926" w:type="dxa"/>
        <w:tblInd w:w="-34" w:type="dxa"/>
        <w:tblLayout w:type="fixed"/>
        <w:tblLook w:val="0000" w:firstRow="0" w:lastRow="0" w:firstColumn="0" w:lastColumn="0" w:noHBand="0" w:noVBand="0"/>
        <w:tblCaption w:val="Table 4.18 Composition of outlets’ total workforce by occupation and gender: number employed and per cent for each occupation"/>
      </w:tblPr>
      <w:tblGrid>
        <w:gridCol w:w="5383"/>
        <w:gridCol w:w="1181"/>
        <w:gridCol w:w="1257"/>
        <w:gridCol w:w="1105"/>
      </w:tblGrid>
      <w:tr w:rsidR="00685BE5" w:rsidRPr="004A64D2" w:rsidTr="00BB00C8">
        <w:trPr>
          <w:cantSplit/>
          <w:tblHeader/>
        </w:trPr>
        <w:tc>
          <w:tcPr>
            <w:tcW w:w="5383" w:type="dxa"/>
            <w:tcBorders>
              <w:top w:val="single" w:sz="4" w:space="0" w:color="auto"/>
              <w:bottom w:val="single" w:sz="4" w:space="0" w:color="auto"/>
            </w:tcBorders>
            <w:vAlign w:val="center"/>
          </w:tcPr>
          <w:p w:rsidR="00685BE5" w:rsidRPr="00BB00C8" w:rsidRDefault="00685BE5" w:rsidP="00AE4C3A">
            <w:pPr>
              <w:spacing w:before="20" w:after="20"/>
              <w:rPr>
                <w:rFonts w:cstheme="minorHAnsi"/>
                <w:sz w:val="20"/>
                <w:szCs w:val="20"/>
              </w:rPr>
            </w:pPr>
            <w:bookmarkStart w:id="566" w:name="Title_4_18"/>
            <w:bookmarkEnd w:id="566"/>
            <w:r w:rsidRPr="00BB00C8">
              <w:rPr>
                <w:rFonts w:cstheme="minorHAnsi"/>
                <w:sz w:val="20"/>
                <w:szCs w:val="20"/>
              </w:rPr>
              <w:t>Occupation</w:t>
            </w:r>
          </w:p>
        </w:tc>
        <w:tc>
          <w:tcPr>
            <w:tcW w:w="1181" w:type="dxa"/>
            <w:tcBorders>
              <w:top w:val="single" w:sz="4" w:space="0" w:color="auto"/>
              <w:bottom w:val="single" w:sz="4" w:space="0" w:color="auto"/>
            </w:tcBorders>
            <w:vAlign w:val="center"/>
          </w:tcPr>
          <w:p w:rsidR="00685BE5" w:rsidRPr="00BB00C8" w:rsidRDefault="00685BE5" w:rsidP="00AE4C3A">
            <w:pPr>
              <w:spacing w:before="20" w:after="20"/>
              <w:jc w:val="center"/>
              <w:rPr>
                <w:rFonts w:cstheme="minorHAnsi"/>
                <w:sz w:val="20"/>
                <w:szCs w:val="20"/>
              </w:rPr>
            </w:pPr>
            <w:r w:rsidRPr="00BB00C8">
              <w:rPr>
                <w:rFonts w:cstheme="minorHAnsi"/>
                <w:sz w:val="20"/>
                <w:szCs w:val="20"/>
              </w:rPr>
              <w:t>Males</w:t>
            </w:r>
          </w:p>
        </w:tc>
        <w:tc>
          <w:tcPr>
            <w:tcW w:w="1257" w:type="dxa"/>
            <w:tcBorders>
              <w:top w:val="single" w:sz="4" w:space="0" w:color="auto"/>
              <w:bottom w:val="single" w:sz="4" w:space="0" w:color="auto"/>
            </w:tcBorders>
            <w:vAlign w:val="center"/>
          </w:tcPr>
          <w:p w:rsidR="00685BE5" w:rsidRPr="00BB00C8" w:rsidRDefault="00685BE5" w:rsidP="00AE4C3A">
            <w:pPr>
              <w:spacing w:before="20" w:after="20"/>
              <w:jc w:val="center"/>
              <w:rPr>
                <w:rFonts w:cstheme="minorHAnsi"/>
                <w:sz w:val="20"/>
                <w:szCs w:val="20"/>
              </w:rPr>
            </w:pPr>
            <w:r w:rsidRPr="00BB00C8">
              <w:rPr>
                <w:rFonts w:cstheme="minorHAnsi"/>
                <w:sz w:val="20"/>
                <w:szCs w:val="20"/>
              </w:rPr>
              <w:t>Females</w:t>
            </w:r>
          </w:p>
        </w:tc>
        <w:tc>
          <w:tcPr>
            <w:tcW w:w="1105" w:type="dxa"/>
            <w:tcBorders>
              <w:top w:val="single" w:sz="4" w:space="0" w:color="auto"/>
              <w:bottom w:val="single" w:sz="4" w:space="0" w:color="auto"/>
            </w:tcBorders>
            <w:vAlign w:val="center"/>
          </w:tcPr>
          <w:p w:rsidR="00685BE5" w:rsidRPr="00AE6806" w:rsidRDefault="00685BE5" w:rsidP="00AE4C3A">
            <w:pPr>
              <w:spacing w:before="20" w:after="20"/>
              <w:jc w:val="center"/>
              <w:rPr>
                <w:rFonts w:cstheme="minorHAnsi"/>
                <w:b/>
                <w:sz w:val="20"/>
                <w:szCs w:val="20"/>
              </w:rPr>
            </w:pPr>
            <w:r w:rsidRPr="00AE6806">
              <w:rPr>
                <w:rFonts w:cstheme="minorHAnsi"/>
                <w:b/>
                <w:sz w:val="20"/>
                <w:szCs w:val="20"/>
              </w:rPr>
              <w:t>Total</w:t>
            </w:r>
          </w:p>
        </w:tc>
      </w:tr>
      <w:tr w:rsidR="00685BE5" w:rsidRPr="00B90E88" w:rsidTr="00AE4C3A">
        <w:tc>
          <w:tcPr>
            <w:tcW w:w="5383" w:type="dxa"/>
            <w:tcBorders>
              <w:top w:val="single" w:sz="4" w:space="0" w:color="auto"/>
            </w:tcBorders>
            <w:vAlign w:val="center"/>
          </w:tcPr>
          <w:p w:rsidR="00685BE5" w:rsidRPr="00BB00C8" w:rsidRDefault="00685BE5" w:rsidP="00AE4C3A">
            <w:pPr>
              <w:spacing w:before="20" w:after="20"/>
              <w:rPr>
                <w:rFonts w:cstheme="minorHAnsi"/>
                <w:sz w:val="20"/>
                <w:szCs w:val="20"/>
              </w:rPr>
            </w:pPr>
            <w:r w:rsidRPr="00BB00C8">
              <w:rPr>
                <w:rFonts w:cstheme="minorHAnsi"/>
                <w:sz w:val="20"/>
                <w:szCs w:val="20"/>
              </w:rPr>
              <w:t>Disability support/residential support worker</w:t>
            </w:r>
          </w:p>
        </w:tc>
        <w:tc>
          <w:tcPr>
            <w:tcW w:w="1181" w:type="dxa"/>
            <w:tcBorders>
              <w:top w:val="single" w:sz="4" w:space="0" w:color="auto"/>
            </w:tcBorders>
            <w:vAlign w:val="center"/>
          </w:tcPr>
          <w:p w:rsidR="00685BE5" w:rsidRPr="00BB00C8" w:rsidRDefault="00685BE5" w:rsidP="00AE4C3A">
            <w:pPr>
              <w:spacing w:before="20" w:after="20"/>
              <w:ind w:right="145"/>
              <w:jc w:val="right"/>
              <w:rPr>
                <w:rFonts w:cstheme="minorHAnsi"/>
                <w:sz w:val="20"/>
                <w:szCs w:val="20"/>
              </w:rPr>
            </w:pPr>
            <w:r w:rsidRPr="00BB00C8">
              <w:rPr>
                <w:rFonts w:cstheme="minorHAnsi"/>
                <w:sz w:val="20"/>
                <w:szCs w:val="20"/>
              </w:rPr>
              <w:t>5,070</w:t>
            </w:r>
          </w:p>
        </w:tc>
        <w:tc>
          <w:tcPr>
            <w:tcW w:w="1257" w:type="dxa"/>
            <w:tcBorders>
              <w:top w:val="single" w:sz="4" w:space="0" w:color="auto"/>
            </w:tcBorders>
            <w:vAlign w:val="center"/>
          </w:tcPr>
          <w:p w:rsidR="00685BE5" w:rsidRPr="00BB00C8" w:rsidRDefault="00685BE5" w:rsidP="00AE4C3A">
            <w:pPr>
              <w:spacing w:before="20" w:after="20"/>
              <w:ind w:right="145"/>
              <w:jc w:val="right"/>
              <w:rPr>
                <w:rFonts w:cstheme="minorHAnsi"/>
                <w:sz w:val="20"/>
                <w:szCs w:val="20"/>
              </w:rPr>
            </w:pPr>
            <w:r w:rsidRPr="00BB00C8">
              <w:rPr>
                <w:rFonts w:cstheme="minorHAnsi"/>
                <w:sz w:val="20"/>
                <w:szCs w:val="20"/>
              </w:rPr>
              <w:t>12,051</w:t>
            </w:r>
          </w:p>
        </w:tc>
        <w:tc>
          <w:tcPr>
            <w:tcW w:w="1105" w:type="dxa"/>
            <w:tcBorders>
              <w:top w:val="single" w:sz="4" w:space="0" w:color="auto"/>
            </w:tcBorders>
            <w:vAlign w:val="bottom"/>
          </w:tcPr>
          <w:p w:rsidR="00685BE5" w:rsidRPr="00BB00C8" w:rsidRDefault="00685BE5" w:rsidP="00AE4C3A">
            <w:pPr>
              <w:spacing w:before="20" w:after="20"/>
              <w:ind w:right="145"/>
              <w:jc w:val="right"/>
              <w:rPr>
                <w:rFonts w:cstheme="minorHAnsi"/>
                <w:b/>
                <w:sz w:val="20"/>
                <w:szCs w:val="20"/>
              </w:rPr>
            </w:pPr>
            <w:r w:rsidRPr="00BB00C8">
              <w:rPr>
                <w:rFonts w:cstheme="minorHAnsi"/>
                <w:b/>
                <w:sz w:val="20"/>
                <w:szCs w:val="20"/>
              </w:rPr>
              <w:t>17,121</w:t>
            </w:r>
          </w:p>
        </w:tc>
      </w:tr>
      <w:tr w:rsidR="00685BE5" w:rsidRPr="00B90E88" w:rsidTr="00AE4C3A">
        <w:tc>
          <w:tcPr>
            <w:tcW w:w="5383" w:type="dxa"/>
            <w:vAlign w:val="center"/>
          </w:tcPr>
          <w:p w:rsidR="00685BE5" w:rsidRPr="00BB00C8" w:rsidRDefault="00BB00C8" w:rsidP="00AE4C3A">
            <w:pPr>
              <w:spacing w:before="20" w:after="20"/>
              <w:rPr>
                <w:rFonts w:cstheme="minorHAnsi"/>
                <w:sz w:val="20"/>
                <w:szCs w:val="20"/>
              </w:rPr>
            </w:pPr>
            <w:r w:rsidRPr="00BB00C8">
              <w:rPr>
                <w:rFonts w:cstheme="minorHAnsi"/>
                <w:color w:val="FFFFFF" w:themeColor="background1"/>
                <w:sz w:val="20"/>
                <w:szCs w:val="20"/>
              </w:rPr>
              <w:t>Disability support/residential support worker</w:t>
            </w:r>
            <w:r>
              <w:rPr>
                <w:rFonts w:cstheme="minorHAnsi"/>
                <w:color w:val="FFFFFF" w:themeColor="background1"/>
                <w:sz w:val="20"/>
                <w:szCs w:val="20"/>
              </w:rPr>
              <w:t xml:space="preserve"> percent</w:t>
            </w:r>
          </w:p>
        </w:tc>
        <w:tc>
          <w:tcPr>
            <w:tcW w:w="1181" w:type="dxa"/>
            <w:vAlign w:val="bottom"/>
          </w:tcPr>
          <w:p w:rsidR="00685BE5" w:rsidRPr="00BB00C8" w:rsidRDefault="00685BE5" w:rsidP="00195459">
            <w:pPr>
              <w:spacing w:before="20" w:after="20"/>
              <w:ind w:right="145"/>
              <w:jc w:val="right"/>
              <w:rPr>
                <w:rFonts w:ascii="Calibri" w:hAnsi="Calibri" w:cs="Calibri"/>
                <w:color w:val="000000"/>
                <w:sz w:val="20"/>
                <w:szCs w:val="20"/>
              </w:rPr>
            </w:pPr>
            <w:r w:rsidRPr="00BB00C8">
              <w:rPr>
                <w:rFonts w:ascii="Calibri" w:hAnsi="Calibri" w:cs="Calibri"/>
                <w:color w:val="000000"/>
                <w:sz w:val="20"/>
                <w:szCs w:val="20"/>
              </w:rPr>
              <w:t>56.9</w:t>
            </w:r>
            <w:r w:rsidR="000A3623">
              <w:rPr>
                <w:rFonts w:ascii="Calibri" w:hAnsi="Calibri" w:cs="Calibri"/>
                <w:color w:val="000000"/>
                <w:sz w:val="20"/>
                <w:szCs w:val="20"/>
              </w:rPr>
              <w:t>%</w:t>
            </w:r>
          </w:p>
        </w:tc>
        <w:tc>
          <w:tcPr>
            <w:tcW w:w="1257" w:type="dxa"/>
            <w:vAlign w:val="bottom"/>
          </w:tcPr>
          <w:p w:rsidR="00685BE5" w:rsidRPr="00BB00C8" w:rsidRDefault="00685BE5" w:rsidP="00BB00C8">
            <w:pPr>
              <w:spacing w:before="20" w:after="20"/>
              <w:ind w:right="145"/>
              <w:jc w:val="right"/>
              <w:rPr>
                <w:rFonts w:ascii="Calibri" w:hAnsi="Calibri" w:cs="Calibri"/>
                <w:color w:val="000000"/>
                <w:sz w:val="20"/>
                <w:szCs w:val="20"/>
              </w:rPr>
            </w:pPr>
            <w:r w:rsidRPr="00BB00C8">
              <w:rPr>
                <w:rFonts w:ascii="Calibri" w:hAnsi="Calibri" w:cs="Calibri"/>
                <w:color w:val="000000"/>
                <w:sz w:val="20"/>
                <w:szCs w:val="20"/>
              </w:rPr>
              <w:t>45.1</w:t>
            </w:r>
            <w:r w:rsidR="000A3623">
              <w:rPr>
                <w:rFonts w:ascii="Calibri" w:hAnsi="Calibri" w:cs="Calibri"/>
                <w:color w:val="000000"/>
                <w:sz w:val="20"/>
                <w:szCs w:val="20"/>
              </w:rPr>
              <w:t>%</w:t>
            </w:r>
          </w:p>
        </w:tc>
        <w:tc>
          <w:tcPr>
            <w:tcW w:w="1105" w:type="dxa"/>
            <w:vAlign w:val="bottom"/>
          </w:tcPr>
          <w:p w:rsidR="00685BE5" w:rsidRPr="00BB00C8" w:rsidRDefault="00685BE5" w:rsidP="00BB00C8">
            <w:pPr>
              <w:spacing w:before="20" w:after="20"/>
              <w:ind w:right="145"/>
              <w:jc w:val="right"/>
              <w:rPr>
                <w:rFonts w:ascii="Calibri" w:hAnsi="Calibri" w:cs="Calibri"/>
                <w:b/>
                <w:color w:val="000000"/>
                <w:sz w:val="20"/>
                <w:szCs w:val="20"/>
              </w:rPr>
            </w:pPr>
            <w:r w:rsidRPr="00BB00C8">
              <w:rPr>
                <w:rFonts w:ascii="Calibri" w:hAnsi="Calibri" w:cs="Calibri"/>
                <w:b/>
                <w:color w:val="000000"/>
                <w:sz w:val="20"/>
                <w:szCs w:val="20"/>
              </w:rPr>
              <w:t>48.0</w:t>
            </w:r>
            <w:r w:rsidR="000A3623">
              <w:rPr>
                <w:rFonts w:ascii="Calibri" w:hAnsi="Calibri" w:cs="Calibri"/>
                <w:b/>
                <w:color w:val="000000"/>
                <w:sz w:val="20"/>
                <w:szCs w:val="20"/>
              </w:rPr>
              <w:t>%</w:t>
            </w:r>
          </w:p>
        </w:tc>
      </w:tr>
      <w:tr w:rsidR="00685BE5" w:rsidRPr="00B90E88" w:rsidTr="00AE4C3A">
        <w:tc>
          <w:tcPr>
            <w:tcW w:w="5383" w:type="dxa"/>
            <w:vAlign w:val="center"/>
          </w:tcPr>
          <w:p w:rsidR="00685BE5" w:rsidRPr="00BB00C8" w:rsidRDefault="00685BE5" w:rsidP="00AE4C3A">
            <w:pPr>
              <w:spacing w:before="20" w:after="20"/>
              <w:rPr>
                <w:rFonts w:cstheme="minorHAnsi"/>
                <w:sz w:val="20"/>
                <w:szCs w:val="20"/>
              </w:rPr>
            </w:pPr>
            <w:r w:rsidRPr="00BB00C8">
              <w:rPr>
                <w:rFonts w:cstheme="minorHAnsi"/>
                <w:sz w:val="20"/>
                <w:szCs w:val="20"/>
              </w:rPr>
              <w:t>Personal care/home care worker</w:t>
            </w:r>
          </w:p>
        </w:tc>
        <w:tc>
          <w:tcPr>
            <w:tcW w:w="1181" w:type="dxa"/>
            <w:vAlign w:val="center"/>
          </w:tcPr>
          <w:p w:rsidR="00685BE5" w:rsidRPr="00BB00C8" w:rsidRDefault="00685BE5" w:rsidP="00AE4C3A">
            <w:pPr>
              <w:spacing w:before="20" w:after="20"/>
              <w:ind w:right="145"/>
              <w:jc w:val="right"/>
              <w:rPr>
                <w:rFonts w:cstheme="minorHAnsi"/>
                <w:sz w:val="20"/>
                <w:szCs w:val="20"/>
              </w:rPr>
            </w:pPr>
            <w:r w:rsidRPr="00BB00C8">
              <w:rPr>
                <w:rFonts w:cstheme="minorHAnsi"/>
                <w:sz w:val="20"/>
                <w:szCs w:val="20"/>
              </w:rPr>
              <w:t>992</w:t>
            </w:r>
          </w:p>
        </w:tc>
        <w:tc>
          <w:tcPr>
            <w:tcW w:w="1257" w:type="dxa"/>
            <w:vAlign w:val="center"/>
          </w:tcPr>
          <w:p w:rsidR="00685BE5" w:rsidRPr="00BB00C8" w:rsidRDefault="00685BE5" w:rsidP="00AE4C3A">
            <w:pPr>
              <w:spacing w:before="20" w:after="20"/>
              <w:ind w:right="145"/>
              <w:jc w:val="right"/>
              <w:rPr>
                <w:rFonts w:cstheme="minorHAnsi"/>
                <w:sz w:val="20"/>
                <w:szCs w:val="20"/>
              </w:rPr>
            </w:pPr>
            <w:r w:rsidRPr="00BB00C8">
              <w:rPr>
                <w:rFonts w:cstheme="minorHAnsi"/>
                <w:sz w:val="20"/>
                <w:szCs w:val="20"/>
              </w:rPr>
              <w:t>5,610</w:t>
            </w:r>
          </w:p>
        </w:tc>
        <w:tc>
          <w:tcPr>
            <w:tcW w:w="1105" w:type="dxa"/>
            <w:vAlign w:val="bottom"/>
          </w:tcPr>
          <w:p w:rsidR="00685BE5" w:rsidRPr="00BB00C8" w:rsidRDefault="00685BE5" w:rsidP="00AE4C3A">
            <w:pPr>
              <w:spacing w:before="20" w:after="20"/>
              <w:ind w:right="145"/>
              <w:jc w:val="right"/>
              <w:rPr>
                <w:rFonts w:cstheme="minorHAnsi"/>
                <w:b/>
                <w:sz w:val="20"/>
                <w:szCs w:val="20"/>
              </w:rPr>
            </w:pPr>
            <w:r w:rsidRPr="00BB00C8">
              <w:rPr>
                <w:rFonts w:cstheme="minorHAnsi"/>
                <w:b/>
                <w:sz w:val="20"/>
                <w:szCs w:val="20"/>
              </w:rPr>
              <w:t>6,602</w:t>
            </w:r>
          </w:p>
        </w:tc>
      </w:tr>
      <w:tr w:rsidR="00685BE5" w:rsidRPr="00B90E88" w:rsidTr="00AE4C3A">
        <w:tc>
          <w:tcPr>
            <w:tcW w:w="5383" w:type="dxa"/>
            <w:vAlign w:val="center"/>
          </w:tcPr>
          <w:p w:rsidR="00685BE5" w:rsidRPr="00BB00C8" w:rsidRDefault="00BB00C8" w:rsidP="000A3623">
            <w:pPr>
              <w:spacing w:before="20" w:after="20"/>
              <w:rPr>
                <w:rFonts w:cstheme="minorHAnsi"/>
                <w:color w:val="FFFFFF" w:themeColor="background1"/>
                <w:sz w:val="20"/>
                <w:szCs w:val="20"/>
              </w:rPr>
            </w:pPr>
            <w:r w:rsidRPr="00BB00C8">
              <w:rPr>
                <w:rFonts w:cstheme="minorHAnsi"/>
                <w:color w:val="FFFFFF" w:themeColor="background1"/>
                <w:sz w:val="20"/>
                <w:szCs w:val="20"/>
              </w:rPr>
              <w:t>Personal care/home ca</w:t>
            </w:r>
            <w:r w:rsidRPr="000A3623">
              <w:rPr>
                <w:rFonts w:cstheme="minorHAnsi"/>
                <w:color w:val="FFFFFF" w:themeColor="background1"/>
                <w:sz w:val="20"/>
                <w:szCs w:val="20"/>
              </w:rPr>
              <w:t xml:space="preserve">re worker </w:t>
            </w:r>
          </w:p>
        </w:tc>
        <w:tc>
          <w:tcPr>
            <w:tcW w:w="1181" w:type="dxa"/>
            <w:vAlign w:val="bottom"/>
          </w:tcPr>
          <w:p w:rsidR="00685BE5" w:rsidRPr="00BB00C8" w:rsidRDefault="00685BE5" w:rsidP="00BB00C8">
            <w:pPr>
              <w:spacing w:before="20" w:after="20"/>
              <w:ind w:right="145"/>
              <w:jc w:val="right"/>
              <w:rPr>
                <w:rFonts w:ascii="Calibri" w:hAnsi="Calibri" w:cs="Calibri"/>
                <w:color w:val="000000"/>
                <w:sz w:val="20"/>
                <w:szCs w:val="20"/>
              </w:rPr>
            </w:pPr>
            <w:r w:rsidRPr="00BB00C8">
              <w:rPr>
                <w:rFonts w:ascii="Calibri" w:hAnsi="Calibri" w:cs="Calibri"/>
                <w:color w:val="000000"/>
                <w:sz w:val="20"/>
                <w:szCs w:val="20"/>
              </w:rPr>
              <w:t>11.1</w:t>
            </w:r>
            <w:r w:rsidR="000A3623">
              <w:rPr>
                <w:rFonts w:ascii="Calibri" w:hAnsi="Calibri" w:cs="Calibri"/>
                <w:color w:val="000000"/>
                <w:sz w:val="20"/>
                <w:szCs w:val="20"/>
              </w:rPr>
              <w:t>%</w:t>
            </w:r>
          </w:p>
        </w:tc>
        <w:tc>
          <w:tcPr>
            <w:tcW w:w="1257" w:type="dxa"/>
            <w:vAlign w:val="bottom"/>
          </w:tcPr>
          <w:p w:rsidR="00685BE5" w:rsidRPr="00BB00C8" w:rsidRDefault="00685BE5" w:rsidP="00BB00C8">
            <w:pPr>
              <w:spacing w:before="20" w:after="20"/>
              <w:ind w:right="145"/>
              <w:jc w:val="right"/>
              <w:rPr>
                <w:rFonts w:ascii="Calibri" w:hAnsi="Calibri" w:cs="Calibri"/>
                <w:color w:val="000000"/>
                <w:sz w:val="20"/>
                <w:szCs w:val="20"/>
              </w:rPr>
            </w:pPr>
            <w:r w:rsidRPr="00BB00C8">
              <w:rPr>
                <w:rFonts w:ascii="Calibri" w:hAnsi="Calibri" w:cs="Calibri"/>
                <w:color w:val="000000"/>
                <w:sz w:val="20"/>
                <w:szCs w:val="20"/>
              </w:rPr>
              <w:t>21.0</w:t>
            </w:r>
            <w:r w:rsidR="000A3623">
              <w:rPr>
                <w:rFonts w:ascii="Calibri" w:hAnsi="Calibri" w:cs="Calibri"/>
                <w:color w:val="000000"/>
                <w:sz w:val="20"/>
                <w:szCs w:val="20"/>
              </w:rPr>
              <w:t>%</w:t>
            </w:r>
          </w:p>
        </w:tc>
        <w:tc>
          <w:tcPr>
            <w:tcW w:w="1105" w:type="dxa"/>
            <w:vAlign w:val="bottom"/>
          </w:tcPr>
          <w:p w:rsidR="00685BE5" w:rsidRPr="00BB00C8" w:rsidRDefault="00685BE5" w:rsidP="00BB00C8">
            <w:pPr>
              <w:spacing w:before="20" w:after="20"/>
              <w:ind w:right="145"/>
              <w:jc w:val="right"/>
              <w:rPr>
                <w:rFonts w:ascii="Calibri" w:hAnsi="Calibri" w:cs="Calibri"/>
                <w:b/>
                <w:color w:val="000000"/>
                <w:sz w:val="20"/>
                <w:szCs w:val="20"/>
              </w:rPr>
            </w:pPr>
            <w:r w:rsidRPr="00BB00C8">
              <w:rPr>
                <w:rFonts w:ascii="Calibri" w:hAnsi="Calibri" w:cs="Calibri"/>
                <w:b/>
                <w:color w:val="000000"/>
                <w:sz w:val="20"/>
                <w:szCs w:val="20"/>
              </w:rPr>
              <w:t>18.5</w:t>
            </w:r>
            <w:r w:rsidR="000A3623">
              <w:rPr>
                <w:rFonts w:ascii="Calibri" w:hAnsi="Calibri" w:cs="Calibri"/>
                <w:b/>
                <w:color w:val="000000"/>
                <w:sz w:val="20"/>
                <w:szCs w:val="20"/>
              </w:rPr>
              <w:t>%</w:t>
            </w:r>
          </w:p>
        </w:tc>
      </w:tr>
      <w:tr w:rsidR="00685BE5" w:rsidRPr="00B90E88" w:rsidTr="00AE4C3A">
        <w:tc>
          <w:tcPr>
            <w:tcW w:w="5383" w:type="dxa"/>
            <w:vAlign w:val="center"/>
          </w:tcPr>
          <w:p w:rsidR="00685BE5" w:rsidRPr="00BB00C8" w:rsidRDefault="00685BE5" w:rsidP="00AE4C3A">
            <w:pPr>
              <w:spacing w:before="20" w:after="20"/>
              <w:rPr>
                <w:rFonts w:cstheme="minorHAnsi"/>
                <w:sz w:val="20"/>
                <w:szCs w:val="20"/>
              </w:rPr>
            </w:pPr>
            <w:r w:rsidRPr="00BB00C8">
              <w:rPr>
                <w:rFonts w:cstheme="minorHAnsi"/>
                <w:sz w:val="20"/>
                <w:szCs w:val="20"/>
              </w:rPr>
              <w:t>Service or program administrator/manager/coordinator</w:t>
            </w:r>
          </w:p>
        </w:tc>
        <w:tc>
          <w:tcPr>
            <w:tcW w:w="1181" w:type="dxa"/>
            <w:vAlign w:val="center"/>
          </w:tcPr>
          <w:p w:rsidR="00685BE5" w:rsidRPr="00BB00C8" w:rsidRDefault="00685BE5" w:rsidP="00AE4C3A">
            <w:pPr>
              <w:spacing w:before="20" w:after="20"/>
              <w:ind w:right="145"/>
              <w:jc w:val="right"/>
              <w:rPr>
                <w:rFonts w:cstheme="minorHAnsi"/>
                <w:sz w:val="20"/>
                <w:szCs w:val="20"/>
              </w:rPr>
            </w:pPr>
            <w:r w:rsidRPr="00BB00C8">
              <w:rPr>
                <w:rFonts w:cstheme="minorHAnsi"/>
                <w:sz w:val="20"/>
                <w:szCs w:val="20"/>
              </w:rPr>
              <w:t>567</w:t>
            </w:r>
          </w:p>
        </w:tc>
        <w:tc>
          <w:tcPr>
            <w:tcW w:w="1257" w:type="dxa"/>
            <w:vAlign w:val="center"/>
          </w:tcPr>
          <w:p w:rsidR="00685BE5" w:rsidRPr="00BB00C8" w:rsidRDefault="00685BE5" w:rsidP="00AE4C3A">
            <w:pPr>
              <w:spacing w:before="20" w:after="20"/>
              <w:ind w:right="145"/>
              <w:jc w:val="right"/>
              <w:rPr>
                <w:rFonts w:cstheme="minorHAnsi"/>
                <w:sz w:val="20"/>
                <w:szCs w:val="20"/>
              </w:rPr>
            </w:pPr>
            <w:r w:rsidRPr="00BB00C8">
              <w:rPr>
                <w:rFonts w:cstheme="minorHAnsi"/>
                <w:sz w:val="20"/>
                <w:szCs w:val="20"/>
              </w:rPr>
              <w:t>2,136</w:t>
            </w:r>
          </w:p>
        </w:tc>
        <w:tc>
          <w:tcPr>
            <w:tcW w:w="1105" w:type="dxa"/>
            <w:vAlign w:val="bottom"/>
          </w:tcPr>
          <w:p w:rsidR="00685BE5" w:rsidRPr="00BB00C8" w:rsidRDefault="00685BE5" w:rsidP="00AE4C3A">
            <w:pPr>
              <w:spacing w:before="20" w:after="20"/>
              <w:ind w:right="145"/>
              <w:jc w:val="right"/>
              <w:rPr>
                <w:rFonts w:cstheme="minorHAnsi"/>
                <w:b/>
                <w:sz w:val="20"/>
                <w:szCs w:val="20"/>
              </w:rPr>
            </w:pPr>
            <w:r w:rsidRPr="00BB00C8">
              <w:rPr>
                <w:rFonts w:cstheme="minorHAnsi"/>
                <w:b/>
                <w:sz w:val="20"/>
                <w:szCs w:val="20"/>
              </w:rPr>
              <w:t>2,703</w:t>
            </w:r>
          </w:p>
        </w:tc>
      </w:tr>
      <w:tr w:rsidR="00685BE5" w:rsidRPr="00B90E88" w:rsidTr="00AE4C3A">
        <w:tc>
          <w:tcPr>
            <w:tcW w:w="5383" w:type="dxa"/>
            <w:vAlign w:val="center"/>
          </w:tcPr>
          <w:p w:rsidR="00685BE5" w:rsidRPr="000A3623" w:rsidRDefault="00BB00C8" w:rsidP="000A3623">
            <w:pPr>
              <w:spacing w:before="20" w:after="20"/>
              <w:ind w:right="-112"/>
              <w:rPr>
                <w:rFonts w:cstheme="minorHAnsi"/>
                <w:sz w:val="20"/>
                <w:szCs w:val="20"/>
              </w:rPr>
            </w:pPr>
            <w:r w:rsidRPr="000A3623">
              <w:rPr>
                <w:rFonts w:cstheme="minorHAnsi"/>
                <w:color w:val="FFFFFF" w:themeColor="background1"/>
                <w:sz w:val="20"/>
                <w:szCs w:val="20"/>
              </w:rPr>
              <w:t xml:space="preserve">Service or program administrator/manager/coordinator </w:t>
            </w:r>
          </w:p>
        </w:tc>
        <w:tc>
          <w:tcPr>
            <w:tcW w:w="1181" w:type="dxa"/>
            <w:vAlign w:val="bottom"/>
          </w:tcPr>
          <w:p w:rsidR="00685BE5" w:rsidRPr="00BB00C8" w:rsidRDefault="00685BE5" w:rsidP="000A3623">
            <w:pPr>
              <w:spacing w:before="20" w:after="20"/>
              <w:ind w:right="145"/>
              <w:jc w:val="right"/>
              <w:rPr>
                <w:rFonts w:ascii="Calibri" w:hAnsi="Calibri" w:cs="Calibri"/>
                <w:color w:val="000000"/>
                <w:sz w:val="20"/>
                <w:szCs w:val="20"/>
              </w:rPr>
            </w:pPr>
            <w:r w:rsidRPr="00BB00C8">
              <w:rPr>
                <w:rFonts w:ascii="Calibri" w:hAnsi="Calibri" w:cs="Calibri"/>
                <w:color w:val="000000"/>
                <w:sz w:val="20"/>
                <w:szCs w:val="20"/>
              </w:rPr>
              <w:t>6.4</w:t>
            </w:r>
            <w:r w:rsidR="000A3623">
              <w:rPr>
                <w:rFonts w:ascii="Calibri" w:hAnsi="Calibri" w:cs="Calibri"/>
                <w:color w:val="000000"/>
                <w:sz w:val="20"/>
                <w:szCs w:val="20"/>
              </w:rPr>
              <w:t>%</w:t>
            </w:r>
          </w:p>
        </w:tc>
        <w:tc>
          <w:tcPr>
            <w:tcW w:w="1257" w:type="dxa"/>
            <w:vAlign w:val="bottom"/>
          </w:tcPr>
          <w:p w:rsidR="00685BE5" w:rsidRPr="00BB00C8" w:rsidRDefault="00685BE5" w:rsidP="000A3623">
            <w:pPr>
              <w:spacing w:before="20" w:after="20"/>
              <w:ind w:right="145"/>
              <w:jc w:val="right"/>
              <w:rPr>
                <w:rFonts w:ascii="Calibri" w:hAnsi="Calibri" w:cs="Calibri"/>
                <w:color w:val="000000"/>
                <w:sz w:val="20"/>
                <w:szCs w:val="20"/>
              </w:rPr>
            </w:pPr>
            <w:r w:rsidRPr="00BB00C8">
              <w:rPr>
                <w:rFonts w:ascii="Calibri" w:hAnsi="Calibri" w:cs="Calibri"/>
                <w:color w:val="000000"/>
                <w:sz w:val="20"/>
                <w:szCs w:val="20"/>
              </w:rPr>
              <w:t>8.0</w:t>
            </w:r>
            <w:r w:rsidR="000A3623">
              <w:rPr>
                <w:rFonts w:ascii="Calibri" w:hAnsi="Calibri" w:cs="Calibri"/>
                <w:color w:val="000000"/>
                <w:sz w:val="20"/>
                <w:szCs w:val="20"/>
              </w:rPr>
              <w:t>%</w:t>
            </w:r>
          </w:p>
        </w:tc>
        <w:tc>
          <w:tcPr>
            <w:tcW w:w="1105" w:type="dxa"/>
            <w:vAlign w:val="bottom"/>
          </w:tcPr>
          <w:p w:rsidR="00685BE5" w:rsidRPr="00BB00C8" w:rsidRDefault="00685BE5" w:rsidP="000A3623">
            <w:pPr>
              <w:spacing w:before="20" w:after="20"/>
              <w:ind w:right="145"/>
              <w:jc w:val="right"/>
              <w:rPr>
                <w:rFonts w:ascii="Calibri" w:hAnsi="Calibri" w:cs="Calibri"/>
                <w:b/>
                <w:color w:val="000000"/>
                <w:sz w:val="20"/>
                <w:szCs w:val="20"/>
              </w:rPr>
            </w:pPr>
            <w:r w:rsidRPr="00BB00C8">
              <w:rPr>
                <w:rFonts w:ascii="Calibri" w:hAnsi="Calibri" w:cs="Calibri"/>
                <w:b/>
                <w:color w:val="000000"/>
                <w:sz w:val="20"/>
                <w:szCs w:val="20"/>
              </w:rPr>
              <w:t>7.6</w:t>
            </w:r>
            <w:r w:rsidR="000A3623">
              <w:rPr>
                <w:rFonts w:ascii="Calibri" w:hAnsi="Calibri" w:cs="Calibri"/>
                <w:b/>
                <w:color w:val="000000"/>
                <w:sz w:val="20"/>
                <w:szCs w:val="20"/>
              </w:rPr>
              <w:t>%</w:t>
            </w:r>
          </w:p>
        </w:tc>
      </w:tr>
      <w:tr w:rsidR="00685BE5" w:rsidRPr="00B90E88" w:rsidTr="00AE4C3A">
        <w:tc>
          <w:tcPr>
            <w:tcW w:w="5383" w:type="dxa"/>
            <w:vAlign w:val="center"/>
          </w:tcPr>
          <w:p w:rsidR="00685BE5" w:rsidRPr="00BB00C8" w:rsidRDefault="00685BE5" w:rsidP="00AE4C3A">
            <w:pPr>
              <w:spacing w:before="20" w:after="20"/>
              <w:rPr>
                <w:rFonts w:cstheme="minorHAnsi"/>
                <w:sz w:val="20"/>
                <w:szCs w:val="20"/>
              </w:rPr>
            </w:pPr>
            <w:r w:rsidRPr="00BB00C8">
              <w:rPr>
                <w:rFonts w:cstheme="minorHAnsi"/>
                <w:sz w:val="20"/>
                <w:szCs w:val="20"/>
              </w:rPr>
              <w:t>Social worker/disability case coordinator</w:t>
            </w:r>
          </w:p>
        </w:tc>
        <w:tc>
          <w:tcPr>
            <w:tcW w:w="1181" w:type="dxa"/>
            <w:vAlign w:val="center"/>
          </w:tcPr>
          <w:p w:rsidR="00685BE5" w:rsidRPr="00BB00C8" w:rsidRDefault="00685BE5" w:rsidP="00AE4C3A">
            <w:pPr>
              <w:spacing w:before="20" w:after="20"/>
              <w:ind w:right="145"/>
              <w:jc w:val="right"/>
              <w:rPr>
                <w:rFonts w:cstheme="minorHAnsi"/>
                <w:sz w:val="20"/>
                <w:szCs w:val="20"/>
              </w:rPr>
            </w:pPr>
            <w:r w:rsidRPr="00BB00C8">
              <w:rPr>
                <w:rFonts w:cstheme="minorHAnsi"/>
                <w:sz w:val="20"/>
                <w:szCs w:val="20"/>
              </w:rPr>
              <w:t>370</w:t>
            </w:r>
          </w:p>
        </w:tc>
        <w:tc>
          <w:tcPr>
            <w:tcW w:w="1257" w:type="dxa"/>
            <w:vAlign w:val="center"/>
          </w:tcPr>
          <w:p w:rsidR="00685BE5" w:rsidRPr="00BB00C8" w:rsidRDefault="00685BE5" w:rsidP="00AE4C3A">
            <w:pPr>
              <w:spacing w:before="20" w:after="20"/>
              <w:ind w:right="145"/>
              <w:jc w:val="right"/>
              <w:rPr>
                <w:rFonts w:cstheme="minorHAnsi"/>
                <w:sz w:val="20"/>
                <w:szCs w:val="20"/>
              </w:rPr>
            </w:pPr>
            <w:r w:rsidRPr="00BB00C8">
              <w:rPr>
                <w:rFonts w:cstheme="minorHAnsi"/>
                <w:sz w:val="20"/>
                <w:szCs w:val="20"/>
              </w:rPr>
              <w:t>1,417</w:t>
            </w:r>
          </w:p>
        </w:tc>
        <w:tc>
          <w:tcPr>
            <w:tcW w:w="1105" w:type="dxa"/>
            <w:vAlign w:val="bottom"/>
          </w:tcPr>
          <w:p w:rsidR="00685BE5" w:rsidRPr="00BB00C8" w:rsidRDefault="00685BE5" w:rsidP="00AE4C3A">
            <w:pPr>
              <w:spacing w:before="20" w:after="20"/>
              <w:ind w:right="145"/>
              <w:jc w:val="right"/>
              <w:rPr>
                <w:rFonts w:cstheme="minorHAnsi"/>
                <w:b/>
                <w:sz w:val="20"/>
                <w:szCs w:val="20"/>
              </w:rPr>
            </w:pPr>
            <w:r w:rsidRPr="00BB00C8">
              <w:rPr>
                <w:rFonts w:cstheme="minorHAnsi"/>
                <w:b/>
                <w:sz w:val="20"/>
                <w:szCs w:val="20"/>
              </w:rPr>
              <w:t>1787</w:t>
            </w:r>
          </w:p>
        </w:tc>
      </w:tr>
      <w:tr w:rsidR="00685BE5" w:rsidRPr="00B90E88" w:rsidTr="00AE4C3A">
        <w:tc>
          <w:tcPr>
            <w:tcW w:w="5383" w:type="dxa"/>
            <w:vAlign w:val="center"/>
          </w:tcPr>
          <w:p w:rsidR="00685BE5" w:rsidRPr="00BB00C8" w:rsidRDefault="00EF4DE2" w:rsidP="00AE4C3A">
            <w:pPr>
              <w:spacing w:before="20" w:after="20"/>
              <w:rPr>
                <w:rFonts w:cstheme="minorHAnsi"/>
                <w:sz w:val="20"/>
                <w:szCs w:val="20"/>
              </w:rPr>
            </w:pPr>
            <w:r w:rsidRPr="00EF4DE2">
              <w:rPr>
                <w:rFonts w:cstheme="minorHAnsi"/>
                <w:color w:val="FFFFFF" w:themeColor="background1"/>
                <w:sz w:val="20"/>
                <w:szCs w:val="20"/>
              </w:rPr>
              <w:t>Social worker/disability case coordinator</w:t>
            </w:r>
          </w:p>
        </w:tc>
        <w:tc>
          <w:tcPr>
            <w:tcW w:w="1181" w:type="dxa"/>
            <w:vAlign w:val="bottom"/>
          </w:tcPr>
          <w:p w:rsidR="00685BE5" w:rsidRPr="00BB00C8" w:rsidRDefault="00EF4DE2" w:rsidP="00AE4C3A">
            <w:pPr>
              <w:spacing w:before="20" w:after="20"/>
              <w:ind w:right="145"/>
              <w:jc w:val="right"/>
              <w:rPr>
                <w:rFonts w:ascii="Calibri" w:hAnsi="Calibri" w:cs="Calibri"/>
                <w:color w:val="000000"/>
                <w:sz w:val="20"/>
                <w:szCs w:val="20"/>
              </w:rPr>
            </w:pPr>
            <w:r>
              <w:rPr>
                <w:rFonts w:ascii="Calibri" w:hAnsi="Calibri" w:cs="Calibri"/>
                <w:color w:val="000000"/>
                <w:sz w:val="20"/>
                <w:szCs w:val="20"/>
              </w:rPr>
              <w:t>4.2%</w:t>
            </w:r>
          </w:p>
        </w:tc>
        <w:tc>
          <w:tcPr>
            <w:tcW w:w="1257" w:type="dxa"/>
            <w:vAlign w:val="bottom"/>
          </w:tcPr>
          <w:p w:rsidR="00685BE5" w:rsidRPr="00BB00C8" w:rsidRDefault="00685BE5" w:rsidP="00EF4DE2">
            <w:pPr>
              <w:spacing w:before="20" w:after="20"/>
              <w:ind w:right="145"/>
              <w:jc w:val="right"/>
              <w:rPr>
                <w:rFonts w:ascii="Calibri" w:hAnsi="Calibri" w:cs="Calibri"/>
                <w:color w:val="000000"/>
                <w:sz w:val="20"/>
                <w:szCs w:val="20"/>
              </w:rPr>
            </w:pPr>
            <w:r w:rsidRPr="00BB00C8">
              <w:rPr>
                <w:rFonts w:ascii="Calibri" w:hAnsi="Calibri" w:cs="Calibri"/>
                <w:color w:val="000000"/>
                <w:sz w:val="20"/>
                <w:szCs w:val="20"/>
              </w:rPr>
              <w:t>5.3</w:t>
            </w:r>
            <w:r w:rsidR="00EF4DE2">
              <w:rPr>
                <w:rFonts w:ascii="Calibri" w:hAnsi="Calibri" w:cs="Calibri"/>
                <w:color w:val="000000"/>
                <w:sz w:val="20"/>
                <w:szCs w:val="20"/>
              </w:rPr>
              <w:t>%</w:t>
            </w:r>
          </w:p>
        </w:tc>
        <w:tc>
          <w:tcPr>
            <w:tcW w:w="1105" w:type="dxa"/>
            <w:vAlign w:val="bottom"/>
          </w:tcPr>
          <w:p w:rsidR="00685BE5" w:rsidRPr="00BB00C8" w:rsidRDefault="00685BE5" w:rsidP="00EF4DE2">
            <w:pPr>
              <w:spacing w:before="20" w:after="20"/>
              <w:ind w:right="145"/>
              <w:jc w:val="right"/>
              <w:rPr>
                <w:rFonts w:ascii="Calibri" w:hAnsi="Calibri" w:cs="Calibri"/>
                <w:b/>
                <w:color w:val="000000"/>
                <w:sz w:val="20"/>
                <w:szCs w:val="20"/>
              </w:rPr>
            </w:pPr>
            <w:r w:rsidRPr="00BB00C8">
              <w:rPr>
                <w:rFonts w:ascii="Calibri" w:hAnsi="Calibri" w:cs="Calibri"/>
                <w:b/>
                <w:color w:val="000000"/>
                <w:sz w:val="20"/>
                <w:szCs w:val="20"/>
              </w:rPr>
              <w:t>5.0</w:t>
            </w:r>
            <w:r w:rsidR="00EF4DE2">
              <w:rPr>
                <w:rFonts w:ascii="Calibri" w:hAnsi="Calibri" w:cs="Calibri"/>
                <w:b/>
                <w:color w:val="000000"/>
                <w:sz w:val="20"/>
                <w:szCs w:val="20"/>
              </w:rPr>
              <w:t>%</w:t>
            </w:r>
          </w:p>
        </w:tc>
      </w:tr>
      <w:tr w:rsidR="00685BE5" w:rsidRPr="00B90E88" w:rsidTr="00AE4C3A">
        <w:tc>
          <w:tcPr>
            <w:tcW w:w="5383" w:type="dxa"/>
            <w:vAlign w:val="center"/>
          </w:tcPr>
          <w:p w:rsidR="00685BE5" w:rsidRPr="00BB00C8" w:rsidRDefault="00685BE5" w:rsidP="00AE4C3A">
            <w:pPr>
              <w:spacing w:before="20" w:after="20"/>
              <w:rPr>
                <w:rFonts w:cstheme="minorHAnsi"/>
                <w:sz w:val="20"/>
                <w:szCs w:val="20"/>
              </w:rPr>
            </w:pPr>
            <w:r w:rsidRPr="00BB00C8">
              <w:rPr>
                <w:rFonts w:cstheme="minorHAnsi"/>
                <w:sz w:val="20"/>
                <w:szCs w:val="20"/>
              </w:rPr>
              <w:t>Employment support worker</w:t>
            </w:r>
          </w:p>
        </w:tc>
        <w:tc>
          <w:tcPr>
            <w:tcW w:w="1181" w:type="dxa"/>
            <w:vAlign w:val="center"/>
          </w:tcPr>
          <w:p w:rsidR="00685BE5" w:rsidRPr="00BB00C8" w:rsidRDefault="00685BE5" w:rsidP="00AE4C3A">
            <w:pPr>
              <w:spacing w:before="20" w:after="20"/>
              <w:ind w:right="145"/>
              <w:jc w:val="right"/>
              <w:rPr>
                <w:rFonts w:cstheme="minorHAnsi"/>
                <w:sz w:val="20"/>
                <w:szCs w:val="20"/>
              </w:rPr>
            </w:pPr>
            <w:r w:rsidRPr="00BB00C8">
              <w:rPr>
                <w:rFonts w:cstheme="minorHAnsi"/>
                <w:sz w:val="20"/>
                <w:szCs w:val="20"/>
              </w:rPr>
              <w:t>249</w:t>
            </w:r>
          </w:p>
        </w:tc>
        <w:tc>
          <w:tcPr>
            <w:tcW w:w="1257" w:type="dxa"/>
            <w:vAlign w:val="center"/>
          </w:tcPr>
          <w:p w:rsidR="00685BE5" w:rsidRPr="00BB00C8" w:rsidRDefault="00685BE5" w:rsidP="00AE4C3A">
            <w:pPr>
              <w:spacing w:before="20" w:after="20"/>
              <w:ind w:right="145"/>
              <w:jc w:val="right"/>
              <w:rPr>
                <w:rFonts w:cstheme="minorHAnsi"/>
                <w:sz w:val="20"/>
                <w:szCs w:val="20"/>
              </w:rPr>
            </w:pPr>
            <w:r w:rsidRPr="00BB00C8">
              <w:rPr>
                <w:rFonts w:cstheme="minorHAnsi"/>
                <w:sz w:val="20"/>
                <w:szCs w:val="20"/>
              </w:rPr>
              <w:t>384</w:t>
            </w:r>
          </w:p>
        </w:tc>
        <w:tc>
          <w:tcPr>
            <w:tcW w:w="1105" w:type="dxa"/>
            <w:vAlign w:val="bottom"/>
          </w:tcPr>
          <w:p w:rsidR="00685BE5" w:rsidRPr="00BB00C8" w:rsidRDefault="00685BE5" w:rsidP="00AE4C3A">
            <w:pPr>
              <w:spacing w:before="20" w:after="20"/>
              <w:ind w:right="145"/>
              <w:jc w:val="right"/>
              <w:rPr>
                <w:rFonts w:cstheme="minorHAnsi"/>
                <w:b/>
                <w:sz w:val="20"/>
                <w:szCs w:val="20"/>
              </w:rPr>
            </w:pPr>
            <w:r w:rsidRPr="00BB00C8">
              <w:rPr>
                <w:rFonts w:cstheme="minorHAnsi"/>
                <w:b/>
                <w:sz w:val="20"/>
                <w:szCs w:val="20"/>
              </w:rPr>
              <w:t>633</w:t>
            </w:r>
          </w:p>
        </w:tc>
      </w:tr>
      <w:tr w:rsidR="00685BE5" w:rsidRPr="00B90E88" w:rsidTr="00AE4C3A">
        <w:tc>
          <w:tcPr>
            <w:tcW w:w="5383" w:type="dxa"/>
            <w:vAlign w:val="center"/>
          </w:tcPr>
          <w:p w:rsidR="00685BE5" w:rsidRPr="00BB00C8" w:rsidRDefault="00685BE5" w:rsidP="00AE4C3A">
            <w:pPr>
              <w:spacing w:before="20" w:after="20"/>
              <w:rPr>
                <w:rFonts w:cstheme="minorHAnsi"/>
                <w:sz w:val="20"/>
                <w:szCs w:val="20"/>
              </w:rPr>
            </w:pPr>
          </w:p>
        </w:tc>
        <w:tc>
          <w:tcPr>
            <w:tcW w:w="1181" w:type="dxa"/>
            <w:vAlign w:val="bottom"/>
          </w:tcPr>
          <w:p w:rsidR="00685BE5" w:rsidRPr="00BB00C8" w:rsidRDefault="00685BE5" w:rsidP="00EF4DE2">
            <w:pPr>
              <w:spacing w:before="20" w:after="20"/>
              <w:ind w:right="145"/>
              <w:jc w:val="right"/>
              <w:rPr>
                <w:rFonts w:ascii="Calibri" w:hAnsi="Calibri" w:cs="Calibri"/>
                <w:color w:val="000000"/>
                <w:sz w:val="20"/>
                <w:szCs w:val="20"/>
              </w:rPr>
            </w:pPr>
            <w:r w:rsidRPr="00BB00C8">
              <w:rPr>
                <w:rFonts w:ascii="Calibri" w:hAnsi="Calibri" w:cs="Calibri"/>
                <w:color w:val="000000"/>
                <w:sz w:val="20"/>
                <w:szCs w:val="20"/>
              </w:rPr>
              <w:t>2.8</w:t>
            </w:r>
            <w:r w:rsidR="00EF4DE2">
              <w:rPr>
                <w:rFonts w:ascii="Calibri" w:hAnsi="Calibri" w:cs="Calibri"/>
                <w:color w:val="000000"/>
                <w:sz w:val="20"/>
                <w:szCs w:val="20"/>
              </w:rPr>
              <w:t>%</w:t>
            </w:r>
          </w:p>
        </w:tc>
        <w:tc>
          <w:tcPr>
            <w:tcW w:w="1257" w:type="dxa"/>
            <w:vAlign w:val="bottom"/>
          </w:tcPr>
          <w:p w:rsidR="00685BE5" w:rsidRPr="00BB00C8" w:rsidRDefault="00EF4DE2" w:rsidP="00AE4C3A">
            <w:pPr>
              <w:spacing w:before="20" w:after="20"/>
              <w:ind w:right="145"/>
              <w:jc w:val="right"/>
              <w:rPr>
                <w:rFonts w:ascii="Calibri" w:hAnsi="Calibri" w:cs="Calibri"/>
                <w:color w:val="000000"/>
                <w:sz w:val="20"/>
                <w:szCs w:val="20"/>
              </w:rPr>
            </w:pPr>
            <w:r>
              <w:rPr>
                <w:rFonts w:ascii="Calibri" w:hAnsi="Calibri" w:cs="Calibri"/>
                <w:color w:val="000000"/>
                <w:sz w:val="20"/>
                <w:szCs w:val="20"/>
              </w:rPr>
              <w:t>1.4%</w:t>
            </w:r>
          </w:p>
        </w:tc>
        <w:tc>
          <w:tcPr>
            <w:tcW w:w="1105" w:type="dxa"/>
            <w:vAlign w:val="bottom"/>
          </w:tcPr>
          <w:p w:rsidR="00685BE5" w:rsidRPr="00BB00C8" w:rsidRDefault="00685BE5" w:rsidP="009C1C60">
            <w:pPr>
              <w:spacing w:before="20" w:after="20"/>
              <w:ind w:right="145"/>
              <w:jc w:val="right"/>
              <w:rPr>
                <w:rFonts w:ascii="Calibri" w:hAnsi="Calibri" w:cs="Calibri"/>
                <w:b/>
                <w:color w:val="000000"/>
                <w:sz w:val="20"/>
                <w:szCs w:val="20"/>
              </w:rPr>
            </w:pPr>
            <w:r w:rsidRPr="00BB00C8">
              <w:rPr>
                <w:rFonts w:ascii="Calibri" w:hAnsi="Calibri" w:cs="Calibri"/>
                <w:b/>
                <w:color w:val="000000"/>
                <w:sz w:val="20"/>
                <w:szCs w:val="20"/>
              </w:rPr>
              <w:t>1.8</w:t>
            </w:r>
            <w:r w:rsidR="009C1C60">
              <w:rPr>
                <w:rFonts w:ascii="Calibri" w:hAnsi="Calibri" w:cs="Calibri"/>
                <w:b/>
                <w:color w:val="000000"/>
                <w:sz w:val="20"/>
                <w:szCs w:val="20"/>
              </w:rPr>
              <w:t>%</w:t>
            </w:r>
          </w:p>
        </w:tc>
      </w:tr>
      <w:tr w:rsidR="00685BE5" w:rsidRPr="00B90E88" w:rsidTr="00AE4C3A">
        <w:tc>
          <w:tcPr>
            <w:tcW w:w="5383" w:type="dxa"/>
            <w:vAlign w:val="center"/>
          </w:tcPr>
          <w:p w:rsidR="00685BE5" w:rsidRPr="00BB00C8" w:rsidRDefault="00685BE5" w:rsidP="00AE4C3A">
            <w:pPr>
              <w:spacing w:before="20" w:after="20"/>
              <w:rPr>
                <w:rFonts w:cstheme="minorHAnsi"/>
                <w:sz w:val="20"/>
                <w:szCs w:val="20"/>
              </w:rPr>
            </w:pPr>
            <w:r w:rsidRPr="00BB00C8">
              <w:rPr>
                <w:rFonts w:cstheme="minorHAnsi"/>
                <w:sz w:val="20"/>
                <w:szCs w:val="20"/>
              </w:rPr>
              <w:t>Peer support worker</w:t>
            </w:r>
          </w:p>
        </w:tc>
        <w:tc>
          <w:tcPr>
            <w:tcW w:w="1181" w:type="dxa"/>
            <w:vAlign w:val="center"/>
          </w:tcPr>
          <w:p w:rsidR="00685BE5" w:rsidRPr="00BB00C8" w:rsidRDefault="00685BE5" w:rsidP="00AE4C3A">
            <w:pPr>
              <w:spacing w:before="20" w:after="20"/>
              <w:ind w:right="145"/>
              <w:jc w:val="right"/>
              <w:rPr>
                <w:rFonts w:cstheme="minorHAnsi"/>
                <w:sz w:val="20"/>
                <w:szCs w:val="20"/>
              </w:rPr>
            </w:pPr>
            <w:r w:rsidRPr="00BB00C8">
              <w:rPr>
                <w:rFonts w:cstheme="minorHAnsi"/>
                <w:sz w:val="20"/>
                <w:szCs w:val="20"/>
              </w:rPr>
              <w:t>150</w:t>
            </w:r>
          </w:p>
        </w:tc>
        <w:tc>
          <w:tcPr>
            <w:tcW w:w="1257" w:type="dxa"/>
            <w:vAlign w:val="center"/>
          </w:tcPr>
          <w:p w:rsidR="00685BE5" w:rsidRPr="00BB00C8" w:rsidRDefault="00685BE5" w:rsidP="00AE4C3A">
            <w:pPr>
              <w:spacing w:before="20" w:after="20"/>
              <w:ind w:right="145"/>
              <w:jc w:val="right"/>
              <w:rPr>
                <w:rFonts w:cstheme="minorHAnsi"/>
                <w:sz w:val="20"/>
                <w:szCs w:val="20"/>
              </w:rPr>
            </w:pPr>
            <w:r w:rsidRPr="00BB00C8">
              <w:rPr>
                <w:rFonts w:cstheme="minorHAnsi"/>
                <w:sz w:val="20"/>
                <w:szCs w:val="20"/>
              </w:rPr>
              <w:t>324</w:t>
            </w:r>
          </w:p>
        </w:tc>
        <w:tc>
          <w:tcPr>
            <w:tcW w:w="1105" w:type="dxa"/>
            <w:vAlign w:val="bottom"/>
          </w:tcPr>
          <w:p w:rsidR="00685BE5" w:rsidRPr="00BB00C8" w:rsidRDefault="00685BE5" w:rsidP="00AE4C3A">
            <w:pPr>
              <w:spacing w:before="20" w:after="20"/>
              <w:ind w:right="145"/>
              <w:jc w:val="right"/>
              <w:rPr>
                <w:rFonts w:cstheme="minorHAnsi"/>
                <w:b/>
                <w:sz w:val="20"/>
                <w:szCs w:val="20"/>
              </w:rPr>
            </w:pPr>
            <w:r w:rsidRPr="00BB00C8">
              <w:rPr>
                <w:rFonts w:cstheme="minorHAnsi"/>
                <w:b/>
                <w:sz w:val="20"/>
                <w:szCs w:val="20"/>
              </w:rPr>
              <w:t>474</w:t>
            </w:r>
          </w:p>
        </w:tc>
      </w:tr>
      <w:tr w:rsidR="00685BE5" w:rsidRPr="00B90E88" w:rsidTr="00AE4C3A">
        <w:tc>
          <w:tcPr>
            <w:tcW w:w="5383" w:type="dxa"/>
            <w:vAlign w:val="center"/>
          </w:tcPr>
          <w:p w:rsidR="00685BE5" w:rsidRPr="00BB00C8" w:rsidRDefault="00685BE5" w:rsidP="00AE4C3A">
            <w:pPr>
              <w:spacing w:before="20" w:after="20"/>
              <w:rPr>
                <w:rFonts w:cstheme="minorHAnsi"/>
                <w:sz w:val="20"/>
                <w:szCs w:val="20"/>
              </w:rPr>
            </w:pPr>
          </w:p>
        </w:tc>
        <w:tc>
          <w:tcPr>
            <w:tcW w:w="1181" w:type="dxa"/>
            <w:vAlign w:val="bottom"/>
          </w:tcPr>
          <w:p w:rsidR="00685BE5" w:rsidRPr="00BB00C8" w:rsidRDefault="00930DC4" w:rsidP="00AE4C3A">
            <w:pPr>
              <w:spacing w:before="20" w:after="20"/>
              <w:ind w:right="145"/>
              <w:jc w:val="right"/>
              <w:rPr>
                <w:rFonts w:ascii="Calibri" w:hAnsi="Calibri" w:cs="Calibri"/>
                <w:color w:val="000000"/>
                <w:sz w:val="20"/>
                <w:szCs w:val="20"/>
              </w:rPr>
            </w:pPr>
            <w:r>
              <w:rPr>
                <w:rFonts w:ascii="Calibri" w:hAnsi="Calibri" w:cs="Calibri"/>
                <w:color w:val="000000"/>
                <w:sz w:val="20"/>
                <w:szCs w:val="20"/>
              </w:rPr>
              <w:t xml:space="preserve"> </w:t>
            </w:r>
            <w:r w:rsidR="00685BE5" w:rsidRPr="00BB00C8">
              <w:rPr>
                <w:rFonts w:ascii="Calibri" w:hAnsi="Calibri" w:cs="Calibri"/>
                <w:color w:val="000000"/>
                <w:sz w:val="20"/>
                <w:szCs w:val="20"/>
              </w:rPr>
              <w:t>1.7</w:t>
            </w:r>
            <w:r>
              <w:rPr>
                <w:rFonts w:ascii="Calibri" w:hAnsi="Calibri" w:cs="Calibri"/>
                <w:color w:val="000000"/>
                <w:sz w:val="20"/>
                <w:szCs w:val="20"/>
              </w:rPr>
              <w:t>%</w:t>
            </w:r>
          </w:p>
        </w:tc>
        <w:tc>
          <w:tcPr>
            <w:tcW w:w="1257" w:type="dxa"/>
            <w:vAlign w:val="bottom"/>
          </w:tcPr>
          <w:p w:rsidR="00685BE5" w:rsidRPr="00BB00C8" w:rsidRDefault="00930DC4" w:rsidP="00AE4C3A">
            <w:pPr>
              <w:spacing w:before="20" w:after="20"/>
              <w:ind w:right="145"/>
              <w:jc w:val="right"/>
              <w:rPr>
                <w:rFonts w:ascii="Calibri" w:hAnsi="Calibri" w:cs="Calibri"/>
                <w:color w:val="000000"/>
                <w:sz w:val="20"/>
                <w:szCs w:val="20"/>
              </w:rPr>
            </w:pPr>
            <w:r>
              <w:rPr>
                <w:rFonts w:ascii="Calibri" w:hAnsi="Calibri" w:cs="Calibri"/>
                <w:color w:val="000000"/>
                <w:sz w:val="20"/>
                <w:szCs w:val="20"/>
              </w:rPr>
              <w:t xml:space="preserve"> </w:t>
            </w:r>
            <w:r w:rsidR="00685BE5" w:rsidRPr="00BB00C8">
              <w:rPr>
                <w:rFonts w:ascii="Calibri" w:hAnsi="Calibri" w:cs="Calibri"/>
                <w:color w:val="000000"/>
                <w:sz w:val="20"/>
                <w:szCs w:val="20"/>
              </w:rPr>
              <w:t>1.2</w:t>
            </w:r>
            <w:r>
              <w:rPr>
                <w:rFonts w:ascii="Calibri" w:hAnsi="Calibri" w:cs="Calibri"/>
                <w:color w:val="000000"/>
                <w:sz w:val="20"/>
                <w:szCs w:val="20"/>
              </w:rPr>
              <w:t>%</w:t>
            </w:r>
          </w:p>
        </w:tc>
        <w:tc>
          <w:tcPr>
            <w:tcW w:w="1105" w:type="dxa"/>
            <w:vAlign w:val="bottom"/>
          </w:tcPr>
          <w:p w:rsidR="00685BE5" w:rsidRPr="00BB00C8" w:rsidRDefault="00930DC4" w:rsidP="00AE4C3A">
            <w:pPr>
              <w:spacing w:before="20" w:after="20"/>
              <w:ind w:right="145"/>
              <w:jc w:val="right"/>
              <w:rPr>
                <w:rFonts w:ascii="Calibri" w:hAnsi="Calibri" w:cs="Calibri"/>
                <w:b/>
                <w:color w:val="000000"/>
                <w:sz w:val="20"/>
                <w:szCs w:val="20"/>
              </w:rPr>
            </w:pPr>
            <w:r>
              <w:rPr>
                <w:rFonts w:ascii="Calibri" w:hAnsi="Calibri" w:cs="Calibri"/>
                <w:b/>
                <w:color w:val="000000"/>
                <w:sz w:val="20"/>
                <w:szCs w:val="20"/>
              </w:rPr>
              <w:t xml:space="preserve"> </w:t>
            </w:r>
            <w:r w:rsidR="00685BE5" w:rsidRPr="00BB00C8">
              <w:rPr>
                <w:rFonts w:ascii="Calibri" w:hAnsi="Calibri" w:cs="Calibri"/>
                <w:b/>
                <w:color w:val="000000"/>
                <w:sz w:val="20"/>
                <w:szCs w:val="20"/>
              </w:rPr>
              <w:t>1.3</w:t>
            </w:r>
            <w:r>
              <w:rPr>
                <w:rFonts w:ascii="Calibri" w:hAnsi="Calibri" w:cs="Calibri"/>
                <w:b/>
                <w:color w:val="000000"/>
                <w:sz w:val="20"/>
                <w:szCs w:val="20"/>
              </w:rPr>
              <w:t>%</w:t>
            </w:r>
          </w:p>
        </w:tc>
      </w:tr>
      <w:tr w:rsidR="00685BE5" w:rsidRPr="00B90E88" w:rsidTr="00AE4C3A">
        <w:tc>
          <w:tcPr>
            <w:tcW w:w="5383" w:type="dxa"/>
            <w:vAlign w:val="center"/>
          </w:tcPr>
          <w:p w:rsidR="00685BE5" w:rsidRPr="00BB00C8" w:rsidRDefault="00685BE5" w:rsidP="00AE4C3A">
            <w:pPr>
              <w:spacing w:before="20" w:after="20"/>
              <w:rPr>
                <w:rFonts w:cstheme="minorHAnsi"/>
                <w:sz w:val="20"/>
                <w:szCs w:val="20"/>
              </w:rPr>
            </w:pPr>
            <w:r w:rsidRPr="00BB00C8">
              <w:rPr>
                <w:rFonts w:cstheme="minorHAnsi"/>
                <w:sz w:val="20"/>
                <w:szCs w:val="20"/>
              </w:rPr>
              <w:t>Allied health worker</w:t>
            </w:r>
          </w:p>
        </w:tc>
        <w:tc>
          <w:tcPr>
            <w:tcW w:w="1181" w:type="dxa"/>
            <w:vAlign w:val="center"/>
          </w:tcPr>
          <w:p w:rsidR="00685BE5" w:rsidRPr="00BB00C8" w:rsidRDefault="00685BE5" w:rsidP="00AE4C3A">
            <w:pPr>
              <w:spacing w:before="20" w:after="20"/>
              <w:ind w:right="145"/>
              <w:jc w:val="right"/>
              <w:rPr>
                <w:rFonts w:cstheme="minorHAnsi"/>
                <w:sz w:val="20"/>
                <w:szCs w:val="20"/>
              </w:rPr>
            </w:pPr>
            <w:r w:rsidRPr="00BB00C8">
              <w:rPr>
                <w:rFonts w:cstheme="minorHAnsi"/>
                <w:sz w:val="20"/>
                <w:szCs w:val="20"/>
              </w:rPr>
              <w:t>196</w:t>
            </w:r>
          </w:p>
        </w:tc>
        <w:tc>
          <w:tcPr>
            <w:tcW w:w="1257" w:type="dxa"/>
            <w:vAlign w:val="center"/>
          </w:tcPr>
          <w:p w:rsidR="00685BE5" w:rsidRPr="00BB00C8" w:rsidRDefault="00685BE5" w:rsidP="00AE4C3A">
            <w:pPr>
              <w:spacing w:before="20" w:after="20"/>
              <w:ind w:right="145"/>
              <w:jc w:val="right"/>
              <w:rPr>
                <w:rFonts w:cstheme="minorHAnsi"/>
                <w:sz w:val="20"/>
                <w:szCs w:val="20"/>
              </w:rPr>
            </w:pPr>
            <w:r w:rsidRPr="00BB00C8">
              <w:rPr>
                <w:rFonts w:cstheme="minorHAnsi"/>
                <w:sz w:val="20"/>
                <w:szCs w:val="20"/>
              </w:rPr>
              <w:t>1,657</w:t>
            </w:r>
          </w:p>
        </w:tc>
        <w:tc>
          <w:tcPr>
            <w:tcW w:w="1105" w:type="dxa"/>
            <w:vAlign w:val="bottom"/>
          </w:tcPr>
          <w:p w:rsidR="00685BE5" w:rsidRPr="00BB00C8" w:rsidRDefault="00685BE5" w:rsidP="00AE4C3A">
            <w:pPr>
              <w:spacing w:before="20" w:after="20"/>
              <w:ind w:right="145"/>
              <w:jc w:val="right"/>
              <w:rPr>
                <w:rFonts w:cstheme="minorHAnsi"/>
                <w:b/>
                <w:sz w:val="20"/>
                <w:szCs w:val="20"/>
              </w:rPr>
            </w:pPr>
            <w:r w:rsidRPr="00BB00C8">
              <w:rPr>
                <w:rFonts w:cstheme="minorHAnsi"/>
                <w:b/>
                <w:sz w:val="20"/>
                <w:szCs w:val="20"/>
              </w:rPr>
              <w:t>1853</w:t>
            </w:r>
          </w:p>
        </w:tc>
      </w:tr>
      <w:tr w:rsidR="00685BE5" w:rsidRPr="00B90E88" w:rsidTr="00AE4C3A">
        <w:tc>
          <w:tcPr>
            <w:tcW w:w="5383" w:type="dxa"/>
            <w:vAlign w:val="center"/>
          </w:tcPr>
          <w:p w:rsidR="00685BE5" w:rsidRPr="00BB00C8" w:rsidRDefault="00685BE5" w:rsidP="00AE4C3A">
            <w:pPr>
              <w:spacing w:before="20" w:after="20"/>
              <w:rPr>
                <w:rFonts w:cstheme="minorHAnsi"/>
                <w:sz w:val="20"/>
                <w:szCs w:val="20"/>
              </w:rPr>
            </w:pPr>
          </w:p>
        </w:tc>
        <w:tc>
          <w:tcPr>
            <w:tcW w:w="1181" w:type="dxa"/>
            <w:vAlign w:val="bottom"/>
          </w:tcPr>
          <w:p w:rsidR="00685BE5" w:rsidRPr="00BB00C8" w:rsidRDefault="00930DC4" w:rsidP="00AE4C3A">
            <w:pPr>
              <w:spacing w:before="20" w:after="20"/>
              <w:ind w:right="145"/>
              <w:jc w:val="right"/>
              <w:rPr>
                <w:rFonts w:ascii="Calibri" w:hAnsi="Calibri" w:cs="Calibri"/>
                <w:color w:val="000000"/>
                <w:sz w:val="20"/>
                <w:szCs w:val="20"/>
              </w:rPr>
            </w:pPr>
            <w:r>
              <w:rPr>
                <w:rFonts w:ascii="Calibri" w:hAnsi="Calibri" w:cs="Calibri"/>
                <w:color w:val="000000"/>
                <w:sz w:val="20"/>
                <w:szCs w:val="20"/>
              </w:rPr>
              <w:t xml:space="preserve"> </w:t>
            </w:r>
            <w:r w:rsidR="00685BE5" w:rsidRPr="00BB00C8">
              <w:rPr>
                <w:rFonts w:ascii="Calibri" w:hAnsi="Calibri" w:cs="Calibri"/>
                <w:color w:val="000000"/>
                <w:sz w:val="20"/>
                <w:szCs w:val="20"/>
              </w:rPr>
              <w:t>2.2</w:t>
            </w:r>
            <w:r>
              <w:rPr>
                <w:rFonts w:ascii="Calibri" w:hAnsi="Calibri" w:cs="Calibri"/>
                <w:color w:val="000000"/>
                <w:sz w:val="20"/>
                <w:szCs w:val="20"/>
              </w:rPr>
              <w:t>%</w:t>
            </w:r>
          </w:p>
        </w:tc>
        <w:tc>
          <w:tcPr>
            <w:tcW w:w="1257" w:type="dxa"/>
            <w:vAlign w:val="bottom"/>
          </w:tcPr>
          <w:p w:rsidR="00685BE5" w:rsidRPr="00BB00C8" w:rsidRDefault="00930DC4" w:rsidP="00AE4C3A">
            <w:pPr>
              <w:spacing w:before="20" w:after="20"/>
              <w:ind w:right="145"/>
              <w:jc w:val="right"/>
              <w:rPr>
                <w:rFonts w:ascii="Calibri" w:hAnsi="Calibri" w:cs="Calibri"/>
                <w:color w:val="000000"/>
                <w:sz w:val="20"/>
                <w:szCs w:val="20"/>
              </w:rPr>
            </w:pPr>
            <w:r>
              <w:rPr>
                <w:rFonts w:ascii="Calibri" w:hAnsi="Calibri" w:cs="Calibri"/>
                <w:color w:val="000000"/>
                <w:sz w:val="20"/>
                <w:szCs w:val="20"/>
              </w:rPr>
              <w:t xml:space="preserve"> </w:t>
            </w:r>
            <w:r w:rsidR="00685BE5" w:rsidRPr="00BB00C8">
              <w:rPr>
                <w:rFonts w:ascii="Calibri" w:hAnsi="Calibri" w:cs="Calibri"/>
                <w:color w:val="000000"/>
                <w:sz w:val="20"/>
                <w:szCs w:val="20"/>
              </w:rPr>
              <w:t>6.2</w:t>
            </w:r>
            <w:r>
              <w:rPr>
                <w:rFonts w:ascii="Calibri" w:hAnsi="Calibri" w:cs="Calibri"/>
                <w:color w:val="000000"/>
                <w:sz w:val="20"/>
                <w:szCs w:val="20"/>
              </w:rPr>
              <w:t>%</w:t>
            </w:r>
          </w:p>
        </w:tc>
        <w:tc>
          <w:tcPr>
            <w:tcW w:w="1105" w:type="dxa"/>
            <w:vAlign w:val="bottom"/>
          </w:tcPr>
          <w:p w:rsidR="00685BE5" w:rsidRPr="00BB00C8" w:rsidRDefault="00930DC4" w:rsidP="00AE4C3A">
            <w:pPr>
              <w:spacing w:before="20" w:after="20"/>
              <w:ind w:right="145"/>
              <w:jc w:val="right"/>
              <w:rPr>
                <w:rFonts w:ascii="Calibri" w:hAnsi="Calibri" w:cs="Calibri"/>
                <w:b/>
                <w:color w:val="000000"/>
                <w:sz w:val="20"/>
                <w:szCs w:val="20"/>
              </w:rPr>
            </w:pPr>
            <w:r>
              <w:rPr>
                <w:rFonts w:ascii="Calibri" w:hAnsi="Calibri" w:cs="Calibri"/>
                <w:b/>
                <w:color w:val="000000"/>
                <w:sz w:val="20"/>
                <w:szCs w:val="20"/>
              </w:rPr>
              <w:t xml:space="preserve"> </w:t>
            </w:r>
            <w:r w:rsidR="00685BE5" w:rsidRPr="00BB00C8">
              <w:rPr>
                <w:rFonts w:ascii="Calibri" w:hAnsi="Calibri" w:cs="Calibri"/>
                <w:b/>
                <w:color w:val="000000"/>
                <w:sz w:val="20"/>
                <w:szCs w:val="20"/>
              </w:rPr>
              <w:t>5.2</w:t>
            </w:r>
            <w:r>
              <w:rPr>
                <w:rFonts w:ascii="Calibri" w:hAnsi="Calibri" w:cs="Calibri"/>
                <w:b/>
                <w:color w:val="000000"/>
                <w:sz w:val="20"/>
                <w:szCs w:val="20"/>
              </w:rPr>
              <w:t>%</w:t>
            </w:r>
          </w:p>
        </w:tc>
      </w:tr>
      <w:tr w:rsidR="00685BE5" w:rsidRPr="00B90E88" w:rsidTr="00AE4C3A">
        <w:tc>
          <w:tcPr>
            <w:tcW w:w="5383" w:type="dxa"/>
            <w:vAlign w:val="center"/>
          </w:tcPr>
          <w:p w:rsidR="00685BE5" w:rsidRPr="00BB00C8" w:rsidRDefault="00685BE5" w:rsidP="00AE4C3A">
            <w:pPr>
              <w:spacing w:before="20" w:after="20"/>
              <w:rPr>
                <w:rFonts w:cstheme="minorHAnsi"/>
                <w:sz w:val="20"/>
                <w:szCs w:val="20"/>
              </w:rPr>
            </w:pPr>
            <w:r w:rsidRPr="00BB00C8">
              <w:rPr>
                <w:rFonts w:cstheme="minorHAnsi"/>
                <w:sz w:val="20"/>
                <w:szCs w:val="20"/>
              </w:rPr>
              <w:t>Other</w:t>
            </w:r>
          </w:p>
        </w:tc>
        <w:tc>
          <w:tcPr>
            <w:tcW w:w="1181" w:type="dxa"/>
            <w:vAlign w:val="center"/>
          </w:tcPr>
          <w:p w:rsidR="00685BE5" w:rsidRPr="00BB00C8" w:rsidRDefault="00685BE5" w:rsidP="00AE4C3A">
            <w:pPr>
              <w:spacing w:before="20" w:after="20"/>
              <w:ind w:right="145"/>
              <w:jc w:val="right"/>
              <w:rPr>
                <w:rFonts w:cstheme="minorHAnsi"/>
                <w:sz w:val="20"/>
                <w:szCs w:val="20"/>
              </w:rPr>
            </w:pPr>
            <w:r w:rsidRPr="00BB00C8">
              <w:rPr>
                <w:rFonts w:cstheme="minorHAnsi"/>
                <w:sz w:val="20"/>
                <w:szCs w:val="20"/>
              </w:rPr>
              <w:t>1319</w:t>
            </w:r>
          </w:p>
        </w:tc>
        <w:tc>
          <w:tcPr>
            <w:tcW w:w="1257" w:type="dxa"/>
            <w:vAlign w:val="center"/>
          </w:tcPr>
          <w:p w:rsidR="00685BE5" w:rsidRPr="00BB00C8" w:rsidRDefault="00685BE5" w:rsidP="00AE4C3A">
            <w:pPr>
              <w:spacing w:before="20" w:after="20"/>
              <w:ind w:right="145"/>
              <w:jc w:val="right"/>
              <w:rPr>
                <w:rFonts w:cstheme="minorHAnsi"/>
                <w:sz w:val="20"/>
                <w:szCs w:val="20"/>
              </w:rPr>
            </w:pPr>
            <w:r w:rsidRPr="00BB00C8">
              <w:rPr>
                <w:rFonts w:cstheme="minorHAnsi"/>
                <w:sz w:val="20"/>
                <w:szCs w:val="20"/>
              </w:rPr>
              <w:t>3,162</w:t>
            </w:r>
          </w:p>
        </w:tc>
        <w:tc>
          <w:tcPr>
            <w:tcW w:w="1105" w:type="dxa"/>
            <w:vAlign w:val="bottom"/>
          </w:tcPr>
          <w:p w:rsidR="00685BE5" w:rsidRPr="00BB00C8" w:rsidRDefault="00685BE5" w:rsidP="00AE4C3A">
            <w:pPr>
              <w:spacing w:before="20" w:after="20"/>
              <w:ind w:right="145"/>
              <w:jc w:val="right"/>
              <w:rPr>
                <w:rFonts w:cstheme="minorHAnsi"/>
                <w:b/>
                <w:sz w:val="20"/>
                <w:szCs w:val="20"/>
              </w:rPr>
            </w:pPr>
            <w:r w:rsidRPr="00BB00C8">
              <w:rPr>
                <w:rFonts w:cstheme="minorHAnsi"/>
                <w:b/>
                <w:sz w:val="20"/>
                <w:szCs w:val="20"/>
              </w:rPr>
              <w:t>4,481</w:t>
            </w:r>
          </w:p>
        </w:tc>
      </w:tr>
      <w:tr w:rsidR="00685BE5" w:rsidRPr="00B90E88" w:rsidTr="00DB6C89">
        <w:tc>
          <w:tcPr>
            <w:tcW w:w="5383" w:type="dxa"/>
            <w:tcBorders>
              <w:bottom w:val="single" w:sz="4" w:space="0" w:color="auto"/>
            </w:tcBorders>
            <w:vAlign w:val="center"/>
          </w:tcPr>
          <w:p w:rsidR="00685BE5" w:rsidRPr="00BB00C8" w:rsidRDefault="00685BE5" w:rsidP="00AE4C3A">
            <w:pPr>
              <w:spacing w:before="20" w:after="20"/>
              <w:rPr>
                <w:rFonts w:cstheme="minorHAnsi"/>
                <w:sz w:val="20"/>
                <w:szCs w:val="20"/>
              </w:rPr>
            </w:pPr>
          </w:p>
        </w:tc>
        <w:tc>
          <w:tcPr>
            <w:tcW w:w="1181" w:type="dxa"/>
            <w:tcBorders>
              <w:bottom w:val="single" w:sz="4" w:space="0" w:color="auto"/>
            </w:tcBorders>
            <w:vAlign w:val="bottom"/>
          </w:tcPr>
          <w:p w:rsidR="00685BE5" w:rsidRPr="00BB00C8" w:rsidRDefault="00930DC4" w:rsidP="00AE4C3A">
            <w:pPr>
              <w:spacing w:before="20" w:after="20"/>
              <w:ind w:right="145"/>
              <w:jc w:val="right"/>
              <w:rPr>
                <w:rFonts w:ascii="Calibri" w:hAnsi="Calibri" w:cs="Calibri"/>
                <w:color w:val="000000"/>
                <w:sz w:val="20"/>
                <w:szCs w:val="20"/>
              </w:rPr>
            </w:pPr>
            <w:r>
              <w:rPr>
                <w:rFonts w:ascii="Calibri" w:hAnsi="Calibri" w:cs="Calibri"/>
                <w:color w:val="000000"/>
                <w:sz w:val="20"/>
                <w:szCs w:val="20"/>
              </w:rPr>
              <w:t xml:space="preserve"> </w:t>
            </w:r>
            <w:r w:rsidR="00685BE5" w:rsidRPr="00BB00C8">
              <w:rPr>
                <w:rFonts w:ascii="Calibri" w:hAnsi="Calibri" w:cs="Calibri"/>
                <w:color w:val="000000"/>
                <w:sz w:val="20"/>
                <w:szCs w:val="20"/>
              </w:rPr>
              <w:t>14.8</w:t>
            </w:r>
            <w:r>
              <w:rPr>
                <w:rFonts w:ascii="Calibri" w:hAnsi="Calibri" w:cs="Calibri"/>
                <w:color w:val="000000"/>
                <w:sz w:val="20"/>
                <w:szCs w:val="20"/>
              </w:rPr>
              <w:t>%</w:t>
            </w:r>
          </w:p>
        </w:tc>
        <w:tc>
          <w:tcPr>
            <w:tcW w:w="1257" w:type="dxa"/>
            <w:tcBorders>
              <w:bottom w:val="single" w:sz="4" w:space="0" w:color="auto"/>
            </w:tcBorders>
            <w:vAlign w:val="bottom"/>
          </w:tcPr>
          <w:p w:rsidR="00685BE5" w:rsidRPr="00BB00C8" w:rsidRDefault="00930DC4" w:rsidP="00AE4C3A">
            <w:pPr>
              <w:spacing w:before="20" w:after="20"/>
              <w:ind w:right="145"/>
              <w:jc w:val="right"/>
              <w:rPr>
                <w:rFonts w:ascii="Calibri" w:hAnsi="Calibri" w:cs="Calibri"/>
                <w:color w:val="000000"/>
                <w:sz w:val="20"/>
                <w:szCs w:val="20"/>
              </w:rPr>
            </w:pPr>
            <w:r>
              <w:rPr>
                <w:rFonts w:ascii="Calibri" w:hAnsi="Calibri" w:cs="Calibri"/>
                <w:color w:val="000000"/>
                <w:sz w:val="20"/>
                <w:szCs w:val="20"/>
              </w:rPr>
              <w:t xml:space="preserve"> </w:t>
            </w:r>
            <w:r w:rsidR="00685BE5" w:rsidRPr="00BB00C8">
              <w:rPr>
                <w:rFonts w:ascii="Calibri" w:hAnsi="Calibri" w:cs="Calibri"/>
                <w:color w:val="000000"/>
                <w:sz w:val="20"/>
                <w:szCs w:val="20"/>
              </w:rPr>
              <w:t>11.8</w:t>
            </w:r>
            <w:r>
              <w:rPr>
                <w:rFonts w:ascii="Calibri" w:hAnsi="Calibri" w:cs="Calibri"/>
                <w:color w:val="000000"/>
                <w:sz w:val="20"/>
                <w:szCs w:val="20"/>
              </w:rPr>
              <w:t>%</w:t>
            </w:r>
          </w:p>
        </w:tc>
        <w:tc>
          <w:tcPr>
            <w:tcW w:w="1105" w:type="dxa"/>
            <w:tcBorders>
              <w:bottom w:val="single" w:sz="4" w:space="0" w:color="auto"/>
            </w:tcBorders>
            <w:vAlign w:val="bottom"/>
          </w:tcPr>
          <w:p w:rsidR="00685BE5" w:rsidRPr="00BB00C8" w:rsidRDefault="00930DC4" w:rsidP="00AE4C3A">
            <w:pPr>
              <w:spacing w:before="20" w:after="20"/>
              <w:ind w:right="145"/>
              <w:jc w:val="right"/>
              <w:rPr>
                <w:rFonts w:ascii="Calibri" w:hAnsi="Calibri" w:cs="Calibri"/>
                <w:b/>
                <w:color w:val="000000"/>
                <w:sz w:val="20"/>
                <w:szCs w:val="20"/>
              </w:rPr>
            </w:pPr>
            <w:r>
              <w:rPr>
                <w:rFonts w:ascii="Calibri" w:hAnsi="Calibri" w:cs="Calibri"/>
                <w:b/>
                <w:color w:val="000000"/>
                <w:sz w:val="20"/>
                <w:szCs w:val="20"/>
              </w:rPr>
              <w:t xml:space="preserve"> </w:t>
            </w:r>
            <w:r w:rsidR="00685BE5" w:rsidRPr="00BB00C8">
              <w:rPr>
                <w:rFonts w:ascii="Calibri" w:hAnsi="Calibri" w:cs="Calibri"/>
                <w:b/>
                <w:color w:val="000000"/>
                <w:sz w:val="20"/>
                <w:szCs w:val="20"/>
              </w:rPr>
              <w:t>12.6</w:t>
            </w:r>
            <w:r>
              <w:rPr>
                <w:rFonts w:ascii="Calibri" w:hAnsi="Calibri" w:cs="Calibri"/>
                <w:b/>
                <w:color w:val="000000"/>
                <w:sz w:val="20"/>
                <w:szCs w:val="20"/>
              </w:rPr>
              <w:t>%</w:t>
            </w:r>
          </w:p>
        </w:tc>
      </w:tr>
      <w:tr w:rsidR="00685BE5" w:rsidRPr="00B90E88" w:rsidTr="00DB6C89">
        <w:tc>
          <w:tcPr>
            <w:tcW w:w="5383" w:type="dxa"/>
            <w:tcBorders>
              <w:top w:val="single" w:sz="4" w:space="0" w:color="auto"/>
              <w:bottom w:val="single" w:sz="4" w:space="0" w:color="auto"/>
            </w:tcBorders>
            <w:shd w:val="clear" w:color="auto" w:fill="auto"/>
            <w:vAlign w:val="center"/>
          </w:tcPr>
          <w:p w:rsidR="00685BE5" w:rsidRPr="00F52A2D" w:rsidRDefault="00685BE5" w:rsidP="00AE4C3A">
            <w:pPr>
              <w:spacing w:before="20" w:after="20"/>
              <w:rPr>
                <w:rFonts w:cstheme="minorHAnsi"/>
                <w:b/>
                <w:sz w:val="20"/>
                <w:szCs w:val="20"/>
              </w:rPr>
            </w:pPr>
            <w:r w:rsidRPr="00F52A2D">
              <w:rPr>
                <w:rFonts w:cstheme="minorHAnsi"/>
                <w:b/>
                <w:sz w:val="20"/>
                <w:szCs w:val="20"/>
              </w:rPr>
              <w:t>Total</w:t>
            </w:r>
          </w:p>
        </w:tc>
        <w:tc>
          <w:tcPr>
            <w:tcW w:w="1181" w:type="dxa"/>
            <w:tcBorders>
              <w:top w:val="single" w:sz="4" w:space="0" w:color="auto"/>
              <w:bottom w:val="single" w:sz="4" w:space="0" w:color="auto"/>
            </w:tcBorders>
            <w:shd w:val="clear" w:color="auto" w:fill="auto"/>
            <w:vAlign w:val="bottom"/>
          </w:tcPr>
          <w:p w:rsidR="00685BE5" w:rsidRPr="00F52A2D" w:rsidRDefault="00685BE5" w:rsidP="00AE4C3A">
            <w:pPr>
              <w:spacing w:before="20" w:after="20"/>
              <w:ind w:right="145"/>
              <w:jc w:val="right"/>
              <w:rPr>
                <w:rFonts w:cstheme="minorHAnsi"/>
                <w:b/>
                <w:sz w:val="20"/>
                <w:szCs w:val="20"/>
              </w:rPr>
            </w:pPr>
            <w:r w:rsidRPr="00F52A2D">
              <w:rPr>
                <w:rFonts w:cstheme="minorHAnsi"/>
                <w:b/>
                <w:sz w:val="20"/>
                <w:szCs w:val="20"/>
              </w:rPr>
              <w:t>8,913</w:t>
            </w:r>
          </w:p>
        </w:tc>
        <w:tc>
          <w:tcPr>
            <w:tcW w:w="1257" w:type="dxa"/>
            <w:tcBorders>
              <w:top w:val="single" w:sz="4" w:space="0" w:color="auto"/>
              <w:bottom w:val="single" w:sz="4" w:space="0" w:color="auto"/>
            </w:tcBorders>
            <w:shd w:val="clear" w:color="auto" w:fill="auto"/>
            <w:vAlign w:val="bottom"/>
          </w:tcPr>
          <w:p w:rsidR="00685BE5" w:rsidRPr="00F52A2D" w:rsidRDefault="00685BE5" w:rsidP="00AE4C3A">
            <w:pPr>
              <w:spacing w:before="20" w:after="20"/>
              <w:ind w:right="145"/>
              <w:jc w:val="right"/>
              <w:rPr>
                <w:rFonts w:cstheme="minorHAnsi"/>
                <w:b/>
                <w:sz w:val="20"/>
                <w:szCs w:val="20"/>
              </w:rPr>
            </w:pPr>
            <w:r w:rsidRPr="00F52A2D">
              <w:rPr>
                <w:rFonts w:cstheme="minorHAnsi"/>
                <w:b/>
                <w:sz w:val="20"/>
                <w:szCs w:val="20"/>
              </w:rPr>
              <w:t>26,741</w:t>
            </w:r>
          </w:p>
        </w:tc>
        <w:tc>
          <w:tcPr>
            <w:tcW w:w="1105" w:type="dxa"/>
            <w:tcBorders>
              <w:top w:val="single" w:sz="4" w:space="0" w:color="auto"/>
              <w:bottom w:val="single" w:sz="4" w:space="0" w:color="auto"/>
            </w:tcBorders>
            <w:shd w:val="clear" w:color="auto" w:fill="auto"/>
            <w:vAlign w:val="bottom"/>
          </w:tcPr>
          <w:p w:rsidR="00685BE5" w:rsidRPr="00F52A2D" w:rsidRDefault="00685BE5" w:rsidP="00AE4C3A">
            <w:pPr>
              <w:spacing w:before="20" w:after="20"/>
              <w:ind w:right="145"/>
              <w:jc w:val="right"/>
              <w:rPr>
                <w:rFonts w:cstheme="minorHAnsi"/>
                <w:b/>
                <w:sz w:val="20"/>
                <w:szCs w:val="20"/>
              </w:rPr>
            </w:pPr>
            <w:r w:rsidRPr="00F52A2D">
              <w:rPr>
                <w:rFonts w:cstheme="minorHAnsi"/>
                <w:b/>
                <w:sz w:val="20"/>
                <w:szCs w:val="20"/>
              </w:rPr>
              <w:t>35,654</w:t>
            </w:r>
          </w:p>
        </w:tc>
      </w:tr>
    </w:tbl>
    <w:p w:rsidR="00685BE5" w:rsidRPr="00E3331B" w:rsidRDefault="00685BE5" w:rsidP="00AE4C3A">
      <w:pPr>
        <w:pStyle w:val="NILSReference"/>
      </w:pPr>
      <w:r w:rsidRPr="00E3331B">
        <w:t>Source: 2014 NDIS DSP outlet survey, Questions B2.</w:t>
      </w:r>
    </w:p>
    <w:p w:rsidR="00685BE5" w:rsidRPr="00E3331B" w:rsidRDefault="00685BE5" w:rsidP="00AE4C3A">
      <w:pPr>
        <w:pStyle w:val="NILSReference"/>
      </w:pPr>
      <w:r w:rsidRPr="00E3331B">
        <w:t xml:space="preserve">Notes: </w:t>
      </w:r>
      <w:r>
        <w:t xml:space="preserve">Headcount reported by the </w:t>
      </w:r>
      <w:r w:rsidRPr="00E3331B">
        <w:t xml:space="preserve">669 outlets </w:t>
      </w:r>
      <w:r>
        <w:t xml:space="preserve">that </w:t>
      </w:r>
      <w:r w:rsidRPr="00E3331B">
        <w:t xml:space="preserve">responded to this question. </w:t>
      </w:r>
      <w:r w:rsidR="0072413F" w:rsidRPr="00E3331B">
        <w:t>Column percentages are shown.</w:t>
      </w:r>
    </w:p>
    <w:p w:rsidR="003A37B0" w:rsidRDefault="003A37B0" w:rsidP="00AE4C3A">
      <w:pPr>
        <w:rPr>
          <w:rFonts w:cstheme="minorHAnsi"/>
        </w:rPr>
      </w:pPr>
    </w:p>
    <w:p w:rsidR="00685BE5" w:rsidRPr="00AB33E3" w:rsidRDefault="00685BE5" w:rsidP="00AE4C3A">
      <w:pPr>
        <w:rPr>
          <w:rFonts w:cstheme="minorHAnsi"/>
        </w:rPr>
      </w:pPr>
      <w:r w:rsidRPr="00AB33E3">
        <w:rPr>
          <w:rFonts w:cstheme="minorHAnsi"/>
        </w:rPr>
        <w:t>The age composition of the disability suppo</w:t>
      </w:r>
      <w:r>
        <w:rPr>
          <w:rFonts w:cstheme="minorHAnsi"/>
        </w:rPr>
        <w:t>rt workforce is shown in Table 4.19</w:t>
      </w:r>
      <w:r w:rsidRPr="00AB33E3">
        <w:rPr>
          <w:rFonts w:cstheme="minorHAnsi"/>
        </w:rPr>
        <w:t>, based on the information in the employee survey sample.</w:t>
      </w:r>
      <w:r>
        <w:rPr>
          <w:rFonts w:cstheme="minorHAnsi"/>
        </w:rPr>
        <w:t xml:space="preserve"> It </w:t>
      </w:r>
      <w:r w:rsidRPr="00AB33E3">
        <w:rPr>
          <w:rFonts w:cstheme="minorHAnsi"/>
        </w:rPr>
        <w:t>shows that the disability support sector ha</w:t>
      </w:r>
      <w:r>
        <w:rPr>
          <w:rFonts w:cstheme="minorHAnsi"/>
        </w:rPr>
        <w:t>d</w:t>
      </w:r>
      <w:r w:rsidRPr="00AB33E3">
        <w:rPr>
          <w:rFonts w:cstheme="minorHAnsi"/>
        </w:rPr>
        <w:t xml:space="preserve"> a significant proportion of older employees: </w:t>
      </w:r>
      <w:r>
        <w:rPr>
          <w:rFonts w:cstheme="minorHAnsi"/>
        </w:rPr>
        <w:t>m</w:t>
      </w:r>
      <w:r w:rsidRPr="00AB33E3">
        <w:rPr>
          <w:rFonts w:cstheme="minorHAnsi"/>
        </w:rPr>
        <w:t xml:space="preserve">ore than 40 </w:t>
      </w:r>
      <w:r>
        <w:rPr>
          <w:rFonts w:cstheme="minorHAnsi"/>
        </w:rPr>
        <w:t xml:space="preserve">per cent </w:t>
      </w:r>
      <w:r w:rsidRPr="00AB33E3">
        <w:rPr>
          <w:rFonts w:cstheme="minorHAnsi"/>
        </w:rPr>
        <w:t xml:space="preserve">of the employees </w:t>
      </w:r>
      <w:r>
        <w:rPr>
          <w:rFonts w:cstheme="minorHAnsi"/>
        </w:rPr>
        <w:t>we</w:t>
      </w:r>
      <w:r w:rsidRPr="00AB33E3">
        <w:rPr>
          <w:rFonts w:cstheme="minorHAnsi"/>
        </w:rPr>
        <w:t xml:space="preserve">re aged 45 years or older. The median age of the disability support workforce </w:t>
      </w:r>
      <w:r>
        <w:rPr>
          <w:rFonts w:cstheme="minorHAnsi"/>
        </w:rPr>
        <w:t>wa</w:t>
      </w:r>
      <w:r w:rsidRPr="00AB33E3">
        <w:rPr>
          <w:rFonts w:cstheme="minorHAnsi"/>
        </w:rPr>
        <w:t xml:space="preserve">s 43 years (therefore half of the workforce </w:t>
      </w:r>
      <w:r>
        <w:rPr>
          <w:rFonts w:cstheme="minorHAnsi"/>
        </w:rPr>
        <w:t>wa</w:t>
      </w:r>
      <w:r w:rsidRPr="00AB33E3">
        <w:rPr>
          <w:rFonts w:cstheme="minorHAnsi"/>
        </w:rPr>
        <w:t xml:space="preserve">s aged 16-43 years with the remaining half older than this). This </w:t>
      </w:r>
      <w:r>
        <w:rPr>
          <w:rFonts w:cstheme="minorHAnsi"/>
        </w:rPr>
        <w:t>wa</w:t>
      </w:r>
      <w:r w:rsidRPr="00AB33E3">
        <w:rPr>
          <w:rFonts w:cstheme="minorHAnsi"/>
        </w:rPr>
        <w:t>s higher than the equivalent for the whole Australian workforce (</w:t>
      </w:r>
      <w:r>
        <w:rPr>
          <w:rFonts w:cstheme="minorHAnsi"/>
        </w:rPr>
        <w:t xml:space="preserve">for example, the </w:t>
      </w:r>
      <w:r w:rsidRPr="00AB33E3">
        <w:rPr>
          <w:rFonts w:cstheme="minorHAnsi"/>
        </w:rPr>
        <w:t xml:space="preserve">median age </w:t>
      </w:r>
      <w:r>
        <w:rPr>
          <w:rFonts w:cstheme="minorHAnsi"/>
        </w:rPr>
        <w:t xml:space="preserve">in the </w:t>
      </w:r>
      <w:r w:rsidRPr="00AB33E3">
        <w:rPr>
          <w:rFonts w:cstheme="minorHAnsi"/>
        </w:rPr>
        <w:t>HILDA</w:t>
      </w:r>
      <w:r>
        <w:rPr>
          <w:rStyle w:val="FootnoteReference"/>
          <w:rFonts w:cstheme="minorHAnsi"/>
        </w:rPr>
        <w:footnoteReference w:id="26"/>
      </w:r>
      <w:r w:rsidRPr="00AB33E3">
        <w:rPr>
          <w:rFonts w:cstheme="minorHAnsi"/>
        </w:rPr>
        <w:t xml:space="preserve"> 2014</w:t>
      </w:r>
      <w:r>
        <w:rPr>
          <w:rFonts w:cstheme="minorHAnsi"/>
        </w:rPr>
        <w:t xml:space="preserve"> data was </w:t>
      </w:r>
      <w:r w:rsidRPr="00AB33E3">
        <w:rPr>
          <w:rFonts w:cstheme="minorHAnsi"/>
        </w:rPr>
        <w:t xml:space="preserve">39 years) but much lower than that of the aged care workforce </w:t>
      </w:r>
      <w:r>
        <w:rPr>
          <w:rFonts w:cstheme="minorHAnsi"/>
        </w:rPr>
        <w:t xml:space="preserve">in </w:t>
      </w:r>
      <w:r w:rsidRPr="00AB33E3">
        <w:rPr>
          <w:rFonts w:cstheme="minorHAnsi"/>
        </w:rPr>
        <w:t xml:space="preserve">2012 (median age </w:t>
      </w:r>
      <w:r>
        <w:rPr>
          <w:rFonts w:cstheme="minorHAnsi"/>
        </w:rPr>
        <w:t xml:space="preserve">was </w:t>
      </w:r>
      <w:r w:rsidRPr="00AB33E3">
        <w:rPr>
          <w:rFonts w:cstheme="minorHAnsi"/>
        </w:rPr>
        <w:t>50 years for community care employees and 48 years for residential care employees</w:t>
      </w:r>
      <w:r>
        <w:rPr>
          <w:rFonts w:cstheme="minorHAnsi"/>
        </w:rPr>
        <w:t>, King et al. 2013</w:t>
      </w:r>
      <w:r w:rsidRPr="00AB33E3">
        <w:rPr>
          <w:rFonts w:cstheme="minorHAnsi"/>
        </w:rPr>
        <w:t>)</w:t>
      </w:r>
      <w:r w:rsidR="00AF24EB">
        <w:rPr>
          <w:rStyle w:val="FootnoteReference"/>
          <w:rFonts w:cstheme="minorHAnsi"/>
        </w:rPr>
        <w:footnoteReference w:id="27"/>
      </w:r>
      <w:r w:rsidRPr="00AB33E3">
        <w:rPr>
          <w:rFonts w:cstheme="minorHAnsi"/>
        </w:rPr>
        <w:t>.</w:t>
      </w:r>
      <w:r>
        <w:rPr>
          <w:rFonts w:cstheme="minorHAnsi"/>
        </w:rPr>
        <w:t xml:space="preserve"> A more comprehensive comparison with national data will be attempted in the Intermediate Report analyses and a better picture will be built after the Wave 2 data collection.</w:t>
      </w:r>
    </w:p>
    <w:p w:rsidR="00685BE5" w:rsidRDefault="00685BE5">
      <w:bookmarkStart w:id="567" w:name="_Toc425425093"/>
      <w:r>
        <w:br w:type="page"/>
      </w:r>
    </w:p>
    <w:p w:rsidR="00685BE5" w:rsidRPr="00AB33E3" w:rsidRDefault="00685BE5" w:rsidP="0044684E">
      <w:pPr>
        <w:pStyle w:val="NILSTableHeading"/>
      </w:pPr>
      <w:bookmarkStart w:id="568" w:name="_Toc428279224"/>
      <w:bookmarkStart w:id="569" w:name="_Toc449955355"/>
      <w:r>
        <w:lastRenderedPageBreak/>
        <w:t>Table 4.19</w:t>
      </w:r>
      <w:r w:rsidRPr="00AB33E3">
        <w:t>: Age distribution of the disability support workforce</w:t>
      </w:r>
      <w:bookmarkEnd w:id="567"/>
      <w:bookmarkEnd w:id="568"/>
      <w:bookmarkEnd w:id="569"/>
    </w:p>
    <w:tbl>
      <w:tblPr>
        <w:tblW w:w="3652" w:type="dxa"/>
        <w:tblLook w:val="04A0" w:firstRow="1" w:lastRow="0" w:firstColumn="1" w:lastColumn="0" w:noHBand="0" w:noVBand="1"/>
        <w:tblCaption w:val="Table 4.19 Age distribution of the disability support workforce"/>
      </w:tblPr>
      <w:tblGrid>
        <w:gridCol w:w="2518"/>
        <w:gridCol w:w="1134"/>
      </w:tblGrid>
      <w:tr w:rsidR="00685BE5" w:rsidRPr="004A64D2" w:rsidTr="00962448">
        <w:trPr>
          <w:trHeight w:val="288"/>
          <w:tblHeader/>
        </w:trPr>
        <w:tc>
          <w:tcPr>
            <w:tcW w:w="2518" w:type="dxa"/>
            <w:tcBorders>
              <w:top w:val="single" w:sz="4" w:space="0" w:color="auto"/>
              <w:left w:val="nil"/>
              <w:bottom w:val="single" w:sz="4" w:space="0" w:color="auto"/>
              <w:right w:val="nil"/>
            </w:tcBorders>
            <w:shd w:val="clear" w:color="auto" w:fill="auto"/>
            <w:noWrap/>
            <w:vAlign w:val="bottom"/>
            <w:hideMark/>
          </w:tcPr>
          <w:p w:rsidR="00685BE5" w:rsidRPr="00E3331B" w:rsidRDefault="00685BE5" w:rsidP="00962448">
            <w:pPr>
              <w:spacing w:before="20" w:after="20"/>
              <w:rPr>
                <w:rFonts w:cstheme="minorHAnsi"/>
                <w:bCs/>
                <w:sz w:val="20"/>
                <w:szCs w:val="20"/>
              </w:rPr>
            </w:pPr>
            <w:bookmarkStart w:id="570" w:name="Title_4_19"/>
            <w:bookmarkEnd w:id="570"/>
          </w:p>
        </w:tc>
        <w:tc>
          <w:tcPr>
            <w:tcW w:w="1134" w:type="dxa"/>
            <w:tcBorders>
              <w:top w:val="single" w:sz="4" w:space="0" w:color="auto"/>
              <w:left w:val="nil"/>
              <w:bottom w:val="single" w:sz="4" w:space="0" w:color="auto"/>
              <w:right w:val="nil"/>
            </w:tcBorders>
            <w:shd w:val="clear" w:color="auto" w:fill="auto"/>
            <w:noWrap/>
            <w:vAlign w:val="bottom"/>
            <w:hideMark/>
          </w:tcPr>
          <w:p w:rsidR="00685BE5" w:rsidRPr="00E3331B" w:rsidRDefault="0096484D" w:rsidP="00AE4C3A">
            <w:pPr>
              <w:spacing w:before="20" w:after="20"/>
              <w:jc w:val="center"/>
              <w:rPr>
                <w:rFonts w:cstheme="minorHAnsi"/>
                <w:bCs/>
                <w:sz w:val="20"/>
                <w:szCs w:val="20"/>
              </w:rPr>
            </w:pPr>
            <w:r>
              <w:rPr>
                <w:rFonts w:cstheme="minorHAnsi"/>
                <w:bCs/>
                <w:sz w:val="20"/>
                <w:szCs w:val="20"/>
              </w:rPr>
              <w:t>%</w:t>
            </w:r>
          </w:p>
        </w:tc>
      </w:tr>
      <w:tr w:rsidR="00685BE5" w:rsidRPr="00B90E88" w:rsidTr="00AE4C3A">
        <w:trPr>
          <w:trHeight w:val="288"/>
        </w:trPr>
        <w:tc>
          <w:tcPr>
            <w:tcW w:w="2518" w:type="dxa"/>
            <w:tcBorders>
              <w:top w:val="nil"/>
              <w:left w:val="nil"/>
              <w:bottom w:val="nil"/>
              <w:right w:val="nil"/>
            </w:tcBorders>
            <w:shd w:val="clear" w:color="auto" w:fill="auto"/>
            <w:noWrap/>
            <w:vAlign w:val="bottom"/>
            <w:hideMark/>
          </w:tcPr>
          <w:p w:rsidR="00685BE5" w:rsidRPr="007D2274" w:rsidRDefault="00685BE5" w:rsidP="004A6993">
            <w:pPr>
              <w:spacing w:before="20" w:after="20"/>
              <w:rPr>
                <w:rFonts w:cstheme="minorHAnsi"/>
                <w:sz w:val="20"/>
                <w:szCs w:val="20"/>
              </w:rPr>
            </w:pPr>
            <w:r w:rsidRPr="007D2274">
              <w:rPr>
                <w:rFonts w:cstheme="minorHAnsi"/>
                <w:sz w:val="20"/>
                <w:szCs w:val="20"/>
              </w:rPr>
              <w:t>16</w:t>
            </w:r>
            <w:r w:rsidR="005A2403">
              <w:rPr>
                <w:rFonts w:cstheme="minorHAnsi"/>
                <w:sz w:val="20"/>
                <w:szCs w:val="20"/>
              </w:rPr>
              <w:t xml:space="preserve"> to </w:t>
            </w:r>
            <w:r w:rsidRPr="007D2274">
              <w:rPr>
                <w:rFonts w:cstheme="minorHAnsi"/>
                <w:sz w:val="20"/>
                <w:szCs w:val="20"/>
              </w:rPr>
              <w:t>24</w:t>
            </w:r>
            <w:r w:rsidR="00962448">
              <w:rPr>
                <w:rFonts w:cstheme="minorHAnsi"/>
                <w:sz w:val="20"/>
                <w:szCs w:val="20"/>
              </w:rPr>
              <w:t xml:space="preserve"> </w:t>
            </w:r>
          </w:p>
        </w:tc>
        <w:tc>
          <w:tcPr>
            <w:tcW w:w="1134" w:type="dxa"/>
            <w:tcBorders>
              <w:top w:val="nil"/>
              <w:left w:val="nil"/>
              <w:bottom w:val="nil"/>
              <w:right w:val="nil"/>
            </w:tcBorders>
            <w:shd w:val="clear" w:color="auto" w:fill="auto"/>
            <w:noWrap/>
            <w:vAlign w:val="bottom"/>
            <w:hideMark/>
          </w:tcPr>
          <w:p w:rsidR="00685BE5" w:rsidRPr="007D2274" w:rsidRDefault="00685BE5" w:rsidP="00FF1B62">
            <w:pPr>
              <w:spacing w:before="20" w:after="20"/>
              <w:ind w:right="284"/>
              <w:jc w:val="right"/>
              <w:rPr>
                <w:rFonts w:cstheme="minorHAnsi"/>
                <w:sz w:val="20"/>
                <w:szCs w:val="20"/>
              </w:rPr>
            </w:pPr>
            <w:r w:rsidRPr="007D2274">
              <w:rPr>
                <w:rFonts w:cstheme="minorHAnsi"/>
                <w:sz w:val="20"/>
                <w:szCs w:val="20"/>
              </w:rPr>
              <w:t>7.3</w:t>
            </w:r>
          </w:p>
        </w:tc>
      </w:tr>
      <w:tr w:rsidR="00685BE5" w:rsidRPr="00B90E88" w:rsidTr="00AE4C3A">
        <w:trPr>
          <w:trHeight w:val="288"/>
        </w:trPr>
        <w:tc>
          <w:tcPr>
            <w:tcW w:w="2518" w:type="dxa"/>
            <w:tcBorders>
              <w:top w:val="nil"/>
              <w:left w:val="nil"/>
              <w:bottom w:val="nil"/>
              <w:right w:val="nil"/>
            </w:tcBorders>
            <w:shd w:val="clear" w:color="auto" w:fill="auto"/>
            <w:noWrap/>
            <w:vAlign w:val="bottom"/>
            <w:hideMark/>
          </w:tcPr>
          <w:p w:rsidR="00685BE5" w:rsidRPr="007D2274" w:rsidRDefault="00685BE5" w:rsidP="004A6993">
            <w:pPr>
              <w:spacing w:before="20" w:after="20"/>
              <w:rPr>
                <w:rFonts w:cstheme="minorHAnsi"/>
                <w:sz w:val="20"/>
                <w:szCs w:val="20"/>
              </w:rPr>
            </w:pPr>
            <w:r w:rsidRPr="007D2274">
              <w:rPr>
                <w:rFonts w:cstheme="minorHAnsi"/>
                <w:sz w:val="20"/>
                <w:szCs w:val="20"/>
              </w:rPr>
              <w:t>25</w:t>
            </w:r>
            <w:r w:rsidR="005A2403">
              <w:rPr>
                <w:rFonts w:cstheme="minorHAnsi"/>
                <w:sz w:val="20"/>
                <w:szCs w:val="20"/>
              </w:rPr>
              <w:t xml:space="preserve"> to </w:t>
            </w:r>
            <w:r w:rsidRPr="007D2274">
              <w:rPr>
                <w:rFonts w:cstheme="minorHAnsi"/>
                <w:sz w:val="20"/>
                <w:szCs w:val="20"/>
              </w:rPr>
              <w:t>34</w:t>
            </w:r>
            <w:r w:rsidR="00962448">
              <w:rPr>
                <w:rFonts w:cstheme="minorHAnsi"/>
                <w:sz w:val="20"/>
                <w:szCs w:val="20"/>
              </w:rPr>
              <w:t xml:space="preserve"> </w:t>
            </w:r>
          </w:p>
        </w:tc>
        <w:tc>
          <w:tcPr>
            <w:tcW w:w="1134" w:type="dxa"/>
            <w:tcBorders>
              <w:top w:val="nil"/>
              <w:left w:val="nil"/>
              <w:bottom w:val="nil"/>
              <w:right w:val="nil"/>
            </w:tcBorders>
            <w:shd w:val="clear" w:color="auto" w:fill="auto"/>
            <w:noWrap/>
            <w:vAlign w:val="bottom"/>
            <w:hideMark/>
          </w:tcPr>
          <w:p w:rsidR="00685BE5" w:rsidRPr="007D2274" w:rsidRDefault="00685BE5" w:rsidP="00FF1B62">
            <w:pPr>
              <w:spacing w:before="20" w:after="20"/>
              <w:ind w:right="284"/>
              <w:jc w:val="right"/>
              <w:rPr>
                <w:rFonts w:cstheme="minorHAnsi"/>
                <w:sz w:val="20"/>
                <w:szCs w:val="20"/>
              </w:rPr>
            </w:pPr>
            <w:r w:rsidRPr="007D2274">
              <w:rPr>
                <w:rFonts w:cstheme="minorHAnsi"/>
                <w:sz w:val="20"/>
                <w:szCs w:val="20"/>
              </w:rPr>
              <w:t>22.6</w:t>
            </w:r>
          </w:p>
        </w:tc>
      </w:tr>
      <w:tr w:rsidR="00685BE5" w:rsidRPr="00B90E88" w:rsidTr="00AE4C3A">
        <w:trPr>
          <w:trHeight w:val="288"/>
        </w:trPr>
        <w:tc>
          <w:tcPr>
            <w:tcW w:w="2518" w:type="dxa"/>
            <w:tcBorders>
              <w:top w:val="nil"/>
              <w:left w:val="nil"/>
              <w:bottom w:val="nil"/>
              <w:right w:val="nil"/>
            </w:tcBorders>
            <w:shd w:val="clear" w:color="auto" w:fill="auto"/>
            <w:noWrap/>
            <w:vAlign w:val="bottom"/>
            <w:hideMark/>
          </w:tcPr>
          <w:p w:rsidR="00685BE5" w:rsidRPr="007D2274" w:rsidRDefault="00685BE5" w:rsidP="004A6993">
            <w:pPr>
              <w:spacing w:before="20" w:after="20"/>
              <w:rPr>
                <w:rFonts w:cstheme="minorHAnsi"/>
                <w:sz w:val="20"/>
                <w:szCs w:val="20"/>
              </w:rPr>
            </w:pPr>
            <w:r w:rsidRPr="007D2274">
              <w:rPr>
                <w:rFonts w:cstheme="minorHAnsi"/>
                <w:sz w:val="20"/>
                <w:szCs w:val="20"/>
              </w:rPr>
              <w:t>35</w:t>
            </w:r>
            <w:r w:rsidR="005A2403">
              <w:rPr>
                <w:rFonts w:cstheme="minorHAnsi"/>
                <w:sz w:val="20"/>
                <w:szCs w:val="20"/>
              </w:rPr>
              <w:t xml:space="preserve"> to </w:t>
            </w:r>
            <w:r w:rsidRPr="007D2274">
              <w:rPr>
                <w:rFonts w:cstheme="minorHAnsi"/>
                <w:sz w:val="20"/>
                <w:szCs w:val="20"/>
              </w:rPr>
              <w:t>44</w:t>
            </w:r>
            <w:r w:rsidR="00962448">
              <w:rPr>
                <w:rFonts w:cstheme="minorHAnsi"/>
                <w:sz w:val="20"/>
                <w:szCs w:val="20"/>
              </w:rPr>
              <w:t xml:space="preserve"> </w:t>
            </w:r>
          </w:p>
        </w:tc>
        <w:tc>
          <w:tcPr>
            <w:tcW w:w="1134" w:type="dxa"/>
            <w:tcBorders>
              <w:top w:val="nil"/>
              <w:left w:val="nil"/>
              <w:bottom w:val="nil"/>
              <w:right w:val="nil"/>
            </w:tcBorders>
            <w:shd w:val="clear" w:color="auto" w:fill="auto"/>
            <w:noWrap/>
            <w:vAlign w:val="bottom"/>
            <w:hideMark/>
          </w:tcPr>
          <w:p w:rsidR="00685BE5" w:rsidRPr="007D2274" w:rsidRDefault="00685BE5" w:rsidP="00FF1B62">
            <w:pPr>
              <w:spacing w:before="20" w:after="20"/>
              <w:ind w:right="284"/>
              <w:jc w:val="right"/>
              <w:rPr>
                <w:rFonts w:cstheme="minorHAnsi"/>
                <w:sz w:val="20"/>
                <w:szCs w:val="20"/>
              </w:rPr>
            </w:pPr>
            <w:r w:rsidRPr="007D2274">
              <w:rPr>
                <w:rFonts w:cstheme="minorHAnsi"/>
                <w:sz w:val="20"/>
                <w:szCs w:val="20"/>
              </w:rPr>
              <w:t>24.4</w:t>
            </w:r>
          </w:p>
        </w:tc>
      </w:tr>
      <w:tr w:rsidR="00685BE5" w:rsidRPr="00B90E88" w:rsidTr="00AE4C3A">
        <w:trPr>
          <w:trHeight w:val="288"/>
        </w:trPr>
        <w:tc>
          <w:tcPr>
            <w:tcW w:w="2518" w:type="dxa"/>
            <w:tcBorders>
              <w:top w:val="nil"/>
              <w:left w:val="nil"/>
              <w:bottom w:val="nil"/>
              <w:right w:val="nil"/>
            </w:tcBorders>
            <w:shd w:val="clear" w:color="auto" w:fill="auto"/>
            <w:noWrap/>
            <w:vAlign w:val="bottom"/>
            <w:hideMark/>
          </w:tcPr>
          <w:p w:rsidR="00685BE5" w:rsidRPr="007D2274" w:rsidRDefault="00685BE5" w:rsidP="004A6993">
            <w:pPr>
              <w:spacing w:before="20" w:after="20"/>
              <w:rPr>
                <w:rFonts w:cstheme="minorHAnsi"/>
                <w:sz w:val="20"/>
                <w:szCs w:val="20"/>
              </w:rPr>
            </w:pPr>
            <w:r w:rsidRPr="007D2274">
              <w:rPr>
                <w:rFonts w:cstheme="minorHAnsi"/>
                <w:sz w:val="20"/>
                <w:szCs w:val="20"/>
              </w:rPr>
              <w:t>45</w:t>
            </w:r>
            <w:r w:rsidR="005A2403">
              <w:rPr>
                <w:rFonts w:cstheme="minorHAnsi"/>
                <w:sz w:val="20"/>
                <w:szCs w:val="20"/>
              </w:rPr>
              <w:t xml:space="preserve"> to </w:t>
            </w:r>
            <w:r w:rsidRPr="007D2274">
              <w:rPr>
                <w:rFonts w:cstheme="minorHAnsi"/>
                <w:sz w:val="20"/>
                <w:szCs w:val="20"/>
              </w:rPr>
              <w:t>54</w:t>
            </w:r>
          </w:p>
        </w:tc>
        <w:tc>
          <w:tcPr>
            <w:tcW w:w="1134" w:type="dxa"/>
            <w:tcBorders>
              <w:top w:val="nil"/>
              <w:left w:val="nil"/>
              <w:bottom w:val="nil"/>
              <w:right w:val="nil"/>
            </w:tcBorders>
            <w:shd w:val="clear" w:color="auto" w:fill="auto"/>
            <w:noWrap/>
            <w:vAlign w:val="bottom"/>
            <w:hideMark/>
          </w:tcPr>
          <w:p w:rsidR="00685BE5" w:rsidRPr="007D2274" w:rsidRDefault="00685BE5" w:rsidP="00FF1B62">
            <w:pPr>
              <w:spacing w:before="20" w:after="20"/>
              <w:ind w:right="284"/>
              <w:jc w:val="right"/>
              <w:rPr>
                <w:rFonts w:cstheme="minorHAnsi"/>
                <w:sz w:val="20"/>
                <w:szCs w:val="20"/>
              </w:rPr>
            </w:pPr>
            <w:r w:rsidRPr="007D2274">
              <w:rPr>
                <w:rFonts w:cstheme="minorHAnsi"/>
                <w:sz w:val="20"/>
                <w:szCs w:val="20"/>
              </w:rPr>
              <w:t>26.0</w:t>
            </w:r>
          </w:p>
        </w:tc>
      </w:tr>
      <w:tr w:rsidR="00685BE5" w:rsidRPr="00B90E88" w:rsidTr="00AE4C3A">
        <w:trPr>
          <w:trHeight w:val="288"/>
        </w:trPr>
        <w:tc>
          <w:tcPr>
            <w:tcW w:w="2518" w:type="dxa"/>
            <w:tcBorders>
              <w:top w:val="nil"/>
              <w:left w:val="nil"/>
              <w:bottom w:val="nil"/>
              <w:right w:val="nil"/>
            </w:tcBorders>
            <w:shd w:val="clear" w:color="auto" w:fill="auto"/>
            <w:noWrap/>
            <w:vAlign w:val="bottom"/>
            <w:hideMark/>
          </w:tcPr>
          <w:p w:rsidR="00685BE5" w:rsidRPr="007D2274" w:rsidRDefault="00685BE5" w:rsidP="004A6993">
            <w:pPr>
              <w:spacing w:before="20" w:after="20"/>
              <w:rPr>
                <w:rFonts w:cstheme="minorHAnsi"/>
                <w:sz w:val="20"/>
                <w:szCs w:val="20"/>
              </w:rPr>
            </w:pPr>
            <w:r w:rsidRPr="007D2274">
              <w:rPr>
                <w:rFonts w:cstheme="minorHAnsi"/>
                <w:sz w:val="20"/>
                <w:szCs w:val="20"/>
              </w:rPr>
              <w:t>55</w:t>
            </w:r>
            <w:r w:rsidR="005A2403">
              <w:rPr>
                <w:rFonts w:cstheme="minorHAnsi"/>
                <w:sz w:val="20"/>
                <w:szCs w:val="20"/>
              </w:rPr>
              <w:t xml:space="preserve"> to </w:t>
            </w:r>
            <w:r w:rsidRPr="007D2274">
              <w:rPr>
                <w:rFonts w:cstheme="minorHAnsi"/>
                <w:sz w:val="20"/>
                <w:szCs w:val="20"/>
              </w:rPr>
              <w:t>64</w:t>
            </w:r>
            <w:r w:rsidR="00962448">
              <w:rPr>
                <w:rFonts w:cstheme="minorHAnsi"/>
                <w:sz w:val="20"/>
                <w:szCs w:val="20"/>
              </w:rPr>
              <w:t xml:space="preserve"> </w:t>
            </w:r>
          </w:p>
        </w:tc>
        <w:tc>
          <w:tcPr>
            <w:tcW w:w="1134" w:type="dxa"/>
            <w:tcBorders>
              <w:top w:val="nil"/>
              <w:left w:val="nil"/>
              <w:bottom w:val="nil"/>
              <w:right w:val="nil"/>
            </w:tcBorders>
            <w:shd w:val="clear" w:color="auto" w:fill="auto"/>
            <w:noWrap/>
            <w:vAlign w:val="bottom"/>
            <w:hideMark/>
          </w:tcPr>
          <w:p w:rsidR="00685BE5" w:rsidRPr="007D2274" w:rsidRDefault="00685BE5" w:rsidP="00FF1B62">
            <w:pPr>
              <w:spacing w:before="20" w:after="20"/>
              <w:ind w:right="284"/>
              <w:jc w:val="right"/>
              <w:rPr>
                <w:rFonts w:cstheme="minorHAnsi"/>
                <w:sz w:val="20"/>
                <w:szCs w:val="20"/>
              </w:rPr>
            </w:pPr>
            <w:r w:rsidRPr="007D2274">
              <w:rPr>
                <w:rFonts w:cstheme="minorHAnsi"/>
                <w:sz w:val="20"/>
                <w:szCs w:val="20"/>
              </w:rPr>
              <w:t>16.4</w:t>
            </w:r>
          </w:p>
        </w:tc>
      </w:tr>
      <w:tr w:rsidR="00685BE5" w:rsidRPr="00B90E88" w:rsidTr="00AE4C3A">
        <w:trPr>
          <w:trHeight w:val="288"/>
        </w:trPr>
        <w:tc>
          <w:tcPr>
            <w:tcW w:w="2518" w:type="dxa"/>
            <w:tcBorders>
              <w:top w:val="nil"/>
              <w:left w:val="nil"/>
              <w:bottom w:val="nil"/>
              <w:right w:val="nil"/>
            </w:tcBorders>
            <w:shd w:val="clear" w:color="auto" w:fill="auto"/>
            <w:noWrap/>
            <w:vAlign w:val="bottom"/>
            <w:hideMark/>
          </w:tcPr>
          <w:p w:rsidR="00685BE5" w:rsidRPr="007D2274" w:rsidRDefault="00685BE5" w:rsidP="004A6993">
            <w:pPr>
              <w:spacing w:before="20" w:after="20"/>
              <w:rPr>
                <w:rFonts w:cstheme="minorHAnsi"/>
                <w:sz w:val="20"/>
                <w:szCs w:val="20"/>
              </w:rPr>
            </w:pPr>
            <w:r w:rsidRPr="007D2274">
              <w:rPr>
                <w:rFonts w:cstheme="minorHAnsi"/>
                <w:sz w:val="20"/>
                <w:szCs w:val="20"/>
              </w:rPr>
              <w:t>65</w:t>
            </w:r>
            <w:r w:rsidR="00962448">
              <w:rPr>
                <w:rFonts w:cstheme="minorHAnsi"/>
                <w:sz w:val="20"/>
                <w:szCs w:val="20"/>
              </w:rPr>
              <w:t xml:space="preserve"> </w:t>
            </w:r>
            <w:r w:rsidRPr="007D2274">
              <w:rPr>
                <w:rFonts w:cstheme="minorHAnsi"/>
                <w:sz w:val="20"/>
                <w:szCs w:val="20"/>
              </w:rPr>
              <w:t>or above</w:t>
            </w:r>
          </w:p>
        </w:tc>
        <w:tc>
          <w:tcPr>
            <w:tcW w:w="1134" w:type="dxa"/>
            <w:tcBorders>
              <w:top w:val="nil"/>
              <w:left w:val="nil"/>
              <w:bottom w:val="nil"/>
              <w:right w:val="nil"/>
            </w:tcBorders>
            <w:shd w:val="clear" w:color="auto" w:fill="auto"/>
            <w:noWrap/>
            <w:vAlign w:val="bottom"/>
            <w:hideMark/>
          </w:tcPr>
          <w:p w:rsidR="00685BE5" w:rsidRPr="007D2274" w:rsidRDefault="00685BE5" w:rsidP="00FF1B62">
            <w:pPr>
              <w:spacing w:before="20" w:after="20"/>
              <w:ind w:right="284"/>
              <w:jc w:val="right"/>
              <w:rPr>
                <w:rFonts w:cstheme="minorHAnsi"/>
                <w:sz w:val="20"/>
                <w:szCs w:val="20"/>
              </w:rPr>
            </w:pPr>
            <w:r w:rsidRPr="007D2274">
              <w:rPr>
                <w:rFonts w:cstheme="minorHAnsi"/>
                <w:sz w:val="20"/>
                <w:szCs w:val="20"/>
              </w:rPr>
              <w:t>2.1</w:t>
            </w:r>
          </w:p>
        </w:tc>
      </w:tr>
      <w:tr w:rsidR="00685BE5" w:rsidRPr="00B90E88" w:rsidTr="00AE4C3A">
        <w:trPr>
          <w:trHeight w:val="288"/>
        </w:trPr>
        <w:tc>
          <w:tcPr>
            <w:tcW w:w="2518" w:type="dxa"/>
            <w:tcBorders>
              <w:top w:val="nil"/>
              <w:left w:val="nil"/>
              <w:bottom w:val="single" w:sz="4" w:space="0" w:color="auto"/>
              <w:right w:val="nil"/>
            </w:tcBorders>
            <w:shd w:val="clear" w:color="auto" w:fill="auto"/>
            <w:noWrap/>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 xml:space="preserve">Question not answered </w:t>
            </w:r>
          </w:p>
        </w:tc>
        <w:tc>
          <w:tcPr>
            <w:tcW w:w="1134" w:type="dxa"/>
            <w:tcBorders>
              <w:top w:val="nil"/>
              <w:left w:val="nil"/>
              <w:bottom w:val="single" w:sz="4" w:space="0" w:color="auto"/>
              <w:right w:val="nil"/>
            </w:tcBorders>
            <w:shd w:val="clear" w:color="auto" w:fill="auto"/>
            <w:noWrap/>
            <w:vAlign w:val="bottom"/>
            <w:hideMark/>
          </w:tcPr>
          <w:p w:rsidR="00685BE5" w:rsidRPr="007D2274" w:rsidRDefault="00685BE5" w:rsidP="00FF1B62">
            <w:pPr>
              <w:spacing w:before="20" w:after="20"/>
              <w:ind w:right="284"/>
              <w:jc w:val="right"/>
              <w:rPr>
                <w:rFonts w:cstheme="minorHAnsi"/>
                <w:sz w:val="20"/>
                <w:szCs w:val="20"/>
              </w:rPr>
            </w:pPr>
            <w:r w:rsidRPr="007D2274">
              <w:rPr>
                <w:rFonts w:cstheme="minorHAnsi"/>
                <w:sz w:val="20"/>
                <w:szCs w:val="20"/>
              </w:rPr>
              <w:t>1.2</w:t>
            </w:r>
          </w:p>
        </w:tc>
      </w:tr>
      <w:tr w:rsidR="00685BE5" w:rsidRPr="0010208C" w:rsidTr="00AE4C3A">
        <w:trPr>
          <w:trHeight w:val="288"/>
        </w:trPr>
        <w:tc>
          <w:tcPr>
            <w:tcW w:w="2518" w:type="dxa"/>
            <w:tcBorders>
              <w:top w:val="single" w:sz="4" w:space="0" w:color="auto"/>
              <w:left w:val="nil"/>
              <w:bottom w:val="single" w:sz="4" w:space="0" w:color="auto"/>
              <w:right w:val="nil"/>
            </w:tcBorders>
            <w:shd w:val="clear" w:color="auto" w:fill="auto"/>
            <w:noWrap/>
            <w:vAlign w:val="bottom"/>
            <w:hideMark/>
          </w:tcPr>
          <w:p w:rsidR="00685BE5" w:rsidRPr="00E3331B" w:rsidRDefault="00685BE5" w:rsidP="00AE4C3A">
            <w:pPr>
              <w:spacing w:before="20" w:after="20"/>
              <w:rPr>
                <w:rFonts w:cstheme="minorHAnsi"/>
                <w:b/>
                <w:sz w:val="20"/>
                <w:szCs w:val="20"/>
              </w:rPr>
            </w:pPr>
            <w:r w:rsidRPr="00E3331B">
              <w:rPr>
                <w:rFonts w:cstheme="minorHAnsi"/>
                <w:b/>
                <w:sz w:val="20"/>
                <w:szCs w:val="20"/>
              </w:rPr>
              <w:t>Total (N=2</w:t>
            </w:r>
            <w:r>
              <w:rPr>
                <w:rFonts w:cstheme="minorHAnsi"/>
                <w:b/>
                <w:sz w:val="20"/>
                <w:szCs w:val="20"/>
              </w:rPr>
              <w:t>,</w:t>
            </w:r>
            <w:r w:rsidRPr="00E3331B">
              <w:rPr>
                <w:rFonts w:cstheme="minorHAnsi"/>
                <w:b/>
                <w:sz w:val="20"/>
                <w:szCs w:val="20"/>
              </w:rPr>
              <w:t>133)</w:t>
            </w:r>
          </w:p>
        </w:tc>
        <w:tc>
          <w:tcPr>
            <w:tcW w:w="1134" w:type="dxa"/>
            <w:tcBorders>
              <w:top w:val="single" w:sz="4" w:space="0" w:color="auto"/>
              <w:left w:val="nil"/>
              <w:bottom w:val="single" w:sz="4" w:space="0" w:color="auto"/>
              <w:right w:val="nil"/>
            </w:tcBorders>
            <w:shd w:val="clear" w:color="auto" w:fill="auto"/>
            <w:noWrap/>
            <w:vAlign w:val="bottom"/>
            <w:hideMark/>
          </w:tcPr>
          <w:p w:rsidR="00685BE5" w:rsidRPr="00E3331B" w:rsidRDefault="00685BE5" w:rsidP="00FF1B62">
            <w:pPr>
              <w:spacing w:before="20" w:after="20"/>
              <w:ind w:right="284"/>
              <w:jc w:val="right"/>
              <w:rPr>
                <w:rFonts w:cstheme="minorHAnsi"/>
                <w:b/>
                <w:sz w:val="20"/>
                <w:szCs w:val="20"/>
              </w:rPr>
            </w:pPr>
            <w:r w:rsidRPr="00E3331B">
              <w:rPr>
                <w:rFonts w:cstheme="minorHAnsi"/>
                <w:b/>
                <w:sz w:val="20"/>
                <w:szCs w:val="20"/>
              </w:rPr>
              <w:t>100</w:t>
            </w:r>
          </w:p>
        </w:tc>
      </w:tr>
      <w:tr w:rsidR="00685BE5" w:rsidRPr="00B90E88" w:rsidTr="00AE4C3A">
        <w:trPr>
          <w:trHeight w:val="288"/>
        </w:trPr>
        <w:tc>
          <w:tcPr>
            <w:tcW w:w="2518" w:type="dxa"/>
            <w:tcBorders>
              <w:top w:val="single" w:sz="4" w:space="0" w:color="auto"/>
              <w:left w:val="nil"/>
              <w:bottom w:val="single" w:sz="4" w:space="0" w:color="auto"/>
              <w:right w:val="nil"/>
            </w:tcBorders>
            <w:shd w:val="clear" w:color="auto" w:fill="auto"/>
            <w:noWrap/>
            <w:vAlign w:val="bottom"/>
          </w:tcPr>
          <w:p w:rsidR="00685BE5" w:rsidRPr="007D2274" w:rsidRDefault="00685BE5" w:rsidP="00AE4C3A">
            <w:pPr>
              <w:spacing w:before="20" w:after="20"/>
              <w:rPr>
                <w:rFonts w:cstheme="minorHAnsi"/>
                <w:sz w:val="20"/>
                <w:szCs w:val="20"/>
              </w:rPr>
            </w:pPr>
            <w:r w:rsidRPr="007D2274">
              <w:rPr>
                <w:rFonts w:cstheme="minorHAnsi"/>
                <w:sz w:val="20"/>
                <w:szCs w:val="20"/>
              </w:rPr>
              <w:t>Median</w:t>
            </w:r>
          </w:p>
        </w:tc>
        <w:tc>
          <w:tcPr>
            <w:tcW w:w="1134" w:type="dxa"/>
            <w:tcBorders>
              <w:top w:val="single" w:sz="4" w:space="0" w:color="auto"/>
              <w:left w:val="nil"/>
              <w:bottom w:val="single" w:sz="4" w:space="0" w:color="auto"/>
              <w:right w:val="nil"/>
            </w:tcBorders>
            <w:shd w:val="clear" w:color="auto" w:fill="auto"/>
            <w:noWrap/>
            <w:vAlign w:val="bottom"/>
          </w:tcPr>
          <w:p w:rsidR="00685BE5" w:rsidRPr="007D2274" w:rsidRDefault="00685BE5" w:rsidP="00FF1B62">
            <w:pPr>
              <w:spacing w:before="20" w:after="20"/>
              <w:ind w:right="284"/>
              <w:jc w:val="right"/>
              <w:rPr>
                <w:rFonts w:cstheme="minorHAnsi"/>
                <w:sz w:val="20"/>
                <w:szCs w:val="20"/>
              </w:rPr>
            </w:pPr>
            <w:r w:rsidRPr="007D2274">
              <w:rPr>
                <w:rFonts w:cstheme="minorHAnsi"/>
                <w:sz w:val="20"/>
                <w:szCs w:val="20"/>
              </w:rPr>
              <w:t>43</w:t>
            </w:r>
          </w:p>
        </w:tc>
      </w:tr>
    </w:tbl>
    <w:p w:rsidR="00685BE5" w:rsidRPr="007D2274" w:rsidRDefault="00685BE5" w:rsidP="00AE4C3A">
      <w:pPr>
        <w:pStyle w:val="NILSReference"/>
      </w:pPr>
      <w:r w:rsidRPr="007D2274">
        <w:t xml:space="preserve">Source: 2014 NDIS DSP employee survey, Question A2. </w:t>
      </w:r>
    </w:p>
    <w:p w:rsidR="003A37B0" w:rsidRDefault="003A37B0" w:rsidP="00AE4C3A">
      <w:pPr>
        <w:rPr>
          <w:rFonts w:cstheme="minorHAnsi"/>
        </w:rPr>
      </w:pPr>
    </w:p>
    <w:p w:rsidR="00685BE5" w:rsidRDefault="00685BE5" w:rsidP="00AE4C3A">
      <w:pPr>
        <w:rPr>
          <w:rFonts w:cstheme="minorHAnsi"/>
        </w:rPr>
      </w:pPr>
      <w:r w:rsidRPr="00AB33E3">
        <w:rPr>
          <w:rFonts w:cstheme="minorHAnsi"/>
        </w:rPr>
        <w:t xml:space="preserve">Table </w:t>
      </w:r>
      <w:r>
        <w:rPr>
          <w:rFonts w:cstheme="minorHAnsi"/>
        </w:rPr>
        <w:t>4.20</w:t>
      </w:r>
      <w:r w:rsidRPr="00AB33E3">
        <w:rPr>
          <w:rFonts w:cstheme="minorHAnsi"/>
        </w:rPr>
        <w:t xml:space="preserve"> shows the </w:t>
      </w:r>
      <w:r>
        <w:rPr>
          <w:rFonts w:cstheme="minorHAnsi"/>
        </w:rPr>
        <w:t>c</w:t>
      </w:r>
      <w:r w:rsidRPr="00AB33E3">
        <w:rPr>
          <w:rFonts w:cstheme="minorHAnsi"/>
        </w:rPr>
        <w:t xml:space="preserve">ountry of birth composition of the disability support workforce, based on the information in the employee survey sample. </w:t>
      </w:r>
    </w:p>
    <w:p w:rsidR="003A37B0" w:rsidRPr="001071BF" w:rsidRDefault="003A37B0" w:rsidP="00AE4C3A">
      <w:pPr>
        <w:rPr>
          <w:rFonts w:cstheme="minorHAnsi"/>
          <w:sz w:val="20"/>
          <w:szCs w:val="20"/>
        </w:rPr>
      </w:pPr>
    </w:p>
    <w:p w:rsidR="00685BE5" w:rsidRDefault="00685BE5" w:rsidP="00AE4C3A">
      <w:pPr>
        <w:rPr>
          <w:rFonts w:cstheme="minorHAnsi"/>
        </w:rPr>
      </w:pPr>
      <w:r w:rsidRPr="00AB33E3">
        <w:rPr>
          <w:rFonts w:cstheme="minorHAnsi"/>
        </w:rPr>
        <w:t>Slightly more than three quarters of the disability support workfor</w:t>
      </w:r>
      <w:r>
        <w:rPr>
          <w:rFonts w:cstheme="minorHAnsi"/>
        </w:rPr>
        <w:t>ce was Australian born (Table 4.20</w:t>
      </w:r>
      <w:r w:rsidRPr="00AB33E3">
        <w:rPr>
          <w:rFonts w:cstheme="minorHAnsi"/>
        </w:rPr>
        <w:t xml:space="preserve"> 77 per cent). This represents a higher proportion of Australian born workers than the 72</w:t>
      </w:r>
      <w:r>
        <w:rPr>
          <w:rFonts w:cstheme="minorHAnsi"/>
        </w:rPr>
        <w:t xml:space="preserve"> and 65</w:t>
      </w:r>
      <w:r w:rsidRPr="00AB33E3">
        <w:rPr>
          <w:rFonts w:cstheme="minorHAnsi"/>
        </w:rPr>
        <w:t xml:space="preserve"> per cent</w:t>
      </w:r>
      <w:r>
        <w:rPr>
          <w:rFonts w:cstheme="minorHAnsi"/>
        </w:rPr>
        <w:t>, respectively</w:t>
      </w:r>
      <w:r w:rsidRPr="00AB33E3">
        <w:rPr>
          <w:rFonts w:cstheme="minorHAnsi"/>
        </w:rPr>
        <w:t xml:space="preserve"> found in the community</w:t>
      </w:r>
      <w:r>
        <w:rPr>
          <w:rFonts w:cstheme="minorHAnsi"/>
        </w:rPr>
        <w:t xml:space="preserve"> and residential</w:t>
      </w:r>
      <w:r w:rsidRPr="00AB33E3">
        <w:rPr>
          <w:rFonts w:cstheme="minorHAnsi"/>
        </w:rPr>
        <w:t xml:space="preserve"> aged care workforce (see </w:t>
      </w:r>
      <w:r>
        <w:rPr>
          <w:rFonts w:cstheme="minorHAnsi"/>
          <w:i/>
        </w:rPr>
        <w:t>King et al. 2013</w:t>
      </w:r>
      <w:r w:rsidRPr="00AB33E3">
        <w:rPr>
          <w:rFonts w:cstheme="minorHAnsi"/>
        </w:rPr>
        <w:t>, p</w:t>
      </w:r>
      <w:r>
        <w:rPr>
          <w:rFonts w:cstheme="minorHAnsi"/>
        </w:rPr>
        <w:t>.p.</w:t>
      </w:r>
      <w:r w:rsidRPr="00AB33E3">
        <w:rPr>
          <w:rFonts w:cstheme="minorHAnsi"/>
        </w:rPr>
        <w:t xml:space="preserve"> 76</w:t>
      </w:r>
      <w:r>
        <w:rPr>
          <w:rFonts w:cstheme="minorHAnsi"/>
        </w:rPr>
        <w:t xml:space="preserve"> and 14</w:t>
      </w:r>
      <w:r w:rsidRPr="00AB33E3">
        <w:rPr>
          <w:rFonts w:cstheme="minorHAnsi"/>
        </w:rPr>
        <w:t xml:space="preserve">). Among those who were born overseas, 73 per cent had been in Australia for more than 10 years and most </w:t>
      </w:r>
      <w:r>
        <w:rPr>
          <w:rFonts w:cstheme="minorHAnsi"/>
        </w:rPr>
        <w:t>we</w:t>
      </w:r>
      <w:r w:rsidRPr="00AB33E3">
        <w:rPr>
          <w:rFonts w:cstheme="minorHAnsi"/>
        </w:rPr>
        <w:t xml:space="preserve">re from English speaking countries. The disability care workforce </w:t>
      </w:r>
      <w:r>
        <w:rPr>
          <w:rFonts w:cstheme="minorHAnsi"/>
        </w:rPr>
        <w:t>wa</w:t>
      </w:r>
      <w:r w:rsidRPr="00AB33E3">
        <w:rPr>
          <w:rFonts w:cstheme="minorHAnsi"/>
        </w:rPr>
        <w:t>s not one that draws much on recent migrants.</w:t>
      </w:r>
    </w:p>
    <w:p w:rsidR="003A37B0" w:rsidRPr="00AB33E3" w:rsidRDefault="003A37B0" w:rsidP="00AE4C3A">
      <w:pPr>
        <w:rPr>
          <w:rFonts w:cstheme="minorHAnsi"/>
        </w:rPr>
      </w:pPr>
    </w:p>
    <w:p w:rsidR="00685BE5" w:rsidRPr="00AB33E3" w:rsidRDefault="00685BE5" w:rsidP="0044684E">
      <w:pPr>
        <w:pStyle w:val="NILSTableHeading"/>
      </w:pPr>
      <w:bookmarkStart w:id="571" w:name="_Toc425425094"/>
      <w:bookmarkStart w:id="572" w:name="_Toc428279225"/>
      <w:bookmarkStart w:id="573" w:name="_Toc449955356"/>
      <w:r>
        <w:t>Table 4.20</w:t>
      </w:r>
      <w:r w:rsidRPr="00AB33E3">
        <w:t>: Country of birth of the disability support workforce</w:t>
      </w:r>
      <w:bookmarkEnd w:id="571"/>
      <w:bookmarkEnd w:id="572"/>
      <w:bookmarkEnd w:id="573"/>
    </w:p>
    <w:tbl>
      <w:tblPr>
        <w:tblW w:w="3871" w:type="dxa"/>
        <w:tblLook w:val="04A0" w:firstRow="1" w:lastRow="0" w:firstColumn="1" w:lastColumn="0" w:noHBand="0" w:noVBand="1"/>
        <w:tblCaption w:val="Table 4.20 Country of birth of the disability support workforce"/>
      </w:tblPr>
      <w:tblGrid>
        <w:gridCol w:w="2266"/>
        <w:gridCol w:w="1605"/>
      </w:tblGrid>
      <w:tr w:rsidR="00685BE5" w:rsidRPr="0010208C" w:rsidTr="00962448">
        <w:trPr>
          <w:trHeight w:val="288"/>
          <w:tblHeader/>
        </w:trPr>
        <w:tc>
          <w:tcPr>
            <w:tcW w:w="2266" w:type="dxa"/>
            <w:tcBorders>
              <w:top w:val="single" w:sz="4" w:space="0" w:color="auto"/>
              <w:left w:val="nil"/>
              <w:bottom w:val="single" w:sz="4" w:space="0" w:color="auto"/>
              <w:right w:val="nil"/>
            </w:tcBorders>
            <w:shd w:val="clear" w:color="auto" w:fill="auto"/>
            <w:noWrap/>
            <w:vAlign w:val="center"/>
          </w:tcPr>
          <w:p w:rsidR="00685BE5" w:rsidRPr="00E3331B" w:rsidRDefault="00685BE5" w:rsidP="00AE4C3A">
            <w:pPr>
              <w:spacing w:before="20" w:after="20"/>
              <w:rPr>
                <w:rFonts w:cstheme="minorHAnsi"/>
                <w:bCs/>
                <w:sz w:val="20"/>
                <w:szCs w:val="20"/>
              </w:rPr>
            </w:pPr>
            <w:bookmarkStart w:id="574" w:name="Title_4_20"/>
            <w:bookmarkEnd w:id="574"/>
          </w:p>
        </w:tc>
        <w:tc>
          <w:tcPr>
            <w:tcW w:w="1605" w:type="dxa"/>
            <w:tcBorders>
              <w:top w:val="single" w:sz="4" w:space="0" w:color="auto"/>
              <w:left w:val="nil"/>
              <w:bottom w:val="single" w:sz="4" w:space="0" w:color="auto"/>
              <w:right w:val="nil"/>
            </w:tcBorders>
            <w:shd w:val="clear" w:color="auto" w:fill="auto"/>
            <w:noWrap/>
            <w:vAlign w:val="center"/>
            <w:hideMark/>
          </w:tcPr>
          <w:p w:rsidR="00685BE5" w:rsidRPr="00E3331B" w:rsidRDefault="0096484D" w:rsidP="00AE4C3A">
            <w:pPr>
              <w:spacing w:before="20" w:after="20"/>
              <w:jc w:val="center"/>
              <w:rPr>
                <w:rFonts w:cstheme="minorHAnsi"/>
                <w:bCs/>
                <w:sz w:val="20"/>
                <w:szCs w:val="20"/>
              </w:rPr>
            </w:pPr>
            <w:r>
              <w:rPr>
                <w:rFonts w:cstheme="minorHAnsi"/>
                <w:bCs/>
                <w:sz w:val="20"/>
                <w:szCs w:val="20"/>
              </w:rPr>
              <w:t>%</w:t>
            </w:r>
          </w:p>
        </w:tc>
      </w:tr>
      <w:tr w:rsidR="00685BE5" w:rsidRPr="00B90E88" w:rsidTr="00AE4C3A">
        <w:trPr>
          <w:trHeight w:val="288"/>
        </w:trPr>
        <w:tc>
          <w:tcPr>
            <w:tcW w:w="2266" w:type="dxa"/>
            <w:tcBorders>
              <w:top w:val="nil"/>
              <w:left w:val="nil"/>
              <w:bottom w:val="nil"/>
              <w:right w:val="nil"/>
            </w:tcBorders>
            <w:shd w:val="clear" w:color="auto" w:fill="auto"/>
            <w:noWrap/>
            <w:vAlign w:val="center"/>
            <w:hideMark/>
          </w:tcPr>
          <w:p w:rsidR="00685BE5" w:rsidRPr="007D2274" w:rsidRDefault="00685BE5" w:rsidP="00AE4C3A">
            <w:pPr>
              <w:spacing w:before="20" w:after="20"/>
              <w:rPr>
                <w:rFonts w:cstheme="minorHAnsi"/>
                <w:sz w:val="20"/>
                <w:szCs w:val="20"/>
              </w:rPr>
            </w:pPr>
            <w:r w:rsidRPr="007D2274">
              <w:rPr>
                <w:rFonts w:cstheme="minorHAnsi"/>
                <w:sz w:val="20"/>
                <w:szCs w:val="20"/>
              </w:rPr>
              <w:t>Australia</w:t>
            </w:r>
          </w:p>
        </w:tc>
        <w:tc>
          <w:tcPr>
            <w:tcW w:w="1605" w:type="dxa"/>
            <w:tcBorders>
              <w:top w:val="nil"/>
              <w:left w:val="nil"/>
              <w:bottom w:val="nil"/>
              <w:right w:val="nil"/>
            </w:tcBorders>
            <w:shd w:val="clear" w:color="auto" w:fill="auto"/>
            <w:noWrap/>
            <w:vAlign w:val="center"/>
            <w:hideMark/>
          </w:tcPr>
          <w:p w:rsidR="00685BE5" w:rsidRPr="007D2274" w:rsidRDefault="00685BE5" w:rsidP="00AE4C3A">
            <w:pPr>
              <w:tabs>
                <w:tab w:val="decimal" w:pos="678"/>
              </w:tabs>
              <w:spacing w:before="20" w:after="20"/>
              <w:ind w:right="459"/>
              <w:jc w:val="right"/>
              <w:rPr>
                <w:rFonts w:cstheme="minorHAnsi"/>
                <w:sz w:val="20"/>
                <w:szCs w:val="20"/>
              </w:rPr>
            </w:pPr>
            <w:r w:rsidRPr="007D2274">
              <w:rPr>
                <w:rFonts w:cstheme="minorHAnsi"/>
                <w:sz w:val="20"/>
                <w:szCs w:val="20"/>
              </w:rPr>
              <w:t>77.3</w:t>
            </w:r>
          </w:p>
        </w:tc>
      </w:tr>
      <w:tr w:rsidR="00685BE5" w:rsidRPr="00B90E88" w:rsidTr="00AE4C3A">
        <w:trPr>
          <w:trHeight w:val="288"/>
        </w:trPr>
        <w:tc>
          <w:tcPr>
            <w:tcW w:w="2266" w:type="dxa"/>
            <w:tcBorders>
              <w:top w:val="nil"/>
              <w:left w:val="nil"/>
              <w:bottom w:val="nil"/>
              <w:right w:val="nil"/>
            </w:tcBorders>
            <w:shd w:val="clear" w:color="auto" w:fill="auto"/>
            <w:noWrap/>
            <w:vAlign w:val="center"/>
            <w:hideMark/>
          </w:tcPr>
          <w:p w:rsidR="00685BE5" w:rsidRPr="007D2274" w:rsidRDefault="00685BE5" w:rsidP="00AE4C3A">
            <w:pPr>
              <w:spacing w:before="20" w:after="20"/>
              <w:rPr>
                <w:rFonts w:cstheme="minorHAnsi"/>
                <w:sz w:val="20"/>
                <w:szCs w:val="20"/>
              </w:rPr>
            </w:pPr>
            <w:r w:rsidRPr="007D2274">
              <w:rPr>
                <w:rFonts w:cstheme="minorHAnsi"/>
                <w:sz w:val="20"/>
                <w:szCs w:val="20"/>
              </w:rPr>
              <w:t>UK</w:t>
            </w:r>
          </w:p>
        </w:tc>
        <w:tc>
          <w:tcPr>
            <w:tcW w:w="1605" w:type="dxa"/>
            <w:tcBorders>
              <w:top w:val="nil"/>
              <w:left w:val="nil"/>
              <w:bottom w:val="nil"/>
              <w:right w:val="nil"/>
            </w:tcBorders>
            <w:shd w:val="clear" w:color="auto" w:fill="auto"/>
            <w:noWrap/>
            <w:vAlign w:val="center"/>
            <w:hideMark/>
          </w:tcPr>
          <w:p w:rsidR="00685BE5" w:rsidRPr="007D2274" w:rsidRDefault="00685BE5" w:rsidP="00AE4C3A">
            <w:pPr>
              <w:tabs>
                <w:tab w:val="decimal" w:pos="678"/>
              </w:tabs>
              <w:spacing w:before="20" w:after="20"/>
              <w:ind w:right="459"/>
              <w:jc w:val="right"/>
              <w:rPr>
                <w:rFonts w:cstheme="minorHAnsi"/>
                <w:sz w:val="20"/>
                <w:szCs w:val="20"/>
              </w:rPr>
            </w:pPr>
            <w:r w:rsidRPr="007D2274">
              <w:rPr>
                <w:rFonts w:cstheme="minorHAnsi"/>
                <w:sz w:val="20"/>
                <w:szCs w:val="20"/>
              </w:rPr>
              <w:t>4.6</w:t>
            </w:r>
          </w:p>
        </w:tc>
      </w:tr>
      <w:tr w:rsidR="00685BE5" w:rsidRPr="00B90E88" w:rsidTr="00AE4C3A">
        <w:trPr>
          <w:trHeight w:val="288"/>
        </w:trPr>
        <w:tc>
          <w:tcPr>
            <w:tcW w:w="2266" w:type="dxa"/>
            <w:tcBorders>
              <w:top w:val="nil"/>
              <w:left w:val="nil"/>
              <w:bottom w:val="nil"/>
              <w:right w:val="nil"/>
            </w:tcBorders>
            <w:shd w:val="clear" w:color="auto" w:fill="auto"/>
            <w:noWrap/>
            <w:vAlign w:val="center"/>
            <w:hideMark/>
          </w:tcPr>
          <w:p w:rsidR="00685BE5" w:rsidRPr="007D2274" w:rsidRDefault="00685BE5" w:rsidP="00AE4C3A">
            <w:pPr>
              <w:spacing w:before="20" w:after="20"/>
              <w:rPr>
                <w:rFonts w:cstheme="minorHAnsi"/>
                <w:sz w:val="20"/>
                <w:szCs w:val="20"/>
              </w:rPr>
            </w:pPr>
            <w:r w:rsidRPr="007D2274">
              <w:rPr>
                <w:rFonts w:cstheme="minorHAnsi"/>
                <w:sz w:val="20"/>
                <w:szCs w:val="20"/>
              </w:rPr>
              <w:t>New Zealand</w:t>
            </w:r>
          </w:p>
        </w:tc>
        <w:tc>
          <w:tcPr>
            <w:tcW w:w="1605" w:type="dxa"/>
            <w:tcBorders>
              <w:top w:val="nil"/>
              <w:left w:val="nil"/>
              <w:bottom w:val="nil"/>
              <w:right w:val="nil"/>
            </w:tcBorders>
            <w:shd w:val="clear" w:color="auto" w:fill="auto"/>
            <w:noWrap/>
            <w:vAlign w:val="center"/>
            <w:hideMark/>
          </w:tcPr>
          <w:p w:rsidR="00685BE5" w:rsidRPr="007D2274" w:rsidRDefault="00685BE5" w:rsidP="00AE4C3A">
            <w:pPr>
              <w:tabs>
                <w:tab w:val="decimal" w:pos="678"/>
              </w:tabs>
              <w:spacing w:before="20" w:after="20"/>
              <w:ind w:right="459"/>
              <w:jc w:val="right"/>
              <w:rPr>
                <w:rFonts w:cstheme="minorHAnsi"/>
                <w:sz w:val="20"/>
                <w:szCs w:val="20"/>
              </w:rPr>
            </w:pPr>
            <w:r w:rsidRPr="007D2274">
              <w:rPr>
                <w:rFonts w:cstheme="minorHAnsi"/>
                <w:sz w:val="20"/>
                <w:szCs w:val="20"/>
              </w:rPr>
              <w:t>3.0</w:t>
            </w:r>
          </w:p>
        </w:tc>
      </w:tr>
      <w:tr w:rsidR="00685BE5" w:rsidRPr="00B90E88" w:rsidTr="00AE4C3A">
        <w:trPr>
          <w:trHeight w:val="288"/>
        </w:trPr>
        <w:tc>
          <w:tcPr>
            <w:tcW w:w="2266" w:type="dxa"/>
            <w:tcBorders>
              <w:top w:val="nil"/>
              <w:left w:val="nil"/>
              <w:bottom w:val="nil"/>
              <w:right w:val="nil"/>
            </w:tcBorders>
            <w:shd w:val="clear" w:color="auto" w:fill="auto"/>
            <w:noWrap/>
            <w:vAlign w:val="center"/>
            <w:hideMark/>
          </w:tcPr>
          <w:p w:rsidR="00685BE5" w:rsidRPr="007D2274" w:rsidRDefault="00685BE5" w:rsidP="00AE4C3A">
            <w:pPr>
              <w:spacing w:before="20" w:after="20"/>
              <w:rPr>
                <w:rFonts w:cstheme="minorHAnsi"/>
                <w:sz w:val="20"/>
                <w:szCs w:val="20"/>
              </w:rPr>
            </w:pPr>
            <w:r w:rsidRPr="007D2274">
              <w:rPr>
                <w:rFonts w:cstheme="minorHAnsi"/>
                <w:sz w:val="20"/>
                <w:szCs w:val="20"/>
              </w:rPr>
              <w:t>India</w:t>
            </w:r>
          </w:p>
        </w:tc>
        <w:tc>
          <w:tcPr>
            <w:tcW w:w="1605" w:type="dxa"/>
            <w:tcBorders>
              <w:top w:val="nil"/>
              <w:left w:val="nil"/>
              <w:bottom w:val="nil"/>
              <w:right w:val="nil"/>
            </w:tcBorders>
            <w:shd w:val="clear" w:color="auto" w:fill="auto"/>
            <w:noWrap/>
            <w:vAlign w:val="center"/>
            <w:hideMark/>
          </w:tcPr>
          <w:p w:rsidR="00685BE5" w:rsidRPr="007D2274" w:rsidRDefault="00685BE5" w:rsidP="00AE4C3A">
            <w:pPr>
              <w:tabs>
                <w:tab w:val="decimal" w:pos="678"/>
              </w:tabs>
              <w:spacing w:before="20" w:after="20"/>
              <w:ind w:right="459"/>
              <w:jc w:val="right"/>
              <w:rPr>
                <w:rFonts w:cstheme="minorHAnsi"/>
                <w:sz w:val="20"/>
                <w:szCs w:val="20"/>
              </w:rPr>
            </w:pPr>
            <w:r w:rsidRPr="007D2274">
              <w:rPr>
                <w:rFonts w:cstheme="minorHAnsi"/>
                <w:sz w:val="20"/>
                <w:szCs w:val="20"/>
              </w:rPr>
              <w:t>0.8</w:t>
            </w:r>
          </w:p>
        </w:tc>
      </w:tr>
      <w:tr w:rsidR="00685BE5" w:rsidRPr="00B90E88" w:rsidTr="00AE4C3A">
        <w:trPr>
          <w:trHeight w:val="288"/>
        </w:trPr>
        <w:tc>
          <w:tcPr>
            <w:tcW w:w="2266" w:type="dxa"/>
            <w:tcBorders>
              <w:top w:val="nil"/>
              <w:left w:val="nil"/>
              <w:bottom w:val="nil"/>
              <w:right w:val="nil"/>
            </w:tcBorders>
            <w:shd w:val="clear" w:color="auto" w:fill="auto"/>
            <w:noWrap/>
            <w:vAlign w:val="center"/>
            <w:hideMark/>
          </w:tcPr>
          <w:p w:rsidR="00685BE5" w:rsidRPr="007D2274" w:rsidRDefault="00685BE5" w:rsidP="00AE4C3A">
            <w:pPr>
              <w:spacing w:before="20" w:after="20"/>
              <w:rPr>
                <w:rFonts w:cstheme="minorHAnsi"/>
                <w:sz w:val="20"/>
                <w:szCs w:val="20"/>
              </w:rPr>
            </w:pPr>
            <w:r w:rsidRPr="007D2274">
              <w:rPr>
                <w:rFonts w:cstheme="minorHAnsi"/>
                <w:sz w:val="20"/>
                <w:szCs w:val="20"/>
              </w:rPr>
              <w:t>Ireland</w:t>
            </w:r>
          </w:p>
        </w:tc>
        <w:tc>
          <w:tcPr>
            <w:tcW w:w="1605" w:type="dxa"/>
            <w:tcBorders>
              <w:top w:val="nil"/>
              <w:left w:val="nil"/>
              <w:bottom w:val="nil"/>
              <w:right w:val="nil"/>
            </w:tcBorders>
            <w:shd w:val="clear" w:color="auto" w:fill="auto"/>
            <w:noWrap/>
            <w:vAlign w:val="center"/>
            <w:hideMark/>
          </w:tcPr>
          <w:p w:rsidR="00685BE5" w:rsidRPr="007D2274" w:rsidRDefault="00685BE5" w:rsidP="00AE4C3A">
            <w:pPr>
              <w:tabs>
                <w:tab w:val="decimal" w:pos="678"/>
              </w:tabs>
              <w:spacing w:before="20" w:after="20"/>
              <w:ind w:right="459"/>
              <w:jc w:val="right"/>
              <w:rPr>
                <w:rFonts w:cstheme="minorHAnsi"/>
                <w:sz w:val="20"/>
                <w:szCs w:val="20"/>
              </w:rPr>
            </w:pPr>
            <w:r w:rsidRPr="007D2274">
              <w:rPr>
                <w:rFonts w:cstheme="minorHAnsi"/>
                <w:sz w:val="20"/>
                <w:szCs w:val="20"/>
              </w:rPr>
              <w:t>0.8</w:t>
            </w:r>
          </w:p>
        </w:tc>
      </w:tr>
      <w:tr w:rsidR="00685BE5" w:rsidRPr="00B90E88" w:rsidTr="00AE4C3A">
        <w:trPr>
          <w:trHeight w:val="288"/>
        </w:trPr>
        <w:tc>
          <w:tcPr>
            <w:tcW w:w="2266" w:type="dxa"/>
            <w:tcBorders>
              <w:top w:val="nil"/>
              <w:left w:val="nil"/>
              <w:bottom w:val="nil"/>
              <w:right w:val="nil"/>
            </w:tcBorders>
            <w:shd w:val="clear" w:color="auto" w:fill="auto"/>
            <w:noWrap/>
            <w:vAlign w:val="center"/>
            <w:hideMark/>
          </w:tcPr>
          <w:p w:rsidR="00685BE5" w:rsidRPr="007D2274" w:rsidRDefault="00685BE5" w:rsidP="00AE4C3A">
            <w:pPr>
              <w:spacing w:before="20" w:after="20"/>
              <w:rPr>
                <w:rFonts w:cstheme="minorHAnsi"/>
                <w:sz w:val="20"/>
                <w:szCs w:val="20"/>
              </w:rPr>
            </w:pPr>
            <w:r w:rsidRPr="007D2274">
              <w:rPr>
                <w:rFonts w:cstheme="minorHAnsi"/>
                <w:sz w:val="20"/>
                <w:szCs w:val="20"/>
              </w:rPr>
              <w:t>South Africa</w:t>
            </w:r>
          </w:p>
        </w:tc>
        <w:tc>
          <w:tcPr>
            <w:tcW w:w="1605" w:type="dxa"/>
            <w:tcBorders>
              <w:top w:val="nil"/>
              <w:left w:val="nil"/>
              <w:bottom w:val="nil"/>
              <w:right w:val="nil"/>
            </w:tcBorders>
            <w:shd w:val="clear" w:color="auto" w:fill="auto"/>
            <w:noWrap/>
            <w:vAlign w:val="center"/>
            <w:hideMark/>
          </w:tcPr>
          <w:p w:rsidR="00685BE5" w:rsidRPr="007D2274" w:rsidRDefault="00685BE5" w:rsidP="00AE4C3A">
            <w:pPr>
              <w:tabs>
                <w:tab w:val="decimal" w:pos="678"/>
              </w:tabs>
              <w:spacing w:before="20" w:after="20"/>
              <w:ind w:right="459"/>
              <w:jc w:val="right"/>
              <w:rPr>
                <w:rFonts w:cstheme="minorHAnsi"/>
                <w:sz w:val="20"/>
                <w:szCs w:val="20"/>
              </w:rPr>
            </w:pPr>
            <w:r w:rsidRPr="007D2274">
              <w:rPr>
                <w:rFonts w:cstheme="minorHAnsi"/>
                <w:sz w:val="20"/>
                <w:szCs w:val="20"/>
              </w:rPr>
              <w:t>0.8</w:t>
            </w:r>
          </w:p>
        </w:tc>
      </w:tr>
      <w:tr w:rsidR="00685BE5" w:rsidRPr="00B90E88" w:rsidTr="00AE4C3A">
        <w:trPr>
          <w:trHeight w:val="288"/>
        </w:trPr>
        <w:tc>
          <w:tcPr>
            <w:tcW w:w="2266" w:type="dxa"/>
            <w:tcBorders>
              <w:top w:val="nil"/>
              <w:left w:val="nil"/>
              <w:bottom w:val="nil"/>
              <w:right w:val="nil"/>
            </w:tcBorders>
            <w:shd w:val="clear" w:color="auto" w:fill="auto"/>
            <w:noWrap/>
            <w:vAlign w:val="center"/>
            <w:hideMark/>
          </w:tcPr>
          <w:p w:rsidR="00685BE5" w:rsidRPr="007D2274" w:rsidRDefault="00685BE5" w:rsidP="00AE4C3A">
            <w:pPr>
              <w:spacing w:before="20" w:after="20"/>
              <w:rPr>
                <w:rFonts w:cstheme="minorHAnsi"/>
                <w:sz w:val="20"/>
                <w:szCs w:val="20"/>
              </w:rPr>
            </w:pPr>
            <w:r w:rsidRPr="007D2274">
              <w:rPr>
                <w:rFonts w:cstheme="minorHAnsi"/>
                <w:sz w:val="20"/>
                <w:szCs w:val="20"/>
              </w:rPr>
              <w:t>Germany</w:t>
            </w:r>
          </w:p>
        </w:tc>
        <w:tc>
          <w:tcPr>
            <w:tcW w:w="1605" w:type="dxa"/>
            <w:tcBorders>
              <w:top w:val="nil"/>
              <w:left w:val="nil"/>
              <w:bottom w:val="nil"/>
              <w:right w:val="nil"/>
            </w:tcBorders>
            <w:shd w:val="clear" w:color="auto" w:fill="auto"/>
            <w:noWrap/>
            <w:vAlign w:val="center"/>
            <w:hideMark/>
          </w:tcPr>
          <w:p w:rsidR="00685BE5" w:rsidRPr="007D2274" w:rsidRDefault="00685BE5" w:rsidP="00AE4C3A">
            <w:pPr>
              <w:tabs>
                <w:tab w:val="decimal" w:pos="678"/>
              </w:tabs>
              <w:spacing w:before="20" w:after="20"/>
              <w:ind w:right="459"/>
              <w:jc w:val="right"/>
              <w:rPr>
                <w:rFonts w:cstheme="minorHAnsi"/>
                <w:sz w:val="20"/>
                <w:szCs w:val="20"/>
              </w:rPr>
            </w:pPr>
            <w:r w:rsidRPr="007D2274">
              <w:rPr>
                <w:rFonts w:cstheme="minorHAnsi"/>
                <w:sz w:val="20"/>
                <w:szCs w:val="20"/>
              </w:rPr>
              <w:t>0.6</w:t>
            </w:r>
          </w:p>
        </w:tc>
      </w:tr>
      <w:tr w:rsidR="00685BE5" w:rsidRPr="00B90E88" w:rsidTr="00AE4C3A">
        <w:trPr>
          <w:trHeight w:val="288"/>
        </w:trPr>
        <w:tc>
          <w:tcPr>
            <w:tcW w:w="2266" w:type="dxa"/>
            <w:tcBorders>
              <w:top w:val="nil"/>
              <w:left w:val="nil"/>
              <w:bottom w:val="nil"/>
              <w:right w:val="nil"/>
            </w:tcBorders>
            <w:shd w:val="clear" w:color="auto" w:fill="auto"/>
            <w:noWrap/>
            <w:vAlign w:val="center"/>
            <w:hideMark/>
          </w:tcPr>
          <w:p w:rsidR="00685BE5" w:rsidRPr="007D2274" w:rsidRDefault="00685BE5" w:rsidP="00AE4C3A">
            <w:pPr>
              <w:spacing w:before="20" w:after="20"/>
              <w:rPr>
                <w:rFonts w:cstheme="minorHAnsi"/>
                <w:sz w:val="20"/>
                <w:szCs w:val="20"/>
              </w:rPr>
            </w:pPr>
            <w:r w:rsidRPr="007D2274">
              <w:rPr>
                <w:rFonts w:cstheme="minorHAnsi"/>
                <w:sz w:val="20"/>
                <w:szCs w:val="20"/>
              </w:rPr>
              <w:t>China</w:t>
            </w:r>
          </w:p>
        </w:tc>
        <w:tc>
          <w:tcPr>
            <w:tcW w:w="1605" w:type="dxa"/>
            <w:tcBorders>
              <w:top w:val="nil"/>
              <w:left w:val="nil"/>
              <w:bottom w:val="nil"/>
              <w:right w:val="nil"/>
            </w:tcBorders>
            <w:shd w:val="clear" w:color="auto" w:fill="auto"/>
            <w:noWrap/>
            <w:vAlign w:val="center"/>
            <w:hideMark/>
          </w:tcPr>
          <w:p w:rsidR="00685BE5" w:rsidRPr="007D2274" w:rsidRDefault="00685BE5" w:rsidP="00AE4C3A">
            <w:pPr>
              <w:tabs>
                <w:tab w:val="decimal" w:pos="678"/>
              </w:tabs>
              <w:spacing w:before="20" w:after="20"/>
              <w:ind w:right="459"/>
              <w:jc w:val="right"/>
              <w:rPr>
                <w:rFonts w:cstheme="minorHAnsi"/>
                <w:sz w:val="20"/>
                <w:szCs w:val="20"/>
              </w:rPr>
            </w:pPr>
            <w:r w:rsidRPr="007D2274">
              <w:rPr>
                <w:rFonts w:cstheme="minorHAnsi"/>
                <w:sz w:val="20"/>
                <w:szCs w:val="20"/>
              </w:rPr>
              <w:t>0.5</w:t>
            </w:r>
          </w:p>
        </w:tc>
      </w:tr>
      <w:tr w:rsidR="00685BE5" w:rsidRPr="00B90E88" w:rsidTr="00AE4C3A">
        <w:trPr>
          <w:trHeight w:val="288"/>
        </w:trPr>
        <w:tc>
          <w:tcPr>
            <w:tcW w:w="2266" w:type="dxa"/>
            <w:tcBorders>
              <w:top w:val="nil"/>
              <w:left w:val="nil"/>
              <w:bottom w:val="nil"/>
              <w:right w:val="nil"/>
            </w:tcBorders>
            <w:shd w:val="clear" w:color="auto" w:fill="auto"/>
            <w:noWrap/>
            <w:vAlign w:val="center"/>
            <w:hideMark/>
          </w:tcPr>
          <w:p w:rsidR="00685BE5" w:rsidRPr="007D2274" w:rsidRDefault="00685BE5" w:rsidP="00AE4C3A">
            <w:pPr>
              <w:spacing w:before="20" w:after="20"/>
              <w:rPr>
                <w:rFonts w:cstheme="minorHAnsi"/>
                <w:sz w:val="20"/>
                <w:szCs w:val="20"/>
              </w:rPr>
            </w:pPr>
            <w:r w:rsidRPr="007D2274">
              <w:rPr>
                <w:rFonts w:cstheme="minorHAnsi"/>
                <w:sz w:val="20"/>
                <w:szCs w:val="20"/>
              </w:rPr>
              <w:t>Other</w:t>
            </w:r>
          </w:p>
        </w:tc>
        <w:tc>
          <w:tcPr>
            <w:tcW w:w="1605" w:type="dxa"/>
            <w:tcBorders>
              <w:top w:val="nil"/>
              <w:left w:val="nil"/>
              <w:bottom w:val="nil"/>
              <w:right w:val="nil"/>
            </w:tcBorders>
            <w:shd w:val="clear" w:color="auto" w:fill="auto"/>
            <w:noWrap/>
            <w:vAlign w:val="center"/>
            <w:hideMark/>
          </w:tcPr>
          <w:p w:rsidR="00685BE5" w:rsidRPr="007D2274" w:rsidRDefault="00685BE5" w:rsidP="00AE4C3A">
            <w:pPr>
              <w:tabs>
                <w:tab w:val="decimal" w:pos="678"/>
              </w:tabs>
              <w:spacing w:before="20" w:after="20"/>
              <w:ind w:right="459"/>
              <w:jc w:val="right"/>
              <w:rPr>
                <w:rFonts w:cstheme="minorHAnsi"/>
                <w:sz w:val="20"/>
                <w:szCs w:val="20"/>
              </w:rPr>
            </w:pPr>
            <w:r w:rsidRPr="007D2274">
              <w:rPr>
                <w:rFonts w:cstheme="minorHAnsi"/>
                <w:sz w:val="20"/>
                <w:szCs w:val="20"/>
              </w:rPr>
              <w:t>7.9</w:t>
            </w:r>
          </w:p>
        </w:tc>
      </w:tr>
      <w:tr w:rsidR="00685BE5" w:rsidRPr="00B90E88" w:rsidTr="00AE4C3A">
        <w:trPr>
          <w:trHeight w:val="288"/>
        </w:trPr>
        <w:tc>
          <w:tcPr>
            <w:tcW w:w="2266" w:type="dxa"/>
            <w:tcBorders>
              <w:top w:val="nil"/>
              <w:left w:val="nil"/>
              <w:bottom w:val="single" w:sz="4" w:space="0" w:color="auto"/>
              <w:right w:val="nil"/>
            </w:tcBorders>
            <w:shd w:val="clear" w:color="auto" w:fill="auto"/>
            <w:noWrap/>
            <w:vAlign w:val="center"/>
            <w:hideMark/>
          </w:tcPr>
          <w:p w:rsidR="00685BE5" w:rsidRPr="007D2274" w:rsidRDefault="00685BE5" w:rsidP="00AE4C3A">
            <w:pPr>
              <w:spacing w:before="20" w:after="20"/>
              <w:rPr>
                <w:rFonts w:cstheme="minorHAnsi"/>
                <w:sz w:val="20"/>
                <w:szCs w:val="20"/>
              </w:rPr>
            </w:pPr>
            <w:r w:rsidRPr="007D2274">
              <w:rPr>
                <w:rFonts w:cstheme="minorHAnsi"/>
                <w:sz w:val="20"/>
                <w:szCs w:val="20"/>
              </w:rPr>
              <w:t>Question not answered</w:t>
            </w:r>
            <w:r>
              <w:rPr>
                <w:rFonts w:cstheme="minorHAnsi"/>
                <w:sz w:val="20"/>
                <w:szCs w:val="20"/>
              </w:rPr>
              <w:t xml:space="preserve"> </w:t>
            </w:r>
          </w:p>
        </w:tc>
        <w:tc>
          <w:tcPr>
            <w:tcW w:w="1605" w:type="dxa"/>
            <w:tcBorders>
              <w:top w:val="nil"/>
              <w:left w:val="nil"/>
              <w:bottom w:val="single" w:sz="4" w:space="0" w:color="auto"/>
              <w:right w:val="nil"/>
            </w:tcBorders>
            <w:shd w:val="clear" w:color="auto" w:fill="auto"/>
            <w:noWrap/>
            <w:vAlign w:val="center"/>
            <w:hideMark/>
          </w:tcPr>
          <w:p w:rsidR="00685BE5" w:rsidRPr="007D2274" w:rsidRDefault="00685BE5" w:rsidP="00AE4C3A">
            <w:pPr>
              <w:tabs>
                <w:tab w:val="decimal" w:pos="678"/>
              </w:tabs>
              <w:spacing w:before="20" w:after="20"/>
              <w:ind w:right="459"/>
              <w:jc w:val="right"/>
              <w:rPr>
                <w:rFonts w:cstheme="minorHAnsi"/>
                <w:sz w:val="20"/>
                <w:szCs w:val="20"/>
              </w:rPr>
            </w:pPr>
            <w:r w:rsidRPr="007D2274">
              <w:rPr>
                <w:rFonts w:cstheme="minorHAnsi"/>
                <w:sz w:val="20"/>
                <w:szCs w:val="20"/>
              </w:rPr>
              <w:t>3.7</w:t>
            </w:r>
          </w:p>
        </w:tc>
      </w:tr>
      <w:tr w:rsidR="00685BE5" w:rsidRPr="0010208C" w:rsidTr="00AE4C3A">
        <w:trPr>
          <w:trHeight w:val="288"/>
        </w:trPr>
        <w:tc>
          <w:tcPr>
            <w:tcW w:w="2266" w:type="dxa"/>
            <w:tcBorders>
              <w:top w:val="single" w:sz="4" w:space="0" w:color="auto"/>
              <w:left w:val="nil"/>
              <w:bottom w:val="single" w:sz="4" w:space="0" w:color="auto"/>
              <w:right w:val="nil"/>
            </w:tcBorders>
            <w:shd w:val="clear" w:color="auto" w:fill="auto"/>
            <w:noWrap/>
            <w:vAlign w:val="center"/>
            <w:hideMark/>
          </w:tcPr>
          <w:p w:rsidR="00685BE5" w:rsidRPr="00E3331B" w:rsidRDefault="00685BE5" w:rsidP="00AE4C3A">
            <w:pPr>
              <w:spacing w:before="20" w:after="20"/>
              <w:rPr>
                <w:rFonts w:cstheme="minorHAnsi"/>
                <w:b/>
                <w:sz w:val="20"/>
                <w:szCs w:val="20"/>
              </w:rPr>
            </w:pPr>
            <w:r w:rsidRPr="00E3331B">
              <w:rPr>
                <w:rFonts w:cstheme="minorHAnsi"/>
                <w:b/>
                <w:sz w:val="20"/>
                <w:szCs w:val="20"/>
              </w:rPr>
              <w:t>Total (N=2</w:t>
            </w:r>
            <w:r>
              <w:rPr>
                <w:rFonts w:cstheme="minorHAnsi"/>
                <w:b/>
                <w:sz w:val="20"/>
                <w:szCs w:val="20"/>
              </w:rPr>
              <w:t>,</w:t>
            </w:r>
            <w:r w:rsidRPr="00E3331B">
              <w:rPr>
                <w:rFonts w:cstheme="minorHAnsi"/>
                <w:b/>
                <w:sz w:val="20"/>
                <w:szCs w:val="20"/>
              </w:rPr>
              <w:t>133)</w:t>
            </w:r>
          </w:p>
        </w:tc>
        <w:tc>
          <w:tcPr>
            <w:tcW w:w="1605" w:type="dxa"/>
            <w:tcBorders>
              <w:top w:val="single" w:sz="4" w:space="0" w:color="auto"/>
              <w:left w:val="nil"/>
              <w:bottom w:val="single" w:sz="4" w:space="0" w:color="auto"/>
              <w:right w:val="nil"/>
            </w:tcBorders>
            <w:shd w:val="clear" w:color="auto" w:fill="auto"/>
            <w:noWrap/>
            <w:vAlign w:val="center"/>
            <w:hideMark/>
          </w:tcPr>
          <w:p w:rsidR="00685BE5" w:rsidRPr="00E3331B" w:rsidRDefault="00685BE5" w:rsidP="00AE4C3A">
            <w:pPr>
              <w:tabs>
                <w:tab w:val="decimal" w:pos="678"/>
              </w:tabs>
              <w:spacing w:before="20" w:after="20"/>
              <w:ind w:right="459"/>
              <w:jc w:val="right"/>
              <w:rPr>
                <w:rFonts w:cstheme="minorHAnsi"/>
                <w:b/>
                <w:sz w:val="20"/>
                <w:szCs w:val="20"/>
              </w:rPr>
            </w:pPr>
            <w:r w:rsidRPr="00E3331B">
              <w:rPr>
                <w:rFonts w:cstheme="minorHAnsi"/>
                <w:b/>
                <w:sz w:val="20"/>
                <w:szCs w:val="20"/>
              </w:rPr>
              <w:t>100</w:t>
            </w:r>
          </w:p>
        </w:tc>
      </w:tr>
    </w:tbl>
    <w:p w:rsidR="00685BE5" w:rsidRPr="00E3331B" w:rsidRDefault="00685BE5" w:rsidP="00AE4C3A">
      <w:pPr>
        <w:pStyle w:val="NILSReference"/>
      </w:pPr>
      <w:r w:rsidRPr="00E3331B">
        <w:t xml:space="preserve">Source: 2014 NDIS DSP employee survey, Question A3a. </w:t>
      </w:r>
    </w:p>
    <w:p w:rsidR="003A37B0" w:rsidRDefault="003A37B0" w:rsidP="00AE4C3A">
      <w:pPr>
        <w:rPr>
          <w:rFonts w:cstheme="minorHAnsi"/>
        </w:rPr>
      </w:pPr>
    </w:p>
    <w:p w:rsidR="00685BE5" w:rsidRPr="00AB33E3" w:rsidRDefault="00685BE5" w:rsidP="00AE4C3A">
      <w:pPr>
        <w:rPr>
          <w:rFonts w:cstheme="minorHAnsi"/>
        </w:rPr>
      </w:pPr>
      <w:r w:rsidRPr="00AB33E3">
        <w:rPr>
          <w:rFonts w:cstheme="minorHAnsi"/>
        </w:rPr>
        <w:t xml:space="preserve">The self-reported English skills of outlet employees are shown Table </w:t>
      </w:r>
      <w:r>
        <w:rPr>
          <w:rFonts w:cstheme="minorHAnsi"/>
        </w:rPr>
        <w:t>4.21</w:t>
      </w:r>
      <w:r w:rsidRPr="00AB33E3">
        <w:rPr>
          <w:rFonts w:cstheme="minorHAnsi"/>
        </w:rPr>
        <w:t xml:space="preserve">. Given the </w:t>
      </w:r>
      <w:r>
        <w:rPr>
          <w:rFonts w:cstheme="minorHAnsi"/>
        </w:rPr>
        <w:t>country of birth</w:t>
      </w:r>
      <w:r w:rsidRPr="00AB33E3">
        <w:rPr>
          <w:rFonts w:cstheme="minorHAnsi"/>
        </w:rPr>
        <w:t xml:space="preserve"> information </w:t>
      </w:r>
      <w:r>
        <w:rPr>
          <w:rFonts w:cstheme="minorHAnsi"/>
        </w:rPr>
        <w:t xml:space="preserve">in Table 4.20 which shows a very high proportion of native English speakers </w:t>
      </w:r>
      <w:r w:rsidRPr="00AB33E3">
        <w:rPr>
          <w:rFonts w:cstheme="minorHAnsi"/>
        </w:rPr>
        <w:t xml:space="preserve">in the disability workforce, it is not surprising to see that nearly all the workers </w:t>
      </w:r>
      <w:r>
        <w:rPr>
          <w:rFonts w:cstheme="minorHAnsi"/>
        </w:rPr>
        <w:t>we</w:t>
      </w:r>
      <w:r w:rsidRPr="00AB33E3">
        <w:rPr>
          <w:rFonts w:cstheme="minorHAnsi"/>
        </w:rPr>
        <w:t>re highly confident in their skills in all of the three facets of English literacy. Extremely few rate</w:t>
      </w:r>
      <w:r>
        <w:rPr>
          <w:rFonts w:cstheme="minorHAnsi"/>
        </w:rPr>
        <w:t>d</w:t>
      </w:r>
      <w:r w:rsidRPr="00AB33E3">
        <w:rPr>
          <w:rFonts w:cstheme="minorHAnsi"/>
        </w:rPr>
        <w:t xml:space="preserve"> their skills in English as ‘not very good’ or ‘not at all’. </w:t>
      </w:r>
      <w:r>
        <w:rPr>
          <w:rFonts w:cstheme="minorHAnsi"/>
        </w:rPr>
        <w:t>Of course, one should note that those with poor English would be less likely to respond to a survey, so this is an aspect where the NDIS Evaluation could attempt to get further information through the qualitative evidence collection.</w:t>
      </w:r>
    </w:p>
    <w:p w:rsidR="00A92038" w:rsidRDefault="00A92038">
      <w:pPr>
        <w:rPr>
          <w:b/>
          <w:sz w:val="20"/>
          <w:lang w:val="x-none"/>
        </w:rPr>
      </w:pPr>
      <w:bookmarkStart w:id="575" w:name="_Toc425425096"/>
      <w:bookmarkStart w:id="576" w:name="_Toc428279226"/>
      <w:r>
        <w:br w:type="page"/>
      </w:r>
    </w:p>
    <w:p w:rsidR="00685BE5" w:rsidRPr="00AB33E3" w:rsidRDefault="00685BE5" w:rsidP="0044684E">
      <w:pPr>
        <w:pStyle w:val="NILSTableHeading"/>
        <w:rPr>
          <w:rFonts w:cstheme="minorHAnsi"/>
          <w:bCs/>
        </w:rPr>
      </w:pPr>
      <w:bookmarkStart w:id="577" w:name="_Toc449955357"/>
      <w:r w:rsidRPr="00AB33E3">
        <w:lastRenderedPageBreak/>
        <w:t>Ta</w:t>
      </w:r>
      <w:r>
        <w:t>ble 4.21</w:t>
      </w:r>
      <w:r w:rsidRPr="00AB33E3">
        <w:t>: Self-reported English language skills</w:t>
      </w:r>
      <w:bookmarkEnd w:id="575"/>
      <w:r>
        <w:t xml:space="preserve"> (per cent)</w:t>
      </w:r>
      <w:bookmarkEnd w:id="576"/>
      <w:bookmarkEnd w:id="577"/>
    </w:p>
    <w:tbl>
      <w:tblPr>
        <w:tblW w:w="8277" w:type="dxa"/>
        <w:tblInd w:w="93" w:type="dxa"/>
        <w:tblLook w:val="04A0" w:firstRow="1" w:lastRow="0" w:firstColumn="1" w:lastColumn="0" w:noHBand="0" w:noVBand="1"/>
        <w:tblCaption w:val="Table 4.21 Self-reported English language skills (per cent)"/>
      </w:tblPr>
      <w:tblGrid>
        <w:gridCol w:w="1662"/>
        <w:gridCol w:w="992"/>
        <w:gridCol w:w="1418"/>
        <w:gridCol w:w="850"/>
        <w:gridCol w:w="1134"/>
        <w:gridCol w:w="2221"/>
      </w:tblGrid>
      <w:tr w:rsidR="00303A43" w:rsidRPr="0010208C" w:rsidTr="00303A43">
        <w:trPr>
          <w:tblHeader/>
        </w:trPr>
        <w:tc>
          <w:tcPr>
            <w:tcW w:w="1662" w:type="dxa"/>
            <w:tcBorders>
              <w:top w:val="single" w:sz="4" w:space="0" w:color="auto"/>
              <w:left w:val="nil"/>
              <w:bottom w:val="single" w:sz="4" w:space="0" w:color="auto"/>
              <w:right w:val="nil"/>
            </w:tcBorders>
            <w:shd w:val="clear" w:color="auto" w:fill="auto"/>
            <w:noWrap/>
            <w:vAlign w:val="bottom"/>
            <w:hideMark/>
          </w:tcPr>
          <w:p w:rsidR="00303A43" w:rsidRPr="00E3331B" w:rsidRDefault="00303A43" w:rsidP="00AE4C3A">
            <w:pPr>
              <w:spacing w:before="20" w:after="20"/>
              <w:rPr>
                <w:rFonts w:cstheme="minorHAnsi"/>
                <w:bCs/>
                <w:sz w:val="20"/>
                <w:szCs w:val="20"/>
              </w:rPr>
            </w:pPr>
            <w:bookmarkStart w:id="578" w:name="Title_4_21"/>
            <w:bookmarkEnd w:id="578"/>
          </w:p>
        </w:tc>
        <w:tc>
          <w:tcPr>
            <w:tcW w:w="992" w:type="dxa"/>
            <w:tcBorders>
              <w:top w:val="single" w:sz="4" w:space="0" w:color="auto"/>
              <w:left w:val="nil"/>
              <w:bottom w:val="single" w:sz="4" w:space="0" w:color="auto"/>
              <w:right w:val="nil"/>
            </w:tcBorders>
            <w:shd w:val="clear" w:color="auto" w:fill="auto"/>
            <w:noWrap/>
            <w:vAlign w:val="bottom"/>
            <w:hideMark/>
          </w:tcPr>
          <w:p w:rsidR="00303A43" w:rsidRPr="00E3331B" w:rsidRDefault="00303A43" w:rsidP="00AE4C3A">
            <w:pPr>
              <w:spacing w:before="20" w:after="20"/>
              <w:jc w:val="center"/>
              <w:rPr>
                <w:rFonts w:cstheme="minorHAnsi"/>
                <w:bCs/>
                <w:sz w:val="20"/>
                <w:szCs w:val="20"/>
              </w:rPr>
            </w:pPr>
            <w:r w:rsidRPr="00E3331B">
              <w:rPr>
                <w:rFonts w:cstheme="minorHAnsi"/>
                <w:bCs/>
                <w:sz w:val="20"/>
                <w:szCs w:val="20"/>
              </w:rPr>
              <w:t>Not at all</w:t>
            </w:r>
          </w:p>
        </w:tc>
        <w:tc>
          <w:tcPr>
            <w:tcW w:w="1418" w:type="dxa"/>
            <w:tcBorders>
              <w:top w:val="single" w:sz="4" w:space="0" w:color="auto"/>
              <w:left w:val="nil"/>
              <w:bottom w:val="single" w:sz="4" w:space="0" w:color="auto"/>
              <w:right w:val="nil"/>
            </w:tcBorders>
            <w:shd w:val="clear" w:color="auto" w:fill="auto"/>
            <w:noWrap/>
            <w:vAlign w:val="bottom"/>
            <w:hideMark/>
          </w:tcPr>
          <w:p w:rsidR="00303A43" w:rsidRPr="00E3331B" w:rsidRDefault="00303A43" w:rsidP="00AE4C3A">
            <w:pPr>
              <w:spacing w:before="20" w:after="20"/>
              <w:jc w:val="center"/>
              <w:rPr>
                <w:rFonts w:cstheme="minorHAnsi"/>
                <w:bCs/>
                <w:sz w:val="20"/>
                <w:szCs w:val="20"/>
              </w:rPr>
            </w:pPr>
            <w:r w:rsidRPr="00E3331B">
              <w:rPr>
                <w:rFonts w:cstheme="minorHAnsi"/>
                <w:bCs/>
                <w:sz w:val="20"/>
                <w:szCs w:val="20"/>
              </w:rPr>
              <w:t>Not very good</w:t>
            </w:r>
          </w:p>
        </w:tc>
        <w:tc>
          <w:tcPr>
            <w:tcW w:w="850" w:type="dxa"/>
            <w:tcBorders>
              <w:top w:val="single" w:sz="4" w:space="0" w:color="auto"/>
              <w:left w:val="nil"/>
              <w:bottom w:val="single" w:sz="4" w:space="0" w:color="auto"/>
              <w:right w:val="nil"/>
            </w:tcBorders>
            <w:shd w:val="clear" w:color="auto" w:fill="auto"/>
            <w:noWrap/>
            <w:vAlign w:val="bottom"/>
            <w:hideMark/>
          </w:tcPr>
          <w:p w:rsidR="00303A43" w:rsidRPr="00E3331B" w:rsidRDefault="00303A43" w:rsidP="00AE4C3A">
            <w:pPr>
              <w:spacing w:before="20" w:after="20"/>
              <w:jc w:val="center"/>
              <w:rPr>
                <w:rFonts w:cstheme="minorHAnsi"/>
                <w:bCs/>
                <w:sz w:val="20"/>
                <w:szCs w:val="20"/>
              </w:rPr>
            </w:pPr>
            <w:r w:rsidRPr="00E3331B">
              <w:rPr>
                <w:rFonts w:cstheme="minorHAnsi"/>
                <w:bCs/>
                <w:sz w:val="20"/>
                <w:szCs w:val="20"/>
              </w:rPr>
              <w:t>Good</w:t>
            </w:r>
          </w:p>
        </w:tc>
        <w:tc>
          <w:tcPr>
            <w:tcW w:w="1134" w:type="dxa"/>
            <w:tcBorders>
              <w:top w:val="single" w:sz="4" w:space="0" w:color="auto"/>
              <w:left w:val="nil"/>
              <w:bottom w:val="single" w:sz="4" w:space="0" w:color="auto"/>
              <w:right w:val="nil"/>
            </w:tcBorders>
            <w:shd w:val="clear" w:color="auto" w:fill="auto"/>
            <w:noWrap/>
            <w:vAlign w:val="bottom"/>
            <w:hideMark/>
          </w:tcPr>
          <w:p w:rsidR="00303A43" w:rsidRPr="00E3331B" w:rsidRDefault="00303A43" w:rsidP="00AE4C3A">
            <w:pPr>
              <w:spacing w:before="20" w:after="20"/>
              <w:jc w:val="center"/>
              <w:rPr>
                <w:rFonts w:cstheme="minorHAnsi"/>
                <w:bCs/>
                <w:sz w:val="20"/>
                <w:szCs w:val="20"/>
              </w:rPr>
            </w:pPr>
            <w:r w:rsidRPr="00E3331B">
              <w:rPr>
                <w:rFonts w:cstheme="minorHAnsi"/>
                <w:bCs/>
                <w:sz w:val="20"/>
                <w:szCs w:val="20"/>
              </w:rPr>
              <w:t>Very good</w:t>
            </w:r>
          </w:p>
        </w:tc>
        <w:tc>
          <w:tcPr>
            <w:tcW w:w="2221" w:type="dxa"/>
            <w:tcBorders>
              <w:top w:val="single" w:sz="4" w:space="0" w:color="auto"/>
              <w:left w:val="nil"/>
              <w:bottom w:val="single" w:sz="4" w:space="0" w:color="auto"/>
              <w:right w:val="nil"/>
            </w:tcBorders>
            <w:shd w:val="clear" w:color="auto" w:fill="auto"/>
            <w:noWrap/>
            <w:vAlign w:val="bottom"/>
            <w:hideMark/>
          </w:tcPr>
          <w:p w:rsidR="00303A43" w:rsidRPr="00E3331B" w:rsidRDefault="00303A43" w:rsidP="00AE4C3A">
            <w:pPr>
              <w:spacing w:before="20" w:after="20"/>
              <w:jc w:val="center"/>
              <w:rPr>
                <w:rFonts w:cstheme="minorHAnsi"/>
                <w:bCs/>
                <w:sz w:val="20"/>
                <w:szCs w:val="20"/>
              </w:rPr>
            </w:pPr>
            <w:r w:rsidRPr="00E3331B">
              <w:rPr>
                <w:rFonts w:cstheme="minorHAnsi"/>
                <w:bCs/>
                <w:sz w:val="20"/>
                <w:szCs w:val="20"/>
              </w:rPr>
              <w:t>Question not answered</w:t>
            </w:r>
          </w:p>
        </w:tc>
      </w:tr>
      <w:tr w:rsidR="00303A43" w:rsidRPr="0010208C" w:rsidTr="00303A43">
        <w:tc>
          <w:tcPr>
            <w:tcW w:w="1662" w:type="dxa"/>
            <w:tcBorders>
              <w:top w:val="single" w:sz="4" w:space="0" w:color="auto"/>
              <w:left w:val="nil"/>
              <w:bottom w:val="nil"/>
              <w:right w:val="nil"/>
            </w:tcBorders>
            <w:shd w:val="clear" w:color="auto" w:fill="auto"/>
            <w:noWrap/>
            <w:vAlign w:val="bottom"/>
            <w:hideMark/>
          </w:tcPr>
          <w:p w:rsidR="00303A43" w:rsidRPr="0010208C" w:rsidRDefault="00303A43" w:rsidP="00AE4C3A">
            <w:pPr>
              <w:spacing w:before="20" w:after="20"/>
              <w:rPr>
                <w:rFonts w:cstheme="minorHAnsi"/>
                <w:sz w:val="20"/>
                <w:szCs w:val="20"/>
              </w:rPr>
            </w:pPr>
            <w:r w:rsidRPr="0010208C">
              <w:rPr>
                <w:rFonts w:cstheme="minorHAnsi"/>
                <w:sz w:val="20"/>
                <w:szCs w:val="20"/>
              </w:rPr>
              <w:t>Speaking English</w:t>
            </w:r>
          </w:p>
        </w:tc>
        <w:tc>
          <w:tcPr>
            <w:tcW w:w="992" w:type="dxa"/>
            <w:tcBorders>
              <w:top w:val="single" w:sz="4" w:space="0" w:color="auto"/>
              <w:left w:val="nil"/>
              <w:bottom w:val="nil"/>
              <w:right w:val="nil"/>
            </w:tcBorders>
            <w:shd w:val="clear" w:color="auto" w:fill="auto"/>
            <w:noWrap/>
            <w:vAlign w:val="bottom"/>
            <w:hideMark/>
          </w:tcPr>
          <w:p w:rsidR="00303A43" w:rsidRPr="0010208C" w:rsidRDefault="00303A43" w:rsidP="00AE4C3A">
            <w:pPr>
              <w:tabs>
                <w:tab w:val="decimal" w:pos="403"/>
              </w:tabs>
              <w:spacing w:before="20" w:after="20"/>
              <w:rPr>
                <w:rFonts w:cstheme="minorHAnsi"/>
                <w:sz w:val="20"/>
                <w:szCs w:val="20"/>
              </w:rPr>
            </w:pPr>
            <w:r w:rsidRPr="0010208C">
              <w:rPr>
                <w:rFonts w:cstheme="minorHAnsi"/>
                <w:sz w:val="20"/>
                <w:szCs w:val="20"/>
              </w:rPr>
              <w:t>0</w:t>
            </w:r>
          </w:p>
        </w:tc>
        <w:tc>
          <w:tcPr>
            <w:tcW w:w="1418" w:type="dxa"/>
            <w:tcBorders>
              <w:top w:val="single" w:sz="4" w:space="0" w:color="auto"/>
              <w:left w:val="nil"/>
              <w:bottom w:val="nil"/>
              <w:right w:val="nil"/>
            </w:tcBorders>
            <w:shd w:val="clear" w:color="auto" w:fill="auto"/>
            <w:noWrap/>
            <w:vAlign w:val="bottom"/>
            <w:hideMark/>
          </w:tcPr>
          <w:p w:rsidR="00303A43" w:rsidRPr="0010208C" w:rsidRDefault="00303A43" w:rsidP="00AE4C3A">
            <w:pPr>
              <w:tabs>
                <w:tab w:val="decimal" w:pos="514"/>
              </w:tabs>
              <w:spacing w:before="20" w:after="20"/>
              <w:rPr>
                <w:rFonts w:cstheme="minorHAnsi"/>
                <w:sz w:val="20"/>
                <w:szCs w:val="20"/>
              </w:rPr>
            </w:pPr>
            <w:r w:rsidRPr="0010208C">
              <w:rPr>
                <w:rFonts w:cstheme="minorHAnsi"/>
                <w:sz w:val="20"/>
                <w:szCs w:val="20"/>
              </w:rPr>
              <w:t>0.4</w:t>
            </w:r>
          </w:p>
        </w:tc>
        <w:tc>
          <w:tcPr>
            <w:tcW w:w="850" w:type="dxa"/>
            <w:tcBorders>
              <w:top w:val="single" w:sz="4" w:space="0" w:color="auto"/>
              <w:left w:val="nil"/>
              <w:bottom w:val="nil"/>
              <w:right w:val="nil"/>
            </w:tcBorders>
            <w:shd w:val="clear" w:color="auto" w:fill="auto"/>
            <w:noWrap/>
            <w:vAlign w:val="bottom"/>
            <w:hideMark/>
          </w:tcPr>
          <w:p w:rsidR="00303A43" w:rsidRPr="0010208C" w:rsidRDefault="00303A43" w:rsidP="00AE4C3A">
            <w:pPr>
              <w:tabs>
                <w:tab w:val="decimal" w:pos="403"/>
              </w:tabs>
              <w:spacing w:before="20" w:after="20"/>
              <w:rPr>
                <w:rFonts w:cstheme="minorHAnsi"/>
                <w:sz w:val="20"/>
                <w:szCs w:val="20"/>
              </w:rPr>
            </w:pPr>
            <w:r w:rsidRPr="0010208C">
              <w:rPr>
                <w:rFonts w:cstheme="minorHAnsi"/>
                <w:sz w:val="20"/>
                <w:szCs w:val="20"/>
              </w:rPr>
              <w:t>7.8</w:t>
            </w:r>
          </w:p>
        </w:tc>
        <w:tc>
          <w:tcPr>
            <w:tcW w:w="1134" w:type="dxa"/>
            <w:tcBorders>
              <w:top w:val="single" w:sz="4" w:space="0" w:color="auto"/>
              <w:left w:val="nil"/>
              <w:bottom w:val="nil"/>
              <w:right w:val="nil"/>
            </w:tcBorders>
            <w:shd w:val="clear" w:color="auto" w:fill="auto"/>
            <w:noWrap/>
            <w:vAlign w:val="bottom"/>
            <w:hideMark/>
          </w:tcPr>
          <w:p w:rsidR="00303A43" w:rsidRPr="0010208C" w:rsidRDefault="00303A43" w:rsidP="00AE4C3A">
            <w:pPr>
              <w:tabs>
                <w:tab w:val="decimal" w:pos="514"/>
              </w:tabs>
              <w:spacing w:before="20" w:after="20"/>
              <w:rPr>
                <w:rFonts w:cstheme="minorHAnsi"/>
                <w:sz w:val="20"/>
                <w:szCs w:val="20"/>
              </w:rPr>
            </w:pPr>
            <w:r w:rsidRPr="0010208C">
              <w:rPr>
                <w:rFonts w:cstheme="minorHAnsi"/>
                <w:sz w:val="20"/>
                <w:szCs w:val="20"/>
              </w:rPr>
              <w:t>91.5</w:t>
            </w:r>
          </w:p>
        </w:tc>
        <w:tc>
          <w:tcPr>
            <w:tcW w:w="2221" w:type="dxa"/>
            <w:tcBorders>
              <w:top w:val="single" w:sz="4" w:space="0" w:color="auto"/>
              <w:left w:val="nil"/>
              <w:bottom w:val="nil"/>
              <w:right w:val="nil"/>
            </w:tcBorders>
            <w:shd w:val="clear" w:color="auto" w:fill="auto"/>
            <w:noWrap/>
            <w:vAlign w:val="bottom"/>
            <w:hideMark/>
          </w:tcPr>
          <w:p w:rsidR="00303A43" w:rsidRPr="0010208C" w:rsidRDefault="00303A43" w:rsidP="00AE4C3A">
            <w:pPr>
              <w:tabs>
                <w:tab w:val="decimal" w:pos="939"/>
              </w:tabs>
              <w:spacing w:before="20" w:after="20"/>
              <w:rPr>
                <w:rFonts w:cstheme="minorHAnsi"/>
                <w:sz w:val="20"/>
                <w:szCs w:val="20"/>
              </w:rPr>
            </w:pPr>
            <w:r w:rsidRPr="0010208C">
              <w:rPr>
                <w:rFonts w:cstheme="minorHAnsi"/>
                <w:sz w:val="20"/>
                <w:szCs w:val="20"/>
              </w:rPr>
              <w:t>0.4</w:t>
            </w:r>
          </w:p>
        </w:tc>
      </w:tr>
      <w:tr w:rsidR="00303A43" w:rsidRPr="0010208C" w:rsidTr="00303A43">
        <w:tc>
          <w:tcPr>
            <w:tcW w:w="1662" w:type="dxa"/>
            <w:tcBorders>
              <w:top w:val="nil"/>
              <w:left w:val="nil"/>
              <w:bottom w:val="nil"/>
              <w:right w:val="nil"/>
            </w:tcBorders>
            <w:shd w:val="clear" w:color="auto" w:fill="auto"/>
            <w:noWrap/>
            <w:vAlign w:val="bottom"/>
            <w:hideMark/>
          </w:tcPr>
          <w:p w:rsidR="00303A43" w:rsidRPr="0010208C" w:rsidRDefault="00303A43" w:rsidP="00AE4C3A">
            <w:pPr>
              <w:spacing w:before="20" w:after="20"/>
              <w:rPr>
                <w:rFonts w:cstheme="minorHAnsi"/>
                <w:sz w:val="20"/>
                <w:szCs w:val="20"/>
              </w:rPr>
            </w:pPr>
            <w:r w:rsidRPr="0010208C">
              <w:rPr>
                <w:rFonts w:cstheme="minorHAnsi"/>
                <w:sz w:val="20"/>
                <w:szCs w:val="20"/>
              </w:rPr>
              <w:t>Reading English</w:t>
            </w:r>
          </w:p>
        </w:tc>
        <w:tc>
          <w:tcPr>
            <w:tcW w:w="992" w:type="dxa"/>
            <w:tcBorders>
              <w:top w:val="nil"/>
              <w:left w:val="nil"/>
              <w:bottom w:val="nil"/>
              <w:right w:val="nil"/>
            </w:tcBorders>
            <w:shd w:val="clear" w:color="auto" w:fill="auto"/>
            <w:noWrap/>
            <w:vAlign w:val="bottom"/>
            <w:hideMark/>
          </w:tcPr>
          <w:p w:rsidR="00303A43" w:rsidRPr="0010208C" w:rsidRDefault="00303A43" w:rsidP="00AE4C3A">
            <w:pPr>
              <w:tabs>
                <w:tab w:val="decimal" w:pos="403"/>
              </w:tabs>
              <w:spacing w:before="20" w:after="20"/>
              <w:rPr>
                <w:rFonts w:cstheme="minorHAnsi"/>
                <w:sz w:val="20"/>
                <w:szCs w:val="20"/>
              </w:rPr>
            </w:pPr>
            <w:r w:rsidRPr="0010208C">
              <w:rPr>
                <w:rFonts w:cstheme="minorHAnsi"/>
                <w:sz w:val="20"/>
                <w:szCs w:val="20"/>
              </w:rPr>
              <w:t>0</w:t>
            </w:r>
          </w:p>
        </w:tc>
        <w:tc>
          <w:tcPr>
            <w:tcW w:w="1418" w:type="dxa"/>
            <w:tcBorders>
              <w:top w:val="nil"/>
              <w:left w:val="nil"/>
              <w:bottom w:val="nil"/>
              <w:right w:val="nil"/>
            </w:tcBorders>
            <w:shd w:val="clear" w:color="auto" w:fill="auto"/>
            <w:noWrap/>
            <w:vAlign w:val="bottom"/>
            <w:hideMark/>
          </w:tcPr>
          <w:p w:rsidR="00303A43" w:rsidRPr="0010208C" w:rsidRDefault="00303A43" w:rsidP="00AE4C3A">
            <w:pPr>
              <w:tabs>
                <w:tab w:val="decimal" w:pos="514"/>
              </w:tabs>
              <w:spacing w:before="20" w:after="20"/>
              <w:rPr>
                <w:rFonts w:cstheme="minorHAnsi"/>
                <w:sz w:val="20"/>
                <w:szCs w:val="20"/>
              </w:rPr>
            </w:pPr>
            <w:r w:rsidRPr="0010208C">
              <w:rPr>
                <w:rFonts w:cstheme="minorHAnsi"/>
                <w:sz w:val="20"/>
                <w:szCs w:val="20"/>
              </w:rPr>
              <w:t>0.4</w:t>
            </w:r>
          </w:p>
        </w:tc>
        <w:tc>
          <w:tcPr>
            <w:tcW w:w="850" w:type="dxa"/>
            <w:tcBorders>
              <w:top w:val="nil"/>
              <w:left w:val="nil"/>
              <w:bottom w:val="nil"/>
              <w:right w:val="nil"/>
            </w:tcBorders>
            <w:shd w:val="clear" w:color="auto" w:fill="auto"/>
            <w:noWrap/>
            <w:vAlign w:val="bottom"/>
            <w:hideMark/>
          </w:tcPr>
          <w:p w:rsidR="00303A43" w:rsidRPr="0010208C" w:rsidRDefault="00303A43" w:rsidP="00AE4C3A">
            <w:pPr>
              <w:tabs>
                <w:tab w:val="decimal" w:pos="403"/>
              </w:tabs>
              <w:spacing w:before="20" w:after="20"/>
              <w:rPr>
                <w:rFonts w:cstheme="minorHAnsi"/>
                <w:sz w:val="20"/>
                <w:szCs w:val="20"/>
              </w:rPr>
            </w:pPr>
            <w:r w:rsidRPr="0010208C">
              <w:rPr>
                <w:rFonts w:cstheme="minorHAnsi"/>
                <w:sz w:val="20"/>
                <w:szCs w:val="20"/>
              </w:rPr>
              <w:t>7.9</w:t>
            </w:r>
          </w:p>
        </w:tc>
        <w:tc>
          <w:tcPr>
            <w:tcW w:w="1134" w:type="dxa"/>
            <w:tcBorders>
              <w:top w:val="nil"/>
              <w:left w:val="nil"/>
              <w:bottom w:val="nil"/>
              <w:right w:val="nil"/>
            </w:tcBorders>
            <w:shd w:val="clear" w:color="auto" w:fill="auto"/>
            <w:noWrap/>
            <w:vAlign w:val="bottom"/>
            <w:hideMark/>
          </w:tcPr>
          <w:p w:rsidR="00303A43" w:rsidRPr="0010208C" w:rsidRDefault="00303A43" w:rsidP="00AE4C3A">
            <w:pPr>
              <w:tabs>
                <w:tab w:val="decimal" w:pos="514"/>
              </w:tabs>
              <w:spacing w:before="20" w:after="20"/>
              <w:rPr>
                <w:rFonts w:cstheme="minorHAnsi"/>
                <w:sz w:val="20"/>
                <w:szCs w:val="20"/>
              </w:rPr>
            </w:pPr>
            <w:r w:rsidRPr="0010208C">
              <w:rPr>
                <w:rFonts w:cstheme="minorHAnsi"/>
                <w:sz w:val="20"/>
                <w:szCs w:val="20"/>
              </w:rPr>
              <w:t>90.5</w:t>
            </w:r>
          </w:p>
        </w:tc>
        <w:tc>
          <w:tcPr>
            <w:tcW w:w="2221" w:type="dxa"/>
            <w:tcBorders>
              <w:top w:val="nil"/>
              <w:left w:val="nil"/>
              <w:bottom w:val="nil"/>
              <w:right w:val="nil"/>
            </w:tcBorders>
            <w:shd w:val="clear" w:color="auto" w:fill="auto"/>
            <w:noWrap/>
            <w:vAlign w:val="bottom"/>
            <w:hideMark/>
          </w:tcPr>
          <w:p w:rsidR="00303A43" w:rsidRPr="0010208C" w:rsidRDefault="00303A43" w:rsidP="00AE4C3A">
            <w:pPr>
              <w:tabs>
                <w:tab w:val="decimal" w:pos="939"/>
              </w:tabs>
              <w:spacing w:before="20" w:after="20"/>
              <w:rPr>
                <w:rFonts w:cstheme="minorHAnsi"/>
                <w:sz w:val="20"/>
                <w:szCs w:val="20"/>
              </w:rPr>
            </w:pPr>
            <w:r w:rsidRPr="0010208C">
              <w:rPr>
                <w:rFonts w:cstheme="minorHAnsi"/>
                <w:sz w:val="20"/>
                <w:szCs w:val="20"/>
              </w:rPr>
              <w:t>1.2</w:t>
            </w:r>
          </w:p>
        </w:tc>
      </w:tr>
      <w:tr w:rsidR="00303A43" w:rsidRPr="0010208C" w:rsidTr="00303A43">
        <w:tc>
          <w:tcPr>
            <w:tcW w:w="1662" w:type="dxa"/>
            <w:tcBorders>
              <w:top w:val="nil"/>
              <w:left w:val="nil"/>
              <w:bottom w:val="single" w:sz="4" w:space="0" w:color="auto"/>
              <w:right w:val="nil"/>
            </w:tcBorders>
            <w:shd w:val="clear" w:color="auto" w:fill="auto"/>
            <w:noWrap/>
            <w:vAlign w:val="bottom"/>
            <w:hideMark/>
          </w:tcPr>
          <w:p w:rsidR="00303A43" w:rsidRPr="0010208C" w:rsidRDefault="00303A43" w:rsidP="00AE4C3A">
            <w:pPr>
              <w:spacing w:before="20" w:after="20"/>
              <w:rPr>
                <w:rFonts w:cstheme="minorHAnsi"/>
                <w:sz w:val="20"/>
                <w:szCs w:val="20"/>
              </w:rPr>
            </w:pPr>
            <w:r w:rsidRPr="0010208C">
              <w:rPr>
                <w:rFonts w:cstheme="minorHAnsi"/>
                <w:sz w:val="20"/>
                <w:szCs w:val="20"/>
              </w:rPr>
              <w:t>Writing English</w:t>
            </w:r>
          </w:p>
        </w:tc>
        <w:tc>
          <w:tcPr>
            <w:tcW w:w="992" w:type="dxa"/>
            <w:tcBorders>
              <w:top w:val="nil"/>
              <w:left w:val="nil"/>
              <w:bottom w:val="single" w:sz="4" w:space="0" w:color="auto"/>
              <w:right w:val="nil"/>
            </w:tcBorders>
            <w:shd w:val="clear" w:color="auto" w:fill="auto"/>
            <w:noWrap/>
            <w:vAlign w:val="bottom"/>
            <w:hideMark/>
          </w:tcPr>
          <w:p w:rsidR="00303A43" w:rsidRPr="0010208C" w:rsidRDefault="00303A43" w:rsidP="00AE4C3A">
            <w:pPr>
              <w:tabs>
                <w:tab w:val="decimal" w:pos="403"/>
              </w:tabs>
              <w:spacing w:before="20" w:after="20"/>
              <w:rPr>
                <w:rFonts w:cstheme="minorHAnsi"/>
                <w:sz w:val="20"/>
                <w:szCs w:val="20"/>
              </w:rPr>
            </w:pPr>
            <w:r w:rsidRPr="0010208C">
              <w:rPr>
                <w:rFonts w:cstheme="minorHAnsi"/>
                <w:sz w:val="20"/>
                <w:szCs w:val="20"/>
              </w:rPr>
              <w:t>0</w:t>
            </w:r>
          </w:p>
        </w:tc>
        <w:tc>
          <w:tcPr>
            <w:tcW w:w="1418" w:type="dxa"/>
            <w:tcBorders>
              <w:top w:val="nil"/>
              <w:left w:val="nil"/>
              <w:bottom w:val="single" w:sz="4" w:space="0" w:color="auto"/>
              <w:right w:val="nil"/>
            </w:tcBorders>
            <w:shd w:val="clear" w:color="auto" w:fill="auto"/>
            <w:noWrap/>
            <w:vAlign w:val="bottom"/>
            <w:hideMark/>
          </w:tcPr>
          <w:p w:rsidR="00303A43" w:rsidRPr="0010208C" w:rsidRDefault="00303A43" w:rsidP="00AE4C3A">
            <w:pPr>
              <w:tabs>
                <w:tab w:val="decimal" w:pos="514"/>
              </w:tabs>
              <w:spacing w:before="20" w:after="20"/>
              <w:rPr>
                <w:rFonts w:cstheme="minorHAnsi"/>
                <w:sz w:val="20"/>
                <w:szCs w:val="20"/>
              </w:rPr>
            </w:pPr>
            <w:r w:rsidRPr="0010208C">
              <w:rPr>
                <w:rFonts w:cstheme="minorHAnsi"/>
                <w:sz w:val="20"/>
                <w:szCs w:val="20"/>
              </w:rPr>
              <w:t>0.7</w:t>
            </w:r>
          </w:p>
        </w:tc>
        <w:tc>
          <w:tcPr>
            <w:tcW w:w="850" w:type="dxa"/>
            <w:tcBorders>
              <w:top w:val="nil"/>
              <w:left w:val="nil"/>
              <w:bottom w:val="single" w:sz="4" w:space="0" w:color="auto"/>
              <w:right w:val="nil"/>
            </w:tcBorders>
            <w:shd w:val="clear" w:color="auto" w:fill="auto"/>
            <w:noWrap/>
            <w:vAlign w:val="bottom"/>
            <w:hideMark/>
          </w:tcPr>
          <w:p w:rsidR="00303A43" w:rsidRPr="0010208C" w:rsidRDefault="00303A43" w:rsidP="00AE4C3A">
            <w:pPr>
              <w:tabs>
                <w:tab w:val="decimal" w:pos="403"/>
              </w:tabs>
              <w:spacing w:before="20" w:after="20"/>
              <w:rPr>
                <w:rFonts w:cstheme="minorHAnsi"/>
                <w:sz w:val="20"/>
                <w:szCs w:val="20"/>
              </w:rPr>
            </w:pPr>
            <w:r w:rsidRPr="0010208C">
              <w:rPr>
                <w:rFonts w:cstheme="minorHAnsi"/>
                <w:sz w:val="20"/>
                <w:szCs w:val="20"/>
              </w:rPr>
              <w:t>11.1</w:t>
            </w:r>
          </w:p>
        </w:tc>
        <w:tc>
          <w:tcPr>
            <w:tcW w:w="1134" w:type="dxa"/>
            <w:tcBorders>
              <w:top w:val="nil"/>
              <w:left w:val="nil"/>
              <w:bottom w:val="single" w:sz="4" w:space="0" w:color="auto"/>
              <w:right w:val="nil"/>
            </w:tcBorders>
            <w:shd w:val="clear" w:color="auto" w:fill="auto"/>
            <w:noWrap/>
            <w:vAlign w:val="bottom"/>
            <w:hideMark/>
          </w:tcPr>
          <w:p w:rsidR="00303A43" w:rsidRPr="0010208C" w:rsidRDefault="00303A43" w:rsidP="00AE4C3A">
            <w:pPr>
              <w:tabs>
                <w:tab w:val="decimal" w:pos="514"/>
              </w:tabs>
              <w:spacing w:before="20" w:after="20"/>
              <w:rPr>
                <w:rFonts w:cstheme="minorHAnsi"/>
                <w:sz w:val="20"/>
                <w:szCs w:val="20"/>
              </w:rPr>
            </w:pPr>
            <w:r w:rsidRPr="0010208C">
              <w:rPr>
                <w:rFonts w:cstheme="minorHAnsi"/>
                <w:sz w:val="20"/>
                <w:szCs w:val="20"/>
              </w:rPr>
              <w:t>87.1</w:t>
            </w:r>
          </w:p>
        </w:tc>
        <w:tc>
          <w:tcPr>
            <w:tcW w:w="2221" w:type="dxa"/>
            <w:tcBorders>
              <w:top w:val="nil"/>
              <w:left w:val="nil"/>
              <w:bottom w:val="single" w:sz="4" w:space="0" w:color="auto"/>
              <w:right w:val="nil"/>
            </w:tcBorders>
            <w:shd w:val="clear" w:color="auto" w:fill="auto"/>
            <w:noWrap/>
            <w:vAlign w:val="bottom"/>
            <w:hideMark/>
          </w:tcPr>
          <w:p w:rsidR="00303A43" w:rsidRPr="0010208C" w:rsidRDefault="00303A43" w:rsidP="00AE4C3A">
            <w:pPr>
              <w:tabs>
                <w:tab w:val="decimal" w:pos="939"/>
              </w:tabs>
              <w:spacing w:before="20" w:after="20"/>
              <w:rPr>
                <w:rFonts w:cstheme="minorHAnsi"/>
                <w:sz w:val="20"/>
                <w:szCs w:val="20"/>
              </w:rPr>
            </w:pPr>
            <w:r w:rsidRPr="0010208C">
              <w:rPr>
                <w:rFonts w:cstheme="minorHAnsi"/>
                <w:sz w:val="20"/>
                <w:szCs w:val="20"/>
              </w:rPr>
              <w:t>1.2</w:t>
            </w:r>
          </w:p>
        </w:tc>
      </w:tr>
      <w:tr w:rsidR="00303A43" w:rsidRPr="0010208C" w:rsidTr="00303A43">
        <w:tc>
          <w:tcPr>
            <w:tcW w:w="1662" w:type="dxa"/>
            <w:tcBorders>
              <w:top w:val="single" w:sz="4" w:space="0" w:color="auto"/>
              <w:left w:val="nil"/>
              <w:bottom w:val="single" w:sz="4" w:space="0" w:color="auto"/>
              <w:right w:val="nil"/>
            </w:tcBorders>
            <w:shd w:val="clear" w:color="auto" w:fill="auto"/>
            <w:noWrap/>
            <w:vAlign w:val="bottom"/>
          </w:tcPr>
          <w:p w:rsidR="00303A43" w:rsidRPr="0010208C" w:rsidRDefault="00303A43" w:rsidP="00AE4C3A">
            <w:pPr>
              <w:spacing w:before="20" w:after="20"/>
              <w:rPr>
                <w:rFonts w:cstheme="minorHAnsi"/>
                <w:sz w:val="20"/>
                <w:szCs w:val="20"/>
              </w:rPr>
            </w:pPr>
            <w:r w:rsidRPr="006A4BDA">
              <w:rPr>
                <w:rFonts w:cstheme="minorHAnsi"/>
                <w:b/>
                <w:sz w:val="20"/>
                <w:szCs w:val="20"/>
              </w:rPr>
              <w:t>Total (N=2</w:t>
            </w:r>
            <w:r>
              <w:rPr>
                <w:rFonts w:cstheme="minorHAnsi"/>
                <w:b/>
                <w:sz w:val="20"/>
                <w:szCs w:val="20"/>
              </w:rPr>
              <w:t>,</w:t>
            </w:r>
            <w:r w:rsidRPr="006A4BDA">
              <w:rPr>
                <w:rFonts w:cstheme="minorHAnsi"/>
                <w:b/>
                <w:sz w:val="20"/>
                <w:szCs w:val="20"/>
              </w:rPr>
              <w:t>133)</w:t>
            </w:r>
          </w:p>
        </w:tc>
        <w:tc>
          <w:tcPr>
            <w:tcW w:w="992" w:type="dxa"/>
            <w:tcBorders>
              <w:top w:val="single" w:sz="4" w:space="0" w:color="auto"/>
              <w:left w:val="nil"/>
              <w:bottom w:val="single" w:sz="4" w:space="0" w:color="auto"/>
              <w:right w:val="nil"/>
            </w:tcBorders>
            <w:shd w:val="clear" w:color="auto" w:fill="auto"/>
            <w:noWrap/>
            <w:vAlign w:val="bottom"/>
          </w:tcPr>
          <w:p w:rsidR="00303A43" w:rsidRPr="0010208C" w:rsidRDefault="00303A43" w:rsidP="00AE4C3A">
            <w:pPr>
              <w:tabs>
                <w:tab w:val="decimal" w:pos="403"/>
              </w:tabs>
              <w:spacing w:before="20" w:after="20"/>
              <w:rPr>
                <w:rFonts w:cstheme="minorHAnsi"/>
                <w:sz w:val="20"/>
                <w:szCs w:val="20"/>
              </w:rPr>
            </w:pPr>
          </w:p>
        </w:tc>
        <w:tc>
          <w:tcPr>
            <w:tcW w:w="1418" w:type="dxa"/>
            <w:tcBorders>
              <w:top w:val="single" w:sz="4" w:space="0" w:color="auto"/>
              <w:left w:val="nil"/>
              <w:bottom w:val="single" w:sz="4" w:space="0" w:color="auto"/>
              <w:right w:val="nil"/>
            </w:tcBorders>
            <w:shd w:val="clear" w:color="auto" w:fill="auto"/>
            <w:noWrap/>
            <w:vAlign w:val="bottom"/>
          </w:tcPr>
          <w:p w:rsidR="00303A43" w:rsidRPr="0010208C" w:rsidRDefault="00303A43" w:rsidP="00AE4C3A">
            <w:pPr>
              <w:tabs>
                <w:tab w:val="decimal" w:pos="403"/>
              </w:tabs>
              <w:spacing w:before="20" w:after="20"/>
              <w:rPr>
                <w:rFonts w:cstheme="minorHAnsi"/>
                <w:sz w:val="20"/>
                <w:szCs w:val="20"/>
              </w:rPr>
            </w:pPr>
          </w:p>
        </w:tc>
        <w:tc>
          <w:tcPr>
            <w:tcW w:w="850" w:type="dxa"/>
            <w:tcBorders>
              <w:top w:val="single" w:sz="4" w:space="0" w:color="auto"/>
              <w:left w:val="nil"/>
              <w:bottom w:val="single" w:sz="4" w:space="0" w:color="auto"/>
              <w:right w:val="nil"/>
            </w:tcBorders>
            <w:shd w:val="clear" w:color="auto" w:fill="auto"/>
            <w:noWrap/>
            <w:vAlign w:val="bottom"/>
          </w:tcPr>
          <w:p w:rsidR="00303A43" w:rsidRPr="0010208C" w:rsidRDefault="00303A43" w:rsidP="00AE4C3A">
            <w:pPr>
              <w:tabs>
                <w:tab w:val="decimal" w:pos="403"/>
              </w:tabs>
              <w:spacing w:before="20" w:after="20"/>
              <w:rPr>
                <w:rFonts w:cstheme="minorHAnsi"/>
                <w:sz w:val="20"/>
                <w:szCs w:val="20"/>
              </w:rPr>
            </w:pPr>
          </w:p>
        </w:tc>
        <w:tc>
          <w:tcPr>
            <w:tcW w:w="1134" w:type="dxa"/>
            <w:tcBorders>
              <w:top w:val="single" w:sz="4" w:space="0" w:color="auto"/>
              <w:left w:val="nil"/>
              <w:bottom w:val="single" w:sz="4" w:space="0" w:color="auto"/>
              <w:right w:val="nil"/>
            </w:tcBorders>
            <w:shd w:val="clear" w:color="auto" w:fill="auto"/>
            <w:noWrap/>
            <w:vAlign w:val="bottom"/>
          </w:tcPr>
          <w:p w:rsidR="00303A43" w:rsidRPr="0010208C" w:rsidRDefault="00303A43" w:rsidP="00AE4C3A">
            <w:pPr>
              <w:tabs>
                <w:tab w:val="decimal" w:pos="403"/>
              </w:tabs>
              <w:spacing w:before="20" w:after="20"/>
              <w:rPr>
                <w:rFonts w:cstheme="minorHAnsi"/>
                <w:sz w:val="20"/>
                <w:szCs w:val="20"/>
              </w:rPr>
            </w:pPr>
          </w:p>
        </w:tc>
        <w:tc>
          <w:tcPr>
            <w:tcW w:w="2221" w:type="dxa"/>
            <w:tcBorders>
              <w:top w:val="single" w:sz="4" w:space="0" w:color="auto"/>
              <w:left w:val="nil"/>
              <w:bottom w:val="single" w:sz="4" w:space="0" w:color="auto"/>
              <w:right w:val="nil"/>
            </w:tcBorders>
            <w:shd w:val="clear" w:color="auto" w:fill="auto"/>
            <w:noWrap/>
            <w:vAlign w:val="bottom"/>
          </w:tcPr>
          <w:p w:rsidR="00303A43" w:rsidRPr="0010208C" w:rsidRDefault="00303A43" w:rsidP="00AE4C3A">
            <w:pPr>
              <w:tabs>
                <w:tab w:val="decimal" w:pos="601"/>
              </w:tabs>
              <w:spacing w:before="20" w:after="20"/>
              <w:rPr>
                <w:rFonts w:cstheme="minorHAnsi"/>
                <w:sz w:val="20"/>
                <w:szCs w:val="20"/>
              </w:rPr>
            </w:pPr>
          </w:p>
        </w:tc>
      </w:tr>
    </w:tbl>
    <w:p w:rsidR="00685BE5" w:rsidRPr="00E3331B" w:rsidRDefault="00685BE5" w:rsidP="00AE4C3A">
      <w:pPr>
        <w:pStyle w:val="NILSReference"/>
      </w:pPr>
      <w:r w:rsidRPr="00E3331B">
        <w:t xml:space="preserve">Source: 2014 NDIS DSP employee survey, Question A5c. </w:t>
      </w:r>
    </w:p>
    <w:p w:rsidR="00685BE5" w:rsidRPr="00E3331B" w:rsidRDefault="00685BE5" w:rsidP="00AE4C3A">
      <w:pPr>
        <w:pStyle w:val="NILSReference"/>
      </w:pPr>
      <w:r w:rsidRPr="00E3331B">
        <w:t>Note: Row percentages are shown.</w:t>
      </w:r>
    </w:p>
    <w:p w:rsidR="003A37B0" w:rsidRDefault="003A37B0" w:rsidP="00AE4C3A">
      <w:pPr>
        <w:rPr>
          <w:rFonts w:cstheme="minorHAnsi"/>
        </w:rPr>
      </w:pPr>
    </w:p>
    <w:p w:rsidR="00685BE5" w:rsidRDefault="00685BE5" w:rsidP="00AE4C3A">
      <w:pPr>
        <w:rPr>
          <w:rFonts w:cstheme="minorHAnsi"/>
        </w:rPr>
      </w:pPr>
      <w:r w:rsidRPr="00AB33E3">
        <w:rPr>
          <w:rFonts w:cstheme="minorHAnsi"/>
        </w:rPr>
        <w:t>A standard ABS measure of self-assessed health levels which uses a rating of health as excellent, very good, good, fair or poor</w:t>
      </w:r>
      <w:r w:rsidR="004A6993">
        <w:rPr>
          <w:rFonts w:cstheme="minorHAnsi"/>
        </w:rPr>
        <w:t>,</w:t>
      </w:r>
      <w:r w:rsidRPr="00AB33E3">
        <w:rPr>
          <w:rFonts w:cstheme="minorHAnsi"/>
        </w:rPr>
        <w:t xml:space="preserve"> is shown for</w:t>
      </w:r>
      <w:r>
        <w:rPr>
          <w:rFonts w:cstheme="minorHAnsi"/>
        </w:rPr>
        <w:t xml:space="preserve"> outlet employees in Table 4.2</w:t>
      </w:r>
      <w:r w:rsidRPr="00AB33E3">
        <w:rPr>
          <w:rFonts w:cstheme="minorHAnsi"/>
        </w:rPr>
        <w:t>2.</w:t>
      </w:r>
    </w:p>
    <w:p w:rsidR="003A37B0" w:rsidRDefault="003A37B0" w:rsidP="00AE4C3A">
      <w:pPr>
        <w:rPr>
          <w:rFonts w:cstheme="minorHAnsi"/>
        </w:rPr>
      </w:pPr>
    </w:p>
    <w:p w:rsidR="00685BE5" w:rsidRDefault="00685BE5" w:rsidP="00AE4C3A">
      <w:pPr>
        <w:rPr>
          <w:rFonts w:cstheme="minorHAnsi"/>
        </w:rPr>
      </w:pPr>
      <w:r w:rsidRPr="00AB33E3">
        <w:rPr>
          <w:rFonts w:cstheme="minorHAnsi"/>
        </w:rPr>
        <w:t>Two-thirds of employees report</w:t>
      </w:r>
      <w:r>
        <w:rPr>
          <w:rFonts w:cstheme="minorHAnsi"/>
        </w:rPr>
        <w:t>ed</w:t>
      </w:r>
      <w:r w:rsidRPr="00AB33E3">
        <w:rPr>
          <w:rFonts w:cstheme="minorHAnsi"/>
        </w:rPr>
        <w:t xml:space="preserve"> they </w:t>
      </w:r>
      <w:r>
        <w:rPr>
          <w:rFonts w:cstheme="minorHAnsi"/>
        </w:rPr>
        <w:t>we</w:t>
      </w:r>
      <w:r w:rsidRPr="00AB33E3">
        <w:rPr>
          <w:rFonts w:cstheme="minorHAnsi"/>
        </w:rPr>
        <w:t xml:space="preserve">re in excellent or very good health, which </w:t>
      </w:r>
      <w:r>
        <w:rPr>
          <w:rFonts w:cstheme="minorHAnsi"/>
        </w:rPr>
        <w:t>wa</w:t>
      </w:r>
      <w:r w:rsidRPr="00AB33E3">
        <w:rPr>
          <w:rFonts w:cstheme="minorHAnsi"/>
        </w:rPr>
        <w:t>s higher than that of the general Australian workforce (55 per cent: HILDA</w:t>
      </w:r>
      <w:r>
        <w:rPr>
          <w:rStyle w:val="FootnoteReference"/>
          <w:rFonts w:cstheme="minorHAnsi"/>
        </w:rPr>
        <w:footnoteReference w:id="28"/>
      </w:r>
      <w:r w:rsidRPr="00AB33E3">
        <w:rPr>
          <w:rFonts w:cstheme="minorHAnsi"/>
        </w:rPr>
        <w:t xml:space="preserve"> 2014) and also higher than reported for the Aged care residential or community workforce 2012 (around 60 per cent</w:t>
      </w:r>
      <w:r>
        <w:rPr>
          <w:rFonts w:cstheme="minorHAnsi"/>
        </w:rPr>
        <w:t>, see King et al. 2013</w:t>
      </w:r>
      <w:r w:rsidRPr="00AB33E3">
        <w:rPr>
          <w:rFonts w:cstheme="minorHAnsi"/>
        </w:rPr>
        <w:t xml:space="preserve">). Only six per cent of respondents considered their health to be fair or poor. </w:t>
      </w:r>
      <w:r w:rsidR="0090288F">
        <w:rPr>
          <w:rFonts w:cstheme="minorHAnsi"/>
        </w:rPr>
        <w:t>T</w:t>
      </w:r>
      <w:r>
        <w:rPr>
          <w:rFonts w:cstheme="minorHAnsi"/>
        </w:rPr>
        <w:t xml:space="preserve">hese figures are not age adjusted. Adjusting for age would remove some bias and result in an even more favourable picture for the health of the sector’s workforce in comparison with the wider Australian workforce. </w:t>
      </w:r>
    </w:p>
    <w:p w:rsidR="00685BE5" w:rsidRPr="00AB33E3" w:rsidRDefault="00685BE5" w:rsidP="0044684E">
      <w:pPr>
        <w:pStyle w:val="NILSTableHeading"/>
      </w:pPr>
      <w:bookmarkStart w:id="579" w:name="_Toc425425097"/>
      <w:bookmarkStart w:id="580" w:name="_Toc428279227"/>
      <w:bookmarkStart w:id="581" w:name="_Toc449955358"/>
      <w:r>
        <w:t>Table 4.22</w:t>
      </w:r>
      <w:r w:rsidRPr="00AB33E3">
        <w:t>: Self-reported health of the disability support workforce</w:t>
      </w:r>
      <w:bookmarkEnd w:id="579"/>
      <w:bookmarkEnd w:id="580"/>
      <w:bookmarkEnd w:id="581"/>
    </w:p>
    <w:tbl>
      <w:tblPr>
        <w:tblW w:w="4126" w:type="dxa"/>
        <w:tblInd w:w="93" w:type="dxa"/>
        <w:tblLook w:val="04A0" w:firstRow="1" w:lastRow="0" w:firstColumn="1" w:lastColumn="0" w:noHBand="0" w:noVBand="1"/>
        <w:tblCaption w:val="Table 4.22 Self-reported health of the disability support workforce"/>
      </w:tblPr>
      <w:tblGrid>
        <w:gridCol w:w="2709"/>
        <w:gridCol w:w="1417"/>
      </w:tblGrid>
      <w:tr w:rsidR="00685BE5" w:rsidRPr="0010208C" w:rsidTr="001C146A">
        <w:trPr>
          <w:trHeight w:val="288"/>
          <w:tblHeader/>
        </w:trPr>
        <w:tc>
          <w:tcPr>
            <w:tcW w:w="2709" w:type="dxa"/>
            <w:tcBorders>
              <w:top w:val="single" w:sz="4" w:space="0" w:color="auto"/>
              <w:left w:val="nil"/>
              <w:bottom w:val="single" w:sz="4" w:space="0" w:color="auto"/>
              <w:right w:val="nil"/>
            </w:tcBorders>
            <w:shd w:val="clear" w:color="auto" w:fill="auto"/>
            <w:noWrap/>
            <w:vAlign w:val="bottom"/>
            <w:hideMark/>
          </w:tcPr>
          <w:p w:rsidR="00685BE5" w:rsidRPr="00E3331B" w:rsidRDefault="00685BE5" w:rsidP="00AE4C3A">
            <w:pPr>
              <w:spacing w:before="20" w:after="20"/>
              <w:rPr>
                <w:rFonts w:cstheme="minorHAnsi"/>
                <w:bCs/>
                <w:sz w:val="20"/>
                <w:szCs w:val="20"/>
              </w:rPr>
            </w:pPr>
            <w:r w:rsidRPr="00E3331B">
              <w:rPr>
                <w:rFonts w:cstheme="minorHAnsi"/>
                <w:bCs/>
                <w:sz w:val="20"/>
                <w:szCs w:val="20"/>
              </w:rPr>
              <w:t> </w:t>
            </w:r>
            <w:bookmarkStart w:id="582" w:name="Title_4_22"/>
            <w:bookmarkEnd w:id="582"/>
          </w:p>
        </w:tc>
        <w:tc>
          <w:tcPr>
            <w:tcW w:w="1417" w:type="dxa"/>
            <w:tcBorders>
              <w:top w:val="single" w:sz="4" w:space="0" w:color="auto"/>
              <w:left w:val="nil"/>
              <w:bottom w:val="single" w:sz="4" w:space="0" w:color="auto"/>
              <w:right w:val="nil"/>
            </w:tcBorders>
            <w:shd w:val="clear" w:color="auto" w:fill="auto"/>
            <w:noWrap/>
            <w:vAlign w:val="bottom"/>
            <w:hideMark/>
          </w:tcPr>
          <w:p w:rsidR="00685BE5" w:rsidRPr="00E3331B" w:rsidRDefault="0096484D" w:rsidP="001C146A">
            <w:pPr>
              <w:spacing w:before="20" w:after="20"/>
              <w:jc w:val="center"/>
              <w:rPr>
                <w:rFonts w:cstheme="minorHAnsi"/>
                <w:bCs/>
                <w:sz w:val="20"/>
                <w:szCs w:val="20"/>
              </w:rPr>
            </w:pPr>
            <w:r>
              <w:rPr>
                <w:rFonts w:cstheme="minorHAnsi"/>
                <w:bCs/>
                <w:sz w:val="20"/>
                <w:szCs w:val="20"/>
              </w:rPr>
              <w:t>%</w:t>
            </w:r>
          </w:p>
        </w:tc>
      </w:tr>
      <w:tr w:rsidR="00685BE5" w:rsidRPr="0010208C" w:rsidTr="00AE4C3A">
        <w:trPr>
          <w:trHeight w:val="288"/>
        </w:trPr>
        <w:tc>
          <w:tcPr>
            <w:tcW w:w="2709" w:type="dxa"/>
            <w:tcBorders>
              <w:top w:val="nil"/>
              <w:left w:val="nil"/>
              <w:bottom w:val="nil"/>
              <w:right w:val="nil"/>
            </w:tcBorders>
            <w:shd w:val="clear" w:color="auto" w:fill="auto"/>
            <w:noWrap/>
            <w:vAlign w:val="bottom"/>
            <w:hideMark/>
          </w:tcPr>
          <w:p w:rsidR="00685BE5" w:rsidRPr="0010208C" w:rsidRDefault="00685BE5" w:rsidP="00AE4C3A">
            <w:pPr>
              <w:spacing w:before="20" w:after="20"/>
              <w:rPr>
                <w:rFonts w:cstheme="minorHAnsi"/>
                <w:sz w:val="20"/>
                <w:szCs w:val="20"/>
              </w:rPr>
            </w:pPr>
            <w:r w:rsidRPr="0010208C">
              <w:rPr>
                <w:rFonts w:cstheme="minorHAnsi"/>
                <w:sz w:val="20"/>
                <w:szCs w:val="20"/>
              </w:rPr>
              <w:t>Excellent</w:t>
            </w:r>
          </w:p>
        </w:tc>
        <w:tc>
          <w:tcPr>
            <w:tcW w:w="1417" w:type="dxa"/>
            <w:tcBorders>
              <w:top w:val="nil"/>
              <w:left w:val="nil"/>
              <w:bottom w:val="nil"/>
              <w:right w:val="nil"/>
            </w:tcBorders>
            <w:shd w:val="clear" w:color="auto" w:fill="auto"/>
            <w:noWrap/>
            <w:vAlign w:val="bottom"/>
            <w:hideMark/>
          </w:tcPr>
          <w:p w:rsidR="00685BE5" w:rsidRPr="0010208C" w:rsidRDefault="00685BE5" w:rsidP="00AE4C3A">
            <w:pPr>
              <w:tabs>
                <w:tab w:val="decimal" w:pos="588"/>
              </w:tabs>
              <w:spacing w:before="20" w:after="20"/>
              <w:ind w:right="381"/>
              <w:jc w:val="right"/>
              <w:rPr>
                <w:rFonts w:cstheme="minorHAnsi"/>
                <w:sz w:val="20"/>
                <w:szCs w:val="20"/>
              </w:rPr>
            </w:pPr>
            <w:r w:rsidRPr="0010208C">
              <w:rPr>
                <w:rFonts w:cstheme="minorHAnsi"/>
                <w:sz w:val="20"/>
                <w:szCs w:val="20"/>
              </w:rPr>
              <w:t>26.7</w:t>
            </w:r>
          </w:p>
        </w:tc>
      </w:tr>
      <w:tr w:rsidR="00685BE5" w:rsidRPr="0010208C" w:rsidTr="00AE4C3A">
        <w:trPr>
          <w:trHeight w:val="288"/>
        </w:trPr>
        <w:tc>
          <w:tcPr>
            <w:tcW w:w="2709" w:type="dxa"/>
            <w:tcBorders>
              <w:top w:val="nil"/>
              <w:left w:val="nil"/>
              <w:bottom w:val="nil"/>
              <w:right w:val="nil"/>
            </w:tcBorders>
            <w:shd w:val="clear" w:color="auto" w:fill="auto"/>
            <w:noWrap/>
            <w:vAlign w:val="bottom"/>
            <w:hideMark/>
          </w:tcPr>
          <w:p w:rsidR="00685BE5" w:rsidRPr="0010208C" w:rsidRDefault="00685BE5" w:rsidP="00AE4C3A">
            <w:pPr>
              <w:spacing w:before="20" w:after="20"/>
              <w:rPr>
                <w:rFonts w:cstheme="minorHAnsi"/>
                <w:sz w:val="20"/>
                <w:szCs w:val="20"/>
              </w:rPr>
            </w:pPr>
            <w:r w:rsidRPr="0010208C">
              <w:rPr>
                <w:rFonts w:cstheme="minorHAnsi"/>
                <w:sz w:val="20"/>
                <w:szCs w:val="20"/>
              </w:rPr>
              <w:t>Very good</w:t>
            </w:r>
          </w:p>
        </w:tc>
        <w:tc>
          <w:tcPr>
            <w:tcW w:w="1417" w:type="dxa"/>
            <w:tcBorders>
              <w:top w:val="nil"/>
              <w:left w:val="nil"/>
              <w:bottom w:val="nil"/>
              <w:right w:val="nil"/>
            </w:tcBorders>
            <w:shd w:val="clear" w:color="auto" w:fill="auto"/>
            <w:noWrap/>
            <w:vAlign w:val="bottom"/>
            <w:hideMark/>
          </w:tcPr>
          <w:p w:rsidR="00685BE5" w:rsidRPr="0010208C" w:rsidRDefault="00685BE5" w:rsidP="00AE4C3A">
            <w:pPr>
              <w:tabs>
                <w:tab w:val="decimal" w:pos="588"/>
              </w:tabs>
              <w:spacing w:before="20" w:after="20"/>
              <w:ind w:right="381"/>
              <w:jc w:val="right"/>
              <w:rPr>
                <w:rFonts w:cstheme="minorHAnsi"/>
                <w:sz w:val="20"/>
                <w:szCs w:val="20"/>
              </w:rPr>
            </w:pPr>
            <w:r w:rsidRPr="0010208C">
              <w:rPr>
                <w:rFonts w:cstheme="minorHAnsi"/>
                <w:sz w:val="20"/>
                <w:szCs w:val="20"/>
              </w:rPr>
              <w:t>40.1</w:t>
            </w:r>
          </w:p>
        </w:tc>
      </w:tr>
      <w:tr w:rsidR="00685BE5" w:rsidRPr="0010208C" w:rsidTr="00AE4C3A">
        <w:trPr>
          <w:trHeight w:val="288"/>
        </w:trPr>
        <w:tc>
          <w:tcPr>
            <w:tcW w:w="2709" w:type="dxa"/>
            <w:tcBorders>
              <w:top w:val="nil"/>
              <w:left w:val="nil"/>
              <w:bottom w:val="nil"/>
              <w:right w:val="nil"/>
            </w:tcBorders>
            <w:shd w:val="clear" w:color="auto" w:fill="auto"/>
            <w:noWrap/>
            <w:vAlign w:val="bottom"/>
            <w:hideMark/>
          </w:tcPr>
          <w:p w:rsidR="00685BE5" w:rsidRPr="0010208C" w:rsidRDefault="00685BE5" w:rsidP="00AE4C3A">
            <w:pPr>
              <w:spacing w:before="20" w:after="20"/>
              <w:rPr>
                <w:rFonts w:cstheme="minorHAnsi"/>
                <w:sz w:val="20"/>
                <w:szCs w:val="20"/>
              </w:rPr>
            </w:pPr>
            <w:r w:rsidRPr="0010208C">
              <w:rPr>
                <w:rFonts w:cstheme="minorHAnsi"/>
                <w:sz w:val="20"/>
                <w:szCs w:val="20"/>
              </w:rPr>
              <w:t>Good</w:t>
            </w:r>
          </w:p>
        </w:tc>
        <w:tc>
          <w:tcPr>
            <w:tcW w:w="1417" w:type="dxa"/>
            <w:tcBorders>
              <w:top w:val="nil"/>
              <w:left w:val="nil"/>
              <w:bottom w:val="nil"/>
              <w:right w:val="nil"/>
            </w:tcBorders>
            <w:shd w:val="clear" w:color="auto" w:fill="auto"/>
            <w:noWrap/>
            <w:vAlign w:val="bottom"/>
            <w:hideMark/>
          </w:tcPr>
          <w:p w:rsidR="00685BE5" w:rsidRPr="0010208C" w:rsidRDefault="00685BE5" w:rsidP="00AE4C3A">
            <w:pPr>
              <w:tabs>
                <w:tab w:val="decimal" w:pos="588"/>
              </w:tabs>
              <w:spacing w:before="20" w:after="20"/>
              <w:ind w:right="381"/>
              <w:jc w:val="right"/>
              <w:rPr>
                <w:rFonts w:cstheme="minorHAnsi"/>
                <w:sz w:val="20"/>
                <w:szCs w:val="20"/>
              </w:rPr>
            </w:pPr>
            <w:r w:rsidRPr="0010208C">
              <w:rPr>
                <w:rFonts w:cstheme="minorHAnsi"/>
                <w:sz w:val="20"/>
                <w:szCs w:val="20"/>
              </w:rPr>
              <w:t>26.8</w:t>
            </w:r>
          </w:p>
        </w:tc>
      </w:tr>
      <w:tr w:rsidR="00685BE5" w:rsidRPr="0010208C" w:rsidTr="00AE4C3A">
        <w:trPr>
          <w:trHeight w:val="288"/>
        </w:trPr>
        <w:tc>
          <w:tcPr>
            <w:tcW w:w="2709" w:type="dxa"/>
            <w:tcBorders>
              <w:top w:val="nil"/>
              <w:left w:val="nil"/>
              <w:bottom w:val="nil"/>
              <w:right w:val="nil"/>
            </w:tcBorders>
            <w:shd w:val="clear" w:color="auto" w:fill="auto"/>
            <w:noWrap/>
            <w:vAlign w:val="bottom"/>
            <w:hideMark/>
          </w:tcPr>
          <w:p w:rsidR="00685BE5" w:rsidRPr="0010208C" w:rsidRDefault="00685BE5" w:rsidP="00AE4C3A">
            <w:pPr>
              <w:spacing w:before="20" w:after="20"/>
              <w:rPr>
                <w:rFonts w:cstheme="minorHAnsi"/>
                <w:sz w:val="20"/>
                <w:szCs w:val="20"/>
              </w:rPr>
            </w:pPr>
            <w:r w:rsidRPr="0010208C">
              <w:rPr>
                <w:rFonts w:cstheme="minorHAnsi"/>
                <w:sz w:val="20"/>
                <w:szCs w:val="20"/>
              </w:rPr>
              <w:t>Fair</w:t>
            </w:r>
          </w:p>
        </w:tc>
        <w:tc>
          <w:tcPr>
            <w:tcW w:w="1417" w:type="dxa"/>
            <w:tcBorders>
              <w:top w:val="nil"/>
              <w:left w:val="nil"/>
              <w:bottom w:val="nil"/>
              <w:right w:val="nil"/>
            </w:tcBorders>
            <w:shd w:val="clear" w:color="auto" w:fill="auto"/>
            <w:noWrap/>
            <w:vAlign w:val="bottom"/>
            <w:hideMark/>
          </w:tcPr>
          <w:p w:rsidR="00685BE5" w:rsidRPr="0010208C" w:rsidRDefault="00685BE5" w:rsidP="00AE4C3A">
            <w:pPr>
              <w:tabs>
                <w:tab w:val="decimal" w:pos="588"/>
              </w:tabs>
              <w:spacing w:before="20" w:after="20"/>
              <w:ind w:right="381"/>
              <w:jc w:val="right"/>
              <w:rPr>
                <w:rFonts w:cstheme="minorHAnsi"/>
                <w:sz w:val="20"/>
                <w:szCs w:val="20"/>
              </w:rPr>
            </w:pPr>
            <w:r w:rsidRPr="0010208C">
              <w:rPr>
                <w:rFonts w:cstheme="minorHAnsi"/>
                <w:sz w:val="20"/>
                <w:szCs w:val="20"/>
              </w:rPr>
              <w:t>5.3</w:t>
            </w:r>
          </w:p>
        </w:tc>
      </w:tr>
      <w:tr w:rsidR="00685BE5" w:rsidRPr="0010208C" w:rsidTr="00AE4C3A">
        <w:trPr>
          <w:trHeight w:val="288"/>
        </w:trPr>
        <w:tc>
          <w:tcPr>
            <w:tcW w:w="2709" w:type="dxa"/>
            <w:tcBorders>
              <w:top w:val="nil"/>
              <w:left w:val="nil"/>
              <w:bottom w:val="nil"/>
              <w:right w:val="nil"/>
            </w:tcBorders>
            <w:shd w:val="clear" w:color="auto" w:fill="auto"/>
            <w:noWrap/>
            <w:vAlign w:val="bottom"/>
            <w:hideMark/>
          </w:tcPr>
          <w:p w:rsidR="00685BE5" w:rsidRPr="0010208C" w:rsidRDefault="00685BE5" w:rsidP="00AE4C3A">
            <w:pPr>
              <w:spacing w:before="20" w:after="20"/>
              <w:rPr>
                <w:rFonts w:cstheme="minorHAnsi"/>
                <w:sz w:val="20"/>
                <w:szCs w:val="20"/>
              </w:rPr>
            </w:pPr>
            <w:r w:rsidRPr="0010208C">
              <w:rPr>
                <w:rFonts w:cstheme="minorHAnsi"/>
                <w:sz w:val="20"/>
                <w:szCs w:val="20"/>
              </w:rPr>
              <w:t>Poor</w:t>
            </w:r>
          </w:p>
        </w:tc>
        <w:tc>
          <w:tcPr>
            <w:tcW w:w="1417" w:type="dxa"/>
            <w:tcBorders>
              <w:top w:val="nil"/>
              <w:left w:val="nil"/>
              <w:bottom w:val="nil"/>
              <w:right w:val="nil"/>
            </w:tcBorders>
            <w:shd w:val="clear" w:color="auto" w:fill="auto"/>
            <w:noWrap/>
            <w:vAlign w:val="bottom"/>
            <w:hideMark/>
          </w:tcPr>
          <w:p w:rsidR="00685BE5" w:rsidRPr="0010208C" w:rsidRDefault="00685BE5" w:rsidP="00AE4C3A">
            <w:pPr>
              <w:tabs>
                <w:tab w:val="decimal" w:pos="588"/>
              </w:tabs>
              <w:spacing w:before="20" w:after="20"/>
              <w:ind w:right="381"/>
              <w:jc w:val="right"/>
              <w:rPr>
                <w:rFonts w:cstheme="minorHAnsi"/>
                <w:sz w:val="20"/>
                <w:szCs w:val="20"/>
              </w:rPr>
            </w:pPr>
            <w:r w:rsidRPr="0010208C">
              <w:rPr>
                <w:rFonts w:cstheme="minorHAnsi"/>
                <w:sz w:val="20"/>
                <w:szCs w:val="20"/>
              </w:rPr>
              <w:t>0.8</w:t>
            </w:r>
          </w:p>
        </w:tc>
      </w:tr>
      <w:tr w:rsidR="00685BE5" w:rsidRPr="0010208C" w:rsidTr="00AE4C3A">
        <w:trPr>
          <w:trHeight w:val="288"/>
        </w:trPr>
        <w:tc>
          <w:tcPr>
            <w:tcW w:w="2709" w:type="dxa"/>
            <w:tcBorders>
              <w:top w:val="nil"/>
              <w:left w:val="nil"/>
              <w:bottom w:val="single" w:sz="4" w:space="0" w:color="auto"/>
              <w:right w:val="nil"/>
            </w:tcBorders>
            <w:shd w:val="clear" w:color="auto" w:fill="auto"/>
            <w:noWrap/>
            <w:vAlign w:val="bottom"/>
            <w:hideMark/>
          </w:tcPr>
          <w:p w:rsidR="00685BE5" w:rsidRPr="0010208C" w:rsidRDefault="00685BE5" w:rsidP="00AE4C3A">
            <w:pPr>
              <w:spacing w:before="20" w:after="20"/>
              <w:rPr>
                <w:rFonts w:cstheme="minorHAnsi"/>
                <w:sz w:val="20"/>
                <w:szCs w:val="20"/>
              </w:rPr>
            </w:pPr>
            <w:r w:rsidRPr="0010208C">
              <w:rPr>
                <w:rFonts w:cstheme="minorHAnsi"/>
                <w:sz w:val="20"/>
                <w:szCs w:val="20"/>
              </w:rPr>
              <w:t xml:space="preserve">Question not answered </w:t>
            </w:r>
          </w:p>
        </w:tc>
        <w:tc>
          <w:tcPr>
            <w:tcW w:w="1417" w:type="dxa"/>
            <w:tcBorders>
              <w:top w:val="nil"/>
              <w:left w:val="nil"/>
              <w:bottom w:val="single" w:sz="4" w:space="0" w:color="auto"/>
              <w:right w:val="nil"/>
            </w:tcBorders>
            <w:shd w:val="clear" w:color="auto" w:fill="auto"/>
            <w:noWrap/>
            <w:vAlign w:val="bottom"/>
            <w:hideMark/>
          </w:tcPr>
          <w:p w:rsidR="00685BE5" w:rsidRPr="0010208C" w:rsidRDefault="00685BE5" w:rsidP="00AE4C3A">
            <w:pPr>
              <w:tabs>
                <w:tab w:val="decimal" w:pos="588"/>
              </w:tabs>
              <w:spacing w:before="20" w:after="20"/>
              <w:ind w:right="381"/>
              <w:jc w:val="right"/>
              <w:rPr>
                <w:rFonts w:cstheme="minorHAnsi"/>
                <w:sz w:val="20"/>
                <w:szCs w:val="20"/>
              </w:rPr>
            </w:pPr>
            <w:r w:rsidRPr="0010208C">
              <w:rPr>
                <w:rFonts w:cstheme="minorHAnsi"/>
                <w:sz w:val="20"/>
                <w:szCs w:val="20"/>
              </w:rPr>
              <w:t>0.4</w:t>
            </w:r>
          </w:p>
        </w:tc>
      </w:tr>
      <w:tr w:rsidR="00685BE5" w:rsidRPr="0010208C" w:rsidTr="00AE4C3A">
        <w:trPr>
          <w:trHeight w:val="288"/>
        </w:trPr>
        <w:tc>
          <w:tcPr>
            <w:tcW w:w="2709" w:type="dxa"/>
            <w:tcBorders>
              <w:top w:val="single" w:sz="4" w:space="0" w:color="auto"/>
              <w:left w:val="nil"/>
              <w:bottom w:val="single" w:sz="4" w:space="0" w:color="auto"/>
              <w:right w:val="nil"/>
            </w:tcBorders>
            <w:shd w:val="clear" w:color="auto" w:fill="auto"/>
            <w:noWrap/>
            <w:vAlign w:val="bottom"/>
            <w:hideMark/>
          </w:tcPr>
          <w:p w:rsidR="00685BE5" w:rsidRPr="00E3331B" w:rsidRDefault="00685BE5" w:rsidP="00AE4C3A">
            <w:pPr>
              <w:spacing w:before="20" w:after="20"/>
              <w:rPr>
                <w:rFonts w:cstheme="minorHAnsi"/>
                <w:b/>
                <w:sz w:val="20"/>
                <w:szCs w:val="20"/>
              </w:rPr>
            </w:pPr>
            <w:r w:rsidRPr="00E3331B">
              <w:rPr>
                <w:rFonts w:cstheme="minorHAnsi"/>
                <w:b/>
                <w:sz w:val="20"/>
                <w:szCs w:val="20"/>
              </w:rPr>
              <w:t>Total (N=2</w:t>
            </w:r>
            <w:r>
              <w:rPr>
                <w:rFonts w:cstheme="minorHAnsi"/>
                <w:b/>
                <w:sz w:val="20"/>
                <w:szCs w:val="20"/>
              </w:rPr>
              <w:t>,</w:t>
            </w:r>
            <w:r w:rsidRPr="00E3331B">
              <w:rPr>
                <w:rFonts w:cstheme="minorHAnsi"/>
                <w:b/>
                <w:sz w:val="20"/>
                <w:szCs w:val="20"/>
              </w:rPr>
              <w:t>133)</w:t>
            </w:r>
          </w:p>
        </w:tc>
        <w:tc>
          <w:tcPr>
            <w:tcW w:w="1417" w:type="dxa"/>
            <w:tcBorders>
              <w:top w:val="single" w:sz="4" w:space="0" w:color="auto"/>
              <w:left w:val="nil"/>
              <w:bottom w:val="single" w:sz="4" w:space="0" w:color="auto"/>
              <w:right w:val="nil"/>
            </w:tcBorders>
            <w:shd w:val="clear" w:color="auto" w:fill="auto"/>
            <w:noWrap/>
            <w:vAlign w:val="bottom"/>
            <w:hideMark/>
          </w:tcPr>
          <w:p w:rsidR="00685BE5" w:rsidRPr="00E3331B" w:rsidRDefault="00685BE5" w:rsidP="00AE4C3A">
            <w:pPr>
              <w:tabs>
                <w:tab w:val="decimal" w:pos="588"/>
              </w:tabs>
              <w:spacing w:before="20" w:after="20"/>
              <w:ind w:right="381"/>
              <w:jc w:val="right"/>
              <w:rPr>
                <w:rFonts w:cstheme="minorHAnsi"/>
                <w:b/>
                <w:sz w:val="20"/>
                <w:szCs w:val="20"/>
              </w:rPr>
            </w:pPr>
            <w:r w:rsidRPr="00E3331B">
              <w:rPr>
                <w:rFonts w:cstheme="minorHAnsi"/>
                <w:b/>
                <w:sz w:val="20"/>
                <w:szCs w:val="20"/>
              </w:rPr>
              <w:t>100</w:t>
            </w:r>
          </w:p>
        </w:tc>
      </w:tr>
    </w:tbl>
    <w:p w:rsidR="003A37B0" w:rsidRDefault="00685BE5" w:rsidP="00DE1CE9">
      <w:pPr>
        <w:pStyle w:val="NILSReference"/>
        <w:spacing w:after="240"/>
        <w:rPr>
          <w:rFonts w:cstheme="minorHAnsi"/>
        </w:rPr>
      </w:pPr>
      <w:r w:rsidRPr="005C469C">
        <w:t xml:space="preserve">Source: 2014 NDIS DSP employee survey, Question A12. </w:t>
      </w:r>
    </w:p>
    <w:p w:rsidR="00685BE5" w:rsidRPr="00AB33E3" w:rsidRDefault="00685BE5" w:rsidP="00AE4C3A">
      <w:pPr>
        <w:rPr>
          <w:rFonts w:cstheme="minorHAnsi"/>
          <w:bCs/>
        </w:rPr>
      </w:pPr>
      <w:r>
        <w:rPr>
          <w:rFonts w:cstheme="minorHAnsi"/>
        </w:rPr>
        <w:t>Table 4.23</w:t>
      </w:r>
      <w:r w:rsidRPr="00AB33E3">
        <w:rPr>
          <w:rFonts w:cstheme="minorHAnsi"/>
        </w:rPr>
        <w:t xml:space="preserve"> considers another aspect of health: long term limitations to day to day activities expected to last at least 12 months. Only </w:t>
      </w:r>
      <w:r w:rsidRPr="00AB33E3">
        <w:rPr>
          <w:rFonts w:cstheme="minorHAnsi"/>
          <w:bCs/>
        </w:rPr>
        <w:t>1</w:t>
      </w:r>
      <w:r>
        <w:rPr>
          <w:rFonts w:cstheme="minorHAnsi"/>
          <w:bCs/>
        </w:rPr>
        <w:t>4</w:t>
      </w:r>
      <w:r w:rsidRPr="00AB33E3">
        <w:rPr>
          <w:rFonts w:cstheme="minorHAnsi"/>
          <w:bCs/>
        </w:rPr>
        <w:t xml:space="preserve"> </w:t>
      </w:r>
      <w:r>
        <w:rPr>
          <w:rFonts w:cstheme="minorHAnsi"/>
          <w:bCs/>
        </w:rPr>
        <w:t xml:space="preserve">per cent </w:t>
      </w:r>
      <w:r w:rsidRPr="00AB33E3">
        <w:rPr>
          <w:rFonts w:cstheme="minorHAnsi"/>
          <w:bCs/>
        </w:rPr>
        <w:t xml:space="preserve">of the workforce reported their day-to-day activities </w:t>
      </w:r>
      <w:r>
        <w:rPr>
          <w:rFonts w:cstheme="minorHAnsi"/>
          <w:bCs/>
        </w:rPr>
        <w:t>we</w:t>
      </w:r>
      <w:r w:rsidRPr="00AB33E3">
        <w:rPr>
          <w:rFonts w:cstheme="minorHAnsi"/>
          <w:bCs/>
        </w:rPr>
        <w:t xml:space="preserve">re limited </w:t>
      </w:r>
      <w:r>
        <w:rPr>
          <w:rFonts w:cstheme="minorHAnsi"/>
          <w:bCs/>
        </w:rPr>
        <w:t xml:space="preserve">a little </w:t>
      </w:r>
      <w:r w:rsidRPr="00AB33E3">
        <w:rPr>
          <w:rFonts w:cstheme="minorHAnsi"/>
          <w:bCs/>
        </w:rPr>
        <w:t xml:space="preserve">because of a long term health problem or disability with a further </w:t>
      </w:r>
      <w:r>
        <w:rPr>
          <w:rFonts w:cstheme="minorHAnsi"/>
          <w:bCs/>
        </w:rPr>
        <w:t>two</w:t>
      </w:r>
      <w:r w:rsidRPr="00AB33E3">
        <w:rPr>
          <w:rFonts w:cstheme="minorHAnsi"/>
          <w:bCs/>
        </w:rPr>
        <w:t xml:space="preserve"> </w:t>
      </w:r>
      <w:r>
        <w:rPr>
          <w:rFonts w:cstheme="minorHAnsi"/>
          <w:bCs/>
        </w:rPr>
        <w:t xml:space="preserve">per cent </w:t>
      </w:r>
      <w:r w:rsidRPr="00AB33E3">
        <w:rPr>
          <w:rFonts w:cstheme="minorHAnsi"/>
          <w:bCs/>
        </w:rPr>
        <w:t>of employees indicating that their activities were ‘limited a lot’.</w:t>
      </w:r>
    </w:p>
    <w:p w:rsidR="00685BE5" w:rsidRPr="00AB33E3" w:rsidRDefault="00685BE5" w:rsidP="0044684E">
      <w:pPr>
        <w:pStyle w:val="NILSTableHeading"/>
      </w:pPr>
      <w:bookmarkStart w:id="583" w:name="_Toc425425098"/>
      <w:bookmarkStart w:id="584" w:name="_Toc428279228"/>
      <w:bookmarkStart w:id="585" w:name="_Toc449955359"/>
      <w:r>
        <w:t>Table 4.23: Self-reported h</w:t>
      </w:r>
      <w:r w:rsidRPr="00AB33E3">
        <w:t>ealth problem or disability limiting day to day activities of the disability support workforce</w:t>
      </w:r>
      <w:bookmarkEnd w:id="583"/>
      <w:bookmarkEnd w:id="584"/>
      <w:bookmarkEnd w:id="585"/>
    </w:p>
    <w:tbl>
      <w:tblPr>
        <w:tblW w:w="4100" w:type="dxa"/>
        <w:tblInd w:w="93" w:type="dxa"/>
        <w:tblLook w:val="04A0" w:firstRow="1" w:lastRow="0" w:firstColumn="1" w:lastColumn="0" w:noHBand="0" w:noVBand="1"/>
        <w:tblCaption w:val="Table 4.23 Self-reported health problem or disability limiting day to day activities of the disability support workforce"/>
      </w:tblPr>
      <w:tblGrid>
        <w:gridCol w:w="2600"/>
        <w:gridCol w:w="1510"/>
      </w:tblGrid>
      <w:tr w:rsidR="00685BE5" w:rsidRPr="0010208C" w:rsidTr="00E00ECD">
        <w:trPr>
          <w:trHeight w:val="288"/>
          <w:tblHeader/>
        </w:trPr>
        <w:tc>
          <w:tcPr>
            <w:tcW w:w="2600" w:type="dxa"/>
            <w:tcBorders>
              <w:top w:val="single" w:sz="4" w:space="0" w:color="auto"/>
              <w:left w:val="nil"/>
              <w:bottom w:val="single" w:sz="4" w:space="0" w:color="auto"/>
              <w:right w:val="nil"/>
            </w:tcBorders>
            <w:shd w:val="clear" w:color="auto" w:fill="auto"/>
            <w:noWrap/>
            <w:vAlign w:val="bottom"/>
            <w:hideMark/>
          </w:tcPr>
          <w:p w:rsidR="00685BE5" w:rsidRPr="00E3331B" w:rsidRDefault="00685BE5" w:rsidP="00AE4C3A">
            <w:pPr>
              <w:spacing w:before="20" w:after="20"/>
              <w:rPr>
                <w:rFonts w:cstheme="minorHAnsi"/>
                <w:bCs/>
                <w:sz w:val="20"/>
                <w:szCs w:val="20"/>
              </w:rPr>
            </w:pPr>
            <w:r w:rsidRPr="00E3331B">
              <w:rPr>
                <w:rFonts w:cstheme="minorHAnsi"/>
                <w:bCs/>
                <w:sz w:val="20"/>
                <w:szCs w:val="20"/>
              </w:rPr>
              <w:t> </w:t>
            </w:r>
            <w:bookmarkStart w:id="586" w:name="Title_4_23"/>
            <w:bookmarkEnd w:id="586"/>
          </w:p>
        </w:tc>
        <w:tc>
          <w:tcPr>
            <w:tcW w:w="1500" w:type="dxa"/>
            <w:tcBorders>
              <w:top w:val="single" w:sz="4" w:space="0" w:color="auto"/>
              <w:left w:val="nil"/>
              <w:bottom w:val="single" w:sz="4" w:space="0" w:color="auto"/>
              <w:right w:val="nil"/>
            </w:tcBorders>
            <w:shd w:val="clear" w:color="auto" w:fill="auto"/>
            <w:noWrap/>
            <w:vAlign w:val="bottom"/>
            <w:hideMark/>
          </w:tcPr>
          <w:p w:rsidR="00685BE5" w:rsidRPr="00E3331B" w:rsidRDefault="0096484D" w:rsidP="00AE4C3A">
            <w:pPr>
              <w:spacing w:before="20" w:after="20"/>
              <w:jc w:val="center"/>
              <w:rPr>
                <w:rFonts w:cstheme="minorHAnsi"/>
                <w:bCs/>
                <w:sz w:val="20"/>
                <w:szCs w:val="20"/>
              </w:rPr>
            </w:pPr>
            <w:r>
              <w:rPr>
                <w:rFonts w:cstheme="minorHAnsi"/>
                <w:bCs/>
                <w:sz w:val="20"/>
                <w:szCs w:val="20"/>
              </w:rPr>
              <w:t>%</w:t>
            </w:r>
          </w:p>
        </w:tc>
      </w:tr>
      <w:tr w:rsidR="00685BE5" w:rsidRPr="0010208C" w:rsidTr="00AE4C3A">
        <w:trPr>
          <w:trHeight w:val="288"/>
        </w:trPr>
        <w:tc>
          <w:tcPr>
            <w:tcW w:w="2600" w:type="dxa"/>
            <w:tcBorders>
              <w:top w:val="nil"/>
              <w:left w:val="nil"/>
              <w:bottom w:val="nil"/>
              <w:right w:val="nil"/>
            </w:tcBorders>
            <w:shd w:val="clear" w:color="auto" w:fill="auto"/>
            <w:noWrap/>
            <w:vAlign w:val="bottom"/>
            <w:hideMark/>
          </w:tcPr>
          <w:p w:rsidR="00685BE5" w:rsidRPr="0010208C" w:rsidRDefault="00685BE5" w:rsidP="00AE4C3A">
            <w:pPr>
              <w:spacing w:before="20" w:after="20"/>
              <w:rPr>
                <w:rFonts w:cstheme="minorHAnsi"/>
                <w:sz w:val="20"/>
                <w:szCs w:val="20"/>
              </w:rPr>
            </w:pPr>
            <w:r w:rsidRPr="0010208C">
              <w:rPr>
                <w:rFonts w:cstheme="minorHAnsi"/>
                <w:sz w:val="20"/>
                <w:szCs w:val="20"/>
              </w:rPr>
              <w:t>No</w:t>
            </w:r>
          </w:p>
        </w:tc>
        <w:tc>
          <w:tcPr>
            <w:tcW w:w="1500" w:type="dxa"/>
            <w:tcBorders>
              <w:top w:val="nil"/>
              <w:left w:val="nil"/>
              <w:bottom w:val="nil"/>
              <w:right w:val="nil"/>
            </w:tcBorders>
            <w:shd w:val="clear" w:color="auto" w:fill="auto"/>
            <w:noWrap/>
            <w:vAlign w:val="bottom"/>
            <w:hideMark/>
          </w:tcPr>
          <w:p w:rsidR="00685BE5" w:rsidRPr="0010208C" w:rsidRDefault="00685BE5" w:rsidP="00AE4C3A">
            <w:pPr>
              <w:tabs>
                <w:tab w:val="decimal" w:pos="709"/>
              </w:tabs>
              <w:spacing w:before="20" w:after="20"/>
              <w:ind w:right="433"/>
              <w:jc w:val="right"/>
              <w:rPr>
                <w:rFonts w:cstheme="minorHAnsi"/>
                <w:sz w:val="20"/>
                <w:szCs w:val="20"/>
              </w:rPr>
            </w:pPr>
            <w:r w:rsidRPr="0010208C">
              <w:rPr>
                <w:rFonts w:cstheme="minorHAnsi"/>
                <w:sz w:val="20"/>
                <w:szCs w:val="20"/>
              </w:rPr>
              <w:t>84.3</w:t>
            </w:r>
          </w:p>
        </w:tc>
      </w:tr>
      <w:tr w:rsidR="00685BE5" w:rsidRPr="0010208C" w:rsidTr="00AE4C3A">
        <w:trPr>
          <w:trHeight w:val="288"/>
        </w:trPr>
        <w:tc>
          <w:tcPr>
            <w:tcW w:w="2600" w:type="dxa"/>
            <w:tcBorders>
              <w:top w:val="nil"/>
              <w:left w:val="nil"/>
              <w:bottom w:val="nil"/>
              <w:right w:val="nil"/>
            </w:tcBorders>
            <w:shd w:val="clear" w:color="auto" w:fill="auto"/>
            <w:noWrap/>
            <w:vAlign w:val="bottom"/>
            <w:hideMark/>
          </w:tcPr>
          <w:p w:rsidR="00685BE5" w:rsidRPr="0010208C" w:rsidRDefault="00685BE5" w:rsidP="00AE4C3A">
            <w:pPr>
              <w:spacing w:before="20" w:after="20"/>
              <w:rPr>
                <w:rFonts w:cstheme="minorHAnsi"/>
                <w:sz w:val="20"/>
                <w:szCs w:val="20"/>
              </w:rPr>
            </w:pPr>
            <w:r w:rsidRPr="0010208C">
              <w:rPr>
                <w:rFonts w:cstheme="minorHAnsi"/>
                <w:sz w:val="20"/>
                <w:szCs w:val="20"/>
              </w:rPr>
              <w:t>Yes, limited a little</w:t>
            </w:r>
          </w:p>
        </w:tc>
        <w:tc>
          <w:tcPr>
            <w:tcW w:w="1500" w:type="dxa"/>
            <w:tcBorders>
              <w:top w:val="nil"/>
              <w:left w:val="nil"/>
              <w:bottom w:val="nil"/>
              <w:right w:val="nil"/>
            </w:tcBorders>
            <w:shd w:val="clear" w:color="auto" w:fill="auto"/>
            <w:noWrap/>
            <w:vAlign w:val="bottom"/>
            <w:hideMark/>
          </w:tcPr>
          <w:p w:rsidR="00685BE5" w:rsidRPr="0010208C" w:rsidRDefault="00685BE5" w:rsidP="00AE4C3A">
            <w:pPr>
              <w:tabs>
                <w:tab w:val="decimal" w:pos="709"/>
              </w:tabs>
              <w:spacing w:before="20" w:after="20"/>
              <w:ind w:right="433"/>
              <w:jc w:val="right"/>
              <w:rPr>
                <w:rFonts w:cstheme="minorHAnsi"/>
                <w:sz w:val="20"/>
                <w:szCs w:val="20"/>
              </w:rPr>
            </w:pPr>
            <w:r w:rsidRPr="0010208C">
              <w:rPr>
                <w:rFonts w:cstheme="minorHAnsi"/>
                <w:sz w:val="20"/>
                <w:szCs w:val="20"/>
              </w:rPr>
              <w:t>13.8</w:t>
            </w:r>
          </w:p>
        </w:tc>
      </w:tr>
      <w:tr w:rsidR="00685BE5" w:rsidRPr="0010208C" w:rsidTr="00AE4C3A">
        <w:trPr>
          <w:trHeight w:val="288"/>
        </w:trPr>
        <w:tc>
          <w:tcPr>
            <w:tcW w:w="2600" w:type="dxa"/>
            <w:tcBorders>
              <w:top w:val="nil"/>
              <w:left w:val="nil"/>
              <w:bottom w:val="nil"/>
              <w:right w:val="nil"/>
            </w:tcBorders>
            <w:shd w:val="clear" w:color="auto" w:fill="auto"/>
            <w:noWrap/>
            <w:vAlign w:val="bottom"/>
            <w:hideMark/>
          </w:tcPr>
          <w:p w:rsidR="00685BE5" w:rsidRPr="0010208C" w:rsidRDefault="00685BE5" w:rsidP="00AE4C3A">
            <w:pPr>
              <w:spacing w:before="20" w:after="20"/>
              <w:rPr>
                <w:rFonts w:cstheme="minorHAnsi"/>
                <w:sz w:val="20"/>
                <w:szCs w:val="20"/>
              </w:rPr>
            </w:pPr>
            <w:r w:rsidRPr="0010208C">
              <w:rPr>
                <w:rFonts w:cstheme="minorHAnsi"/>
                <w:sz w:val="20"/>
                <w:szCs w:val="20"/>
              </w:rPr>
              <w:t>Yes, limited a lot</w:t>
            </w:r>
          </w:p>
        </w:tc>
        <w:tc>
          <w:tcPr>
            <w:tcW w:w="1500" w:type="dxa"/>
            <w:tcBorders>
              <w:top w:val="nil"/>
              <w:left w:val="nil"/>
              <w:bottom w:val="nil"/>
              <w:right w:val="nil"/>
            </w:tcBorders>
            <w:shd w:val="clear" w:color="auto" w:fill="auto"/>
            <w:noWrap/>
            <w:vAlign w:val="bottom"/>
            <w:hideMark/>
          </w:tcPr>
          <w:p w:rsidR="00685BE5" w:rsidRPr="0010208C" w:rsidRDefault="00685BE5" w:rsidP="00AE4C3A">
            <w:pPr>
              <w:tabs>
                <w:tab w:val="decimal" w:pos="709"/>
              </w:tabs>
              <w:spacing w:before="20" w:after="20"/>
              <w:ind w:right="433"/>
              <w:jc w:val="right"/>
              <w:rPr>
                <w:rFonts w:cstheme="minorHAnsi"/>
                <w:sz w:val="20"/>
                <w:szCs w:val="20"/>
              </w:rPr>
            </w:pPr>
            <w:r w:rsidRPr="0010208C">
              <w:rPr>
                <w:rFonts w:cstheme="minorHAnsi"/>
                <w:sz w:val="20"/>
                <w:szCs w:val="20"/>
              </w:rPr>
              <w:t>1.5</w:t>
            </w:r>
          </w:p>
        </w:tc>
      </w:tr>
      <w:tr w:rsidR="00685BE5" w:rsidRPr="0010208C" w:rsidTr="00AE4C3A">
        <w:trPr>
          <w:trHeight w:val="288"/>
        </w:trPr>
        <w:tc>
          <w:tcPr>
            <w:tcW w:w="2600" w:type="dxa"/>
            <w:tcBorders>
              <w:top w:val="nil"/>
              <w:left w:val="nil"/>
              <w:bottom w:val="single" w:sz="4" w:space="0" w:color="auto"/>
              <w:right w:val="nil"/>
            </w:tcBorders>
            <w:shd w:val="clear" w:color="auto" w:fill="auto"/>
            <w:noWrap/>
            <w:vAlign w:val="bottom"/>
            <w:hideMark/>
          </w:tcPr>
          <w:p w:rsidR="00685BE5" w:rsidRPr="0010208C" w:rsidRDefault="00685BE5" w:rsidP="00AE4C3A">
            <w:pPr>
              <w:spacing w:before="20" w:after="20"/>
              <w:rPr>
                <w:rFonts w:cstheme="minorHAnsi"/>
                <w:sz w:val="20"/>
                <w:szCs w:val="20"/>
              </w:rPr>
            </w:pPr>
            <w:r w:rsidRPr="0010208C">
              <w:rPr>
                <w:rFonts w:cstheme="minorHAnsi"/>
                <w:sz w:val="20"/>
                <w:szCs w:val="20"/>
              </w:rPr>
              <w:t xml:space="preserve">Question not answered </w:t>
            </w:r>
          </w:p>
        </w:tc>
        <w:tc>
          <w:tcPr>
            <w:tcW w:w="1500" w:type="dxa"/>
            <w:tcBorders>
              <w:top w:val="nil"/>
              <w:left w:val="nil"/>
              <w:bottom w:val="single" w:sz="4" w:space="0" w:color="auto"/>
              <w:right w:val="nil"/>
            </w:tcBorders>
            <w:shd w:val="clear" w:color="auto" w:fill="auto"/>
            <w:noWrap/>
            <w:vAlign w:val="bottom"/>
            <w:hideMark/>
          </w:tcPr>
          <w:p w:rsidR="00685BE5" w:rsidRPr="0010208C" w:rsidRDefault="00685BE5" w:rsidP="00AE4C3A">
            <w:pPr>
              <w:tabs>
                <w:tab w:val="decimal" w:pos="709"/>
              </w:tabs>
              <w:spacing w:before="20" w:after="20"/>
              <w:ind w:right="433"/>
              <w:jc w:val="right"/>
              <w:rPr>
                <w:rFonts w:cstheme="minorHAnsi"/>
                <w:sz w:val="20"/>
                <w:szCs w:val="20"/>
              </w:rPr>
            </w:pPr>
            <w:r w:rsidRPr="0010208C">
              <w:rPr>
                <w:rFonts w:cstheme="minorHAnsi"/>
                <w:sz w:val="20"/>
                <w:szCs w:val="20"/>
              </w:rPr>
              <w:t>0.5</w:t>
            </w:r>
          </w:p>
        </w:tc>
      </w:tr>
      <w:tr w:rsidR="00685BE5" w:rsidRPr="0010208C" w:rsidTr="00AE4C3A">
        <w:trPr>
          <w:trHeight w:val="288"/>
        </w:trPr>
        <w:tc>
          <w:tcPr>
            <w:tcW w:w="2600" w:type="dxa"/>
            <w:tcBorders>
              <w:top w:val="single" w:sz="4" w:space="0" w:color="auto"/>
              <w:left w:val="nil"/>
              <w:bottom w:val="single" w:sz="4" w:space="0" w:color="auto"/>
              <w:right w:val="nil"/>
            </w:tcBorders>
            <w:shd w:val="clear" w:color="auto" w:fill="auto"/>
            <w:noWrap/>
            <w:vAlign w:val="bottom"/>
            <w:hideMark/>
          </w:tcPr>
          <w:p w:rsidR="00685BE5" w:rsidRPr="00E3331B" w:rsidRDefault="00685BE5" w:rsidP="00AE4C3A">
            <w:pPr>
              <w:spacing w:before="20" w:after="20"/>
              <w:rPr>
                <w:rFonts w:cstheme="minorHAnsi"/>
                <w:b/>
                <w:sz w:val="20"/>
                <w:szCs w:val="20"/>
              </w:rPr>
            </w:pPr>
            <w:r w:rsidRPr="00E3331B">
              <w:rPr>
                <w:rFonts w:cstheme="minorHAnsi"/>
                <w:b/>
                <w:sz w:val="20"/>
                <w:szCs w:val="20"/>
              </w:rPr>
              <w:t>Total (N=2</w:t>
            </w:r>
            <w:r>
              <w:rPr>
                <w:rFonts w:cstheme="minorHAnsi"/>
                <w:b/>
                <w:sz w:val="20"/>
                <w:szCs w:val="20"/>
              </w:rPr>
              <w:t>,</w:t>
            </w:r>
            <w:r w:rsidRPr="00E3331B">
              <w:rPr>
                <w:rFonts w:cstheme="minorHAnsi"/>
                <w:b/>
                <w:sz w:val="20"/>
                <w:szCs w:val="20"/>
              </w:rPr>
              <w:t>133)</w:t>
            </w:r>
          </w:p>
        </w:tc>
        <w:tc>
          <w:tcPr>
            <w:tcW w:w="1500" w:type="dxa"/>
            <w:tcBorders>
              <w:top w:val="single" w:sz="4" w:space="0" w:color="auto"/>
              <w:left w:val="nil"/>
              <w:bottom w:val="single" w:sz="4" w:space="0" w:color="auto"/>
              <w:right w:val="nil"/>
            </w:tcBorders>
            <w:shd w:val="clear" w:color="auto" w:fill="auto"/>
            <w:noWrap/>
            <w:vAlign w:val="bottom"/>
            <w:hideMark/>
          </w:tcPr>
          <w:p w:rsidR="00685BE5" w:rsidRPr="00E3331B" w:rsidRDefault="00685BE5" w:rsidP="00AE4C3A">
            <w:pPr>
              <w:tabs>
                <w:tab w:val="decimal" w:pos="709"/>
              </w:tabs>
              <w:spacing w:before="20" w:after="20"/>
              <w:ind w:right="433"/>
              <w:jc w:val="right"/>
              <w:rPr>
                <w:rFonts w:cstheme="minorHAnsi"/>
                <w:b/>
                <w:sz w:val="20"/>
                <w:szCs w:val="20"/>
              </w:rPr>
            </w:pPr>
            <w:r w:rsidRPr="00E3331B">
              <w:rPr>
                <w:rFonts w:cstheme="minorHAnsi"/>
                <w:b/>
                <w:sz w:val="20"/>
                <w:szCs w:val="20"/>
              </w:rPr>
              <w:t>100</w:t>
            </w:r>
          </w:p>
        </w:tc>
      </w:tr>
    </w:tbl>
    <w:p w:rsidR="00685BE5" w:rsidRPr="005C469C" w:rsidRDefault="00685BE5" w:rsidP="00AE4C3A">
      <w:pPr>
        <w:pStyle w:val="NILSReference"/>
      </w:pPr>
      <w:r w:rsidRPr="003F56AB">
        <w:t>Source: 2014 NDIS DSP employee survey, Question A13</w:t>
      </w:r>
      <w:r w:rsidRPr="005C469C">
        <w:t xml:space="preserve">. </w:t>
      </w:r>
    </w:p>
    <w:p w:rsidR="00685BE5" w:rsidRPr="005C469C" w:rsidRDefault="00685BE5" w:rsidP="00AE4C3A">
      <w:pPr>
        <w:pStyle w:val="NILSReference"/>
      </w:pPr>
    </w:p>
    <w:p w:rsidR="00685BE5" w:rsidRDefault="00685BE5" w:rsidP="00AE4C3A">
      <w:pPr>
        <w:rPr>
          <w:rFonts w:cstheme="minorHAnsi"/>
          <w:bCs/>
        </w:rPr>
      </w:pPr>
      <w:r w:rsidRPr="00AB33E3">
        <w:rPr>
          <w:rFonts w:cstheme="minorHAnsi"/>
          <w:bCs/>
        </w:rPr>
        <w:t xml:space="preserve">The formal education levels of employees are shown in Table </w:t>
      </w:r>
      <w:r>
        <w:rPr>
          <w:rFonts w:cstheme="minorHAnsi"/>
          <w:bCs/>
        </w:rPr>
        <w:t>4.24</w:t>
      </w:r>
      <w:r w:rsidRPr="00AB33E3">
        <w:rPr>
          <w:rFonts w:cstheme="minorHAnsi"/>
          <w:bCs/>
        </w:rPr>
        <w:t xml:space="preserve">. Formal levels of education </w:t>
      </w:r>
      <w:r>
        <w:rPr>
          <w:rFonts w:cstheme="minorHAnsi"/>
          <w:bCs/>
        </w:rPr>
        <w:t>we</w:t>
      </w:r>
      <w:r w:rsidRPr="00AB33E3">
        <w:rPr>
          <w:rFonts w:cstheme="minorHAnsi"/>
          <w:bCs/>
        </w:rPr>
        <w:t xml:space="preserve">re high: more than 90 </w:t>
      </w:r>
      <w:r>
        <w:rPr>
          <w:rFonts w:cstheme="minorHAnsi"/>
          <w:bCs/>
        </w:rPr>
        <w:t xml:space="preserve">per cent </w:t>
      </w:r>
      <w:r w:rsidRPr="00AB33E3">
        <w:rPr>
          <w:rFonts w:cstheme="minorHAnsi"/>
          <w:bCs/>
        </w:rPr>
        <w:t>of the workforce ha</w:t>
      </w:r>
      <w:r>
        <w:rPr>
          <w:rFonts w:cstheme="minorHAnsi"/>
          <w:bCs/>
        </w:rPr>
        <w:t>d</w:t>
      </w:r>
      <w:r w:rsidRPr="00AB33E3">
        <w:rPr>
          <w:rFonts w:cstheme="minorHAnsi"/>
          <w:bCs/>
        </w:rPr>
        <w:t xml:space="preserve"> post-school qualifications</w:t>
      </w:r>
      <w:r>
        <w:rPr>
          <w:rFonts w:cstheme="minorHAnsi"/>
          <w:bCs/>
        </w:rPr>
        <w:t>,</w:t>
      </w:r>
      <w:r w:rsidRPr="00AB33E3">
        <w:rPr>
          <w:rFonts w:cstheme="minorHAnsi"/>
          <w:bCs/>
        </w:rPr>
        <w:t xml:space="preserve"> including 36 </w:t>
      </w:r>
      <w:r>
        <w:rPr>
          <w:rFonts w:cstheme="minorHAnsi"/>
          <w:bCs/>
        </w:rPr>
        <w:t>per cent with</w:t>
      </w:r>
      <w:r w:rsidRPr="00AB33E3">
        <w:rPr>
          <w:rFonts w:cstheme="minorHAnsi"/>
          <w:bCs/>
        </w:rPr>
        <w:t xml:space="preserve"> a Bachelor degree, 34 per cent with a Certificate IV, and 26 per cent with a Certificate III</w:t>
      </w:r>
      <w:r>
        <w:rPr>
          <w:rFonts w:cstheme="minorHAnsi"/>
          <w:bCs/>
        </w:rPr>
        <w:t xml:space="preserve">. </w:t>
      </w:r>
      <w:r w:rsidRPr="00AB33E3">
        <w:rPr>
          <w:rFonts w:cstheme="minorHAnsi"/>
          <w:bCs/>
        </w:rPr>
        <w:t xml:space="preserve">Most </w:t>
      </w:r>
      <w:r w:rsidRPr="00AB33E3">
        <w:rPr>
          <w:rFonts w:cstheme="minorHAnsi"/>
          <w:bCs/>
        </w:rPr>
        <w:lastRenderedPageBreak/>
        <w:t xml:space="preserve">of these qualifications (87 per cent) </w:t>
      </w:r>
      <w:r>
        <w:rPr>
          <w:rFonts w:cstheme="minorHAnsi"/>
          <w:bCs/>
        </w:rPr>
        <w:t>were</w:t>
      </w:r>
      <w:r w:rsidRPr="00AB33E3">
        <w:rPr>
          <w:rFonts w:cstheme="minorHAnsi"/>
          <w:bCs/>
        </w:rPr>
        <w:t xml:space="preserve"> obtained in Australia. These high levels of qualification are rather remarkable for a workforce that is predominantly employed in hands-on caring roles for which there is no formal educational requirement. In this context there could well be some response bias, towards the more educated, among the sample of workers who completed the survey. For comparison, in 2012, 80 per cent of the direct care aged care </w:t>
      </w:r>
      <w:r>
        <w:rPr>
          <w:rFonts w:cstheme="minorHAnsi"/>
          <w:bCs/>
        </w:rPr>
        <w:t xml:space="preserve">residential </w:t>
      </w:r>
      <w:r w:rsidRPr="00AB33E3">
        <w:rPr>
          <w:rFonts w:cstheme="minorHAnsi"/>
          <w:bCs/>
        </w:rPr>
        <w:t>workforce had post-school qualifications</w:t>
      </w:r>
      <w:r>
        <w:rPr>
          <w:rFonts w:cstheme="minorHAnsi"/>
          <w:bCs/>
        </w:rPr>
        <w:t>, with 86 per cent in the equivalent community</w:t>
      </w:r>
      <w:r w:rsidRPr="00AB33E3">
        <w:rPr>
          <w:rFonts w:cstheme="minorHAnsi"/>
          <w:bCs/>
        </w:rPr>
        <w:t xml:space="preserve"> </w:t>
      </w:r>
      <w:r>
        <w:rPr>
          <w:rFonts w:cstheme="minorHAnsi"/>
          <w:bCs/>
        </w:rPr>
        <w:t xml:space="preserve">workforce </w:t>
      </w:r>
      <w:r w:rsidRPr="00AB33E3">
        <w:rPr>
          <w:rFonts w:cstheme="minorHAnsi"/>
          <w:bCs/>
        </w:rPr>
        <w:t>[op cit. p.17</w:t>
      </w:r>
      <w:r>
        <w:rPr>
          <w:rFonts w:cstheme="minorHAnsi"/>
          <w:bCs/>
        </w:rPr>
        <w:t xml:space="preserve"> and p.79</w:t>
      </w:r>
      <w:r w:rsidRPr="00AB33E3">
        <w:rPr>
          <w:rFonts w:cstheme="minorHAnsi"/>
          <w:bCs/>
        </w:rPr>
        <w:t>].</w:t>
      </w:r>
      <w:r>
        <w:rPr>
          <w:rFonts w:cstheme="minorHAnsi"/>
          <w:bCs/>
        </w:rPr>
        <w:t xml:space="preserve"> The qualifications composition will be further scrutinised and examined in more depth in the Intermediate Report analyses.</w:t>
      </w:r>
    </w:p>
    <w:p w:rsidR="00685BE5" w:rsidRPr="00AB33E3" w:rsidRDefault="00685BE5" w:rsidP="0044684E">
      <w:pPr>
        <w:pStyle w:val="NILSTableHeading"/>
      </w:pPr>
      <w:bookmarkStart w:id="587" w:name="_Toc428279229"/>
      <w:bookmarkStart w:id="588" w:name="_Toc449955360"/>
      <w:r w:rsidRPr="00AB33E3">
        <w:t xml:space="preserve">Table </w:t>
      </w:r>
      <w:r>
        <w:t>4.24</w:t>
      </w:r>
      <w:r w:rsidRPr="00AB33E3">
        <w:t>: Level of qualifications</w:t>
      </w:r>
      <w:bookmarkEnd w:id="587"/>
      <w:bookmarkEnd w:id="588"/>
    </w:p>
    <w:tbl>
      <w:tblPr>
        <w:tblW w:w="4678" w:type="dxa"/>
        <w:tblInd w:w="108" w:type="dxa"/>
        <w:tblLayout w:type="fixed"/>
        <w:tblLook w:val="0000" w:firstRow="0" w:lastRow="0" w:firstColumn="0" w:lastColumn="0" w:noHBand="0" w:noVBand="0"/>
        <w:tblCaption w:val="Table 4.24 Level of qualifications of empoyees"/>
      </w:tblPr>
      <w:tblGrid>
        <w:gridCol w:w="3402"/>
        <w:gridCol w:w="1276"/>
      </w:tblGrid>
      <w:tr w:rsidR="00685BE5" w:rsidRPr="00BC527E" w:rsidTr="00E00ECD">
        <w:trPr>
          <w:trHeight w:val="254"/>
          <w:tblHeader/>
        </w:trPr>
        <w:tc>
          <w:tcPr>
            <w:tcW w:w="3402" w:type="dxa"/>
            <w:tcBorders>
              <w:top w:val="single" w:sz="4" w:space="0" w:color="auto"/>
              <w:bottom w:val="single" w:sz="4" w:space="0" w:color="auto"/>
            </w:tcBorders>
            <w:vAlign w:val="center"/>
          </w:tcPr>
          <w:p w:rsidR="00685BE5" w:rsidRPr="00BC527E" w:rsidRDefault="00685BE5" w:rsidP="00AE4C3A">
            <w:pPr>
              <w:spacing w:before="20" w:after="20"/>
              <w:rPr>
                <w:rFonts w:cstheme="minorHAnsi"/>
                <w:bCs/>
                <w:sz w:val="20"/>
                <w:szCs w:val="20"/>
              </w:rPr>
            </w:pPr>
            <w:bookmarkStart w:id="589" w:name="Title_4_24"/>
            <w:bookmarkEnd w:id="589"/>
          </w:p>
        </w:tc>
        <w:tc>
          <w:tcPr>
            <w:tcW w:w="1276" w:type="dxa"/>
            <w:tcBorders>
              <w:top w:val="single" w:sz="4" w:space="0" w:color="auto"/>
              <w:bottom w:val="single" w:sz="4" w:space="0" w:color="auto"/>
            </w:tcBorders>
            <w:vAlign w:val="center"/>
          </w:tcPr>
          <w:p w:rsidR="00685BE5" w:rsidRPr="00BC527E" w:rsidRDefault="0096484D" w:rsidP="0096484D">
            <w:pPr>
              <w:spacing w:before="20" w:after="20"/>
              <w:jc w:val="center"/>
              <w:rPr>
                <w:rFonts w:cstheme="minorHAnsi"/>
                <w:bCs/>
                <w:sz w:val="20"/>
                <w:szCs w:val="20"/>
              </w:rPr>
            </w:pPr>
            <w:r>
              <w:rPr>
                <w:rFonts w:cstheme="minorHAnsi"/>
                <w:bCs/>
                <w:sz w:val="20"/>
                <w:szCs w:val="20"/>
              </w:rPr>
              <w:t>%</w:t>
            </w:r>
          </w:p>
        </w:tc>
      </w:tr>
      <w:tr w:rsidR="00685BE5" w:rsidRPr="00B90E88" w:rsidTr="00AE4C3A">
        <w:trPr>
          <w:trHeight w:val="254"/>
        </w:trPr>
        <w:tc>
          <w:tcPr>
            <w:tcW w:w="3402" w:type="dxa"/>
            <w:tcBorders>
              <w:top w:val="single" w:sz="4" w:space="0" w:color="auto"/>
            </w:tcBorders>
            <w:vAlign w:val="center"/>
          </w:tcPr>
          <w:p w:rsidR="00685BE5" w:rsidRPr="0018017B" w:rsidRDefault="00685BE5" w:rsidP="00AE4C3A">
            <w:pPr>
              <w:spacing w:before="20" w:after="20"/>
              <w:rPr>
                <w:rFonts w:cstheme="minorHAnsi"/>
                <w:bCs/>
                <w:sz w:val="20"/>
                <w:szCs w:val="20"/>
              </w:rPr>
            </w:pPr>
            <w:r w:rsidRPr="0018017B">
              <w:rPr>
                <w:rFonts w:cstheme="minorHAnsi"/>
                <w:bCs/>
                <w:sz w:val="20"/>
                <w:szCs w:val="20"/>
              </w:rPr>
              <w:t>Postgraduate Degree</w:t>
            </w:r>
          </w:p>
        </w:tc>
        <w:tc>
          <w:tcPr>
            <w:tcW w:w="1276" w:type="dxa"/>
            <w:tcBorders>
              <w:top w:val="single" w:sz="4" w:space="0" w:color="auto"/>
            </w:tcBorders>
            <w:vAlign w:val="bottom"/>
          </w:tcPr>
          <w:p w:rsidR="00685BE5" w:rsidRPr="00AD6D57" w:rsidRDefault="00685BE5" w:rsidP="00AE4C3A">
            <w:pPr>
              <w:tabs>
                <w:tab w:val="decimal" w:pos="601"/>
              </w:tabs>
              <w:spacing w:before="20" w:after="20"/>
              <w:rPr>
                <w:rFonts w:cstheme="minorHAnsi"/>
                <w:bCs/>
                <w:sz w:val="20"/>
                <w:szCs w:val="20"/>
              </w:rPr>
            </w:pPr>
            <w:r w:rsidRPr="00AD6D57">
              <w:rPr>
                <w:rFonts w:cstheme="minorHAnsi"/>
                <w:bCs/>
                <w:sz w:val="20"/>
                <w:szCs w:val="20"/>
              </w:rPr>
              <w:t>10.2</w:t>
            </w:r>
          </w:p>
        </w:tc>
      </w:tr>
      <w:tr w:rsidR="00685BE5" w:rsidRPr="00B90E88" w:rsidTr="00AE4C3A">
        <w:trPr>
          <w:trHeight w:val="254"/>
        </w:trPr>
        <w:tc>
          <w:tcPr>
            <w:tcW w:w="3402" w:type="dxa"/>
            <w:vAlign w:val="center"/>
          </w:tcPr>
          <w:p w:rsidR="00685BE5" w:rsidRPr="0018017B" w:rsidRDefault="00685BE5" w:rsidP="00AE4C3A">
            <w:pPr>
              <w:spacing w:before="20" w:after="20"/>
              <w:rPr>
                <w:rFonts w:cstheme="minorHAnsi"/>
                <w:bCs/>
                <w:sz w:val="20"/>
                <w:szCs w:val="20"/>
              </w:rPr>
            </w:pPr>
            <w:r w:rsidRPr="0018017B">
              <w:rPr>
                <w:rFonts w:cstheme="minorHAnsi"/>
                <w:bCs/>
                <w:sz w:val="20"/>
                <w:szCs w:val="20"/>
              </w:rPr>
              <w:t>Bachelor Degree</w:t>
            </w:r>
          </w:p>
        </w:tc>
        <w:tc>
          <w:tcPr>
            <w:tcW w:w="1276" w:type="dxa"/>
            <w:vAlign w:val="bottom"/>
          </w:tcPr>
          <w:p w:rsidR="00685BE5" w:rsidRPr="00AD6D57" w:rsidRDefault="00685BE5" w:rsidP="00AE4C3A">
            <w:pPr>
              <w:tabs>
                <w:tab w:val="decimal" w:pos="601"/>
              </w:tabs>
              <w:spacing w:before="20" w:after="20"/>
              <w:rPr>
                <w:rFonts w:cstheme="minorHAnsi"/>
                <w:bCs/>
                <w:sz w:val="20"/>
                <w:szCs w:val="20"/>
              </w:rPr>
            </w:pPr>
            <w:r w:rsidRPr="00AD6D57">
              <w:rPr>
                <w:rFonts w:cstheme="minorHAnsi"/>
                <w:bCs/>
                <w:sz w:val="20"/>
                <w:szCs w:val="20"/>
              </w:rPr>
              <w:t>35.6</w:t>
            </w:r>
          </w:p>
        </w:tc>
      </w:tr>
      <w:tr w:rsidR="00685BE5" w:rsidRPr="00B90E88" w:rsidTr="00AE4C3A">
        <w:trPr>
          <w:trHeight w:val="254"/>
        </w:trPr>
        <w:tc>
          <w:tcPr>
            <w:tcW w:w="3402" w:type="dxa"/>
            <w:vAlign w:val="center"/>
          </w:tcPr>
          <w:p w:rsidR="00685BE5" w:rsidRPr="0018017B" w:rsidRDefault="00685BE5" w:rsidP="00AE4C3A">
            <w:pPr>
              <w:spacing w:before="20" w:after="20"/>
              <w:rPr>
                <w:rFonts w:cstheme="minorHAnsi"/>
                <w:bCs/>
                <w:sz w:val="20"/>
                <w:szCs w:val="20"/>
              </w:rPr>
            </w:pPr>
            <w:r w:rsidRPr="0018017B">
              <w:rPr>
                <w:rFonts w:cstheme="minorHAnsi"/>
                <w:bCs/>
                <w:sz w:val="20"/>
                <w:szCs w:val="20"/>
              </w:rPr>
              <w:t>Diploma or Advanced Diploma</w:t>
            </w:r>
          </w:p>
        </w:tc>
        <w:tc>
          <w:tcPr>
            <w:tcW w:w="1276" w:type="dxa"/>
            <w:vAlign w:val="bottom"/>
          </w:tcPr>
          <w:p w:rsidR="00685BE5" w:rsidRPr="00AD6D57" w:rsidRDefault="00685BE5" w:rsidP="00AE4C3A">
            <w:pPr>
              <w:tabs>
                <w:tab w:val="decimal" w:pos="601"/>
              </w:tabs>
              <w:spacing w:before="20" w:after="20"/>
              <w:rPr>
                <w:rFonts w:cstheme="minorHAnsi"/>
                <w:bCs/>
                <w:sz w:val="20"/>
                <w:szCs w:val="20"/>
              </w:rPr>
            </w:pPr>
            <w:r w:rsidRPr="00AD6D57">
              <w:rPr>
                <w:rFonts w:cstheme="minorHAnsi"/>
                <w:bCs/>
                <w:sz w:val="20"/>
                <w:szCs w:val="20"/>
              </w:rPr>
              <w:t>29.6</w:t>
            </w:r>
          </w:p>
        </w:tc>
      </w:tr>
      <w:tr w:rsidR="00685BE5" w:rsidRPr="00B90E88" w:rsidTr="00AE4C3A">
        <w:trPr>
          <w:trHeight w:val="254"/>
        </w:trPr>
        <w:tc>
          <w:tcPr>
            <w:tcW w:w="3402" w:type="dxa"/>
            <w:vAlign w:val="center"/>
          </w:tcPr>
          <w:p w:rsidR="00685BE5" w:rsidRPr="0018017B" w:rsidRDefault="00685BE5" w:rsidP="00AE4C3A">
            <w:pPr>
              <w:spacing w:before="20" w:after="20"/>
              <w:rPr>
                <w:rFonts w:cstheme="minorHAnsi"/>
                <w:bCs/>
                <w:sz w:val="20"/>
                <w:szCs w:val="20"/>
              </w:rPr>
            </w:pPr>
            <w:r w:rsidRPr="0018017B">
              <w:rPr>
                <w:rFonts w:cstheme="minorHAnsi"/>
                <w:bCs/>
                <w:sz w:val="20"/>
                <w:szCs w:val="20"/>
              </w:rPr>
              <w:t>Certificate IV</w:t>
            </w:r>
          </w:p>
        </w:tc>
        <w:tc>
          <w:tcPr>
            <w:tcW w:w="1276" w:type="dxa"/>
            <w:vAlign w:val="bottom"/>
          </w:tcPr>
          <w:p w:rsidR="00685BE5" w:rsidRPr="00AD6D57" w:rsidRDefault="00685BE5" w:rsidP="00AE4C3A">
            <w:pPr>
              <w:tabs>
                <w:tab w:val="decimal" w:pos="601"/>
              </w:tabs>
              <w:spacing w:before="20" w:after="20"/>
              <w:rPr>
                <w:rFonts w:cstheme="minorHAnsi"/>
                <w:bCs/>
                <w:sz w:val="20"/>
                <w:szCs w:val="20"/>
              </w:rPr>
            </w:pPr>
            <w:r w:rsidRPr="00AD6D57">
              <w:rPr>
                <w:rFonts w:cstheme="minorHAnsi"/>
                <w:bCs/>
                <w:sz w:val="20"/>
                <w:szCs w:val="20"/>
              </w:rPr>
              <w:t>34.1</w:t>
            </w:r>
          </w:p>
        </w:tc>
      </w:tr>
      <w:tr w:rsidR="00685BE5" w:rsidRPr="00B90E88" w:rsidTr="00AE4C3A">
        <w:trPr>
          <w:trHeight w:val="254"/>
        </w:trPr>
        <w:tc>
          <w:tcPr>
            <w:tcW w:w="3402" w:type="dxa"/>
            <w:vAlign w:val="center"/>
          </w:tcPr>
          <w:p w:rsidR="00685BE5" w:rsidRPr="0018017B" w:rsidRDefault="00685BE5" w:rsidP="00AE4C3A">
            <w:pPr>
              <w:spacing w:before="20" w:after="20"/>
              <w:rPr>
                <w:rFonts w:cstheme="minorHAnsi"/>
                <w:bCs/>
                <w:sz w:val="20"/>
                <w:szCs w:val="20"/>
              </w:rPr>
            </w:pPr>
            <w:r w:rsidRPr="0018017B">
              <w:rPr>
                <w:rFonts w:cstheme="minorHAnsi"/>
                <w:bCs/>
                <w:sz w:val="20"/>
                <w:szCs w:val="20"/>
              </w:rPr>
              <w:t>Certificate III</w:t>
            </w:r>
          </w:p>
        </w:tc>
        <w:tc>
          <w:tcPr>
            <w:tcW w:w="1276" w:type="dxa"/>
            <w:vAlign w:val="bottom"/>
          </w:tcPr>
          <w:p w:rsidR="00685BE5" w:rsidRPr="00AD6D57" w:rsidRDefault="00685BE5" w:rsidP="00AE4C3A">
            <w:pPr>
              <w:tabs>
                <w:tab w:val="decimal" w:pos="601"/>
              </w:tabs>
              <w:spacing w:before="20" w:after="20"/>
              <w:rPr>
                <w:rFonts w:cstheme="minorHAnsi"/>
                <w:bCs/>
                <w:sz w:val="20"/>
                <w:szCs w:val="20"/>
              </w:rPr>
            </w:pPr>
            <w:r w:rsidRPr="00AD6D57">
              <w:rPr>
                <w:rFonts w:cstheme="minorHAnsi"/>
                <w:bCs/>
                <w:sz w:val="20"/>
                <w:szCs w:val="20"/>
              </w:rPr>
              <w:t>25.7</w:t>
            </w:r>
          </w:p>
        </w:tc>
      </w:tr>
      <w:tr w:rsidR="00685BE5" w:rsidRPr="00B90E88" w:rsidTr="00AE4C3A">
        <w:trPr>
          <w:trHeight w:val="254"/>
        </w:trPr>
        <w:tc>
          <w:tcPr>
            <w:tcW w:w="3402" w:type="dxa"/>
            <w:vAlign w:val="center"/>
          </w:tcPr>
          <w:p w:rsidR="00685BE5" w:rsidRPr="0018017B" w:rsidRDefault="00685BE5" w:rsidP="00AE4C3A">
            <w:pPr>
              <w:spacing w:before="20" w:after="20"/>
              <w:rPr>
                <w:rFonts w:cstheme="minorHAnsi"/>
                <w:bCs/>
                <w:sz w:val="20"/>
                <w:szCs w:val="20"/>
              </w:rPr>
            </w:pPr>
            <w:r w:rsidRPr="0018017B">
              <w:rPr>
                <w:rFonts w:cstheme="minorHAnsi"/>
                <w:bCs/>
                <w:sz w:val="20"/>
                <w:szCs w:val="20"/>
              </w:rPr>
              <w:t>Certificate I or II</w:t>
            </w:r>
          </w:p>
        </w:tc>
        <w:tc>
          <w:tcPr>
            <w:tcW w:w="1276" w:type="dxa"/>
            <w:vAlign w:val="bottom"/>
          </w:tcPr>
          <w:p w:rsidR="00685BE5" w:rsidRPr="00AD6D57" w:rsidRDefault="00685BE5" w:rsidP="00AE4C3A">
            <w:pPr>
              <w:tabs>
                <w:tab w:val="decimal" w:pos="601"/>
              </w:tabs>
              <w:spacing w:before="20" w:after="20"/>
              <w:rPr>
                <w:rFonts w:cstheme="minorHAnsi"/>
                <w:bCs/>
                <w:sz w:val="20"/>
                <w:szCs w:val="20"/>
              </w:rPr>
            </w:pPr>
            <w:r w:rsidRPr="00AD6D57">
              <w:rPr>
                <w:rFonts w:cstheme="minorHAnsi"/>
                <w:bCs/>
                <w:sz w:val="20"/>
                <w:szCs w:val="20"/>
              </w:rPr>
              <w:t>6.4</w:t>
            </w:r>
          </w:p>
        </w:tc>
      </w:tr>
      <w:tr w:rsidR="00685BE5" w:rsidRPr="00B90E88" w:rsidTr="00AE4C3A">
        <w:trPr>
          <w:trHeight w:val="254"/>
        </w:trPr>
        <w:tc>
          <w:tcPr>
            <w:tcW w:w="3402" w:type="dxa"/>
            <w:vAlign w:val="center"/>
          </w:tcPr>
          <w:p w:rsidR="00685BE5" w:rsidRPr="0018017B" w:rsidRDefault="00685BE5" w:rsidP="00AE4C3A">
            <w:pPr>
              <w:spacing w:before="20" w:after="20"/>
              <w:rPr>
                <w:rFonts w:cstheme="minorHAnsi"/>
                <w:bCs/>
                <w:sz w:val="20"/>
                <w:szCs w:val="20"/>
              </w:rPr>
            </w:pPr>
            <w:r w:rsidRPr="0018017B">
              <w:rPr>
                <w:rFonts w:eastAsia="Times New Roman" w:cstheme="minorHAnsi"/>
                <w:color w:val="000000"/>
                <w:sz w:val="20"/>
                <w:szCs w:val="20"/>
                <w:lang w:eastAsia="zh-CN"/>
              </w:rPr>
              <w:t>Other</w:t>
            </w:r>
          </w:p>
        </w:tc>
        <w:tc>
          <w:tcPr>
            <w:tcW w:w="1276" w:type="dxa"/>
            <w:vAlign w:val="center"/>
          </w:tcPr>
          <w:p w:rsidR="00685BE5" w:rsidRPr="00FC108A" w:rsidRDefault="00685BE5" w:rsidP="00AE4C3A">
            <w:pPr>
              <w:tabs>
                <w:tab w:val="decimal" w:pos="601"/>
              </w:tabs>
              <w:spacing w:before="20" w:after="20"/>
              <w:rPr>
                <w:rFonts w:cstheme="minorHAnsi"/>
                <w:bCs/>
                <w:sz w:val="20"/>
                <w:szCs w:val="20"/>
              </w:rPr>
            </w:pPr>
            <w:r w:rsidRPr="00AD6D57">
              <w:rPr>
                <w:rFonts w:cstheme="minorHAnsi"/>
                <w:color w:val="000000"/>
                <w:sz w:val="20"/>
                <w:szCs w:val="20"/>
              </w:rPr>
              <w:t>6.9</w:t>
            </w:r>
          </w:p>
        </w:tc>
      </w:tr>
      <w:tr w:rsidR="00685BE5" w:rsidRPr="00B90E88" w:rsidTr="00AE4C3A">
        <w:trPr>
          <w:trHeight w:val="254"/>
        </w:trPr>
        <w:tc>
          <w:tcPr>
            <w:tcW w:w="3402" w:type="dxa"/>
            <w:vAlign w:val="center"/>
          </w:tcPr>
          <w:p w:rsidR="00685BE5" w:rsidRPr="0018017B" w:rsidRDefault="00685BE5" w:rsidP="00AE4C3A">
            <w:pPr>
              <w:spacing w:before="20" w:after="20"/>
              <w:rPr>
                <w:rFonts w:cstheme="minorHAnsi"/>
                <w:bCs/>
                <w:sz w:val="20"/>
                <w:szCs w:val="20"/>
              </w:rPr>
            </w:pPr>
            <w:r w:rsidRPr="0018017B">
              <w:rPr>
                <w:rFonts w:eastAsia="Times New Roman" w:cstheme="minorHAnsi"/>
                <w:color w:val="000000"/>
                <w:sz w:val="20"/>
                <w:szCs w:val="20"/>
                <w:lang w:eastAsia="zh-CN"/>
              </w:rPr>
              <w:t>No formal qualification</w:t>
            </w:r>
          </w:p>
        </w:tc>
        <w:tc>
          <w:tcPr>
            <w:tcW w:w="1276" w:type="dxa"/>
            <w:vAlign w:val="center"/>
          </w:tcPr>
          <w:p w:rsidR="00685BE5" w:rsidRPr="00FC108A" w:rsidRDefault="00685BE5" w:rsidP="00AE4C3A">
            <w:pPr>
              <w:tabs>
                <w:tab w:val="decimal" w:pos="601"/>
              </w:tabs>
              <w:spacing w:before="20" w:after="20"/>
              <w:rPr>
                <w:rFonts w:cstheme="minorHAnsi"/>
                <w:bCs/>
                <w:sz w:val="20"/>
                <w:szCs w:val="20"/>
              </w:rPr>
            </w:pPr>
            <w:r w:rsidRPr="00AD6D57">
              <w:rPr>
                <w:rFonts w:cstheme="minorHAnsi"/>
                <w:color w:val="000000"/>
                <w:sz w:val="20"/>
                <w:szCs w:val="20"/>
              </w:rPr>
              <w:t>6</w:t>
            </w:r>
            <w:r w:rsidRPr="00FC108A">
              <w:rPr>
                <w:rFonts w:cstheme="minorHAnsi"/>
                <w:color w:val="000000"/>
                <w:sz w:val="20"/>
                <w:szCs w:val="20"/>
              </w:rPr>
              <w:t>.5</w:t>
            </w:r>
          </w:p>
        </w:tc>
      </w:tr>
      <w:tr w:rsidR="00685BE5" w:rsidRPr="00B90E88" w:rsidTr="00AE4C3A">
        <w:trPr>
          <w:trHeight w:val="254"/>
        </w:trPr>
        <w:tc>
          <w:tcPr>
            <w:tcW w:w="3402" w:type="dxa"/>
            <w:vAlign w:val="center"/>
          </w:tcPr>
          <w:p w:rsidR="00685BE5" w:rsidRPr="0018017B" w:rsidRDefault="00685BE5" w:rsidP="00AE4C3A">
            <w:pPr>
              <w:spacing w:before="20" w:after="20"/>
              <w:rPr>
                <w:rFonts w:cstheme="minorHAnsi"/>
                <w:bCs/>
                <w:sz w:val="20"/>
                <w:szCs w:val="20"/>
              </w:rPr>
            </w:pPr>
            <w:r w:rsidRPr="0018017B">
              <w:rPr>
                <w:rFonts w:cstheme="minorHAnsi"/>
                <w:bCs/>
                <w:sz w:val="20"/>
                <w:szCs w:val="20"/>
              </w:rPr>
              <w:t xml:space="preserve">Question not answered </w:t>
            </w:r>
          </w:p>
        </w:tc>
        <w:tc>
          <w:tcPr>
            <w:tcW w:w="1276" w:type="dxa"/>
            <w:vAlign w:val="bottom"/>
          </w:tcPr>
          <w:p w:rsidR="00685BE5" w:rsidRPr="00AD6D57" w:rsidRDefault="00685BE5" w:rsidP="00AE4C3A">
            <w:pPr>
              <w:tabs>
                <w:tab w:val="decimal" w:pos="601"/>
              </w:tabs>
              <w:spacing w:before="20" w:after="20"/>
              <w:rPr>
                <w:rFonts w:cstheme="minorHAnsi"/>
                <w:bCs/>
                <w:sz w:val="20"/>
                <w:szCs w:val="20"/>
              </w:rPr>
            </w:pPr>
            <w:r w:rsidRPr="00AD6D57">
              <w:rPr>
                <w:rFonts w:cstheme="minorHAnsi"/>
                <w:bCs/>
                <w:sz w:val="20"/>
                <w:szCs w:val="20"/>
              </w:rPr>
              <w:t>1.9</w:t>
            </w:r>
          </w:p>
        </w:tc>
      </w:tr>
      <w:tr w:rsidR="00685BE5" w:rsidRPr="00B90E88" w:rsidTr="00AE4C3A">
        <w:trPr>
          <w:trHeight w:val="254"/>
        </w:trPr>
        <w:tc>
          <w:tcPr>
            <w:tcW w:w="3402" w:type="dxa"/>
            <w:tcBorders>
              <w:top w:val="single" w:sz="4" w:space="0" w:color="auto"/>
            </w:tcBorders>
            <w:vAlign w:val="center"/>
          </w:tcPr>
          <w:p w:rsidR="00685BE5" w:rsidRPr="004D7225" w:rsidRDefault="00685BE5" w:rsidP="00AE4C3A">
            <w:pPr>
              <w:spacing w:before="20" w:after="20"/>
              <w:rPr>
                <w:rFonts w:cstheme="minorHAnsi"/>
                <w:bCs/>
                <w:i/>
                <w:sz w:val="20"/>
                <w:szCs w:val="20"/>
              </w:rPr>
            </w:pPr>
            <w:r w:rsidRPr="004D7225">
              <w:rPr>
                <w:rFonts w:eastAsia="Times New Roman" w:cstheme="minorHAnsi"/>
                <w:i/>
                <w:color w:val="000000"/>
                <w:sz w:val="20"/>
                <w:szCs w:val="20"/>
                <w:lang w:eastAsia="zh-CN"/>
              </w:rPr>
              <w:t>All Bachelor degrees and above</w:t>
            </w:r>
          </w:p>
        </w:tc>
        <w:tc>
          <w:tcPr>
            <w:tcW w:w="1276" w:type="dxa"/>
            <w:tcBorders>
              <w:top w:val="single" w:sz="4" w:space="0" w:color="auto"/>
            </w:tcBorders>
            <w:vAlign w:val="center"/>
          </w:tcPr>
          <w:p w:rsidR="00685BE5" w:rsidRPr="004D7225" w:rsidRDefault="00685BE5" w:rsidP="00AE4C3A">
            <w:pPr>
              <w:tabs>
                <w:tab w:val="decimal" w:pos="601"/>
              </w:tabs>
              <w:spacing w:before="20" w:after="20"/>
              <w:rPr>
                <w:rFonts w:cstheme="minorHAnsi"/>
                <w:bCs/>
                <w:sz w:val="20"/>
                <w:szCs w:val="20"/>
              </w:rPr>
            </w:pPr>
            <w:r w:rsidRPr="004D7225">
              <w:rPr>
                <w:rFonts w:cstheme="minorHAnsi"/>
                <w:color w:val="000000"/>
                <w:sz w:val="20"/>
                <w:szCs w:val="20"/>
              </w:rPr>
              <w:t>40.4</w:t>
            </w:r>
          </w:p>
        </w:tc>
      </w:tr>
      <w:tr w:rsidR="00685BE5" w:rsidRPr="00B90E88" w:rsidTr="00AE4C3A">
        <w:trPr>
          <w:trHeight w:val="254"/>
        </w:trPr>
        <w:tc>
          <w:tcPr>
            <w:tcW w:w="3402" w:type="dxa"/>
            <w:tcBorders>
              <w:bottom w:val="single" w:sz="4" w:space="0" w:color="auto"/>
            </w:tcBorders>
            <w:vAlign w:val="center"/>
          </w:tcPr>
          <w:p w:rsidR="00685BE5" w:rsidRPr="004D7225" w:rsidRDefault="00685BE5" w:rsidP="00AE4C3A">
            <w:pPr>
              <w:spacing w:before="20" w:after="20"/>
              <w:rPr>
                <w:rFonts w:cstheme="minorHAnsi"/>
                <w:bCs/>
                <w:i/>
                <w:sz w:val="20"/>
                <w:szCs w:val="20"/>
              </w:rPr>
            </w:pPr>
            <w:r w:rsidRPr="004D7225">
              <w:rPr>
                <w:rFonts w:eastAsia="Times New Roman" w:cstheme="minorHAnsi"/>
                <w:i/>
                <w:color w:val="000000"/>
                <w:sz w:val="20"/>
                <w:szCs w:val="20"/>
                <w:lang w:eastAsia="zh-CN"/>
              </w:rPr>
              <w:t>All Diplomas and Certificates</w:t>
            </w:r>
          </w:p>
        </w:tc>
        <w:tc>
          <w:tcPr>
            <w:tcW w:w="1276" w:type="dxa"/>
            <w:tcBorders>
              <w:bottom w:val="single" w:sz="4" w:space="0" w:color="auto"/>
            </w:tcBorders>
            <w:vAlign w:val="center"/>
          </w:tcPr>
          <w:p w:rsidR="00685BE5" w:rsidRPr="004D7225" w:rsidRDefault="00685BE5" w:rsidP="00AE4C3A">
            <w:pPr>
              <w:tabs>
                <w:tab w:val="decimal" w:pos="601"/>
              </w:tabs>
              <w:spacing w:before="20" w:after="20"/>
              <w:rPr>
                <w:rFonts w:cstheme="minorHAnsi"/>
                <w:bCs/>
                <w:sz w:val="20"/>
                <w:szCs w:val="20"/>
              </w:rPr>
            </w:pPr>
            <w:r w:rsidRPr="004D7225">
              <w:rPr>
                <w:rFonts w:cstheme="minorHAnsi"/>
                <w:color w:val="000000"/>
                <w:sz w:val="20"/>
                <w:szCs w:val="20"/>
              </w:rPr>
              <w:t>63.2</w:t>
            </w:r>
          </w:p>
        </w:tc>
      </w:tr>
      <w:tr w:rsidR="00685BE5" w:rsidRPr="00B90E88" w:rsidTr="00AE4C3A">
        <w:trPr>
          <w:trHeight w:val="254"/>
        </w:trPr>
        <w:tc>
          <w:tcPr>
            <w:tcW w:w="3402" w:type="dxa"/>
            <w:tcBorders>
              <w:top w:val="single" w:sz="4" w:space="0" w:color="auto"/>
              <w:bottom w:val="single" w:sz="4" w:space="0" w:color="auto"/>
            </w:tcBorders>
            <w:vAlign w:val="center"/>
          </w:tcPr>
          <w:p w:rsidR="00685BE5" w:rsidRPr="00292A05" w:rsidRDefault="00685BE5" w:rsidP="00AE4C3A">
            <w:pPr>
              <w:spacing w:before="20" w:after="20"/>
              <w:rPr>
                <w:rFonts w:ascii="Calibri" w:eastAsia="Times New Roman" w:hAnsi="Calibri" w:cs="Calibri"/>
                <w:b/>
                <w:color w:val="000000"/>
                <w:sz w:val="20"/>
                <w:szCs w:val="20"/>
                <w:lang w:eastAsia="zh-CN"/>
              </w:rPr>
            </w:pPr>
            <w:r w:rsidRPr="00292A05">
              <w:rPr>
                <w:rFonts w:ascii="Calibri" w:eastAsia="Times New Roman" w:hAnsi="Calibri" w:cs="Calibri"/>
                <w:b/>
                <w:color w:val="000000"/>
                <w:sz w:val="20"/>
                <w:szCs w:val="20"/>
                <w:lang w:eastAsia="zh-CN"/>
              </w:rPr>
              <w:t>Total (N=2</w:t>
            </w:r>
            <w:r>
              <w:rPr>
                <w:rFonts w:ascii="Calibri" w:eastAsia="Times New Roman" w:hAnsi="Calibri" w:cs="Calibri"/>
                <w:b/>
                <w:color w:val="000000"/>
                <w:sz w:val="20"/>
                <w:szCs w:val="20"/>
                <w:lang w:eastAsia="zh-CN"/>
              </w:rPr>
              <w:t>,</w:t>
            </w:r>
            <w:r w:rsidRPr="00292A05">
              <w:rPr>
                <w:rFonts w:ascii="Calibri" w:eastAsia="Times New Roman" w:hAnsi="Calibri" w:cs="Calibri"/>
                <w:b/>
                <w:color w:val="000000"/>
                <w:sz w:val="20"/>
                <w:szCs w:val="20"/>
                <w:lang w:eastAsia="zh-CN"/>
              </w:rPr>
              <w:t>133)</w:t>
            </w:r>
            <w:r w:rsidRPr="00292A05">
              <w:rPr>
                <w:rFonts w:ascii="Calibri" w:eastAsia="Times New Roman" w:hAnsi="Calibri" w:cs="Calibri"/>
                <w:b/>
                <w:color w:val="000000"/>
                <w:sz w:val="20"/>
                <w:szCs w:val="20"/>
                <w:lang w:eastAsia="zh-CN"/>
              </w:rPr>
              <w:tab/>
            </w:r>
          </w:p>
        </w:tc>
        <w:tc>
          <w:tcPr>
            <w:tcW w:w="1276" w:type="dxa"/>
            <w:tcBorders>
              <w:top w:val="single" w:sz="4" w:space="0" w:color="auto"/>
              <w:bottom w:val="single" w:sz="4" w:space="0" w:color="auto"/>
            </w:tcBorders>
            <w:vAlign w:val="center"/>
          </w:tcPr>
          <w:p w:rsidR="00685BE5" w:rsidRPr="004D7225" w:rsidRDefault="00685BE5" w:rsidP="00AE4C3A">
            <w:pPr>
              <w:tabs>
                <w:tab w:val="decimal" w:pos="743"/>
              </w:tabs>
              <w:spacing w:before="20" w:after="20"/>
              <w:rPr>
                <w:rFonts w:cstheme="minorHAnsi"/>
                <w:color w:val="000000"/>
                <w:sz w:val="20"/>
                <w:szCs w:val="20"/>
              </w:rPr>
            </w:pPr>
          </w:p>
        </w:tc>
      </w:tr>
    </w:tbl>
    <w:p w:rsidR="00685BE5" w:rsidRPr="005C469C" w:rsidRDefault="00685BE5" w:rsidP="00AE4C3A">
      <w:pPr>
        <w:pStyle w:val="NILSReference"/>
      </w:pPr>
      <w:r w:rsidRPr="005C469C">
        <w:t xml:space="preserve">Source: 2014 NDIS DSP employee survey, Questions A7a and A7b. </w:t>
      </w:r>
    </w:p>
    <w:p w:rsidR="00685BE5" w:rsidRPr="005C469C" w:rsidRDefault="00685BE5" w:rsidP="00AE4C3A">
      <w:pPr>
        <w:pStyle w:val="NILSReference"/>
      </w:pPr>
      <w:r w:rsidRPr="005C469C">
        <w:t>Note: Multiple responses allowed, column will not sum to 100.</w:t>
      </w:r>
    </w:p>
    <w:p w:rsidR="00B92687" w:rsidRDefault="00B92687" w:rsidP="00AE4C3A">
      <w:pPr>
        <w:rPr>
          <w:rFonts w:cstheme="minorHAnsi"/>
          <w:bCs/>
        </w:rPr>
      </w:pPr>
    </w:p>
    <w:p w:rsidR="00685BE5" w:rsidRDefault="00685BE5" w:rsidP="00AE4C3A">
      <w:pPr>
        <w:rPr>
          <w:rFonts w:cstheme="minorHAnsi"/>
        </w:rPr>
      </w:pPr>
      <w:r w:rsidRPr="00AB33E3">
        <w:rPr>
          <w:rFonts w:cstheme="minorHAnsi"/>
          <w:bCs/>
        </w:rPr>
        <w:t xml:space="preserve">The field of study of employees’ highest and of their most relevant qualification is shown in Table </w:t>
      </w:r>
      <w:r>
        <w:t>4.25</w:t>
      </w:r>
      <w:r w:rsidRPr="00AB33E3">
        <w:t>.</w:t>
      </w:r>
      <w:r>
        <w:t xml:space="preserve"> </w:t>
      </w:r>
      <w:r w:rsidRPr="00AB33E3">
        <w:rPr>
          <w:rFonts w:cstheme="minorHAnsi"/>
        </w:rPr>
        <w:t xml:space="preserve">‘Disability/Disability Studies’, ‘Community Work/Community Services/Welfare Services/Care Work’ and ‘Allied Health’ </w:t>
      </w:r>
      <w:r>
        <w:rPr>
          <w:rFonts w:cstheme="minorHAnsi"/>
        </w:rPr>
        <w:t>we</w:t>
      </w:r>
      <w:r w:rsidRPr="00AB33E3">
        <w:rPr>
          <w:rFonts w:cstheme="minorHAnsi"/>
        </w:rPr>
        <w:t>re the top three fields of study in terms of both the highest level and the most relevant qualifications (these three fields ma</w:t>
      </w:r>
      <w:r>
        <w:rPr>
          <w:rFonts w:cstheme="minorHAnsi"/>
        </w:rPr>
        <w:t>de</w:t>
      </w:r>
      <w:r w:rsidRPr="00AB33E3">
        <w:rPr>
          <w:rFonts w:cstheme="minorHAnsi"/>
        </w:rPr>
        <w:t xml:space="preserve"> up 44 per cent of the highest qualification held and 5</w:t>
      </w:r>
      <w:r>
        <w:rPr>
          <w:rFonts w:cstheme="minorHAnsi"/>
        </w:rPr>
        <w:t>6</w:t>
      </w:r>
      <w:r w:rsidRPr="00AB33E3">
        <w:rPr>
          <w:rFonts w:cstheme="minorHAnsi"/>
        </w:rPr>
        <w:t xml:space="preserve"> per cent of the most relevant qualification held). Other fields of qualifications commonly held in the sector </w:t>
      </w:r>
      <w:r>
        <w:rPr>
          <w:rFonts w:cstheme="minorHAnsi"/>
        </w:rPr>
        <w:t>we</w:t>
      </w:r>
      <w:r w:rsidRPr="00AB33E3">
        <w:rPr>
          <w:rFonts w:cstheme="minorHAnsi"/>
        </w:rPr>
        <w:t>re psychology/counselling</w:t>
      </w:r>
      <w:r>
        <w:rPr>
          <w:rFonts w:cstheme="minorHAnsi"/>
        </w:rPr>
        <w:t>,</w:t>
      </w:r>
      <w:r w:rsidRPr="00AB33E3">
        <w:rPr>
          <w:rFonts w:cstheme="minorHAnsi"/>
        </w:rPr>
        <w:t xml:space="preserve"> social work, nursing</w:t>
      </w:r>
      <w:r>
        <w:rPr>
          <w:rFonts w:cstheme="minorHAnsi"/>
        </w:rPr>
        <w:t xml:space="preserve"> and business/business management</w:t>
      </w:r>
      <w:r w:rsidRPr="00AB33E3">
        <w:rPr>
          <w:rFonts w:cstheme="minorHAnsi"/>
        </w:rPr>
        <w:t xml:space="preserve">. This suggests that a high share of the disability services workforce has specialised qualifications, and that these qualifications are of direct relevance to their current job. </w:t>
      </w:r>
    </w:p>
    <w:p w:rsidR="00B92687" w:rsidRPr="00AB33E3" w:rsidRDefault="00B92687" w:rsidP="00AE4C3A">
      <w:pPr>
        <w:rPr>
          <w:rFonts w:cstheme="minorHAnsi"/>
        </w:rPr>
      </w:pPr>
    </w:p>
    <w:p w:rsidR="00B92687" w:rsidRDefault="00B92687">
      <w:pPr>
        <w:rPr>
          <w:b/>
          <w:sz w:val="20"/>
        </w:rPr>
      </w:pPr>
      <w:bookmarkStart w:id="590" w:name="_Toc425425101"/>
      <w:bookmarkStart w:id="591" w:name="_Toc428279230"/>
      <w:r>
        <w:br w:type="page"/>
      </w:r>
    </w:p>
    <w:p w:rsidR="00685BE5" w:rsidRPr="00AB33E3" w:rsidRDefault="00685BE5" w:rsidP="0044684E">
      <w:pPr>
        <w:pStyle w:val="NILSTableHeading"/>
      </w:pPr>
      <w:bookmarkStart w:id="592" w:name="_Toc449955361"/>
      <w:r w:rsidRPr="00AB33E3">
        <w:lastRenderedPageBreak/>
        <w:t xml:space="preserve">Table </w:t>
      </w:r>
      <w:r>
        <w:t>4.25</w:t>
      </w:r>
      <w:r w:rsidRPr="00AB33E3">
        <w:t>: Field of study of the highest and most relevant qualification for current role</w:t>
      </w:r>
      <w:bookmarkEnd w:id="590"/>
      <w:bookmarkEnd w:id="591"/>
      <w:bookmarkEnd w:id="592"/>
    </w:p>
    <w:tbl>
      <w:tblPr>
        <w:tblW w:w="8520" w:type="dxa"/>
        <w:tblInd w:w="93" w:type="dxa"/>
        <w:tblLook w:val="04A0" w:firstRow="1" w:lastRow="0" w:firstColumn="1" w:lastColumn="0" w:noHBand="0" w:noVBand="1"/>
        <w:tblCaption w:val="Table 4.25 Field of study of the highest and most relevant qualification for current role"/>
      </w:tblPr>
      <w:tblGrid>
        <w:gridCol w:w="5848"/>
        <w:gridCol w:w="1299"/>
        <w:gridCol w:w="1373"/>
      </w:tblGrid>
      <w:tr w:rsidR="00685BE5" w:rsidRPr="00B90E88" w:rsidTr="0096484D">
        <w:trPr>
          <w:trHeight w:val="614"/>
          <w:tblHeader/>
        </w:trPr>
        <w:tc>
          <w:tcPr>
            <w:tcW w:w="5848" w:type="dxa"/>
            <w:tcBorders>
              <w:top w:val="single" w:sz="4" w:space="0" w:color="auto"/>
              <w:left w:val="nil"/>
              <w:bottom w:val="single" w:sz="4" w:space="0" w:color="auto"/>
              <w:right w:val="nil"/>
            </w:tcBorders>
            <w:shd w:val="clear" w:color="auto" w:fill="auto"/>
            <w:hideMark/>
          </w:tcPr>
          <w:p w:rsidR="00685BE5" w:rsidRPr="007D2274" w:rsidRDefault="00685BE5" w:rsidP="00AE4C3A">
            <w:pPr>
              <w:spacing w:before="20" w:after="20"/>
              <w:rPr>
                <w:rFonts w:cstheme="minorHAnsi"/>
                <w:b/>
                <w:bCs/>
                <w:sz w:val="20"/>
                <w:szCs w:val="20"/>
              </w:rPr>
            </w:pPr>
            <w:r w:rsidRPr="007D2274">
              <w:rPr>
                <w:rFonts w:cstheme="minorHAnsi"/>
                <w:b/>
                <w:bCs/>
                <w:sz w:val="20"/>
                <w:szCs w:val="20"/>
              </w:rPr>
              <w:t> </w:t>
            </w:r>
            <w:bookmarkStart w:id="593" w:name="Title_4_25"/>
            <w:bookmarkEnd w:id="593"/>
          </w:p>
        </w:tc>
        <w:tc>
          <w:tcPr>
            <w:tcW w:w="1299" w:type="dxa"/>
            <w:tcBorders>
              <w:top w:val="single" w:sz="4" w:space="0" w:color="auto"/>
              <w:left w:val="nil"/>
              <w:bottom w:val="single" w:sz="4" w:space="0" w:color="auto"/>
              <w:right w:val="nil"/>
            </w:tcBorders>
            <w:shd w:val="clear" w:color="auto" w:fill="auto"/>
            <w:hideMark/>
          </w:tcPr>
          <w:p w:rsidR="00685BE5" w:rsidRPr="007D2274" w:rsidRDefault="00685BE5" w:rsidP="00AE4C3A">
            <w:pPr>
              <w:spacing w:before="20" w:after="20"/>
              <w:jc w:val="center"/>
              <w:rPr>
                <w:rFonts w:cstheme="minorHAnsi"/>
                <w:sz w:val="20"/>
                <w:szCs w:val="20"/>
              </w:rPr>
            </w:pPr>
            <w:r w:rsidRPr="007D2274">
              <w:rPr>
                <w:rFonts w:cstheme="minorHAnsi"/>
                <w:sz w:val="20"/>
                <w:szCs w:val="20"/>
              </w:rPr>
              <w:t>Highest qualification</w:t>
            </w:r>
          </w:p>
        </w:tc>
        <w:tc>
          <w:tcPr>
            <w:tcW w:w="1373" w:type="dxa"/>
            <w:tcBorders>
              <w:top w:val="single" w:sz="4" w:space="0" w:color="auto"/>
              <w:left w:val="nil"/>
              <w:bottom w:val="single" w:sz="4" w:space="0" w:color="auto"/>
              <w:right w:val="nil"/>
            </w:tcBorders>
            <w:shd w:val="clear" w:color="auto" w:fill="auto"/>
            <w:hideMark/>
          </w:tcPr>
          <w:p w:rsidR="00685BE5" w:rsidRPr="007D2274" w:rsidRDefault="00685BE5" w:rsidP="00AE4C3A">
            <w:pPr>
              <w:spacing w:before="20" w:after="20"/>
              <w:jc w:val="center"/>
              <w:rPr>
                <w:rFonts w:cstheme="minorHAnsi"/>
                <w:sz w:val="20"/>
                <w:szCs w:val="20"/>
              </w:rPr>
            </w:pPr>
            <w:r w:rsidRPr="007D2274">
              <w:rPr>
                <w:rFonts w:cstheme="minorHAnsi"/>
                <w:sz w:val="20"/>
                <w:szCs w:val="20"/>
              </w:rPr>
              <w:t>Most relevant qualification</w:t>
            </w:r>
          </w:p>
        </w:tc>
      </w:tr>
      <w:tr w:rsidR="00685BE5" w:rsidRPr="00B90E88" w:rsidTr="00AE4C3A">
        <w:tc>
          <w:tcPr>
            <w:tcW w:w="5848" w:type="dxa"/>
            <w:tcBorders>
              <w:top w:val="nil"/>
              <w:left w:val="nil"/>
              <w:bottom w:val="nil"/>
              <w:right w:val="nil"/>
            </w:tcBorders>
            <w:shd w:val="clear" w:color="auto" w:fill="auto"/>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Social Work</w:t>
            </w:r>
          </w:p>
        </w:tc>
        <w:tc>
          <w:tcPr>
            <w:tcW w:w="1299" w:type="dxa"/>
            <w:tcBorders>
              <w:top w:val="nil"/>
              <w:left w:val="nil"/>
              <w:bottom w:val="nil"/>
              <w:right w:val="nil"/>
            </w:tcBorders>
            <w:shd w:val="clear" w:color="auto" w:fill="auto"/>
            <w:vAlign w:val="bottom"/>
            <w:hideMark/>
          </w:tcPr>
          <w:p w:rsidR="00685BE5" w:rsidRPr="007D2274" w:rsidRDefault="00685BE5" w:rsidP="00AE4C3A">
            <w:pPr>
              <w:tabs>
                <w:tab w:val="decimal" w:pos="607"/>
              </w:tabs>
              <w:spacing w:before="20" w:after="20"/>
              <w:ind w:right="324"/>
              <w:jc w:val="right"/>
              <w:rPr>
                <w:rFonts w:cstheme="minorHAnsi"/>
                <w:sz w:val="20"/>
                <w:szCs w:val="20"/>
              </w:rPr>
            </w:pPr>
            <w:r w:rsidRPr="007D2274">
              <w:rPr>
                <w:rFonts w:cstheme="minorHAnsi"/>
                <w:sz w:val="20"/>
                <w:szCs w:val="20"/>
              </w:rPr>
              <w:t>5.6</w:t>
            </w:r>
          </w:p>
        </w:tc>
        <w:tc>
          <w:tcPr>
            <w:tcW w:w="1373" w:type="dxa"/>
            <w:tcBorders>
              <w:top w:val="nil"/>
              <w:left w:val="nil"/>
              <w:bottom w:val="nil"/>
              <w:right w:val="nil"/>
            </w:tcBorders>
            <w:shd w:val="clear" w:color="auto" w:fill="auto"/>
            <w:vAlign w:val="bottom"/>
            <w:hideMark/>
          </w:tcPr>
          <w:p w:rsidR="00685BE5" w:rsidRPr="007D2274" w:rsidRDefault="00685BE5" w:rsidP="00AE4C3A">
            <w:pPr>
              <w:tabs>
                <w:tab w:val="decimal" w:pos="607"/>
              </w:tabs>
              <w:spacing w:before="20" w:after="20"/>
              <w:ind w:right="324"/>
              <w:jc w:val="right"/>
              <w:rPr>
                <w:rFonts w:cstheme="minorHAnsi"/>
                <w:sz w:val="20"/>
                <w:szCs w:val="20"/>
              </w:rPr>
            </w:pPr>
            <w:r w:rsidRPr="007D2274">
              <w:rPr>
                <w:rFonts w:cstheme="minorHAnsi"/>
                <w:sz w:val="20"/>
                <w:szCs w:val="20"/>
              </w:rPr>
              <w:t>6.0</w:t>
            </w:r>
          </w:p>
        </w:tc>
      </w:tr>
      <w:tr w:rsidR="00685BE5" w:rsidRPr="00B90E88" w:rsidTr="00AE4C3A">
        <w:tc>
          <w:tcPr>
            <w:tcW w:w="5848" w:type="dxa"/>
            <w:tcBorders>
              <w:top w:val="nil"/>
              <w:left w:val="nil"/>
              <w:bottom w:val="nil"/>
              <w:right w:val="nil"/>
            </w:tcBorders>
            <w:shd w:val="clear" w:color="auto" w:fill="auto"/>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Disability/</w:t>
            </w:r>
            <w:r>
              <w:rPr>
                <w:rFonts w:cstheme="minorHAnsi"/>
                <w:sz w:val="20"/>
                <w:szCs w:val="20"/>
              </w:rPr>
              <w:t>d</w:t>
            </w:r>
            <w:r w:rsidRPr="007D2274">
              <w:rPr>
                <w:rFonts w:cstheme="minorHAnsi"/>
                <w:sz w:val="20"/>
                <w:szCs w:val="20"/>
              </w:rPr>
              <w:t xml:space="preserve">isability </w:t>
            </w:r>
            <w:r>
              <w:rPr>
                <w:rFonts w:cstheme="minorHAnsi"/>
                <w:sz w:val="20"/>
                <w:szCs w:val="20"/>
              </w:rPr>
              <w:t>s</w:t>
            </w:r>
            <w:r w:rsidRPr="007D2274">
              <w:rPr>
                <w:rFonts w:cstheme="minorHAnsi"/>
                <w:sz w:val="20"/>
                <w:szCs w:val="20"/>
              </w:rPr>
              <w:t>tudies</w:t>
            </w:r>
          </w:p>
        </w:tc>
        <w:tc>
          <w:tcPr>
            <w:tcW w:w="1299" w:type="dxa"/>
            <w:tcBorders>
              <w:top w:val="nil"/>
              <w:left w:val="nil"/>
              <w:bottom w:val="nil"/>
              <w:right w:val="nil"/>
            </w:tcBorders>
            <w:shd w:val="clear" w:color="auto" w:fill="auto"/>
            <w:vAlign w:val="bottom"/>
            <w:hideMark/>
          </w:tcPr>
          <w:p w:rsidR="00685BE5" w:rsidRPr="007D2274" w:rsidRDefault="00685BE5" w:rsidP="00AE4C3A">
            <w:pPr>
              <w:tabs>
                <w:tab w:val="decimal" w:pos="607"/>
              </w:tabs>
              <w:spacing w:before="20" w:after="20"/>
              <w:ind w:right="324"/>
              <w:jc w:val="right"/>
              <w:rPr>
                <w:rFonts w:cstheme="minorHAnsi"/>
                <w:sz w:val="20"/>
                <w:szCs w:val="20"/>
              </w:rPr>
            </w:pPr>
            <w:r w:rsidRPr="007D2274">
              <w:rPr>
                <w:rFonts w:cstheme="minorHAnsi"/>
                <w:sz w:val="20"/>
                <w:szCs w:val="20"/>
              </w:rPr>
              <w:t>18.7</w:t>
            </w:r>
          </w:p>
        </w:tc>
        <w:tc>
          <w:tcPr>
            <w:tcW w:w="1373" w:type="dxa"/>
            <w:tcBorders>
              <w:top w:val="nil"/>
              <w:left w:val="nil"/>
              <w:bottom w:val="nil"/>
              <w:right w:val="nil"/>
            </w:tcBorders>
            <w:shd w:val="clear" w:color="auto" w:fill="auto"/>
            <w:vAlign w:val="bottom"/>
            <w:hideMark/>
          </w:tcPr>
          <w:p w:rsidR="00685BE5" w:rsidRPr="007D2274" w:rsidRDefault="00685BE5" w:rsidP="00AE4C3A">
            <w:pPr>
              <w:tabs>
                <w:tab w:val="decimal" w:pos="607"/>
              </w:tabs>
              <w:spacing w:before="20" w:after="20"/>
              <w:ind w:right="324"/>
              <w:jc w:val="right"/>
              <w:rPr>
                <w:rFonts w:cstheme="minorHAnsi"/>
                <w:sz w:val="20"/>
                <w:szCs w:val="20"/>
              </w:rPr>
            </w:pPr>
            <w:r w:rsidRPr="007D2274">
              <w:rPr>
                <w:rFonts w:cstheme="minorHAnsi"/>
                <w:sz w:val="20"/>
                <w:szCs w:val="20"/>
              </w:rPr>
              <w:t>26.6</w:t>
            </w:r>
          </w:p>
        </w:tc>
      </w:tr>
      <w:tr w:rsidR="00685BE5" w:rsidRPr="00B90E88" w:rsidTr="00AE4C3A">
        <w:tc>
          <w:tcPr>
            <w:tcW w:w="5848" w:type="dxa"/>
            <w:tcBorders>
              <w:top w:val="nil"/>
              <w:left w:val="nil"/>
              <w:bottom w:val="nil"/>
              <w:right w:val="nil"/>
            </w:tcBorders>
            <w:shd w:val="clear" w:color="auto" w:fill="auto"/>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Nursing</w:t>
            </w:r>
          </w:p>
        </w:tc>
        <w:tc>
          <w:tcPr>
            <w:tcW w:w="1299" w:type="dxa"/>
            <w:tcBorders>
              <w:top w:val="nil"/>
              <w:left w:val="nil"/>
              <w:bottom w:val="nil"/>
              <w:right w:val="nil"/>
            </w:tcBorders>
            <w:shd w:val="clear" w:color="auto" w:fill="auto"/>
            <w:vAlign w:val="bottom"/>
            <w:hideMark/>
          </w:tcPr>
          <w:p w:rsidR="00685BE5" w:rsidRPr="007D2274" w:rsidRDefault="00685BE5" w:rsidP="00AE4C3A">
            <w:pPr>
              <w:tabs>
                <w:tab w:val="decimal" w:pos="607"/>
              </w:tabs>
              <w:spacing w:before="20" w:after="20"/>
              <w:ind w:right="324"/>
              <w:jc w:val="right"/>
              <w:rPr>
                <w:rFonts w:cstheme="minorHAnsi"/>
                <w:sz w:val="20"/>
                <w:szCs w:val="20"/>
              </w:rPr>
            </w:pPr>
            <w:r w:rsidRPr="007D2274">
              <w:rPr>
                <w:rFonts w:cstheme="minorHAnsi"/>
                <w:sz w:val="20"/>
                <w:szCs w:val="20"/>
              </w:rPr>
              <w:t>5.1</w:t>
            </w:r>
          </w:p>
        </w:tc>
        <w:tc>
          <w:tcPr>
            <w:tcW w:w="1373" w:type="dxa"/>
            <w:tcBorders>
              <w:top w:val="nil"/>
              <w:left w:val="nil"/>
              <w:bottom w:val="nil"/>
              <w:right w:val="nil"/>
            </w:tcBorders>
            <w:shd w:val="clear" w:color="auto" w:fill="auto"/>
            <w:vAlign w:val="bottom"/>
            <w:hideMark/>
          </w:tcPr>
          <w:p w:rsidR="00685BE5" w:rsidRPr="007D2274" w:rsidRDefault="00685BE5" w:rsidP="00AE4C3A">
            <w:pPr>
              <w:tabs>
                <w:tab w:val="decimal" w:pos="607"/>
              </w:tabs>
              <w:spacing w:before="20" w:after="20"/>
              <w:ind w:right="324"/>
              <w:jc w:val="right"/>
              <w:rPr>
                <w:rFonts w:cstheme="minorHAnsi"/>
                <w:sz w:val="20"/>
                <w:szCs w:val="20"/>
              </w:rPr>
            </w:pPr>
            <w:r w:rsidRPr="007D2274">
              <w:rPr>
                <w:rFonts w:cstheme="minorHAnsi"/>
                <w:sz w:val="20"/>
                <w:szCs w:val="20"/>
              </w:rPr>
              <w:t>4.5</w:t>
            </w:r>
          </w:p>
        </w:tc>
      </w:tr>
      <w:tr w:rsidR="00685BE5" w:rsidRPr="00B90E88" w:rsidTr="00AE4C3A">
        <w:tc>
          <w:tcPr>
            <w:tcW w:w="5848" w:type="dxa"/>
            <w:tcBorders>
              <w:top w:val="nil"/>
              <w:left w:val="nil"/>
              <w:bottom w:val="nil"/>
              <w:right w:val="nil"/>
            </w:tcBorders>
            <w:shd w:val="clear" w:color="auto" w:fill="auto"/>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Psychology/</w:t>
            </w:r>
            <w:r>
              <w:rPr>
                <w:rFonts w:cstheme="minorHAnsi"/>
                <w:sz w:val="20"/>
                <w:szCs w:val="20"/>
              </w:rPr>
              <w:t>c</w:t>
            </w:r>
            <w:r w:rsidRPr="007D2274">
              <w:rPr>
                <w:rFonts w:cstheme="minorHAnsi"/>
                <w:sz w:val="20"/>
                <w:szCs w:val="20"/>
              </w:rPr>
              <w:t>ounselling</w:t>
            </w:r>
          </w:p>
        </w:tc>
        <w:tc>
          <w:tcPr>
            <w:tcW w:w="1299" w:type="dxa"/>
            <w:tcBorders>
              <w:top w:val="nil"/>
              <w:left w:val="nil"/>
              <w:bottom w:val="nil"/>
              <w:right w:val="nil"/>
            </w:tcBorders>
            <w:shd w:val="clear" w:color="auto" w:fill="auto"/>
            <w:vAlign w:val="bottom"/>
            <w:hideMark/>
          </w:tcPr>
          <w:p w:rsidR="00685BE5" w:rsidRPr="007D2274" w:rsidRDefault="00685BE5" w:rsidP="00AE4C3A">
            <w:pPr>
              <w:tabs>
                <w:tab w:val="decimal" w:pos="607"/>
              </w:tabs>
              <w:spacing w:before="20" w:after="20"/>
              <w:ind w:right="324"/>
              <w:jc w:val="right"/>
              <w:rPr>
                <w:rFonts w:cstheme="minorHAnsi"/>
                <w:sz w:val="20"/>
                <w:szCs w:val="20"/>
              </w:rPr>
            </w:pPr>
            <w:r w:rsidRPr="007D2274">
              <w:rPr>
                <w:rFonts w:cstheme="minorHAnsi"/>
                <w:sz w:val="20"/>
                <w:szCs w:val="20"/>
              </w:rPr>
              <w:t>6.9</w:t>
            </w:r>
          </w:p>
        </w:tc>
        <w:tc>
          <w:tcPr>
            <w:tcW w:w="1373" w:type="dxa"/>
            <w:tcBorders>
              <w:top w:val="nil"/>
              <w:left w:val="nil"/>
              <w:bottom w:val="nil"/>
              <w:right w:val="nil"/>
            </w:tcBorders>
            <w:shd w:val="clear" w:color="auto" w:fill="auto"/>
            <w:vAlign w:val="bottom"/>
            <w:hideMark/>
          </w:tcPr>
          <w:p w:rsidR="00685BE5" w:rsidRPr="007D2274" w:rsidRDefault="00685BE5" w:rsidP="00AE4C3A">
            <w:pPr>
              <w:tabs>
                <w:tab w:val="decimal" w:pos="607"/>
              </w:tabs>
              <w:spacing w:before="20" w:after="20"/>
              <w:ind w:right="324"/>
              <w:jc w:val="right"/>
              <w:rPr>
                <w:rFonts w:cstheme="minorHAnsi"/>
                <w:sz w:val="20"/>
                <w:szCs w:val="20"/>
              </w:rPr>
            </w:pPr>
            <w:r w:rsidRPr="007D2274">
              <w:rPr>
                <w:rFonts w:cstheme="minorHAnsi"/>
                <w:sz w:val="20"/>
                <w:szCs w:val="20"/>
              </w:rPr>
              <w:t>6.6</w:t>
            </w:r>
          </w:p>
        </w:tc>
      </w:tr>
      <w:tr w:rsidR="00685BE5" w:rsidRPr="00B90E88" w:rsidTr="00AE4C3A">
        <w:tc>
          <w:tcPr>
            <w:tcW w:w="5848" w:type="dxa"/>
            <w:tcBorders>
              <w:top w:val="nil"/>
              <w:left w:val="nil"/>
              <w:bottom w:val="nil"/>
              <w:right w:val="nil"/>
            </w:tcBorders>
            <w:shd w:val="clear" w:color="auto" w:fill="auto"/>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 xml:space="preserve">Community </w:t>
            </w:r>
            <w:r>
              <w:rPr>
                <w:rFonts w:cstheme="minorHAnsi"/>
                <w:sz w:val="20"/>
                <w:szCs w:val="20"/>
              </w:rPr>
              <w:t>w</w:t>
            </w:r>
            <w:r w:rsidRPr="007D2274">
              <w:rPr>
                <w:rFonts w:cstheme="minorHAnsi"/>
                <w:sz w:val="20"/>
                <w:szCs w:val="20"/>
              </w:rPr>
              <w:t>ork/</w:t>
            </w:r>
            <w:r>
              <w:rPr>
                <w:rFonts w:cstheme="minorHAnsi"/>
                <w:sz w:val="20"/>
                <w:szCs w:val="20"/>
              </w:rPr>
              <w:t>c</w:t>
            </w:r>
            <w:r w:rsidRPr="007D2274">
              <w:rPr>
                <w:rFonts w:cstheme="minorHAnsi"/>
                <w:sz w:val="20"/>
                <w:szCs w:val="20"/>
              </w:rPr>
              <w:t xml:space="preserve">ommunity </w:t>
            </w:r>
            <w:r>
              <w:rPr>
                <w:rFonts w:cstheme="minorHAnsi"/>
                <w:sz w:val="20"/>
                <w:szCs w:val="20"/>
              </w:rPr>
              <w:t>s</w:t>
            </w:r>
            <w:r w:rsidRPr="007D2274">
              <w:rPr>
                <w:rFonts w:cstheme="minorHAnsi"/>
                <w:sz w:val="20"/>
                <w:szCs w:val="20"/>
              </w:rPr>
              <w:t>ervices/</w:t>
            </w:r>
            <w:r>
              <w:rPr>
                <w:rFonts w:cstheme="minorHAnsi"/>
                <w:sz w:val="20"/>
                <w:szCs w:val="20"/>
              </w:rPr>
              <w:t>w</w:t>
            </w:r>
            <w:r w:rsidRPr="007D2274">
              <w:rPr>
                <w:rFonts w:cstheme="minorHAnsi"/>
                <w:sz w:val="20"/>
                <w:szCs w:val="20"/>
              </w:rPr>
              <w:t xml:space="preserve">elfare </w:t>
            </w:r>
            <w:r>
              <w:rPr>
                <w:rFonts w:cstheme="minorHAnsi"/>
                <w:sz w:val="20"/>
                <w:szCs w:val="20"/>
              </w:rPr>
              <w:t>s</w:t>
            </w:r>
            <w:r w:rsidRPr="007D2274">
              <w:rPr>
                <w:rFonts w:cstheme="minorHAnsi"/>
                <w:sz w:val="20"/>
                <w:szCs w:val="20"/>
              </w:rPr>
              <w:t>ervices/</w:t>
            </w:r>
            <w:r>
              <w:rPr>
                <w:rFonts w:cstheme="minorHAnsi"/>
                <w:sz w:val="20"/>
                <w:szCs w:val="20"/>
              </w:rPr>
              <w:t>c</w:t>
            </w:r>
            <w:r w:rsidRPr="007D2274">
              <w:rPr>
                <w:rFonts w:cstheme="minorHAnsi"/>
                <w:sz w:val="20"/>
                <w:szCs w:val="20"/>
              </w:rPr>
              <w:t xml:space="preserve">are </w:t>
            </w:r>
            <w:r>
              <w:rPr>
                <w:rFonts w:cstheme="minorHAnsi"/>
                <w:sz w:val="20"/>
                <w:szCs w:val="20"/>
              </w:rPr>
              <w:t>w</w:t>
            </w:r>
            <w:r w:rsidRPr="007D2274">
              <w:rPr>
                <w:rFonts w:cstheme="minorHAnsi"/>
                <w:sz w:val="20"/>
                <w:szCs w:val="20"/>
              </w:rPr>
              <w:t>ork</w:t>
            </w:r>
          </w:p>
        </w:tc>
        <w:tc>
          <w:tcPr>
            <w:tcW w:w="1299" w:type="dxa"/>
            <w:tcBorders>
              <w:top w:val="nil"/>
              <w:left w:val="nil"/>
              <w:bottom w:val="nil"/>
              <w:right w:val="nil"/>
            </w:tcBorders>
            <w:shd w:val="clear" w:color="auto" w:fill="auto"/>
            <w:vAlign w:val="bottom"/>
            <w:hideMark/>
          </w:tcPr>
          <w:p w:rsidR="00685BE5" w:rsidRPr="007D2274" w:rsidRDefault="00685BE5" w:rsidP="00AE4C3A">
            <w:pPr>
              <w:tabs>
                <w:tab w:val="decimal" w:pos="607"/>
              </w:tabs>
              <w:spacing w:before="20" w:after="20"/>
              <w:ind w:right="324"/>
              <w:jc w:val="right"/>
              <w:rPr>
                <w:rFonts w:cstheme="minorHAnsi"/>
                <w:sz w:val="20"/>
                <w:szCs w:val="20"/>
              </w:rPr>
            </w:pPr>
            <w:r w:rsidRPr="007D2274">
              <w:rPr>
                <w:rFonts w:cstheme="minorHAnsi"/>
                <w:sz w:val="20"/>
                <w:szCs w:val="20"/>
              </w:rPr>
              <w:t>14.3</w:t>
            </w:r>
          </w:p>
        </w:tc>
        <w:tc>
          <w:tcPr>
            <w:tcW w:w="1373" w:type="dxa"/>
            <w:tcBorders>
              <w:top w:val="nil"/>
              <w:left w:val="nil"/>
              <w:bottom w:val="nil"/>
              <w:right w:val="nil"/>
            </w:tcBorders>
            <w:shd w:val="clear" w:color="auto" w:fill="auto"/>
            <w:vAlign w:val="bottom"/>
            <w:hideMark/>
          </w:tcPr>
          <w:p w:rsidR="00685BE5" w:rsidRPr="007D2274" w:rsidRDefault="00685BE5" w:rsidP="00AE4C3A">
            <w:pPr>
              <w:tabs>
                <w:tab w:val="decimal" w:pos="607"/>
              </w:tabs>
              <w:spacing w:before="20" w:after="20"/>
              <w:ind w:right="324"/>
              <w:jc w:val="right"/>
              <w:rPr>
                <w:rFonts w:cstheme="minorHAnsi"/>
                <w:sz w:val="20"/>
                <w:szCs w:val="20"/>
              </w:rPr>
            </w:pPr>
            <w:r w:rsidRPr="007D2274">
              <w:rPr>
                <w:rFonts w:cstheme="minorHAnsi"/>
                <w:sz w:val="20"/>
                <w:szCs w:val="20"/>
              </w:rPr>
              <w:t>17.8</w:t>
            </w:r>
          </w:p>
        </w:tc>
      </w:tr>
      <w:tr w:rsidR="00685BE5" w:rsidRPr="00B90E88" w:rsidTr="00AE4C3A">
        <w:tc>
          <w:tcPr>
            <w:tcW w:w="5848" w:type="dxa"/>
            <w:tcBorders>
              <w:top w:val="nil"/>
              <w:left w:val="nil"/>
              <w:bottom w:val="nil"/>
              <w:right w:val="nil"/>
            </w:tcBorders>
            <w:shd w:val="clear" w:color="auto" w:fill="auto"/>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 xml:space="preserve">Youth </w:t>
            </w:r>
            <w:r>
              <w:rPr>
                <w:rFonts w:cstheme="minorHAnsi"/>
                <w:sz w:val="20"/>
                <w:szCs w:val="20"/>
              </w:rPr>
              <w:t>w</w:t>
            </w:r>
            <w:r w:rsidRPr="007D2274">
              <w:rPr>
                <w:rFonts w:cstheme="minorHAnsi"/>
                <w:sz w:val="20"/>
                <w:szCs w:val="20"/>
              </w:rPr>
              <w:t>ork/</w:t>
            </w:r>
            <w:r>
              <w:rPr>
                <w:rFonts w:cstheme="minorHAnsi"/>
                <w:sz w:val="20"/>
                <w:szCs w:val="20"/>
              </w:rPr>
              <w:t>y</w:t>
            </w:r>
            <w:r w:rsidRPr="007D2274">
              <w:rPr>
                <w:rFonts w:cstheme="minorHAnsi"/>
                <w:sz w:val="20"/>
                <w:szCs w:val="20"/>
              </w:rPr>
              <w:t xml:space="preserve">outh </w:t>
            </w:r>
            <w:r>
              <w:rPr>
                <w:rFonts w:cstheme="minorHAnsi"/>
                <w:sz w:val="20"/>
                <w:szCs w:val="20"/>
              </w:rPr>
              <w:t>s</w:t>
            </w:r>
            <w:r w:rsidRPr="007D2274">
              <w:rPr>
                <w:rFonts w:cstheme="minorHAnsi"/>
                <w:sz w:val="20"/>
                <w:szCs w:val="20"/>
              </w:rPr>
              <w:t>ervices</w:t>
            </w:r>
          </w:p>
        </w:tc>
        <w:tc>
          <w:tcPr>
            <w:tcW w:w="1299" w:type="dxa"/>
            <w:tcBorders>
              <w:top w:val="nil"/>
              <w:left w:val="nil"/>
              <w:bottom w:val="nil"/>
              <w:right w:val="nil"/>
            </w:tcBorders>
            <w:shd w:val="clear" w:color="auto" w:fill="auto"/>
            <w:vAlign w:val="bottom"/>
            <w:hideMark/>
          </w:tcPr>
          <w:p w:rsidR="00685BE5" w:rsidRPr="007D2274" w:rsidRDefault="00685BE5" w:rsidP="00AE4C3A">
            <w:pPr>
              <w:tabs>
                <w:tab w:val="decimal" w:pos="607"/>
              </w:tabs>
              <w:spacing w:before="20" w:after="20"/>
              <w:ind w:right="324"/>
              <w:jc w:val="right"/>
              <w:rPr>
                <w:rFonts w:cstheme="minorHAnsi"/>
                <w:sz w:val="20"/>
                <w:szCs w:val="20"/>
              </w:rPr>
            </w:pPr>
            <w:r w:rsidRPr="007D2274">
              <w:rPr>
                <w:rFonts w:cstheme="minorHAnsi"/>
                <w:sz w:val="20"/>
                <w:szCs w:val="20"/>
              </w:rPr>
              <w:t>0.7</w:t>
            </w:r>
          </w:p>
        </w:tc>
        <w:tc>
          <w:tcPr>
            <w:tcW w:w="1373" w:type="dxa"/>
            <w:tcBorders>
              <w:top w:val="nil"/>
              <w:left w:val="nil"/>
              <w:bottom w:val="nil"/>
              <w:right w:val="nil"/>
            </w:tcBorders>
            <w:shd w:val="clear" w:color="auto" w:fill="auto"/>
            <w:vAlign w:val="bottom"/>
            <w:hideMark/>
          </w:tcPr>
          <w:p w:rsidR="00685BE5" w:rsidRPr="007D2274" w:rsidRDefault="00685BE5" w:rsidP="00AE4C3A">
            <w:pPr>
              <w:tabs>
                <w:tab w:val="decimal" w:pos="607"/>
              </w:tabs>
              <w:spacing w:before="20" w:after="20"/>
              <w:ind w:right="324"/>
              <w:jc w:val="right"/>
              <w:rPr>
                <w:rFonts w:cstheme="minorHAnsi"/>
                <w:sz w:val="20"/>
                <w:szCs w:val="20"/>
              </w:rPr>
            </w:pPr>
            <w:r w:rsidRPr="007D2274">
              <w:rPr>
                <w:rFonts w:cstheme="minorHAnsi"/>
                <w:sz w:val="20"/>
                <w:szCs w:val="20"/>
              </w:rPr>
              <w:t>0.6</w:t>
            </w:r>
          </w:p>
        </w:tc>
      </w:tr>
      <w:tr w:rsidR="00685BE5" w:rsidRPr="00B90E88" w:rsidTr="00AE4C3A">
        <w:tc>
          <w:tcPr>
            <w:tcW w:w="5848" w:type="dxa"/>
            <w:tcBorders>
              <w:top w:val="nil"/>
              <w:left w:val="nil"/>
              <w:bottom w:val="nil"/>
              <w:right w:val="nil"/>
            </w:tcBorders>
            <w:shd w:val="clear" w:color="auto" w:fill="auto"/>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 xml:space="preserve">Children’s </w:t>
            </w:r>
            <w:r>
              <w:rPr>
                <w:rFonts w:cstheme="minorHAnsi"/>
                <w:sz w:val="20"/>
                <w:szCs w:val="20"/>
              </w:rPr>
              <w:t>s</w:t>
            </w:r>
            <w:r w:rsidRPr="007D2274">
              <w:rPr>
                <w:rFonts w:cstheme="minorHAnsi"/>
                <w:sz w:val="20"/>
                <w:szCs w:val="20"/>
              </w:rPr>
              <w:t>ervices</w:t>
            </w:r>
          </w:p>
        </w:tc>
        <w:tc>
          <w:tcPr>
            <w:tcW w:w="1299" w:type="dxa"/>
            <w:tcBorders>
              <w:top w:val="nil"/>
              <w:left w:val="nil"/>
              <w:bottom w:val="nil"/>
              <w:right w:val="nil"/>
            </w:tcBorders>
            <w:shd w:val="clear" w:color="auto" w:fill="auto"/>
            <w:vAlign w:val="bottom"/>
            <w:hideMark/>
          </w:tcPr>
          <w:p w:rsidR="00685BE5" w:rsidRPr="007D2274" w:rsidRDefault="00685BE5" w:rsidP="00AE4C3A">
            <w:pPr>
              <w:tabs>
                <w:tab w:val="decimal" w:pos="607"/>
              </w:tabs>
              <w:spacing w:before="20" w:after="20"/>
              <w:ind w:right="324"/>
              <w:jc w:val="right"/>
              <w:rPr>
                <w:rFonts w:cstheme="minorHAnsi"/>
                <w:sz w:val="20"/>
                <w:szCs w:val="20"/>
              </w:rPr>
            </w:pPr>
            <w:r w:rsidRPr="007D2274">
              <w:rPr>
                <w:rFonts w:cstheme="minorHAnsi"/>
                <w:sz w:val="20"/>
                <w:szCs w:val="20"/>
              </w:rPr>
              <w:t>1.8</w:t>
            </w:r>
          </w:p>
        </w:tc>
        <w:tc>
          <w:tcPr>
            <w:tcW w:w="1373" w:type="dxa"/>
            <w:tcBorders>
              <w:top w:val="nil"/>
              <w:left w:val="nil"/>
              <w:bottom w:val="nil"/>
              <w:right w:val="nil"/>
            </w:tcBorders>
            <w:shd w:val="clear" w:color="auto" w:fill="auto"/>
            <w:vAlign w:val="bottom"/>
            <w:hideMark/>
          </w:tcPr>
          <w:p w:rsidR="00685BE5" w:rsidRPr="007D2274" w:rsidRDefault="00685BE5" w:rsidP="00AE4C3A">
            <w:pPr>
              <w:tabs>
                <w:tab w:val="decimal" w:pos="607"/>
              </w:tabs>
              <w:spacing w:before="20" w:after="20"/>
              <w:ind w:right="324"/>
              <w:jc w:val="right"/>
              <w:rPr>
                <w:rFonts w:cstheme="minorHAnsi"/>
                <w:sz w:val="20"/>
                <w:szCs w:val="20"/>
              </w:rPr>
            </w:pPr>
            <w:r w:rsidRPr="007D2274">
              <w:rPr>
                <w:rFonts w:cstheme="minorHAnsi"/>
                <w:sz w:val="20"/>
                <w:szCs w:val="20"/>
              </w:rPr>
              <w:t>1.5</w:t>
            </w:r>
          </w:p>
        </w:tc>
      </w:tr>
      <w:tr w:rsidR="00685BE5" w:rsidRPr="00B90E88" w:rsidTr="00AE4C3A">
        <w:tc>
          <w:tcPr>
            <w:tcW w:w="5848" w:type="dxa"/>
            <w:tcBorders>
              <w:top w:val="nil"/>
              <w:left w:val="nil"/>
              <w:bottom w:val="nil"/>
              <w:right w:val="nil"/>
            </w:tcBorders>
            <w:shd w:val="clear" w:color="auto" w:fill="auto"/>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 xml:space="preserve">Allied </w:t>
            </w:r>
            <w:r>
              <w:rPr>
                <w:rFonts w:cstheme="minorHAnsi"/>
                <w:sz w:val="20"/>
                <w:szCs w:val="20"/>
              </w:rPr>
              <w:t>h</w:t>
            </w:r>
            <w:r w:rsidRPr="007D2274">
              <w:rPr>
                <w:rFonts w:cstheme="minorHAnsi"/>
                <w:sz w:val="20"/>
                <w:szCs w:val="20"/>
              </w:rPr>
              <w:t xml:space="preserve">ealth (e.g. </w:t>
            </w:r>
            <w:r>
              <w:rPr>
                <w:rFonts w:cstheme="minorHAnsi"/>
                <w:sz w:val="20"/>
                <w:szCs w:val="20"/>
              </w:rPr>
              <w:t>p</w:t>
            </w:r>
            <w:r w:rsidRPr="007D2274">
              <w:rPr>
                <w:rFonts w:cstheme="minorHAnsi"/>
                <w:sz w:val="20"/>
                <w:szCs w:val="20"/>
              </w:rPr>
              <w:t xml:space="preserve">hysiotherapy, </w:t>
            </w:r>
            <w:r>
              <w:rPr>
                <w:rFonts w:cstheme="minorHAnsi"/>
                <w:sz w:val="20"/>
                <w:szCs w:val="20"/>
              </w:rPr>
              <w:t>p</w:t>
            </w:r>
            <w:r w:rsidRPr="007D2274">
              <w:rPr>
                <w:rFonts w:cstheme="minorHAnsi"/>
                <w:sz w:val="20"/>
                <w:szCs w:val="20"/>
              </w:rPr>
              <w:t xml:space="preserve">odiatry, </w:t>
            </w:r>
            <w:r>
              <w:rPr>
                <w:rFonts w:cstheme="minorHAnsi"/>
                <w:sz w:val="20"/>
                <w:szCs w:val="20"/>
              </w:rPr>
              <w:t>s</w:t>
            </w:r>
            <w:r w:rsidRPr="007D2274">
              <w:rPr>
                <w:rFonts w:cstheme="minorHAnsi"/>
                <w:sz w:val="20"/>
                <w:szCs w:val="20"/>
              </w:rPr>
              <w:t xml:space="preserve">peech </w:t>
            </w:r>
            <w:r>
              <w:rPr>
                <w:rFonts w:cstheme="minorHAnsi"/>
                <w:sz w:val="20"/>
                <w:szCs w:val="20"/>
              </w:rPr>
              <w:t>t</w:t>
            </w:r>
            <w:r w:rsidRPr="007D2274">
              <w:rPr>
                <w:rFonts w:cstheme="minorHAnsi"/>
                <w:sz w:val="20"/>
                <w:szCs w:val="20"/>
              </w:rPr>
              <w:t>herapy)</w:t>
            </w:r>
          </w:p>
        </w:tc>
        <w:tc>
          <w:tcPr>
            <w:tcW w:w="1299" w:type="dxa"/>
            <w:tcBorders>
              <w:top w:val="nil"/>
              <w:left w:val="nil"/>
              <w:bottom w:val="nil"/>
              <w:right w:val="nil"/>
            </w:tcBorders>
            <w:shd w:val="clear" w:color="auto" w:fill="auto"/>
            <w:vAlign w:val="bottom"/>
            <w:hideMark/>
          </w:tcPr>
          <w:p w:rsidR="00685BE5" w:rsidRPr="007D2274" w:rsidRDefault="00685BE5" w:rsidP="00AE4C3A">
            <w:pPr>
              <w:tabs>
                <w:tab w:val="decimal" w:pos="607"/>
              </w:tabs>
              <w:spacing w:before="20" w:after="20"/>
              <w:ind w:right="324"/>
              <w:jc w:val="right"/>
              <w:rPr>
                <w:rFonts w:cstheme="minorHAnsi"/>
                <w:sz w:val="20"/>
                <w:szCs w:val="20"/>
              </w:rPr>
            </w:pPr>
            <w:r w:rsidRPr="007D2274">
              <w:rPr>
                <w:rFonts w:cstheme="minorHAnsi"/>
                <w:sz w:val="20"/>
                <w:szCs w:val="20"/>
              </w:rPr>
              <w:t>11.0</w:t>
            </w:r>
          </w:p>
        </w:tc>
        <w:tc>
          <w:tcPr>
            <w:tcW w:w="1373" w:type="dxa"/>
            <w:tcBorders>
              <w:top w:val="nil"/>
              <w:left w:val="nil"/>
              <w:bottom w:val="nil"/>
              <w:right w:val="nil"/>
            </w:tcBorders>
            <w:shd w:val="clear" w:color="auto" w:fill="auto"/>
            <w:vAlign w:val="bottom"/>
            <w:hideMark/>
          </w:tcPr>
          <w:p w:rsidR="00685BE5" w:rsidRPr="007D2274" w:rsidRDefault="00685BE5" w:rsidP="00AE4C3A">
            <w:pPr>
              <w:tabs>
                <w:tab w:val="decimal" w:pos="607"/>
              </w:tabs>
              <w:spacing w:before="20" w:after="20"/>
              <w:ind w:right="324"/>
              <w:jc w:val="right"/>
              <w:rPr>
                <w:rFonts w:cstheme="minorHAnsi"/>
                <w:sz w:val="20"/>
                <w:szCs w:val="20"/>
              </w:rPr>
            </w:pPr>
            <w:r w:rsidRPr="007D2274">
              <w:rPr>
                <w:rFonts w:cstheme="minorHAnsi"/>
                <w:sz w:val="20"/>
                <w:szCs w:val="20"/>
              </w:rPr>
              <w:t>11.3</w:t>
            </w:r>
          </w:p>
        </w:tc>
      </w:tr>
      <w:tr w:rsidR="00685BE5" w:rsidRPr="00B90E88" w:rsidTr="00AE4C3A">
        <w:tc>
          <w:tcPr>
            <w:tcW w:w="5848" w:type="dxa"/>
            <w:tcBorders>
              <w:top w:val="nil"/>
              <w:left w:val="nil"/>
              <w:bottom w:val="nil"/>
              <w:right w:val="nil"/>
            </w:tcBorders>
            <w:shd w:val="clear" w:color="auto" w:fill="auto"/>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Administration</w:t>
            </w:r>
          </w:p>
        </w:tc>
        <w:tc>
          <w:tcPr>
            <w:tcW w:w="1299" w:type="dxa"/>
            <w:tcBorders>
              <w:top w:val="nil"/>
              <w:left w:val="nil"/>
              <w:bottom w:val="nil"/>
              <w:right w:val="nil"/>
            </w:tcBorders>
            <w:shd w:val="clear" w:color="auto" w:fill="auto"/>
            <w:vAlign w:val="bottom"/>
            <w:hideMark/>
          </w:tcPr>
          <w:p w:rsidR="00685BE5" w:rsidRPr="007D2274" w:rsidRDefault="00685BE5" w:rsidP="00AE4C3A">
            <w:pPr>
              <w:tabs>
                <w:tab w:val="decimal" w:pos="607"/>
              </w:tabs>
              <w:spacing w:before="20" w:after="20"/>
              <w:ind w:right="324"/>
              <w:jc w:val="right"/>
              <w:rPr>
                <w:rFonts w:cstheme="minorHAnsi"/>
                <w:sz w:val="20"/>
                <w:szCs w:val="20"/>
              </w:rPr>
            </w:pPr>
            <w:r w:rsidRPr="007D2274">
              <w:rPr>
                <w:rFonts w:cstheme="minorHAnsi"/>
                <w:sz w:val="20"/>
                <w:szCs w:val="20"/>
              </w:rPr>
              <w:t>1.5</w:t>
            </w:r>
          </w:p>
        </w:tc>
        <w:tc>
          <w:tcPr>
            <w:tcW w:w="1373" w:type="dxa"/>
            <w:tcBorders>
              <w:top w:val="nil"/>
              <w:left w:val="nil"/>
              <w:bottom w:val="nil"/>
              <w:right w:val="nil"/>
            </w:tcBorders>
            <w:shd w:val="clear" w:color="auto" w:fill="auto"/>
            <w:vAlign w:val="bottom"/>
            <w:hideMark/>
          </w:tcPr>
          <w:p w:rsidR="00685BE5" w:rsidRPr="007D2274" w:rsidRDefault="00685BE5" w:rsidP="00AE4C3A">
            <w:pPr>
              <w:tabs>
                <w:tab w:val="decimal" w:pos="607"/>
              </w:tabs>
              <w:spacing w:before="20" w:after="20"/>
              <w:ind w:right="324"/>
              <w:jc w:val="right"/>
              <w:rPr>
                <w:rFonts w:cstheme="minorHAnsi"/>
                <w:sz w:val="20"/>
                <w:szCs w:val="20"/>
              </w:rPr>
            </w:pPr>
            <w:r w:rsidRPr="007D2274">
              <w:rPr>
                <w:rFonts w:cstheme="minorHAnsi"/>
                <w:sz w:val="20"/>
                <w:szCs w:val="20"/>
              </w:rPr>
              <w:t>1.7</w:t>
            </w:r>
          </w:p>
        </w:tc>
      </w:tr>
      <w:tr w:rsidR="00685BE5" w:rsidRPr="00B90E88" w:rsidTr="00AE4C3A">
        <w:tc>
          <w:tcPr>
            <w:tcW w:w="5848" w:type="dxa"/>
            <w:tcBorders>
              <w:top w:val="nil"/>
              <w:left w:val="nil"/>
              <w:bottom w:val="nil"/>
              <w:right w:val="nil"/>
            </w:tcBorders>
            <w:shd w:val="clear" w:color="auto" w:fill="auto"/>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Business/</w:t>
            </w:r>
            <w:r>
              <w:rPr>
                <w:rFonts w:cstheme="minorHAnsi"/>
                <w:sz w:val="20"/>
                <w:szCs w:val="20"/>
              </w:rPr>
              <w:t>b</w:t>
            </w:r>
            <w:r w:rsidRPr="007D2274">
              <w:rPr>
                <w:rFonts w:cstheme="minorHAnsi"/>
                <w:sz w:val="20"/>
                <w:szCs w:val="20"/>
              </w:rPr>
              <w:t xml:space="preserve">usiness </w:t>
            </w:r>
            <w:r>
              <w:rPr>
                <w:rFonts w:cstheme="minorHAnsi"/>
                <w:sz w:val="20"/>
                <w:szCs w:val="20"/>
              </w:rPr>
              <w:t>m</w:t>
            </w:r>
            <w:r w:rsidRPr="007D2274">
              <w:rPr>
                <w:rFonts w:cstheme="minorHAnsi"/>
                <w:sz w:val="20"/>
                <w:szCs w:val="20"/>
              </w:rPr>
              <w:t>anagement</w:t>
            </w:r>
          </w:p>
        </w:tc>
        <w:tc>
          <w:tcPr>
            <w:tcW w:w="1299" w:type="dxa"/>
            <w:tcBorders>
              <w:top w:val="nil"/>
              <w:left w:val="nil"/>
              <w:bottom w:val="nil"/>
              <w:right w:val="nil"/>
            </w:tcBorders>
            <w:shd w:val="clear" w:color="auto" w:fill="auto"/>
            <w:vAlign w:val="bottom"/>
            <w:hideMark/>
          </w:tcPr>
          <w:p w:rsidR="00685BE5" w:rsidRPr="007D2274" w:rsidRDefault="00685BE5" w:rsidP="00AE4C3A">
            <w:pPr>
              <w:tabs>
                <w:tab w:val="decimal" w:pos="607"/>
              </w:tabs>
              <w:spacing w:before="20" w:after="20"/>
              <w:ind w:right="324"/>
              <w:jc w:val="right"/>
              <w:rPr>
                <w:rFonts w:cstheme="minorHAnsi"/>
                <w:sz w:val="20"/>
                <w:szCs w:val="20"/>
              </w:rPr>
            </w:pPr>
            <w:r w:rsidRPr="007D2274">
              <w:rPr>
                <w:rFonts w:cstheme="minorHAnsi"/>
                <w:sz w:val="20"/>
                <w:szCs w:val="20"/>
              </w:rPr>
              <w:t>5.0</w:t>
            </w:r>
          </w:p>
        </w:tc>
        <w:tc>
          <w:tcPr>
            <w:tcW w:w="1373" w:type="dxa"/>
            <w:tcBorders>
              <w:top w:val="nil"/>
              <w:left w:val="nil"/>
              <w:bottom w:val="nil"/>
              <w:right w:val="nil"/>
            </w:tcBorders>
            <w:shd w:val="clear" w:color="auto" w:fill="auto"/>
            <w:vAlign w:val="bottom"/>
            <w:hideMark/>
          </w:tcPr>
          <w:p w:rsidR="00685BE5" w:rsidRPr="007D2274" w:rsidRDefault="00685BE5" w:rsidP="00AE4C3A">
            <w:pPr>
              <w:tabs>
                <w:tab w:val="decimal" w:pos="607"/>
              </w:tabs>
              <w:spacing w:before="20" w:after="20"/>
              <w:ind w:right="324"/>
              <w:jc w:val="right"/>
              <w:rPr>
                <w:rFonts w:cstheme="minorHAnsi"/>
                <w:sz w:val="20"/>
                <w:szCs w:val="20"/>
              </w:rPr>
            </w:pPr>
            <w:r w:rsidRPr="007D2274">
              <w:rPr>
                <w:rFonts w:cstheme="minorHAnsi"/>
                <w:sz w:val="20"/>
                <w:szCs w:val="20"/>
              </w:rPr>
              <w:t>3.3</w:t>
            </w:r>
          </w:p>
        </w:tc>
      </w:tr>
      <w:tr w:rsidR="00685BE5" w:rsidRPr="00B90E88" w:rsidTr="00AE4C3A">
        <w:tc>
          <w:tcPr>
            <w:tcW w:w="5848" w:type="dxa"/>
            <w:tcBorders>
              <w:top w:val="nil"/>
              <w:left w:val="nil"/>
              <w:bottom w:val="nil"/>
              <w:right w:val="nil"/>
            </w:tcBorders>
            <w:shd w:val="clear" w:color="auto" w:fill="auto"/>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Law/</w:t>
            </w:r>
            <w:r>
              <w:rPr>
                <w:rFonts w:cstheme="minorHAnsi"/>
                <w:sz w:val="20"/>
                <w:szCs w:val="20"/>
              </w:rPr>
              <w:t>l</w:t>
            </w:r>
            <w:r w:rsidRPr="007D2274">
              <w:rPr>
                <w:rFonts w:cstheme="minorHAnsi"/>
                <w:sz w:val="20"/>
                <w:szCs w:val="20"/>
              </w:rPr>
              <w:t xml:space="preserve">egal </w:t>
            </w:r>
            <w:r>
              <w:rPr>
                <w:rFonts w:cstheme="minorHAnsi"/>
                <w:sz w:val="20"/>
                <w:szCs w:val="20"/>
              </w:rPr>
              <w:t>s</w:t>
            </w:r>
            <w:r w:rsidRPr="007D2274">
              <w:rPr>
                <w:rFonts w:cstheme="minorHAnsi"/>
                <w:sz w:val="20"/>
                <w:szCs w:val="20"/>
              </w:rPr>
              <w:t>tudies</w:t>
            </w:r>
          </w:p>
        </w:tc>
        <w:tc>
          <w:tcPr>
            <w:tcW w:w="1299" w:type="dxa"/>
            <w:tcBorders>
              <w:top w:val="nil"/>
              <w:left w:val="nil"/>
              <w:bottom w:val="nil"/>
              <w:right w:val="nil"/>
            </w:tcBorders>
            <w:shd w:val="clear" w:color="auto" w:fill="auto"/>
            <w:vAlign w:val="bottom"/>
            <w:hideMark/>
          </w:tcPr>
          <w:p w:rsidR="00685BE5" w:rsidRPr="007D2274" w:rsidRDefault="00685BE5" w:rsidP="00AE4C3A">
            <w:pPr>
              <w:tabs>
                <w:tab w:val="decimal" w:pos="607"/>
              </w:tabs>
              <w:spacing w:before="20" w:after="20"/>
              <w:ind w:right="324"/>
              <w:jc w:val="right"/>
              <w:rPr>
                <w:rFonts w:cstheme="minorHAnsi"/>
                <w:sz w:val="20"/>
                <w:szCs w:val="20"/>
              </w:rPr>
            </w:pPr>
            <w:r w:rsidRPr="007D2274">
              <w:rPr>
                <w:rFonts w:cstheme="minorHAnsi"/>
                <w:sz w:val="20"/>
                <w:szCs w:val="20"/>
              </w:rPr>
              <w:t>0.5</w:t>
            </w:r>
          </w:p>
        </w:tc>
        <w:tc>
          <w:tcPr>
            <w:tcW w:w="1373" w:type="dxa"/>
            <w:tcBorders>
              <w:top w:val="nil"/>
              <w:left w:val="nil"/>
              <w:bottom w:val="nil"/>
              <w:right w:val="nil"/>
            </w:tcBorders>
            <w:shd w:val="clear" w:color="auto" w:fill="auto"/>
            <w:vAlign w:val="bottom"/>
            <w:hideMark/>
          </w:tcPr>
          <w:p w:rsidR="00685BE5" w:rsidRPr="007D2274" w:rsidRDefault="00685BE5" w:rsidP="00AE4C3A">
            <w:pPr>
              <w:tabs>
                <w:tab w:val="decimal" w:pos="607"/>
              </w:tabs>
              <w:spacing w:before="20" w:after="20"/>
              <w:ind w:right="324"/>
              <w:jc w:val="right"/>
              <w:rPr>
                <w:rFonts w:cstheme="minorHAnsi"/>
                <w:sz w:val="20"/>
                <w:szCs w:val="20"/>
              </w:rPr>
            </w:pPr>
            <w:r w:rsidRPr="007D2274">
              <w:rPr>
                <w:rFonts w:cstheme="minorHAnsi"/>
                <w:sz w:val="20"/>
                <w:szCs w:val="20"/>
              </w:rPr>
              <w:t>0.3</w:t>
            </w:r>
          </w:p>
        </w:tc>
      </w:tr>
      <w:tr w:rsidR="00685BE5" w:rsidRPr="00B90E88" w:rsidTr="00AE4C3A">
        <w:tc>
          <w:tcPr>
            <w:tcW w:w="5848" w:type="dxa"/>
            <w:tcBorders>
              <w:top w:val="nil"/>
              <w:left w:val="nil"/>
              <w:bottom w:val="nil"/>
              <w:right w:val="nil"/>
            </w:tcBorders>
            <w:shd w:val="clear" w:color="auto" w:fill="auto"/>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Information Technology</w:t>
            </w:r>
          </w:p>
        </w:tc>
        <w:tc>
          <w:tcPr>
            <w:tcW w:w="1299" w:type="dxa"/>
            <w:tcBorders>
              <w:top w:val="nil"/>
              <w:left w:val="nil"/>
              <w:bottom w:val="nil"/>
              <w:right w:val="nil"/>
            </w:tcBorders>
            <w:shd w:val="clear" w:color="auto" w:fill="auto"/>
            <w:vAlign w:val="bottom"/>
            <w:hideMark/>
          </w:tcPr>
          <w:p w:rsidR="00685BE5" w:rsidRPr="007D2274" w:rsidRDefault="00685BE5" w:rsidP="00AE4C3A">
            <w:pPr>
              <w:tabs>
                <w:tab w:val="decimal" w:pos="607"/>
              </w:tabs>
              <w:spacing w:before="20" w:after="20"/>
              <w:ind w:right="324"/>
              <w:jc w:val="right"/>
              <w:rPr>
                <w:rFonts w:cstheme="minorHAnsi"/>
                <w:sz w:val="20"/>
                <w:szCs w:val="20"/>
              </w:rPr>
            </w:pPr>
            <w:r w:rsidRPr="007D2274">
              <w:rPr>
                <w:rFonts w:cstheme="minorHAnsi"/>
                <w:sz w:val="20"/>
                <w:szCs w:val="20"/>
              </w:rPr>
              <w:t>0.4</w:t>
            </w:r>
          </w:p>
        </w:tc>
        <w:tc>
          <w:tcPr>
            <w:tcW w:w="1373" w:type="dxa"/>
            <w:tcBorders>
              <w:top w:val="nil"/>
              <w:left w:val="nil"/>
              <w:bottom w:val="nil"/>
              <w:right w:val="nil"/>
            </w:tcBorders>
            <w:shd w:val="clear" w:color="auto" w:fill="auto"/>
            <w:vAlign w:val="bottom"/>
            <w:hideMark/>
          </w:tcPr>
          <w:p w:rsidR="00685BE5" w:rsidRPr="007D2274" w:rsidRDefault="00685BE5" w:rsidP="00AE4C3A">
            <w:pPr>
              <w:tabs>
                <w:tab w:val="decimal" w:pos="607"/>
              </w:tabs>
              <w:spacing w:before="20" w:after="20"/>
              <w:ind w:right="324"/>
              <w:jc w:val="right"/>
              <w:rPr>
                <w:rFonts w:cstheme="minorHAnsi"/>
                <w:sz w:val="20"/>
                <w:szCs w:val="20"/>
              </w:rPr>
            </w:pPr>
            <w:r w:rsidRPr="007D2274">
              <w:rPr>
                <w:rFonts w:cstheme="minorHAnsi"/>
                <w:sz w:val="20"/>
                <w:szCs w:val="20"/>
              </w:rPr>
              <w:t>0.3</w:t>
            </w:r>
          </w:p>
        </w:tc>
      </w:tr>
      <w:tr w:rsidR="00685BE5" w:rsidRPr="00B90E88" w:rsidTr="00AE4C3A">
        <w:tc>
          <w:tcPr>
            <w:tcW w:w="5848" w:type="dxa"/>
            <w:tcBorders>
              <w:top w:val="nil"/>
              <w:left w:val="nil"/>
              <w:bottom w:val="nil"/>
              <w:right w:val="nil"/>
            </w:tcBorders>
            <w:shd w:val="clear" w:color="auto" w:fill="auto"/>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Other</w:t>
            </w:r>
          </w:p>
        </w:tc>
        <w:tc>
          <w:tcPr>
            <w:tcW w:w="1299" w:type="dxa"/>
            <w:tcBorders>
              <w:top w:val="nil"/>
              <w:left w:val="nil"/>
              <w:bottom w:val="nil"/>
              <w:right w:val="nil"/>
            </w:tcBorders>
            <w:shd w:val="clear" w:color="auto" w:fill="auto"/>
            <w:vAlign w:val="bottom"/>
            <w:hideMark/>
          </w:tcPr>
          <w:p w:rsidR="00685BE5" w:rsidRPr="007D2274" w:rsidRDefault="00685BE5" w:rsidP="00AE4C3A">
            <w:pPr>
              <w:tabs>
                <w:tab w:val="decimal" w:pos="607"/>
              </w:tabs>
              <w:spacing w:before="20" w:after="20"/>
              <w:ind w:right="324"/>
              <w:jc w:val="right"/>
              <w:rPr>
                <w:rFonts w:cstheme="minorHAnsi"/>
                <w:sz w:val="20"/>
                <w:szCs w:val="20"/>
              </w:rPr>
            </w:pPr>
            <w:r w:rsidRPr="007D2274">
              <w:rPr>
                <w:rFonts w:cstheme="minorHAnsi"/>
                <w:sz w:val="20"/>
                <w:szCs w:val="20"/>
              </w:rPr>
              <w:t>13.8</w:t>
            </w:r>
          </w:p>
        </w:tc>
        <w:tc>
          <w:tcPr>
            <w:tcW w:w="1373" w:type="dxa"/>
            <w:tcBorders>
              <w:top w:val="nil"/>
              <w:left w:val="nil"/>
              <w:bottom w:val="nil"/>
              <w:right w:val="nil"/>
            </w:tcBorders>
            <w:shd w:val="clear" w:color="auto" w:fill="auto"/>
            <w:vAlign w:val="bottom"/>
            <w:hideMark/>
          </w:tcPr>
          <w:p w:rsidR="00685BE5" w:rsidRPr="007D2274" w:rsidRDefault="00685BE5" w:rsidP="00AE4C3A">
            <w:pPr>
              <w:tabs>
                <w:tab w:val="decimal" w:pos="607"/>
              </w:tabs>
              <w:spacing w:before="20" w:after="20"/>
              <w:ind w:right="324"/>
              <w:jc w:val="right"/>
              <w:rPr>
                <w:rFonts w:cstheme="minorHAnsi"/>
                <w:sz w:val="20"/>
                <w:szCs w:val="20"/>
              </w:rPr>
            </w:pPr>
            <w:r w:rsidRPr="007D2274">
              <w:rPr>
                <w:rFonts w:cstheme="minorHAnsi"/>
                <w:sz w:val="20"/>
                <w:szCs w:val="20"/>
              </w:rPr>
              <w:t>7.7</w:t>
            </w:r>
          </w:p>
        </w:tc>
      </w:tr>
      <w:tr w:rsidR="00685BE5" w:rsidRPr="00B90E88" w:rsidTr="00AE4C3A">
        <w:tc>
          <w:tcPr>
            <w:tcW w:w="5848" w:type="dxa"/>
            <w:tcBorders>
              <w:top w:val="nil"/>
              <w:left w:val="nil"/>
              <w:bottom w:val="nil"/>
              <w:right w:val="nil"/>
            </w:tcBorders>
            <w:shd w:val="clear" w:color="auto" w:fill="auto"/>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 xml:space="preserve">Question not answered </w:t>
            </w:r>
          </w:p>
        </w:tc>
        <w:tc>
          <w:tcPr>
            <w:tcW w:w="1299" w:type="dxa"/>
            <w:tcBorders>
              <w:top w:val="nil"/>
              <w:left w:val="nil"/>
              <w:bottom w:val="nil"/>
              <w:right w:val="nil"/>
            </w:tcBorders>
            <w:shd w:val="clear" w:color="auto" w:fill="auto"/>
            <w:vAlign w:val="bottom"/>
            <w:hideMark/>
          </w:tcPr>
          <w:p w:rsidR="00685BE5" w:rsidRPr="007D2274" w:rsidRDefault="00685BE5" w:rsidP="00AE4C3A">
            <w:pPr>
              <w:tabs>
                <w:tab w:val="decimal" w:pos="607"/>
              </w:tabs>
              <w:spacing w:before="20" w:after="20"/>
              <w:ind w:right="324"/>
              <w:jc w:val="right"/>
              <w:rPr>
                <w:rFonts w:cstheme="minorHAnsi"/>
                <w:sz w:val="20"/>
                <w:szCs w:val="20"/>
              </w:rPr>
            </w:pPr>
            <w:r w:rsidRPr="007D2274">
              <w:rPr>
                <w:rFonts w:cstheme="minorHAnsi"/>
                <w:sz w:val="20"/>
                <w:szCs w:val="20"/>
              </w:rPr>
              <w:t>8.6</w:t>
            </w:r>
          </w:p>
        </w:tc>
        <w:tc>
          <w:tcPr>
            <w:tcW w:w="1373" w:type="dxa"/>
            <w:tcBorders>
              <w:top w:val="nil"/>
              <w:left w:val="nil"/>
              <w:bottom w:val="nil"/>
              <w:right w:val="nil"/>
            </w:tcBorders>
            <w:shd w:val="clear" w:color="auto" w:fill="auto"/>
            <w:vAlign w:val="bottom"/>
            <w:hideMark/>
          </w:tcPr>
          <w:p w:rsidR="00685BE5" w:rsidRPr="007D2274" w:rsidRDefault="00685BE5" w:rsidP="00AE4C3A">
            <w:pPr>
              <w:tabs>
                <w:tab w:val="decimal" w:pos="607"/>
              </w:tabs>
              <w:spacing w:before="20" w:after="20"/>
              <w:ind w:right="324"/>
              <w:jc w:val="right"/>
              <w:rPr>
                <w:rFonts w:cstheme="minorHAnsi"/>
                <w:sz w:val="20"/>
                <w:szCs w:val="20"/>
              </w:rPr>
            </w:pPr>
            <w:r w:rsidRPr="007D2274">
              <w:rPr>
                <w:rFonts w:cstheme="minorHAnsi"/>
                <w:sz w:val="20"/>
                <w:szCs w:val="20"/>
              </w:rPr>
              <w:t>5.9</w:t>
            </w:r>
          </w:p>
        </w:tc>
      </w:tr>
      <w:tr w:rsidR="00685BE5" w:rsidRPr="00B90E88" w:rsidTr="00AE4C3A">
        <w:tc>
          <w:tcPr>
            <w:tcW w:w="5848" w:type="dxa"/>
            <w:tcBorders>
              <w:top w:val="nil"/>
              <w:left w:val="nil"/>
              <w:bottom w:val="single" w:sz="4" w:space="0" w:color="auto"/>
              <w:right w:val="nil"/>
            </w:tcBorders>
            <w:shd w:val="clear" w:color="auto" w:fill="auto"/>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Not applicable</w:t>
            </w:r>
          </w:p>
        </w:tc>
        <w:tc>
          <w:tcPr>
            <w:tcW w:w="1299" w:type="dxa"/>
            <w:tcBorders>
              <w:top w:val="nil"/>
              <w:left w:val="nil"/>
              <w:bottom w:val="single" w:sz="4" w:space="0" w:color="auto"/>
              <w:right w:val="nil"/>
            </w:tcBorders>
            <w:shd w:val="clear" w:color="auto" w:fill="auto"/>
            <w:vAlign w:val="bottom"/>
            <w:hideMark/>
          </w:tcPr>
          <w:p w:rsidR="00685BE5" w:rsidRPr="007D2274" w:rsidRDefault="00685BE5" w:rsidP="00AE4C3A">
            <w:pPr>
              <w:tabs>
                <w:tab w:val="decimal" w:pos="607"/>
              </w:tabs>
              <w:spacing w:before="20" w:after="20"/>
              <w:ind w:right="324"/>
              <w:jc w:val="right"/>
              <w:rPr>
                <w:rFonts w:cstheme="minorHAnsi"/>
                <w:sz w:val="20"/>
                <w:szCs w:val="20"/>
              </w:rPr>
            </w:pPr>
            <w:r w:rsidRPr="007D2274">
              <w:rPr>
                <w:rFonts w:cstheme="minorHAnsi"/>
                <w:sz w:val="20"/>
                <w:szCs w:val="20"/>
              </w:rPr>
              <w:t>6.2</w:t>
            </w:r>
          </w:p>
        </w:tc>
        <w:tc>
          <w:tcPr>
            <w:tcW w:w="1373" w:type="dxa"/>
            <w:tcBorders>
              <w:top w:val="nil"/>
              <w:left w:val="nil"/>
              <w:bottom w:val="single" w:sz="4" w:space="0" w:color="auto"/>
              <w:right w:val="nil"/>
            </w:tcBorders>
            <w:shd w:val="clear" w:color="auto" w:fill="auto"/>
            <w:vAlign w:val="bottom"/>
            <w:hideMark/>
          </w:tcPr>
          <w:p w:rsidR="00685BE5" w:rsidRPr="007D2274" w:rsidRDefault="00685BE5" w:rsidP="00AE4C3A">
            <w:pPr>
              <w:tabs>
                <w:tab w:val="decimal" w:pos="607"/>
              </w:tabs>
              <w:spacing w:before="20" w:after="20"/>
              <w:ind w:right="324"/>
              <w:jc w:val="right"/>
              <w:rPr>
                <w:rFonts w:cstheme="minorHAnsi"/>
                <w:sz w:val="20"/>
                <w:szCs w:val="20"/>
              </w:rPr>
            </w:pPr>
            <w:r w:rsidRPr="007D2274">
              <w:rPr>
                <w:rFonts w:cstheme="minorHAnsi"/>
                <w:sz w:val="20"/>
                <w:szCs w:val="20"/>
              </w:rPr>
              <w:t>6.0</w:t>
            </w:r>
          </w:p>
        </w:tc>
      </w:tr>
      <w:tr w:rsidR="00685BE5" w:rsidRPr="00E84C9F" w:rsidTr="00AE4C3A">
        <w:tc>
          <w:tcPr>
            <w:tcW w:w="5848" w:type="dxa"/>
            <w:tcBorders>
              <w:top w:val="single" w:sz="4" w:space="0" w:color="auto"/>
              <w:left w:val="nil"/>
              <w:bottom w:val="single" w:sz="4" w:space="0" w:color="auto"/>
              <w:right w:val="nil"/>
            </w:tcBorders>
            <w:shd w:val="clear" w:color="auto" w:fill="auto"/>
            <w:vAlign w:val="bottom"/>
            <w:hideMark/>
          </w:tcPr>
          <w:p w:rsidR="00685BE5" w:rsidRPr="00E3331B" w:rsidRDefault="00685BE5" w:rsidP="00AE4C3A">
            <w:pPr>
              <w:spacing w:before="20" w:after="20"/>
              <w:rPr>
                <w:rFonts w:cstheme="minorHAnsi"/>
                <w:b/>
                <w:sz w:val="20"/>
                <w:szCs w:val="20"/>
              </w:rPr>
            </w:pPr>
            <w:r w:rsidRPr="00E3331B">
              <w:rPr>
                <w:rFonts w:cstheme="minorHAnsi"/>
                <w:b/>
                <w:sz w:val="20"/>
                <w:szCs w:val="20"/>
              </w:rPr>
              <w:t>Total (N=2</w:t>
            </w:r>
            <w:r>
              <w:rPr>
                <w:rFonts w:cstheme="minorHAnsi"/>
                <w:b/>
                <w:sz w:val="20"/>
                <w:szCs w:val="20"/>
              </w:rPr>
              <w:t>,</w:t>
            </w:r>
            <w:r w:rsidRPr="00E3331B">
              <w:rPr>
                <w:rFonts w:cstheme="minorHAnsi"/>
                <w:b/>
                <w:sz w:val="20"/>
                <w:szCs w:val="20"/>
              </w:rPr>
              <w:t>133)</w:t>
            </w:r>
          </w:p>
        </w:tc>
        <w:tc>
          <w:tcPr>
            <w:tcW w:w="1299" w:type="dxa"/>
            <w:tcBorders>
              <w:top w:val="single" w:sz="4" w:space="0" w:color="auto"/>
              <w:left w:val="nil"/>
              <w:bottom w:val="single" w:sz="4" w:space="0" w:color="auto"/>
              <w:right w:val="nil"/>
            </w:tcBorders>
            <w:shd w:val="clear" w:color="auto" w:fill="auto"/>
            <w:vAlign w:val="bottom"/>
            <w:hideMark/>
          </w:tcPr>
          <w:p w:rsidR="00685BE5" w:rsidRPr="00E3331B" w:rsidRDefault="00685BE5" w:rsidP="00AE4C3A">
            <w:pPr>
              <w:tabs>
                <w:tab w:val="decimal" w:pos="607"/>
              </w:tabs>
              <w:spacing w:before="20" w:after="20"/>
              <w:ind w:right="324"/>
              <w:jc w:val="right"/>
              <w:rPr>
                <w:rFonts w:cstheme="minorHAnsi"/>
                <w:b/>
                <w:sz w:val="20"/>
                <w:szCs w:val="20"/>
              </w:rPr>
            </w:pPr>
            <w:r w:rsidRPr="00E3331B">
              <w:rPr>
                <w:rFonts w:cstheme="minorHAnsi"/>
                <w:b/>
                <w:sz w:val="20"/>
                <w:szCs w:val="20"/>
              </w:rPr>
              <w:t>100</w:t>
            </w:r>
          </w:p>
        </w:tc>
        <w:tc>
          <w:tcPr>
            <w:tcW w:w="1373" w:type="dxa"/>
            <w:tcBorders>
              <w:top w:val="single" w:sz="4" w:space="0" w:color="auto"/>
              <w:left w:val="nil"/>
              <w:bottom w:val="single" w:sz="4" w:space="0" w:color="auto"/>
              <w:right w:val="nil"/>
            </w:tcBorders>
            <w:shd w:val="clear" w:color="auto" w:fill="auto"/>
            <w:vAlign w:val="bottom"/>
            <w:hideMark/>
          </w:tcPr>
          <w:p w:rsidR="00685BE5" w:rsidRPr="00E3331B" w:rsidRDefault="00685BE5" w:rsidP="00AE4C3A">
            <w:pPr>
              <w:tabs>
                <w:tab w:val="decimal" w:pos="607"/>
              </w:tabs>
              <w:spacing w:before="20" w:after="20"/>
              <w:ind w:right="324"/>
              <w:jc w:val="right"/>
              <w:rPr>
                <w:rFonts w:cstheme="minorHAnsi"/>
                <w:b/>
                <w:sz w:val="20"/>
                <w:szCs w:val="20"/>
              </w:rPr>
            </w:pPr>
            <w:r w:rsidRPr="00E3331B">
              <w:rPr>
                <w:rFonts w:cstheme="minorHAnsi"/>
                <w:b/>
                <w:sz w:val="20"/>
                <w:szCs w:val="20"/>
              </w:rPr>
              <w:t>100</w:t>
            </w:r>
          </w:p>
        </w:tc>
      </w:tr>
    </w:tbl>
    <w:p w:rsidR="00685BE5" w:rsidRPr="005C469C" w:rsidRDefault="00685BE5" w:rsidP="00AE4C3A">
      <w:pPr>
        <w:pStyle w:val="NILSReference"/>
      </w:pPr>
      <w:r w:rsidRPr="005C469C">
        <w:t xml:space="preserve">Source: 2014 NDIS DSP employee survey, Questions A7d and A7e. </w:t>
      </w:r>
    </w:p>
    <w:p w:rsidR="00B92687" w:rsidRDefault="00B92687" w:rsidP="00AE4C3A">
      <w:pPr>
        <w:rPr>
          <w:rFonts w:cstheme="minorHAnsi"/>
        </w:rPr>
      </w:pPr>
    </w:p>
    <w:p w:rsidR="00685BE5" w:rsidRDefault="00685BE5" w:rsidP="00AE4C3A">
      <w:pPr>
        <w:rPr>
          <w:rFonts w:cstheme="minorHAnsi"/>
        </w:rPr>
      </w:pPr>
      <w:r w:rsidRPr="00AB33E3">
        <w:rPr>
          <w:rFonts w:cstheme="minorHAnsi"/>
        </w:rPr>
        <w:t xml:space="preserve">While the formal qualification level of the workforce has already been shown to be high, Table </w:t>
      </w:r>
      <w:r>
        <w:rPr>
          <w:rFonts w:cstheme="minorHAnsi"/>
        </w:rPr>
        <w:t>4.26</w:t>
      </w:r>
      <w:r w:rsidRPr="00AB33E3">
        <w:rPr>
          <w:rFonts w:cstheme="minorHAnsi"/>
        </w:rPr>
        <w:t xml:space="preserve"> indicates that a significant share (2</w:t>
      </w:r>
      <w:r>
        <w:rPr>
          <w:rFonts w:cstheme="minorHAnsi"/>
        </w:rPr>
        <w:t>1</w:t>
      </w:r>
      <w:r w:rsidRPr="00AB33E3">
        <w:rPr>
          <w:rFonts w:cstheme="minorHAnsi"/>
        </w:rPr>
        <w:t xml:space="preserve"> per cent) of employees </w:t>
      </w:r>
      <w:r w:rsidR="00A17155">
        <w:rPr>
          <w:rFonts w:cstheme="minorHAnsi"/>
        </w:rPr>
        <w:t>was</w:t>
      </w:r>
      <w:r w:rsidRPr="00AB33E3">
        <w:rPr>
          <w:rFonts w:cstheme="minorHAnsi"/>
        </w:rPr>
        <w:t xml:space="preserve"> currently studying for further qualifications.</w:t>
      </w:r>
      <w:r>
        <w:rPr>
          <w:rFonts w:cstheme="minorHAnsi"/>
        </w:rPr>
        <w:t xml:space="preserve"> </w:t>
      </w:r>
      <w:r w:rsidRPr="00AB33E3">
        <w:rPr>
          <w:rFonts w:cstheme="minorHAnsi"/>
        </w:rPr>
        <w:t xml:space="preserve">Nearly all of those who are studying (502 employees) </w:t>
      </w:r>
      <w:r>
        <w:rPr>
          <w:rFonts w:cstheme="minorHAnsi"/>
        </w:rPr>
        <w:t>we</w:t>
      </w:r>
      <w:r w:rsidRPr="00AB33E3">
        <w:rPr>
          <w:rFonts w:cstheme="minorHAnsi"/>
        </w:rPr>
        <w:t xml:space="preserve">re undertaking studies at the level of </w:t>
      </w:r>
      <w:r>
        <w:rPr>
          <w:rFonts w:cstheme="minorHAnsi"/>
        </w:rPr>
        <w:t>C</w:t>
      </w:r>
      <w:r w:rsidRPr="00AB33E3">
        <w:rPr>
          <w:rFonts w:cstheme="minorHAnsi"/>
        </w:rPr>
        <w:t>ertificate III or above (</w:t>
      </w:r>
      <w:r>
        <w:rPr>
          <w:rFonts w:cstheme="minorHAnsi"/>
        </w:rPr>
        <w:t>90</w:t>
      </w:r>
      <w:r w:rsidRPr="00AB33E3">
        <w:rPr>
          <w:rFonts w:cstheme="minorHAnsi"/>
        </w:rPr>
        <w:t xml:space="preserve"> per cent), with 33 per cent studying at </w:t>
      </w:r>
      <w:r>
        <w:rPr>
          <w:rFonts w:cstheme="minorHAnsi"/>
        </w:rPr>
        <w:t>B</w:t>
      </w:r>
      <w:r w:rsidRPr="00AB33E3">
        <w:rPr>
          <w:rFonts w:cstheme="minorHAnsi"/>
        </w:rPr>
        <w:t>achelor degree level or above.</w:t>
      </w:r>
    </w:p>
    <w:p w:rsidR="00685BE5" w:rsidRPr="00AB33E3" w:rsidRDefault="00685BE5" w:rsidP="0044684E">
      <w:pPr>
        <w:pStyle w:val="NILSTableHeading"/>
        <w:rPr>
          <w:bCs/>
        </w:rPr>
      </w:pPr>
      <w:bookmarkStart w:id="594" w:name="_Toc425425102"/>
      <w:bookmarkStart w:id="595" w:name="_Toc428279231"/>
      <w:bookmarkStart w:id="596" w:name="_Toc449955362"/>
      <w:r w:rsidRPr="00AB33E3">
        <w:t xml:space="preserve">Table </w:t>
      </w:r>
      <w:r>
        <w:t>4.26</w:t>
      </w:r>
      <w:r w:rsidRPr="00AB33E3">
        <w:t>: The highest level of qualification currently studying for</w:t>
      </w:r>
      <w:bookmarkEnd w:id="594"/>
      <w:bookmarkEnd w:id="595"/>
      <w:bookmarkEnd w:id="596"/>
    </w:p>
    <w:tbl>
      <w:tblPr>
        <w:tblW w:w="5544" w:type="dxa"/>
        <w:tblInd w:w="93" w:type="dxa"/>
        <w:tblLook w:val="04A0" w:firstRow="1" w:lastRow="0" w:firstColumn="1" w:lastColumn="0" w:noHBand="0" w:noVBand="1"/>
        <w:tblCaption w:val="Table 4.26 The highest level of qualification currently studying for"/>
        <w:tblDescription w:val="First 3 rows in table 4.26 show distribution of employees not currently in study and in study."/>
      </w:tblPr>
      <w:tblGrid>
        <w:gridCol w:w="4268"/>
        <w:gridCol w:w="1276"/>
      </w:tblGrid>
      <w:tr w:rsidR="00685BE5" w:rsidRPr="00B90E88" w:rsidTr="00F71699">
        <w:trPr>
          <w:trHeight w:val="288"/>
          <w:tblHeader/>
        </w:trPr>
        <w:tc>
          <w:tcPr>
            <w:tcW w:w="4268" w:type="dxa"/>
            <w:tcBorders>
              <w:top w:val="single" w:sz="4" w:space="0" w:color="auto"/>
              <w:left w:val="nil"/>
              <w:bottom w:val="single" w:sz="4" w:space="0" w:color="auto"/>
              <w:right w:val="nil"/>
            </w:tcBorders>
            <w:shd w:val="clear" w:color="auto" w:fill="auto"/>
            <w:noWrap/>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 </w:t>
            </w:r>
            <w:bookmarkStart w:id="597" w:name="Title_4_26"/>
            <w:bookmarkEnd w:id="597"/>
          </w:p>
        </w:tc>
        <w:tc>
          <w:tcPr>
            <w:tcW w:w="1276" w:type="dxa"/>
            <w:tcBorders>
              <w:top w:val="single" w:sz="4" w:space="0" w:color="auto"/>
              <w:left w:val="nil"/>
              <w:bottom w:val="single" w:sz="4" w:space="0" w:color="auto"/>
              <w:right w:val="nil"/>
            </w:tcBorders>
            <w:shd w:val="clear" w:color="auto" w:fill="auto"/>
            <w:noWrap/>
            <w:vAlign w:val="bottom"/>
            <w:hideMark/>
          </w:tcPr>
          <w:p w:rsidR="00685BE5" w:rsidRPr="007D2274" w:rsidRDefault="0096484D" w:rsidP="00AE4C3A">
            <w:pPr>
              <w:spacing w:before="20" w:after="20"/>
              <w:jc w:val="center"/>
              <w:rPr>
                <w:rFonts w:cstheme="minorHAnsi"/>
                <w:sz w:val="20"/>
                <w:szCs w:val="20"/>
              </w:rPr>
            </w:pPr>
            <w:r>
              <w:rPr>
                <w:rFonts w:cstheme="minorHAnsi"/>
                <w:sz w:val="20"/>
                <w:szCs w:val="20"/>
              </w:rPr>
              <w:t>%</w:t>
            </w:r>
          </w:p>
        </w:tc>
      </w:tr>
      <w:tr w:rsidR="00685BE5" w:rsidRPr="00B90E88" w:rsidTr="00F71699">
        <w:trPr>
          <w:trHeight w:val="288"/>
        </w:trPr>
        <w:tc>
          <w:tcPr>
            <w:tcW w:w="4268" w:type="dxa"/>
            <w:tcBorders>
              <w:top w:val="nil"/>
              <w:left w:val="nil"/>
              <w:bottom w:val="nil"/>
              <w:right w:val="nil"/>
            </w:tcBorders>
            <w:shd w:val="clear" w:color="auto" w:fill="auto"/>
            <w:noWrap/>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Not currently studying</w:t>
            </w:r>
          </w:p>
        </w:tc>
        <w:tc>
          <w:tcPr>
            <w:tcW w:w="1276" w:type="dxa"/>
            <w:tcBorders>
              <w:top w:val="nil"/>
              <w:left w:val="nil"/>
              <w:bottom w:val="nil"/>
              <w:right w:val="nil"/>
            </w:tcBorders>
            <w:shd w:val="clear" w:color="auto" w:fill="auto"/>
            <w:noWrap/>
            <w:vAlign w:val="bottom"/>
            <w:hideMark/>
          </w:tcPr>
          <w:p w:rsidR="00685BE5" w:rsidRPr="007D2274" w:rsidRDefault="00685BE5" w:rsidP="007869E5">
            <w:pPr>
              <w:spacing w:before="20" w:after="20"/>
              <w:ind w:right="284"/>
              <w:jc w:val="right"/>
              <w:rPr>
                <w:rFonts w:cstheme="minorHAnsi"/>
                <w:sz w:val="20"/>
                <w:szCs w:val="20"/>
              </w:rPr>
            </w:pPr>
            <w:r w:rsidRPr="007D2274">
              <w:rPr>
                <w:rFonts w:cstheme="minorHAnsi"/>
                <w:sz w:val="20"/>
                <w:szCs w:val="20"/>
              </w:rPr>
              <w:t>78.9</w:t>
            </w:r>
          </w:p>
        </w:tc>
      </w:tr>
      <w:tr w:rsidR="00685BE5" w:rsidRPr="00B90E88" w:rsidTr="00F71699">
        <w:trPr>
          <w:trHeight w:val="288"/>
        </w:trPr>
        <w:tc>
          <w:tcPr>
            <w:tcW w:w="4268" w:type="dxa"/>
            <w:tcBorders>
              <w:top w:val="nil"/>
              <w:left w:val="nil"/>
              <w:bottom w:val="nil"/>
              <w:right w:val="nil"/>
            </w:tcBorders>
            <w:shd w:val="clear" w:color="auto" w:fill="auto"/>
            <w:noWrap/>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Studying</w:t>
            </w:r>
          </w:p>
        </w:tc>
        <w:tc>
          <w:tcPr>
            <w:tcW w:w="1276" w:type="dxa"/>
            <w:tcBorders>
              <w:top w:val="nil"/>
              <w:left w:val="nil"/>
              <w:bottom w:val="nil"/>
              <w:right w:val="nil"/>
            </w:tcBorders>
            <w:shd w:val="clear" w:color="auto" w:fill="auto"/>
            <w:noWrap/>
            <w:vAlign w:val="bottom"/>
            <w:hideMark/>
          </w:tcPr>
          <w:p w:rsidR="00685BE5" w:rsidRPr="007D2274" w:rsidRDefault="00685BE5" w:rsidP="007869E5">
            <w:pPr>
              <w:spacing w:before="20" w:after="20"/>
              <w:ind w:right="284"/>
              <w:jc w:val="right"/>
              <w:rPr>
                <w:rFonts w:cstheme="minorHAnsi"/>
                <w:sz w:val="20"/>
                <w:szCs w:val="20"/>
              </w:rPr>
            </w:pPr>
            <w:r w:rsidRPr="007D2274">
              <w:rPr>
                <w:rFonts w:cstheme="minorHAnsi"/>
                <w:sz w:val="20"/>
                <w:szCs w:val="20"/>
              </w:rPr>
              <w:t>20.6</w:t>
            </w:r>
          </w:p>
        </w:tc>
      </w:tr>
      <w:tr w:rsidR="00685BE5" w:rsidRPr="00B90E88" w:rsidTr="00F71699">
        <w:trPr>
          <w:trHeight w:val="288"/>
        </w:trPr>
        <w:tc>
          <w:tcPr>
            <w:tcW w:w="4268" w:type="dxa"/>
            <w:tcBorders>
              <w:top w:val="nil"/>
              <w:left w:val="nil"/>
              <w:bottom w:val="single" w:sz="4" w:space="0" w:color="auto"/>
              <w:right w:val="nil"/>
            </w:tcBorders>
            <w:shd w:val="clear" w:color="auto" w:fill="auto"/>
            <w:noWrap/>
            <w:vAlign w:val="bottom"/>
          </w:tcPr>
          <w:p w:rsidR="00685BE5" w:rsidRPr="007D2274" w:rsidRDefault="00685BE5" w:rsidP="00AE4C3A">
            <w:pPr>
              <w:spacing w:before="20" w:after="20"/>
              <w:rPr>
                <w:rFonts w:cstheme="minorHAnsi"/>
                <w:sz w:val="20"/>
                <w:szCs w:val="20"/>
              </w:rPr>
            </w:pPr>
            <w:r w:rsidRPr="007D2274">
              <w:rPr>
                <w:rFonts w:cstheme="minorHAnsi"/>
                <w:sz w:val="20"/>
                <w:szCs w:val="20"/>
              </w:rPr>
              <w:t>Question not answered</w:t>
            </w:r>
            <w:r>
              <w:rPr>
                <w:rFonts w:cstheme="minorHAnsi"/>
                <w:sz w:val="20"/>
                <w:szCs w:val="20"/>
              </w:rPr>
              <w:t xml:space="preserve"> </w:t>
            </w:r>
          </w:p>
        </w:tc>
        <w:tc>
          <w:tcPr>
            <w:tcW w:w="1276" w:type="dxa"/>
            <w:tcBorders>
              <w:top w:val="nil"/>
              <w:left w:val="nil"/>
              <w:bottom w:val="single" w:sz="4" w:space="0" w:color="auto"/>
              <w:right w:val="nil"/>
            </w:tcBorders>
            <w:shd w:val="clear" w:color="auto" w:fill="auto"/>
            <w:noWrap/>
            <w:vAlign w:val="bottom"/>
          </w:tcPr>
          <w:p w:rsidR="00685BE5" w:rsidRPr="007D2274" w:rsidRDefault="00685BE5" w:rsidP="007869E5">
            <w:pPr>
              <w:spacing w:before="20" w:after="20"/>
              <w:ind w:right="284"/>
              <w:jc w:val="right"/>
              <w:rPr>
                <w:rFonts w:cstheme="minorHAnsi"/>
                <w:sz w:val="20"/>
                <w:szCs w:val="20"/>
              </w:rPr>
            </w:pPr>
            <w:r w:rsidRPr="007D2274">
              <w:rPr>
                <w:rFonts w:cstheme="minorHAnsi"/>
                <w:sz w:val="20"/>
                <w:szCs w:val="20"/>
              </w:rPr>
              <w:t>0.5</w:t>
            </w:r>
          </w:p>
        </w:tc>
      </w:tr>
      <w:tr w:rsidR="00685BE5" w:rsidRPr="00E84C9F" w:rsidTr="00F71699">
        <w:trPr>
          <w:trHeight w:val="288"/>
        </w:trPr>
        <w:tc>
          <w:tcPr>
            <w:tcW w:w="4268" w:type="dxa"/>
            <w:tcBorders>
              <w:top w:val="single" w:sz="4" w:space="0" w:color="auto"/>
              <w:left w:val="nil"/>
              <w:bottom w:val="single" w:sz="4" w:space="0" w:color="auto"/>
              <w:right w:val="nil"/>
            </w:tcBorders>
            <w:shd w:val="clear" w:color="auto" w:fill="auto"/>
            <w:noWrap/>
            <w:vAlign w:val="bottom"/>
            <w:hideMark/>
          </w:tcPr>
          <w:p w:rsidR="00685BE5" w:rsidRPr="00E3331B" w:rsidRDefault="00685BE5" w:rsidP="00AE4C3A">
            <w:pPr>
              <w:spacing w:before="20" w:after="20"/>
              <w:rPr>
                <w:rFonts w:cstheme="minorHAnsi"/>
                <w:b/>
                <w:sz w:val="20"/>
                <w:szCs w:val="20"/>
              </w:rPr>
            </w:pPr>
            <w:r w:rsidRPr="00E3331B">
              <w:rPr>
                <w:rFonts w:cstheme="minorHAnsi"/>
                <w:b/>
                <w:sz w:val="20"/>
                <w:szCs w:val="20"/>
              </w:rPr>
              <w:t>Total (N=2</w:t>
            </w:r>
            <w:r>
              <w:rPr>
                <w:rFonts w:cstheme="minorHAnsi"/>
                <w:b/>
                <w:sz w:val="20"/>
                <w:szCs w:val="20"/>
              </w:rPr>
              <w:t>,</w:t>
            </w:r>
            <w:r w:rsidRPr="00E3331B">
              <w:rPr>
                <w:rFonts w:cstheme="minorHAnsi"/>
                <w:b/>
                <w:sz w:val="20"/>
                <w:szCs w:val="20"/>
              </w:rPr>
              <w:t>133)</w:t>
            </w:r>
          </w:p>
        </w:tc>
        <w:tc>
          <w:tcPr>
            <w:tcW w:w="1276" w:type="dxa"/>
            <w:tcBorders>
              <w:top w:val="single" w:sz="4" w:space="0" w:color="auto"/>
              <w:left w:val="nil"/>
              <w:bottom w:val="single" w:sz="4" w:space="0" w:color="auto"/>
              <w:right w:val="nil"/>
            </w:tcBorders>
            <w:shd w:val="clear" w:color="auto" w:fill="auto"/>
            <w:noWrap/>
            <w:vAlign w:val="bottom"/>
            <w:hideMark/>
          </w:tcPr>
          <w:p w:rsidR="00685BE5" w:rsidRPr="00E3331B" w:rsidRDefault="00685BE5" w:rsidP="007869E5">
            <w:pPr>
              <w:spacing w:before="20" w:after="20"/>
              <w:ind w:right="284"/>
              <w:jc w:val="right"/>
              <w:rPr>
                <w:rFonts w:cstheme="minorHAnsi"/>
                <w:b/>
                <w:sz w:val="20"/>
                <w:szCs w:val="20"/>
              </w:rPr>
            </w:pPr>
            <w:r w:rsidRPr="00E3331B">
              <w:rPr>
                <w:rFonts w:cstheme="minorHAnsi"/>
                <w:b/>
                <w:sz w:val="20"/>
                <w:szCs w:val="20"/>
              </w:rPr>
              <w:t>100</w:t>
            </w:r>
          </w:p>
        </w:tc>
      </w:tr>
    </w:tbl>
    <w:p w:rsidR="00D40AF7" w:rsidRPr="00B77A1F" w:rsidRDefault="00D40AF7">
      <w:pPr>
        <w:rPr>
          <w:sz w:val="4"/>
          <w:szCs w:val="4"/>
        </w:rPr>
      </w:pPr>
    </w:p>
    <w:tbl>
      <w:tblPr>
        <w:tblW w:w="5544" w:type="dxa"/>
        <w:tblInd w:w="93" w:type="dxa"/>
        <w:tblLook w:val="04A0" w:firstRow="1" w:lastRow="0" w:firstColumn="1" w:lastColumn="0" w:noHBand="0" w:noVBand="1"/>
        <w:tblCaption w:val="The remainder of table 4.26 shows the distribution of qualifications currently being studied for by employees"/>
      </w:tblPr>
      <w:tblGrid>
        <w:gridCol w:w="4268"/>
        <w:gridCol w:w="1276"/>
      </w:tblGrid>
      <w:tr w:rsidR="00685BE5" w:rsidRPr="00B90E88" w:rsidTr="00F71699">
        <w:trPr>
          <w:trHeight w:val="288"/>
        </w:trPr>
        <w:tc>
          <w:tcPr>
            <w:tcW w:w="4268" w:type="dxa"/>
            <w:tcBorders>
              <w:left w:val="nil"/>
              <w:bottom w:val="nil"/>
              <w:right w:val="nil"/>
            </w:tcBorders>
            <w:shd w:val="clear" w:color="auto" w:fill="auto"/>
            <w:noWrap/>
            <w:vAlign w:val="bottom"/>
            <w:hideMark/>
          </w:tcPr>
          <w:p w:rsidR="00685BE5" w:rsidRPr="007D2274" w:rsidRDefault="00685BE5" w:rsidP="00AE4C3A">
            <w:pPr>
              <w:spacing w:before="20" w:after="20"/>
              <w:rPr>
                <w:rFonts w:cstheme="minorHAnsi"/>
                <w:sz w:val="20"/>
                <w:szCs w:val="20"/>
              </w:rPr>
            </w:pPr>
            <w:bookmarkStart w:id="598" w:name="Title_4_26_highestqualification"/>
            <w:bookmarkEnd w:id="598"/>
            <w:r w:rsidRPr="007D2274">
              <w:rPr>
                <w:rFonts w:cstheme="minorHAnsi"/>
                <w:sz w:val="20"/>
                <w:szCs w:val="20"/>
              </w:rPr>
              <w:t>Of those studying:</w:t>
            </w:r>
          </w:p>
        </w:tc>
        <w:tc>
          <w:tcPr>
            <w:tcW w:w="1276" w:type="dxa"/>
            <w:tcBorders>
              <w:left w:val="nil"/>
              <w:bottom w:val="nil"/>
              <w:right w:val="nil"/>
            </w:tcBorders>
            <w:shd w:val="clear" w:color="auto" w:fill="auto"/>
            <w:noWrap/>
            <w:vAlign w:val="bottom"/>
            <w:hideMark/>
          </w:tcPr>
          <w:p w:rsidR="00685BE5" w:rsidRPr="007D2274" w:rsidRDefault="0096484D" w:rsidP="00F71699">
            <w:pPr>
              <w:spacing w:before="20" w:after="20"/>
              <w:jc w:val="center"/>
              <w:rPr>
                <w:rFonts w:cstheme="minorHAnsi"/>
                <w:sz w:val="20"/>
                <w:szCs w:val="20"/>
              </w:rPr>
            </w:pPr>
            <w:r>
              <w:rPr>
                <w:rFonts w:cstheme="minorHAnsi"/>
                <w:sz w:val="20"/>
                <w:szCs w:val="20"/>
              </w:rPr>
              <w:t>%</w:t>
            </w:r>
          </w:p>
        </w:tc>
      </w:tr>
      <w:tr w:rsidR="00685BE5" w:rsidRPr="00B90E88" w:rsidTr="00F71699">
        <w:trPr>
          <w:trHeight w:val="288"/>
        </w:trPr>
        <w:tc>
          <w:tcPr>
            <w:tcW w:w="4268" w:type="dxa"/>
            <w:tcBorders>
              <w:top w:val="nil"/>
              <w:left w:val="nil"/>
              <w:bottom w:val="nil"/>
              <w:right w:val="nil"/>
            </w:tcBorders>
            <w:shd w:val="clear" w:color="auto" w:fill="auto"/>
            <w:noWrap/>
            <w:vAlign w:val="bottom"/>
            <w:hideMark/>
          </w:tcPr>
          <w:p w:rsidR="00685BE5" w:rsidRPr="007D2274" w:rsidRDefault="00685BE5" w:rsidP="00AE4C3A">
            <w:pPr>
              <w:spacing w:before="20" w:after="20"/>
              <w:ind w:left="191"/>
              <w:rPr>
                <w:rFonts w:cstheme="minorHAnsi"/>
                <w:sz w:val="20"/>
                <w:szCs w:val="20"/>
              </w:rPr>
            </w:pPr>
            <w:r w:rsidRPr="007D2274">
              <w:rPr>
                <w:rFonts w:cstheme="minorHAnsi"/>
                <w:sz w:val="20"/>
                <w:szCs w:val="20"/>
              </w:rPr>
              <w:t>Postgraduate degree (e.g. Masters)</w:t>
            </w:r>
          </w:p>
        </w:tc>
        <w:tc>
          <w:tcPr>
            <w:tcW w:w="1276" w:type="dxa"/>
            <w:tcBorders>
              <w:top w:val="nil"/>
              <w:left w:val="nil"/>
              <w:bottom w:val="nil"/>
              <w:right w:val="nil"/>
            </w:tcBorders>
            <w:shd w:val="clear" w:color="auto" w:fill="auto"/>
            <w:noWrap/>
            <w:vAlign w:val="bottom"/>
            <w:hideMark/>
          </w:tcPr>
          <w:p w:rsidR="00685BE5" w:rsidRPr="007D2274" w:rsidRDefault="00685BE5" w:rsidP="007869E5">
            <w:pPr>
              <w:spacing w:before="20" w:after="20"/>
              <w:ind w:right="284"/>
              <w:jc w:val="right"/>
              <w:rPr>
                <w:rFonts w:cstheme="minorHAnsi"/>
                <w:sz w:val="20"/>
                <w:szCs w:val="20"/>
              </w:rPr>
            </w:pPr>
            <w:r w:rsidRPr="007D2274">
              <w:rPr>
                <w:rFonts w:cstheme="minorHAnsi"/>
                <w:sz w:val="20"/>
                <w:szCs w:val="20"/>
              </w:rPr>
              <w:t>11.0</w:t>
            </w:r>
          </w:p>
        </w:tc>
      </w:tr>
      <w:tr w:rsidR="00685BE5" w:rsidRPr="00B90E88" w:rsidTr="00F71699">
        <w:trPr>
          <w:trHeight w:val="288"/>
        </w:trPr>
        <w:tc>
          <w:tcPr>
            <w:tcW w:w="4268" w:type="dxa"/>
            <w:tcBorders>
              <w:top w:val="nil"/>
              <w:left w:val="nil"/>
              <w:bottom w:val="nil"/>
              <w:right w:val="nil"/>
            </w:tcBorders>
            <w:shd w:val="clear" w:color="auto" w:fill="auto"/>
            <w:noWrap/>
            <w:vAlign w:val="bottom"/>
            <w:hideMark/>
          </w:tcPr>
          <w:p w:rsidR="00685BE5" w:rsidRPr="007D2274" w:rsidRDefault="00685BE5" w:rsidP="00AE4C3A">
            <w:pPr>
              <w:spacing w:before="20" w:after="20"/>
              <w:ind w:left="191"/>
              <w:rPr>
                <w:rFonts w:cstheme="minorHAnsi"/>
                <w:sz w:val="20"/>
                <w:szCs w:val="20"/>
              </w:rPr>
            </w:pPr>
            <w:r w:rsidRPr="007D2274">
              <w:rPr>
                <w:rFonts w:cstheme="minorHAnsi"/>
                <w:sz w:val="20"/>
                <w:szCs w:val="20"/>
              </w:rPr>
              <w:t>Bachelor degree</w:t>
            </w:r>
          </w:p>
        </w:tc>
        <w:tc>
          <w:tcPr>
            <w:tcW w:w="1276" w:type="dxa"/>
            <w:tcBorders>
              <w:top w:val="nil"/>
              <w:left w:val="nil"/>
              <w:bottom w:val="nil"/>
              <w:right w:val="nil"/>
            </w:tcBorders>
            <w:shd w:val="clear" w:color="auto" w:fill="auto"/>
            <w:noWrap/>
            <w:vAlign w:val="bottom"/>
            <w:hideMark/>
          </w:tcPr>
          <w:p w:rsidR="00685BE5" w:rsidRPr="007D2274" w:rsidRDefault="00685BE5" w:rsidP="007869E5">
            <w:pPr>
              <w:spacing w:before="20" w:after="20"/>
              <w:ind w:right="284"/>
              <w:jc w:val="right"/>
              <w:rPr>
                <w:rFonts w:cstheme="minorHAnsi"/>
                <w:sz w:val="20"/>
                <w:szCs w:val="20"/>
              </w:rPr>
            </w:pPr>
            <w:r w:rsidRPr="007D2274">
              <w:rPr>
                <w:rFonts w:cstheme="minorHAnsi"/>
                <w:sz w:val="20"/>
                <w:szCs w:val="20"/>
              </w:rPr>
              <w:t>22.1</w:t>
            </w:r>
          </w:p>
        </w:tc>
      </w:tr>
      <w:tr w:rsidR="00685BE5" w:rsidRPr="00B90E88" w:rsidTr="00F71699">
        <w:trPr>
          <w:trHeight w:val="288"/>
        </w:trPr>
        <w:tc>
          <w:tcPr>
            <w:tcW w:w="4268" w:type="dxa"/>
            <w:tcBorders>
              <w:top w:val="nil"/>
              <w:left w:val="nil"/>
              <w:bottom w:val="nil"/>
              <w:right w:val="nil"/>
            </w:tcBorders>
            <w:shd w:val="clear" w:color="auto" w:fill="auto"/>
            <w:noWrap/>
            <w:vAlign w:val="bottom"/>
            <w:hideMark/>
          </w:tcPr>
          <w:p w:rsidR="00685BE5" w:rsidRPr="007D2274" w:rsidRDefault="00685BE5" w:rsidP="00AE4C3A">
            <w:pPr>
              <w:spacing w:before="20" w:after="20"/>
              <w:ind w:left="191"/>
              <w:rPr>
                <w:rFonts w:cstheme="minorHAnsi"/>
                <w:sz w:val="20"/>
                <w:szCs w:val="20"/>
              </w:rPr>
            </w:pPr>
            <w:r w:rsidRPr="007D2274">
              <w:rPr>
                <w:rFonts w:cstheme="minorHAnsi"/>
                <w:sz w:val="20"/>
                <w:szCs w:val="20"/>
              </w:rPr>
              <w:t>Diploma or Advanced Diploma</w:t>
            </w:r>
          </w:p>
        </w:tc>
        <w:tc>
          <w:tcPr>
            <w:tcW w:w="1276" w:type="dxa"/>
            <w:tcBorders>
              <w:top w:val="nil"/>
              <w:left w:val="nil"/>
              <w:bottom w:val="nil"/>
              <w:right w:val="nil"/>
            </w:tcBorders>
            <w:shd w:val="clear" w:color="auto" w:fill="auto"/>
            <w:noWrap/>
            <w:vAlign w:val="bottom"/>
            <w:hideMark/>
          </w:tcPr>
          <w:p w:rsidR="00685BE5" w:rsidRPr="007D2274" w:rsidRDefault="00685BE5" w:rsidP="007869E5">
            <w:pPr>
              <w:spacing w:before="20" w:after="20"/>
              <w:ind w:right="284"/>
              <w:jc w:val="right"/>
              <w:rPr>
                <w:rFonts w:cstheme="minorHAnsi"/>
                <w:sz w:val="20"/>
                <w:szCs w:val="20"/>
              </w:rPr>
            </w:pPr>
            <w:r w:rsidRPr="007D2274">
              <w:rPr>
                <w:rFonts w:cstheme="minorHAnsi"/>
                <w:sz w:val="20"/>
                <w:szCs w:val="20"/>
              </w:rPr>
              <w:t>23.5</w:t>
            </w:r>
          </w:p>
        </w:tc>
      </w:tr>
      <w:tr w:rsidR="00685BE5" w:rsidRPr="00B90E88" w:rsidTr="00F71699">
        <w:trPr>
          <w:trHeight w:val="288"/>
        </w:trPr>
        <w:tc>
          <w:tcPr>
            <w:tcW w:w="4268" w:type="dxa"/>
            <w:tcBorders>
              <w:top w:val="nil"/>
              <w:left w:val="nil"/>
              <w:bottom w:val="nil"/>
              <w:right w:val="nil"/>
            </w:tcBorders>
            <w:shd w:val="clear" w:color="auto" w:fill="auto"/>
            <w:noWrap/>
            <w:vAlign w:val="bottom"/>
            <w:hideMark/>
          </w:tcPr>
          <w:p w:rsidR="00685BE5" w:rsidRPr="007D2274" w:rsidRDefault="00685BE5" w:rsidP="00AE4C3A">
            <w:pPr>
              <w:spacing w:before="20" w:after="20"/>
              <w:ind w:left="191"/>
              <w:rPr>
                <w:rFonts w:cstheme="minorHAnsi"/>
                <w:sz w:val="20"/>
                <w:szCs w:val="20"/>
              </w:rPr>
            </w:pPr>
            <w:r w:rsidRPr="007D2274">
              <w:rPr>
                <w:rFonts w:cstheme="minorHAnsi"/>
                <w:sz w:val="20"/>
                <w:szCs w:val="20"/>
              </w:rPr>
              <w:t>Certificate IV</w:t>
            </w:r>
          </w:p>
        </w:tc>
        <w:tc>
          <w:tcPr>
            <w:tcW w:w="1276" w:type="dxa"/>
            <w:tcBorders>
              <w:top w:val="nil"/>
              <w:left w:val="nil"/>
              <w:bottom w:val="nil"/>
              <w:right w:val="nil"/>
            </w:tcBorders>
            <w:shd w:val="clear" w:color="auto" w:fill="auto"/>
            <w:noWrap/>
            <w:vAlign w:val="bottom"/>
            <w:hideMark/>
          </w:tcPr>
          <w:p w:rsidR="00685BE5" w:rsidRPr="007D2274" w:rsidRDefault="00685BE5" w:rsidP="007869E5">
            <w:pPr>
              <w:spacing w:before="20" w:after="20"/>
              <w:ind w:right="284"/>
              <w:jc w:val="right"/>
              <w:rPr>
                <w:rFonts w:cstheme="minorHAnsi"/>
                <w:sz w:val="20"/>
                <w:szCs w:val="20"/>
              </w:rPr>
            </w:pPr>
            <w:r w:rsidRPr="007D2274">
              <w:rPr>
                <w:rFonts w:cstheme="minorHAnsi"/>
                <w:sz w:val="20"/>
                <w:szCs w:val="20"/>
              </w:rPr>
              <w:t>22.1</w:t>
            </w:r>
          </w:p>
        </w:tc>
      </w:tr>
      <w:tr w:rsidR="00685BE5" w:rsidRPr="00B90E88" w:rsidTr="00F71699">
        <w:trPr>
          <w:trHeight w:val="288"/>
        </w:trPr>
        <w:tc>
          <w:tcPr>
            <w:tcW w:w="4268" w:type="dxa"/>
            <w:tcBorders>
              <w:top w:val="nil"/>
              <w:left w:val="nil"/>
              <w:bottom w:val="nil"/>
              <w:right w:val="nil"/>
            </w:tcBorders>
            <w:shd w:val="clear" w:color="auto" w:fill="auto"/>
            <w:noWrap/>
            <w:vAlign w:val="bottom"/>
            <w:hideMark/>
          </w:tcPr>
          <w:p w:rsidR="00685BE5" w:rsidRPr="007D2274" w:rsidRDefault="00685BE5" w:rsidP="00AE4C3A">
            <w:pPr>
              <w:spacing w:before="20" w:after="20"/>
              <w:ind w:left="191"/>
              <w:rPr>
                <w:rFonts w:cstheme="minorHAnsi"/>
                <w:sz w:val="20"/>
                <w:szCs w:val="20"/>
              </w:rPr>
            </w:pPr>
            <w:r w:rsidRPr="007D2274">
              <w:rPr>
                <w:rFonts w:cstheme="minorHAnsi"/>
                <w:sz w:val="20"/>
                <w:szCs w:val="20"/>
              </w:rPr>
              <w:t>Certificate III</w:t>
            </w:r>
          </w:p>
        </w:tc>
        <w:tc>
          <w:tcPr>
            <w:tcW w:w="1276" w:type="dxa"/>
            <w:tcBorders>
              <w:top w:val="nil"/>
              <w:left w:val="nil"/>
              <w:bottom w:val="nil"/>
              <w:right w:val="nil"/>
            </w:tcBorders>
            <w:shd w:val="clear" w:color="auto" w:fill="auto"/>
            <w:noWrap/>
            <w:vAlign w:val="bottom"/>
            <w:hideMark/>
          </w:tcPr>
          <w:p w:rsidR="00685BE5" w:rsidRPr="007D2274" w:rsidRDefault="00685BE5" w:rsidP="007869E5">
            <w:pPr>
              <w:spacing w:before="20" w:after="20"/>
              <w:ind w:right="284"/>
              <w:jc w:val="right"/>
              <w:rPr>
                <w:rFonts w:cstheme="minorHAnsi"/>
                <w:sz w:val="20"/>
                <w:szCs w:val="20"/>
              </w:rPr>
            </w:pPr>
            <w:r w:rsidRPr="007D2274">
              <w:rPr>
                <w:rFonts w:cstheme="minorHAnsi"/>
                <w:sz w:val="20"/>
                <w:szCs w:val="20"/>
              </w:rPr>
              <w:t>11.4</w:t>
            </w:r>
          </w:p>
        </w:tc>
      </w:tr>
      <w:tr w:rsidR="00685BE5" w:rsidRPr="00B90E88" w:rsidTr="00F71699">
        <w:trPr>
          <w:trHeight w:val="288"/>
        </w:trPr>
        <w:tc>
          <w:tcPr>
            <w:tcW w:w="4268" w:type="dxa"/>
            <w:tcBorders>
              <w:top w:val="nil"/>
              <w:left w:val="nil"/>
              <w:bottom w:val="nil"/>
              <w:right w:val="nil"/>
            </w:tcBorders>
            <w:shd w:val="clear" w:color="auto" w:fill="auto"/>
            <w:noWrap/>
            <w:vAlign w:val="bottom"/>
            <w:hideMark/>
          </w:tcPr>
          <w:p w:rsidR="00685BE5" w:rsidRPr="007D2274" w:rsidRDefault="00685BE5" w:rsidP="00AE4C3A">
            <w:pPr>
              <w:spacing w:before="20" w:after="20"/>
              <w:ind w:left="191"/>
              <w:rPr>
                <w:rFonts w:cstheme="minorHAnsi"/>
                <w:sz w:val="20"/>
                <w:szCs w:val="20"/>
              </w:rPr>
            </w:pPr>
            <w:r w:rsidRPr="007D2274">
              <w:rPr>
                <w:rFonts w:cstheme="minorHAnsi"/>
                <w:sz w:val="20"/>
                <w:szCs w:val="20"/>
              </w:rPr>
              <w:t>Certificate I or II</w:t>
            </w:r>
          </w:p>
        </w:tc>
        <w:tc>
          <w:tcPr>
            <w:tcW w:w="1276" w:type="dxa"/>
            <w:tcBorders>
              <w:top w:val="nil"/>
              <w:left w:val="nil"/>
              <w:bottom w:val="nil"/>
              <w:right w:val="nil"/>
            </w:tcBorders>
            <w:shd w:val="clear" w:color="auto" w:fill="auto"/>
            <w:noWrap/>
            <w:vAlign w:val="bottom"/>
            <w:hideMark/>
          </w:tcPr>
          <w:p w:rsidR="00685BE5" w:rsidRPr="007D2274" w:rsidRDefault="00685BE5" w:rsidP="007869E5">
            <w:pPr>
              <w:spacing w:before="20" w:after="20"/>
              <w:ind w:right="284"/>
              <w:jc w:val="right"/>
              <w:rPr>
                <w:rFonts w:cstheme="minorHAnsi"/>
                <w:sz w:val="20"/>
                <w:szCs w:val="20"/>
              </w:rPr>
            </w:pPr>
            <w:r w:rsidRPr="007D2274">
              <w:rPr>
                <w:rFonts w:cstheme="minorHAnsi"/>
                <w:sz w:val="20"/>
                <w:szCs w:val="20"/>
              </w:rPr>
              <w:t>1.0</w:t>
            </w:r>
          </w:p>
        </w:tc>
      </w:tr>
      <w:tr w:rsidR="00685BE5" w:rsidRPr="00B90E88" w:rsidTr="00F71699">
        <w:trPr>
          <w:trHeight w:val="288"/>
        </w:trPr>
        <w:tc>
          <w:tcPr>
            <w:tcW w:w="4268" w:type="dxa"/>
            <w:tcBorders>
              <w:top w:val="nil"/>
              <w:left w:val="nil"/>
              <w:bottom w:val="nil"/>
              <w:right w:val="nil"/>
            </w:tcBorders>
            <w:shd w:val="clear" w:color="auto" w:fill="auto"/>
            <w:noWrap/>
            <w:vAlign w:val="bottom"/>
            <w:hideMark/>
          </w:tcPr>
          <w:p w:rsidR="00685BE5" w:rsidRPr="007D2274" w:rsidRDefault="00685BE5" w:rsidP="00AE4C3A">
            <w:pPr>
              <w:spacing w:before="20" w:after="20"/>
              <w:ind w:left="191"/>
              <w:rPr>
                <w:rFonts w:cstheme="minorHAnsi"/>
                <w:sz w:val="20"/>
                <w:szCs w:val="20"/>
              </w:rPr>
            </w:pPr>
            <w:r w:rsidRPr="007D2274">
              <w:rPr>
                <w:rFonts w:cstheme="minorHAnsi"/>
                <w:sz w:val="20"/>
                <w:szCs w:val="20"/>
              </w:rPr>
              <w:t>Other</w:t>
            </w:r>
          </w:p>
        </w:tc>
        <w:tc>
          <w:tcPr>
            <w:tcW w:w="1276" w:type="dxa"/>
            <w:tcBorders>
              <w:top w:val="nil"/>
              <w:left w:val="nil"/>
              <w:bottom w:val="nil"/>
              <w:right w:val="nil"/>
            </w:tcBorders>
            <w:shd w:val="clear" w:color="auto" w:fill="auto"/>
            <w:noWrap/>
            <w:vAlign w:val="bottom"/>
            <w:hideMark/>
          </w:tcPr>
          <w:p w:rsidR="00685BE5" w:rsidRPr="007D2274" w:rsidRDefault="00685BE5" w:rsidP="007869E5">
            <w:pPr>
              <w:spacing w:before="20" w:after="20"/>
              <w:ind w:right="284"/>
              <w:jc w:val="right"/>
              <w:rPr>
                <w:rFonts w:cstheme="minorHAnsi"/>
                <w:sz w:val="20"/>
                <w:szCs w:val="20"/>
              </w:rPr>
            </w:pPr>
            <w:r w:rsidRPr="007D2274">
              <w:rPr>
                <w:rFonts w:cstheme="minorHAnsi"/>
                <w:sz w:val="20"/>
                <w:szCs w:val="20"/>
              </w:rPr>
              <w:t>5.8</w:t>
            </w:r>
          </w:p>
        </w:tc>
      </w:tr>
      <w:tr w:rsidR="00685BE5" w:rsidRPr="00B90E88" w:rsidTr="00F71699">
        <w:trPr>
          <w:trHeight w:val="288"/>
        </w:trPr>
        <w:tc>
          <w:tcPr>
            <w:tcW w:w="4268" w:type="dxa"/>
            <w:tcBorders>
              <w:top w:val="nil"/>
              <w:left w:val="nil"/>
              <w:bottom w:val="single" w:sz="4" w:space="0" w:color="auto"/>
              <w:right w:val="nil"/>
            </w:tcBorders>
            <w:shd w:val="clear" w:color="auto" w:fill="auto"/>
            <w:noWrap/>
            <w:vAlign w:val="bottom"/>
            <w:hideMark/>
          </w:tcPr>
          <w:p w:rsidR="00685BE5" w:rsidRPr="007D2274" w:rsidRDefault="00685BE5" w:rsidP="00AE4C3A">
            <w:pPr>
              <w:spacing w:before="20" w:after="20"/>
              <w:ind w:left="191"/>
              <w:rPr>
                <w:rFonts w:cstheme="minorHAnsi"/>
                <w:sz w:val="20"/>
                <w:szCs w:val="20"/>
              </w:rPr>
            </w:pPr>
            <w:r w:rsidRPr="007D2274">
              <w:rPr>
                <w:rFonts w:cstheme="minorHAnsi"/>
                <w:sz w:val="20"/>
                <w:szCs w:val="20"/>
              </w:rPr>
              <w:t xml:space="preserve">Question not answered </w:t>
            </w:r>
          </w:p>
        </w:tc>
        <w:tc>
          <w:tcPr>
            <w:tcW w:w="1276" w:type="dxa"/>
            <w:tcBorders>
              <w:top w:val="nil"/>
              <w:left w:val="nil"/>
              <w:bottom w:val="single" w:sz="4" w:space="0" w:color="auto"/>
              <w:right w:val="nil"/>
            </w:tcBorders>
            <w:shd w:val="clear" w:color="auto" w:fill="auto"/>
            <w:noWrap/>
            <w:vAlign w:val="bottom"/>
            <w:hideMark/>
          </w:tcPr>
          <w:p w:rsidR="00685BE5" w:rsidRPr="007D2274" w:rsidRDefault="00685BE5" w:rsidP="007869E5">
            <w:pPr>
              <w:spacing w:before="20" w:after="20"/>
              <w:ind w:right="284"/>
              <w:jc w:val="right"/>
              <w:rPr>
                <w:rFonts w:cstheme="minorHAnsi"/>
                <w:sz w:val="20"/>
                <w:szCs w:val="20"/>
              </w:rPr>
            </w:pPr>
            <w:r w:rsidRPr="007D2274">
              <w:rPr>
                <w:rFonts w:cstheme="minorHAnsi"/>
                <w:sz w:val="20"/>
                <w:szCs w:val="20"/>
              </w:rPr>
              <w:t>3.2</w:t>
            </w:r>
          </w:p>
        </w:tc>
      </w:tr>
      <w:tr w:rsidR="00685BE5" w:rsidRPr="00E84C9F" w:rsidTr="00F71699">
        <w:trPr>
          <w:trHeight w:val="288"/>
        </w:trPr>
        <w:tc>
          <w:tcPr>
            <w:tcW w:w="4268" w:type="dxa"/>
            <w:tcBorders>
              <w:top w:val="single" w:sz="4" w:space="0" w:color="auto"/>
              <w:left w:val="nil"/>
              <w:bottom w:val="single" w:sz="4" w:space="0" w:color="auto"/>
              <w:right w:val="nil"/>
            </w:tcBorders>
            <w:shd w:val="clear" w:color="auto" w:fill="auto"/>
            <w:noWrap/>
            <w:vAlign w:val="bottom"/>
            <w:hideMark/>
          </w:tcPr>
          <w:p w:rsidR="00685BE5" w:rsidRPr="00E3331B" w:rsidRDefault="00685BE5" w:rsidP="00AE4C3A">
            <w:pPr>
              <w:spacing w:before="20" w:after="20"/>
              <w:rPr>
                <w:rFonts w:cstheme="minorHAnsi"/>
                <w:b/>
                <w:sz w:val="20"/>
                <w:szCs w:val="20"/>
              </w:rPr>
            </w:pPr>
            <w:r w:rsidRPr="00E3331B">
              <w:rPr>
                <w:rFonts w:cstheme="minorHAnsi"/>
                <w:b/>
                <w:sz w:val="20"/>
                <w:szCs w:val="20"/>
              </w:rPr>
              <w:t>Total (N=502)</w:t>
            </w:r>
          </w:p>
        </w:tc>
        <w:tc>
          <w:tcPr>
            <w:tcW w:w="1276" w:type="dxa"/>
            <w:tcBorders>
              <w:top w:val="single" w:sz="4" w:space="0" w:color="auto"/>
              <w:left w:val="nil"/>
              <w:bottom w:val="single" w:sz="4" w:space="0" w:color="auto"/>
              <w:right w:val="nil"/>
            </w:tcBorders>
            <w:shd w:val="clear" w:color="auto" w:fill="auto"/>
            <w:noWrap/>
            <w:vAlign w:val="bottom"/>
            <w:hideMark/>
          </w:tcPr>
          <w:p w:rsidR="00685BE5" w:rsidRPr="00F71699" w:rsidRDefault="00685BE5" w:rsidP="007869E5">
            <w:pPr>
              <w:spacing w:before="20" w:after="20"/>
              <w:ind w:right="284"/>
              <w:jc w:val="right"/>
              <w:rPr>
                <w:rFonts w:cstheme="minorHAnsi"/>
                <w:sz w:val="20"/>
                <w:szCs w:val="20"/>
              </w:rPr>
            </w:pPr>
            <w:r w:rsidRPr="00F71699">
              <w:rPr>
                <w:rFonts w:cstheme="minorHAnsi"/>
                <w:sz w:val="20"/>
                <w:szCs w:val="20"/>
              </w:rPr>
              <w:t>100</w:t>
            </w:r>
          </w:p>
        </w:tc>
      </w:tr>
    </w:tbl>
    <w:p w:rsidR="00685BE5" w:rsidRPr="005C469C" w:rsidRDefault="00685BE5" w:rsidP="00AE4C3A">
      <w:pPr>
        <w:pStyle w:val="NILSReference"/>
      </w:pPr>
      <w:r w:rsidRPr="005C469C">
        <w:t xml:space="preserve">Source: 2014 NDIS DSP employee survey, Questions A8a and A8b. </w:t>
      </w:r>
    </w:p>
    <w:p w:rsidR="00685BE5" w:rsidRPr="00AB33E3" w:rsidRDefault="00685BE5" w:rsidP="00AE4C3A">
      <w:pPr>
        <w:rPr>
          <w:rFonts w:cstheme="minorHAnsi"/>
        </w:rPr>
      </w:pPr>
    </w:p>
    <w:p w:rsidR="00B92687" w:rsidRDefault="00B92687">
      <w:pPr>
        <w:rPr>
          <w:rFonts w:cstheme="minorHAnsi"/>
        </w:rPr>
      </w:pPr>
      <w:r>
        <w:rPr>
          <w:rFonts w:cstheme="minorHAnsi"/>
        </w:rPr>
        <w:br w:type="page"/>
      </w:r>
    </w:p>
    <w:p w:rsidR="00685BE5" w:rsidRDefault="00685BE5" w:rsidP="00AE4C3A">
      <w:pPr>
        <w:rPr>
          <w:rFonts w:cstheme="minorHAnsi"/>
        </w:rPr>
      </w:pPr>
      <w:r w:rsidRPr="00AB33E3">
        <w:rPr>
          <w:rFonts w:cstheme="minorHAnsi"/>
        </w:rPr>
        <w:lastRenderedPageBreak/>
        <w:t xml:space="preserve">Table </w:t>
      </w:r>
      <w:r>
        <w:rPr>
          <w:rFonts w:cstheme="minorHAnsi"/>
        </w:rPr>
        <w:t>4.27</w:t>
      </w:r>
      <w:r w:rsidRPr="00AB33E3">
        <w:rPr>
          <w:rFonts w:cstheme="minorHAnsi"/>
        </w:rPr>
        <w:t xml:space="preserve"> show</w:t>
      </w:r>
      <w:r>
        <w:rPr>
          <w:rFonts w:cstheme="minorHAnsi"/>
        </w:rPr>
        <w:t>s</w:t>
      </w:r>
      <w:r w:rsidRPr="00AB33E3">
        <w:rPr>
          <w:rFonts w:cstheme="minorHAnsi"/>
        </w:rPr>
        <w:t xml:space="preserve"> that about a quarter of those currently studying </w:t>
      </w:r>
      <w:r>
        <w:rPr>
          <w:rFonts w:cstheme="minorHAnsi"/>
        </w:rPr>
        <w:t>we</w:t>
      </w:r>
      <w:r w:rsidRPr="00AB33E3">
        <w:rPr>
          <w:rFonts w:cstheme="minorHAnsi"/>
        </w:rPr>
        <w:t>re studying in the field of ‘</w:t>
      </w:r>
      <w:r>
        <w:rPr>
          <w:rFonts w:cstheme="minorHAnsi"/>
        </w:rPr>
        <w:t>d</w:t>
      </w:r>
      <w:r w:rsidRPr="00AB33E3">
        <w:rPr>
          <w:rFonts w:cstheme="minorHAnsi"/>
        </w:rPr>
        <w:t xml:space="preserve">isability/disability studies’ and 15 </w:t>
      </w:r>
      <w:r>
        <w:rPr>
          <w:rFonts w:cstheme="minorHAnsi"/>
        </w:rPr>
        <w:t xml:space="preserve">per cent </w:t>
      </w:r>
      <w:r w:rsidRPr="00AB33E3">
        <w:rPr>
          <w:rFonts w:cstheme="minorHAnsi"/>
        </w:rPr>
        <w:t>‘</w:t>
      </w:r>
      <w:r>
        <w:rPr>
          <w:rFonts w:cstheme="minorHAnsi"/>
        </w:rPr>
        <w:t>c</w:t>
      </w:r>
      <w:r w:rsidRPr="00AB33E3">
        <w:rPr>
          <w:rFonts w:cstheme="minorHAnsi"/>
        </w:rPr>
        <w:t xml:space="preserve">ommunity work/community services/welfare services/care work’, which </w:t>
      </w:r>
      <w:r>
        <w:rPr>
          <w:rFonts w:cstheme="minorHAnsi"/>
        </w:rPr>
        <w:t>we</w:t>
      </w:r>
      <w:r w:rsidRPr="00AB33E3">
        <w:rPr>
          <w:rFonts w:cstheme="minorHAnsi"/>
        </w:rPr>
        <w:t>re also the most prevalent fields of qualifications that the workforce already</w:t>
      </w:r>
      <w:r>
        <w:rPr>
          <w:rFonts w:cstheme="minorHAnsi"/>
        </w:rPr>
        <w:t xml:space="preserve"> held</w:t>
      </w:r>
      <w:r w:rsidRPr="00AB33E3">
        <w:rPr>
          <w:rFonts w:cstheme="minorHAnsi"/>
        </w:rPr>
        <w:t>. Psychology/counselling (1</w:t>
      </w:r>
      <w:r>
        <w:rPr>
          <w:rFonts w:cstheme="minorHAnsi"/>
        </w:rPr>
        <w:t>1 per cent</w:t>
      </w:r>
      <w:r w:rsidRPr="00AB33E3">
        <w:rPr>
          <w:rFonts w:cstheme="minorHAnsi"/>
        </w:rPr>
        <w:t>) and social work (9</w:t>
      </w:r>
      <w:r>
        <w:rPr>
          <w:rFonts w:cstheme="minorHAnsi"/>
        </w:rPr>
        <w:t xml:space="preserve"> per cent</w:t>
      </w:r>
      <w:r w:rsidRPr="00AB33E3">
        <w:rPr>
          <w:rFonts w:cstheme="minorHAnsi"/>
        </w:rPr>
        <w:t xml:space="preserve">) were also popular fields of current study, yet among the workforce only </w:t>
      </w:r>
      <w:r>
        <w:rPr>
          <w:rFonts w:cstheme="minorHAnsi"/>
        </w:rPr>
        <w:t>seven</w:t>
      </w:r>
      <w:r w:rsidRPr="00AB33E3">
        <w:rPr>
          <w:rFonts w:cstheme="minorHAnsi"/>
        </w:rPr>
        <w:t xml:space="preserve"> per cent, and </w:t>
      </w:r>
      <w:r>
        <w:rPr>
          <w:rFonts w:cstheme="minorHAnsi"/>
        </w:rPr>
        <w:t>six</w:t>
      </w:r>
      <w:r w:rsidRPr="00AB33E3">
        <w:rPr>
          <w:rFonts w:cstheme="minorHAnsi"/>
        </w:rPr>
        <w:t xml:space="preserve"> per cent of workers respectively held qualifications in these fields. </w:t>
      </w:r>
    </w:p>
    <w:p w:rsidR="00B92687" w:rsidRPr="00AB33E3" w:rsidRDefault="00B92687" w:rsidP="00AE4C3A">
      <w:pPr>
        <w:rPr>
          <w:rFonts w:cstheme="minorHAnsi"/>
        </w:rPr>
      </w:pPr>
    </w:p>
    <w:p w:rsidR="00685BE5" w:rsidRDefault="00685BE5" w:rsidP="00AE4C3A">
      <w:pPr>
        <w:rPr>
          <w:rFonts w:cstheme="minorHAnsi"/>
        </w:rPr>
      </w:pPr>
      <w:r w:rsidRPr="00AB33E3">
        <w:rPr>
          <w:rFonts w:cstheme="minorHAnsi"/>
        </w:rPr>
        <w:t>In addition to formal education, most (88 per cent) employees reported that they had undertaken at least one type of training during the previous 12 months (</w:t>
      </w:r>
      <w:r>
        <w:rPr>
          <w:rFonts w:cstheme="minorHAnsi"/>
        </w:rPr>
        <w:t xml:space="preserve">from Question </w:t>
      </w:r>
      <w:r w:rsidRPr="00AB33E3">
        <w:rPr>
          <w:rFonts w:cstheme="minorHAnsi"/>
        </w:rPr>
        <w:t>B10</w:t>
      </w:r>
      <w:r>
        <w:rPr>
          <w:rFonts w:cstheme="minorHAnsi"/>
        </w:rPr>
        <w:t>, table not shown</w:t>
      </w:r>
      <w:r w:rsidRPr="00AB33E3">
        <w:rPr>
          <w:rFonts w:cstheme="minorHAnsi"/>
        </w:rPr>
        <w:t>). The training might have been provided internally or externally, but at a minimum it required that the employee be given time off normal duties to attend the training.</w:t>
      </w:r>
    </w:p>
    <w:p w:rsidR="00685BE5" w:rsidRPr="00AB33E3" w:rsidRDefault="00685BE5" w:rsidP="0044684E">
      <w:pPr>
        <w:pStyle w:val="NILSTableHeading"/>
      </w:pPr>
      <w:bookmarkStart w:id="599" w:name="_Toc425425103"/>
      <w:bookmarkStart w:id="600" w:name="_Toc428279232"/>
      <w:bookmarkStart w:id="601" w:name="_Toc449955363"/>
      <w:r w:rsidRPr="00AB33E3">
        <w:t xml:space="preserve">Table </w:t>
      </w:r>
      <w:r>
        <w:t>4.27</w:t>
      </w:r>
      <w:r w:rsidRPr="00AB33E3">
        <w:t>: The field of study currently studying for</w:t>
      </w:r>
      <w:bookmarkEnd w:id="599"/>
      <w:bookmarkEnd w:id="600"/>
      <w:bookmarkEnd w:id="601"/>
    </w:p>
    <w:tbl>
      <w:tblPr>
        <w:tblW w:w="7103" w:type="dxa"/>
        <w:tblInd w:w="93" w:type="dxa"/>
        <w:tblLook w:val="04A0" w:firstRow="1" w:lastRow="0" w:firstColumn="1" w:lastColumn="0" w:noHBand="0" w:noVBand="1"/>
        <w:tblCaption w:val="First 3 rows in table 4.27 show distribution of employees not currently in study and in study."/>
      </w:tblPr>
      <w:tblGrid>
        <w:gridCol w:w="6039"/>
        <w:gridCol w:w="1064"/>
      </w:tblGrid>
      <w:tr w:rsidR="00685BE5" w:rsidRPr="00B90E88" w:rsidTr="00D91870">
        <w:trPr>
          <w:trHeight w:val="288"/>
          <w:tblHeader/>
        </w:trPr>
        <w:tc>
          <w:tcPr>
            <w:tcW w:w="6039" w:type="dxa"/>
            <w:tcBorders>
              <w:top w:val="single" w:sz="4" w:space="0" w:color="auto"/>
              <w:left w:val="nil"/>
              <w:bottom w:val="single" w:sz="4" w:space="0" w:color="auto"/>
              <w:right w:val="nil"/>
            </w:tcBorders>
            <w:shd w:val="clear" w:color="auto" w:fill="auto"/>
            <w:noWrap/>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 </w:t>
            </w:r>
            <w:bookmarkStart w:id="602" w:name="Title_4_27"/>
            <w:bookmarkEnd w:id="602"/>
          </w:p>
        </w:tc>
        <w:tc>
          <w:tcPr>
            <w:tcW w:w="1064" w:type="dxa"/>
            <w:tcBorders>
              <w:top w:val="single" w:sz="4" w:space="0" w:color="auto"/>
              <w:left w:val="nil"/>
              <w:bottom w:val="single" w:sz="4" w:space="0" w:color="auto"/>
              <w:right w:val="nil"/>
            </w:tcBorders>
            <w:shd w:val="clear" w:color="auto" w:fill="auto"/>
            <w:noWrap/>
            <w:vAlign w:val="bottom"/>
            <w:hideMark/>
          </w:tcPr>
          <w:p w:rsidR="00685BE5" w:rsidRPr="007D2274" w:rsidRDefault="0096484D" w:rsidP="00AE4C3A">
            <w:pPr>
              <w:spacing w:before="20" w:after="20"/>
              <w:jc w:val="center"/>
              <w:rPr>
                <w:rFonts w:cstheme="minorHAnsi"/>
                <w:sz w:val="20"/>
                <w:szCs w:val="20"/>
              </w:rPr>
            </w:pPr>
            <w:r>
              <w:rPr>
                <w:rFonts w:cstheme="minorHAnsi"/>
                <w:sz w:val="20"/>
                <w:szCs w:val="20"/>
              </w:rPr>
              <w:t>%</w:t>
            </w:r>
          </w:p>
        </w:tc>
      </w:tr>
      <w:tr w:rsidR="00685BE5" w:rsidRPr="00B90E88" w:rsidTr="00AE4C3A">
        <w:trPr>
          <w:trHeight w:val="288"/>
        </w:trPr>
        <w:tc>
          <w:tcPr>
            <w:tcW w:w="6039" w:type="dxa"/>
            <w:tcBorders>
              <w:top w:val="nil"/>
              <w:left w:val="nil"/>
              <w:bottom w:val="nil"/>
              <w:right w:val="nil"/>
            </w:tcBorders>
            <w:shd w:val="clear" w:color="auto" w:fill="auto"/>
            <w:noWrap/>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Not currently studying</w:t>
            </w:r>
          </w:p>
        </w:tc>
        <w:tc>
          <w:tcPr>
            <w:tcW w:w="1064" w:type="dxa"/>
            <w:tcBorders>
              <w:top w:val="nil"/>
              <w:left w:val="nil"/>
              <w:bottom w:val="nil"/>
              <w:right w:val="nil"/>
            </w:tcBorders>
            <w:shd w:val="clear" w:color="auto" w:fill="auto"/>
            <w:noWrap/>
            <w:vAlign w:val="bottom"/>
            <w:hideMark/>
          </w:tcPr>
          <w:p w:rsidR="00685BE5" w:rsidRPr="007D2274" w:rsidRDefault="00685BE5" w:rsidP="00AE4C3A">
            <w:pPr>
              <w:tabs>
                <w:tab w:val="decimal" w:pos="473"/>
              </w:tabs>
              <w:spacing w:before="20" w:after="20"/>
              <w:ind w:right="147"/>
              <w:jc w:val="right"/>
              <w:rPr>
                <w:rFonts w:cstheme="minorHAnsi"/>
                <w:sz w:val="20"/>
                <w:szCs w:val="20"/>
              </w:rPr>
            </w:pPr>
            <w:r w:rsidRPr="007D2274">
              <w:rPr>
                <w:rFonts w:cstheme="minorHAnsi"/>
                <w:sz w:val="20"/>
                <w:szCs w:val="20"/>
              </w:rPr>
              <w:t>78.9</w:t>
            </w:r>
          </w:p>
        </w:tc>
      </w:tr>
      <w:tr w:rsidR="00685BE5" w:rsidRPr="00B90E88" w:rsidTr="00AE4C3A">
        <w:trPr>
          <w:trHeight w:val="288"/>
        </w:trPr>
        <w:tc>
          <w:tcPr>
            <w:tcW w:w="6039" w:type="dxa"/>
            <w:tcBorders>
              <w:top w:val="nil"/>
              <w:left w:val="nil"/>
              <w:bottom w:val="nil"/>
              <w:right w:val="nil"/>
            </w:tcBorders>
            <w:shd w:val="clear" w:color="auto" w:fill="auto"/>
            <w:noWrap/>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Studying</w:t>
            </w:r>
          </w:p>
        </w:tc>
        <w:tc>
          <w:tcPr>
            <w:tcW w:w="1064" w:type="dxa"/>
            <w:tcBorders>
              <w:top w:val="nil"/>
              <w:left w:val="nil"/>
              <w:bottom w:val="nil"/>
              <w:right w:val="nil"/>
            </w:tcBorders>
            <w:shd w:val="clear" w:color="auto" w:fill="auto"/>
            <w:noWrap/>
            <w:vAlign w:val="bottom"/>
            <w:hideMark/>
          </w:tcPr>
          <w:p w:rsidR="00685BE5" w:rsidRPr="007D2274" w:rsidRDefault="00685BE5" w:rsidP="00AE4C3A">
            <w:pPr>
              <w:tabs>
                <w:tab w:val="decimal" w:pos="473"/>
              </w:tabs>
              <w:spacing w:before="20" w:after="20"/>
              <w:ind w:right="147"/>
              <w:jc w:val="right"/>
              <w:rPr>
                <w:rFonts w:cstheme="minorHAnsi"/>
                <w:sz w:val="20"/>
                <w:szCs w:val="20"/>
              </w:rPr>
            </w:pPr>
            <w:r w:rsidRPr="007D2274">
              <w:rPr>
                <w:rFonts w:cstheme="minorHAnsi"/>
                <w:sz w:val="20"/>
                <w:szCs w:val="20"/>
              </w:rPr>
              <w:t>20.6</w:t>
            </w:r>
          </w:p>
        </w:tc>
      </w:tr>
      <w:tr w:rsidR="00685BE5" w:rsidRPr="00B90E88" w:rsidTr="00AE4C3A">
        <w:trPr>
          <w:trHeight w:val="288"/>
        </w:trPr>
        <w:tc>
          <w:tcPr>
            <w:tcW w:w="6039" w:type="dxa"/>
            <w:tcBorders>
              <w:top w:val="nil"/>
              <w:left w:val="nil"/>
              <w:bottom w:val="single" w:sz="4" w:space="0" w:color="auto"/>
              <w:right w:val="nil"/>
            </w:tcBorders>
            <w:shd w:val="clear" w:color="auto" w:fill="auto"/>
            <w:noWrap/>
            <w:vAlign w:val="bottom"/>
          </w:tcPr>
          <w:p w:rsidR="00685BE5" w:rsidRPr="007D2274" w:rsidRDefault="00685BE5" w:rsidP="00AE4C3A">
            <w:pPr>
              <w:spacing w:before="20" w:after="20"/>
              <w:rPr>
                <w:rFonts w:cstheme="minorHAnsi"/>
                <w:sz w:val="20"/>
                <w:szCs w:val="20"/>
              </w:rPr>
            </w:pPr>
            <w:r w:rsidRPr="007D2274">
              <w:rPr>
                <w:rFonts w:cstheme="minorHAnsi"/>
                <w:sz w:val="20"/>
                <w:szCs w:val="20"/>
              </w:rPr>
              <w:t>Question not answered</w:t>
            </w:r>
            <w:r>
              <w:rPr>
                <w:rFonts w:cstheme="minorHAnsi"/>
                <w:sz w:val="20"/>
                <w:szCs w:val="20"/>
              </w:rPr>
              <w:t xml:space="preserve"> </w:t>
            </w:r>
          </w:p>
        </w:tc>
        <w:tc>
          <w:tcPr>
            <w:tcW w:w="1064" w:type="dxa"/>
            <w:tcBorders>
              <w:top w:val="nil"/>
              <w:left w:val="nil"/>
              <w:bottom w:val="single" w:sz="4" w:space="0" w:color="auto"/>
              <w:right w:val="nil"/>
            </w:tcBorders>
            <w:shd w:val="clear" w:color="auto" w:fill="auto"/>
            <w:noWrap/>
            <w:vAlign w:val="bottom"/>
          </w:tcPr>
          <w:p w:rsidR="00685BE5" w:rsidRPr="007D2274" w:rsidRDefault="00685BE5" w:rsidP="00AE4C3A">
            <w:pPr>
              <w:tabs>
                <w:tab w:val="decimal" w:pos="473"/>
              </w:tabs>
              <w:spacing w:before="20" w:after="20"/>
              <w:ind w:right="147"/>
              <w:jc w:val="right"/>
              <w:rPr>
                <w:rFonts w:cstheme="minorHAnsi"/>
                <w:sz w:val="20"/>
                <w:szCs w:val="20"/>
              </w:rPr>
            </w:pPr>
            <w:r w:rsidRPr="007D2274">
              <w:rPr>
                <w:rFonts w:cstheme="minorHAnsi"/>
                <w:sz w:val="20"/>
                <w:szCs w:val="20"/>
              </w:rPr>
              <w:t>0.5</w:t>
            </w:r>
          </w:p>
        </w:tc>
      </w:tr>
      <w:tr w:rsidR="00685BE5" w:rsidRPr="00E84C9F" w:rsidTr="00AE4C3A">
        <w:trPr>
          <w:trHeight w:val="288"/>
        </w:trPr>
        <w:tc>
          <w:tcPr>
            <w:tcW w:w="6039" w:type="dxa"/>
            <w:tcBorders>
              <w:top w:val="single" w:sz="4" w:space="0" w:color="auto"/>
              <w:left w:val="nil"/>
              <w:bottom w:val="single" w:sz="4" w:space="0" w:color="auto"/>
              <w:right w:val="nil"/>
            </w:tcBorders>
            <w:shd w:val="clear" w:color="auto" w:fill="auto"/>
            <w:noWrap/>
            <w:vAlign w:val="bottom"/>
            <w:hideMark/>
          </w:tcPr>
          <w:p w:rsidR="00685BE5" w:rsidRPr="00E3331B" w:rsidRDefault="00685BE5" w:rsidP="00AE4C3A">
            <w:pPr>
              <w:spacing w:before="20" w:after="20"/>
              <w:rPr>
                <w:rFonts w:cstheme="minorHAnsi"/>
                <w:b/>
                <w:sz w:val="20"/>
                <w:szCs w:val="20"/>
              </w:rPr>
            </w:pPr>
            <w:r w:rsidRPr="00E3331B">
              <w:rPr>
                <w:rFonts w:cstheme="minorHAnsi"/>
                <w:b/>
                <w:sz w:val="20"/>
                <w:szCs w:val="20"/>
              </w:rPr>
              <w:t>Total (N=2</w:t>
            </w:r>
            <w:r>
              <w:rPr>
                <w:rFonts w:cstheme="minorHAnsi"/>
                <w:b/>
                <w:sz w:val="20"/>
                <w:szCs w:val="20"/>
              </w:rPr>
              <w:t>,</w:t>
            </w:r>
            <w:r w:rsidRPr="00E3331B">
              <w:rPr>
                <w:rFonts w:cstheme="minorHAnsi"/>
                <w:b/>
                <w:sz w:val="20"/>
                <w:szCs w:val="20"/>
              </w:rPr>
              <w:t>133)</w:t>
            </w:r>
          </w:p>
        </w:tc>
        <w:tc>
          <w:tcPr>
            <w:tcW w:w="1064" w:type="dxa"/>
            <w:tcBorders>
              <w:top w:val="single" w:sz="4" w:space="0" w:color="auto"/>
              <w:left w:val="nil"/>
              <w:bottom w:val="single" w:sz="4" w:space="0" w:color="auto"/>
              <w:right w:val="nil"/>
            </w:tcBorders>
            <w:shd w:val="clear" w:color="auto" w:fill="auto"/>
            <w:noWrap/>
            <w:vAlign w:val="bottom"/>
            <w:hideMark/>
          </w:tcPr>
          <w:p w:rsidR="00685BE5" w:rsidRPr="00E3331B" w:rsidRDefault="00685BE5" w:rsidP="00AE4C3A">
            <w:pPr>
              <w:tabs>
                <w:tab w:val="decimal" w:pos="473"/>
              </w:tabs>
              <w:spacing w:before="20" w:after="20"/>
              <w:ind w:right="147"/>
              <w:jc w:val="right"/>
              <w:rPr>
                <w:rFonts w:cstheme="minorHAnsi"/>
                <w:b/>
                <w:sz w:val="20"/>
                <w:szCs w:val="20"/>
              </w:rPr>
            </w:pPr>
            <w:r w:rsidRPr="00E3331B">
              <w:rPr>
                <w:rFonts w:cstheme="minorHAnsi"/>
                <w:b/>
                <w:sz w:val="20"/>
                <w:szCs w:val="20"/>
              </w:rPr>
              <w:t>100</w:t>
            </w:r>
          </w:p>
        </w:tc>
      </w:tr>
    </w:tbl>
    <w:p w:rsidR="00D91870" w:rsidRPr="00E1559A" w:rsidRDefault="00D91870">
      <w:pPr>
        <w:rPr>
          <w:sz w:val="2"/>
          <w:szCs w:val="2"/>
        </w:rPr>
      </w:pPr>
    </w:p>
    <w:tbl>
      <w:tblPr>
        <w:tblW w:w="7103" w:type="dxa"/>
        <w:tblInd w:w="93" w:type="dxa"/>
        <w:tblLook w:val="04A0" w:firstRow="1" w:lastRow="0" w:firstColumn="1" w:lastColumn="0" w:noHBand="0" w:noVBand="1"/>
        <w:tblCaption w:val="The remainder of table 4.27 shows the distribution of current fields of study of employees."/>
      </w:tblPr>
      <w:tblGrid>
        <w:gridCol w:w="6039"/>
        <w:gridCol w:w="1064"/>
      </w:tblGrid>
      <w:tr w:rsidR="00685BE5" w:rsidRPr="00B90E88" w:rsidTr="008A27D9">
        <w:trPr>
          <w:trHeight w:val="288"/>
        </w:trPr>
        <w:tc>
          <w:tcPr>
            <w:tcW w:w="6039" w:type="dxa"/>
            <w:tcBorders>
              <w:left w:val="nil"/>
              <w:bottom w:val="nil"/>
              <w:right w:val="nil"/>
            </w:tcBorders>
            <w:shd w:val="clear" w:color="auto" w:fill="auto"/>
            <w:noWrap/>
            <w:vAlign w:val="bottom"/>
            <w:hideMark/>
          </w:tcPr>
          <w:p w:rsidR="00685BE5" w:rsidRPr="007D2274" w:rsidRDefault="00685BE5" w:rsidP="00AE4C3A">
            <w:pPr>
              <w:spacing w:before="20" w:after="20"/>
              <w:rPr>
                <w:rFonts w:cstheme="minorHAnsi"/>
                <w:sz w:val="20"/>
                <w:szCs w:val="20"/>
              </w:rPr>
            </w:pPr>
            <w:bookmarkStart w:id="603" w:name="Title_4_27_fieldofstudy"/>
            <w:bookmarkEnd w:id="603"/>
            <w:r w:rsidRPr="007D2274">
              <w:rPr>
                <w:rFonts w:cstheme="minorHAnsi"/>
                <w:sz w:val="20"/>
                <w:szCs w:val="20"/>
              </w:rPr>
              <w:t>Of those studying:</w:t>
            </w:r>
          </w:p>
        </w:tc>
        <w:tc>
          <w:tcPr>
            <w:tcW w:w="1064" w:type="dxa"/>
            <w:tcBorders>
              <w:left w:val="nil"/>
              <w:bottom w:val="nil"/>
              <w:right w:val="nil"/>
            </w:tcBorders>
            <w:shd w:val="clear" w:color="auto" w:fill="auto"/>
            <w:noWrap/>
            <w:vAlign w:val="center"/>
            <w:hideMark/>
          </w:tcPr>
          <w:p w:rsidR="00685BE5" w:rsidRPr="007D2274" w:rsidRDefault="0096484D" w:rsidP="008A27D9">
            <w:pPr>
              <w:tabs>
                <w:tab w:val="decimal" w:pos="473"/>
              </w:tabs>
              <w:spacing w:before="20" w:after="20"/>
              <w:ind w:right="147"/>
              <w:jc w:val="center"/>
              <w:rPr>
                <w:rFonts w:cstheme="minorHAnsi"/>
                <w:sz w:val="20"/>
                <w:szCs w:val="20"/>
              </w:rPr>
            </w:pPr>
            <w:r>
              <w:rPr>
                <w:rFonts w:cstheme="minorHAnsi"/>
                <w:sz w:val="20"/>
                <w:szCs w:val="20"/>
              </w:rPr>
              <w:t>%</w:t>
            </w:r>
          </w:p>
        </w:tc>
      </w:tr>
      <w:tr w:rsidR="00685BE5" w:rsidRPr="00B90E88" w:rsidTr="00AE4C3A">
        <w:trPr>
          <w:trHeight w:val="288"/>
        </w:trPr>
        <w:tc>
          <w:tcPr>
            <w:tcW w:w="6039" w:type="dxa"/>
            <w:tcBorders>
              <w:top w:val="nil"/>
              <w:left w:val="nil"/>
              <w:bottom w:val="nil"/>
              <w:right w:val="nil"/>
            </w:tcBorders>
            <w:shd w:val="clear" w:color="auto" w:fill="auto"/>
            <w:noWrap/>
            <w:vAlign w:val="bottom"/>
            <w:hideMark/>
          </w:tcPr>
          <w:p w:rsidR="00685BE5" w:rsidRPr="007D2274" w:rsidRDefault="00685BE5" w:rsidP="00AE4C3A">
            <w:pPr>
              <w:spacing w:before="20" w:after="20"/>
              <w:ind w:left="191"/>
              <w:rPr>
                <w:rFonts w:cstheme="minorHAnsi"/>
                <w:sz w:val="20"/>
                <w:szCs w:val="20"/>
              </w:rPr>
            </w:pPr>
            <w:r w:rsidRPr="007D2274">
              <w:rPr>
                <w:rFonts w:cstheme="minorHAnsi"/>
                <w:sz w:val="20"/>
                <w:szCs w:val="20"/>
              </w:rPr>
              <w:t xml:space="preserve">Social </w:t>
            </w:r>
            <w:r>
              <w:rPr>
                <w:rFonts w:cstheme="minorHAnsi"/>
                <w:sz w:val="20"/>
                <w:szCs w:val="20"/>
              </w:rPr>
              <w:t>w</w:t>
            </w:r>
            <w:r w:rsidRPr="007D2274">
              <w:rPr>
                <w:rFonts w:cstheme="minorHAnsi"/>
                <w:sz w:val="20"/>
                <w:szCs w:val="20"/>
              </w:rPr>
              <w:t>ork</w:t>
            </w:r>
          </w:p>
        </w:tc>
        <w:tc>
          <w:tcPr>
            <w:tcW w:w="1064" w:type="dxa"/>
            <w:tcBorders>
              <w:top w:val="nil"/>
              <w:left w:val="nil"/>
              <w:bottom w:val="nil"/>
              <w:right w:val="nil"/>
            </w:tcBorders>
            <w:shd w:val="clear" w:color="auto" w:fill="auto"/>
            <w:noWrap/>
            <w:vAlign w:val="bottom"/>
            <w:hideMark/>
          </w:tcPr>
          <w:p w:rsidR="00685BE5" w:rsidRPr="007D2274" w:rsidRDefault="00685BE5" w:rsidP="00AE4C3A">
            <w:pPr>
              <w:tabs>
                <w:tab w:val="decimal" w:pos="473"/>
              </w:tabs>
              <w:spacing w:before="20" w:after="20"/>
              <w:ind w:right="147"/>
              <w:jc w:val="right"/>
              <w:rPr>
                <w:rFonts w:cstheme="minorHAnsi"/>
                <w:sz w:val="20"/>
                <w:szCs w:val="20"/>
              </w:rPr>
            </w:pPr>
            <w:r w:rsidRPr="007D2274">
              <w:rPr>
                <w:rFonts w:cstheme="minorHAnsi"/>
                <w:sz w:val="20"/>
                <w:szCs w:val="20"/>
              </w:rPr>
              <w:t>9.0</w:t>
            </w:r>
          </w:p>
        </w:tc>
      </w:tr>
      <w:tr w:rsidR="00685BE5" w:rsidRPr="00B90E88" w:rsidTr="00AE4C3A">
        <w:trPr>
          <w:trHeight w:val="288"/>
        </w:trPr>
        <w:tc>
          <w:tcPr>
            <w:tcW w:w="6039" w:type="dxa"/>
            <w:tcBorders>
              <w:top w:val="nil"/>
              <w:left w:val="nil"/>
              <w:bottom w:val="nil"/>
              <w:right w:val="nil"/>
            </w:tcBorders>
            <w:shd w:val="clear" w:color="auto" w:fill="auto"/>
            <w:noWrap/>
            <w:vAlign w:val="bottom"/>
            <w:hideMark/>
          </w:tcPr>
          <w:p w:rsidR="00685BE5" w:rsidRPr="007D2274" w:rsidRDefault="00685BE5" w:rsidP="00AE4C3A">
            <w:pPr>
              <w:spacing w:before="20" w:after="20"/>
              <w:ind w:left="191"/>
              <w:rPr>
                <w:rFonts w:cstheme="minorHAnsi"/>
                <w:sz w:val="20"/>
                <w:szCs w:val="20"/>
              </w:rPr>
            </w:pPr>
            <w:r w:rsidRPr="007D2274">
              <w:rPr>
                <w:rFonts w:cstheme="minorHAnsi"/>
                <w:sz w:val="20"/>
                <w:szCs w:val="20"/>
              </w:rPr>
              <w:t>Disability/</w:t>
            </w:r>
            <w:r>
              <w:rPr>
                <w:rFonts w:cstheme="minorHAnsi"/>
                <w:sz w:val="20"/>
                <w:szCs w:val="20"/>
              </w:rPr>
              <w:t>d</w:t>
            </w:r>
            <w:r w:rsidRPr="007D2274">
              <w:rPr>
                <w:rFonts w:cstheme="minorHAnsi"/>
                <w:sz w:val="20"/>
                <w:szCs w:val="20"/>
              </w:rPr>
              <w:t xml:space="preserve">isability </w:t>
            </w:r>
            <w:r>
              <w:rPr>
                <w:rFonts w:cstheme="minorHAnsi"/>
                <w:sz w:val="20"/>
                <w:szCs w:val="20"/>
              </w:rPr>
              <w:t>s</w:t>
            </w:r>
            <w:r w:rsidRPr="007D2274">
              <w:rPr>
                <w:rFonts w:cstheme="minorHAnsi"/>
                <w:sz w:val="20"/>
                <w:szCs w:val="20"/>
              </w:rPr>
              <w:t>tudies</w:t>
            </w:r>
          </w:p>
        </w:tc>
        <w:tc>
          <w:tcPr>
            <w:tcW w:w="1064" w:type="dxa"/>
            <w:tcBorders>
              <w:top w:val="nil"/>
              <w:left w:val="nil"/>
              <w:bottom w:val="nil"/>
              <w:right w:val="nil"/>
            </w:tcBorders>
            <w:shd w:val="clear" w:color="auto" w:fill="auto"/>
            <w:noWrap/>
            <w:vAlign w:val="bottom"/>
            <w:hideMark/>
          </w:tcPr>
          <w:p w:rsidR="00685BE5" w:rsidRPr="007D2274" w:rsidRDefault="00685BE5" w:rsidP="00AE4C3A">
            <w:pPr>
              <w:tabs>
                <w:tab w:val="decimal" w:pos="473"/>
              </w:tabs>
              <w:spacing w:before="20" w:after="20"/>
              <w:ind w:right="147"/>
              <w:jc w:val="right"/>
              <w:rPr>
                <w:rFonts w:cstheme="minorHAnsi"/>
                <w:sz w:val="20"/>
                <w:szCs w:val="20"/>
              </w:rPr>
            </w:pPr>
            <w:r w:rsidRPr="007D2274">
              <w:rPr>
                <w:rFonts w:cstheme="minorHAnsi"/>
                <w:sz w:val="20"/>
                <w:szCs w:val="20"/>
              </w:rPr>
              <w:t>24.6</w:t>
            </w:r>
          </w:p>
        </w:tc>
      </w:tr>
      <w:tr w:rsidR="00685BE5" w:rsidRPr="00B90E88" w:rsidTr="00AE4C3A">
        <w:trPr>
          <w:trHeight w:val="288"/>
        </w:trPr>
        <w:tc>
          <w:tcPr>
            <w:tcW w:w="6039" w:type="dxa"/>
            <w:tcBorders>
              <w:top w:val="nil"/>
              <w:left w:val="nil"/>
              <w:bottom w:val="nil"/>
              <w:right w:val="nil"/>
            </w:tcBorders>
            <w:shd w:val="clear" w:color="auto" w:fill="auto"/>
            <w:noWrap/>
            <w:vAlign w:val="bottom"/>
            <w:hideMark/>
          </w:tcPr>
          <w:p w:rsidR="00685BE5" w:rsidRPr="007D2274" w:rsidRDefault="00685BE5" w:rsidP="00AE4C3A">
            <w:pPr>
              <w:spacing w:before="20" w:after="20"/>
              <w:ind w:left="191"/>
              <w:rPr>
                <w:rFonts w:cstheme="minorHAnsi"/>
                <w:sz w:val="20"/>
                <w:szCs w:val="20"/>
              </w:rPr>
            </w:pPr>
            <w:r w:rsidRPr="007D2274">
              <w:rPr>
                <w:rFonts w:cstheme="minorHAnsi"/>
                <w:sz w:val="20"/>
                <w:szCs w:val="20"/>
              </w:rPr>
              <w:t>Nursing</w:t>
            </w:r>
          </w:p>
        </w:tc>
        <w:tc>
          <w:tcPr>
            <w:tcW w:w="1064" w:type="dxa"/>
            <w:tcBorders>
              <w:top w:val="nil"/>
              <w:left w:val="nil"/>
              <w:bottom w:val="nil"/>
              <w:right w:val="nil"/>
            </w:tcBorders>
            <w:shd w:val="clear" w:color="auto" w:fill="auto"/>
            <w:noWrap/>
            <w:vAlign w:val="bottom"/>
            <w:hideMark/>
          </w:tcPr>
          <w:p w:rsidR="00685BE5" w:rsidRPr="007D2274" w:rsidRDefault="00685BE5" w:rsidP="00AE4C3A">
            <w:pPr>
              <w:tabs>
                <w:tab w:val="decimal" w:pos="473"/>
              </w:tabs>
              <w:spacing w:before="20" w:after="20"/>
              <w:ind w:right="147"/>
              <w:jc w:val="right"/>
              <w:rPr>
                <w:rFonts w:cstheme="minorHAnsi"/>
                <w:sz w:val="20"/>
                <w:szCs w:val="20"/>
              </w:rPr>
            </w:pPr>
            <w:r w:rsidRPr="007D2274">
              <w:rPr>
                <w:rFonts w:cstheme="minorHAnsi"/>
                <w:sz w:val="20"/>
                <w:szCs w:val="20"/>
              </w:rPr>
              <w:t>3.8</w:t>
            </w:r>
          </w:p>
        </w:tc>
      </w:tr>
      <w:tr w:rsidR="00685BE5" w:rsidRPr="00B90E88" w:rsidTr="00AE4C3A">
        <w:trPr>
          <w:trHeight w:val="288"/>
        </w:trPr>
        <w:tc>
          <w:tcPr>
            <w:tcW w:w="6039" w:type="dxa"/>
            <w:tcBorders>
              <w:top w:val="nil"/>
              <w:left w:val="nil"/>
              <w:bottom w:val="nil"/>
              <w:right w:val="nil"/>
            </w:tcBorders>
            <w:shd w:val="clear" w:color="auto" w:fill="auto"/>
            <w:noWrap/>
            <w:vAlign w:val="bottom"/>
            <w:hideMark/>
          </w:tcPr>
          <w:p w:rsidR="00685BE5" w:rsidRPr="007D2274" w:rsidRDefault="00685BE5" w:rsidP="00AE4C3A">
            <w:pPr>
              <w:spacing w:before="20" w:after="20"/>
              <w:ind w:left="191"/>
              <w:rPr>
                <w:rFonts w:cstheme="minorHAnsi"/>
                <w:sz w:val="20"/>
                <w:szCs w:val="20"/>
              </w:rPr>
            </w:pPr>
            <w:r w:rsidRPr="007D2274">
              <w:rPr>
                <w:rFonts w:cstheme="minorHAnsi"/>
                <w:sz w:val="20"/>
                <w:szCs w:val="20"/>
              </w:rPr>
              <w:t>Psychology</w:t>
            </w:r>
            <w:r>
              <w:rPr>
                <w:rFonts w:cstheme="minorHAnsi"/>
                <w:sz w:val="20"/>
                <w:szCs w:val="20"/>
              </w:rPr>
              <w:t>/c</w:t>
            </w:r>
            <w:r w:rsidRPr="007D2274">
              <w:rPr>
                <w:rFonts w:cstheme="minorHAnsi"/>
                <w:sz w:val="20"/>
                <w:szCs w:val="20"/>
              </w:rPr>
              <w:t>ounselling</w:t>
            </w:r>
          </w:p>
        </w:tc>
        <w:tc>
          <w:tcPr>
            <w:tcW w:w="1064" w:type="dxa"/>
            <w:tcBorders>
              <w:top w:val="nil"/>
              <w:left w:val="nil"/>
              <w:bottom w:val="nil"/>
              <w:right w:val="nil"/>
            </w:tcBorders>
            <w:shd w:val="clear" w:color="auto" w:fill="auto"/>
            <w:noWrap/>
            <w:vAlign w:val="bottom"/>
            <w:hideMark/>
          </w:tcPr>
          <w:p w:rsidR="00685BE5" w:rsidRPr="007D2274" w:rsidRDefault="00685BE5" w:rsidP="00AE4C3A">
            <w:pPr>
              <w:tabs>
                <w:tab w:val="decimal" w:pos="473"/>
              </w:tabs>
              <w:spacing w:before="20" w:after="20"/>
              <w:ind w:right="147"/>
              <w:jc w:val="right"/>
              <w:rPr>
                <w:rFonts w:cstheme="minorHAnsi"/>
                <w:sz w:val="20"/>
                <w:szCs w:val="20"/>
              </w:rPr>
            </w:pPr>
            <w:r w:rsidRPr="007D2274">
              <w:rPr>
                <w:rFonts w:cstheme="minorHAnsi"/>
                <w:sz w:val="20"/>
                <w:szCs w:val="20"/>
              </w:rPr>
              <w:t>10.5</w:t>
            </w:r>
          </w:p>
        </w:tc>
      </w:tr>
      <w:tr w:rsidR="00685BE5" w:rsidRPr="00B90E88" w:rsidTr="00AE4C3A">
        <w:trPr>
          <w:trHeight w:val="288"/>
        </w:trPr>
        <w:tc>
          <w:tcPr>
            <w:tcW w:w="6039" w:type="dxa"/>
            <w:tcBorders>
              <w:top w:val="nil"/>
              <w:left w:val="nil"/>
              <w:bottom w:val="nil"/>
              <w:right w:val="nil"/>
            </w:tcBorders>
            <w:shd w:val="clear" w:color="auto" w:fill="auto"/>
            <w:noWrap/>
            <w:vAlign w:val="bottom"/>
            <w:hideMark/>
          </w:tcPr>
          <w:p w:rsidR="00685BE5" w:rsidRPr="007D2274" w:rsidRDefault="00685BE5" w:rsidP="00AE4C3A">
            <w:pPr>
              <w:spacing w:before="20" w:after="20"/>
              <w:ind w:left="191"/>
              <w:rPr>
                <w:rFonts w:cstheme="minorHAnsi"/>
                <w:sz w:val="20"/>
                <w:szCs w:val="20"/>
              </w:rPr>
            </w:pPr>
            <w:r w:rsidRPr="007D2274">
              <w:rPr>
                <w:rFonts w:cstheme="minorHAnsi"/>
                <w:sz w:val="20"/>
                <w:szCs w:val="20"/>
              </w:rPr>
              <w:t xml:space="preserve">Community </w:t>
            </w:r>
            <w:r>
              <w:rPr>
                <w:rFonts w:cstheme="minorHAnsi"/>
                <w:sz w:val="20"/>
                <w:szCs w:val="20"/>
              </w:rPr>
              <w:t>w</w:t>
            </w:r>
            <w:r w:rsidRPr="007D2274">
              <w:rPr>
                <w:rFonts w:cstheme="minorHAnsi"/>
                <w:sz w:val="20"/>
                <w:szCs w:val="20"/>
              </w:rPr>
              <w:t>ork/</w:t>
            </w:r>
            <w:r>
              <w:rPr>
                <w:rFonts w:cstheme="minorHAnsi"/>
                <w:sz w:val="20"/>
                <w:szCs w:val="20"/>
              </w:rPr>
              <w:t>c</w:t>
            </w:r>
            <w:r w:rsidRPr="007D2274">
              <w:rPr>
                <w:rFonts w:cstheme="minorHAnsi"/>
                <w:sz w:val="20"/>
                <w:szCs w:val="20"/>
              </w:rPr>
              <w:t xml:space="preserve">ommunity </w:t>
            </w:r>
            <w:r>
              <w:rPr>
                <w:rFonts w:cstheme="minorHAnsi"/>
                <w:sz w:val="20"/>
                <w:szCs w:val="20"/>
              </w:rPr>
              <w:t>s</w:t>
            </w:r>
            <w:r w:rsidRPr="007D2274">
              <w:rPr>
                <w:rFonts w:cstheme="minorHAnsi"/>
                <w:sz w:val="20"/>
                <w:szCs w:val="20"/>
              </w:rPr>
              <w:t>ervices/</w:t>
            </w:r>
            <w:r>
              <w:rPr>
                <w:rFonts w:cstheme="minorHAnsi"/>
                <w:sz w:val="20"/>
                <w:szCs w:val="20"/>
              </w:rPr>
              <w:t>w</w:t>
            </w:r>
            <w:r w:rsidRPr="007D2274">
              <w:rPr>
                <w:rFonts w:cstheme="minorHAnsi"/>
                <w:sz w:val="20"/>
                <w:szCs w:val="20"/>
              </w:rPr>
              <w:t xml:space="preserve">elfare </w:t>
            </w:r>
            <w:r>
              <w:rPr>
                <w:rFonts w:cstheme="minorHAnsi"/>
                <w:sz w:val="20"/>
                <w:szCs w:val="20"/>
              </w:rPr>
              <w:t>s</w:t>
            </w:r>
            <w:r w:rsidRPr="007D2274">
              <w:rPr>
                <w:rFonts w:cstheme="minorHAnsi"/>
                <w:sz w:val="20"/>
                <w:szCs w:val="20"/>
              </w:rPr>
              <w:t>ervices/</w:t>
            </w:r>
            <w:r>
              <w:rPr>
                <w:rFonts w:cstheme="minorHAnsi"/>
                <w:sz w:val="20"/>
                <w:szCs w:val="20"/>
              </w:rPr>
              <w:t>c</w:t>
            </w:r>
            <w:r w:rsidRPr="007D2274">
              <w:rPr>
                <w:rFonts w:cstheme="minorHAnsi"/>
                <w:sz w:val="20"/>
                <w:szCs w:val="20"/>
              </w:rPr>
              <w:t xml:space="preserve">are </w:t>
            </w:r>
            <w:r>
              <w:rPr>
                <w:rFonts w:cstheme="minorHAnsi"/>
                <w:sz w:val="20"/>
                <w:szCs w:val="20"/>
              </w:rPr>
              <w:t>w</w:t>
            </w:r>
            <w:r w:rsidRPr="007D2274">
              <w:rPr>
                <w:rFonts w:cstheme="minorHAnsi"/>
                <w:sz w:val="20"/>
                <w:szCs w:val="20"/>
              </w:rPr>
              <w:t>ork</w:t>
            </w:r>
          </w:p>
        </w:tc>
        <w:tc>
          <w:tcPr>
            <w:tcW w:w="1064" w:type="dxa"/>
            <w:tcBorders>
              <w:top w:val="nil"/>
              <w:left w:val="nil"/>
              <w:bottom w:val="nil"/>
              <w:right w:val="nil"/>
            </w:tcBorders>
            <w:shd w:val="clear" w:color="auto" w:fill="auto"/>
            <w:noWrap/>
            <w:vAlign w:val="bottom"/>
            <w:hideMark/>
          </w:tcPr>
          <w:p w:rsidR="00685BE5" w:rsidRPr="007D2274" w:rsidRDefault="00685BE5" w:rsidP="00AE4C3A">
            <w:pPr>
              <w:tabs>
                <w:tab w:val="decimal" w:pos="473"/>
              </w:tabs>
              <w:spacing w:before="20" w:after="20"/>
              <w:ind w:right="147"/>
              <w:jc w:val="right"/>
              <w:rPr>
                <w:rFonts w:cstheme="minorHAnsi"/>
                <w:sz w:val="20"/>
                <w:szCs w:val="20"/>
              </w:rPr>
            </w:pPr>
            <w:r w:rsidRPr="007D2274">
              <w:rPr>
                <w:rFonts w:cstheme="minorHAnsi"/>
                <w:sz w:val="20"/>
                <w:szCs w:val="20"/>
              </w:rPr>
              <w:t>14.7</w:t>
            </w:r>
          </w:p>
        </w:tc>
      </w:tr>
      <w:tr w:rsidR="00685BE5" w:rsidRPr="00B90E88" w:rsidTr="00AE4C3A">
        <w:trPr>
          <w:trHeight w:val="288"/>
        </w:trPr>
        <w:tc>
          <w:tcPr>
            <w:tcW w:w="6039" w:type="dxa"/>
            <w:tcBorders>
              <w:top w:val="nil"/>
              <w:left w:val="nil"/>
              <w:bottom w:val="nil"/>
              <w:right w:val="nil"/>
            </w:tcBorders>
            <w:shd w:val="clear" w:color="auto" w:fill="auto"/>
            <w:noWrap/>
            <w:vAlign w:val="bottom"/>
            <w:hideMark/>
          </w:tcPr>
          <w:p w:rsidR="00685BE5" w:rsidRPr="007D2274" w:rsidRDefault="00685BE5" w:rsidP="00AE4C3A">
            <w:pPr>
              <w:spacing w:before="20" w:after="20"/>
              <w:ind w:left="191"/>
              <w:rPr>
                <w:rFonts w:cstheme="minorHAnsi"/>
                <w:sz w:val="20"/>
                <w:szCs w:val="20"/>
              </w:rPr>
            </w:pPr>
            <w:r w:rsidRPr="007D2274">
              <w:rPr>
                <w:rFonts w:cstheme="minorHAnsi"/>
                <w:sz w:val="20"/>
                <w:szCs w:val="20"/>
              </w:rPr>
              <w:t xml:space="preserve">Youth </w:t>
            </w:r>
            <w:r>
              <w:rPr>
                <w:rFonts w:cstheme="minorHAnsi"/>
                <w:sz w:val="20"/>
                <w:szCs w:val="20"/>
              </w:rPr>
              <w:t>w</w:t>
            </w:r>
            <w:r w:rsidRPr="007D2274">
              <w:rPr>
                <w:rFonts w:cstheme="minorHAnsi"/>
                <w:sz w:val="20"/>
                <w:szCs w:val="20"/>
              </w:rPr>
              <w:t>ork/</w:t>
            </w:r>
            <w:r>
              <w:rPr>
                <w:rFonts w:cstheme="minorHAnsi"/>
                <w:sz w:val="20"/>
                <w:szCs w:val="20"/>
              </w:rPr>
              <w:t>y</w:t>
            </w:r>
            <w:r w:rsidRPr="007D2274">
              <w:rPr>
                <w:rFonts w:cstheme="minorHAnsi"/>
                <w:sz w:val="20"/>
                <w:szCs w:val="20"/>
              </w:rPr>
              <w:t>outh services</w:t>
            </w:r>
          </w:p>
        </w:tc>
        <w:tc>
          <w:tcPr>
            <w:tcW w:w="1064" w:type="dxa"/>
            <w:tcBorders>
              <w:top w:val="nil"/>
              <w:left w:val="nil"/>
              <w:bottom w:val="nil"/>
              <w:right w:val="nil"/>
            </w:tcBorders>
            <w:shd w:val="clear" w:color="auto" w:fill="auto"/>
            <w:noWrap/>
            <w:vAlign w:val="bottom"/>
            <w:hideMark/>
          </w:tcPr>
          <w:p w:rsidR="00685BE5" w:rsidRPr="007D2274" w:rsidRDefault="00685BE5" w:rsidP="00AE4C3A">
            <w:pPr>
              <w:tabs>
                <w:tab w:val="decimal" w:pos="473"/>
              </w:tabs>
              <w:spacing w:before="20" w:after="20"/>
              <w:ind w:right="147"/>
              <w:jc w:val="right"/>
              <w:rPr>
                <w:rFonts w:cstheme="minorHAnsi"/>
                <w:sz w:val="20"/>
                <w:szCs w:val="20"/>
              </w:rPr>
            </w:pPr>
            <w:r w:rsidRPr="007D2274">
              <w:rPr>
                <w:rFonts w:cstheme="minorHAnsi"/>
                <w:sz w:val="20"/>
                <w:szCs w:val="20"/>
              </w:rPr>
              <w:t>0.6</w:t>
            </w:r>
          </w:p>
        </w:tc>
      </w:tr>
      <w:tr w:rsidR="00685BE5" w:rsidRPr="00B90E88" w:rsidTr="00AE4C3A">
        <w:trPr>
          <w:trHeight w:val="288"/>
        </w:trPr>
        <w:tc>
          <w:tcPr>
            <w:tcW w:w="6039" w:type="dxa"/>
            <w:tcBorders>
              <w:top w:val="nil"/>
              <w:left w:val="nil"/>
              <w:bottom w:val="nil"/>
              <w:right w:val="nil"/>
            </w:tcBorders>
            <w:shd w:val="clear" w:color="auto" w:fill="auto"/>
            <w:noWrap/>
            <w:vAlign w:val="bottom"/>
            <w:hideMark/>
          </w:tcPr>
          <w:p w:rsidR="00685BE5" w:rsidRPr="007D2274" w:rsidRDefault="00685BE5" w:rsidP="00AE4C3A">
            <w:pPr>
              <w:spacing w:before="20" w:after="20"/>
              <w:ind w:left="191"/>
              <w:rPr>
                <w:rFonts w:cstheme="minorHAnsi"/>
                <w:sz w:val="20"/>
                <w:szCs w:val="20"/>
              </w:rPr>
            </w:pPr>
            <w:r w:rsidRPr="007D2274">
              <w:rPr>
                <w:rFonts w:cstheme="minorHAnsi"/>
                <w:sz w:val="20"/>
                <w:szCs w:val="20"/>
              </w:rPr>
              <w:t xml:space="preserve">Children's </w:t>
            </w:r>
            <w:r>
              <w:rPr>
                <w:rFonts w:cstheme="minorHAnsi"/>
                <w:sz w:val="20"/>
                <w:szCs w:val="20"/>
              </w:rPr>
              <w:t>s</w:t>
            </w:r>
            <w:r w:rsidRPr="007D2274">
              <w:rPr>
                <w:rFonts w:cstheme="minorHAnsi"/>
                <w:sz w:val="20"/>
                <w:szCs w:val="20"/>
              </w:rPr>
              <w:t>ervices</w:t>
            </w:r>
          </w:p>
        </w:tc>
        <w:tc>
          <w:tcPr>
            <w:tcW w:w="1064" w:type="dxa"/>
            <w:tcBorders>
              <w:top w:val="nil"/>
              <w:left w:val="nil"/>
              <w:bottom w:val="nil"/>
              <w:right w:val="nil"/>
            </w:tcBorders>
            <w:shd w:val="clear" w:color="auto" w:fill="auto"/>
            <w:noWrap/>
            <w:vAlign w:val="bottom"/>
            <w:hideMark/>
          </w:tcPr>
          <w:p w:rsidR="00685BE5" w:rsidRPr="007D2274" w:rsidRDefault="00685BE5" w:rsidP="00AE4C3A">
            <w:pPr>
              <w:tabs>
                <w:tab w:val="decimal" w:pos="473"/>
              </w:tabs>
              <w:spacing w:before="20" w:after="20"/>
              <w:ind w:right="147"/>
              <w:jc w:val="right"/>
              <w:rPr>
                <w:rFonts w:cstheme="minorHAnsi"/>
                <w:sz w:val="20"/>
                <w:szCs w:val="20"/>
              </w:rPr>
            </w:pPr>
            <w:r w:rsidRPr="007D2274">
              <w:rPr>
                <w:rFonts w:cstheme="minorHAnsi"/>
                <w:sz w:val="20"/>
                <w:szCs w:val="20"/>
              </w:rPr>
              <w:t>1.1</w:t>
            </w:r>
          </w:p>
        </w:tc>
      </w:tr>
      <w:tr w:rsidR="00685BE5" w:rsidRPr="00B90E88" w:rsidTr="00AE4C3A">
        <w:trPr>
          <w:trHeight w:val="288"/>
        </w:trPr>
        <w:tc>
          <w:tcPr>
            <w:tcW w:w="6039" w:type="dxa"/>
            <w:tcBorders>
              <w:top w:val="nil"/>
              <w:left w:val="nil"/>
              <w:bottom w:val="nil"/>
              <w:right w:val="nil"/>
            </w:tcBorders>
            <w:shd w:val="clear" w:color="auto" w:fill="auto"/>
            <w:noWrap/>
            <w:vAlign w:val="bottom"/>
            <w:hideMark/>
          </w:tcPr>
          <w:p w:rsidR="00685BE5" w:rsidRPr="007D2274" w:rsidRDefault="00685BE5" w:rsidP="00AE4C3A">
            <w:pPr>
              <w:spacing w:before="20" w:after="20"/>
              <w:ind w:left="191"/>
              <w:rPr>
                <w:rFonts w:cstheme="minorHAnsi"/>
                <w:sz w:val="20"/>
                <w:szCs w:val="20"/>
              </w:rPr>
            </w:pPr>
            <w:r w:rsidRPr="007D2274">
              <w:rPr>
                <w:rFonts w:cstheme="minorHAnsi"/>
                <w:sz w:val="20"/>
                <w:szCs w:val="20"/>
              </w:rPr>
              <w:t xml:space="preserve">Allied </w:t>
            </w:r>
            <w:r>
              <w:rPr>
                <w:rFonts w:cstheme="minorHAnsi"/>
                <w:sz w:val="20"/>
                <w:szCs w:val="20"/>
              </w:rPr>
              <w:t>h</w:t>
            </w:r>
            <w:r w:rsidRPr="007D2274">
              <w:rPr>
                <w:rFonts w:cstheme="minorHAnsi"/>
                <w:sz w:val="20"/>
                <w:szCs w:val="20"/>
              </w:rPr>
              <w:t xml:space="preserve">ealth (e.g. </w:t>
            </w:r>
            <w:r>
              <w:rPr>
                <w:rFonts w:cstheme="minorHAnsi"/>
                <w:sz w:val="20"/>
                <w:szCs w:val="20"/>
              </w:rPr>
              <w:t>p</w:t>
            </w:r>
            <w:r w:rsidRPr="007D2274">
              <w:rPr>
                <w:rFonts w:cstheme="minorHAnsi"/>
                <w:sz w:val="20"/>
                <w:szCs w:val="20"/>
              </w:rPr>
              <w:t xml:space="preserve">hysiotherapy, </w:t>
            </w:r>
            <w:r>
              <w:rPr>
                <w:rFonts w:cstheme="minorHAnsi"/>
                <w:sz w:val="20"/>
                <w:szCs w:val="20"/>
              </w:rPr>
              <w:t>p</w:t>
            </w:r>
            <w:r w:rsidRPr="007D2274">
              <w:rPr>
                <w:rFonts w:cstheme="minorHAnsi"/>
                <w:sz w:val="20"/>
                <w:szCs w:val="20"/>
              </w:rPr>
              <w:t xml:space="preserve">odiatry, </w:t>
            </w:r>
            <w:r>
              <w:rPr>
                <w:rFonts w:cstheme="minorHAnsi"/>
                <w:sz w:val="20"/>
                <w:szCs w:val="20"/>
              </w:rPr>
              <w:t>s</w:t>
            </w:r>
            <w:r w:rsidRPr="007D2274">
              <w:rPr>
                <w:rFonts w:cstheme="minorHAnsi"/>
                <w:sz w:val="20"/>
                <w:szCs w:val="20"/>
              </w:rPr>
              <w:t>peech pathology)</w:t>
            </w:r>
          </w:p>
        </w:tc>
        <w:tc>
          <w:tcPr>
            <w:tcW w:w="1064" w:type="dxa"/>
            <w:tcBorders>
              <w:top w:val="nil"/>
              <w:left w:val="nil"/>
              <w:bottom w:val="nil"/>
              <w:right w:val="nil"/>
            </w:tcBorders>
            <w:shd w:val="clear" w:color="auto" w:fill="auto"/>
            <w:noWrap/>
            <w:vAlign w:val="bottom"/>
            <w:hideMark/>
          </w:tcPr>
          <w:p w:rsidR="00685BE5" w:rsidRPr="007D2274" w:rsidRDefault="00685BE5" w:rsidP="00AE4C3A">
            <w:pPr>
              <w:tabs>
                <w:tab w:val="decimal" w:pos="473"/>
              </w:tabs>
              <w:spacing w:before="20" w:after="20"/>
              <w:ind w:right="147"/>
              <w:jc w:val="right"/>
              <w:rPr>
                <w:rFonts w:cstheme="minorHAnsi"/>
                <w:sz w:val="20"/>
                <w:szCs w:val="20"/>
              </w:rPr>
            </w:pPr>
            <w:r w:rsidRPr="007D2274">
              <w:rPr>
                <w:rFonts w:cstheme="minorHAnsi"/>
                <w:sz w:val="20"/>
                <w:szCs w:val="20"/>
              </w:rPr>
              <w:t>4.2</w:t>
            </w:r>
          </w:p>
        </w:tc>
      </w:tr>
      <w:tr w:rsidR="00685BE5" w:rsidRPr="00B90E88" w:rsidTr="00AE4C3A">
        <w:trPr>
          <w:trHeight w:val="288"/>
        </w:trPr>
        <w:tc>
          <w:tcPr>
            <w:tcW w:w="6039" w:type="dxa"/>
            <w:tcBorders>
              <w:top w:val="nil"/>
              <w:left w:val="nil"/>
              <w:bottom w:val="nil"/>
              <w:right w:val="nil"/>
            </w:tcBorders>
            <w:shd w:val="clear" w:color="auto" w:fill="auto"/>
            <w:noWrap/>
            <w:vAlign w:val="bottom"/>
            <w:hideMark/>
          </w:tcPr>
          <w:p w:rsidR="00685BE5" w:rsidRPr="007D2274" w:rsidRDefault="00685BE5" w:rsidP="00AE4C3A">
            <w:pPr>
              <w:spacing w:before="20" w:after="20"/>
              <w:ind w:left="191"/>
              <w:rPr>
                <w:rFonts w:cstheme="minorHAnsi"/>
                <w:sz w:val="20"/>
                <w:szCs w:val="20"/>
              </w:rPr>
            </w:pPr>
            <w:r w:rsidRPr="007D2274">
              <w:rPr>
                <w:rFonts w:cstheme="minorHAnsi"/>
                <w:sz w:val="20"/>
                <w:szCs w:val="20"/>
              </w:rPr>
              <w:t>Administration</w:t>
            </w:r>
          </w:p>
        </w:tc>
        <w:tc>
          <w:tcPr>
            <w:tcW w:w="1064" w:type="dxa"/>
            <w:tcBorders>
              <w:top w:val="nil"/>
              <w:left w:val="nil"/>
              <w:bottom w:val="nil"/>
              <w:right w:val="nil"/>
            </w:tcBorders>
            <w:shd w:val="clear" w:color="auto" w:fill="auto"/>
            <w:noWrap/>
            <w:vAlign w:val="bottom"/>
            <w:hideMark/>
          </w:tcPr>
          <w:p w:rsidR="00685BE5" w:rsidRPr="007D2274" w:rsidRDefault="00685BE5" w:rsidP="00AE4C3A">
            <w:pPr>
              <w:tabs>
                <w:tab w:val="decimal" w:pos="473"/>
              </w:tabs>
              <w:spacing w:before="20" w:after="20"/>
              <w:ind w:right="147"/>
              <w:jc w:val="right"/>
              <w:rPr>
                <w:rFonts w:cstheme="minorHAnsi"/>
                <w:sz w:val="20"/>
                <w:szCs w:val="20"/>
              </w:rPr>
            </w:pPr>
            <w:r w:rsidRPr="007D2274">
              <w:rPr>
                <w:rFonts w:cstheme="minorHAnsi"/>
                <w:sz w:val="20"/>
                <w:szCs w:val="20"/>
              </w:rPr>
              <w:t>1.7</w:t>
            </w:r>
          </w:p>
        </w:tc>
      </w:tr>
      <w:tr w:rsidR="00685BE5" w:rsidRPr="00B90E88" w:rsidTr="00AE4C3A">
        <w:trPr>
          <w:trHeight w:val="288"/>
        </w:trPr>
        <w:tc>
          <w:tcPr>
            <w:tcW w:w="6039" w:type="dxa"/>
            <w:tcBorders>
              <w:top w:val="nil"/>
              <w:left w:val="nil"/>
              <w:bottom w:val="nil"/>
              <w:right w:val="nil"/>
            </w:tcBorders>
            <w:shd w:val="clear" w:color="auto" w:fill="auto"/>
            <w:noWrap/>
            <w:vAlign w:val="bottom"/>
            <w:hideMark/>
          </w:tcPr>
          <w:p w:rsidR="00685BE5" w:rsidRPr="007D2274" w:rsidRDefault="00685BE5" w:rsidP="00AE4C3A">
            <w:pPr>
              <w:spacing w:before="20" w:after="20"/>
              <w:ind w:left="191"/>
              <w:rPr>
                <w:rFonts w:cstheme="minorHAnsi"/>
                <w:sz w:val="20"/>
                <w:szCs w:val="20"/>
              </w:rPr>
            </w:pPr>
            <w:r w:rsidRPr="007D2274">
              <w:rPr>
                <w:rFonts w:cstheme="minorHAnsi"/>
                <w:sz w:val="20"/>
                <w:szCs w:val="20"/>
              </w:rPr>
              <w:t>Business/</w:t>
            </w:r>
            <w:r>
              <w:rPr>
                <w:rFonts w:cstheme="minorHAnsi"/>
                <w:sz w:val="20"/>
                <w:szCs w:val="20"/>
              </w:rPr>
              <w:t>b</w:t>
            </w:r>
            <w:r w:rsidRPr="007D2274">
              <w:rPr>
                <w:rFonts w:cstheme="minorHAnsi"/>
                <w:sz w:val="20"/>
                <w:szCs w:val="20"/>
              </w:rPr>
              <w:t xml:space="preserve">usiness </w:t>
            </w:r>
            <w:r>
              <w:rPr>
                <w:rFonts w:cstheme="minorHAnsi"/>
                <w:sz w:val="20"/>
                <w:szCs w:val="20"/>
              </w:rPr>
              <w:t>m</w:t>
            </w:r>
            <w:r w:rsidRPr="007D2274">
              <w:rPr>
                <w:rFonts w:cstheme="minorHAnsi"/>
                <w:sz w:val="20"/>
                <w:szCs w:val="20"/>
              </w:rPr>
              <w:t>anagement</w:t>
            </w:r>
          </w:p>
        </w:tc>
        <w:tc>
          <w:tcPr>
            <w:tcW w:w="1064" w:type="dxa"/>
            <w:tcBorders>
              <w:top w:val="nil"/>
              <w:left w:val="nil"/>
              <w:bottom w:val="nil"/>
              <w:right w:val="nil"/>
            </w:tcBorders>
            <w:shd w:val="clear" w:color="auto" w:fill="auto"/>
            <w:noWrap/>
            <w:vAlign w:val="bottom"/>
            <w:hideMark/>
          </w:tcPr>
          <w:p w:rsidR="00685BE5" w:rsidRPr="007D2274" w:rsidRDefault="00685BE5" w:rsidP="00AE4C3A">
            <w:pPr>
              <w:tabs>
                <w:tab w:val="decimal" w:pos="473"/>
              </w:tabs>
              <w:spacing w:before="20" w:after="20"/>
              <w:ind w:right="147"/>
              <w:jc w:val="right"/>
              <w:rPr>
                <w:rFonts w:cstheme="minorHAnsi"/>
                <w:sz w:val="20"/>
                <w:szCs w:val="20"/>
              </w:rPr>
            </w:pPr>
            <w:r w:rsidRPr="007D2274">
              <w:rPr>
                <w:rFonts w:cstheme="minorHAnsi"/>
                <w:sz w:val="20"/>
                <w:szCs w:val="20"/>
              </w:rPr>
              <w:t>7.4</w:t>
            </w:r>
          </w:p>
        </w:tc>
      </w:tr>
      <w:tr w:rsidR="00685BE5" w:rsidRPr="00B90E88" w:rsidTr="00AE4C3A">
        <w:trPr>
          <w:trHeight w:val="288"/>
        </w:trPr>
        <w:tc>
          <w:tcPr>
            <w:tcW w:w="6039" w:type="dxa"/>
            <w:tcBorders>
              <w:top w:val="nil"/>
              <w:left w:val="nil"/>
              <w:bottom w:val="nil"/>
              <w:right w:val="nil"/>
            </w:tcBorders>
            <w:shd w:val="clear" w:color="auto" w:fill="auto"/>
            <w:noWrap/>
            <w:vAlign w:val="bottom"/>
            <w:hideMark/>
          </w:tcPr>
          <w:p w:rsidR="00685BE5" w:rsidRPr="007D2274" w:rsidRDefault="00685BE5" w:rsidP="00AE4C3A">
            <w:pPr>
              <w:spacing w:before="20" w:after="20"/>
              <w:ind w:left="191"/>
              <w:rPr>
                <w:rFonts w:cstheme="minorHAnsi"/>
                <w:sz w:val="20"/>
                <w:szCs w:val="20"/>
              </w:rPr>
            </w:pPr>
            <w:r w:rsidRPr="007D2274">
              <w:rPr>
                <w:rFonts w:cstheme="minorHAnsi"/>
                <w:sz w:val="20"/>
                <w:szCs w:val="20"/>
              </w:rPr>
              <w:t>Law/legal</w:t>
            </w:r>
            <w:r>
              <w:rPr>
                <w:rFonts w:cstheme="minorHAnsi"/>
                <w:sz w:val="20"/>
                <w:szCs w:val="20"/>
              </w:rPr>
              <w:t xml:space="preserve"> s</w:t>
            </w:r>
            <w:r w:rsidRPr="007D2274">
              <w:rPr>
                <w:rFonts w:cstheme="minorHAnsi"/>
                <w:sz w:val="20"/>
                <w:szCs w:val="20"/>
              </w:rPr>
              <w:t>tudies</w:t>
            </w:r>
          </w:p>
        </w:tc>
        <w:tc>
          <w:tcPr>
            <w:tcW w:w="1064" w:type="dxa"/>
            <w:tcBorders>
              <w:top w:val="nil"/>
              <w:left w:val="nil"/>
              <w:bottom w:val="nil"/>
              <w:right w:val="nil"/>
            </w:tcBorders>
            <w:shd w:val="clear" w:color="auto" w:fill="auto"/>
            <w:noWrap/>
            <w:vAlign w:val="bottom"/>
            <w:hideMark/>
          </w:tcPr>
          <w:p w:rsidR="00685BE5" w:rsidRPr="007D2274" w:rsidRDefault="00685BE5" w:rsidP="00AE4C3A">
            <w:pPr>
              <w:tabs>
                <w:tab w:val="decimal" w:pos="473"/>
              </w:tabs>
              <w:spacing w:before="20" w:after="20"/>
              <w:ind w:right="147"/>
              <w:jc w:val="right"/>
              <w:rPr>
                <w:rFonts w:cstheme="minorHAnsi"/>
                <w:sz w:val="20"/>
                <w:szCs w:val="20"/>
              </w:rPr>
            </w:pPr>
            <w:r w:rsidRPr="007D2274">
              <w:rPr>
                <w:rFonts w:cstheme="minorHAnsi"/>
                <w:sz w:val="20"/>
                <w:szCs w:val="20"/>
              </w:rPr>
              <w:t>1.5</w:t>
            </w:r>
          </w:p>
        </w:tc>
      </w:tr>
      <w:tr w:rsidR="00685BE5" w:rsidRPr="00B90E88" w:rsidTr="00AE4C3A">
        <w:trPr>
          <w:trHeight w:val="288"/>
        </w:trPr>
        <w:tc>
          <w:tcPr>
            <w:tcW w:w="6039" w:type="dxa"/>
            <w:tcBorders>
              <w:top w:val="nil"/>
              <w:left w:val="nil"/>
              <w:bottom w:val="nil"/>
              <w:right w:val="nil"/>
            </w:tcBorders>
            <w:shd w:val="clear" w:color="auto" w:fill="auto"/>
            <w:noWrap/>
            <w:vAlign w:val="bottom"/>
            <w:hideMark/>
          </w:tcPr>
          <w:p w:rsidR="00685BE5" w:rsidRPr="007D2274" w:rsidRDefault="00685BE5" w:rsidP="00AE4C3A">
            <w:pPr>
              <w:spacing w:before="20" w:after="20"/>
              <w:ind w:left="191"/>
              <w:rPr>
                <w:rFonts w:cstheme="minorHAnsi"/>
                <w:sz w:val="20"/>
                <w:szCs w:val="20"/>
              </w:rPr>
            </w:pPr>
            <w:r w:rsidRPr="007D2274">
              <w:rPr>
                <w:rFonts w:cstheme="minorHAnsi"/>
                <w:sz w:val="20"/>
                <w:szCs w:val="20"/>
              </w:rPr>
              <w:t xml:space="preserve">Information </w:t>
            </w:r>
            <w:r>
              <w:rPr>
                <w:rFonts w:cstheme="minorHAnsi"/>
                <w:sz w:val="20"/>
                <w:szCs w:val="20"/>
              </w:rPr>
              <w:t>T</w:t>
            </w:r>
            <w:r w:rsidRPr="007D2274">
              <w:rPr>
                <w:rFonts w:cstheme="minorHAnsi"/>
                <w:sz w:val="20"/>
                <w:szCs w:val="20"/>
              </w:rPr>
              <w:t>echnology</w:t>
            </w:r>
          </w:p>
        </w:tc>
        <w:tc>
          <w:tcPr>
            <w:tcW w:w="1064" w:type="dxa"/>
            <w:tcBorders>
              <w:top w:val="nil"/>
              <w:left w:val="nil"/>
              <w:bottom w:val="nil"/>
              <w:right w:val="nil"/>
            </w:tcBorders>
            <w:shd w:val="clear" w:color="auto" w:fill="auto"/>
            <w:noWrap/>
            <w:vAlign w:val="bottom"/>
            <w:hideMark/>
          </w:tcPr>
          <w:p w:rsidR="00685BE5" w:rsidRPr="007D2274" w:rsidRDefault="00685BE5" w:rsidP="00AE4C3A">
            <w:pPr>
              <w:tabs>
                <w:tab w:val="decimal" w:pos="473"/>
              </w:tabs>
              <w:spacing w:before="20" w:after="20"/>
              <w:ind w:right="147"/>
              <w:jc w:val="right"/>
              <w:rPr>
                <w:rFonts w:cstheme="minorHAnsi"/>
                <w:sz w:val="20"/>
                <w:szCs w:val="20"/>
              </w:rPr>
            </w:pPr>
            <w:r w:rsidRPr="007D2274">
              <w:rPr>
                <w:rFonts w:cstheme="minorHAnsi"/>
                <w:sz w:val="20"/>
                <w:szCs w:val="20"/>
              </w:rPr>
              <w:t>0.6</w:t>
            </w:r>
          </w:p>
        </w:tc>
      </w:tr>
      <w:tr w:rsidR="00685BE5" w:rsidRPr="00B90E88" w:rsidTr="00AE4C3A">
        <w:trPr>
          <w:trHeight w:val="288"/>
        </w:trPr>
        <w:tc>
          <w:tcPr>
            <w:tcW w:w="6039" w:type="dxa"/>
            <w:tcBorders>
              <w:top w:val="nil"/>
              <w:left w:val="nil"/>
              <w:bottom w:val="nil"/>
              <w:right w:val="nil"/>
            </w:tcBorders>
            <w:shd w:val="clear" w:color="auto" w:fill="auto"/>
            <w:noWrap/>
            <w:vAlign w:val="bottom"/>
            <w:hideMark/>
          </w:tcPr>
          <w:p w:rsidR="00685BE5" w:rsidRPr="007D2274" w:rsidRDefault="00685BE5" w:rsidP="00AE4C3A">
            <w:pPr>
              <w:spacing w:before="20" w:after="20"/>
              <w:ind w:left="191"/>
              <w:rPr>
                <w:rFonts w:cstheme="minorHAnsi"/>
                <w:sz w:val="20"/>
                <w:szCs w:val="20"/>
              </w:rPr>
            </w:pPr>
            <w:r w:rsidRPr="007D2274">
              <w:rPr>
                <w:rFonts w:cstheme="minorHAnsi"/>
                <w:sz w:val="20"/>
                <w:szCs w:val="20"/>
              </w:rPr>
              <w:t>Other</w:t>
            </w:r>
          </w:p>
        </w:tc>
        <w:tc>
          <w:tcPr>
            <w:tcW w:w="1064" w:type="dxa"/>
            <w:tcBorders>
              <w:top w:val="nil"/>
              <w:left w:val="nil"/>
              <w:bottom w:val="nil"/>
              <w:right w:val="nil"/>
            </w:tcBorders>
            <w:shd w:val="clear" w:color="auto" w:fill="auto"/>
            <w:noWrap/>
            <w:vAlign w:val="bottom"/>
            <w:hideMark/>
          </w:tcPr>
          <w:p w:rsidR="00685BE5" w:rsidRPr="007D2274" w:rsidRDefault="00685BE5" w:rsidP="00AE4C3A">
            <w:pPr>
              <w:tabs>
                <w:tab w:val="decimal" w:pos="473"/>
              </w:tabs>
              <w:spacing w:before="20" w:after="20"/>
              <w:ind w:right="147"/>
              <w:jc w:val="right"/>
              <w:rPr>
                <w:rFonts w:cstheme="minorHAnsi"/>
                <w:sz w:val="20"/>
                <w:szCs w:val="20"/>
              </w:rPr>
            </w:pPr>
            <w:r w:rsidRPr="007D2274">
              <w:rPr>
                <w:rFonts w:cstheme="minorHAnsi"/>
                <w:sz w:val="20"/>
                <w:szCs w:val="20"/>
              </w:rPr>
              <w:t>17.0</w:t>
            </w:r>
          </w:p>
        </w:tc>
      </w:tr>
      <w:tr w:rsidR="00685BE5" w:rsidRPr="00B90E88" w:rsidTr="00AE4C3A">
        <w:trPr>
          <w:trHeight w:val="288"/>
        </w:trPr>
        <w:tc>
          <w:tcPr>
            <w:tcW w:w="6039" w:type="dxa"/>
            <w:tcBorders>
              <w:top w:val="nil"/>
              <w:left w:val="nil"/>
              <w:bottom w:val="single" w:sz="4" w:space="0" w:color="auto"/>
              <w:right w:val="nil"/>
            </w:tcBorders>
            <w:shd w:val="clear" w:color="auto" w:fill="auto"/>
            <w:noWrap/>
            <w:vAlign w:val="bottom"/>
            <w:hideMark/>
          </w:tcPr>
          <w:p w:rsidR="00685BE5" w:rsidRPr="007D2274" w:rsidRDefault="00685BE5" w:rsidP="00AE4C3A">
            <w:pPr>
              <w:spacing w:before="20" w:after="20"/>
              <w:ind w:left="191"/>
              <w:rPr>
                <w:rFonts w:cstheme="minorHAnsi"/>
                <w:sz w:val="20"/>
                <w:szCs w:val="20"/>
              </w:rPr>
            </w:pPr>
            <w:r w:rsidRPr="007D2274">
              <w:rPr>
                <w:rFonts w:cstheme="minorHAnsi"/>
                <w:sz w:val="20"/>
                <w:szCs w:val="20"/>
              </w:rPr>
              <w:t xml:space="preserve">Question not answered </w:t>
            </w:r>
          </w:p>
        </w:tc>
        <w:tc>
          <w:tcPr>
            <w:tcW w:w="1064" w:type="dxa"/>
            <w:tcBorders>
              <w:top w:val="nil"/>
              <w:left w:val="nil"/>
              <w:bottom w:val="single" w:sz="4" w:space="0" w:color="auto"/>
              <w:right w:val="nil"/>
            </w:tcBorders>
            <w:shd w:val="clear" w:color="auto" w:fill="auto"/>
            <w:noWrap/>
            <w:vAlign w:val="bottom"/>
            <w:hideMark/>
          </w:tcPr>
          <w:p w:rsidR="00685BE5" w:rsidRPr="007D2274" w:rsidRDefault="00685BE5" w:rsidP="00AE4C3A">
            <w:pPr>
              <w:tabs>
                <w:tab w:val="decimal" w:pos="473"/>
              </w:tabs>
              <w:spacing w:before="20" w:after="20"/>
              <w:ind w:right="147"/>
              <w:jc w:val="right"/>
              <w:rPr>
                <w:rFonts w:cstheme="minorHAnsi"/>
                <w:sz w:val="20"/>
                <w:szCs w:val="20"/>
              </w:rPr>
            </w:pPr>
            <w:r w:rsidRPr="007D2274">
              <w:rPr>
                <w:rFonts w:cstheme="minorHAnsi"/>
                <w:sz w:val="20"/>
                <w:szCs w:val="20"/>
              </w:rPr>
              <w:t>3.4</w:t>
            </w:r>
          </w:p>
        </w:tc>
      </w:tr>
      <w:tr w:rsidR="00685BE5" w:rsidRPr="00E84C9F" w:rsidTr="00AE4C3A">
        <w:trPr>
          <w:trHeight w:val="288"/>
        </w:trPr>
        <w:tc>
          <w:tcPr>
            <w:tcW w:w="6039" w:type="dxa"/>
            <w:tcBorders>
              <w:top w:val="single" w:sz="4" w:space="0" w:color="auto"/>
              <w:left w:val="nil"/>
              <w:bottom w:val="single" w:sz="4" w:space="0" w:color="auto"/>
              <w:right w:val="nil"/>
            </w:tcBorders>
            <w:shd w:val="clear" w:color="auto" w:fill="auto"/>
            <w:noWrap/>
            <w:vAlign w:val="bottom"/>
            <w:hideMark/>
          </w:tcPr>
          <w:p w:rsidR="00685BE5" w:rsidRPr="00E3331B" w:rsidRDefault="00685BE5" w:rsidP="00AE4C3A">
            <w:pPr>
              <w:spacing w:before="20" w:after="20"/>
              <w:rPr>
                <w:rFonts w:cstheme="minorHAnsi"/>
                <w:b/>
                <w:sz w:val="20"/>
                <w:szCs w:val="20"/>
              </w:rPr>
            </w:pPr>
            <w:r w:rsidRPr="00E3331B">
              <w:rPr>
                <w:rFonts w:cstheme="minorHAnsi"/>
                <w:b/>
                <w:sz w:val="20"/>
                <w:szCs w:val="20"/>
              </w:rPr>
              <w:t>Total (N=476)</w:t>
            </w:r>
          </w:p>
        </w:tc>
        <w:tc>
          <w:tcPr>
            <w:tcW w:w="1064" w:type="dxa"/>
            <w:tcBorders>
              <w:top w:val="single" w:sz="4" w:space="0" w:color="auto"/>
              <w:left w:val="nil"/>
              <w:bottom w:val="single" w:sz="4" w:space="0" w:color="auto"/>
              <w:right w:val="nil"/>
            </w:tcBorders>
            <w:shd w:val="clear" w:color="auto" w:fill="auto"/>
            <w:noWrap/>
            <w:vAlign w:val="bottom"/>
            <w:hideMark/>
          </w:tcPr>
          <w:p w:rsidR="00685BE5" w:rsidRPr="00E3331B" w:rsidRDefault="00685BE5" w:rsidP="00AE4C3A">
            <w:pPr>
              <w:tabs>
                <w:tab w:val="decimal" w:pos="473"/>
              </w:tabs>
              <w:spacing w:before="20" w:after="20"/>
              <w:ind w:right="147"/>
              <w:jc w:val="right"/>
              <w:rPr>
                <w:rFonts w:cstheme="minorHAnsi"/>
                <w:b/>
                <w:sz w:val="20"/>
                <w:szCs w:val="20"/>
              </w:rPr>
            </w:pPr>
            <w:r w:rsidRPr="00E3331B">
              <w:rPr>
                <w:rFonts w:cstheme="minorHAnsi"/>
                <w:b/>
                <w:sz w:val="20"/>
                <w:szCs w:val="20"/>
              </w:rPr>
              <w:t>100</w:t>
            </w:r>
          </w:p>
        </w:tc>
      </w:tr>
    </w:tbl>
    <w:p w:rsidR="00685BE5" w:rsidRPr="005C469C" w:rsidRDefault="00685BE5" w:rsidP="00AE4C3A">
      <w:pPr>
        <w:pStyle w:val="NILSReference"/>
      </w:pPr>
      <w:r w:rsidRPr="005C469C">
        <w:t xml:space="preserve">Source: 2014 NDIS DSP employee survey, Questions A8a and A8c. </w:t>
      </w:r>
    </w:p>
    <w:p w:rsidR="00685BE5" w:rsidRPr="00AB33E3" w:rsidRDefault="00685BE5" w:rsidP="00367B24">
      <w:pPr>
        <w:pStyle w:val="Heading3"/>
      </w:pPr>
      <w:bookmarkStart w:id="604" w:name="_Toc425425086"/>
      <w:bookmarkStart w:id="605" w:name="_Toc428279196"/>
      <w:bookmarkStart w:id="606" w:name="_Toc449955044"/>
      <w:r w:rsidRPr="00AB33E3">
        <w:t>4.</w:t>
      </w:r>
      <w:r>
        <w:t>3</w:t>
      </w:r>
      <w:r w:rsidRPr="00AB33E3">
        <w:t>.</w:t>
      </w:r>
      <w:r>
        <w:t>3</w:t>
      </w:r>
      <w:r w:rsidRPr="00AB33E3">
        <w:t xml:space="preserve"> Main characteristics of the</w:t>
      </w:r>
      <w:r>
        <w:t xml:space="preserve"> disability services</w:t>
      </w:r>
      <w:r w:rsidRPr="00AB33E3">
        <w:t xml:space="preserve"> work</w:t>
      </w:r>
      <w:bookmarkEnd w:id="604"/>
      <w:bookmarkEnd w:id="605"/>
      <w:bookmarkEnd w:id="606"/>
    </w:p>
    <w:p w:rsidR="00685BE5" w:rsidRDefault="00685BE5" w:rsidP="00AE4C3A">
      <w:pPr>
        <w:rPr>
          <w:rFonts w:cstheme="minorHAnsi"/>
        </w:rPr>
      </w:pPr>
      <w:r w:rsidRPr="00AB33E3">
        <w:rPr>
          <w:rFonts w:cstheme="minorHAnsi"/>
        </w:rPr>
        <w:t>In this section the structural features of disability services work (working conditions, career paths and experiences of working in the sector) are described.</w:t>
      </w:r>
    </w:p>
    <w:p w:rsidR="00685BE5" w:rsidRDefault="00685BE5" w:rsidP="00B92687">
      <w:pPr>
        <w:spacing w:before="120" w:line="271" w:lineRule="auto"/>
        <w:outlineLvl w:val="2"/>
        <w:rPr>
          <w:rFonts w:eastAsiaTheme="majorEastAsia" w:cstheme="minorHAnsi"/>
          <w:b/>
          <w:bCs/>
        </w:rPr>
      </w:pPr>
      <w:bookmarkStart w:id="607" w:name="_Toc425425087"/>
      <w:r w:rsidRPr="00827534">
        <w:rPr>
          <w:rFonts w:eastAsiaTheme="majorEastAsia" w:cstheme="minorHAnsi"/>
          <w:b/>
          <w:bCs/>
        </w:rPr>
        <w:t>Working conditions</w:t>
      </w:r>
      <w:bookmarkEnd w:id="607"/>
    </w:p>
    <w:p w:rsidR="00B92687" w:rsidRDefault="00B92687" w:rsidP="00AE4C3A">
      <w:pPr>
        <w:rPr>
          <w:rFonts w:cstheme="minorHAnsi"/>
        </w:rPr>
      </w:pPr>
    </w:p>
    <w:p w:rsidR="00685BE5" w:rsidRDefault="00685BE5" w:rsidP="00AE4C3A">
      <w:pPr>
        <w:rPr>
          <w:rFonts w:cstheme="minorHAnsi"/>
        </w:rPr>
      </w:pPr>
      <w:r w:rsidRPr="00AB33E3">
        <w:rPr>
          <w:rFonts w:cstheme="minorHAnsi"/>
        </w:rPr>
        <w:t xml:space="preserve">The employment arrangements and hours worked within the disability sector are indicators of the level of flexibility required by employers and employees. </w:t>
      </w:r>
    </w:p>
    <w:p w:rsidR="00B92687" w:rsidRDefault="00B92687" w:rsidP="00AE4C3A">
      <w:pPr>
        <w:rPr>
          <w:rFonts w:cstheme="minorHAnsi"/>
        </w:rPr>
      </w:pPr>
    </w:p>
    <w:p w:rsidR="00685BE5" w:rsidRPr="00AB33E3" w:rsidRDefault="00685BE5" w:rsidP="00AE4C3A">
      <w:r w:rsidRPr="00AB33E3">
        <w:rPr>
          <w:rFonts w:cstheme="minorHAnsi"/>
        </w:rPr>
        <w:t xml:space="preserve">Table </w:t>
      </w:r>
      <w:r>
        <w:rPr>
          <w:rFonts w:cstheme="minorHAnsi"/>
        </w:rPr>
        <w:t>4.28</w:t>
      </w:r>
      <w:r w:rsidRPr="00AB33E3">
        <w:rPr>
          <w:rFonts w:cstheme="minorHAnsi"/>
        </w:rPr>
        <w:t xml:space="preserve"> reflects </w:t>
      </w:r>
      <w:r w:rsidRPr="00AB33E3">
        <w:t xml:space="preserve">the </w:t>
      </w:r>
      <w:r>
        <w:t xml:space="preserve">reported </w:t>
      </w:r>
      <w:r w:rsidRPr="00AB33E3">
        <w:t>headcount of DSP PAYG employees that provide disability care or support to users. It is important to note that these figures do not include outlet employees that do not provide direct disability support, such as clerical or maintenance staff, unpaid staff, or non-</w:t>
      </w:r>
      <w:r w:rsidRPr="00AB33E3">
        <w:lastRenderedPageBreak/>
        <w:t>PAYG staff such as agency or self-employed workers (for total payroll e</w:t>
      </w:r>
      <w:r>
        <w:t>mployees of outlets see Table 4.1</w:t>
      </w:r>
      <w:r w:rsidRPr="00AB33E3">
        <w:t xml:space="preserve">). </w:t>
      </w:r>
    </w:p>
    <w:p w:rsidR="00B92687" w:rsidRDefault="00B92687" w:rsidP="00AE4C3A">
      <w:pPr>
        <w:rPr>
          <w:rFonts w:cstheme="minorHAnsi"/>
        </w:rPr>
      </w:pPr>
    </w:p>
    <w:p w:rsidR="00685BE5" w:rsidRDefault="00685BE5" w:rsidP="00AE4C3A">
      <w:pPr>
        <w:rPr>
          <w:rFonts w:cstheme="minorHAnsi"/>
        </w:rPr>
      </w:pPr>
      <w:r w:rsidRPr="00AB33E3">
        <w:rPr>
          <w:rFonts w:cstheme="minorHAnsi"/>
        </w:rPr>
        <w:t xml:space="preserve">The types of employment arrangements of PAYG employees reported by managers indicate about two thirds of disability support workers (64 per cent) </w:t>
      </w:r>
      <w:r>
        <w:rPr>
          <w:rFonts w:cstheme="minorHAnsi"/>
        </w:rPr>
        <w:t>we</w:t>
      </w:r>
      <w:r w:rsidRPr="00AB33E3">
        <w:rPr>
          <w:rFonts w:cstheme="minorHAnsi"/>
        </w:rPr>
        <w:t>re employed on permanent terms.</w:t>
      </w:r>
      <w:r>
        <w:rPr>
          <w:rFonts w:cstheme="minorHAnsi"/>
        </w:rPr>
        <w:t xml:space="preserve"> </w:t>
      </w:r>
      <w:r w:rsidRPr="00AB33E3">
        <w:rPr>
          <w:rFonts w:cstheme="minorHAnsi"/>
        </w:rPr>
        <w:t>A significant proportion of disability support workers (29</w:t>
      </w:r>
      <w:r>
        <w:rPr>
          <w:rFonts w:cstheme="minorHAnsi"/>
        </w:rPr>
        <w:t xml:space="preserve"> per cent</w:t>
      </w:r>
      <w:r w:rsidRPr="00AB33E3">
        <w:rPr>
          <w:rFonts w:cstheme="minorHAnsi"/>
        </w:rPr>
        <w:t xml:space="preserve">) </w:t>
      </w:r>
      <w:r>
        <w:rPr>
          <w:rFonts w:cstheme="minorHAnsi"/>
        </w:rPr>
        <w:t>we</w:t>
      </w:r>
      <w:r w:rsidRPr="00AB33E3">
        <w:rPr>
          <w:rFonts w:cstheme="minorHAnsi"/>
        </w:rPr>
        <w:t xml:space="preserve">re employed on a casual basis. This casual employment share is higher than the corresponding figures for the whole Australian workforce (22 per cent, HILDA 2014). There </w:t>
      </w:r>
      <w:r>
        <w:rPr>
          <w:rFonts w:cstheme="minorHAnsi"/>
        </w:rPr>
        <w:t>we</w:t>
      </w:r>
      <w:r w:rsidRPr="00AB33E3">
        <w:rPr>
          <w:rFonts w:cstheme="minorHAnsi"/>
        </w:rPr>
        <w:t xml:space="preserve">re also fewer permanent staff in disability support than in the aged care workforce of 2012 (36 per cent of disability support workers were casual </w:t>
      </w:r>
      <w:r>
        <w:rPr>
          <w:rFonts w:cstheme="minorHAnsi"/>
        </w:rPr>
        <w:t>or</w:t>
      </w:r>
      <w:r w:rsidRPr="00AB33E3">
        <w:rPr>
          <w:rFonts w:cstheme="minorHAnsi"/>
        </w:rPr>
        <w:t xml:space="preserve"> fixed term compared to 27 per cent of community and 19 per cent of residential aged care workers</w:t>
      </w:r>
      <w:r>
        <w:rPr>
          <w:rFonts w:cstheme="minorHAnsi"/>
        </w:rPr>
        <w:t>, King et al. 2013</w:t>
      </w:r>
      <w:r w:rsidRPr="00AB33E3">
        <w:rPr>
          <w:rFonts w:cstheme="minorHAnsi"/>
        </w:rPr>
        <w:t>).</w:t>
      </w:r>
      <w:r>
        <w:rPr>
          <w:rFonts w:cstheme="minorHAnsi"/>
        </w:rPr>
        <w:t xml:space="preserve"> </w:t>
      </w:r>
    </w:p>
    <w:p w:rsidR="00685BE5" w:rsidRPr="0099702E" w:rsidRDefault="00685BE5" w:rsidP="0044684E">
      <w:pPr>
        <w:pStyle w:val="NILSTableHeading"/>
      </w:pPr>
      <w:bookmarkStart w:id="608" w:name="_Toc425425104"/>
      <w:bookmarkStart w:id="609" w:name="_Toc428279233"/>
      <w:bookmarkStart w:id="610" w:name="_Toc449955364"/>
      <w:r w:rsidRPr="0099702E">
        <w:t xml:space="preserve">Table </w:t>
      </w:r>
      <w:r>
        <w:t>4.28:</w:t>
      </w:r>
      <w:r w:rsidRPr="00E33245">
        <w:t xml:space="preserve"> </w:t>
      </w:r>
      <w:r w:rsidRPr="005F1538">
        <w:t>Form</w:t>
      </w:r>
      <w:r w:rsidRPr="0099702E">
        <w:t xml:space="preserve"> of employment of the</w:t>
      </w:r>
      <w:r>
        <w:t xml:space="preserve"> PAYG</w:t>
      </w:r>
      <w:r w:rsidRPr="0099702E">
        <w:t xml:space="preserve"> disability support workforce</w:t>
      </w:r>
      <w:bookmarkEnd w:id="608"/>
      <w:bookmarkEnd w:id="609"/>
      <w:bookmarkEnd w:id="610"/>
    </w:p>
    <w:tbl>
      <w:tblPr>
        <w:tblW w:w="5260" w:type="dxa"/>
        <w:tblInd w:w="93" w:type="dxa"/>
        <w:tblLook w:val="04A0" w:firstRow="1" w:lastRow="0" w:firstColumn="1" w:lastColumn="0" w:noHBand="0" w:noVBand="1"/>
        <w:tblCaption w:val="Table 4.28 Form of employment of the PAYG disability support workforce"/>
        <w:tblDescription w:val="This table shows the distribution of permanent, fixed term and casual employees as reported by outlet managers.  The total number of employees is 33,577."/>
      </w:tblPr>
      <w:tblGrid>
        <w:gridCol w:w="2380"/>
        <w:gridCol w:w="2880"/>
      </w:tblGrid>
      <w:tr w:rsidR="00685BE5" w:rsidRPr="00E84C9F" w:rsidTr="00D91870">
        <w:trPr>
          <w:trHeight w:val="288"/>
          <w:tblHeader/>
        </w:trPr>
        <w:tc>
          <w:tcPr>
            <w:tcW w:w="2380" w:type="dxa"/>
            <w:tcBorders>
              <w:top w:val="single" w:sz="4" w:space="0" w:color="auto"/>
              <w:left w:val="nil"/>
              <w:bottom w:val="single" w:sz="4" w:space="0" w:color="auto"/>
              <w:right w:val="nil"/>
            </w:tcBorders>
            <w:shd w:val="clear" w:color="auto" w:fill="auto"/>
            <w:noWrap/>
            <w:vAlign w:val="bottom"/>
          </w:tcPr>
          <w:p w:rsidR="00685BE5" w:rsidRPr="00E3331B" w:rsidRDefault="00685BE5" w:rsidP="00AE4C3A">
            <w:pPr>
              <w:spacing w:before="20" w:after="20"/>
              <w:rPr>
                <w:rFonts w:cstheme="minorHAnsi"/>
                <w:bCs/>
                <w:sz w:val="20"/>
                <w:szCs w:val="20"/>
              </w:rPr>
            </w:pPr>
            <w:bookmarkStart w:id="611" w:name="Title_4_28"/>
            <w:bookmarkEnd w:id="611"/>
          </w:p>
        </w:tc>
        <w:tc>
          <w:tcPr>
            <w:tcW w:w="2880" w:type="dxa"/>
            <w:tcBorders>
              <w:top w:val="single" w:sz="4" w:space="0" w:color="auto"/>
              <w:left w:val="nil"/>
              <w:bottom w:val="single" w:sz="4" w:space="0" w:color="auto"/>
              <w:right w:val="nil"/>
            </w:tcBorders>
            <w:shd w:val="clear" w:color="auto" w:fill="auto"/>
            <w:noWrap/>
            <w:vAlign w:val="bottom"/>
          </w:tcPr>
          <w:p w:rsidR="0096484D" w:rsidRPr="00E3331B" w:rsidRDefault="00D35024" w:rsidP="00AE4C3A">
            <w:pPr>
              <w:spacing w:before="20" w:after="20"/>
              <w:jc w:val="center"/>
              <w:rPr>
                <w:rFonts w:cstheme="minorHAnsi"/>
                <w:bCs/>
                <w:sz w:val="20"/>
                <w:szCs w:val="20"/>
              </w:rPr>
            </w:pPr>
            <w:r w:rsidRPr="00D35024">
              <w:rPr>
                <w:rFonts w:cstheme="minorHAnsi"/>
                <w:bCs/>
                <w:sz w:val="20"/>
                <w:szCs w:val="20"/>
              </w:rPr>
              <w:t>Per cent of employees reported by outlet managers</w:t>
            </w:r>
          </w:p>
        </w:tc>
      </w:tr>
      <w:tr w:rsidR="00685BE5" w:rsidRPr="00B90E88" w:rsidTr="00AE4C3A">
        <w:trPr>
          <w:trHeight w:val="288"/>
        </w:trPr>
        <w:tc>
          <w:tcPr>
            <w:tcW w:w="2380" w:type="dxa"/>
            <w:tcBorders>
              <w:top w:val="nil"/>
              <w:left w:val="nil"/>
              <w:bottom w:val="nil"/>
              <w:right w:val="nil"/>
            </w:tcBorders>
            <w:shd w:val="clear" w:color="auto" w:fill="auto"/>
            <w:noWrap/>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Permanent</w:t>
            </w:r>
          </w:p>
        </w:tc>
        <w:tc>
          <w:tcPr>
            <w:tcW w:w="2880" w:type="dxa"/>
            <w:tcBorders>
              <w:top w:val="nil"/>
              <w:left w:val="nil"/>
              <w:bottom w:val="nil"/>
              <w:right w:val="nil"/>
            </w:tcBorders>
            <w:shd w:val="clear" w:color="auto" w:fill="auto"/>
            <w:noWrap/>
            <w:vAlign w:val="bottom"/>
          </w:tcPr>
          <w:p w:rsidR="00685BE5" w:rsidRPr="007D2274" w:rsidRDefault="00685BE5" w:rsidP="0096484D">
            <w:pPr>
              <w:spacing w:before="20" w:after="20"/>
              <w:ind w:right="1026"/>
              <w:jc w:val="right"/>
              <w:rPr>
                <w:rFonts w:cstheme="minorHAnsi"/>
                <w:sz w:val="20"/>
                <w:szCs w:val="20"/>
              </w:rPr>
            </w:pPr>
            <w:r w:rsidRPr="007D2274">
              <w:rPr>
                <w:rFonts w:cstheme="minorHAnsi"/>
                <w:sz w:val="20"/>
                <w:szCs w:val="20"/>
              </w:rPr>
              <w:t>63.8</w:t>
            </w:r>
          </w:p>
        </w:tc>
      </w:tr>
      <w:tr w:rsidR="00685BE5" w:rsidRPr="00B90E88" w:rsidTr="00AE4C3A">
        <w:trPr>
          <w:trHeight w:val="288"/>
        </w:trPr>
        <w:tc>
          <w:tcPr>
            <w:tcW w:w="2380" w:type="dxa"/>
            <w:tcBorders>
              <w:top w:val="nil"/>
              <w:left w:val="nil"/>
              <w:bottom w:val="nil"/>
              <w:right w:val="nil"/>
            </w:tcBorders>
            <w:shd w:val="clear" w:color="auto" w:fill="auto"/>
            <w:noWrap/>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Fixed-term</w:t>
            </w:r>
          </w:p>
        </w:tc>
        <w:tc>
          <w:tcPr>
            <w:tcW w:w="2880" w:type="dxa"/>
            <w:tcBorders>
              <w:top w:val="nil"/>
              <w:left w:val="nil"/>
              <w:bottom w:val="nil"/>
              <w:right w:val="nil"/>
            </w:tcBorders>
            <w:shd w:val="clear" w:color="auto" w:fill="auto"/>
            <w:noWrap/>
            <w:vAlign w:val="bottom"/>
          </w:tcPr>
          <w:p w:rsidR="00685BE5" w:rsidRPr="007D2274" w:rsidRDefault="00685BE5" w:rsidP="0096484D">
            <w:pPr>
              <w:spacing w:before="20" w:after="20"/>
              <w:ind w:right="1026"/>
              <w:jc w:val="right"/>
              <w:rPr>
                <w:rFonts w:cstheme="minorHAnsi"/>
                <w:sz w:val="20"/>
                <w:szCs w:val="20"/>
              </w:rPr>
            </w:pPr>
            <w:r w:rsidRPr="007D2274">
              <w:rPr>
                <w:rFonts w:cstheme="minorHAnsi"/>
                <w:sz w:val="20"/>
                <w:szCs w:val="20"/>
              </w:rPr>
              <w:t>7.5</w:t>
            </w:r>
          </w:p>
        </w:tc>
      </w:tr>
      <w:tr w:rsidR="00685BE5" w:rsidRPr="00B90E88" w:rsidTr="00AE4C3A">
        <w:trPr>
          <w:trHeight w:val="288"/>
        </w:trPr>
        <w:tc>
          <w:tcPr>
            <w:tcW w:w="2380" w:type="dxa"/>
            <w:tcBorders>
              <w:top w:val="nil"/>
              <w:left w:val="nil"/>
              <w:bottom w:val="nil"/>
              <w:right w:val="nil"/>
            </w:tcBorders>
            <w:shd w:val="clear" w:color="auto" w:fill="auto"/>
            <w:noWrap/>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Casual</w:t>
            </w:r>
          </w:p>
        </w:tc>
        <w:tc>
          <w:tcPr>
            <w:tcW w:w="2880" w:type="dxa"/>
            <w:tcBorders>
              <w:top w:val="nil"/>
              <w:left w:val="nil"/>
              <w:bottom w:val="nil"/>
              <w:right w:val="nil"/>
            </w:tcBorders>
            <w:shd w:val="clear" w:color="auto" w:fill="auto"/>
            <w:noWrap/>
            <w:vAlign w:val="bottom"/>
          </w:tcPr>
          <w:p w:rsidR="00685BE5" w:rsidRPr="007D2274" w:rsidRDefault="00685BE5" w:rsidP="0096484D">
            <w:pPr>
              <w:spacing w:before="20" w:after="20"/>
              <w:ind w:right="1026"/>
              <w:jc w:val="right"/>
              <w:rPr>
                <w:rFonts w:cstheme="minorHAnsi"/>
                <w:sz w:val="20"/>
                <w:szCs w:val="20"/>
              </w:rPr>
            </w:pPr>
            <w:r w:rsidRPr="007D2274">
              <w:rPr>
                <w:rFonts w:cstheme="minorHAnsi"/>
                <w:sz w:val="20"/>
                <w:szCs w:val="20"/>
              </w:rPr>
              <w:t>28.7</w:t>
            </w:r>
          </w:p>
        </w:tc>
      </w:tr>
      <w:tr w:rsidR="00685BE5" w:rsidRPr="00E84C9F" w:rsidTr="00AE4C3A">
        <w:trPr>
          <w:trHeight w:val="288"/>
        </w:trPr>
        <w:tc>
          <w:tcPr>
            <w:tcW w:w="2380" w:type="dxa"/>
            <w:tcBorders>
              <w:top w:val="single" w:sz="4" w:space="0" w:color="auto"/>
              <w:left w:val="nil"/>
              <w:bottom w:val="single" w:sz="4" w:space="0" w:color="auto"/>
              <w:right w:val="nil"/>
            </w:tcBorders>
            <w:shd w:val="clear" w:color="auto" w:fill="auto"/>
            <w:noWrap/>
            <w:vAlign w:val="bottom"/>
          </w:tcPr>
          <w:p w:rsidR="00685BE5" w:rsidRPr="00E3331B" w:rsidRDefault="00685BE5" w:rsidP="00AE4C3A">
            <w:pPr>
              <w:spacing w:before="20" w:after="20"/>
              <w:rPr>
                <w:rFonts w:cstheme="minorHAnsi"/>
                <w:b/>
                <w:sz w:val="20"/>
                <w:szCs w:val="20"/>
              </w:rPr>
            </w:pPr>
            <w:r w:rsidRPr="00E3331B">
              <w:rPr>
                <w:rFonts w:cstheme="minorHAnsi"/>
                <w:b/>
                <w:sz w:val="20"/>
                <w:szCs w:val="20"/>
              </w:rPr>
              <w:t>N</w:t>
            </w:r>
            <w:r>
              <w:rPr>
                <w:rFonts w:cstheme="minorHAnsi"/>
                <w:b/>
                <w:sz w:val="20"/>
                <w:szCs w:val="20"/>
              </w:rPr>
              <w:t>umber</w:t>
            </w:r>
            <w:r w:rsidRPr="00E3331B">
              <w:rPr>
                <w:rFonts w:cstheme="minorHAnsi"/>
                <w:b/>
                <w:sz w:val="20"/>
                <w:szCs w:val="20"/>
              </w:rPr>
              <w:t xml:space="preserve"> of employees</w:t>
            </w:r>
          </w:p>
        </w:tc>
        <w:tc>
          <w:tcPr>
            <w:tcW w:w="2880" w:type="dxa"/>
            <w:tcBorders>
              <w:top w:val="single" w:sz="4" w:space="0" w:color="auto"/>
              <w:left w:val="nil"/>
              <w:bottom w:val="single" w:sz="4" w:space="0" w:color="auto"/>
              <w:right w:val="nil"/>
            </w:tcBorders>
            <w:shd w:val="clear" w:color="auto" w:fill="auto"/>
            <w:noWrap/>
            <w:vAlign w:val="bottom"/>
          </w:tcPr>
          <w:p w:rsidR="00685BE5" w:rsidRPr="00E3331B" w:rsidRDefault="00685BE5" w:rsidP="0096484D">
            <w:pPr>
              <w:spacing w:before="20" w:after="20"/>
              <w:ind w:right="1026"/>
              <w:jc w:val="right"/>
              <w:rPr>
                <w:rFonts w:cstheme="minorHAnsi"/>
                <w:b/>
                <w:sz w:val="20"/>
                <w:szCs w:val="20"/>
              </w:rPr>
            </w:pPr>
            <w:r w:rsidRPr="00E3331B">
              <w:rPr>
                <w:rFonts w:cstheme="minorHAnsi"/>
                <w:b/>
                <w:sz w:val="20"/>
                <w:szCs w:val="20"/>
              </w:rPr>
              <w:t>33</w:t>
            </w:r>
            <w:r>
              <w:rPr>
                <w:rFonts w:cstheme="minorHAnsi"/>
                <w:b/>
                <w:sz w:val="20"/>
                <w:szCs w:val="20"/>
              </w:rPr>
              <w:t>,</w:t>
            </w:r>
            <w:r w:rsidRPr="00E3331B">
              <w:rPr>
                <w:rFonts w:cstheme="minorHAnsi"/>
                <w:b/>
                <w:sz w:val="20"/>
                <w:szCs w:val="20"/>
              </w:rPr>
              <w:t>577</w:t>
            </w:r>
          </w:p>
        </w:tc>
      </w:tr>
    </w:tbl>
    <w:p w:rsidR="00685BE5" w:rsidRPr="005C469C" w:rsidRDefault="00685BE5" w:rsidP="00AE4C3A">
      <w:pPr>
        <w:pStyle w:val="NILSReference"/>
      </w:pPr>
      <w:r w:rsidRPr="005C469C">
        <w:t>Source: 2014 NDIS DSP outlet survey, Question B5.</w:t>
      </w:r>
    </w:p>
    <w:p w:rsidR="00685BE5" w:rsidRPr="005C469C" w:rsidRDefault="00685BE5" w:rsidP="00AE4C3A">
      <w:pPr>
        <w:pStyle w:val="NILSReference"/>
      </w:pPr>
      <w:r w:rsidRPr="005C469C">
        <w:t>Notes: 665 Outlet managers responded to this question. Calculations based on headcount number of employees reported with permanent ongoing employment with paid annual and sick leave; fixed term contracts of limited duration with paid annual and sick leave; casual workers without paid leave entitlements.</w:t>
      </w:r>
    </w:p>
    <w:p w:rsidR="00B92687" w:rsidRDefault="00B92687" w:rsidP="00AE4C3A">
      <w:pPr>
        <w:rPr>
          <w:rFonts w:cstheme="minorHAnsi"/>
        </w:rPr>
      </w:pPr>
    </w:p>
    <w:p w:rsidR="00685BE5" w:rsidRDefault="00685BE5" w:rsidP="00AE4C3A">
      <w:pPr>
        <w:rPr>
          <w:rFonts w:cstheme="minorHAnsi"/>
        </w:rPr>
      </w:pPr>
      <w:r w:rsidRPr="00AB33E3">
        <w:rPr>
          <w:rFonts w:cstheme="minorHAnsi"/>
        </w:rPr>
        <w:t>The current and preferred work schedule f</w:t>
      </w:r>
      <w:r>
        <w:rPr>
          <w:rFonts w:cstheme="minorHAnsi"/>
        </w:rPr>
        <w:t>or employees is shown in Table 4.29</w:t>
      </w:r>
      <w:r w:rsidRPr="00AB33E3">
        <w:rPr>
          <w:rFonts w:cstheme="minorHAnsi"/>
        </w:rPr>
        <w:t xml:space="preserve">. Amongst those </w:t>
      </w:r>
      <w:r>
        <w:rPr>
          <w:rFonts w:cstheme="minorHAnsi"/>
        </w:rPr>
        <w:t xml:space="preserve">employees </w:t>
      </w:r>
      <w:r w:rsidRPr="00AB33E3">
        <w:rPr>
          <w:rFonts w:cstheme="minorHAnsi"/>
        </w:rPr>
        <w:t xml:space="preserve">who supplied information on their work schedule, slightly more than 80 </w:t>
      </w:r>
      <w:r>
        <w:rPr>
          <w:rFonts w:cstheme="minorHAnsi"/>
        </w:rPr>
        <w:t>per cent</w:t>
      </w:r>
      <w:r w:rsidRPr="00AB33E3">
        <w:rPr>
          <w:rFonts w:cstheme="minorHAnsi"/>
        </w:rPr>
        <w:t xml:space="preserve"> </w:t>
      </w:r>
      <w:r>
        <w:rPr>
          <w:rFonts w:cstheme="minorHAnsi"/>
        </w:rPr>
        <w:t>we</w:t>
      </w:r>
      <w:r w:rsidRPr="00AB33E3">
        <w:rPr>
          <w:rFonts w:cstheme="minorHAnsi"/>
        </w:rPr>
        <w:t>re employed on regular daytime shifts. The distribution of the preferred work schedule appear</w:t>
      </w:r>
      <w:r>
        <w:rPr>
          <w:rFonts w:cstheme="minorHAnsi"/>
        </w:rPr>
        <w:t>ed</w:t>
      </w:r>
      <w:r w:rsidRPr="00AB33E3">
        <w:rPr>
          <w:rFonts w:cstheme="minorHAnsi"/>
        </w:rPr>
        <w:t xml:space="preserve"> similar to that for the current work schedule, though fewer employees </w:t>
      </w:r>
      <w:r w:rsidR="006155A0">
        <w:rPr>
          <w:rFonts w:cstheme="minorHAnsi"/>
        </w:rPr>
        <w:t>preferred</w:t>
      </w:r>
      <w:r w:rsidRPr="00AB33E3">
        <w:rPr>
          <w:rFonts w:cstheme="minorHAnsi"/>
        </w:rPr>
        <w:t xml:space="preserve"> an irregular schedule and more </w:t>
      </w:r>
      <w:r w:rsidR="006155A0">
        <w:rPr>
          <w:rFonts w:cstheme="minorHAnsi"/>
        </w:rPr>
        <w:t>preferred</w:t>
      </w:r>
      <w:r w:rsidRPr="00AB33E3">
        <w:rPr>
          <w:rFonts w:cstheme="minorHAnsi"/>
        </w:rPr>
        <w:t xml:space="preserve"> a regular daytime shift. </w:t>
      </w:r>
      <w:r>
        <w:rPr>
          <w:rFonts w:cstheme="minorHAnsi"/>
        </w:rPr>
        <w:t>The first three rows of Table 4.29 suggest an unmet demand for regular shifts against irregular schedules, as 83.1 per cent were currently in regular shifts against 88 per cent who would prefer to be in regular shifts.</w:t>
      </w:r>
    </w:p>
    <w:p w:rsidR="00685BE5" w:rsidRPr="00EE49ED" w:rsidRDefault="00685BE5" w:rsidP="0044684E">
      <w:pPr>
        <w:pStyle w:val="NILSTableHeading"/>
        <w:rPr>
          <w:lang w:val="en-AU"/>
        </w:rPr>
      </w:pPr>
      <w:bookmarkStart w:id="612" w:name="_Toc425425105"/>
      <w:bookmarkStart w:id="613" w:name="_Toc428279234"/>
      <w:bookmarkStart w:id="614" w:name="_Toc449955365"/>
      <w:r>
        <w:t>Table 4.29</w:t>
      </w:r>
      <w:r w:rsidRPr="00AB33E3">
        <w:t>: Current and preferred work schedule</w:t>
      </w:r>
      <w:bookmarkEnd w:id="612"/>
      <w:bookmarkEnd w:id="613"/>
      <w:bookmarkEnd w:id="614"/>
      <w:r w:rsidR="00EE49ED">
        <w:rPr>
          <w:lang w:val="en-AU"/>
        </w:rPr>
        <w:t xml:space="preserve"> </w:t>
      </w:r>
    </w:p>
    <w:tbl>
      <w:tblPr>
        <w:tblW w:w="9085" w:type="dxa"/>
        <w:tblInd w:w="93" w:type="dxa"/>
        <w:tblLook w:val="04A0" w:firstRow="1" w:lastRow="0" w:firstColumn="1" w:lastColumn="0" w:noHBand="0" w:noVBand="1"/>
        <w:tblCaption w:val="Table 4.29 Current and preferred work schedule"/>
      </w:tblPr>
      <w:tblGrid>
        <w:gridCol w:w="4682"/>
        <w:gridCol w:w="2161"/>
        <w:gridCol w:w="2242"/>
      </w:tblGrid>
      <w:tr w:rsidR="00685BE5" w:rsidRPr="00E84C9F" w:rsidTr="0048241A">
        <w:trPr>
          <w:tblHeader/>
        </w:trPr>
        <w:tc>
          <w:tcPr>
            <w:tcW w:w="4682" w:type="dxa"/>
            <w:tcBorders>
              <w:top w:val="single" w:sz="4" w:space="0" w:color="auto"/>
              <w:left w:val="nil"/>
              <w:bottom w:val="single" w:sz="4" w:space="0" w:color="auto"/>
              <w:right w:val="nil"/>
            </w:tcBorders>
            <w:shd w:val="clear" w:color="auto" w:fill="auto"/>
            <w:noWrap/>
            <w:vAlign w:val="bottom"/>
            <w:hideMark/>
          </w:tcPr>
          <w:p w:rsidR="00685BE5" w:rsidRPr="00E84C9F" w:rsidRDefault="00685BE5" w:rsidP="00301C30">
            <w:pPr>
              <w:spacing w:before="20" w:after="20"/>
              <w:jc w:val="center"/>
              <w:rPr>
                <w:rFonts w:cstheme="minorHAnsi"/>
                <w:sz w:val="20"/>
                <w:szCs w:val="20"/>
              </w:rPr>
            </w:pPr>
            <w:bookmarkStart w:id="615" w:name="Title_4_29"/>
            <w:bookmarkEnd w:id="615"/>
          </w:p>
        </w:tc>
        <w:tc>
          <w:tcPr>
            <w:tcW w:w="2161" w:type="dxa"/>
            <w:tcBorders>
              <w:top w:val="single" w:sz="4" w:space="0" w:color="auto"/>
              <w:left w:val="nil"/>
              <w:bottom w:val="single" w:sz="4" w:space="0" w:color="auto"/>
              <w:right w:val="nil"/>
            </w:tcBorders>
            <w:shd w:val="clear" w:color="auto" w:fill="auto"/>
            <w:vAlign w:val="bottom"/>
            <w:hideMark/>
          </w:tcPr>
          <w:p w:rsidR="0048241A" w:rsidRDefault="00685BE5" w:rsidP="00EE49ED">
            <w:pPr>
              <w:spacing w:before="20" w:after="20"/>
              <w:jc w:val="center"/>
              <w:rPr>
                <w:rFonts w:cstheme="minorHAnsi"/>
                <w:bCs/>
                <w:sz w:val="20"/>
                <w:szCs w:val="20"/>
              </w:rPr>
            </w:pPr>
            <w:r w:rsidRPr="00E3331B">
              <w:rPr>
                <w:rFonts w:cstheme="minorHAnsi"/>
                <w:bCs/>
                <w:sz w:val="20"/>
                <w:szCs w:val="20"/>
              </w:rPr>
              <w:t>Current work schedule</w:t>
            </w:r>
          </w:p>
          <w:p w:rsidR="00D74AFA" w:rsidRPr="00E3331B" w:rsidRDefault="00D74AFA" w:rsidP="00896197">
            <w:pPr>
              <w:spacing w:before="20" w:after="20"/>
              <w:ind w:right="624" w:firstLine="470"/>
              <w:jc w:val="center"/>
              <w:rPr>
                <w:rFonts w:cstheme="minorHAnsi"/>
                <w:bCs/>
                <w:sz w:val="20"/>
                <w:szCs w:val="20"/>
              </w:rPr>
            </w:pPr>
            <w:r>
              <w:rPr>
                <w:rFonts w:cstheme="minorHAnsi"/>
                <w:bCs/>
                <w:sz w:val="20"/>
                <w:szCs w:val="20"/>
              </w:rPr>
              <w:t>%</w:t>
            </w:r>
          </w:p>
        </w:tc>
        <w:tc>
          <w:tcPr>
            <w:tcW w:w="2242" w:type="dxa"/>
            <w:tcBorders>
              <w:top w:val="single" w:sz="4" w:space="0" w:color="auto"/>
              <w:left w:val="nil"/>
              <w:bottom w:val="single" w:sz="4" w:space="0" w:color="auto"/>
              <w:right w:val="nil"/>
            </w:tcBorders>
            <w:shd w:val="clear" w:color="auto" w:fill="auto"/>
            <w:vAlign w:val="bottom"/>
            <w:hideMark/>
          </w:tcPr>
          <w:p w:rsidR="00685BE5" w:rsidRDefault="00685BE5" w:rsidP="00EE49ED">
            <w:pPr>
              <w:spacing w:before="20" w:after="20"/>
              <w:jc w:val="center"/>
              <w:rPr>
                <w:rFonts w:cstheme="minorHAnsi"/>
                <w:bCs/>
                <w:sz w:val="20"/>
                <w:szCs w:val="20"/>
              </w:rPr>
            </w:pPr>
            <w:r w:rsidRPr="00E3331B">
              <w:rPr>
                <w:rFonts w:cstheme="minorHAnsi"/>
                <w:bCs/>
                <w:sz w:val="20"/>
                <w:szCs w:val="20"/>
              </w:rPr>
              <w:t>Preferred work schedule</w:t>
            </w:r>
            <w:r w:rsidR="0048241A">
              <w:rPr>
                <w:rFonts w:cstheme="minorHAnsi"/>
                <w:bCs/>
                <w:sz w:val="20"/>
                <w:szCs w:val="20"/>
              </w:rPr>
              <w:t xml:space="preserve"> </w:t>
            </w:r>
          </w:p>
          <w:p w:rsidR="00D74AFA" w:rsidRPr="00E3331B" w:rsidRDefault="00D74AFA" w:rsidP="00896197">
            <w:pPr>
              <w:spacing w:before="20" w:after="20"/>
              <w:ind w:right="457" w:firstLine="294"/>
              <w:jc w:val="center"/>
              <w:rPr>
                <w:rFonts w:cstheme="minorHAnsi"/>
                <w:bCs/>
                <w:sz w:val="20"/>
                <w:szCs w:val="20"/>
              </w:rPr>
            </w:pPr>
            <w:r>
              <w:rPr>
                <w:rFonts w:cstheme="minorHAnsi"/>
                <w:bCs/>
                <w:sz w:val="20"/>
                <w:szCs w:val="20"/>
              </w:rPr>
              <w:t>%</w:t>
            </w:r>
          </w:p>
        </w:tc>
      </w:tr>
      <w:tr w:rsidR="00685BE5" w:rsidRPr="00B90E88" w:rsidTr="00332708">
        <w:tc>
          <w:tcPr>
            <w:tcW w:w="4682" w:type="dxa"/>
            <w:tcBorders>
              <w:top w:val="nil"/>
              <w:left w:val="nil"/>
              <w:bottom w:val="nil"/>
              <w:right w:val="nil"/>
            </w:tcBorders>
            <w:shd w:val="clear" w:color="auto" w:fill="auto"/>
            <w:noWrap/>
            <w:vAlign w:val="bottom"/>
            <w:hideMark/>
          </w:tcPr>
          <w:p w:rsidR="00685BE5" w:rsidRPr="007D2274" w:rsidRDefault="00685BE5" w:rsidP="00301C30">
            <w:pPr>
              <w:spacing w:before="20" w:after="20"/>
              <w:rPr>
                <w:rFonts w:cstheme="minorHAnsi"/>
                <w:sz w:val="20"/>
                <w:szCs w:val="20"/>
              </w:rPr>
            </w:pPr>
            <w:r w:rsidRPr="007D2274">
              <w:rPr>
                <w:rFonts w:cstheme="minorHAnsi"/>
                <w:sz w:val="20"/>
                <w:szCs w:val="20"/>
              </w:rPr>
              <w:t>A regular daytime shift</w:t>
            </w:r>
          </w:p>
        </w:tc>
        <w:tc>
          <w:tcPr>
            <w:tcW w:w="2161" w:type="dxa"/>
            <w:tcBorders>
              <w:top w:val="nil"/>
              <w:left w:val="nil"/>
              <w:bottom w:val="nil"/>
              <w:right w:val="nil"/>
            </w:tcBorders>
            <w:shd w:val="clear" w:color="auto" w:fill="auto"/>
            <w:noWrap/>
            <w:vAlign w:val="bottom"/>
            <w:hideMark/>
          </w:tcPr>
          <w:p w:rsidR="00685BE5" w:rsidRPr="007D2274" w:rsidRDefault="00685BE5" w:rsidP="00896197">
            <w:pPr>
              <w:spacing w:before="20" w:after="20"/>
              <w:ind w:right="908"/>
              <w:jc w:val="right"/>
              <w:rPr>
                <w:rFonts w:cstheme="minorHAnsi"/>
                <w:sz w:val="20"/>
                <w:szCs w:val="20"/>
              </w:rPr>
            </w:pPr>
            <w:r w:rsidRPr="007D2274">
              <w:rPr>
                <w:rFonts w:cstheme="minorHAnsi"/>
                <w:sz w:val="20"/>
                <w:szCs w:val="20"/>
              </w:rPr>
              <w:t>81.9</w:t>
            </w:r>
          </w:p>
        </w:tc>
        <w:tc>
          <w:tcPr>
            <w:tcW w:w="2242" w:type="dxa"/>
            <w:tcBorders>
              <w:top w:val="nil"/>
              <w:left w:val="nil"/>
              <w:bottom w:val="nil"/>
              <w:right w:val="nil"/>
            </w:tcBorders>
            <w:shd w:val="clear" w:color="auto" w:fill="auto"/>
            <w:noWrap/>
            <w:vAlign w:val="bottom"/>
            <w:hideMark/>
          </w:tcPr>
          <w:p w:rsidR="00685BE5" w:rsidRPr="007D2274" w:rsidRDefault="00685BE5" w:rsidP="00896197">
            <w:pPr>
              <w:tabs>
                <w:tab w:val="decimal" w:pos="699"/>
              </w:tabs>
              <w:spacing w:before="20" w:after="20"/>
              <w:ind w:right="882"/>
              <w:jc w:val="right"/>
              <w:rPr>
                <w:rFonts w:cstheme="minorHAnsi"/>
                <w:sz w:val="20"/>
                <w:szCs w:val="20"/>
              </w:rPr>
            </w:pPr>
            <w:r w:rsidRPr="007D2274">
              <w:rPr>
                <w:rFonts w:cstheme="minorHAnsi"/>
                <w:sz w:val="20"/>
                <w:szCs w:val="20"/>
              </w:rPr>
              <w:t>85.2</w:t>
            </w:r>
          </w:p>
        </w:tc>
      </w:tr>
      <w:tr w:rsidR="00685BE5" w:rsidRPr="00B90E88" w:rsidTr="00332708">
        <w:tc>
          <w:tcPr>
            <w:tcW w:w="4682" w:type="dxa"/>
            <w:tcBorders>
              <w:top w:val="nil"/>
              <w:left w:val="nil"/>
              <w:bottom w:val="nil"/>
              <w:right w:val="nil"/>
            </w:tcBorders>
            <w:shd w:val="clear" w:color="auto" w:fill="auto"/>
            <w:noWrap/>
            <w:vAlign w:val="bottom"/>
            <w:hideMark/>
          </w:tcPr>
          <w:p w:rsidR="00685BE5" w:rsidRPr="007D2274" w:rsidRDefault="00685BE5" w:rsidP="00301C30">
            <w:pPr>
              <w:spacing w:before="20" w:after="20"/>
              <w:rPr>
                <w:rFonts w:cstheme="minorHAnsi"/>
                <w:sz w:val="20"/>
                <w:szCs w:val="20"/>
              </w:rPr>
            </w:pPr>
            <w:r w:rsidRPr="007D2274">
              <w:rPr>
                <w:rFonts w:cstheme="minorHAnsi"/>
                <w:sz w:val="20"/>
                <w:szCs w:val="20"/>
              </w:rPr>
              <w:t>A regular evening shift</w:t>
            </w:r>
          </w:p>
        </w:tc>
        <w:tc>
          <w:tcPr>
            <w:tcW w:w="2161" w:type="dxa"/>
            <w:tcBorders>
              <w:top w:val="nil"/>
              <w:left w:val="nil"/>
              <w:bottom w:val="nil"/>
              <w:right w:val="nil"/>
            </w:tcBorders>
            <w:shd w:val="clear" w:color="auto" w:fill="auto"/>
            <w:noWrap/>
            <w:vAlign w:val="bottom"/>
            <w:hideMark/>
          </w:tcPr>
          <w:p w:rsidR="00685BE5" w:rsidRPr="007D2274" w:rsidRDefault="00685BE5" w:rsidP="00896197">
            <w:pPr>
              <w:spacing w:before="20" w:after="20"/>
              <w:ind w:right="908"/>
              <w:jc w:val="right"/>
              <w:rPr>
                <w:rFonts w:cstheme="minorHAnsi"/>
                <w:sz w:val="20"/>
                <w:szCs w:val="20"/>
              </w:rPr>
            </w:pPr>
            <w:r w:rsidRPr="007D2274">
              <w:rPr>
                <w:rFonts w:cstheme="minorHAnsi"/>
                <w:sz w:val="20"/>
                <w:szCs w:val="20"/>
              </w:rPr>
              <w:t>0.9</w:t>
            </w:r>
          </w:p>
        </w:tc>
        <w:tc>
          <w:tcPr>
            <w:tcW w:w="2242" w:type="dxa"/>
            <w:tcBorders>
              <w:top w:val="nil"/>
              <w:left w:val="nil"/>
              <w:bottom w:val="nil"/>
              <w:right w:val="nil"/>
            </w:tcBorders>
            <w:shd w:val="clear" w:color="auto" w:fill="auto"/>
            <w:noWrap/>
            <w:vAlign w:val="bottom"/>
            <w:hideMark/>
          </w:tcPr>
          <w:p w:rsidR="00685BE5" w:rsidRPr="007D2274" w:rsidRDefault="00685BE5" w:rsidP="00896197">
            <w:pPr>
              <w:tabs>
                <w:tab w:val="decimal" w:pos="699"/>
              </w:tabs>
              <w:spacing w:before="20" w:after="20"/>
              <w:ind w:right="882"/>
              <w:jc w:val="right"/>
              <w:rPr>
                <w:rFonts w:cstheme="minorHAnsi"/>
                <w:sz w:val="20"/>
                <w:szCs w:val="20"/>
              </w:rPr>
            </w:pPr>
            <w:r w:rsidRPr="007D2274">
              <w:rPr>
                <w:rFonts w:cstheme="minorHAnsi"/>
                <w:sz w:val="20"/>
                <w:szCs w:val="20"/>
              </w:rPr>
              <w:t>1.7</w:t>
            </w:r>
          </w:p>
        </w:tc>
      </w:tr>
      <w:tr w:rsidR="00685BE5" w:rsidRPr="00B90E88" w:rsidTr="00332708">
        <w:tc>
          <w:tcPr>
            <w:tcW w:w="4682" w:type="dxa"/>
            <w:tcBorders>
              <w:top w:val="nil"/>
              <w:left w:val="nil"/>
              <w:bottom w:val="nil"/>
              <w:right w:val="nil"/>
            </w:tcBorders>
            <w:shd w:val="clear" w:color="auto" w:fill="auto"/>
            <w:noWrap/>
            <w:vAlign w:val="bottom"/>
            <w:hideMark/>
          </w:tcPr>
          <w:p w:rsidR="00685BE5" w:rsidRPr="007D2274" w:rsidRDefault="00685BE5" w:rsidP="00301C30">
            <w:pPr>
              <w:spacing w:before="20" w:after="20"/>
              <w:rPr>
                <w:rFonts w:cstheme="minorHAnsi"/>
                <w:sz w:val="20"/>
                <w:szCs w:val="20"/>
              </w:rPr>
            </w:pPr>
            <w:r w:rsidRPr="007D2274">
              <w:rPr>
                <w:rFonts w:cstheme="minorHAnsi"/>
                <w:sz w:val="20"/>
                <w:szCs w:val="20"/>
              </w:rPr>
              <w:t>A regular night shift</w:t>
            </w:r>
          </w:p>
        </w:tc>
        <w:tc>
          <w:tcPr>
            <w:tcW w:w="2161" w:type="dxa"/>
            <w:tcBorders>
              <w:top w:val="nil"/>
              <w:left w:val="nil"/>
              <w:bottom w:val="nil"/>
              <w:right w:val="nil"/>
            </w:tcBorders>
            <w:shd w:val="clear" w:color="auto" w:fill="auto"/>
            <w:noWrap/>
            <w:vAlign w:val="bottom"/>
            <w:hideMark/>
          </w:tcPr>
          <w:p w:rsidR="00685BE5" w:rsidRPr="007D2274" w:rsidRDefault="00685BE5" w:rsidP="00896197">
            <w:pPr>
              <w:spacing w:before="20" w:after="20"/>
              <w:ind w:right="908"/>
              <w:jc w:val="right"/>
              <w:rPr>
                <w:rFonts w:cstheme="minorHAnsi"/>
                <w:sz w:val="20"/>
                <w:szCs w:val="20"/>
              </w:rPr>
            </w:pPr>
            <w:r w:rsidRPr="007D2274">
              <w:rPr>
                <w:rFonts w:cstheme="minorHAnsi"/>
                <w:sz w:val="20"/>
                <w:szCs w:val="20"/>
              </w:rPr>
              <w:t>0.3</w:t>
            </w:r>
          </w:p>
        </w:tc>
        <w:tc>
          <w:tcPr>
            <w:tcW w:w="2242" w:type="dxa"/>
            <w:tcBorders>
              <w:top w:val="nil"/>
              <w:left w:val="nil"/>
              <w:bottom w:val="nil"/>
              <w:right w:val="nil"/>
            </w:tcBorders>
            <w:shd w:val="clear" w:color="auto" w:fill="auto"/>
            <w:noWrap/>
            <w:vAlign w:val="bottom"/>
            <w:hideMark/>
          </w:tcPr>
          <w:p w:rsidR="00685BE5" w:rsidRPr="007D2274" w:rsidRDefault="00685BE5" w:rsidP="00896197">
            <w:pPr>
              <w:tabs>
                <w:tab w:val="decimal" w:pos="699"/>
              </w:tabs>
              <w:spacing w:before="20" w:after="20"/>
              <w:ind w:right="882"/>
              <w:jc w:val="right"/>
              <w:rPr>
                <w:rFonts w:cstheme="minorHAnsi"/>
                <w:sz w:val="20"/>
                <w:szCs w:val="20"/>
              </w:rPr>
            </w:pPr>
            <w:r w:rsidRPr="007D2274">
              <w:rPr>
                <w:rFonts w:cstheme="minorHAnsi"/>
                <w:sz w:val="20"/>
                <w:szCs w:val="20"/>
              </w:rPr>
              <w:t>1.1</w:t>
            </w:r>
          </w:p>
        </w:tc>
      </w:tr>
      <w:tr w:rsidR="00685BE5" w:rsidRPr="00B90E88" w:rsidTr="00332708">
        <w:tc>
          <w:tcPr>
            <w:tcW w:w="4682" w:type="dxa"/>
            <w:tcBorders>
              <w:top w:val="nil"/>
              <w:left w:val="nil"/>
              <w:bottom w:val="nil"/>
              <w:right w:val="nil"/>
            </w:tcBorders>
            <w:shd w:val="clear" w:color="auto" w:fill="auto"/>
            <w:noWrap/>
            <w:vAlign w:val="bottom"/>
            <w:hideMark/>
          </w:tcPr>
          <w:p w:rsidR="00685BE5" w:rsidRPr="007D2274" w:rsidRDefault="00685BE5" w:rsidP="00301C30">
            <w:pPr>
              <w:spacing w:before="20" w:after="20"/>
              <w:rPr>
                <w:rFonts w:cstheme="minorHAnsi"/>
                <w:sz w:val="20"/>
                <w:szCs w:val="20"/>
              </w:rPr>
            </w:pPr>
            <w:r w:rsidRPr="007D2274">
              <w:rPr>
                <w:rFonts w:cstheme="minorHAnsi"/>
                <w:sz w:val="20"/>
                <w:szCs w:val="20"/>
              </w:rPr>
              <w:t>A rotating shift (predictable changes of time)</w:t>
            </w:r>
          </w:p>
        </w:tc>
        <w:tc>
          <w:tcPr>
            <w:tcW w:w="2161" w:type="dxa"/>
            <w:tcBorders>
              <w:top w:val="nil"/>
              <w:left w:val="nil"/>
              <w:bottom w:val="nil"/>
              <w:right w:val="nil"/>
            </w:tcBorders>
            <w:shd w:val="clear" w:color="auto" w:fill="auto"/>
            <w:noWrap/>
            <w:vAlign w:val="bottom"/>
            <w:hideMark/>
          </w:tcPr>
          <w:p w:rsidR="00685BE5" w:rsidRPr="007D2274" w:rsidRDefault="00685BE5" w:rsidP="00896197">
            <w:pPr>
              <w:spacing w:before="20" w:after="20"/>
              <w:ind w:right="908"/>
              <w:jc w:val="right"/>
              <w:rPr>
                <w:rFonts w:cstheme="minorHAnsi"/>
                <w:sz w:val="20"/>
                <w:szCs w:val="20"/>
              </w:rPr>
            </w:pPr>
            <w:r w:rsidRPr="007D2274">
              <w:rPr>
                <w:rFonts w:cstheme="minorHAnsi"/>
                <w:sz w:val="20"/>
                <w:szCs w:val="20"/>
              </w:rPr>
              <w:t>6.0</w:t>
            </w:r>
          </w:p>
        </w:tc>
        <w:tc>
          <w:tcPr>
            <w:tcW w:w="2242" w:type="dxa"/>
            <w:tcBorders>
              <w:top w:val="nil"/>
              <w:left w:val="nil"/>
              <w:bottom w:val="nil"/>
              <w:right w:val="nil"/>
            </w:tcBorders>
            <w:shd w:val="clear" w:color="auto" w:fill="auto"/>
            <w:noWrap/>
            <w:vAlign w:val="bottom"/>
            <w:hideMark/>
          </w:tcPr>
          <w:p w:rsidR="00685BE5" w:rsidRPr="007D2274" w:rsidRDefault="00685BE5" w:rsidP="00896197">
            <w:pPr>
              <w:tabs>
                <w:tab w:val="decimal" w:pos="699"/>
              </w:tabs>
              <w:spacing w:before="20" w:after="20"/>
              <w:ind w:right="882"/>
              <w:jc w:val="right"/>
              <w:rPr>
                <w:rFonts w:cstheme="minorHAnsi"/>
                <w:sz w:val="20"/>
                <w:szCs w:val="20"/>
              </w:rPr>
            </w:pPr>
            <w:r w:rsidRPr="007D2274">
              <w:rPr>
                <w:rFonts w:cstheme="minorHAnsi"/>
                <w:sz w:val="20"/>
                <w:szCs w:val="20"/>
              </w:rPr>
              <w:t>6.2</w:t>
            </w:r>
          </w:p>
        </w:tc>
      </w:tr>
      <w:tr w:rsidR="00685BE5" w:rsidRPr="00B90E88" w:rsidTr="00332708">
        <w:tc>
          <w:tcPr>
            <w:tcW w:w="4682" w:type="dxa"/>
            <w:tcBorders>
              <w:top w:val="nil"/>
              <w:left w:val="nil"/>
              <w:bottom w:val="nil"/>
              <w:right w:val="nil"/>
            </w:tcBorders>
            <w:shd w:val="clear" w:color="auto" w:fill="auto"/>
            <w:noWrap/>
            <w:vAlign w:val="bottom"/>
            <w:hideMark/>
          </w:tcPr>
          <w:p w:rsidR="00685BE5" w:rsidRPr="007D2274" w:rsidRDefault="00685BE5" w:rsidP="00301C30">
            <w:pPr>
              <w:spacing w:before="20" w:after="20"/>
              <w:rPr>
                <w:rFonts w:cstheme="minorHAnsi"/>
                <w:sz w:val="20"/>
                <w:szCs w:val="20"/>
              </w:rPr>
            </w:pPr>
            <w:r w:rsidRPr="007D2274">
              <w:rPr>
                <w:rFonts w:cstheme="minorHAnsi"/>
                <w:sz w:val="20"/>
                <w:szCs w:val="20"/>
              </w:rPr>
              <w:t>A split shift (two distinct periods per day)</w:t>
            </w:r>
          </w:p>
        </w:tc>
        <w:tc>
          <w:tcPr>
            <w:tcW w:w="2161" w:type="dxa"/>
            <w:tcBorders>
              <w:top w:val="nil"/>
              <w:left w:val="nil"/>
              <w:bottom w:val="nil"/>
              <w:right w:val="nil"/>
            </w:tcBorders>
            <w:shd w:val="clear" w:color="auto" w:fill="auto"/>
            <w:noWrap/>
            <w:vAlign w:val="bottom"/>
            <w:hideMark/>
          </w:tcPr>
          <w:p w:rsidR="00685BE5" w:rsidRPr="007D2274" w:rsidRDefault="00685BE5" w:rsidP="00896197">
            <w:pPr>
              <w:spacing w:before="20" w:after="20"/>
              <w:ind w:right="908"/>
              <w:jc w:val="right"/>
              <w:rPr>
                <w:rFonts w:cstheme="minorHAnsi"/>
                <w:sz w:val="20"/>
                <w:szCs w:val="20"/>
              </w:rPr>
            </w:pPr>
            <w:r w:rsidRPr="007D2274">
              <w:rPr>
                <w:rFonts w:cstheme="minorHAnsi"/>
                <w:sz w:val="20"/>
                <w:szCs w:val="20"/>
              </w:rPr>
              <w:t>1.8</w:t>
            </w:r>
          </w:p>
        </w:tc>
        <w:tc>
          <w:tcPr>
            <w:tcW w:w="2242" w:type="dxa"/>
            <w:tcBorders>
              <w:top w:val="nil"/>
              <w:left w:val="nil"/>
              <w:bottom w:val="nil"/>
              <w:right w:val="nil"/>
            </w:tcBorders>
            <w:shd w:val="clear" w:color="auto" w:fill="auto"/>
            <w:noWrap/>
            <w:vAlign w:val="bottom"/>
            <w:hideMark/>
          </w:tcPr>
          <w:p w:rsidR="00685BE5" w:rsidRPr="007D2274" w:rsidRDefault="00685BE5" w:rsidP="00896197">
            <w:pPr>
              <w:tabs>
                <w:tab w:val="decimal" w:pos="699"/>
              </w:tabs>
              <w:spacing w:before="20" w:after="20"/>
              <w:ind w:right="882"/>
              <w:jc w:val="right"/>
              <w:rPr>
                <w:rFonts w:cstheme="minorHAnsi"/>
                <w:sz w:val="20"/>
                <w:szCs w:val="20"/>
              </w:rPr>
            </w:pPr>
            <w:r w:rsidRPr="007D2274">
              <w:rPr>
                <w:rFonts w:cstheme="minorHAnsi"/>
                <w:sz w:val="20"/>
                <w:szCs w:val="20"/>
              </w:rPr>
              <w:t>1.0</w:t>
            </w:r>
          </w:p>
        </w:tc>
      </w:tr>
      <w:tr w:rsidR="00685BE5" w:rsidRPr="00B90E88" w:rsidTr="00332708">
        <w:tc>
          <w:tcPr>
            <w:tcW w:w="4682" w:type="dxa"/>
            <w:tcBorders>
              <w:top w:val="nil"/>
              <w:left w:val="nil"/>
              <w:bottom w:val="nil"/>
              <w:right w:val="nil"/>
            </w:tcBorders>
            <w:shd w:val="clear" w:color="auto" w:fill="auto"/>
            <w:noWrap/>
            <w:vAlign w:val="bottom"/>
            <w:hideMark/>
          </w:tcPr>
          <w:p w:rsidR="00685BE5" w:rsidRPr="007D2274" w:rsidRDefault="00685BE5" w:rsidP="00301C30">
            <w:pPr>
              <w:spacing w:before="20" w:after="20"/>
              <w:rPr>
                <w:rFonts w:cstheme="minorHAnsi"/>
                <w:sz w:val="20"/>
                <w:szCs w:val="20"/>
              </w:rPr>
            </w:pPr>
            <w:r w:rsidRPr="007D2274">
              <w:rPr>
                <w:rFonts w:cstheme="minorHAnsi"/>
                <w:sz w:val="20"/>
                <w:szCs w:val="20"/>
              </w:rPr>
              <w:t>On call</w:t>
            </w:r>
          </w:p>
        </w:tc>
        <w:tc>
          <w:tcPr>
            <w:tcW w:w="2161" w:type="dxa"/>
            <w:tcBorders>
              <w:top w:val="nil"/>
              <w:left w:val="nil"/>
              <w:bottom w:val="nil"/>
              <w:right w:val="nil"/>
            </w:tcBorders>
            <w:shd w:val="clear" w:color="auto" w:fill="auto"/>
            <w:noWrap/>
            <w:vAlign w:val="bottom"/>
            <w:hideMark/>
          </w:tcPr>
          <w:p w:rsidR="00685BE5" w:rsidRPr="007D2274" w:rsidRDefault="00685BE5" w:rsidP="00896197">
            <w:pPr>
              <w:spacing w:before="20" w:after="20"/>
              <w:ind w:right="908"/>
              <w:jc w:val="right"/>
              <w:rPr>
                <w:rFonts w:cstheme="minorHAnsi"/>
                <w:sz w:val="20"/>
                <w:szCs w:val="20"/>
              </w:rPr>
            </w:pPr>
            <w:r w:rsidRPr="007D2274">
              <w:rPr>
                <w:rFonts w:cstheme="minorHAnsi"/>
                <w:sz w:val="20"/>
                <w:szCs w:val="20"/>
              </w:rPr>
              <w:t>1.0</w:t>
            </w:r>
          </w:p>
        </w:tc>
        <w:tc>
          <w:tcPr>
            <w:tcW w:w="2242" w:type="dxa"/>
            <w:tcBorders>
              <w:top w:val="nil"/>
              <w:left w:val="nil"/>
              <w:bottom w:val="nil"/>
              <w:right w:val="nil"/>
            </w:tcBorders>
            <w:shd w:val="clear" w:color="auto" w:fill="auto"/>
            <w:noWrap/>
            <w:vAlign w:val="bottom"/>
            <w:hideMark/>
          </w:tcPr>
          <w:p w:rsidR="00685BE5" w:rsidRPr="007D2274" w:rsidRDefault="00685BE5" w:rsidP="00896197">
            <w:pPr>
              <w:tabs>
                <w:tab w:val="decimal" w:pos="699"/>
              </w:tabs>
              <w:spacing w:before="20" w:after="20"/>
              <w:ind w:right="882"/>
              <w:jc w:val="right"/>
              <w:rPr>
                <w:rFonts w:cstheme="minorHAnsi"/>
                <w:sz w:val="20"/>
                <w:szCs w:val="20"/>
              </w:rPr>
            </w:pPr>
            <w:r w:rsidRPr="007D2274">
              <w:rPr>
                <w:rFonts w:cstheme="minorHAnsi"/>
                <w:sz w:val="20"/>
                <w:szCs w:val="20"/>
              </w:rPr>
              <w:t>0.6</w:t>
            </w:r>
          </w:p>
        </w:tc>
      </w:tr>
      <w:tr w:rsidR="00685BE5" w:rsidRPr="00B90E88" w:rsidTr="00332708">
        <w:tc>
          <w:tcPr>
            <w:tcW w:w="4682" w:type="dxa"/>
            <w:tcBorders>
              <w:top w:val="nil"/>
              <w:left w:val="nil"/>
              <w:bottom w:val="nil"/>
              <w:right w:val="nil"/>
            </w:tcBorders>
            <w:shd w:val="clear" w:color="auto" w:fill="auto"/>
            <w:noWrap/>
            <w:vAlign w:val="bottom"/>
            <w:hideMark/>
          </w:tcPr>
          <w:p w:rsidR="00685BE5" w:rsidRPr="007D2274" w:rsidRDefault="00685BE5" w:rsidP="00301C30">
            <w:pPr>
              <w:spacing w:before="20" w:after="20"/>
              <w:rPr>
                <w:rFonts w:cstheme="minorHAnsi"/>
                <w:sz w:val="20"/>
                <w:szCs w:val="20"/>
              </w:rPr>
            </w:pPr>
            <w:r w:rsidRPr="007D2274">
              <w:rPr>
                <w:rFonts w:cstheme="minorHAnsi"/>
                <w:sz w:val="20"/>
                <w:szCs w:val="20"/>
              </w:rPr>
              <w:t>An irregular schedule (unpredictable changes of time)</w:t>
            </w:r>
          </w:p>
        </w:tc>
        <w:tc>
          <w:tcPr>
            <w:tcW w:w="2161" w:type="dxa"/>
            <w:tcBorders>
              <w:top w:val="nil"/>
              <w:left w:val="nil"/>
              <w:bottom w:val="nil"/>
              <w:right w:val="nil"/>
            </w:tcBorders>
            <w:shd w:val="clear" w:color="auto" w:fill="auto"/>
            <w:noWrap/>
            <w:vAlign w:val="bottom"/>
            <w:hideMark/>
          </w:tcPr>
          <w:p w:rsidR="00685BE5" w:rsidRPr="007D2274" w:rsidRDefault="00685BE5" w:rsidP="00896197">
            <w:pPr>
              <w:spacing w:before="20" w:after="20"/>
              <w:ind w:right="908"/>
              <w:jc w:val="right"/>
              <w:rPr>
                <w:rFonts w:cstheme="minorHAnsi"/>
                <w:sz w:val="20"/>
                <w:szCs w:val="20"/>
              </w:rPr>
            </w:pPr>
            <w:r w:rsidRPr="007D2274">
              <w:rPr>
                <w:rFonts w:cstheme="minorHAnsi"/>
                <w:sz w:val="20"/>
                <w:szCs w:val="20"/>
              </w:rPr>
              <w:t>6.8</w:t>
            </w:r>
          </w:p>
        </w:tc>
        <w:tc>
          <w:tcPr>
            <w:tcW w:w="2242" w:type="dxa"/>
            <w:tcBorders>
              <w:top w:val="nil"/>
              <w:left w:val="nil"/>
              <w:bottom w:val="nil"/>
              <w:right w:val="nil"/>
            </w:tcBorders>
            <w:shd w:val="clear" w:color="auto" w:fill="auto"/>
            <w:noWrap/>
            <w:vAlign w:val="bottom"/>
            <w:hideMark/>
          </w:tcPr>
          <w:p w:rsidR="00685BE5" w:rsidRPr="007D2274" w:rsidRDefault="00685BE5" w:rsidP="00896197">
            <w:pPr>
              <w:tabs>
                <w:tab w:val="decimal" w:pos="699"/>
              </w:tabs>
              <w:spacing w:before="20" w:after="20"/>
              <w:ind w:right="882"/>
              <w:jc w:val="right"/>
              <w:rPr>
                <w:rFonts w:cstheme="minorHAnsi"/>
                <w:sz w:val="20"/>
                <w:szCs w:val="20"/>
              </w:rPr>
            </w:pPr>
            <w:r w:rsidRPr="007D2274">
              <w:rPr>
                <w:rFonts w:cstheme="minorHAnsi"/>
                <w:sz w:val="20"/>
                <w:szCs w:val="20"/>
              </w:rPr>
              <w:t>2.1</w:t>
            </w:r>
          </w:p>
        </w:tc>
      </w:tr>
      <w:tr w:rsidR="00685BE5" w:rsidRPr="00B90E88" w:rsidTr="00332708">
        <w:tc>
          <w:tcPr>
            <w:tcW w:w="4682" w:type="dxa"/>
            <w:tcBorders>
              <w:top w:val="nil"/>
              <w:left w:val="nil"/>
              <w:bottom w:val="single" w:sz="4" w:space="0" w:color="auto"/>
              <w:right w:val="nil"/>
            </w:tcBorders>
            <w:shd w:val="clear" w:color="auto" w:fill="auto"/>
            <w:noWrap/>
            <w:vAlign w:val="bottom"/>
            <w:hideMark/>
          </w:tcPr>
          <w:p w:rsidR="00685BE5" w:rsidRPr="007D2274" w:rsidRDefault="00685BE5" w:rsidP="00301C30">
            <w:pPr>
              <w:spacing w:before="20" w:after="20"/>
              <w:rPr>
                <w:rFonts w:cstheme="minorHAnsi"/>
                <w:sz w:val="20"/>
                <w:szCs w:val="20"/>
              </w:rPr>
            </w:pPr>
            <w:r w:rsidRPr="007D2274">
              <w:rPr>
                <w:rFonts w:cstheme="minorHAnsi"/>
                <w:sz w:val="20"/>
                <w:szCs w:val="20"/>
              </w:rPr>
              <w:t>Other</w:t>
            </w:r>
          </w:p>
        </w:tc>
        <w:tc>
          <w:tcPr>
            <w:tcW w:w="2161" w:type="dxa"/>
            <w:tcBorders>
              <w:top w:val="nil"/>
              <w:left w:val="nil"/>
              <w:bottom w:val="single" w:sz="4" w:space="0" w:color="auto"/>
              <w:right w:val="nil"/>
            </w:tcBorders>
            <w:shd w:val="clear" w:color="auto" w:fill="auto"/>
            <w:noWrap/>
            <w:vAlign w:val="bottom"/>
            <w:hideMark/>
          </w:tcPr>
          <w:p w:rsidR="00685BE5" w:rsidRPr="007D2274" w:rsidRDefault="00685BE5" w:rsidP="00896197">
            <w:pPr>
              <w:spacing w:before="20" w:after="20"/>
              <w:ind w:right="908"/>
              <w:jc w:val="right"/>
              <w:rPr>
                <w:rFonts w:cstheme="minorHAnsi"/>
                <w:sz w:val="20"/>
                <w:szCs w:val="20"/>
              </w:rPr>
            </w:pPr>
            <w:r w:rsidRPr="007D2274">
              <w:rPr>
                <w:rFonts w:cstheme="minorHAnsi"/>
                <w:sz w:val="20"/>
                <w:szCs w:val="20"/>
              </w:rPr>
              <w:t>1.4</w:t>
            </w:r>
          </w:p>
        </w:tc>
        <w:tc>
          <w:tcPr>
            <w:tcW w:w="2242" w:type="dxa"/>
            <w:tcBorders>
              <w:top w:val="nil"/>
              <w:left w:val="nil"/>
              <w:bottom w:val="single" w:sz="4" w:space="0" w:color="auto"/>
              <w:right w:val="nil"/>
            </w:tcBorders>
            <w:shd w:val="clear" w:color="auto" w:fill="auto"/>
            <w:noWrap/>
            <w:vAlign w:val="bottom"/>
            <w:hideMark/>
          </w:tcPr>
          <w:p w:rsidR="00685BE5" w:rsidRPr="007D2274" w:rsidRDefault="00685BE5" w:rsidP="00896197">
            <w:pPr>
              <w:tabs>
                <w:tab w:val="decimal" w:pos="699"/>
              </w:tabs>
              <w:spacing w:before="20" w:after="20"/>
              <w:ind w:right="882"/>
              <w:jc w:val="right"/>
              <w:rPr>
                <w:rFonts w:cstheme="minorHAnsi"/>
                <w:sz w:val="20"/>
                <w:szCs w:val="20"/>
              </w:rPr>
            </w:pPr>
            <w:r w:rsidRPr="007D2274">
              <w:rPr>
                <w:rFonts w:cstheme="minorHAnsi"/>
                <w:sz w:val="20"/>
                <w:szCs w:val="20"/>
              </w:rPr>
              <w:t>2.1</w:t>
            </w:r>
          </w:p>
        </w:tc>
      </w:tr>
      <w:tr w:rsidR="00685BE5" w:rsidRPr="005822F0" w:rsidTr="00332708">
        <w:tc>
          <w:tcPr>
            <w:tcW w:w="4682" w:type="dxa"/>
            <w:tcBorders>
              <w:top w:val="single" w:sz="4" w:space="0" w:color="auto"/>
              <w:left w:val="nil"/>
              <w:bottom w:val="nil"/>
              <w:right w:val="nil"/>
            </w:tcBorders>
            <w:shd w:val="clear" w:color="auto" w:fill="auto"/>
            <w:noWrap/>
            <w:vAlign w:val="bottom"/>
            <w:hideMark/>
          </w:tcPr>
          <w:p w:rsidR="00685BE5" w:rsidRPr="00E3331B" w:rsidRDefault="00685BE5" w:rsidP="00301C30">
            <w:pPr>
              <w:spacing w:before="20" w:after="20"/>
              <w:rPr>
                <w:rFonts w:cstheme="minorHAnsi"/>
                <w:b/>
                <w:sz w:val="20"/>
                <w:szCs w:val="20"/>
              </w:rPr>
            </w:pPr>
            <w:r w:rsidRPr="00E3331B">
              <w:rPr>
                <w:rFonts w:cstheme="minorHAnsi"/>
                <w:b/>
                <w:sz w:val="20"/>
                <w:szCs w:val="20"/>
              </w:rPr>
              <w:t>Total</w:t>
            </w:r>
          </w:p>
        </w:tc>
        <w:tc>
          <w:tcPr>
            <w:tcW w:w="2161" w:type="dxa"/>
            <w:tcBorders>
              <w:top w:val="single" w:sz="4" w:space="0" w:color="auto"/>
              <w:left w:val="nil"/>
              <w:bottom w:val="nil"/>
              <w:right w:val="nil"/>
            </w:tcBorders>
            <w:shd w:val="clear" w:color="auto" w:fill="auto"/>
            <w:noWrap/>
            <w:vAlign w:val="bottom"/>
            <w:hideMark/>
          </w:tcPr>
          <w:p w:rsidR="00685BE5" w:rsidRPr="00E3331B" w:rsidRDefault="00685BE5" w:rsidP="00896197">
            <w:pPr>
              <w:spacing w:before="20" w:after="20"/>
              <w:ind w:right="908"/>
              <w:jc w:val="right"/>
              <w:rPr>
                <w:rFonts w:cstheme="minorHAnsi"/>
                <w:b/>
                <w:sz w:val="20"/>
                <w:szCs w:val="20"/>
              </w:rPr>
            </w:pPr>
            <w:r w:rsidRPr="00E3331B">
              <w:rPr>
                <w:rFonts w:cstheme="minorHAnsi"/>
                <w:b/>
                <w:sz w:val="20"/>
                <w:szCs w:val="20"/>
              </w:rPr>
              <w:t>100</w:t>
            </w:r>
          </w:p>
        </w:tc>
        <w:tc>
          <w:tcPr>
            <w:tcW w:w="2242" w:type="dxa"/>
            <w:tcBorders>
              <w:top w:val="single" w:sz="4" w:space="0" w:color="auto"/>
              <w:left w:val="nil"/>
              <w:bottom w:val="nil"/>
              <w:right w:val="nil"/>
            </w:tcBorders>
            <w:shd w:val="clear" w:color="auto" w:fill="auto"/>
            <w:noWrap/>
            <w:vAlign w:val="bottom"/>
            <w:hideMark/>
          </w:tcPr>
          <w:p w:rsidR="00685BE5" w:rsidRPr="00E3331B" w:rsidRDefault="00685BE5" w:rsidP="00896197">
            <w:pPr>
              <w:tabs>
                <w:tab w:val="decimal" w:pos="699"/>
              </w:tabs>
              <w:spacing w:before="20" w:after="20"/>
              <w:ind w:right="882"/>
              <w:jc w:val="right"/>
              <w:rPr>
                <w:rFonts w:cstheme="minorHAnsi"/>
                <w:b/>
                <w:sz w:val="20"/>
                <w:szCs w:val="20"/>
              </w:rPr>
            </w:pPr>
            <w:r w:rsidRPr="00E3331B">
              <w:rPr>
                <w:rFonts w:cstheme="minorHAnsi"/>
                <w:b/>
                <w:sz w:val="20"/>
                <w:szCs w:val="20"/>
              </w:rPr>
              <w:t>100</w:t>
            </w:r>
          </w:p>
        </w:tc>
      </w:tr>
      <w:tr w:rsidR="00685BE5" w:rsidRPr="00B90E88" w:rsidTr="00332708">
        <w:tc>
          <w:tcPr>
            <w:tcW w:w="4682" w:type="dxa"/>
            <w:tcBorders>
              <w:top w:val="nil"/>
              <w:left w:val="nil"/>
              <w:bottom w:val="single" w:sz="4" w:space="0" w:color="auto"/>
              <w:right w:val="nil"/>
            </w:tcBorders>
            <w:shd w:val="clear" w:color="auto" w:fill="auto"/>
            <w:noWrap/>
            <w:vAlign w:val="bottom"/>
            <w:hideMark/>
          </w:tcPr>
          <w:p w:rsidR="00685BE5" w:rsidRPr="007D2274" w:rsidRDefault="00685BE5" w:rsidP="00301C30">
            <w:pPr>
              <w:spacing w:before="20" w:after="20"/>
              <w:rPr>
                <w:rFonts w:cstheme="minorHAnsi"/>
                <w:sz w:val="20"/>
                <w:szCs w:val="20"/>
              </w:rPr>
            </w:pPr>
            <w:r w:rsidRPr="007D2274">
              <w:rPr>
                <w:rFonts w:cstheme="minorHAnsi"/>
                <w:sz w:val="20"/>
                <w:szCs w:val="20"/>
              </w:rPr>
              <w:t>N</w:t>
            </w:r>
            <w:r>
              <w:rPr>
                <w:rFonts w:cstheme="minorHAnsi"/>
                <w:sz w:val="20"/>
                <w:szCs w:val="20"/>
              </w:rPr>
              <w:t>umber</w:t>
            </w:r>
            <w:r w:rsidRPr="007D2274">
              <w:rPr>
                <w:rFonts w:cstheme="minorHAnsi"/>
                <w:sz w:val="20"/>
                <w:szCs w:val="20"/>
              </w:rPr>
              <w:t xml:space="preserve"> of employees answering</w:t>
            </w:r>
          </w:p>
        </w:tc>
        <w:tc>
          <w:tcPr>
            <w:tcW w:w="2161" w:type="dxa"/>
            <w:tcBorders>
              <w:top w:val="nil"/>
              <w:left w:val="nil"/>
              <w:bottom w:val="single" w:sz="4" w:space="0" w:color="auto"/>
              <w:right w:val="nil"/>
            </w:tcBorders>
            <w:shd w:val="clear" w:color="auto" w:fill="auto"/>
            <w:noWrap/>
            <w:vAlign w:val="bottom"/>
            <w:hideMark/>
          </w:tcPr>
          <w:p w:rsidR="00685BE5" w:rsidRPr="007D2274" w:rsidRDefault="00685BE5" w:rsidP="00896197">
            <w:pPr>
              <w:spacing w:before="20" w:after="20"/>
              <w:ind w:right="908"/>
              <w:jc w:val="right"/>
              <w:rPr>
                <w:rFonts w:cstheme="minorHAnsi"/>
                <w:sz w:val="20"/>
                <w:szCs w:val="20"/>
              </w:rPr>
            </w:pPr>
            <w:r w:rsidRPr="007D2274">
              <w:rPr>
                <w:rFonts w:cstheme="minorHAnsi"/>
                <w:sz w:val="20"/>
                <w:szCs w:val="20"/>
              </w:rPr>
              <w:t>1</w:t>
            </w:r>
            <w:r>
              <w:rPr>
                <w:rFonts w:cstheme="minorHAnsi"/>
                <w:sz w:val="20"/>
                <w:szCs w:val="20"/>
              </w:rPr>
              <w:t>,</w:t>
            </w:r>
            <w:r w:rsidRPr="007D2274">
              <w:rPr>
                <w:rFonts w:cstheme="minorHAnsi"/>
                <w:sz w:val="20"/>
                <w:szCs w:val="20"/>
              </w:rPr>
              <w:t>879</w:t>
            </w:r>
          </w:p>
        </w:tc>
        <w:tc>
          <w:tcPr>
            <w:tcW w:w="2242" w:type="dxa"/>
            <w:tcBorders>
              <w:top w:val="nil"/>
              <w:left w:val="nil"/>
              <w:bottom w:val="single" w:sz="4" w:space="0" w:color="auto"/>
              <w:right w:val="nil"/>
            </w:tcBorders>
            <w:shd w:val="clear" w:color="auto" w:fill="auto"/>
            <w:noWrap/>
            <w:vAlign w:val="bottom"/>
            <w:hideMark/>
          </w:tcPr>
          <w:p w:rsidR="00685BE5" w:rsidRPr="007D2274" w:rsidRDefault="00685BE5" w:rsidP="00896197">
            <w:pPr>
              <w:tabs>
                <w:tab w:val="decimal" w:pos="699"/>
              </w:tabs>
              <w:spacing w:before="20" w:after="20"/>
              <w:ind w:right="882"/>
              <w:jc w:val="right"/>
              <w:rPr>
                <w:rFonts w:cstheme="minorHAnsi"/>
                <w:sz w:val="20"/>
                <w:szCs w:val="20"/>
              </w:rPr>
            </w:pPr>
            <w:r w:rsidRPr="007D2274">
              <w:rPr>
                <w:rFonts w:cstheme="minorHAnsi"/>
                <w:sz w:val="20"/>
                <w:szCs w:val="20"/>
              </w:rPr>
              <w:t>1</w:t>
            </w:r>
            <w:r>
              <w:rPr>
                <w:rFonts w:cstheme="minorHAnsi"/>
                <w:sz w:val="20"/>
                <w:szCs w:val="20"/>
              </w:rPr>
              <w:t>,</w:t>
            </w:r>
            <w:r w:rsidRPr="007D2274">
              <w:rPr>
                <w:rFonts w:cstheme="minorHAnsi"/>
                <w:sz w:val="20"/>
                <w:szCs w:val="20"/>
              </w:rPr>
              <w:t>748</w:t>
            </w:r>
          </w:p>
        </w:tc>
      </w:tr>
    </w:tbl>
    <w:p w:rsidR="00B92687" w:rsidRDefault="00685BE5" w:rsidP="00DE1CE9">
      <w:pPr>
        <w:pStyle w:val="NILSReference"/>
        <w:spacing w:after="240"/>
      </w:pPr>
      <w:r w:rsidRPr="005C469C">
        <w:t>Source: 2014 NDIS DSP employee survey (N=2</w:t>
      </w:r>
      <w:r>
        <w:t>,</w:t>
      </w:r>
      <w:r w:rsidRPr="005C469C">
        <w:t>133), Question B7.</w:t>
      </w:r>
    </w:p>
    <w:p w:rsidR="00685BE5" w:rsidRDefault="00685BE5" w:rsidP="00AE4C3A">
      <w:pPr>
        <w:rPr>
          <w:rFonts w:cstheme="minorHAnsi"/>
        </w:rPr>
      </w:pPr>
      <w:r w:rsidRPr="00AB33E3">
        <w:t xml:space="preserve">Table </w:t>
      </w:r>
      <w:r>
        <w:t>4.30</w:t>
      </w:r>
      <w:r w:rsidRPr="00AB33E3">
        <w:t xml:space="preserve"> considers what hours the employees currently work</w:t>
      </w:r>
      <w:r>
        <w:t>ed</w:t>
      </w:r>
      <w:r w:rsidRPr="00AB33E3">
        <w:t xml:space="preserve"> and would like to work. </w:t>
      </w:r>
      <w:r w:rsidRPr="00AB33E3">
        <w:rPr>
          <w:rFonts w:cstheme="minorHAnsi"/>
        </w:rPr>
        <w:t>While the majority of workers (around 70 per cent) work</w:t>
      </w:r>
      <w:r>
        <w:rPr>
          <w:rFonts w:cstheme="minorHAnsi"/>
        </w:rPr>
        <w:t>ed</w:t>
      </w:r>
      <w:r w:rsidRPr="00AB33E3">
        <w:rPr>
          <w:rFonts w:cstheme="minorHAnsi"/>
        </w:rPr>
        <w:t xml:space="preserve"> between 16</w:t>
      </w:r>
      <w:r w:rsidR="00A92EA0">
        <w:rPr>
          <w:rFonts w:cstheme="minorHAnsi"/>
        </w:rPr>
        <w:t xml:space="preserve"> to </w:t>
      </w:r>
      <w:r w:rsidRPr="00AB33E3">
        <w:rPr>
          <w:rFonts w:cstheme="minorHAnsi"/>
        </w:rPr>
        <w:t>40 hours a higher proportion of employees (86</w:t>
      </w:r>
      <w:r>
        <w:rPr>
          <w:rFonts w:cstheme="minorHAnsi"/>
        </w:rPr>
        <w:t xml:space="preserve"> per cent</w:t>
      </w:r>
      <w:r w:rsidRPr="00AB33E3">
        <w:rPr>
          <w:rFonts w:cstheme="minorHAnsi"/>
        </w:rPr>
        <w:t xml:space="preserve">) would </w:t>
      </w:r>
      <w:r>
        <w:rPr>
          <w:rFonts w:cstheme="minorHAnsi"/>
        </w:rPr>
        <w:t xml:space="preserve">have </w:t>
      </w:r>
      <w:r w:rsidRPr="00AB33E3">
        <w:rPr>
          <w:rFonts w:cstheme="minorHAnsi"/>
        </w:rPr>
        <w:t>prefer</w:t>
      </w:r>
      <w:r>
        <w:rPr>
          <w:rFonts w:cstheme="minorHAnsi"/>
        </w:rPr>
        <w:t>red</w:t>
      </w:r>
      <w:r w:rsidRPr="00AB33E3">
        <w:rPr>
          <w:rFonts w:cstheme="minorHAnsi"/>
        </w:rPr>
        <w:t xml:space="preserve"> to work these hours. Very low proportions of workers prefe</w:t>
      </w:r>
      <w:r>
        <w:rPr>
          <w:rFonts w:cstheme="minorHAnsi"/>
        </w:rPr>
        <w:t>r</w:t>
      </w:r>
      <w:r w:rsidRPr="00AB33E3">
        <w:rPr>
          <w:rFonts w:cstheme="minorHAnsi"/>
        </w:rPr>
        <w:t>r</w:t>
      </w:r>
      <w:r>
        <w:rPr>
          <w:rFonts w:cstheme="minorHAnsi"/>
        </w:rPr>
        <w:t>ed</w:t>
      </w:r>
      <w:r w:rsidRPr="00AB33E3">
        <w:rPr>
          <w:rFonts w:cstheme="minorHAnsi"/>
        </w:rPr>
        <w:t xml:space="preserve"> to work 1</w:t>
      </w:r>
      <w:r w:rsidR="00FB1961">
        <w:rPr>
          <w:rFonts w:cstheme="minorHAnsi"/>
        </w:rPr>
        <w:t xml:space="preserve"> to </w:t>
      </w:r>
      <w:r w:rsidRPr="00AB33E3">
        <w:rPr>
          <w:rFonts w:cstheme="minorHAnsi"/>
        </w:rPr>
        <w:t>15</w:t>
      </w:r>
      <w:r w:rsidR="00FB1961">
        <w:rPr>
          <w:rFonts w:cstheme="minorHAnsi"/>
        </w:rPr>
        <w:t>;</w:t>
      </w:r>
      <w:r w:rsidRPr="00AB33E3">
        <w:rPr>
          <w:rFonts w:cstheme="minorHAnsi"/>
        </w:rPr>
        <w:t xml:space="preserve"> or 40 hours or more. </w:t>
      </w:r>
    </w:p>
    <w:p w:rsidR="00685BE5" w:rsidRPr="003F216D" w:rsidRDefault="00685BE5" w:rsidP="0044684E">
      <w:pPr>
        <w:pStyle w:val="NILSTableHeading"/>
        <w:rPr>
          <w:lang w:val="en-AU"/>
        </w:rPr>
      </w:pPr>
      <w:bookmarkStart w:id="616" w:name="_Toc425425106"/>
      <w:bookmarkStart w:id="617" w:name="_Toc428279235"/>
      <w:bookmarkStart w:id="618" w:name="_Toc449955366"/>
      <w:r w:rsidRPr="00AB33E3">
        <w:lastRenderedPageBreak/>
        <w:t xml:space="preserve">Table </w:t>
      </w:r>
      <w:r>
        <w:t>4.30</w:t>
      </w:r>
      <w:r w:rsidRPr="00AB33E3">
        <w:t>: Total working hours per week and preferred total work hours per week</w:t>
      </w:r>
      <w:bookmarkEnd w:id="616"/>
      <w:bookmarkEnd w:id="617"/>
      <w:r w:rsidR="003F216D">
        <w:rPr>
          <w:lang w:val="en-AU"/>
        </w:rPr>
        <w:t xml:space="preserve"> (per cent)</w:t>
      </w:r>
      <w:bookmarkEnd w:id="618"/>
    </w:p>
    <w:tbl>
      <w:tblPr>
        <w:tblW w:w="0" w:type="auto"/>
        <w:tblInd w:w="93" w:type="dxa"/>
        <w:tblLook w:val="04A0" w:firstRow="1" w:lastRow="0" w:firstColumn="1" w:lastColumn="0" w:noHBand="0" w:noVBand="1"/>
        <w:tblCaption w:val="Table 4.30 Total working hours per week and preferred total work hours per week"/>
      </w:tblPr>
      <w:tblGrid>
        <w:gridCol w:w="2266"/>
        <w:gridCol w:w="2747"/>
        <w:gridCol w:w="3072"/>
      </w:tblGrid>
      <w:tr w:rsidR="00685BE5" w:rsidRPr="00B90E88" w:rsidTr="003F216D">
        <w:trPr>
          <w:trHeight w:val="288"/>
          <w:tblHeader/>
        </w:trPr>
        <w:tc>
          <w:tcPr>
            <w:tcW w:w="2266" w:type="dxa"/>
            <w:tcBorders>
              <w:top w:val="single" w:sz="4" w:space="0" w:color="auto"/>
              <w:left w:val="nil"/>
              <w:bottom w:val="single" w:sz="4" w:space="0" w:color="auto"/>
              <w:right w:val="nil"/>
            </w:tcBorders>
            <w:shd w:val="clear" w:color="auto" w:fill="auto"/>
            <w:noWrap/>
            <w:vAlign w:val="bottom"/>
          </w:tcPr>
          <w:p w:rsidR="00685BE5" w:rsidRPr="007D2274" w:rsidRDefault="00685BE5" w:rsidP="00301C30">
            <w:pPr>
              <w:spacing w:before="20" w:after="20"/>
              <w:rPr>
                <w:rFonts w:cstheme="minorHAnsi"/>
                <w:sz w:val="20"/>
                <w:szCs w:val="20"/>
              </w:rPr>
            </w:pPr>
            <w:bookmarkStart w:id="619" w:name="Title_4_30"/>
            <w:bookmarkEnd w:id="619"/>
          </w:p>
        </w:tc>
        <w:tc>
          <w:tcPr>
            <w:tcW w:w="2747" w:type="dxa"/>
            <w:tcBorders>
              <w:top w:val="single" w:sz="4" w:space="0" w:color="auto"/>
              <w:left w:val="nil"/>
              <w:bottom w:val="single" w:sz="4" w:space="0" w:color="auto"/>
              <w:right w:val="nil"/>
            </w:tcBorders>
            <w:shd w:val="clear" w:color="auto" w:fill="auto"/>
            <w:noWrap/>
            <w:vAlign w:val="bottom"/>
            <w:hideMark/>
          </w:tcPr>
          <w:p w:rsidR="00685BE5" w:rsidRPr="007D2274" w:rsidRDefault="00685BE5" w:rsidP="00301C30">
            <w:pPr>
              <w:spacing w:before="20" w:after="20"/>
              <w:jc w:val="center"/>
              <w:rPr>
                <w:rFonts w:cstheme="minorHAnsi"/>
                <w:bCs/>
                <w:sz w:val="20"/>
                <w:szCs w:val="20"/>
              </w:rPr>
            </w:pPr>
            <w:r w:rsidRPr="007D2274">
              <w:rPr>
                <w:rFonts w:cstheme="minorHAnsi"/>
                <w:bCs/>
                <w:sz w:val="20"/>
                <w:szCs w:val="20"/>
              </w:rPr>
              <w:t>Total working hours per week</w:t>
            </w:r>
          </w:p>
        </w:tc>
        <w:tc>
          <w:tcPr>
            <w:tcW w:w="3072" w:type="dxa"/>
            <w:tcBorders>
              <w:top w:val="single" w:sz="4" w:space="0" w:color="auto"/>
              <w:left w:val="nil"/>
              <w:bottom w:val="single" w:sz="4" w:space="0" w:color="auto"/>
              <w:right w:val="nil"/>
            </w:tcBorders>
            <w:shd w:val="clear" w:color="auto" w:fill="auto"/>
            <w:noWrap/>
            <w:vAlign w:val="bottom"/>
            <w:hideMark/>
          </w:tcPr>
          <w:p w:rsidR="00685BE5" w:rsidRPr="007D2274" w:rsidRDefault="00685BE5" w:rsidP="00301C30">
            <w:pPr>
              <w:spacing w:before="20" w:after="20"/>
              <w:jc w:val="center"/>
              <w:rPr>
                <w:rFonts w:cstheme="minorHAnsi"/>
                <w:bCs/>
                <w:sz w:val="20"/>
                <w:szCs w:val="20"/>
              </w:rPr>
            </w:pPr>
            <w:r w:rsidRPr="007D2274">
              <w:rPr>
                <w:rFonts w:cstheme="minorHAnsi"/>
                <w:bCs/>
                <w:sz w:val="20"/>
                <w:szCs w:val="20"/>
              </w:rPr>
              <w:t>Preferred hours per week</w:t>
            </w:r>
          </w:p>
        </w:tc>
      </w:tr>
      <w:tr w:rsidR="00685BE5" w:rsidRPr="00B90E88" w:rsidTr="00AE4C3A">
        <w:trPr>
          <w:trHeight w:val="288"/>
        </w:trPr>
        <w:tc>
          <w:tcPr>
            <w:tcW w:w="2266" w:type="dxa"/>
            <w:tcBorders>
              <w:top w:val="single" w:sz="4" w:space="0" w:color="auto"/>
              <w:left w:val="nil"/>
              <w:bottom w:val="nil"/>
              <w:right w:val="nil"/>
            </w:tcBorders>
            <w:shd w:val="clear" w:color="auto" w:fill="auto"/>
            <w:noWrap/>
            <w:vAlign w:val="bottom"/>
            <w:hideMark/>
          </w:tcPr>
          <w:p w:rsidR="00685BE5" w:rsidRPr="007D2274" w:rsidRDefault="00685BE5" w:rsidP="00A92EA0">
            <w:pPr>
              <w:spacing w:before="20" w:after="20"/>
              <w:rPr>
                <w:rFonts w:cstheme="minorHAnsi"/>
                <w:sz w:val="20"/>
                <w:szCs w:val="20"/>
              </w:rPr>
            </w:pPr>
            <w:r w:rsidRPr="007D2274">
              <w:rPr>
                <w:rFonts w:cstheme="minorHAnsi"/>
                <w:sz w:val="20"/>
                <w:szCs w:val="20"/>
              </w:rPr>
              <w:t>1</w:t>
            </w:r>
            <w:r w:rsidR="00A92EA0">
              <w:rPr>
                <w:rFonts w:cstheme="minorHAnsi"/>
                <w:sz w:val="20"/>
                <w:szCs w:val="20"/>
              </w:rPr>
              <w:t xml:space="preserve"> to </w:t>
            </w:r>
            <w:r w:rsidRPr="007D2274">
              <w:rPr>
                <w:rFonts w:cstheme="minorHAnsi"/>
                <w:sz w:val="20"/>
                <w:szCs w:val="20"/>
              </w:rPr>
              <w:t>15</w:t>
            </w:r>
            <w:r>
              <w:rPr>
                <w:rFonts w:cstheme="minorHAnsi"/>
                <w:sz w:val="20"/>
                <w:szCs w:val="20"/>
              </w:rPr>
              <w:t xml:space="preserve"> hours</w:t>
            </w:r>
          </w:p>
        </w:tc>
        <w:tc>
          <w:tcPr>
            <w:tcW w:w="2747" w:type="dxa"/>
            <w:tcBorders>
              <w:top w:val="single" w:sz="4" w:space="0" w:color="auto"/>
              <w:left w:val="nil"/>
              <w:bottom w:val="nil"/>
              <w:right w:val="nil"/>
            </w:tcBorders>
            <w:shd w:val="clear" w:color="auto" w:fill="auto"/>
            <w:noWrap/>
            <w:vAlign w:val="bottom"/>
            <w:hideMark/>
          </w:tcPr>
          <w:p w:rsidR="00685BE5" w:rsidRPr="007D2274" w:rsidRDefault="00685BE5" w:rsidP="00301C30">
            <w:pPr>
              <w:tabs>
                <w:tab w:val="decimal" w:pos="1140"/>
              </w:tabs>
              <w:spacing w:before="20" w:after="20"/>
              <w:ind w:right="1239"/>
              <w:jc w:val="right"/>
              <w:rPr>
                <w:rFonts w:cstheme="minorHAnsi"/>
                <w:sz w:val="20"/>
                <w:szCs w:val="20"/>
              </w:rPr>
            </w:pPr>
            <w:r w:rsidRPr="007D2274">
              <w:rPr>
                <w:rFonts w:cstheme="minorHAnsi"/>
                <w:sz w:val="20"/>
                <w:szCs w:val="20"/>
              </w:rPr>
              <w:t>6.4</w:t>
            </w:r>
          </w:p>
        </w:tc>
        <w:tc>
          <w:tcPr>
            <w:tcW w:w="3072" w:type="dxa"/>
            <w:tcBorders>
              <w:top w:val="single" w:sz="4" w:space="0" w:color="auto"/>
              <w:left w:val="nil"/>
              <w:bottom w:val="nil"/>
              <w:right w:val="nil"/>
            </w:tcBorders>
            <w:shd w:val="clear" w:color="auto" w:fill="auto"/>
            <w:noWrap/>
            <w:vAlign w:val="bottom"/>
            <w:hideMark/>
          </w:tcPr>
          <w:p w:rsidR="00685BE5" w:rsidRPr="007D2274" w:rsidRDefault="00685BE5" w:rsidP="00301C30">
            <w:pPr>
              <w:tabs>
                <w:tab w:val="decimal" w:pos="1329"/>
              </w:tabs>
              <w:spacing w:before="20" w:after="20"/>
              <w:ind w:right="1239"/>
              <w:jc w:val="right"/>
              <w:rPr>
                <w:rFonts w:cstheme="minorHAnsi"/>
                <w:sz w:val="20"/>
                <w:szCs w:val="20"/>
              </w:rPr>
            </w:pPr>
            <w:r w:rsidRPr="007D2274">
              <w:rPr>
                <w:rFonts w:cstheme="minorHAnsi"/>
                <w:sz w:val="20"/>
                <w:szCs w:val="20"/>
              </w:rPr>
              <w:t>4.6</w:t>
            </w:r>
          </w:p>
        </w:tc>
      </w:tr>
      <w:tr w:rsidR="00685BE5" w:rsidRPr="00B90E88" w:rsidTr="00AE4C3A">
        <w:trPr>
          <w:trHeight w:val="288"/>
        </w:trPr>
        <w:tc>
          <w:tcPr>
            <w:tcW w:w="2266" w:type="dxa"/>
            <w:tcBorders>
              <w:top w:val="nil"/>
              <w:left w:val="nil"/>
              <w:bottom w:val="nil"/>
              <w:right w:val="nil"/>
            </w:tcBorders>
            <w:shd w:val="clear" w:color="auto" w:fill="auto"/>
            <w:noWrap/>
            <w:vAlign w:val="bottom"/>
            <w:hideMark/>
          </w:tcPr>
          <w:p w:rsidR="00685BE5" w:rsidRPr="007D2274" w:rsidRDefault="00685BE5" w:rsidP="00A92EA0">
            <w:pPr>
              <w:spacing w:before="20" w:after="20"/>
              <w:rPr>
                <w:rFonts w:cstheme="minorHAnsi"/>
                <w:sz w:val="20"/>
                <w:szCs w:val="20"/>
              </w:rPr>
            </w:pPr>
            <w:r w:rsidRPr="007D2274">
              <w:rPr>
                <w:rFonts w:cstheme="minorHAnsi"/>
                <w:sz w:val="20"/>
                <w:szCs w:val="20"/>
              </w:rPr>
              <w:t>16</w:t>
            </w:r>
            <w:r w:rsidR="00A92EA0">
              <w:rPr>
                <w:rFonts w:cstheme="minorHAnsi"/>
                <w:sz w:val="20"/>
                <w:szCs w:val="20"/>
              </w:rPr>
              <w:t xml:space="preserve"> to </w:t>
            </w:r>
            <w:r w:rsidRPr="007D2274">
              <w:rPr>
                <w:rFonts w:cstheme="minorHAnsi"/>
                <w:sz w:val="20"/>
                <w:szCs w:val="20"/>
              </w:rPr>
              <w:t>34</w:t>
            </w:r>
            <w:r>
              <w:rPr>
                <w:rFonts w:cstheme="minorHAnsi"/>
                <w:sz w:val="20"/>
                <w:szCs w:val="20"/>
              </w:rPr>
              <w:t xml:space="preserve"> hours</w:t>
            </w:r>
          </w:p>
        </w:tc>
        <w:tc>
          <w:tcPr>
            <w:tcW w:w="2747" w:type="dxa"/>
            <w:tcBorders>
              <w:top w:val="nil"/>
              <w:left w:val="nil"/>
              <w:bottom w:val="nil"/>
              <w:right w:val="nil"/>
            </w:tcBorders>
            <w:shd w:val="clear" w:color="auto" w:fill="auto"/>
            <w:noWrap/>
            <w:vAlign w:val="bottom"/>
            <w:hideMark/>
          </w:tcPr>
          <w:p w:rsidR="00685BE5" w:rsidRPr="007D2274" w:rsidRDefault="00685BE5" w:rsidP="00301C30">
            <w:pPr>
              <w:tabs>
                <w:tab w:val="decimal" w:pos="1140"/>
              </w:tabs>
              <w:spacing w:before="20" w:after="20"/>
              <w:ind w:right="1239"/>
              <w:jc w:val="right"/>
              <w:rPr>
                <w:rFonts w:cstheme="minorHAnsi"/>
                <w:sz w:val="20"/>
                <w:szCs w:val="20"/>
              </w:rPr>
            </w:pPr>
            <w:r w:rsidRPr="007D2274">
              <w:rPr>
                <w:rFonts w:cstheme="minorHAnsi"/>
                <w:sz w:val="20"/>
                <w:szCs w:val="20"/>
              </w:rPr>
              <w:t>31.9</w:t>
            </w:r>
          </w:p>
        </w:tc>
        <w:tc>
          <w:tcPr>
            <w:tcW w:w="3072" w:type="dxa"/>
            <w:tcBorders>
              <w:top w:val="nil"/>
              <w:left w:val="nil"/>
              <w:bottom w:val="nil"/>
              <w:right w:val="nil"/>
            </w:tcBorders>
            <w:shd w:val="clear" w:color="auto" w:fill="auto"/>
            <w:noWrap/>
            <w:vAlign w:val="bottom"/>
            <w:hideMark/>
          </w:tcPr>
          <w:p w:rsidR="00685BE5" w:rsidRPr="007D2274" w:rsidRDefault="00685BE5" w:rsidP="00301C30">
            <w:pPr>
              <w:tabs>
                <w:tab w:val="decimal" w:pos="1329"/>
              </w:tabs>
              <w:spacing w:before="20" w:after="20"/>
              <w:ind w:right="1239"/>
              <w:jc w:val="right"/>
              <w:rPr>
                <w:rFonts w:cstheme="minorHAnsi"/>
                <w:sz w:val="20"/>
                <w:szCs w:val="20"/>
              </w:rPr>
            </w:pPr>
            <w:r w:rsidRPr="007D2274">
              <w:rPr>
                <w:rFonts w:cstheme="minorHAnsi"/>
                <w:sz w:val="20"/>
                <w:szCs w:val="20"/>
              </w:rPr>
              <w:t>38.8</w:t>
            </w:r>
          </w:p>
        </w:tc>
      </w:tr>
      <w:tr w:rsidR="00685BE5" w:rsidRPr="00B90E88" w:rsidTr="00AE4C3A">
        <w:trPr>
          <w:trHeight w:val="288"/>
        </w:trPr>
        <w:tc>
          <w:tcPr>
            <w:tcW w:w="2266" w:type="dxa"/>
            <w:tcBorders>
              <w:top w:val="nil"/>
              <w:left w:val="nil"/>
              <w:bottom w:val="nil"/>
              <w:right w:val="nil"/>
            </w:tcBorders>
            <w:shd w:val="clear" w:color="auto" w:fill="auto"/>
            <w:noWrap/>
            <w:vAlign w:val="bottom"/>
            <w:hideMark/>
          </w:tcPr>
          <w:p w:rsidR="00685BE5" w:rsidRPr="007D2274" w:rsidRDefault="00685BE5" w:rsidP="00A92EA0">
            <w:pPr>
              <w:spacing w:before="20" w:after="20"/>
              <w:rPr>
                <w:rFonts w:cstheme="minorHAnsi"/>
                <w:sz w:val="20"/>
                <w:szCs w:val="20"/>
              </w:rPr>
            </w:pPr>
            <w:r w:rsidRPr="007D2274">
              <w:rPr>
                <w:rFonts w:cstheme="minorHAnsi"/>
                <w:sz w:val="20"/>
                <w:szCs w:val="20"/>
              </w:rPr>
              <w:t>35</w:t>
            </w:r>
            <w:r w:rsidR="00A92EA0">
              <w:rPr>
                <w:rFonts w:cstheme="minorHAnsi"/>
                <w:sz w:val="20"/>
                <w:szCs w:val="20"/>
              </w:rPr>
              <w:t xml:space="preserve"> to </w:t>
            </w:r>
            <w:r w:rsidRPr="007D2274">
              <w:rPr>
                <w:rFonts w:cstheme="minorHAnsi"/>
                <w:sz w:val="20"/>
                <w:szCs w:val="20"/>
              </w:rPr>
              <w:t>40</w:t>
            </w:r>
            <w:r>
              <w:rPr>
                <w:rFonts w:cstheme="minorHAnsi"/>
                <w:sz w:val="20"/>
                <w:szCs w:val="20"/>
              </w:rPr>
              <w:t xml:space="preserve"> hours</w:t>
            </w:r>
          </w:p>
        </w:tc>
        <w:tc>
          <w:tcPr>
            <w:tcW w:w="2747" w:type="dxa"/>
            <w:tcBorders>
              <w:top w:val="nil"/>
              <w:left w:val="nil"/>
              <w:bottom w:val="nil"/>
              <w:right w:val="nil"/>
            </w:tcBorders>
            <w:shd w:val="clear" w:color="auto" w:fill="auto"/>
            <w:noWrap/>
            <w:vAlign w:val="bottom"/>
            <w:hideMark/>
          </w:tcPr>
          <w:p w:rsidR="00685BE5" w:rsidRPr="007D2274" w:rsidRDefault="00685BE5" w:rsidP="00301C30">
            <w:pPr>
              <w:tabs>
                <w:tab w:val="decimal" w:pos="1140"/>
              </w:tabs>
              <w:spacing w:before="20" w:after="20"/>
              <w:ind w:right="1239"/>
              <w:jc w:val="right"/>
              <w:rPr>
                <w:rFonts w:cstheme="minorHAnsi"/>
                <w:sz w:val="20"/>
                <w:szCs w:val="20"/>
              </w:rPr>
            </w:pPr>
            <w:r w:rsidRPr="007D2274">
              <w:rPr>
                <w:rFonts w:cstheme="minorHAnsi"/>
                <w:sz w:val="20"/>
                <w:szCs w:val="20"/>
              </w:rPr>
              <w:t>36.9</w:t>
            </w:r>
          </w:p>
        </w:tc>
        <w:tc>
          <w:tcPr>
            <w:tcW w:w="3072" w:type="dxa"/>
            <w:tcBorders>
              <w:top w:val="nil"/>
              <w:left w:val="nil"/>
              <w:bottom w:val="nil"/>
              <w:right w:val="nil"/>
            </w:tcBorders>
            <w:shd w:val="clear" w:color="auto" w:fill="auto"/>
            <w:noWrap/>
            <w:vAlign w:val="bottom"/>
            <w:hideMark/>
          </w:tcPr>
          <w:p w:rsidR="00685BE5" w:rsidRPr="007D2274" w:rsidRDefault="00685BE5" w:rsidP="00301C30">
            <w:pPr>
              <w:tabs>
                <w:tab w:val="decimal" w:pos="1329"/>
              </w:tabs>
              <w:spacing w:before="20" w:after="20"/>
              <w:ind w:right="1239"/>
              <w:jc w:val="right"/>
              <w:rPr>
                <w:rFonts w:cstheme="minorHAnsi"/>
                <w:sz w:val="20"/>
                <w:szCs w:val="20"/>
              </w:rPr>
            </w:pPr>
            <w:r w:rsidRPr="007D2274">
              <w:rPr>
                <w:rFonts w:cstheme="minorHAnsi"/>
                <w:sz w:val="20"/>
                <w:szCs w:val="20"/>
              </w:rPr>
              <w:t>47.5</w:t>
            </w:r>
          </w:p>
        </w:tc>
      </w:tr>
      <w:tr w:rsidR="00685BE5" w:rsidRPr="00B90E88" w:rsidTr="00AE4C3A">
        <w:trPr>
          <w:trHeight w:val="288"/>
        </w:trPr>
        <w:tc>
          <w:tcPr>
            <w:tcW w:w="2266" w:type="dxa"/>
            <w:tcBorders>
              <w:top w:val="nil"/>
              <w:left w:val="nil"/>
              <w:bottom w:val="nil"/>
              <w:right w:val="nil"/>
            </w:tcBorders>
            <w:shd w:val="clear" w:color="auto" w:fill="auto"/>
            <w:noWrap/>
            <w:vAlign w:val="bottom"/>
            <w:hideMark/>
          </w:tcPr>
          <w:p w:rsidR="00685BE5" w:rsidRPr="007D2274" w:rsidRDefault="00685BE5" w:rsidP="00301C30">
            <w:pPr>
              <w:spacing w:before="20" w:after="20"/>
              <w:rPr>
                <w:rFonts w:cstheme="minorHAnsi"/>
                <w:sz w:val="20"/>
                <w:szCs w:val="20"/>
              </w:rPr>
            </w:pPr>
            <w:r>
              <w:rPr>
                <w:rFonts w:cstheme="minorHAnsi"/>
                <w:sz w:val="20"/>
                <w:szCs w:val="20"/>
              </w:rPr>
              <w:t>40 or above hours</w:t>
            </w:r>
          </w:p>
        </w:tc>
        <w:tc>
          <w:tcPr>
            <w:tcW w:w="2747" w:type="dxa"/>
            <w:tcBorders>
              <w:top w:val="nil"/>
              <w:left w:val="nil"/>
              <w:bottom w:val="nil"/>
              <w:right w:val="nil"/>
            </w:tcBorders>
            <w:shd w:val="clear" w:color="auto" w:fill="auto"/>
            <w:noWrap/>
            <w:vAlign w:val="bottom"/>
            <w:hideMark/>
          </w:tcPr>
          <w:p w:rsidR="00685BE5" w:rsidRPr="007D2274" w:rsidRDefault="00685BE5" w:rsidP="00301C30">
            <w:pPr>
              <w:tabs>
                <w:tab w:val="decimal" w:pos="1140"/>
              </w:tabs>
              <w:spacing w:before="20" w:after="20"/>
              <w:ind w:right="1239"/>
              <w:jc w:val="right"/>
              <w:rPr>
                <w:rFonts w:cstheme="minorHAnsi"/>
                <w:sz w:val="20"/>
                <w:szCs w:val="20"/>
              </w:rPr>
            </w:pPr>
            <w:r w:rsidRPr="007D2274">
              <w:rPr>
                <w:rFonts w:cstheme="minorHAnsi"/>
                <w:sz w:val="20"/>
                <w:szCs w:val="20"/>
              </w:rPr>
              <w:t>23.5</w:t>
            </w:r>
          </w:p>
        </w:tc>
        <w:tc>
          <w:tcPr>
            <w:tcW w:w="3072" w:type="dxa"/>
            <w:tcBorders>
              <w:top w:val="nil"/>
              <w:left w:val="nil"/>
              <w:bottom w:val="nil"/>
              <w:right w:val="nil"/>
            </w:tcBorders>
            <w:shd w:val="clear" w:color="auto" w:fill="auto"/>
            <w:noWrap/>
            <w:vAlign w:val="bottom"/>
            <w:hideMark/>
          </w:tcPr>
          <w:p w:rsidR="00685BE5" w:rsidRPr="007D2274" w:rsidRDefault="00685BE5" w:rsidP="00301C30">
            <w:pPr>
              <w:tabs>
                <w:tab w:val="decimal" w:pos="1329"/>
              </w:tabs>
              <w:spacing w:before="20" w:after="20"/>
              <w:ind w:right="1239"/>
              <w:jc w:val="right"/>
              <w:rPr>
                <w:rFonts w:cstheme="minorHAnsi"/>
                <w:sz w:val="20"/>
                <w:szCs w:val="20"/>
              </w:rPr>
            </w:pPr>
            <w:r w:rsidRPr="007D2274">
              <w:rPr>
                <w:rFonts w:cstheme="minorHAnsi"/>
                <w:sz w:val="20"/>
                <w:szCs w:val="20"/>
              </w:rPr>
              <w:t>6.8</w:t>
            </w:r>
          </w:p>
        </w:tc>
      </w:tr>
      <w:tr w:rsidR="00685BE5" w:rsidRPr="00B90E88" w:rsidTr="00AE4C3A">
        <w:trPr>
          <w:trHeight w:val="288"/>
        </w:trPr>
        <w:tc>
          <w:tcPr>
            <w:tcW w:w="2266" w:type="dxa"/>
            <w:tcBorders>
              <w:top w:val="nil"/>
              <w:left w:val="nil"/>
              <w:bottom w:val="single" w:sz="4" w:space="0" w:color="auto"/>
              <w:right w:val="nil"/>
            </w:tcBorders>
            <w:shd w:val="clear" w:color="auto" w:fill="auto"/>
            <w:noWrap/>
            <w:vAlign w:val="bottom"/>
            <w:hideMark/>
          </w:tcPr>
          <w:p w:rsidR="00685BE5" w:rsidRPr="007D2274" w:rsidRDefault="00685BE5" w:rsidP="00301C30">
            <w:pPr>
              <w:spacing w:before="20" w:after="20"/>
              <w:rPr>
                <w:rFonts w:cstheme="minorHAnsi"/>
                <w:sz w:val="20"/>
                <w:szCs w:val="20"/>
              </w:rPr>
            </w:pPr>
            <w:r w:rsidRPr="007D2274">
              <w:rPr>
                <w:rFonts w:cstheme="minorHAnsi"/>
                <w:sz w:val="20"/>
                <w:szCs w:val="20"/>
              </w:rPr>
              <w:t xml:space="preserve">Question not answered </w:t>
            </w:r>
          </w:p>
        </w:tc>
        <w:tc>
          <w:tcPr>
            <w:tcW w:w="2747" w:type="dxa"/>
            <w:tcBorders>
              <w:top w:val="nil"/>
              <w:left w:val="nil"/>
              <w:bottom w:val="single" w:sz="4" w:space="0" w:color="auto"/>
              <w:right w:val="nil"/>
            </w:tcBorders>
            <w:shd w:val="clear" w:color="auto" w:fill="auto"/>
            <w:noWrap/>
            <w:vAlign w:val="bottom"/>
            <w:hideMark/>
          </w:tcPr>
          <w:p w:rsidR="00685BE5" w:rsidRPr="007D2274" w:rsidRDefault="00685BE5" w:rsidP="00301C30">
            <w:pPr>
              <w:tabs>
                <w:tab w:val="decimal" w:pos="1140"/>
              </w:tabs>
              <w:spacing w:before="20" w:after="20"/>
              <w:ind w:right="1239"/>
              <w:jc w:val="right"/>
              <w:rPr>
                <w:rFonts w:cstheme="minorHAnsi"/>
                <w:sz w:val="20"/>
                <w:szCs w:val="20"/>
              </w:rPr>
            </w:pPr>
            <w:r w:rsidRPr="007D2274">
              <w:rPr>
                <w:rFonts w:cstheme="minorHAnsi"/>
                <w:sz w:val="20"/>
                <w:szCs w:val="20"/>
              </w:rPr>
              <w:t>1.3</w:t>
            </w:r>
          </w:p>
        </w:tc>
        <w:tc>
          <w:tcPr>
            <w:tcW w:w="3072" w:type="dxa"/>
            <w:tcBorders>
              <w:top w:val="nil"/>
              <w:left w:val="nil"/>
              <w:bottom w:val="single" w:sz="4" w:space="0" w:color="auto"/>
              <w:right w:val="nil"/>
            </w:tcBorders>
            <w:shd w:val="clear" w:color="auto" w:fill="auto"/>
            <w:noWrap/>
            <w:vAlign w:val="bottom"/>
            <w:hideMark/>
          </w:tcPr>
          <w:p w:rsidR="00685BE5" w:rsidRPr="007D2274" w:rsidRDefault="00685BE5" w:rsidP="00301C30">
            <w:pPr>
              <w:tabs>
                <w:tab w:val="decimal" w:pos="1329"/>
              </w:tabs>
              <w:spacing w:before="20" w:after="20"/>
              <w:ind w:right="1239"/>
              <w:jc w:val="right"/>
              <w:rPr>
                <w:rFonts w:cstheme="minorHAnsi"/>
                <w:sz w:val="20"/>
                <w:szCs w:val="20"/>
              </w:rPr>
            </w:pPr>
            <w:r w:rsidRPr="007D2274">
              <w:rPr>
                <w:rFonts w:cstheme="minorHAnsi"/>
                <w:sz w:val="20"/>
                <w:szCs w:val="20"/>
              </w:rPr>
              <w:t>2.3</w:t>
            </w:r>
          </w:p>
        </w:tc>
      </w:tr>
      <w:tr w:rsidR="00685BE5" w:rsidRPr="00E84C9F" w:rsidTr="00AE4C3A">
        <w:trPr>
          <w:trHeight w:val="288"/>
        </w:trPr>
        <w:tc>
          <w:tcPr>
            <w:tcW w:w="2266" w:type="dxa"/>
            <w:tcBorders>
              <w:top w:val="single" w:sz="4" w:space="0" w:color="auto"/>
              <w:left w:val="nil"/>
              <w:bottom w:val="single" w:sz="4" w:space="0" w:color="auto"/>
              <w:right w:val="nil"/>
            </w:tcBorders>
            <w:shd w:val="clear" w:color="auto" w:fill="auto"/>
            <w:noWrap/>
            <w:vAlign w:val="bottom"/>
            <w:hideMark/>
          </w:tcPr>
          <w:p w:rsidR="00685BE5" w:rsidRPr="00E3331B" w:rsidRDefault="00685BE5" w:rsidP="00301C30">
            <w:pPr>
              <w:spacing w:before="20" w:after="20"/>
              <w:rPr>
                <w:rFonts w:cstheme="minorHAnsi"/>
                <w:b/>
                <w:sz w:val="20"/>
                <w:szCs w:val="20"/>
              </w:rPr>
            </w:pPr>
            <w:r w:rsidRPr="00E3331B">
              <w:rPr>
                <w:rFonts w:cstheme="minorHAnsi"/>
                <w:b/>
                <w:sz w:val="20"/>
                <w:szCs w:val="20"/>
              </w:rPr>
              <w:t>Total</w:t>
            </w:r>
            <w:r>
              <w:rPr>
                <w:rFonts w:cstheme="minorHAnsi"/>
                <w:b/>
                <w:sz w:val="20"/>
                <w:szCs w:val="20"/>
              </w:rPr>
              <w:t xml:space="preserve"> (N=2,133)</w:t>
            </w:r>
          </w:p>
        </w:tc>
        <w:tc>
          <w:tcPr>
            <w:tcW w:w="2747" w:type="dxa"/>
            <w:tcBorders>
              <w:top w:val="single" w:sz="4" w:space="0" w:color="auto"/>
              <w:left w:val="nil"/>
              <w:bottom w:val="single" w:sz="4" w:space="0" w:color="auto"/>
              <w:right w:val="nil"/>
            </w:tcBorders>
            <w:shd w:val="clear" w:color="auto" w:fill="auto"/>
            <w:noWrap/>
            <w:vAlign w:val="bottom"/>
            <w:hideMark/>
          </w:tcPr>
          <w:p w:rsidR="00685BE5" w:rsidRPr="00E3331B" w:rsidRDefault="00685BE5" w:rsidP="00301C30">
            <w:pPr>
              <w:tabs>
                <w:tab w:val="decimal" w:pos="1140"/>
              </w:tabs>
              <w:spacing w:before="20" w:after="20"/>
              <w:ind w:right="1239"/>
              <w:jc w:val="right"/>
              <w:rPr>
                <w:rFonts w:cstheme="minorHAnsi"/>
                <w:b/>
                <w:sz w:val="20"/>
                <w:szCs w:val="20"/>
              </w:rPr>
            </w:pPr>
            <w:r w:rsidRPr="00E3331B">
              <w:rPr>
                <w:rFonts w:cstheme="minorHAnsi"/>
                <w:b/>
                <w:sz w:val="20"/>
                <w:szCs w:val="20"/>
              </w:rPr>
              <w:t>100</w:t>
            </w:r>
          </w:p>
        </w:tc>
        <w:tc>
          <w:tcPr>
            <w:tcW w:w="3072" w:type="dxa"/>
            <w:tcBorders>
              <w:top w:val="single" w:sz="4" w:space="0" w:color="auto"/>
              <w:left w:val="nil"/>
              <w:bottom w:val="single" w:sz="4" w:space="0" w:color="auto"/>
              <w:right w:val="nil"/>
            </w:tcBorders>
            <w:shd w:val="clear" w:color="auto" w:fill="auto"/>
            <w:noWrap/>
            <w:vAlign w:val="bottom"/>
            <w:hideMark/>
          </w:tcPr>
          <w:p w:rsidR="00685BE5" w:rsidRPr="00E3331B" w:rsidRDefault="00685BE5" w:rsidP="00301C30">
            <w:pPr>
              <w:tabs>
                <w:tab w:val="decimal" w:pos="1329"/>
              </w:tabs>
              <w:spacing w:before="20" w:after="20"/>
              <w:ind w:right="1239"/>
              <w:jc w:val="right"/>
              <w:rPr>
                <w:rFonts w:cstheme="minorHAnsi"/>
                <w:b/>
                <w:sz w:val="20"/>
                <w:szCs w:val="20"/>
              </w:rPr>
            </w:pPr>
            <w:r w:rsidRPr="00E3331B">
              <w:rPr>
                <w:rFonts w:cstheme="minorHAnsi"/>
                <w:b/>
                <w:sz w:val="20"/>
                <w:szCs w:val="20"/>
              </w:rPr>
              <w:t>100</w:t>
            </w:r>
          </w:p>
        </w:tc>
      </w:tr>
      <w:tr w:rsidR="00685BE5" w:rsidRPr="00B90E88" w:rsidTr="00AE4C3A">
        <w:trPr>
          <w:trHeight w:val="288"/>
        </w:trPr>
        <w:tc>
          <w:tcPr>
            <w:tcW w:w="2266" w:type="dxa"/>
            <w:tcBorders>
              <w:top w:val="single" w:sz="4" w:space="0" w:color="auto"/>
              <w:left w:val="nil"/>
              <w:bottom w:val="nil"/>
              <w:right w:val="nil"/>
            </w:tcBorders>
            <w:shd w:val="clear" w:color="auto" w:fill="auto"/>
            <w:noWrap/>
            <w:vAlign w:val="bottom"/>
          </w:tcPr>
          <w:p w:rsidR="00685BE5" w:rsidRPr="007D2274" w:rsidRDefault="00685BE5" w:rsidP="00301C30">
            <w:pPr>
              <w:spacing w:before="20" w:after="20"/>
              <w:rPr>
                <w:rFonts w:cstheme="minorHAnsi"/>
                <w:sz w:val="20"/>
                <w:szCs w:val="20"/>
              </w:rPr>
            </w:pPr>
            <w:r w:rsidRPr="007D2274">
              <w:rPr>
                <w:rFonts w:cstheme="minorHAnsi"/>
                <w:sz w:val="20"/>
                <w:szCs w:val="20"/>
              </w:rPr>
              <w:t>Mean</w:t>
            </w:r>
          </w:p>
        </w:tc>
        <w:tc>
          <w:tcPr>
            <w:tcW w:w="2747" w:type="dxa"/>
            <w:tcBorders>
              <w:top w:val="single" w:sz="4" w:space="0" w:color="auto"/>
              <w:left w:val="nil"/>
              <w:bottom w:val="nil"/>
              <w:right w:val="nil"/>
            </w:tcBorders>
            <w:shd w:val="clear" w:color="auto" w:fill="auto"/>
            <w:noWrap/>
            <w:vAlign w:val="bottom"/>
          </w:tcPr>
          <w:p w:rsidR="00685BE5" w:rsidRPr="007D2274" w:rsidRDefault="00685BE5" w:rsidP="00301C30">
            <w:pPr>
              <w:tabs>
                <w:tab w:val="decimal" w:pos="1140"/>
              </w:tabs>
              <w:spacing w:before="20" w:after="20"/>
              <w:ind w:right="1239"/>
              <w:jc w:val="right"/>
              <w:rPr>
                <w:rFonts w:cstheme="minorHAnsi"/>
                <w:sz w:val="20"/>
                <w:szCs w:val="20"/>
              </w:rPr>
            </w:pPr>
            <w:r w:rsidRPr="007D2274">
              <w:rPr>
                <w:rFonts w:cstheme="minorHAnsi"/>
                <w:sz w:val="20"/>
                <w:szCs w:val="20"/>
              </w:rPr>
              <w:t>35.8</w:t>
            </w:r>
          </w:p>
        </w:tc>
        <w:tc>
          <w:tcPr>
            <w:tcW w:w="3072" w:type="dxa"/>
            <w:tcBorders>
              <w:top w:val="single" w:sz="4" w:space="0" w:color="auto"/>
              <w:left w:val="nil"/>
              <w:bottom w:val="nil"/>
              <w:right w:val="nil"/>
            </w:tcBorders>
            <w:shd w:val="clear" w:color="auto" w:fill="auto"/>
            <w:noWrap/>
            <w:vAlign w:val="bottom"/>
          </w:tcPr>
          <w:p w:rsidR="00685BE5" w:rsidRPr="007D2274" w:rsidRDefault="00685BE5" w:rsidP="00301C30">
            <w:pPr>
              <w:tabs>
                <w:tab w:val="decimal" w:pos="1329"/>
              </w:tabs>
              <w:spacing w:before="20" w:after="20"/>
              <w:ind w:right="1239"/>
              <w:jc w:val="right"/>
              <w:rPr>
                <w:rFonts w:cstheme="minorHAnsi"/>
                <w:sz w:val="20"/>
                <w:szCs w:val="20"/>
              </w:rPr>
            </w:pPr>
            <w:r w:rsidRPr="007D2274">
              <w:rPr>
                <w:rFonts w:cstheme="minorHAnsi"/>
                <w:sz w:val="20"/>
                <w:szCs w:val="20"/>
              </w:rPr>
              <w:t>34.0</w:t>
            </w:r>
          </w:p>
        </w:tc>
      </w:tr>
      <w:tr w:rsidR="00685BE5" w:rsidRPr="00B90E88" w:rsidTr="00AE4C3A">
        <w:trPr>
          <w:trHeight w:val="288"/>
        </w:trPr>
        <w:tc>
          <w:tcPr>
            <w:tcW w:w="2266" w:type="dxa"/>
            <w:tcBorders>
              <w:top w:val="nil"/>
              <w:left w:val="nil"/>
              <w:bottom w:val="single" w:sz="4" w:space="0" w:color="auto"/>
              <w:right w:val="nil"/>
            </w:tcBorders>
            <w:shd w:val="clear" w:color="auto" w:fill="auto"/>
            <w:noWrap/>
            <w:vAlign w:val="bottom"/>
          </w:tcPr>
          <w:p w:rsidR="00685BE5" w:rsidRPr="007D2274" w:rsidRDefault="00685BE5" w:rsidP="00301C30">
            <w:pPr>
              <w:spacing w:before="20" w:after="20"/>
              <w:rPr>
                <w:rFonts w:cstheme="minorHAnsi"/>
                <w:sz w:val="20"/>
                <w:szCs w:val="20"/>
              </w:rPr>
            </w:pPr>
            <w:r w:rsidRPr="007D2274">
              <w:rPr>
                <w:rFonts w:cstheme="minorHAnsi"/>
                <w:sz w:val="20"/>
                <w:szCs w:val="20"/>
              </w:rPr>
              <w:t>Median</w:t>
            </w:r>
          </w:p>
        </w:tc>
        <w:tc>
          <w:tcPr>
            <w:tcW w:w="2747" w:type="dxa"/>
            <w:tcBorders>
              <w:top w:val="nil"/>
              <w:left w:val="nil"/>
              <w:bottom w:val="single" w:sz="4" w:space="0" w:color="auto"/>
              <w:right w:val="nil"/>
            </w:tcBorders>
            <w:shd w:val="clear" w:color="auto" w:fill="auto"/>
            <w:noWrap/>
            <w:vAlign w:val="bottom"/>
          </w:tcPr>
          <w:p w:rsidR="00685BE5" w:rsidRPr="007D2274" w:rsidRDefault="00685BE5" w:rsidP="00301C30">
            <w:pPr>
              <w:tabs>
                <w:tab w:val="decimal" w:pos="1140"/>
              </w:tabs>
              <w:spacing w:before="20" w:after="20"/>
              <w:ind w:right="1239"/>
              <w:jc w:val="right"/>
              <w:rPr>
                <w:rFonts w:cstheme="minorHAnsi"/>
                <w:sz w:val="20"/>
                <w:szCs w:val="20"/>
              </w:rPr>
            </w:pPr>
            <w:r w:rsidRPr="007D2274">
              <w:rPr>
                <w:rFonts w:cstheme="minorHAnsi"/>
                <w:sz w:val="20"/>
                <w:szCs w:val="20"/>
              </w:rPr>
              <w:t>38.0</w:t>
            </w:r>
          </w:p>
        </w:tc>
        <w:tc>
          <w:tcPr>
            <w:tcW w:w="3072" w:type="dxa"/>
            <w:tcBorders>
              <w:top w:val="nil"/>
              <w:left w:val="nil"/>
              <w:bottom w:val="single" w:sz="4" w:space="0" w:color="auto"/>
              <w:right w:val="nil"/>
            </w:tcBorders>
            <w:shd w:val="clear" w:color="auto" w:fill="auto"/>
            <w:noWrap/>
            <w:vAlign w:val="bottom"/>
          </w:tcPr>
          <w:p w:rsidR="00685BE5" w:rsidRPr="007D2274" w:rsidRDefault="00685BE5" w:rsidP="00301C30">
            <w:pPr>
              <w:tabs>
                <w:tab w:val="decimal" w:pos="1329"/>
              </w:tabs>
              <w:spacing w:before="20" w:after="20"/>
              <w:ind w:right="1239"/>
              <w:jc w:val="right"/>
              <w:rPr>
                <w:rFonts w:cstheme="minorHAnsi"/>
                <w:sz w:val="20"/>
                <w:szCs w:val="20"/>
              </w:rPr>
            </w:pPr>
            <w:r w:rsidRPr="007D2274">
              <w:rPr>
                <w:rFonts w:cstheme="minorHAnsi"/>
                <w:sz w:val="20"/>
                <w:szCs w:val="20"/>
              </w:rPr>
              <w:t>35.0</w:t>
            </w:r>
          </w:p>
        </w:tc>
      </w:tr>
    </w:tbl>
    <w:p w:rsidR="00685BE5" w:rsidRPr="005C469C" w:rsidRDefault="00685BE5" w:rsidP="00AE4C3A">
      <w:pPr>
        <w:pStyle w:val="NILSReference"/>
      </w:pPr>
      <w:r w:rsidRPr="005C469C">
        <w:t xml:space="preserve">Source: 2014 NDIS DSP employee survey, Questions B2a and B2b. </w:t>
      </w:r>
    </w:p>
    <w:p w:rsidR="00685BE5" w:rsidRPr="005C469C" w:rsidRDefault="00685BE5" w:rsidP="00AE4C3A">
      <w:pPr>
        <w:pStyle w:val="NILSReference"/>
      </w:pPr>
      <w:r w:rsidRPr="005C469C">
        <w:t xml:space="preserve">Note: The calculations for </w:t>
      </w:r>
      <w:r>
        <w:t>‘</w:t>
      </w:r>
      <w:r w:rsidRPr="005C469C">
        <w:t>Total working hours per week</w:t>
      </w:r>
      <w:r>
        <w:t>’</w:t>
      </w:r>
      <w:r w:rsidRPr="005C469C">
        <w:t xml:space="preserve"> are based on 2106 employees who reported at least 1 hour of work in a normal week; the calculations for </w:t>
      </w:r>
      <w:r>
        <w:t>‘</w:t>
      </w:r>
      <w:r w:rsidRPr="005C469C">
        <w:t>Preferred hours per week</w:t>
      </w:r>
      <w:r>
        <w:t>’</w:t>
      </w:r>
      <w:r w:rsidRPr="005C469C">
        <w:t xml:space="preserve"> are based on 2085 employees who reported at least 1 hour of work per week as preferred hours per week. Groups of hours in the following table formed from reported number of hours. The mean and median values are calculated from the raw data, not the grouped intervals shown in the table.</w:t>
      </w:r>
    </w:p>
    <w:p w:rsidR="00B92687" w:rsidRDefault="00B92687">
      <w:bookmarkStart w:id="620" w:name="_Toc425425107"/>
    </w:p>
    <w:p w:rsidR="00685BE5" w:rsidRDefault="00685BE5">
      <w:r w:rsidRPr="00177953">
        <w:t xml:space="preserve">Table </w:t>
      </w:r>
      <w:r>
        <w:t>4.31</w:t>
      </w:r>
      <w:r w:rsidRPr="00177953">
        <w:t xml:space="preserve"> indicates that overall, the disability workforce </w:t>
      </w:r>
      <w:r>
        <w:t>wa</w:t>
      </w:r>
      <w:r w:rsidRPr="00177953">
        <w:t>s somewhat over</w:t>
      </w:r>
      <w:r>
        <w:t>-</w:t>
      </w:r>
      <w:r w:rsidRPr="00177953">
        <w:t xml:space="preserve">employed, i.e. the total actual working hours </w:t>
      </w:r>
      <w:r>
        <w:t>we</w:t>
      </w:r>
      <w:r w:rsidRPr="00177953">
        <w:t xml:space="preserve">re larger than preferred hours. Only 38 per cent of workers </w:t>
      </w:r>
      <w:r>
        <w:t>we</w:t>
      </w:r>
      <w:r w:rsidRPr="00177953">
        <w:t>re happy with the hours they currently work (i.e. prefer</w:t>
      </w:r>
      <w:r w:rsidR="006155A0">
        <w:t>r</w:t>
      </w:r>
      <w:r>
        <w:t>ed</w:t>
      </w:r>
      <w:r w:rsidRPr="00177953">
        <w:t xml:space="preserve"> the same hours). The proportion that </w:t>
      </w:r>
      <w:r>
        <w:t>wa</w:t>
      </w:r>
      <w:r w:rsidRPr="00177953">
        <w:t xml:space="preserve">s happy with their hours </w:t>
      </w:r>
      <w:r>
        <w:t>wa</w:t>
      </w:r>
      <w:r w:rsidRPr="00177953">
        <w:t>s much lower than that reported for the general Australian workforce (60 per cent, HILDA 2014) and also lower than that reported for the aged care workforce in 2012 (49 per cent for community care workers and 56 per cent for residential care workers</w:t>
      </w:r>
      <w:r>
        <w:t>, King et al. 2013</w:t>
      </w:r>
      <w:r w:rsidRPr="00177953">
        <w:t>). Almost double the number of workers prefer</w:t>
      </w:r>
      <w:r>
        <w:t>red</w:t>
      </w:r>
      <w:r w:rsidRPr="00177953">
        <w:t xml:space="preserve"> to work fewer hours (40 per cent) compared to those who prefer</w:t>
      </w:r>
      <w:r>
        <w:t>red</w:t>
      </w:r>
      <w:r w:rsidRPr="00177953">
        <w:t xml:space="preserve"> to work more hours (21 per cent). This is mainly driven by the large proportion—almost a quarter—who report</w:t>
      </w:r>
      <w:r>
        <w:t>ed</w:t>
      </w:r>
      <w:r w:rsidRPr="00177953">
        <w:t xml:space="preserve"> working 40 or more hours per week</w:t>
      </w:r>
      <w:r>
        <w:t>:</w:t>
      </w:r>
      <w:r w:rsidRPr="00177953">
        <w:t xml:space="preserve"> only 7 per cent sa</w:t>
      </w:r>
      <w:r>
        <w:t>id</w:t>
      </w:r>
      <w:r w:rsidRPr="00177953">
        <w:t xml:space="preserve"> that they want</w:t>
      </w:r>
      <w:r>
        <w:t>ed</w:t>
      </w:r>
      <w:r w:rsidRPr="00177953">
        <w:t xml:space="preserve"> to work this many hours. Despite the high prevalence of ‘over work’, for the whole workforce there </w:t>
      </w:r>
      <w:r>
        <w:t>wa</w:t>
      </w:r>
      <w:r w:rsidRPr="00177953">
        <w:t>s only a small difference in the average hours that pe</w:t>
      </w:r>
      <w:r>
        <w:t>ople said they wanted to work (34</w:t>
      </w:r>
      <w:r w:rsidRPr="00177953">
        <w:t xml:space="preserve">), and the average hours that they </w:t>
      </w:r>
      <w:r>
        <w:t>did</w:t>
      </w:r>
      <w:r w:rsidRPr="00177953">
        <w:t xml:space="preserve"> work </w:t>
      </w:r>
      <w:r>
        <w:t>(36</w:t>
      </w:r>
      <w:r w:rsidRPr="00177953">
        <w:t>). This arises because, while many people who work</w:t>
      </w:r>
      <w:r>
        <w:t>ed</w:t>
      </w:r>
      <w:r w:rsidRPr="00177953">
        <w:t xml:space="preserve"> long hours (more than 40) want</w:t>
      </w:r>
      <w:r>
        <w:t>ed</w:t>
      </w:r>
      <w:r w:rsidRPr="00177953">
        <w:t xml:space="preserve"> to work fewer hours, many people who work</w:t>
      </w:r>
      <w:r>
        <w:t>ed</w:t>
      </w:r>
      <w:r w:rsidRPr="00177953">
        <w:t xml:space="preserve"> short hours (less than 35) want</w:t>
      </w:r>
      <w:r>
        <w:t>ed</w:t>
      </w:r>
      <w:r w:rsidRPr="00177953">
        <w:t xml:space="preserve"> to work more hours. This suggests that there </w:t>
      </w:r>
      <w:r>
        <w:t>wa</w:t>
      </w:r>
      <w:r w:rsidRPr="00177953">
        <w:t>s a</w:t>
      </w:r>
      <w:r>
        <w:t>n imbalance between actual and desired hours.</w:t>
      </w:r>
    </w:p>
    <w:p w:rsidR="00B92687" w:rsidRDefault="00B92687"/>
    <w:p w:rsidR="00685BE5" w:rsidRPr="00AB33E3" w:rsidRDefault="00685BE5" w:rsidP="0044684E">
      <w:pPr>
        <w:pStyle w:val="NILSTableHeading"/>
      </w:pPr>
      <w:bookmarkStart w:id="621" w:name="_Toc428279236"/>
      <w:bookmarkStart w:id="622" w:name="_Toc449955367"/>
      <w:r w:rsidRPr="00AB33E3">
        <w:t xml:space="preserve">Table </w:t>
      </w:r>
      <w:r>
        <w:t>4.31</w:t>
      </w:r>
      <w:r w:rsidRPr="00AB33E3">
        <w:t xml:space="preserve">: </w:t>
      </w:r>
      <w:r>
        <w:t>T</w:t>
      </w:r>
      <w:r w:rsidRPr="00AB33E3">
        <w:t xml:space="preserve">otal working hours per week </w:t>
      </w:r>
      <w:r>
        <w:t>against</w:t>
      </w:r>
      <w:r w:rsidRPr="00AB33E3">
        <w:t xml:space="preserve"> preferred </w:t>
      </w:r>
      <w:r w:rsidRPr="000B76EB">
        <w:t>total</w:t>
      </w:r>
      <w:r w:rsidRPr="00AB33E3">
        <w:t xml:space="preserve"> work hours per week</w:t>
      </w:r>
      <w:bookmarkEnd w:id="620"/>
      <w:bookmarkEnd w:id="621"/>
      <w:bookmarkEnd w:id="622"/>
      <w:r w:rsidRPr="00AB33E3">
        <w:t xml:space="preserve"> </w:t>
      </w:r>
    </w:p>
    <w:tbl>
      <w:tblPr>
        <w:tblW w:w="4126" w:type="dxa"/>
        <w:tblInd w:w="93" w:type="dxa"/>
        <w:tblLook w:val="04A0" w:firstRow="1" w:lastRow="0" w:firstColumn="1" w:lastColumn="0" w:noHBand="0" w:noVBand="1"/>
        <w:tblCaption w:val="Table 4.31 Total working hours per week against preferred total work hours per week "/>
      </w:tblPr>
      <w:tblGrid>
        <w:gridCol w:w="2567"/>
        <w:gridCol w:w="1708"/>
      </w:tblGrid>
      <w:tr w:rsidR="00685BE5" w:rsidRPr="00B90E88" w:rsidTr="003F216D">
        <w:trPr>
          <w:trHeight w:val="288"/>
          <w:tblHeader/>
        </w:trPr>
        <w:tc>
          <w:tcPr>
            <w:tcW w:w="2567" w:type="dxa"/>
            <w:tcBorders>
              <w:top w:val="single" w:sz="4" w:space="0" w:color="auto"/>
              <w:left w:val="nil"/>
              <w:bottom w:val="single" w:sz="4" w:space="0" w:color="auto"/>
              <w:right w:val="nil"/>
            </w:tcBorders>
            <w:shd w:val="clear" w:color="auto" w:fill="auto"/>
            <w:noWrap/>
            <w:vAlign w:val="bottom"/>
            <w:hideMark/>
          </w:tcPr>
          <w:p w:rsidR="00685BE5" w:rsidRPr="007D2274" w:rsidRDefault="00685BE5" w:rsidP="00301C30">
            <w:pPr>
              <w:spacing w:before="20" w:after="20"/>
              <w:rPr>
                <w:rFonts w:cstheme="minorHAnsi"/>
                <w:sz w:val="20"/>
                <w:szCs w:val="20"/>
              </w:rPr>
            </w:pPr>
            <w:r w:rsidRPr="007D2274">
              <w:rPr>
                <w:rFonts w:cstheme="minorHAnsi"/>
                <w:sz w:val="20"/>
                <w:szCs w:val="20"/>
              </w:rPr>
              <w:t> </w:t>
            </w:r>
            <w:bookmarkStart w:id="623" w:name="Title_4_31"/>
            <w:bookmarkEnd w:id="623"/>
          </w:p>
        </w:tc>
        <w:tc>
          <w:tcPr>
            <w:tcW w:w="1559" w:type="dxa"/>
            <w:tcBorders>
              <w:top w:val="single" w:sz="4" w:space="0" w:color="auto"/>
              <w:left w:val="nil"/>
              <w:bottom w:val="single" w:sz="4" w:space="0" w:color="auto"/>
              <w:right w:val="nil"/>
            </w:tcBorders>
            <w:shd w:val="clear" w:color="auto" w:fill="auto"/>
            <w:noWrap/>
            <w:vAlign w:val="bottom"/>
            <w:hideMark/>
          </w:tcPr>
          <w:p w:rsidR="00685BE5" w:rsidRPr="007D2274" w:rsidRDefault="0096484D" w:rsidP="00301C30">
            <w:pPr>
              <w:spacing w:before="20" w:after="20"/>
              <w:jc w:val="center"/>
              <w:rPr>
                <w:rFonts w:cstheme="minorHAnsi"/>
                <w:sz w:val="20"/>
                <w:szCs w:val="20"/>
              </w:rPr>
            </w:pPr>
            <w:r>
              <w:rPr>
                <w:rFonts w:cstheme="minorHAnsi"/>
                <w:sz w:val="20"/>
                <w:szCs w:val="20"/>
              </w:rPr>
              <w:t>%</w:t>
            </w:r>
          </w:p>
        </w:tc>
      </w:tr>
      <w:tr w:rsidR="00685BE5" w:rsidRPr="00B90E88" w:rsidTr="00AE4C3A">
        <w:trPr>
          <w:trHeight w:val="288"/>
        </w:trPr>
        <w:tc>
          <w:tcPr>
            <w:tcW w:w="2567" w:type="dxa"/>
            <w:tcBorders>
              <w:top w:val="nil"/>
              <w:left w:val="nil"/>
              <w:bottom w:val="nil"/>
              <w:right w:val="nil"/>
            </w:tcBorders>
            <w:shd w:val="clear" w:color="auto" w:fill="auto"/>
            <w:noWrap/>
            <w:vAlign w:val="bottom"/>
            <w:hideMark/>
          </w:tcPr>
          <w:p w:rsidR="00685BE5" w:rsidRPr="007D2274" w:rsidRDefault="00685BE5" w:rsidP="00301C30">
            <w:pPr>
              <w:spacing w:before="20" w:after="20"/>
              <w:rPr>
                <w:rFonts w:cstheme="minorHAnsi"/>
                <w:sz w:val="20"/>
                <w:szCs w:val="20"/>
              </w:rPr>
            </w:pPr>
            <w:r w:rsidRPr="007D2274">
              <w:rPr>
                <w:rFonts w:cstheme="minorHAnsi"/>
                <w:sz w:val="20"/>
                <w:szCs w:val="20"/>
              </w:rPr>
              <w:t>Prefer more hours</w:t>
            </w:r>
          </w:p>
        </w:tc>
        <w:tc>
          <w:tcPr>
            <w:tcW w:w="1559" w:type="dxa"/>
            <w:tcBorders>
              <w:top w:val="nil"/>
              <w:left w:val="nil"/>
              <w:bottom w:val="nil"/>
              <w:right w:val="nil"/>
            </w:tcBorders>
            <w:shd w:val="clear" w:color="auto" w:fill="auto"/>
            <w:noWrap/>
            <w:vAlign w:val="bottom"/>
            <w:hideMark/>
          </w:tcPr>
          <w:p w:rsidR="00685BE5" w:rsidRPr="007D2274" w:rsidRDefault="00685BE5" w:rsidP="00301C30">
            <w:pPr>
              <w:tabs>
                <w:tab w:val="decimal" w:pos="836"/>
              </w:tabs>
              <w:spacing w:before="20" w:after="20"/>
              <w:ind w:right="504"/>
              <w:jc w:val="right"/>
              <w:rPr>
                <w:rFonts w:cstheme="minorHAnsi"/>
                <w:sz w:val="20"/>
                <w:szCs w:val="20"/>
              </w:rPr>
            </w:pPr>
            <w:r w:rsidRPr="007D2274">
              <w:rPr>
                <w:rFonts w:cstheme="minorHAnsi"/>
                <w:sz w:val="20"/>
                <w:szCs w:val="20"/>
              </w:rPr>
              <w:t>21.5</w:t>
            </w:r>
          </w:p>
        </w:tc>
      </w:tr>
      <w:tr w:rsidR="00685BE5" w:rsidRPr="00B90E88" w:rsidTr="00AE4C3A">
        <w:trPr>
          <w:trHeight w:val="288"/>
        </w:trPr>
        <w:tc>
          <w:tcPr>
            <w:tcW w:w="2567" w:type="dxa"/>
            <w:tcBorders>
              <w:top w:val="nil"/>
              <w:left w:val="nil"/>
              <w:bottom w:val="nil"/>
              <w:right w:val="nil"/>
            </w:tcBorders>
            <w:shd w:val="clear" w:color="auto" w:fill="auto"/>
            <w:noWrap/>
            <w:vAlign w:val="bottom"/>
            <w:hideMark/>
          </w:tcPr>
          <w:p w:rsidR="00685BE5" w:rsidRPr="007D2274" w:rsidRDefault="00685BE5" w:rsidP="00301C30">
            <w:pPr>
              <w:spacing w:before="20" w:after="20"/>
              <w:rPr>
                <w:rFonts w:cstheme="minorHAnsi"/>
                <w:sz w:val="20"/>
                <w:szCs w:val="20"/>
              </w:rPr>
            </w:pPr>
            <w:r w:rsidRPr="007D2274">
              <w:rPr>
                <w:rFonts w:cstheme="minorHAnsi"/>
                <w:sz w:val="20"/>
                <w:szCs w:val="20"/>
              </w:rPr>
              <w:t>Prefer the same hours</w:t>
            </w:r>
          </w:p>
        </w:tc>
        <w:tc>
          <w:tcPr>
            <w:tcW w:w="1559" w:type="dxa"/>
            <w:tcBorders>
              <w:top w:val="nil"/>
              <w:left w:val="nil"/>
              <w:bottom w:val="nil"/>
              <w:right w:val="nil"/>
            </w:tcBorders>
            <w:shd w:val="clear" w:color="auto" w:fill="auto"/>
            <w:noWrap/>
            <w:vAlign w:val="bottom"/>
            <w:hideMark/>
          </w:tcPr>
          <w:p w:rsidR="00685BE5" w:rsidRPr="007D2274" w:rsidRDefault="00685BE5" w:rsidP="00301C30">
            <w:pPr>
              <w:tabs>
                <w:tab w:val="decimal" w:pos="836"/>
              </w:tabs>
              <w:spacing w:before="20" w:after="20"/>
              <w:ind w:right="504"/>
              <w:jc w:val="right"/>
              <w:rPr>
                <w:rFonts w:cstheme="minorHAnsi"/>
                <w:sz w:val="20"/>
                <w:szCs w:val="20"/>
              </w:rPr>
            </w:pPr>
            <w:r w:rsidRPr="007D2274">
              <w:rPr>
                <w:rFonts w:cstheme="minorHAnsi"/>
                <w:sz w:val="20"/>
                <w:szCs w:val="20"/>
              </w:rPr>
              <w:t>38.3</w:t>
            </w:r>
          </w:p>
        </w:tc>
      </w:tr>
      <w:tr w:rsidR="00685BE5" w:rsidRPr="00B90E88" w:rsidTr="00AE4C3A">
        <w:trPr>
          <w:trHeight w:val="288"/>
        </w:trPr>
        <w:tc>
          <w:tcPr>
            <w:tcW w:w="2567" w:type="dxa"/>
            <w:tcBorders>
              <w:top w:val="nil"/>
              <w:left w:val="nil"/>
              <w:bottom w:val="single" w:sz="4" w:space="0" w:color="auto"/>
              <w:right w:val="nil"/>
            </w:tcBorders>
            <w:shd w:val="clear" w:color="auto" w:fill="auto"/>
            <w:noWrap/>
            <w:vAlign w:val="bottom"/>
            <w:hideMark/>
          </w:tcPr>
          <w:p w:rsidR="00685BE5" w:rsidRPr="007D2274" w:rsidRDefault="00685BE5" w:rsidP="00301C30">
            <w:pPr>
              <w:spacing w:before="20" w:after="20"/>
              <w:rPr>
                <w:rFonts w:cstheme="minorHAnsi"/>
                <w:sz w:val="20"/>
                <w:szCs w:val="20"/>
              </w:rPr>
            </w:pPr>
            <w:r w:rsidRPr="007D2274">
              <w:rPr>
                <w:rFonts w:cstheme="minorHAnsi"/>
                <w:sz w:val="20"/>
                <w:szCs w:val="20"/>
              </w:rPr>
              <w:t>Prefer less hours</w:t>
            </w:r>
          </w:p>
        </w:tc>
        <w:tc>
          <w:tcPr>
            <w:tcW w:w="1559" w:type="dxa"/>
            <w:tcBorders>
              <w:top w:val="nil"/>
              <w:left w:val="nil"/>
              <w:bottom w:val="single" w:sz="4" w:space="0" w:color="auto"/>
              <w:right w:val="nil"/>
            </w:tcBorders>
            <w:shd w:val="clear" w:color="auto" w:fill="auto"/>
            <w:noWrap/>
            <w:vAlign w:val="bottom"/>
            <w:hideMark/>
          </w:tcPr>
          <w:p w:rsidR="00685BE5" w:rsidRPr="007D2274" w:rsidRDefault="00685BE5" w:rsidP="00301C30">
            <w:pPr>
              <w:tabs>
                <w:tab w:val="decimal" w:pos="836"/>
              </w:tabs>
              <w:spacing w:before="20" w:after="20"/>
              <w:ind w:right="504"/>
              <w:jc w:val="right"/>
              <w:rPr>
                <w:rFonts w:cstheme="minorHAnsi"/>
                <w:sz w:val="20"/>
                <w:szCs w:val="20"/>
              </w:rPr>
            </w:pPr>
            <w:r w:rsidRPr="007D2274">
              <w:rPr>
                <w:rFonts w:cstheme="minorHAnsi"/>
                <w:sz w:val="20"/>
                <w:szCs w:val="20"/>
              </w:rPr>
              <w:t>40.2</w:t>
            </w:r>
          </w:p>
        </w:tc>
      </w:tr>
      <w:tr w:rsidR="00685BE5" w:rsidRPr="00E84C9F" w:rsidTr="00AE4C3A">
        <w:trPr>
          <w:trHeight w:val="288"/>
        </w:trPr>
        <w:tc>
          <w:tcPr>
            <w:tcW w:w="2567" w:type="dxa"/>
            <w:tcBorders>
              <w:top w:val="single" w:sz="4" w:space="0" w:color="auto"/>
              <w:left w:val="nil"/>
              <w:bottom w:val="single" w:sz="4" w:space="0" w:color="auto"/>
              <w:right w:val="nil"/>
            </w:tcBorders>
            <w:shd w:val="clear" w:color="auto" w:fill="auto"/>
            <w:noWrap/>
            <w:vAlign w:val="bottom"/>
            <w:hideMark/>
          </w:tcPr>
          <w:p w:rsidR="00685BE5" w:rsidRPr="00E3331B" w:rsidRDefault="00685BE5" w:rsidP="00301C30">
            <w:pPr>
              <w:spacing w:before="20" w:after="20"/>
              <w:rPr>
                <w:rFonts w:cstheme="minorHAnsi"/>
                <w:b/>
                <w:sz w:val="20"/>
                <w:szCs w:val="20"/>
              </w:rPr>
            </w:pPr>
            <w:r w:rsidRPr="00E3331B">
              <w:rPr>
                <w:rFonts w:cstheme="minorHAnsi"/>
                <w:b/>
                <w:sz w:val="20"/>
                <w:szCs w:val="20"/>
              </w:rPr>
              <w:t>Total (N=2</w:t>
            </w:r>
            <w:r>
              <w:rPr>
                <w:rFonts w:cstheme="minorHAnsi"/>
                <w:b/>
                <w:sz w:val="20"/>
                <w:szCs w:val="20"/>
              </w:rPr>
              <w:t>,</w:t>
            </w:r>
            <w:r w:rsidRPr="00E3331B">
              <w:rPr>
                <w:rFonts w:cstheme="minorHAnsi"/>
                <w:b/>
                <w:sz w:val="20"/>
                <w:szCs w:val="20"/>
              </w:rPr>
              <w:t>065)</w:t>
            </w:r>
          </w:p>
        </w:tc>
        <w:tc>
          <w:tcPr>
            <w:tcW w:w="1559" w:type="dxa"/>
            <w:tcBorders>
              <w:top w:val="single" w:sz="4" w:space="0" w:color="auto"/>
              <w:left w:val="nil"/>
              <w:bottom w:val="single" w:sz="4" w:space="0" w:color="auto"/>
              <w:right w:val="nil"/>
            </w:tcBorders>
            <w:shd w:val="clear" w:color="auto" w:fill="auto"/>
            <w:noWrap/>
            <w:vAlign w:val="bottom"/>
            <w:hideMark/>
          </w:tcPr>
          <w:p w:rsidR="00685BE5" w:rsidRPr="00E3331B" w:rsidRDefault="00685BE5" w:rsidP="00301C30">
            <w:pPr>
              <w:tabs>
                <w:tab w:val="decimal" w:pos="836"/>
              </w:tabs>
              <w:spacing w:before="20" w:after="20"/>
              <w:ind w:right="504"/>
              <w:jc w:val="right"/>
              <w:rPr>
                <w:rFonts w:cstheme="minorHAnsi"/>
                <w:b/>
                <w:sz w:val="20"/>
                <w:szCs w:val="20"/>
              </w:rPr>
            </w:pPr>
            <w:r w:rsidRPr="00E3331B">
              <w:rPr>
                <w:rFonts w:cstheme="minorHAnsi"/>
                <w:b/>
                <w:sz w:val="20"/>
                <w:szCs w:val="20"/>
              </w:rPr>
              <w:t>100</w:t>
            </w:r>
          </w:p>
        </w:tc>
      </w:tr>
    </w:tbl>
    <w:p w:rsidR="00685BE5" w:rsidRPr="005C469C" w:rsidRDefault="00685BE5" w:rsidP="00AE4C3A">
      <w:pPr>
        <w:pStyle w:val="NILSReference"/>
      </w:pPr>
      <w:r w:rsidRPr="005C469C">
        <w:t xml:space="preserve">Source: 2014 NDIS DSP employee, Questions B2a and B2b. </w:t>
      </w:r>
    </w:p>
    <w:p w:rsidR="00685BE5" w:rsidRPr="00C2026C" w:rsidRDefault="00685BE5" w:rsidP="00AE4C3A">
      <w:pPr>
        <w:pStyle w:val="NILSReference"/>
      </w:pPr>
      <w:r w:rsidRPr="005C469C">
        <w:t>The calculations are based on 2</w:t>
      </w:r>
      <w:r>
        <w:t>,</w:t>
      </w:r>
      <w:r w:rsidRPr="005C469C">
        <w:t xml:space="preserve">065 cases who reported both </w:t>
      </w:r>
      <w:r>
        <w:t>‘</w:t>
      </w:r>
      <w:r w:rsidRPr="005C469C">
        <w:t>Total working hours per week</w:t>
      </w:r>
      <w:r>
        <w:t>’</w:t>
      </w:r>
      <w:r w:rsidRPr="005C469C">
        <w:t xml:space="preserve"> a</w:t>
      </w:r>
      <w:r>
        <w:t xml:space="preserve">nd ‘Preferred hours per week’. </w:t>
      </w:r>
    </w:p>
    <w:p w:rsidR="00A92038" w:rsidRDefault="00A92038">
      <w:pPr>
        <w:rPr>
          <w:rFonts w:eastAsiaTheme="majorEastAsia" w:cstheme="minorHAnsi"/>
          <w:b/>
          <w:bCs/>
        </w:rPr>
      </w:pPr>
      <w:r>
        <w:rPr>
          <w:rFonts w:eastAsiaTheme="majorEastAsia" w:cstheme="minorHAnsi"/>
          <w:b/>
          <w:bCs/>
        </w:rPr>
        <w:br w:type="page"/>
      </w:r>
    </w:p>
    <w:p w:rsidR="00685BE5" w:rsidRPr="00827534" w:rsidRDefault="00685BE5" w:rsidP="00B92687">
      <w:pPr>
        <w:spacing w:before="240" w:after="240"/>
        <w:rPr>
          <w:rFonts w:eastAsiaTheme="majorEastAsia" w:cstheme="minorHAnsi"/>
          <w:b/>
          <w:bCs/>
        </w:rPr>
      </w:pPr>
      <w:r w:rsidRPr="00827534">
        <w:rPr>
          <w:rFonts w:eastAsiaTheme="majorEastAsia" w:cstheme="minorHAnsi"/>
          <w:b/>
          <w:bCs/>
        </w:rPr>
        <w:lastRenderedPageBreak/>
        <w:t>Earnings</w:t>
      </w:r>
    </w:p>
    <w:p w:rsidR="00685BE5" w:rsidRDefault="00685BE5" w:rsidP="00AE4C3A">
      <w:pPr>
        <w:rPr>
          <w:rFonts w:cstheme="minorHAnsi"/>
        </w:rPr>
      </w:pPr>
      <w:r w:rsidRPr="00AB33E3">
        <w:t xml:space="preserve">Table </w:t>
      </w:r>
      <w:r>
        <w:t>4.32</w:t>
      </w:r>
      <w:r w:rsidRPr="00AB33E3">
        <w:t xml:space="preserve"> reports calculations of the reported employee weekly earnings before tax by occupation. </w:t>
      </w:r>
      <w:r w:rsidRPr="00AB33E3">
        <w:rPr>
          <w:rFonts w:cstheme="minorHAnsi"/>
        </w:rPr>
        <w:t>Workers in professional or managerial occupations (service or program administrator/manager/</w:t>
      </w:r>
      <w:r>
        <w:rPr>
          <w:rFonts w:cstheme="minorHAnsi"/>
        </w:rPr>
        <w:t xml:space="preserve"> </w:t>
      </w:r>
      <w:r w:rsidRPr="00AB33E3">
        <w:rPr>
          <w:rFonts w:cstheme="minorHAnsi"/>
        </w:rPr>
        <w:t>coordinator, social worker/disability case coordinator and allied health worker) earned much higher pay than care</w:t>
      </w:r>
      <w:r>
        <w:rPr>
          <w:rFonts w:cstheme="minorHAnsi"/>
        </w:rPr>
        <w:t>/</w:t>
      </w:r>
      <w:r w:rsidRPr="00AB33E3">
        <w:rPr>
          <w:rFonts w:cstheme="minorHAnsi"/>
        </w:rPr>
        <w:t>support workers (personal care/home care worker; disability support/residential support worker; employment support</w:t>
      </w:r>
      <w:r>
        <w:rPr>
          <w:rFonts w:cstheme="minorHAnsi"/>
        </w:rPr>
        <w:t xml:space="preserve"> worker; peer support worker).</w:t>
      </w:r>
      <w:r w:rsidRPr="00AB33E3">
        <w:rPr>
          <w:rFonts w:cstheme="minorHAnsi"/>
        </w:rPr>
        <w:t xml:space="preserve"> Personal care/home care workers ha</w:t>
      </w:r>
      <w:r>
        <w:rPr>
          <w:rFonts w:cstheme="minorHAnsi"/>
        </w:rPr>
        <w:t>d</w:t>
      </w:r>
      <w:r w:rsidRPr="00AB33E3">
        <w:rPr>
          <w:rFonts w:cstheme="minorHAnsi"/>
        </w:rPr>
        <w:t xml:space="preserve"> the lowest </w:t>
      </w:r>
      <w:r>
        <w:rPr>
          <w:rFonts w:cstheme="minorHAnsi"/>
        </w:rPr>
        <w:t xml:space="preserve">reported </w:t>
      </w:r>
      <w:r w:rsidRPr="00AB33E3">
        <w:rPr>
          <w:rFonts w:cstheme="minorHAnsi"/>
        </w:rPr>
        <w:t xml:space="preserve">average and median wage, and their average earnings </w:t>
      </w:r>
      <w:r>
        <w:rPr>
          <w:rFonts w:cstheme="minorHAnsi"/>
        </w:rPr>
        <w:t>we</w:t>
      </w:r>
      <w:r w:rsidRPr="00AB33E3">
        <w:rPr>
          <w:rFonts w:cstheme="minorHAnsi"/>
        </w:rPr>
        <w:t xml:space="preserve">re considerably lower than the pay conditions reported for other occupations. </w:t>
      </w:r>
      <w:r w:rsidR="0090288F">
        <w:rPr>
          <w:rFonts w:cstheme="minorHAnsi"/>
        </w:rPr>
        <w:t>T</w:t>
      </w:r>
      <w:r w:rsidRPr="00AB33E3">
        <w:rPr>
          <w:rFonts w:cstheme="minorHAnsi"/>
        </w:rPr>
        <w:t>he table reports weekly earnings, and that 38 per cent of the workforce work</w:t>
      </w:r>
      <w:r>
        <w:rPr>
          <w:rFonts w:cstheme="minorHAnsi"/>
        </w:rPr>
        <w:t>ed</w:t>
      </w:r>
      <w:r w:rsidRPr="00AB33E3">
        <w:rPr>
          <w:rFonts w:cstheme="minorHAnsi"/>
        </w:rPr>
        <w:t xml:space="preserve"> part-time. The similarity of the mean and the median suggests that there </w:t>
      </w:r>
      <w:r>
        <w:rPr>
          <w:rFonts w:cstheme="minorHAnsi"/>
        </w:rPr>
        <w:t>wa</w:t>
      </w:r>
      <w:r w:rsidRPr="00AB33E3">
        <w:rPr>
          <w:rFonts w:cstheme="minorHAnsi"/>
        </w:rPr>
        <w:t xml:space="preserve">s not a substantial tail of either very low or very high </w:t>
      </w:r>
      <w:r>
        <w:rPr>
          <w:rFonts w:cstheme="minorHAnsi"/>
        </w:rPr>
        <w:t xml:space="preserve">reported </w:t>
      </w:r>
      <w:r w:rsidRPr="00AB33E3">
        <w:rPr>
          <w:rFonts w:cstheme="minorHAnsi"/>
        </w:rPr>
        <w:t>earnings.</w:t>
      </w:r>
    </w:p>
    <w:p w:rsidR="00B92687" w:rsidRDefault="00B92687" w:rsidP="00AE4C3A">
      <w:pPr>
        <w:rPr>
          <w:rFonts w:cstheme="minorHAnsi"/>
        </w:rPr>
      </w:pPr>
    </w:p>
    <w:p w:rsidR="00685BE5" w:rsidRPr="00AB33E3" w:rsidRDefault="00685BE5" w:rsidP="0044684E">
      <w:pPr>
        <w:pStyle w:val="NILSTableHeading"/>
      </w:pPr>
      <w:bookmarkStart w:id="624" w:name="_Toc428279237"/>
      <w:bookmarkStart w:id="625" w:name="_Toc449955368"/>
      <w:r w:rsidRPr="00AB33E3">
        <w:t xml:space="preserve">Table </w:t>
      </w:r>
      <w:r>
        <w:t>4.32</w:t>
      </w:r>
      <w:r w:rsidRPr="00AB33E3">
        <w:t>: Weekly earnings before tax by occupation</w:t>
      </w:r>
      <w:bookmarkEnd w:id="624"/>
      <w:bookmarkEnd w:id="625"/>
    </w:p>
    <w:tbl>
      <w:tblPr>
        <w:tblW w:w="8804" w:type="dxa"/>
        <w:tblInd w:w="93" w:type="dxa"/>
        <w:tblLook w:val="04A0" w:firstRow="1" w:lastRow="0" w:firstColumn="1" w:lastColumn="0" w:noHBand="0" w:noVBand="1"/>
        <w:tblCaption w:val="Table 4.32 Weekly earnings before tax by occupation"/>
      </w:tblPr>
      <w:tblGrid>
        <w:gridCol w:w="4977"/>
        <w:gridCol w:w="1275"/>
        <w:gridCol w:w="1134"/>
        <w:gridCol w:w="1418"/>
      </w:tblGrid>
      <w:tr w:rsidR="00685BE5" w:rsidRPr="00E84C9F" w:rsidTr="00B40707">
        <w:trPr>
          <w:tblHeader/>
        </w:trPr>
        <w:tc>
          <w:tcPr>
            <w:tcW w:w="4977" w:type="dxa"/>
            <w:tcBorders>
              <w:top w:val="single" w:sz="4" w:space="0" w:color="auto"/>
              <w:left w:val="nil"/>
              <w:bottom w:val="single" w:sz="4" w:space="0" w:color="auto"/>
              <w:right w:val="nil"/>
            </w:tcBorders>
            <w:shd w:val="clear" w:color="auto" w:fill="auto"/>
            <w:noWrap/>
            <w:vAlign w:val="bottom"/>
            <w:hideMark/>
          </w:tcPr>
          <w:p w:rsidR="00685BE5" w:rsidRPr="00E3331B" w:rsidRDefault="00685BE5" w:rsidP="00301C30">
            <w:pPr>
              <w:spacing w:before="20" w:after="20"/>
              <w:rPr>
                <w:rFonts w:cstheme="minorHAnsi"/>
                <w:bCs/>
                <w:sz w:val="20"/>
                <w:szCs w:val="20"/>
              </w:rPr>
            </w:pPr>
            <w:bookmarkStart w:id="626" w:name="Title_4_32"/>
            <w:bookmarkEnd w:id="626"/>
          </w:p>
        </w:tc>
        <w:tc>
          <w:tcPr>
            <w:tcW w:w="1275" w:type="dxa"/>
            <w:tcBorders>
              <w:top w:val="single" w:sz="4" w:space="0" w:color="auto"/>
              <w:left w:val="nil"/>
              <w:bottom w:val="single" w:sz="4" w:space="0" w:color="auto"/>
              <w:right w:val="nil"/>
            </w:tcBorders>
            <w:shd w:val="clear" w:color="auto" w:fill="auto"/>
            <w:noWrap/>
            <w:vAlign w:val="bottom"/>
            <w:hideMark/>
          </w:tcPr>
          <w:p w:rsidR="00685BE5" w:rsidRDefault="00685BE5" w:rsidP="00301C30">
            <w:pPr>
              <w:spacing w:before="20" w:after="20"/>
              <w:jc w:val="center"/>
              <w:rPr>
                <w:rFonts w:cstheme="minorHAnsi"/>
                <w:bCs/>
                <w:sz w:val="20"/>
                <w:szCs w:val="20"/>
              </w:rPr>
            </w:pPr>
            <w:r w:rsidRPr="00E3331B">
              <w:rPr>
                <w:rFonts w:cstheme="minorHAnsi"/>
                <w:bCs/>
                <w:sz w:val="20"/>
                <w:szCs w:val="20"/>
              </w:rPr>
              <w:t xml:space="preserve">Mean </w:t>
            </w:r>
          </w:p>
          <w:p w:rsidR="00685BE5" w:rsidRPr="00E3331B" w:rsidRDefault="00685BE5" w:rsidP="00301C30">
            <w:pPr>
              <w:spacing w:before="20" w:after="20"/>
              <w:jc w:val="center"/>
              <w:rPr>
                <w:rFonts w:cstheme="minorHAnsi"/>
                <w:bCs/>
                <w:sz w:val="20"/>
                <w:szCs w:val="20"/>
              </w:rPr>
            </w:pPr>
            <w:r w:rsidRPr="00E3331B">
              <w:rPr>
                <w:rFonts w:cstheme="minorHAnsi"/>
                <w:bCs/>
                <w:sz w:val="20"/>
                <w:szCs w:val="20"/>
              </w:rPr>
              <w:t>$</w:t>
            </w:r>
          </w:p>
        </w:tc>
        <w:tc>
          <w:tcPr>
            <w:tcW w:w="1134" w:type="dxa"/>
            <w:tcBorders>
              <w:top w:val="single" w:sz="4" w:space="0" w:color="auto"/>
              <w:left w:val="nil"/>
              <w:bottom w:val="single" w:sz="4" w:space="0" w:color="auto"/>
              <w:right w:val="nil"/>
            </w:tcBorders>
            <w:shd w:val="clear" w:color="auto" w:fill="auto"/>
            <w:noWrap/>
            <w:vAlign w:val="bottom"/>
            <w:hideMark/>
          </w:tcPr>
          <w:p w:rsidR="00685BE5" w:rsidRDefault="00685BE5" w:rsidP="00301C30">
            <w:pPr>
              <w:spacing w:before="20" w:after="20"/>
              <w:jc w:val="center"/>
              <w:rPr>
                <w:rFonts w:cstheme="minorHAnsi"/>
                <w:bCs/>
                <w:sz w:val="20"/>
                <w:szCs w:val="20"/>
              </w:rPr>
            </w:pPr>
            <w:r w:rsidRPr="00E3331B">
              <w:rPr>
                <w:rFonts w:cstheme="minorHAnsi"/>
                <w:bCs/>
                <w:sz w:val="20"/>
                <w:szCs w:val="20"/>
              </w:rPr>
              <w:t xml:space="preserve">Median </w:t>
            </w:r>
          </w:p>
          <w:p w:rsidR="00685BE5" w:rsidRPr="00E3331B" w:rsidRDefault="00685BE5" w:rsidP="00301C30">
            <w:pPr>
              <w:spacing w:before="20" w:after="20"/>
              <w:jc w:val="center"/>
              <w:rPr>
                <w:rFonts w:cstheme="minorHAnsi"/>
                <w:bCs/>
                <w:sz w:val="20"/>
                <w:szCs w:val="20"/>
              </w:rPr>
            </w:pPr>
            <w:r w:rsidRPr="00E3331B">
              <w:rPr>
                <w:rFonts w:cstheme="minorHAnsi"/>
                <w:bCs/>
                <w:sz w:val="20"/>
                <w:szCs w:val="20"/>
              </w:rPr>
              <w:t>$</w:t>
            </w:r>
          </w:p>
        </w:tc>
        <w:tc>
          <w:tcPr>
            <w:tcW w:w="1418" w:type="dxa"/>
            <w:tcBorders>
              <w:top w:val="single" w:sz="4" w:space="0" w:color="auto"/>
              <w:left w:val="nil"/>
              <w:bottom w:val="single" w:sz="4" w:space="0" w:color="auto"/>
              <w:right w:val="nil"/>
            </w:tcBorders>
            <w:shd w:val="clear" w:color="auto" w:fill="auto"/>
            <w:noWrap/>
            <w:vAlign w:val="bottom"/>
            <w:hideMark/>
          </w:tcPr>
          <w:p w:rsidR="00685BE5" w:rsidRPr="00E3331B" w:rsidRDefault="00685BE5" w:rsidP="00301C30">
            <w:pPr>
              <w:spacing w:before="20" w:after="20"/>
              <w:jc w:val="center"/>
              <w:rPr>
                <w:rFonts w:cstheme="minorHAnsi"/>
                <w:bCs/>
                <w:sz w:val="20"/>
                <w:szCs w:val="20"/>
              </w:rPr>
            </w:pPr>
            <w:r w:rsidRPr="00E3331B">
              <w:rPr>
                <w:rFonts w:cstheme="minorHAnsi"/>
                <w:bCs/>
                <w:sz w:val="20"/>
                <w:szCs w:val="20"/>
              </w:rPr>
              <w:t>Number of workers</w:t>
            </w:r>
          </w:p>
        </w:tc>
      </w:tr>
      <w:tr w:rsidR="00685BE5" w:rsidRPr="00B90E88" w:rsidTr="00AE4C3A">
        <w:tc>
          <w:tcPr>
            <w:tcW w:w="4977" w:type="dxa"/>
            <w:tcBorders>
              <w:top w:val="nil"/>
              <w:left w:val="nil"/>
              <w:bottom w:val="nil"/>
              <w:right w:val="nil"/>
            </w:tcBorders>
            <w:shd w:val="clear" w:color="auto" w:fill="auto"/>
            <w:noWrap/>
            <w:vAlign w:val="bottom"/>
            <w:hideMark/>
          </w:tcPr>
          <w:p w:rsidR="00685BE5" w:rsidRPr="007D2274" w:rsidRDefault="00685BE5" w:rsidP="00301C30">
            <w:pPr>
              <w:spacing w:before="20" w:after="20"/>
              <w:rPr>
                <w:rFonts w:cstheme="minorHAnsi"/>
                <w:sz w:val="20"/>
                <w:szCs w:val="20"/>
              </w:rPr>
            </w:pPr>
            <w:r w:rsidRPr="007D2274">
              <w:rPr>
                <w:rFonts w:cstheme="minorHAnsi"/>
                <w:sz w:val="20"/>
                <w:szCs w:val="20"/>
              </w:rPr>
              <w:t>Disability support/</w:t>
            </w:r>
            <w:r>
              <w:rPr>
                <w:rFonts w:cstheme="minorHAnsi"/>
                <w:sz w:val="20"/>
                <w:szCs w:val="20"/>
              </w:rPr>
              <w:t>r</w:t>
            </w:r>
            <w:r w:rsidRPr="007D2274">
              <w:rPr>
                <w:rFonts w:cstheme="minorHAnsi"/>
                <w:sz w:val="20"/>
                <w:szCs w:val="20"/>
              </w:rPr>
              <w:t>esidential support worker</w:t>
            </w:r>
          </w:p>
        </w:tc>
        <w:tc>
          <w:tcPr>
            <w:tcW w:w="1275" w:type="dxa"/>
            <w:tcBorders>
              <w:top w:val="nil"/>
              <w:left w:val="nil"/>
              <w:bottom w:val="nil"/>
              <w:right w:val="nil"/>
            </w:tcBorders>
            <w:shd w:val="clear" w:color="auto" w:fill="auto"/>
            <w:noWrap/>
            <w:vAlign w:val="bottom"/>
            <w:hideMark/>
          </w:tcPr>
          <w:p w:rsidR="00685BE5" w:rsidRPr="007D2274" w:rsidRDefault="00685BE5" w:rsidP="00301C30">
            <w:pPr>
              <w:spacing w:before="20" w:after="20"/>
              <w:ind w:right="204"/>
              <w:jc w:val="right"/>
              <w:rPr>
                <w:rFonts w:cstheme="minorHAnsi"/>
                <w:sz w:val="20"/>
                <w:szCs w:val="20"/>
              </w:rPr>
            </w:pPr>
            <w:r w:rsidRPr="007D2274">
              <w:rPr>
                <w:rFonts w:cstheme="minorHAnsi"/>
                <w:sz w:val="20"/>
                <w:szCs w:val="20"/>
              </w:rPr>
              <w:t>787</w:t>
            </w:r>
          </w:p>
        </w:tc>
        <w:tc>
          <w:tcPr>
            <w:tcW w:w="1134" w:type="dxa"/>
            <w:tcBorders>
              <w:top w:val="nil"/>
              <w:left w:val="nil"/>
              <w:bottom w:val="nil"/>
              <w:right w:val="nil"/>
            </w:tcBorders>
            <w:shd w:val="clear" w:color="auto" w:fill="auto"/>
            <w:noWrap/>
            <w:vAlign w:val="bottom"/>
            <w:hideMark/>
          </w:tcPr>
          <w:p w:rsidR="00685BE5" w:rsidRPr="007D2274" w:rsidRDefault="00685BE5" w:rsidP="00301C30">
            <w:pPr>
              <w:spacing w:before="20" w:after="20"/>
              <w:ind w:right="204"/>
              <w:jc w:val="right"/>
              <w:rPr>
                <w:rFonts w:cstheme="minorHAnsi"/>
                <w:sz w:val="20"/>
                <w:szCs w:val="20"/>
              </w:rPr>
            </w:pPr>
            <w:r w:rsidRPr="007D2274">
              <w:rPr>
                <w:rFonts w:cstheme="minorHAnsi"/>
                <w:sz w:val="20"/>
                <w:szCs w:val="20"/>
              </w:rPr>
              <w:t>800</w:t>
            </w:r>
          </w:p>
        </w:tc>
        <w:tc>
          <w:tcPr>
            <w:tcW w:w="1418" w:type="dxa"/>
            <w:tcBorders>
              <w:top w:val="nil"/>
              <w:left w:val="nil"/>
              <w:bottom w:val="nil"/>
              <w:right w:val="nil"/>
            </w:tcBorders>
            <w:shd w:val="clear" w:color="auto" w:fill="auto"/>
            <w:noWrap/>
            <w:vAlign w:val="bottom"/>
            <w:hideMark/>
          </w:tcPr>
          <w:p w:rsidR="00685BE5" w:rsidRPr="007D2274" w:rsidRDefault="00685BE5" w:rsidP="00301C30">
            <w:pPr>
              <w:spacing w:before="20" w:after="20"/>
              <w:ind w:right="317"/>
              <w:jc w:val="right"/>
              <w:rPr>
                <w:rFonts w:cstheme="minorHAnsi"/>
                <w:sz w:val="20"/>
                <w:szCs w:val="20"/>
              </w:rPr>
            </w:pPr>
            <w:r w:rsidRPr="007D2274">
              <w:rPr>
                <w:rFonts w:cstheme="minorHAnsi"/>
                <w:sz w:val="20"/>
                <w:szCs w:val="20"/>
              </w:rPr>
              <w:t>596</w:t>
            </w:r>
          </w:p>
        </w:tc>
      </w:tr>
      <w:tr w:rsidR="00685BE5" w:rsidRPr="00B90E88" w:rsidTr="00AE4C3A">
        <w:tc>
          <w:tcPr>
            <w:tcW w:w="4977" w:type="dxa"/>
            <w:tcBorders>
              <w:top w:val="nil"/>
              <w:left w:val="nil"/>
              <w:bottom w:val="nil"/>
              <w:right w:val="nil"/>
            </w:tcBorders>
            <w:shd w:val="clear" w:color="auto" w:fill="auto"/>
            <w:noWrap/>
            <w:vAlign w:val="bottom"/>
            <w:hideMark/>
          </w:tcPr>
          <w:p w:rsidR="00685BE5" w:rsidRPr="007D2274" w:rsidRDefault="00685BE5" w:rsidP="00301C30">
            <w:pPr>
              <w:spacing w:before="20" w:after="20"/>
              <w:rPr>
                <w:rFonts w:cstheme="minorHAnsi"/>
                <w:sz w:val="20"/>
                <w:szCs w:val="20"/>
              </w:rPr>
            </w:pPr>
            <w:r w:rsidRPr="007D2274">
              <w:rPr>
                <w:rFonts w:cstheme="minorHAnsi"/>
                <w:sz w:val="20"/>
                <w:szCs w:val="20"/>
              </w:rPr>
              <w:t>Personal care/</w:t>
            </w:r>
            <w:r>
              <w:rPr>
                <w:rFonts w:cstheme="minorHAnsi"/>
                <w:sz w:val="20"/>
                <w:szCs w:val="20"/>
              </w:rPr>
              <w:t>h</w:t>
            </w:r>
            <w:r w:rsidRPr="007D2274">
              <w:rPr>
                <w:rFonts w:cstheme="minorHAnsi"/>
                <w:sz w:val="20"/>
                <w:szCs w:val="20"/>
              </w:rPr>
              <w:t>ome care worker</w:t>
            </w:r>
          </w:p>
        </w:tc>
        <w:tc>
          <w:tcPr>
            <w:tcW w:w="1275" w:type="dxa"/>
            <w:tcBorders>
              <w:top w:val="nil"/>
              <w:left w:val="nil"/>
              <w:bottom w:val="nil"/>
              <w:right w:val="nil"/>
            </w:tcBorders>
            <w:shd w:val="clear" w:color="auto" w:fill="auto"/>
            <w:noWrap/>
            <w:vAlign w:val="bottom"/>
            <w:hideMark/>
          </w:tcPr>
          <w:p w:rsidR="00685BE5" w:rsidRPr="007D2274" w:rsidRDefault="00685BE5" w:rsidP="00301C30">
            <w:pPr>
              <w:spacing w:before="20" w:after="20"/>
              <w:ind w:right="204"/>
              <w:jc w:val="right"/>
              <w:rPr>
                <w:rFonts w:cstheme="minorHAnsi"/>
                <w:sz w:val="20"/>
                <w:szCs w:val="20"/>
              </w:rPr>
            </w:pPr>
            <w:r w:rsidRPr="007D2274">
              <w:rPr>
                <w:rFonts w:cstheme="minorHAnsi"/>
                <w:sz w:val="20"/>
                <w:szCs w:val="20"/>
              </w:rPr>
              <w:t>610</w:t>
            </w:r>
          </w:p>
        </w:tc>
        <w:tc>
          <w:tcPr>
            <w:tcW w:w="1134" w:type="dxa"/>
            <w:tcBorders>
              <w:top w:val="nil"/>
              <w:left w:val="nil"/>
              <w:bottom w:val="nil"/>
              <w:right w:val="nil"/>
            </w:tcBorders>
            <w:shd w:val="clear" w:color="auto" w:fill="auto"/>
            <w:noWrap/>
            <w:vAlign w:val="bottom"/>
            <w:hideMark/>
          </w:tcPr>
          <w:p w:rsidR="00685BE5" w:rsidRPr="007D2274" w:rsidRDefault="00685BE5" w:rsidP="00301C30">
            <w:pPr>
              <w:spacing w:before="20" w:after="20"/>
              <w:ind w:right="204"/>
              <w:jc w:val="right"/>
              <w:rPr>
                <w:rFonts w:cstheme="minorHAnsi"/>
                <w:sz w:val="20"/>
                <w:szCs w:val="20"/>
              </w:rPr>
            </w:pPr>
            <w:r w:rsidRPr="007D2274">
              <w:rPr>
                <w:rFonts w:cstheme="minorHAnsi"/>
                <w:sz w:val="20"/>
                <w:szCs w:val="20"/>
              </w:rPr>
              <w:t>600</w:t>
            </w:r>
          </w:p>
        </w:tc>
        <w:tc>
          <w:tcPr>
            <w:tcW w:w="1418" w:type="dxa"/>
            <w:tcBorders>
              <w:top w:val="nil"/>
              <w:left w:val="nil"/>
              <w:bottom w:val="nil"/>
              <w:right w:val="nil"/>
            </w:tcBorders>
            <w:shd w:val="clear" w:color="auto" w:fill="auto"/>
            <w:noWrap/>
            <w:vAlign w:val="bottom"/>
            <w:hideMark/>
          </w:tcPr>
          <w:p w:rsidR="00685BE5" w:rsidRPr="007D2274" w:rsidRDefault="00685BE5" w:rsidP="00301C30">
            <w:pPr>
              <w:spacing w:before="20" w:after="20"/>
              <w:ind w:right="317"/>
              <w:jc w:val="right"/>
              <w:rPr>
                <w:rFonts w:cstheme="minorHAnsi"/>
                <w:sz w:val="20"/>
                <w:szCs w:val="20"/>
              </w:rPr>
            </w:pPr>
            <w:r w:rsidRPr="007D2274">
              <w:rPr>
                <w:rFonts w:cstheme="minorHAnsi"/>
                <w:sz w:val="20"/>
                <w:szCs w:val="20"/>
              </w:rPr>
              <w:t>122</w:t>
            </w:r>
          </w:p>
        </w:tc>
      </w:tr>
      <w:tr w:rsidR="00685BE5" w:rsidRPr="00B90E88" w:rsidTr="00AE4C3A">
        <w:tc>
          <w:tcPr>
            <w:tcW w:w="4977" w:type="dxa"/>
            <w:tcBorders>
              <w:top w:val="nil"/>
              <w:left w:val="nil"/>
              <w:bottom w:val="nil"/>
              <w:right w:val="nil"/>
            </w:tcBorders>
            <w:shd w:val="clear" w:color="auto" w:fill="auto"/>
            <w:noWrap/>
            <w:vAlign w:val="bottom"/>
            <w:hideMark/>
          </w:tcPr>
          <w:p w:rsidR="00685BE5" w:rsidRPr="007D2274" w:rsidRDefault="00685BE5" w:rsidP="00301C30">
            <w:pPr>
              <w:spacing w:before="20" w:after="20"/>
              <w:rPr>
                <w:rFonts w:cstheme="minorHAnsi"/>
                <w:sz w:val="20"/>
                <w:szCs w:val="20"/>
              </w:rPr>
            </w:pPr>
            <w:r w:rsidRPr="007D2274">
              <w:rPr>
                <w:rFonts w:cstheme="minorHAnsi"/>
                <w:sz w:val="20"/>
                <w:szCs w:val="20"/>
              </w:rPr>
              <w:t>Service or program administrator/</w:t>
            </w:r>
            <w:r>
              <w:rPr>
                <w:rFonts w:cstheme="minorHAnsi"/>
                <w:sz w:val="20"/>
                <w:szCs w:val="20"/>
              </w:rPr>
              <w:t>m</w:t>
            </w:r>
            <w:r w:rsidRPr="007D2274">
              <w:rPr>
                <w:rFonts w:cstheme="minorHAnsi"/>
                <w:sz w:val="20"/>
                <w:szCs w:val="20"/>
              </w:rPr>
              <w:t>anager/</w:t>
            </w:r>
            <w:r>
              <w:rPr>
                <w:rFonts w:cstheme="minorHAnsi"/>
                <w:sz w:val="20"/>
                <w:szCs w:val="20"/>
              </w:rPr>
              <w:t>c</w:t>
            </w:r>
            <w:r w:rsidRPr="007D2274">
              <w:rPr>
                <w:rFonts w:cstheme="minorHAnsi"/>
                <w:sz w:val="20"/>
                <w:szCs w:val="20"/>
              </w:rPr>
              <w:t>oordinator</w:t>
            </w:r>
          </w:p>
        </w:tc>
        <w:tc>
          <w:tcPr>
            <w:tcW w:w="1275" w:type="dxa"/>
            <w:tcBorders>
              <w:top w:val="nil"/>
              <w:left w:val="nil"/>
              <w:bottom w:val="nil"/>
              <w:right w:val="nil"/>
            </w:tcBorders>
            <w:shd w:val="clear" w:color="auto" w:fill="auto"/>
            <w:noWrap/>
            <w:vAlign w:val="bottom"/>
            <w:hideMark/>
          </w:tcPr>
          <w:p w:rsidR="00685BE5" w:rsidRPr="007D2274" w:rsidRDefault="00685BE5" w:rsidP="00301C30">
            <w:pPr>
              <w:spacing w:before="20" w:after="20"/>
              <w:ind w:right="204"/>
              <w:jc w:val="right"/>
              <w:rPr>
                <w:rFonts w:cstheme="minorHAnsi"/>
                <w:sz w:val="20"/>
                <w:szCs w:val="20"/>
              </w:rPr>
            </w:pPr>
            <w:r w:rsidRPr="007D2274">
              <w:rPr>
                <w:rFonts w:cstheme="minorHAnsi"/>
                <w:sz w:val="20"/>
                <w:szCs w:val="20"/>
              </w:rPr>
              <w:t>1</w:t>
            </w:r>
            <w:r>
              <w:rPr>
                <w:rFonts w:cstheme="minorHAnsi"/>
                <w:sz w:val="20"/>
                <w:szCs w:val="20"/>
              </w:rPr>
              <w:t>,</w:t>
            </w:r>
            <w:r w:rsidRPr="007D2274">
              <w:rPr>
                <w:rFonts w:cstheme="minorHAnsi"/>
                <w:sz w:val="20"/>
                <w:szCs w:val="20"/>
              </w:rPr>
              <w:t>07</w:t>
            </w:r>
            <w:r>
              <w:rPr>
                <w:rFonts w:cstheme="minorHAnsi"/>
                <w:sz w:val="20"/>
                <w:szCs w:val="20"/>
              </w:rPr>
              <w:t>3</w:t>
            </w:r>
          </w:p>
        </w:tc>
        <w:tc>
          <w:tcPr>
            <w:tcW w:w="1134" w:type="dxa"/>
            <w:tcBorders>
              <w:top w:val="nil"/>
              <w:left w:val="nil"/>
              <w:bottom w:val="nil"/>
              <w:right w:val="nil"/>
            </w:tcBorders>
            <w:shd w:val="clear" w:color="auto" w:fill="auto"/>
            <w:noWrap/>
            <w:vAlign w:val="bottom"/>
            <w:hideMark/>
          </w:tcPr>
          <w:p w:rsidR="00685BE5" w:rsidRPr="007D2274" w:rsidRDefault="00685BE5" w:rsidP="00301C30">
            <w:pPr>
              <w:spacing w:before="20" w:after="20"/>
              <w:ind w:right="204"/>
              <w:jc w:val="right"/>
              <w:rPr>
                <w:rFonts w:cstheme="minorHAnsi"/>
                <w:sz w:val="20"/>
                <w:szCs w:val="20"/>
              </w:rPr>
            </w:pPr>
            <w:r w:rsidRPr="007D2274">
              <w:rPr>
                <w:rFonts w:cstheme="minorHAnsi"/>
                <w:sz w:val="20"/>
                <w:szCs w:val="20"/>
              </w:rPr>
              <w:t>1</w:t>
            </w:r>
            <w:r>
              <w:rPr>
                <w:rFonts w:cstheme="minorHAnsi"/>
                <w:sz w:val="20"/>
                <w:szCs w:val="20"/>
              </w:rPr>
              <w:t>,</w:t>
            </w:r>
            <w:r w:rsidRPr="007D2274">
              <w:rPr>
                <w:rFonts w:cstheme="minorHAnsi"/>
                <w:sz w:val="20"/>
                <w:szCs w:val="20"/>
              </w:rPr>
              <w:t>073</w:t>
            </w:r>
          </w:p>
        </w:tc>
        <w:tc>
          <w:tcPr>
            <w:tcW w:w="1418" w:type="dxa"/>
            <w:tcBorders>
              <w:top w:val="nil"/>
              <w:left w:val="nil"/>
              <w:bottom w:val="nil"/>
              <w:right w:val="nil"/>
            </w:tcBorders>
            <w:shd w:val="clear" w:color="auto" w:fill="auto"/>
            <w:noWrap/>
            <w:vAlign w:val="bottom"/>
            <w:hideMark/>
          </w:tcPr>
          <w:p w:rsidR="00685BE5" w:rsidRPr="007D2274" w:rsidRDefault="00685BE5" w:rsidP="00301C30">
            <w:pPr>
              <w:spacing w:before="20" w:after="20"/>
              <w:ind w:right="317"/>
              <w:jc w:val="right"/>
              <w:rPr>
                <w:rFonts w:cstheme="minorHAnsi"/>
                <w:sz w:val="20"/>
                <w:szCs w:val="20"/>
              </w:rPr>
            </w:pPr>
            <w:r w:rsidRPr="007D2274">
              <w:rPr>
                <w:rFonts w:cstheme="minorHAnsi"/>
                <w:sz w:val="20"/>
                <w:szCs w:val="20"/>
              </w:rPr>
              <w:t>470</w:t>
            </w:r>
          </w:p>
        </w:tc>
      </w:tr>
      <w:tr w:rsidR="00685BE5" w:rsidRPr="00B90E88" w:rsidTr="00AE4C3A">
        <w:tc>
          <w:tcPr>
            <w:tcW w:w="4977" w:type="dxa"/>
            <w:tcBorders>
              <w:top w:val="nil"/>
              <w:left w:val="nil"/>
              <w:bottom w:val="nil"/>
              <w:right w:val="nil"/>
            </w:tcBorders>
            <w:shd w:val="clear" w:color="auto" w:fill="auto"/>
            <w:noWrap/>
            <w:vAlign w:val="bottom"/>
            <w:hideMark/>
          </w:tcPr>
          <w:p w:rsidR="00685BE5" w:rsidRPr="007D2274" w:rsidRDefault="00685BE5" w:rsidP="00301C30">
            <w:pPr>
              <w:spacing w:before="20" w:after="20"/>
              <w:rPr>
                <w:rFonts w:cstheme="minorHAnsi"/>
                <w:sz w:val="20"/>
                <w:szCs w:val="20"/>
              </w:rPr>
            </w:pPr>
            <w:r w:rsidRPr="007D2274">
              <w:rPr>
                <w:rFonts w:cstheme="minorHAnsi"/>
                <w:sz w:val="20"/>
                <w:szCs w:val="20"/>
              </w:rPr>
              <w:t>Social worker/</w:t>
            </w:r>
            <w:r>
              <w:rPr>
                <w:rFonts w:cstheme="minorHAnsi"/>
                <w:sz w:val="20"/>
                <w:szCs w:val="20"/>
              </w:rPr>
              <w:t>d</w:t>
            </w:r>
            <w:r w:rsidRPr="007D2274">
              <w:rPr>
                <w:rFonts w:cstheme="minorHAnsi"/>
                <w:sz w:val="20"/>
                <w:szCs w:val="20"/>
              </w:rPr>
              <w:t>isability case coordinator</w:t>
            </w:r>
          </w:p>
        </w:tc>
        <w:tc>
          <w:tcPr>
            <w:tcW w:w="1275" w:type="dxa"/>
            <w:tcBorders>
              <w:top w:val="nil"/>
              <w:left w:val="nil"/>
              <w:bottom w:val="nil"/>
              <w:right w:val="nil"/>
            </w:tcBorders>
            <w:shd w:val="clear" w:color="auto" w:fill="auto"/>
            <w:noWrap/>
            <w:vAlign w:val="bottom"/>
            <w:hideMark/>
          </w:tcPr>
          <w:p w:rsidR="00685BE5" w:rsidRPr="007D2274" w:rsidRDefault="00685BE5" w:rsidP="00301C30">
            <w:pPr>
              <w:spacing w:before="20" w:after="20"/>
              <w:ind w:right="204"/>
              <w:jc w:val="right"/>
              <w:rPr>
                <w:rFonts w:cstheme="minorHAnsi"/>
                <w:sz w:val="20"/>
                <w:szCs w:val="20"/>
              </w:rPr>
            </w:pPr>
            <w:r w:rsidRPr="007D2274">
              <w:rPr>
                <w:rFonts w:cstheme="minorHAnsi"/>
                <w:sz w:val="20"/>
                <w:szCs w:val="20"/>
              </w:rPr>
              <w:t>1</w:t>
            </w:r>
            <w:r>
              <w:rPr>
                <w:rFonts w:cstheme="minorHAnsi"/>
                <w:sz w:val="20"/>
                <w:szCs w:val="20"/>
              </w:rPr>
              <w:t>,</w:t>
            </w:r>
            <w:r w:rsidRPr="007D2274">
              <w:rPr>
                <w:rFonts w:cstheme="minorHAnsi"/>
                <w:sz w:val="20"/>
                <w:szCs w:val="20"/>
              </w:rPr>
              <w:t>041</w:t>
            </w:r>
          </w:p>
        </w:tc>
        <w:tc>
          <w:tcPr>
            <w:tcW w:w="1134" w:type="dxa"/>
            <w:tcBorders>
              <w:top w:val="nil"/>
              <w:left w:val="nil"/>
              <w:bottom w:val="nil"/>
              <w:right w:val="nil"/>
            </w:tcBorders>
            <w:shd w:val="clear" w:color="auto" w:fill="auto"/>
            <w:noWrap/>
            <w:vAlign w:val="bottom"/>
            <w:hideMark/>
          </w:tcPr>
          <w:p w:rsidR="00685BE5" w:rsidRPr="007D2274" w:rsidRDefault="00685BE5" w:rsidP="00301C30">
            <w:pPr>
              <w:spacing w:before="20" w:after="20"/>
              <w:ind w:right="204"/>
              <w:jc w:val="right"/>
              <w:rPr>
                <w:rFonts w:cstheme="minorHAnsi"/>
                <w:sz w:val="20"/>
                <w:szCs w:val="20"/>
              </w:rPr>
            </w:pPr>
            <w:r w:rsidRPr="007D2274">
              <w:rPr>
                <w:rFonts w:cstheme="minorHAnsi"/>
                <w:sz w:val="20"/>
                <w:szCs w:val="20"/>
              </w:rPr>
              <w:t>1</w:t>
            </w:r>
            <w:r>
              <w:rPr>
                <w:rFonts w:cstheme="minorHAnsi"/>
                <w:sz w:val="20"/>
                <w:szCs w:val="20"/>
              </w:rPr>
              <w:t>,</w:t>
            </w:r>
            <w:r w:rsidRPr="007D2274">
              <w:rPr>
                <w:rFonts w:cstheme="minorHAnsi"/>
                <w:sz w:val="20"/>
                <w:szCs w:val="20"/>
              </w:rPr>
              <w:t>006</w:t>
            </w:r>
          </w:p>
        </w:tc>
        <w:tc>
          <w:tcPr>
            <w:tcW w:w="1418" w:type="dxa"/>
            <w:tcBorders>
              <w:top w:val="nil"/>
              <w:left w:val="nil"/>
              <w:bottom w:val="nil"/>
              <w:right w:val="nil"/>
            </w:tcBorders>
            <w:shd w:val="clear" w:color="auto" w:fill="auto"/>
            <w:noWrap/>
            <w:vAlign w:val="bottom"/>
            <w:hideMark/>
          </w:tcPr>
          <w:p w:rsidR="00685BE5" w:rsidRPr="007D2274" w:rsidRDefault="00685BE5" w:rsidP="00301C30">
            <w:pPr>
              <w:spacing w:before="20" w:after="20"/>
              <w:ind w:right="317"/>
              <w:jc w:val="right"/>
              <w:rPr>
                <w:rFonts w:cstheme="minorHAnsi"/>
                <w:sz w:val="20"/>
                <w:szCs w:val="20"/>
              </w:rPr>
            </w:pPr>
            <w:r w:rsidRPr="007D2274">
              <w:rPr>
                <w:rFonts w:cstheme="minorHAnsi"/>
                <w:sz w:val="20"/>
                <w:szCs w:val="20"/>
              </w:rPr>
              <w:t>165</w:t>
            </w:r>
          </w:p>
        </w:tc>
      </w:tr>
      <w:tr w:rsidR="00685BE5" w:rsidRPr="00B90E88" w:rsidTr="00AE4C3A">
        <w:tc>
          <w:tcPr>
            <w:tcW w:w="4977" w:type="dxa"/>
            <w:tcBorders>
              <w:top w:val="nil"/>
              <w:left w:val="nil"/>
              <w:bottom w:val="nil"/>
              <w:right w:val="nil"/>
            </w:tcBorders>
            <w:shd w:val="clear" w:color="auto" w:fill="auto"/>
            <w:noWrap/>
            <w:vAlign w:val="bottom"/>
            <w:hideMark/>
          </w:tcPr>
          <w:p w:rsidR="00685BE5" w:rsidRPr="007D2274" w:rsidRDefault="00685BE5" w:rsidP="00301C30">
            <w:pPr>
              <w:spacing w:before="20" w:after="20"/>
              <w:rPr>
                <w:rFonts w:cstheme="minorHAnsi"/>
                <w:sz w:val="20"/>
                <w:szCs w:val="20"/>
              </w:rPr>
            </w:pPr>
            <w:r w:rsidRPr="007D2274">
              <w:rPr>
                <w:rFonts w:cstheme="minorHAnsi"/>
                <w:sz w:val="20"/>
                <w:szCs w:val="20"/>
              </w:rPr>
              <w:t>Employment support worker</w:t>
            </w:r>
          </w:p>
        </w:tc>
        <w:tc>
          <w:tcPr>
            <w:tcW w:w="1275" w:type="dxa"/>
            <w:tcBorders>
              <w:top w:val="nil"/>
              <w:left w:val="nil"/>
              <w:bottom w:val="nil"/>
              <w:right w:val="nil"/>
            </w:tcBorders>
            <w:shd w:val="clear" w:color="auto" w:fill="auto"/>
            <w:noWrap/>
            <w:vAlign w:val="bottom"/>
            <w:hideMark/>
          </w:tcPr>
          <w:p w:rsidR="00685BE5" w:rsidRPr="007D2274" w:rsidRDefault="00685BE5" w:rsidP="00301C30">
            <w:pPr>
              <w:spacing w:before="20" w:after="20"/>
              <w:ind w:right="204"/>
              <w:jc w:val="right"/>
              <w:rPr>
                <w:rFonts w:cstheme="minorHAnsi"/>
                <w:sz w:val="20"/>
                <w:szCs w:val="20"/>
              </w:rPr>
            </w:pPr>
            <w:r w:rsidRPr="007D2274">
              <w:rPr>
                <w:rFonts w:cstheme="minorHAnsi"/>
                <w:sz w:val="20"/>
                <w:szCs w:val="20"/>
              </w:rPr>
              <w:t>832</w:t>
            </w:r>
          </w:p>
        </w:tc>
        <w:tc>
          <w:tcPr>
            <w:tcW w:w="1134" w:type="dxa"/>
            <w:tcBorders>
              <w:top w:val="nil"/>
              <w:left w:val="nil"/>
              <w:bottom w:val="nil"/>
              <w:right w:val="nil"/>
            </w:tcBorders>
            <w:shd w:val="clear" w:color="auto" w:fill="auto"/>
            <w:noWrap/>
            <w:vAlign w:val="bottom"/>
            <w:hideMark/>
          </w:tcPr>
          <w:p w:rsidR="00685BE5" w:rsidRPr="007D2274" w:rsidRDefault="00685BE5" w:rsidP="00301C30">
            <w:pPr>
              <w:spacing w:before="20" w:after="20"/>
              <w:ind w:right="204"/>
              <w:jc w:val="right"/>
              <w:rPr>
                <w:rFonts w:cstheme="minorHAnsi"/>
                <w:sz w:val="20"/>
                <w:szCs w:val="20"/>
              </w:rPr>
            </w:pPr>
            <w:r w:rsidRPr="007D2274">
              <w:rPr>
                <w:rFonts w:cstheme="minorHAnsi"/>
                <w:sz w:val="20"/>
                <w:szCs w:val="20"/>
              </w:rPr>
              <w:t>886</w:t>
            </w:r>
          </w:p>
        </w:tc>
        <w:tc>
          <w:tcPr>
            <w:tcW w:w="1418" w:type="dxa"/>
            <w:tcBorders>
              <w:top w:val="nil"/>
              <w:left w:val="nil"/>
              <w:bottom w:val="nil"/>
              <w:right w:val="nil"/>
            </w:tcBorders>
            <w:shd w:val="clear" w:color="auto" w:fill="auto"/>
            <w:noWrap/>
            <w:vAlign w:val="bottom"/>
            <w:hideMark/>
          </w:tcPr>
          <w:p w:rsidR="00685BE5" w:rsidRPr="007D2274" w:rsidRDefault="00685BE5" w:rsidP="00301C30">
            <w:pPr>
              <w:spacing w:before="20" w:after="20"/>
              <w:ind w:right="317"/>
              <w:jc w:val="right"/>
              <w:rPr>
                <w:rFonts w:cstheme="minorHAnsi"/>
                <w:sz w:val="20"/>
                <w:szCs w:val="20"/>
              </w:rPr>
            </w:pPr>
            <w:r w:rsidRPr="007D2274">
              <w:rPr>
                <w:rFonts w:cstheme="minorHAnsi"/>
                <w:sz w:val="20"/>
                <w:szCs w:val="20"/>
              </w:rPr>
              <w:t>42</w:t>
            </w:r>
          </w:p>
        </w:tc>
      </w:tr>
      <w:tr w:rsidR="00685BE5" w:rsidRPr="00B90E88" w:rsidTr="00AE4C3A">
        <w:tc>
          <w:tcPr>
            <w:tcW w:w="4977" w:type="dxa"/>
            <w:tcBorders>
              <w:top w:val="nil"/>
              <w:left w:val="nil"/>
              <w:bottom w:val="nil"/>
              <w:right w:val="nil"/>
            </w:tcBorders>
            <w:shd w:val="clear" w:color="auto" w:fill="auto"/>
            <w:noWrap/>
            <w:vAlign w:val="bottom"/>
            <w:hideMark/>
          </w:tcPr>
          <w:p w:rsidR="00685BE5" w:rsidRPr="007D2274" w:rsidRDefault="00685BE5" w:rsidP="00301C30">
            <w:pPr>
              <w:spacing w:before="20" w:after="20"/>
              <w:rPr>
                <w:rFonts w:cstheme="minorHAnsi"/>
                <w:sz w:val="20"/>
                <w:szCs w:val="20"/>
              </w:rPr>
            </w:pPr>
            <w:r w:rsidRPr="007D2274">
              <w:rPr>
                <w:rFonts w:cstheme="minorHAnsi"/>
                <w:sz w:val="20"/>
                <w:szCs w:val="20"/>
              </w:rPr>
              <w:t>Peer support worker</w:t>
            </w:r>
          </w:p>
        </w:tc>
        <w:tc>
          <w:tcPr>
            <w:tcW w:w="1275" w:type="dxa"/>
            <w:tcBorders>
              <w:top w:val="nil"/>
              <w:left w:val="nil"/>
              <w:bottom w:val="nil"/>
              <w:right w:val="nil"/>
            </w:tcBorders>
            <w:shd w:val="clear" w:color="auto" w:fill="auto"/>
            <w:noWrap/>
            <w:vAlign w:val="bottom"/>
            <w:hideMark/>
          </w:tcPr>
          <w:p w:rsidR="00685BE5" w:rsidRPr="007D2274" w:rsidRDefault="00685BE5" w:rsidP="00301C30">
            <w:pPr>
              <w:spacing w:before="20" w:after="20"/>
              <w:ind w:right="204"/>
              <w:jc w:val="right"/>
              <w:rPr>
                <w:rFonts w:cstheme="minorHAnsi"/>
                <w:sz w:val="20"/>
                <w:szCs w:val="20"/>
              </w:rPr>
            </w:pPr>
            <w:r w:rsidRPr="007D2274">
              <w:rPr>
                <w:rFonts w:cstheme="minorHAnsi"/>
                <w:sz w:val="20"/>
                <w:szCs w:val="20"/>
              </w:rPr>
              <w:t>77</w:t>
            </w:r>
            <w:r>
              <w:rPr>
                <w:rFonts w:cstheme="minorHAnsi"/>
                <w:sz w:val="20"/>
                <w:szCs w:val="20"/>
              </w:rPr>
              <w:t>6</w:t>
            </w:r>
          </w:p>
        </w:tc>
        <w:tc>
          <w:tcPr>
            <w:tcW w:w="1134" w:type="dxa"/>
            <w:tcBorders>
              <w:top w:val="nil"/>
              <w:left w:val="nil"/>
              <w:bottom w:val="nil"/>
              <w:right w:val="nil"/>
            </w:tcBorders>
            <w:shd w:val="clear" w:color="auto" w:fill="auto"/>
            <w:noWrap/>
            <w:vAlign w:val="bottom"/>
            <w:hideMark/>
          </w:tcPr>
          <w:p w:rsidR="00685BE5" w:rsidRPr="007D2274" w:rsidRDefault="00685BE5" w:rsidP="00301C30">
            <w:pPr>
              <w:spacing w:before="20" w:after="20"/>
              <w:ind w:right="204"/>
              <w:jc w:val="right"/>
              <w:rPr>
                <w:rFonts w:cstheme="minorHAnsi"/>
                <w:sz w:val="20"/>
                <w:szCs w:val="20"/>
              </w:rPr>
            </w:pPr>
            <w:r w:rsidRPr="007D2274">
              <w:rPr>
                <w:rFonts w:cstheme="minorHAnsi"/>
                <w:sz w:val="20"/>
                <w:szCs w:val="20"/>
              </w:rPr>
              <w:t>873</w:t>
            </w:r>
          </w:p>
        </w:tc>
        <w:tc>
          <w:tcPr>
            <w:tcW w:w="1418" w:type="dxa"/>
            <w:tcBorders>
              <w:top w:val="nil"/>
              <w:left w:val="nil"/>
              <w:bottom w:val="nil"/>
              <w:right w:val="nil"/>
            </w:tcBorders>
            <w:shd w:val="clear" w:color="auto" w:fill="auto"/>
            <w:noWrap/>
            <w:vAlign w:val="bottom"/>
            <w:hideMark/>
          </w:tcPr>
          <w:p w:rsidR="00685BE5" w:rsidRPr="007D2274" w:rsidRDefault="00685BE5" w:rsidP="00301C30">
            <w:pPr>
              <w:spacing w:before="20" w:after="20"/>
              <w:ind w:right="317"/>
              <w:jc w:val="right"/>
              <w:rPr>
                <w:rFonts w:cstheme="minorHAnsi"/>
                <w:sz w:val="20"/>
                <w:szCs w:val="20"/>
              </w:rPr>
            </w:pPr>
            <w:r w:rsidRPr="007D2274">
              <w:rPr>
                <w:rFonts w:cstheme="minorHAnsi"/>
                <w:sz w:val="20"/>
                <w:szCs w:val="20"/>
              </w:rPr>
              <w:t>27</w:t>
            </w:r>
          </w:p>
        </w:tc>
      </w:tr>
      <w:tr w:rsidR="00685BE5" w:rsidRPr="00B90E88" w:rsidTr="00AE4C3A">
        <w:tc>
          <w:tcPr>
            <w:tcW w:w="4977" w:type="dxa"/>
            <w:tcBorders>
              <w:top w:val="nil"/>
              <w:left w:val="nil"/>
              <w:bottom w:val="nil"/>
              <w:right w:val="nil"/>
            </w:tcBorders>
            <w:shd w:val="clear" w:color="auto" w:fill="auto"/>
            <w:noWrap/>
            <w:vAlign w:val="bottom"/>
            <w:hideMark/>
          </w:tcPr>
          <w:p w:rsidR="00685BE5" w:rsidRPr="007D2274" w:rsidRDefault="00685BE5" w:rsidP="00301C30">
            <w:pPr>
              <w:spacing w:before="20" w:after="20"/>
              <w:rPr>
                <w:rFonts w:cstheme="minorHAnsi"/>
                <w:sz w:val="20"/>
                <w:szCs w:val="20"/>
              </w:rPr>
            </w:pPr>
            <w:r w:rsidRPr="007D2274">
              <w:rPr>
                <w:rFonts w:cstheme="minorHAnsi"/>
                <w:sz w:val="20"/>
                <w:szCs w:val="20"/>
              </w:rPr>
              <w:t>Allied health worker</w:t>
            </w:r>
          </w:p>
        </w:tc>
        <w:tc>
          <w:tcPr>
            <w:tcW w:w="1275" w:type="dxa"/>
            <w:tcBorders>
              <w:top w:val="nil"/>
              <w:left w:val="nil"/>
              <w:bottom w:val="nil"/>
              <w:right w:val="nil"/>
            </w:tcBorders>
            <w:shd w:val="clear" w:color="auto" w:fill="auto"/>
            <w:noWrap/>
            <w:vAlign w:val="bottom"/>
            <w:hideMark/>
          </w:tcPr>
          <w:p w:rsidR="00685BE5" w:rsidRPr="007D2274" w:rsidRDefault="00685BE5" w:rsidP="00301C30">
            <w:pPr>
              <w:spacing w:before="20" w:after="20"/>
              <w:ind w:right="204"/>
              <w:jc w:val="right"/>
              <w:rPr>
                <w:rFonts w:cstheme="minorHAnsi"/>
                <w:sz w:val="20"/>
                <w:szCs w:val="20"/>
              </w:rPr>
            </w:pPr>
            <w:r w:rsidRPr="007D2274">
              <w:rPr>
                <w:rFonts w:cstheme="minorHAnsi"/>
                <w:sz w:val="20"/>
                <w:szCs w:val="20"/>
              </w:rPr>
              <w:t>1</w:t>
            </w:r>
            <w:r>
              <w:rPr>
                <w:rFonts w:cstheme="minorHAnsi"/>
                <w:sz w:val="20"/>
                <w:szCs w:val="20"/>
              </w:rPr>
              <w:t>,</w:t>
            </w:r>
            <w:r w:rsidRPr="007D2274">
              <w:rPr>
                <w:rFonts w:cstheme="minorHAnsi"/>
                <w:sz w:val="20"/>
                <w:szCs w:val="20"/>
              </w:rPr>
              <w:t>036</w:t>
            </w:r>
          </w:p>
        </w:tc>
        <w:tc>
          <w:tcPr>
            <w:tcW w:w="1134" w:type="dxa"/>
            <w:tcBorders>
              <w:top w:val="nil"/>
              <w:left w:val="nil"/>
              <w:bottom w:val="nil"/>
              <w:right w:val="nil"/>
            </w:tcBorders>
            <w:shd w:val="clear" w:color="auto" w:fill="auto"/>
            <w:noWrap/>
            <w:vAlign w:val="bottom"/>
            <w:hideMark/>
          </w:tcPr>
          <w:p w:rsidR="00685BE5" w:rsidRPr="007D2274" w:rsidRDefault="00685BE5" w:rsidP="00301C30">
            <w:pPr>
              <w:spacing w:before="20" w:after="20"/>
              <w:ind w:right="204"/>
              <w:jc w:val="right"/>
              <w:rPr>
                <w:rFonts w:cstheme="minorHAnsi"/>
                <w:sz w:val="20"/>
                <w:szCs w:val="20"/>
              </w:rPr>
            </w:pPr>
            <w:r w:rsidRPr="007D2274">
              <w:rPr>
                <w:rFonts w:cstheme="minorHAnsi"/>
                <w:sz w:val="20"/>
                <w:szCs w:val="20"/>
              </w:rPr>
              <w:t>1</w:t>
            </w:r>
            <w:r>
              <w:rPr>
                <w:rFonts w:cstheme="minorHAnsi"/>
                <w:sz w:val="20"/>
                <w:szCs w:val="20"/>
              </w:rPr>
              <w:t>,</w:t>
            </w:r>
            <w:r w:rsidRPr="007D2274">
              <w:rPr>
                <w:rFonts w:cstheme="minorHAnsi"/>
                <w:sz w:val="20"/>
                <w:szCs w:val="20"/>
              </w:rPr>
              <w:t>036</w:t>
            </w:r>
          </w:p>
        </w:tc>
        <w:tc>
          <w:tcPr>
            <w:tcW w:w="1418" w:type="dxa"/>
            <w:tcBorders>
              <w:top w:val="nil"/>
              <w:left w:val="nil"/>
              <w:bottom w:val="nil"/>
              <w:right w:val="nil"/>
            </w:tcBorders>
            <w:shd w:val="clear" w:color="auto" w:fill="auto"/>
            <w:noWrap/>
            <w:vAlign w:val="bottom"/>
            <w:hideMark/>
          </w:tcPr>
          <w:p w:rsidR="00685BE5" w:rsidRPr="007D2274" w:rsidRDefault="00685BE5" w:rsidP="00301C30">
            <w:pPr>
              <w:spacing w:before="20" w:after="20"/>
              <w:ind w:right="317"/>
              <w:jc w:val="right"/>
              <w:rPr>
                <w:rFonts w:cstheme="minorHAnsi"/>
                <w:sz w:val="20"/>
                <w:szCs w:val="20"/>
              </w:rPr>
            </w:pPr>
            <w:r w:rsidRPr="007D2274">
              <w:rPr>
                <w:rFonts w:cstheme="minorHAnsi"/>
                <w:sz w:val="20"/>
                <w:szCs w:val="20"/>
              </w:rPr>
              <w:t>206</w:t>
            </w:r>
          </w:p>
        </w:tc>
      </w:tr>
      <w:tr w:rsidR="00685BE5" w:rsidRPr="00B90E88" w:rsidTr="00AE4C3A">
        <w:tc>
          <w:tcPr>
            <w:tcW w:w="4977" w:type="dxa"/>
            <w:tcBorders>
              <w:top w:val="nil"/>
              <w:left w:val="nil"/>
              <w:bottom w:val="single" w:sz="4" w:space="0" w:color="auto"/>
              <w:right w:val="nil"/>
            </w:tcBorders>
            <w:shd w:val="clear" w:color="auto" w:fill="auto"/>
            <w:noWrap/>
            <w:vAlign w:val="bottom"/>
            <w:hideMark/>
          </w:tcPr>
          <w:p w:rsidR="00685BE5" w:rsidRPr="007D2274" w:rsidRDefault="00685BE5" w:rsidP="00301C30">
            <w:pPr>
              <w:spacing w:before="20" w:after="20"/>
              <w:rPr>
                <w:rFonts w:cstheme="minorHAnsi"/>
                <w:sz w:val="20"/>
                <w:szCs w:val="20"/>
              </w:rPr>
            </w:pPr>
            <w:r w:rsidRPr="007D2274">
              <w:rPr>
                <w:rFonts w:cstheme="minorHAnsi"/>
                <w:sz w:val="20"/>
                <w:szCs w:val="20"/>
              </w:rPr>
              <w:t>Other</w:t>
            </w:r>
          </w:p>
        </w:tc>
        <w:tc>
          <w:tcPr>
            <w:tcW w:w="1275" w:type="dxa"/>
            <w:tcBorders>
              <w:top w:val="nil"/>
              <w:left w:val="nil"/>
              <w:bottom w:val="single" w:sz="4" w:space="0" w:color="auto"/>
              <w:right w:val="nil"/>
            </w:tcBorders>
            <w:shd w:val="clear" w:color="auto" w:fill="auto"/>
            <w:noWrap/>
            <w:vAlign w:val="bottom"/>
            <w:hideMark/>
          </w:tcPr>
          <w:p w:rsidR="00685BE5" w:rsidRPr="007D2274" w:rsidRDefault="00685BE5" w:rsidP="00301C30">
            <w:pPr>
              <w:spacing w:before="20" w:after="20"/>
              <w:ind w:right="204"/>
              <w:jc w:val="right"/>
              <w:rPr>
                <w:rFonts w:cstheme="minorHAnsi"/>
                <w:sz w:val="20"/>
                <w:szCs w:val="20"/>
              </w:rPr>
            </w:pPr>
            <w:r w:rsidRPr="007D2274">
              <w:rPr>
                <w:rFonts w:cstheme="minorHAnsi"/>
                <w:sz w:val="20"/>
                <w:szCs w:val="20"/>
              </w:rPr>
              <w:t>1</w:t>
            </w:r>
            <w:r>
              <w:rPr>
                <w:rFonts w:cstheme="minorHAnsi"/>
                <w:sz w:val="20"/>
                <w:szCs w:val="20"/>
              </w:rPr>
              <w:t>,</w:t>
            </w:r>
            <w:r w:rsidRPr="007D2274">
              <w:rPr>
                <w:rFonts w:cstheme="minorHAnsi"/>
                <w:sz w:val="20"/>
                <w:szCs w:val="20"/>
              </w:rPr>
              <w:t>002</w:t>
            </w:r>
          </w:p>
        </w:tc>
        <w:tc>
          <w:tcPr>
            <w:tcW w:w="1134" w:type="dxa"/>
            <w:tcBorders>
              <w:top w:val="nil"/>
              <w:left w:val="nil"/>
              <w:bottom w:val="single" w:sz="4" w:space="0" w:color="auto"/>
              <w:right w:val="nil"/>
            </w:tcBorders>
            <w:shd w:val="clear" w:color="auto" w:fill="auto"/>
            <w:noWrap/>
            <w:vAlign w:val="bottom"/>
            <w:hideMark/>
          </w:tcPr>
          <w:p w:rsidR="00685BE5" w:rsidRPr="007D2274" w:rsidRDefault="00685BE5" w:rsidP="00301C30">
            <w:pPr>
              <w:spacing w:before="20" w:after="20"/>
              <w:ind w:right="204"/>
              <w:jc w:val="right"/>
              <w:rPr>
                <w:rFonts w:cstheme="minorHAnsi"/>
                <w:sz w:val="20"/>
                <w:szCs w:val="20"/>
              </w:rPr>
            </w:pPr>
            <w:r w:rsidRPr="007D2274">
              <w:rPr>
                <w:rFonts w:cstheme="minorHAnsi"/>
                <w:sz w:val="20"/>
                <w:szCs w:val="20"/>
              </w:rPr>
              <w:t>980</w:t>
            </w:r>
          </w:p>
        </w:tc>
        <w:tc>
          <w:tcPr>
            <w:tcW w:w="1418" w:type="dxa"/>
            <w:tcBorders>
              <w:top w:val="nil"/>
              <w:left w:val="nil"/>
              <w:bottom w:val="single" w:sz="4" w:space="0" w:color="auto"/>
              <w:right w:val="nil"/>
            </w:tcBorders>
            <w:shd w:val="clear" w:color="auto" w:fill="auto"/>
            <w:noWrap/>
            <w:vAlign w:val="bottom"/>
            <w:hideMark/>
          </w:tcPr>
          <w:p w:rsidR="00685BE5" w:rsidRPr="007D2274" w:rsidRDefault="00685BE5" w:rsidP="00301C30">
            <w:pPr>
              <w:spacing w:before="20" w:after="20"/>
              <w:ind w:right="317"/>
              <w:jc w:val="right"/>
              <w:rPr>
                <w:rFonts w:cstheme="minorHAnsi"/>
                <w:sz w:val="20"/>
                <w:szCs w:val="20"/>
              </w:rPr>
            </w:pPr>
            <w:r w:rsidRPr="007D2274">
              <w:rPr>
                <w:rFonts w:cstheme="minorHAnsi"/>
                <w:sz w:val="20"/>
                <w:szCs w:val="20"/>
              </w:rPr>
              <w:t>237</w:t>
            </w:r>
          </w:p>
        </w:tc>
      </w:tr>
      <w:tr w:rsidR="00685BE5" w:rsidRPr="00E84C9F" w:rsidTr="00AE4C3A">
        <w:tc>
          <w:tcPr>
            <w:tcW w:w="4977" w:type="dxa"/>
            <w:tcBorders>
              <w:top w:val="single" w:sz="4" w:space="0" w:color="auto"/>
              <w:left w:val="nil"/>
              <w:bottom w:val="single" w:sz="4" w:space="0" w:color="auto"/>
              <w:right w:val="nil"/>
            </w:tcBorders>
            <w:shd w:val="clear" w:color="auto" w:fill="auto"/>
            <w:noWrap/>
            <w:vAlign w:val="bottom"/>
            <w:hideMark/>
          </w:tcPr>
          <w:p w:rsidR="00685BE5" w:rsidRPr="00E3331B" w:rsidRDefault="00685BE5" w:rsidP="00301C30">
            <w:pPr>
              <w:spacing w:before="20" w:after="20"/>
              <w:rPr>
                <w:rFonts w:cstheme="minorHAnsi"/>
                <w:b/>
                <w:sz w:val="20"/>
                <w:szCs w:val="20"/>
              </w:rPr>
            </w:pPr>
            <w:r w:rsidRPr="00E3331B">
              <w:rPr>
                <w:rFonts w:cstheme="minorHAnsi"/>
                <w:b/>
                <w:sz w:val="20"/>
                <w:szCs w:val="20"/>
              </w:rPr>
              <w:t>Total</w:t>
            </w:r>
          </w:p>
        </w:tc>
        <w:tc>
          <w:tcPr>
            <w:tcW w:w="1275" w:type="dxa"/>
            <w:tcBorders>
              <w:top w:val="single" w:sz="4" w:space="0" w:color="auto"/>
              <w:left w:val="nil"/>
              <w:bottom w:val="single" w:sz="4" w:space="0" w:color="auto"/>
              <w:right w:val="nil"/>
            </w:tcBorders>
            <w:shd w:val="clear" w:color="auto" w:fill="auto"/>
            <w:noWrap/>
            <w:vAlign w:val="bottom"/>
            <w:hideMark/>
          </w:tcPr>
          <w:p w:rsidR="00685BE5" w:rsidRPr="00E3331B" w:rsidRDefault="00685BE5" w:rsidP="00301C30">
            <w:pPr>
              <w:spacing w:before="20" w:after="20"/>
              <w:ind w:right="204"/>
              <w:jc w:val="right"/>
              <w:rPr>
                <w:rFonts w:cstheme="minorHAnsi"/>
                <w:b/>
                <w:sz w:val="20"/>
                <w:szCs w:val="20"/>
              </w:rPr>
            </w:pPr>
            <w:r w:rsidRPr="00E3331B">
              <w:rPr>
                <w:rFonts w:cstheme="minorHAnsi"/>
                <w:b/>
                <w:sz w:val="20"/>
                <w:szCs w:val="20"/>
              </w:rPr>
              <w:t>9</w:t>
            </w:r>
            <w:r>
              <w:rPr>
                <w:rFonts w:cstheme="minorHAnsi"/>
                <w:b/>
                <w:sz w:val="20"/>
                <w:szCs w:val="20"/>
              </w:rPr>
              <w:t>26</w:t>
            </w:r>
          </w:p>
        </w:tc>
        <w:tc>
          <w:tcPr>
            <w:tcW w:w="1134" w:type="dxa"/>
            <w:tcBorders>
              <w:top w:val="single" w:sz="4" w:space="0" w:color="auto"/>
              <w:left w:val="nil"/>
              <w:bottom w:val="single" w:sz="4" w:space="0" w:color="auto"/>
              <w:right w:val="nil"/>
            </w:tcBorders>
            <w:shd w:val="clear" w:color="auto" w:fill="auto"/>
            <w:noWrap/>
            <w:vAlign w:val="bottom"/>
            <w:hideMark/>
          </w:tcPr>
          <w:p w:rsidR="00685BE5" w:rsidRPr="00E3331B" w:rsidRDefault="00685BE5" w:rsidP="00301C30">
            <w:pPr>
              <w:spacing w:before="20" w:after="20"/>
              <w:ind w:right="204"/>
              <w:jc w:val="right"/>
              <w:rPr>
                <w:rFonts w:cstheme="minorHAnsi"/>
                <w:b/>
                <w:sz w:val="20"/>
                <w:szCs w:val="20"/>
              </w:rPr>
            </w:pPr>
            <w:r w:rsidRPr="00E3331B">
              <w:rPr>
                <w:rFonts w:cstheme="minorHAnsi"/>
                <w:b/>
                <w:sz w:val="20"/>
                <w:szCs w:val="20"/>
              </w:rPr>
              <w:t>9</w:t>
            </w:r>
            <w:r>
              <w:rPr>
                <w:rFonts w:cstheme="minorHAnsi"/>
                <w:b/>
                <w:sz w:val="20"/>
                <w:szCs w:val="20"/>
              </w:rPr>
              <w:t>20</w:t>
            </w:r>
          </w:p>
        </w:tc>
        <w:tc>
          <w:tcPr>
            <w:tcW w:w="1418" w:type="dxa"/>
            <w:tcBorders>
              <w:top w:val="single" w:sz="4" w:space="0" w:color="auto"/>
              <w:left w:val="nil"/>
              <w:bottom w:val="single" w:sz="4" w:space="0" w:color="auto"/>
              <w:right w:val="nil"/>
            </w:tcBorders>
            <w:shd w:val="clear" w:color="auto" w:fill="auto"/>
            <w:noWrap/>
            <w:vAlign w:val="bottom"/>
            <w:hideMark/>
          </w:tcPr>
          <w:p w:rsidR="00685BE5" w:rsidRPr="00E3331B" w:rsidRDefault="00685BE5" w:rsidP="00301C30">
            <w:pPr>
              <w:spacing w:before="20" w:after="20"/>
              <w:ind w:right="317"/>
              <w:jc w:val="right"/>
              <w:rPr>
                <w:rFonts w:cstheme="minorHAnsi"/>
                <w:b/>
                <w:sz w:val="20"/>
                <w:szCs w:val="20"/>
              </w:rPr>
            </w:pPr>
            <w:r w:rsidRPr="00E3331B">
              <w:rPr>
                <w:rFonts w:cstheme="minorHAnsi"/>
                <w:b/>
                <w:sz w:val="20"/>
                <w:szCs w:val="20"/>
              </w:rPr>
              <w:t>1</w:t>
            </w:r>
            <w:r>
              <w:rPr>
                <w:rFonts w:cstheme="minorHAnsi"/>
                <w:b/>
                <w:sz w:val="20"/>
                <w:szCs w:val="20"/>
              </w:rPr>
              <w:t>,865</w:t>
            </w:r>
          </w:p>
        </w:tc>
      </w:tr>
    </w:tbl>
    <w:p w:rsidR="00685BE5" w:rsidRPr="005C469C" w:rsidRDefault="00685BE5" w:rsidP="00AE4C3A">
      <w:pPr>
        <w:pStyle w:val="NILSReference"/>
      </w:pPr>
      <w:r w:rsidRPr="005C469C">
        <w:t xml:space="preserve">Source: 2014 NDIS DSP employee, Questions B4a and B4b. </w:t>
      </w:r>
    </w:p>
    <w:p w:rsidR="00685BE5" w:rsidRPr="005C469C" w:rsidRDefault="00685BE5" w:rsidP="00AE4C3A">
      <w:pPr>
        <w:pStyle w:val="NILSReference"/>
      </w:pPr>
      <w:r w:rsidRPr="005C469C">
        <w:t>Notes: The weekly earnings mean and median are calculated for zero to $10,000 per week reported earnings to exclude outliers. Weekly figures calculated from reported job role, most recent pay and pay period. Entries rounded to the nearest dollar.</w:t>
      </w:r>
    </w:p>
    <w:p w:rsidR="00B92687" w:rsidRDefault="00B92687" w:rsidP="00AE4C3A">
      <w:pPr>
        <w:rPr>
          <w:rFonts w:cstheme="minorHAnsi"/>
        </w:rPr>
      </w:pPr>
    </w:p>
    <w:p w:rsidR="00685BE5" w:rsidRDefault="00685BE5" w:rsidP="00AE4C3A">
      <w:pPr>
        <w:rPr>
          <w:rFonts w:cstheme="minorHAnsi"/>
        </w:rPr>
      </w:pPr>
      <w:r>
        <w:rPr>
          <w:rFonts w:cstheme="minorHAnsi"/>
        </w:rPr>
        <w:t xml:space="preserve">Table 4.32 confounds hours worked with wages, in that people who work longer hours would have higher earnings, principally because they worked longer, not because their work was valued more. There are several reasons why this distinction is pertinent in the context of the NDIS rollout. First, wages are a very accurate market signal of how the labour market moves, and in the context of the NDIS it is important to know in which direction wages are moving. Second, part-time employment can be an indication of excess or underutilised capacity, which is important to know in the context of potential increases in demand for services. To understand this difference Table 4.32 </w:t>
      </w:r>
      <w:r w:rsidR="0090288F">
        <w:rPr>
          <w:rFonts w:cstheme="minorHAnsi"/>
        </w:rPr>
        <w:t xml:space="preserve">has been split </w:t>
      </w:r>
      <w:r>
        <w:rPr>
          <w:rFonts w:cstheme="minorHAnsi"/>
        </w:rPr>
        <w:t>into Tables 4.32a (full time employed) and 4.32b (part-time employed) and present</w:t>
      </w:r>
      <w:r w:rsidR="0090288F">
        <w:rPr>
          <w:rFonts w:cstheme="minorHAnsi"/>
        </w:rPr>
        <w:t>s</w:t>
      </w:r>
      <w:r>
        <w:rPr>
          <w:rFonts w:cstheme="minorHAnsi"/>
        </w:rPr>
        <w:t xml:space="preserve"> the earnings of the two groups of employees.</w:t>
      </w:r>
    </w:p>
    <w:p w:rsidR="00B92687" w:rsidRDefault="00B92687" w:rsidP="00AE4C3A">
      <w:pPr>
        <w:rPr>
          <w:rFonts w:cstheme="minorHAnsi"/>
        </w:rPr>
      </w:pPr>
    </w:p>
    <w:p w:rsidR="003255DE" w:rsidRDefault="003255DE">
      <w:pPr>
        <w:rPr>
          <w:b/>
          <w:sz w:val="20"/>
          <w:lang w:val="x-none"/>
        </w:rPr>
      </w:pPr>
      <w:bookmarkStart w:id="627" w:name="_Toc428279238"/>
      <w:r>
        <w:br w:type="page"/>
      </w:r>
    </w:p>
    <w:p w:rsidR="00685BE5" w:rsidRDefault="00685BE5" w:rsidP="0044684E">
      <w:pPr>
        <w:pStyle w:val="NILSTableHeading"/>
        <w:rPr>
          <w:rFonts w:cstheme="minorHAnsi"/>
        </w:rPr>
      </w:pPr>
      <w:bookmarkStart w:id="628" w:name="_Toc449955369"/>
      <w:r w:rsidRPr="009209BE">
        <w:lastRenderedPageBreak/>
        <w:t>Table 4.32a: Weekly earnings before tax by occupation, full-time employees</w:t>
      </w:r>
      <w:bookmarkEnd w:id="627"/>
      <w:bookmarkEnd w:id="628"/>
    </w:p>
    <w:tbl>
      <w:tblPr>
        <w:tblW w:w="8804" w:type="dxa"/>
        <w:tblInd w:w="93" w:type="dxa"/>
        <w:tblLook w:val="04A0" w:firstRow="1" w:lastRow="0" w:firstColumn="1" w:lastColumn="0" w:noHBand="0" w:noVBand="1"/>
        <w:tblCaption w:val="Table 4.32a Weekly earnings before tax by occupation, full-time employees"/>
      </w:tblPr>
      <w:tblGrid>
        <w:gridCol w:w="4977"/>
        <w:gridCol w:w="1275"/>
        <w:gridCol w:w="1134"/>
        <w:gridCol w:w="1418"/>
      </w:tblGrid>
      <w:tr w:rsidR="00685BE5" w:rsidRPr="008A4B8F" w:rsidTr="00B40707">
        <w:trPr>
          <w:trHeight w:val="288"/>
          <w:tblHeader/>
        </w:trPr>
        <w:tc>
          <w:tcPr>
            <w:tcW w:w="4977" w:type="dxa"/>
            <w:tcBorders>
              <w:top w:val="single" w:sz="4" w:space="0" w:color="auto"/>
              <w:left w:val="nil"/>
              <w:bottom w:val="single" w:sz="4" w:space="0" w:color="auto"/>
              <w:right w:val="nil"/>
            </w:tcBorders>
            <w:shd w:val="clear" w:color="auto" w:fill="auto"/>
            <w:noWrap/>
            <w:vAlign w:val="center"/>
            <w:hideMark/>
          </w:tcPr>
          <w:p w:rsidR="00685BE5" w:rsidRPr="008A4B8F" w:rsidRDefault="00685BE5" w:rsidP="00301C30">
            <w:pPr>
              <w:spacing w:before="20" w:after="20"/>
              <w:rPr>
                <w:rFonts w:ascii="Calibri" w:eastAsia="Times New Roman" w:hAnsi="Calibri" w:cs="Calibri"/>
                <w:bCs/>
                <w:color w:val="000000"/>
                <w:sz w:val="20"/>
                <w:szCs w:val="20"/>
                <w:lang w:eastAsia="zh-CN"/>
              </w:rPr>
            </w:pPr>
            <w:bookmarkStart w:id="629" w:name="Title_4_32a"/>
            <w:bookmarkEnd w:id="629"/>
          </w:p>
        </w:tc>
        <w:tc>
          <w:tcPr>
            <w:tcW w:w="1275" w:type="dxa"/>
            <w:tcBorders>
              <w:top w:val="single" w:sz="4" w:space="0" w:color="auto"/>
              <w:left w:val="nil"/>
              <w:bottom w:val="single" w:sz="4" w:space="0" w:color="auto"/>
              <w:right w:val="nil"/>
            </w:tcBorders>
            <w:shd w:val="clear" w:color="auto" w:fill="auto"/>
            <w:noWrap/>
            <w:vAlign w:val="center"/>
            <w:hideMark/>
          </w:tcPr>
          <w:p w:rsidR="00685BE5" w:rsidRDefault="00685BE5" w:rsidP="00301C30">
            <w:pPr>
              <w:spacing w:before="20" w:after="20"/>
              <w:jc w:val="center"/>
              <w:rPr>
                <w:rFonts w:ascii="Calibri" w:eastAsia="Times New Roman" w:hAnsi="Calibri" w:cs="Calibri"/>
                <w:bCs/>
                <w:color w:val="000000"/>
                <w:sz w:val="20"/>
                <w:szCs w:val="20"/>
                <w:lang w:eastAsia="zh-CN"/>
              </w:rPr>
            </w:pPr>
            <w:r w:rsidRPr="008A4B8F">
              <w:rPr>
                <w:rFonts w:ascii="Calibri" w:eastAsia="Times New Roman" w:hAnsi="Calibri" w:cs="Calibri"/>
                <w:bCs/>
                <w:color w:val="000000"/>
                <w:sz w:val="20"/>
                <w:szCs w:val="20"/>
                <w:lang w:eastAsia="zh-CN"/>
              </w:rPr>
              <w:t xml:space="preserve">Mean </w:t>
            </w:r>
          </w:p>
          <w:p w:rsidR="00685BE5" w:rsidRPr="008A4B8F" w:rsidRDefault="00685BE5" w:rsidP="00301C30">
            <w:pPr>
              <w:spacing w:before="20" w:after="20"/>
              <w:jc w:val="center"/>
              <w:rPr>
                <w:rFonts w:ascii="Calibri" w:eastAsia="Times New Roman" w:hAnsi="Calibri" w:cs="Calibri"/>
                <w:bCs/>
                <w:color w:val="000000"/>
                <w:sz w:val="20"/>
                <w:szCs w:val="20"/>
                <w:lang w:eastAsia="zh-CN"/>
              </w:rPr>
            </w:pPr>
            <w:r w:rsidRPr="008A4B8F">
              <w:rPr>
                <w:rFonts w:ascii="Calibri" w:eastAsia="Times New Roman" w:hAnsi="Calibri" w:cs="Calibri"/>
                <w:bCs/>
                <w:color w:val="000000"/>
                <w:sz w:val="20"/>
                <w:szCs w:val="20"/>
                <w:lang w:eastAsia="zh-CN"/>
              </w:rPr>
              <w:t>$</w:t>
            </w:r>
          </w:p>
        </w:tc>
        <w:tc>
          <w:tcPr>
            <w:tcW w:w="1134" w:type="dxa"/>
            <w:tcBorders>
              <w:top w:val="single" w:sz="4" w:space="0" w:color="auto"/>
              <w:left w:val="nil"/>
              <w:bottom w:val="single" w:sz="4" w:space="0" w:color="auto"/>
              <w:right w:val="nil"/>
            </w:tcBorders>
            <w:shd w:val="clear" w:color="auto" w:fill="auto"/>
            <w:noWrap/>
            <w:vAlign w:val="center"/>
            <w:hideMark/>
          </w:tcPr>
          <w:p w:rsidR="00685BE5" w:rsidRDefault="00685BE5" w:rsidP="00301C30">
            <w:pPr>
              <w:spacing w:before="20" w:after="20"/>
              <w:jc w:val="center"/>
              <w:rPr>
                <w:rFonts w:ascii="Calibri" w:eastAsia="Times New Roman" w:hAnsi="Calibri" w:cs="Calibri"/>
                <w:bCs/>
                <w:color w:val="000000"/>
                <w:sz w:val="20"/>
                <w:szCs w:val="20"/>
                <w:lang w:eastAsia="zh-CN"/>
              </w:rPr>
            </w:pPr>
            <w:r w:rsidRPr="008A4B8F">
              <w:rPr>
                <w:rFonts w:ascii="Calibri" w:eastAsia="Times New Roman" w:hAnsi="Calibri" w:cs="Calibri"/>
                <w:bCs/>
                <w:color w:val="000000"/>
                <w:sz w:val="20"/>
                <w:szCs w:val="20"/>
                <w:lang w:eastAsia="zh-CN"/>
              </w:rPr>
              <w:t xml:space="preserve">Median </w:t>
            </w:r>
          </w:p>
          <w:p w:rsidR="00685BE5" w:rsidRPr="008A4B8F" w:rsidRDefault="00685BE5" w:rsidP="00301C30">
            <w:pPr>
              <w:spacing w:before="20" w:after="20"/>
              <w:jc w:val="center"/>
              <w:rPr>
                <w:rFonts w:ascii="Calibri" w:eastAsia="Times New Roman" w:hAnsi="Calibri" w:cs="Calibri"/>
                <w:bCs/>
                <w:color w:val="000000"/>
                <w:sz w:val="20"/>
                <w:szCs w:val="20"/>
                <w:lang w:eastAsia="zh-CN"/>
              </w:rPr>
            </w:pPr>
            <w:r w:rsidRPr="008A4B8F">
              <w:rPr>
                <w:rFonts w:ascii="Calibri" w:eastAsia="Times New Roman" w:hAnsi="Calibri" w:cs="Calibri"/>
                <w:bCs/>
                <w:color w:val="000000"/>
                <w:sz w:val="20"/>
                <w:szCs w:val="20"/>
                <w:lang w:eastAsia="zh-CN"/>
              </w:rPr>
              <w:t>$</w:t>
            </w:r>
          </w:p>
        </w:tc>
        <w:tc>
          <w:tcPr>
            <w:tcW w:w="1418" w:type="dxa"/>
            <w:tcBorders>
              <w:top w:val="single" w:sz="4" w:space="0" w:color="auto"/>
              <w:left w:val="nil"/>
              <w:bottom w:val="single" w:sz="4" w:space="0" w:color="auto"/>
              <w:right w:val="nil"/>
            </w:tcBorders>
            <w:shd w:val="clear" w:color="auto" w:fill="auto"/>
            <w:noWrap/>
            <w:vAlign w:val="center"/>
            <w:hideMark/>
          </w:tcPr>
          <w:p w:rsidR="00685BE5" w:rsidRPr="008A4B8F" w:rsidRDefault="00685BE5" w:rsidP="00301C30">
            <w:pPr>
              <w:spacing w:before="20" w:after="20"/>
              <w:jc w:val="center"/>
              <w:rPr>
                <w:rFonts w:ascii="Calibri" w:eastAsia="Times New Roman" w:hAnsi="Calibri" w:cs="Calibri"/>
                <w:bCs/>
                <w:color w:val="000000"/>
                <w:sz w:val="20"/>
                <w:szCs w:val="20"/>
                <w:lang w:eastAsia="zh-CN"/>
              </w:rPr>
            </w:pPr>
            <w:r w:rsidRPr="008A4B8F">
              <w:rPr>
                <w:rFonts w:ascii="Calibri" w:eastAsia="Times New Roman" w:hAnsi="Calibri" w:cs="Calibri"/>
                <w:bCs/>
                <w:color w:val="000000"/>
                <w:sz w:val="20"/>
                <w:szCs w:val="20"/>
                <w:lang w:eastAsia="zh-CN"/>
              </w:rPr>
              <w:t>Number of workers</w:t>
            </w:r>
          </w:p>
        </w:tc>
      </w:tr>
      <w:tr w:rsidR="00685BE5" w:rsidRPr="00F27376" w:rsidTr="00AE4C3A">
        <w:trPr>
          <w:trHeight w:val="288"/>
        </w:trPr>
        <w:tc>
          <w:tcPr>
            <w:tcW w:w="4977" w:type="dxa"/>
            <w:tcBorders>
              <w:top w:val="nil"/>
              <w:left w:val="nil"/>
              <w:bottom w:val="nil"/>
              <w:right w:val="nil"/>
            </w:tcBorders>
            <w:shd w:val="clear" w:color="auto" w:fill="auto"/>
            <w:noWrap/>
            <w:vAlign w:val="center"/>
            <w:hideMark/>
          </w:tcPr>
          <w:p w:rsidR="00685BE5" w:rsidRPr="00F27376" w:rsidRDefault="00685BE5" w:rsidP="00301C30">
            <w:pPr>
              <w:spacing w:before="20" w:after="20"/>
              <w:rPr>
                <w:rFonts w:ascii="Calibri" w:eastAsia="Times New Roman" w:hAnsi="Calibri" w:cs="Calibri"/>
                <w:color w:val="000000"/>
                <w:sz w:val="20"/>
                <w:szCs w:val="20"/>
                <w:lang w:eastAsia="zh-CN"/>
              </w:rPr>
            </w:pPr>
            <w:r>
              <w:rPr>
                <w:rFonts w:ascii="Calibri" w:eastAsia="Times New Roman" w:hAnsi="Calibri" w:cs="Calibri"/>
                <w:color w:val="000000"/>
                <w:sz w:val="20"/>
                <w:szCs w:val="20"/>
                <w:lang w:eastAsia="zh-CN"/>
              </w:rPr>
              <w:t>Disability support/r</w:t>
            </w:r>
            <w:r w:rsidRPr="00F27376">
              <w:rPr>
                <w:rFonts w:ascii="Calibri" w:eastAsia="Times New Roman" w:hAnsi="Calibri" w:cs="Calibri"/>
                <w:color w:val="000000"/>
                <w:sz w:val="20"/>
                <w:szCs w:val="20"/>
                <w:lang w:eastAsia="zh-CN"/>
              </w:rPr>
              <w:t>esidential support worker</w:t>
            </w:r>
          </w:p>
        </w:tc>
        <w:tc>
          <w:tcPr>
            <w:tcW w:w="1275" w:type="dxa"/>
            <w:tcBorders>
              <w:top w:val="nil"/>
              <w:left w:val="nil"/>
              <w:bottom w:val="nil"/>
              <w:right w:val="nil"/>
            </w:tcBorders>
            <w:shd w:val="clear" w:color="auto" w:fill="auto"/>
            <w:noWrap/>
            <w:vAlign w:val="center"/>
            <w:hideMark/>
          </w:tcPr>
          <w:p w:rsidR="00685BE5" w:rsidRPr="00F27376" w:rsidRDefault="00685BE5" w:rsidP="00301C30">
            <w:pPr>
              <w:spacing w:before="20" w:after="20"/>
              <w:ind w:right="239"/>
              <w:jc w:val="right"/>
              <w:rPr>
                <w:rFonts w:ascii="Calibri" w:eastAsia="Times New Roman" w:hAnsi="Calibri" w:cs="Calibri"/>
                <w:sz w:val="20"/>
                <w:szCs w:val="20"/>
                <w:lang w:eastAsia="zh-CN"/>
              </w:rPr>
            </w:pPr>
            <w:r w:rsidRPr="00F27376">
              <w:rPr>
                <w:rFonts w:ascii="Calibri" w:eastAsia="Times New Roman" w:hAnsi="Calibri" w:cs="Calibri"/>
                <w:sz w:val="20"/>
                <w:szCs w:val="20"/>
                <w:lang w:eastAsia="zh-CN"/>
              </w:rPr>
              <w:t>950</w:t>
            </w:r>
          </w:p>
        </w:tc>
        <w:tc>
          <w:tcPr>
            <w:tcW w:w="1134" w:type="dxa"/>
            <w:tcBorders>
              <w:top w:val="nil"/>
              <w:left w:val="nil"/>
              <w:bottom w:val="nil"/>
              <w:right w:val="nil"/>
            </w:tcBorders>
            <w:shd w:val="clear" w:color="auto" w:fill="auto"/>
            <w:noWrap/>
            <w:vAlign w:val="center"/>
            <w:hideMark/>
          </w:tcPr>
          <w:p w:rsidR="00685BE5" w:rsidRPr="00827534" w:rsidRDefault="00685BE5" w:rsidP="00301C30">
            <w:pPr>
              <w:spacing w:before="20" w:after="20"/>
              <w:ind w:right="204"/>
              <w:jc w:val="right"/>
              <w:rPr>
                <w:rFonts w:cstheme="minorHAnsi"/>
                <w:sz w:val="20"/>
                <w:szCs w:val="20"/>
              </w:rPr>
            </w:pPr>
            <w:r w:rsidRPr="00827534">
              <w:rPr>
                <w:rFonts w:cstheme="minorHAnsi"/>
                <w:sz w:val="20"/>
                <w:szCs w:val="20"/>
              </w:rPr>
              <w:t>903</w:t>
            </w:r>
          </w:p>
        </w:tc>
        <w:tc>
          <w:tcPr>
            <w:tcW w:w="1418" w:type="dxa"/>
            <w:tcBorders>
              <w:top w:val="nil"/>
              <w:left w:val="nil"/>
              <w:bottom w:val="nil"/>
              <w:right w:val="nil"/>
            </w:tcBorders>
            <w:shd w:val="clear" w:color="auto" w:fill="auto"/>
            <w:noWrap/>
            <w:vAlign w:val="center"/>
            <w:hideMark/>
          </w:tcPr>
          <w:p w:rsidR="00685BE5" w:rsidRPr="00F27376" w:rsidRDefault="00685BE5" w:rsidP="00301C30">
            <w:pPr>
              <w:spacing w:before="20" w:after="20"/>
              <w:ind w:right="317"/>
              <w:jc w:val="right"/>
              <w:rPr>
                <w:rFonts w:ascii="Calibri" w:eastAsia="Times New Roman" w:hAnsi="Calibri" w:cs="Calibri"/>
                <w:sz w:val="20"/>
                <w:szCs w:val="20"/>
                <w:lang w:eastAsia="zh-CN"/>
              </w:rPr>
            </w:pPr>
            <w:r w:rsidRPr="00F27376">
              <w:rPr>
                <w:rFonts w:ascii="Calibri" w:eastAsia="Times New Roman" w:hAnsi="Calibri" w:cs="Calibri"/>
                <w:sz w:val="20"/>
                <w:szCs w:val="20"/>
                <w:lang w:eastAsia="zh-CN"/>
              </w:rPr>
              <w:t>286</w:t>
            </w:r>
          </w:p>
        </w:tc>
      </w:tr>
      <w:tr w:rsidR="00685BE5" w:rsidRPr="009209BE" w:rsidTr="00AE4C3A">
        <w:trPr>
          <w:trHeight w:val="288"/>
        </w:trPr>
        <w:tc>
          <w:tcPr>
            <w:tcW w:w="4977" w:type="dxa"/>
            <w:tcBorders>
              <w:top w:val="nil"/>
              <w:left w:val="nil"/>
              <w:bottom w:val="nil"/>
              <w:right w:val="nil"/>
            </w:tcBorders>
            <w:shd w:val="clear" w:color="auto" w:fill="auto"/>
            <w:noWrap/>
            <w:vAlign w:val="center"/>
            <w:hideMark/>
          </w:tcPr>
          <w:p w:rsidR="00685BE5" w:rsidRPr="009209BE" w:rsidRDefault="00685BE5" w:rsidP="00301C30">
            <w:pPr>
              <w:spacing w:before="20" w:after="20"/>
              <w:rPr>
                <w:rFonts w:ascii="Calibri" w:eastAsia="Times New Roman" w:hAnsi="Calibri" w:cs="Calibri"/>
                <w:color w:val="000000"/>
                <w:sz w:val="20"/>
                <w:szCs w:val="20"/>
                <w:lang w:eastAsia="zh-CN"/>
              </w:rPr>
            </w:pPr>
            <w:r w:rsidRPr="009209BE">
              <w:rPr>
                <w:rFonts w:ascii="Calibri" w:eastAsia="Times New Roman" w:hAnsi="Calibri" w:cs="Calibri"/>
                <w:color w:val="000000"/>
                <w:sz w:val="20"/>
                <w:szCs w:val="20"/>
                <w:lang w:eastAsia="zh-CN"/>
              </w:rPr>
              <w:t>Personal car</w:t>
            </w:r>
            <w:r>
              <w:rPr>
                <w:rFonts w:ascii="Calibri" w:eastAsia="Times New Roman" w:hAnsi="Calibri" w:cs="Calibri"/>
                <w:color w:val="000000"/>
                <w:sz w:val="20"/>
                <w:szCs w:val="20"/>
                <w:lang w:eastAsia="zh-CN"/>
              </w:rPr>
              <w:t>e/h</w:t>
            </w:r>
            <w:r w:rsidRPr="009209BE">
              <w:rPr>
                <w:rFonts w:ascii="Calibri" w:eastAsia="Times New Roman" w:hAnsi="Calibri" w:cs="Calibri"/>
                <w:color w:val="000000"/>
                <w:sz w:val="20"/>
                <w:szCs w:val="20"/>
                <w:lang w:eastAsia="zh-CN"/>
              </w:rPr>
              <w:t>ome care worker</w:t>
            </w:r>
          </w:p>
        </w:tc>
        <w:tc>
          <w:tcPr>
            <w:tcW w:w="1275" w:type="dxa"/>
            <w:tcBorders>
              <w:top w:val="nil"/>
              <w:left w:val="nil"/>
              <w:bottom w:val="nil"/>
              <w:right w:val="nil"/>
            </w:tcBorders>
            <w:shd w:val="clear" w:color="auto" w:fill="auto"/>
            <w:noWrap/>
            <w:vAlign w:val="center"/>
            <w:hideMark/>
          </w:tcPr>
          <w:p w:rsidR="00685BE5" w:rsidRPr="009209BE" w:rsidRDefault="00685BE5" w:rsidP="00301C30">
            <w:pPr>
              <w:spacing w:before="20" w:after="20"/>
              <w:ind w:right="239"/>
              <w:jc w:val="right"/>
              <w:rPr>
                <w:rFonts w:ascii="Calibri" w:eastAsia="Times New Roman" w:hAnsi="Calibri" w:cs="Calibri"/>
                <w:sz w:val="20"/>
                <w:szCs w:val="20"/>
                <w:lang w:eastAsia="zh-CN"/>
              </w:rPr>
            </w:pPr>
            <w:r w:rsidRPr="009209BE">
              <w:rPr>
                <w:rFonts w:ascii="Calibri" w:eastAsia="Times New Roman" w:hAnsi="Calibri" w:cs="Calibri"/>
                <w:sz w:val="20"/>
                <w:szCs w:val="20"/>
                <w:lang w:eastAsia="zh-CN"/>
              </w:rPr>
              <w:t>767</w:t>
            </w:r>
          </w:p>
        </w:tc>
        <w:tc>
          <w:tcPr>
            <w:tcW w:w="1134" w:type="dxa"/>
            <w:tcBorders>
              <w:top w:val="nil"/>
              <w:left w:val="nil"/>
              <w:bottom w:val="nil"/>
              <w:right w:val="nil"/>
            </w:tcBorders>
            <w:shd w:val="clear" w:color="auto" w:fill="auto"/>
            <w:noWrap/>
            <w:vAlign w:val="center"/>
            <w:hideMark/>
          </w:tcPr>
          <w:p w:rsidR="00685BE5" w:rsidRPr="00827534" w:rsidRDefault="00685BE5" w:rsidP="00301C30">
            <w:pPr>
              <w:spacing w:before="20" w:after="20"/>
              <w:ind w:right="204"/>
              <w:jc w:val="right"/>
              <w:rPr>
                <w:rFonts w:cstheme="minorHAnsi"/>
                <w:sz w:val="20"/>
                <w:szCs w:val="20"/>
              </w:rPr>
            </w:pPr>
            <w:r w:rsidRPr="00827534">
              <w:rPr>
                <w:rFonts w:cstheme="minorHAnsi"/>
                <w:sz w:val="20"/>
                <w:szCs w:val="20"/>
              </w:rPr>
              <w:t>800</w:t>
            </w:r>
          </w:p>
        </w:tc>
        <w:tc>
          <w:tcPr>
            <w:tcW w:w="1418" w:type="dxa"/>
            <w:tcBorders>
              <w:top w:val="nil"/>
              <w:left w:val="nil"/>
              <w:bottom w:val="nil"/>
              <w:right w:val="nil"/>
            </w:tcBorders>
            <w:shd w:val="clear" w:color="auto" w:fill="auto"/>
            <w:noWrap/>
            <w:vAlign w:val="center"/>
            <w:hideMark/>
          </w:tcPr>
          <w:p w:rsidR="00685BE5" w:rsidRPr="009209BE" w:rsidRDefault="00685BE5" w:rsidP="00301C30">
            <w:pPr>
              <w:spacing w:before="20" w:after="20"/>
              <w:ind w:right="317"/>
              <w:jc w:val="right"/>
              <w:rPr>
                <w:rFonts w:ascii="Calibri" w:eastAsia="Times New Roman" w:hAnsi="Calibri" w:cs="Calibri"/>
                <w:sz w:val="20"/>
                <w:szCs w:val="20"/>
                <w:lang w:eastAsia="zh-CN"/>
              </w:rPr>
            </w:pPr>
            <w:r w:rsidRPr="009209BE">
              <w:rPr>
                <w:rFonts w:ascii="Calibri" w:eastAsia="Times New Roman" w:hAnsi="Calibri" w:cs="Calibri"/>
                <w:sz w:val="20"/>
                <w:szCs w:val="20"/>
                <w:lang w:eastAsia="zh-CN"/>
              </w:rPr>
              <w:t>27</w:t>
            </w:r>
          </w:p>
        </w:tc>
      </w:tr>
      <w:tr w:rsidR="00685BE5" w:rsidRPr="009209BE" w:rsidTr="00AE4C3A">
        <w:trPr>
          <w:trHeight w:val="288"/>
        </w:trPr>
        <w:tc>
          <w:tcPr>
            <w:tcW w:w="4977" w:type="dxa"/>
            <w:tcBorders>
              <w:top w:val="nil"/>
              <w:left w:val="nil"/>
              <w:bottom w:val="nil"/>
              <w:right w:val="nil"/>
            </w:tcBorders>
            <w:shd w:val="clear" w:color="auto" w:fill="auto"/>
            <w:noWrap/>
            <w:vAlign w:val="center"/>
            <w:hideMark/>
          </w:tcPr>
          <w:p w:rsidR="00685BE5" w:rsidRPr="009209BE" w:rsidRDefault="00685BE5" w:rsidP="00301C30">
            <w:pPr>
              <w:spacing w:before="20" w:after="20"/>
              <w:rPr>
                <w:rFonts w:ascii="Calibri" w:eastAsia="Times New Roman" w:hAnsi="Calibri" w:cs="Calibri"/>
                <w:color w:val="000000"/>
                <w:sz w:val="20"/>
                <w:szCs w:val="20"/>
                <w:lang w:eastAsia="zh-CN"/>
              </w:rPr>
            </w:pPr>
            <w:r w:rsidRPr="009209BE">
              <w:rPr>
                <w:rFonts w:ascii="Calibri" w:eastAsia="Times New Roman" w:hAnsi="Calibri" w:cs="Calibri"/>
                <w:color w:val="000000"/>
                <w:sz w:val="20"/>
                <w:szCs w:val="20"/>
                <w:lang w:eastAsia="zh-CN"/>
              </w:rPr>
              <w:t>Se</w:t>
            </w:r>
            <w:r>
              <w:rPr>
                <w:rFonts w:ascii="Calibri" w:eastAsia="Times New Roman" w:hAnsi="Calibri" w:cs="Calibri"/>
                <w:color w:val="000000"/>
                <w:sz w:val="20"/>
                <w:szCs w:val="20"/>
                <w:lang w:eastAsia="zh-CN"/>
              </w:rPr>
              <w:t>rvice or program administrator/manager/c</w:t>
            </w:r>
            <w:r w:rsidRPr="009209BE">
              <w:rPr>
                <w:rFonts w:ascii="Calibri" w:eastAsia="Times New Roman" w:hAnsi="Calibri" w:cs="Calibri"/>
                <w:color w:val="000000"/>
                <w:sz w:val="20"/>
                <w:szCs w:val="20"/>
                <w:lang w:eastAsia="zh-CN"/>
              </w:rPr>
              <w:t>oordinator</w:t>
            </w:r>
          </w:p>
        </w:tc>
        <w:tc>
          <w:tcPr>
            <w:tcW w:w="1275" w:type="dxa"/>
            <w:tcBorders>
              <w:top w:val="nil"/>
              <w:left w:val="nil"/>
              <w:bottom w:val="nil"/>
              <w:right w:val="nil"/>
            </w:tcBorders>
            <w:shd w:val="clear" w:color="auto" w:fill="auto"/>
            <w:noWrap/>
            <w:vAlign w:val="center"/>
            <w:hideMark/>
          </w:tcPr>
          <w:p w:rsidR="00685BE5" w:rsidRPr="009209BE" w:rsidRDefault="00685BE5" w:rsidP="00301C30">
            <w:pPr>
              <w:spacing w:before="20" w:after="20"/>
              <w:ind w:right="239"/>
              <w:jc w:val="right"/>
              <w:rPr>
                <w:rFonts w:ascii="Calibri" w:eastAsia="Times New Roman" w:hAnsi="Calibri" w:cs="Calibri"/>
                <w:sz w:val="20"/>
                <w:szCs w:val="20"/>
                <w:lang w:eastAsia="zh-CN"/>
              </w:rPr>
            </w:pPr>
            <w:r w:rsidRPr="009209BE">
              <w:rPr>
                <w:rFonts w:ascii="Calibri" w:eastAsia="Times New Roman" w:hAnsi="Calibri" w:cs="Calibri"/>
                <w:sz w:val="20"/>
                <w:szCs w:val="20"/>
                <w:lang w:eastAsia="zh-CN"/>
              </w:rPr>
              <w:t>1</w:t>
            </w:r>
            <w:r>
              <w:rPr>
                <w:rFonts w:ascii="Calibri" w:eastAsia="Times New Roman" w:hAnsi="Calibri" w:cs="Calibri"/>
                <w:sz w:val="20"/>
                <w:szCs w:val="20"/>
                <w:lang w:eastAsia="zh-CN"/>
              </w:rPr>
              <w:t>,</w:t>
            </w:r>
            <w:r w:rsidRPr="009209BE">
              <w:rPr>
                <w:rFonts w:ascii="Calibri" w:eastAsia="Times New Roman" w:hAnsi="Calibri" w:cs="Calibri"/>
                <w:sz w:val="20"/>
                <w:szCs w:val="20"/>
                <w:lang w:eastAsia="zh-CN"/>
              </w:rPr>
              <w:t>160</w:t>
            </w:r>
          </w:p>
        </w:tc>
        <w:tc>
          <w:tcPr>
            <w:tcW w:w="1134" w:type="dxa"/>
            <w:tcBorders>
              <w:top w:val="nil"/>
              <w:left w:val="nil"/>
              <w:bottom w:val="nil"/>
              <w:right w:val="nil"/>
            </w:tcBorders>
            <w:shd w:val="clear" w:color="auto" w:fill="auto"/>
            <w:noWrap/>
            <w:vAlign w:val="center"/>
            <w:hideMark/>
          </w:tcPr>
          <w:p w:rsidR="00685BE5" w:rsidRPr="00827534" w:rsidRDefault="00685BE5" w:rsidP="00301C30">
            <w:pPr>
              <w:spacing w:before="20" w:after="20"/>
              <w:ind w:right="204"/>
              <w:jc w:val="right"/>
              <w:rPr>
                <w:rFonts w:cstheme="minorHAnsi"/>
                <w:sz w:val="20"/>
                <w:szCs w:val="20"/>
              </w:rPr>
            </w:pPr>
            <w:r w:rsidRPr="00827534">
              <w:rPr>
                <w:rFonts w:cstheme="minorHAnsi"/>
                <w:sz w:val="20"/>
                <w:szCs w:val="20"/>
              </w:rPr>
              <w:t>1,150</w:t>
            </w:r>
          </w:p>
        </w:tc>
        <w:tc>
          <w:tcPr>
            <w:tcW w:w="1418" w:type="dxa"/>
            <w:tcBorders>
              <w:top w:val="nil"/>
              <w:left w:val="nil"/>
              <w:bottom w:val="nil"/>
              <w:right w:val="nil"/>
            </w:tcBorders>
            <w:shd w:val="clear" w:color="auto" w:fill="auto"/>
            <w:noWrap/>
            <w:vAlign w:val="center"/>
            <w:hideMark/>
          </w:tcPr>
          <w:p w:rsidR="00685BE5" w:rsidRPr="009209BE" w:rsidRDefault="00685BE5" w:rsidP="00301C30">
            <w:pPr>
              <w:spacing w:before="20" w:after="20"/>
              <w:ind w:right="317"/>
              <w:jc w:val="right"/>
              <w:rPr>
                <w:rFonts w:ascii="Calibri" w:eastAsia="Times New Roman" w:hAnsi="Calibri" w:cs="Calibri"/>
                <w:sz w:val="20"/>
                <w:szCs w:val="20"/>
                <w:lang w:eastAsia="zh-CN"/>
              </w:rPr>
            </w:pPr>
            <w:r w:rsidRPr="009209BE">
              <w:rPr>
                <w:rFonts w:ascii="Calibri" w:eastAsia="Times New Roman" w:hAnsi="Calibri" w:cs="Calibri"/>
                <w:sz w:val="20"/>
                <w:szCs w:val="20"/>
                <w:lang w:eastAsia="zh-CN"/>
              </w:rPr>
              <w:t>369</w:t>
            </w:r>
          </w:p>
        </w:tc>
      </w:tr>
      <w:tr w:rsidR="00685BE5" w:rsidRPr="009209BE" w:rsidTr="00AE4C3A">
        <w:trPr>
          <w:trHeight w:val="288"/>
        </w:trPr>
        <w:tc>
          <w:tcPr>
            <w:tcW w:w="4977" w:type="dxa"/>
            <w:tcBorders>
              <w:top w:val="nil"/>
              <w:left w:val="nil"/>
              <w:bottom w:val="nil"/>
              <w:right w:val="nil"/>
            </w:tcBorders>
            <w:shd w:val="clear" w:color="auto" w:fill="auto"/>
            <w:noWrap/>
            <w:vAlign w:val="center"/>
            <w:hideMark/>
          </w:tcPr>
          <w:p w:rsidR="00685BE5" w:rsidRPr="009209BE" w:rsidRDefault="00685BE5" w:rsidP="00301C30">
            <w:pPr>
              <w:spacing w:before="20" w:after="20"/>
              <w:rPr>
                <w:rFonts w:ascii="Calibri" w:eastAsia="Times New Roman" w:hAnsi="Calibri" w:cs="Calibri"/>
                <w:color w:val="000000"/>
                <w:sz w:val="20"/>
                <w:szCs w:val="20"/>
                <w:lang w:eastAsia="zh-CN"/>
              </w:rPr>
            </w:pPr>
            <w:r>
              <w:rPr>
                <w:rFonts w:ascii="Calibri" w:eastAsia="Times New Roman" w:hAnsi="Calibri" w:cs="Calibri"/>
                <w:color w:val="000000"/>
                <w:sz w:val="20"/>
                <w:szCs w:val="20"/>
                <w:lang w:eastAsia="zh-CN"/>
              </w:rPr>
              <w:t>Social worker/d</w:t>
            </w:r>
            <w:r w:rsidRPr="009209BE">
              <w:rPr>
                <w:rFonts w:ascii="Calibri" w:eastAsia="Times New Roman" w:hAnsi="Calibri" w:cs="Calibri"/>
                <w:color w:val="000000"/>
                <w:sz w:val="20"/>
                <w:szCs w:val="20"/>
                <w:lang w:eastAsia="zh-CN"/>
              </w:rPr>
              <w:t>isability case coordinator</w:t>
            </w:r>
          </w:p>
        </w:tc>
        <w:tc>
          <w:tcPr>
            <w:tcW w:w="1275" w:type="dxa"/>
            <w:tcBorders>
              <w:top w:val="nil"/>
              <w:left w:val="nil"/>
              <w:bottom w:val="nil"/>
              <w:right w:val="nil"/>
            </w:tcBorders>
            <w:shd w:val="clear" w:color="auto" w:fill="auto"/>
            <w:noWrap/>
            <w:vAlign w:val="center"/>
            <w:hideMark/>
          </w:tcPr>
          <w:p w:rsidR="00685BE5" w:rsidRPr="009209BE" w:rsidRDefault="00685BE5" w:rsidP="00301C30">
            <w:pPr>
              <w:spacing w:before="20" w:after="20"/>
              <w:ind w:right="239"/>
              <w:jc w:val="right"/>
              <w:rPr>
                <w:rFonts w:ascii="Calibri" w:eastAsia="Times New Roman" w:hAnsi="Calibri" w:cs="Calibri"/>
                <w:sz w:val="20"/>
                <w:szCs w:val="20"/>
                <w:lang w:eastAsia="zh-CN"/>
              </w:rPr>
            </w:pPr>
            <w:r w:rsidRPr="009209BE">
              <w:rPr>
                <w:rFonts w:ascii="Calibri" w:eastAsia="Times New Roman" w:hAnsi="Calibri" w:cs="Calibri"/>
                <w:sz w:val="20"/>
                <w:szCs w:val="20"/>
                <w:lang w:eastAsia="zh-CN"/>
              </w:rPr>
              <w:t>1</w:t>
            </w:r>
            <w:r>
              <w:rPr>
                <w:rFonts w:ascii="Calibri" w:eastAsia="Times New Roman" w:hAnsi="Calibri" w:cs="Calibri"/>
                <w:sz w:val="20"/>
                <w:szCs w:val="20"/>
                <w:lang w:eastAsia="zh-CN"/>
              </w:rPr>
              <w:t>,</w:t>
            </w:r>
            <w:r w:rsidRPr="009209BE">
              <w:rPr>
                <w:rFonts w:ascii="Calibri" w:eastAsia="Times New Roman" w:hAnsi="Calibri" w:cs="Calibri"/>
                <w:sz w:val="20"/>
                <w:szCs w:val="20"/>
                <w:lang w:eastAsia="zh-CN"/>
              </w:rPr>
              <w:t>098</w:t>
            </w:r>
          </w:p>
        </w:tc>
        <w:tc>
          <w:tcPr>
            <w:tcW w:w="1134" w:type="dxa"/>
            <w:tcBorders>
              <w:top w:val="nil"/>
              <w:left w:val="nil"/>
              <w:bottom w:val="nil"/>
              <w:right w:val="nil"/>
            </w:tcBorders>
            <w:shd w:val="clear" w:color="auto" w:fill="auto"/>
            <w:noWrap/>
            <w:vAlign w:val="center"/>
            <w:hideMark/>
          </w:tcPr>
          <w:p w:rsidR="00685BE5" w:rsidRPr="00827534" w:rsidRDefault="00685BE5" w:rsidP="00301C30">
            <w:pPr>
              <w:spacing w:before="20" w:after="20"/>
              <w:ind w:right="204"/>
              <w:jc w:val="right"/>
              <w:rPr>
                <w:rFonts w:cstheme="minorHAnsi"/>
                <w:sz w:val="20"/>
                <w:szCs w:val="20"/>
              </w:rPr>
            </w:pPr>
            <w:r w:rsidRPr="00827534">
              <w:rPr>
                <w:rFonts w:cstheme="minorHAnsi"/>
                <w:sz w:val="20"/>
                <w:szCs w:val="20"/>
              </w:rPr>
              <w:t>1,100</w:t>
            </w:r>
          </w:p>
        </w:tc>
        <w:tc>
          <w:tcPr>
            <w:tcW w:w="1418" w:type="dxa"/>
            <w:tcBorders>
              <w:top w:val="nil"/>
              <w:left w:val="nil"/>
              <w:bottom w:val="nil"/>
              <w:right w:val="nil"/>
            </w:tcBorders>
            <w:shd w:val="clear" w:color="auto" w:fill="auto"/>
            <w:noWrap/>
            <w:vAlign w:val="center"/>
            <w:hideMark/>
          </w:tcPr>
          <w:p w:rsidR="00685BE5" w:rsidRPr="009209BE" w:rsidRDefault="00685BE5" w:rsidP="00301C30">
            <w:pPr>
              <w:spacing w:before="20" w:after="20"/>
              <w:ind w:right="317"/>
              <w:jc w:val="right"/>
              <w:rPr>
                <w:rFonts w:ascii="Calibri" w:eastAsia="Times New Roman" w:hAnsi="Calibri" w:cs="Calibri"/>
                <w:sz w:val="20"/>
                <w:szCs w:val="20"/>
                <w:lang w:eastAsia="zh-CN"/>
              </w:rPr>
            </w:pPr>
            <w:r w:rsidRPr="009209BE">
              <w:rPr>
                <w:rFonts w:ascii="Calibri" w:eastAsia="Times New Roman" w:hAnsi="Calibri" w:cs="Calibri"/>
                <w:sz w:val="20"/>
                <w:szCs w:val="20"/>
                <w:lang w:eastAsia="zh-CN"/>
              </w:rPr>
              <w:t>126</w:t>
            </w:r>
          </w:p>
        </w:tc>
      </w:tr>
      <w:tr w:rsidR="00685BE5" w:rsidRPr="009209BE" w:rsidTr="00AE4C3A">
        <w:trPr>
          <w:trHeight w:val="288"/>
        </w:trPr>
        <w:tc>
          <w:tcPr>
            <w:tcW w:w="4977" w:type="dxa"/>
            <w:tcBorders>
              <w:top w:val="nil"/>
              <w:left w:val="nil"/>
              <w:bottom w:val="nil"/>
              <w:right w:val="nil"/>
            </w:tcBorders>
            <w:shd w:val="clear" w:color="auto" w:fill="auto"/>
            <w:noWrap/>
            <w:vAlign w:val="center"/>
            <w:hideMark/>
          </w:tcPr>
          <w:p w:rsidR="00685BE5" w:rsidRPr="009209BE" w:rsidRDefault="00685BE5" w:rsidP="00301C30">
            <w:pPr>
              <w:spacing w:before="20" w:after="20"/>
              <w:rPr>
                <w:rFonts w:ascii="Calibri" w:eastAsia="Times New Roman" w:hAnsi="Calibri" w:cs="Calibri"/>
                <w:color w:val="000000"/>
                <w:sz w:val="20"/>
                <w:szCs w:val="20"/>
                <w:lang w:eastAsia="zh-CN"/>
              </w:rPr>
            </w:pPr>
            <w:r w:rsidRPr="009209BE">
              <w:rPr>
                <w:rFonts w:ascii="Calibri" w:eastAsia="Times New Roman" w:hAnsi="Calibri" w:cs="Calibri"/>
                <w:color w:val="000000"/>
                <w:sz w:val="20"/>
                <w:szCs w:val="20"/>
                <w:lang w:eastAsia="zh-CN"/>
              </w:rPr>
              <w:t>Employment support worker</w:t>
            </w:r>
          </w:p>
        </w:tc>
        <w:tc>
          <w:tcPr>
            <w:tcW w:w="1275" w:type="dxa"/>
            <w:tcBorders>
              <w:top w:val="nil"/>
              <w:left w:val="nil"/>
              <w:bottom w:val="nil"/>
              <w:right w:val="nil"/>
            </w:tcBorders>
            <w:shd w:val="clear" w:color="auto" w:fill="auto"/>
            <w:noWrap/>
            <w:vAlign w:val="center"/>
            <w:hideMark/>
          </w:tcPr>
          <w:p w:rsidR="00685BE5" w:rsidRPr="009209BE" w:rsidRDefault="00685BE5" w:rsidP="00301C30">
            <w:pPr>
              <w:spacing w:before="20" w:after="20"/>
              <w:ind w:right="239"/>
              <w:jc w:val="right"/>
              <w:rPr>
                <w:rFonts w:ascii="Calibri" w:eastAsia="Times New Roman" w:hAnsi="Calibri" w:cs="Calibri"/>
                <w:sz w:val="20"/>
                <w:szCs w:val="20"/>
                <w:lang w:eastAsia="zh-CN"/>
              </w:rPr>
            </w:pPr>
            <w:r w:rsidRPr="009209BE">
              <w:rPr>
                <w:rFonts w:ascii="Calibri" w:eastAsia="Times New Roman" w:hAnsi="Calibri" w:cs="Calibri"/>
                <w:sz w:val="20"/>
                <w:szCs w:val="20"/>
                <w:lang w:eastAsia="zh-CN"/>
              </w:rPr>
              <w:t>920</w:t>
            </w:r>
          </w:p>
        </w:tc>
        <w:tc>
          <w:tcPr>
            <w:tcW w:w="1134" w:type="dxa"/>
            <w:tcBorders>
              <w:top w:val="nil"/>
              <w:left w:val="nil"/>
              <w:bottom w:val="nil"/>
              <w:right w:val="nil"/>
            </w:tcBorders>
            <w:shd w:val="clear" w:color="auto" w:fill="auto"/>
            <w:noWrap/>
            <w:vAlign w:val="center"/>
            <w:hideMark/>
          </w:tcPr>
          <w:p w:rsidR="00685BE5" w:rsidRPr="00827534" w:rsidRDefault="00685BE5" w:rsidP="00301C30">
            <w:pPr>
              <w:spacing w:before="20" w:after="20"/>
              <w:ind w:right="204"/>
              <w:jc w:val="right"/>
              <w:rPr>
                <w:rFonts w:cstheme="minorHAnsi"/>
                <w:sz w:val="20"/>
                <w:szCs w:val="20"/>
              </w:rPr>
            </w:pPr>
            <w:r w:rsidRPr="00827534">
              <w:rPr>
                <w:rFonts w:cstheme="minorHAnsi"/>
                <w:sz w:val="20"/>
                <w:szCs w:val="20"/>
              </w:rPr>
              <w:t>969</w:t>
            </w:r>
          </w:p>
        </w:tc>
        <w:tc>
          <w:tcPr>
            <w:tcW w:w="1418" w:type="dxa"/>
            <w:tcBorders>
              <w:top w:val="nil"/>
              <w:left w:val="nil"/>
              <w:bottom w:val="nil"/>
              <w:right w:val="nil"/>
            </w:tcBorders>
            <w:shd w:val="clear" w:color="auto" w:fill="auto"/>
            <w:noWrap/>
            <w:vAlign w:val="center"/>
            <w:hideMark/>
          </w:tcPr>
          <w:p w:rsidR="00685BE5" w:rsidRPr="009209BE" w:rsidRDefault="00685BE5" w:rsidP="00301C30">
            <w:pPr>
              <w:spacing w:before="20" w:after="20"/>
              <w:ind w:right="317"/>
              <w:jc w:val="right"/>
              <w:rPr>
                <w:rFonts w:ascii="Calibri" w:eastAsia="Times New Roman" w:hAnsi="Calibri" w:cs="Calibri"/>
                <w:sz w:val="20"/>
                <w:szCs w:val="20"/>
                <w:lang w:eastAsia="zh-CN"/>
              </w:rPr>
            </w:pPr>
            <w:r w:rsidRPr="009209BE">
              <w:rPr>
                <w:rFonts w:ascii="Calibri" w:eastAsia="Times New Roman" w:hAnsi="Calibri" w:cs="Calibri"/>
                <w:sz w:val="20"/>
                <w:szCs w:val="20"/>
                <w:lang w:eastAsia="zh-CN"/>
              </w:rPr>
              <w:t>31</w:t>
            </w:r>
          </w:p>
        </w:tc>
      </w:tr>
      <w:tr w:rsidR="00685BE5" w:rsidRPr="009209BE" w:rsidTr="00AE4C3A">
        <w:trPr>
          <w:trHeight w:val="288"/>
        </w:trPr>
        <w:tc>
          <w:tcPr>
            <w:tcW w:w="4977" w:type="dxa"/>
            <w:tcBorders>
              <w:top w:val="nil"/>
              <w:left w:val="nil"/>
              <w:bottom w:val="nil"/>
              <w:right w:val="nil"/>
            </w:tcBorders>
            <w:shd w:val="clear" w:color="auto" w:fill="auto"/>
            <w:noWrap/>
            <w:vAlign w:val="center"/>
            <w:hideMark/>
          </w:tcPr>
          <w:p w:rsidR="00685BE5" w:rsidRPr="009209BE" w:rsidRDefault="00685BE5" w:rsidP="00301C30">
            <w:pPr>
              <w:spacing w:before="20" w:after="20"/>
              <w:rPr>
                <w:rFonts w:ascii="Calibri" w:eastAsia="Times New Roman" w:hAnsi="Calibri" w:cs="Calibri"/>
                <w:color w:val="000000"/>
                <w:sz w:val="20"/>
                <w:szCs w:val="20"/>
                <w:lang w:eastAsia="zh-CN"/>
              </w:rPr>
            </w:pPr>
            <w:r w:rsidRPr="009209BE">
              <w:rPr>
                <w:rFonts w:ascii="Calibri" w:eastAsia="Times New Roman" w:hAnsi="Calibri" w:cs="Calibri"/>
                <w:color w:val="000000"/>
                <w:sz w:val="20"/>
                <w:szCs w:val="20"/>
                <w:lang w:eastAsia="zh-CN"/>
              </w:rPr>
              <w:t>Peer support worker</w:t>
            </w:r>
          </w:p>
        </w:tc>
        <w:tc>
          <w:tcPr>
            <w:tcW w:w="1275" w:type="dxa"/>
            <w:tcBorders>
              <w:top w:val="nil"/>
              <w:left w:val="nil"/>
              <w:bottom w:val="nil"/>
              <w:right w:val="nil"/>
            </w:tcBorders>
            <w:shd w:val="clear" w:color="auto" w:fill="auto"/>
            <w:noWrap/>
            <w:vAlign w:val="center"/>
            <w:hideMark/>
          </w:tcPr>
          <w:p w:rsidR="00685BE5" w:rsidRPr="009209BE" w:rsidRDefault="00685BE5" w:rsidP="00301C30">
            <w:pPr>
              <w:spacing w:before="20" w:after="20"/>
              <w:ind w:right="239"/>
              <w:jc w:val="right"/>
              <w:rPr>
                <w:rFonts w:ascii="Calibri" w:eastAsia="Times New Roman" w:hAnsi="Calibri" w:cs="Calibri"/>
                <w:sz w:val="20"/>
                <w:szCs w:val="20"/>
                <w:lang w:eastAsia="zh-CN"/>
              </w:rPr>
            </w:pPr>
            <w:r w:rsidRPr="009209BE">
              <w:rPr>
                <w:rFonts w:ascii="Calibri" w:eastAsia="Times New Roman" w:hAnsi="Calibri" w:cs="Calibri"/>
                <w:sz w:val="20"/>
                <w:szCs w:val="20"/>
                <w:lang w:eastAsia="zh-CN"/>
              </w:rPr>
              <w:t>913</w:t>
            </w:r>
          </w:p>
        </w:tc>
        <w:tc>
          <w:tcPr>
            <w:tcW w:w="1134" w:type="dxa"/>
            <w:tcBorders>
              <w:top w:val="nil"/>
              <w:left w:val="nil"/>
              <w:bottom w:val="nil"/>
              <w:right w:val="nil"/>
            </w:tcBorders>
            <w:shd w:val="clear" w:color="auto" w:fill="auto"/>
            <w:noWrap/>
            <w:vAlign w:val="center"/>
            <w:hideMark/>
          </w:tcPr>
          <w:p w:rsidR="00685BE5" w:rsidRPr="00827534" w:rsidRDefault="00685BE5" w:rsidP="00301C30">
            <w:pPr>
              <w:spacing w:before="20" w:after="20"/>
              <w:ind w:right="204"/>
              <w:jc w:val="right"/>
              <w:rPr>
                <w:rFonts w:cstheme="minorHAnsi"/>
                <w:sz w:val="20"/>
                <w:szCs w:val="20"/>
              </w:rPr>
            </w:pPr>
            <w:r w:rsidRPr="00827534">
              <w:rPr>
                <w:rFonts w:cstheme="minorHAnsi"/>
                <w:sz w:val="20"/>
                <w:szCs w:val="20"/>
              </w:rPr>
              <w:t>954</w:t>
            </w:r>
          </w:p>
        </w:tc>
        <w:tc>
          <w:tcPr>
            <w:tcW w:w="1418" w:type="dxa"/>
            <w:tcBorders>
              <w:top w:val="nil"/>
              <w:left w:val="nil"/>
              <w:bottom w:val="nil"/>
              <w:right w:val="nil"/>
            </w:tcBorders>
            <w:shd w:val="clear" w:color="auto" w:fill="auto"/>
            <w:noWrap/>
            <w:vAlign w:val="center"/>
            <w:hideMark/>
          </w:tcPr>
          <w:p w:rsidR="00685BE5" w:rsidRPr="009209BE" w:rsidRDefault="00685BE5" w:rsidP="00301C30">
            <w:pPr>
              <w:spacing w:before="20" w:after="20"/>
              <w:ind w:right="317"/>
              <w:jc w:val="right"/>
              <w:rPr>
                <w:rFonts w:ascii="Calibri" w:eastAsia="Times New Roman" w:hAnsi="Calibri" w:cs="Calibri"/>
                <w:sz w:val="20"/>
                <w:szCs w:val="20"/>
                <w:lang w:eastAsia="zh-CN"/>
              </w:rPr>
            </w:pPr>
            <w:r w:rsidRPr="009209BE">
              <w:rPr>
                <w:rFonts w:ascii="Calibri" w:eastAsia="Times New Roman" w:hAnsi="Calibri" w:cs="Calibri"/>
                <w:sz w:val="20"/>
                <w:szCs w:val="20"/>
                <w:lang w:eastAsia="zh-CN"/>
              </w:rPr>
              <w:t>16</w:t>
            </w:r>
          </w:p>
        </w:tc>
      </w:tr>
      <w:tr w:rsidR="00685BE5" w:rsidRPr="00F27376" w:rsidTr="00AE4C3A">
        <w:trPr>
          <w:trHeight w:val="288"/>
        </w:trPr>
        <w:tc>
          <w:tcPr>
            <w:tcW w:w="4977" w:type="dxa"/>
            <w:tcBorders>
              <w:top w:val="nil"/>
              <w:left w:val="nil"/>
              <w:bottom w:val="nil"/>
              <w:right w:val="nil"/>
            </w:tcBorders>
            <w:shd w:val="clear" w:color="auto" w:fill="auto"/>
            <w:noWrap/>
            <w:vAlign w:val="center"/>
            <w:hideMark/>
          </w:tcPr>
          <w:p w:rsidR="00685BE5" w:rsidRPr="009209BE" w:rsidRDefault="00685BE5" w:rsidP="00301C30">
            <w:pPr>
              <w:spacing w:before="20" w:after="20"/>
              <w:rPr>
                <w:rFonts w:ascii="Calibri" w:eastAsia="Times New Roman" w:hAnsi="Calibri" w:cs="Calibri"/>
                <w:color w:val="000000"/>
                <w:sz w:val="20"/>
                <w:szCs w:val="20"/>
                <w:lang w:eastAsia="zh-CN"/>
              </w:rPr>
            </w:pPr>
            <w:r w:rsidRPr="009209BE">
              <w:rPr>
                <w:rFonts w:ascii="Calibri" w:eastAsia="Times New Roman" w:hAnsi="Calibri" w:cs="Calibri"/>
                <w:color w:val="000000"/>
                <w:sz w:val="20"/>
                <w:szCs w:val="20"/>
                <w:lang w:eastAsia="zh-CN"/>
              </w:rPr>
              <w:t>Allied health worker</w:t>
            </w:r>
          </w:p>
        </w:tc>
        <w:tc>
          <w:tcPr>
            <w:tcW w:w="1275" w:type="dxa"/>
            <w:tcBorders>
              <w:top w:val="nil"/>
              <w:left w:val="nil"/>
              <w:bottom w:val="nil"/>
              <w:right w:val="nil"/>
            </w:tcBorders>
            <w:shd w:val="clear" w:color="auto" w:fill="auto"/>
            <w:noWrap/>
            <w:vAlign w:val="center"/>
            <w:hideMark/>
          </w:tcPr>
          <w:p w:rsidR="00685BE5" w:rsidRPr="009209BE" w:rsidRDefault="00685BE5" w:rsidP="00301C30">
            <w:pPr>
              <w:spacing w:before="20" w:after="20"/>
              <w:ind w:right="239"/>
              <w:jc w:val="right"/>
              <w:rPr>
                <w:rFonts w:ascii="Calibri" w:eastAsia="Times New Roman" w:hAnsi="Calibri" w:cs="Calibri"/>
                <w:sz w:val="20"/>
                <w:szCs w:val="20"/>
                <w:lang w:eastAsia="zh-CN"/>
              </w:rPr>
            </w:pPr>
            <w:r w:rsidRPr="009209BE">
              <w:rPr>
                <w:rFonts w:ascii="Calibri" w:eastAsia="Times New Roman" w:hAnsi="Calibri" w:cs="Calibri"/>
                <w:sz w:val="20"/>
                <w:szCs w:val="20"/>
                <w:lang w:eastAsia="zh-CN"/>
              </w:rPr>
              <w:t>1</w:t>
            </w:r>
            <w:r>
              <w:rPr>
                <w:rFonts w:ascii="Calibri" w:eastAsia="Times New Roman" w:hAnsi="Calibri" w:cs="Calibri"/>
                <w:sz w:val="20"/>
                <w:szCs w:val="20"/>
                <w:lang w:eastAsia="zh-CN"/>
              </w:rPr>
              <w:t>,</w:t>
            </w:r>
            <w:r w:rsidRPr="009209BE">
              <w:rPr>
                <w:rFonts w:ascii="Calibri" w:eastAsia="Times New Roman" w:hAnsi="Calibri" w:cs="Calibri"/>
                <w:sz w:val="20"/>
                <w:szCs w:val="20"/>
                <w:lang w:eastAsia="zh-CN"/>
              </w:rPr>
              <w:t>189</w:t>
            </w:r>
          </w:p>
        </w:tc>
        <w:tc>
          <w:tcPr>
            <w:tcW w:w="1134" w:type="dxa"/>
            <w:tcBorders>
              <w:top w:val="nil"/>
              <w:left w:val="nil"/>
              <w:bottom w:val="nil"/>
              <w:right w:val="nil"/>
            </w:tcBorders>
            <w:shd w:val="clear" w:color="auto" w:fill="auto"/>
            <w:noWrap/>
            <w:vAlign w:val="center"/>
            <w:hideMark/>
          </w:tcPr>
          <w:p w:rsidR="00685BE5" w:rsidRPr="00827534" w:rsidRDefault="00685BE5" w:rsidP="00301C30">
            <w:pPr>
              <w:spacing w:before="20" w:after="20"/>
              <w:ind w:right="204"/>
              <w:jc w:val="right"/>
              <w:rPr>
                <w:rFonts w:cstheme="minorHAnsi"/>
                <w:sz w:val="20"/>
                <w:szCs w:val="20"/>
              </w:rPr>
            </w:pPr>
            <w:r w:rsidRPr="00827534">
              <w:rPr>
                <w:rFonts w:cstheme="minorHAnsi"/>
                <w:sz w:val="20"/>
                <w:szCs w:val="20"/>
              </w:rPr>
              <w:t>1,172</w:t>
            </w:r>
          </w:p>
        </w:tc>
        <w:tc>
          <w:tcPr>
            <w:tcW w:w="1418" w:type="dxa"/>
            <w:tcBorders>
              <w:top w:val="nil"/>
              <w:left w:val="nil"/>
              <w:bottom w:val="nil"/>
              <w:right w:val="nil"/>
            </w:tcBorders>
            <w:shd w:val="clear" w:color="auto" w:fill="auto"/>
            <w:noWrap/>
            <w:vAlign w:val="center"/>
            <w:hideMark/>
          </w:tcPr>
          <w:p w:rsidR="00685BE5" w:rsidRPr="00F27376" w:rsidRDefault="00685BE5" w:rsidP="00301C30">
            <w:pPr>
              <w:spacing w:before="20" w:after="20"/>
              <w:ind w:right="317"/>
              <w:jc w:val="right"/>
              <w:rPr>
                <w:rFonts w:ascii="Calibri" w:eastAsia="Times New Roman" w:hAnsi="Calibri" w:cs="Calibri"/>
                <w:sz w:val="20"/>
                <w:szCs w:val="20"/>
                <w:lang w:eastAsia="zh-CN"/>
              </w:rPr>
            </w:pPr>
            <w:r w:rsidRPr="009209BE">
              <w:rPr>
                <w:rFonts w:ascii="Calibri" w:eastAsia="Times New Roman" w:hAnsi="Calibri" w:cs="Calibri"/>
                <w:sz w:val="20"/>
                <w:szCs w:val="20"/>
                <w:lang w:eastAsia="zh-CN"/>
              </w:rPr>
              <w:t>128</w:t>
            </w:r>
          </w:p>
        </w:tc>
      </w:tr>
      <w:tr w:rsidR="00685BE5" w:rsidRPr="00F27376" w:rsidTr="00AE4C3A">
        <w:trPr>
          <w:trHeight w:val="288"/>
        </w:trPr>
        <w:tc>
          <w:tcPr>
            <w:tcW w:w="4977" w:type="dxa"/>
            <w:tcBorders>
              <w:top w:val="nil"/>
              <w:left w:val="nil"/>
              <w:bottom w:val="single" w:sz="4" w:space="0" w:color="auto"/>
              <w:right w:val="nil"/>
            </w:tcBorders>
            <w:shd w:val="clear" w:color="auto" w:fill="auto"/>
            <w:noWrap/>
            <w:vAlign w:val="center"/>
            <w:hideMark/>
          </w:tcPr>
          <w:p w:rsidR="00685BE5" w:rsidRPr="00F27376" w:rsidRDefault="00685BE5" w:rsidP="00301C30">
            <w:pPr>
              <w:spacing w:before="20" w:after="20"/>
              <w:rPr>
                <w:rFonts w:ascii="Calibri" w:eastAsia="Times New Roman" w:hAnsi="Calibri" w:cs="Calibri"/>
                <w:color w:val="000000"/>
                <w:sz w:val="20"/>
                <w:szCs w:val="20"/>
                <w:lang w:eastAsia="zh-CN"/>
              </w:rPr>
            </w:pPr>
            <w:r w:rsidRPr="00F27376">
              <w:rPr>
                <w:rFonts w:ascii="Calibri" w:eastAsia="Times New Roman" w:hAnsi="Calibri" w:cs="Calibri"/>
                <w:color w:val="000000"/>
                <w:sz w:val="20"/>
                <w:szCs w:val="20"/>
                <w:lang w:eastAsia="zh-CN"/>
              </w:rPr>
              <w:t>Other</w:t>
            </w:r>
          </w:p>
        </w:tc>
        <w:tc>
          <w:tcPr>
            <w:tcW w:w="1275" w:type="dxa"/>
            <w:tcBorders>
              <w:top w:val="nil"/>
              <w:left w:val="nil"/>
              <w:bottom w:val="single" w:sz="4" w:space="0" w:color="auto"/>
              <w:right w:val="nil"/>
            </w:tcBorders>
            <w:shd w:val="clear" w:color="auto" w:fill="auto"/>
            <w:noWrap/>
            <w:vAlign w:val="center"/>
            <w:hideMark/>
          </w:tcPr>
          <w:p w:rsidR="00685BE5" w:rsidRPr="00F27376" w:rsidRDefault="00685BE5" w:rsidP="00301C30">
            <w:pPr>
              <w:spacing w:before="20" w:after="20"/>
              <w:ind w:right="239"/>
              <w:jc w:val="right"/>
              <w:rPr>
                <w:rFonts w:ascii="Calibri" w:eastAsia="Times New Roman" w:hAnsi="Calibri" w:cs="Calibri"/>
                <w:sz w:val="20"/>
                <w:szCs w:val="20"/>
                <w:lang w:eastAsia="zh-CN"/>
              </w:rPr>
            </w:pPr>
            <w:r w:rsidRPr="00F27376">
              <w:rPr>
                <w:rFonts w:ascii="Calibri" w:eastAsia="Times New Roman" w:hAnsi="Calibri" w:cs="Calibri"/>
                <w:sz w:val="20"/>
                <w:szCs w:val="20"/>
                <w:lang w:eastAsia="zh-CN"/>
              </w:rPr>
              <w:t>1</w:t>
            </w:r>
            <w:r>
              <w:rPr>
                <w:rFonts w:ascii="Calibri" w:eastAsia="Times New Roman" w:hAnsi="Calibri" w:cs="Calibri"/>
                <w:sz w:val="20"/>
                <w:szCs w:val="20"/>
                <w:lang w:eastAsia="zh-CN"/>
              </w:rPr>
              <w:t>,</w:t>
            </w:r>
            <w:r w:rsidRPr="00F27376">
              <w:rPr>
                <w:rFonts w:ascii="Calibri" w:eastAsia="Times New Roman" w:hAnsi="Calibri" w:cs="Calibri"/>
                <w:sz w:val="20"/>
                <w:szCs w:val="20"/>
                <w:lang w:eastAsia="zh-CN"/>
              </w:rPr>
              <w:t>210</w:t>
            </w:r>
          </w:p>
        </w:tc>
        <w:tc>
          <w:tcPr>
            <w:tcW w:w="1134" w:type="dxa"/>
            <w:tcBorders>
              <w:top w:val="nil"/>
              <w:left w:val="nil"/>
              <w:bottom w:val="single" w:sz="4" w:space="0" w:color="auto"/>
              <w:right w:val="nil"/>
            </w:tcBorders>
            <w:shd w:val="clear" w:color="auto" w:fill="auto"/>
            <w:noWrap/>
            <w:vAlign w:val="center"/>
            <w:hideMark/>
          </w:tcPr>
          <w:p w:rsidR="00685BE5" w:rsidRPr="00827534" w:rsidRDefault="00685BE5" w:rsidP="00301C30">
            <w:pPr>
              <w:spacing w:before="20" w:after="20"/>
              <w:ind w:right="204"/>
              <w:jc w:val="right"/>
              <w:rPr>
                <w:rFonts w:cstheme="minorHAnsi"/>
                <w:sz w:val="20"/>
                <w:szCs w:val="20"/>
              </w:rPr>
            </w:pPr>
            <w:r w:rsidRPr="00827534">
              <w:rPr>
                <w:rFonts w:cstheme="minorHAnsi"/>
                <w:sz w:val="20"/>
                <w:szCs w:val="20"/>
              </w:rPr>
              <w:t>1,117</w:t>
            </w:r>
          </w:p>
        </w:tc>
        <w:tc>
          <w:tcPr>
            <w:tcW w:w="1418" w:type="dxa"/>
            <w:tcBorders>
              <w:top w:val="nil"/>
              <w:left w:val="nil"/>
              <w:bottom w:val="single" w:sz="4" w:space="0" w:color="auto"/>
              <w:right w:val="nil"/>
            </w:tcBorders>
            <w:shd w:val="clear" w:color="auto" w:fill="auto"/>
            <w:noWrap/>
            <w:vAlign w:val="center"/>
            <w:hideMark/>
          </w:tcPr>
          <w:p w:rsidR="00685BE5" w:rsidRPr="00F27376" w:rsidRDefault="00685BE5" w:rsidP="00301C30">
            <w:pPr>
              <w:spacing w:before="20" w:after="20"/>
              <w:ind w:right="317"/>
              <w:jc w:val="right"/>
              <w:rPr>
                <w:rFonts w:ascii="Calibri" w:eastAsia="Times New Roman" w:hAnsi="Calibri" w:cs="Calibri"/>
                <w:sz w:val="20"/>
                <w:szCs w:val="20"/>
                <w:lang w:eastAsia="zh-CN"/>
              </w:rPr>
            </w:pPr>
            <w:r w:rsidRPr="00F27376">
              <w:rPr>
                <w:rFonts w:ascii="Calibri" w:eastAsia="Times New Roman" w:hAnsi="Calibri" w:cs="Calibri"/>
                <w:sz w:val="20"/>
                <w:szCs w:val="20"/>
                <w:lang w:eastAsia="zh-CN"/>
              </w:rPr>
              <w:t>141</w:t>
            </w:r>
          </w:p>
        </w:tc>
      </w:tr>
      <w:tr w:rsidR="00685BE5" w:rsidRPr="008A4B8F" w:rsidTr="00AE4C3A">
        <w:trPr>
          <w:trHeight w:val="288"/>
        </w:trPr>
        <w:tc>
          <w:tcPr>
            <w:tcW w:w="4977" w:type="dxa"/>
            <w:tcBorders>
              <w:top w:val="single" w:sz="4" w:space="0" w:color="auto"/>
              <w:left w:val="nil"/>
              <w:bottom w:val="single" w:sz="4" w:space="0" w:color="auto"/>
              <w:right w:val="nil"/>
            </w:tcBorders>
            <w:shd w:val="clear" w:color="auto" w:fill="auto"/>
            <w:noWrap/>
            <w:vAlign w:val="center"/>
            <w:hideMark/>
          </w:tcPr>
          <w:p w:rsidR="00685BE5" w:rsidRPr="008A4B8F" w:rsidRDefault="00685BE5" w:rsidP="00301C30">
            <w:pPr>
              <w:spacing w:before="20" w:after="20"/>
              <w:rPr>
                <w:rFonts w:ascii="Calibri" w:eastAsia="Times New Roman" w:hAnsi="Calibri" w:cs="Calibri"/>
                <w:b/>
                <w:color w:val="000000"/>
                <w:sz w:val="20"/>
                <w:szCs w:val="20"/>
                <w:lang w:eastAsia="zh-CN"/>
              </w:rPr>
            </w:pPr>
            <w:r w:rsidRPr="008A4B8F">
              <w:rPr>
                <w:rFonts w:ascii="Calibri" w:eastAsia="Times New Roman" w:hAnsi="Calibri" w:cs="Calibri"/>
                <w:b/>
                <w:color w:val="000000"/>
                <w:sz w:val="20"/>
                <w:szCs w:val="20"/>
                <w:lang w:eastAsia="zh-CN"/>
              </w:rPr>
              <w:t>Total</w:t>
            </w:r>
          </w:p>
        </w:tc>
        <w:tc>
          <w:tcPr>
            <w:tcW w:w="1275" w:type="dxa"/>
            <w:tcBorders>
              <w:top w:val="single" w:sz="4" w:space="0" w:color="auto"/>
              <w:left w:val="nil"/>
              <w:bottom w:val="single" w:sz="4" w:space="0" w:color="auto"/>
              <w:right w:val="nil"/>
            </w:tcBorders>
            <w:shd w:val="clear" w:color="auto" w:fill="auto"/>
            <w:noWrap/>
            <w:vAlign w:val="center"/>
            <w:hideMark/>
          </w:tcPr>
          <w:p w:rsidR="00685BE5" w:rsidRPr="008A4B8F" w:rsidRDefault="00685BE5" w:rsidP="00301C30">
            <w:pPr>
              <w:spacing w:before="20" w:after="20"/>
              <w:ind w:right="239"/>
              <w:jc w:val="right"/>
              <w:rPr>
                <w:rFonts w:ascii="Calibri" w:eastAsia="Times New Roman" w:hAnsi="Calibri" w:cs="Calibri"/>
                <w:b/>
                <w:sz w:val="20"/>
                <w:szCs w:val="20"/>
                <w:lang w:eastAsia="zh-CN"/>
              </w:rPr>
            </w:pPr>
            <w:r w:rsidRPr="008A4B8F">
              <w:rPr>
                <w:rFonts w:ascii="Calibri" w:eastAsia="Times New Roman" w:hAnsi="Calibri" w:cs="Calibri"/>
                <w:b/>
                <w:sz w:val="20"/>
                <w:szCs w:val="20"/>
                <w:lang w:eastAsia="zh-CN"/>
              </w:rPr>
              <w:t>1</w:t>
            </w:r>
            <w:r>
              <w:rPr>
                <w:rFonts w:ascii="Calibri" w:eastAsia="Times New Roman" w:hAnsi="Calibri" w:cs="Calibri"/>
                <w:b/>
                <w:sz w:val="20"/>
                <w:szCs w:val="20"/>
                <w:lang w:eastAsia="zh-CN"/>
              </w:rPr>
              <w:t>,</w:t>
            </w:r>
            <w:r w:rsidRPr="008A4B8F">
              <w:rPr>
                <w:rFonts w:ascii="Calibri" w:eastAsia="Times New Roman" w:hAnsi="Calibri" w:cs="Calibri"/>
                <w:b/>
                <w:sz w:val="20"/>
                <w:szCs w:val="20"/>
                <w:lang w:eastAsia="zh-CN"/>
              </w:rPr>
              <w:t>090</w:t>
            </w:r>
          </w:p>
        </w:tc>
        <w:tc>
          <w:tcPr>
            <w:tcW w:w="1134" w:type="dxa"/>
            <w:tcBorders>
              <w:top w:val="single" w:sz="4" w:space="0" w:color="auto"/>
              <w:left w:val="nil"/>
              <w:bottom w:val="single" w:sz="4" w:space="0" w:color="auto"/>
              <w:right w:val="nil"/>
            </w:tcBorders>
            <w:shd w:val="clear" w:color="auto" w:fill="auto"/>
            <w:noWrap/>
            <w:vAlign w:val="center"/>
            <w:hideMark/>
          </w:tcPr>
          <w:p w:rsidR="00685BE5" w:rsidRPr="00827534" w:rsidRDefault="00685BE5" w:rsidP="00301C30">
            <w:pPr>
              <w:spacing w:before="20" w:after="20"/>
              <w:ind w:right="204"/>
              <w:jc w:val="right"/>
              <w:rPr>
                <w:rFonts w:cstheme="minorHAnsi"/>
                <w:b/>
                <w:sz w:val="20"/>
                <w:szCs w:val="20"/>
              </w:rPr>
            </w:pPr>
            <w:r w:rsidRPr="00827534">
              <w:rPr>
                <w:rFonts w:cstheme="minorHAnsi"/>
                <w:b/>
                <w:sz w:val="20"/>
                <w:szCs w:val="20"/>
              </w:rPr>
              <w:t>1,046</w:t>
            </w:r>
          </w:p>
        </w:tc>
        <w:tc>
          <w:tcPr>
            <w:tcW w:w="1418" w:type="dxa"/>
            <w:tcBorders>
              <w:top w:val="single" w:sz="4" w:space="0" w:color="auto"/>
              <w:left w:val="nil"/>
              <w:bottom w:val="single" w:sz="4" w:space="0" w:color="auto"/>
              <w:right w:val="nil"/>
            </w:tcBorders>
            <w:shd w:val="clear" w:color="auto" w:fill="auto"/>
            <w:noWrap/>
            <w:vAlign w:val="center"/>
            <w:hideMark/>
          </w:tcPr>
          <w:p w:rsidR="00685BE5" w:rsidRPr="008A4B8F" w:rsidRDefault="00685BE5" w:rsidP="00301C30">
            <w:pPr>
              <w:spacing w:before="20" w:after="20"/>
              <w:ind w:right="317"/>
              <w:jc w:val="right"/>
              <w:rPr>
                <w:rFonts w:ascii="Calibri" w:eastAsia="Times New Roman" w:hAnsi="Calibri" w:cs="Calibri"/>
                <w:b/>
                <w:sz w:val="20"/>
                <w:szCs w:val="20"/>
                <w:lang w:eastAsia="zh-CN"/>
              </w:rPr>
            </w:pPr>
            <w:r w:rsidRPr="008A4B8F">
              <w:rPr>
                <w:rFonts w:ascii="Calibri" w:eastAsia="Times New Roman" w:hAnsi="Calibri" w:cs="Calibri"/>
                <w:b/>
                <w:sz w:val="20"/>
                <w:szCs w:val="20"/>
                <w:lang w:eastAsia="zh-CN"/>
              </w:rPr>
              <w:t>1</w:t>
            </w:r>
            <w:r>
              <w:rPr>
                <w:rFonts w:ascii="Calibri" w:eastAsia="Times New Roman" w:hAnsi="Calibri" w:cs="Calibri"/>
                <w:b/>
                <w:sz w:val="20"/>
                <w:szCs w:val="20"/>
                <w:lang w:eastAsia="zh-CN"/>
              </w:rPr>
              <w:t>,</w:t>
            </w:r>
            <w:r w:rsidRPr="008A4B8F">
              <w:rPr>
                <w:rFonts w:ascii="Calibri" w:eastAsia="Times New Roman" w:hAnsi="Calibri" w:cs="Calibri"/>
                <w:b/>
                <w:sz w:val="20"/>
                <w:szCs w:val="20"/>
                <w:lang w:eastAsia="zh-CN"/>
              </w:rPr>
              <w:t>124</w:t>
            </w:r>
          </w:p>
        </w:tc>
      </w:tr>
    </w:tbl>
    <w:p w:rsidR="00685BE5" w:rsidRPr="00F27376" w:rsidRDefault="00685BE5" w:rsidP="00AE4C3A">
      <w:pPr>
        <w:pStyle w:val="NILSReference"/>
      </w:pPr>
      <w:r w:rsidRPr="00F27376">
        <w:t xml:space="preserve">Source: 2014 NDIS DSP employee, Questions B2a, B4a and B4b. </w:t>
      </w:r>
    </w:p>
    <w:p w:rsidR="00685BE5" w:rsidRPr="00F27376" w:rsidRDefault="00685BE5" w:rsidP="00332708">
      <w:pPr>
        <w:pStyle w:val="NILSReference"/>
      </w:pPr>
      <w:r w:rsidRPr="00F27376">
        <w:t xml:space="preserve">Notes: The weekly earnings mean and median are calculated for zero to $10,000 per week reported earnings to exclude outliers. Weekly figures </w:t>
      </w:r>
      <w:r w:rsidRPr="00332708">
        <w:t>calculated</w:t>
      </w:r>
      <w:r w:rsidRPr="00F27376">
        <w:t xml:space="preserve"> from reported job role, most recent pay and pay period. Entries rounded to the nearest dollar.</w:t>
      </w:r>
      <w:r>
        <w:t xml:space="preserve"> </w:t>
      </w:r>
    </w:p>
    <w:p w:rsidR="00685BE5" w:rsidRDefault="00685BE5" w:rsidP="0044684E">
      <w:pPr>
        <w:pStyle w:val="NILSTableHeading"/>
      </w:pPr>
      <w:bookmarkStart w:id="630" w:name="_Toc428279239"/>
      <w:bookmarkStart w:id="631" w:name="_Toc449955370"/>
      <w:r w:rsidRPr="009209BE">
        <w:t>Table 4.32b: Weekly earnings before tax by occupation, part-time employees</w:t>
      </w:r>
      <w:bookmarkEnd w:id="630"/>
      <w:bookmarkEnd w:id="631"/>
      <w:r>
        <w:t xml:space="preserve"> </w:t>
      </w:r>
    </w:p>
    <w:tbl>
      <w:tblPr>
        <w:tblW w:w="8237" w:type="dxa"/>
        <w:tblInd w:w="93" w:type="dxa"/>
        <w:tblLook w:val="04A0" w:firstRow="1" w:lastRow="0" w:firstColumn="1" w:lastColumn="0" w:noHBand="0" w:noVBand="1"/>
        <w:tblCaption w:val="Table 4.32b Weekly earnings before tax by occupation, part-time employees "/>
      </w:tblPr>
      <w:tblGrid>
        <w:gridCol w:w="4977"/>
        <w:gridCol w:w="980"/>
        <w:gridCol w:w="1001"/>
        <w:gridCol w:w="1279"/>
      </w:tblGrid>
      <w:tr w:rsidR="00685BE5" w:rsidRPr="008A4B8F" w:rsidTr="00510AD2">
        <w:trPr>
          <w:trHeight w:val="288"/>
          <w:tblHeader/>
        </w:trPr>
        <w:tc>
          <w:tcPr>
            <w:tcW w:w="4977" w:type="dxa"/>
            <w:tcBorders>
              <w:top w:val="single" w:sz="4" w:space="0" w:color="auto"/>
              <w:left w:val="nil"/>
              <w:bottom w:val="single" w:sz="4" w:space="0" w:color="auto"/>
              <w:right w:val="nil"/>
            </w:tcBorders>
            <w:shd w:val="clear" w:color="auto" w:fill="auto"/>
            <w:noWrap/>
            <w:vAlign w:val="center"/>
            <w:hideMark/>
          </w:tcPr>
          <w:p w:rsidR="00685BE5" w:rsidRPr="008A4B8F" w:rsidRDefault="00685BE5" w:rsidP="00301C30">
            <w:pPr>
              <w:spacing w:before="20" w:after="20"/>
              <w:rPr>
                <w:rFonts w:ascii="Calibri" w:eastAsia="Times New Roman" w:hAnsi="Calibri" w:cs="Calibri"/>
                <w:bCs/>
                <w:color w:val="000000"/>
                <w:sz w:val="20"/>
                <w:szCs w:val="20"/>
                <w:lang w:eastAsia="zh-CN"/>
              </w:rPr>
            </w:pPr>
            <w:bookmarkStart w:id="632" w:name="Title_4_32b"/>
            <w:bookmarkEnd w:id="632"/>
          </w:p>
        </w:tc>
        <w:tc>
          <w:tcPr>
            <w:tcW w:w="980" w:type="dxa"/>
            <w:tcBorders>
              <w:top w:val="single" w:sz="4" w:space="0" w:color="auto"/>
              <w:left w:val="nil"/>
              <w:bottom w:val="single" w:sz="4" w:space="0" w:color="auto"/>
              <w:right w:val="nil"/>
            </w:tcBorders>
            <w:shd w:val="clear" w:color="auto" w:fill="auto"/>
            <w:noWrap/>
            <w:vAlign w:val="center"/>
            <w:hideMark/>
          </w:tcPr>
          <w:p w:rsidR="00685BE5" w:rsidRDefault="00685BE5" w:rsidP="00301C30">
            <w:pPr>
              <w:spacing w:before="20" w:after="20"/>
              <w:jc w:val="center"/>
              <w:rPr>
                <w:rFonts w:ascii="Calibri" w:eastAsia="Times New Roman" w:hAnsi="Calibri" w:cs="Calibri"/>
                <w:bCs/>
                <w:color w:val="000000"/>
                <w:sz w:val="20"/>
                <w:szCs w:val="20"/>
                <w:lang w:eastAsia="zh-CN"/>
              </w:rPr>
            </w:pPr>
            <w:r w:rsidRPr="008A4B8F">
              <w:rPr>
                <w:rFonts w:ascii="Calibri" w:eastAsia="Times New Roman" w:hAnsi="Calibri" w:cs="Calibri"/>
                <w:bCs/>
                <w:color w:val="000000"/>
                <w:sz w:val="20"/>
                <w:szCs w:val="20"/>
                <w:lang w:eastAsia="zh-CN"/>
              </w:rPr>
              <w:t xml:space="preserve">Mean </w:t>
            </w:r>
          </w:p>
          <w:p w:rsidR="00685BE5" w:rsidRPr="008A4B8F" w:rsidRDefault="00685BE5" w:rsidP="00301C30">
            <w:pPr>
              <w:spacing w:before="20" w:after="20"/>
              <w:jc w:val="center"/>
              <w:rPr>
                <w:rFonts w:ascii="Calibri" w:eastAsia="Times New Roman" w:hAnsi="Calibri" w:cs="Calibri"/>
                <w:bCs/>
                <w:color w:val="000000"/>
                <w:sz w:val="20"/>
                <w:szCs w:val="20"/>
                <w:lang w:eastAsia="zh-CN"/>
              </w:rPr>
            </w:pPr>
            <w:r w:rsidRPr="008A4B8F">
              <w:rPr>
                <w:rFonts w:ascii="Calibri" w:eastAsia="Times New Roman" w:hAnsi="Calibri" w:cs="Calibri"/>
                <w:bCs/>
                <w:color w:val="000000"/>
                <w:sz w:val="20"/>
                <w:szCs w:val="20"/>
                <w:lang w:eastAsia="zh-CN"/>
              </w:rPr>
              <w:t>$</w:t>
            </w:r>
          </w:p>
        </w:tc>
        <w:tc>
          <w:tcPr>
            <w:tcW w:w="1001" w:type="dxa"/>
            <w:tcBorders>
              <w:top w:val="single" w:sz="4" w:space="0" w:color="auto"/>
              <w:left w:val="nil"/>
              <w:bottom w:val="single" w:sz="4" w:space="0" w:color="auto"/>
              <w:right w:val="nil"/>
            </w:tcBorders>
            <w:shd w:val="clear" w:color="auto" w:fill="auto"/>
            <w:noWrap/>
            <w:vAlign w:val="center"/>
            <w:hideMark/>
          </w:tcPr>
          <w:p w:rsidR="00685BE5" w:rsidRDefault="00685BE5" w:rsidP="00301C30">
            <w:pPr>
              <w:spacing w:before="20" w:after="20"/>
              <w:jc w:val="center"/>
              <w:rPr>
                <w:rFonts w:ascii="Calibri" w:eastAsia="Times New Roman" w:hAnsi="Calibri" w:cs="Calibri"/>
                <w:bCs/>
                <w:color w:val="000000"/>
                <w:sz w:val="20"/>
                <w:szCs w:val="20"/>
                <w:lang w:eastAsia="zh-CN"/>
              </w:rPr>
            </w:pPr>
            <w:r w:rsidRPr="008A4B8F">
              <w:rPr>
                <w:rFonts w:ascii="Calibri" w:eastAsia="Times New Roman" w:hAnsi="Calibri" w:cs="Calibri"/>
                <w:bCs/>
                <w:color w:val="000000"/>
                <w:sz w:val="20"/>
                <w:szCs w:val="20"/>
                <w:lang w:eastAsia="zh-CN"/>
              </w:rPr>
              <w:t xml:space="preserve">Median </w:t>
            </w:r>
          </w:p>
          <w:p w:rsidR="00685BE5" w:rsidRPr="008A4B8F" w:rsidRDefault="00685BE5" w:rsidP="00301C30">
            <w:pPr>
              <w:spacing w:before="20" w:after="20"/>
              <w:jc w:val="center"/>
              <w:rPr>
                <w:rFonts w:ascii="Calibri" w:eastAsia="Times New Roman" w:hAnsi="Calibri" w:cs="Calibri"/>
                <w:bCs/>
                <w:color w:val="000000"/>
                <w:sz w:val="20"/>
                <w:szCs w:val="20"/>
                <w:lang w:eastAsia="zh-CN"/>
              </w:rPr>
            </w:pPr>
            <w:r w:rsidRPr="008A4B8F">
              <w:rPr>
                <w:rFonts w:ascii="Calibri" w:eastAsia="Times New Roman" w:hAnsi="Calibri" w:cs="Calibri"/>
                <w:bCs/>
                <w:color w:val="000000"/>
                <w:sz w:val="20"/>
                <w:szCs w:val="20"/>
                <w:lang w:eastAsia="zh-CN"/>
              </w:rPr>
              <w:t>$</w:t>
            </w:r>
          </w:p>
        </w:tc>
        <w:tc>
          <w:tcPr>
            <w:tcW w:w="1279" w:type="dxa"/>
            <w:tcBorders>
              <w:top w:val="single" w:sz="4" w:space="0" w:color="auto"/>
              <w:left w:val="nil"/>
              <w:bottom w:val="single" w:sz="4" w:space="0" w:color="auto"/>
              <w:right w:val="nil"/>
            </w:tcBorders>
            <w:shd w:val="clear" w:color="auto" w:fill="auto"/>
            <w:noWrap/>
            <w:vAlign w:val="center"/>
            <w:hideMark/>
          </w:tcPr>
          <w:p w:rsidR="00685BE5" w:rsidRPr="008A4B8F" w:rsidRDefault="00685BE5" w:rsidP="00301C30">
            <w:pPr>
              <w:spacing w:before="20" w:after="20"/>
              <w:jc w:val="center"/>
              <w:rPr>
                <w:rFonts w:ascii="Calibri" w:eastAsia="Times New Roman" w:hAnsi="Calibri" w:cs="Calibri"/>
                <w:bCs/>
                <w:color w:val="000000"/>
                <w:sz w:val="20"/>
                <w:szCs w:val="20"/>
                <w:lang w:eastAsia="zh-CN"/>
              </w:rPr>
            </w:pPr>
            <w:r w:rsidRPr="008A4B8F">
              <w:rPr>
                <w:rFonts w:ascii="Calibri" w:eastAsia="Times New Roman" w:hAnsi="Calibri" w:cs="Calibri"/>
                <w:bCs/>
                <w:color w:val="000000"/>
                <w:sz w:val="20"/>
                <w:szCs w:val="20"/>
                <w:lang w:eastAsia="zh-CN"/>
              </w:rPr>
              <w:t>Number of workers</w:t>
            </w:r>
          </w:p>
        </w:tc>
      </w:tr>
      <w:tr w:rsidR="00685BE5" w:rsidRPr="00F27376" w:rsidTr="00AE4C3A">
        <w:trPr>
          <w:trHeight w:val="288"/>
        </w:trPr>
        <w:tc>
          <w:tcPr>
            <w:tcW w:w="4977" w:type="dxa"/>
            <w:tcBorders>
              <w:top w:val="nil"/>
              <w:left w:val="nil"/>
              <w:bottom w:val="nil"/>
              <w:right w:val="nil"/>
            </w:tcBorders>
            <w:shd w:val="clear" w:color="auto" w:fill="auto"/>
            <w:noWrap/>
            <w:vAlign w:val="center"/>
            <w:hideMark/>
          </w:tcPr>
          <w:p w:rsidR="00685BE5" w:rsidRPr="00F27376" w:rsidRDefault="00685BE5" w:rsidP="00301C30">
            <w:pPr>
              <w:spacing w:before="20" w:after="20"/>
              <w:rPr>
                <w:rFonts w:ascii="Calibri" w:eastAsia="Times New Roman" w:hAnsi="Calibri" w:cs="Calibri"/>
                <w:color w:val="000000"/>
                <w:sz w:val="20"/>
                <w:szCs w:val="20"/>
                <w:lang w:eastAsia="zh-CN"/>
              </w:rPr>
            </w:pPr>
            <w:r>
              <w:rPr>
                <w:rFonts w:ascii="Calibri" w:eastAsia="Times New Roman" w:hAnsi="Calibri" w:cs="Calibri"/>
                <w:color w:val="000000"/>
                <w:sz w:val="20"/>
                <w:szCs w:val="20"/>
                <w:lang w:eastAsia="zh-CN"/>
              </w:rPr>
              <w:t>Disability support/r</w:t>
            </w:r>
            <w:r w:rsidRPr="00F27376">
              <w:rPr>
                <w:rFonts w:ascii="Calibri" w:eastAsia="Times New Roman" w:hAnsi="Calibri" w:cs="Calibri"/>
                <w:color w:val="000000"/>
                <w:sz w:val="20"/>
                <w:szCs w:val="20"/>
                <w:lang w:eastAsia="zh-CN"/>
              </w:rPr>
              <w:t>esidential support worker</w:t>
            </w:r>
          </w:p>
        </w:tc>
        <w:tc>
          <w:tcPr>
            <w:tcW w:w="980" w:type="dxa"/>
            <w:tcBorders>
              <w:top w:val="nil"/>
              <w:left w:val="nil"/>
              <w:bottom w:val="nil"/>
              <w:right w:val="nil"/>
            </w:tcBorders>
            <w:shd w:val="clear" w:color="auto" w:fill="auto"/>
            <w:noWrap/>
            <w:vAlign w:val="center"/>
            <w:hideMark/>
          </w:tcPr>
          <w:p w:rsidR="00685BE5" w:rsidRPr="00F27376" w:rsidRDefault="00685BE5" w:rsidP="00301C30">
            <w:pPr>
              <w:spacing w:before="20" w:after="20"/>
              <w:ind w:right="164"/>
              <w:jc w:val="right"/>
              <w:rPr>
                <w:rFonts w:ascii="Calibri" w:eastAsia="Times New Roman" w:hAnsi="Calibri" w:cs="Calibri"/>
                <w:sz w:val="20"/>
                <w:szCs w:val="20"/>
                <w:lang w:eastAsia="zh-CN"/>
              </w:rPr>
            </w:pPr>
            <w:r w:rsidRPr="00F27376">
              <w:rPr>
                <w:rFonts w:ascii="Calibri" w:eastAsia="Times New Roman" w:hAnsi="Calibri" w:cs="Calibri"/>
                <w:sz w:val="20"/>
                <w:szCs w:val="20"/>
                <w:lang w:eastAsia="zh-CN"/>
              </w:rPr>
              <w:t>635</w:t>
            </w:r>
          </w:p>
        </w:tc>
        <w:tc>
          <w:tcPr>
            <w:tcW w:w="1001" w:type="dxa"/>
            <w:tcBorders>
              <w:top w:val="nil"/>
              <w:left w:val="nil"/>
              <w:bottom w:val="nil"/>
              <w:right w:val="nil"/>
            </w:tcBorders>
            <w:shd w:val="clear" w:color="auto" w:fill="auto"/>
            <w:noWrap/>
            <w:vAlign w:val="center"/>
            <w:hideMark/>
          </w:tcPr>
          <w:p w:rsidR="00685BE5" w:rsidRPr="00F27376" w:rsidRDefault="00685BE5" w:rsidP="00301C30">
            <w:pPr>
              <w:spacing w:before="20" w:after="20"/>
              <w:ind w:right="164"/>
              <w:jc w:val="right"/>
              <w:rPr>
                <w:rFonts w:ascii="Calibri" w:eastAsia="Times New Roman" w:hAnsi="Calibri" w:cs="Calibri"/>
                <w:sz w:val="20"/>
                <w:szCs w:val="20"/>
                <w:lang w:eastAsia="zh-CN"/>
              </w:rPr>
            </w:pPr>
            <w:r w:rsidRPr="00F27376">
              <w:rPr>
                <w:rFonts w:ascii="Calibri" w:eastAsia="Times New Roman" w:hAnsi="Calibri" w:cs="Calibri"/>
                <w:sz w:val="20"/>
                <w:szCs w:val="20"/>
                <w:lang w:eastAsia="zh-CN"/>
              </w:rPr>
              <w:t>650</w:t>
            </w:r>
          </w:p>
        </w:tc>
        <w:tc>
          <w:tcPr>
            <w:tcW w:w="1279" w:type="dxa"/>
            <w:tcBorders>
              <w:top w:val="nil"/>
              <w:left w:val="nil"/>
              <w:bottom w:val="nil"/>
              <w:right w:val="nil"/>
            </w:tcBorders>
            <w:shd w:val="clear" w:color="auto" w:fill="auto"/>
            <w:noWrap/>
            <w:vAlign w:val="center"/>
            <w:hideMark/>
          </w:tcPr>
          <w:p w:rsidR="00685BE5" w:rsidRPr="00F27376" w:rsidRDefault="00685BE5" w:rsidP="00301C30">
            <w:pPr>
              <w:spacing w:before="20" w:after="20"/>
              <w:ind w:right="243"/>
              <w:jc w:val="right"/>
              <w:rPr>
                <w:rFonts w:ascii="Calibri" w:eastAsia="Times New Roman" w:hAnsi="Calibri" w:cs="Calibri"/>
                <w:sz w:val="20"/>
                <w:szCs w:val="20"/>
                <w:lang w:eastAsia="zh-CN"/>
              </w:rPr>
            </w:pPr>
            <w:r w:rsidRPr="00F27376">
              <w:rPr>
                <w:rFonts w:ascii="Calibri" w:eastAsia="Times New Roman" w:hAnsi="Calibri" w:cs="Calibri"/>
                <w:sz w:val="20"/>
                <w:szCs w:val="20"/>
                <w:lang w:eastAsia="zh-CN"/>
              </w:rPr>
              <w:t>305</w:t>
            </w:r>
          </w:p>
        </w:tc>
      </w:tr>
      <w:tr w:rsidR="00685BE5" w:rsidRPr="00F27376" w:rsidTr="00AE4C3A">
        <w:trPr>
          <w:trHeight w:val="288"/>
        </w:trPr>
        <w:tc>
          <w:tcPr>
            <w:tcW w:w="4977" w:type="dxa"/>
            <w:tcBorders>
              <w:top w:val="nil"/>
              <w:left w:val="nil"/>
              <w:bottom w:val="nil"/>
              <w:right w:val="nil"/>
            </w:tcBorders>
            <w:shd w:val="clear" w:color="auto" w:fill="auto"/>
            <w:noWrap/>
            <w:vAlign w:val="center"/>
            <w:hideMark/>
          </w:tcPr>
          <w:p w:rsidR="00685BE5" w:rsidRPr="00F27376" w:rsidRDefault="00685BE5" w:rsidP="00301C30">
            <w:pPr>
              <w:spacing w:before="20" w:after="20"/>
              <w:rPr>
                <w:rFonts w:ascii="Calibri" w:eastAsia="Times New Roman" w:hAnsi="Calibri" w:cs="Calibri"/>
                <w:color w:val="000000"/>
                <w:sz w:val="20"/>
                <w:szCs w:val="20"/>
                <w:lang w:eastAsia="zh-CN"/>
              </w:rPr>
            </w:pPr>
            <w:r>
              <w:rPr>
                <w:rFonts w:ascii="Calibri" w:eastAsia="Times New Roman" w:hAnsi="Calibri" w:cs="Calibri"/>
                <w:color w:val="000000"/>
                <w:sz w:val="20"/>
                <w:szCs w:val="20"/>
                <w:lang w:eastAsia="zh-CN"/>
              </w:rPr>
              <w:t>Personal care/h</w:t>
            </w:r>
            <w:r w:rsidRPr="00F27376">
              <w:rPr>
                <w:rFonts w:ascii="Calibri" w:eastAsia="Times New Roman" w:hAnsi="Calibri" w:cs="Calibri"/>
                <w:color w:val="000000"/>
                <w:sz w:val="20"/>
                <w:szCs w:val="20"/>
                <w:lang w:eastAsia="zh-CN"/>
              </w:rPr>
              <w:t>ome care worker</w:t>
            </w:r>
          </w:p>
        </w:tc>
        <w:tc>
          <w:tcPr>
            <w:tcW w:w="980" w:type="dxa"/>
            <w:tcBorders>
              <w:top w:val="nil"/>
              <w:left w:val="nil"/>
              <w:bottom w:val="nil"/>
              <w:right w:val="nil"/>
            </w:tcBorders>
            <w:shd w:val="clear" w:color="auto" w:fill="auto"/>
            <w:noWrap/>
            <w:vAlign w:val="center"/>
            <w:hideMark/>
          </w:tcPr>
          <w:p w:rsidR="00685BE5" w:rsidRPr="00F27376" w:rsidRDefault="00685BE5" w:rsidP="00301C30">
            <w:pPr>
              <w:spacing w:before="20" w:after="20"/>
              <w:ind w:right="164"/>
              <w:jc w:val="right"/>
              <w:rPr>
                <w:rFonts w:ascii="Calibri" w:eastAsia="Times New Roman" w:hAnsi="Calibri" w:cs="Calibri"/>
                <w:sz w:val="20"/>
                <w:szCs w:val="20"/>
                <w:lang w:eastAsia="zh-CN"/>
              </w:rPr>
            </w:pPr>
            <w:r w:rsidRPr="00F27376">
              <w:rPr>
                <w:rFonts w:ascii="Calibri" w:eastAsia="Times New Roman" w:hAnsi="Calibri" w:cs="Calibri"/>
                <w:sz w:val="20"/>
                <w:szCs w:val="20"/>
                <w:lang w:eastAsia="zh-CN"/>
              </w:rPr>
              <w:t>566</w:t>
            </w:r>
          </w:p>
        </w:tc>
        <w:tc>
          <w:tcPr>
            <w:tcW w:w="1001" w:type="dxa"/>
            <w:tcBorders>
              <w:top w:val="nil"/>
              <w:left w:val="nil"/>
              <w:bottom w:val="nil"/>
              <w:right w:val="nil"/>
            </w:tcBorders>
            <w:shd w:val="clear" w:color="auto" w:fill="auto"/>
            <w:noWrap/>
            <w:vAlign w:val="center"/>
            <w:hideMark/>
          </w:tcPr>
          <w:p w:rsidR="00685BE5" w:rsidRPr="00F27376" w:rsidRDefault="00685BE5" w:rsidP="00301C30">
            <w:pPr>
              <w:spacing w:before="20" w:after="20"/>
              <w:ind w:right="164"/>
              <w:jc w:val="right"/>
              <w:rPr>
                <w:rFonts w:ascii="Calibri" w:eastAsia="Times New Roman" w:hAnsi="Calibri" w:cs="Calibri"/>
                <w:sz w:val="20"/>
                <w:szCs w:val="20"/>
                <w:lang w:eastAsia="zh-CN"/>
              </w:rPr>
            </w:pPr>
            <w:r w:rsidRPr="00F27376">
              <w:rPr>
                <w:rFonts w:ascii="Calibri" w:eastAsia="Times New Roman" w:hAnsi="Calibri" w:cs="Calibri"/>
                <w:sz w:val="20"/>
                <w:szCs w:val="20"/>
                <w:lang w:eastAsia="zh-CN"/>
              </w:rPr>
              <w:t>535</w:t>
            </w:r>
          </w:p>
        </w:tc>
        <w:tc>
          <w:tcPr>
            <w:tcW w:w="1279" w:type="dxa"/>
            <w:tcBorders>
              <w:top w:val="nil"/>
              <w:left w:val="nil"/>
              <w:bottom w:val="nil"/>
              <w:right w:val="nil"/>
            </w:tcBorders>
            <w:shd w:val="clear" w:color="auto" w:fill="auto"/>
            <w:noWrap/>
            <w:vAlign w:val="center"/>
            <w:hideMark/>
          </w:tcPr>
          <w:p w:rsidR="00685BE5" w:rsidRPr="00F27376" w:rsidRDefault="00685BE5" w:rsidP="00301C30">
            <w:pPr>
              <w:spacing w:before="20" w:after="20"/>
              <w:ind w:right="243"/>
              <w:jc w:val="right"/>
              <w:rPr>
                <w:rFonts w:ascii="Calibri" w:eastAsia="Times New Roman" w:hAnsi="Calibri" w:cs="Calibri"/>
                <w:sz w:val="20"/>
                <w:szCs w:val="20"/>
                <w:lang w:eastAsia="zh-CN"/>
              </w:rPr>
            </w:pPr>
            <w:r w:rsidRPr="00F27376">
              <w:rPr>
                <w:rFonts w:ascii="Calibri" w:eastAsia="Times New Roman" w:hAnsi="Calibri" w:cs="Calibri"/>
                <w:sz w:val="20"/>
                <w:szCs w:val="20"/>
                <w:lang w:eastAsia="zh-CN"/>
              </w:rPr>
              <w:t>94</w:t>
            </w:r>
          </w:p>
        </w:tc>
      </w:tr>
      <w:tr w:rsidR="00685BE5" w:rsidRPr="009209BE" w:rsidTr="00AE4C3A">
        <w:trPr>
          <w:trHeight w:val="288"/>
        </w:trPr>
        <w:tc>
          <w:tcPr>
            <w:tcW w:w="4977" w:type="dxa"/>
            <w:tcBorders>
              <w:top w:val="nil"/>
              <w:left w:val="nil"/>
              <w:bottom w:val="nil"/>
              <w:right w:val="nil"/>
            </w:tcBorders>
            <w:shd w:val="clear" w:color="auto" w:fill="auto"/>
            <w:noWrap/>
            <w:vAlign w:val="center"/>
            <w:hideMark/>
          </w:tcPr>
          <w:p w:rsidR="00685BE5" w:rsidRPr="009209BE" w:rsidRDefault="00685BE5" w:rsidP="00301C30">
            <w:pPr>
              <w:spacing w:before="20" w:after="20"/>
              <w:rPr>
                <w:rFonts w:ascii="Calibri" w:eastAsia="Times New Roman" w:hAnsi="Calibri" w:cs="Calibri"/>
                <w:color w:val="000000"/>
                <w:sz w:val="20"/>
                <w:szCs w:val="20"/>
                <w:lang w:eastAsia="zh-CN"/>
              </w:rPr>
            </w:pPr>
            <w:r w:rsidRPr="009209BE">
              <w:rPr>
                <w:rFonts w:ascii="Calibri" w:eastAsia="Times New Roman" w:hAnsi="Calibri" w:cs="Calibri"/>
                <w:color w:val="000000"/>
                <w:sz w:val="20"/>
                <w:szCs w:val="20"/>
                <w:lang w:eastAsia="zh-CN"/>
              </w:rPr>
              <w:t>Se</w:t>
            </w:r>
            <w:r>
              <w:rPr>
                <w:rFonts w:ascii="Calibri" w:eastAsia="Times New Roman" w:hAnsi="Calibri" w:cs="Calibri"/>
                <w:color w:val="000000"/>
                <w:sz w:val="20"/>
                <w:szCs w:val="20"/>
                <w:lang w:eastAsia="zh-CN"/>
              </w:rPr>
              <w:t>rvice or program administrator/manager/c</w:t>
            </w:r>
            <w:r w:rsidRPr="009209BE">
              <w:rPr>
                <w:rFonts w:ascii="Calibri" w:eastAsia="Times New Roman" w:hAnsi="Calibri" w:cs="Calibri"/>
                <w:color w:val="000000"/>
                <w:sz w:val="20"/>
                <w:szCs w:val="20"/>
                <w:lang w:eastAsia="zh-CN"/>
              </w:rPr>
              <w:t>oordinator</w:t>
            </w:r>
          </w:p>
        </w:tc>
        <w:tc>
          <w:tcPr>
            <w:tcW w:w="980" w:type="dxa"/>
            <w:tcBorders>
              <w:top w:val="nil"/>
              <w:left w:val="nil"/>
              <w:bottom w:val="nil"/>
              <w:right w:val="nil"/>
            </w:tcBorders>
            <w:shd w:val="clear" w:color="auto" w:fill="auto"/>
            <w:noWrap/>
            <w:vAlign w:val="center"/>
            <w:hideMark/>
          </w:tcPr>
          <w:p w:rsidR="00685BE5" w:rsidRPr="009209BE" w:rsidRDefault="00685BE5" w:rsidP="00301C30">
            <w:pPr>
              <w:spacing w:before="20" w:after="20"/>
              <w:ind w:right="164"/>
              <w:jc w:val="right"/>
              <w:rPr>
                <w:rFonts w:ascii="Calibri" w:eastAsia="Times New Roman" w:hAnsi="Calibri" w:cs="Calibri"/>
                <w:sz w:val="20"/>
                <w:szCs w:val="20"/>
                <w:lang w:eastAsia="zh-CN"/>
              </w:rPr>
            </w:pPr>
            <w:r w:rsidRPr="009209BE">
              <w:rPr>
                <w:rFonts w:ascii="Calibri" w:eastAsia="Times New Roman" w:hAnsi="Calibri" w:cs="Calibri"/>
                <w:sz w:val="20"/>
                <w:szCs w:val="20"/>
                <w:lang w:eastAsia="zh-CN"/>
              </w:rPr>
              <w:t>752</w:t>
            </w:r>
          </w:p>
        </w:tc>
        <w:tc>
          <w:tcPr>
            <w:tcW w:w="1001" w:type="dxa"/>
            <w:tcBorders>
              <w:top w:val="nil"/>
              <w:left w:val="nil"/>
              <w:bottom w:val="nil"/>
              <w:right w:val="nil"/>
            </w:tcBorders>
            <w:shd w:val="clear" w:color="auto" w:fill="auto"/>
            <w:noWrap/>
            <w:vAlign w:val="center"/>
            <w:hideMark/>
          </w:tcPr>
          <w:p w:rsidR="00685BE5" w:rsidRPr="009209BE" w:rsidRDefault="00685BE5" w:rsidP="00301C30">
            <w:pPr>
              <w:spacing w:before="20" w:after="20"/>
              <w:ind w:right="164"/>
              <w:jc w:val="right"/>
              <w:rPr>
                <w:rFonts w:ascii="Calibri" w:eastAsia="Times New Roman" w:hAnsi="Calibri" w:cs="Calibri"/>
                <w:sz w:val="20"/>
                <w:szCs w:val="20"/>
                <w:lang w:eastAsia="zh-CN"/>
              </w:rPr>
            </w:pPr>
            <w:r w:rsidRPr="009209BE">
              <w:rPr>
                <w:rFonts w:ascii="Calibri" w:eastAsia="Times New Roman" w:hAnsi="Calibri" w:cs="Calibri"/>
                <w:sz w:val="20"/>
                <w:szCs w:val="20"/>
                <w:lang w:eastAsia="zh-CN"/>
              </w:rPr>
              <w:t>729</w:t>
            </w:r>
          </w:p>
        </w:tc>
        <w:tc>
          <w:tcPr>
            <w:tcW w:w="1279" w:type="dxa"/>
            <w:tcBorders>
              <w:top w:val="nil"/>
              <w:left w:val="nil"/>
              <w:bottom w:val="nil"/>
              <w:right w:val="nil"/>
            </w:tcBorders>
            <w:shd w:val="clear" w:color="auto" w:fill="auto"/>
            <w:noWrap/>
            <w:vAlign w:val="center"/>
            <w:hideMark/>
          </w:tcPr>
          <w:p w:rsidR="00685BE5" w:rsidRPr="009209BE" w:rsidRDefault="00685BE5" w:rsidP="00301C30">
            <w:pPr>
              <w:spacing w:before="20" w:after="20"/>
              <w:ind w:right="243"/>
              <w:jc w:val="right"/>
              <w:rPr>
                <w:rFonts w:ascii="Calibri" w:eastAsia="Times New Roman" w:hAnsi="Calibri" w:cs="Calibri"/>
                <w:sz w:val="20"/>
                <w:szCs w:val="20"/>
                <w:lang w:eastAsia="zh-CN"/>
              </w:rPr>
            </w:pPr>
            <w:r w:rsidRPr="009209BE">
              <w:rPr>
                <w:rFonts w:ascii="Calibri" w:eastAsia="Times New Roman" w:hAnsi="Calibri" w:cs="Calibri"/>
                <w:sz w:val="20"/>
                <w:szCs w:val="20"/>
                <w:lang w:eastAsia="zh-CN"/>
              </w:rPr>
              <w:t>100</w:t>
            </w:r>
          </w:p>
        </w:tc>
      </w:tr>
      <w:tr w:rsidR="00685BE5" w:rsidRPr="009209BE" w:rsidTr="00AE4C3A">
        <w:trPr>
          <w:trHeight w:val="288"/>
        </w:trPr>
        <w:tc>
          <w:tcPr>
            <w:tcW w:w="4977" w:type="dxa"/>
            <w:tcBorders>
              <w:top w:val="nil"/>
              <w:left w:val="nil"/>
              <w:bottom w:val="nil"/>
              <w:right w:val="nil"/>
            </w:tcBorders>
            <w:shd w:val="clear" w:color="auto" w:fill="auto"/>
            <w:noWrap/>
            <w:vAlign w:val="center"/>
            <w:hideMark/>
          </w:tcPr>
          <w:p w:rsidR="00685BE5" w:rsidRPr="009209BE" w:rsidRDefault="00685BE5" w:rsidP="00301C30">
            <w:pPr>
              <w:spacing w:before="20" w:after="20"/>
              <w:rPr>
                <w:rFonts w:ascii="Calibri" w:eastAsia="Times New Roman" w:hAnsi="Calibri" w:cs="Calibri"/>
                <w:color w:val="000000"/>
                <w:sz w:val="20"/>
                <w:szCs w:val="20"/>
                <w:lang w:eastAsia="zh-CN"/>
              </w:rPr>
            </w:pPr>
            <w:r>
              <w:rPr>
                <w:rFonts w:ascii="Calibri" w:eastAsia="Times New Roman" w:hAnsi="Calibri" w:cs="Calibri"/>
                <w:color w:val="000000"/>
                <w:sz w:val="20"/>
                <w:szCs w:val="20"/>
                <w:lang w:eastAsia="zh-CN"/>
              </w:rPr>
              <w:t>Social worker/d</w:t>
            </w:r>
            <w:r w:rsidRPr="009209BE">
              <w:rPr>
                <w:rFonts w:ascii="Calibri" w:eastAsia="Times New Roman" w:hAnsi="Calibri" w:cs="Calibri"/>
                <w:color w:val="000000"/>
                <w:sz w:val="20"/>
                <w:szCs w:val="20"/>
                <w:lang w:eastAsia="zh-CN"/>
              </w:rPr>
              <w:t>isability case coordinator</w:t>
            </w:r>
          </w:p>
        </w:tc>
        <w:tc>
          <w:tcPr>
            <w:tcW w:w="980" w:type="dxa"/>
            <w:tcBorders>
              <w:top w:val="nil"/>
              <w:left w:val="nil"/>
              <w:bottom w:val="nil"/>
              <w:right w:val="nil"/>
            </w:tcBorders>
            <w:shd w:val="clear" w:color="auto" w:fill="auto"/>
            <w:noWrap/>
            <w:vAlign w:val="center"/>
            <w:hideMark/>
          </w:tcPr>
          <w:p w:rsidR="00685BE5" w:rsidRPr="009209BE" w:rsidRDefault="00685BE5" w:rsidP="00301C30">
            <w:pPr>
              <w:spacing w:before="20" w:after="20"/>
              <w:ind w:right="164"/>
              <w:jc w:val="right"/>
              <w:rPr>
                <w:rFonts w:ascii="Calibri" w:eastAsia="Times New Roman" w:hAnsi="Calibri" w:cs="Calibri"/>
                <w:sz w:val="20"/>
                <w:szCs w:val="20"/>
                <w:lang w:eastAsia="zh-CN"/>
              </w:rPr>
            </w:pPr>
            <w:r w:rsidRPr="009209BE">
              <w:rPr>
                <w:rFonts w:ascii="Calibri" w:eastAsia="Times New Roman" w:hAnsi="Calibri" w:cs="Calibri"/>
                <w:sz w:val="20"/>
                <w:szCs w:val="20"/>
                <w:lang w:eastAsia="zh-CN"/>
              </w:rPr>
              <w:t>843</w:t>
            </w:r>
          </w:p>
        </w:tc>
        <w:tc>
          <w:tcPr>
            <w:tcW w:w="1001" w:type="dxa"/>
            <w:tcBorders>
              <w:top w:val="nil"/>
              <w:left w:val="nil"/>
              <w:bottom w:val="nil"/>
              <w:right w:val="nil"/>
            </w:tcBorders>
            <w:shd w:val="clear" w:color="auto" w:fill="auto"/>
            <w:noWrap/>
            <w:vAlign w:val="center"/>
            <w:hideMark/>
          </w:tcPr>
          <w:p w:rsidR="00685BE5" w:rsidRPr="009209BE" w:rsidRDefault="00685BE5" w:rsidP="00301C30">
            <w:pPr>
              <w:spacing w:before="20" w:after="20"/>
              <w:ind w:right="164"/>
              <w:jc w:val="right"/>
              <w:rPr>
                <w:rFonts w:ascii="Calibri" w:eastAsia="Times New Roman" w:hAnsi="Calibri" w:cs="Calibri"/>
                <w:sz w:val="20"/>
                <w:szCs w:val="20"/>
                <w:lang w:eastAsia="zh-CN"/>
              </w:rPr>
            </w:pPr>
            <w:r w:rsidRPr="009209BE">
              <w:rPr>
                <w:rFonts w:ascii="Calibri" w:eastAsia="Times New Roman" w:hAnsi="Calibri" w:cs="Calibri"/>
                <w:sz w:val="20"/>
                <w:szCs w:val="20"/>
                <w:lang w:eastAsia="zh-CN"/>
              </w:rPr>
              <w:t>826</w:t>
            </w:r>
          </w:p>
        </w:tc>
        <w:tc>
          <w:tcPr>
            <w:tcW w:w="1279" w:type="dxa"/>
            <w:tcBorders>
              <w:top w:val="nil"/>
              <w:left w:val="nil"/>
              <w:bottom w:val="nil"/>
              <w:right w:val="nil"/>
            </w:tcBorders>
            <w:shd w:val="clear" w:color="auto" w:fill="auto"/>
            <w:noWrap/>
            <w:vAlign w:val="center"/>
            <w:hideMark/>
          </w:tcPr>
          <w:p w:rsidR="00685BE5" w:rsidRPr="009209BE" w:rsidRDefault="00685BE5" w:rsidP="00301C30">
            <w:pPr>
              <w:spacing w:before="20" w:after="20"/>
              <w:ind w:right="243"/>
              <w:jc w:val="right"/>
              <w:rPr>
                <w:rFonts w:ascii="Calibri" w:eastAsia="Times New Roman" w:hAnsi="Calibri" w:cs="Calibri"/>
                <w:sz w:val="20"/>
                <w:szCs w:val="20"/>
                <w:lang w:eastAsia="zh-CN"/>
              </w:rPr>
            </w:pPr>
            <w:r w:rsidRPr="009209BE">
              <w:rPr>
                <w:rFonts w:ascii="Calibri" w:eastAsia="Times New Roman" w:hAnsi="Calibri" w:cs="Calibri"/>
                <w:sz w:val="20"/>
                <w:szCs w:val="20"/>
                <w:lang w:eastAsia="zh-CN"/>
              </w:rPr>
              <w:t>36</w:t>
            </w:r>
          </w:p>
        </w:tc>
      </w:tr>
      <w:tr w:rsidR="00685BE5" w:rsidRPr="009209BE" w:rsidTr="00AE4C3A">
        <w:trPr>
          <w:trHeight w:val="288"/>
        </w:trPr>
        <w:tc>
          <w:tcPr>
            <w:tcW w:w="4977" w:type="dxa"/>
            <w:tcBorders>
              <w:top w:val="nil"/>
              <w:left w:val="nil"/>
              <w:bottom w:val="nil"/>
              <w:right w:val="nil"/>
            </w:tcBorders>
            <w:shd w:val="clear" w:color="auto" w:fill="auto"/>
            <w:noWrap/>
            <w:vAlign w:val="center"/>
            <w:hideMark/>
          </w:tcPr>
          <w:p w:rsidR="00685BE5" w:rsidRPr="009209BE" w:rsidRDefault="00685BE5" w:rsidP="00301C30">
            <w:pPr>
              <w:spacing w:before="20" w:after="20"/>
              <w:rPr>
                <w:rFonts w:ascii="Calibri" w:eastAsia="Times New Roman" w:hAnsi="Calibri" w:cs="Calibri"/>
                <w:color w:val="000000"/>
                <w:sz w:val="20"/>
                <w:szCs w:val="20"/>
                <w:lang w:eastAsia="zh-CN"/>
              </w:rPr>
            </w:pPr>
            <w:r w:rsidRPr="009209BE">
              <w:rPr>
                <w:rFonts w:ascii="Calibri" w:eastAsia="Times New Roman" w:hAnsi="Calibri" w:cs="Calibri"/>
                <w:color w:val="000000"/>
                <w:sz w:val="20"/>
                <w:szCs w:val="20"/>
                <w:lang w:eastAsia="zh-CN"/>
              </w:rPr>
              <w:t>Employment support worker</w:t>
            </w:r>
          </w:p>
        </w:tc>
        <w:tc>
          <w:tcPr>
            <w:tcW w:w="980" w:type="dxa"/>
            <w:tcBorders>
              <w:top w:val="nil"/>
              <w:left w:val="nil"/>
              <w:bottom w:val="nil"/>
              <w:right w:val="nil"/>
            </w:tcBorders>
            <w:shd w:val="clear" w:color="auto" w:fill="auto"/>
            <w:noWrap/>
            <w:vAlign w:val="center"/>
            <w:hideMark/>
          </w:tcPr>
          <w:p w:rsidR="00685BE5" w:rsidRPr="009209BE" w:rsidRDefault="00685BE5" w:rsidP="00301C30">
            <w:pPr>
              <w:spacing w:before="20" w:after="20"/>
              <w:ind w:right="164"/>
              <w:jc w:val="right"/>
              <w:rPr>
                <w:rFonts w:ascii="Calibri" w:eastAsia="Times New Roman" w:hAnsi="Calibri" w:cs="Calibri"/>
                <w:sz w:val="20"/>
                <w:szCs w:val="20"/>
                <w:lang w:eastAsia="zh-CN"/>
              </w:rPr>
            </w:pPr>
            <w:r w:rsidRPr="009209BE">
              <w:rPr>
                <w:rFonts w:ascii="Calibri" w:eastAsia="Times New Roman" w:hAnsi="Calibri" w:cs="Calibri"/>
                <w:sz w:val="20"/>
                <w:szCs w:val="20"/>
                <w:lang w:eastAsia="zh-CN"/>
              </w:rPr>
              <w:t>583</w:t>
            </w:r>
          </w:p>
        </w:tc>
        <w:tc>
          <w:tcPr>
            <w:tcW w:w="1001" w:type="dxa"/>
            <w:tcBorders>
              <w:top w:val="nil"/>
              <w:left w:val="nil"/>
              <w:bottom w:val="nil"/>
              <w:right w:val="nil"/>
            </w:tcBorders>
            <w:shd w:val="clear" w:color="auto" w:fill="auto"/>
            <w:noWrap/>
            <w:vAlign w:val="center"/>
            <w:hideMark/>
          </w:tcPr>
          <w:p w:rsidR="00685BE5" w:rsidRPr="009209BE" w:rsidRDefault="00685BE5" w:rsidP="00301C30">
            <w:pPr>
              <w:spacing w:before="20" w:after="20"/>
              <w:ind w:right="164"/>
              <w:jc w:val="right"/>
              <w:rPr>
                <w:rFonts w:ascii="Calibri" w:eastAsia="Times New Roman" w:hAnsi="Calibri" w:cs="Calibri"/>
                <w:sz w:val="20"/>
                <w:szCs w:val="20"/>
                <w:lang w:eastAsia="zh-CN"/>
              </w:rPr>
            </w:pPr>
            <w:r w:rsidRPr="009209BE">
              <w:rPr>
                <w:rFonts w:ascii="Calibri" w:eastAsia="Times New Roman" w:hAnsi="Calibri" w:cs="Calibri"/>
                <w:sz w:val="20"/>
                <w:szCs w:val="20"/>
                <w:lang w:eastAsia="zh-CN"/>
              </w:rPr>
              <w:t>600</w:t>
            </w:r>
          </w:p>
        </w:tc>
        <w:tc>
          <w:tcPr>
            <w:tcW w:w="1279" w:type="dxa"/>
            <w:tcBorders>
              <w:top w:val="nil"/>
              <w:left w:val="nil"/>
              <w:bottom w:val="nil"/>
              <w:right w:val="nil"/>
            </w:tcBorders>
            <w:shd w:val="clear" w:color="auto" w:fill="auto"/>
            <w:noWrap/>
            <w:vAlign w:val="center"/>
            <w:hideMark/>
          </w:tcPr>
          <w:p w:rsidR="00685BE5" w:rsidRPr="009209BE" w:rsidRDefault="00685BE5" w:rsidP="00301C30">
            <w:pPr>
              <w:spacing w:before="20" w:after="20"/>
              <w:ind w:right="243"/>
              <w:jc w:val="right"/>
              <w:rPr>
                <w:rFonts w:ascii="Calibri" w:eastAsia="Times New Roman" w:hAnsi="Calibri" w:cs="Calibri"/>
                <w:sz w:val="20"/>
                <w:szCs w:val="20"/>
                <w:lang w:eastAsia="zh-CN"/>
              </w:rPr>
            </w:pPr>
            <w:r w:rsidRPr="009209BE">
              <w:rPr>
                <w:rFonts w:ascii="Calibri" w:eastAsia="Times New Roman" w:hAnsi="Calibri" w:cs="Calibri"/>
                <w:sz w:val="20"/>
                <w:szCs w:val="20"/>
                <w:lang w:eastAsia="zh-CN"/>
              </w:rPr>
              <w:t>11</w:t>
            </w:r>
          </w:p>
        </w:tc>
      </w:tr>
      <w:tr w:rsidR="00685BE5" w:rsidRPr="009209BE" w:rsidTr="00AE4C3A">
        <w:trPr>
          <w:trHeight w:val="288"/>
        </w:trPr>
        <w:tc>
          <w:tcPr>
            <w:tcW w:w="4977" w:type="dxa"/>
            <w:tcBorders>
              <w:top w:val="nil"/>
              <w:left w:val="nil"/>
              <w:bottom w:val="nil"/>
              <w:right w:val="nil"/>
            </w:tcBorders>
            <w:shd w:val="clear" w:color="auto" w:fill="auto"/>
            <w:noWrap/>
            <w:vAlign w:val="center"/>
            <w:hideMark/>
          </w:tcPr>
          <w:p w:rsidR="00685BE5" w:rsidRPr="009209BE" w:rsidRDefault="00685BE5" w:rsidP="00301C30">
            <w:pPr>
              <w:spacing w:before="20" w:after="20"/>
              <w:rPr>
                <w:rFonts w:ascii="Calibri" w:eastAsia="Times New Roman" w:hAnsi="Calibri" w:cs="Calibri"/>
                <w:color w:val="000000"/>
                <w:sz w:val="20"/>
                <w:szCs w:val="20"/>
                <w:lang w:eastAsia="zh-CN"/>
              </w:rPr>
            </w:pPr>
            <w:r w:rsidRPr="009209BE">
              <w:rPr>
                <w:rFonts w:ascii="Calibri" w:eastAsia="Times New Roman" w:hAnsi="Calibri" w:cs="Calibri"/>
                <w:color w:val="000000"/>
                <w:sz w:val="20"/>
                <w:szCs w:val="20"/>
                <w:lang w:eastAsia="zh-CN"/>
              </w:rPr>
              <w:t>Peer support worker</w:t>
            </w:r>
          </w:p>
        </w:tc>
        <w:tc>
          <w:tcPr>
            <w:tcW w:w="980" w:type="dxa"/>
            <w:tcBorders>
              <w:top w:val="nil"/>
              <w:left w:val="nil"/>
              <w:bottom w:val="nil"/>
              <w:right w:val="nil"/>
            </w:tcBorders>
            <w:shd w:val="clear" w:color="auto" w:fill="auto"/>
            <w:noWrap/>
            <w:vAlign w:val="center"/>
            <w:hideMark/>
          </w:tcPr>
          <w:p w:rsidR="00685BE5" w:rsidRPr="009209BE" w:rsidRDefault="00685BE5" w:rsidP="00301C30">
            <w:pPr>
              <w:spacing w:before="20" w:after="20"/>
              <w:ind w:right="164"/>
              <w:jc w:val="right"/>
              <w:rPr>
                <w:rFonts w:ascii="Calibri" w:eastAsia="Times New Roman" w:hAnsi="Calibri" w:cs="Calibri"/>
                <w:sz w:val="20"/>
                <w:szCs w:val="20"/>
                <w:lang w:eastAsia="zh-CN"/>
              </w:rPr>
            </w:pPr>
            <w:r w:rsidRPr="009209BE">
              <w:rPr>
                <w:rFonts w:ascii="Calibri" w:eastAsia="Times New Roman" w:hAnsi="Calibri" w:cs="Calibri"/>
                <w:sz w:val="20"/>
                <w:szCs w:val="20"/>
                <w:lang w:eastAsia="zh-CN"/>
              </w:rPr>
              <w:t>378</w:t>
            </w:r>
          </w:p>
        </w:tc>
        <w:tc>
          <w:tcPr>
            <w:tcW w:w="1001" w:type="dxa"/>
            <w:tcBorders>
              <w:top w:val="nil"/>
              <w:left w:val="nil"/>
              <w:bottom w:val="nil"/>
              <w:right w:val="nil"/>
            </w:tcBorders>
            <w:shd w:val="clear" w:color="auto" w:fill="auto"/>
            <w:noWrap/>
            <w:vAlign w:val="center"/>
            <w:hideMark/>
          </w:tcPr>
          <w:p w:rsidR="00685BE5" w:rsidRPr="009209BE" w:rsidRDefault="00685BE5" w:rsidP="00301C30">
            <w:pPr>
              <w:spacing w:before="20" w:after="20"/>
              <w:ind w:right="164"/>
              <w:jc w:val="right"/>
              <w:rPr>
                <w:rFonts w:ascii="Calibri" w:eastAsia="Times New Roman" w:hAnsi="Calibri" w:cs="Calibri"/>
                <w:sz w:val="20"/>
                <w:szCs w:val="20"/>
                <w:lang w:eastAsia="zh-CN"/>
              </w:rPr>
            </w:pPr>
            <w:r w:rsidRPr="009209BE">
              <w:rPr>
                <w:rFonts w:ascii="Calibri" w:eastAsia="Times New Roman" w:hAnsi="Calibri" w:cs="Calibri"/>
                <w:sz w:val="20"/>
                <w:szCs w:val="20"/>
                <w:lang w:eastAsia="zh-CN"/>
              </w:rPr>
              <w:t>600</w:t>
            </w:r>
          </w:p>
        </w:tc>
        <w:tc>
          <w:tcPr>
            <w:tcW w:w="1279" w:type="dxa"/>
            <w:tcBorders>
              <w:top w:val="nil"/>
              <w:left w:val="nil"/>
              <w:bottom w:val="nil"/>
              <w:right w:val="nil"/>
            </w:tcBorders>
            <w:shd w:val="clear" w:color="auto" w:fill="auto"/>
            <w:noWrap/>
            <w:vAlign w:val="center"/>
            <w:hideMark/>
          </w:tcPr>
          <w:p w:rsidR="00685BE5" w:rsidRPr="009209BE" w:rsidRDefault="00685BE5" w:rsidP="00301C30">
            <w:pPr>
              <w:spacing w:before="20" w:after="20"/>
              <w:ind w:right="243"/>
              <w:jc w:val="right"/>
              <w:rPr>
                <w:rFonts w:ascii="Calibri" w:eastAsia="Times New Roman" w:hAnsi="Calibri" w:cs="Calibri"/>
                <w:sz w:val="20"/>
                <w:szCs w:val="20"/>
                <w:lang w:eastAsia="zh-CN"/>
              </w:rPr>
            </w:pPr>
            <w:r w:rsidRPr="009209BE">
              <w:rPr>
                <w:rFonts w:ascii="Calibri" w:eastAsia="Times New Roman" w:hAnsi="Calibri" w:cs="Calibri"/>
                <w:sz w:val="20"/>
                <w:szCs w:val="20"/>
                <w:lang w:eastAsia="zh-CN"/>
              </w:rPr>
              <w:t>11</w:t>
            </w:r>
          </w:p>
        </w:tc>
      </w:tr>
      <w:tr w:rsidR="00685BE5" w:rsidRPr="00F27376" w:rsidTr="00AE4C3A">
        <w:trPr>
          <w:trHeight w:val="288"/>
        </w:trPr>
        <w:tc>
          <w:tcPr>
            <w:tcW w:w="4977" w:type="dxa"/>
            <w:tcBorders>
              <w:top w:val="nil"/>
              <w:left w:val="nil"/>
              <w:bottom w:val="nil"/>
              <w:right w:val="nil"/>
            </w:tcBorders>
            <w:shd w:val="clear" w:color="auto" w:fill="auto"/>
            <w:noWrap/>
            <w:vAlign w:val="center"/>
            <w:hideMark/>
          </w:tcPr>
          <w:p w:rsidR="00685BE5" w:rsidRPr="009209BE" w:rsidRDefault="00685BE5" w:rsidP="00301C30">
            <w:pPr>
              <w:spacing w:before="20" w:after="20"/>
              <w:rPr>
                <w:rFonts w:ascii="Calibri" w:eastAsia="Times New Roman" w:hAnsi="Calibri" w:cs="Calibri"/>
                <w:color w:val="000000"/>
                <w:sz w:val="20"/>
                <w:szCs w:val="20"/>
                <w:lang w:eastAsia="zh-CN"/>
              </w:rPr>
            </w:pPr>
            <w:r w:rsidRPr="009209BE">
              <w:rPr>
                <w:rFonts w:ascii="Calibri" w:eastAsia="Times New Roman" w:hAnsi="Calibri" w:cs="Calibri"/>
                <w:color w:val="000000"/>
                <w:sz w:val="20"/>
                <w:szCs w:val="20"/>
                <w:lang w:eastAsia="zh-CN"/>
              </w:rPr>
              <w:t>Allied health worker</w:t>
            </w:r>
          </w:p>
        </w:tc>
        <w:tc>
          <w:tcPr>
            <w:tcW w:w="980" w:type="dxa"/>
            <w:tcBorders>
              <w:top w:val="nil"/>
              <w:left w:val="nil"/>
              <w:bottom w:val="nil"/>
              <w:right w:val="nil"/>
            </w:tcBorders>
            <w:shd w:val="clear" w:color="auto" w:fill="auto"/>
            <w:noWrap/>
            <w:vAlign w:val="center"/>
            <w:hideMark/>
          </w:tcPr>
          <w:p w:rsidR="00685BE5" w:rsidRPr="009209BE" w:rsidRDefault="00685BE5" w:rsidP="00301C30">
            <w:pPr>
              <w:spacing w:before="20" w:after="20"/>
              <w:ind w:right="164"/>
              <w:jc w:val="right"/>
              <w:rPr>
                <w:rFonts w:ascii="Calibri" w:eastAsia="Times New Roman" w:hAnsi="Calibri" w:cs="Calibri"/>
                <w:sz w:val="20"/>
                <w:szCs w:val="20"/>
                <w:lang w:eastAsia="zh-CN"/>
              </w:rPr>
            </w:pPr>
            <w:r w:rsidRPr="009209BE">
              <w:rPr>
                <w:rFonts w:ascii="Calibri" w:eastAsia="Times New Roman" w:hAnsi="Calibri" w:cs="Calibri"/>
                <w:sz w:val="20"/>
                <w:szCs w:val="20"/>
                <w:lang w:eastAsia="zh-CN"/>
              </w:rPr>
              <w:t>773</w:t>
            </w:r>
          </w:p>
        </w:tc>
        <w:tc>
          <w:tcPr>
            <w:tcW w:w="1001" w:type="dxa"/>
            <w:tcBorders>
              <w:top w:val="nil"/>
              <w:left w:val="nil"/>
              <w:bottom w:val="nil"/>
              <w:right w:val="nil"/>
            </w:tcBorders>
            <w:shd w:val="clear" w:color="auto" w:fill="auto"/>
            <w:noWrap/>
            <w:vAlign w:val="center"/>
            <w:hideMark/>
          </w:tcPr>
          <w:p w:rsidR="00685BE5" w:rsidRPr="009209BE" w:rsidRDefault="00685BE5" w:rsidP="00301C30">
            <w:pPr>
              <w:spacing w:before="20" w:after="20"/>
              <w:ind w:right="164"/>
              <w:jc w:val="right"/>
              <w:rPr>
                <w:rFonts w:ascii="Calibri" w:eastAsia="Times New Roman" w:hAnsi="Calibri" w:cs="Calibri"/>
                <w:sz w:val="20"/>
                <w:szCs w:val="20"/>
                <w:lang w:eastAsia="zh-CN"/>
              </w:rPr>
            </w:pPr>
            <w:r w:rsidRPr="009209BE">
              <w:rPr>
                <w:rFonts w:ascii="Calibri" w:eastAsia="Times New Roman" w:hAnsi="Calibri" w:cs="Calibri"/>
                <w:sz w:val="20"/>
                <w:szCs w:val="20"/>
                <w:lang w:eastAsia="zh-CN"/>
              </w:rPr>
              <w:t>793</w:t>
            </w:r>
          </w:p>
        </w:tc>
        <w:tc>
          <w:tcPr>
            <w:tcW w:w="1279" w:type="dxa"/>
            <w:tcBorders>
              <w:top w:val="nil"/>
              <w:left w:val="nil"/>
              <w:bottom w:val="nil"/>
              <w:right w:val="nil"/>
            </w:tcBorders>
            <w:shd w:val="clear" w:color="auto" w:fill="auto"/>
            <w:noWrap/>
            <w:vAlign w:val="center"/>
            <w:hideMark/>
          </w:tcPr>
          <w:p w:rsidR="00685BE5" w:rsidRPr="00F27376" w:rsidRDefault="00685BE5" w:rsidP="00301C30">
            <w:pPr>
              <w:spacing w:before="20" w:after="20"/>
              <w:ind w:right="243"/>
              <w:jc w:val="right"/>
              <w:rPr>
                <w:rFonts w:ascii="Calibri" w:eastAsia="Times New Roman" w:hAnsi="Calibri" w:cs="Calibri"/>
                <w:sz w:val="20"/>
                <w:szCs w:val="20"/>
                <w:lang w:eastAsia="zh-CN"/>
              </w:rPr>
            </w:pPr>
            <w:r w:rsidRPr="009209BE">
              <w:rPr>
                <w:rFonts w:ascii="Calibri" w:eastAsia="Times New Roman" w:hAnsi="Calibri" w:cs="Calibri"/>
                <w:sz w:val="20"/>
                <w:szCs w:val="20"/>
                <w:lang w:eastAsia="zh-CN"/>
              </w:rPr>
              <w:t>75</w:t>
            </w:r>
          </w:p>
        </w:tc>
      </w:tr>
      <w:tr w:rsidR="00685BE5" w:rsidRPr="00F27376" w:rsidTr="00AE4C3A">
        <w:trPr>
          <w:trHeight w:val="288"/>
        </w:trPr>
        <w:tc>
          <w:tcPr>
            <w:tcW w:w="4977" w:type="dxa"/>
            <w:tcBorders>
              <w:top w:val="nil"/>
              <w:left w:val="nil"/>
              <w:bottom w:val="single" w:sz="4" w:space="0" w:color="auto"/>
              <w:right w:val="nil"/>
            </w:tcBorders>
            <w:shd w:val="clear" w:color="auto" w:fill="auto"/>
            <w:noWrap/>
            <w:vAlign w:val="center"/>
            <w:hideMark/>
          </w:tcPr>
          <w:p w:rsidR="00685BE5" w:rsidRPr="00F27376" w:rsidRDefault="00685BE5" w:rsidP="00301C30">
            <w:pPr>
              <w:spacing w:before="20" w:after="20"/>
              <w:rPr>
                <w:rFonts w:ascii="Calibri" w:eastAsia="Times New Roman" w:hAnsi="Calibri" w:cs="Calibri"/>
                <w:color w:val="000000"/>
                <w:sz w:val="20"/>
                <w:szCs w:val="20"/>
                <w:lang w:eastAsia="zh-CN"/>
              </w:rPr>
            </w:pPr>
            <w:r w:rsidRPr="00F27376">
              <w:rPr>
                <w:rFonts w:ascii="Calibri" w:eastAsia="Times New Roman" w:hAnsi="Calibri" w:cs="Calibri"/>
                <w:color w:val="000000"/>
                <w:sz w:val="20"/>
                <w:szCs w:val="20"/>
                <w:lang w:eastAsia="zh-CN"/>
              </w:rPr>
              <w:t>Other</w:t>
            </w:r>
          </w:p>
        </w:tc>
        <w:tc>
          <w:tcPr>
            <w:tcW w:w="980" w:type="dxa"/>
            <w:tcBorders>
              <w:top w:val="nil"/>
              <w:left w:val="nil"/>
              <w:bottom w:val="single" w:sz="4" w:space="0" w:color="auto"/>
              <w:right w:val="nil"/>
            </w:tcBorders>
            <w:shd w:val="clear" w:color="auto" w:fill="auto"/>
            <w:noWrap/>
            <w:vAlign w:val="center"/>
            <w:hideMark/>
          </w:tcPr>
          <w:p w:rsidR="00685BE5" w:rsidRPr="00F27376" w:rsidRDefault="00685BE5" w:rsidP="00301C30">
            <w:pPr>
              <w:spacing w:before="20" w:after="20"/>
              <w:ind w:right="164"/>
              <w:jc w:val="right"/>
              <w:rPr>
                <w:rFonts w:ascii="Calibri" w:eastAsia="Times New Roman" w:hAnsi="Calibri" w:cs="Calibri"/>
                <w:sz w:val="20"/>
                <w:szCs w:val="20"/>
                <w:lang w:eastAsia="zh-CN"/>
              </w:rPr>
            </w:pPr>
            <w:r w:rsidRPr="00F27376">
              <w:rPr>
                <w:rFonts w:ascii="Calibri" w:eastAsia="Times New Roman" w:hAnsi="Calibri" w:cs="Calibri"/>
                <w:sz w:val="20"/>
                <w:szCs w:val="20"/>
                <w:lang w:eastAsia="zh-CN"/>
              </w:rPr>
              <w:t>686</w:t>
            </w:r>
          </w:p>
        </w:tc>
        <w:tc>
          <w:tcPr>
            <w:tcW w:w="1001" w:type="dxa"/>
            <w:tcBorders>
              <w:top w:val="nil"/>
              <w:left w:val="nil"/>
              <w:bottom w:val="single" w:sz="4" w:space="0" w:color="auto"/>
              <w:right w:val="nil"/>
            </w:tcBorders>
            <w:shd w:val="clear" w:color="auto" w:fill="auto"/>
            <w:noWrap/>
            <w:vAlign w:val="center"/>
            <w:hideMark/>
          </w:tcPr>
          <w:p w:rsidR="00685BE5" w:rsidRPr="00F27376" w:rsidRDefault="00685BE5" w:rsidP="00301C30">
            <w:pPr>
              <w:spacing w:before="20" w:after="20"/>
              <w:ind w:right="164"/>
              <w:jc w:val="right"/>
              <w:rPr>
                <w:rFonts w:ascii="Calibri" w:eastAsia="Times New Roman" w:hAnsi="Calibri" w:cs="Calibri"/>
                <w:sz w:val="20"/>
                <w:szCs w:val="20"/>
                <w:lang w:eastAsia="zh-CN"/>
              </w:rPr>
            </w:pPr>
            <w:r w:rsidRPr="00F27376">
              <w:rPr>
                <w:rFonts w:ascii="Calibri" w:eastAsia="Times New Roman" w:hAnsi="Calibri" w:cs="Calibri"/>
                <w:sz w:val="20"/>
                <w:szCs w:val="20"/>
                <w:lang w:eastAsia="zh-CN"/>
              </w:rPr>
              <w:t>674</w:t>
            </w:r>
          </w:p>
        </w:tc>
        <w:tc>
          <w:tcPr>
            <w:tcW w:w="1279" w:type="dxa"/>
            <w:tcBorders>
              <w:top w:val="nil"/>
              <w:left w:val="nil"/>
              <w:bottom w:val="single" w:sz="4" w:space="0" w:color="auto"/>
              <w:right w:val="nil"/>
            </w:tcBorders>
            <w:shd w:val="clear" w:color="auto" w:fill="auto"/>
            <w:noWrap/>
            <w:vAlign w:val="center"/>
            <w:hideMark/>
          </w:tcPr>
          <w:p w:rsidR="00685BE5" w:rsidRPr="00F27376" w:rsidRDefault="00685BE5" w:rsidP="00301C30">
            <w:pPr>
              <w:spacing w:before="20" w:after="20"/>
              <w:ind w:right="243"/>
              <w:jc w:val="right"/>
              <w:rPr>
                <w:rFonts w:ascii="Calibri" w:eastAsia="Times New Roman" w:hAnsi="Calibri" w:cs="Calibri"/>
                <w:sz w:val="20"/>
                <w:szCs w:val="20"/>
                <w:lang w:eastAsia="zh-CN"/>
              </w:rPr>
            </w:pPr>
            <w:r w:rsidRPr="00F27376">
              <w:rPr>
                <w:rFonts w:ascii="Calibri" w:eastAsia="Times New Roman" w:hAnsi="Calibri" w:cs="Calibri"/>
                <w:sz w:val="20"/>
                <w:szCs w:val="20"/>
                <w:lang w:eastAsia="zh-CN"/>
              </w:rPr>
              <w:t>93</w:t>
            </w:r>
          </w:p>
        </w:tc>
      </w:tr>
      <w:tr w:rsidR="00685BE5" w:rsidRPr="008A4B8F" w:rsidTr="00AE4C3A">
        <w:trPr>
          <w:trHeight w:val="288"/>
        </w:trPr>
        <w:tc>
          <w:tcPr>
            <w:tcW w:w="4977" w:type="dxa"/>
            <w:tcBorders>
              <w:top w:val="single" w:sz="4" w:space="0" w:color="auto"/>
              <w:left w:val="nil"/>
              <w:bottom w:val="single" w:sz="4" w:space="0" w:color="auto"/>
              <w:right w:val="nil"/>
            </w:tcBorders>
            <w:shd w:val="clear" w:color="auto" w:fill="auto"/>
            <w:noWrap/>
            <w:vAlign w:val="center"/>
            <w:hideMark/>
          </w:tcPr>
          <w:p w:rsidR="00685BE5" w:rsidRPr="008A4B8F" w:rsidRDefault="00685BE5" w:rsidP="00301C30">
            <w:pPr>
              <w:spacing w:before="20" w:after="20"/>
              <w:rPr>
                <w:rFonts w:ascii="Calibri" w:eastAsia="Times New Roman" w:hAnsi="Calibri" w:cs="Calibri"/>
                <w:b/>
                <w:color w:val="000000"/>
                <w:sz w:val="20"/>
                <w:szCs w:val="20"/>
                <w:lang w:eastAsia="zh-CN"/>
              </w:rPr>
            </w:pPr>
            <w:r w:rsidRPr="008A4B8F">
              <w:rPr>
                <w:rFonts w:ascii="Calibri" w:eastAsia="Times New Roman" w:hAnsi="Calibri" w:cs="Calibri"/>
                <w:b/>
                <w:color w:val="000000"/>
                <w:sz w:val="20"/>
                <w:szCs w:val="20"/>
                <w:lang w:eastAsia="zh-CN"/>
              </w:rPr>
              <w:t>Total</w:t>
            </w:r>
          </w:p>
        </w:tc>
        <w:tc>
          <w:tcPr>
            <w:tcW w:w="980" w:type="dxa"/>
            <w:tcBorders>
              <w:top w:val="single" w:sz="4" w:space="0" w:color="auto"/>
              <w:left w:val="nil"/>
              <w:bottom w:val="single" w:sz="4" w:space="0" w:color="auto"/>
              <w:right w:val="nil"/>
            </w:tcBorders>
            <w:shd w:val="clear" w:color="auto" w:fill="auto"/>
            <w:noWrap/>
            <w:vAlign w:val="center"/>
            <w:hideMark/>
          </w:tcPr>
          <w:p w:rsidR="00685BE5" w:rsidRPr="008A4B8F" w:rsidRDefault="00685BE5" w:rsidP="00301C30">
            <w:pPr>
              <w:spacing w:before="20" w:after="20"/>
              <w:ind w:right="164"/>
              <w:jc w:val="right"/>
              <w:rPr>
                <w:rFonts w:ascii="Calibri" w:eastAsia="Times New Roman" w:hAnsi="Calibri" w:cs="Calibri"/>
                <w:b/>
                <w:sz w:val="20"/>
                <w:szCs w:val="20"/>
                <w:lang w:eastAsia="zh-CN"/>
              </w:rPr>
            </w:pPr>
            <w:r w:rsidRPr="008A4B8F">
              <w:rPr>
                <w:rFonts w:ascii="Calibri" w:eastAsia="Times New Roman" w:hAnsi="Calibri" w:cs="Calibri"/>
                <w:b/>
                <w:sz w:val="20"/>
                <w:szCs w:val="20"/>
                <w:lang w:eastAsia="zh-CN"/>
              </w:rPr>
              <w:t>672</w:t>
            </w:r>
          </w:p>
        </w:tc>
        <w:tc>
          <w:tcPr>
            <w:tcW w:w="1001" w:type="dxa"/>
            <w:tcBorders>
              <w:top w:val="single" w:sz="4" w:space="0" w:color="auto"/>
              <w:left w:val="nil"/>
              <w:bottom w:val="single" w:sz="4" w:space="0" w:color="auto"/>
              <w:right w:val="nil"/>
            </w:tcBorders>
            <w:shd w:val="clear" w:color="auto" w:fill="auto"/>
            <w:noWrap/>
            <w:vAlign w:val="center"/>
            <w:hideMark/>
          </w:tcPr>
          <w:p w:rsidR="00685BE5" w:rsidRPr="008A4B8F" w:rsidRDefault="00685BE5" w:rsidP="00301C30">
            <w:pPr>
              <w:spacing w:before="20" w:after="20"/>
              <w:ind w:right="164"/>
              <w:jc w:val="right"/>
              <w:rPr>
                <w:rFonts w:ascii="Calibri" w:eastAsia="Times New Roman" w:hAnsi="Calibri" w:cs="Calibri"/>
                <w:b/>
                <w:sz w:val="20"/>
                <w:szCs w:val="20"/>
                <w:lang w:eastAsia="zh-CN"/>
              </w:rPr>
            </w:pPr>
            <w:r w:rsidRPr="008A4B8F">
              <w:rPr>
                <w:rFonts w:ascii="Calibri" w:eastAsia="Times New Roman" w:hAnsi="Calibri" w:cs="Calibri"/>
                <w:b/>
                <w:sz w:val="20"/>
                <w:szCs w:val="20"/>
                <w:lang w:eastAsia="zh-CN"/>
              </w:rPr>
              <w:t>670</w:t>
            </w:r>
          </w:p>
        </w:tc>
        <w:tc>
          <w:tcPr>
            <w:tcW w:w="1279" w:type="dxa"/>
            <w:tcBorders>
              <w:top w:val="single" w:sz="4" w:space="0" w:color="auto"/>
              <w:left w:val="nil"/>
              <w:bottom w:val="single" w:sz="4" w:space="0" w:color="auto"/>
              <w:right w:val="nil"/>
            </w:tcBorders>
            <w:shd w:val="clear" w:color="auto" w:fill="auto"/>
            <w:noWrap/>
            <w:vAlign w:val="center"/>
            <w:hideMark/>
          </w:tcPr>
          <w:p w:rsidR="00685BE5" w:rsidRPr="008A4B8F" w:rsidRDefault="00685BE5" w:rsidP="00301C30">
            <w:pPr>
              <w:spacing w:before="20" w:after="20"/>
              <w:ind w:right="243"/>
              <w:jc w:val="right"/>
              <w:rPr>
                <w:rFonts w:ascii="Calibri" w:eastAsia="Times New Roman" w:hAnsi="Calibri" w:cs="Calibri"/>
                <w:b/>
                <w:sz w:val="20"/>
                <w:szCs w:val="20"/>
                <w:lang w:eastAsia="zh-CN"/>
              </w:rPr>
            </w:pPr>
            <w:r w:rsidRPr="008A4B8F">
              <w:rPr>
                <w:rFonts w:ascii="Calibri" w:eastAsia="Times New Roman" w:hAnsi="Calibri" w:cs="Calibri"/>
                <w:b/>
                <w:sz w:val="20"/>
                <w:szCs w:val="20"/>
                <w:lang w:eastAsia="zh-CN"/>
              </w:rPr>
              <w:t>725</w:t>
            </w:r>
          </w:p>
        </w:tc>
      </w:tr>
    </w:tbl>
    <w:p w:rsidR="00685BE5" w:rsidRPr="00F27376" w:rsidRDefault="00685BE5" w:rsidP="00AE4C3A">
      <w:pPr>
        <w:pStyle w:val="NILSReference"/>
      </w:pPr>
      <w:r w:rsidRPr="00F27376">
        <w:t xml:space="preserve">Source: 2014 NDIS DSP employee, Questions B2a, B4a and B4b. </w:t>
      </w:r>
    </w:p>
    <w:p w:rsidR="00685BE5" w:rsidRPr="00F27376" w:rsidRDefault="00685BE5" w:rsidP="00AE4C3A">
      <w:pPr>
        <w:pStyle w:val="NILSReference"/>
      </w:pPr>
      <w:r w:rsidRPr="00F27376">
        <w:t>Notes: The weekly earnings mean and median are calculated for zero to $10,000 per week reported earnings to exclude outliers. Weekly figures calculated from reported job role, most recent pay and pay period. Entries rounded to the nearest dollar.</w:t>
      </w:r>
    </w:p>
    <w:p w:rsidR="00B92687" w:rsidRDefault="00B92687" w:rsidP="00AE4C3A"/>
    <w:p w:rsidR="00685BE5" w:rsidRDefault="00685BE5" w:rsidP="00AE4C3A">
      <w:r>
        <w:t>Further analysis of the Wave 1 information using multivariate methods would increa</w:t>
      </w:r>
      <w:r w:rsidR="00326ACF">
        <w:t>se understanding (e.g. are part</w:t>
      </w:r>
      <w:r>
        <w:t xml:space="preserve">-time employees happy with the hours they work? Are there significant occupational differences by part/full time?). However, the most important information will become available with the arrival of Wave 2 data where </w:t>
      </w:r>
      <w:r w:rsidR="0090288F">
        <w:t xml:space="preserve">it will be possible </w:t>
      </w:r>
      <w:r>
        <w:t>to observe change in both earnings and part/full time status between Wave 1 and Wave 2 employees. This change will give a measure of the impact of the NDIS on the relevant workforce structure.</w:t>
      </w:r>
    </w:p>
    <w:p w:rsidR="00685BE5" w:rsidRPr="00AB33E3" w:rsidRDefault="00685BE5" w:rsidP="00367B24">
      <w:pPr>
        <w:pStyle w:val="Heading3"/>
      </w:pPr>
      <w:bookmarkStart w:id="633" w:name="_Toc425425090"/>
      <w:bookmarkStart w:id="634" w:name="_Toc428279197"/>
      <w:bookmarkStart w:id="635" w:name="_Toc449955045"/>
      <w:r w:rsidRPr="00AB33E3">
        <w:t>4.</w:t>
      </w:r>
      <w:r>
        <w:t>3</w:t>
      </w:r>
      <w:r w:rsidRPr="00AB33E3">
        <w:t>.</w:t>
      </w:r>
      <w:r>
        <w:t>4 Career p</w:t>
      </w:r>
      <w:r w:rsidRPr="00AB33E3">
        <w:t>aths</w:t>
      </w:r>
      <w:bookmarkEnd w:id="633"/>
      <w:bookmarkEnd w:id="634"/>
      <w:bookmarkEnd w:id="635"/>
    </w:p>
    <w:p w:rsidR="00685BE5" w:rsidRPr="00AB33E3" w:rsidRDefault="00685BE5" w:rsidP="00AE4C3A">
      <w:pPr>
        <w:rPr>
          <w:rFonts w:cstheme="minorHAnsi"/>
          <w:bCs/>
        </w:rPr>
      </w:pPr>
      <w:r w:rsidRPr="00AB33E3">
        <w:rPr>
          <w:rFonts w:cstheme="minorHAnsi"/>
          <w:bCs/>
        </w:rPr>
        <w:t>Table 4</w:t>
      </w:r>
      <w:r>
        <w:rPr>
          <w:rFonts w:cstheme="minorHAnsi"/>
          <w:bCs/>
        </w:rPr>
        <w:t>.33</w:t>
      </w:r>
      <w:r w:rsidRPr="00AB33E3">
        <w:rPr>
          <w:rFonts w:cstheme="minorHAnsi"/>
          <w:bCs/>
        </w:rPr>
        <w:t xml:space="preserve"> indicates the current disability support workforce </w:t>
      </w:r>
      <w:r>
        <w:rPr>
          <w:rFonts w:cstheme="minorHAnsi"/>
          <w:bCs/>
        </w:rPr>
        <w:t>came</w:t>
      </w:r>
      <w:r w:rsidRPr="00AB33E3">
        <w:rPr>
          <w:rFonts w:cstheme="minorHAnsi"/>
          <w:bCs/>
        </w:rPr>
        <w:t xml:space="preserve"> into the sector through very diverse pathways. Disability support </w:t>
      </w:r>
      <w:r>
        <w:rPr>
          <w:rFonts w:cstheme="minorHAnsi"/>
          <w:bCs/>
        </w:rPr>
        <w:t>wa</w:t>
      </w:r>
      <w:r w:rsidRPr="00AB33E3">
        <w:rPr>
          <w:rFonts w:cstheme="minorHAnsi"/>
          <w:bCs/>
        </w:rPr>
        <w:t xml:space="preserve">s the first sector of employment for only </w:t>
      </w:r>
      <w:r>
        <w:rPr>
          <w:rFonts w:cstheme="minorHAnsi"/>
          <w:bCs/>
        </w:rPr>
        <w:t>six</w:t>
      </w:r>
      <w:r w:rsidRPr="00AB33E3">
        <w:rPr>
          <w:rFonts w:cstheme="minorHAnsi"/>
          <w:bCs/>
        </w:rPr>
        <w:t xml:space="preserve"> </w:t>
      </w:r>
      <w:r>
        <w:rPr>
          <w:rFonts w:cstheme="minorHAnsi"/>
          <w:bCs/>
        </w:rPr>
        <w:t xml:space="preserve">per cent </w:t>
      </w:r>
      <w:r w:rsidRPr="00AB33E3">
        <w:rPr>
          <w:rFonts w:cstheme="minorHAnsi"/>
          <w:bCs/>
        </w:rPr>
        <w:t>of the employees. A significant proportion of employees report</w:t>
      </w:r>
      <w:r>
        <w:rPr>
          <w:rFonts w:cstheme="minorHAnsi"/>
          <w:bCs/>
        </w:rPr>
        <w:t>ed</w:t>
      </w:r>
      <w:r w:rsidRPr="00AB33E3">
        <w:rPr>
          <w:rFonts w:cstheme="minorHAnsi"/>
          <w:bCs/>
        </w:rPr>
        <w:t xml:space="preserve"> that they ha</w:t>
      </w:r>
      <w:r>
        <w:rPr>
          <w:rFonts w:cstheme="minorHAnsi"/>
          <w:bCs/>
        </w:rPr>
        <w:t>d</w:t>
      </w:r>
      <w:r w:rsidRPr="00AB33E3">
        <w:rPr>
          <w:rFonts w:cstheme="minorHAnsi"/>
          <w:bCs/>
        </w:rPr>
        <w:t xml:space="preserve"> previously worked in very different sectors (e.g. </w:t>
      </w:r>
      <w:r w:rsidRPr="00AB33E3">
        <w:rPr>
          <w:rFonts w:ascii="Calibri" w:eastAsia="Times New Roman" w:hAnsi="Calibri" w:cs="Calibri"/>
          <w:color w:val="000000"/>
          <w:lang w:eastAsia="zh-CN"/>
        </w:rPr>
        <w:t>salesperson, clerical or administrative worker, hospitality worker</w:t>
      </w:r>
      <w:r w:rsidRPr="00AB33E3">
        <w:rPr>
          <w:rFonts w:cstheme="minorHAnsi"/>
          <w:bCs/>
        </w:rPr>
        <w:t>). In contrast, a very small proportion ha</w:t>
      </w:r>
      <w:r>
        <w:rPr>
          <w:rFonts w:cstheme="minorHAnsi"/>
          <w:bCs/>
        </w:rPr>
        <w:t>d</w:t>
      </w:r>
      <w:r w:rsidRPr="00AB33E3">
        <w:rPr>
          <w:rFonts w:cstheme="minorHAnsi"/>
          <w:bCs/>
        </w:rPr>
        <w:t xml:space="preserve"> previously worked in a different health or social care sector (e.g. welfare worker or aged care). Reflecting this diversity in pathways</w:t>
      </w:r>
      <w:r>
        <w:rPr>
          <w:rFonts w:cstheme="minorHAnsi"/>
          <w:bCs/>
        </w:rPr>
        <w:t xml:space="preserve">, 29.1 per cent of all respondents chose the ‘other paid employment’ category as their preferred response. </w:t>
      </w:r>
      <w:r w:rsidR="0090288F">
        <w:rPr>
          <w:rFonts w:cstheme="minorHAnsi"/>
          <w:bCs/>
        </w:rPr>
        <w:t>O</w:t>
      </w:r>
      <w:r w:rsidRPr="00AB33E3">
        <w:rPr>
          <w:rFonts w:cstheme="minorHAnsi"/>
          <w:bCs/>
        </w:rPr>
        <w:t xml:space="preserve">nly 7 per cent said that their previous job was in aged care. This suggests that there </w:t>
      </w:r>
      <w:r>
        <w:rPr>
          <w:rFonts w:cstheme="minorHAnsi"/>
          <w:bCs/>
        </w:rPr>
        <w:t>was</w:t>
      </w:r>
      <w:r w:rsidRPr="00AB33E3">
        <w:rPr>
          <w:rFonts w:cstheme="minorHAnsi"/>
          <w:bCs/>
        </w:rPr>
        <w:t xml:space="preserve"> a surprisingly small </w:t>
      </w:r>
      <w:r w:rsidRPr="00AB33E3">
        <w:rPr>
          <w:rFonts w:cstheme="minorHAnsi"/>
          <w:bCs/>
        </w:rPr>
        <w:lastRenderedPageBreak/>
        <w:t xml:space="preserve">overlap between two of the main sectors of care employment. The diverse pathways into disability care imply that there is quite a wide scope for expanding employment in disability </w:t>
      </w:r>
      <w:r>
        <w:rPr>
          <w:rFonts w:cstheme="minorHAnsi"/>
          <w:bCs/>
        </w:rPr>
        <w:t>services as the sector did not appear to</w:t>
      </w:r>
      <w:r w:rsidRPr="00AB33E3">
        <w:rPr>
          <w:rFonts w:cstheme="minorHAnsi"/>
          <w:bCs/>
        </w:rPr>
        <w:t xml:space="preserve"> rely on a narrow pipeline of potential workers.</w:t>
      </w:r>
    </w:p>
    <w:p w:rsidR="00685BE5" w:rsidRPr="00AB33E3" w:rsidRDefault="00685BE5" w:rsidP="0044684E">
      <w:pPr>
        <w:pStyle w:val="NILSTableHeading"/>
      </w:pPr>
      <w:bookmarkStart w:id="636" w:name="_Toc425425109"/>
      <w:bookmarkStart w:id="637" w:name="_Toc428279240"/>
      <w:bookmarkStart w:id="638" w:name="_Toc449955371"/>
      <w:r>
        <w:t>Table 4.33</w:t>
      </w:r>
      <w:r w:rsidRPr="00AB33E3">
        <w:t xml:space="preserve">: Last paid job before </w:t>
      </w:r>
      <w:r w:rsidRPr="008A4B8F">
        <w:t>started</w:t>
      </w:r>
      <w:r w:rsidRPr="00AB33E3">
        <w:t xml:space="preserve"> working in the disability support sector</w:t>
      </w:r>
      <w:bookmarkEnd w:id="636"/>
      <w:bookmarkEnd w:id="637"/>
      <w:bookmarkEnd w:id="638"/>
    </w:p>
    <w:tbl>
      <w:tblPr>
        <w:tblW w:w="6678" w:type="dxa"/>
        <w:tblInd w:w="93" w:type="dxa"/>
        <w:tblLook w:val="04A0" w:firstRow="1" w:lastRow="0" w:firstColumn="1" w:lastColumn="0" w:noHBand="0" w:noVBand="1"/>
        <w:tblCaption w:val="Table 4.33 Last paid job before started working in the disability support sector"/>
      </w:tblPr>
      <w:tblGrid>
        <w:gridCol w:w="5544"/>
        <w:gridCol w:w="1134"/>
      </w:tblGrid>
      <w:tr w:rsidR="00685BE5" w:rsidRPr="00E84C9F" w:rsidTr="00510AD2">
        <w:trPr>
          <w:tblHeader/>
        </w:trPr>
        <w:tc>
          <w:tcPr>
            <w:tcW w:w="5544" w:type="dxa"/>
            <w:tcBorders>
              <w:top w:val="single" w:sz="4" w:space="0" w:color="auto"/>
              <w:left w:val="nil"/>
              <w:bottom w:val="single" w:sz="4" w:space="0" w:color="auto"/>
              <w:right w:val="nil"/>
            </w:tcBorders>
            <w:shd w:val="clear" w:color="auto" w:fill="auto"/>
            <w:noWrap/>
            <w:vAlign w:val="bottom"/>
            <w:hideMark/>
          </w:tcPr>
          <w:p w:rsidR="00685BE5" w:rsidRPr="00E84C9F" w:rsidRDefault="00685BE5" w:rsidP="00AE4C3A">
            <w:pPr>
              <w:spacing w:before="20" w:after="20"/>
              <w:rPr>
                <w:rFonts w:ascii="Calibri" w:eastAsia="Times New Roman" w:hAnsi="Calibri" w:cs="Calibri"/>
                <w:color w:val="000000"/>
                <w:sz w:val="20"/>
                <w:szCs w:val="20"/>
                <w:lang w:eastAsia="zh-CN"/>
              </w:rPr>
            </w:pPr>
            <w:r w:rsidRPr="00E84C9F">
              <w:rPr>
                <w:rFonts w:ascii="Calibri" w:eastAsia="Times New Roman" w:hAnsi="Calibri" w:cs="Calibri"/>
                <w:color w:val="000000"/>
                <w:sz w:val="20"/>
                <w:szCs w:val="20"/>
                <w:lang w:eastAsia="zh-CN"/>
              </w:rPr>
              <w:t> </w:t>
            </w:r>
            <w:bookmarkStart w:id="639" w:name="Title_4_33"/>
            <w:bookmarkEnd w:id="639"/>
          </w:p>
        </w:tc>
        <w:tc>
          <w:tcPr>
            <w:tcW w:w="1134" w:type="dxa"/>
            <w:tcBorders>
              <w:top w:val="single" w:sz="4" w:space="0" w:color="auto"/>
              <w:left w:val="nil"/>
              <w:bottom w:val="single" w:sz="4" w:space="0" w:color="auto"/>
              <w:right w:val="nil"/>
            </w:tcBorders>
            <w:shd w:val="clear" w:color="auto" w:fill="auto"/>
            <w:noWrap/>
            <w:vAlign w:val="bottom"/>
            <w:hideMark/>
          </w:tcPr>
          <w:p w:rsidR="00685BE5" w:rsidRPr="00E3331B" w:rsidRDefault="0096484D" w:rsidP="00D74AFA">
            <w:pPr>
              <w:spacing w:before="20" w:after="20"/>
              <w:ind w:left="57"/>
              <w:jc w:val="center"/>
              <w:rPr>
                <w:rFonts w:ascii="Calibri" w:eastAsia="Times New Roman" w:hAnsi="Calibri" w:cs="Calibri"/>
                <w:bCs/>
                <w:color w:val="000000"/>
                <w:sz w:val="20"/>
                <w:szCs w:val="20"/>
                <w:lang w:eastAsia="zh-CN"/>
              </w:rPr>
            </w:pPr>
            <w:r>
              <w:rPr>
                <w:rFonts w:ascii="Calibri" w:eastAsia="Times New Roman" w:hAnsi="Calibri" w:cs="Calibri"/>
                <w:bCs/>
                <w:color w:val="000000"/>
                <w:sz w:val="20"/>
                <w:szCs w:val="20"/>
                <w:lang w:eastAsia="zh-CN"/>
              </w:rPr>
              <w:t>%</w:t>
            </w:r>
          </w:p>
        </w:tc>
      </w:tr>
      <w:tr w:rsidR="00685BE5" w:rsidRPr="00B90E88" w:rsidTr="00AE4C3A">
        <w:tc>
          <w:tcPr>
            <w:tcW w:w="5544" w:type="dxa"/>
            <w:tcBorders>
              <w:top w:val="single" w:sz="4" w:space="0" w:color="auto"/>
              <w:left w:val="nil"/>
              <w:bottom w:val="nil"/>
              <w:right w:val="nil"/>
            </w:tcBorders>
            <w:shd w:val="clear" w:color="auto" w:fill="auto"/>
            <w:noWrap/>
            <w:vAlign w:val="bottom"/>
            <w:hideMark/>
          </w:tcPr>
          <w:p w:rsidR="00685BE5" w:rsidRPr="007D2274" w:rsidRDefault="00685BE5" w:rsidP="00AE4C3A">
            <w:pPr>
              <w:spacing w:before="20" w:after="20"/>
              <w:rPr>
                <w:rFonts w:ascii="Calibri" w:eastAsia="Times New Roman" w:hAnsi="Calibri" w:cs="Calibri"/>
                <w:color w:val="000000"/>
                <w:sz w:val="20"/>
                <w:szCs w:val="20"/>
                <w:lang w:eastAsia="zh-CN"/>
              </w:rPr>
            </w:pPr>
            <w:r w:rsidRPr="007D2274">
              <w:rPr>
                <w:rFonts w:ascii="Calibri" w:eastAsia="Times New Roman" w:hAnsi="Calibri" w:cs="Calibri"/>
                <w:color w:val="000000"/>
                <w:sz w:val="20"/>
                <w:szCs w:val="20"/>
                <w:lang w:eastAsia="zh-CN"/>
              </w:rPr>
              <w:t>No previous paid employment</w:t>
            </w:r>
          </w:p>
        </w:tc>
        <w:tc>
          <w:tcPr>
            <w:tcW w:w="1134" w:type="dxa"/>
            <w:tcBorders>
              <w:top w:val="single" w:sz="4" w:space="0" w:color="auto"/>
              <w:left w:val="nil"/>
              <w:bottom w:val="nil"/>
              <w:right w:val="nil"/>
            </w:tcBorders>
            <w:shd w:val="clear" w:color="auto" w:fill="auto"/>
            <w:noWrap/>
            <w:vAlign w:val="bottom"/>
            <w:hideMark/>
          </w:tcPr>
          <w:p w:rsidR="00685BE5" w:rsidRPr="007D2274" w:rsidRDefault="00685BE5" w:rsidP="00AE4C3A">
            <w:pPr>
              <w:spacing w:before="20" w:after="20"/>
              <w:ind w:right="176"/>
              <w:jc w:val="right"/>
              <w:rPr>
                <w:rFonts w:ascii="Calibri" w:eastAsia="Times New Roman" w:hAnsi="Calibri" w:cs="Calibri"/>
                <w:color w:val="000000"/>
                <w:sz w:val="20"/>
                <w:szCs w:val="20"/>
                <w:lang w:eastAsia="zh-CN"/>
              </w:rPr>
            </w:pPr>
            <w:r w:rsidRPr="007D2274">
              <w:rPr>
                <w:rFonts w:ascii="Calibri" w:eastAsia="Times New Roman" w:hAnsi="Calibri" w:cs="Calibri"/>
                <w:color w:val="000000"/>
                <w:sz w:val="20"/>
                <w:szCs w:val="20"/>
                <w:lang w:eastAsia="zh-CN"/>
              </w:rPr>
              <w:t>6.1</w:t>
            </w:r>
          </w:p>
        </w:tc>
      </w:tr>
      <w:tr w:rsidR="00685BE5" w:rsidRPr="00B90E88" w:rsidTr="00AE4C3A">
        <w:tc>
          <w:tcPr>
            <w:tcW w:w="5544" w:type="dxa"/>
            <w:tcBorders>
              <w:top w:val="nil"/>
              <w:left w:val="nil"/>
              <w:bottom w:val="nil"/>
              <w:right w:val="nil"/>
            </w:tcBorders>
            <w:shd w:val="clear" w:color="auto" w:fill="auto"/>
            <w:noWrap/>
            <w:vAlign w:val="bottom"/>
            <w:hideMark/>
          </w:tcPr>
          <w:p w:rsidR="00685BE5" w:rsidRPr="007D2274" w:rsidRDefault="00685BE5" w:rsidP="00AE4C3A">
            <w:pPr>
              <w:spacing w:before="20" w:after="20"/>
              <w:rPr>
                <w:rFonts w:ascii="Calibri" w:eastAsia="Times New Roman" w:hAnsi="Calibri" w:cs="Calibri"/>
                <w:color w:val="000000"/>
                <w:sz w:val="20"/>
                <w:szCs w:val="20"/>
                <w:lang w:eastAsia="zh-CN"/>
              </w:rPr>
            </w:pPr>
            <w:r w:rsidRPr="007D2274">
              <w:rPr>
                <w:rFonts w:ascii="Calibri" w:eastAsia="Times New Roman" w:hAnsi="Calibri" w:cs="Calibri"/>
                <w:color w:val="000000"/>
                <w:sz w:val="20"/>
                <w:szCs w:val="20"/>
                <w:lang w:eastAsia="zh-CN"/>
              </w:rPr>
              <w:t xml:space="preserve">Welfare worker in another setting (e.g. </w:t>
            </w:r>
            <w:r>
              <w:rPr>
                <w:rFonts w:ascii="Calibri" w:eastAsia="Times New Roman" w:hAnsi="Calibri" w:cs="Calibri"/>
                <w:color w:val="000000"/>
                <w:sz w:val="20"/>
                <w:szCs w:val="20"/>
                <w:lang w:eastAsia="zh-CN"/>
              </w:rPr>
              <w:t>c</w:t>
            </w:r>
            <w:r w:rsidRPr="007D2274">
              <w:rPr>
                <w:rFonts w:ascii="Calibri" w:eastAsia="Times New Roman" w:hAnsi="Calibri" w:cs="Calibri"/>
                <w:color w:val="000000"/>
                <w:sz w:val="20"/>
                <w:szCs w:val="20"/>
                <w:lang w:eastAsia="zh-CN"/>
              </w:rPr>
              <w:t xml:space="preserve">ounsellor, </w:t>
            </w:r>
            <w:r>
              <w:rPr>
                <w:rFonts w:ascii="Calibri" w:eastAsia="Times New Roman" w:hAnsi="Calibri" w:cs="Calibri"/>
                <w:color w:val="000000"/>
                <w:sz w:val="20"/>
                <w:szCs w:val="20"/>
                <w:lang w:eastAsia="zh-CN"/>
              </w:rPr>
              <w:t>s</w:t>
            </w:r>
            <w:r w:rsidRPr="007D2274">
              <w:rPr>
                <w:rFonts w:ascii="Calibri" w:eastAsia="Times New Roman" w:hAnsi="Calibri" w:cs="Calibri"/>
                <w:color w:val="000000"/>
                <w:sz w:val="20"/>
                <w:szCs w:val="20"/>
                <w:lang w:eastAsia="zh-CN"/>
              </w:rPr>
              <w:t>ocial worker)</w:t>
            </w:r>
          </w:p>
        </w:tc>
        <w:tc>
          <w:tcPr>
            <w:tcW w:w="1134" w:type="dxa"/>
            <w:tcBorders>
              <w:top w:val="nil"/>
              <w:left w:val="nil"/>
              <w:bottom w:val="nil"/>
              <w:right w:val="nil"/>
            </w:tcBorders>
            <w:shd w:val="clear" w:color="auto" w:fill="auto"/>
            <w:noWrap/>
            <w:vAlign w:val="bottom"/>
            <w:hideMark/>
          </w:tcPr>
          <w:p w:rsidR="00685BE5" w:rsidRPr="007D2274" w:rsidRDefault="00685BE5" w:rsidP="00AE4C3A">
            <w:pPr>
              <w:spacing w:before="20" w:after="20"/>
              <w:ind w:right="176"/>
              <w:jc w:val="right"/>
              <w:rPr>
                <w:rFonts w:ascii="Calibri" w:eastAsia="Times New Roman" w:hAnsi="Calibri" w:cs="Calibri"/>
                <w:color w:val="000000"/>
                <w:sz w:val="20"/>
                <w:szCs w:val="20"/>
                <w:lang w:eastAsia="zh-CN"/>
              </w:rPr>
            </w:pPr>
            <w:r w:rsidRPr="007D2274">
              <w:rPr>
                <w:rFonts w:ascii="Calibri" w:eastAsia="Times New Roman" w:hAnsi="Calibri" w:cs="Calibri"/>
                <w:color w:val="000000"/>
                <w:sz w:val="20"/>
                <w:szCs w:val="20"/>
                <w:lang w:eastAsia="zh-CN"/>
              </w:rPr>
              <w:t>6.9</w:t>
            </w:r>
          </w:p>
        </w:tc>
      </w:tr>
      <w:tr w:rsidR="00685BE5" w:rsidRPr="00B90E88" w:rsidTr="00AE4C3A">
        <w:tc>
          <w:tcPr>
            <w:tcW w:w="5544" w:type="dxa"/>
            <w:tcBorders>
              <w:top w:val="nil"/>
              <w:left w:val="nil"/>
              <w:bottom w:val="nil"/>
              <w:right w:val="nil"/>
            </w:tcBorders>
            <w:shd w:val="clear" w:color="auto" w:fill="auto"/>
            <w:noWrap/>
            <w:vAlign w:val="bottom"/>
            <w:hideMark/>
          </w:tcPr>
          <w:p w:rsidR="00685BE5" w:rsidRPr="007D2274" w:rsidRDefault="00685BE5" w:rsidP="00AE4C3A">
            <w:pPr>
              <w:spacing w:before="20" w:after="20"/>
              <w:rPr>
                <w:rFonts w:ascii="Calibri" w:eastAsia="Times New Roman" w:hAnsi="Calibri" w:cs="Calibri"/>
                <w:color w:val="000000"/>
                <w:sz w:val="20"/>
                <w:szCs w:val="20"/>
                <w:lang w:eastAsia="zh-CN"/>
              </w:rPr>
            </w:pPr>
            <w:r w:rsidRPr="007D2274">
              <w:rPr>
                <w:rFonts w:ascii="Calibri" w:eastAsia="Times New Roman" w:hAnsi="Calibri" w:cs="Calibri"/>
                <w:color w:val="000000"/>
                <w:sz w:val="20"/>
                <w:szCs w:val="20"/>
                <w:lang w:eastAsia="zh-CN"/>
              </w:rPr>
              <w:t>Aged care worker</w:t>
            </w:r>
          </w:p>
        </w:tc>
        <w:tc>
          <w:tcPr>
            <w:tcW w:w="1134" w:type="dxa"/>
            <w:tcBorders>
              <w:top w:val="nil"/>
              <w:left w:val="nil"/>
              <w:bottom w:val="nil"/>
              <w:right w:val="nil"/>
            </w:tcBorders>
            <w:shd w:val="clear" w:color="auto" w:fill="auto"/>
            <w:noWrap/>
            <w:vAlign w:val="bottom"/>
            <w:hideMark/>
          </w:tcPr>
          <w:p w:rsidR="00685BE5" w:rsidRPr="007D2274" w:rsidRDefault="00685BE5" w:rsidP="00AE4C3A">
            <w:pPr>
              <w:spacing w:before="20" w:after="20"/>
              <w:ind w:right="176"/>
              <w:jc w:val="right"/>
              <w:rPr>
                <w:rFonts w:ascii="Calibri" w:eastAsia="Times New Roman" w:hAnsi="Calibri" w:cs="Calibri"/>
                <w:color w:val="000000"/>
                <w:sz w:val="20"/>
                <w:szCs w:val="20"/>
                <w:lang w:eastAsia="zh-CN"/>
              </w:rPr>
            </w:pPr>
            <w:r w:rsidRPr="007D2274">
              <w:rPr>
                <w:rFonts w:ascii="Calibri" w:eastAsia="Times New Roman" w:hAnsi="Calibri" w:cs="Calibri"/>
                <w:color w:val="000000"/>
                <w:sz w:val="20"/>
                <w:szCs w:val="20"/>
                <w:lang w:eastAsia="zh-CN"/>
              </w:rPr>
              <w:t>6.5</w:t>
            </w:r>
          </w:p>
        </w:tc>
      </w:tr>
      <w:tr w:rsidR="00685BE5" w:rsidRPr="00B90E88" w:rsidTr="00AE4C3A">
        <w:tc>
          <w:tcPr>
            <w:tcW w:w="5544" w:type="dxa"/>
            <w:tcBorders>
              <w:top w:val="nil"/>
              <w:left w:val="nil"/>
              <w:bottom w:val="nil"/>
              <w:right w:val="nil"/>
            </w:tcBorders>
            <w:shd w:val="clear" w:color="auto" w:fill="auto"/>
            <w:noWrap/>
            <w:vAlign w:val="bottom"/>
            <w:hideMark/>
          </w:tcPr>
          <w:p w:rsidR="00685BE5" w:rsidRPr="007D2274" w:rsidRDefault="00685BE5" w:rsidP="00AE4C3A">
            <w:pPr>
              <w:spacing w:before="20" w:after="20"/>
              <w:rPr>
                <w:rFonts w:ascii="Calibri" w:eastAsia="Times New Roman" w:hAnsi="Calibri" w:cs="Calibri"/>
                <w:color w:val="000000"/>
                <w:sz w:val="20"/>
                <w:szCs w:val="20"/>
                <w:lang w:eastAsia="zh-CN"/>
              </w:rPr>
            </w:pPr>
            <w:r w:rsidRPr="007D2274">
              <w:rPr>
                <w:rFonts w:ascii="Calibri" w:eastAsia="Times New Roman" w:hAnsi="Calibri" w:cs="Calibri"/>
                <w:color w:val="000000"/>
                <w:sz w:val="20"/>
                <w:szCs w:val="20"/>
                <w:lang w:eastAsia="zh-CN"/>
              </w:rPr>
              <w:t>Carer in another setting (e.g. personal care attendant)</w:t>
            </w:r>
          </w:p>
        </w:tc>
        <w:tc>
          <w:tcPr>
            <w:tcW w:w="1134" w:type="dxa"/>
            <w:tcBorders>
              <w:top w:val="nil"/>
              <w:left w:val="nil"/>
              <w:bottom w:val="nil"/>
              <w:right w:val="nil"/>
            </w:tcBorders>
            <w:shd w:val="clear" w:color="auto" w:fill="auto"/>
            <w:noWrap/>
            <w:vAlign w:val="bottom"/>
            <w:hideMark/>
          </w:tcPr>
          <w:p w:rsidR="00685BE5" w:rsidRPr="007D2274" w:rsidRDefault="00685BE5" w:rsidP="00AE4C3A">
            <w:pPr>
              <w:spacing w:before="20" w:after="20"/>
              <w:ind w:right="176"/>
              <w:jc w:val="right"/>
              <w:rPr>
                <w:rFonts w:ascii="Calibri" w:eastAsia="Times New Roman" w:hAnsi="Calibri" w:cs="Calibri"/>
                <w:color w:val="000000"/>
                <w:sz w:val="20"/>
                <w:szCs w:val="20"/>
                <w:lang w:eastAsia="zh-CN"/>
              </w:rPr>
            </w:pPr>
            <w:r w:rsidRPr="007D2274">
              <w:rPr>
                <w:rFonts w:ascii="Calibri" w:eastAsia="Times New Roman" w:hAnsi="Calibri" w:cs="Calibri"/>
                <w:color w:val="000000"/>
                <w:sz w:val="20"/>
                <w:szCs w:val="20"/>
                <w:lang w:eastAsia="zh-CN"/>
              </w:rPr>
              <w:t>2.5</w:t>
            </w:r>
          </w:p>
        </w:tc>
      </w:tr>
      <w:tr w:rsidR="00685BE5" w:rsidRPr="00B90E88" w:rsidTr="00AE4C3A">
        <w:tc>
          <w:tcPr>
            <w:tcW w:w="5544" w:type="dxa"/>
            <w:tcBorders>
              <w:top w:val="nil"/>
              <w:left w:val="nil"/>
              <w:bottom w:val="nil"/>
              <w:right w:val="nil"/>
            </w:tcBorders>
            <w:shd w:val="clear" w:color="auto" w:fill="auto"/>
            <w:noWrap/>
            <w:vAlign w:val="bottom"/>
            <w:hideMark/>
          </w:tcPr>
          <w:p w:rsidR="00685BE5" w:rsidRPr="007D2274" w:rsidRDefault="00685BE5" w:rsidP="00AE4C3A">
            <w:pPr>
              <w:spacing w:before="20" w:after="20"/>
              <w:rPr>
                <w:rFonts w:ascii="Calibri" w:eastAsia="Times New Roman" w:hAnsi="Calibri" w:cs="Calibri"/>
                <w:color w:val="000000"/>
                <w:sz w:val="20"/>
                <w:szCs w:val="20"/>
                <w:lang w:eastAsia="zh-CN"/>
              </w:rPr>
            </w:pPr>
            <w:r w:rsidRPr="007D2274">
              <w:rPr>
                <w:rFonts w:ascii="Calibri" w:eastAsia="Times New Roman" w:hAnsi="Calibri" w:cs="Calibri"/>
                <w:color w:val="000000"/>
                <w:sz w:val="20"/>
                <w:szCs w:val="20"/>
                <w:lang w:eastAsia="zh-CN"/>
              </w:rPr>
              <w:t>Salesperson</w:t>
            </w:r>
          </w:p>
        </w:tc>
        <w:tc>
          <w:tcPr>
            <w:tcW w:w="1134" w:type="dxa"/>
            <w:tcBorders>
              <w:top w:val="nil"/>
              <w:left w:val="nil"/>
              <w:bottom w:val="nil"/>
              <w:right w:val="nil"/>
            </w:tcBorders>
            <w:shd w:val="clear" w:color="auto" w:fill="auto"/>
            <w:noWrap/>
            <w:vAlign w:val="bottom"/>
            <w:hideMark/>
          </w:tcPr>
          <w:p w:rsidR="00685BE5" w:rsidRPr="007D2274" w:rsidRDefault="00685BE5" w:rsidP="00AE4C3A">
            <w:pPr>
              <w:spacing w:before="20" w:after="20"/>
              <w:ind w:right="176"/>
              <w:jc w:val="right"/>
              <w:rPr>
                <w:rFonts w:ascii="Calibri" w:eastAsia="Times New Roman" w:hAnsi="Calibri" w:cs="Calibri"/>
                <w:color w:val="000000"/>
                <w:sz w:val="20"/>
                <w:szCs w:val="20"/>
                <w:lang w:eastAsia="zh-CN"/>
              </w:rPr>
            </w:pPr>
            <w:r w:rsidRPr="007D2274">
              <w:rPr>
                <w:rFonts w:ascii="Calibri" w:eastAsia="Times New Roman" w:hAnsi="Calibri" w:cs="Calibri"/>
                <w:color w:val="000000"/>
                <w:sz w:val="20"/>
                <w:szCs w:val="20"/>
                <w:lang w:eastAsia="zh-CN"/>
              </w:rPr>
              <w:t>8.6</w:t>
            </w:r>
          </w:p>
        </w:tc>
      </w:tr>
      <w:tr w:rsidR="00685BE5" w:rsidRPr="00B90E88" w:rsidTr="00AE4C3A">
        <w:tc>
          <w:tcPr>
            <w:tcW w:w="5544" w:type="dxa"/>
            <w:tcBorders>
              <w:top w:val="nil"/>
              <w:left w:val="nil"/>
              <w:bottom w:val="nil"/>
              <w:right w:val="nil"/>
            </w:tcBorders>
            <w:shd w:val="clear" w:color="auto" w:fill="auto"/>
            <w:noWrap/>
            <w:vAlign w:val="bottom"/>
            <w:hideMark/>
          </w:tcPr>
          <w:p w:rsidR="00685BE5" w:rsidRPr="007D2274" w:rsidRDefault="00685BE5" w:rsidP="00AE4C3A">
            <w:pPr>
              <w:spacing w:before="20" w:after="20"/>
              <w:rPr>
                <w:rFonts w:ascii="Calibri" w:eastAsia="Times New Roman" w:hAnsi="Calibri" w:cs="Calibri"/>
                <w:color w:val="000000"/>
                <w:sz w:val="20"/>
                <w:szCs w:val="20"/>
                <w:lang w:eastAsia="zh-CN"/>
              </w:rPr>
            </w:pPr>
            <w:r w:rsidRPr="007D2274">
              <w:rPr>
                <w:rFonts w:ascii="Calibri" w:eastAsia="Times New Roman" w:hAnsi="Calibri" w:cs="Calibri"/>
                <w:color w:val="000000"/>
                <w:sz w:val="20"/>
                <w:szCs w:val="20"/>
                <w:lang w:eastAsia="zh-CN"/>
              </w:rPr>
              <w:t>Teacher</w:t>
            </w:r>
          </w:p>
        </w:tc>
        <w:tc>
          <w:tcPr>
            <w:tcW w:w="1134" w:type="dxa"/>
            <w:tcBorders>
              <w:top w:val="nil"/>
              <w:left w:val="nil"/>
              <w:bottom w:val="nil"/>
              <w:right w:val="nil"/>
            </w:tcBorders>
            <w:shd w:val="clear" w:color="auto" w:fill="auto"/>
            <w:noWrap/>
            <w:vAlign w:val="bottom"/>
            <w:hideMark/>
          </w:tcPr>
          <w:p w:rsidR="00685BE5" w:rsidRPr="007D2274" w:rsidRDefault="00685BE5" w:rsidP="00AE4C3A">
            <w:pPr>
              <w:spacing w:before="20" w:after="20"/>
              <w:ind w:right="176"/>
              <w:jc w:val="right"/>
              <w:rPr>
                <w:rFonts w:ascii="Calibri" w:eastAsia="Times New Roman" w:hAnsi="Calibri" w:cs="Calibri"/>
                <w:color w:val="000000"/>
                <w:sz w:val="20"/>
                <w:szCs w:val="20"/>
                <w:lang w:eastAsia="zh-CN"/>
              </w:rPr>
            </w:pPr>
            <w:r w:rsidRPr="007D2274">
              <w:rPr>
                <w:rFonts w:ascii="Calibri" w:eastAsia="Times New Roman" w:hAnsi="Calibri" w:cs="Calibri"/>
                <w:color w:val="000000"/>
                <w:sz w:val="20"/>
                <w:szCs w:val="20"/>
                <w:lang w:eastAsia="zh-CN"/>
              </w:rPr>
              <w:t>4.6</w:t>
            </w:r>
          </w:p>
        </w:tc>
      </w:tr>
      <w:tr w:rsidR="00685BE5" w:rsidRPr="00B90E88" w:rsidTr="00AE4C3A">
        <w:tc>
          <w:tcPr>
            <w:tcW w:w="5544" w:type="dxa"/>
            <w:tcBorders>
              <w:top w:val="nil"/>
              <w:left w:val="nil"/>
              <w:bottom w:val="nil"/>
              <w:right w:val="nil"/>
            </w:tcBorders>
            <w:shd w:val="clear" w:color="auto" w:fill="auto"/>
            <w:noWrap/>
            <w:vAlign w:val="bottom"/>
            <w:hideMark/>
          </w:tcPr>
          <w:p w:rsidR="00685BE5" w:rsidRPr="007D2274" w:rsidRDefault="00685BE5" w:rsidP="00AE4C3A">
            <w:pPr>
              <w:spacing w:before="20" w:after="20"/>
              <w:rPr>
                <w:rFonts w:ascii="Calibri" w:eastAsia="Times New Roman" w:hAnsi="Calibri" w:cs="Calibri"/>
                <w:color w:val="000000"/>
                <w:sz w:val="20"/>
                <w:szCs w:val="20"/>
                <w:lang w:eastAsia="zh-CN"/>
              </w:rPr>
            </w:pPr>
            <w:r w:rsidRPr="007D2274">
              <w:rPr>
                <w:rFonts w:ascii="Calibri" w:eastAsia="Times New Roman" w:hAnsi="Calibri" w:cs="Calibri"/>
                <w:color w:val="000000"/>
                <w:sz w:val="20"/>
                <w:szCs w:val="20"/>
                <w:lang w:eastAsia="zh-CN"/>
              </w:rPr>
              <w:t>Clerical or administrative worker</w:t>
            </w:r>
          </w:p>
        </w:tc>
        <w:tc>
          <w:tcPr>
            <w:tcW w:w="1134" w:type="dxa"/>
            <w:tcBorders>
              <w:top w:val="nil"/>
              <w:left w:val="nil"/>
              <w:bottom w:val="nil"/>
              <w:right w:val="nil"/>
            </w:tcBorders>
            <w:shd w:val="clear" w:color="auto" w:fill="auto"/>
            <w:noWrap/>
            <w:vAlign w:val="bottom"/>
            <w:hideMark/>
          </w:tcPr>
          <w:p w:rsidR="00685BE5" w:rsidRPr="007D2274" w:rsidRDefault="00685BE5" w:rsidP="00AE4C3A">
            <w:pPr>
              <w:spacing w:before="20" w:after="20"/>
              <w:ind w:right="176"/>
              <w:jc w:val="right"/>
              <w:rPr>
                <w:rFonts w:ascii="Calibri" w:eastAsia="Times New Roman" w:hAnsi="Calibri" w:cs="Calibri"/>
                <w:color w:val="000000"/>
                <w:sz w:val="20"/>
                <w:szCs w:val="20"/>
                <w:lang w:eastAsia="zh-CN"/>
              </w:rPr>
            </w:pPr>
            <w:r w:rsidRPr="007D2274">
              <w:rPr>
                <w:rFonts w:ascii="Calibri" w:eastAsia="Times New Roman" w:hAnsi="Calibri" w:cs="Calibri"/>
                <w:color w:val="000000"/>
                <w:sz w:val="20"/>
                <w:szCs w:val="20"/>
                <w:lang w:eastAsia="zh-CN"/>
              </w:rPr>
              <w:t>9.6</w:t>
            </w:r>
          </w:p>
        </w:tc>
      </w:tr>
      <w:tr w:rsidR="00685BE5" w:rsidRPr="00B90E88" w:rsidTr="00AE4C3A">
        <w:tc>
          <w:tcPr>
            <w:tcW w:w="5544" w:type="dxa"/>
            <w:tcBorders>
              <w:top w:val="nil"/>
              <w:left w:val="nil"/>
              <w:bottom w:val="nil"/>
              <w:right w:val="nil"/>
            </w:tcBorders>
            <w:shd w:val="clear" w:color="auto" w:fill="auto"/>
            <w:noWrap/>
            <w:vAlign w:val="bottom"/>
            <w:hideMark/>
          </w:tcPr>
          <w:p w:rsidR="00685BE5" w:rsidRPr="007D2274" w:rsidRDefault="00685BE5" w:rsidP="00AE4C3A">
            <w:pPr>
              <w:spacing w:before="20" w:after="20"/>
              <w:rPr>
                <w:rFonts w:ascii="Calibri" w:eastAsia="Times New Roman" w:hAnsi="Calibri" w:cs="Calibri"/>
                <w:color w:val="000000"/>
                <w:sz w:val="20"/>
                <w:szCs w:val="20"/>
                <w:lang w:eastAsia="zh-CN"/>
              </w:rPr>
            </w:pPr>
            <w:r w:rsidRPr="007D2274">
              <w:rPr>
                <w:rFonts w:ascii="Calibri" w:eastAsia="Times New Roman" w:hAnsi="Calibri" w:cs="Calibri"/>
                <w:color w:val="000000"/>
                <w:sz w:val="20"/>
                <w:szCs w:val="20"/>
                <w:lang w:eastAsia="zh-CN"/>
              </w:rPr>
              <w:t>Hospitality worker (e.g. chef)</w:t>
            </w:r>
          </w:p>
        </w:tc>
        <w:tc>
          <w:tcPr>
            <w:tcW w:w="1134" w:type="dxa"/>
            <w:tcBorders>
              <w:top w:val="nil"/>
              <w:left w:val="nil"/>
              <w:bottom w:val="nil"/>
              <w:right w:val="nil"/>
            </w:tcBorders>
            <w:shd w:val="clear" w:color="auto" w:fill="auto"/>
            <w:noWrap/>
            <w:vAlign w:val="bottom"/>
            <w:hideMark/>
          </w:tcPr>
          <w:p w:rsidR="00685BE5" w:rsidRPr="007D2274" w:rsidRDefault="00685BE5" w:rsidP="00AE4C3A">
            <w:pPr>
              <w:spacing w:before="20" w:after="20"/>
              <w:ind w:right="176"/>
              <w:jc w:val="right"/>
              <w:rPr>
                <w:rFonts w:ascii="Calibri" w:eastAsia="Times New Roman" w:hAnsi="Calibri" w:cs="Calibri"/>
                <w:color w:val="000000"/>
                <w:sz w:val="20"/>
                <w:szCs w:val="20"/>
                <w:lang w:eastAsia="zh-CN"/>
              </w:rPr>
            </w:pPr>
            <w:r w:rsidRPr="007D2274">
              <w:rPr>
                <w:rFonts w:ascii="Calibri" w:eastAsia="Times New Roman" w:hAnsi="Calibri" w:cs="Calibri"/>
                <w:color w:val="000000"/>
                <w:sz w:val="20"/>
                <w:szCs w:val="20"/>
                <w:lang w:eastAsia="zh-CN"/>
              </w:rPr>
              <w:t>10.4</w:t>
            </w:r>
          </w:p>
        </w:tc>
      </w:tr>
      <w:tr w:rsidR="00685BE5" w:rsidRPr="00B90E88" w:rsidTr="00AE4C3A">
        <w:tc>
          <w:tcPr>
            <w:tcW w:w="5544" w:type="dxa"/>
            <w:tcBorders>
              <w:top w:val="nil"/>
              <w:left w:val="nil"/>
              <w:bottom w:val="nil"/>
              <w:right w:val="nil"/>
            </w:tcBorders>
            <w:shd w:val="clear" w:color="auto" w:fill="auto"/>
            <w:noWrap/>
            <w:vAlign w:val="bottom"/>
            <w:hideMark/>
          </w:tcPr>
          <w:p w:rsidR="00685BE5" w:rsidRPr="007D2274" w:rsidRDefault="00685BE5" w:rsidP="00AE4C3A">
            <w:pPr>
              <w:spacing w:before="20" w:after="20"/>
              <w:rPr>
                <w:rFonts w:ascii="Calibri" w:eastAsia="Times New Roman" w:hAnsi="Calibri" w:cs="Calibri"/>
                <w:color w:val="000000"/>
                <w:sz w:val="20"/>
                <w:szCs w:val="20"/>
                <w:lang w:eastAsia="zh-CN"/>
              </w:rPr>
            </w:pPr>
            <w:r w:rsidRPr="007D2274">
              <w:rPr>
                <w:rFonts w:ascii="Calibri" w:eastAsia="Times New Roman" w:hAnsi="Calibri" w:cs="Calibri"/>
                <w:color w:val="000000"/>
                <w:sz w:val="20"/>
                <w:szCs w:val="20"/>
                <w:lang w:eastAsia="zh-CN"/>
              </w:rPr>
              <w:t>Cleaner</w:t>
            </w:r>
          </w:p>
        </w:tc>
        <w:tc>
          <w:tcPr>
            <w:tcW w:w="1134" w:type="dxa"/>
            <w:tcBorders>
              <w:top w:val="nil"/>
              <w:left w:val="nil"/>
              <w:bottom w:val="nil"/>
              <w:right w:val="nil"/>
            </w:tcBorders>
            <w:shd w:val="clear" w:color="auto" w:fill="auto"/>
            <w:noWrap/>
            <w:vAlign w:val="bottom"/>
            <w:hideMark/>
          </w:tcPr>
          <w:p w:rsidR="00685BE5" w:rsidRPr="007D2274" w:rsidRDefault="00685BE5" w:rsidP="00AE4C3A">
            <w:pPr>
              <w:spacing w:before="20" w:after="20"/>
              <w:ind w:right="176"/>
              <w:jc w:val="right"/>
              <w:rPr>
                <w:rFonts w:ascii="Calibri" w:eastAsia="Times New Roman" w:hAnsi="Calibri" w:cs="Calibri"/>
                <w:color w:val="000000"/>
                <w:sz w:val="20"/>
                <w:szCs w:val="20"/>
                <w:lang w:eastAsia="zh-CN"/>
              </w:rPr>
            </w:pPr>
            <w:r w:rsidRPr="007D2274">
              <w:rPr>
                <w:rFonts w:ascii="Calibri" w:eastAsia="Times New Roman" w:hAnsi="Calibri" w:cs="Calibri"/>
                <w:color w:val="000000"/>
                <w:sz w:val="20"/>
                <w:szCs w:val="20"/>
                <w:lang w:eastAsia="zh-CN"/>
              </w:rPr>
              <w:t>1.6</w:t>
            </w:r>
          </w:p>
        </w:tc>
      </w:tr>
      <w:tr w:rsidR="00685BE5" w:rsidRPr="00B90E88" w:rsidTr="00AE4C3A">
        <w:tc>
          <w:tcPr>
            <w:tcW w:w="5544" w:type="dxa"/>
            <w:tcBorders>
              <w:top w:val="nil"/>
              <w:left w:val="nil"/>
              <w:bottom w:val="nil"/>
              <w:right w:val="nil"/>
            </w:tcBorders>
            <w:shd w:val="clear" w:color="auto" w:fill="auto"/>
            <w:noWrap/>
            <w:vAlign w:val="bottom"/>
            <w:hideMark/>
          </w:tcPr>
          <w:p w:rsidR="00685BE5" w:rsidRPr="007D2274" w:rsidRDefault="00685BE5" w:rsidP="00AE4C3A">
            <w:pPr>
              <w:spacing w:before="20" w:after="20"/>
              <w:rPr>
                <w:rFonts w:ascii="Calibri" w:eastAsia="Times New Roman" w:hAnsi="Calibri" w:cs="Calibri"/>
                <w:color w:val="000000"/>
                <w:sz w:val="20"/>
                <w:szCs w:val="20"/>
                <w:lang w:eastAsia="zh-CN"/>
              </w:rPr>
            </w:pPr>
            <w:r w:rsidRPr="007D2274">
              <w:rPr>
                <w:rFonts w:ascii="Calibri" w:eastAsia="Times New Roman" w:hAnsi="Calibri" w:cs="Calibri"/>
                <w:color w:val="000000"/>
                <w:sz w:val="20"/>
                <w:szCs w:val="20"/>
                <w:lang w:eastAsia="zh-CN"/>
              </w:rPr>
              <w:t>Professional or manager in another setting</w:t>
            </w:r>
          </w:p>
        </w:tc>
        <w:tc>
          <w:tcPr>
            <w:tcW w:w="1134" w:type="dxa"/>
            <w:tcBorders>
              <w:top w:val="nil"/>
              <w:left w:val="nil"/>
              <w:bottom w:val="nil"/>
              <w:right w:val="nil"/>
            </w:tcBorders>
            <w:shd w:val="clear" w:color="auto" w:fill="auto"/>
            <w:noWrap/>
            <w:vAlign w:val="bottom"/>
            <w:hideMark/>
          </w:tcPr>
          <w:p w:rsidR="00685BE5" w:rsidRPr="007D2274" w:rsidRDefault="00685BE5" w:rsidP="00AE4C3A">
            <w:pPr>
              <w:spacing w:before="20" w:after="20"/>
              <w:ind w:right="176"/>
              <w:jc w:val="right"/>
              <w:rPr>
                <w:rFonts w:ascii="Calibri" w:eastAsia="Times New Roman" w:hAnsi="Calibri" w:cs="Calibri"/>
                <w:color w:val="000000"/>
                <w:sz w:val="20"/>
                <w:szCs w:val="20"/>
                <w:lang w:eastAsia="zh-CN"/>
              </w:rPr>
            </w:pPr>
            <w:r w:rsidRPr="007D2274">
              <w:rPr>
                <w:rFonts w:ascii="Calibri" w:eastAsia="Times New Roman" w:hAnsi="Calibri" w:cs="Calibri"/>
                <w:color w:val="000000"/>
                <w:sz w:val="20"/>
                <w:szCs w:val="20"/>
                <w:lang w:eastAsia="zh-CN"/>
              </w:rPr>
              <w:t>9.2</w:t>
            </w:r>
          </w:p>
        </w:tc>
      </w:tr>
      <w:tr w:rsidR="00685BE5" w:rsidRPr="00B90E88" w:rsidTr="00AE4C3A">
        <w:tc>
          <w:tcPr>
            <w:tcW w:w="5544" w:type="dxa"/>
            <w:tcBorders>
              <w:top w:val="nil"/>
              <w:left w:val="nil"/>
              <w:bottom w:val="nil"/>
              <w:right w:val="nil"/>
            </w:tcBorders>
            <w:shd w:val="clear" w:color="auto" w:fill="auto"/>
            <w:noWrap/>
            <w:vAlign w:val="bottom"/>
            <w:hideMark/>
          </w:tcPr>
          <w:p w:rsidR="00685BE5" w:rsidRPr="007D2274" w:rsidRDefault="00685BE5" w:rsidP="00AE4C3A">
            <w:pPr>
              <w:spacing w:before="20" w:after="20"/>
              <w:rPr>
                <w:rFonts w:ascii="Calibri" w:eastAsia="Times New Roman" w:hAnsi="Calibri" w:cs="Calibri"/>
                <w:color w:val="000000"/>
                <w:sz w:val="20"/>
                <w:szCs w:val="20"/>
                <w:lang w:eastAsia="zh-CN"/>
              </w:rPr>
            </w:pPr>
            <w:r w:rsidRPr="007D2274">
              <w:rPr>
                <w:rFonts w:ascii="Calibri" w:eastAsia="Times New Roman" w:hAnsi="Calibri" w:cs="Calibri"/>
                <w:color w:val="000000"/>
                <w:sz w:val="20"/>
                <w:szCs w:val="20"/>
                <w:lang w:eastAsia="zh-CN"/>
              </w:rPr>
              <w:t>Other paid employment</w:t>
            </w:r>
          </w:p>
        </w:tc>
        <w:tc>
          <w:tcPr>
            <w:tcW w:w="1134" w:type="dxa"/>
            <w:tcBorders>
              <w:top w:val="nil"/>
              <w:left w:val="nil"/>
              <w:bottom w:val="nil"/>
              <w:right w:val="nil"/>
            </w:tcBorders>
            <w:shd w:val="clear" w:color="auto" w:fill="auto"/>
            <w:noWrap/>
            <w:vAlign w:val="bottom"/>
            <w:hideMark/>
          </w:tcPr>
          <w:p w:rsidR="00685BE5" w:rsidRPr="007D2274" w:rsidRDefault="00685BE5" w:rsidP="00AE4C3A">
            <w:pPr>
              <w:spacing w:before="20" w:after="20"/>
              <w:ind w:right="176"/>
              <w:jc w:val="right"/>
              <w:rPr>
                <w:rFonts w:ascii="Calibri" w:eastAsia="Times New Roman" w:hAnsi="Calibri" w:cs="Calibri"/>
                <w:color w:val="000000"/>
                <w:sz w:val="20"/>
                <w:szCs w:val="20"/>
                <w:lang w:eastAsia="zh-CN"/>
              </w:rPr>
            </w:pPr>
            <w:r w:rsidRPr="007D2274">
              <w:rPr>
                <w:rFonts w:ascii="Calibri" w:eastAsia="Times New Roman" w:hAnsi="Calibri" w:cs="Calibri"/>
                <w:color w:val="000000"/>
                <w:sz w:val="20"/>
                <w:szCs w:val="20"/>
                <w:lang w:eastAsia="zh-CN"/>
              </w:rPr>
              <w:t>29.1</w:t>
            </w:r>
          </w:p>
        </w:tc>
      </w:tr>
      <w:tr w:rsidR="00685BE5" w:rsidRPr="00B90E88" w:rsidTr="00AE4C3A">
        <w:tc>
          <w:tcPr>
            <w:tcW w:w="5544" w:type="dxa"/>
            <w:tcBorders>
              <w:top w:val="nil"/>
              <w:left w:val="nil"/>
              <w:bottom w:val="single" w:sz="4" w:space="0" w:color="auto"/>
              <w:right w:val="nil"/>
            </w:tcBorders>
            <w:shd w:val="clear" w:color="auto" w:fill="auto"/>
            <w:noWrap/>
            <w:vAlign w:val="bottom"/>
            <w:hideMark/>
          </w:tcPr>
          <w:p w:rsidR="00685BE5" w:rsidRPr="007D2274" w:rsidRDefault="00685BE5" w:rsidP="00AE4C3A">
            <w:pPr>
              <w:spacing w:before="20" w:after="20"/>
              <w:rPr>
                <w:rFonts w:ascii="Calibri" w:eastAsia="Times New Roman" w:hAnsi="Calibri" w:cs="Calibri"/>
                <w:color w:val="000000"/>
                <w:sz w:val="20"/>
                <w:szCs w:val="20"/>
                <w:lang w:eastAsia="zh-CN"/>
              </w:rPr>
            </w:pPr>
            <w:r w:rsidRPr="007D2274">
              <w:rPr>
                <w:rFonts w:ascii="Calibri" w:eastAsia="Times New Roman" w:hAnsi="Calibri" w:cs="Calibri"/>
                <w:color w:val="000000"/>
                <w:sz w:val="20"/>
                <w:szCs w:val="20"/>
                <w:lang w:eastAsia="zh-CN"/>
              </w:rPr>
              <w:t xml:space="preserve">Question not answered </w:t>
            </w:r>
          </w:p>
        </w:tc>
        <w:tc>
          <w:tcPr>
            <w:tcW w:w="1134" w:type="dxa"/>
            <w:tcBorders>
              <w:top w:val="nil"/>
              <w:left w:val="nil"/>
              <w:bottom w:val="single" w:sz="4" w:space="0" w:color="auto"/>
              <w:right w:val="nil"/>
            </w:tcBorders>
            <w:shd w:val="clear" w:color="auto" w:fill="auto"/>
            <w:noWrap/>
            <w:vAlign w:val="bottom"/>
            <w:hideMark/>
          </w:tcPr>
          <w:p w:rsidR="00685BE5" w:rsidRPr="007D2274" w:rsidRDefault="00685BE5" w:rsidP="00AE4C3A">
            <w:pPr>
              <w:spacing w:before="20" w:after="20"/>
              <w:ind w:right="176"/>
              <w:jc w:val="right"/>
              <w:rPr>
                <w:rFonts w:ascii="Calibri" w:eastAsia="Times New Roman" w:hAnsi="Calibri" w:cs="Calibri"/>
                <w:color w:val="000000"/>
                <w:sz w:val="20"/>
                <w:szCs w:val="20"/>
                <w:lang w:eastAsia="zh-CN"/>
              </w:rPr>
            </w:pPr>
            <w:r w:rsidRPr="007D2274">
              <w:rPr>
                <w:rFonts w:ascii="Calibri" w:eastAsia="Times New Roman" w:hAnsi="Calibri" w:cs="Calibri"/>
                <w:color w:val="000000"/>
                <w:sz w:val="20"/>
                <w:szCs w:val="20"/>
                <w:lang w:eastAsia="zh-CN"/>
              </w:rPr>
              <w:t>4.9</w:t>
            </w:r>
          </w:p>
        </w:tc>
      </w:tr>
      <w:tr w:rsidR="00685BE5" w:rsidRPr="00E84C9F" w:rsidTr="00AE4C3A">
        <w:tc>
          <w:tcPr>
            <w:tcW w:w="5544" w:type="dxa"/>
            <w:tcBorders>
              <w:top w:val="single" w:sz="4" w:space="0" w:color="auto"/>
              <w:left w:val="nil"/>
              <w:bottom w:val="single" w:sz="4" w:space="0" w:color="auto"/>
              <w:right w:val="nil"/>
            </w:tcBorders>
            <w:shd w:val="clear" w:color="auto" w:fill="auto"/>
            <w:noWrap/>
            <w:vAlign w:val="bottom"/>
            <w:hideMark/>
          </w:tcPr>
          <w:p w:rsidR="00685BE5" w:rsidRPr="00E3331B" w:rsidRDefault="00685BE5" w:rsidP="00AE4C3A">
            <w:pPr>
              <w:spacing w:before="20" w:after="20"/>
              <w:rPr>
                <w:rFonts w:ascii="Calibri" w:eastAsia="Times New Roman" w:hAnsi="Calibri" w:cs="Calibri"/>
                <w:b/>
                <w:color w:val="000000"/>
                <w:sz w:val="20"/>
                <w:szCs w:val="20"/>
                <w:lang w:eastAsia="zh-CN"/>
              </w:rPr>
            </w:pPr>
            <w:r w:rsidRPr="00E3331B">
              <w:rPr>
                <w:rFonts w:ascii="Calibri" w:eastAsia="Times New Roman" w:hAnsi="Calibri" w:cs="Calibri"/>
                <w:b/>
                <w:color w:val="000000"/>
                <w:sz w:val="20"/>
                <w:szCs w:val="20"/>
                <w:lang w:eastAsia="zh-CN"/>
              </w:rPr>
              <w:t>Total (N=2</w:t>
            </w:r>
            <w:r>
              <w:rPr>
                <w:rFonts w:ascii="Calibri" w:eastAsia="Times New Roman" w:hAnsi="Calibri" w:cs="Calibri"/>
                <w:b/>
                <w:color w:val="000000"/>
                <w:sz w:val="20"/>
                <w:szCs w:val="20"/>
                <w:lang w:eastAsia="zh-CN"/>
              </w:rPr>
              <w:t>,</w:t>
            </w:r>
            <w:r w:rsidRPr="00E3331B">
              <w:rPr>
                <w:rFonts w:ascii="Calibri" w:eastAsia="Times New Roman" w:hAnsi="Calibri" w:cs="Calibri"/>
                <w:b/>
                <w:color w:val="000000"/>
                <w:sz w:val="20"/>
                <w:szCs w:val="20"/>
                <w:lang w:eastAsia="zh-CN"/>
              </w:rPr>
              <w:t>133)</w:t>
            </w:r>
          </w:p>
        </w:tc>
        <w:tc>
          <w:tcPr>
            <w:tcW w:w="1134" w:type="dxa"/>
            <w:tcBorders>
              <w:top w:val="single" w:sz="4" w:space="0" w:color="auto"/>
              <w:left w:val="nil"/>
              <w:bottom w:val="single" w:sz="4" w:space="0" w:color="auto"/>
              <w:right w:val="nil"/>
            </w:tcBorders>
            <w:shd w:val="clear" w:color="auto" w:fill="auto"/>
            <w:noWrap/>
            <w:vAlign w:val="bottom"/>
            <w:hideMark/>
          </w:tcPr>
          <w:p w:rsidR="00685BE5" w:rsidRPr="00E3331B" w:rsidRDefault="00685BE5" w:rsidP="00AE4C3A">
            <w:pPr>
              <w:spacing w:before="20" w:after="20"/>
              <w:ind w:right="176"/>
              <w:jc w:val="right"/>
              <w:rPr>
                <w:rFonts w:ascii="Calibri" w:eastAsia="Times New Roman" w:hAnsi="Calibri" w:cs="Calibri"/>
                <w:b/>
                <w:color w:val="000000"/>
                <w:sz w:val="20"/>
                <w:szCs w:val="20"/>
                <w:lang w:eastAsia="zh-CN"/>
              </w:rPr>
            </w:pPr>
            <w:r w:rsidRPr="00E3331B">
              <w:rPr>
                <w:rFonts w:ascii="Calibri" w:eastAsia="Times New Roman" w:hAnsi="Calibri" w:cs="Calibri"/>
                <w:b/>
                <w:color w:val="000000"/>
                <w:sz w:val="20"/>
                <w:szCs w:val="20"/>
                <w:lang w:eastAsia="zh-CN"/>
              </w:rPr>
              <w:t>100</w:t>
            </w:r>
          </w:p>
        </w:tc>
      </w:tr>
    </w:tbl>
    <w:p w:rsidR="00685BE5" w:rsidRPr="00E3331B" w:rsidRDefault="00685BE5" w:rsidP="00AE4C3A">
      <w:pPr>
        <w:pStyle w:val="NILSReference"/>
      </w:pPr>
      <w:r w:rsidRPr="00E3331B">
        <w:t xml:space="preserve">Source: 2014 NDIS DSP employee survey, Question C4. </w:t>
      </w:r>
    </w:p>
    <w:p w:rsidR="00B92687" w:rsidRDefault="00B92687" w:rsidP="00AE4C3A">
      <w:pPr>
        <w:rPr>
          <w:rFonts w:cstheme="minorHAnsi"/>
          <w:bCs/>
        </w:rPr>
      </w:pPr>
      <w:bookmarkStart w:id="640" w:name="_Toc425425110"/>
    </w:p>
    <w:p w:rsidR="00685BE5" w:rsidRDefault="00685BE5" w:rsidP="00AE4C3A">
      <w:pPr>
        <w:rPr>
          <w:rFonts w:cstheme="minorHAnsi"/>
          <w:bCs/>
        </w:rPr>
      </w:pPr>
      <w:r w:rsidRPr="00AB33E3">
        <w:rPr>
          <w:rFonts w:cstheme="minorHAnsi"/>
          <w:bCs/>
        </w:rPr>
        <w:t>The age at which employees started work in disa</w:t>
      </w:r>
      <w:r>
        <w:rPr>
          <w:rFonts w:cstheme="minorHAnsi"/>
          <w:bCs/>
        </w:rPr>
        <w:t>bility support is shown Table 4.34</w:t>
      </w:r>
      <w:r w:rsidRPr="00AB33E3">
        <w:rPr>
          <w:rFonts w:cstheme="minorHAnsi"/>
          <w:bCs/>
        </w:rPr>
        <w:t>. A high proportion of disability care workers start</w:t>
      </w:r>
      <w:r>
        <w:rPr>
          <w:rFonts w:cstheme="minorHAnsi"/>
          <w:bCs/>
        </w:rPr>
        <w:t>ed</w:t>
      </w:r>
      <w:r w:rsidRPr="00AB33E3">
        <w:rPr>
          <w:rFonts w:cstheme="minorHAnsi"/>
          <w:bCs/>
        </w:rPr>
        <w:t xml:space="preserve"> working in the sector at a middle stage in life </w:t>
      </w:r>
      <w:r>
        <w:rPr>
          <w:rFonts w:cstheme="minorHAnsi"/>
          <w:bCs/>
        </w:rPr>
        <w:t>with</w:t>
      </w:r>
      <w:r w:rsidRPr="00AB33E3">
        <w:rPr>
          <w:rFonts w:cstheme="minorHAnsi"/>
          <w:bCs/>
        </w:rPr>
        <w:t xml:space="preserve"> about half 30 years or older when they joined the sector.</w:t>
      </w:r>
      <w:r>
        <w:rPr>
          <w:rFonts w:cstheme="minorHAnsi"/>
          <w:bCs/>
        </w:rPr>
        <w:t xml:space="preserve"> </w:t>
      </w:r>
      <w:r w:rsidRPr="00AB33E3">
        <w:rPr>
          <w:rFonts w:cstheme="minorHAnsi"/>
          <w:bCs/>
        </w:rPr>
        <w:t xml:space="preserve">The disability sector therefore appears to be an attractive work environment for </w:t>
      </w:r>
      <w:r>
        <w:rPr>
          <w:rFonts w:cstheme="minorHAnsi"/>
          <w:bCs/>
        </w:rPr>
        <w:t xml:space="preserve">older people, including </w:t>
      </w:r>
      <w:r w:rsidRPr="00AB33E3">
        <w:rPr>
          <w:rFonts w:cstheme="minorHAnsi"/>
          <w:bCs/>
        </w:rPr>
        <w:t>those with previous experience in other fields. This may also reflect the high formal qualifications level held by employees if work start</w:t>
      </w:r>
      <w:r>
        <w:rPr>
          <w:rFonts w:cstheme="minorHAnsi"/>
          <w:bCs/>
        </w:rPr>
        <w:t>ed</w:t>
      </w:r>
      <w:r w:rsidRPr="00AB33E3">
        <w:rPr>
          <w:rFonts w:cstheme="minorHAnsi"/>
          <w:bCs/>
        </w:rPr>
        <w:t xml:space="preserve"> after these qualifications </w:t>
      </w:r>
      <w:r>
        <w:rPr>
          <w:rFonts w:cstheme="minorHAnsi"/>
          <w:bCs/>
        </w:rPr>
        <w:t>we</w:t>
      </w:r>
      <w:r w:rsidRPr="00AB33E3">
        <w:rPr>
          <w:rFonts w:cstheme="minorHAnsi"/>
          <w:bCs/>
        </w:rPr>
        <w:t>re achieved.</w:t>
      </w:r>
      <w:r>
        <w:rPr>
          <w:rFonts w:cstheme="minorHAnsi"/>
          <w:bCs/>
        </w:rPr>
        <w:t xml:space="preserve"> </w:t>
      </w:r>
    </w:p>
    <w:p w:rsidR="00685BE5" w:rsidRPr="00AB33E3" w:rsidRDefault="00685BE5" w:rsidP="0044684E">
      <w:pPr>
        <w:pStyle w:val="NILSTableHeading"/>
      </w:pPr>
      <w:bookmarkStart w:id="641" w:name="_Toc428279241"/>
      <w:bookmarkStart w:id="642" w:name="_Toc449955372"/>
      <w:r>
        <w:t>Table 4.34</w:t>
      </w:r>
      <w:r w:rsidRPr="00AB33E3">
        <w:t>: Age at which began working in the disability support sector</w:t>
      </w:r>
      <w:bookmarkEnd w:id="640"/>
      <w:bookmarkEnd w:id="641"/>
      <w:bookmarkEnd w:id="642"/>
    </w:p>
    <w:tbl>
      <w:tblPr>
        <w:tblW w:w="3846" w:type="dxa"/>
        <w:tblInd w:w="93" w:type="dxa"/>
        <w:tblLook w:val="04A0" w:firstRow="1" w:lastRow="0" w:firstColumn="1" w:lastColumn="0" w:noHBand="0" w:noVBand="1"/>
        <w:tblCaption w:val="Table 4.34 Age at which began working in the disability support sector"/>
      </w:tblPr>
      <w:tblGrid>
        <w:gridCol w:w="2266"/>
        <w:gridCol w:w="1590"/>
      </w:tblGrid>
      <w:tr w:rsidR="00685BE5" w:rsidRPr="00E84C9F" w:rsidTr="00A242B7">
        <w:trPr>
          <w:trHeight w:val="288"/>
          <w:tblHeader/>
        </w:trPr>
        <w:tc>
          <w:tcPr>
            <w:tcW w:w="2266" w:type="dxa"/>
            <w:tcBorders>
              <w:top w:val="single" w:sz="4" w:space="0" w:color="auto"/>
              <w:left w:val="nil"/>
              <w:bottom w:val="nil"/>
              <w:right w:val="nil"/>
            </w:tcBorders>
            <w:shd w:val="clear" w:color="auto" w:fill="auto"/>
            <w:noWrap/>
            <w:vAlign w:val="bottom"/>
            <w:hideMark/>
          </w:tcPr>
          <w:p w:rsidR="00685BE5" w:rsidRPr="00E3331B" w:rsidRDefault="00685BE5" w:rsidP="00AE4C3A">
            <w:pPr>
              <w:spacing w:before="20" w:after="20"/>
              <w:rPr>
                <w:rFonts w:cstheme="minorHAnsi"/>
                <w:bCs/>
                <w:sz w:val="20"/>
                <w:szCs w:val="20"/>
              </w:rPr>
            </w:pPr>
            <w:r w:rsidRPr="00E3331B">
              <w:rPr>
                <w:rFonts w:cstheme="minorHAnsi"/>
                <w:bCs/>
                <w:sz w:val="20"/>
                <w:szCs w:val="20"/>
              </w:rPr>
              <w:t> </w:t>
            </w:r>
            <w:bookmarkStart w:id="643" w:name="Title_4_34"/>
            <w:bookmarkEnd w:id="643"/>
          </w:p>
        </w:tc>
        <w:tc>
          <w:tcPr>
            <w:tcW w:w="1580" w:type="dxa"/>
            <w:tcBorders>
              <w:top w:val="single" w:sz="4" w:space="0" w:color="auto"/>
              <w:left w:val="nil"/>
              <w:bottom w:val="nil"/>
              <w:right w:val="nil"/>
            </w:tcBorders>
            <w:shd w:val="clear" w:color="auto" w:fill="auto"/>
            <w:noWrap/>
            <w:vAlign w:val="bottom"/>
            <w:hideMark/>
          </w:tcPr>
          <w:p w:rsidR="00685BE5" w:rsidRPr="00E3331B" w:rsidRDefault="0096484D" w:rsidP="00AE4C3A">
            <w:pPr>
              <w:spacing w:before="20" w:after="20"/>
              <w:jc w:val="center"/>
              <w:rPr>
                <w:rFonts w:cstheme="minorHAnsi"/>
                <w:bCs/>
                <w:sz w:val="20"/>
                <w:szCs w:val="20"/>
              </w:rPr>
            </w:pPr>
            <w:r>
              <w:rPr>
                <w:rFonts w:cstheme="minorHAnsi"/>
                <w:bCs/>
                <w:sz w:val="20"/>
                <w:szCs w:val="20"/>
              </w:rPr>
              <w:t>%</w:t>
            </w:r>
          </w:p>
        </w:tc>
      </w:tr>
      <w:tr w:rsidR="00685BE5" w:rsidRPr="00B90E88" w:rsidTr="00AE4C3A">
        <w:trPr>
          <w:trHeight w:val="288"/>
        </w:trPr>
        <w:tc>
          <w:tcPr>
            <w:tcW w:w="2266" w:type="dxa"/>
            <w:tcBorders>
              <w:top w:val="single" w:sz="4" w:space="0" w:color="auto"/>
              <w:left w:val="nil"/>
              <w:bottom w:val="nil"/>
              <w:right w:val="nil"/>
            </w:tcBorders>
            <w:shd w:val="clear" w:color="auto" w:fill="auto"/>
            <w:noWrap/>
            <w:vAlign w:val="bottom"/>
            <w:hideMark/>
          </w:tcPr>
          <w:p w:rsidR="00685BE5" w:rsidRPr="007D2274" w:rsidRDefault="00685BE5" w:rsidP="00AE4C3A">
            <w:pPr>
              <w:spacing w:before="20" w:after="20"/>
              <w:rPr>
                <w:rFonts w:cstheme="minorHAnsi"/>
                <w:bCs/>
                <w:sz w:val="20"/>
                <w:szCs w:val="20"/>
              </w:rPr>
            </w:pPr>
            <w:r w:rsidRPr="007D2274">
              <w:rPr>
                <w:rFonts w:cstheme="minorHAnsi"/>
                <w:bCs/>
                <w:sz w:val="20"/>
                <w:szCs w:val="20"/>
              </w:rPr>
              <w:t>21 or under</w:t>
            </w:r>
          </w:p>
        </w:tc>
        <w:tc>
          <w:tcPr>
            <w:tcW w:w="1580" w:type="dxa"/>
            <w:tcBorders>
              <w:top w:val="single" w:sz="4" w:space="0" w:color="auto"/>
              <w:left w:val="nil"/>
              <w:bottom w:val="nil"/>
              <w:right w:val="nil"/>
            </w:tcBorders>
            <w:shd w:val="clear" w:color="auto" w:fill="auto"/>
            <w:noWrap/>
            <w:vAlign w:val="bottom"/>
            <w:hideMark/>
          </w:tcPr>
          <w:p w:rsidR="00685BE5" w:rsidRPr="007D2274" w:rsidRDefault="00685BE5" w:rsidP="00AE4C3A">
            <w:pPr>
              <w:tabs>
                <w:tab w:val="decimal" w:pos="760"/>
              </w:tabs>
              <w:spacing w:before="20" w:after="20"/>
              <w:ind w:right="462"/>
              <w:jc w:val="right"/>
              <w:rPr>
                <w:rFonts w:cstheme="minorHAnsi"/>
                <w:bCs/>
                <w:sz w:val="20"/>
                <w:szCs w:val="20"/>
              </w:rPr>
            </w:pPr>
            <w:r w:rsidRPr="007D2274">
              <w:rPr>
                <w:rFonts w:cstheme="minorHAnsi"/>
                <w:bCs/>
                <w:sz w:val="20"/>
                <w:szCs w:val="20"/>
              </w:rPr>
              <w:t>19.7</w:t>
            </w:r>
          </w:p>
        </w:tc>
      </w:tr>
      <w:tr w:rsidR="00685BE5" w:rsidRPr="00B90E88" w:rsidTr="00AE4C3A">
        <w:trPr>
          <w:trHeight w:val="288"/>
        </w:trPr>
        <w:tc>
          <w:tcPr>
            <w:tcW w:w="2266" w:type="dxa"/>
            <w:tcBorders>
              <w:top w:val="nil"/>
              <w:left w:val="nil"/>
              <w:bottom w:val="nil"/>
              <w:right w:val="nil"/>
            </w:tcBorders>
            <w:shd w:val="clear" w:color="auto" w:fill="auto"/>
            <w:noWrap/>
            <w:vAlign w:val="bottom"/>
            <w:hideMark/>
          </w:tcPr>
          <w:p w:rsidR="00685BE5" w:rsidRPr="007D2274" w:rsidRDefault="00685BE5" w:rsidP="0028511A">
            <w:pPr>
              <w:spacing w:before="20" w:after="20"/>
              <w:rPr>
                <w:rFonts w:cstheme="minorHAnsi"/>
                <w:bCs/>
                <w:sz w:val="20"/>
                <w:szCs w:val="20"/>
              </w:rPr>
            </w:pPr>
            <w:r w:rsidRPr="007D2274">
              <w:rPr>
                <w:rFonts w:cstheme="minorHAnsi"/>
                <w:bCs/>
                <w:sz w:val="20"/>
                <w:szCs w:val="20"/>
              </w:rPr>
              <w:t>22</w:t>
            </w:r>
            <w:r w:rsidR="00A242B7">
              <w:rPr>
                <w:rFonts w:cstheme="minorHAnsi"/>
                <w:bCs/>
                <w:sz w:val="20"/>
                <w:szCs w:val="20"/>
              </w:rPr>
              <w:t xml:space="preserve"> to </w:t>
            </w:r>
            <w:r w:rsidRPr="007D2274">
              <w:rPr>
                <w:rFonts w:cstheme="minorHAnsi"/>
                <w:bCs/>
                <w:sz w:val="20"/>
                <w:szCs w:val="20"/>
              </w:rPr>
              <w:t>29</w:t>
            </w:r>
          </w:p>
        </w:tc>
        <w:tc>
          <w:tcPr>
            <w:tcW w:w="1580" w:type="dxa"/>
            <w:tcBorders>
              <w:top w:val="nil"/>
              <w:left w:val="nil"/>
              <w:bottom w:val="nil"/>
              <w:right w:val="nil"/>
            </w:tcBorders>
            <w:shd w:val="clear" w:color="auto" w:fill="auto"/>
            <w:noWrap/>
            <w:vAlign w:val="bottom"/>
            <w:hideMark/>
          </w:tcPr>
          <w:p w:rsidR="00685BE5" w:rsidRPr="007D2274" w:rsidRDefault="00685BE5" w:rsidP="00AE4C3A">
            <w:pPr>
              <w:tabs>
                <w:tab w:val="decimal" w:pos="760"/>
              </w:tabs>
              <w:spacing w:before="20" w:after="20"/>
              <w:ind w:right="462"/>
              <w:jc w:val="right"/>
              <w:rPr>
                <w:rFonts w:cstheme="minorHAnsi"/>
                <w:bCs/>
                <w:sz w:val="20"/>
                <w:szCs w:val="20"/>
              </w:rPr>
            </w:pPr>
            <w:r w:rsidRPr="007D2274">
              <w:rPr>
                <w:rFonts w:cstheme="minorHAnsi"/>
                <w:bCs/>
                <w:sz w:val="20"/>
                <w:szCs w:val="20"/>
              </w:rPr>
              <w:t>28.3</w:t>
            </w:r>
          </w:p>
        </w:tc>
      </w:tr>
      <w:tr w:rsidR="00685BE5" w:rsidRPr="00B90E88" w:rsidTr="00AE4C3A">
        <w:trPr>
          <w:trHeight w:val="288"/>
        </w:trPr>
        <w:tc>
          <w:tcPr>
            <w:tcW w:w="2266" w:type="dxa"/>
            <w:tcBorders>
              <w:top w:val="nil"/>
              <w:left w:val="nil"/>
              <w:bottom w:val="nil"/>
              <w:right w:val="nil"/>
            </w:tcBorders>
            <w:shd w:val="clear" w:color="auto" w:fill="auto"/>
            <w:noWrap/>
            <w:vAlign w:val="bottom"/>
            <w:hideMark/>
          </w:tcPr>
          <w:p w:rsidR="00685BE5" w:rsidRPr="007D2274" w:rsidRDefault="00685BE5" w:rsidP="0028511A">
            <w:pPr>
              <w:spacing w:before="20" w:after="20"/>
              <w:rPr>
                <w:rFonts w:cstheme="minorHAnsi"/>
                <w:bCs/>
                <w:sz w:val="20"/>
                <w:szCs w:val="20"/>
              </w:rPr>
            </w:pPr>
            <w:r w:rsidRPr="007D2274">
              <w:rPr>
                <w:rFonts w:cstheme="minorHAnsi"/>
                <w:bCs/>
                <w:sz w:val="20"/>
                <w:szCs w:val="20"/>
              </w:rPr>
              <w:t>30</w:t>
            </w:r>
            <w:r w:rsidR="00A242B7">
              <w:rPr>
                <w:rFonts w:cstheme="minorHAnsi"/>
                <w:bCs/>
                <w:sz w:val="20"/>
                <w:szCs w:val="20"/>
              </w:rPr>
              <w:t xml:space="preserve"> to </w:t>
            </w:r>
            <w:r w:rsidRPr="007D2274">
              <w:rPr>
                <w:rFonts w:cstheme="minorHAnsi"/>
                <w:bCs/>
                <w:sz w:val="20"/>
                <w:szCs w:val="20"/>
              </w:rPr>
              <w:t>39</w:t>
            </w:r>
            <w:r w:rsidR="00A242B7">
              <w:rPr>
                <w:rFonts w:cstheme="minorHAnsi"/>
                <w:bCs/>
                <w:sz w:val="20"/>
                <w:szCs w:val="20"/>
              </w:rPr>
              <w:t xml:space="preserve"> </w:t>
            </w:r>
          </w:p>
        </w:tc>
        <w:tc>
          <w:tcPr>
            <w:tcW w:w="1580" w:type="dxa"/>
            <w:tcBorders>
              <w:top w:val="nil"/>
              <w:left w:val="nil"/>
              <w:bottom w:val="nil"/>
              <w:right w:val="nil"/>
            </w:tcBorders>
            <w:shd w:val="clear" w:color="auto" w:fill="auto"/>
            <w:noWrap/>
            <w:vAlign w:val="bottom"/>
            <w:hideMark/>
          </w:tcPr>
          <w:p w:rsidR="00685BE5" w:rsidRPr="007D2274" w:rsidRDefault="00685BE5" w:rsidP="00AE4C3A">
            <w:pPr>
              <w:tabs>
                <w:tab w:val="decimal" w:pos="760"/>
              </w:tabs>
              <w:spacing w:before="20" w:after="20"/>
              <w:ind w:right="462"/>
              <w:jc w:val="right"/>
              <w:rPr>
                <w:rFonts w:cstheme="minorHAnsi"/>
                <w:bCs/>
                <w:sz w:val="20"/>
                <w:szCs w:val="20"/>
              </w:rPr>
            </w:pPr>
            <w:r w:rsidRPr="007D2274">
              <w:rPr>
                <w:rFonts w:cstheme="minorHAnsi"/>
                <w:bCs/>
                <w:sz w:val="20"/>
                <w:szCs w:val="20"/>
              </w:rPr>
              <w:t>21.8</w:t>
            </w:r>
          </w:p>
        </w:tc>
      </w:tr>
      <w:tr w:rsidR="00685BE5" w:rsidRPr="00B90E88" w:rsidTr="00AE4C3A">
        <w:trPr>
          <w:trHeight w:val="288"/>
        </w:trPr>
        <w:tc>
          <w:tcPr>
            <w:tcW w:w="2266" w:type="dxa"/>
            <w:tcBorders>
              <w:top w:val="nil"/>
              <w:left w:val="nil"/>
              <w:bottom w:val="nil"/>
              <w:right w:val="nil"/>
            </w:tcBorders>
            <w:shd w:val="clear" w:color="auto" w:fill="auto"/>
            <w:noWrap/>
            <w:vAlign w:val="bottom"/>
            <w:hideMark/>
          </w:tcPr>
          <w:p w:rsidR="00685BE5" w:rsidRPr="007D2274" w:rsidRDefault="00A242B7" w:rsidP="0028511A">
            <w:pPr>
              <w:spacing w:before="20" w:after="20"/>
              <w:rPr>
                <w:rFonts w:cstheme="minorHAnsi"/>
                <w:bCs/>
                <w:sz w:val="20"/>
                <w:szCs w:val="20"/>
              </w:rPr>
            </w:pPr>
            <w:r>
              <w:rPr>
                <w:rFonts w:cstheme="minorHAnsi"/>
                <w:bCs/>
                <w:sz w:val="20"/>
                <w:szCs w:val="20"/>
              </w:rPr>
              <w:t xml:space="preserve">40 to </w:t>
            </w:r>
            <w:r w:rsidR="00685BE5" w:rsidRPr="007D2274">
              <w:rPr>
                <w:rFonts w:cstheme="minorHAnsi"/>
                <w:bCs/>
                <w:sz w:val="20"/>
                <w:szCs w:val="20"/>
              </w:rPr>
              <w:t>49</w:t>
            </w:r>
            <w:r>
              <w:rPr>
                <w:rFonts w:cstheme="minorHAnsi"/>
                <w:bCs/>
                <w:sz w:val="20"/>
                <w:szCs w:val="20"/>
              </w:rPr>
              <w:t xml:space="preserve"> </w:t>
            </w:r>
          </w:p>
        </w:tc>
        <w:tc>
          <w:tcPr>
            <w:tcW w:w="1580" w:type="dxa"/>
            <w:tcBorders>
              <w:top w:val="nil"/>
              <w:left w:val="nil"/>
              <w:bottom w:val="nil"/>
              <w:right w:val="nil"/>
            </w:tcBorders>
            <w:shd w:val="clear" w:color="auto" w:fill="auto"/>
            <w:noWrap/>
            <w:vAlign w:val="bottom"/>
            <w:hideMark/>
          </w:tcPr>
          <w:p w:rsidR="00685BE5" w:rsidRPr="007D2274" w:rsidRDefault="00685BE5" w:rsidP="00AE4C3A">
            <w:pPr>
              <w:tabs>
                <w:tab w:val="decimal" w:pos="760"/>
              </w:tabs>
              <w:spacing w:before="20" w:after="20"/>
              <w:ind w:right="462"/>
              <w:jc w:val="right"/>
              <w:rPr>
                <w:rFonts w:cstheme="minorHAnsi"/>
                <w:bCs/>
                <w:sz w:val="20"/>
                <w:szCs w:val="20"/>
              </w:rPr>
            </w:pPr>
            <w:r w:rsidRPr="007D2274">
              <w:rPr>
                <w:rFonts w:cstheme="minorHAnsi"/>
                <w:bCs/>
                <w:sz w:val="20"/>
                <w:szCs w:val="20"/>
              </w:rPr>
              <w:t>19.5</w:t>
            </w:r>
          </w:p>
        </w:tc>
      </w:tr>
      <w:tr w:rsidR="00685BE5" w:rsidRPr="00B90E88" w:rsidTr="00AE4C3A">
        <w:trPr>
          <w:trHeight w:val="288"/>
        </w:trPr>
        <w:tc>
          <w:tcPr>
            <w:tcW w:w="2266" w:type="dxa"/>
            <w:tcBorders>
              <w:top w:val="nil"/>
              <w:left w:val="nil"/>
              <w:bottom w:val="nil"/>
              <w:right w:val="nil"/>
            </w:tcBorders>
            <w:shd w:val="clear" w:color="auto" w:fill="auto"/>
            <w:noWrap/>
            <w:vAlign w:val="bottom"/>
            <w:hideMark/>
          </w:tcPr>
          <w:p w:rsidR="00685BE5" w:rsidRPr="007D2274" w:rsidRDefault="00685BE5" w:rsidP="00AE4C3A">
            <w:pPr>
              <w:spacing w:before="20" w:after="20"/>
              <w:rPr>
                <w:rFonts w:cstheme="minorHAnsi"/>
                <w:bCs/>
                <w:sz w:val="20"/>
                <w:szCs w:val="20"/>
              </w:rPr>
            </w:pPr>
            <w:r>
              <w:rPr>
                <w:rFonts w:cstheme="minorHAnsi"/>
                <w:bCs/>
                <w:sz w:val="20"/>
                <w:szCs w:val="20"/>
              </w:rPr>
              <w:t>50 or above</w:t>
            </w:r>
          </w:p>
        </w:tc>
        <w:tc>
          <w:tcPr>
            <w:tcW w:w="1580" w:type="dxa"/>
            <w:tcBorders>
              <w:top w:val="nil"/>
              <w:left w:val="nil"/>
              <w:bottom w:val="nil"/>
              <w:right w:val="nil"/>
            </w:tcBorders>
            <w:shd w:val="clear" w:color="auto" w:fill="auto"/>
            <w:noWrap/>
            <w:vAlign w:val="bottom"/>
            <w:hideMark/>
          </w:tcPr>
          <w:p w:rsidR="00685BE5" w:rsidRPr="007D2274" w:rsidRDefault="00685BE5" w:rsidP="00AE4C3A">
            <w:pPr>
              <w:tabs>
                <w:tab w:val="decimal" w:pos="760"/>
              </w:tabs>
              <w:spacing w:before="20" w:after="20"/>
              <w:ind w:right="462"/>
              <w:jc w:val="right"/>
              <w:rPr>
                <w:rFonts w:cstheme="minorHAnsi"/>
                <w:bCs/>
                <w:sz w:val="20"/>
                <w:szCs w:val="20"/>
              </w:rPr>
            </w:pPr>
            <w:r w:rsidRPr="007D2274">
              <w:rPr>
                <w:rFonts w:cstheme="minorHAnsi"/>
                <w:bCs/>
                <w:sz w:val="20"/>
                <w:szCs w:val="20"/>
              </w:rPr>
              <w:t>8.7</w:t>
            </w:r>
          </w:p>
        </w:tc>
      </w:tr>
      <w:tr w:rsidR="00685BE5" w:rsidRPr="00B90E88" w:rsidTr="00AE4C3A">
        <w:trPr>
          <w:trHeight w:val="288"/>
        </w:trPr>
        <w:tc>
          <w:tcPr>
            <w:tcW w:w="2266" w:type="dxa"/>
            <w:tcBorders>
              <w:top w:val="nil"/>
              <w:left w:val="nil"/>
              <w:bottom w:val="single" w:sz="4" w:space="0" w:color="auto"/>
              <w:right w:val="nil"/>
            </w:tcBorders>
            <w:shd w:val="clear" w:color="auto" w:fill="auto"/>
            <w:noWrap/>
            <w:vAlign w:val="bottom"/>
            <w:hideMark/>
          </w:tcPr>
          <w:p w:rsidR="00685BE5" w:rsidRPr="007D2274" w:rsidRDefault="00685BE5" w:rsidP="00AE4C3A">
            <w:pPr>
              <w:spacing w:before="20" w:after="20"/>
              <w:rPr>
                <w:rFonts w:cstheme="minorHAnsi"/>
                <w:bCs/>
                <w:sz w:val="20"/>
                <w:szCs w:val="20"/>
              </w:rPr>
            </w:pPr>
            <w:r w:rsidRPr="007D2274">
              <w:rPr>
                <w:rFonts w:cstheme="minorHAnsi"/>
                <w:bCs/>
                <w:sz w:val="20"/>
                <w:szCs w:val="20"/>
              </w:rPr>
              <w:t xml:space="preserve">Question not answered </w:t>
            </w:r>
          </w:p>
        </w:tc>
        <w:tc>
          <w:tcPr>
            <w:tcW w:w="1580" w:type="dxa"/>
            <w:tcBorders>
              <w:top w:val="nil"/>
              <w:left w:val="nil"/>
              <w:bottom w:val="single" w:sz="4" w:space="0" w:color="auto"/>
              <w:right w:val="nil"/>
            </w:tcBorders>
            <w:shd w:val="clear" w:color="auto" w:fill="auto"/>
            <w:noWrap/>
            <w:vAlign w:val="bottom"/>
            <w:hideMark/>
          </w:tcPr>
          <w:p w:rsidR="00685BE5" w:rsidRPr="007D2274" w:rsidRDefault="00685BE5" w:rsidP="00AE4C3A">
            <w:pPr>
              <w:tabs>
                <w:tab w:val="decimal" w:pos="760"/>
              </w:tabs>
              <w:spacing w:before="20" w:after="20"/>
              <w:ind w:right="462"/>
              <w:jc w:val="right"/>
              <w:rPr>
                <w:rFonts w:cstheme="minorHAnsi"/>
                <w:bCs/>
                <w:sz w:val="20"/>
                <w:szCs w:val="20"/>
              </w:rPr>
            </w:pPr>
            <w:r w:rsidRPr="007D2274">
              <w:rPr>
                <w:rFonts w:cstheme="minorHAnsi"/>
                <w:bCs/>
                <w:sz w:val="20"/>
                <w:szCs w:val="20"/>
              </w:rPr>
              <w:t>1.9</w:t>
            </w:r>
          </w:p>
        </w:tc>
      </w:tr>
      <w:tr w:rsidR="00685BE5" w:rsidRPr="00E84C9F" w:rsidTr="00AE4C3A">
        <w:trPr>
          <w:trHeight w:val="288"/>
        </w:trPr>
        <w:tc>
          <w:tcPr>
            <w:tcW w:w="2266" w:type="dxa"/>
            <w:tcBorders>
              <w:top w:val="single" w:sz="4" w:space="0" w:color="auto"/>
              <w:left w:val="nil"/>
              <w:bottom w:val="single" w:sz="4" w:space="0" w:color="auto"/>
              <w:right w:val="nil"/>
            </w:tcBorders>
            <w:shd w:val="clear" w:color="auto" w:fill="auto"/>
            <w:noWrap/>
            <w:vAlign w:val="bottom"/>
            <w:hideMark/>
          </w:tcPr>
          <w:p w:rsidR="00685BE5" w:rsidRPr="00E3331B" w:rsidRDefault="00685BE5" w:rsidP="00AE4C3A">
            <w:pPr>
              <w:spacing w:before="20" w:after="20"/>
              <w:rPr>
                <w:rFonts w:cstheme="minorHAnsi"/>
                <w:b/>
                <w:bCs/>
                <w:sz w:val="20"/>
                <w:szCs w:val="20"/>
              </w:rPr>
            </w:pPr>
            <w:r w:rsidRPr="00E3331B">
              <w:rPr>
                <w:rFonts w:cstheme="minorHAnsi"/>
                <w:b/>
                <w:bCs/>
                <w:sz w:val="20"/>
                <w:szCs w:val="20"/>
              </w:rPr>
              <w:t>Total (N=2</w:t>
            </w:r>
            <w:r>
              <w:rPr>
                <w:rFonts w:cstheme="minorHAnsi"/>
                <w:b/>
                <w:bCs/>
                <w:sz w:val="20"/>
                <w:szCs w:val="20"/>
              </w:rPr>
              <w:t>,</w:t>
            </w:r>
            <w:r w:rsidRPr="00E3331B">
              <w:rPr>
                <w:rFonts w:cstheme="minorHAnsi"/>
                <w:b/>
                <w:bCs/>
                <w:sz w:val="20"/>
                <w:szCs w:val="20"/>
              </w:rPr>
              <w:t>133)</w:t>
            </w:r>
          </w:p>
        </w:tc>
        <w:tc>
          <w:tcPr>
            <w:tcW w:w="1580" w:type="dxa"/>
            <w:tcBorders>
              <w:top w:val="single" w:sz="4" w:space="0" w:color="auto"/>
              <w:left w:val="nil"/>
              <w:bottom w:val="single" w:sz="4" w:space="0" w:color="auto"/>
              <w:right w:val="nil"/>
            </w:tcBorders>
            <w:shd w:val="clear" w:color="auto" w:fill="auto"/>
            <w:noWrap/>
            <w:vAlign w:val="bottom"/>
            <w:hideMark/>
          </w:tcPr>
          <w:p w:rsidR="00685BE5" w:rsidRPr="00E3331B" w:rsidRDefault="00685BE5" w:rsidP="00AE4C3A">
            <w:pPr>
              <w:tabs>
                <w:tab w:val="decimal" w:pos="760"/>
              </w:tabs>
              <w:spacing w:before="20" w:after="20"/>
              <w:ind w:right="462"/>
              <w:jc w:val="right"/>
              <w:rPr>
                <w:rFonts w:cstheme="minorHAnsi"/>
                <w:b/>
                <w:bCs/>
                <w:sz w:val="20"/>
                <w:szCs w:val="20"/>
              </w:rPr>
            </w:pPr>
            <w:r w:rsidRPr="00E3331B">
              <w:rPr>
                <w:rFonts w:cstheme="minorHAnsi"/>
                <w:b/>
                <w:bCs/>
                <w:sz w:val="20"/>
                <w:szCs w:val="20"/>
              </w:rPr>
              <w:t>100</w:t>
            </w:r>
          </w:p>
        </w:tc>
      </w:tr>
    </w:tbl>
    <w:p w:rsidR="00685BE5" w:rsidRPr="005C469C" w:rsidRDefault="00685BE5" w:rsidP="00AE4C3A">
      <w:pPr>
        <w:pStyle w:val="NILSReference"/>
      </w:pPr>
      <w:r w:rsidRPr="005C469C">
        <w:t xml:space="preserve">Source: 2014 NDIS DSP employee survey, Question C2. </w:t>
      </w:r>
    </w:p>
    <w:p w:rsidR="00685BE5" w:rsidRPr="005C469C" w:rsidRDefault="00685BE5" w:rsidP="00AE4C3A">
      <w:pPr>
        <w:pStyle w:val="NILSReference"/>
      </w:pPr>
      <w:r w:rsidRPr="005C469C">
        <w:t>Note: Column per cent is shown.</w:t>
      </w:r>
    </w:p>
    <w:p w:rsidR="00B92687" w:rsidRDefault="00B92687">
      <w:pPr>
        <w:rPr>
          <w:rFonts w:cstheme="minorHAnsi"/>
        </w:rPr>
      </w:pPr>
    </w:p>
    <w:p w:rsidR="00685BE5" w:rsidRPr="009209BE" w:rsidRDefault="00685BE5">
      <w:pPr>
        <w:rPr>
          <w:rFonts w:cstheme="minorHAnsi"/>
        </w:rPr>
      </w:pPr>
      <w:r>
        <w:rPr>
          <w:rFonts w:cstheme="minorHAnsi"/>
        </w:rPr>
        <w:t>The</w:t>
      </w:r>
      <w:r w:rsidRPr="00AB33E3">
        <w:rPr>
          <w:rFonts w:cstheme="minorHAnsi"/>
        </w:rPr>
        <w:t xml:space="preserve"> desire to help others and </w:t>
      </w:r>
      <w:r>
        <w:rPr>
          <w:rFonts w:cstheme="minorHAnsi"/>
        </w:rPr>
        <w:t xml:space="preserve">to </w:t>
      </w:r>
      <w:r w:rsidRPr="00AB33E3">
        <w:rPr>
          <w:rFonts w:cstheme="minorHAnsi"/>
        </w:rPr>
        <w:t xml:space="preserve">do something worthwhile </w:t>
      </w:r>
      <w:r>
        <w:rPr>
          <w:rFonts w:cstheme="minorHAnsi"/>
        </w:rPr>
        <w:t>w</w:t>
      </w:r>
      <w:r w:rsidR="0029478C">
        <w:rPr>
          <w:rFonts w:cstheme="minorHAnsi"/>
        </w:rPr>
        <w:t>ere</w:t>
      </w:r>
      <w:r w:rsidRPr="00AB33E3">
        <w:rPr>
          <w:rFonts w:cstheme="minorHAnsi"/>
        </w:rPr>
        <w:t xml:space="preserve"> the dominant reasons for working in the disability support sector</w:t>
      </w:r>
      <w:r>
        <w:rPr>
          <w:rFonts w:cstheme="minorHAnsi"/>
        </w:rPr>
        <w:t xml:space="preserve"> (Table 4.35)</w:t>
      </w:r>
      <w:r w:rsidRPr="00AB33E3">
        <w:rPr>
          <w:rFonts w:cstheme="minorHAnsi"/>
        </w:rPr>
        <w:t xml:space="preserve">. Around three quarters of workers cited these two factors as key motivations. A number of other work characteristics in the sector, such as, </w:t>
      </w:r>
      <w:r>
        <w:rPr>
          <w:rFonts w:cstheme="minorHAnsi"/>
        </w:rPr>
        <w:t>work being valued and appreciated</w:t>
      </w:r>
      <w:r w:rsidRPr="00AB33E3">
        <w:rPr>
          <w:rFonts w:cstheme="minorHAnsi"/>
        </w:rPr>
        <w:t xml:space="preserve">, variety in tasks and learnings, training and the application of skills </w:t>
      </w:r>
      <w:r>
        <w:rPr>
          <w:rFonts w:cstheme="minorHAnsi"/>
        </w:rPr>
        <w:t>we</w:t>
      </w:r>
      <w:r w:rsidRPr="00AB33E3">
        <w:rPr>
          <w:rFonts w:cstheme="minorHAnsi"/>
        </w:rPr>
        <w:t xml:space="preserve">re also reported as significant reasons </w:t>
      </w:r>
      <w:r>
        <w:rPr>
          <w:rFonts w:cstheme="minorHAnsi"/>
        </w:rPr>
        <w:t xml:space="preserve">for wanting </w:t>
      </w:r>
      <w:r w:rsidRPr="00AB33E3">
        <w:rPr>
          <w:rFonts w:cstheme="minorHAnsi"/>
        </w:rPr>
        <w:t xml:space="preserve">to work in the sector. The traditional concerns of job security and attractive pay </w:t>
      </w:r>
      <w:r>
        <w:rPr>
          <w:rFonts w:cstheme="minorHAnsi"/>
        </w:rPr>
        <w:t>we</w:t>
      </w:r>
      <w:r w:rsidRPr="00AB33E3">
        <w:rPr>
          <w:rFonts w:cstheme="minorHAnsi"/>
        </w:rPr>
        <w:t xml:space="preserve">re </w:t>
      </w:r>
      <w:r>
        <w:rPr>
          <w:rFonts w:cstheme="minorHAnsi"/>
        </w:rPr>
        <w:t>not among the most important sources of</w:t>
      </w:r>
      <w:r w:rsidRPr="00AB33E3">
        <w:rPr>
          <w:rFonts w:cstheme="minorHAnsi"/>
        </w:rPr>
        <w:t xml:space="preserve"> motivation for working in disability care. Pay </w:t>
      </w:r>
      <w:r>
        <w:rPr>
          <w:rFonts w:cstheme="minorHAnsi"/>
        </w:rPr>
        <w:t>wa</w:t>
      </w:r>
      <w:r w:rsidRPr="00AB33E3">
        <w:rPr>
          <w:rFonts w:cstheme="minorHAnsi"/>
        </w:rPr>
        <w:t xml:space="preserve">s </w:t>
      </w:r>
      <w:r>
        <w:rPr>
          <w:rFonts w:cstheme="minorHAnsi"/>
        </w:rPr>
        <w:t xml:space="preserve">reported as </w:t>
      </w:r>
      <w:r w:rsidRPr="00AB33E3">
        <w:rPr>
          <w:rFonts w:cstheme="minorHAnsi"/>
        </w:rPr>
        <w:t xml:space="preserve">the least important factor for employees </w:t>
      </w:r>
      <w:r>
        <w:rPr>
          <w:rFonts w:cstheme="minorHAnsi"/>
        </w:rPr>
        <w:t xml:space="preserve">choosing to work </w:t>
      </w:r>
      <w:r w:rsidRPr="00AB33E3">
        <w:rPr>
          <w:rFonts w:cstheme="minorHAnsi"/>
        </w:rPr>
        <w:t>in this sector</w:t>
      </w:r>
      <w:r>
        <w:rPr>
          <w:rFonts w:cstheme="minorHAnsi"/>
        </w:rPr>
        <w:t>, with only 16.6 per cent of workers citing it as an important motivating factor</w:t>
      </w:r>
      <w:r w:rsidRPr="00AB33E3">
        <w:rPr>
          <w:rFonts w:cstheme="minorHAnsi"/>
        </w:rPr>
        <w:t>. Th</w:t>
      </w:r>
      <w:r>
        <w:rPr>
          <w:rFonts w:cstheme="minorHAnsi"/>
        </w:rPr>
        <w:t>e</w:t>
      </w:r>
      <w:r w:rsidRPr="00AB33E3">
        <w:rPr>
          <w:rFonts w:cstheme="minorHAnsi"/>
        </w:rPr>
        <w:t xml:space="preserve"> suggest</w:t>
      </w:r>
      <w:r>
        <w:rPr>
          <w:rFonts w:cstheme="minorHAnsi"/>
        </w:rPr>
        <w:t>ion</w:t>
      </w:r>
      <w:r w:rsidRPr="00AB33E3">
        <w:rPr>
          <w:rFonts w:cstheme="minorHAnsi"/>
        </w:rPr>
        <w:t xml:space="preserve">s </w:t>
      </w:r>
      <w:r>
        <w:rPr>
          <w:rFonts w:cstheme="minorHAnsi"/>
        </w:rPr>
        <w:t xml:space="preserve">emerging from Table 4.35 are </w:t>
      </w:r>
      <w:r w:rsidRPr="00AB33E3">
        <w:rPr>
          <w:rFonts w:cstheme="minorHAnsi"/>
        </w:rPr>
        <w:t>that people work</w:t>
      </w:r>
      <w:r>
        <w:rPr>
          <w:rFonts w:cstheme="minorHAnsi"/>
        </w:rPr>
        <w:t>ed</w:t>
      </w:r>
      <w:r w:rsidRPr="00AB33E3">
        <w:rPr>
          <w:rFonts w:cstheme="minorHAnsi"/>
        </w:rPr>
        <w:t xml:space="preserve"> in this sector despite the pay </w:t>
      </w:r>
      <w:r w:rsidRPr="00AB33E3">
        <w:rPr>
          <w:rFonts w:cstheme="minorHAnsi"/>
        </w:rPr>
        <w:lastRenderedPageBreak/>
        <w:t>and conditions, rather than because of them</w:t>
      </w:r>
      <w:r>
        <w:rPr>
          <w:rFonts w:cstheme="minorHAnsi"/>
        </w:rPr>
        <w:t xml:space="preserve"> and that t</w:t>
      </w:r>
      <w:r w:rsidRPr="00AB33E3">
        <w:rPr>
          <w:rFonts w:cstheme="minorHAnsi"/>
        </w:rPr>
        <w:t xml:space="preserve">hey </w:t>
      </w:r>
      <w:r>
        <w:rPr>
          <w:rFonts w:cstheme="minorHAnsi"/>
        </w:rPr>
        <w:t>we</w:t>
      </w:r>
      <w:r w:rsidRPr="00AB33E3">
        <w:rPr>
          <w:rFonts w:cstheme="minorHAnsi"/>
        </w:rPr>
        <w:t xml:space="preserve">re </w:t>
      </w:r>
      <w:r>
        <w:rPr>
          <w:rFonts w:cstheme="minorHAnsi"/>
        </w:rPr>
        <w:t xml:space="preserve">primarily </w:t>
      </w:r>
      <w:r w:rsidRPr="00AB33E3">
        <w:rPr>
          <w:rFonts w:cstheme="minorHAnsi"/>
        </w:rPr>
        <w:t xml:space="preserve">motivated by the opportunity </w:t>
      </w:r>
      <w:r>
        <w:rPr>
          <w:rFonts w:cstheme="minorHAnsi"/>
        </w:rPr>
        <w:t xml:space="preserve">this sector gave them </w:t>
      </w:r>
      <w:r w:rsidRPr="00AB33E3">
        <w:rPr>
          <w:rFonts w:cstheme="minorHAnsi"/>
        </w:rPr>
        <w:t>to do a worthwhile and valued jo</w:t>
      </w:r>
      <w:r>
        <w:rPr>
          <w:rFonts w:cstheme="minorHAnsi"/>
        </w:rPr>
        <w:t>b.</w:t>
      </w:r>
      <w:bookmarkStart w:id="644" w:name="_Toc425425112"/>
    </w:p>
    <w:p w:rsidR="00685BE5" w:rsidRPr="00AB33E3" w:rsidRDefault="00685BE5" w:rsidP="0044684E">
      <w:pPr>
        <w:pStyle w:val="NILSTableHeading"/>
      </w:pPr>
      <w:bookmarkStart w:id="645" w:name="_Toc428279242"/>
      <w:bookmarkStart w:id="646" w:name="_Toc449955373"/>
      <w:r w:rsidRPr="00AB33E3">
        <w:t xml:space="preserve">Table </w:t>
      </w:r>
      <w:r>
        <w:t>4.35</w:t>
      </w:r>
      <w:r w:rsidRPr="00AB33E3">
        <w:t>: Reasons to work in the disability support sector</w:t>
      </w:r>
      <w:bookmarkEnd w:id="644"/>
      <w:bookmarkEnd w:id="645"/>
      <w:bookmarkEnd w:id="646"/>
    </w:p>
    <w:tbl>
      <w:tblPr>
        <w:tblW w:w="5544" w:type="dxa"/>
        <w:tblInd w:w="93" w:type="dxa"/>
        <w:tblLook w:val="04A0" w:firstRow="1" w:lastRow="0" w:firstColumn="1" w:lastColumn="0" w:noHBand="0" w:noVBand="1"/>
        <w:tblCaption w:val="Table 4.35 Reasons to work in the disability support sector"/>
      </w:tblPr>
      <w:tblGrid>
        <w:gridCol w:w="4551"/>
        <w:gridCol w:w="993"/>
      </w:tblGrid>
      <w:tr w:rsidR="00685BE5" w:rsidRPr="00E84C9F" w:rsidTr="00F5608D">
        <w:trPr>
          <w:trHeight w:val="288"/>
          <w:tblHeader/>
        </w:trPr>
        <w:tc>
          <w:tcPr>
            <w:tcW w:w="4551" w:type="dxa"/>
            <w:tcBorders>
              <w:top w:val="single" w:sz="4" w:space="0" w:color="auto"/>
              <w:left w:val="nil"/>
              <w:bottom w:val="single" w:sz="4" w:space="0" w:color="auto"/>
              <w:right w:val="nil"/>
            </w:tcBorders>
            <w:shd w:val="clear" w:color="auto" w:fill="auto"/>
            <w:noWrap/>
            <w:vAlign w:val="bottom"/>
            <w:hideMark/>
          </w:tcPr>
          <w:p w:rsidR="00685BE5" w:rsidRPr="00E3331B" w:rsidRDefault="00685BE5" w:rsidP="00AE4C3A">
            <w:pPr>
              <w:spacing w:before="20" w:after="20"/>
              <w:rPr>
                <w:rFonts w:cstheme="minorHAnsi"/>
                <w:bCs/>
                <w:sz w:val="20"/>
                <w:szCs w:val="20"/>
              </w:rPr>
            </w:pPr>
            <w:bookmarkStart w:id="647" w:name="Title_4_35"/>
            <w:bookmarkEnd w:id="647"/>
          </w:p>
        </w:tc>
        <w:tc>
          <w:tcPr>
            <w:tcW w:w="993" w:type="dxa"/>
            <w:tcBorders>
              <w:top w:val="single" w:sz="4" w:space="0" w:color="auto"/>
              <w:left w:val="nil"/>
              <w:bottom w:val="single" w:sz="4" w:space="0" w:color="auto"/>
              <w:right w:val="nil"/>
            </w:tcBorders>
            <w:shd w:val="clear" w:color="auto" w:fill="auto"/>
            <w:noWrap/>
            <w:vAlign w:val="bottom"/>
            <w:hideMark/>
          </w:tcPr>
          <w:p w:rsidR="00685BE5" w:rsidRPr="00E84C9F" w:rsidRDefault="0096484D" w:rsidP="0096484D">
            <w:pPr>
              <w:spacing w:before="20" w:after="20"/>
              <w:jc w:val="center"/>
              <w:rPr>
                <w:rFonts w:cstheme="minorHAnsi"/>
                <w:sz w:val="20"/>
                <w:szCs w:val="20"/>
              </w:rPr>
            </w:pPr>
            <w:r>
              <w:rPr>
                <w:rFonts w:cstheme="minorHAnsi"/>
                <w:sz w:val="20"/>
                <w:szCs w:val="20"/>
              </w:rPr>
              <w:t>%</w:t>
            </w:r>
          </w:p>
        </w:tc>
      </w:tr>
      <w:tr w:rsidR="00685BE5" w:rsidRPr="00B90E88" w:rsidTr="00AE4C3A">
        <w:trPr>
          <w:trHeight w:val="288"/>
        </w:trPr>
        <w:tc>
          <w:tcPr>
            <w:tcW w:w="4551" w:type="dxa"/>
            <w:tcBorders>
              <w:top w:val="single" w:sz="4" w:space="0" w:color="auto"/>
              <w:left w:val="nil"/>
              <w:bottom w:val="nil"/>
              <w:right w:val="nil"/>
            </w:tcBorders>
            <w:shd w:val="clear" w:color="auto" w:fill="auto"/>
            <w:noWrap/>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Desire to help others</w:t>
            </w:r>
          </w:p>
        </w:tc>
        <w:tc>
          <w:tcPr>
            <w:tcW w:w="993" w:type="dxa"/>
            <w:tcBorders>
              <w:top w:val="single" w:sz="4" w:space="0" w:color="auto"/>
              <w:left w:val="nil"/>
              <w:bottom w:val="nil"/>
              <w:right w:val="nil"/>
            </w:tcBorders>
            <w:shd w:val="clear" w:color="auto" w:fill="auto"/>
            <w:noWrap/>
            <w:vAlign w:val="bottom"/>
            <w:hideMark/>
          </w:tcPr>
          <w:p w:rsidR="00685BE5" w:rsidRPr="007D2274" w:rsidRDefault="00685BE5" w:rsidP="00AE4C3A">
            <w:pPr>
              <w:tabs>
                <w:tab w:val="decimal" w:pos="459"/>
              </w:tabs>
              <w:spacing w:before="20" w:after="20"/>
              <w:rPr>
                <w:rFonts w:cstheme="minorHAnsi"/>
                <w:sz w:val="20"/>
                <w:szCs w:val="20"/>
              </w:rPr>
            </w:pPr>
            <w:r w:rsidRPr="007D2274">
              <w:rPr>
                <w:rFonts w:cstheme="minorHAnsi"/>
                <w:sz w:val="20"/>
                <w:szCs w:val="20"/>
              </w:rPr>
              <w:t>79.5</w:t>
            </w:r>
          </w:p>
        </w:tc>
      </w:tr>
      <w:tr w:rsidR="00685BE5" w:rsidRPr="00B90E88" w:rsidTr="00AE4C3A">
        <w:trPr>
          <w:trHeight w:val="288"/>
        </w:trPr>
        <w:tc>
          <w:tcPr>
            <w:tcW w:w="4551" w:type="dxa"/>
            <w:tcBorders>
              <w:top w:val="nil"/>
              <w:left w:val="nil"/>
              <w:bottom w:val="nil"/>
              <w:right w:val="nil"/>
            </w:tcBorders>
            <w:shd w:val="clear" w:color="auto" w:fill="auto"/>
            <w:noWrap/>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Desire to do something worthwhile</w:t>
            </w:r>
          </w:p>
        </w:tc>
        <w:tc>
          <w:tcPr>
            <w:tcW w:w="993" w:type="dxa"/>
            <w:tcBorders>
              <w:top w:val="nil"/>
              <w:left w:val="nil"/>
              <w:bottom w:val="nil"/>
              <w:right w:val="nil"/>
            </w:tcBorders>
            <w:shd w:val="clear" w:color="auto" w:fill="auto"/>
            <w:noWrap/>
            <w:vAlign w:val="bottom"/>
            <w:hideMark/>
          </w:tcPr>
          <w:p w:rsidR="00685BE5" w:rsidRPr="007D2274" w:rsidRDefault="00685BE5" w:rsidP="00AE4C3A">
            <w:pPr>
              <w:tabs>
                <w:tab w:val="decimal" w:pos="459"/>
              </w:tabs>
              <w:spacing w:before="20" w:after="20"/>
              <w:rPr>
                <w:rFonts w:cstheme="minorHAnsi"/>
                <w:sz w:val="20"/>
                <w:szCs w:val="20"/>
              </w:rPr>
            </w:pPr>
            <w:r w:rsidRPr="007D2274">
              <w:rPr>
                <w:rFonts w:cstheme="minorHAnsi"/>
                <w:sz w:val="20"/>
                <w:szCs w:val="20"/>
              </w:rPr>
              <w:t>72.1</w:t>
            </w:r>
          </w:p>
        </w:tc>
      </w:tr>
      <w:tr w:rsidR="00685BE5" w:rsidRPr="00B90E88" w:rsidTr="00AE4C3A">
        <w:trPr>
          <w:trHeight w:val="288"/>
        </w:trPr>
        <w:tc>
          <w:tcPr>
            <w:tcW w:w="4551" w:type="dxa"/>
            <w:tcBorders>
              <w:top w:val="nil"/>
              <w:left w:val="nil"/>
              <w:bottom w:val="nil"/>
              <w:right w:val="nil"/>
            </w:tcBorders>
            <w:shd w:val="clear" w:color="auto" w:fill="auto"/>
            <w:noWrap/>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Work being valued and appreciated</w:t>
            </w:r>
          </w:p>
        </w:tc>
        <w:tc>
          <w:tcPr>
            <w:tcW w:w="993" w:type="dxa"/>
            <w:tcBorders>
              <w:top w:val="nil"/>
              <w:left w:val="nil"/>
              <w:bottom w:val="nil"/>
              <w:right w:val="nil"/>
            </w:tcBorders>
            <w:shd w:val="clear" w:color="auto" w:fill="auto"/>
            <w:noWrap/>
            <w:vAlign w:val="bottom"/>
            <w:hideMark/>
          </w:tcPr>
          <w:p w:rsidR="00685BE5" w:rsidRPr="007D2274" w:rsidRDefault="00685BE5" w:rsidP="00AE4C3A">
            <w:pPr>
              <w:tabs>
                <w:tab w:val="decimal" w:pos="459"/>
              </w:tabs>
              <w:spacing w:before="20" w:after="20"/>
              <w:rPr>
                <w:rFonts w:cstheme="minorHAnsi"/>
                <w:sz w:val="20"/>
                <w:szCs w:val="20"/>
              </w:rPr>
            </w:pPr>
            <w:r w:rsidRPr="007D2274">
              <w:rPr>
                <w:rFonts w:cstheme="minorHAnsi"/>
                <w:sz w:val="20"/>
                <w:szCs w:val="20"/>
              </w:rPr>
              <w:t>41.4</w:t>
            </w:r>
          </w:p>
        </w:tc>
      </w:tr>
      <w:tr w:rsidR="00685BE5" w:rsidRPr="00B90E88" w:rsidTr="00AE4C3A">
        <w:trPr>
          <w:trHeight w:val="288"/>
        </w:trPr>
        <w:tc>
          <w:tcPr>
            <w:tcW w:w="4551" w:type="dxa"/>
            <w:tcBorders>
              <w:top w:val="nil"/>
              <w:left w:val="nil"/>
              <w:bottom w:val="nil"/>
              <w:right w:val="nil"/>
            </w:tcBorders>
            <w:shd w:val="clear" w:color="auto" w:fill="auto"/>
            <w:noWrap/>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Supportive co-workers and management</w:t>
            </w:r>
          </w:p>
        </w:tc>
        <w:tc>
          <w:tcPr>
            <w:tcW w:w="993" w:type="dxa"/>
            <w:tcBorders>
              <w:top w:val="nil"/>
              <w:left w:val="nil"/>
              <w:bottom w:val="nil"/>
              <w:right w:val="nil"/>
            </w:tcBorders>
            <w:shd w:val="clear" w:color="auto" w:fill="auto"/>
            <w:noWrap/>
            <w:vAlign w:val="bottom"/>
            <w:hideMark/>
          </w:tcPr>
          <w:p w:rsidR="00685BE5" w:rsidRPr="007D2274" w:rsidRDefault="00685BE5" w:rsidP="00AE4C3A">
            <w:pPr>
              <w:tabs>
                <w:tab w:val="decimal" w:pos="459"/>
              </w:tabs>
              <w:spacing w:before="20" w:after="20"/>
              <w:rPr>
                <w:rFonts w:cstheme="minorHAnsi"/>
                <w:sz w:val="20"/>
                <w:szCs w:val="20"/>
              </w:rPr>
            </w:pPr>
            <w:r w:rsidRPr="007D2274">
              <w:rPr>
                <w:rFonts w:cstheme="minorHAnsi"/>
                <w:sz w:val="20"/>
                <w:szCs w:val="20"/>
              </w:rPr>
              <w:t>25.0</w:t>
            </w:r>
          </w:p>
        </w:tc>
      </w:tr>
      <w:tr w:rsidR="00685BE5" w:rsidRPr="00B90E88" w:rsidTr="00AE4C3A">
        <w:trPr>
          <w:trHeight w:val="288"/>
        </w:trPr>
        <w:tc>
          <w:tcPr>
            <w:tcW w:w="4551" w:type="dxa"/>
            <w:tcBorders>
              <w:top w:val="nil"/>
              <w:left w:val="nil"/>
              <w:bottom w:val="nil"/>
              <w:right w:val="nil"/>
            </w:tcBorders>
            <w:shd w:val="clear" w:color="auto" w:fill="auto"/>
            <w:noWrap/>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Flexibility in working hours or shifts</w:t>
            </w:r>
          </w:p>
        </w:tc>
        <w:tc>
          <w:tcPr>
            <w:tcW w:w="993" w:type="dxa"/>
            <w:tcBorders>
              <w:top w:val="nil"/>
              <w:left w:val="nil"/>
              <w:bottom w:val="nil"/>
              <w:right w:val="nil"/>
            </w:tcBorders>
            <w:shd w:val="clear" w:color="auto" w:fill="auto"/>
            <w:noWrap/>
            <w:vAlign w:val="bottom"/>
            <w:hideMark/>
          </w:tcPr>
          <w:p w:rsidR="00685BE5" w:rsidRPr="007D2274" w:rsidRDefault="00685BE5" w:rsidP="00AE4C3A">
            <w:pPr>
              <w:tabs>
                <w:tab w:val="decimal" w:pos="459"/>
              </w:tabs>
              <w:spacing w:before="20" w:after="20"/>
              <w:rPr>
                <w:rFonts w:cstheme="minorHAnsi"/>
                <w:sz w:val="20"/>
                <w:szCs w:val="20"/>
              </w:rPr>
            </w:pPr>
            <w:r w:rsidRPr="007D2274">
              <w:rPr>
                <w:rFonts w:cstheme="minorHAnsi"/>
                <w:sz w:val="20"/>
                <w:szCs w:val="20"/>
              </w:rPr>
              <w:t>30.3</w:t>
            </w:r>
          </w:p>
        </w:tc>
      </w:tr>
      <w:tr w:rsidR="00685BE5" w:rsidRPr="00B90E88" w:rsidTr="00AE4C3A">
        <w:trPr>
          <w:trHeight w:val="288"/>
        </w:trPr>
        <w:tc>
          <w:tcPr>
            <w:tcW w:w="4551" w:type="dxa"/>
            <w:tcBorders>
              <w:top w:val="nil"/>
              <w:left w:val="nil"/>
              <w:bottom w:val="nil"/>
              <w:right w:val="nil"/>
            </w:tcBorders>
            <w:shd w:val="clear" w:color="auto" w:fill="auto"/>
            <w:noWrap/>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Independence/autonomy and responsibility in work</w:t>
            </w:r>
          </w:p>
        </w:tc>
        <w:tc>
          <w:tcPr>
            <w:tcW w:w="993" w:type="dxa"/>
            <w:tcBorders>
              <w:top w:val="nil"/>
              <w:left w:val="nil"/>
              <w:bottom w:val="nil"/>
              <w:right w:val="nil"/>
            </w:tcBorders>
            <w:shd w:val="clear" w:color="auto" w:fill="auto"/>
            <w:noWrap/>
            <w:vAlign w:val="bottom"/>
            <w:hideMark/>
          </w:tcPr>
          <w:p w:rsidR="00685BE5" w:rsidRPr="007D2274" w:rsidRDefault="00685BE5" w:rsidP="00AE4C3A">
            <w:pPr>
              <w:tabs>
                <w:tab w:val="decimal" w:pos="459"/>
              </w:tabs>
              <w:spacing w:before="20" w:after="20"/>
              <w:rPr>
                <w:rFonts w:cstheme="minorHAnsi"/>
                <w:sz w:val="20"/>
                <w:szCs w:val="20"/>
              </w:rPr>
            </w:pPr>
            <w:r w:rsidRPr="007D2274">
              <w:rPr>
                <w:rFonts w:cstheme="minorHAnsi"/>
                <w:sz w:val="20"/>
                <w:szCs w:val="20"/>
              </w:rPr>
              <w:t>31.5</w:t>
            </w:r>
          </w:p>
        </w:tc>
      </w:tr>
      <w:tr w:rsidR="00685BE5" w:rsidRPr="00B90E88" w:rsidTr="00AE4C3A">
        <w:trPr>
          <w:trHeight w:val="288"/>
        </w:trPr>
        <w:tc>
          <w:tcPr>
            <w:tcW w:w="4551" w:type="dxa"/>
            <w:tcBorders>
              <w:top w:val="nil"/>
              <w:left w:val="nil"/>
              <w:bottom w:val="nil"/>
              <w:right w:val="nil"/>
            </w:tcBorders>
            <w:shd w:val="clear" w:color="auto" w:fill="auto"/>
            <w:noWrap/>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Variety in tasks</w:t>
            </w:r>
          </w:p>
        </w:tc>
        <w:tc>
          <w:tcPr>
            <w:tcW w:w="993" w:type="dxa"/>
            <w:tcBorders>
              <w:top w:val="nil"/>
              <w:left w:val="nil"/>
              <w:bottom w:val="nil"/>
              <w:right w:val="nil"/>
            </w:tcBorders>
            <w:shd w:val="clear" w:color="auto" w:fill="auto"/>
            <w:noWrap/>
            <w:vAlign w:val="bottom"/>
            <w:hideMark/>
          </w:tcPr>
          <w:p w:rsidR="00685BE5" w:rsidRPr="007D2274" w:rsidRDefault="00685BE5" w:rsidP="00AE4C3A">
            <w:pPr>
              <w:tabs>
                <w:tab w:val="decimal" w:pos="459"/>
              </w:tabs>
              <w:spacing w:before="20" w:after="20"/>
              <w:rPr>
                <w:rFonts w:cstheme="minorHAnsi"/>
                <w:sz w:val="20"/>
                <w:szCs w:val="20"/>
              </w:rPr>
            </w:pPr>
            <w:r w:rsidRPr="007D2274">
              <w:rPr>
                <w:rFonts w:cstheme="minorHAnsi"/>
                <w:sz w:val="20"/>
                <w:szCs w:val="20"/>
              </w:rPr>
              <w:t>42.9</w:t>
            </w:r>
          </w:p>
        </w:tc>
      </w:tr>
      <w:tr w:rsidR="00685BE5" w:rsidRPr="00B90E88" w:rsidTr="00AE4C3A">
        <w:trPr>
          <w:trHeight w:val="288"/>
        </w:trPr>
        <w:tc>
          <w:tcPr>
            <w:tcW w:w="4551" w:type="dxa"/>
            <w:tcBorders>
              <w:top w:val="nil"/>
              <w:left w:val="nil"/>
              <w:bottom w:val="nil"/>
              <w:right w:val="nil"/>
            </w:tcBorders>
            <w:shd w:val="clear" w:color="auto" w:fill="auto"/>
            <w:noWrap/>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Learnings, training and the application of skills</w:t>
            </w:r>
          </w:p>
        </w:tc>
        <w:tc>
          <w:tcPr>
            <w:tcW w:w="993" w:type="dxa"/>
            <w:tcBorders>
              <w:top w:val="nil"/>
              <w:left w:val="nil"/>
              <w:bottom w:val="nil"/>
              <w:right w:val="nil"/>
            </w:tcBorders>
            <w:shd w:val="clear" w:color="auto" w:fill="auto"/>
            <w:noWrap/>
            <w:vAlign w:val="bottom"/>
            <w:hideMark/>
          </w:tcPr>
          <w:p w:rsidR="00685BE5" w:rsidRPr="007D2274" w:rsidRDefault="00685BE5" w:rsidP="00AE4C3A">
            <w:pPr>
              <w:tabs>
                <w:tab w:val="decimal" w:pos="459"/>
              </w:tabs>
              <w:spacing w:before="20" w:after="20"/>
              <w:rPr>
                <w:rFonts w:cstheme="minorHAnsi"/>
                <w:sz w:val="20"/>
                <w:szCs w:val="20"/>
              </w:rPr>
            </w:pPr>
            <w:r w:rsidRPr="007D2274">
              <w:rPr>
                <w:rFonts w:cstheme="minorHAnsi"/>
                <w:sz w:val="20"/>
                <w:szCs w:val="20"/>
              </w:rPr>
              <w:t>41.7</w:t>
            </w:r>
          </w:p>
        </w:tc>
      </w:tr>
      <w:tr w:rsidR="00685BE5" w:rsidRPr="00B90E88" w:rsidTr="00AE4C3A">
        <w:trPr>
          <w:trHeight w:val="288"/>
        </w:trPr>
        <w:tc>
          <w:tcPr>
            <w:tcW w:w="4551" w:type="dxa"/>
            <w:tcBorders>
              <w:top w:val="nil"/>
              <w:left w:val="nil"/>
              <w:bottom w:val="nil"/>
              <w:right w:val="nil"/>
            </w:tcBorders>
            <w:shd w:val="clear" w:color="auto" w:fill="auto"/>
            <w:noWrap/>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Job security</w:t>
            </w:r>
          </w:p>
        </w:tc>
        <w:tc>
          <w:tcPr>
            <w:tcW w:w="993" w:type="dxa"/>
            <w:tcBorders>
              <w:top w:val="nil"/>
              <w:left w:val="nil"/>
              <w:bottom w:val="nil"/>
              <w:right w:val="nil"/>
            </w:tcBorders>
            <w:shd w:val="clear" w:color="auto" w:fill="auto"/>
            <w:noWrap/>
            <w:vAlign w:val="bottom"/>
            <w:hideMark/>
          </w:tcPr>
          <w:p w:rsidR="00685BE5" w:rsidRPr="007D2274" w:rsidRDefault="00685BE5" w:rsidP="00AE4C3A">
            <w:pPr>
              <w:tabs>
                <w:tab w:val="decimal" w:pos="459"/>
              </w:tabs>
              <w:spacing w:before="20" w:after="20"/>
              <w:rPr>
                <w:rFonts w:cstheme="minorHAnsi"/>
                <w:sz w:val="20"/>
                <w:szCs w:val="20"/>
              </w:rPr>
            </w:pPr>
            <w:r w:rsidRPr="007D2274">
              <w:rPr>
                <w:rFonts w:cstheme="minorHAnsi"/>
                <w:sz w:val="20"/>
                <w:szCs w:val="20"/>
              </w:rPr>
              <w:t>22.7</w:t>
            </w:r>
          </w:p>
        </w:tc>
      </w:tr>
      <w:tr w:rsidR="00685BE5" w:rsidRPr="00B90E88" w:rsidTr="00AE4C3A">
        <w:trPr>
          <w:trHeight w:val="288"/>
        </w:trPr>
        <w:tc>
          <w:tcPr>
            <w:tcW w:w="4551" w:type="dxa"/>
            <w:tcBorders>
              <w:top w:val="nil"/>
              <w:left w:val="nil"/>
              <w:bottom w:val="nil"/>
              <w:right w:val="nil"/>
            </w:tcBorders>
            <w:shd w:val="clear" w:color="auto" w:fill="auto"/>
            <w:noWrap/>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Pay</w:t>
            </w:r>
          </w:p>
        </w:tc>
        <w:tc>
          <w:tcPr>
            <w:tcW w:w="993" w:type="dxa"/>
            <w:tcBorders>
              <w:top w:val="nil"/>
              <w:left w:val="nil"/>
              <w:bottom w:val="nil"/>
              <w:right w:val="nil"/>
            </w:tcBorders>
            <w:shd w:val="clear" w:color="auto" w:fill="auto"/>
            <w:noWrap/>
            <w:vAlign w:val="bottom"/>
            <w:hideMark/>
          </w:tcPr>
          <w:p w:rsidR="00685BE5" w:rsidRPr="007D2274" w:rsidRDefault="00685BE5" w:rsidP="00AE4C3A">
            <w:pPr>
              <w:tabs>
                <w:tab w:val="decimal" w:pos="459"/>
              </w:tabs>
              <w:spacing w:before="20" w:after="20"/>
              <w:rPr>
                <w:rFonts w:cstheme="minorHAnsi"/>
                <w:sz w:val="20"/>
                <w:szCs w:val="20"/>
              </w:rPr>
            </w:pPr>
            <w:r w:rsidRPr="007D2274">
              <w:rPr>
                <w:rFonts w:cstheme="minorHAnsi"/>
                <w:sz w:val="20"/>
                <w:szCs w:val="20"/>
              </w:rPr>
              <w:t>16.6</w:t>
            </w:r>
          </w:p>
        </w:tc>
      </w:tr>
      <w:tr w:rsidR="00685BE5" w:rsidRPr="00B90E88" w:rsidTr="00AE4C3A">
        <w:trPr>
          <w:trHeight w:val="288"/>
        </w:trPr>
        <w:tc>
          <w:tcPr>
            <w:tcW w:w="4551" w:type="dxa"/>
            <w:tcBorders>
              <w:top w:val="nil"/>
              <w:left w:val="nil"/>
              <w:bottom w:val="nil"/>
              <w:right w:val="nil"/>
            </w:tcBorders>
            <w:shd w:val="clear" w:color="auto" w:fill="auto"/>
            <w:noWrap/>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Career prospects</w:t>
            </w:r>
          </w:p>
        </w:tc>
        <w:tc>
          <w:tcPr>
            <w:tcW w:w="993" w:type="dxa"/>
            <w:tcBorders>
              <w:top w:val="nil"/>
              <w:left w:val="nil"/>
              <w:bottom w:val="nil"/>
              <w:right w:val="nil"/>
            </w:tcBorders>
            <w:shd w:val="clear" w:color="auto" w:fill="auto"/>
            <w:noWrap/>
            <w:vAlign w:val="bottom"/>
            <w:hideMark/>
          </w:tcPr>
          <w:p w:rsidR="00685BE5" w:rsidRPr="007D2274" w:rsidRDefault="00685BE5" w:rsidP="00AE4C3A">
            <w:pPr>
              <w:tabs>
                <w:tab w:val="decimal" w:pos="459"/>
              </w:tabs>
              <w:spacing w:before="20" w:after="20"/>
              <w:rPr>
                <w:rFonts w:cstheme="minorHAnsi"/>
                <w:sz w:val="20"/>
                <w:szCs w:val="20"/>
              </w:rPr>
            </w:pPr>
            <w:r w:rsidRPr="007D2274">
              <w:rPr>
                <w:rFonts w:cstheme="minorHAnsi"/>
                <w:sz w:val="20"/>
                <w:szCs w:val="20"/>
              </w:rPr>
              <w:t>26.1</w:t>
            </w:r>
          </w:p>
        </w:tc>
      </w:tr>
      <w:tr w:rsidR="00685BE5" w:rsidRPr="00B90E88" w:rsidTr="00AE4C3A">
        <w:trPr>
          <w:trHeight w:val="288"/>
        </w:trPr>
        <w:tc>
          <w:tcPr>
            <w:tcW w:w="4551" w:type="dxa"/>
            <w:tcBorders>
              <w:top w:val="nil"/>
              <w:left w:val="nil"/>
              <w:bottom w:val="single" w:sz="4" w:space="0" w:color="auto"/>
              <w:right w:val="nil"/>
            </w:tcBorders>
            <w:shd w:val="clear" w:color="auto" w:fill="auto"/>
            <w:noWrap/>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Other</w:t>
            </w:r>
          </w:p>
        </w:tc>
        <w:tc>
          <w:tcPr>
            <w:tcW w:w="993" w:type="dxa"/>
            <w:tcBorders>
              <w:top w:val="nil"/>
              <w:left w:val="nil"/>
              <w:bottom w:val="single" w:sz="4" w:space="0" w:color="auto"/>
              <w:right w:val="nil"/>
            </w:tcBorders>
            <w:shd w:val="clear" w:color="auto" w:fill="auto"/>
            <w:noWrap/>
            <w:vAlign w:val="bottom"/>
            <w:hideMark/>
          </w:tcPr>
          <w:p w:rsidR="00685BE5" w:rsidRPr="007D2274" w:rsidRDefault="00685BE5" w:rsidP="00AE4C3A">
            <w:pPr>
              <w:tabs>
                <w:tab w:val="decimal" w:pos="459"/>
              </w:tabs>
              <w:spacing w:before="20" w:after="20"/>
              <w:rPr>
                <w:rFonts w:cstheme="minorHAnsi"/>
                <w:sz w:val="20"/>
                <w:szCs w:val="20"/>
              </w:rPr>
            </w:pPr>
            <w:r w:rsidRPr="007D2274">
              <w:rPr>
                <w:rFonts w:cstheme="minorHAnsi"/>
                <w:sz w:val="20"/>
                <w:szCs w:val="20"/>
              </w:rPr>
              <w:t>9.0</w:t>
            </w:r>
          </w:p>
        </w:tc>
      </w:tr>
      <w:tr w:rsidR="00685BE5" w:rsidRPr="00D466AC" w:rsidTr="00AE4C3A">
        <w:tc>
          <w:tcPr>
            <w:tcW w:w="4551" w:type="dxa"/>
            <w:tcBorders>
              <w:top w:val="single" w:sz="4" w:space="0" w:color="auto"/>
              <w:left w:val="nil"/>
              <w:bottom w:val="single" w:sz="4" w:space="0" w:color="auto"/>
              <w:right w:val="nil"/>
            </w:tcBorders>
            <w:shd w:val="clear" w:color="auto" w:fill="auto"/>
            <w:noWrap/>
          </w:tcPr>
          <w:p w:rsidR="00685BE5" w:rsidRPr="00D466AC" w:rsidRDefault="00685BE5" w:rsidP="00AE4C3A">
            <w:pPr>
              <w:spacing w:before="20" w:after="20"/>
              <w:rPr>
                <w:b/>
                <w:sz w:val="20"/>
                <w:szCs w:val="20"/>
              </w:rPr>
            </w:pPr>
            <w:r w:rsidRPr="00D466AC">
              <w:rPr>
                <w:b/>
                <w:sz w:val="20"/>
                <w:szCs w:val="20"/>
              </w:rPr>
              <w:t>Total (N=2</w:t>
            </w:r>
            <w:r>
              <w:rPr>
                <w:b/>
                <w:sz w:val="20"/>
                <w:szCs w:val="20"/>
              </w:rPr>
              <w:t>,</w:t>
            </w:r>
            <w:r w:rsidRPr="00D466AC">
              <w:rPr>
                <w:b/>
                <w:sz w:val="20"/>
                <w:szCs w:val="20"/>
              </w:rPr>
              <w:t>133)</w:t>
            </w:r>
          </w:p>
        </w:tc>
        <w:tc>
          <w:tcPr>
            <w:tcW w:w="993" w:type="dxa"/>
            <w:tcBorders>
              <w:top w:val="single" w:sz="4" w:space="0" w:color="auto"/>
              <w:left w:val="nil"/>
              <w:bottom w:val="single" w:sz="4" w:space="0" w:color="auto"/>
              <w:right w:val="nil"/>
            </w:tcBorders>
            <w:shd w:val="clear" w:color="auto" w:fill="auto"/>
            <w:noWrap/>
          </w:tcPr>
          <w:p w:rsidR="00685BE5" w:rsidRPr="00D466AC" w:rsidRDefault="00685BE5" w:rsidP="00AE4C3A">
            <w:pPr>
              <w:spacing w:before="20" w:after="20"/>
              <w:rPr>
                <w:sz w:val="20"/>
                <w:szCs w:val="20"/>
              </w:rPr>
            </w:pPr>
          </w:p>
        </w:tc>
      </w:tr>
    </w:tbl>
    <w:p w:rsidR="00685BE5" w:rsidRPr="005C469C" w:rsidRDefault="00685BE5" w:rsidP="00AE4C3A">
      <w:pPr>
        <w:pStyle w:val="NILSReference"/>
      </w:pPr>
      <w:r w:rsidRPr="005C469C">
        <w:t>Source: 2014 NDIS DSP employee survey, Question C3.</w:t>
      </w:r>
    </w:p>
    <w:p w:rsidR="00685BE5" w:rsidRPr="005C469C" w:rsidRDefault="00685BE5" w:rsidP="00AE4C3A">
      <w:pPr>
        <w:pStyle w:val="NILSReference"/>
      </w:pPr>
      <w:r w:rsidRPr="005C469C">
        <w:t>Note: Multiple responses allowed, column will not sum to 100.</w:t>
      </w:r>
    </w:p>
    <w:p w:rsidR="00B92687" w:rsidRDefault="00B92687" w:rsidP="00AE4C3A">
      <w:pPr>
        <w:rPr>
          <w:rFonts w:cstheme="minorHAnsi"/>
        </w:rPr>
      </w:pPr>
    </w:p>
    <w:p w:rsidR="00685BE5" w:rsidRDefault="00685BE5" w:rsidP="00AE4C3A">
      <w:pPr>
        <w:rPr>
          <w:rFonts w:cstheme="minorHAnsi"/>
          <w:bCs/>
        </w:rPr>
      </w:pPr>
      <w:r w:rsidRPr="00AB33E3">
        <w:rPr>
          <w:rFonts w:cstheme="minorHAnsi"/>
        </w:rPr>
        <w:t xml:space="preserve">Table </w:t>
      </w:r>
      <w:r>
        <w:rPr>
          <w:rFonts w:cstheme="minorHAnsi"/>
        </w:rPr>
        <w:t>4.36</w:t>
      </w:r>
      <w:r w:rsidRPr="00AB33E3">
        <w:rPr>
          <w:rFonts w:cstheme="minorHAnsi"/>
        </w:rPr>
        <w:t xml:space="preserve"> examines the reasons employees gave for leaving their last job in disability support, if they had held other paid disability support sector jobs. A h</w:t>
      </w:r>
      <w:r w:rsidRPr="00AB33E3">
        <w:rPr>
          <w:rFonts w:cstheme="minorHAnsi"/>
          <w:bCs/>
        </w:rPr>
        <w:t>ouse or location move appears to be the most prevalent reason why they left the previous job in this sector (</w:t>
      </w:r>
      <w:r>
        <w:rPr>
          <w:rFonts w:cstheme="minorHAnsi"/>
          <w:bCs/>
        </w:rPr>
        <w:t>1</w:t>
      </w:r>
      <w:r w:rsidRPr="00AB33E3">
        <w:rPr>
          <w:rFonts w:cstheme="minorHAnsi"/>
          <w:bCs/>
        </w:rPr>
        <w:t>7</w:t>
      </w:r>
      <w:r>
        <w:rPr>
          <w:rFonts w:cstheme="minorHAnsi"/>
          <w:bCs/>
        </w:rPr>
        <w:t>.2</w:t>
      </w:r>
      <w:r w:rsidRPr="00AB33E3">
        <w:rPr>
          <w:rFonts w:cstheme="minorHAnsi"/>
          <w:bCs/>
        </w:rPr>
        <w:t xml:space="preserve"> per cent). A variety of work conditions and work roles, e.g. a desire </w:t>
      </w:r>
      <w:r>
        <w:rPr>
          <w:rFonts w:cstheme="minorHAnsi"/>
          <w:bCs/>
        </w:rPr>
        <w:t>to find more</w:t>
      </w:r>
      <w:r w:rsidRPr="00AB33E3">
        <w:rPr>
          <w:rFonts w:cstheme="minorHAnsi"/>
          <w:bCs/>
        </w:rPr>
        <w:t xml:space="preserve"> challenging work, </w:t>
      </w:r>
      <w:r>
        <w:rPr>
          <w:rFonts w:cstheme="minorHAnsi"/>
          <w:bCs/>
        </w:rPr>
        <w:t xml:space="preserve">to achieve </w:t>
      </w:r>
      <w:r w:rsidRPr="00AB33E3">
        <w:rPr>
          <w:rFonts w:cstheme="minorHAnsi"/>
          <w:bCs/>
        </w:rPr>
        <w:t xml:space="preserve">higher pay, </w:t>
      </w:r>
      <w:r>
        <w:rPr>
          <w:rFonts w:cstheme="minorHAnsi"/>
          <w:bCs/>
        </w:rPr>
        <w:t>the job was too stressful</w:t>
      </w:r>
      <w:r w:rsidRPr="00AB33E3">
        <w:rPr>
          <w:rFonts w:cstheme="minorHAnsi"/>
          <w:bCs/>
        </w:rPr>
        <w:t xml:space="preserve">, </w:t>
      </w:r>
      <w:r>
        <w:rPr>
          <w:rFonts w:cstheme="minorHAnsi"/>
          <w:bCs/>
        </w:rPr>
        <w:t>contract ended or funding ceased</w:t>
      </w:r>
      <w:r w:rsidRPr="00AB33E3">
        <w:rPr>
          <w:rFonts w:cstheme="minorHAnsi"/>
          <w:bCs/>
        </w:rPr>
        <w:t xml:space="preserve">, getting </w:t>
      </w:r>
      <w:r>
        <w:rPr>
          <w:rFonts w:cstheme="minorHAnsi"/>
          <w:bCs/>
        </w:rPr>
        <w:t>the working</w:t>
      </w:r>
      <w:r w:rsidRPr="00AB33E3">
        <w:rPr>
          <w:rFonts w:cstheme="minorHAnsi"/>
          <w:bCs/>
        </w:rPr>
        <w:t xml:space="preserve"> hours</w:t>
      </w:r>
      <w:r>
        <w:rPr>
          <w:rFonts w:cstheme="minorHAnsi"/>
          <w:bCs/>
        </w:rPr>
        <w:t xml:space="preserve"> or </w:t>
      </w:r>
      <w:r w:rsidRPr="00AB33E3">
        <w:rPr>
          <w:rFonts w:cstheme="minorHAnsi"/>
          <w:bCs/>
        </w:rPr>
        <w:t>shifts</w:t>
      </w:r>
      <w:r>
        <w:rPr>
          <w:rFonts w:cstheme="minorHAnsi"/>
          <w:bCs/>
        </w:rPr>
        <w:t xml:space="preserve"> they wanted</w:t>
      </w:r>
      <w:r w:rsidRPr="00AB33E3">
        <w:rPr>
          <w:rFonts w:cstheme="minorHAnsi"/>
          <w:bCs/>
        </w:rPr>
        <w:t xml:space="preserve"> and avoiding managers</w:t>
      </w:r>
      <w:r>
        <w:rPr>
          <w:rFonts w:cstheme="minorHAnsi"/>
          <w:bCs/>
        </w:rPr>
        <w:t xml:space="preserve"> they did not get along with</w:t>
      </w:r>
      <w:r w:rsidRPr="00AB33E3">
        <w:rPr>
          <w:rFonts w:cstheme="minorHAnsi"/>
          <w:bCs/>
        </w:rPr>
        <w:t xml:space="preserve">, are also factors contributing to the churn within the sector. Given the strong motivation to care that respondents reported, it is encouraging to see that very few </w:t>
      </w:r>
      <w:r>
        <w:rPr>
          <w:rFonts w:cstheme="minorHAnsi"/>
          <w:bCs/>
        </w:rPr>
        <w:t>reported</w:t>
      </w:r>
      <w:r w:rsidRPr="00AB33E3">
        <w:rPr>
          <w:rFonts w:cstheme="minorHAnsi"/>
          <w:bCs/>
        </w:rPr>
        <w:t xml:space="preserve"> not having enough time with service users as </w:t>
      </w:r>
      <w:r>
        <w:rPr>
          <w:rFonts w:cstheme="minorHAnsi"/>
          <w:bCs/>
        </w:rPr>
        <w:t>their main</w:t>
      </w:r>
      <w:r w:rsidRPr="00AB33E3">
        <w:rPr>
          <w:rFonts w:cstheme="minorHAnsi"/>
          <w:bCs/>
        </w:rPr>
        <w:t xml:space="preserve"> reason for wanting to change employer. </w:t>
      </w:r>
    </w:p>
    <w:p w:rsidR="00685BE5" w:rsidRPr="00AB33E3" w:rsidRDefault="00685BE5" w:rsidP="0044684E">
      <w:pPr>
        <w:pStyle w:val="NILSTableHeading"/>
      </w:pPr>
      <w:bookmarkStart w:id="648" w:name="_Toc425425113"/>
      <w:bookmarkStart w:id="649" w:name="_Toc428279243"/>
      <w:bookmarkStart w:id="650" w:name="_Toc449955374"/>
      <w:r w:rsidRPr="00AB33E3">
        <w:t xml:space="preserve">Table </w:t>
      </w:r>
      <w:r>
        <w:t>4.36</w:t>
      </w:r>
      <w:r w:rsidRPr="00AB33E3">
        <w:t>: The main reason for leaving one's last job in the disability support sector</w:t>
      </w:r>
      <w:bookmarkEnd w:id="648"/>
      <w:bookmarkEnd w:id="649"/>
      <w:bookmarkEnd w:id="650"/>
    </w:p>
    <w:tbl>
      <w:tblPr>
        <w:tblW w:w="6961" w:type="dxa"/>
        <w:tblInd w:w="93" w:type="dxa"/>
        <w:tblLook w:val="04A0" w:firstRow="1" w:lastRow="0" w:firstColumn="1" w:lastColumn="0" w:noHBand="0" w:noVBand="1"/>
        <w:tblCaption w:val="Table 4.36 The main reason for leaving one's last job in the disability support sector"/>
      </w:tblPr>
      <w:tblGrid>
        <w:gridCol w:w="5544"/>
        <w:gridCol w:w="1417"/>
      </w:tblGrid>
      <w:tr w:rsidR="00685BE5" w:rsidRPr="00FC108A" w:rsidTr="00F5608D">
        <w:trPr>
          <w:trHeight w:val="288"/>
          <w:tblHeader/>
        </w:trPr>
        <w:tc>
          <w:tcPr>
            <w:tcW w:w="5544" w:type="dxa"/>
            <w:tcBorders>
              <w:top w:val="single" w:sz="4" w:space="0" w:color="auto"/>
              <w:left w:val="nil"/>
              <w:bottom w:val="single" w:sz="4" w:space="0" w:color="auto"/>
              <w:right w:val="nil"/>
            </w:tcBorders>
            <w:shd w:val="clear" w:color="auto" w:fill="auto"/>
            <w:noWrap/>
            <w:vAlign w:val="bottom"/>
            <w:hideMark/>
          </w:tcPr>
          <w:p w:rsidR="00685BE5" w:rsidRPr="00AD6D57" w:rsidRDefault="00685BE5" w:rsidP="00301C30">
            <w:pPr>
              <w:spacing w:before="20" w:after="20"/>
              <w:rPr>
                <w:rFonts w:cstheme="minorHAnsi"/>
                <w:bCs/>
                <w:sz w:val="20"/>
                <w:szCs w:val="20"/>
              </w:rPr>
            </w:pPr>
            <w:r w:rsidRPr="00AD6D57">
              <w:rPr>
                <w:rFonts w:cstheme="minorHAnsi"/>
                <w:bCs/>
                <w:sz w:val="20"/>
                <w:szCs w:val="20"/>
              </w:rPr>
              <w:t> </w:t>
            </w:r>
            <w:bookmarkStart w:id="651" w:name="Title_4_36"/>
            <w:bookmarkEnd w:id="651"/>
          </w:p>
        </w:tc>
        <w:tc>
          <w:tcPr>
            <w:tcW w:w="1417" w:type="dxa"/>
            <w:tcBorders>
              <w:top w:val="single" w:sz="4" w:space="0" w:color="auto"/>
              <w:left w:val="nil"/>
              <w:bottom w:val="single" w:sz="4" w:space="0" w:color="auto"/>
              <w:right w:val="nil"/>
            </w:tcBorders>
            <w:shd w:val="clear" w:color="auto" w:fill="auto"/>
            <w:noWrap/>
            <w:vAlign w:val="bottom"/>
            <w:hideMark/>
          </w:tcPr>
          <w:p w:rsidR="00685BE5" w:rsidRPr="00FC108A" w:rsidRDefault="0096484D" w:rsidP="00301C30">
            <w:pPr>
              <w:spacing w:before="20" w:after="20"/>
              <w:jc w:val="center"/>
              <w:rPr>
                <w:rFonts w:cstheme="minorHAnsi"/>
                <w:b/>
                <w:bCs/>
                <w:sz w:val="20"/>
                <w:szCs w:val="20"/>
              </w:rPr>
            </w:pPr>
            <w:r>
              <w:rPr>
                <w:rFonts w:cstheme="minorHAnsi"/>
                <w:bCs/>
                <w:sz w:val="20"/>
                <w:szCs w:val="20"/>
              </w:rPr>
              <w:t>%</w:t>
            </w:r>
          </w:p>
        </w:tc>
      </w:tr>
      <w:tr w:rsidR="00685BE5" w:rsidRPr="00FC108A" w:rsidTr="00AE4C3A">
        <w:trPr>
          <w:trHeight w:val="288"/>
        </w:trPr>
        <w:tc>
          <w:tcPr>
            <w:tcW w:w="5544" w:type="dxa"/>
            <w:tcBorders>
              <w:top w:val="nil"/>
              <w:left w:val="nil"/>
              <w:bottom w:val="nil"/>
              <w:right w:val="nil"/>
            </w:tcBorders>
            <w:shd w:val="clear" w:color="auto" w:fill="auto"/>
            <w:noWrap/>
            <w:vAlign w:val="bottom"/>
            <w:hideMark/>
          </w:tcPr>
          <w:p w:rsidR="00685BE5" w:rsidRPr="00AD6D57" w:rsidRDefault="00685BE5" w:rsidP="00301C30">
            <w:pPr>
              <w:spacing w:before="20" w:after="20"/>
              <w:rPr>
                <w:rFonts w:cstheme="minorHAnsi"/>
                <w:bCs/>
                <w:sz w:val="20"/>
                <w:szCs w:val="20"/>
              </w:rPr>
            </w:pPr>
            <w:r w:rsidRPr="00AD6D57">
              <w:rPr>
                <w:rFonts w:cstheme="minorHAnsi"/>
                <w:bCs/>
                <w:sz w:val="20"/>
                <w:szCs w:val="20"/>
              </w:rPr>
              <w:t>To achieve higher pay</w:t>
            </w:r>
          </w:p>
        </w:tc>
        <w:tc>
          <w:tcPr>
            <w:tcW w:w="1417" w:type="dxa"/>
            <w:tcBorders>
              <w:top w:val="nil"/>
              <w:left w:val="nil"/>
              <w:bottom w:val="nil"/>
              <w:right w:val="nil"/>
            </w:tcBorders>
            <w:shd w:val="clear" w:color="auto" w:fill="auto"/>
            <w:noWrap/>
            <w:vAlign w:val="bottom"/>
            <w:hideMark/>
          </w:tcPr>
          <w:p w:rsidR="00685BE5" w:rsidRPr="00AD6D57" w:rsidRDefault="00685BE5" w:rsidP="00301C30">
            <w:pPr>
              <w:spacing w:before="20" w:after="20"/>
              <w:ind w:right="381"/>
              <w:jc w:val="right"/>
              <w:rPr>
                <w:rFonts w:cstheme="minorHAnsi"/>
                <w:bCs/>
                <w:sz w:val="20"/>
                <w:szCs w:val="20"/>
              </w:rPr>
            </w:pPr>
            <w:r w:rsidRPr="00FC108A">
              <w:rPr>
                <w:rFonts w:ascii="Calibri" w:hAnsi="Calibri" w:cs="Calibri"/>
                <w:color w:val="000000"/>
                <w:sz w:val="20"/>
                <w:szCs w:val="20"/>
              </w:rPr>
              <w:t>8.4</w:t>
            </w:r>
          </w:p>
        </w:tc>
      </w:tr>
      <w:tr w:rsidR="00685BE5" w:rsidRPr="00FC108A" w:rsidTr="00AE4C3A">
        <w:trPr>
          <w:trHeight w:val="288"/>
        </w:trPr>
        <w:tc>
          <w:tcPr>
            <w:tcW w:w="5544" w:type="dxa"/>
            <w:tcBorders>
              <w:top w:val="nil"/>
              <w:left w:val="nil"/>
              <w:bottom w:val="nil"/>
              <w:right w:val="nil"/>
            </w:tcBorders>
            <w:shd w:val="clear" w:color="auto" w:fill="auto"/>
            <w:noWrap/>
            <w:vAlign w:val="bottom"/>
            <w:hideMark/>
          </w:tcPr>
          <w:p w:rsidR="00685BE5" w:rsidRPr="00AD6D57" w:rsidRDefault="00685BE5" w:rsidP="00301C30">
            <w:pPr>
              <w:spacing w:before="20" w:after="20"/>
              <w:rPr>
                <w:rFonts w:cstheme="minorHAnsi"/>
                <w:bCs/>
                <w:sz w:val="20"/>
                <w:szCs w:val="20"/>
              </w:rPr>
            </w:pPr>
            <w:r w:rsidRPr="00AD6D57">
              <w:rPr>
                <w:rFonts w:cstheme="minorHAnsi"/>
                <w:bCs/>
                <w:sz w:val="20"/>
                <w:szCs w:val="20"/>
              </w:rPr>
              <w:t>To avoid co-workers I did not get along with</w:t>
            </w:r>
          </w:p>
        </w:tc>
        <w:tc>
          <w:tcPr>
            <w:tcW w:w="1417" w:type="dxa"/>
            <w:tcBorders>
              <w:top w:val="nil"/>
              <w:left w:val="nil"/>
              <w:bottom w:val="nil"/>
              <w:right w:val="nil"/>
            </w:tcBorders>
            <w:shd w:val="clear" w:color="auto" w:fill="auto"/>
            <w:noWrap/>
            <w:vAlign w:val="bottom"/>
            <w:hideMark/>
          </w:tcPr>
          <w:p w:rsidR="00685BE5" w:rsidRPr="00AD6D57" w:rsidRDefault="00685BE5" w:rsidP="00301C30">
            <w:pPr>
              <w:spacing w:before="20" w:after="20"/>
              <w:ind w:right="381"/>
              <w:jc w:val="right"/>
              <w:rPr>
                <w:rFonts w:cstheme="minorHAnsi"/>
                <w:bCs/>
                <w:sz w:val="20"/>
                <w:szCs w:val="20"/>
              </w:rPr>
            </w:pPr>
            <w:r w:rsidRPr="00FC108A">
              <w:rPr>
                <w:rFonts w:ascii="Calibri" w:hAnsi="Calibri" w:cs="Calibri"/>
                <w:color w:val="000000"/>
                <w:sz w:val="20"/>
                <w:szCs w:val="20"/>
              </w:rPr>
              <w:t>0.9</w:t>
            </w:r>
          </w:p>
        </w:tc>
      </w:tr>
      <w:tr w:rsidR="00685BE5" w:rsidRPr="00FC108A" w:rsidTr="00AE4C3A">
        <w:trPr>
          <w:trHeight w:val="288"/>
        </w:trPr>
        <w:tc>
          <w:tcPr>
            <w:tcW w:w="5544" w:type="dxa"/>
            <w:tcBorders>
              <w:top w:val="nil"/>
              <w:left w:val="nil"/>
              <w:bottom w:val="nil"/>
              <w:right w:val="nil"/>
            </w:tcBorders>
            <w:shd w:val="clear" w:color="auto" w:fill="auto"/>
            <w:noWrap/>
            <w:vAlign w:val="bottom"/>
            <w:hideMark/>
          </w:tcPr>
          <w:p w:rsidR="00685BE5" w:rsidRPr="00AD6D57" w:rsidRDefault="00685BE5" w:rsidP="00301C30">
            <w:pPr>
              <w:spacing w:before="20" w:after="20"/>
              <w:rPr>
                <w:rFonts w:cstheme="minorHAnsi"/>
                <w:bCs/>
                <w:sz w:val="20"/>
                <w:szCs w:val="20"/>
              </w:rPr>
            </w:pPr>
            <w:r w:rsidRPr="00AD6D57">
              <w:rPr>
                <w:rFonts w:cstheme="minorHAnsi"/>
                <w:bCs/>
                <w:sz w:val="20"/>
                <w:szCs w:val="20"/>
              </w:rPr>
              <w:t>To avoid managers I did not get along with</w:t>
            </w:r>
          </w:p>
        </w:tc>
        <w:tc>
          <w:tcPr>
            <w:tcW w:w="1417" w:type="dxa"/>
            <w:tcBorders>
              <w:top w:val="nil"/>
              <w:left w:val="nil"/>
              <w:bottom w:val="nil"/>
              <w:right w:val="nil"/>
            </w:tcBorders>
            <w:shd w:val="clear" w:color="auto" w:fill="auto"/>
            <w:noWrap/>
            <w:vAlign w:val="bottom"/>
            <w:hideMark/>
          </w:tcPr>
          <w:p w:rsidR="00685BE5" w:rsidRPr="00AD6D57" w:rsidRDefault="00685BE5" w:rsidP="00301C30">
            <w:pPr>
              <w:spacing w:before="20" w:after="20"/>
              <w:ind w:right="381"/>
              <w:jc w:val="right"/>
              <w:rPr>
                <w:rFonts w:cstheme="minorHAnsi"/>
                <w:bCs/>
                <w:sz w:val="20"/>
                <w:szCs w:val="20"/>
              </w:rPr>
            </w:pPr>
            <w:r w:rsidRPr="00FC108A">
              <w:rPr>
                <w:rFonts w:ascii="Calibri" w:hAnsi="Calibri" w:cs="Calibri"/>
                <w:color w:val="000000"/>
                <w:sz w:val="20"/>
                <w:szCs w:val="20"/>
              </w:rPr>
              <w:t>5.6</w:t>
            </w:r>
          </w:p>
        </w:tc>
      </w:tr>
      <w:tr w:rsidR="00685BE5" w:rsidRPr="00FC108A" w:rsidTr="00AE4C3A">
        <w:trPr>
          <w:trHeight w:val="288"/>
        </w:trPr>
        <w:tc>
          <w:tcPr>
            <w:tcW w:w="5544" w:type="dxa"/>
            <w:tcBorders>
              <w:top w:val="nil"/>
              <w:left w:val="nil"/>
              <w:bottom w:val="nil"/>
              <w:right w:val="nil"/>
            </w:tcBorders>
            <w:shd w:val="clear" w:color="auto" w:fill="auto"/>
            <w:noWrap/>
            <w:vAlign w:val="bottom"/>
            <w:hideMark/>
          </w:tcPr>
          <w:p w:rsidR="00685BE5" w:rsidRPr="00AD6D57" w:rsidRDefault="00685BE5" w:rsidP="00301C30">
            <w:pPr>
              <w:spacing w:before="20" w:after="20"/>
              <w:rPr>
                <w:rFonts w:cstheme="minorHAnsi"/>
                <w:bCs/>
                <w:sz w:val="20"/>
                <w:szCs w:val="20"/>
              </w:rPr>
            </w:pPr>
            <w:r w:rsidRPr="00AD6D57">
              <w:rPr>
                <w:rFonts w:cstheme="minorHAnsi"/>
                <w:bCs/>
                <w:sz w:val="20"/>
                <w:szCs w:val="20"/>
              </w:rPr>
              <w:t>The job was too stressful</w:t>
            </w:r>
          </w:p>
        </w:tc>
        <w:tc>
          <w:tcPr>
            <w:tcW w:w="1417" w:type="dxa"/>
            <w:tcBorders>
              <w:top w:val="nil"/>
              <w:left w:val="nil"/>
              <w:bottom w:val="nil"/>
              <w:right w:val="nil"/>
            </w:tcBorders>
            <w:shd w:val="clear" w:color="auto" w:fill="auto"/>
            <w:noWrap/>
            <w:vAlign w:val="bottom"/>
            <w:hideMark/>
          </w:tcPr>
          <w:p w:rsidR="00685BE5" w:rsidRPr="00AD6D57" w:rsidRDefault="00685BE5" w:rsidP="00301C30">
            <w:pPr>
              <w:spacing w:before="20" w:after="20"/>
              <w:ind w:right="381"/>
              <w:jc w:val="right"/>
              <w:rPr>
                <w:rFonts w:cstheme="minorHAnsi"/>
                <w:bCs/>
                <w:sz w:val="20"/>
                <w:szCs w:val="20"/>
              </w:rPr>
            </w:pPr>
            <w:r w:rsidRPr="00FC108A">
              <w:rPr>
                <w:rFonts w:ascii="Calibri" w:hAnsi="Calibri" w:cs="Calibri"/>
                <w:color w:val="000000"/>
                <w:sz w:val="20"/>
                <w:szCs w:val="20"/>
              </w:rPr>
              <w:t>8.4</w:t>
            </w:r>
          </w:p>
        </w:tc>
      </w:tr>
      <w:tr w:rsidR="00685BE5" w:rsidRPr="00FC108A" w:rsidTr="00AE4C3A">
        <w:trPr>
          <w:trHeight w:val="288"/>
        </w:trPr>
        <w:tc>
          <w:tcPr>
            <w:tcW w:w="5544" w:type="dxa"/>
            <w:tcBorders>
              <w:top w:val="nil"/>
              <w:left w:val="nil"/>
              <w:bottom w:val="nil"/>
              <w:right w:val="nil"/>
            </w:tcBorders>
            <w:shd w:val="clear" w:color="auto" w:fill="auto"/>
            <w:noWrap/>
            <w:vAlign w:val="bottom"/>
            <w:hideMark/>
          </w:tcPr>
          <w:p w:rsidR="00685BE5" w:rsidRPr="00AD6D57" w:rsidRDefault="00685BE5" w:rsidP="00301C30">
            <w:pPr>
              <w:spacing w:before="20" w:after="20"/>
              <w:rPr>
                <w:rFonts w:cstheme="minorHAnsi"/>
                <w:bCs/>
                <w:sz w:val="20"/>
                <w:szCs w:val="20"/>
              </w:rPr>
            </w:pPr>
            <w:r w:rsidRPr="00AD6D57">
              <w:rPr>
                <w:rFonts w:cstheme="minorHAnsi"/>
                <w:bCs/>
                <w:sz w:val="20"/>
                <w:szCs w:val="20"/>
              </w:rPr>
              <w:t>Not able to spend enough time with service users</w:t>
            </w:r>
          </w:p>
        </w:tc>
        <w:tc>
          <w:tcPr>
            <w:tcW w:w="1417" w:type="dxa"/>
            <w:tcBorders>
              <w:top w:val="nil"/>
              <w:left w:val="nil"/>
              <w:bottom w:val="nil"/>
              <w:right w:val="nil"/>
            </w:tcBorders>
            <w:shd w:val="clear" w:color="auto" w:fill="auto"/>
            <w:noWrap/>
            <w:vAlign w:val="bottom"/>
            <w:hideMark/>
          </w:tcPr>
          <w:p w:rsidR="00685BE5" w:rsidRPr="00AD6D57" w:rsidRDefault="00685BE5" w:rsidP="00301C30">
            <w:pPr>
              <w:spacing w:before="20" w:after="20"/>
              <w:ind w:right="381"/>
              <w:jc w:val="right"/>
              <w:rPr>
                <w:rFonts w:cstheme="minorHAnsi"/>
                <w:bCs/>
                <w:sz w:val="20"/>
                <w:szCs w:val="20"/>
              </w:rPr>
            </w:pPr>
            <w:r w:rsidRPr="00FC108A">
              <w:rPr>
                <w:rFonts w:ascii="Calibri" w:hAnsi="Calibri" w:cs="Calibri"/>
                <w:color w:val="000000"/>
                <w:sz w:val="20"/>
                <w:szCs w:val="20"/>
              </w:rPr>
              <w:t>1.4</w:t>
            </w:r>
          </w:p>
        </w:tc>
      </w:tr>
      <w:tr w:rsidR="00685BE5" w:rsidRPr="00FC108A" w:rsidTr="00AE4C3A">
        <w:trPr>
          <w:trHeight w:val="288"/>
        </w:trPr>
        <w:tc>
          <w:tcPr>
            <w:tcW w:w="5544" w:type="dxa"/>
            <w:tcBorders>
              <w:top w:val="nil"/>
              <w:left w:val="nil"/>
              <w:bottom w:val="nil"/>
              <w:right w:val="nil"/>
            </w:tcBorders>
            <w:shd w:val="clear" w:color="auto" w:fill="auto"/>
            <w:noWrap/>
            <w:vAlign w:val="bottom"/>
            <w:hideMark/>
          </w:tcPr>
          <w:p w:rsidR="00685BE5" w:rsidRPr="00AD6D57" w:rsidRDefault="00685BE5" w:rsidP="00301C30">
            <w:pPr>
              <w:spacing w:before="20" w:after="20"/>
              <w:rPr>
                <w:rFonts w:cstheme="minorHAnsi"/>
                <w:bCs/>
                <w:sz w:val="20"/>
                <w:szCs w:val="20"/>
              </w:rPr>
            </w:pPr>
            <w:r w:rsidRPr="00AD6D57">
              <w:rPr>
                <w:rFonts w:cstheme="minorHAnsi"/>
                <w:bCs/>
                <w:sz w:val="20"/>
                <w:szCs w:val="20"/>
              </w:rPr>
              <w:t>To get the working hours or shifts I wanted</w:t>
            </w:r>
          </w:p>
        </w:tc>
        <w:tc>
          <w:tcPr>
            <w:tcW w:w="1417" w:type="dxa"/>
            <w:tcBorders>
              <w:top w:val="nil"/>
              <w:left w:val="nil"/>
              <w:bottom w:val="nil"/>
              <w:right w:val="nil"/>
            </w:tcBorders>
            <w:shd w:val="clear" w:color="auto" w:fill="auto"/>
            <w:noWrap/>
            <w:vAlign w:val="bottom"/>
            <w:hideMark/>
          </w:tcPr>
          <w:p w:rsidR="00685BE5" w:rsidRPr="00AD6D57" w:rsidRDefault="00685BE5" w:rsidP="00301C30">
            <w:pPr>
              <w:spacing w:before="20" w:after="20"/>
              <w:ind w:right="381"/>
              <w:jc w:val="right"/>
              <w:rPr>
                <w:rFonts w:cstheme="minorHAnsi"/>
                <w:bCs/>
                <w:sz w:val="20"/>
                <w:szCs w:val="20"/>
              </w:rPr>
            </w:pPr>
            <w:r w:rsidRPr="00FC108A">
              <w:rPr>
                <w:rFonts w:ascii="Calibri" w:hAnsi="Calibri" w:cs="Calibri"/>
                <w:color w:val="000000"/>
                <w:sz w:val="20"/>
                <w:szCs w:val="20"/>
              </w:rPr>
              <w:t>6.7</w:t>
            </w:r>
          </w:p>
        </w:tc>
      </w:tr>
      <w:tr w:rsidR="00685BE5" w:rsidRPr="00FC108A" w:rsidTr="00AE4C3A">
        <w:trPr>
          <w:trHeight w:val="288"/>
        </w:trPr>
        <w:tc>
          <w:tcPr>
            <w:tcW w:w="5544" w:type="dxa"/>
            <w:tcBorders>
              <w:top w:val="nil"/>
              <w:left w:val="nil"/>
              <w:bottom w:val="nil"/>
              <w:right w:val="nil"/>
            </w:tcBorders>
            <w:shd w:val="clear" w:color="auto" w:fill="auto"/>
            <w:noWrap/>
            <w:vAlign w:val="bottom"/>
            <w:hideMark/>
          </w:tcPr>
          <w:p w:rsidR="00685BE5" w:rsidRPr="00AD6D57" w:rsidRDefault="00685BE5" w:rsidP="00301C30">
            <w:pPr>
              <w:spacing w:before="20" w:after="20"/>
              <w:rPr>
                <w:rFonts w:cstheme="minorHAnsi"/>
                <w:bCs/>
                <w:sz w:val="20"/>
                <w:szCs w:val="20"/>
              </w:rPr>
            </w:pPr>
            <w:r w:rsidRPr="00AD6D57">
              <w:rPr>
                <w:rFonts w:cstheme="minorHAnsi"/>
                <w:bCs/>
                <w:sz w:val="20"/>
                <w:szCs w:val="20"/>
              </w:rPr>
              <w:t>To be closer to home</w:t>
            </w:r>
          </w:p>
        </w:tc>
        <w:tc>
          <w:tcPr>
            <w:tcW w:w="1417" w:type="dxa"/>
            <w:tcBorders>
              <w:top w:val="nil"/>
              <w:left w:val="nil"/>
              <w:bottom w:val="nil"/>
              <w:right w:val="nil"/>
            </w:tcBorders>
            <w:shd w:val="clear" w:color="auto" w:fill="auto"/>
            <w:noWrap/>
            <w:vAlign w:val="bottom"/>
            <w:hideMark/>
          </w:tcPr>
          <w:p w:rsidR="00685BE5" w:rsidRPr="00AD6D57" w:rsidRDefault="00685BE5" w:rsidP="00301C30">
            <w:pPr>
              <w:spacing w:before="20" w:after="20"/>
              <w:ind w:right="381"/>
              <w:jc w:val="right"/>
              <w:rPr>
                <w:rFonts w:cstheme="minorHAnsi"/>
                <w:bCs/>
                <w:sz w:val="20"/>
                <w:szCs w:val="20"/>
              </w:rPr>
            </w:pPr>
            <w:r w:rsidRPr="00FC108A">
              <w:rPr>
                <w:rFonts w:ascii="Calibri" w:hAnsi="Calibri" w:cs="Calibri"/>
                <w:color w:val="000000"/>
                <w:sz w:val="20"/>
                <w:szCs w:val="20"/>
              </w:rPr>
              <w:t>4.7</w:t>
            </w:r>
          </w:p>
        </w:tc>
      </w:tr>
      <w:tr w:rsidR="00685BE5" w:rsidRPr="00FC108A" w:rsidTr="00AE4C3A">
        <w:trPr>
          <w:trHeight w:val="288"/>
        </w:trPr>
        <w:tc>
          <w:tcPr>
            <w:tcW w:w="5544" w:type="dxa"/>
            <w:tcBorders>
              <w:top w:val="nil"/>
              <w:left w:val="nil"/>
              <w:bottom w:val="nil"/>
              <w:right w:val="nil"/>
            </w:tcBorders>
            <w:shd w:val="clear" w:color="auto" w:fill="auto"/>
            <w:noWrap/>
            <w:vAlign w:val="bottom"/>
            <w:hideMark/>
          </w:tcPr>
          <w:p w:rsidR="00685BE5" w:rsidRPr="00AD6D57" w:rsidRDefault="00685BE5" w:rsidP="00301C30">
            <w:pPr>
              <w:spacing w:before="20" w:after="20"/>
              <w:rPr>
                <w:rFonts w:cstheme="minorHAnsi"/>
                <w:bCs/>
                <w:sz w:val="20"/>
                <w:szCs w:val="20"/>
              </w:rPr>
            </w:pPr>
            <w:r w:rsidRPr="00AD6D57">
              <w:rPr>
                <w:rFonts w:cstheme="minorHAnsi"/>
                <w:bCs/>
                <w:sz w:val="20"/>
                <w:szCs w:val="20"/>
              </w:rPr>
              <w:t>To fulfil caring responsibilities (including having children)</w:t>
            </w:r>
          </w:p>
        </w:tc>
        <w:tc>
          <w:tcPr>
            <w:tcW w:w="1417" w:type="dxa"/>
            <w:tcBorders>
              <w:top w:val="nil"/>
              <w:left w:val="nil"/>
              <w:bottom w:val="nil"/>
              <w:right w:val="nil"/>
            </w:tcBorders>
            <w:shd w:val="clear" w:color="auto" w:fill="auto"/>
            <w:noWrap/>
            <w:vAlign w:val="bottom"/>
            <w:hideMark/>
          </w:tcPr>
          <w:p w:rsidR="00685BE5" w:rsidRPr="00AD6D57" w:rsidRDefault="00685BE5" w:rsidP="00301C30">
            <w:pPr>
              <w:spacing w:before="20" w:after="20"/>
              <w:ind w:right="381"/>
              <w:jc w:val="right"/>
              <w:rPr>
                <w:rFonts w:cstheme="minorHAnsi"/>
                <w:bCs/>
                <w:sz w:val="20"/>
                <w:szCs w:val="20"/>
              </w:rPr>
            </w:pPr>
            <w:r w:rsidRPr="00FC108A">
              <w:rPr>
                <w:rFonts w:ascii="Calibri" w:hAnsi="Calibri" w:cs="Calibri"/>
                <w:color w:val="000000"/>
                <w:sz w:val="20"/>
                <w:szCs w:val="20"/>
              </w:rPr>
              <w:t>3.7</w:t>
            </w:r>
          </w:p>
        </w:tc>
      </w:tr>
      <w:tr w:rsidR="00685BE5" w:rsidRPr="00FC108A" w:rsidTr="00AE4C3A">
        <w:trPr>
          <w:trHeight w:val="288"/>
        </w:trPr>
        <w:tc>
          <w:tcPr>
            <w:tcW w:w="5544" w:type="dxa"/>
            <w:tcBorders>
              <w:top w:val="nil"/>
              <w:left w:val="nil"/>
              <w:bottom w:val="nil"/>
              <w:right w:val="nil"/>
            </w:tcBorders>
            <w:shd w:val="clear" w:color="auto" w:fill="auto"/>
            <w:noWrap/>
            <w:vAlign w:val="bottom"/>
            <w:hideMark/>
          </w:tcPr>
          <w:p w:rsidR="00685BE5" w:rsidRPr="00AD6D57" w:rsidRDefault="00685BE5" w:rsidP="00301C30">
            <w:pPr>
              <w:spacing w:before="20" w:after="20"/>
              <w:rPr>
                <w:rFonts w:cstheme="minorHAnsi"/>
                <w:bCs/>
                <w:sz w:val="20"/>
                <w:szCs w:val="20"/>
              </w:rPr>
            </w:pPr>
            <w:r w:rsidRPr="00AD6D57">
              <w:rPr>
                <w:rFonts w:cstheme="minorHAnsi"/>
                <w:bCs/>
                <w:sz w:val="20"/>
                <w:szCs w:val="20"/>
              </w:rPr>
              <w:t>To find more challenging work</w:t>
            </w:r>
          </w:p>
        </w:tc>
        <w:tc>
          <w:tcPr>
            <w:tcW w:w="1417" w:type="dxa"/>
            <w:tcBorders>
              <w:top w:val="nil"/>
              <w:left w:val="nil"/>
              <w:bottom w:val="nil"/>
              <w:right w:val="nil"/>
            </w:tcBorders>
            <w:shd w:val="clear" w:color="auto" w:fill="auto"/>
            <w:noWrap/>
            <w:vAlign w:val="bottom"/>
            <w:hideMark/>
          </w:tcPr>
          <w:p w:rsidR="00685BE5" w:rsidRPr="00AD6D57" w:rsidRDefault="00685BE5" w:rsidP="00301C30">
            <w:pPr>
              <w:spacing w:before="20" w:after="20"/>
              <w:ind w:right="381"/>
              <w:jc w:val="right"/>
              <w:rPr>
                <w:rFonts w:cstheme="minorHAnsi"/>
                <w:bCs/>
                <w:sz w:val="20"/>
                <w:szCs w:val="20"/>
              </w:rPr>
            </w:pPr>
            <w:r w:rsidRPr="00FC108A">
              <w:rPr>
                <w:rFonts w:ascii="Calibri" w:hAnsi="Calibri" w:cs="Calibri"/>
                <w:color w:val="000000"/>
                <w:sz w:val="20"/>
                <w:szCs w:val="20"/>
              </w:rPr>
              <w:t>13.0</w:t>
            </w:r>
          </w:p>
        </w:tc>
      </w:tr>
      <w:tr w:rsidR="00685BE5" w:rsidRPr="00FC108A" w:rsidTr="00AE4C3A">
        <w:trPr>
          <w:trHeight w:val="288"/>
        </w:trPr>
        <w:tc>
          <w:tcPr>
            <w:tcW w:w="5544" w:type="dxa"/>
            <w:tcBorders>
              <w:top w:val="nil"/>
              <w:left w:val="nil"/>
              <w:bottom w:val="nil"/>
              <w:right w:val="nil"/>
            </w:tcBorders>
            <w:shd w:val="clear" w:color="auto" w:fill="auto"/>
            <w:noWrap/>
            <w:vAlign w:val="bottom"/>
            <w:hideMark/>
          </w:tcPr>
          <w:p w:rsidR="00685BE5" w:rsidRPr="00AD6D57" w:rsidRDefault="00685BE5" w:rsidP="00301C30">
            <w:pPr>
              <w:spacing w:before="20" w:after="20"/>
              <w:rPr>
                <w:rFonts w:cstheme="minorHAnsi"/>
                <w:bCs/>
                <w:sz w:val="20"/>
                <w:szCs w:val="20"/>
              </w:rPr>
            </w:pPr>
            <w:r w:rsidRPr="00AD6D57">
              <w:rPr>
                <w:rFonts w:cstheme="minorHAnsi"/>
                <w:bCs/>
                <w:sz w:val="20"/>
                <w:szCs w:val="20"/>
              </w:rPr>
              <w:t>To find easier work</w:t>
            </w:r>
          </w:p>
        </w:tc>
        <w:tc>
          <w:tcPr>
            <w:tcW w:w="1417" w:type="dxa"/>
            <w:tcBorders>
              <w:top w:val="nil"/>
              <w:left w:val="nil"/>
              <w:bottom w:val="nil"/>
              <w:right w:val="nil"/>
            </w:tcBorders>
            <w:shd w:val="clear" w:color="auto" w:fill="auto"/>
            <w:noWrap/>
            <w:vAlign w:val="bottom"/>
            <w:hideMark/>
          </w:tcPr>
          <w:p w:rsidR="00685BE5" w:rsidRPr="00AD6D57" w:rsidRDefault="00685BE5" w:rsidP="00301C30">
            <w:pPr>
              <w:spacing w:before="20" w:after="20"/>
              <w:ind w:right="381"/>
              <w:jc w:val="right"/>
              <w:rPr>
                <w:rFonts w:cstheme="minorHAnsi"/>
                <w:bCs/>
                <w:sz w:val="20"/>
                <w:szCs w:val="20"/>
              </w:rPr>
            </w:pPr>
            <w:r w:rsidRPr="00FC108A">
              <w:rPr>
                <w:rFonts w:ascii="Calibri" w:hAnsi="Calibri" w:cs="Calibri"/>
                <w:color w:val="000000"/>
                <w:sz w:val="20"/>
                <w:szCs w:val="20"/>
              </w:rPr>
              <w:t>0.5</w:t>
            </w:r>
          </w:p>
        </w:tc>
      </w:tr>
      <w:tr w:rsidR="00685BE5" w:rsidRPr="00FC108A" w:rsidTr="00AE4C3A">
        <w:trPr>
          <w:trHeight w:val="288"/>
        </w:trPr>
        <w:tc>
          <w:tcPr>
            <w:tcW w:w="5544" w:type="dxa"/>
            <w:tcBorders>
              <w:top w:val="nil"/>
              <w:left w:val="nil"/>
              <w:bottom w:val="nil"/>
              <w:right w:val="nil"/>
            </w:tcBorders>
            <w:shd w:val="clear" w:color="auto" w:fill="auto"/>
            <w:noWrap/>
            <w:vAlign w:val="bottom"/>
            <w:hideMark/>
          </w:tcPr>
          <w:p w:rsidR="00685BE5" w:rsidRPr="00AD6D57" w:rsidRDefault="00685BE5" w:rsidP="00301C30">
            <w:pPr>
              <w:spacing w:before="20" w:after="20"/>
              <w:rPr>
                <w:rFonts w:cstheme="minorHAnsi"/>
                <w:bCs/>
                <w:sz w:val="20"/>
                <w:szCs w:val="20"/>
              </w:rPr>
            </w:pPr>
            <w:r w:rsidRPr="00AD6D57">
              <w:rPr>
                <w:rFonts w:cstheme="minorHAnsi"/>
                <w:bCs/>
                <w:sz w:val="20"/>
                <w:szCs w:val="20"/>
              </w:rPr>
              <w:t>Made redundant or retrenched</w:t>
            </w:r>
          </w:p>
        </w:tc>
        <w:tc>
          <w:tcPr>
            <w:tcW w:w="1417" w:type="dxa"/>
            <w:tcBorders>
              <w:top w:val="nil"/>
              <w:left w:val="nil"/>
              <w:bottom w:val="nil"/>
              <w:right w:val="nil"/>
            </w:tcBorders>
            <w:shd w:val="clear" w:color="auto" w:fill="auto"/>
            <w:noWrap/>
            <w:vAlign w:val="bottom"/>
            <w:hideMark/>
          </w:tcPr>
          <w:p w:rsidR="00685BE5" w:rsidRPr="00AD6D57" w:rsidRDefault="00685BE5" w:rsidP="00301C30">
            <w:pPr>
              <w:spacing w:before="20" w:after="20"/>
              <w:ind w:right="381"/>
              <w:jc w:val="right"/>
              <w:rPr>
                <w:rFonts w:cstheme="minorHAnsi"/>
                <w:bCs/>
                <w:sz w:val="20"/>
                <w:szCs w:val="20"/>
              </w:rPr>
            </w:pPr>
            <w:r w:rsidRPr="00FC108A">
              <w:rPr>
                <w:rFonts w:ascii="Calibri" w:hAnsi="Calibri" w:cs="Calibri"/>
                <w:color w:val="000000"/>
                <w:sz w:val="20"/>
                <w:szCs w:val="20"/>
              </w:rPr>
              <w:t>4.7</w:t>
            </w:r>
          </w:p>
        </w:tc>
      </w:tr>
      <w:tr w:rsidR="00685BE5" w:rsidRPr="00FC108A" w:rsidTr="00AE4C3A">
        <w:trPr>
          <w:trHeight w:val="288"/>
        </w:trPr>
        <w:tc>
          <w:tcPr>
            <w:tcW w:w="5544" w:type="dxa"/>
            <w:tcBorders>
              <w:top w:val="nil"/>
              <w:left w:val="nil"/>
              <w:bottom w:val="nil"/>
              <w:right w:val="nil"/>
            </w:tcBorders>
            <w:shd w:val="clear" w:color="auto" w:fill="auto"/>
            <w:noWrap/>
            <w:vAlign w:val="bottom"/>
            <w:hideMark/>
          </w:tcPr>
          <w:p w:rsidR="00685BE5" w:rsidRPr="00AD6D57" w:rsidRDefault="00685BE5" w:rsidP="00301C30">
            <w:pPr>
              <w:spacing w:before="20" w:after="20"/>
              <w:rPr>
                <w:rFonts w:cstheme="minorHAnsi"/>
                <w:bCs/>
                <w:sz w:val="20"/>
                <w:szCs w:val="20"/>
              </w:rPr>
            </w:pPr>
            <w:r w:rsidRPr="00AD6D57">
              <w:rPr>
                <w:rFonts w:cstheme="minorHAnsi"/>
                <w:bCs/>
                <w:sz w:val="20"/>
                <w:szCs w:val="20"/>
              </w:rPr>
              <w:t>Contract ended or funding ceased</w:t>
            </w:r>
          </w:p>
        </w:tc>
        <w:tc>
          <w:tcPr>
            <w:tcW w:w="1417" w:type="dxa"/>
            <w:tcBorders>
              <w:top w:val="nil"/>
              <w:left w:val="nil"/>
              <w:bottom w:val="nil"/>
              <w:right w:val="nil"/>
            </w:tcBorders>
            <w:shd w:val="clear" w:color="auto" w:fill="auto"/>
            <w:noWrap/>
            <w:vAlign w:val="bottom"/>
            <w:hideMark/>
          </w:tcPr>
          <w:p w:rsidR="00685BE5" w:rsidRPr="00AD6D57" w:rsidRDefault="00685BE5" w:rsidP="00301C30">
            <w:pPr>
              <w:spacing w:before="20" w:after="20"/>
              <w:ind w:right="381"/>
              <w:jc w:val="right"/>
              <w:rPr>
                <w:rFonts w:cstheme="minorHAnsi"/>
                <w:bCs/>
                <w:sz w:val="20"/>
                <w:szCs w:val="20"/>
              </w:rPr>
            </w:pPr>
            <w:r w:rsidRPr="00FC108A">
              <w:rPr>
                <w:rFonts w:ascii="Calibri" w:hAnsi="Calibri" w:cs="Calibri"/>
                <w:color w:val="000000"/>
                <w:sz w:val="20"/>
                <w:szCs w:val="20"/>
              </w:rPr>
              <w:t>8.1</w:t>
            </w:r>
          </w:p>
        </w:tc>
      </w:tr>
      <w:tr w:rsidR="00685BE5" w:rsidRPr="00FC108A" w:rsidTr="00AE4C3A">
        <w:trPr>
          <w:trHeight w:val="288"/>
        </w:trPr>
        <w:tc>
          <w:tcPr>
            <w:tcW w:w="5544" w:type="dxa"/>
            <w:tcBorders>
              <w:top w:val="nil"/>
              <w:left w:val="nil"/>
              <w:bottom w:val="nil"/>
              <w:right w:val="nil"/>
            </w:tcBorders>
            <w:shd w:val="clear" w:color="auto" w:fill="auto"/>
            <w:noWrap/>
            <w:vAlign w:val="bottom"/>
            <w:hideMark/>
          </w:tcPr>
          <w:p w:rsidR="00685BE5" w:rsidRPr="00AD6D57" w:rsidRDefault="00685BE5" w:rsidP="00301C30">
            <w:pPr>
              <w:spacing w:before="20" w:after="20"/>
              <w:rPr>
                <w:rFonts w:cstheme="minorHAnsi"/>
                <w:bCs/>
                <w:sz w:val="20"/>
                <w:szCs w:val="20"/>
              </w:rPr>
            </w:pPr>
            <w:r w:rsidRPr="00AD6D57">
              <w:rPr>
                <w:rFonts w:cstheme="minorHAnsi"/>
                <w:bCs/>
                <w:sz w:val="20"/>
                <w:szCs w:val="20"/>
              </w:rPr>
              <w:t>Moved house or location</w:t>
            </w:r>
          </w:p>
        </w:tc>
        <w:tc>
          <w:tcPr>
            <w:tcW w:w="1417" w:type="dxa"/>
            <w:tcBorders>
              <w:top w:val="nil"/>
              <w:left w:val="nil"/>
              <w:bottom w:val="nil"/>
              <w:right w:val="nil"/>
            </w:tcBorders>
            <w:shd w:val="clear" w:color="auto" w:fill="auto"/>
            <w:noWrap/>
            <w:vAlign w:val="bottom"/>
            <w:hideMark/>
          </w:tcPr>
          <w:p w:rsidR="00685BE5" w:rsidRPr="00AD6D57" w:rsidRDefault="00685BE5" w:rsidP="00301C30">
            <w:pPr>
              <w:spacing w:before="20" w:after="20"/>
              <w:ind w:right="381"/>
              <w:jc w:val="right"/>
              <w:rPr>
                <w:rFonts w:cstheme="minorHAnsi"/>
                <w:bCs/>
                <w:sz w:val="20"/>
                <w:szCs w:val="20"/>
              </w:rPr>
            </w:pPr>
            <w:r w:rsidRPr="00FC108A">
              <w:rPr>
                <w:rFonts w:ascii="Calibri" w:hAnsi="Calibri" w:cs="Calibri"/>
                <w:color w:val="000000"/>
                <w:sz w:val="20"/>
                <w:szCs w:val="20"/>
              </w:rPr>
              <w:t>17.2</w:t>
            </w:r>
          </w:p>
        </w:tc>
      </w:tr>
      <w:tr w:rsidR="00685BE5" w:rsidRPr="00FC108A" w:rsidTr="00AE4C3A">
        <w:trPr>
          <w:trHeight w:val="288"/>
        </w:trPr>
        <w:tc>
          <w:tcPr>
            <w:tcW w:w="5544" w:type="dxa"/>
            <w:tcBorders>
              <w:top w:val="nil"/>
              <w:left w:val="nil"/>
              <w:bottom w:val="nil"/>
              <w:right w:val="nil"/>
            </w:tcBorders>
            <w:shd w:val="clear" w:color="auto" w:fill="auto"/>
            <w:noWrap/>
            <w:vAlign w:val="bottom"/>
            <w:hideMark/>
          </w:tcPr>
          <w:p w:rsidR="00685BE5" w:rsidRPr="00AD6D57" w:rsidRDefault="00685BE5" w:rsidP="00301C30">
            <w:pPr>
              <w:spacing w:before="20" w:after="20"/>
              <w:rPr>
                <w:rFonts w:cstheme="minorHAnsi"/>
                <w:bCs/>
                <w:sz w:val="20"/>
                <w:szCs w:val="20"/>
              </w:rPr>
            </w:pPr>
            <w:r w:rsidRPr="00AD6D57">
              <w:rPr>
                <w:rFonts w:cstheme="minorHAnsi"/>
                <w:bCs/>
                <w:sz w:val="20"/>
                <w:szCs w:val="20"/>
              </w:rPr>
              <w:t>Other</w:t>
            </w:r>
          </w:p>
        </w:tc>
        <w:tc>
          <w:tcPr>
            <w:tcW w:w="1417" w:type="dxa"/>
            <w:tcBorders>
              <w:top w:val="nil"/>
              <w:left w:val="nil"/>
              <w:bottom w:val="nil"/>
              <w:right w:val="nil"/>
            </w:tcBorders>
            <w:shd w:val="clear" w:color="auto" w:fill="auto"/>
            <w:noWrap/>
            <w:vAlign w:val="bottom"/>
            <w:hideMark/>
          </w:tcPr>
          <w:p w:rsidR="00685BE5" w:rsidRPr="00AD6D57" w:rsidRDefault="00685BE5" w:rsidP="00301C30">
            <w:pPr>
              <w:spacing w:before="20" w:after="20"/>
              <w:ind w:right="381"/>
              <w:jc w:val="right"/>
              <w:rPr>
                <w:rFonts w:cstheme="minorHAnsi"/>
                <w:bCs/>
                <w:sz w:val="20"/>
                <w:szCs w:val="20"/>
              </w:rPr>
            </w:pPr>
            <w:r w:rsidRPr="00FC108A">
              <w:rPr>
                <w:rFonts w:ascii="Calibri" w:hAnsi="Calibri" w:cs="Calibri"/>
                <w:color w:val="000000"/>
                <w:sz w:val="20"/>
                <w:szCs w:val="20"/>
              </w:rPr>
              <w:t>17.2</w:t>
            </w:r>
          </w:p>
        </w:tc>
      </w:tr>
      <w:tr w:rsidR="00685BE5" w:rsidRPr="00827534" w:rsidTr="00AE4C3A">
        <w:trPr>
          <w:trHeight w:val="288"/>
        </w:trPr>
        <w:tc>
          <w:tcPr>
            <w:tcW w:w="5544" w:type="dxa"/>
            <w:tcBorders>
              <w:top w:val="single" w:sz="4" w:space="0" w:color="auto"/>
              <w:left w:val="nil"/>
              <w:bottom w:val="single" w:sz="4" w:space="0" w:color="auto"/>
              <w:right w:val="nil"/>
            </w:tcBorders>
            <w:shd w:val="clear" w:color="auto" w:fill="auto"/>
            <w:noWrap/>
            <w:vAlign w:val="bottom"/>
            <w:hideMark/>
          </w:tcPr>
          <w:p w:rsidR="00685BE5" w:rsidRPr="00FC108A" w:rsidRDefault="00685BE5" w:rsidP="00301C30">
            <w:pPr>
              <w:spacing w:before="20" w:after="20"/>
              <w:rPr>
                <w:rFonts w:cstheme="minorHAnsi"/>
                <w:b/>
                <w:bCs/>
                <w:sz w:val="20"/>
                <w:szCs w:val="20"/>
              </w:rPr>
            </w:pPr>
            <w:r w:rsidRPr="00AD6D57">
              <w:rPr>
                <w:rFonts w:cstheme="minorHAnsi"/>
                <w:b/>
                <w:bCs/>
                <w:sz w:val="20"/>
                <w:szCs w:val="20"/>
              </w:rPr>
              <w:t>Total (N=917</w:t>
            </w:r>
            <w:r w:rsidRPr="00FC108A">
              <w:rPr>
                <w:rFonts w:cstheme="minorHAnsi"/>
                <w:b/>
                <w:bCs/>
                <w:sz w:val="20"/>
                <w:szCs w:val="20"/>
              </w:rPr>
              <w:t>)</w:t>
            </w:r>
          </w:p>
        </w:tc>
        <w:tc>
          <w:tcPr>
            <w:tcW w:w="1417" w:type="dxa"/>
            <w:tcBorders>
              <w:top w:val="single" w:sz="4" w:space="0" w:color="auto"/>
              <w:left w:val="nil"/>
              <w:bottom w:val="single" w:sz="4" w:space="0" w:color="auto"/>
              <w:right w:val="nil"/>
            </w:tcBorders>
            <w:shd w:val="clear" w:color="auto" w:fill="auto"/>
            <w:noWrap/>
            <w:vAlign w:val="bottom"/>
            <w:hideMark/>
          </w:tcPr>
          <w:p w:rsidR="00685BE5" w:rsidRPr="00FC108A" w:rsidRDefault="00685BE5" w:rsidP="00301C30">
            <w:pPr>
              <w:spacing w:before="20" w:after="20"/>
              <w:ind w:right="381"/>
              <w:jc w:val="right"/>
              <w:rPr>
                <w:rFonts w:cstheme="minorHAnsi"/>
                <w:b/>
                <w:bCs/>
                <w:sz w:val="20"/>
                <w:szCs w:val="20"/>
              </w:rPr>
            </w:pPr>
            <w:r w:rsidRPr="00FC108A">
              <w:rPr>
                <w:rFonts w:cstheme="minorHAnsi"/>
                <w:b/>
                <w:bCs/>
                <w:sz w:val="20"/>
                <w:szCs w:val="20"/>
              </w:rPr>
              <w:t>100</w:t>
            </w:r>
          </w:p>
        </w:tc>
      </w:tr>
    </w:tbl>
    <w:p w:rsidR="00685BE5" w:rsidRPr="005C469C" w:rsidRDefault="00685BE5" w:rsidP="00AE4C3A">
      <w:pPr>
        <w:pStyle w:val="NILSReference"/>
      </w:pPr>
      <w:r w:rsidRPr="005C469C">
        <w:t xml:space="preserve">Source: 2014 NDIS DSP employee survey, Question C10. </w:t>
      </w:r>
      <w:r>
        <w:t>Of the 2,133 cases, 761 were not in the sector in their previous job and 454 did not answer the question.</w:t>
      </w:r>
    </w:p>
    <w:p w:rsidR="00685BE5" w:rsidRDefault="00685BE5" w:rsidP="00AE4C3A">
      <w:pPr>
        <w:rPr>
          <w:rFonts w:cstheme="minorHAnsi"/>
        </w:rPr>
      </w:pPr>
      <w:r>
        <w:rPr>
          <w:rFonts w:cstheme="minorHAnsi"/>
        </w:rPr>
        <w:lastRenderedPageBreak/>
        <w:t>Table 4.37</w:t>
      </w:r>
      <w:r w:rsidRPr="00081709">
        <w:rPr>
          <w:rFonts w:cstheme="minorHAnsi"/>
        </w:rPr>
        <w:t xml:space="preserve"> shows three different measures of length of experience in the disability sector. The first column reports the answer to the question ‘For how many years in total have you worked in the disability support sector?’ The second column shows how many years people have worked for their current employer. The third column shows how many years people have worked in their current job and for their current employer. There is a clear and </w:t>
      </w:r>
      <w:r>
        <w:rPr>
          <w:rFonts w:cstheme="minorHAnsi"/>
        </w:rPr>
        <w:t>un</w:t>
      </w:r>
      <w:r w:rsidRPr="00081709">
        <w:rPr>
          <w:rFonts w:cstheme="minorHAnsi"/>
        </w:rPr>
        <w:t xml:space="preserve">surprising pattern. </w:t>
      </w:r>
      <w:r>
        <w:rPr>
          <w:rFonts w:cstheme="minorHAnsi"/>
        </w:rPr>
        <w:t>By definition, p</w:t>
      </w:r>
      <w:r w:rsidRPr="00081709">
        <w:rPr>
          <w:rFonts w:cstheme="minorHAnsi"/>
        </w:rPr>
        <w:t>eople ha</w:t>
      </w:r>
      <w:r>
        <w:rPr>
          <w:rFonts w:cstheme="minorHAnsi"/>
        </w:rPr>
        <w:t>d</w:t>
      </w:r>
      <w:r w:rsidRPr="00081709">
        <w:rPr>
          <w:rFonts w:cstheme="minorHAnsi"/>
        </w:rPr>
        <w:t xml:space="preserve"> worked longer in the sector than they ha</w:t>
      </w:r>
      <w:r>
        <w:rPr>
          <w:rFonts w:cstheme="minorHAnsi"/>
        </w:rPr>
        <w:t>d</w:t>
      </w:r>
      <w:r w:rsidRPr="00081709">
        <w:rPr>
          <w:rFonts w:cstheme="minorHAnsi"/>
        </w:rPr>
        <w:t xml:space="preserve"> for their current employer, and longer for their current employer than in their current job</w:t>
      </w:r>
      <w:r>
        <w:rPr>
          <w:rFonts w:cstheme="minorHAnsi"/>
        </w:rPr>
        <w:t xml:space="preserve"> (the question is by how much)</w:t>
      </w:r>
      <w:r w:rsidRPr="00081709">
        <w:rPr>
          <w:rFonts w:cstheme="minorHAnsi"/>
        </w:rPr>
        <w:t>. Over one third (38</w:t>
      </w:r>
      <w:r>
        <w:rPr>
          <w:rFonts w:cstheme="minorHAnsi"/>
        </w:rPr>
        <w:t xml:space="preserve"> per cent</w:t>
      </w:r>
      <w:r w:rsidRPr="00081709">
        <w:rPr>
          <w:rFonts w:cstheme="minorHAnsi"/>
        </w:rPr>
        <w:t>) ha</w:t>
      </w:r>
      <w:r>
        <w:rPr>
          <w:rFonts w:cstheme="minorHAnsi"/>
        </w:rPr>
        <w:t>d</w:t>
      </w:r>
      <w:r w:rsidRPr="00081709">
        <w:rPr>
          <w:rFonts w:cstheme="minorHAnsi"/>
        </w:rPr>
        <w:t xml:space="preserve"> worked in the sector for 10 years or more while less than half that proportion (15</w:t>
      </w:r>
      <w:r>
        <w:rPr>
          <w:rFonts w:cstheme="minorHAnsi"/>
        </w:rPr>
        <w:t xml:space="preserve"> per cent</w:t>
      </w:r>
      <w:r w:rsidRPr="00081709">
        <w:rPr>
          <w:rFonts w:cstheme="minorHAnsi"/>
        </w:rPr>
        <w:t>) ha</w:t>
      </w:r>
      <w:r>
        <w:rPr>
          <w:rFonts w:cstheme="minorHAnsi"/>
        </w:rPr>
        <w:t>d</w:t>
      </w:r>
      <w:r w:rsidRPr="00081709">
        <w:rPr>
          <w:rFonts w:cstheme="minorHAnsi"/>
        </w:rPr>
        <w:t xml:space="preserve"> done the same job for that length of time. Table </w:t>
      </w:r>
      <w:r>
        <w:rPr>
          <w:rFonts w:cstheme="minorHAnsi"/>
        </w:rPr>
        <w:t xml:space="preserve">4.37 </w:t>
      </w:r>
      <w:r w:rsidRPr="00081709">
        <w:rPr>
          <w:rFonts w:cstheme="minorHAnsi"/>
        </w:rPr>
        <w:t xml:space="preserve">shows that there </w:t>
      </w:r>
      <w:r>
        <w:rPr>
          <w:rFonts w:cstheme="minorHAnsi"/>
        </w:rPr>
        <w:t>wa</w:t>
      </w:r>
      <w:r w:rsidRPr="00081709">
        <w:rPr>
          <w:rFonts w:cstheme="minorHAnsi"/>
        </w:rPr>
        <w:t xml:space="preserve">s some movement between employers and between jobs, </w:t>
      </w:r>
      <w:r>
        <w:rPr>
          <w:rFonts w:cstheme="minorHAnsi"/>
        </w:rPr>
        <w:t>within</w:t>
      </w:r>
      <w:r w:rsidRPr="00081709">
        <w:rPr>
          <w:rFonts w:cstheme="minorHAnsi"/>
        </w:rPr>
        <w:t xml:space="preserve"> the disab</w:t>
      </w:r>
      <w:r>
        <w:rPr>
          <w:rFonts w:cstheme="minorHAnsi"/>
        </w:rPr>
        <w:t>ility support sector: while 34</w:t>
      </w:r>
      <w:r w:rsidRPr="00081709">
        <w:rPr>
          <w:rFonts w:cstheme="minorHAnsi"/>
        </w:rPr>
        <w:t xml:space="preserve"> per cent had been in the se</w:t>
      </w:r>
      <w:r>
        <w:rPr>
          <w:rFonts w:cstheme="minorHAnsi"/>
        </w:rPr>
        <w:t>ctor for less than 5 years, 59</w:t>
      </w:r>
      <w:r w:rsidRPr="00081709">
        <w:rPr>
          <w:rFonts w:cstheme="minorHAnsi"/>
        </w:rPr>
        <w:t xml:space="preserve"> per cent had been in their current job for less than 5 years.</w:t>
      </w:r>
    </w:p>
    <w:p w:rsidR="00B92687" w:rsidRPr="00081709" w:rsidRDefault="00B92687" w:rsidP="00AE4C3A">
      <w:pPr>
        <w:rPr>
          <w:rFonts w:cstheme="minorHAnsi"/>
        </w:rPr>
      </w:pPr>
    </w:p>
    <w:p w:rsidR="00685BE5" w:rsidRPr="00AB33E3" w:rsidRDefault="00685BE5" w:rsidP="0044684E">
      <w:pPr>
        <w:pStyle w:val="NILSTableHeading"/>
      </w:pPr>
      <w:bookmarkStart w:id="652" w:name="_Toc425425114"/>
      <w:bookmarkStart w:id="653" w:name="_Toc449955375"/>
      <w:bookmarkStart w:id="654" w:name="_Toc428279244"/>
      <w:r w:rsidRPr="00AB33E3">
        <w:t xml:space="preserve">Table </w:t>
      </w:r>
      <w:r>
        <w:t>4.37</w:t>
      </w:r>
      <w:r w:rsidRPr="00AB33E3">
        <w:t>: Tenure with current employer and tenure in current job</w:t>
      </w:r>
      <w:bookmarkEnd w:id="652"/>
      <w:bookmarkEnd w:id="653"/>
      <w:r>
        <w:t xml:space="preserve"> </w:t>
      </w:r>
      <w:bookmarkEnd w:id="654"/>
    </w:p>
    <w:tbl>
      <w:tblPr>
        <w:tblW w:w="9031" w:type="dxa"/>
        <w:tblInd w:w="93" w:type="dxa"/>
        <w:tblLayout w:type="fixed"/>
        <w:tblLook w:val="04A0" w:firstRow="1" w:lastRow="0" w:firstColumn="1" w:lastColumn="0" w:noHBand="0" w:noVBand="1"/>
        <w:tblCaption w:val="Table 4.37 Tenure with current employer and tenure in current job (per cent)"/>
      </w:tblPr>
      <w:tblGrid>
        <w:gridCol w:w="2266"/>
        <w:gridCol w:w="1955"/>
        <w:gridCol w:w="2765"/>
        <w:gridCol w:w="2045"/>
      </w:tblGrid>
      <w:tr w:rsidR="00685BE5" w:rsidRPr="00635E24" w:rsidTr="00C07FDB">
        <w:trPr>
          <w:tblHeader/>
        </w:trPr>
        <w:tc>
          <w:tcPr>
            <w:tcW w:w="2266" w:type="dxa"/>
            <w:tcBorders>
              <w:top w:val="single" w:sz="4" w:space="0" w:color="auto"/>
              <w:left w:val="nil"/>
              <w:bottom w:val="single" w:sz="4" w:space="0" w:color="auto"/>
              <w:right w:val="nil"/>
            </w:tcBorders>
            <w:shd w:val="clear" w:color="auto" w:fill="auto"/>
            <w:noWrap/>
            <w:vAlign w:val="bottom"/>
            <w:hideMark/>
          </w:tcPr>
          <w:p w:rsidR="00685BE5" w:rsidRPr="00E3331B" w:rsidRDefault="00685BE5" w:rsidP="00AE4C3A">
            <w:pPr>
              <w:spacing w:before="20" w:after="20"/>
              <w:rPr>
                <w:rFonts w:cstheme="minorHAnsi"/>
                <w:bCs/>
                <w:sz w:val="20"/>
                <w:szCs w:val="20"/>
              </w:rPr>
            </w:pPr>
            <w:bookmarkStart w:id="655" w:name="Title_4_37"/>
            <w:bookmarkEnd w:id="655"/>
          </w:p>
        </w:tc>
        <w:tc>
          <w:tcPr>
            <w:tcW w:w="1955" w:type="dxa"/>
            <w:tcBorders>
              <w:top w:val="single" w:sz="4" w:space="0" w:color="auto"/>
              <w:left w:val="nil"/>
              <w:bottom w:val="single" w:sz="4" w:space="0" w:color="auto"/>
              <w:right w:val="nil"/>
            </w:tcBorders>
          </w:tcPr>
          <w:p w:rsidR="00685BE5" w:rsidRDefault="00685BE5" w:rsidP="00AE4C3A">
            <w:pPr>
              <w:spacing w:before="20" w:after="20"/>
              <w:jc w:val="center"/>
              <w:rPr>
                <w:rFonts w:cstheme="minorHAnsi"/>
                <w:bCs/>
                <w:sz w:val="20"/>
                <w:szCs w:val="20"/>
              </w:rPr>
            </w:pPr>
            <w:r w:rsidRPr="00E3331B">
              <w:rPr>
                <w:rFonts w:cstheme="minorHAnsi"/>
                <w:bCs/>
                <w:sz w:val="20"/>
                <w:szCs w:val="20"/>
              </w:rPr>
              <w:t>Tenure in the sector</w:t>
            </w:r>
          </w:p>
          <w:p w:rsidR="00D74AFA" w:rsidRPr="00E3331B" w:rsidRDefault="00D74AFA" w:rsidP="00AE4C3A">
            <w:pPr>
              <w:spacing w:before="20" w:after="20"/>
              <w:jc w:val="center"/>
              <w:rPr>
                <w:rFonts w:cstheme="minorHAnsi"/>
                <w:bCs/>
                <w:sz w:val="20"/>
                <w:szCs w:val="20"/>
              </w:rPr>
            </w:pPr>
            <w:r>
              <w:rPr>
                <w:rFonts w:cstheme="minorHAnsi"/>
                <w:bCs/>
                <w:sz w:val="20"/>
                <w:szCs w:val="20"/>
              </w:rPr>
              <w:t>%</w:t>
            </w:r>
          </w:p>
        </w:tc>
        <w:tc>
          <w:tcPr>
            <w:tcW w:w="2765" w:type="dxa"/>
            <w:tcBorders>
              <w:top w:val="single" w:sz="4" w:space="0" w:color="auto"/>
              <w:left w:val="nil"/>
              <w:bottom w:val="single" w:sz="4" w:space="0" w:color="auto"/>
              <w:right w:val="nil"/>
            </w:tcBorders>
            <w:shd w:val="clear" w:color="auto" w:fill="auto"/>
            <w:noWrap/>
            <w:vAlign w:val="bottom"/>
            <w:hideMark/>
          </w:tcPr>
          <w:p w:rsidR="00685BE5" w:rsidRDefault="00685BE5" w:rsidP="00AE4C3A">
            <w:pPr>
              <w:spacing w:before="20" w:after="20"/>
              <w:jc w:val="center"/>
              <w:rPr>
                <w:rFonts w:cstheme="minorHAnsi"/>
                <w:bCs/>
                <w:sz w:val="20"/>
                <w:szCs w:val="20"/>
              </w:rPr>
            </w:pPr>
            <w:r w:rsidRPr="00E3331B">
              <w:rPr>
                <w:rFonts w:cstheme="minorHAnsi"/>
                <w:bCs/>
                <w:sz w:val="20"/>
                <w:szCs w:val="20"/>
              </w:rPr>
              <w:t>Tenure with current employer</w:t>
            </w:r>
          </w:p>
          <w:p w:rsidR="00D74AFA" w:rsidRPr="00E3331B" w:rsidRDefault="00D74AFA" w:rsidP="00AE4C3A">
            <w:pPr>
              <w:spacing w:before="20" w:after="20"/>
              <w:jc w:val="center"/>
              <w:rPr>
                <w:rFonts w:cstheme="minorHAnsi"/>
                <w:bCs/>
                <w:sz w:val="20"/>
                <w:szCs w:val="20"/>
              </w:rPr>
            </w:pPr>
            <w:r>
              <w:rPr>
                <w:rFonts w:cstheme="minorHAnsi"/>
                <w:bCs/>
                <w:sz w:val="20"/>
                <w:szCs w:val="20"/>
              </w:rPr>
              <w:t>%</w:t>
            </w:r>
          </w:p>
        </w:tc>
        <w:tc>
          <w:tcPr>
            <w:tcW w:w="2045" w:type="dxa"/>
            <w:tcBorders>
              <w:top w:val="single" w:sz="4" w:space="0" w:color="auto"/>
              <w:left w:val="nil"/>
              <w:bottom w:val="single" w:sz="4" w:space="0" w:color="auto"/>
              <w:right w:val="nil"/>
            </w:tcBorders>
            <w:shd w:val="clear" w:color="auto" w:fill="auto"/>
            <w:noWrap/>
            <w:vAlign w:val="bottom"/>
            <w:hideMark/>
          </w:tcPr>
          <w:p w:rsidR="00685BE5" w:rsidRDefault="00685BE5" w:rsidP="00AE4C3A">
            <w:pPr>
              <w:spacing w:before="20" w:after="20"/>
              <w:jc w:val="center"/>
              <w:rPr>
                <w:rFonts w:cstheme="minorHAnsi"/>
                <w:bCs/>
                <w:sz w:val="20"/>
                <w:szCs w:val="20"/>
              </w:rPr>
            </w:pPr>
            <w:r w:rsidRPr="00E3331B">
              <w:rPr>
                <w:rFonts w:cstheme="minorHAnsi"/>
                <w:bCs/>
                <w:sz w:val="20"/>
                <w:szCs w:val="20"/>
              </w:rPr>
              <w:t>Tenure in current job</w:t>
            </w:r>
          </w:p>
          <w:p w:rsidR="00D74AFA" w:rsidRPr="00E3331B" w:rsidRDefault="00D74AFA" w:rsidP="00AE4C3A">
            <w:pPr>
              <w:spacing w:before="20" w:after="20"/>
              <w:jc w:val="center"/>
              <w:rPr>
                <w:rFonts w:cstheme="minorHAnsi"/>
                <w:bCs/>
                <w:sz w:val="20"/>
                <w:szCs w:val="20"/>
              </w:rPr>
            </w:pPr>
            <w:r>
              <w:rPr>
                <w:rFonts w:cstheme="minorHAnsi"/>
                <w:bCs/>
                <w:sz w:val="20"/>
                <w:szCs w:val="20"/>
              </w:rPr>
              <w:t>%</w:t>
            </w:r>
          </w:p>
        </w:tc>
      </w:tr>
      <w:tr w:rsidR="00685BE5" w:rsidRPr="00B90E88" w:rsidTr="00AE4C3A">
        <w:tc>
          <w:tcPr>
            <w:tcW w:w="2266" w:type="dxa"/>
            <w:tcBorders>
              <w:top w:val="nil"/>
              <w:left w:val="nil"/>
              <w:bottom w:val="nil"/>
              <w:right w:val="nil"/>
            </w:tcBorders>
            <w:shd w:val="clear" w:color="auto" w:fill="auto"/>
            <w:noWrap/>
            <w:vAlign w:val="bottom"/>
            <w:hideMark/>
          </w:tcPr>
          <w:p w:rsidR="00685BE5" w:rsidRPr="007D2274" w:rsidRDefault="00685BE5" w:rsidP="006F2A58">
            <w:pPr>
              <w:spacing w:before="20" w:after="20"/>
              <w:rPr>
                <w:rFonts w:cstheme="minorHAnsi"/>
                <w:sz w:val="20"/>
                <w:szCs w:val="20"/>
              </w:rPr>
            </w:pPr>
            <w:r w:rsidRPr="007D2274">
              <w:rPr>
                <w:rFonts w:cstheme="minorHAnsi"/>
                <w:sz w:val="20"/>
                <w:szCs w:val="20"/>
              </w:rPr>
              <w:t xml:space="preserve">1 </w:t>
            </w:r>
            <w:r w:rsidR="006F2A58">
              <w:rPr>
                <w:rFonts w:cstheme="minorHAnsi"/>
                <w:sz w:val="20"/>
                <w:szCs w:val="20"/>
              </w:rPr>
              <w:t xml:space="preserve">year </w:t>
            </w:r>
            <w:r w:rsidRPr="007D2274">
              <w:rPr>
                <w:rFonts w:cstheme="minorHAnsi"/>
                <w:sz w:val="20"/>
                <w:szCs w:val="20"/>
              </w:rPr>
              <w:t>or less</w:t>
            </w:r>
            <w:r w:rsidR="00D064E6">
              <w:rPr>
                <w:rFonts w:cstheme="minorHAnsi"/>
                <w:sz w:val="20"/>
                <w:szCs w:val="20"/>
              </w:rPr>
              <w:t xml:space="preserve"> </w:t>
            </w:r>
          </w:p>
        </w:tc>
        <w:tc>
          <w:tcPr>
            <w:tcW w:w="1955" w:type="dxa"/>
            <w:tcBorders>
              <w:top w:val="nil"/>
              <w:left w:val="nil"/>
              <w:bottom w:val="nil"/>
              <w:right w:val="nil"/>
            </w:tcBorders>
            <w:vAlign w:val="bottom"/>
          </w:tcPr>
          <w:p w:rsidR="00685BE5" w:rsidRPr="007D2274" w:rsidRDefault="00685BE5" w:rsidP="00AE4C3A">
            <w:pPr>
              <w:tabs>
                <w:tab w:val="decimal" w:pos="1043"/>
              </w:tabs>
              <w:spacing w:before="20" w:after="20"/>
              <w:ind w:right="696"/>
              <w:jc w:val="right"/>
              <w:rPr>
                <w:rFonts w:cstheme="minorHAnsi"/>
                <w:sz w:val="20"/>
                <w:szCs w:val="20"/>
              </w:rPr>
            </w:pPr>
            <w:r w:rsidRPr="007D2274">
              <w:rPr>
                <w:rFonts w:cstheme="minorHAnsi"/>
                <w:bCs/>
                <w:sz w:val="20"/>
                <w:szCs w:val="20"/>
              </w:rPr>
              <w:t>11.1</w:t>
            </w:r>
          </w:p>
        </w:tc>
        <w:tc>
          <w:tcPr>
            <w:tcW w:w="2765" w:type="dxa"/>
            <w:tcBorders>
              <w:top w:val="nil"/>
              <w:left w:val="nil"/>
              <w:bottom w:val="nil"/>
              <w:right w:val="nil"/>
            </w:tcBorders>
            <w:shd w:val="clear" w:color="auto" w:fill="auto"/>
            <w:noWrap/>
            <w:vAlign w:val="bottom"/>
            <w:hideMark/>
          </w:tcPr>
          <w:p w:rsidR="00685BE5" w:rsidRPr="007D2274" w:rsidRDefault="00685BE5" w:rsidP="00AE4C3A">
            <w:pPr>
              <w:tabs>
                <w:tab w:val="decimal" w:pos="1215"/>
              </w:tabs>
              <w:spacing w:before="20" w:after="20"/>
              <w:ind w:right="1193"/>
              <w:jc w:val="right"/>
              <w:rPr>
                <w:rFonts w:cstheme="minorHAnsi"/>
                <w:sz w:val="20"/>
                <w:szCs w:val="20"/>
              </w:rPr>
            </w:pPr>
            <w:r w:rsidRPr="007D2274">
              <w:rPr>
                <w:rFonts w:cstheme="minorHAnsi"/>
                <w:sz w:val="20"/>
                <w:szCs w:val="20"/>
              </w:rPr>
              <w:t>16.7</w:t>
            </w:r>
          </w:p>
        </w:tc>
        <w:tc>
          <w:tcPr>
            <w:tcW w:w="2045" w:type="dxa"/>
            <w:tcBorders>
              <w:top w:val="nil"/>
              <w:left w:val="nil"/>
              <w:bottom w:val="nil"/>
              <w:right w:val="nil"/>
            </w:tcBorders>
            <w:shd w:val="clear" w:color="auto" w:fill="auto"/>
            <w:noWrap/>
            <w:vAlign w:val="bottom"/>
            <w:hideMark/>
          </w:tcPr>
          <w:p w:rsidR="00685BE5" w:rsidRPr="007D2274" w:rsidRDefault="00685BE5" w:rsidP="00AE4C3A">
            <w:pPr>
              <w:tabs>
                <w:tab w:val="decimal" w:pos="1043"/>
              </w:tabs>
              <w:spacing w:before="20" w:after="20"/>
              <w:ind w:right="696"/>
              <w:jc w:val="right"/>
              <w:rPr>
                <w:rFonts w:cstheme="minorHAnsi"/>
                <w:sz w:val="20"/>
                <w:szCs w:val="20"/>
              </w:rPr>
            </w:pPr>
            <w:r w:rsidRPr="007D2274">
              <w:rPr>
                <w:rFonts w:cstheme="minorHAnsi"/>
                <w:sz w:val="20"/>
                <w:szCs w:val="20"/>
              </w:rPr>
              <w:t>26.2</w:t>
            </w:r>
          </w:p>
        </w:tc>
      </w:tr>
      <w:tr w:rsidR="00685BE5" w:rsidRPr="00B90E88" w:rsidTr="00AE4C3A">
        <w:tc>
          <w:tcPr>
            <w:tcW w:w="2266" w:type="dxa"/>
            <w:tcBorders>
              <w:top w:val="nil"/>
              <w:left w:val="nil"/>
              <w:bottom w:val="nil"/>
              <w:right w:val="nil"/>
            </w:tcBorders>
            <w:shd w:val="clear" w:color="auto" w:fill="auto"/>
            <w:noWrap/>
            <w:vAlign w:val="bottom"/>
            <w:hideMark/>
          </w:tcPr>
          <w:p w:rsidR="00685BE5" w:rsidRPr="007D2274" w:rsidRDefault="00685BE5" w:rsidP="00D064E6">
            <w:pPr>
              <w:spacing w:before="20" w:after="20"/>
              <w:rPr>
                <w:rFonts w:cstheme="minorHAnsi"/>
                <w:sz w:val="20"/>
                <w:szCs w:val="20"/>
              </w:rPr>
            </w:pPr>
            <w:r w:rsidRPr="007D2274">
              <w:rPr>
                <w:rFonts w:cstheme="minorHAnsi"/>
                <w:sz w:val="20"/>
                <w:szCs w:val="20"/>
              </w:rPr>
              <w:t>2</w:t>
            </w:r>
            <w:r w:rsidR="00D064E6">
              <w:rPr>
                <w:rFonts w:cstheme="minorHAnsi"/>
                <w:sz w:val="20"/>
                <w:szCs w:val="20"/>
              </w:rPr>
              <w:t xml:space="preserve"> to </w:t>
            </w:r>
            <w:r w:rsidRPr="007D2274">
              <w:rPr>
                <w:rFonts w:cstheme="minorHAnsi"/>
                <w:sz w:val="20"/>
                <w:szCs w:val="20"/>
              </w:rPr>
              <w:t>4</w:t>
            </w:r>
            <w:r w:rsidR="00D064E6">
              <w:rPr>
                <w:rFonts w:cstheme="minorHAnsi"/>
                <w:sz w:val="20"/>
                <w:szCs w:val="20"/>
              </w:rPr>
              <w:t xml:space="preserve"> years</w:t>
            </w:r>
          </w:p>
        </w:tc>
        <w:tc>
          <w:tcPr>
            <w:tcW w:w="1955" w:type="dxa"/>
            <w:tcBorders>
              <w:top w:val="nil"/>
              <w:left w:val="nil"/>
              <w:bottom w:val="nil"/>
              <w:right w:val="nil"/>
            </w:tcBorders>
            <w:vAlign w:val="bottom"/>
          </w:tcPr>
          <w:p w:rsidR="00685BE5" w:rsidRPr="007D2274" w:rsidRDefault="00685BE5" w:rsidP="00AE4C3A">
            <w:pPr>
              <w:tabs>
                <w:tab w:val="decimal" w:pos="1043"/>
              </w:tabs>
              <w:spacing w:before="20" w:after="20"/>
              <w:ind w:right="696"/>
              <w:jc w:val="right"/>
              <w:rPr>
                <w:rFonts w:cstheme="minorHAnsi"/>
                <w:sz w:val="20"/>
                <w:szCs w:val="20"/>
              </w:rPr>
            </w:pPr>
            <w:r w:rsidRPr="007D2274">
              <w:rPr>
                <w:rFonts w:cstheme="minorHAnsi"/>
                <w:bCs/>
                <w:sz w:val="20"/>
                <w:szCs w:val="20"/>
              </w:rPr>
              <w:t>22.4</w:t>
            </w:r>
          </w:p>
        </w:tc>
        <w:tc>
          <w:tcPr>
            <w:tcW w:w="2765" w:type="dxa"/>
            <w:tcBorders>
              <w:top w:val="nil"/>
              <w:left w:val="nil"/>
              <w:bottom w:val="nil"/>
              <w:right w:val="nil"/>
            </w:tcBorders>
            <w:shd w:val="clear" w:color="auto" w:fill="auto"/>
            <w:noWrap/>
            <w:vAlign w:val="bottom"/>
            <w:hideMark/>
          </w:tcPr>
          <w:p w:rsidR="00685BE5" w:rsidRPr="007D2274" w:rsidRDefault="00685BE5" w:rsidP="00AE4C3A">
            <w:pPr>
              <w:tabs>
                <w:tab w:val="decimal" w:pos="1215"/>
              </w:tabs>
              <w:spacing w:before="20" w:after="20"/>
              <w:ind w:right="1193"/>
              <w:jc w:val="right"/>
              <w:rPr>
                <w:rFonts w:cstheme="minorHAnsi"/>
                <w:sz w:val="20"/>
                <w:szCs w:val="20"/>
              </w:rPr>
            </w:pPr>
            <w:r w:rsidRPr="007D2274">
              <w:rPr>
                <w:rFonts w:cstheme="minorHAnsi"/>
                <w:sz w:val="20"/>
                <w:szCs w:val="20"/>
              </w:rPr>
              <w:t>33.1</w:t>
            </w:r>
          </w:p>
        </w:tc>
        <w:tc>
          <w:tcPr>
            <w:tcW w:w="2045" w:type="dxa"/>
            <w:tcBorders>
              <w:top w:val="nil"/>
              <w:left w:val="nil"/>
              <w:bottom w:val="nil"/>
              <w:right w:val="nil"/>
            </w:tcBorders>
            <w:shd w:val="clear" w:color="auto" w:fill="auto"/>
            <w:noWrap/>
            <w:vAlign w:val="bottom"/>
            <w:hideMark/>
          </w:tcPr>
          <w:p w:rsidR="00685BE5" w:rsidRPr="007D2274" w:rsidRDefault="00685BE5" w:rsidP="00AE4C3A">
            <w:pPr>
              <w:tabs>
                <w:tab w:val="decimal" w:pos="1043"/>
              </w:tabs>
              <w:spacing w:before="20" w:after="20"/>
              <w:ind w:right="696"/>
              <w:jc w:val="right"/>
              <w:rPr>
                <w:rFonts w:cstheme="minorHAnsi"/>
                <w:sz w:val="20"/>
                <w:szCs w:val="20"/>
              </w:rPr>
            </w:pPr>
            <w:r w:rsidRPr="007D2274">
              <w:rPr>
                <w:rFonts w:cstheme="minorHAnsi"/>
                <w:sz w:val="20"/>
                <w:szCs w:val="20"/>
              </w:rPr>
              <w:t>33.1</w:t>
            </w:r>
          </w:p>
        </w:tc>
      </w:tr>
      <w:tr w:rsidR="00685BE5" w:rsidRPr="00B90E88" w:rsidTr="00AE4C3A">
        <w:tc>
          <w:tcPr>
            <w:tcW w:w="2266" w:type="dxa"/>
            <w:tcBorders>
              <w:top w:val="nil"/>
              <w:left w:val="nil"/>
              <w:bottom w:val="nil"/>
              <w:right w:val="nil"/>
            </w:tcBorders>
            <w:shd w:val="clear" w:color="auto" w:fill="auto"/>
            <w:noWrap/>
            <w:vAlign w:val="bottom"/>
            <w:hideMark/>
          </w:tcPr>
          <w:p w:rsidR="00685BE5" w:rsidRPr="007D2274" w:rsidRDefault="00D064E6" w:rsidP="00AE4C3A">
            <w:pPr>
              <w:spacing w:before="20" w:after="20"/>
              <w:rPr>
                <w:rFonts w:cstheme="minorHAnsi"/>
                <w:sz w:val="20"/>
                <w:szCs w:val="20"/>
              </w:rPr>
            </w:pPr>
            <w:r>
              <w:rPr>
                <w:rFonts w:cstheme="minorHAnsi"/>
                <w:sz w:val="20"/>
                <w:szCs w:val="20"/>
              </w:rPr>
              <w:t xml:space="preserve">5 to </w:t>
            </w:r>
            <w:r w:rsidR="00685BE5" w:rsidRPr="007D2274">
              <w:rPr>
                <w:rFonts w:cstheme="minorHAnsi"/>
                <w:sz w:val="20"/>
                <w:szCs w:val="20"/>
              </w:rPr>
              <w:t>9</w:t>
            </w:r>
            <w:r>
              <w:rPr>
                <w:rFonts w:cstheme="minorHAnsi"/>
                <w:sz w:val="20"/>
                <w:szCs w:val="20"/>
              </w:rPr>
              <w:t xml:space="preserve"> years</w:t>
            </w:r>
          </w:p>
        </w:tc>
        <w:tc>
          <w:tcPr>
            <w:tcW w:w="1955" w:type="dxa"/>
            <w:tcBorders>
              <w:top w:val="nil"/>
              <w:left w:val="nil"/>
              <w:bottom w:val="nil"/>
              <w:right w:val="nil"/>
            </w:tcBorders>
            <w:vAlign w:val="bottom"/>
          </w:tcPr>
          <w:p w:rsidR="00685BE5" w:rsidRPr="007D2274" w:rsidRDefault="00685BE5" w:rsidP="00AE4C3A">
            <w:pPr>
              <w:tabs>
                <w:tab w:val="decimal" w:pos="1043"/>
              </w:tabs>
              <w:spacing w:before="20" w:after="20"/>
              <w:ind w:right="696"/>
              <w:jc w:val="right"/>
              <w:rPr>
                <w:rFonts w:cstheme="minorHAnsi"/>
                <w:sz w:val="20"/>
                <w:szCs w:val="20"/>
              </w:rPr>
            </w:pPr>
            <w:r w:rsidRPr="007D2274">
              <w:rPr>
                <w:rFonts w:cstheme="minorHAnsi"/>
                <w:bCs/>
                <w:sz w:val="20"/>
                <w:szCs w:val="20"/>
              </w:rPr>
              <w:t>26.9</w:t>
            </w:r>
          </w:p>
        </w:tc>
        <w:tc>
          <w:tcPr>
            <w:tcW w:w="2765" w:type="dxa"/>
            <w:tcBorders>
              <w:top w:val="nil"/>
              <w:left w:val="nil"/>
              <w:bottom w:val="nil"/>
              <w:right w:val="nil"/>
            </w:tcBorders>
            <w:shd w:val="clear" w:color="auto" w:fill="auto"/>
            <w:noWrap/>
            <w:vAlign w:val="bottom"/>
            <w:hideMark/>
          </w:tcPr>
          <w:p w:rsidR="00685BE5" w:rsidRPr="007D2274" w:rsidRDefault="00685BE5" w:rsidP="00AE4C3A">
            <w:pPr>
              <w:tabs>
                <w:tab w:val="decimal" w:pos="1215"/>
              </w:tabs>
              <w:spacing w:before="20" w:after="20"/>
              <w:ind w:right="1193"/>
              <w:jc w:val="right"/>
              <w:rPr>
                <w:rFonts w:cstheme="minorHAnsi"/>
                <w:sz w:val="20"/>
                <w:szCs w:val="20"/>
              </w:rPr>
            </w:pPr>
            <w:r w:rsidRPr="007D2274">
              <w:rPr>
                <w:rFonts w:cstheme="minorHAnsi"/>
                <w:sz w:val="20"/>
                <w:szCs w:val="20"/>
              </w:rPr>
              <w:t>25.1</w:t>
            </w:r>
          </w:p>
        </w:tc>
        <w:tc>
          <w:tcPr>
            <w:tcW w:w="2045" w:type="dxa"/>
            <w:tcBorders>
              <w:top w:val="nil"/>
              <w:left w:val="nil"/>
              <w:bottom w:val="nil"/>
              <w:right w:val="nil"/>
            </w:tcBorders>
            <w:shd w:val="clear" w:color="auto" w:fill="auto"/>
            <w:noWrap/>
            <w:vAlign w:val="bottom"/>
            <w:hideMark/>
          </w:tcPr>
          <w:p w:rsidR="00685BE5" w:rsidRPr="007D2274" w:rsidRDefault="00685BE5" w:rsidP="00AE4C3A">
            <w:pPr>
              <w:tabs>
                <w:tab w:val="decimal" w:pos="1043"/>
              </w:tabs>
              <w:spacing w:before="20" w:after="20"/>
              <w:ind w:right="696"/>
              <w:jc w:val="right"/>
              <w:rPr>
                <w:rFonts w:cstheme="minorHAnsi"/>
                <w:sz w:val="20"/>
                <w:szCs w:val="20"/>
              </w:rPr>
            </w:pPr>
            <w:r w:rsidRPr="007D2274">
              <w:rPr>
                <w:rFonts w:cstheme="minorHAnsi"/>
                <w:sz w:val="20"/>
                <w:szCs w:val="20"/>
              </w:rPr>
              <w:t>24.0</w:t>
            </w:r>
          </w:p>
        </w:tc>
      </w:tr>
      <w:tr w:rsidR="00685BE5" w:rsidRPr="00B90E88" w:rsidTr="00AE4C3A">
        <w:tc>
          <w:tcPr>
            <w:tcW w:w="2266" w:type="dxa"/>
            <w:tcBorders>
              <w:top w:val="nil"/>
              <w:left w:val="nil"/>
              <w:bottom w:val="nil"/>
              <w:right w:val="nil"/>
            </w:tcBorders>
            <w:shd w:val="clear" w:color="auto" w:fill="auto"/>
            <w:noWrap/>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10 or more</w:t>
            </w:r>
            <w:r w:rsidR="00D064E6">
              <w:rPr>
                <w:rFonts w:cstheme="minorHAnsi"/>
                <w:sz w:val="20"/>
                <w:szCs w:val="20"/>
              </w:rPr>
              <w:t xml:space="preserve"> years</w:t>
            </w:r>
          </w:p>
        </w:tc>
        <w:tc>
          <w:tcPr>
            <w:tcW w:w="1955" w:type="dxa"/>
            <w:tcBorders>
              <w:top w:val="nil"/>
              <w:left w:val="nil"/>
              <w:bottom w:val="nil"/>
              <w:right w:val="nil"/>
            </w:tcBorders>
            <w:vAlign w:val="bottom"/>
          </w:tcPr>
          <w:p w:rsidR="00685BE5" w:rsidRPr="007D2274" w:rsidRDefault="00685BE5" w:rsidP="00AE4C3A">
            <w:pPr>
              <w:tabs>
                <w:tab w:val="decimal" w:pos="1043"/>
              </w:tabs>
              <w:spacing w:before="20" w:after="20"/>
              <w:ind w:right="696"/>
              <w:jc w:val="right"/>
              <w:rPr>
                <w:rFonts w:cstheme="minorHAnsi"/>
                <w:sz w:val="20"/>
                <w:szCs w:val="20"/>
              </w:rPr>
            </w:pPr>
            <w:r w:rsidRPr="007D2274">
              <w:rPr>
                <w:rFonts w:cstheme="minorHAnsi"/>
                <w:sz w:val="20"/>
                <w:szCs w:val="20"/>
              </w:rPr>
              <w:t>38.1</w:t>
            </w:r>
          </w:p>
        </w:tc>
        <w:tc>
          <w:tcPr>
            <w:tcW w:w="2765" w:type="dxa"/>
            <w:tcBorders>
              <w:top w:val="nil"/>
              <w:left w:val="nil"/>
              <w:bottom w:val="nil"/>
              <w:right w:val="nil"/>
            </w:tcBorders>
            <w:shd w:val="clear" w:color="auto" w:fill="auto"/>
            <w:noWrap/>
            <w:vAlign w:val="bottom"/>
            <w:hideMark/>
          </w:tcPr>
          <w:p w:rsidR="00685BE5" w:rsidRPr="007D2274" w:rsidRDefault="00685BE5" w:rsidP="00AE4C3A">
            <w:pPr>
              <w:tabs>
                <w:tab w:val="decimal" w:pos="1215"/>
              </w:tabs>
              <w:spacing w:before="20" w:after="20"/>
              <w:ind w:right="1193"/>
              <w:jc w:val="right"/>
              <w:rPr>
                <w:rFonts w:cstheme="minorHAnsi"/>
                <w:sz w:val="20"/>
                <w:szCs w:val="20"/>
              </w:rPr>
            </w:pPr>
            <w:r w:rsidRPr="007D2274">
              <w:rPr>
                <w:rFonts w:cstheme="minorHAnsi"/>
                <w:sz w:val="20"/>
                <w:szCs w:val="20"/>
              </w:rPr>
              <w:t>20.8</w:t>
            </w:r>
          </w:p>
        </w:tc>
        <w:tc>
          <w:tcPr>
            <w:tcW w:w="2045" w:type="dxa"/>
            <w:tcBorders>
              <w:top w:val="nil"/>
              <w:left w:val="nil"/>
              <w:bottom w:val="nil"/>
              <w:right w:val="nil"/>
            </w:tcBorders>
            <w:shd w:val="clear" w:color="auto" w:fill="auto"/>
            <w:noWrap/>
            <w:vAlign w:val="bottom"/>
            <w:hideMark/>
          </w:tcPr>
          <w:p w:rsidR="00685BE5" w:rsidRPr="007D2274" w:rsidRDefault="00685BE5" w:rsidP="00AE4C3A">
            <w:pPr>
              <w:tabs>
                <w:tab w:val="decimal" w:pos="1043"/>
              </w:tabs>
              <w:spacing w:before="20" w:after="20"/>
              <w:ind w:right="696"/>
              <w:jc w:val="right"/>
              <w:rPr>
                <w:rFonts w:cstheme="minorHAnsi"/>
                <w:sz w:val="20"/>
                <w:szCs w:val="20"/>
              </w:rPr>
            </w:pPr>
            <w:r w:rsidRPr="007D2274">
              <w:rPr>
                <w:rFonts w:cstheme="minorHAnsi"/>
                <w:sz w:val="20"/>
                <w:szCs w:val="20"/>
              </w:rPr>
              <w:t>14.6</w:t>
            </w:r>
          </w:p>
        </w:tc>
      </w:tr>
      <w:tr w:rsidR="00685BE5" w:rsidRPr="00B90E88" w:rsidTr="00AE4C3A">
        <w:tc>
          <w:tcPr>
            <w:tcW w:w="2266" w:type="dxa"/>
            <w:tcBorders>
              <w:top w:val="nil"/>
              <w:left w:val="nil"/>
              <w:bottom w:val="single" w:sz="4" w:space="0" w:color="auto"/>
              <w:right w:val="nil"/>
            </w:tcBorders>
            <w:shd w:val="clear" w:color="auto" w:fill="auto"/>
            <w:noWrap/>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 xml:space="preserve">Question not answered </w:t>
            </w:r>
          </w:p>
        </w:tc>
        <w:tc>
          <w:tcPr>
            <w:tcW w:w="1955" w:type="dxa"/>
            <w:tcBorders>
              <w:top w:val="nil"/>
              <w:left w:val="nil"/>
              <w:bottom w:val="single" w:sz="4" w:space="0" w:color="auto"/>
              <w:right w:val="nil"/>
            </w:tcBorders>
            <w:vAlign w:val="bottom"/>
          </w:tcPr>
          <w:p w:rsidR="00685BE5" w:rsidRPr="007D2274" w:rsidRDefault="00685BE5" w:rsidP="00AE4C3A">
            <w:pPr>
              <w:tabs>
                <w:tab w:val="decimal" w:pos="1043"/>
              </w:tabs>
              <w:spacing w:before="20" w:after="20"/>
              <w:ind w:right="696"/>
              <w:jc w:val="right"/>
              <w:rPr>
                <w:rFonts w:cstheme="minorHAnsi"/>
                <w:sz w:val="20"/>
                <w:szCs w:val="20"/>
              </w:rPr>
            </w:pPr>
            <w:r w:rsidRPr="007D2274">
              <w:rPr>
                <w:rFonts w:cstheme="minorHAnsi"/>
                <w:sz w:val="20"/>
                <w:szCs w:val="20"/>
              </w:rPr>
              <w:t>1.6</w:t>
            </w:r>
          </w:p>
        </w:tc>
        <w:tc>
          <w:tcPr>
            <w:tcW w:w="2765" w:type="dxa"/>
            <w:tcBorders>
              <w:top w:val="nil"/>
              <w:left w:val="nil"/>
              <w:bottom w:val="single" w:sz="4" w:space="0" w:color="auto"/>
              <w:right w:val="nil"/>
            </w:tcBorders>
            <w:shd w:val="clear" w:color="auto" w:fill="auto"/>
            <w:noWrap/>
            <w:vAlign w:val="bottom"/>
            <w:hideMark/>
          </w:tcPr>
          <w:p w:rsidR="00685BE5" w:rsidRPr="007D2274" w:rsidRDefault="00685BE5" w:rsidP="00AE4C3A">
            <w:pPr>
              <w:tabs>
                <w:tab w:val="decimal" w:pos="1215"/>
              </w:tabs>
              <w:spacing w:before="20" w:after="20"/>
              <w:ind w:right="1193"/>
              <w:jc w:val="right"/>
              <w:rPr>
                <w:rFonts w:cstheme="minorHAnsi"/>
                <w:sz w:val="20"/>
                <w:szCs w:val="20"/>
              </w:rPr>
            </w:pPr>
            <w:r w:rsidRPr="007D2274">
              <w:rPr>
                <w:rFonts w:cstheme="minorHAnsi"/>
                <w:sz w:val="20"/>
                <w:szCs w:val="20"/>
              </w:rPr>
              <w:t>4.3</w:t>
            </w:r>
          </w:p>
        </w:tc>
        <w:tc>
          <w:tcPr>
            <w:tcW w:w="2045" w:type="dxa"/>
            <w:tcBorders>
              <w:top w:val="nil"/>
              <w:left w:val="nil"/>
              <w:bottom w:val="single" w:sz="4" w:space="0" w:color="auto"/>
              <w:right w:val="nil"/>
            </w:tcBorders>
            <w:shd w:val="clear" w:color="auto" w:fill="auto"/>
            <w:noWrap/>
            <w:vAlign w:val="bottom"/>
            <w:hideMark/>
          </w:tcPr>
          <w:p w:rsidR="00685BE5" w:rsidRPr="007D2274" w:rsidRDefault="00685BE5" w:rsidP="00AE4C3A">
            <w:pPr>
              <w:tabs>
                <w:tab w:val="decimal" w:pos="1043"/>
              </w:tabs>
              <w:spacing w:before="20" w:after="20"/>
              <w:ind w:right="696"/>
              <w:jc w:val="right"/>
              <w:rPr>
                <w:rFonts w:cstheme="minorHAnsi"/>
                <w:sz w:val="20"/>
                <w:szCs w:val="20"/>
              </w:rPr>
            </w:pPr>
            <w:r w:rsidRPr="007D2274">
              <w:rPr>
                <w:rFonts w:cstheme="minorHAnsi"/>
                <w:sz w:val="20"/>
                <w:szCs w:val="20"/>
              </w:rPr>
              <w:t>2.1</w:t>
            </w:r>
          </w:p>
        </w:tc>
      </w:tr>
      <w:tr w:rsidR="00685BE5" w:rsidRPr="00635E24" w:rsidTr="00AE4C3A">
        <w:tc>
          <w:tcPr>
            <w:tcW w:w="2266" w:type="dxa"/>
            <w:tcBorders>
              <w:top w:val="single" w:sz="4" w:space="0" w:color="auto"/>
              <w:left w:val="nil"/>
              <w:bottom w:val="single" w:sz="4" w:space="0" w:color="auto"/>
              <w:right w:val="nil"/>
            </w:tcBorders>
            <w:shd w:val="clear" w:color="auto" w:fill="auto"/>
            <w:noWrap/>
            <w:vAlign w:val="bottom"/>
            <w:hideMark/>
          </w:tcPr>
          <w:p w:rsidR="00685BE5" w:rsidRPr="00E3331B" w:rsidRDefault="00685BE5" w:rsidP="00AE4C3A">
            <w:pPr>
              <w:spacing w:before="20" w:after="20"/>
              <w:rPr>
                <w:rFonts w:cstheme="minorHAnsi"/>
                <w:b/>
                <w:sz w:val="20"/>
                <w:szCs w:val="20"/>
              </w:rPr>
            </w:pPr>
            <w:r w:rsidRPr="00E3331B">
              <w:rPr>
                <w:rFonts w:cstheme="minorHAnsi"/>
                <w:b/>
                <w:sz w:val="20"/>
                <w:szCs w:val="20"/>
              </w:rPr>
              <w:t>Total (N=2</w:t>
            </w:r>
            <w:r>
              <w:rPr>
                <w:rFonts w:cstheme="minorHAnsi"/>
                <w:b/>
                <w:sz w:val="20"/>
                <w:szCs w:val="20"/>
              </w:rPr>
              <w:t>,</w:t>
            </w:r>
            <w:r w:rsidRPr="00E3331B">
              <w:rPr>
                <w:rFonts w:cstheme="minorHAnsi"/>
                <w:b/>
                <w:sz w:val="20"/>
                <w:szCs w:val="20"/>
              </w:rPr>
              <w:t>133)</w:t>
            </w:r>
          </w:p>
        </w:tc>
        <w:tc>
          <w:tcPr>
            <w:tcW w:w="1955" w:type="dxa"/>
            <w:tcBorders>
              <w:top w:val="single" w:sz="4" w:space="0" w:color="auto"/>
              <w:left w:val="nil"/>
              <w:bottom w:val="single" w:sz="4" w:space="0" w:color="auto"/>
              <w:right w:val="nil"/>
            </w:tcBorders>
            <w:vAlign w:val="bottom"/>
          </w:tcPr>
          <w:p w:rsidR="00685BE5" w:rsidRPr="00E3331B" w:rsidRDefault="00685BE5" w:rsidP="00AE4C3A">
            <w:pPr>
              <w:spacing w:before="20" w:after="20"/>
              <w:ind w:right="554"/>
              <w:jc w:val="right"/>
              <w:rPr>
                <w:rFonts w:cstheme="minorHAnsi"/>
                <w:b/>
                <w:sz w:val="20"/>
                <w:szCs w:val="20"/>
              </w:rPr>
            </w:pPr>
            <w:r w:rsidRPr="00E3331B">
              <w:rPr>
                <w:rFonts w:cstheme="minorHAnsi"/>
                <w:b/>
                <w:sz w:val="20"/>
                <w:szCs w:val="20"/>
              </w:rPr>
              <w:t>100</w:t>
            </w:r>
          </w:p>
        </w:tc>
        <w:tc>
          <w:tcPr>
            <w:tcW w:w="2765" w:type="dxa"/>
            <w:tcBorders>
              <w:top w:val="single" w:sz="4" w:space="0" w:color="auto"/>
              <w:left w:val="nil"/>
              <w:bottom w:val="single" w:sz="4" w:space="0" w:color="auto"/>
              <w:right w:val="nil"/>
            </w:tcBorders>
            <w:shd w:val="clear" w:color="auto" w:fill="auto"/>
            <w:noWrap/>
            <w:vAlign w:val="bottom"/>
            <w:hideMark/>
          </w:tcPr>
          <w:p w:rsidR="00685BE5" w:rsidRPr="00E3331B" w:rsidRDefault="00685BE5" w:rsidP="00AE4C3A">
            <w:pPr>
              <w:tabs>
                <w:tab w:val="decimal" w:pos="1215"/>
              </w:tabs>
              <w:spacing w:before="20" w:after="20"/>
              <w:ind w:right="1193"/>
              <w:jc w:val="right"/>
              <w:rPr>
                <w:rFonts w:cstheme="minorHAnsi"/>
                <w:b/>
                <w:sz w:val="20"/>
                <w:szCs w:val="20"/>
              </w:rPr>
            </w:pPr>
            <w:r w:rsidRPr="00E3331B">
              <w:rPr>
                <w:rFonts w:cstheme="minorHAnsi"/>
                <w:b/>
                <w:sz w:val="20"/>
                <w:szCs w:val="20"/>
              </w:rPr>
              <w:t>100</w:t>
            </w:r>
          </w:p>
        </w:tc>
        <w:tc>
          <w:tcPr>
            <w:tcW w:w="2045" w:type="dxa"/>
            <w:tcBorders>
              <w:top w:val="single" w:sz="4" w:space="0" w:color="auto"/>
              <w:left w:val="nil"/>
              <w:bottom w:val="single" w:sz="4" w:space="0" w:color="auto"/>
              <w:right w:val="nil"/>
            </w:tcBorders>
            <w:shd w:val="clear" w:color="auto" w:fill="auto"/>
            <w:noWrap/>
            <w:vAlign w:val="bottom"/>
            <w:hideMark/>
          </w:tcPr>
          <w:p w:rsidR="00685BE5" w:rsidRPr="00E3331B" w:rsidRDefault="00685BE5" w:rsidP="00AE4C3A">
            <w:pPr>
              <w:tabs>
                <w:tab w:val="decimal" w:pos="1043"/>
              </w:tabs>
              <w:spacing w:before="20" w:after="20"/>
              <w:ind w:right="696"/>
              <w:jc w:val="right"/>
              <w:rPr>
                <w:rFonts w:cstheme="minorHAnsi"/>
                <w:b/>
                <w:sz w:val="20"/>
                <w:szCs w:val="20"/>
              </w:rPr>
            </w:pPr>
            <w:r w:rsidRPr="00E3331B">
              <w:rPr>
                <w:rFonts w:cstheme="minorHAnsi"/>
                <w:b/>
                <w:sz w:val="20"/>
                <w:szCs w:val="20"/>
              </w:rPr>
              <w:t>100</w:t>
            </w:r>
          </w:p>
        </w:tc>
      </w:tr>
    </w:tbl>
    <w:p w:rsidR="00685BE5" w:rsidRPr="005C469C" w:rsidRDefault="00685BE5" w:rsidP="00AE4C3A">
      <w:pPr>
        <w:pStyle w:val="NILSReference"/>
      </w:pPr>
      <w:r w:rsidRPr="005C469C">
        <w:t xml:space="preserve">Source: 2014 NDIS DSP employee survey, Questions C1, C5 and C6. </w:t>
      </w:r>
    </w:p>
    <w:p w:rsidR="00B92687" w:rsidRDefault="00B92687" w:rsidP="00AE4C3A">
      <w:pPr>
        <w:rPr>
          <w:rFonts w:cstheme="minorHAnsi"/>
        </w:rPr>
      </w:pPr>
    </w:p>
    <w:p w:rsidR="00685BE5" w:rsidRDefault="00685BE5" w:rsidP="00AE4C3A">
      <w:pPr>
        <w:rPr>
          <w:rFonts w:cstheme="minorHAnsi"/>
        </w:rPr>
      </w:pPr>
      <w:r>
        <w:rPr>
          <w:rFonts w:cstheme="minorHAnsi"/>
        </w:rPr>
        <w:t>Table 4.3</w:t>
      </w:r>
      <w:r w:rsidRPr="00AB33E3">
        <w:rPr>
          <w:rFonts w:cstheme="minorHAnsi"/>
        </w:rPr>
        <w:t xml:space="preserve">8 shows that only 13 </w:t>
      </w:r>
      <w:r>
        <w:rPr>
          <w:rFonts w:cstheme="minorHAnsi"/>
        </w:rPr>
        <w:t xml:space="preserve">per cent </w:t>
      </w:r>
      <w:r w:rsidRPr="00AB33E3">
        <w:rPr>
          <w:rFonts w:cstheme="minorHAnsi"/>
        </w:rPr>
        <w:t xml:space="preserve">of disability support workers were looking to leave their current position and were actively seeking work with another employer. </w:t>
      </w:r>
      <w:r>
        <w:rPr>
          <w:rFonts w:cstheme="minorHAnsi"/>
        </w:rPr>
        <w:t xml:space="preserve">For a roughly similar question content, in the Aged Care 2012 survey of community direct care workers a roughly similar share (82 per cent) were expecting to be working in aged care, in the same outlet, in 12 months. </w:t>
      </w:r>
    </w:p>
    <w:p w:rsidR="00B92687" w:rsidRPr="00AB33E3" w:rsidRDefault="00B92687" w:rsidP="00AE4C3A">
      <w:pPr>
        <w:rPr>
          <w:rFonts w:cstheme="minorHAnsi"/>
        </w:rPr>
      </w:pPr>
    </w:p>
    <w:p w:rsidR="00685BE5" w:rsidRPr="00AB33E3" w:rsidRDefault="00685BE5" w:rsidP="0044684E">
      <w:pPr>
        <w:pStyle w:val="NILSTableHeading"/>
      </w:pPr>
      <w:bookmarkStart w:id="656" w:name="_Toc425425115"/>
      <w:bookmarkStart w:id="657" w:name="_Toc428279245"/>
      <w:bookmarkStart w:id="658" w:name="_Toc449955376"/>
      <w:r>
        <w:t>Table 4.3</w:t>
      </w:r>
      <w:r w:rsidRPr="00AB33E3">
        <w:t>8: Whether actively seeking work with another employer</w:t>
      </w:r>
      <w:bookmarkEnd w:id="656"/>
      <w:bookmarkEnd w:id="657"/>
      <w:bookmarkEnd w:id="658"/>
      <w:r w:rsidRPr="00AB33E3">
        <w:t xml:space="preserve"> </w:t>
      </w:r>
    </w:p>
    <w:tbl>
      <w:tblPr>
        <w:tblW w:w="0" w:type="auto"/>
        <w:tblInd w:w="93" w:type="dxa"/>
        <w:tblLook w:val="04A0" w:firstRow="1" w:lastRow="0" w:firstColumn="1" w:lastColumn="0" w:noHBand="0" w:noVBand="1"/>
        <w:tblCaption w:val="Table 4.38 Whether actively seeking work with another employer "/>
      </w:tblPr>
      <w:tblGrid>
        <w:gridCol w:w="2121"/>
        <w:gridCol w:w="1530"/>
      </w:tblGrid>
      <w:tr w:rsidR="00685BE5" w:rsidRPr="00B90E88" w:rsidTr="00427D16">
        <w:trPr>
          <w:tblHeader/>
        </w:trPr>
        <w:tc>
          <w:tcPr>
            <w:tcW w:w="0" w:type="auto"/>
            <w:tcBorders>
              <w:top w:val="single" w:sz="4" w:space="0" w:color="auto"/>
              <w:left w:val="nil"/>
              <w:bottom w:val="single" w:sz="4" w:space="0" w:color="auto"/>
              <w:right w:val="nil"/>
            </w:tcBorders>
            <w:shd w:val="clear" w:color="auto" w:fill="auto"/>
            <w:noWrap/>
            <w:vAlign w:val="bottom"/>
            <w:hideMark/>
          </w:tcPr>
          <w:p w:rsidR="00685BE5" w:rsidRPr="00635E24" w:rsidRDefault="00685BE5" w:rsidP="00AE4C3A">
            <w:pPr>
              <w:spacing w:before="20" w:after="20"/>
              <w:jc w:val="center"/>
              <w:rPr>
                <w:rFonts w:cstheme="minorHAnsi"/>
                <w:sz w:val="20"/>
                <w:szCs w:val="20"/>
              </w:rPr>
            </w:pPr>
            <w:bookmarkStart w:id="659" w:name="Title_4_38"/>
            <w:bookmarkEnd w:id="659"/>
          </w:p>
        </w:tc>
        <w:tc>
          <w:tcPr>
            <w:tcW w:w="0" w:type="auto"/>
            <w:tcBorders>
              <w:top w:val="single" w:sz="4" w:space="0" w:color="auto"/>
              <w:left w:val="nil"/>
              <w:bottom w:val="single" w:sz="4" w:space="0" w:color="auto"/>
              <w:right w:val="nil"/>
            </w:tcBorders>
            <w:shd w:val="clear" w:color="auto" w:fill="auto"/>
            <w:noWrap/>
            <w:vAlign w:val="bottom"/>
            <w:hideMark/>
          </w:tcPr>
          <w:p w:rsidR="00685BE5" w:rsidRPr="00E3331B" w:rsidRDefault="0096484D" w:rsidP="00AE4C3A">
            <w:pPr>
              <w:spacing w:before="20" w:after="20"/>
              <w:jc w:val="center"/>
              <w:rPr>
                <w:rFonts w:cstheme="minorHAnsi"/>
                <w:bCs/>
                <w:sz w:val="20"/>
                <w:szCs w:val="20"/>
              </w:rPr>
            </w:pPr>
            <w:r>
              <w:rPr>
                <w:rFonts w:cstheme="minorHAnsi"/>
                <w:bCs/>
                <w:sz w:val="20"/>
                <w:szCs w:val="20"/>
              </w:rPr>
              <w:t>%</w:t>
            </w:r>
          </w:p>
        </w:tc>
      </w:tr>
      <w:tr w:rsidR="00685BE5" w:rsidRPr="00B90E88" w:rsidTr="00AE4C3A">
        <w:tc>
          <w:tcPr>
            <w:tcW w:w="0" w:type="auto"/>
            <w:tcBorders>
              <w:top w:val="nil"/>
              <w:left w:val="nil"/>
              <w:bottom w:val="nil"/>
              <w:right w:val="nil"/>
            </w:tcBorders>
            <w:shd w:val="clear" w:color="auto" w:fill="auto"/>
            <w:noWrap/>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No</w:t>
            </w:r>
          </w:p>
        </w:tc>
        <w:tc>
          <w:tcPr>
            <w:tcW w:w="0" w:type="auto"/>
            <w:tcBorders>
              <w:top w:val="nil"/>
              <w:left w:val="nil"/>
              <w:bottom w:val="nil"/>
              <w:right w:val="nil"/>
            </w:tcBorders>
            <w:shd w:val="clear" w:color="auto" w:fill="auto"/>
            <w:noWrap/>
            <w:vAlign w:val="bottom"/>
            <w:hideMark/>
          </w:tcPr>
          <w:p w:rsidR="00685BE5" w:rsidRPr="007D2274" w:rsidRDefault="00685BE5" w:rsidP="00AE4C3A">
            <w:pPr>
              <w:tabs>
                <w:tab w:val="decimal" w:pos="719"/>
              </w:tabs>
              <w:spacing w:before="20" w:after="20"/>
              <w:ind w:right="443"/>
              <w:jc w:val="right"/>
              <w:rPr>
                <w:rFonts w:cstheme="minorHAnsi"/>
                <w:sz w:val="20"/>
                <w:szCs w:val="20"/>
              </w:rPr>
            </w:pPr>
            <w:r w:rsidRPr="007D2274">
              <w:rPr>
                <w:rFonts w:cstheme="minorHAnsi"/>
                <w:sz w:val="20"/>
                <w:szCs w:val="20"/>
              </w:rPr>
              <w:t>85.8</w:t>
            </w:r>
          </w:p>
        </w:tc>
      </w:tr>
      <w:tr w:rsidR="00685BE5" w:rsidRPr="00B90E88" w:rsidTr="00AE4C3A">
        <w:tc>
          <w:tcPr>
            <w:tcW w:w="0" w:type="auto"/>
            <w:tcBorders>
              <w:top w:val="nil"/>
              <w:left w:val="nil"/>
              <w:bottom w:val="nil"/>
              <w:right w:val="nil"/>
            </w:tcBorders>
            <w:shd w:val="clear" w:color="auto" w:fill="auto"/>
            <w:noWrap/>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Yes</w:t>
            </w:r>
          </w:p>
        </w:tc>
        <w:tc>
          <w:tcPr>
            <w:tcW w:w="0" w:type="auto"/>
            <w:tcBorders>
              <w:top w:val="nil"/>
              <w:left w:val="nil"/>
              <w:bottom w:val="nil"/>
              <w:right w:val="nil"/>
            </w:tcBorders>
            <w:shd w:val="clear" w:color="auto" w:fill="auto"/>
            <w:noWrap/>
            <w:vAlign w:val="bottom"/>
            <w:hideMark/>
          </w:tcPr>
          <w:p w:rsidR="00685BE5" w:rsidRPr="007D2274" w:rsidRDefault="00685BE5" w:rsidP="00AE4C3A">
            <w:pPr>
              <w:tabs>
                <w:tab w:val="decimal" w:pos="719"/>
              </w:tabs>
              <w:spacing w:before="20" w:after="20"/>
              <w:ind w:right="443"/>
              <w:jc w:val="right"/>
              <w:rPr>
                <w:rFonts w:cstheme="minorHAnsi"/>
                <w:sz w:val="20"/>
                <w:szCs w:val="20"/>
              </w:rPr>
            </w:pPr>
            <w:r w:rsidRPr="007D2274">
              <w:rPr>
                <w:rFonts w:cstheme="minorHAnsi"/>
                <w:sz w:val="20"/>
                <w:szCs w:val="20"/>
              </w:rPr>
              <w:t>12.9</w:t>
            </w:r>
          </w:p>
        </w:tc>
      </w:tr>
      <w:tr w:rsidR="00685BE5" w:rsidRPr="00B90E88" w:rsidTr="00AE4C3A">
        <w:tc>
          <w:tcPr>
            <w:tcW w:w="0" w:type="auto"/>
            <w:tcBorders>
              <w:top w:val="nil"/>
              <w:left w:val="nil"/>
              <w:bottom w:val="single" w:sz="4" w:space="0" w:color="auto"/>
              <w:right w:val="nil"/>
            </w:tcBorders>
            <w:shd w:val="clear" w:color="auto" w:fill="auto"/>
            <w:noWrap/>
            <w:vAlign w:val="bottom"/>
            <w:hideMark/>
          </w:tcPr>
          <w:p w:rsidR="00685BE5" w:rsidRPr="007D2274" w:rsidRDefault="00685BE5" w:rsidP="00AE4C3A">
            <w:pPr>
              <w:spacing w:before="20" w:after="20"/>
              <w:rPr>
                <w:rFonts w:cstheme="minorHAnsi"/>
                <w:sz w:val="20"/>
                <w:szCs w:val="20"/>
              </w:rPr>
            </w:pPr>
            <w:r w:rsidRPr="007D2274">
              <w:rPr>
                <w:rFonts w:cstheme="minorHAnsi"/>
                <w:sz w:val="20"/>
                <w:szCs w:val="20"/>
              </w:rPr>
              <w:t xml:space="preserve">Question not answered </w:t>
            </w:r>
          </w:p>
        </w:tc>
        <w:tc>
          <w:tcPr>
            <w:tcW w:w="0" w:type="auto"/>
            <w:tcBorders>
              <w:top w:val="nil"/>
              <w:left w:val="nil"/>
              <w:bottom w:val="single" w:sz="4" w:space="0" w:color="auto"/>
              <w:right w:val="nil"/>
            </w:tcBorders>
            <w:shd w:val="clear" w:color="auto" w:fill="auto"/>
            <w:noWrap/>
            <w:vAlign w:val="bottom"/>
            <w:hideMark/>
          </w:tcPr>
          <w:p w:rsidR="00685BE5" w:rsidRPr="007D2274" w:rsidRDefault="00685BE5" w:rsidP="00AE4C3A">
            <w:pPr>
              <w:tabs>
                <w:tab w:val="decimal" w:pos="719"/>
              </w:tabs>
              <w:spacing w:before="20" w:after="20"/>
              <w:ind w:right="443"/>
              <w:jc w:val="right"/>
              <w:rPr>
                <w:rFonts w:cstheme="minorHAnsi"/>
                <w:sz w:val="20"/>
                <w:szCs w:val="20"/>
              </w:rPr>
            </w:pPr>
            <w:r>
              <w:rPr>
                <w:rFonts w:cstheme="minorHAnsi"/>
                <w:sz w:val="20"/>
                <w:szCs w:val="20"/>
              </w:rPr>
              <w:t>1</w:t>
            </w:r>
            <w:r w:rsidRPr="007D2274">
              <w:rPr>
                <w:rFonts w:cstheme="minorHAnsi"/>
                <w:sz w:val="20"/>
                <w:szCs w:val="20"/>
              </w:rPr>
              <w:t>.3</w:t>
            </w:r>
          </w:p>
        </w:tc>
      </w:tr>
      <w:tr w:rsidR="00685BE5" w:rsidRPr="00635E24" w:rsidTr="00AE4C3A">
        <w:tc>
          <w:tcPr>
            <w:tcW w:w="0" w:type="auto"/>
            <w:tcBorders>
              <w:top w:val="single" w:sz="4" w:space="0" w:color="auto"/>
              <w:left w:val="nil"/>
              <w:bottom w:val="single" w:sz="4" w:space="0" w:color="auto"/>
              <w:right w:val="nil"/>
            </w:tcBorders>
            <w:shd w:val="clear" w:color="auto" w:fill="auto"/>
            <w:noWrap/>
            <w:vAlign w:val="bottom"/>
            <w:hideMark/>
          </w:tcPr>
          <w:p w:rsidR="00685BE5" w:rsidRPr="00E3331B" w:rsidRDefault="00685BE5" w:rsidP="00AE4C3A">
            <w:pPr>
              <w:spacing w:before="20" w:after="20"/>
              <w:rPr>
                <w:rFonts w:cstheme="minorHAnsi"/>
                <w:b/>
                <w:sz w:val="20"/>
                <w:szCs w:val="20"/>
              </w:rPr>
            </w:pPr>
            <w:r w:rsidRPr="00E3331B">
              <w:rPr>
                <w:rFonts w:cstheme="minorHAnsi"/>
                <w:b/>
                <w:sz w:val="20"/>
                <w:szCs w:val="20"/>
              </w:rPr>
              <w:t>Total (N=2</w:t>
            </w:r>
            <w:r>
              <w:rPr>
                <w:rFonts w:cstheme="minorHAnsi"/>
                <w:b/>
                <w:sz w:val="20"/>
                <w:szCs w:val="20"/>
              </w:rPr>
              <w:t>,</w:t>
            </w:r>
            <w:r w:rsidRPr="00E3331B">
              <w:rPr>
                <w:rFonts w:cstheme="minorHAnsi"/>
                <w:b/>
                <w:sz w:val="20"/>
                <w:szCs w:val="20"/>
              </w:rPr>
              <w:t>133)</w:t>
            </w:r>
          </w:p>
        </w:tc>
        <w:tc>
          <w:tcPr>
            <w:tcW w:w="0" w:type="auto"/>
            <w:tcBorders>
              <w:top w:val="single" w:sz="4" w:space="0" w:color="auto"/>
              <w:left w:val="nil"/>
              <w:bottom w:val="single" w:sz="4" w:space="0" w:color="auto"/>
              <w:right w:val="nil"/>
            </w:tcBorders>
            <w:shd w:val="clear" w:color="auto" w:fill="auto"/>
            <w:noWrap/>
            <w:vAlign w:val="bottom"/>
            <w:hideMark/>
          </w:tcPr>
          <w:p w:rsidR="00685BE5" w:rsidRPr="00E3331B" w:rsidRDefault="00685BE5" w:rsidP="00AE4C3A">
            <w:pPr>
              <w:tabs>
                <w:tab w:val="decimal" w:pos="719"/>
              </w:tabs>
              <w:spacing w:before="20" w:after="20"/>
              <w:ind w:right="443"/>
              <w:jc w:val="right"/>
              <w:rPr>
                <w:rFonts w:cstheme="minorHAnsi"/>
                <w:b/>
                <w:sz w:val="20"/>
                <w:szCs w:val="20"/>
              </w:rPr>
            </w:pPr>
            <w:r w:rsidRPr="00E3331B">
              <w:rPr>
                <w:rFonts w:cstheme="minorHAnsi"/>
                <w:b/>
                <w:sz w:val="20"/>
                <w:szCs w:val="20"/>
              </w:rPr>
              <w:t>100</w:t>
            </w:r>
          </w:p>
        </w:tc>
      </w:tr>
    </w:tbl>
    <w:p w:rsidR="00685BE5" w:rsidRPr="005C469C" w:rsidRDefault="00685BE5" w:rsidP="00AE4C3A">
      <w:pPr>
        <w:pStyle w:val="NILSReference"/>
      </w:pPr>
      <w:r w:rsidRPr="005C469C">
        <w:t xml:space="preserve">Source: 2014 NDIS DSP employee survey, Question C8. </w:t>
      </w:r>
    </w:p>
    <w:p w:rsidR="00B92687" w:rsidRDefault="00B92687" w:rsidP="00AE4C3A">
      <w:pPr>
        <w:rPr>
          <w:rFonts w:cstheme="minorHAnsi"/>
        </w:rPr>
      </w:pPr>
    </w:p>
    <w:p w:rsidR="00685BE5" w:rsidRDefault="00685BE5" w:rsidP="00AE4C3A">
      <w:pPr>
        <w:rPr>
          <w:rFonts w:cstheme="minorHAnsi"/>
        </w:rPr>
      </w:pPr>
      <w:r w:rsidRPr="00AB33E3">
        <w:rPr>
          <w:rFonts w:cstheme="minorHAnsi"/>
        </w:rPr>
        <w:t>T</w:t>
      </w:r>
      <w:r>
        <w:rPr>
          <w:rFonts w:cstheme="minorHAnsi"/>
        </w:rPr>
        <w:t>able 4.39 shows that t</w:t>
      </w:r>
      <w:r w:rsidRPr="00AB33E3">
        <w:rPr>
          <w:rFonts w:cstheme="minorHAnsi"/>
        </w:rPr>
        <w:t>he majority of workers (72</w:t>
      </w:r>
      <w:r>
        <w:rPr>
          <w:rFonts w:cstheme="minorHAnsi"/>
        </w:rPr>
        <w:t>.4</w:t>
      </w:r>
      <w:r w:rsidRPr="00AB33E3">
        <w:rPr>
          <w:rFonts w:cstheme="minorHAnsi"/>
        </w:rPr>
        <w:t xml:space="preserve"> per cent) expect</w:t>
      </w:r>
      <w:r>
        <w:rPr>
          <w:rFonts w:cstheme="minorHAnsi"/>
        </w:rPr>
        <w:t>ed</w:t>
      </w:r>
      <w:r w:rsidRPr="00AB33E3">
        <w:rPr>
          <w:rFonts w:cstheme="minorHAnsi"/>
        </w:rPr>
        <w:t xml:space="preserve"> to be working for their current employer in 12 months’ time, </w:t>
      </w:r>
      <w:r>
        <w:rPr>
          <w:rFonts w:cstheme="minorHAnsi"/>
        </w:rPr>
        <w:t>al</w:t>
      </w:r>
      <w:r w:rsidRPr="00AB33E3">
        <w:rPr>
          <w:rFonts w:cstheme="minorHAnsi"/>
        </w:rPr>
        <w:t>though 10</w:t>
      </w:r>
      <w:r>
        <w:rPr>
          <w:rFonts w:cstheme="minorHAnsi"/>
        </w:rPr>
        <w:t>.2</w:t>
      </w:r>
      <w:r w:rsidRPr="00AB33E3">
        <w:rPr>
          <w:rFonts w:cstheme="minorHAnsi"/>
        </w:rPr>
        <w:t xml:space="preserve"> per cent of them intend</w:t>
      </w:r>
      <w:r>
        <w:rPr>
          <w:rFonts w:cstheme="minorHAnsi"/>
        </w:rPr>
        <w:t>ed</w:t>
      </w:r>
      <w:r w:rsidRPr="00AB33E3">
        <w:rPr>
          <w:rFonts w:cstheme="minorHAnsi"/>
        </w:rPr>
        <w:t xml:space="preserve"> to change their job with the same employer. Of the remaining, 13</w:t>
      </w:r>
      <w:r>
        <w:rPr>
          <w:rFonts w:cstheme="minorHAnsi"/>
        </w:rPr>
        <w:t>.4</w:t>
      </w:r>
      <w:r w:rsidRPr="00AB33E3">
        <w:rPr>
          <w:rFonts w:cstheme="minorHAnsi"/>
        </w:rPr>
        <w:t xml:space="preserve"> per cent </w:t>
      </w:r>
      <w:r>
        <w:rPr>
          <w:rFonts w:cstheme="minorHAnsi"/>
        </w:rPr>
        <w:t>we</w:t>
      </w:r>
      <w:r w:rsidRPr="00AB33E3">
        <w:rPr>
          <w:rFonts w:cstheme="minorHAnsi"/>
        </w:rPr>
        <w:t xml:space="preserve">re unsure what they will be doing in a year. Around </w:t>
      </w:r>
      <w:r>
        <w:rPr>
          <w:rFonts w:cstheme="minorHAnsi"/>
        </w:rPr>
        <w:t>six</w:t>
      </w:r>
      <w:r w:rsidRPr="00AB33E3">
        <w:rPr>
          <w:rFonts w:cstheme="minorHAnsi"/>
        </w:rPr>
        <w:t xml:space="preserve"> </w:t>
      </w:r>
      <w:r>
        <w:rPr>
          <w:rFonts w:cstheme="minorHAnsi"/>
        </w:rPr>
        <w:t xml:space="preserve">per cent </w:t>
      </w:r>
      <w:r w:rsidRPr="00AB33E3">
        <w:rPr>
          <w:rFonts w:cstheme="minorHAnsi"/>
        </w:rPr>
        <w:t>of the workforce intend</w:t>
      </w:r>
      <w:r>
        <w:rPr>
          <w:rFonts w:cstheme="minorHAnsi"/>
        </w:rPr>
        <w:t>ed</w:t>
      </w:r>
      <w:r w:rsidRPr="00AB33E3">
        <w:rPr>
          <w:rFonts w:cstheme="minorHAnsi"/>
        </w:rPr>
        <w:t xml:space="preserve"> to look for work with a new disability service employer. Tables</w:t>
      </w:r>
      <w:r>
        <w:rPr>
          <w:rFonts w:cstheme="minorHAnsi"/>
        </w:rPr>
        <w:t xml:space="preserve"> 4.38 and 4.3</w:t>
      </w:r>
      <w:r w:rsidRPr="00AB33E3">
        <w:rPr>
          <w:rFonts w:cstheme="minorHAnsi"/>
        </w:rPr>
        <w:t>9</w:t>
      </w:r>
      <w:r>
        <w:rPr>
          <w:rFonts w:cstheme="minorHAnsi"/>
        </w:rPr>
        <w:t xml:space="preserve"> </w:t>
      </w:r>
      <w:r w:rsidRPr="00AB33E3">
        <w:rPr>
          <w:rFonts w:cstheme="minorHAnsi"/>
        </w:rPr>
        <w:t xml:space="preserve">show a high level of stability in the workforce. Only </w:t>
      </w:r>
      <w:r>
        <w:rPr>
          <w:rFonts w:cstheme="minorHAnsi"/>
        </w:rPr>
        <w:t>five</w:t>
      </w:r>
      <w:r w:rsidRPr="00AB33E3">
        <w:rPr>
          <w:rFonts w:cstheme="minorHAnsi"/>
        </w:rPr>
        <w:t xml:space="preserve"> per cent expect</w:t>
      </w:r>
      <w:r>
        <w:rPr>
          <w:rFonts w:cstheme="minorHAnsi"/>
        </w:rPr>
        <w:t>ed</w:t>
      </w:r>
      <w:r w:rsidRPr="00AB33E3">
        <w:rPr>
          <w:rFonts w:cstheme="minorHAnsi"/>
        </w:rPr>
        <w:t xml:space="preserve"> to leave the sector in the coming year to work elsewhere and almost none </w:t>
      </w:r>
      <w:r>
        <w:rPr>
          <w:rFonts w:cstheme="minorHAnsi"/>
        </w:rPr>
        <w:t xml:space="preserve">stated that they </w:t>
      </w:r>
      <w:r w:rsidRPr="00AB33E3">
        <w:rPr>
          <w:rFonts w:cstheme="minorHAnsi"/>
        </w:rPr>
        <w:t>expect to retire</w:t>
      </w:r>
      <w:r>
        <w:rPr>
          <w:rFonts w:cstheme="minorHAnsi"/>
        </w:rPr>
        <w:t xml:space="preserve"> in the next 12 months</w:t>
      </w:r>
      <w:r w:rsidRPr="00AB33E3">
        <w:rPr>
          <w:rFonts w:cstheme="minorHAnsi"/>
        </w:rPr>
        <w:t>, despite the</w:t>
      </w:r>
      <w:r>
        <w:rPr>
          <w:rFonts w:cstheme="minorHAnsi"/>
        </w:rPr>
        <w:t xml:space="preserve"> fact that 18.5 per cent of the respondents were above the age of 55 (see Table 4.19)</w:t>
      </w:r>
      <w:r w:rsidRPr="00AB33E3">
        <w:rPr>
          <w:rFonts w:cstheme="minorHAnsi"/>
        </w:rPr>
        <w:t>.</w:t>
      </w:r>
    </w:p>
    <w:p w:rsidR="00685BE5" w:rsidRDefault="00685BE5">
      <w:pPr>
        <w:rPr>
          <w:rFonts w:cstheme="minorHAnsi"/>
        </w:rPr>
      </w:pPr>
      <w:r>
        <w:rPr>
          <w:rFonts w:cstheme="minorHAnsi"/>
        </w:rPr>
        <w:br w:type="page"/>
      </w:r>
    </w:p>
    <w:p w:rsidR="00685BE5" w:rsidRPr="00AB33E3" w:rsidRDefault="00685BE5" w:rsidP="0044684E">
      <w:pPr>
        <w:pStyle w:val="NILSTableHeading"/>
      </w:pPr>
      <w:bookmarkStart w:id="660" w:name="_Toc425425116"/>
      <w:bookmarkStart w:id="661" w:name="_Toc428279246"/>
      <w:bookmarkStart w:id="662" w:name="_Toc449955377"/>
      <w:r>
        <w:lastRenderedPageBreak/>
        <w:t>Table 4.3</w:t>
      </w:r>
      <w:r w:rsidRPr="00AB33E3">
        <w:t>9: Expected activity in 12 months’ time of the disability support workforce</w:t>
      </w:r>
      <w:bookmarkEnd w:id="660"/>
      <w:bookmarkEnd w:id="661"/>
      <w:bookmarkEnd w:id="662"/>
    </w:p>
    <w:tbl>
      <w:tblPr>
        <w:tblW w:w="6912" w:type="dxa"/>
        <w:tblLayout w:type="fixed"/>
        <w:tblLook w:val="0000" w:firstRow="0" w:lastRow="0" w:firstColumn="0" w:lastColumn="0" w:noHBand="0" w:noVBand="0"/>
        <w:tblCaption w:val="Table 4.39 Expected activity in 12 months’ time of the disability support workforce"/>
      </w:tblPr>
      <w:tblGrid>
        <w:gridCol w:w="5772"/>
        <w:gridCol w:w="1140"/>
      </w:tblGrid>
      <w:tr w:rsidR="00685BE5" w:rsidRPr="00635E24" w:rsidTr="001C146A">
        <w:trPr>
          <w:trHeight w:val="254"/>
          <w:tblHeader/>
        </w:trPr>
        <w:tc>
          <w:tcPr>
            <w:tcW w:w="5772" w:type="dxa"/>
            <w:tcBorders>
              <w:top w:val="single" w:sz="4" w:space="0" w:color="auto"/>
              <w:bottom w:val="single" w:sz="4" w:space="0" w:color="auto"/>
            </w:tcBorders>
            <w:vAlign w:val="center"/>
          </w:tcPr>
          <w:p w:rsidR="00685BE5" w:rsidRPr="00E3331B" w:rsidRDefault="00685BE5" w:rsidP="00AE4C3A">
            <w:pPr>
              <w:spacing w:before="20" w:after="20"/>
              <w:jc w:val="center"/>
              <w:rPr>
                <w:rFonts w:cstheme="minorHAnsi"/>
                <w:sz w:val="20"/>
                <w:szCs w:val="20"/>
              </w:rPr>
            </w:pPr>
            <w:bookmarkStart w:id="663" w:name="Title_4_39"/>
            <w:bookmarkEnd w:id="663"/>
          </w:p>
        </w:tc>
        <w:tc>
          <w:tcPr>
            <w:tcW w:w="1140" w:type="dxa"/>
            <w:tcBorders>
              <w:top w:val="single" w:sz="4" w:space="0" w:color="auto"/>
              <w:bottom w:val="single" w:sz="4" w:space="0" w:color="auto"/>
            </w:tcBorders>
            <w:vAlign w:val="center"/>
          </w:tcPr>
          <w:p w:rsidR="00685BE5" w:rsidRPr="00E3331B" w:rsidRDefault="0096484D" w:rsidP="00AE4C3A">
            <w:pPr>
              <w:spacing w:before="20" w:after="20"/>
              <w:jc w:val="center"/>
              <w:rPr>
                <w:rFonts w:cstheme="minorHAnsi"/>
                <w:sz w:val="20"/>
                <w:szCs w:val="20"/>
              </w:rPr>
            </w:pPr>
            <w:r>
              <w:rPr>
                <w:rFonts w:cstheme="minorHAnsi"/>
                <w:sz w:val="20"/>
                <w:szCs w:val="20"/>
              </w:rPr>
              <w:t>%</w:t>
            </w:r>
          </w:p>
        </w:tc>
      </w:tr>
      <w:tr w:rsidR="00685BE5" w:rsidRPr="00B90E88" w:rsidTr="001C146A">
        <w:trPr>
          <w:trHeight w:val="254"/>
        </w:trPr>
        <w:tc>
          <w:tcPr>
            <w:tcW w:w="5772" w:type="dxa"/>
            <w:tcBorders>
              <w:top w:val="single" w:sz="4" w:space="0" w:color="auto"/>
            </w:tcBorders>
            <w:vAlign w:val="center"/>
          </w:tcPr>
          <w:p w:rsidR="00685BE5" w:rsidRPr="007D2274" w:rsidRDefault="00685BE5" w:rsidP="00AE4C3A">
            <w:pPr>
              <w:spacing w:before="20" w:after="20"/>
              <w:rPr>
                <w:rFonts w:cstheme="minorHAnsi"/>
                <w:sz w:val="20"/>
                <w:szCs w:val="20"/>
              </w:rPr>
            </w:pPr>
            <w:r w:rsidRPr="007D2274">
              <w:rPr>
                <w:rFonts w:cstheme="minorHAnsi"/>
                <w:sz w:val="20"/>
                <w:szCs w:val="20"/>
              </w:rPr>
              <w:t>With the same employer as now, and in the same job</w:t>
            </w:r>
          </w:p>
        </w:tc>
        <w:tc>
          <w:tcPr>
            <w:tcW w:w="1140" w:type="dxa"/>
            <w:tcBorders>
              <w:top w:val="single" w:sz="4" w:space="0" w:color="auto"/>
            </w:tcBorders>
            <w:vAlign w:val="bottom"/>
          </w:tcPr>
          <w:p w:rsidR="00685BE5" w:rsidRPr="007D2274" w:rsidRDefault="00685BE5" w:rsidP="001C146A">
            <w:pPr>
              <w:spacing w:before="20" w:after="20"/>
              <w:ind w:right="277"/>
              <w:jc w:val="right"/>
              <w:rPr>
                <w:rFonts w:cstheme="minorHAnsi"/>
                <w:sz w:val="20"/>
                <w:szCs w:val="20"/>
              </w:rPr>
            </w:pPr>
            <w:r w:rsidRPr="007D2274">
              <w:rPr>
                <w:rFonts w:cstheme="minorHAnsi"/>
                <w:sz w:val="20"/>
                <w:szCs w:val="20"/>
              </w:rPr>
              <w:t>62.2</w:t>
            </w:r>
          </w:p>
        </w:tc>
      </w:tr>
      <w:tr w:rsidR="00685BE5" w:rsidRPr="00B90E88" w:rsidTr="001C146A">
        <w:trPr>
          <w:trHeight w:val="254"/>
        </w:trPr>
        <w:tc>
          <w:tcPr>
            <w:tcW w:w="5772" w:type="dxa"/>
            <w:vAlign w:val="center"/>
          </w:tcPr>
          <w:p w:rsidR="00685BE5" w:rsidRPr="007D2274" w:rsidRDefault="00685BE5" w:rsidP="00AE4C3A">
            <w:pPr>
              <w:spacing w:before="20" w:after="20"/>
              <w:rPr>
                <w:rFonts w:cstheme="minorHAnsi"/>
                <w:sz w:val="20"/>
                <w:szCs w:val="20"/>
              </w:rPr>
            </w:pPr>
            <w:r w:rsidRPr="007D2274">
              <w:rPr>
                <w:rFonts w:cstheme="minorHAnsi"/>
                <w:sz w:val="20"/>
                <w:szCs w:val="20"/>
              </w:rPr>
              <w:t>With the same employer, but in a different job</w:t>
            </w:r>
          </w:p>
        </w:tc>
        <w:tc>
          <w:tcPr>
            <w:tcW w:w="1140" w:type="dxa"/>
            <w:vAlign w:val="bottom"/>
          </w:tcPr>
          <w:p w:rsidR="00685BE5" w:rsidRPr="007D2274" w:rsidRDefault="00685BE5" w:rsidP="001C146A">
            <w:pPr>
              <w:spacing w:before="20" w:after="20"/>
              <w:ind w:right="277"/>
              <w:jc w:val="right"/>
              <w:rPr>
                <w:rFonts w:cstheme="minorHAnsi"/>
                <w:sz w:val="20"/>
                <w:szCs w:val="20"/>
              </w:rPr>
            </w:pPr>
            <w:r w:rsidRPr="007D2274">
              <w:rPr>
                <w:rFonts w:cstheme="minorHAnsi"/>
                <w:sz w:val="20"/>
                <w:szCs w:val="20"/>
              </w:rPr>
              <w:t>10.2</w:t>
            </w:r>
          </w:p>
        </w:tc>
      </w:tr>
      <w:tr w:rsidR="00685BE5" w:rsidRPr="00B90E88" w:rsidTr="001C146A">
        <w:trPr>
          <w:trHeight w:val="254"/>
        </w:trPr>
        <w:tc>
          <w:tcPr>
            <w:tcW w:w="5772" w:type="dxa"/>
            <w:vAlign w:val="center"/>
          </w:tcPr>
          <w:p w:rsidR="00685BE5" w:rsidRPr="007D2274" w:rsidRDefault="00685BE5" w:rsidP="00AE4C3A">
            <w:pPr>
              <w:spacing w:before="20" w:after="20"/>
              <w:rPr>
                <w:rFonts w:cstheme="minorHAnsi"/>
                <w:sz w:val="20"/>
                <w:szCs w:val="20"/>
              </w:rPr>
            </w:pPr>
            <w:r w:rsidRPr="007D2274">
              <w:rPr>
                <w:rFonts w:cstheme="minorHAnsi"/>
                <w:sz w:val="20"/>
                <w:szCs w:val="20"/>
              </w:rPr>
              <w:t>In the disability support sector, but with a different employer</w:t>
            </w:r>
          </w:p>
        </w:tc>
        <w:tc>
          <w:tcPr>
            <w:tcW w:w="1140" w:type="dxa"/>
            <w:vAlign w:val="bottom"/>
          </w:tcPr>
          <w:p w:rsidR="00685BE5" w:rsidRPr="007D2274" w:rsidRDefault="00685BE5" w:rsidP="001C146A">
            <w:pPr>
              <w:spacing w:before="20" w:after="20"/>
              <w:ind w:right="277"/>
              <w:jc w:val="right"/>
              <w:rPr>
                <w:rFonts w:cstheme="minorHAnsi"/>
                <w:sz w:val="20"/>
                <w:szCs w:val="20"/>
              </w:rPr>
            </w:pPr>
            <w:r w:rsidRPr="007D2274">
              <w:rPr>
                <w:rFonts w:cstheme="minorHAnsi"/>
                <w:sz w:val="20"/>
                <w:szCs w:val="20"/>
              </w:rPr>
              <w:t>5.8</w:t>
            </w:r>
          </w:p>
        </w:tc>
      </w:tr>
      <w:tr w:rsidR="00685BE5" w:rsidRPr="00B90E88" w:rsidTr="001C146A">
        <w:trPr>
          <w:trHeight w:val="254"/>
        </w:trPr>
        <w:tc>
          <w:tcPr>
            <w:tcW w:w="5772" w:type="dxa"/>
            <w:vAlign w:val="center"/>
          </w:tcPr>
          <w:p w:rsidR="00685BE5" w:rsidRPr="007D2274" w:rsidRDefault="00685BE5" w:rsidP="00AE4C3A">
            <w:pPr>
              <w:spacing w:before="20" w:after="20"/>
              <w:rPr>
                <w:rFonts w:cstheme="minorHAnsi"/>
                <w:sz w:val="20"/>
                <w:szCs w:val="20"/>
              </w:rPr>
            </w:pPr>
            <w:r w:rsidRPr="007D2274">
              <w:rPr>
                <w:rFonts w:cstheme="minorHAnsi"/>
                <w:sz w:val="20"/>
                <w:szCs w:val="20"/>
              </w:rPr>
              <w:t>In the paid-care sector, but not in the disability support sector</w:t>
            </w:r>
          </w:p>
        </w:tc>
        <w:tc>
          <w:tcPr>
            <w:tcW w:w="1140" w:type="dxa"/>
            <w:vAlign w:val="bottom"/>
          </w:tcPr>
          <w:p w:rsidR="00685BE5" w:rsidRPr="007D2274" w:rsidRDefault="00685BE5" w:rsidP="001C146A">
            <w:pPr>
              <w:spacing w:before="20" w:after="20"/>
              <w:ind w:right="277"/>
              <w:jc w:val="right"/>
              <w:rPr>
                <w:rFonts w:cstheme="minorHAnsi"/>
                <w:sz w:val="20"/>
                <w:szCs w:val="20"/>
              </w:rPr>
            </w:pPr>
            <w:r w:rsidRPr="007D2274">
              <w:rPr>
                <w:rFonts w:cstheme="minorHAnsi"/>
                <w:sz w:val="20"/>
                <w:szCs w:val="20"/>
              </w:rPr>
              <w:t>1.2</w:t>
            </w:r>
          </w:p>
        </w:tc>
      </w:tr>
      <w:tr w:rsidR="00685BE5" w:rsidRPr="00B90E88" w:rsidTr="001C146A">
        <w:trPr>
          <w:trHeight w:val="254"/>
        </w:trPr>
        <w:tc>
          <w:tcPr>
            <w:tcW w:w="5772" w:type="dxa"/>
            <w:vAlign w:val="center"/>
          </w:tcPr>
          <w:p w:rsidR="00685BE5" w:rsidRPr="007D2274" w:rsidRDefault="00685BE5" w:rsidP="00AE4C3A">
            <w:pPr>
              <w:spacing w:before="20" w:after="20"/>
              <w:rPr>
                <w:rFonts w:cstheme="minorHAnsi"/>
                <w:sz w:val="20"/>
                <w:szCs w:val="20"/>
              </w:rPr>
            </w:pPr>
            <w:r w:rsidRPr="007D2274">
              <w:rPr>
                <w:rFonts w:cstheme="minorHAnsi"/>
                <w:sz w:val="20"/>
                <w:szCs w:val="20"/>
              </w:rPr>
              <w:t>In a different area of work altogether</w:t>
            </w:r>
          </w:p>
        </w:tc>
        <w:tc>
          <w:tcPr>
            <w:tcW w:w="1140" w:type="dxa"/>
            <w:vAlign w:val="bottom"/>
          </w:tcPr>
          <w:p w:rsidR="00685BE5" w:rsidRPr="007D2274" w:rsidRDefault="00685BE5" w:rsidP="001C146A">
            <w:pPr>
              <w:spacing w:before="20" w:after="20"/>
              <w:ind w:right="277"/>
              <w:jc w:val="right"/>
              <w:rPr>
                <w:rFonts w:cstheme="minorHAnsi"/>
                <w:sz w:val="20"/>
                <w:szCs w:val="20"/>
              </w:rPr>
            </w:pPr>
            <w:r w:rsidRPr="007D2274">
              <w:rPr>
                <w:rFonts w:cstheme="minorHAnsi"/>
                <w:sz w:val="20"/>
                <w:szCs w:val="20"/>
              </w:rPr>
              <w:t>4.9</w:t>
            </w:r>
          </w:p>
        </w:tc>
      </w:tr>
      <w:tr w:rsidR="00685BE5" w:rsidRPr="00B90E88" w:rsidTr="001C146A">
        <w:trPr>
          <w:trHeight w:val="254"/>
        </w:trPr>
        <w:tc>
          <w:tcPr>
            <w:tcW w:w="5772" w:type="dxa"/>
            <w:vAlign w:val="center"/>
          </w:tcPr>
          <w:p w:rsidR="00685BE5" w:rsidRPr="007D2274" w:rsidRDefault="00685BE5" w:rsidP="00AE4C3A">
            <w:pPr>
              <w:spacing w:before="20" w:after="20"/>
              <w:rPr>
                <w:rFonts w:cstheme="minorHAnsi"/>
                <w:sz w:val="20"/>
                <w:szCs w:val="20"/>
              </w:rPr>
            </w:pPr>
            <w:r w:rsidRPr="007D2274">
              <w:rPr>
                <w:rFonts w:cstheme="minorHAnsi"/>
                <w:sz w:val="20"/>
                <w:szCs w:val="20"/>
              </w:rPr>
              <w:t>Not in paid employment at all</w:t>
            </w:r>
          </w:p>
        </w:tc>
        <w:tc>
          <w:tcPr>
            <w:tcW w:w="1140" w:type="dxa"/>
            <w:vAlign w:val="bottom"/>
          </w:tcPr>
          <w:p w:rsidR="00685BE5" w:rsidRPr="007D2274" w:rsidRDefault="00685BE5" w:rsidP="001C146A">
            <w:pPr>
              <w:spacing w:before="20" w:after="20"/>
              <w:ind w:right="277"/>
              <w:jc w:val="right"/>
              <w:rPr>
                <w:rFonts w:cstheme="minorHAnsi"/>
                <w:sz w:val="20"/>
                <w:szCs w:val="20"/>
              </w:rPr>
            </w:pPr>
            <w:r w:rsidRPr="007D2274">
              <w:rPr>
                <w:rFonts w:cstheme="minorHAnsi"/>
                <w:sz w:val="20"/>
                <w:szCs w:val="20"/>
              </w:rPr>
              <w:t>0.9</w:t>
            </w:r>
          </w:p>
        </w:tc>
      </w:tr>
      <w:tr w:rsidR="00685BE5" w:rsidRPr="00B90E88" w:rsidTr="001C146A">
        <w:trPr>
          <w:trHeight w:val="254"/>
        </w:trPr>
        <w:tc>
          <w:tcPr>
            <w:tcW w:w="5772" w:type="dxa"/>
            <w:vAlign w:val="center"/>
          </w:tcPr>
          <w:p w:rsidR="00685BE5" w:rsidRPr="007D2274" w:rsidRDefault="00685BE5" w:rsidP="00AE4C3A">
            <w:pPr>
              <w:spacing w:before="20" w:after="20"/>
              <w:rPr>
                <w:rFonts w:cstheme="minorHAnsi"/>
                <w:sz w:val="20"/>
                <w:szCs w:val="20"/>
              </w:rPr>
            </w:pPr>
            <w:r w:rsidRPr="007D2274">
              <w:rPr>
                <w:rFonts w:cstheme="minorHAnsi"/>
                <w:sz w:val="20"/>
                <w:szCs w:val="20"/>
              </w:rPr>
              <w:t>Unsure</w:t>
            </w:r>
          </w:p>
        </w:tc>
        <w:tc>
          <w:tcPr>
            <w:tcW w:w="1140" w:type="dxa"/>
            <w:vAlign w:val="bottom"/>
          </w:tcPr>
          <w:p w:rsidR="00685BE5" w:rsidRPr="007D2274" w:rsidRDefault="00685BE5" w:rsidP="001C146A">
            <w:pPr>
              <w:spacing w:before="20" w:after="20"/>
              <w:ind w:right="277"/>
              <w:jc w:val="right"/>
              <w:rPr>
                <w:rFonts w:cstheme="minorHAnsi"/>
                <w:sz w:val="20"/>
                <w:szCs w:val="20"/>
              </w:rPr>
            </w:pPr>
            <w:r w:rsidRPr="007D2274">
              <w:rPr>
                <w:rFonts w:cstheme="minorHAnsi"/>
                <w:sz w:val="20"/>
                <w:szCs w:val="20"/>
              </w:rPr>
              <w:t>13.4</w:t>
            </w:r>
          </w:p>
        </w:tc>
      </w:tr>
      <w:tr w:rsidR="00685BE5" w:rsidRPr="00B90E88" w:rsidTr="001C146A">
        <w:trPr>
          <w:trHeight w:val="254"/>
        </w:trPr>
        <w:tc>
          <w:tcPr>
            <w:tcW w:w="5772" w:type="dxa"/>
            <w:tcBorders>
              <w:bottom w:val="single" w:sz="4" w:space="0" w:color="auto"/>
            </w:tcBorders>
            <w:vAlign w:val="center"/>
          </w:tcPr>
          <w:p w:rsidR="00685BE5" w:rsidRPr="007D2274" w:rsidRDefault="00685BE5" w:rsidP="00AE4C3A">
            <w:pPr>
              <w:spacing w:before="20" w:after="20"/>
              <w:rPr>
                <w:rFonts w:cstheme="minorHAnsi"/>
                <w:sz w:val="20"/>
                <w:szCs w:val="20"/>
              </w:rPr>
            </w:pPr>
            <w:r w:rsidRPr="007D2274">
              <w:rPr>
                <w:rFonts w:cstheme="minorHAnsi"/>
                <w:sz w:val="20"/>
                <w:szCs w:val="20"/>
              </w:rPr>
              <w:t xml:space="preserve">Question not answered </w:t>
            </w:r>
          </w:p>
        </w:tc>
        <w:tc>
          <w:tcPr>
            <w:tcW w:w="1140" w:type="dxa"/>
            <w:tcBorders>
              <w:bottom w:val="single" w:sz="4" w:space="0" w:color="auto"/>
            </w:tcBorders>
            <w:vAlign w:val="bottom"/>
          </w:tcPr>
          <w:p w:rsidR="00685BE5" w:rsidRPr="007D2274" w:rsidRDefault="00685BE5" w:rsidP="001C146A">
            <w:pPr>
              <w:spacing w:before="20" w:after="20"/>
              <w:ind w:right="277"/>
              <w:jc w:val="right"/>
              <w:rPr>
                <w:rFonts w:cstheme="minorHAnsi"/>
                <w:sz w:val="20"/>
                <w:szCs w:val="20"/>
              </w:rPr>
            </w:pPr>
            <w:r w:rsidRPr="007D2274">
              <w:rPr>
                <w:rFonts w:cstheme="minorHAnsi"/>
                <w:sz w:val="20"/>
                <w:szCs w:val="20"/>
              </w:rPr>
              <w:t>1.5</w:t>
            </w:r>
          </w:p>
        </w:tc>
      </w:tr>
      <w:tr w:rsidR="00685BE5" w:rsidRPr="00635E24" w:rsidTr="001C146A">
        <w:trPr>
          <w:trHeight w:val="254"/>
        </w:trPr>
        <w:tc>
          <w:tcPr>
            <w:tcW w:w="5772" w:type="dxa"/>
            <w:tcBorders>
              <w:top w:val="single" w:sz="4" w:space="0" w:color="auto"/>
              <w:bottom w:val="single" w:sz="4" w:space="0" w:color="auto"/>
            </w:tcBorders>
            <w:vAlign w:val="center"/>
          </w:tcPr>
          <w:p w:rsidR="00685BE5" w:rsidRPr="00E3331B" w:rsidRDefault="00685BE5" w:rsidP="00AE4C3A">
            <w:pPr>
              <w:spacing w:before="20" w:after="20"/>
              <w:rPr>
                <w:rFonts w:cstheme="minorHAnsi"/>
                <w:b/>
                <w:sz w:val="20"/>
                <w:szCs w:val="20"/>
              </w:rPr>
            </w:pPr>
            <w:r w:rsidRPr="00E3331B">
              <w:rPr>
                <w:rFonts w:cstheme="minorHAnsi"/>
                <w:b/>
                <w:sz w:val="20"/>
                <w:szCs w:val="20"/>
              </w:rPr>
              <w:t>Total (N=2</w:t>
            </w:r>
            <w:r>
              <w:rPr>
                <w:rFonts w:cstheme="minorHAnsi"/>
                <w:b/>
                <w:sz w:val="20"/>
                <w:szCs w:val="20"/>
              </w:rPr>
              <w:t>,</w:t>
            </w:r>
            <w:r w:rsidRPr="00E3331B">
              <w:rPr>
                <w:rFonts w:cstheme="minorHAnsi"/>
                <w:b/>
                <w:sz w:val="20"/>
                <w:szCs w:val="20"/>
              </w:rPr>
              <w:t>133)</w:t>
            </w:r>
          </w:p>
        </w:tc>
        <w:tc>
          <w:tcPr>
            <w:tcW w:w="1140" w:type="dxa"/>
            <w:tcBorders>
              <w:top w:val="single" w:sz="4" w:space="0" w:color="auto"/>
              <w:bottom w:val="single" w:sz="4" w:space="0" w:color="auto"/>
            </w:tcBorders>
            <w:vAlign w:val="center"/>
          </w:tcPr>
          <w:p w:rsidR="00685BE5" w:rsidRPr="00E3331B" w:rsidRDefault="00685BE5" w:rsidP="001C146A">
            <w:pPr>
              <w:spacing w:before="20" w:after="20"/>
              <w:ind w:right="277"/>
              <w:jc w:val="right"/>
              <w:rPr>
                <w:rFonts w:cstheme="minorHAnsi"/>
                <w:b/>
                <w:sz w:val="20"/>
                <w:szCs w:val="20"/>
              </w:rPr>
            </w:pPr>
            <w:r w:rsidRPr="00E3331B">
              <w:rPr>
                <w:rFonts w:cstheme="minorHAnsi"/>
                <w:b/>
                <w:sz w:val="20"/>
                <w:szCs w:val="20"/>
              </w:rPr>
              <w:t>100</w:t>
            </w:r>
          </w:p>
        </w:tc>
      </w:tr>
    </w:tbl>
    <w:p w:rsidR="00685BE5" w:rsidRPr="005C469C" w:rsidRDefault="00685BE5" w:rsidP="00AE4C3A">
      <w:pPr>
        <w:pStyle w:val="NILSReference"/>
      </w:pPr>
      <w:r w:rsidRPr="005C469C">
        <w:t xml:space="preserve">Source: 2014 NDIS DSP employee survey, Question C9a. </w:t>
      </w:r>
    </w:p>
    <w:p w:rsidR="00685BE5" w:rsidRDefault="00685BE5" w:rsidP="00367B24">
      <w:pPr>
        <w:pStyle w:val="Heading3"/>
      </w:pPr>
      <w:bookmarkStart w:id="664" w:name="_Toc425425091"/>
      <w:bookmarkStart w:id="665" w:name="_Toc428279198"/>
      <w:bookmarkStart w:id="666" w:name="_Toc449955046"/>
      <w:r w:rsidRPr="00AB33E3">
        <w:t>4.</w:t>
      </w:r>
      <w:r>
        <w:t>3</w:t>
      </w:r>
      <w:r w:rsidRPr="00AB33E3">
        <w:t>.</w:t>
      </w:r>
      <w:r>
        <w:t>5</w:t>
      </w:r>
      <w:r w:rsidRPr="00AB33E3">
        <w:t xml:space="preserve"> Experiences of working in disability support</w:t>
      </w:r>
      <w:bookmarkEnd w:id="664"/>
      <w:bookmarkEnd w:id="665"/>
      <w:bookmarkEnd w:id="666"/>
    </w:p>
    <w:p w:rsidR="00685BE5" w:rsidRDefault="00685BE5" w:rsidP="00AE4C3A">
      <w:r>
        <w:t>Table 4.40 shows that overall</w:t>
      </w:r>
      <w:r w:rsidRPr="00AB33E3">
        <w:t xml:space="preserve"> disability support workers </w:t>
      </w:r>
      <w:r>
        <w:t>we</w:t>
      </w:r>
      <w:r w:rsidRPr="00AB33E3">
        <w:t xml:space="preserve">re highly satisfied with their job. They </w:t>
      </w:r>
      <w:r>
        <w:t>we</w:t>
      </w:r>
      <w:r w:rsidRPr="00AB33E3">
        <w:t>re particularly satisfied with the work itself and the sense of achievement they g</w:t>
      </w:r>
      <w:r>
        <w:t>o</w:t>
      </w:r>
      <w:r w:rsidRPr="00AB33E3">
        <w:t xml:space="preserve">t from </w:t>
      </w:r>
      <w:r>
        <w:t>it</w:t>
      </w:r>
      <w:r w:rsidRPr="00AB33E3">
        <w:t xml:space="preserve">. Workers </w:t>
      </w:r>
      <w:r>
        <w:t>we</w:t>
      </w:r>
      <w:r w:rsidRPr="00AB33E3">
        <w:t>re least satisfied with pay and job security with an average score of 6.1 and 6.6 respectively</w:t>
      </w:r>
      <w:r>
        <w:t xml:space="preserve"> (in a 1-10 Likert scale)</w:t>
      </w:r>
      <w:r w:rsidRPr="00AB33E3">
        <w:t xml:space="preserve">. This </w:t>
      </w:r>
      <w:r>
        <w:t>i</w:t>
      </w:r>
      <w:r w:rsidRPr="00AB33E3">
        <w:t>s consistent</w:t>
      </w:r>
      <w:r>
        <w:t xml:space="preserve"> with the information in Table 4.</w:t>
      </w:r>
      <w:r w:rsidRPr="00AB33E3">
        <w:t>3</w:t>
      </w:r>
      <w:r>
        <w:t>5</w:t>
      </w:r>
      <w:r w:rsidRPr="00AB33E3">
        <w:t xml:space="preserve"> which shows that people </w:t>
      </w:r>
      <w:r>
        <w:t xml:space="preserve">were </w:t>
      </w:r>
      <w:r w:rsidRPr="00AB33E3">
        <w:t>not motivated to work in disability care by the pay or job security that it offer</w:t>
      </w:r>
      <w:r>
        <w:t>ed</w:t>
      </w:r>
      <w:r w:rsidRPr="00AB33E3">
        <w:t xml:space="preserve">. They </w:t>
      </w:r>
      <w:r>
        <w:t>we</w:t>
      </w:r>
      <w:r w:rsidRPr="00AB33E3">
        <w:t xml:space="preserve">re reasonably satisfied with all other factors of the job, </w:t>
      </w:r>
      <w:r>
        <w:t>al</w:t>
      </w:r>
      <w:r w:rsidRPr="00AB33E3">
        <w:t>though a significant proportion (14 per cent) ha</w:t>
      </w:r>
      <w:r>
        <w:t>d</w:t>
      </w:r>
      <w:r w:rsidRPr="00AB33E3">
        <w:t xml:space="preserve"> concerns about their opportunities to develop skills and abilities.</w:t>
      </w:r>
    </w:p>
    <w:p w:rsidR="00B92687" w:rsidRPr="00AB33E3" w:rsidRDefault="00B92687" w:rsidP="00AE4C3A"/>
    <w:p w:rsidR="00685BE5" w:rsidRPr="00BC4471" w:rsidRDefault="00685BE5" w:rsidP="0044684E">
      <w:pPr>
        <w:pStyle w:val="NILSTableHeading"/>
        <w:rPr>
          <w:lang w:val="en-AU"/>
        </w:rPr>
      </w:pPr>
      <w:bookmarkStart w:id="667" w:name="_Toc425425117"/>
      <w:bookmarkStart w:id="668" w:name="_Toc428279247"/>
      <w:bookmarkStart w:id="669" w:name="_Toc449955378"/>
      <w:r>
        <w:t>Table 4.40</w:t>
      </w:r>
      <w:r w:rsidR="00560F51">
        <w:t>: Job satisfaction [</w:t>
      </w:r>
      <w:r w:rsidRPr="00AB33E3">
        <w:t>1-10 dissatisfied/satisfied</w:t>
      </w:r>
      <w:r>
        <w:t xml:space="preserve"> </w:t>
      </w:r>
      <w:r w:rsidRPr="00AB33E3">
        <w:t>scaling</w:t>
      </w:r>
      <w:bookmarkEnd w:id="667"/>
      <w:bookmarkEnd w:id="668"/>
      <w:r w:rsidR="00560F51">
        <w:t xml:space="preserve">] </w:t>
      </w:r>
      <w:r w:rsidR="00BC4471">
        <w:rPr>
          <w:lang w:val="en-AU"/>
        </w:rPr>
        <w:t>(per cent)</w:t>
      </w:r>
      <w:bookmarkEnd w:id="669"/>
    </w:p>
    <w:tbl>
      <w:tblPr>
        <w:tblW w:w="9212" w:type="dxa"/>
        <w:tblLook w:val="04A0" w:firstRow="1" w:lastRow="0" w:firstColumn="1" w:lastColumn="0" w:noHBand="0" w:noVBand="1"/>
        <w:tblCaption w:val="Table 4.40 Job satisfaction 1 to10 dissatisfied/satisfied scaling"/>
      </w:tblPr>
      <w:tblGrid>
        <w:gridCol w:w="4517"/>
        <w:gridCol w:w="1115"/>
        <w:gridCol w:w="809"/>
        <w:gridCol w:w="872"/>
        <w:gridCol w:w="1191"/>
        <w:gridCol w:w="708"/>
      </w:tblGrid>
      <w:tr w:rsidR="00685BE5" w:rsidRPr="004D7225" w:rsidTr="009035A4">
        <w:trPr>
          <w:trHeight w:val="288"/>
          <w:tblHeader/>
        </w:trPr>
        <w:tc>
          <w:tcPr>
            <w:tcW w:w="4517" w:type="dxa"/>
            <w:tcBorders>
              <w:top w:val="single" w:sz="4" w:space="0" w:color="auto"/>
              <w:left w:val="nil"/>
              <w:right w:val="nil"/>
            </w:tcBorders>
            <w:shd w:val="clear" w:color="auto" w:fill="auto"/>
            <w:noWrap/>
          </w:tcPr>
          <w:p w:rsidR="00685BE5" w:rsidRPr="00827534" w:rsidRDefault="00685BE5" w:rsidP="00AE4C3A">
            <w:pPr>
              <w:spacing w:before="20" w:after="20"/>
              <w:rPr>
                <w:sz w:val="19"/>
                <w:szCs w:val="19"/>
              </w:rPr>
            </w:pPr>
            <w:bookmarkStart w:id="670" w:name="Title_4_40"/>
            <w:bookmarkEnd w:id="670"/>
          </w:p>
        </w:tc>
        <w:tc>
          <w:tcPr>
            <w:tcW w:w="1115" w:type="dxa"/>
            <w:tcBorders>
              <w:top w:val="single" w:sz="4" w:space="0" w:color="auto"/>
              <w:left w:val="nil"/>
              <w:right w:val="nil"/>
            </w:tcBorders>
            <w:shd w:val="clear" w:color="auto" w:fill="auto"/>
            <w:noWrap/>
            <w:vAlign w:val="bottom"/>
            <w:hideMark/>
          </w:tcPr>
          <w:p w:rsidR="00D74AFA" w:rsidRPr="00827534" w:rsidRDefault="00AC6EF9" w:rsidP="00BC4471">
            <w:pPr>
              <w:spacing w:before="20" w:after="20"/>
              <w:jc w:val="center"/>
              <w:rPr>
                <w:sz w:val="19"/>
                <w:szCs w:val="19"/>
              </w:rPr>
            </w:pPr>
            <w:r>
              <w:rPr>
                <w:sz w:val="19"/>
                <w:szCs w:val="19"/>
              </w:rPr>
              <w:t xml:space="preserve">Dissatisfied 1 to </w:t>
            </w:r>
            <w:r w:rsidR="00685BE5" w:rsidRPr="00827534">
              <w:rPr>
                <w:sz w:val="19"/>
                <w:szCs w:val="19"/>
              </w:rPr>
              <w:t>4</w:t>
            </w:r>
          </w:p>
        </w:tc>
        <w:tc>
          <w:tcPr>
            <w:tcW w:w="809" w:type="dxa"/>
            <w:tcBorders>
              <w:top w:val="single" w:sz="4" w:space="0" w:color="auto"/>
              <w:left w:val="nil"/>
              <w:right w:val="nil"/>
            </w:tcBorders>
            <w:shd w:val="clear" w:color="auto" w:fill="auto"/>
            <w:noWrap/>
            <w:vAlign w:val="bottom"/>
            <w:hideMark/>
          </w:tcPr>
          <w:p w:rsidR="00D74AFA" w:rsidRPr="00827534" w:rsidRDefault="00AC6EF9" w:rsidP="00BC4471">
            <w:pPr>
              <w:spacing w:before="20" w:after="20"/>
              <w:jc w:val="center"/>
              <w:rPr>
                <w:sz w:val="19"/>
                <w:szCs w:val="19"/>
              </w:rPr>
            </w:pPr>
            <w:r>
              <w:rPr>
                <w:sz w:val="19"/>
                <w:szCs w:val="19"/>
              </w:rPr>
              <w:t xml:space="preserve">5 to </w:t>
            </w:r>
            <w:r w:rsidR="00685BE5" w:rsidRPr="00827534">
              <w:rPr>
                <w:sz w:val="19"/>
                <w:szCs w:val="19"/>
              </w:rPr>
              <w:t>6</w:t>
            </w:r>
          </w:p>
        </w:tc>
        <w:tc>
          <w:tcPr>
            <w:tcW w:w="872" w:type="dxa"/>
            <w:tcBorders>
              <w:top w:val="single" w:sz="4" w:space="0" w:color="auto"/>
              <w:left w:val="nil"/>
              <w:right w:val="nil"/>
            </w:tcBorders>
            <w:shd w:val="clear" w:color="auto" w:fill="auto"/>
            <w:noWrap/>
            <w:vAlign w:val="bottom"/>
            <w:hideMark/>
          </w:tcPr>
          <w:p w:rsidR="00D74AFA" w:rsidRPr="00827534" w:rsidRDefault="00AC6EF9" w:rsidP="00BC4471">
            <w:pPr>
              <w:spacing w:before="20" w:after="20"/>
              <w:jc w:val="center"/>
              <w:rPr>
                <w:sz w:val="19"/>
                <w:szCs w:val="19"/>
              </w:rPr>
            </w:pPr>
            <w:r>
              <w:rPr>
                <w:sz w:val="19"/>
                <w:szCs w:val="19"/>
              </w:rPr>
              <w:t xml:space="preserve">Satisfied 7 to </w:t>
            </w:r>
            <w:r w:rsidR="00685BE5" w:rsidRPr="00827534">
              <w:rPr>
                <w:sz w:val="19"/>
                <w:szCs w:val="19"/>
              </w:rPr>
              <w:t>10</w:t>
            </w:r>
          </w:p>
        </w:tc>
        <w:tc>
          <w:tcPr>
            <w:tcW w:w="1191" w:type="dxa"/>
            <w:tcBorders>
              <w:top w:val="single" w:sz="4" w:space="0" w:color="auto"/>
              <w:left w:val="nil"/>
              <w:right w:val="nil"/>
            </w:tcBorders>
            <w:shd w:val="clear" w:color="auto" w:fill="auto"/>
            <w:noWrap/>
            <w:vAlign w:val="bottom"/>
            <w:hideMark/>
          </w:tcPr>
          <w:p w:rsidR="00D74AFA" w:rsidRPr="00827534" w:rsidRDefault="00685BE5" w:rsidP="009035A4">
            <w:pPr>
              <w:spacing w:before="20" w:after="20"/>
              <w:ind w:left="-83" w:right="-142"/>
              <w:jc w:val="center"/>
              <w:rPr>
                <w:sz w:val="19"/>
                <w:szCs w:val="19"/>
              </w:rPr>
            </w:pPr>
            <w:r w:rsidRPr="00827534">
              <w:rPr>
                <w:sz w:val="19"/>
                <w:szCs w:val="19"/>
              </w:rPr>
              <w:t>Question not answered</w:t>
            </w:r>
          </w:p>
        </w:tc>
        <w:tc>
          <w:tcPr>
            <w:tcW w:w="708" w:type="dxa"/>
            <w:tcBorders>
              <w:top w:val="single" w:sz="4" w:space="0" w:color="auto"/>
              <w:left w:val="nil"/>
              <w:right w:val="nil"/>
            </w:tcBorders>
            <w:shd w:val="clear" w:color="auto" w:fill="auto"/>
            <w:noWrap/>
            <w:vAlign w:val="bottom"/>
            <w:hideMark/>
          </w:tcPr>
          <w:p w:rsidR="00D74AFA" w:rsidRPr="00827534" w:rsidRDefault="00685BE5" w:rsidP="00BC4471">
            <w:pPr>
              <w:spacing w:before="20" w:after="20"/>
              <w:jc w:val="center"/>
              <w:rPr>
                <w:sz w:val="19"/>
                <w:szCs w:val="19"/>
              </w:rPr>
            </w:pPr>
            <w:r w:rsidRPr="00827534">
              <w:rPr>
                <w:sz w:val="19"/>
                <w:szCs w:val="19"/>
              </w:rPr>
              <w:t>Mean</w:t>
            </w:r>
          </w:p>
        </w:tc>
      </w:tr>
      <w:tr w:rsidR="00685BE5" w:rsidRPr="00FC108A" w:rsidTr="009035A4">
        <w:trPr>
          <w:trHeight w:val="288"/>
        </w:trPr>
        <w:tc>
          <w:tcPr>
            <w:tcW w:w="4517" w:type="dxa"/>
            <w:tcBorders>
              <w:top w:val="single" w:sz="4" w:space="0" w:color="auto"/>
              <w:left w:val="nil"/>
              <w:bottom w:val="nil"/>
              <w:right w:val="nil"/>
            </w:tcBorders>
            <w:shd w:val="clear" w:color="auto" w:fill="auto"/>
            <w:noWrap/>
            <w:vAlign w:val="bottom"/>
            <w:hideMark/>
          </w:tcPr>
          <w:p w:rsidR="00685BE5" w:rsidRPr="00FC108A" w:rsidRDefault="00685BE5" w:rsidP="00AE4C3A">
            <w:pPr>
              <w:spacing w:before="20" w:after="20"/>
              <w:rPr>
                <w:sz w:val="19"/>
                <w:szCs w:val="19"/>
              </w:rPr>
            </w:pPr>
            <w:r w:rsidRPr="00FC108A">
              <w:rPr>
                <w:sz w:val="19"/>
                <w:szCs w:val="19"/>
              </w:rPr>
              <w:t>The sense of achievement you get from your work</w:t>
            </w:r>
          </w:p>
        </w:tc>
        <w:tc>
          <w:tcPr>
            <w:tcW w:w="1115" w:type="dxa"/>
            <w:tcBorders>
              <w:top w:val="single" w:sz="4" w:space="0" w:color="auto"/>
              <w:left w:val="nil"/>
              <w:bottom w:val="nil"/>
              <w:right w:val="nil"/>
            </w:tcBorders>
            <w:shd w:val="clear" w:color="auto" w:fill="auto"/>
            <w:noWrap/>
            <w:vAlign w:val="bottom"/>
            <w:hideMark/>
          </w:tcPr>
          <w:p w:rsidR="00685BE5" w:rsidRPr="00FC108A" w:rsidRDefault="00685BE5" w:rsidP="00AE4C3A">
            <w:pPr>
              <w:tabs>
                <w:tab w:val="decimal" w:pos="481"/>
              </w:tabs>
              <w:spacing w:before="20" w:after="20"/>
              <w:rPr>
                <w:sz w:val="19"/>
                <w:szCs w:val="19"/>
              </w:rPr>
            </w:pPr>
            <w:r w:rsidRPr="00FC108A">
              <w:rPr>
                <w:sz w:val="19"/>
                <w:szCs w:val="19"/>
              </w:rPr>
              <w:t>4.7</w:t>
            </w:r>
          </w:p>
        </w:tc>
        <w:tc>
          <w:tcPr>
            <w:tcW w:w="809" w:type="dxa"/>
            <w:tcBorders>
              <w:top w:val="single" w:sz="4" w:space="0" w:color="auto"/>
              <w:left w:val="nil"/>
              <w:bottom w:val="nil"/>
              <w:right w:val="nil"/>
            </w:tcBorders>
            <w:shd w:val="clear" w:color="auto" w:fill="auto"/>
            <w:noWrap/>
            <w:vAlign w:val="bottom"/>
            <w:hideMark/>
          </w:tcPr>
          <w:p w:rsidR="00685BE5" w:rsidRPr="00FC108A" w:rsidRDefault="00685BE5" w:rsidP="009035A4">
            <w:pPr>
              <w:spacing w:before="20" w:after="20"/>
              <w:jc w:val="center"/>
              <w:rPr>
                <w:sz w:val="19"/>
                <w:szCs w:val="19"/>
              </w:rPr>
            </w:pPr>
            <w:r w:rsidRPr="00FC108A">
              <w:rPr>
                <w:sz w:val="19"/>
                <w:szCs w:val="19"/>
              </w:rPr>
              <w:t>10.2</w:t>
            </w:r>
          </w:p>
        </w:tc>
        <w:tc>
          <w:tcPr>
            <w:tcW w:w="872" w:type="dxa"/>
            <w:tcBorders>
              <w:top w:val="single" w:sz="4" w:space="0" w:color="auto"/>
              <w:left w:val="nil"/>
              <w:bottom w:val="nil"/>
              <w:right w:val="nil"/>
            </w:tcBorders>
            <w:shd w:val="clear" w:color="auto" w:fill="auto"/>
            <w:noWrap/>
            <w:vAlign w:val="bottom"/>
            <w:hideMark/>
          </w:tcPr>
          <w:p w:rsidR="00685BE5" w:rsidRPr="00FC108A" w:rsidRDefault="00685BE5" w:rsidP="00AE4C3A">
            <w:pPr>
              <w:tabs>
                <w:tab w:val="decimal" w:pos="380"/>
              </w:tabs>
              <w:spacing w:before="20" w:after="20"/>
              <w:rPr>
                <w:sz w:val="19"/>
                <w:szCs w:val="19"/>
              </w:rPr>
            </w:pPr>
            <w:r w:rsidRPr="00FC108A">
              <w:rPr>
                <w:sz w:val="19"/>
                <w:szCs w:val="19"/>
              </w:rPr>
              <w:t>84.2</w:t>
            </w:r>
          </w:p>
        </w:tc>
        <w:tc>
          <w:tcPr>
            <w:tcW w:w="1191" w:type="dxa"/>
            <w:tcBorders>
              <w:top w:val="single" w:sz="4" w:space="0" w:color="auto"/>
              <w:left w:val="nil"/>
              <w:bottom w:val="nil"/>
              <w:right w:val="nil"/>
            </w:tcBorders>
            <w:shd w:val="clear" w:color="auto" w:fill="auto"/>
            <w:noWrap/>
            <w:vAlign w:val="bottom"/>
            <w:hideMark/>
          </w:tcPr>
          <w:p w:rsidR="00685BE5" w:rsidRPr="00FC108A" w:rsidRDefault="00685BE5" w:rsidP="00AE4C3A">
            <w:pPr>
              <w:tabs>
                <w:tab w:val="decimal" w:pos="481"/>
              </w:tabs>
              <w:spacing w:before="20" w:after="20"/>
              <w:rPr>
                <w:sz w:val="19"/>
                <w:szCs w:val="19"/>
              </w:rPr>
            </w:pPr>
            <w:r w:rsidRPr="00FC108A">
              <w:rPr>
                <w:sz w:val="19"/>
                <w:szCs w:val="19"/>
              </w:rPr>
              <w:t>0.9</w:t>
            </w:r>
          </w:p>
        </w:tc>
        <w:tc>
          <w:tcPr>
            <w:tcW w:w="708" w:type="dxa"/>
            <w:tcBorders>
              <w:top w:val="single" w:sz="4" w:space="0" w:color="auto"/>
              <w:left w:val="nil"/>
              <w:bottom w:val="nil"/>
              <w:right w:val="nil"/>
            </w:tcBorders>
            <w:shd w:val="clear" w:color="auto" w:fill="auto"/>
            <w:noWrap/>
            <w:vAlign w:val="bottom"/>
            <w:hideMark/>
          </w:tcPr>
          <w:p w:rsidR="00685BE5" w:rsidRPr="00FC108A" w:rsidRDefault="00685BE5" w:rsidP="00AE4C3A">
            <w:pPr>
              <w:tabs>
                <w:tab w:val="decimal" w:pos="312"/>
              </w:tabs>
              <w:spacing w:before="20" w:after="20"/>
              <w:rPr>
                <w:rFonts w:ascii="Calibri" w:eastAsia="Times New Roman" w:hAnsi="Calibri" w:cs="Calibri"/>
                <w:color w:val="000000"/>
                <w:sz w:val="19"/>
                <w:szCs w:val="19"/>
                <w:lang w:eastAsia="zh-CN"/>
              </w:rPr>
            </w:pPr>
            <w:r w:rsidRPr="00FC108A">
              <w:rPr>
                <w:rFonts w:ascii="Calibri" w:eastAsia="Times New Roman" w:hAnsi="Calibri" w:cs="Calibri"/>
                <w:color w:val="000000"/>
                <w:sz w:val="19"/>
                <w:szCs w:val="19"/>
                <w:lang w:eastAsia="zh-CN"/>
              </w:rPr>
              <w:t>8.1</w:t>
            </w:r>
          </w:p>
        </w:tc>
      </w:tr>
      <w:tr w:rsidR="00685BE5" w:rsidRPr="00FC108A" w:rsidTr="009035A4">
        <w:trPr>
          <w:trHeight w:val="288"/>
        </w:trPr>
        <w:tc>
          <w:tcPr>
            <w:tcW w:w="4517" w:type="dxa"/>
            <w:tcBorders>
              <w:top w:val="nil"/>
              <w:left w:val="nil"/>
              <w:bottom w:val="nil"/>
              <w:right w:val="nil"/>
            </w:tcBorders>
            <w:shd w:val="clear" w:color="auto" w:fill="auto"/>
            <w:noWrap/>
            <w:vAlign w:val="bottom"/>
            <w:hideMark/>
          </w:tcPr>
          <w:p w:rsidR="00685BE5" w:rsidRPr="00FC108A" w:rsidRDefault="00685BE5" w:rsidP="00AE4C3A">
            <w:pPr>
              <w:spacing w:before="20" w:after="20"/>
              <w:rPr>
                <w:sz w:val="19"/>
                <w:szCs w:val="19"/>
              </w:rPr>
            </w:pPr>
            <w:r w:rsidRPr="00FC108A">
              <w:rPr>
                <w:sz w:val="19"/>
                <w:szCs w:val="19"/>
              </w:rPr>
              <w:t>Your total pay</w:t>
            </w:r>
          </w:p>
        </w:tc>
        <w:tc>
          <w:tcPr>
            <w:tcW w:w="1115" w:type="dxa"/>
            <w:tcBorders>
              <w:top w:val="nil"/>
              <w:left w:val="nil"/>
              <w:bottom w:val="nil"/>
              <w:right w:val="nil"/>
            </w:tcBorders>
            <w:shd w:val="clear" w:color="auto" w:fill="auto"/>
            <w:noWrap/>
            <w:vAlign w:val="bottom"/>
            <w:hideMark/>
          </w:tcPr>
          <w:p w:rsidR="00685BE5" w:rsidRPr="00FC108A" w:rsidRDefault="00685BE5" w:rsidP="00AE4C3A">
            <w:pPr>
              <w:tabs>
                <w:tab w:val="decimal" w:pos="481"/>
              </w:tabs>
              <w:spacing w:before="20" w:after="20"/>
              <w:rPr>
                <w:sz w:val="19"/>
                <w:szCs w:val="19"/>
              </w:rPr>
            </w:pPr>
            <w:r w:rsidRPr="00FC108A">
              <w:rPr>
                <w:sz w:val="19"/>
                <w:szCs w:val="19"/>
              </w:rPr>
              <w:t>26.4</w:t>
            </w:r>
          </w:p>
        </w:tc>
        <w:tc>
          <w:tcPr>
            <w:tcW w:w="809" w:type="dxa"/>
            <w:tcBorders>
              <w:top w:val="nil"/>
              <w:left w:val="nil"/>
              <w:bottom w:val="nil"/>
              <w:right w:val="nil"/>
            </w:tcBorders>
            <w:shd w:val="clear" w:color="auto" w:fill="auto"/>
            <w:noWrap/>
            <w:vAlign w:val="bottom"/>
            <w:hideMark/>
          </w:tcPr>
          <w:p w:rsidR="00685BE5" w:rsidRPr="00FC108A" w:rsidRDefault="00685BE5" w:rsidP="009035A4">
            <w:pPr>
              <w:spacing w:before="20" w:after="20"/>
              <w:jc w:val="center"/>
              <w:rPr>
                <w:sz w:val="19"/>
                <w:szCs w:val="19"/>
              </w:rPr>
            </w:pPr>
            <w:r w:rsidRPr="00FC108A">
              <w:rPr>
                <w:sz w:val="19"/>
                <w:szCs w:val="19"/>
              </w:rPr>
              <w:t>22.6</w:t>
            </w:r>
          </w:p>
        </w:tc>
        <w:tc>
          <w:tcPr>
            <w:tcW w:w="872" w:type="dxa"/>
            <w:tcBorders>
              <w:top w:val="nil"/>
              <w:left w:val="nil"/>
              <w:bottom w:val="nil"/>
              <w:right w:val="nil"/>
            </w:tcBorders>
            <w:shd w:val="clear" w:color="auto" w:fill="auto"/>
            <w:noWrap/>
            <w:vAlign w:val="bottom"/>
            <w:hideMark/>
          </w:tcPr>
          <w:p w:rsidR="00685BE5" w:rsidRPr="00FC108A" w:rsidRDefault="00685BE5" w:rsidP="00AE4C3A">
            <w:pPr>
              <w:tabs>
                <w:tab w:val="decimal" w:pos="380"/>
              </w:tabs>
              <w:spacing w:before="20" w:after="20"/>
              <w:rPr>
                <w:sz w:val="19"/>
                <w:szCs w:val="19"/>
              </w:rPr>
            </w:pPr>
            <w:r w:rsidRPr="00FC108A">
              <w:rPr>
                <w:sz w:val="19"/>
                <w:szCs w:val="19"/>
              </w:rPr>
              <w:t>50.1</w:t>
            </w:r>
          </w:p>
        </w:tc>
        <w:tc>
          <w:tcPr>
            <w:tcW w:w="1191" w:type="dxa"/>
            <w:tcBorders>
              <w:top w:val="nil"/>
              <w:left w:val="nil"/>
              <w:bottom w:val="nil"/>
              <w:right w:val="nil"/>
            </w:tcBorders>
            <w:shd w:val="clear" w:color="auto" w:fill="auto"/>
            <w:noWrap/>
            <w:vAlign w:val="bottom"/>
            <w:hideMark/>
          </w:tcPr>
          <w:p w:rsidR="00685BE5" w:rsidRPr="00FC108A" w:rsidRDefault="00685BE5" w:rsidP="00AE4C3A">
            <w:pPr>
              <w:tabs>
                <w:tab w:val="decimal" w:pos="481"/>
              </w:tabs>
              <w:spacing w:before="20" w:after="20"/>
              <w:rPr>
                <w:sz w:val="19"/>
                <w:szCs w:val="19"/>
              </w:rPr>
            </w:pPr>
            <w:r w:rsidRPr="00FC108A">
              <w:rPr>
                <w:sz w:val="19"/>
                <w:szCs w:val="19"/>
              </w:rPr>
              <w:t>0.9</w:t>
            </w:r>
          </w:p>
        </w:tc>
        <w:tc>
          <w:tcPr>
            <w:tcW w:w="708" w:type="dxa"/>
            <w:tcBorders>
              <w:top w:val="nil"/>
              <w:left w:val="nil"/>
              <w:bottom w:val="nil"/>
              <w:right w:val="nil"/>
            </w:tcBorders>
            <w:shd w:val="clear" w:color="auto" w:fill="auto"/>
            <w:noWrap/>
            <w:vAlign w:val="bottom"/>
            <w:hideMark/>
          </w:tcPr>
          <w:p w:rsidR="00685BE5" w:rsidRPr="00FC108A" w:rsidRDefault="00685BE5" w:rsidP="00AE4C3A">
            <w:pPr>
              <w:tabs>
                <w:tab w:val="decimal" w:pos="312"/>
              </w:tabs>
              <w:spacing w:before="20" w:after="20"/>
              <w:rPr>
                <w:rFonts w:ascii="Calibri" w:eastAsia="Times New Roman" w:hAnsi="Calibri" w:cs="Calibri"/>
                <w:color w:val="000000"/>
                <w:sz w:val="19"/>
                <w:szCs w:val="19"/>
                <w:lang w:eastAsia="zh-CN"/>
              </w:rPr>
            </w:pPr>
            <w:r w:rsidRPr="00FC108A">
              <w:rPr>
                <w:rFonts w:ascii="Calibri" w:eastAsia="Times New Roman" w:hAnsi="Calibri" w:cs="Calibri"/>
                <w:color w:val="000000"/>
                <w:sz w:val="19"/>
                <w:szCs w:val="19"/>
                <w:lang w:eastAsia="zh-CN"/>
              </w:rPr>
              <w:t>6.1</w:t>
            </w:r>
          </w:p>
        </w:tc>
      </w:tr>
      <w:tr w:rsidR="00685BE5" w:rsidRPr="00FC108A" w:rsidTr="009035A4">
        <w:trPr>
          <w:trHeight w:val="288"/>
        </w:trPr>
        <w:tc>
          <w:tcPr>
            <w:tcW w:w="4517" w:type="dxa"/>
            <w:tcBorders>
              <w:top w:val="nil"/>
              <w:left w:val="nil"/>
              <w:bottom w:val="nil"/>
              <w:right w:val="nil"/>
            </w:tcBorders>
            <w:shd w:val="clear" w:color="auto" w:fill="auto"/>
            <w:noWrap/>
            <w:vAlign w:val="bottom"/>
            <w:hideMark/>
          </w:tcPr>
          <w:p w:rsidR="00685BE5" w:rsidRPr="00FC108A" w:rsidRDefault="00685BE5" w:rsidP="00AE4C3A">
            <w:pPr>
              <w:spacing w:before="20" w:after="20"/>
              <w:rPr>
                <w:sz w:val="19"/>
                <w:szCs w:val="19"/>
              </w:rPr>
            </w:pPr>
            <w:r w:rsidRPr="00FC108A">
              <w:rPr>
                <w:sz w:val="19"/>
                <w:szCs w:val="19"/>
              </w:rPr>
              <w:t>Your job security</w:t>
            </w:r>
          </w:p>
        </w:tc>
        <w:tc>
          <w:tcPr>
            <w:tcW w:w="1115" w:type="dxa"/>
            <w:tcBorders>
              <w:top w:val="nil"/>
              <w:left w:val="nil"/>
              <w:bottom w:val="nil"/>
              <w:right w:val="nil"/>
            </w:tcBorders>
            <w:shd w:val="clear" w:color="auto" w:fill="auto"/>
            <w:noWrap/>
            <w:vAlign w:val="bottom"/>
            <w:hideMark/>
          </w:tcPr>
          <w:p w:rsidR="00685BE5" w:rsidRPr="00FC108A" w:rsidRDefault="00685BE5" w:rsidP="00AE4C3A">
            <w:pPr>
              <w:tabs>
                <w:tab w:val="decimal" w:pos="481"/>
              </w:tabs>
              <w:spacing w:before="20" w:after="20"/>
              <w:rPr>
                <w:sz w:val="19"/>
                <w:szCs w:val="19"/>
              </w:rPr>
            </w:pPr>
            <w:r w:rsidRPr="00FC108A">
              <w:rPr>
                <w:sz w:val="19"/>
                <w:szCs w:val="19"/>
              </w:rPr>
              <w:t>21.2</w:t>
            </w:r>
          </w:p>
        </w:tc>
        <w:tc>
          <w:tcPr>
            <w:tcW w:w="809" w:type="dxa"/>
            <w:tcBorders>
              <w:top w:val="nil"/>
              <w:left w:val="nil"/>
              <w:bottom w:val="nil"/>
              <w:right w:val="nil"/>
            </w:tcBorders>
            <w:shd w:val="clear" w:color="auto" w:fill="auto"/>
            <w:noWrap/>
            <w:vAlign w:val="bottom"/>
            <w:hideMark/>
          </w:tcPr>
          <w:p w:rsidR="00685BE5" w:rsidRPr="00FC108A" w:rsidRDefault="00685BE5" w:rsidP="009035A4">
            <w:pPr>
              <w:spacing w:before="20" w:after="20"/>
              <w:jc w:val="center"/>
              <w:rPr>
                <w:sz w:val="19"/>
                <w:szCs w:val="19"/>
              </w:rPr>
            </w:pPr>
            <w:r w:rsidRPr="00FC108A">
              <w:rPr>
                <w:sz w:val="19"/>
                <w:szCs w:val="19"/>
              </w:rPr>
              <w:t>21.2</w:t>
            </w:r>
          </w:p>
        </w:tc>
        <w:tc>
          <w:tcPr>
            <w:tcW w:w="872" w:type="dxa"/>
            <w:tcBorders>
              <w:top w:val="nil"/>
              <w:left w:val="nil"/>
              <w:bottom w:val="nil"/>
              <w:right w:val="nil"/>
            </w:tcBorders>
            <w:shd w:val="clear" w:color="auto" w:fill="auto"/>
            <w:noWrap/>
            <w:vAlign w:val="bottom"/>
            <w:hideMark/>
          </w:tcPr>
          <w:p w:rsidR="00685BE5" w:rsidRPr="00FC108A" w:rsidRDefault="00685BE5" w:rsidP="00AE4C3A">
            <w:pPr>
              <w:tabs>
                <w:tab w:val="decimal" w:pos="380"/>
              </w:tabs>
              <w:spacing w:before="20" w:after="20"/>
              <w:rPr>
                <w:sz w:val="19"/>
                <w:szCs w:val="19"/>
              </w:rPr>
            </w:pPr>
            <w:r w:rsidRPr="00FC108A">
              <w:rPr>
                <w:sz w:val="19"/>
                <w:szCs w:val="19"/>
              </w:rPr>
              <w:t>56.3</w:t>
            </w:r>
          </w:p>
        </w:tc>
        <w:tc>
          <w:tcPr>
            <w:tcW w:w="1191" w:type="dxa"/>
            <w:tcBorders>
              <w:top w:val="nil"/>
              <w:left w:val="nil"/>
              <w:bottom w:val="nil"/>
              <w:right w:val="nil"/>
            </w:tcBorders>
            <w:shd w:val="clear" w:color="auto" w:fill="auto"/>
            <w:noWrap/>
            <w:vAlign w:val="bottom"/>
            <w:hideMark/>
          </w:tcPr>
          <w:p w:rsidR="00685BE5" w:rsidRPr="00FC108A" w:rsidRDefault="00685BE5" w:rsidP="00AE4C3A">
            <w:pPr>
              <w:tabs>
                <w:tab w:val="decimal" w:pos="481"/>
              </w:tabs>
              <w:spacing w:before="20" w:after="20"/>
              <w:rPr>
                <w:sz w:val="19"/>
                <w:szCs w:val="19"/>
              </w:rPr>
            </w:pPr>
            <w:r w:rsidRPr="00FC108A">
              <w:rPr>
                <w:sz w:val="19"/>
                <w:szCs w:val="19"/>
              </w:rPr>
              <w:t>1.4</w:t>
            </w:r>
          </w:p>
        </w:tc>
        <w:tc>
          <w:tcPr>
            <w:tcW w:w="708" w:type="dxa"/>
            <w:tcBorders>
              <w:top w:val="nil"/>
              <w:left w:val="nil"/>
              <w:bottom w:val="nil"/>
              <w:right w:val="nil"/>
            </w:tcBorders>
            <w:shd w:val="clear" w:color="auto" w:fill="auto"/>
            <w:noWrap/>
            <w:vAlign w:val="bottom"/>
            <w:hideMark/>
          </w:tcPr>
          <w:p w:rsidR="00685BE5" w:rsidRPr="00FC108A" w:rsidRDefault="00685BE5" w:rsidP="00AE4C3A">
            <w:pPr>
              <w:tabs>
                <w:tab w:val="decimal" w:pos="312"/>
              </w:tabs>
              <w:spacing w:before="20" w:after="20"/>
              <w:rPr>
                <w:rFonts w:ascii="Calibri" w:eastAsia="Times New Roman" w:hAnsi="Calibri" w:cs="Calibri"/>
                <w:color w:val="000000"/>
                <w:sz w:val="19"/>
                <w:szCs w:val="19"/>
                <w:lang w:eastAsia="zh-CN"/>
              </w:rPr>
            </w:pPr>
            <w:r w:rsidRPr="00FC108A">
              <w:rPr>
                <w:rFonts w:ascii="Calibri" w:eastAsia="Times New Roman" w:hAnsi="Calibri" w:cs="Calibri"/>
                <w:color w:val="000000"/>
                <w:sz w:val="19"/>
                <w:szCs w:val="19"/>
                <w:lang w:eastAsia="zh-CN"/>
              </w:rPr>
              <w:t>6.6</w:t>
            </w:r>
          </w:p>
        </w:tc>
      </w:tr>
      <w:tr w:rsidR="00685BE5" w:rsidRPr="00FC108A" w:rsidTr="009035A4">
        <w:trPr>
          <w:trHeight w:val="288"/>
        </w:trPr>
        <w:tc>
          <w:tcPr>
            <w:tcW w:w="4517" w:type="dxa"/>
            <w:tcBorders>
              <w:top w:val="nil"/>
              <w:left w:val="nil"/>
              <w:bottom w:val="nil"/>
              <w:right w:val="nil"/>
            </w:tcBorders>
            <w:shd w:val="clear" w:color="auto" w:fill="auto"/>
            <w:noWrap/>
            <w:vAlign w:val="bottom"/>
            <w:hideMark/>
          </w:tcPr>
          <w:p w:rsidR="00685BE5" w:rsidRPr="00FC108A" w:rsidRDefault="00685BE5" w:rsidP="00AE4C3A">
            <w:pPr>
              <w:spacing w:before="20" w:after="20"/>
              <w:rPr>
                <w:sz w:val="19"/>
                <w:szCs w:val="19"/>
              </w:rPr>
            </w:pPr>
            <w:r w:rsidRPr="00FC108A">
              <w:rPr>
                <w:sz w:val="19"/>
                <w:szCs w:val="19"/>
              </w:rPr>
              <w:t>The work itself (what you do)</w:t>
            </w:r>
          </w:p>
        </w:tc>
        <w:tc>
          <w:tcPr>
            <w:tcW w:w="1115" w:type="dxa"/>
            <w:tcBorders>
              <w:top w:val="nil"/>
              <w:left w:val="nil"/>
              <w:bottom w:val="nil"/>
              <w:right w:val="nil"/>
            </w:tcBorders>
            <w:shd w:val="clear" w:color="auto" w:fill="auto"/>
            <w:noWrap/>
            <w:vAlign w:val="bottom"/>
            <w:hideMark/>
          </w:tcPr>
          <w:p w:rsidR="00685BE5" w:rsidRPr="00FC108A" w:rsidRDefault="00685BE5" w:rsidP="00AE4C3A">
            <w:pPr>
              <w:tabs>
                <w:tab w:val="decimal" w:pos="481"/>
              </w:tabs>
              <w:spacing w:before="20" w:after="20"/>
              <w:rPr>
                <w:sz w:val="19"/>
                <w:szCs w:val="19"/>
              </w:rPr>
            </w:pPr>
            <w:r w:rsidRPr="00FC108A">
              <w:rPr>
                <w:sz w:val="19"/>
                <w:szCs w:val="19"/>
              </w:rPr>
              <w:t>4.0</w:t>
            </w:r>
          </w:p>
        </w:tc>
        <w:tc>
          <w:tcPr>
            <w:tcW w:w="809" w:type="dxa"/>
            <w:tcBorders>
              <w:top w:val="nil"/>
              <w:left w:val="nil"/>
              <w:bottom w:val="nil"/>
              <w:right w:val="nil"/>
            </w:tcBorders>
            <w:shd w:val="clear" w:color="auto" w:fill="auto"/>
            <w:noWrap/>
            <w:vAlign w:val="bottom"/>
            <w:hideMark/>
          </w:tcPr>
          <w:p w:rsidR="00685BE5" w:rsidRPr="00FC108A" w:rsidRDefault="00685BE5" w:rsidP="009035A4">
            <w:pPr>
              <w:spacing w:before="20" w:after="20"/>
              <w:jc w:val="center"/>
              <w:rPr>
                <w:sz w:val="19"/>
                <w:szCs w:val="19"/>
              </w:rPr>
            </w:pPr>
            <w:r w:rsidRPr="00FC108A">
              <w:rPr>
                <w:sz w:val="19"/>
                <w:szCs w:val="19"/>
              </w:rPr>
              <w:t>10.9</w:t>
            </w:r>
          </w:p>
        </w:tc>
        <w:tc>
          <w:tcPr>
            <w:tcW w:w="872" w:type="dxa"/>
            <w:tcBorders>
              <w:top w:val="nil"/>
              <w:left w:val="nil"/>
              <w:bottom w:val="nil"/>
              <w:right w:val="nil"/>
            </w:tcBorders>
            <w:shd w:val="clear" w:color="auto" w:fill="auto"/>
            <w:noWrap/>
            <w:vAlign w:val="bottom"/>
            <w:hideMark/>
          </w:tcPr>
          <w:p w:rsidR="00685BE5" w:rsidRPr="00FC108A" w:rsidRDefault="00685BE5" w:rsidP="00AE4C3A">
            <w:pPr>
              <w:tabs>
                <w:tab w:val="decimal" w:pos="380"/>
              </w:tabs>
              <w:spacing w:before="20" w:after="20"/>
              <w:rPr>
                <w:sz w:val="19"/>
                <w:szCs w:val="19"/>
              </w:rPr>
            </w:pPr>
            <w:r w:rsidRPr="00FC108A">
              <w:rPr>
                <w:sz w:val="19"/>
                <w:szCs w:val="19"/>
              </w:rPr>
              <w:t>83.9</w:t>
            </w:r>
          </w:p>
        </w:tc>
        <w:tc>
          <w:tcPr>
            <w:tcW w:w="1191" w:type="dxa"/>
            <w:tcBorders>
              <w:top w:val="nil"/>
              <w:left w:val="nil"/>
              <w:bottom w:val="nil"/>
              <w:right w:val="nil"/>
            </w:tcBorders>
            <w:shd w:val="clear" w:color="auto" w:fill="auto"/>
            <w:noWrap/>
            <w:vAlign w:val="bottom"/>
            <w:hideMark/>
          </w:tcPr>
          <w:p w:rsidR="00685BE5" w:rsidRPr="00FC108A" w:rsidRDefault="00685BE5" w:rsidP="00AE4C3A">
            <w:pPr>
              <w:tabs>
                <w:tab w:val="decimal" w:pos="481"/>
              </w:tabs>
              <w:spacing w:before="20" w:after="20"/>
              <w:rPr>
                <w:sz w:val="19"/>
                <w:szCs w:val="19"/>
              </w:rPr>
            </w:pPr>
            <w:r w:rsidRPr="00FC108A">
              <w:rPr>
                <w:sz w:val="19"/>
                <w:szCs w:val="19"/>
              </w:rPr>
              <w:t>1.2</w:t>
            </w:r>
          </w:p>
        </w:tc>
        <w:tc>
          <w:tcPr>
            <w:tcW w:w="708" w:type="dxa"/>
            <w:tcBorders>
              <w:top w:val="nil"/>
              <w:left w:val="nil"/>
              <w:bottom w:val="nil"/>
              <w:right w:val="nil"/>
            </w:tcBorders>
            <w:shd w:val="clear" w:color="auto" w:fill="auto"/>
            <w:noWrap/>
            <w:vAlign w:val="bottom"/>
            <w:hideMark/>
          </w:tcPr>
          <w:p w:rsidR="00685BE5" w:rsidRPr="00FC108A" w:rsidRDefault="00685BE5" w:rsidP="00AE4C3A">
            <w:pPr>
              <w:tabs>
                <w:tab w:val="decimal" w:pos="312"/>
              </w:tabs>
              <w:spacing w:before="20" w:after="20"/>
              <w:rPr>
                <w:rFonts w:ascii="Calibri" w:eastAsia="Times New Roman" w:hAnsi="Calibri" w:cs="Calibri"/>
                <w:color w:val="000000"/>
                <w:sz w:val="19"/>
                <w:szCs w:val="19"/>
                <w:lang w:eastAsia="zh-CN"/>
              </w:rPr>
            </w:pPr>
            <w:r w:rsidRPr="00FC108A">
              <w:rPr>
                <w:rFonts w:ascii="Calibri" w:eastAsia="Times New Roman" w:hAnsi="Calibri" w:cs="Calibri"/>
                <w:color w:val="000000"/>
                <w:sz w:val="19"/>
                <w:szCs w:val="19"/>
                <w:lang w:eastAsia="zh-CN"/>
              </w:rPr>
              <w:t>8.2</w:t>
            </w:r>
          </w:p>
        </w:tc>
      </w:tr>
      <w:tr w:rsidR="00685BE5" w:rsidRPr="00FC108A" w:rsidTr="009035A4">
        <w:trPr>
          <w:trHeight w:val="288"/>
        </w:trPr>
        <w:tc>
          <w:tcPr>
            <w:tcW w:w="4517" w:type="dxa"/>
            <w:tcBorders>
              <w:top w:val="nil"/>
              <w:left w:val="nil"/>
              <w:bottom w:val="nil"/>
              <w:right w:val="nil"/>
            </w:tcBorders>
            <w:shd w:val="clear" w:color="auto" w:fill="auto"/>
            <w:noWrap/>
            <w:vAlign w:val="bottom"/>
            <w:hideMark/>
          </w:tcPr>
          <w:p w:rsidR="00685BE5" w:rsidRPr="00FC108A" w:rsidRDefault="00685BE5" w:rsidP="00AE4C3A">
            <w:pPr>
              <w:spacing w:before="20" w:after="20"/>
              <w:rPr>
                <w:sz w:val="19"/>
                <w:szCs w:val="19"/>
              </w:rPr>
            </w:pPr>
            <w:r w:rsidRPr="00FC108A">
              <w:rPr>
                <w:sz w:val="19"/>
                <w:szCs w:val="19"/>
              </w:rPr>
              <w:t>The hours you work</w:t>
            </w:r>
          </w:p>
        </w:tc>
        <w:tc>
          <w:tcPr>
            <w:tcW w:w="1115" w:type="dxa"/>
            <w:tcBorders>
              <w:top w:val="nil"/>
              <w:left w:val="nil"/>
              <w:bottom w:val="nil"/>
              <w:right w:val="nil"/>
            </w:tcBorders>
            <w:shd w:val="clear" w:color="auto" w:fill="auto"/>
            <w:noWrap/>
            <w:vAlign w:val="bottom"/>
            <w:hideMark/>
          </w:tcPr>
          <w:p w:rsidR="00685BE5" w:rsidRPr="00FC108A" w:rsidRDefault="00685BE5" w:rsidP="00AE4C3A">
            <w:pPr>
              <w:tabs>
                <w:tab w:val="decimal" w:pos="481"/>
              </w:tabs>
              <w:spacing w:before="20" w:after="20"/>
              <w:rPr>
                <w:sz w:val="19"/>
                <w:szCs w:val="19"/>
              </w:rPr>
            </w:pPr>
            <w:r w:rsidRPr="00FC108A">
              <w:rPr>
                <w:sz w:val="19"/>
                <w:szCs w:val="19"/>
              </w:rPr>
              <w:t>11.5</w:t>
            </w:r>
          </w:p>
        </w:tc>
        <w:tc>
          <w:tcPr>
            <w:tcW w:w="809" w:type="dxa"/>
            <w:tcBorders>
              <w:top w:val="nil"/>
              <w:left w:val="nil"/>
              <w:bottom w:val="nil"/>
              <w:right w:val="nil"/>
            </w:tcBorders>
            <w:shd w:val="clear" w:color="auto" w:fill="auto"/>
            <w:noWrap/>
            <w:vAlign w:val="bottom"/>
            <w:hideMark/>
          </w:tcPr>
          <w:p w:rsidR="00685BE5" w:rsidRPr="00FC108A" w:rsidRDefault="00685BE5" w:rsidP="009035A4">
            <w:pPr>
              <w:spacing w:before="20" w:after="20"/>
              <w:jc w:val="center"/>
              <w:rPr>
                <w:sz w:val="19"/>
                <w:szCs w:val="19"/>
              </w:rPr>
            </w:pPr>
            <w:r w:rsidRPr="00FC108A">
              <w:rPr>
                <w:sz w:val="19"/>
                <w:szCs w:val="19"/>
              </w:rPr>
              <w:t>16.8</w:t>
            </w:r>
          </w:p>
        </w:tc>
        <w:tc>
          <w:tcPr>
            <w:tcW w:w="872" w:type="dxa"/>
            <w:tcBorders>
              <w:top w:val="nil"/>
              <w:left w:val="nil"/>
              <w:bottom w:val="nil"/>
              <w:right w:val="nil"/>
            </w:tcBorders>
            <w:shd w:val="clear" w:color="auto" w:fill="auto"/>
            <w:noWrap/>
            <w:vAlign w:val="bottom"/>
            <w:hideMark/>
          </w:tcPr>
          <w:p w:rsidR="00685BE5" w:rsidRPr="00FC108A" w:rsidRDefault="00685BE5" w:rsidP="00AE4C3A">
            <w:pPr>
              <w:tabs>
                <w:tab w:val="decimal" w:pos="380"/>
              </w:tabs>
              <w:spacing w:before="20" w:after="20"/>
              <w:rPr>
                <w:sz w:val="19"/>
                <w:szCs w:val="19"/>
              </w:rPr>
            </w:pPr>
            <w:r w:rsidRPr="00FC108A">
              <w:rPr>
                <w:sz w:val="19"/>
                <w:szCs w:val="19"/>
              </w:rPr>
              <w:t>70.0</w:t>
            </w:r>
          </w:p>
        </w:tc>
        <w:tc>
          <w:tcPr>
            <w:tcW w:w="1191" w:type="dxa"/>
            <w:tcBorders>
              <w:top w:val="nil"/>
              <w:left w:val="nil"/>
              <w:bottom w:val="nil"/>
              <w:right w:val="nil"/>
            </w:tcBorders>
            <w:shd w:val="clear" w:color="auto" w:fill="auto"/>
            <w:noWrap/>
            <w:vAlign w:val="bottom"/>
            <w:hideMark/>
          </w:tcPr>
          <w:p w:rsidR="00685BE5" w:rsidRPr="00FC108A" w:rsidRDefault="00685BE5" w:rsidP="00AE4C3A">
            <w:pPr>
              <w:tabs>
                <w:tab w:val="decimal" w:pos="481"/>
              </w:tabs>
              <w:spacing w:before="20" w:after="20"/>
              <w:rPr>
                <w:sz w:val="19"/>
                <w:szCs w:val="19"/>
              </w:rPr>
            </w:pPr>
            <w:r w:rsidRPr="00FC108A">
              <w:rPr>
                <w:sz w:val="19"/>
                <w:szCs w:val="19"/>
              </w:rPr>
              <w:t>1.6</w:t>
            </w:r>
          </w:p>
        </w:tc>
        <w:tc>
          <w:tcPr>
            <w:tcW w:w="708" w:type="dxa"/>
            <w:tcBorders>
              <w:top w:val="nil"/>
              <w:left w:val="nil"/>
              <w:bottom w:val="nil"/>
              <w:right w:val="nil"/>
            </w:tcBorders>
            <w:shd w:val="clear" w:color="auto" w:fill="auto"/>
            <w:noWrap/>
            <w:vAlign w:val="bottom"/>
            <w:hideMark/>
          </w:tcPr>
          <w:p w:rsidR="00685BE5" w:rsidRPr="00FC108A" w:rsidRDefault="00685BE5" w:rsidP="00AE4C3A">
            <w:pPr>
              <w:tabs>
                <w:tab w:val="decimal" w:pos="312"/>
              </w:tabs>
              <w:spacing w:before="20" w:after="20"/>
              <w:rPr>
                <w:rFonts w:ascii="Calibri" w:eastAsia="Times New Roman" w:hAnsi="Calibri" w:cs="Calibri"/>
                <w:color w:val="000000"/>
                <w:sz w:val="19"/>
                <w:szCs w:val="19"/>
                <w:lang w:eastAsia="zh-CN"/>
              </w:rPr>
            </w:pPr>
            <w:r w:rsidRPr="00FC108A">
              <w:rPr>
                <w:rFonts w:ascii="Calibri" w:eastAsia="Times New Roman" w:hAnsi="Calibri" w:cs="Calibri"/>
                <w:color w:val="000000"/>
                <w:sz w:val="19"/>
                <w:szCs w:val="19"/>
                <w:lang w:eastAsia="zh-CN"/>
              </w:rPr>
              <w:t>7.4</w:t>
            </w:r>
          </w:p>
        </w:tc>
      </w:tr>
      <w:tr w:rsidR="00685BE5" w:rsidRPr="00FC108A" w:rsidTr="009035A4">
        <w:trPr>
          <w:trHeight w:val="288"/>
        </w:trPr>
        <w:tc>
          <w:tcPr>
            <w:tcW w:w="4517" w:type="dxa"/>
            <w:tcBorders>
              <w:top w:val="nil"/>
              <w:left w:val="nil"/>
              <w:bottom w:val="nil"/>
              <w:right w:val="nil"/>
            </w:tcBorders>
            <w:shd w:val="clear" w:color="auto" w:fill="auto"/>
            <w:noWrap/>
            <w:vAlign w:val="bottom"/>
            <w:hideMark/>
          </w:tcPr>
          <w:p w:rsidR="00685BE5" w:rsidRPr="00FC108A" w:rsidRDefault="00685BE5" w:rsidP="00AE4C3A">
            <w:pPr>
              <w:spacing w:before="20" w:after="20"/>
              <w:rPr>
                <w:sz w:val="19"/>
                <w:szCs w:val="19"/>
              </w:rPr>
            </w:pPr>
            <w:r w:rsidRPr="00FC108A">
              <w:rPr>
                <w:sz w:val="19"/>
                <w:szCs w:val="19"/>
              </w:rPr>
              <w:t>The match between your work and your qualifications</w:t>
            </w:r>
          </w:p>
        </w:tc>
        <w:tc>
          <w:tcPr>
            <w:tcW w:w="1115" w:type="dxa"/>
            <w:tcBorders>
              <w:top w:val="nil"/>
              <w:left w:val="nil"/>
              <w:bottom w:val="nil"/>
              <w:right w:val="nil"/>
            </w:tcBorders>
            <w:shd w:val="clear" w:color="auto" w:fill="auto"/>
            <w:noWrap/>
            <w:vAlign w:val="bottom"/>
            <w:hideMark/>
          </w:tcPr>
          <w:p w:rsidR="00685BE5" w:rsidRPr="00FC108A" w:rsidRDefault="00685BE5" w:rsidP="00AE4C3A">
            <w:pPr>
              <w:tabs>
                <w:tab w:val="decimal" w:pos="481"/>
              </w:tabs>
              <w:spacing w:before="20" w:after="20"/>
              <w:rPr>
                <w:sz w:val="19"/>
                <w:szCs w:val="19"/>
              </w:rPr>
            </w:pPr>
            <w:r w:rsidRPr="00FC108A">
              <w:rPr>
                <w:sz w:val="19"/>
                <w:szCs w:val="19"/>
              </w:rPr>
              <w:t>10.2</w:t>
            </w:r>
          </w:p>
        </w:tc>
        <w:tc>
          <w:tcPr>
            <w:tcW w:w="809" w:type="dxa"/>
            <w:tcBorders>
              <w:top w:val="nil"/>
              <w:left w:val="nil"/>
              <w:bottom w:val="nil"/>
              <w:right w:val="nil"/>
            </w:tcBorders>
            <w:shd w:val="clear" w:color="auto" w:fill="auto"/>
            <w:noWrap/>
            <w:vAlign w:val="bottom"/>
            <w:hideMark/>
          </w:tcPr>
          <w:p w:rsidR="00685BE5" w:rsidRPr="00FC108A" w:rsidRDefault="00685BE5" w:rsidP="009035A4">
            <w:pPr>
              <w:spacing w:before="20" w:after="20"/>
              <w:jc w:val="center"/>
              <w:rPr>
                <w:sz w:val="19"/>
                <w:szCs w:val="19"/>
              </w:rPr>
            </w:pPr>
            <w:r w:rsidRPr="00FC108A">
              <w:rPr>
                <w:sz w:val="19"/>
                <w:szCs w:val="19"/>
              </w:rPr>
              <w:t>17.2</w:t>
            </w:r>
          </w:p>
        </w:tc>
        <w:tc>
          <w:tcPr>
            <w:tcW w:w="872" w:type="dxa"/>
            <w:tcBorders>
              <w:top w:val="nil"/>
              <w:left w:val="nil"/>
              <w:bottom w:val="nil"/>
              <w:right w:val="nil"/>
            </w:tcBorders>
            <w:shd w:val="clear" w:color="auto" w:fill="auto"/>
            <w:noWrap/>
            <w:vAlign w:val="bottom"/>
            <w:hideMark/>
          </w:tcPr>
          <w:p w:rsidR="00685BE5" w:rsidRPr="00FC108A" w:rsidRDefault="00685BE5" w:rsidP="00AE4C3A">
            <w:pPr>
              <w:tabs>
                <w:tab w:val="decimal" w:pos="380"/>
              </w:tabs>
              <w:spacing w:before="20" w:after="20"/>
              <w:rPr>
                <w:sz w:val="19"/>
                <w:szCs w:val="19"/>
              </w:rPr>
            </w:pPr>
            <w:r w:rsidRPr="00FC108A">
              <w:rPr>
                <w:sz w:val="19"/>
                <w:szCs w:val="19"/>
              </w:rPr>
              <w:t>71.5</w:t>
            </w:r>
          </w:p>
        </w:tc>
        <w:tc>
          <w:tcPr>
            <w:tcW w:w="1191" w:type="dxa"/>
            <w:tcBorders>
              <w:top w:val="nil"/>
              <w:left w:val="nil"/>
              <w:bottom w:val="nil"/>
              <w:right w:val="nil"/>
            </w:tcBorders>
            <w:shd w:val="clear" w:color="auto" w:fill="auto"/>
            <w:noWrap/>
            <w:vAlign w:val="bottom"/>
            <w:hideMark/>
          </w:tcPr>
          <w:p w:rsidR="00685BE5" w:rsidRPr="00FC108A" w:rsidRDefault="00685BE5" w:rsidP="00AE4C3A">
            <w:pPr>
              <w:tabs>
                <w:tab w:val="decimal" w:pos="481"/>
              </w:tabs>
              <w:spacing w:before="20" w:after="20"/>
              <w:rPr>
                <w:sz w:val="19"/>
                <w:szCs w:val="19"/>
              </w:rPr>
            </w:pPr>
            <w:r w:rsidRPr="00FC108A">
              <w:rPr>
                <w:sz w:val="19"/>
                <w:szCs w:val="19"/>
              </w:rPr>
              <w:t>1.0</w:t>
            </w:r>
          </w:p>
        </w:tc>
        <w:tc>
          <w:tcPr>
            <w:tcW w:w="708" w:type="dxa"/>
            <w:tcBorders>
              <w:top w:val="nil"/>
              <w:left w:val="nil"/>
              <w:bottom w:val="nil"/>
              <w:right w:val="nil"/>
            </w:tcBorders>
            <w:shd w:val="clear" w:color="auto" w:fill="auto"/>
            <w:noWrap/>
            <w:vAlign w:val="bottom"/>
            <w:hideMark/>
          </w:tcPr>
          <w:p w:rsidR="00685BE5" w:rsidRPr="00FC108A" w:rsidRDefault="00685BE5" w:rsidP="00AE4C3A">
            <w:pPr>
              <w:tabs>
                <w:tab w:val="decimal" w:pos="312"/>
              </w:tabs>
              <w:spacing w:before="20" w:after="20"/>
              <w:rPr>
                <w:rFonts w:ascii="Calibri" w:eastAsia="Times New Roman" w:hAnsi="Calibri" w:cs="Calibri"/>
                <w:color w:val="000000"/>
                <w:sz w:val="19"/>
                <w:szCs w:val="19"/>
                <w:lang w:eastAsia="zh-CN"/>
              </w:rPr>
            </w:pPr>
            <w:r w:rsidRPr="00FC108A">
              <w:rPr>
                <w:rFonts w:ascii="Calibri" w:eastAsia="Times New Roman" w:hAnsi="Calibri" w:cs="Calibri"/>
                <w:color w:val="000000"/>
                <w:sz w:val="19"/>
                <w:szCs w:val="19"/>
                <w:lang w:eastAsia="zh-CN"/>
              </w:rPr>
              <w:t>7.4</w:t>
            </w:r>
          </w:p>
        </w:tc>
      </w:tr>
      <w:tr w:rsidR="00685BE5" w:rsidRPr="00FC108A" w:rsidTr="009035A4">
        <w:trPr>
          <w:trHeight w:val="288"/>
        </w:trPr>
        <w:tc>
          <w:tcPr>
            <w:tcW w:w="4517" w:type="dxa"/>
            <w:tcBorders>
              <w:top w:val="nil"/>
              <w:left w:val="nil"/>
              <w:bottom w:val="nil"/>
              <w:right w:val="nil"/>
            </w:tcBorders>
            <w:shd w:val="clear" w:color="auto" w:fill="auto"/>
            <w:noWrap/>
            <w:vAlign w:val="bottom"/>
            <w:hideMark/>
          </w:tcPr>
          <w:p w:rsidR="00685BE5" w:rsidRPr="00FC108A" w:rsidRDefault="00685BE5" w:rsidP="00AE4C3A">
            <w:pPr>
              <w:spacing w:before="20" w:after="20"/>
              <w:rPr>
                <w:sz w:val="19"/>
                <w:szCs w:val="19"/>
              </w:rPr>
            </w:pPr>
            <w:r w:rsidRPr="00FC108A">
              <w:rPr>
                <w:sz w:val="19"/>
                <w:szCs w:val="19"/>
              </w:rPr>
              <w:t>The opportunity to develop your skills and abilities</w:t>
            </w:r>
          </w:p>
        </w:tc>
        <w:tc>
          <w:tcPr>
            <w:tcW w:w="1115" w:type="dxa"/>
            <w:tcBorders>
              <w:top w:val="nil"/>
              <w:left w:val="nil"/>
              <w:bottom w:val="nil"/>
              <w:right w:val="nil"/>
            </w:tcBorders>
            <w:shd w:val="clear" w:color="auto" w:fill="auto"/>
            <w:noWrap/>
            <w:vAlign w:val="bottom"/>
            <w:hideMark/>
          </w:tcPr>
          <w:p w:rsidR="00685BE5" w:rsidRPr="00FC108A" w:rsidRDefault="00685BE5" w:rsidP="00AE4C3A">
            <w:pPr>
              <w:tabs>
                <w:tab w:val="decimal" w:pos="481"/>
              </w:tabs>
              <w:spacing w:before="20" w:after="20"/>
              <w:rPr>
                <w:sz w:val="19"/>
                <w:szCs w:val="19"/>
              </w:rPr>
            </w:pPr>
            <w:r w:rsidRPr="00FC108A">
              <w:rPr>
                <w:sz w:val="19"/>
                <w:szCs w:val="19"/>
              </w:rPr>
              <w:t>14.2</w:t>
            </w:r>
          </w:p>
        </w:tc>
        <w:tc>
          <w:tcPr>
            <w:tcW w:w="809" w:type="dxa"/>
            <w:tcBorders>
              <w:top w:val="nil"/>
              <w:left w:val="nil"/>
              <w:bottom w:val="nil"/>
              <w:right w:val="nil"/>
            </w:tcBorders>
            <w:shd w:val="clear" w:color="auto" w:fill="auto"/>
            <w:noWrap/>
            <w:vAlign w:val="bottom"/>
            <w:hideMark/>
          </w:tcPr>
          <w:p w:rsidR="00685BE5" w:rsidRPr="00FC108A" w:rsidRDefault="00685BE5" w:rsidP="009035A4">
            <w:pPr>
              <w:spacing w:before="20" w:after="20"/>
              <w:jc w:val="center"/>
              <w:rPr>
                <w:sz w:val="19"/>
                <w:szCs w:val="19"/>
              </w:rPr>
            </w:pPr>
            <w:r w:rsidRPr="00FC108A">
              <w:rPr>
                <w:sz w:val="19"/>
                <w:szCs w:val="19"/>
              </w:rPr>
              <w:t>18.8</w:t>
            </w:r>
          </w:p>
        </w:tc>
        <w:tc>
          <w:tcPr>
            <w:tcW w:w="872" w:type="dxa"/>
            <w:tcBorders>
              <w:top w:val="nil"/>
              <w:left w:val="nil"/>
              <w:bottom w:val="nil"/>
              <w:right w:val="nil"/>
            </w:tcBorders>
            <w:shd w:val="clear" w:color="auto" w:fill="auto"/>
            <w:noWrap/>
            <w:vAlign w:val="bottom"/>
            <w:hideMark/>
          </w:tcPr>
          <w:p w:rsidR="00685BE5" w:rsidRPr="00FC108A" w:rsidRDefault="00685BE5" w:rsidP="00AE4C3A">
            <w:pPr>
              <w:tabs>
                <w:tab w:val="decimal" w:pos="380"/>
              </w:tabs>
              <w:spacing w:before="20" w:after="20"/>
              <w:rPr>
                <w:sz w:val="19"/>
                <w:szCs w:val="19"/>
              </w:rPr>
            </w:pPr>
            <w:r w:rsidRPr="00FC108A">
              <w:rPr>
                <w:sz w:val="19"/>
                <w:szCs w:val="19"/>
              </w:rPr>
              <w:t>66.1</w:t>
            </w:r>
          </w:p>
        </w:tc>
        <w:tc>
          <w:tcPr>
            <w:tcW w:w="1191" w:type="dxa"/>
            <w:tcBorders>
              <w:top w:val="nil"/>
              <w:left w:val="nil"/>
              <w:bottom w:val="nil"/>
              <w:right w:val="nil"/>
            </w:tcBorders>
            <w:shd w:val="clear" w:color="auto" w:fill="auto"/>
            <w:noWrap/>
            <w:vAlign w:val="bottom"/>
            <w:hideMark/>
          </w:tcPr>
          <w:p w:rsidR="00685BE5" w:rsidRPr="00FC108A" w:rsidRDefault="00685BE5" w:rsidP="00AE4C3A">
            <w:pPr>
              <w:tabs>
                <w:tab w:val="decimal" w:pos="481"/>
              </w:tabs>
              <w:spacing w:before="20" w:after="20"/>
              <w:rPr>
                <w:sz w:val="19"/>
                <w:szCs w:val="19"/>
              </w:rPr>
            </w:pPr>
            <w:r w:rsidRPr="00FC108A">
              <w:rPr>
                <w:sz w:val="19"/>
                <w:szCs w:val="19"/>
              </w:rPr>
              <w:t>0.9</w:t>
            </w:r>
          </w:p>
        </w:tc>
        <w:tc>
          <w:tcPr>
            <w:tcW w:w="708" w:type="dxa"/>
            <w:tcBorders>
              <w:top w:val="nil"/>
              <w:left w:val="nil"/>
              <w:bottom w:val="nil"/>
              <w:right w:val="nil"/>
            </w:tcBorders>
            <w:shd w:val="clear" w:color="auto" w:fill="auto"/>
            <w:noWrap/>
            <w:vAlign w:val="bottom"/>
            <w:hideMark/>
          </w:tcPr>
          <w:p w:rsidR="00685BE5" w:rsidRPr="00FC108A" w:rsidRDefault="00685BE5" w:rsidP="00AE4C3A">
            <w:pPr>
              <w:tabs>
                <w:tab w:val="decimal" w:pos="312"/>
              </w:tabs>
              <w:spacing w:before="20" w:after="20"/>
              <w:rPr>
                <w:rFonts w:ascii="Calibri" w:eastAsia="Times New Roman" w:hAnsi="Calibri" w:cs="Calibri"/>
                <w:color w:val="000000"/>
                <w:sz w:val="19"/>
                <w:szCs w:val="19"/>
                <w:lang w:eastAsia="zh-CN"/>
              </w:rPr>
            </w:pPr>
            <w:r w:rsidRPr="00FC108A">
              <w:rPr>
                <w:rFonts w:ascii="Calibri" w:eastAsia="Times New Roman" w:hAnsi="Calibri" w:cs="Calibri"/>
                <w:color w:val="000000"/>
                <w:sz w:val="19"/>
                <w:szCs w:val="19"/>
                <w:lang w:eastAsia="zh-CN"/>
              </w:rPr>
              <w:t>7.2</w:t>
            </w:r>
          </w:p>
        </w:tc>
      </w:tr>
      <w:tr w:rsidR="00685BE5" w:rsidRPr="00FC108A" w:rsidTr="009035A4">
        <w:trPr>
          <w:trHeight w:val="288"/>
        </w:trPr>
        <w:tc>
          <w:tcPr>
            <w:tcW w:w="4517" w:type="dxa"/>
            <w:tcBorders>
              <w:top w:val="nil"/>
              <w:left w:val="nil"/>
              <w:bottom w:val="nil"/>
              <w:right w:val="nil"/>
            </w:tcBorders>
            <w:shd w:val="clear" w:color="auto" w:fill="auto"/>
            <w:noWrap/>
            <w:vAlign w:val="bottom"/>
            <w:hideMark/>
          </w:tcPr>
          <w:p w:rsidR="00685BE5" w:rsidRPr="00FC108A" w:rsidRDefault="00685BE5" w:rsidP="00AE4C3A">
            <w:pPr>
              <w:spacing w:before="20" w:after="20"/>
              <w:rPr>
                <w:sz w:val="19"/>
                <w:szCs w:val="19"/>
              </w:rPr>
            </w:pPr>
            <w:r w:rsidRPr="00FC108A">
              <w:rPr>
                <w:sz w:val="19"/>
                <w:szCs w:val="19"/>
              </w:rPr>
              <w:t>The level of support from your team/employer</w:t>
            </w:r>
          </w:p>
        </w:tc>
        <w:tc>
          <w:tcPr>
            <w:tcW w:w="1115" w:type="dxa"/>
            <w:tcBorders>
              <w:top w:val="nil"/>
              <w:left w:val="nil"/>
              <w:bottom w:val="nil"/>
              <w:right w:val="nil"/>
            </w:tcBorders>
            <w:shd w:val="clear" w:color="auto" w:fill="auto"/>
            <w:noWrap/>
            <w:vAlign w:val="bottom"/>
            <w:hideMark/>
          </w:tcPr>
          <w:p w:rsidR="00685BE5" w:rsidRPr="00FC108A" w:rsidRDefault="00685BE5" w:rsidP="00AE4C3A">
            <w:pPr>
              <w:tabs>
                <w:tab w:val="decimal" w:pos="481"/>
              </w:tabs>
              <w:spacing w:before="20" w:after="20"/>
              <w:rPr>
                <w:sz w:val="19"/>
                <w:szCs w:val="19"/>
              </w:rPr>
            </w:pPr>
            <w:r w:rsidRPr="00FC108A">
              <w:rPr>
                <w:sz w:val="19"/>
                <w:szCs w:val="19"/>
              </w:rPr>
              <w:t>11.5</w:t>
            </w:r>
          </w:p>
        </w:tc>
        <w:tc>
          <w:tcPr>
            <w:tcW w:w="809" w:type="dxa"/>
            <w:tcBorders>
              <w:top w:val="nil"/>
              <w:left w:val="nil"/>
              <w:bottom w:val="nil"/>
              <w:right w:val="nil"/>
            </w:tcBorders>
            <w:shd w:val="clear" w:color="auto" w:fill="auto"/>
            <w:noWrap/>
            <w:vAlign w:val="bottom"/>
            <w:hideMark/>
          </w:tcPr>
          <w:p w:rsidR="00685BE5" w:rsidRPr="00FC108A" w:rsidRDefault="00685BE5" w:rsidP="009035A4">
            <w:pPr>
              <w:spacing w:before="20" w:after="20"/>
              <w:jc w:val="center"/>
              <w:rPr>
                <w:sz w:val="19"/>
                <w:szCs w:val="19"/>
              </w:rPr>
            </w:pPr>
            <w:r w:rsidRPr="00FC108A">
              <w:rPr>
                <w:sz w:val="19"/>
                <w:szCs w:val="19"/>
              </w:rPr>
              <w:t>13.0</w:t>
            </w:r>
          </w:p>
        </w:tc>
        <w:tc>
          <w:tcPr>
            <w:tcW w:w="872" w:type="dxa"/>
            <w:tcBorders>
              <w:top w:val="nil"/>
              <w:left w:val="nil"/>
              <w:bottom w:val="nil"/>
              <w:right w:val="nil"/>
            </w:tcBorders>
            <w:shd w:val="clear" w:color="auto" w:fill="auto"/>
            <w:noWrap/>
            <w:vAlign w:val="bottom"/>
            <w:hideMark/>
          </w:tcPr>
          <w:p w:rsidR="00685BE5" w:rsidRPr="00FC108A" w:rsidRDefault="00685BE5" w:rsidP="00AE4C3A">
            <w:pPr>
              <w:tabs>
                <w:tab w:val="decimal" w:pos="380"/>
              </w:tabs>
              <w:spacing w:before="20" w:after="20"/>
              <w:rPr>
                <w:sz w:val="19"/>
                <w:szCs w:val="19"/>
              </w:rPr>
            </w:pPr>
            <w:r w:rsidRPr="00FC108A">
              <w:rPr>
                <w:sz w:val="19"/>
                <w:szCs w:val="19"/>
              </w:rPr>
              <w:t>74.7</w:t>
            </w:r>
          </w:p>
        </w:tc>
        <w:tc>
          <w:tcPr>
            <w:tcW w:w="1191" w:type="dxa"/>
            <w:tcBorders>
              <w:top w:val="nil"/>
              <w:left w:val="nil"/>
              <w:bottom w:val="nil"/>
              <w:right w:val="nil"/>
            </w:tcBorders>
            <w:shd w:val="clear" w:color="auto" w:fill="auto"/>
            <w:noWrap/>
            <w:vAlign w:val="bottom"/>
            <w:hideMark/>
          </w:tcPr>
          <w:p w:rsidR="00685BE5" w:rsidRPr="00FC108A" w:rsidRDefault="00685BE5" w:rsidP="00AE4C3A">
            <w:pPr>
              <w:tabs>
                <w:tab w:val="decimal" w:pos="481"/>
              </w:tabs>
              <w:spacing w:before="20" w:after="20"/>
              <w:rPr>
                <w:sz w:val="19"/>
                <w:szCs w:val="19"/>
              </w:rPr>
            </w:pPr>
            <w:r w:rsidRPr="00FC108A">
              <w:rPr>
                <w:sz w:val="19"/>
                <w:szCs w:val="19"/>
              </w:rPr>
              <w:t>0.8</w:t>
            </w:r>
          </w:p>
        </w:tc>
        <w:tc>
          <w:tcPr>
            <w:tcW w:w="708" w:type="dxa"/>
            <w:tcBorders>
              <w:top w:val="nil"/>
              <w:left w:val="nil"/>
              <w:bottom w:val="nil"/>
              <w:right w:val="nil"/>
            </w:tcBorders>
            <w:shd w:val="clear" w:color="auto" w:fill="auto"/>
            <w:noWrap/>
            <w:vAlign w:val="bottom"/>
            <w:hideMark/>
          </w:tcPr>
          <w:p w:rsidR="00685BE5" w:rsidRPr="00FC108A" w:rsidRDefault="00685BE5" w:rsidP="00AE4C3A">
            <w:pPr>
              <w:tabs>
                <w:tab w:val="decimal" w:pos="312"/>
              </w:tabs>
              <w:spacing w:before="20" w:after="20"/>
              <w:rPr>
                <w:rFonts w:ascii="Calibri" w:eastAsia="Times New Roman" w:hAnsi="Calibri" w:cs="Calibri"/>
                <w:color w:val="000000"/>
                <w:sz w:val="19"/>
                <w:szCs w:val="19"/>
                <w:lang w:eastAsia="zh-CN"/>
              </w:rPr>
            </w:pPr>
            <w:r w:rsidRPr="00FC108A">
              <w:rPr>
                <w:rFonts w:ascii="Calibri" w:eastAsia="Times New Roman" w:hAnsi="Calibri" w:cs="Calibri"/>
                <w:color w:val="000000"/>
                <w:sz w:val="19"/>
                <w:szCs w:val="19"/>
                <w:lang w:eastAsia="zh-CN"/>
              </w:rPr>
              <w:t>7.6</w:t>
            </w:r>
          </w:p>
        </w:tc>
      </w:tr>
      <w:tr w:rsidR="00685BE5" w:rsidRPr="00FC108A" w:rsidTr="00047211">
        <w:trPr>
          <w:trHeight w:val="315"/>
        </w:trPr>
        <w:tc>
          <w:tcPr>
            <w:tcW w:w="4517" w:type="dxa"/>
            <w:tcBorders>
              <w:top w:val="nil"/>
              <w:left w:val="nil"/>
              <w:bottom w:val="nil"/>
              <w:right w:val="nil"/>
            </w:tcBorders>
            <w:shd w:val="clear" w:color="auto" w:fill="auto"/>
            <w:noWrap/>
            <w:vAlign w:val="bottom"/>
            <w:hideMark/>
          </w:tcPr>
          <w:p w:rsidR="00685BE5" w:rsidRPr="00FC108A" w:rsidRDefault="00685BE5" w:rsidP="00AE4C3A">
            <w:pPr>
              <w:spacing w:before="20" w:after="20"/>
              <w:rPr>
                <w:sz w:val="19"/>
                <w:szCs w:val="19"/>
              </w:rPr>
            </w:pPr>
            <w:r w:rsidRPr="00FC108A">
              <w:rPr>
                <w:sz w:val="19"/>
                <w:szCs w:val="19"/>
              </w:rPr>
              <w:t>The flexibility available to balance work and non-work commitments</w:t>
            </w:r>
          </w:p>
        </w:tc>
        <w:tc>
          <w:tcPr>
            <w:tcW w:w="1115" w:type="dxa"/>
            <w:tcBorders>
              <w:top w:val="nil"/>
              <w:left w:val="nil"/>
              <w:bottom w:val="nil"/>
              <w:right w:val="nil"/>
            </w:tcBorders>
            <w:shd w:val="clear" w:color="auto" w:fill="auto"/>
            <w:noWrap/>
            <w:vAlign w:val="center"/>
            <w:hideMark/>
          </w:tcPr>
          <w:p w:rsidR="00685BE5" w:rsidRPr="00FC108A" w:rsidRDefault="00685BE5" w:rsidP="00047211">
            <w:pPr>
              <w:tabs>
                <w:tab w:val="decimal" w:pos="481"/>
              </w:tabs>
              <w:spacing w:before="20" w:after="20"/>
              <w:rPr>
                <w:sz w:val="19"/>
                <w:szCs w:val="19"/>
              </w:rPr>
            </w:pPr>
            <w:r w:rsidRPr="00FC108A">
              <w:rPr>
                <w:sz w:val="19"/>
                <w:szCs w:val="19"/>
              </w:rPr>
              <w:t>11.3</w:t>
            </w:r>
          </w:p>
        </w:tc>
        <w:tc>
          <w:tcPr>
            <w:tcW w:w="809" w:type="dxa"/>
            <w:tcBorders>
              <w:top w:val="nil"/>
              <w:left w:val="nil"/>
              <w:bottom w:val="nil"/>
              <w:right w:val="nil"/>
            </w:tcBorders>
            <w:shd w:val="clear" w:color="auto" w:fill="auto"/>
            <w:noWrap/>
            <w:vAlign w:val="center"/>
            <w:hideMark/>
          </w:tcPr>
          <w:p w:rsidR="00685BE5" w:rsidRPr="00FC108A" w:rsidRDefault="00685BE5" w:rsidP="00047211">
            <w:pPr>
              <w:spacing w:before="20" w:after="20"/>
              <w:jc w:val="center"/>
              <w:rPr>
                <w:sz w:val="19"/>
                <w:szCs w:val="19"/>
              </w:rPr>
            </w:pPr>
            <w:r w:rsidRPr="00FC108A">
              <w:rPr>
                <w:sz w:val="19"/>
                <w:szCs w:val="19"/>
              </w:rPr>
              <w:t>14.1</w:t>
            </w:r>
          </w:p>
        </w:tc>
        <w:tc>
          <w:tcPr>
            <w:tcW w:w="872" w:type="dxa"/>
            <w:tcBorders>
              <w:top w:val="nil"/>
              <w:left w:val="nil"/>
              <w:bottom w:val="nil"/>
              <w:right w:val="nil"/>
            </w:tcBorders>
            <w:shd w:val="clear" w:color="auto" w:fill="auto"/>
            <w:noWrap/>
            <w:vAlign w:val="center"/>
            <w:hideMark/>
          </w:tcPr>
          <w:p w:rsidR="00685BE5" w:rsidRPr="00FC108A" w:rsidRDefault="00685BE5" w:rsidP="00047211">
            <w:pPr>
              <w:tabs>
                <w:tab w:val="decimal" w:pos="380"/>
              </w:tabs>
              <w:spacing w:before="20" w:after="20"/>
              <w:rPr>
                <w:sz w:val="19"/>
                <w:szCs w:val="19"/>
              </w:rPr>
            </w:pPr>
            <w:r w:rsidRPr="00FC108A">
              <w:rPr>
                <w:sz w:val="19"/>
                <w:szCs w:val="19"/>
              </w:rPr>
              <w:t>73.8</w:t>
            </w:r>
          </w:p>
        </w:tc>
        <w:tc>
          <w:tcPr>
            <w:tcW w:w="1191" w:type="dxa"/>
            <w:tcBorders>
              <w:top w:val="nil"/>
              <w:left w:val="nil"/>
              <w:bottom w:val="nil"/>
              <w:right w:val="nil"/>
            </w:tcBorders>
            <w:shd w:val="clear" w:color="auto" w:fill="auto"/>
            <w:noWrap/>
            <w:vAlign w:val="center"/>
            <w:hideMark/>
          </w:tcPr>
          <w:p w:rsidR="00685BE5" w:rsidRPr="00FC108A" w:rsidRDefault="00685BE5" w:rsidP="00047211">
            <w:pPr>
              <w:tabs>
                <w:tab w:val="decimal" w:pos="481"/>
              </w:tabs>
              <w:spacing w:before="20" w:after="20"/>
              <w:rPr>
                <w:sz w:val="19"/>
                <w:szCs w:val="19"/>
              </w:rPr>
            </w:pPr>
            <w:r w:rsidRPr="00FC108A">
              <w:rPr>
                <w:sz w:val="19"/>
                <w:szCs w:val="19"/>
              </w:rPr>
              <w:t>0.8</w:t>
            </w:r>
          </w:p>
        </w:tc>
        <w:tc>
          <w:tcPr>
            <w:tcW w:w="708" w:type="dxa"/>
            <w:tcBorders>
              <w:top w:val="nil"/>
              <w:left w:val="nil"/>
              <w:bottom w:val="nil"/>
              <w:right w:val="nil"/>
            </w:tcBorders>
            <w:shd w:val="clear" w:color="auto" w:fill="auto"/>
            <w:noWrap/>
            <w:vAlign w:val="center"/>
            <w:hideMark/>
          </w:tcPr>
          <w:p w:rsidR="00685BE5" w:rsidRPr="00047211" w:rsidRDefault="00685BE5" w:rsidP="00047211">
            <w:pPr>
              <w:tabs>
                <w:tab w:val="decimal" w:pos="312"/>
              </w:tabs>
              <w:spacing w:before="20" w:after="20"/>
              <w:jc w:val="center"/>
              <w:rPr>
                <w:sz w:val="19"/>
                <w:szCs w:val="19"/>
              </w:rPr>
            </w:pPr>
            <w:r w:rsidRPr="00047211">
              <w:rPr>
                <w:sz w:val="19"/>
                <w:szCs w:val="19"/>
              </w:rPr>
              <w:t>7.6</w:t>
            </w:r>
          </w:p>
        </w:tc>
      </w:tr>
      <w:tr w:rsidR="00685BE5" w:rsidRPr="00FC108A" w:rsidTr="009035A4">
        <w:trPr>
          <w:trHeight w:val="288"/>
        </w:trPr>
        <w:tc>
          <w:tcPr>
            <w:tcW w:w="4517" w:type="dxa"/>
            <w:tcBorders>
              <w:top w:val="nil"/>
              <w:left w:val="nil"/>
              <w:bottom w:val="single" w:sz="4" w:space="0" w:color="auto"/>
              <w:right w:val="nil"/>
            </w:tcBorders>
            <w:shd w:val="clear" w:color="auto" w:fill="auto"/>
            <w:noWrap/>
            <w:vAlign w:val="bottom"/>
            <w:hideMark/>
          </w:tcPr>
          <w:p w:rsidR="00685BE5" w:rsidRPr="00FC108A" w:rsidRDefault="00685BE5" w:rsidP="00AE4C3A">
            <w:pPr>
              <w:spacing w:before="20" w:after="20"/>
              <w:rPr>
                <w:sz w:val="19"/>
                <w:szCs w:val="19"/>
              </w:rPr>
            </w:pPr>
            <w:r w:rsidRPr="00FC108A">
              <w:rPr>
                <w:sz w:val="19"/>
                <w:szCs w:val="19"/>
              </w:rPr>
              <w:t>All things considered (i.e. the job overall)</w:t>
            </w:r>
          </w:p>
        </w:tc>
        <w:tc>
          <w:tcPr>
            <w:tcW w:w="1115" w:type="dxa"/>
            <w:tcBorders>
              <w:top w:val="nil"/>
              <w:left w:val="nil"/>
              <w:bottom w:val="single" w:sz="4" w:space="0" w:color="auto"/>
              <w:right w:val="nil"/>
            </w:tcBorders>
            <w:shd w:val="clear" w:color="auto" w:fill="auto"/>
            <w:noWrap/>
            <w:vAlign w:val="bottom"/>
            <w:hideMark/>
          </w:tcPr>
          <w:p w:rsidR="00685BE5" w:rsidRPr="00FC108A" w:rsidRDefault="00685BE5" w:rsidP="00AE4C3A">
            <w:pPr>
              <w:tabs>
                <w:tab w:val="decimal" w:pos="481"/>
              </w:tabs>
              <w:spacing w:before="20" w:after="20"/>
              <w:rPr>
                <w:sz w:val="19"/>
                <w:szCs w:val="19"/>
              </w:rPr>
            </w:pPr>
            <w:r w:rsidRPr="00FC108A">
              <w:rPr>
                <w:sz w:val="19"/>
                <w:szCs w:val="19"/>
              </w:rPr>
              <w:t>3.9</w:t>
            </w:r>
          </w:p>
        </w:tc>
        <w:tc>
          <w:tcPr>
            <w:tcW w:w="809" w:type="dxa"/>
            <w:tcBorders>
              <w:top w:val="nil"/>
              <w:left w:val="nil"/>
              <w:bottom w:val="single" w:sz="4" w:space="0" w:color="auto"/>
              <w:right w:val="nil"/>
            </w:tcBorders>
            <w:shd w:val="clear" w:color="auto" w:fill="auto"/>
            <w:noWrap/>
            <w:vAlign w:val="bottom"/>
            <w:hideMark/>
          </w:tcPr>
          <w:p w:rsidR="00685BE5" w:rsidRPr="00FC108A" w:rsidRDefault="00685BE5" w:rsidP="009035A4">
            <w:pPr>
              <w:spacing w:before="20" w:after="20"/>
              <w:jc w:val="center"/>
              <w:rPr>
                <w:sz w:val="19"/>
                <w:szCs w:val="19"/>
              </w:rPr>
            </w:pPr>
            <w:r w:rsidRPr="00FC108A">
              <w:rPr>
                <w:sz w:val="19"/>
                <w:szCs w:val="19"/>
              </w:rPr>
              <w:t>13.1</w:t>
            </w:r>
          </w:p>
        </w:tc>
        <w:tc>
          <w:tcPr>
            <w:tcW w:w="872" w:type="dxa"/>
            <w:tcBorders>
              <w:top w:val="nil"/>
              <w:left w:val="nil"/>
              <w:bottom w:val="single" w:sz="4" w:space="0" w:color="auto"/>
              <w:right w:val="nil"/>
            </w:tcBorders>
            <w:shd w:val="clear" w:color="auto" w:fill="auto"/>
            <w:noWrap/>
            <w:vAlign w:val="bottom"/>
            <w:hideMark/>
          </w:tcPr>
          <w:p w:rsidR="00685BE5" w:rsidRPr="00FC108A" w:rsidRDefault="00685BE5" w:rsidP="00AE4C3A">
            <w:pPr>
              <w:tabs>
                <w:tab w:val="decimal" w:pos="380"/>
              </w:tabs>
              <w:spacing w:before="20" w:after="20"/>
              <w:rPr>
                <w:sz w:val="19"/>
                <w:szCs w:val="19"/>
              </w:rPr>
            </w:pPr>
            <w:r w:rsidRPr="00FC108A">
              <w:rPr>
                <w:sz w:val="19"/>
                <w:szCs w:val="19"/>
              </w:rPr>
              <w:t>82.1</w:t>
            </w:r>
          </w:p>
        </w:tc>
        <w:tc>
          <w:tcPr>
            <w:tcW w:w="1191" w:type="dxa"/>
            <w:tcBorders>
              <w:top w:val="nil"/>
              <w:left w:val="nil"/>
              <w:bottom w:val="single" w:sz="4" w:space="0" w:color="auto"/>
              <w:right w:val="nil"/>
            </w:tcBorders>
            <w:shd w:val="clear" w:color="auto" w:fill="auto"/>
            <w:noWrap/>
            <w:vAlign w:val="bottom"/>
            <w:hideMark/>
          </w:tcPr>
          <w:p w:rsidR="00685BE5" w:rsidRPr="00FC108A" w:rsidRDefault="00685BE5" w:rsidP="00AE4C3A">
            <w:pPr>
              <w:tabs>
                <w:tab w:val="decimal" w:pos="481"/>
              </w:tabs>
              <w:spacing w:before="20" w:after="20"/>
              <w:rPr>
                <w:sz w:val="19"/>
                <w:szCs w:val="19"/>
              </w:rPr>
            </w:pPr>
            <w:r w:rsidRPr="00FC108A">
              <w:rPr>
                <w:sz w:val="19"/>
                <w:szCs w:val="19"/>
              </w:rPr>
              <w:t>0.8</w:t>
            </w:r>
          </w:p>
        </w:tc>
        <w:tc>
          <w:tcPr>
            <w:tcW w:w="708" w:type="dxa"/>
            <w:tcBorders>
              <w:top w:val="nil"/>
              <w:left w:val="nil"/>
              <w:bottom w:val="single" w:sz="4" w:space="0" w:color="auto"/>
              <w:right w:val="nil"/>
            </w:tcBorders>
            <w:shd w:val="clear" w:color="auto" w:fill="auto"/>
            <w:noWrap/>
            <w:vAlign w:val="bottom"/>
            <w:hideMark/>
          </w:tcPr>
          <w:p w:rsidR="00685BE5" w:rsidRPr="00FC108A" w:rsidRDefault="00685BE5" w:rsidP="00AE4C3A">
            <w:pPr>
              <w:tabs>
                <w:tab w:val="decimal" w:pos="312"/>
              </w:tabs>
              <w:spacing w:before="20" w:after="20"/>
              <w:rPr>
                <w:rFonts w:ascii="Calibri" w:eastAsia="Times New Roman" w:hAnsi="Calibri" w:cs="Calibri"/>
                <w:color w:val="000000"/>
                <w:sz w:val="19"/>
                <w:szCs w:val="19"/>
                <w:lang w:eastAsia="zh-CN"/>
              </w:rPr>
            </w:pPr>
            <w:r w:rsidRPr="00FC108A">
              <w:rPr>
                <w:rFonts w:ascii="Calibri" w:eastAsia="Times New Roman" w:hAnsi="Calibri" w:cs="Calibri"/>
                <w:color w:val="000000"/>
                <w:sz w:val="19"/>
                <w:szCs w:val="19"/>
                <w:lang w:eastAsia="zh-CN"/>
              </w:rPr>
              <w:t>8.0</w:t>
            </w:r>
          </w:p>
        </w:tc>
      </w:tr>
      <w:tr w:rsidR="00685BE5" w:rsidRPr="00FC108A" w:rsidTr="009035A4">
        <w:trPr>
          <w:trHeight w:val="288"/>
        </w:trPr>
        <w:tc>
          <w:tcPr>
            <w:tcW w:w="4517" w:type="dxa"/>
            <w:tcBorders>
              <w:top w:val="single" w:sz="4" w:space="0" w:color="auto"/>
              <w:left w:val="nil"/>
              <w:bottom w:val="single" w:sz="4" w:space="0" w:color="auto"/>
              <w:right w:val="nil"/>
            </w:tcBorders>
            <w:shd w:val="clear" w:color="auto" w:fill="auto"/>
            <w:noWrap/>
            <w:vAlign w:val="bottom"/>
          </w:tcPr>
          <w:p w:rsidR="00685BE5" w:rsidRPr="00FC108A" w:rsidRDefault="00685BE5" w:rsidP="00AE4C3A">
            <w:pPr>
              <w:spacing w:before="20" w:after="20"/>
              <w:rPr>
                <w:sz w:val="19"/>
                <w:szCs w:val="19"/>
              </w:rPr>
            </w:pPr>
            <w:r w:rsidRPr="00FC108A">
              <w:rPr>
                <w:rFonts w:cstheme="minorHAnsi"/>
                <w:b/>
                <w:sz w:val="19"/>
                <w:szCs w:val="19"/>
              </w:rPr>
              <w:t>Total (N=2,133)</w:t>
            </w:r>
          </w:p>
        </w:tc>
        <w:tc>
          <w:tcPr>
            <w:tcW w:w="1115" w:type="dxa"/>
            <w:tcBorders>
              <w:top w:val="single" w:sz="4" w:space="0" w:color="auto"/>
              <w:left w:val="nil"/>
              <w:bottom w:val="single" w:sz="4" w:space="0" w:color="auto"/>
              <w:right w:val="nil"/>
            </w:tcBorders>
            <w:shd w:val="clear" w:color="auto" w:fill="auto"/>
            <w:noWrap/>
            <w:vAlign w:val="bottom"/>
          </w:tcPr>
          <w:p w:rsidR="00685BE5" w:rsidRPr="00FC108A" w:rsidRDefault="00685BE5" w:rsidP="00AE4C3A">
            <w:pPr>
              <w:tabs>
                <w:tab w:val="decimal" w:pos="481"/>
              </w:tabs>
              <w:spacing w:before="20" w:after="20"/>
              <w:rPr>
                <w:sz w:val="19"/>
                <w:szCs w:val="19"/>
              </w:rPr>
            </w:pPr>
          </w:p>
        </w:tc>
        <w:tc>
          <w:tcPr>
            <w:tcW w:w="809" w:type="dxa"/>
            <w:tcBorders>
              <w:top w:val="single" w:sz="4" w:space="0" w:color="auto"/>
              <w:left w:val="nil"/>
              <w:bottom w:val="single" w:sz="4" w:space="0" w:color="auto"/>
              <w:right w:val="nil"/>
            </w:tcBorders>
            <w:shd w:val="clear" w:color="auto" w:fill="auto"/>
            <w:noWrap/>
            <w:vAlign w:val="bottom"/>
          </w:tcPr>
          <w:p w:rsidR="00685BE5" w:rsidRPr="00FC108A" w:rsidRDefault="00685BE5" w:rsidP="009035A4">
            <w:pPr>
              <w:tabs>
                <w:tab w:val="decimal" w:pos="379"/>
              </w:tabs>
              <w:spacing w:before="20" w:after="20"/>
              <w:jc w:val="center"/>
              <w:rPr>
                <w:sz w:val="19"/>
                <w:szCs w:val="19"/>
              </w:rPr>
            </w:pPr>
          </w:p>
        </w:tc>
        <w:tc>
          <w:tcPr>
            <w:tcW w:w="872" w:type="dxa"/>
            <w:tcBorders>
              <w:top w:val="single" w:sz="4" w:space="0" w:color="auto"/>
              <w:left w:val="nil"/>
              <w:bottom w:val="single" w:sz="4" w:space="0" w:color="auto"/>
              <w:right w:val="nil"/>
            </w:tcBorders>
            <w:shd w:val="clear" w:color="auto" w:fill="auto"/>
            <w:noWrap/>
            <w:vAlign w:val="bottom"/>
          </w:tcPr>
          <w:p w:rsidR="00685BE5" w:rsidRPr="00FC108A" w:rsidRDefault="00685BE5" w:rsidP="00AE4C3A">
            <w:pPr>
              <w:tabs>
                <w:tab w:val="decimal" w:pos="380"/>
              </w:tabs>
              <w:spacing w:before="20" w:after="20"/>
              <w:rPr>
                <w:sz w:val="19"/>
                <w:szCs w:val="19"/>
              </w:rPr>
            </w:pPr>
          </w:p>
        </w:tc>
        <w:tc>
          <w:tcPr>
            <w:tcW w:w="1191" w:type="dxa"/>
            <w:tcBorders>
              <w:top w:val="single" w:sz="4" w:space="0" w:color="auto"/>
              <w:left w:val="nil"/>
              <w:bottom w:val="single" w:sz="4" w:space="0" w:color="auto"/>
              <w:right w:val="nil"/>
            </w:tcBorders>
            <w:shd w:val="clear" w:color="auto" w:fill="auto"/>
            <w:noWrap/>
            <w:vAlign w:val="bottom"/>
          </w:tcPr>
          <w:p w:rsidR="00685BE5" w:rsidRPr="00FC108A" w:rsidRDefault="00685BE5" w:rsidP="00AE4C3A">
            <w:pPr>
              <w:tabs>
                <w:tab w:val="decimal" w:pos="481"/>
              </w:tabs>
              <w:spacing w:before="20" w:after="20"/>
              <w:rPr>
                <w:sz w:val="19"/>
                <w:szCs w:val="19"/>
              </w:rPr>
            </w:pPr>
          </w:p>
        </w:tc>
        <w:tc>
          <w:tcPr>
            <w:tcW w:w="708" w:type="dxa"/>
            <w:tcBorders>
              <w:top w:val="single" w:sz="4" w:space="0" w:color="auto"/>
              <w:left w:val="nil"/>
              <w:bottom w:val="single" w:sz="4" w:space="0" w:color="auto"/>
              <w:right w:val="nil"/>
            </w:tcBorders>
            <w:shd w:val="clear" w:color="auto" w:fill="auto"/>
            <w:noWrap/>
            <w:vAlign w:val="bottom"/>
          </w:tcPr>
          <w:p w:rsidR="00685BE5" w:rsidRPr="00FC108A" w:rsidRDefault="00685BE5" w:rsidP="00AE4C3A">
            <w:pPr>
              <w:tabs>
                <w:tab w:val="decimal" w:pos="312"/>
              </w:tabs>
              <w:spacing w:before="20" w:after="20"/>
              <w:rPr>
                <w:rFonts w:ascii="Calibri" w:eastAsia="Times New Roman" w:hAnsi="Calibri" w:cs="Calibri"/>
                <w:color w:val="000000"/>
                <w:sz w:val="19"/>
                <w:szCs w:val="19"/>
                <w:lang w:eastAsia="zh-CN"/>
              </w:rPr>
            </w:pPr>
          </w:p>
        </w:tc>
      </w:tr>
    </w:tbl>
    <w:p w:rsidR="00685BE5" w:rsidRPr="005C469C" w:rsidRDefault="00685BE5" w:rsidP="00AE4C3A">
      <w:pPr>
        <w:pStyle w:val="NILSReference"/>
      </w:pPr>
      <w:r w:rsidRPr="005C469C">
        <w:t xml:space="preserve">Source: 2014 NDIS DSP employee survey, Question B12. </w:t>
      </w:r>
    </w:p>
    <w:p w:rsidR="00685BE5" w:rsidRDefault="00685BE5" w:rsidP="00AE4C3A">
      <w:pPr>
        <w:pStyle w:val="NILSReference"/>
      </w:pPr>
      <w:r w:rsidRPr="005C469C">
        <w:t xml:space="preserve">Note: Row percentages are shown. </w:t>
      </w:r>
    </w:p>
    <w:p w:rsidR="00B92687" w:rsidRDefault="00B92687" w:rsidP="00AE4C3A"/>
    <w:p w:rsidR="00685BE5" w:rsidRDefault="00685BE5" w:rsidP="00AE4C3A">
      <w:r w:rsidRPr="00AB33E3">
        <w:t xml:space="preserve">Table </w:t>
      </w:r>
      <w:r>
        <w:t>4.41</w:t>
      </w:r>
      <w:r w:rsidRPr="00AB33E3">
        <w:t xml:space="preserve"> reports employee opinions of their work. The disability support workforce agree</w:t>
      </w:r>
      <w:r>
        <w:t>d</w:t>
      </w:r>
      <w:r w:rsidRPr="00AB33E3">
        <w:t xml:space="preserve"> </w:t>
      </w:r>
      <w:r>
        <w:t xml:space="preserve">that they had </w:t>
      </w:r>
      <w:r w:rsidRPr="00AB33E3">
        <w:t xml:space="preserve">‘sufficient skills and abilities </w:t>
      </w:r>
      <w:r>
        <w:t>to do</w:t>
      </w:r>
      <w:r w:rsidRPr="00AB33E3">
        <w:t xml:space="preserve"> the job’ and </w:t>
      </w:r>
      <w:r>
        <w:t xml:space="preserve">that </w:t>
      </w:r>
      <w:r w:rsidRPr="00AB33E3">
        <w:t xml:space="preserve">the </w:t>
      </w:r>
      <w:r>
        <w:t xml:space="preserve">job </w:t>
      </w:r>
      <w:r w:rsidRPr="00AB33E3">
        <w:t>‘</w:t>
      </w:r>
      <w:r>
        <w:t>used many</w:t>
      </w:r>
      <w:r w:rsidRPr="00AB33E3">
        <w:t xml:space="preserve"> of their skills and abilities’ with an average score of 6.0 and 6.1 </w:t>
      </w:r>
      <w:r>
        <w:t xml:space="preserve">(out of 10) </w:t>
      </w:r>
      <w:r w:rsidRPr="00AB33E3">
        <w:t>respectively. Also, a large proportion report</w:t>
      </w:r>
      <w:r>
        <w:t>ed</w:t>
      </w:r>
      <w:r w:rsidRPr="00AB33E3">
        <w:t xml:space="preserve"> that they ha</w:t>
      </w:r>
      <w:r>
        <w:t>d</w:t>
      </w:r>
      <w:r w:rsidRPr="00AB33E3">
        <w:t xml:space="preserve"> a higher qualification than required for the job</w:t>
      </w:r>
      <w:r>
        <w:t xml:space="preserve"> </w:t>
      </w:r>
      <w:r w:rsidRPr="00AB33E3">
        <w:t>(42 per cent</w:t>
      </w:r>
      <w:r>
        <w:t>, which was higher than the norm of between 20 and 30 per cent</w:t>
      </w:r>
      <w:r w:rsidRPr="00AB33E3">
        <w:t>). Two thirds of workers believe</w:t>
      </w:r>
      <w:r>
        <w:t>d that</w:t>
      </w:r>
      <w:r w:rsidRPr="00AB33E3">
        <w:t xml:space="preserve"> they receive</w:t>
      </w:r>
      <w:r>
        <w:t>d</w:t>
      </w:r>
      <w:r w:rsidRPr="00AB33E3">
        <w:t xml:space="preserve"> adequate training. </w:t>
      </w:r>
      <w:r>
        <w:t>The</w:t>
      </w:r>
      <w:r w:rsidRPr="00AB33E3">
        <w:t xml:space="preserve"> average scores for the statements on pressure </w:t>
      </w:r>
      <w:r>
        <w:t xml:space="preserve">(‘I feel under pressure to work harder in my job’, mean 3.9) </w:t>
      </w:r>
      <w:r w:rsidRPr="00AB33E3">
        <w:t xml:space="preserve">and stress </w:t>
      </w:r>
      <w:r>
        <w:t>(‘my job is more stressful than I had ever imagined’, mean 3.6) we</w:t>
      </w:r>
      <w:r w:rsidRPr="00AB33E3">
        <w:t xml:space="preserve">re </w:t>
      </w:r>
      <w:r>
        <w:t xml:space="preserve">slightly </w:t>
      </w:r>
      <w:r w:rsidRPr="00AB33E3">
        <w:t>below 4 indicating disagreement</w:t>
      </w:r>
      <w:r>
        <w:t xml:space="preserve"> on average</w:t>
      </w:r>
      <w:r w:rsidRPr="00AB33E3">
        <w:t xml:space="preserve">, </w:t>
      </w:r>
      <w:r>
        <w:t xml:space="preserve">however </w:t>
      </w:r>
      <w:r w:rsidRPr="00AB33E3">
        <w:t>a large proportion of workers fel</w:t>
      </w:r>
      <w:r>
        <w:t>t</w:t>
      </w:r>
      <w:r w:rsidRPr="00AB33E3">
        <w:t xml:space="preserve"> they </w:t>
      </w:r>
      <w:r>
        <w:t>we</w:t>
      </w:r>
      <w:r w:rsidRPr="00AB33E3">
        <w:t xml:space="preserve">re under pressure (38 per cent) and stressed (30 per cent). About </w:t>
      </w:r>
      <w:r w:rsidRPr="00AB33E3">
        <w:lastRenderedPageBreak/>
        <w:t xml:space="preserve">60 </w:t>
      </w:r>
      <w:r>
        <w:t xml:space="preserve">per cent </w:t>
      </w:r>
      <w:r w:rsidRPr="00AB33E3">
        <w:t>of workers agree</w:t>
      </w:r>
      <w:r>
        <w:t>d</w:t>
      </w:r>
      <w:r w:rsidRPr="00AB33E3">
        <w:t xml:space="preserve"> that they ha</w:t>
      </w:r>
      <w:r>
        <w:t>d</w:t>
      </w:r>
      <w:r w:rsidRPr="00AB33E3">
        <w:t xml:space="preserve"> </w:t>
      </w:r>
      <w:r>
        <w:t>‘</w:t>
      </w:r>
      <w:r w:rsidRPr="00AB33E3">
        <w:t>enough time with each person accessing supports’ and ‘adequate continuity of contact with each person accessing supports’. About two thirds of workers agree</w:t>
      </w:r>
      <w:r>
        <w:t>d</w:t>
      </w:r>
      <w:r w:rsidRPr="00AB33E3">
        <w:t xml:space="preserve"> that they ha</w:t>
      </w:r>
      <w:r>
        <w:t>d</w:t>
      </w:r>
      <w:r w:rsidRPr="00AB33E3">
        <w:t xml:space="preserve"> </w:t>
      </w:r>
      <w:r>
        <w:t>‘</w:t>
      </w:r>
      <w:r w:rsidRPr="00AB33E3">
        <w:t>a lot freedom to do their work</w:t>
      </w:r>
      <w:r>
        <w:t>’</w:t>
      </w:r>
      <w:r w:rsidRPr="00AB33E3">
        <w:t xml:space="preserve"> and receive respect and acknowledgment</w:t>
      </w:r>
      <w:r>
        <w:t xml:space="preserve"> (‘I get the respect and acknowledgement I deserve for my efforts and achievements’)</w:t>
      </w:r>
      <w:r w:rsidRPr="00AB33E3">
        <w:t>. The disability care workforce show</w:t>
      </w:r>
      <w:r>
        <w:t>ed a</w:t>
      </w:r>
      <w:r w:rsidRPr="00AB33E3">
        <w:t xml:space="preserve"> high level of loyalty and pride in their workplace, with an average score of 5.7 </w:t>
      </w:r>
      <w:r>
        <w:t xml:space="preserve">(‘I feel loyal to this organisation’) </w:t>
      </w:r>
      <w:r w:rsidRPr="00AB33E3">
        <w:t xml:space="preserve">and 5.9 </w:t>
      </w:r>
      <w:r>
        <w:t xml:space="preserve">(‘I am proud to tell people who I work for’) </w:t>
      </w:r>
      <w:r w:rsidRPr="00AB33E3">
        <w:t xml:space="preserve">respectively. </w:t>
      </w:r>
    </w:p>
    <w:p w:rsidR="00685BE5" w:rsidRPr="00545770" w:rsidRDefault="00685BE5" w:rsidP="0044684E">
      <w:pPr>
        <w:pStyle w:val="NILSTableHeading"/>
        <w:rPr>
          <w:lang w:val="en-AU"/>
        </w:rPr>
      </w:pPr>
      <w:bookmarkStart w:id="671" w:name="_Toc425425118"/>
      <w:bookmarkStart w:id="672" w:name="_Toc428279248"/>
      <w:bookmarkStart w:id="673" w:name="_Toc449955379"/>
      <w:r w:rsidRPr="00AB33E3">
        <w:t xml:space="preserve">Table </w:t>
      </w:r>
      <w:r>
        <w:t>4.41</w:t>
      </w:r>
      <w:r w:rsidRPr="00AB33E3">
        <w:t xml:space="preserve">: </w:t>
      </w:r>
      <w:r w:rsidR="00545770">
        <w:t xml:space="preserve">Opinions about aspects of work </w:t>
      </w:r>
      <w:r w:rsidR="00545770">
        <w:rPr>
          <w:lang w:val="en-AU"/>
        </w:rPr>
        <w:t>[</w:t>
      </w:r>
      <w:r w:rsidRPr="00AB33E3">
        <w:t>1</w:t>
      </w:r>
      <w:r w:rsidR="00545770">
        <w:rPr>
          <w:lang w:val="en-AU"/>
        </w:rPr>
        <w:t xml:space="preserve"> to </w:t>
      </w:r>
      <w:r w:rsidRPr="00AB33E3">
        <w:t>7 disagree/agree scaling</w:t>
      </w:r>
      <w:bookmarkEnd w:id="671"/>
      <w:bookmarkEnd w:id="672"/>
      <w:r w:rsidR="00545770">
        <w:rPr>
          <w:lang w:val="en-AU"/>
        </w:rPr>
        <w:t>] (per cent)</w:t>
      </w:r>
      <w:bookmarkEnd w:id="673"/>
    </w:p>
    <w:tbl>
      <w:tblPr>
        <w:tblW w:w="9747" w:type="dxa"/>
        <w:tblLayout w:type="fixed"/>
        <w:tblLook w:val="04A0" w:firstRow="1" w:lastRow="0" w:firstColumn="1" w:lastColumn="0" w:noHBand="0" w:noVBand="1"/>
        <w:tblCaption w:val="Table 4.41 Opinions about aspects of work (1 to 7 disagree/agree scaling) "/>
      </w:tblPr>
      <w:tblGrid>
        <w:gridCol w:w="5674"/>
        <w:gridCol w:w="852"/>
        <w:gridCol w:w="567"/>
        <w:gridCol w:w="851"/>
        <w:gridCol w:w="1134"/>
        <w:gridCol w:w="669"/>
      </w:tblGrid>
      <w:tr w:rsidR="00685BE5" w:rsidRPr="000F2CD0" w:rsidTr="00B31AB3">
        <w:trPr>
          <w:tblHeader/>
        </w:trPr>
        <w:tc>
          <w:tcPr>
            <w:tcW w:w="5674" w:type="dxa"/>
            <w:tcBorders>
              <w:top w:val="single" w:sz="4" w:space="0" w:color="auto"/>
              <w:left w:val="nil"/>
              <w:right w:val="nil"/>
            </w:tcBorders>
            <w:shd w:val="clear" w:color="auto" w:fill="auto"/>
            <w:hideMark/>
          </w:tcPr>
          <w:p w:rsidR="00685BE5" w:rsidRPr="00E3331B" w:rsidRDefault="00685BE5" w:rsidP="00AE4C3A">
            <w:pPr>
              <w:spacing w:before="20" w:after="20"/>
              <w:rPr>
                <w:sz w:val="18"/>
                <w:szCs w:val="18"/>
              </w:rPr>
            </w:pPr>
            <w:bookmarkStart w:id="674" w:name="Title_4_41"/>
            <w:bookmarkEnd w:id="674"/>
          </w:p>
        </w:tc>
        <w:tc>
          <w:tcPr>
            <w:tcW w:w="852" w:type="dxa"/>
            <w:tcBorders>
              <w:top w:val="single" w:sz="4" w:space="0" w:color="auto"/>
              <w:left w:val="nil"/>
              <w:right w:val="nil"/>
            </w:tcBorders>
            <w:shd w:val="clear" w:color="auto" w:fill="auto"/>
            <w:noWrap/>
            <w:vAlign w:val="bottom"/>
            <w:hideMark/>
          </w:tcPr>
          <w:p w:rsidR="009E66FD" w:rsidRPr="00E3331B" w:rsidRDefault="00592921" w:rsidP="00024643">
            <w:pPr>
              <w:spacing w:before="20" w:after="20"/>
              <w:jc w:val="center"/>
              <w:rPr>
                <w:sz w:val="18"/>
                <w:szCs w:val="18"/>
              </w:rPr>
            </w:pPr>
            <w:r>
              <w:rPr>
                <w:sz w:val="18"/>
                <w:szCs w:val="18"/>
              </w:rPr>
              <w:t>Di</w:t>
            </w:r>
            <w:r w:rsidR="00685BE5" w:rsidRPr="00AE22E5">
              <w:rPr>
                <w:sz w:val="18"/>
                <w:szCs w:val="18"/>
              </w:rPr>
              <w:t>sagree</w:t>
            </w:r>
            <w:r w:rsidR="00685BE5" w:rsidRPr="000F2CD0">
              <w:rPr>
                <w:sz w:val="18"/>
                <w:szCs w:val="18"/>
              </w:rPr>
              <w:t xml:space="preserve"> </w:t>
            </w:r>
            <w:r w:rsidR="00685BE5" w:rsidRPr="00E3331B">
              <w:rPr>
                <w:sz w:val="18"/>
                <w:szCs w:val="18"/>
              </w:rPr>
              <w:t>1</w:t>
            </w:r>
            <w:r w:rsidR="00545770">
              <w:rPr>
                <w:sz w:val="18"/>
                <w:szCs w:val="18"/>
              </w:rPr>
              <w:t xml:space="preserve"> to </w:t>
            </w:r>
            <w:r w:rsidR="00685BE5" w:rsidRPr="00E3331B">
              <w:rPr>
                <w:sz w:val="18"/>
                <w:szCs w:val="18"/>
              </w:rPr>
              <w:t>3</w:t>
            </w:r>
          </w:p>
        </w:tc>
        <w:tc>
          <w:tcPr>
            <w:tcW w:w="567" w:type="dxa"/>
            <w:tcBorders>
              <w:top w:val="single" w:sz="4" w:space="0" w:color="auto"/>
              <w:left w:val="nil"/>
              <w:right w:val="nil"/>
            </w:tcBorders>
            <w:shd w:val="clear" w:color="auto" w:fill="auto"/>
            <w:noWrap/>
            <w:vAlign w:val="bottom"/>
            <w:hideMark/>
          </w:tcPr>
          <w:p w:rsidR="009E66FD" w:rsidRPr="00E3331B" w:rsidRDefault="00685BE5" w:rsidP="00024643">
            <w:pPr>
              <w:spacing w:before="20" w:after="20"/>
              <w:jc w:val="center"/>
              <w:rPr>
                <w:sz w:val="18"/>
                <w:szCs w:val="18"/>
              </w:rPr>
            </w:pPr>
            <w:r w:rsidRPr="00E3331B">
              <w:rPr>
                <w:sz w:val="18"/>
                <w:szCs w:val="18"/>
              </w:rPr>
              <w:t>4</w:t>
            </w:r>
          </w:p>
        </w:tc>
        <w:tc>
          <w:tcPr>
            <w:tcW w:w="851" w:type="dxa"/>
            <w:tcBorders>
              <w:top w:val="single" w:sz="4" w:space="0" w:color="auto"/>
              <w:left w:val="nil"/>
              <w:right w:val="nil"/>
            </w:tcBorders>
            <w:shd w:val="clear" w:color="auto" w:fill="auto"/>
            <w:noWrap/>
            <w:vAlign w:val="bottom"/>
            <w:hideMark/>
          </w:tcPr>
          <w:p w:rsidR="009E66FD" w:rsidRDefault="00685BE5" w:rsidP="009E66FD">
            <w:pPr>
              <w:spacing w:before="20" w:after="20"/>
              <w:jc w:val="center"/>
              <w:rPr>
                <w:sz w:val="18"/>
                <w:szCs w:val="18"/>
              </w:rPr>
            </w:pPr>
            <w:r>
              <w:rPr>
                <w:sz w:val="18"/>
                <w:szCs w:val="18"/>
              </w:rPr>
              <w:t>A</w:t>
            </w:r>
            <w:r w:rsidRPr="00FC4383">
              <w:rPr>
                <w:sz w:val="18"/>
                <w:szCs w:val="18"/>
              </w:rPr>
              <w:t>gree</w:t>
            </w:r>
          </w:p>
          <w:p w:rsidR="009E66FD" w:rsidRPr="00E3331B" w:rsidRDefault="00545770" w:rsidP="00024643">
            <w:pPr>
              <w:spacing w:before="20" w:after="20"/>
              <w:jc w:val="center"/>
              <w:rPr>
                <w:sz w:val="18"/>
                <w:szCs w:val="18"/>
              </w:rPr>
            </w:pPr>
            <w:r>
              <w:rPr>
                <w:sz w:val="18"/>
                <w:szCs w:val="18"/>
              </w:rPr>
              <w:t xml:space="preserve">5 to </w:t>
            </w:r>
            <w:r w:rsidR="00685BE5" w:rsidRPr="00E3331B">
              <w:rPr>
                <w:sz w:val="18"/>
                <w:szCs w:val="18"/>
              </w:rPr>
              <w:t>7</w:t>
            </w:r>
          </w:p>
        </w:tc>
        <w:tc>
          <w:tcPr>
            <w:tcW w:w="1134" w:type="dxa"/>
            <w:tcBorders>
              <w:top w:val="single" w:sz="4" w:space="0" w:color="auto"/>
              <w:left w:val="nil"/>
              <w:right w:val="nil"/>
            </w:tcBorders>
            <w:shd w:val="clear" w:color="auto" w:fill="auto"/>
            <w:vAlign w:val="bottom"/>
            <w:hideMark/>
          </w:tcPr>
          <w:p w:rsidR="00685BE5" w:rsidRPr="00E3331B" w:rsidRDefault="00685BE5" w:rsidP="00024643">
            <w:pPr>
              <w:spacing w:before="20" w:after="20"/>
              <w:ind w:right="-134" w:hanging="37"/>
              <w:jc w:val="center"/>
              <w:rPr>
                <w:sz w:val="18"/>
                <w:szCs w:val="18"/>
              </w:rPr>
            </w:pPr>
            <w:r w:rsidRPr="00E3331B">
              <w:rPr>
                <w:sz w:val="18"/>
                <w:szCs w:val="18"/>
              </w:rPr>
              <w:t>Question not answered</w:t>
            </w:r>
          </w:p>
        </w:tc>
        <w:tc>
          <w:tcPr>
            <w:tcW w:w="669" w:type="dxa"/>
            <w:tcBorders>
              <w:top w:val="single" w:sz="4" w:space="0" w:color="auto"/>
              <w:left w:val="nil"/>
              <w:right w:val="nil"/>
            </w:tcBorders>
            <w:shd w:val="clear" w:color="auto" w:fill="auto"/>
            <w:vAlign w:val="bottom"/>
            <w:hideMark/>
          </w:tcPr>
          <w:p w:rsidR="009E66FD" w:rsidRDefault="009E66FD" w:rsidP="009E66FD">
            <w:pPr>
              <w:spacing w:before="20" w:after="20"/>
              <w:jc w:val="center"/>
              <w:rPr>
                <w:sz w:val="18"/>
                <w:szCs w:val="18"/>
              </w:rPr>
            </w:pPr>
          </w:p>
          <w:p w:rsidR="009E66FD" w:rsidRPr="00E3331B" w:rsidRDefault="00685BE5" w:rsidP="00024643">
            <w:pPr>
              <w:spacing w:before="20" w:after="20"/>
              <w:jc w:val="center"/>
              <w:rPr>
                <w:sz w:val="18"/>
                <w:szCs w:val="18"/>
              </w:rPr>
            </w:pPr>
            <w:r w:rsidRPr="00E3331B">
              <w:rPr>
                <w:sz w:val="18"/>
                <w:szCs w:val="18"/>
              </w:rPr>
              <w:t>Mean</w:t>
            </w:r>
          </w:p>
        </w:tc>
      </w:tr>
      <w:tr w:rsidR="00685BE5" w:rsidRPr="000F2CD0" w:rsidTr="00B31AB3">
        <w:tc>
          <w:tcPr>
            <w:tcW w:w="5674" w:type="dxa"/>
            <w:tcBorders>
              <w:top w:val="single" w:sz="4" w:space="0" w:color="auto"/>
              <w:left w:val="nil"/>
              <w:bottom w:val="nil"/>
              <w:right w:val="nil"/>
            </w:tcBorders>
            <w:shd w:val="clear" w:color="auto" w:fill="auto"/>
            <w:hideMark/>
          </w:tcPr>
          <w:p w:rsidR="00685BE5" w:rsidRPr="00E3331B" w:rsidRDefault="00685BE5" w:rsidP="00AE4C3A">
            <w:pPr>
              <w:spacing w:before="20" w:after="20"/>
              <w:rPr>
                <w:sz w:val="18"/>
                <w:szCs w:val="18"/>
              </w:rPr>
            </w:pPr>
            <w:r w:rsidRPr="00E3331B">
              <w:rPr>
                <w:sz w:val="18"/>
                <w:szCs w:val="18"/>
              </w:rPr>
              <w:t>I spend enough time with each person accessing supports</w:t>
            </w:r>
          </w:p>
        </w:tc>
        <w:tc>
          <w:tcPr>
            <w:tcW w:w="852" w:type="dxa"/>
            <w:tcBorders>
              <w:top w:val="single" w:sz="4" w:space="0" w:color="auto"/>
              <w:left w:val="nil"/>
              <w:bottom w:val="nil"/>
              <w:right w:val="nil"/>
            </w:tcBorders>
            <w:shd w:val="clear" w:color="auto" w:fill="auto"/>
            <w:noWrap/>
            <w:hideMark/>
          </w:tcPr>
          <w:p w:rsidR="00685BE5" w:rsidRPr="00E3331B" w:rsidRDefault="00685BE5" w:rsidP="00AE4C3A">
            <w:pPr>
              <w:tabs>
                <w:tab w:val="decimal" w:pos="317"/>
              </w:tabs>
              <w:spacing w:before="20" w:after="20"/>
              <w:rPr>
                <w:sz w:val="18"/>
                <w:szCs w:val="18"/>
              </w:rPr>
            </w:pPr>
            <w:r w:rsidRPr="00E3331B">
              <w:rPr>
                <w:sz w:val="18"/>
                <w:szCs w:val="18"/>
              </w:rPr>
              <w:t>19.4</w:t>
            </w:r>
          </w:p>
        </w:tc>
        <w:tc>
          <w:tcPr>
            <w:tcW w:w="567" w:type="dxa"/>
            <w:tcBorders>
              <w:top w:val="single" w:sz="4" w:space="0" w:color="auto"/>
              <w:left w:val="nil"/>
              <w:bottom w:val="nil"/>
              <w:right w:val="nil"/>
            </w:tcBorders>
            <w:shd w:val="clear" w:color="auto" w:fill="auto"/>
            <w:noWrap/>
            <w:hideMark/>
          </w:tcPr>
          <w:p w:rsidR="00685BE5" w:rsidRPr="00E3331B" w:rsidRDefault="00685BE5" w:rsidP="00AE4C3A">
            <w:pPr>
              <w:tabs>
                <w:tab w:val="decimal" w:pos="317"/>
              </w:tabs>
              <w:spacing w:before="20" w:after="20"/>
              <w:rPr>
                <w:sz w:val="18"/>
                <w:szCs w:val="18"/>
              </w:rPr>
            </w:pPr>
            <w:r w:rsidRPr="00E3331B">
              <w:rPr>
                <w:sz w:val="18"/>
                <w:szCs w:val="18"/>
              </w:rPr>
              <w:t>17.8</w:t>
            </w:r>
          </w:p>
        </w:tc>
        <w:tc>
          <w:tcPr>
            <w:tcW w:w="851" w:type="dxa"/>
            <w:tcBorders>
              <w:top w:val="single" w:sz="4" w:space="0" w:color="auto"/>
              <w:left w:val="nil"/>
              <w:bottom w:val="nil"/>
              <w:right w:val="nil"/>
            </w:tcBorders>
            <w:shd w:val="clear" w:color="auto" w:fill="auto"/>
            <w:noWrap/>
            <w:hideMark/>
          </w:tcPr>
          <w:p w:rsidR="00685BE5" w:rsidRPr="00E3331B" w:rsidRDefault="00685BE5" w:rsidP="00AE4C3A">
            <w:pPr>
              <w:tabs>
                <w:tab w:val="decimal" w:pos="317"/>
              </w:tabs>
              <w:spacing w:before="20" w:after="20"/>
              <w:rPr>
                <w:sz w:val="18"/>
                <w:szCs w:val="18"/>
              </w:rPr>
            </w:pPr>
            <w:r w:rsidRPr="00E3331B">
              <w:rPr>
                <w:sz w:val="18"/>
                <w:szCs w:val="18"/>
              </w:rPr>
              <w:t>60.3</w:t>
            </w:r>
          </w:p>
        </w:tc>
        <w:tc>
          <w:tcPr>
            <w:tcW w:w="1134" w:type="dxa"/>
            <w:tcBorders>
              <w:top w:val="single" w:sz="4" w:space="0" w:color="auto"/>
              <w:left w:val="nil"/>
              <w:bottom w:val="nil"/>
              <w:right w:val="nil"/>
            </w:tcBorders>
            <w:shd w:val="clear" w:color="auto" w:fill="auto"/>
            <w:noWrap/>
            <w:hideMark/>
          </w:tcPr>
          <w:p w:rsidR="00685BE5" w:rsidRPr="00E3331B" w:rsidRDefault="00685BE5" w:rsidP="00AE4C3A">
            <w:pPr>
              <w:tabs>
                <w:tab w:val="decimal" w:pos="426"/>
              </w:tabs>
              <w:spacing w:before="20" w:after="20"/>
              <w:rPr>
                <w:sz w:val="18"/>
                <w:szCs w:val="18"/>
              </w:rPr>
            </w:pPr>
            <w:r w:rsidRPr="00E3331B">
              <w:rPr>
                <w:sz w:val="18"/>
                <w:szCs w:val="18"/>
              </w:rPr>
              <w:t>2.5</w:t>
            </w:r>
          </w:p>
        </w:tc>
        <w:tc>
          <w:tcPr>
            <w:tcW w:w="669" w:type="dxa"/>
            <w:tcBorders>
              <w:top w:val="single" w:sz="4" w:space="0" w:color="auto"/>
              <w:left w:val="nil"/>
              <w:bottom w:val="nil"/>
              <w:right w:val="nil"/>
            </w:tcBorders>
            <w:shd w:val="clear" w:color="auto" w:fill="auto"/>
            <w:hideMark/>
          </w:tcPr>
          <w:p w:rsidR="00685BE5" w:rsidRPr="00E3331B" w:rsidRDefault="00685BE5" w:rsidP="00854F0F">
            <w:pPr>
              <w:tabs>
                <w:tab w:val="decimal" w:pos="175"/>
              </w:tabs>
              <w:spacing w:before="20" w:after="20"/>
              <w:rPr>
                <w:rFonts w:ascii="Calibri" w:eastAsia="Times New Roman" w:hAnsi="Calibri" w:cs="Calibri"/>
                <w:sz w:val="18"/>
                <w:szCs w:val="18"/>
                <w:lang w:eastAsia="zh-CN"/>
              </w:rPr>
            </w:pPr>
            <w:r w:rsidRPr="00E3331B">
              <w:rPr>
                <w:rFonts w:ascii="Calibri" w:eastAsia="Times New Roman" w:hAnsi="Calibri" w:cs="Calibri"/>
                <w:sz w:val="18"/>
                <w:szCs w:val="18"/>
                <w:lang w:eastAsia="zh-CN"/>
              </w:rPr>
              <w:t>4.8</w:t>
            </w:r>
          </w:p>
        </w:tc>
      </w:tr>
      <w:tr w:rsidR="00685BE5" w:rsidRPr="000F2CD0" w:rsidTr="00B31AB3">
        <w:tc>
          <w:tcPr>
            <w:tcW w:w="5674" w:type="dxa"/>
            <w:tcBorders>
              <w:top w:val="nil"/>
              <w:left w:val="nil"/>
              <w:bottom w:val="nil"/>
              <w:right w:val="nil"/>
            </w:tcBorders>
            <w:shd w:val="clear" w:color="auto" w:fill="auto"/>
            <w:hideMark/>
          </w:tcPr>
          <w:p w:rsidR="00685BE5" w:rsidRPr="00E3331B" w:rsidRDefault="00685BE5" w:rsidP="00AE4C3A">
            <w:pPr>
              <w:spacing w:before="20" w:after="20"/>
              <w:rPr>
                <w:sz w:val="18"/>
                <w:szCs w:val="18"/>
              </w:rPr>
            </w:pPr>
            <w:r w:rsidRPr="00E3331B">
              <w:rPr>
                <w:sz w:val="18"/>
                <w:szCs w:val="18"/>
              </w:rPr>
              <w:t>I have adequate continuity of contact with each person accessing supports</w:t>
            </w:r>
          </w:p>
        </w:tc>
        <w:tc>
          <w:tcPr>
            <w:tcW w:w="852" w:type="dxa"/>
            <w:tcBorders>
              <w:top w:val="nil"/>
              <w:left w:val="nil"/>
              <w:bottom w:val="nil"/>
              <w:right w:val="nil"/>
            </w:tcBorders>
            <w:shd w:val="clear" w:color="auto" w:fill="auto"/>
            <w:noWrap/>
            <w:hideMark/>
          </w:tcPr>
          <w:p w:rsidR="00685BE5" w:rsidRPr="00E3331B" w:rsidRDefault="00685BE5" w:rsidP="00AE4C3A">
            <w:pPr>
              <w:tabs>
                <w:tab w:val="decimal" w:pos="317"/>
              </w:tabs>
              <w:spacing w:before="20" w:after="20"/>
              <w:rPr>
                <w:sz w:val="18"/>
                <w:szCs w:val="18"/>
              </w:rPr>
            </w:pPr>
            <w:r w:rsidRPr="00E3331B">
              <w:rPr>
                <w:sz w:val="18"/>
                <w:szCs w:val="18"/>
              </w:rPr>
              <w:t>16.5</w:t>
            </w:r>
          </w:p>
        </w:tc>
        <w:tc>
          <w:tcPr>
            <w:tcW w:w="567" w:type="dxa"/>
            <w:tcBorders>
              <w:top w:val="nil"/>
              <w:left w:val="nil"/>
              <w:bottom w:val="nil"/>
              <w:right w:val="nil"/>
            </w:tcBorders>
            <w:shd w:val="clear" w:color="auto" w:fill="auto"/>
            <w:noWrap/>
            <w:hideMark/>
          </w:tcPr>
          <w:p w:rsidR="00685BE5" w:rsidRPr="00E3331B" w:rsidRDefault="00685BE5">
            <w:pPr>
              <w:tabs>
                <w:tab w:val="decimal" w:pos="317"/>
              </w:tabs>
              <w:spacing w:before="20" w:after="20"/>
              <w:rPr>
                <w:sz w:val="18"/>
                <w:szCs w:val="18"/>
              </w:rPr>
            </w:pPr>
            <w:r w:rsidRPr="00E3331B">
              <w:rPr>
                <w:sz w:val="18"/>
                <w:szCs w:val="18"/>
              </w:rPr>
              <w:t>18.</w:t>
            </w:r>
            <w:r>
              <w:rPr>
                <w:sz w:val="18"/>
                <w:szCs w:val="18"/>
              </w:rPr>
              <w:t>8</w:t>
            </w:r>
          </w:p>
        </w:tc>
        <w:tc>
          <w:tcPr>
            <w:tcW w:w="851" w:type="dxa"/>
            <w:tcBorders>
              <w:top w:val="nil"/>
              <w:left w:val="nil"/>
              <w:bottom w:val="nil"/>
              <w:right w:val="nil"/>
            </w:tcBorders>
            <w:shd w:val="clear" w:color="auto" w:fill="auto"/>
            <w:noWrap/>
            <w:hideMark/>
          </w:tcPr>
          <w:p w:rsidR="00685BE5" w:rsidRPr="00E3331B" w:rsidRDefault="00685BE5">
            <w:pPr>
              <w:tabs>
                <w:tab w:val="decimal" w:pos="317"/>
              </w:tabs>
              <w:spacing w:before="20" w:after="20"/>
              <w:rPr>
                <w:sz w:val="18"/>
                <w:szCs w:val="18"/>
              </w:rPr>
            </w:pPr>
            <w:r w:rsidRPr="00E3331B">
              <w:rPr>
                <w:sz w:val="18"/>
                <w:szCs w:val="18"/>
              </w:rPr>
              <w:t>62.</w:t>
            </w:r>
            <w:r>
              <w:rPr>
                <w:sz w:val="18"/>
                <w:szCs w:val="18"/>
              </w:rPr>
              <w:t>0</w:t>
            </w:r>
          </w:p>
        </w:tc>
        <w:tc>
          <w:tcPr>
            <w:tcW w:w="1134" w:type="dxa"/>
            <w:tcBorders>
              <w:top w:val="nil"/>
              <w:left w:val="nil"/>
              <w:bottom w:val="nil"/>
              <w:right w:val="nil"/>
            </w:tcBorders>
            <w:shd w:val="clear" w:color="auto" w:fill="auto"/>
            <w:noWrap/>
            <w:hideMark/>
          </w:tcPr>
          <w:p w:rsidR="00685BE5" w:rsidRPr="00E3331B" w:rsidRDefault="00685BE5" w:rsidP="00AE4C3A">
            <w:pPr>
              <w:tabs>
                <w:tab w:val="decimal" w:pos="426"/>
              </w:tabs>
              <w:spacing w:before="20" w:after="20"/>
              <w:rPr>
                <w:sz w:val="18"/>
                <w:szCs w:val="18"/>
              </w:rPr>
            </w:pPr>
            <w:r w:rsidRPr="00E3331B">
              <w:rPr>
                <w:sz w:val="18"/>
                <w:szCs w:val="18"/>
              </w:rPr>
              <w:t>2.7</w:t>
            </w:r>
          </w:p>
        </w:tc>
        <w:tc>
          <w:tcPr>
            <w:tcW w:w="669" w:type="dxa"/>
            <w:tcBorders>
              <w:top w:val="nil"/>
              <w:left w:val="nil"/>
              <w:bottom w:val="nil"/>
              <w:right w:val="nil"/>
            </w:tcBorders>
            <w:shd w:val="clear" w:color="auto" w:fill="auto"/>
            <w:hideMark/>
          </w:tcPr>
          <w:p w:rsidR="00685BE5" w:rsidRPr="00E3331B" w:rsidRDefault="00685BE5" w:rsidP="00854F0F">
            <w:pPr>
              <w:tabs>
                <w:tab w:val="decimal" w:pos="175"/>
              </w:tabs>
              <w:spacing w:before="20" w:after="20"/>
              <w:rPr>
                <w:rFonts w:ascii="Calibri" w:eastAsia="Times New Roman" w:hAnsi="Calibri" w:cs="Calibri"/>
                <w:sz w:val="18"/>
                <w:szCs w:val="18"/>
                <w:lang w:eastAsia="zh-CN"/>
              </w:rPr>
            </w:pPr>
            <w:r w:rsidRPr="00E3331B">
              <w:rPr>
                <w:rFonts w:ascii="Calibri" w:eastAsia="Times New Roman" w:hAnsi="Calibri" w:cs="Calibri"/>
                <w:sz w:val="18"/>
                <w:szCs w:val="18"/>
                <w:lang w:eastAsia="zh-CN"/>
              </w:rPr>
              <w:t>4.9</w:t>
            </w:r>
          </w:p>
        </w:tc>
      </w:tr>
      <w:tr w:rsidR="00685BE5" w:rsidRPr="000F2CD0" w:rsidTr="00B31AB3">
        <w:tc>
          <w:tcPr>
            <w:tcW w:w="5674" w:type="dxa"/>
            <w:tcBorders>
              <w:top w:val="nil"/>
              <w:left w:val="nil"/>
              <w:bottom w:val="nil"/>
              <w:right w:val="nil"/>
            </w:tcBorders>
            <w:shd w:val="clear" w:color="auto" w:fill="auto"/>
            <w:hideMark/>
          </w:tcPr>
          <w:p w:rsidR="00685BE5" w:rsidRPr="00E3331B" w:rsidRDefault="00685BE5" w:rsidP="00AE4C3A">
            <w:pPr>
              <w:spacing w:before="20" w:after="20"/>
              <w:rPr>
                <w:sz w:val="18"/>
                <w:szCs w:val="18"/>
              </w:rPr>
            </w:pPr>
            <w:r w:rsidRPr="00E3331B">
              <w:rPr>
                <w:sz w:val="18"/>
                <w:szCs w:val="18"/>
              </w:rPr>
              <w:t>I have the skills and abilities I need to do my job</w:t>
            </w:r>
          </w:p>
        </w:tc>
        <w:tc>
          <w:tcPr>
            <w:tcW w:w="852" w:type="dxa"/>
            <w:tcBorders>
              <w:top w:val="nil"/>
              <w:left w:val="nil"/>
              <w:bottom w:val="nil"/>
              <w:right w:val="nil"/>
            </w:tcBorders>
            <w:shd w:val="clear" w:color="auto" w:fill="auto"/>
            <w:noWrap/>
            <w:hideMark/>
          </w:tcPr>
          <w:p w:rsidR="00685BE5" w:rsidRPr="00E3331B" w:rsidRDefault="00685BE5" w:rsidP="00AE4C3A">
            <w:pPr>
              <w:tabs>
                <w:tab w:val="decimal" w:pos="317"/>
              </w:tabs>
              <w:spacing w:before="20" w:after="20"/>
              <w:rPr>
                <w:sz w:val="18"/>
                <w:szCs w:val="18"/>
              </w:rPr>
            </w:pPr>
            <w:r>
              <w:rPr>
                <w:sz w:val="18"/>
                <w:szCs w:val="18"/>
              </w:rPr>
              <w:t>2.0</w:t>
            </w:r>
          </w:p>
        </w:tc>
        <w:tc>
          <w:tcPr>
            <w:tcW w:w="567" w:type="dxa"/>
            <w:tcBorders>
              <w:top w:val="nil"/>
              <w:left w:val="nil"/>
              <w:bottom w:val="nil"/>
              <w:right w:val="nil"/>
            </w:tcBorders>
            <w:shd w:val="clear" w:color="auto" w:fill="auto"/>
            <w:noWrap/>
            <w:hideMark/>
          </w:tcPr>
          <w:p w:rsidR="00685BE5" w:rsidRPr="00E3331B" w:rsidRDefault="00685BE5" w:rsidP="00AE4C3A">
            <w:pPr>
              <w:tabs>
                <w:tab w:val="decimal" w:pos="317"/>
              </w:tabs>
              <w:spacing w:before="20" w:after="20"/>
              <w:rPr>
                <w:sz w:val="18"/>
                <w:szCs w:val="18"/>
              </w:rPr>
            </w:pPr>
            <w:r w:rsidRPr="00E3331B">
              <w:rPr>
                <w:sz w:val="18"/>
                <w:szCs w:val="18"/>
              </w:rPr>
              <w:t>5.9</w:t>
            </w:r>
          </w:p>
        </w:tc>
        <w:tc>
          <w:tcPr>
            <w:tcW w:w="851" w:type="dxa"/>
            <w:tcBorders>
              <w:top w:val="nil"/>
              <w:left w:val="nil"/>
              <w:bottom w:val="nil"/>
              <w:right w:val="nil"/>
            </w:tcBorders>
            <w:shd w:val="clear" w:color="auto" w:fill="auto"/>
            <w:noWrap/>
            <w:hideMark/>
          </w:tcPr>
          <w:p w:rsidR="00685BE5" w:rsidRPr="00E3331B" w:rsidRDefault="00685BE5" w:rsidP="00AE4C3A">
            <w:pPr>
              <w:tabs>
                <w:tab w:val="decimal" w:pos="317"/>
              </w:tabs>
              <w:spacing w:before="20" w:after="20"/>
              <w:rPr>
                <w:sz w:val="18"/>
                <w:szCs w:val="18"/>
              </w:rPr>
            </w:pPr>
            <w:r w:rsidRPr="00E3331B">
              <w:rPr>
                <w:sz w:val="18"/>
                <w:szCs w:val="18"/>
              </w:rPr>
              <w:t>90.7</w:t>
            </w:r>
          </w:p>
        </w:tc>
        <w:tc>
          <w:tcPr>
            <w:tcW w:w="1134" w:type="dxa"/>
            <w:tcBorders>
              <w:top w:val="nil"/>
              <w:left w:val="nil"/>
              <w:bottom w:val="nil"/>
              <w:right w:val="nil"/>
            </w:tcBorders>
            <w:shd w:val="clear" w:color="auto" w:fill="auto"/>
            <w:noWrap/>
            <w:hideMark/>
          </w:tcPr>
          <w:p w:rsidR="00685BE5" w:rsidRPr="00E3331B" w:rsidRDefault="00685BE5" w:rsidP="00AE4C3A">
            <w:pPr>
              <w:tabs>
                <w:tab w:val="decimal" w:pos="426"/>
              </w:tabs>
              <w:spacing w:before="20" w:after="20"/>
              <w:rPr>
                <w:sz w:val="18"/>
                <w:szCs w:val="18"/>
              </w:rPr>
            </w:pPr>
            <w:r w:rsidRPr="00E3331B">
              <w:rPr>
                <w:sz w:val="18"/>
                <w:szCs w:val="18"/>
              </w:rPr>
              <w:t>1.4</w:t>
            </w:r>
          </w:p>
        </w:tc>
        <w:tc>
          <w:tcPr>
            <w:tcW w:w="669" w:type="dxa"/>
            <w:tcBorders>
              <w:top w:val="nil"/>
              <w:left w:val="nil"/>
              <w:bottom w:val="nil"/>
              <w:right w:val="nil"/>
            </w:tcBorders>
            <w:shd w:val="clear" w:color="auto" w:fill="auto"/>
            <w:hideMark/>
          </w:tcPr>
          <w:p w:rsidR="00685BE5" w:rsidRPr="00E3331B" w:rsidRDefault="00685BE5" w:rsidP="00854F0F">
            <w:pPr>
              <w:tabs>
                <w:tab w:val="decimal" w:pos="175"/>
              </w:tabs>
              <w:spacing w:before="20" w:after="20"/>
              <w:rPr>
                <w:rFonts w:ascii="Calibri" w:eastAsia="Times New Roman" w:hAnsi="Calibri" w:cs="Calibri"/>
                <w:sz w:val="18"/>
                <w:szCs w:val="18"/>
                <w:lang w:eastAsia="zh-CN"/>
              </w:rPr>
            </w:pPr>
            <w:r w:rsidRPr="00E3331B">
              <w:rPr>
                <w:rFonts w:ascii="Calibri" w:eastAsia="Times New Roman" w:hAnsi="Calibri" w:cs="Calibri"/>
                <w:sz w:val="18"/>
                <w:szCs w:val="18"/>
                <w:lang w:eastAsia="zh-CN"/>
              </w:rPr>
              <w:t>6.0</w:t>
            </w:r>
          </w:p>
        </w:tc>
      </w:tr>
      <w:tr w:rsidR="00685BE5" w:rsidRPr="000F2CD0" w:rsidTr="00B31AB3">
        <w:tc>
          <w:tcPr>
            <w:tcW w:w="5674" w:type="dxa"/>
            <w:tcBorders>
              <w:top w:val="nil"/>
              <w:left w:val="nil"/>
              <w:bottom w:val="nil"/>
              <w:right w:val="nil"/>
            </w:tcBorders>
            <w:shd w:val="clear" w:color="auto" w:fill="auto"/>
            <w:hideMark/>
          </w:tcPr>
          <w:p w:rsidR="00685BE5" w:rsidRPr="00E3331B" w:rsidRDefault="00685BE5" w:rsidP="00AE4C3A">
            <w:pPr>
              <w:spacing w:before="20" w:after="20"/>
              <w:rPr>
                <w:sz w:val="18"/>
                <w:szCs w:val="18"/>
              </w:rPr>
            </w:pPr>
            <w:r w:rsidRPr="00E3331B">
              <w:rPr>
                <w:sz w:val="18"/>
                <w:szCs w:val="18"/>
              </w:rPr>
              <w:t>I use many of my skills and abilities in my job</w:t>
            </w:r>
          </w:p>
        </w:tc>
        <w:tc>
          <w:tcPr>
            <w:tcW w:w="852" w:type="dxa"/>
            <w:tcBorders>
              <w:top w:val="nil"/>
              <w:left w:val="nil"/>
              <w:bottom w:val="nil"/>
              <w:right w:val="nil"/>
            </w:tcBorders>
            <w:shd w:val="clear" w:color="auto" w:fill="auto"/>
            <w:noWrap/>
            <w:hideMark/>
          </w:tcPr>
          <w:p w:rsidR="00685BE5" w:rsidRPr="00E3331B" w:rsidRDefault="00685BE5" w:rsidP="00AE4C3A">
            <w:pPr>
              <w:tabs>
                <w:tab w:val="decimal" w:pos="317"/>
              </w:tabs>
              <w:spacing w:before="20" w:after="20"/>
              <w:rPr>
                <w:sz w:val="18"/>
                <w:szCs w:val="18"/>
              </w:rPr>
            </w:pPr>
            <w:r w:rsidRPr="00E3331B">
              <w:rPr>
                <w:sz w:val="18"/>
                <w:szCs w:val="18"/>
              </w:rPr>
              <w:t>2.1</w:t>
            </w:r>
          </w:p>
        </w:tc>
        <w:tc>
          <w:tcPr>
            <w:tcW w:w="567" w:type="dxa"/>
            <w:tcBorders>
              <w:top w:val="nil"/>
              <w:left w:val="nil"/>
              <w:bottom w:val="nil"/>
              <w:right w:val="nil"/>
            </w:tcBorders>
            <w:shd w:val="clear" w:color="auto" w:fill="auto"/>
            <w:noWrap/>
            <w:hideMark/>
          </w:tcPr>
          <w:p w:rsidR="00685BE5" w:rsidRPr="00E3331B" w:rsidRDefault="00685BE5" w:rsidP="00AE4C3A">
            <w:pPr>
              <w:tabs>
                <w:tab w:val="decimal" w:pos="317"/>
              </w:tabs>
              <w:spacing w:before="20" w:after="20"/>
              <w:rPr>
                <w:sz w:val="18"/>
                <w:szCs w:val="18"/>
              </w:rPr>
            </w:pPr>
            <w:r w:rsidRPr="00E3331B">
              <w:rPr>
                <w:sz w:val="18"/>
                <w:szCs w:val="18"/>
              </w:rPr>
              <w:t>4.9</w:t>
            </w:r>
          </w:p>
        </w:tc>
        <w:tc>
          <w:tcPr>
            <w:tcW w:w="851" w:type="dxa"/>
            <w:tcBorders>
              <w:top w:val="nil"/>
              <w:left w:val="nil"/>
              <w:bottom w:val="nil"/>
              <w:right w:val="nil"/>
            </w:tcBorders>
            <w:shd w:val="clear" w:color="auto" w:fill="auto"/>
            <w:noWrap/>
            <w:hideMark/>
          </w:tcPr>
          <w:p w:rsidR="00685BE5" w:rsidRPr="00E3331B" w:rsidRDefault="00685BE5" w:rsidP="00AE4C3A">
            <w:pPr>
              <w:tabs>
                <w:tab w:val="decimal" w:pos="317"/>
              </w:tabs>
              <w:spacing w:before="20" w:after="20"/>
              <w:rPr>
                <w:sz w:val="18"/>
                <w:szCs w:val="18"/>
              </w:rPr>
            </w:pPr>
            <w:r w:rsidRPr="00E3331B">
              <w:rPr>
                <w:sz w:val="18"/>
                <w:szCs w:val="18"/>
              </w:rPr>
              <w:t>91.0</w:t>
            </w:r>
          </w:p>
        </w:tc>
        <w:tc>
          <w:tcPr>
            <w:tcW w:w="1134" w:type="dxa"/>
            <w:tcBorders>
              <w:top w:val="nil"/>
              <w:left w:val="nil"/>
              <w:bottom w:val="nil"/>
              <w:right w:val="nil"/>
            </w:tcBorders>
            <w:shd w:val="clear" w:color="auto" w:fill="auto"/>
            <w:noWrap/>
            <w:hideMark/>
          </w:tcPr>
          <w:p w:rsidR="00685BE5" w:rsidRPr="00E3331B" w:rsidRDefault="00685BE5" w:rsidP="00AE4C3A">
            <w:pPr>
              <w:tabs>
                <w:tab w:val="decimal" w:pos="426"/>
              </w:tabs>
              <w:spacing w:before="20" w:after="20"/>
              <w:rPr>
                <w:sz w:val="18"/>
                <w:szCs w:val="18"/>
              </w:rPr>
            </w:pPr>
            <w:r w:rsidRPr="00E3331B">
              <w:rPr>
                <w:sz w:val="18"/>
                <w:szCs w:val="18"/>
              </w:rPr>
              <w:t>2.0</w:t>
            </w:r>
          </w:p>
        </w:tc>
        <w:tc>
          <w:tcPr>
            <w:tcW w:w="669" w:type="dxa"/>
            <w:tcBorders>
              <w:top w:val="nil"/>
              <w:left w:val="nil"/>
              <w:bottom w:val="nil"/>
              <w:right w:val="nil"/>
            </w:tcBorders>
            <w:shd w:val="clear" w:color="auto" w:fill="auto"/>
            <w:hideMark/>
          </w:tcPr>
          <w:p w:rsidR="00685BE5" w:rsidRPr="00E3331B" w:rsidRDefault="00685BE5" w:rsidP="00854F0F">
            <w:pPr>
              <w:tabs>
                <w:tab w:val="decimal" w:pos="175"/>
              </w:tabs>
              <w:spacing w:before="20" w:after="20"/>
              <w:rPr>
                <w:rFonts w:ascii="Calibri" w:eastAsia="Times New Roman" w:hAnsi="Calibri" w:cs="Calibri"/>
                <w:sz w:val="18"/>
                <w:szCs w:val="18"/>
                <w:lang w:eastAsia="zh-CN"/>
              </w:rPr>
            </w:pPr>
            <w:r w:rsidRPr="00E3331B">
              <w:rPr>
                <w:rFonts w:ascii="Calibri" w:eastAsia="Times New Roman" w:hAnsi="Calibri" w:cs="Calibri"/>
                <w:sz w:val="18"/>
                <w:szCs w:val="18"/>
                <w:lang w:eastAsia="zh-CN"/>
              </w:rPr>
              <w:t>6.1</w:t>
            </w:r>
          </w:p>
        </w:tc>
      </w:tr>
      <w:tr w:rsidR="00685BE5" w:rsidRPr="000F2CD0" w:rsidTr="00B31AB3">
        <w:tc>
          <w:tcPr>
            <w:tcW w:w="5674" w:type="dxa"/>
            <w:tcBorders>
              <w:top w:val="nil"/>
              <w:left w:val="nil"/>
              <w:bottom w:val="nil"/>
              <w:right w:val="nil"/>
            </w:tcBorders>
            <w:shd w:val="clear" w:color="auto" w:fill="auto"/>
            <w:hideMark/>
          </w:tcPr>
          <w:p w:rsidR="00685BE5" w:rsidRPr="00E3331B" w:rsidRDefault="00685BE5" w:rsidP="00AE4C3A">
            <w:pPr>
              <w:spacing w:before="20" w:after="20"/>
              <w:rPr>
                <w:sz w:val="18"/>
                <w:szCs w:val="18"/>
              </w:rPr>
            </w:pPr>
            <w:r w:rsidRPr="00E3331B">
              <w:rPr>
                <w:sz w:val="18"/>
                <w:szCs w:val="18"/>
              </w:rPr>
              <w:t>I have a higher qualification than the one required for my job</w:t>
            </w:r>
          </w:p>
        </w:tc>
        <w:tc>
          <w:tcPr>
            <w:tcW w:w="852" w:type="dxa"/>
            <w:tcBorders>
              <w:top w:val="nil"/>
              <w:left w:val="nil"/>
              <w:bottom w:val="nil"/>
              <w:right w:val="nil"/>
            </w:tcBorders>
            <w:shd w:val="clear" w:color="auto" w:fill="auto"/>
            <w:noWrap/>
            <w:hideMark/>
          </w:tcPr>
          <w:p w:rsidR="00685BE5" w:rsidRPr="00E3331B" w:rsidRDefault="00685BE5" w:rsidP="00AE4C3A">
            <w:pPr>
              <w:tabs>
                <w:tab w:val="decimal" w:pos="317"/>
              </w:tabs>
              <w:spacing w:before="20" w:after="20"/>
              <w:rPr>
                <w:sz w:val="18"/>
                <w:szCs w:val="18"/>
              </w:rPr>
            </w:pPr>
            <w:r w:rsidRPr="00E3331B">
              <w:rPr>
                <w:sz w:val="18"/>
                <w:szCs w:val="18"/>
              </w:rPr>
              <w:t>36.2</w:t>
            </w:r>
          </w:p>
        </w:tc>
        <w:tc>
          <w:tcPr>
            <w:tcW w:w="567" w:type="dxa"/>
            <w:tcBorders>
              <w:top w:val="nil"/>
              <w:left w:val="nil"/>
              <w:bottom w:val="nil"/>
              <w:right w:val="nil"/>
            </w:tcBorders>
            <w:shd w:val="clear" w:color="auto" w:fill="auto"/>
            <w:noWrap/>
            <w:hideMark/>
          </w:tcPr>
          <w:p w:rsidR="00685BE5" w:rsidRPr="00E3331B" w:rsidRDefault="00685BE5" w:rsidP="00AE4C3A">
            <w:pPr>
              <w:tabs>
                <w:tab w:val="decimal" w:pos="317"/>
              </w:tabs>
              <w:spacing w:before="20" w:after="20"/>
              <w:rPr>
                <w:sz w:val="18"/>
                <w:szCs w:val="18"/>
              </w:rPr>
            </w:pPr>
            <w:r w:rsidRPr="00E3331B">
              <w:rPr>
                <w:sz w:val="18"/>
                <w:szCs w:val="18"/>
              </w:rPr>
              <w:t>19.7</w:t>
            </w:r>
          </w:p>
        </w:tc>
        <w:tc>
          <w:tcPr>
            <w:tcW w:w="851" w:type="dxa"/>
            <w:tcBorders>
              <w:top w:val="nil"/>
              <w:left w:val="nil"/>
              <w:bottom w:val="nil"/>
              <w:right w:val="nil"/>
            </w:tcBorders>
            <w:shd w:val="clear" w:color="auto" w:fill="auto"/>
            <w:noWrap/>
            <w:hideMark/>
          </w:tcPr>
          <w:p w:rsidR="00685BE5" w:rsidRPr="00E3331B" w:rsidRDefault="00685BE5" w:rsidP="00AE4C3A">
            <w:pPr>
              <w:tabs>
                <w:tab w:val="decimal" w:pos="317"/>
              </w:tabs>
              <w:spacing w:before="20" w:after="20"/>
              <w:rPr>
                <w:sz w:val="18"/>
                <w:szCs w:val="18"/>
              </w:rPr>
            </w:pPr>
            <w:r w:rsidRPr="00E3331B">
              <w:rPr>
                <w:sz w:val="18"/>
                <w:szCs w:val="18"/>
              </w:rPr>
              <w:t>42.0</w:t>
            </w:r>
          </w:p>
        </w:tc>
        <w:tc>
          <w:tcPr>
            <w:tcW w:w="1134" w:type="dxa"/>
            <w:tcBorders>
              <w:top w:val="nil"/>
              <w:left w:val="nil"/>
              <w:bottom w:val="nil"/>
              <w:right w:val="nil"/>
            </w:tcBorders>
            <w:shd w:val="clear" w:color="auto" w:fill="auto"/>
            <w:noWrap/>
            <w:hideMark/>
          </w:tcPr>
          <w:p w:rsidR="00685BE5" w:rsidRPr="00E3331B" w:rsidRDefault="00685BE5" w:rsidP="00AE4C3A">
            <w:pPr>
              <w:tabs>
                <w:tab w:val="decimal" w:pos="426"/>
              </w:tabs>
              <w:spacing w:before="20" w:after="20"/>
              <w:rPr>
                <w:sz w:val="18"/>
                <w:szCs w:val="18"/>
              </w:rPr>
            </w:pPr>
            <w:r w:rsidRPr="00E3331B">
              <w:rPr>
                <w:sz w:val="18"/>
                <w:szCs w:val="18"/>
              </w:rPr>
              <w:t>2.2</w:t>
            </w:r>
          </w:p>
        </w:tc>
        <w:tc>
          <w:tcPr>
            <w:tcW w:w="669" w:type="dxa"/>
            <w:tcBorders>
              <w:top w:val="nil"/>
              <w:left w:val="nil"/>
              <w:bottom w:val="nil"/>
              <w:right w:val="nil"/>
            </w:tcBorders>
            <w:shd w:val="clear" w:color="auto" w:fill="auto"/>
            <w:hideMark/>
          </w:tcPr>
          <w:p w:rsidR="00685BE5" w:rsidRPr="00E3331B" w:rsidRDefault="00685BE5" w:rsidP="00854F0F">
            <w:pPr>
              <w:tabs>
                <w:tab w:val="decimal" w:pos="175"/>
              </w:tabs>
              <w:spacing w:before="20" w:after="20"/>
              <w:rPr>
                <w:rFonts w:ascii="Calibri" w:eastAsia="Times New Roman" w:hAnsi="Calibri" w:cs="Calibri"/>
                <w:sz w:val="18"/>
                <w:szCs w:val="18"/>
                <w:lang w:eastAsia="zh-CN"/>
              </w:rPr>
            </w:pPr>
            <w:r w:rsidRPr="00E3331B">
              <w:rPr>
                <w:rFonts w:ascii="Calibri" w:eastAsia="Times New Roman" w:hAnsi="Calibri" w:cs="Calibri"/>
                <w:sz w:val="18"/>
                <w:szCs w:val="18"/>
                <w:lang w:eastAsia="zh-CN"/>
              </w:rPr>
              <w:t>4.1</w:t>
            </w:r>
          </w:p>
        </w:tc>
      </w:tr>
      <w:tr w:rsidR="00685BE5" w:rsidRPr="000F2CD0" w:rsidTr="00B31AB3">
        <w:tc>
          <w:tcPr>
            <w:tcW w:w="5674" w:type="dxa"/>
            <w:tcBorders>
              <w:top w:val="nil"/>
              <w:left w:val="nil"/>
              <w:bottom w:val="nil"/>
              <w:right w:val="nil"/>
            </w:tcBorders>
            <w:shd w:val="clear" w:color="auto" w:fill="auto"/>
            <w:hideMark/>
          </w:tcPr>
          <w:p w:rsidR="00685BE5" w:rsidRPr="00E3331B" w:rsidRDefault="00685BE5" w:rsidP="00AE4C3A">
            <w:pPr>
              <w:spacing w:before="20" w:after="20"/>
              <w:rPr>
                <w:sz w:val="18"/>
                <w:szCs w:val="18"/>
              </w:rPr>
            </w:pPr>
            <w:r w:rsidRPr="00E3331B">
              <w:rPr>
                <w:sz w:val="18"/>
                <w:szCs w:val="18"/>
              </w:rPr>
              <w:t>I have a lot of freedom to decide how I do my work</w:t>
            </w:r>
          </w:p>
        </w:tc>
        <w:tc>
          <w:tcPr>
            <w:tcW w:w="852" w:type="dxa"/>
            <w:tcBorders>
              <w:top w:val="nil"/>
              <w:left w:val="nil"/>
              <w:bottom w:val="nil"/>
              <w:right w:val="nil"/>
            </w:tcBorders>
            <w:shd w:val="clear" w:color="auto" w:fill="auto"/>
            <w:noWrap/>
            <w:hideMark/>
          </w:tcPr>
          <w:p w:rsidR="00685BE5" w:rsidRPr="00E3331B" w:rsidRDefault="00685BE5" w:rsidP="00AE4C3A">
            <w:pPr>
              <w:tabs>
                <w:tab w:val="decimal" w:pos="317"/>
              </w:tabs>
              <w:spacing w:before="20" w:after="20"/>
              <w:rPr>
                <w:sz w:val="18"/>
                <w:szCs w:val="18"/>
              </w:rPr>
            </w:pPr>
            <w:r w:rsidRPr="00E3331B">
              <w:rPr>
                <w:sz w:val="18"/>
                <w:szCs w:val="18"/>
              </w:rPr>
              <w:t>14.9</w:t>
            </w:r>
          </w:p>
        </w:tc>
        <w:tc>
          <w:tcPr>
            <w:tcW w:w="567" w:type="dxa"/>
            <w:tcBorders>
              <w:top w:val="nil"/>
              <w:left w:val="nil"/>
              <w:bottom w:val="nil"/>
              <w:right w:val="nil"/>
            </w:tcBorders>
            <w:shd w:val="clear" w:color="auto" w:fill="auto"/>
            <w:noWrap/>
            <w:hideMark/>
          </w:tcPr>
          <w:p w:rsidR="00685BE5" w:rsidRPr="00E3331B" w:rsidRDefault="00685BE5" w:rsidP="00AE4C3A">
            <w:pPr>
              <w:tabs>
                <w:tab w:val="decimal" w:pos="317"/>
              </w:tabs>
              <w:spacing w:before="20" w:after="20"/>
              <w:rPr>
                <w:sz w:val="18"/>
                <w:szCs w:val="18"/>
              </w:rPr>
            </w:pPr>
            <w:r w:rsidRPr="00E3331B">
              <w:rPr>
                <w:sz w:val="18"/>
                <w:szCs w:val="18"/>
              </w:rPr>
              <w:t>17.6</w:t>
            </w:r>
          </w:p>
        </w:tc>
        <w:tc>
          <w:tcPr>
            <w:tcW w:w="851" w:type="dxa"/>
            <w:tcBorders>
              <w:top w:val="nil"/>
              <w:left w:val="nil"/>
              <w:bottom w:val="nil"/>
              <w:right w:val="nil"/>
            </w:tcBorders>
            <w:shd w:val="clear" w:color="auto" w:fill="auto"/>
            <w:noWrap/>
            <w:hideMark/>
          </w:tcPr>
          <w:p w:rsidR="00685BE5" w:rsidRPr="00E3331B" w:rsidRDefault="00685BE5" w:rsidP="00AE4C3A">
            <w:pPr>
              <w:tabs>
                <w:tab w:val="decimal" w:pos="317"/>
              </w:tabs>
              <w:spacing w:before="20" w:after="20"/>
              <w:rPr>
                <w:sz w:val="18"/>
                <w:szCs w:val="18"/>
              </w:rPr>
            </w:pPr>
            <w:r w:rsidRPr="00E3331B">
              <w:rPr>
                <w:sz w:val="18"/>
                <w:szCs w:val="18"/>
              </w:rPr>
              <w:t>66.</w:t>
            </w:r>
            <w:r>
              <w:rPr>
                <w:sz w:val="18"/>
                <w:szCs w:val="18"/>
              </w:rPr>
              <w:t>0</w:t>
            </w:r>
          </w:p>
        </w:tc>
        <w:tc>
          <w:tcPr>
            <w:tcW w:w="1134" w:type="dxa"/>
            <w:tcBorders>
              <w:top w:val="nil"/>
              <w:left w:val="nil"/>
              <w:bottom w:val="nil"/>
              <w:right w:val="nil"/>
            </w:tcBorders>
            <w:shd w:val="clear" w:color="auto" w:fill="auto"/>
            <w:noWrap/>
            <w:hideMark/>
          </w:tcPr>
          <w:p w:rsidR="00685BE5" w:rsidRPr="00E3331B" w:rsidRDefault="00685BE5" w:rsidP="00AE4C3A">
            <w:pPr>
              <w:tabs>
                <w:tab w:val="decimal" w:pos="426"/>
              </w:tabs>
              <w:spacing w:before="20" w:after="20"/>
              <w:rPr>
                <w:sz w:val="18"/>
                <w:szCs w:val="18"/>
              </w:rPr>
            </w:pPr>
            <w:r w:rsidRPr="00E3331B">
              <w:rPr>
                <w:sz w:val="18"/>
                <w:szCs w:val="18"/>
              </w:rPr>
              <w:t>1.5</w:t>
            </w:r>
          </w:p>
        </w:tc>
        <w:tc>
          <w:tcPr>
            <w:tcW w:w="669" w:type="dxa"/>
            <w:tcBorders>
              <w:top w:val="nil"/>
              <w:left w:val="nil"/>
              <w:bottom w:val="nil"/>
              <w:right w:val="nil"/>
            </w:tcBorders>
            <w:shd w:val="clear" w:color="auto" w:fill="auto"/>
            <w:hideMark/>
          </w:tcPr>
          <w:p w:rsidR="00685BE5" w:rsidRPr="00E3331B" w:rsidRDefault="00685BE5" w:rsidP="00854F0F">
            <w:pPr>
              <w:tabs>
                <w:tab w:val="decimal" w:pos="175"/>
              </w:tabs>
              <w:spacing w:before="20" w:after="20"/>
              <w:rPr>
                <w:rFonts w:ascii="Calibri" w:eastAsia="Times New Roman" w:hAnsi="Calibri" w:cs="Calibri"/>
                <w:sz w:val="18"/>
                <w:szCs w:val="18"/>
                <w:lang w:eastAsia="zh-CN"/>
              </w:rPr>
            </w:pPr>
            <w:r w:rsidRPr="00E3331B">
              <w:rPr>
                <w:rFonts w:ascii="Calibri" w:eastAsia="Times New Roman" w:hAnsi="Calibri" w:cs="Calibri"/>
                <w:sz w:val="18"/>
                <w:szCs w:val="18"/>
                <w:lang w:eastAsia="zh-CN"/>
              </w:rPr>
              <w:t>5.0</w:t>
            </w:r>
          </w:p>
        </w:tc>
      </w:tr>
      <w:tr w:rsidR="00685BE5" w:rsidRPr="000F2CD0" w:rsidTr="00B31AB3">
        <w:tc>
          <w:tcPr>
            <w:tcW w:w="5674" w:type="dxa"/>
            <w:tcBorders>
              <w:top w:val="nil"/>
              <w:left w:val="nil"/>
              <w:bottom w:val="nil"/>
              <w:right w:val="nil"/>
            </w:tcBorders>
            <w:shd w:val="clear" w:color="auto" w:fill="auto"/>
            <w:hideMark/>
          </w:tcPr>
          <w:p w:rsidR="00685BE5" w:rsidRPr="00E3331B" w:rsidRDefault="00685BE5" w:rsidP="00AE4C3A">
            <w:pPr>
              <w:spacing w:before="20" w:after="20"/>
              <w:rPr>
                <w:sz w:val="18"/>
                <w:szCs w:val="18"/>
              </w:rPr>
            </w:pPr>
            <w:r w:rsidRPr="00E3331B">
              <w:rPr>
                <w:sz w:val="18"/>
                <w:szCs w:val="18"/>
              </w:rPr>
              <w:t>I feel under pressure to work harder in my job</w:t>
            </w:r>
          </w:p>
        </w:tc>
        <w:tc>
          <w:tcPr>
            <w:tcW w:w="852" w:type="dxa"/>
            <w:tcBorders>
              <w:top w:val="nil"/>
              <w:left w:val="nil"/>
              <w:bottom w:val="nil"/>
              <w:right w:val="nil"/>
            </w:tcBorders>
            <w:shd w:val="clear" w:color="auto" w:fill="auto"/>
            <w:noWrap/>
            <w:hideMark/>
          </w:tcPr>
          <w:p w:rsidR="00685BE5" w:rsidRPr="00E3331B" w:rsidRDefault="00685BE5" w:rsidP="00AE4C3A">
            <w:pPr>
              <w:tabs>
                <w:tab w:val="decimal" w:pos="317"/>
              </w:tabs>
              <w:spacing w:before="20" w:after="20"/>
              <w:rPr>
                <w:sz w:val="18"/>
                <w:szCs w:val="18"/>
              </w:rPr>
            </w:pPr>
            <w:r w:rsidRPr="00E3331B">
              <w:rPr>
                <w:sz w:val="18"/>
                <w:szCs w:val="18"/>
              </w:rPr>
              <w:t>39.</w:t>
            </w:r>
            <w:r>
              <w:rPr>
                <w:sz w:val="18"/>
                <w:szCs w:val="18"/>
              </w:rPr>
              <w:t>1</w:t>
            </w:r>
          </w:p>
        </w:tc>
        <w:tc>
          <w:tcPr>
            <w:tcW w:w="567" w:type="dxa"/>
            <w:tcBorders>
              <w:top w:val="nil"/>
              <w:left w:val="nil"/>
              <w:bottom w:val="nil"/>
              <w:right w:val="nil"/>
            </w:tcBorders>
            <w:shd w:val="clear" w:color="auto" w:fill="auto"/>
            <w:noWrap/>
            <w:hideMark/>
          </w:tcPr>
          <w:p w:rsidR="00685BE5" w:rsidRPr="00E3331B" w:rsidRDefault="00685BE5" w:rsidP="00AE4C3A">
            <w:pPr>
              <w:tabs>
                <w:tab w:val="decimal" w:pos="317"/>
              </w:tabs>
              <w:spacing w:before="20" w:after="20"/>
              <w:rPr>
                <w:sz w:val="18"/>
                <w:szCs w:val="18"/>
              </w:rPr>
            </w:pPr>
            <w:r w:rsidRPr="00E3331B">
              <w:rPr>
                <w:sz w:val="18"/>
                <w:szCs w:val="18"/>
              </w:rPr>
              <w:t>21.5</w:t>
            </w:r>
          </w:p>
        </w:tc>
        <w:tc>
          <w:tcPr>
            <w:tcW w:w="851" w:type="dxa"/>
            <w:tcBorders>
              <w:top w:val="nil"/>
              <w:left w:val="nil"/>
              <w:bottom w:val="nil"/>
              <w:right w:val="nil"/>
            </w:tcBorders>
            <w:shd w:val="clear" w:color="auto" w:fill="auto"/>
            <w:noWrap/>
            <w:hideMark/>
          </w:tcPr>
          <w:p w:rsidR="00685BE5" w:rsidRPr="00E3331B" w:rsidRDefault="00685BE5" w:rsidP="00AE4C3A">
            <w:pPr>
              <w:tabs>
                <w:tab w:val="decimal" w:pos="317"/>
              </w:tabs>
              <w:spacing w:before="20" w:after="20"/>
              <w:rPr>
                <w:sz w:val="18"/>
                <w:szCs w:val="18"/>
              </w:rPr>
            </w:pPr>
            <w:r w:rsidRPr="00E3331B">
              <w:rPr>
                <w:sz w:val="18"/>
                <w:szCs w:val="18"/>
              </w:rPr>
              <w:t>37.9</w:t>
            </w:r>
          </w:p>
        </w:tc>
        <w:tc>
          <w:tcPr>
            <w:tcW w:w="1134" w:type="dxa"/>
            <w:tcBorders>
              <w:top w:val="nil"/>
              <w:left w:val="nil"/>
              <w:bottom w:val="nil"/>
              <w:right w:val="nil"/>
            </w:tcBorders>
            <w:shd w:val="clear" w:color="auto" w:fill="auto"/>
            <w:noWrap/>
            <w:hideMark/>
          </w:tcPr>
          <w:p w:rsidR="00685BE5" w:rsidRPr="00E3331B" w:rsidRDefault="00685BE5" w:rsidP="00AE4C3A">
            <w:pPr>
              <w:tabs>
                <w:tab w:val="decimal" w:pos="426"/>
              </w:tabs>
              <w:spacing w:before="20" w:after="20"/>
              <w:rPr>
                <w:sz w:val="18"/>
                <w:szCs w:val="18"/>
              </w:rPr>
            </w:pPr>
            <w:r w:rsidRPr="00E3331B">
              <w:rPr>
                <w:sz w:val="18"/>
                <w:szCs w:val="18"/>
              </w:rPr>
              <w:t>1.5</w:t>
            </w:r>
          </w:p>
        </w:tc>
        <w:tc>
          <w:tcPr>
            <w:tcW w:w="669" w:type="dxa"/>
            <w:tcBorders>
              <w:top w:val="nil"/>
              <w:left w:val="nil"/>
              <w:bottom w:val="nil"/>
              <w:right w:val="nil"/>
            </w:tcBorders>
            <w:shd w:val="clear" w:color="auto" w:fill="auto"/>
            <w:hideMark/>
          </w:tcPr>
          <w:p w:rsidR="00685BE5" w:rsidRPr="00E3331B" w:rsidRDefault="00685BE5" w:rsidP="00854F0F">
            <w:pPr>
              <w:tabs>
                <w:tab w:val="decimal" w:pos="175"/>
              </w:tabs>
              <w:spacing w:before="20" w:after="20"/>
              <w:rPr>
                <w:rFonts w:ascii="Calibri" w:eastAsia="Times New Roman" w:hAnsi="Calibri" w:cs="Calibri"/>
                <w:sz w:val="18"/>
                <w:szCs w:val="18"/>
                <w:lang w:eastAsia="zh-CN"/>
              </w:rPr>
            </w:pPr>
            <w:r w:rsidRPr="00E3331B">
              <w:rPr>
                <w:rFonts w:ascii="Calibri" w:eastAsia="Times New Roman" w:hAnsi="Calibri" w:cs="Calibri"/>
                <w:sz w:val="18"/>
                <w:szCs w:val="18"/>
                <w:lang w:eastAsia="zh-CN"/>
              </w:rPr>
              <w:t>3.9</w:t>
            </w:r>
          </w:p>
        </w:tc>
      </w:tr>
      <w:tr w:rsidR="00685BE5" w:rsidRPr="000F2CD0" w:rsidTr="00B31AB3">
        <w:tc>
          <w:tcPr>
            <w:tcW w:w="5674" w:type="dxa"/>
            <w:tcBorders>
              <w:top w:val="nil"/>
              <w:left w:val="nil"/>
              <w:bottom w:val="nil"/>
              <w:right w:val="nil"/>
            </w:tcBorders>
            <w:shd w:val="clear" w:color="auto" w:fill="auto"/>
            <w:hideMark/>
          </w:tcPr>
          <w:p w:rsidR="00685BE5" w:rsidRPr="00E3331B" w:rsidRDefault="00685BE5" w:rsidP="00AE4C3A">
            <w:pPr>
              <w:spacing w:before="20" w:after="20"/>
              <w:rPr>
                <w:sz w:val="18"/>
                <w:szCs w:val="18"/>
              </w:rPr>
            </w:pPr>
            <w:r w:rsidRPr="00E3331B">
              <w:rPr>
                <w:sz w:val="18"/>
                <w:szCs w:val="18"/>
              </w:rPr>
              <w:t>My job is more stressful than I had ever imagined</w:t>
            </w:r>
          </w:p>
        </w:tc>
        <w:tc>
          <w:tcPr>
            <w:tcW w:w="852" w:type="dxa"/>
            <w:tcBorders>
              <w:top w:val="nil"/>
              <w:left w:val="nil"/>
              <w:bottom w:val="nil"/>
              <w:right w:val="nil"/>
            </w:tcBorders>
            <w:shd w:val="clear" w:color="auto" w:fill="auto"/>
            <w:noWrap/>
            <w:hideMark/>
          </w:tcPr>
          <w:p w:rsidR="00685BE5" w:rsidRPr="00E3331B" w:rsidRDefault="00685BE5" w:rsidP="00AE4C3A">
            <w:pPr>
              <w:tabs>
                <w:tab w:val="decimal" w:pos="317"/>
              </w:tabs>
              <w:spacing w:before="20" w:after="20"/>
              <w:rPr>
                <w:sz w:val="18"/>
                <w:szCs w:val="18"/>
              </w:rPr>
            </w:pPr>
            <w:r w:rsidRPr="00E3331B">
              <w:rPr>
                <w:sz w:val="18"/>
                <w:szCs w:val="18"/>
              </w:rPr>
              <w:t>47.4</w:t>
            </w:r>
          </w:p>
        </w:tc>
        <w:tc>
          <w:tcPr>
            <w:tcW w:w="567" w:type="dxa"/>
            <w:tcBorders>
              <w:top w:val="nil"/>
              <w:left w:val="nil"/>
              <w:bottom w:val="nil"/>
              <w:right w:val="nil"/>
            </w:tcBorders>
            <w:shd w:val="clear" w:color="auto" w:fill="auto"/>
            <w:noWrap/>
            <w:hideMark/>
          </w:tcPr>
          <w:p w:rsidR="00685BE5" w:rsidRPr="00E3331B" w:rsidRDefault="00685BE5" w:rsidP="00AE4C3A">
            <w:pPr>
              <w:tabs>
                <w:tab w:val="decimal" w:pos="317"/>
              </w:tabs>
              <w:spacing w:before="20" w:after="20"/>
              <w:rPr>
                <w:sz w:val="18"/>
                <w:szCs w:val="18"/>
              </w:rPr>
            </w:pPr>
            <w:r w:rsidRPr="00E3331B">
              <w:rPr>
                <w:sz w:val="18"/>
                <w:szCs w:val="18"/>
              </w:rPr>
              <w:t>21.1</w:t>
            </w:r>
          </w:p>
        </w:tc>
        <w:tc>
          <w:tcPr>
            <w:tcW w:w="851" w:type="dxa"/>
            <w:tcBorders>
              <w:top w:val="nil"/>
              <w:left w:val="nil"/>
              <w:bottom w:val="nil"/>
              <w:right w:val="nil"/>
            </w:tcBorders>
            <w:shd w:val="clear" w:color="auto" w:fill="auto"/>
            <w:noWrap/>
            <w:hideMark/>
          </w:tcPr>
          <w:p w:rsidR="00685BE5" w:rsidRPr="00E3331B" w:rsidRDefault="00685BE5" w:rsidP="00AE4C3A">
            <w:pPr>
              <w:tabs>
                <w:tab w:val="decimal" w:pos="317"/>
              </w:tabs>
              <w:spacing w:before="20" w:after="20"/>
              <w:rPr>
                <w:sz w:val="18"/>
                <w:szCs w:val="18"/>
              </w:rPr>
            </w:pPr>
            <w:r w:rsidRPr="00E3331B">
              <w:rPr>
                <w:sz w:val="18"/>
                <w:szCs w:val="18"/>
              </w:rPr>
              <w:t>30.1</w:t>
            </w:r>
          </w:p>
        </w:tc>
        <w:tc>
          <w:tcPr>
            <w:tcW w:w="1134" w:type="dxa"/>
            <w:tcBorders>
              <w:top w:val="nil"/>
              <w:left w:val="nil"/>
              <w:bottom w:val="nil"/>
              <w:right w:val="nil"/>
            </w:tcBorders>
            <w:shd w:val="clear" w:color="auto" w:fill="auto"/>
            <w:noWrap/>
            <w:hideMark/>
          </w:tcPr>
          <w:p w:rsidR="00685BE5" w:rsidRPr="00E3331B" w:rsidRDefault="00685BE5" w:rsidP="00AE4C3A">
            <w:pPr>
              <w:tabs>
                <w:tab w:val="decimal" w:pos="426"/>
              </w:tabs>
              <w:spacing w:before="20" w:after="20"/>
              <w:rPr>
                <w:sz w:val="18"/>
                <w:szCs w:val="18"/>
              </w:rPr>
            </w:pPr>
            <w:r w:rsidRPr="00E3331B">
              <w:rPr>
                <w:sz w:val="18"/>
                <w:szCs w:val="18"/>
              </w:rPr>
              <w:t>1.5</w:t>
            </w:r>
          </w:p>
        </w:tc>
        <w:tc>
          <w:tcPr>
            <w:tcW w:w="669" w:type="dxa"/>
            <w:tcBorders>
              <w:top w:val="nil"/>
              <w:left w:val="nil"/>
              <w:bottom w:val="nil"/>
              <w:right w:val="nil"/>
            </w:tcBorders>
            <w:shd w:val="clear" w:color="auto" w:fill="auto"/>
            <w:hideMark/>
          </w:tcPr>
          <w:p w:rsidR="00685BE5" w:rsidRPr="00E3331B" w:rsidRDefault="00685BE5" w:rsidP="00854F0F">
            <w:pPr>
              <w:tabs>
                <w:tab w:val="decimal" w:pos="175"/>
              </w:tabs>
              <w:spacing w:before="20" w:after="20"/>
              <w:rPr>
                <w:rFonts w:ascii="Calibri" w:eastAsia="Times New Roman" w:hAnsi="Calibri" w:cs="Calibri"/>
                <w:sz w:val="18"/>
                <w:szCs w:val="18"/>
                <w:lang w:eastAsia="zh-CN"/>
              </w:rPr>
            </w:pPr>
            <w:r w:rsidRPr="00E3331B">
              <w:rPr>
                <w:rFonts w:ascii="Calibri" w:eastAsia="Times New Roman" w:hAnsi="Calibri" w:cs="Calibri"/>
                <w:sz w:val="18"/>
                <w:szCs w:val="18"/>
                <w:lang w:eastAsia="zh-CN"/>
              </w:rPr>
              <w:t>3.6</w:t>
            </w:r>
          </w:p>
        </w:tc>
      </w:tr>
      <w:tr w:rsidR="00685BE5" w:rsidRPr="000F2CD0" w:rsidTr="00B31AB3">
        <w:tc>
          <w:tcPr>
            <w:tcW w:w="5674" w:type="dxa"/>
            <w:tcBorders>
              <w:top w:val="nil"/>
              <w:left w:val="nil"/>
              <w:bottom w:val="nil"/>
              <w:right w:val="nil"/>
            </w:tcBorders>
            <w:shd w:val="clear" w:color="auto" w:fill="auto"/>
            <w:hideMark/>
          </w:tcPr>
          <w:p w:rsidR="00685BE5" w:rsidRPr="00E3331B" w:rsidRDefault="00685BE5" w:rsidP="00AE4C3A">
            <w:pPr>
              <w:spacing w:before="20" w:after="20"/>
              <w:rPr>
                <w:sz w:val="18"/>
                <w:szCs w:val="18"/>
              </w:rPr>
            </w:pPr>
            <w:r w:rsidRPr="00E3331B">
              <w:rPr>
                <w:sz w:val="18"/>
                <w:szCs w:val="18"/>
              </w:rPr>
              <w:t>I get the respect and acknowledgement I deserve for my efforts and achievements</w:t>
            </w:r>
          </w:p>
        </w:tc>
        <w:tc>
          <w:tcPr>
            <w:tcW w:w="852" w:type="dxa"/>
            <w:tcBorders>
              <w:top w:val="nil"/>
              <w:left w:val="nil"/>
              <w:bottom w:val="nil"/>
              <w:right w:val="nil"/>
            </w:tcBorders>
            <w:shd w:val="clear" w:color="auto" w:fill="auto"/>
            <w:noWrap/>
            <w:vAlign w:val="center"/>
            <w:hideMark/>
          </w:tcPr>
          <w:p w:rsidR="00685BE5" w:rsidRPr="00E3331B" w:rsidRDefault="00685BE5" w:rsidP="00295D9E">
            <w:pPr>
              <w:tabs>
                <w:tab w:val="decimal" w:pos="317"/>
              </w:tabs>
              <w:spacing w:before="20" w:after="20"/>
              <w:rPr>
                <w:sz w:val="18"/>
                <w:szCs w:val="18"/>
              </w:rPr>
            </w:pPr>
            <w:r w:rsidRPr="00E3331B">
              <w:rPr>
                <w:sz w:val="18"/>
                <w:szCs w:val="18"/>
              </w:rPr>
              <w:t>18.</w:t>
            </w:r>
            <w:r>
              <w:rPr>
                <w:sz w:val="18"/>
                <w:szCs w:val="18"/>
              </w:rPr>
              <w:t>5</w:t>
            </w:r>
          </w:p>
        </w:tc>
        <w:tc>
          <w:tcPr>
            <w:tcW w:w="567" w:type="dxa"/>
            <w:tcBorders>
              <w:top w:val="nil"/>
              <w:left w:val="nil"/>
              <w:bottom w:val="nil"/>
              <w:right w:val="nil"/>
            </w:tcBorders>
            <w:shd w:val="clear" w:color="auto" w:fill="auto"/>
            <w:noWrap/>
            <w:vAlign w:val="center"/>
            <w:hideMark/>
          </w:tcPr>
          <w:p w:rsidR="00685BE5" w:rsidRPr="00E3331B" w:rsidRDefault="00685BE5" w:rsidP="00295D9E">
            <w:pPr>
              <w:tabs>
                <w:tab w:val="decimal" w:pos="317"/>
              </w:tabs>
              <w:spacing w:before="20" w:after="20"/>
              <w:rPr>
                <w:sz w:val="18"/>
                <w:szCs w:val="18"/>
              </w:rPr>
            </w:pPr>
            <w:r w:rsidRPr="00E3331B">
              <w:rPr>
                <w:sz w:val="18"/>
                <w:szCs w:val="18"/>
              </w:rPr>
              <w:t>16.4</w:t>
            </w:r>
          </w:p>
        </w:tc>
        <w:tc>
          <w:tcPr>
            <w:tcW w:w="851" w:type="dxa"/>
            <w:tcBorders>
              <w:top w:val="nil"/>
              <w:left w:val="nil"/>
              <w:bottom w:val="nil"/>
              <w:right w:val="nil"/>
            </w:tcBorders>
            <w:shd w:val="clear" w:color="auto" w:fill="auto"/>
            <w:noWrap/>
            <w:vAlign w:val="center"/>
            <w:hideMark/>
          </w:tcPr>
          <w:p w:rsidR="00685BE5" w:rsidRPr="00E3331B" w:rsidRDefault="00685BE5" w:rsidP="00295D9E">
            <w:pPr>
              <w:tabs>
                <w:tab w:val="decimal" w:pos="317"/>
              </w:tabs>
              <w:spacing w:before="20" w:after="20"/>
              <w:rPr>
                <w:sz w:val="18"/>
                <w:szCs w:val="18"/>
              </w:rPr>
            </w:pPr>
            <w:r w:rsidRPr="00E3331B">
              <w:rPr>
                <w:sz w:val="18"/>
                <w:szCs w:val="18"/>
              </w:rPr>
              <w:t>63.7</w:t>
            </w:r>
          </w:p>
        </w:tc>
        <w:tc>
          <w:tcPr>
            <w:tcW w:w="1134" w:type="dxa"/>
            <w:tcBorders>
              <w:top w:val="nil"/>
              <w:left w:val="nil"/>
              <w:bottom w:val="nil"/>
              <w:right w:val="nil"/>
            </w:tcBorders>
            <w:shd w:val="clear" w:color="auto" w:fill="auto"/>
            <w:noWrap/>
            <w:vAlign w:val="center"/>
            <w:hideMark/>
          </w:tcPr>
          <w:p w:rsidR="00685BE5" w:rsidRPr="00E3331B" w:rsidRDefault="00685BE5" w:rsidP="00295D9E">
            <w:pPr>
              <w:tabs>
                <w:tab w:val="decimal" w:pos="426"/>
              </w:tabs>
              <w:spacing w:before="20" w:after="20"/>
              <w:rPr>
                <w:sz w:val="18"/>
                <w:szCs w:val="18"/>
              </w:rPr>
            </w:pPr>
            <w:r w:rsidRPr="00E3331B">
              <w:rPr>
                <w:sz w:val="18"/>
                <w:szCs w:val="18"/>
              </w:rPr>
              <w:t>1.4</w:t>
            </w:r>
          </w:p>
        </w:tc>
        <w:tc>
          <w:tcPr>
            <w:tcW w:w="669" w:type="dxa"/>
            <w:tcBorders>
              <w:top w:val="nil"/>
              <w:left w:val="nil"/>
              <w:bottom w:val="nil"/>
              <w:right w:val="nil"/>
            </w:tcBorders>
            <w:shd w:val="clear" w:color="auto" w:fill="auto"/>
            <w:vAlign w:val="center"/>
            <w:hideMark/>
          </w:tcPr>
          <w:p w:rsidR="00685BE5" w:rsidRPr="00295D9E" w:rsidRDefault="00685BE5" w:rsidP="00295D9E">
            <w:pPr>
              <w:tabs>
                <w:tab w:val="decimal" w:pos="175"/>
              </w:tabs>
              <w:spacing w:before="20" w:after="20"/>
              <w:rPr>
                <w:sz w:val="18"/>
                <w:szCs w:val="18"/>
              </w:rPr>
            </w:pPr>
            <w:r w:rsidRPr="00295D9E">
              <w:rPr>
                <w:sz w:val="18"/>
                <w:szCs w:val="18"/>
              </w:rPr>
              <w:t>4.9</w:t>
            </w:r>
          </w:p>
        </w:tc>
      </w:tr>
      <w:tr w:rsidR="00685BE5" w:rsidRPr="000F2CD0" w:rsidTr="00B31AB3">
        <w:tc>
          <w:tcPr>
            <w:tcW w:w="5674" w:type="dxa"/>
            <w:tcBorders>
              <w:top w:val="nil"/>
              <w:left w:val="nil"/>
              <w:bottom w:val="nil"/>
              <w:right w:val="nil"/>
            </w:tcBorders>
            <w:shd w:val="clear" w:color="auto" w:fill="auto"/>
            <w:hideMark/>
          </w:tcPr>
          <w:p w:rsidR="00685BE5" w:rsidRPr="00E3331B" w:rsidRDefault="00685BE5" w:rsidP="00AE4C3A">
            <w:pPr>
              <w:spacing w:before="20" w:after="20"/>
              <w:rPr>
                <w:sz w:val="18"/>
                <w:szCs w:val="18"/>
              </w:rPr>
            </w:pPr>
            <w:r w:rsidRPr="00E3331B">
              <w:rPr>
                <w:sz w:val="18"/>
                <w:szCs w:val="18"/>
              </w:rPr>
              <w:t>Adequate training is available through my workplace</w:t>
            </w:r>
          </w:p>
        </w:tc>
        <w:tc>
          <w:tcPr>
            <w:tcW w:w="852" w:type="dxa"/>
            <w:tcBorders>
              <w:top w:val="nil"/>
              <w:left w:val="nil"/>
              <w:bottom w:val="nil"/>
              <w:right w:val="nil"/>
            </w:tcBorders>
            <w:shd w:val="clear" w:color="auto" w:fill="auto"/>
            <w:noWrap/>
            <w:hideMark/>
          </w:tcPr>
          <w:p w:rsidR="00685BE5" w:rsidRPr="00E3331B" w:rsidRDefault="00685BE5" w:rsidP="00AE4C3A">
            <w:pPr>
              <w:tabs>
                <w:tab w:val="decimal" w:pos="317"/>
              </w:tabs>
              <w:spacing w:before="20" w:after="20"/>
              <w:rPr>
                <w:sz w:val="18"/>
                <w:szCs w:val="18"/>
              </w:rPr>
            </w:pPr>
            <w:r w:rsidRPr="00E3331B">
              <w:rPr>
                <w:sz w:val="18"/>
                <w:szCs w:val="18"/>
              </w:rPr>
              <w:t>17.8</w:t>
            </w:r>
          </w:p>
        </w:tc>
        <w:tc>
          <w:tcPr>
            <w:tcW w:w="567" w:type="dxa"/>
            <w:tcBorders>
              <w:top w:val="nil"/>
              <w:left w:val="nil"/>
              <w:bottom w:val="nil"/>
              <w:right w:val="nil"/>
            </w:tcBorders>
            <w:shd w:val="clear" w:color="auto" w:fill="auto"/>
            <w:noWrap/>
            <w:hideMark/>
          </w:tcPr>
          <w:p w:rsidR="00685BE5" w:rsidRPr="00E3331B" w:rsidRDefault="00685BE5" w:rsidP="00AE4C3A">
            <w:pPr>
              <w:tabs>
                <w:tab w:val="decimal" w:pos="317"/>
              </w:tabs>
              <w:spacing w:before="20" w:after="20"/>
              <w:rPr>
                <w:sz w:val="18"/>
                <w:szCs w:val="18"/>
              </w:rPr>
            </w:pPr>
            <w:r w:rsidRPr="00E3331B">
              <w:rPr>
                <w:sz w:val="18"/>
                <w:szCs w:val="18"/>
              </w:rPr>
              <w:t>14.3</w:t>
            </w:r>
          </w:p>
        </w:tc>
        <w:tc>
          <w:tcPr>
            <w:tcW w:w="851" w:type="dxa"/>
            <w:tcBorders>
              <w:top w:val="nil"/>
              <w:left w:val="nil"/>
              <w:bottom w:val="nil"/>
              <w:right w:val="nil"/>
            </w:tcBorders>
            <w:shd w:val="clear" w:color="auto" w:fill="auto"/>
            <w:noWrap/>
            <w:hideMark/>
          </w:tcPr>
          <w:p w:rsidR="00685BE5" w:rsidRPr="00E3331B" w:rsidRDefault="00685BE5">
            <w:pPr>
              <w:tabs>
                <w:tab w:val="decimal" w:pos="317"/>
              </w:tabs>
              <w:spacing w:before="20" w:after="20"/>
              <w:rPr>
                <w:sz w:val="18"/>
                <w:szCs w:val="18"/>
              </w:rPr>
            </w:pPr>
            <w:r w:rsidRPr="00E3331B">
              <w:rPr>
                <w:sz w:val="18"/>
                <w:szCs w:val="18"/>
              </w:rPr>
              <w:t>66.</w:t>
            </w:r>
            <w:r>
              <w:rPr>
                <w:sz w:val="18"/>
                <w:szCs w:val="18"/>
              </w:rPr>
              <w:t>4</w:t>
            </w:r>
          </w:p>
        </w:tc>
        <w:tc>
          <w:tcPr>
            <w:tcW w:w="1134" w:type="dxa"/>
            <w:tcBorders>
              <w:top w:val="nil"/>
              <w:left w:val="nil"/>
              <w:bottom w:val="nil"/>
              <w:right w:val="nil"/>
            </w:tcBorders>
            <w:shd w:val="clear" w:color="auto" w:fill="auto"/>
            <w:noWrap/>
            <w:hideMark/>
          </w:tcPr>
          <w:p w:rsidR="00685BE5" w:rsidRPr="00E3331B" w:rsidRDefault="00685BE5" w:rsidP="00AE4C3A">
            <w:pPr>
              <w:tabs>
                <w:tab w:val="decimal" w:pos="426"/>
              </w:tabs>
              <w:spacing w:before="20" w:after="20"/>
              <w:rPr>
                <w:sz w:val="18"/>
                <w:szCs w:val="18"/>
              </w:rPr>
            </w:pPr>
            <w:r w:rsidRPr="00E3331B">
              <w:rPr>
                <w:sz w:val="18"/>
                <w:szCs w:val="18"/>
              </w:rPr>
              <w:t>1.5</w:t>
            </w:r>
          </w:p>
        </w:tc>
        <w:tc>
          <w:tcPr>
            <w:tcW w:w="669" w:type="dxa"/>
            <w:tcBorders>
              <w:top w:val="nil"/>
              <w:left w:val="nil"/>
              <w:bottom w:val="nil"/>
              <w:right w:val="nil"/>
            </w:tcBorders>
            <w:shd w:val="clear" w:color="auto" w:fill="auto"/>
            <w:hideMark/>
          </w:tcPr>
          <w:p w:rsidR="00685BE5" w:rsidRPr="00E3331B" w:rsidRDefault="00685BE5" w:rsidP="00854F0F">
            <w:pPr>
              <w:tabs>
                <w:tab w:val="decimal" w:pos="175"/>
              </w:tabs>
              <w:spacing w:before="20" w:after="20"/>
              <w:rPr>
                <w:rFonts w:ascii="Calibri" w:eastAsia="Times New Roman" w:hAnsi="Calibri" w:cs="Calibri"/>
                <w:sz w:val="18"/>
                <w:szCs w:val="18"/>
                <w:lang w:eastAsia="zh-CN"/>
              </w:rPr>
            </w:pPr>
            <w:r w:rsidRPr="00E3331B">
              <w:rPr>
                <w:rFonts w:ascii="Calibri" w:eastAsia="Times New Roman" w:hAnsi="Calibri" w:cs="Calibri"/>
                <w:sz w:val="18"/>
                <w:szCs w:val="18"/>
                <w:lang w:eastAsia="zh-CN"/>
              </w:rPr>
              <w:t>5.0</w:t>
            </w:r>
          </w:p>
        </w:tc>
      </w:tr>
      <w:tr w:rsidR="00685BE5" w:rsidRPr="000F2CD0" w:rsidTr="00B31AB3">
        <w:tc>
          <w:tcPr>
            <w:tcW w:w="5674" w:type="dxa"/>
            <w:tcBorders>
              <w:top w:val="nil"/>
              <w:left w:val="nil"/>
              <w:bottom w:val="nil"/>
              <w:right w:val="nil"/>
            </w:tcBorders>
            <w:shd w:val="clear" w:color="auto" w:fill="auto"/>
            <w:hideMark/>
          </w:tcPr>
          <w:p w:rsidR="00685BE5" w:rsidRPr="00E3331B" w:rsidRDefault="00685BE5" w:rsidP="00AE4C3A">
            <w:pPr>
              <w:spacing w:before="20" w:after="20"/>
              <w:rPr>
                <w:sz w:val="18"/>
                <w:szCs w:val="18"/>
              </w:rPr>
            </w:pPr>
            <w:r w:rsidRPr="00E3331B">
              <w:rPr>
                <w:sz w:val="18"/>
                <w:szCs w:val="18"/>
              </w:rPr>
              <w:t>I feel loyal to this organisation</w:t>
            </w:r>
          </w:p>
        </w:tc>
        <w:tc>
          <w:tcPr>
            <w:tcW w:w="852" w:type="dxa"/>
            <w:tcBorders>
              <w:top w:val="nil"/>
              <w:left w:val="nil"/>
              <w:bottom w:val="nil"/>
              <w:right w:val="nil"/>
            </w:tcBorders>
            <w:shd w:val="clear" w:color="auto" w:fill="auto"/>
            <w:noWrap/>
            <w:hideMark/>
          </w:tcPr>
          <w:p w:rsidR="00685BE5" w:rsidRPr="00E3331B" w:rsidRDefault="00685BE5" w:rsidP="00AE4C3A">
            <w:pPr>
              <w:tabs>
                <w:tab w:val="decimal" w:pos="317"/>
              </w:tabs>
              <w:spacing w:before="20" w:after="20"/>
              <w:rPr>
                <w:sz w:val="18"/>
                <w:szCs w:val="18"/>
              </w:rPr>
            </w:pPr>
            <w:r w:rsidRPr="00E3331B">
              <w:rPr>
                <w:sz w:val="18"/>
                <w:szCs w:val="18"/>
              </w:rPr>
              <w:t>7.5</w:t>
            </w:r>
          </w:p>
        </w:tc>
        <w:tc>
          <w:tcPr>
            <w:tcW w:w="567" w:type="dxa"/>
            <w:tcBorders>
              <w:top w:val="nil"/>
              <w:left w:val="nil"/>
              <w:bottom w:val="nil"/>
              <w:right w:val="nil"/>
            </w:tcBorders>
            <w:shd w:val="clear" w:color="auto" w:fill="auto"/>
            <w:noWrap/>
            <w:hideMark/>
          </w:tcPr>
          <w:p w:rsidR="00685BE5" w:rsidRPr="00E3331B" w:rsidRDefault="00685BE5" w:rsidP="00AE4C3A">
            <w:pPr>
              <w:tabs>
                <w:tab w:val="decimal" w:pos="317"/>
              </w:tabs>
              <w:spacing w:before="20" w:after="20"/>
              <w:rPr>
                <w:sz w:val="18"/>
                <w:szCs w:val="18"/>
              </w:rPr>
            </w:pPr>
            <w:r w:rsidRPr="00E3331B">
              <w:rPr>
                <w:sz w:val="18"/>
                <w:szCs w:val="18"/>
              </w:rPr>
              <w:t>11.5</w:t>
            </w:r>
          </w:p>
        </w:tc>
        <w:tc>
          <w:tcPr>
            <w:tcW w:w="851" w:type="dxa"/>
            <w:tcBorders>
              <w:top w:val="nil"/>
              <w:left w:val="nil"/>
              <w:bottom w:val="nil"/>
              <w:right w:val="nil"/>
            </w:tcBorders>
            <w:shd w:val="clear" w:color="auto" w:fill="auto"/>
            <w:noWrap/>
            <w:hideMark/>
          </w:tcPr>
          <w:p w:rsidR="00685BE5" w:rsidRPr="00E3331B" w:rsidRDefault="00685BE5" w:rsidP="00AE4C3A">
            <w:pPr>
              <w:tabs>
                <w:tab w:val="decimal" w:pos="317"/>
              </w:tabs>
              <w:spacing w:before="20" w:after="20"/>
              <w:rPr>
                <w:sz w:val="18"/>
                <w:szCs w:val="18"/>
              </w:rPr>
            </w:pPr>
            <w:r w:rsidRPr="00E3331B">
              <w:rPr>
                <w:sz w:val="18"/>
                <w:szCs w:val="18"/>
              </w:rPr>
              <w:t>79.</w:t>
            </w:r>
            <w:r>
              <w:rPr>
                <w:sz w:val="18"/>
                <w:szCs w:val="18"/>
              </w:rPr>
              <w:t>8</w:t>
            </w:r>
          </w:p>
        </w:tc>
        <w:tc>
          <w:tcPr>
            <w:tcW w:w="1134" w:type="dxa"/>
            <w:tcBorders>
              <w:top w:val="nil"/>
              <w:left w:val="nil"/>
              <w:bottom w:val="nil"/>
              <w:right w:val="nil"/>
            </w:tcBorders>
            <w:shd w:val="clear" w:color="auto" w:fill="auto"/>
            <w:noWrap/>
            <w:hideMark/>
          </w:tcPr>
          <w:p w:rsidR="00685BE5" w:rsidRPr="00E3331B" w:rsidRDefault="00685BE5" w:rsidP="00AE4C3A">
            <w:pPr>
              <w:tabs>
                <w:tab w:val="decimal" w:pos="426"/>
              </w:tabs>
              <w:spacing w:before="20" w:after="20"/>
              <w:rPr>
                <w:sz w:val="18"/>
                <w:szCs w:val="18"/>
              </w:rPr>
            </w:pPr>
            <w:r w:rsidRPr="00E3331B">
              <w:rPr>
                <w:sz w:val="18"/>
                <w:szCs w:val="18"/>
              </w:rPr>
              <w:t>1.2</w:t>
            </w:r>
          </w:p>
        </w:tc>
        <w:tc>
          <w:tcPr>
            <w:tcW w:w="669" w:type="dxa"/>
            <w:tcBorders>
              <w:top w:val="nil"/>
              <w:left w:val="nil"/>
              <w:bottom w:val="nil"/>
              <w:right w:val="nil"/>
            </w:tcBorders>
            <w:shd w:val="clear" w:color="auto" w:fill="auto"/>
            <w:hideMark/>
          </w:tcPr>
          <w:p w:rsidR="00685BE5" w:rsidRPr="00E3331B" w:rsidRDefault="00685BE5" w:rsidP="00854F0F">
            <w:pPr>
              <w:tabs>
                <w:tab w:val="decimal" w:pos="175"/>
              </w:tabs>
              <w:spacing w:before="20" w:after="20"/>
              <w:rPr>
                <w:rFonts w:ascii="Calibri" w:eastAsia="Times New Roman" w:hAnsi="Calibri" w:cs="Calibri"/>
                <w:color w:val="000000"/>
                <w:sz w:val="18"/>
                <w:szCs w:val="18"/>
                <w:lang w:eastAsia="zh-CN"/>
              </w:rPr>
            </w:pPr>
            <w:r w:rsidRPr="00E3331B">
              <w:rPr>
                <w:rFonts w:ascii="Calibri" w:eastAsia="Times New Roman" w:hAnsi="Calibri" w:cs="Calibri"/>
                <w:color w:val="000000"/>
                <w:sz w:val="18"/>
                <w:szCs w:val="18"/>
                <w:lang w:eastAsia="zh-CN"/>
              </w:rPr>
              <w:t>5.7</w:t>
            </w:r>
          </w:p>
        </w:tc>
      </w:tr>
      <w:tr w:rsidR="00685BE5" w:rsidRPr="000F2CD0" w:rsidTr="00B31AB3">
        <w:tc>
          <w:tcPr>
            <w:tcW w:w="5674" w:type="dxa"/>
            <w:tcBorders>
              <w:top w:val="nil"/>
              <w:left w:val="nil"/>
              <w:bottom w:val="single" w:sz="4" w:space="0" w:color="auto"/>
              <w:right w:val="nil"/>
            </w:tcBorders>
            <w:shd w:val="clear" w:color="auto" w:fill="auto"/>
            <w:hideMark/>
          </w:tcPr>
          <w:p w:rsidR="00685BE5" w:rsidRPr="00E3331B" w:rsidRDefault="00685BE5" w:rsidP="00AE4C3A">
            <w:pPr>
              <w:spacing w:before="20" w:after="20"/>
              <w:rPr>
                <w:sz w:val="18"/>
                <w:szCs w:val="18"/>
              </w:rPr>
            </w:pPr>
            <w:r w:rsidRPr="00E3331B">
              <w:rPr>
                <w:sz w:val="18"/>
                <w:szCs w:val="18"/>
              </w:rPr>
              <w:t>I am proud to tell people who I work for</w:t>
            </w:r>
          </w:p>
        </w:tc>
        <w:tc>
          <w:tcPr>
            <w:tcW w:w="852" w:type="dxa"/>
            <w:tcBorders>
              <w:top w:val="nil"/>
              <w:left w:val="nil"/>
              <w:bottom w:val="single" w:sz="4" w:space="0" w:color="auto"/>
              <w:right w:val="nil"/>
            </w:tcBorders>
            <w:shd w:val="clear" w:color="auto" w:fill="auto"/>
            <w:noWrap/>
            <w:hideMark/>
          </w:tcPr>
          <w:p w:rsidR="00685BE5" w:rsidRPr="00E3331B" w:rsidRDefault="00685BE5" w:rsidP="00AE4C3A">
            <w:pPr>
              <w:tabs>
                <w:tab w:val="decimal" w:pos="317"/>
              </w:tabs>
              <w:spacing w:before="20" w:after="20"/>
              <w:rPr>
                <w:sz w:val="18"/>
                <w:szCs w:val="18"/>
              </w:rPr>
            </w:pPr>
            <w:r w:rsidRPr="00E3331B">
              <w:rPr>
                <w:sz w:val="18"/>
                <w:szCs w:val="18"/>
              </w:rPr>
              <w:t>5.7</w:t>
            </w:r>
          </w:p>
        </w:tc>
        <w:tc>
          <w:tcPr>
            <w:tcW w:w="567" w:type="dxa"/>
            <w:tcBorders>
              <w:top w:val="nil"/>
              <w:left w:val="nil"/>
              <w:bottom w:val="single" w:sz="4" w:space="0" w:color="auto"/>
              <w:right w:val="nil"/>
            </w:tcBorders>
            <w:shd w:val="clear" w:color="auto" w:fill="auto"/>
            <w:noWrap/>
            <w:hideMark/>
          </w:tcPr>
          <w:p w:rsidR="00685BE5" w:rsidRPr="00E3331B" w:rsidRDefault="00685BE5" w:rsidP="00AE4C3A">
            <w:pPr>
              <w:tabs>
                <w:tab w:val="decimal" w:pos="317"/>
              </w:tabs>
              <w:spacing w:before="20" w:after="20"/>
              <w:rPr>
                <w:sz w:val="18"/>
                <w:szCs w:val="18"/>
              </w:rPr>
            </w:pPr>
            <w:r w:rsidRPr="00E3331B">
              <w:rPr>
                <w:sz w:val="18"/>
                <w:szCs w:val="18"/>
              </w:rPr>
              <w:t>9.6</w:t>
            </w:r>
          </w:p>
        </w:tc>
        <w:tc>
          <w:tcPr>
            <w:tcW w:w="851" w:type="dxa"/>
            <w:tcBorders>
              <w:top w:val="nil"/>
              <w:left w:val="nil"/>
              <w:bottom w:val="single" w:sz="4" w:space="0" w:color="auto"/>
              <w:right w:val="nil"/>
            </w:tcBorders>
            <w:shd w:val="clear" w:color="auto" w:fill="auto"/>
            <w:noWrap/>
            <w:hideMark/>
          </w:tcPr>
          <w:p w:rsidR="00685BE5" w:rsidRPr="00E3331B" w:rsidRDefault="00685BE5" w:rsidP="00AE4C3A">
            <w:pPr>
              <w:tabs>
                <w:tab w:val="decimal" w:pos="317"/>
              </w:tabs>
              <w:spacing w:before="20" w:after="20"/>
              <w:rPr>
                <w:sz w:val="18"/>
                <w:szCs w:val="18"/>
              </w:rPr>
            </w:pPr>
            <w:r w:rsidRPr="00E3331B">
              <w:rPr>
                <w:sz w:val="18"/>
                <w:szCs w:val="18"/>
              </w:rPr>
              <w:t>83.4</w:t>
            </w:r>
          </w:p>
        </w:tc>
        <w:tc>
          <w:tcPr>
            <w:tcW w:w="1134" w:type="dxa"/>
            <w:tcBorders>
              <w:top w:val="nil"/>
              <w:left w:val="nil"/>
              <w:bottom w:val="single" w:sz="4" w:space="0" w:color="auto"/>
              <w:right w:val="nil"/>
            </w:tcBorders>
            <w:shd w:val="clear" w:color="auto" w:fill="auto"/>
            <w:noWrap/>
            <w:hideMark/>
          </w:tcPr>
          <w:p w:rsidR="00685BE5" w:rsidRPr="00E3331B" w:rsidRDefault="00685BE5" w:rsidP="00AE4C3A">
            <w:pPr>
              <w:tabs>
                <w:tab w:val="decimal" w:pos="426"/>
              </w:tabs>
              <w:spacing w:before="20" w:after="20"/>
              <w:rPr>
                <w:sz w:val="18"/>
                <w:szCs w:val="18"/>
              </w:rPr>
            </w:pPr>
            <w:r w:rsidRPr="00E3331B">
              <w:rPr>
                <w:sz w:val="18"/>
                <w:szCs w:val="18"/>
              </w:rPr>
              <w:t>1.3</w:t>
            </w:r>
          </w:p>
        </w:tc>
        <w:tc>
          <w:tcPr>
            <w:tcW w:w="669" w:type="dxa"/>
            <w:tcBorders>
              <w:top w:val="nil"/>
              <w:left w:val="nil"/>
              <w:bottom w:val="single" w:sz="4" w:space="0" w:color="auto"/>
              <w:right w:val="nil"/>
            </w:tcBorders>
            <w:shd w:val="clear" w:color="auto" w:fill="auto"/>
            <w:hideMark/>
          </w:tcPr>
          <w:p w:rsidR="00685BE5" w:rsidRPr="00E3331B" w:rsidRDefault="00685BE5" w:rsidP="00854F0F">
            <w:pPr>
              <w:tabs>
                <w:tab w:val="decimal" w:pos="175"/>
              </w:tabs>
              <w:spacing w:before="20" w:after="20"/>
              <w:rPr>
                <w:rFonts w:ascii="Calibri" w:eastAsia="Times New Roman" w:hAnsi="Calibri" w:cs="Calibri"/>
                <w:color w:val="000000"/>
                <w:sz w:val="18"/>
                <w:szCs w:val="18"/>
                <w:lang w:eastAsia="zh-CN"/>
              </w:rPr>
            </w:pPr>
            <w:r w:rsidRPr="00E3331B">
              <w:rPr>
                <w:rFonts w:ascii="Calibri" w:eastAsia="Times New Roman" w:hAnsi="Calibri" w:cs="Calibri"/>
                <w:color w:val="000000"/>
                <w:sz w:val="18"/>
                <w:szCs w:val="18"/>
                <w:lang w:eastAsia="zh-CN"/>
              </w:rPr>
              <w:t>5.9</w:t>
            </w:r>
          </w:p>
        </w:tc>
      </w:tr>
      <w:tr w:rsidR="00691AA4" w:rsidRPr="000F2CD0" w:rsidTr="00B31AB3">
        <w:tc>
          <w:tcPr>
            <w:tcW w:w="9747" w:type="dxa"/>
            <w:gridSpan w:val="6"/>
            <w:tcBorders>
              <w:top w:val="single" w:sz="4" w:space="0" w:color="auto"/>
              <w:left w:val="nil"/>
              <w:bottom w:val="single" w:sz="4" w:space="0" w:color="auto"/>
              <w:right w:val="nil"/>
            </w:tcBorders>
            <w:shd w:val="clear" w:color="auto" w:fill="auto"/>
          </w:tcPr>
          <w:p w:rsidR="00691AA4" w:rsidRPr="00E3331B" w:rsidRDefault="00691AA4" w:rsidP="00AE4C3A">
            <w:pPr>
              <w:tabs>
                <w:tab w:val="decimal" w:pos="317"/>
              </w:tabs>
              <w:spacing w:before="20" w:after="20"/>
              <w:rPr>
                <w:rFonts w:ascii="Calibri" w:eastAsia="Times New Roman" w:hAnsi="Calibri" w:cs="Calibri"/>
                <w:color w:val="000000"/>
                <w:sz w:val="18"/>
                <w:szCs w:val="18"/>
                <w:lang w:eastAsia="zh-CN"/>
              </w:rPr>
            </w:pPr>
            <w:r w:rsidRPr="00E3331B">
              <w:rPr>
                <w:rFonts w:cstheme="minorHAnsi"/>
                <w:b/>
                <w:sz w:val="20"/>
                <w:szCs w:val="20"/>
              </w:rPr>
              <w:t>Total (N=2</w:t>
            </w:r>
            <w:r>
              <w:rPr>
                <w:rFonts w:cstheme="minorHAnsi"/>
                <w:b/>
                <w:sz w:val="20"/>
                <w:szCs w:val="20"/>
              </w:rPr>
              <w:t>,</w:t>
            </w:r>
            <w:r w:rsidRPr="00E3331B">
              <w:rPr>
                <w:rFonts w:cstheme="minorHAnsi"/>
                <w:b/>
                <w:sz w:val="20"/>
                <w:szCs w:val="20"/>
              </w:rPr>
              <w:t>133)</w:t>
            </w:r>
          </w:p>
        </w:tc>
      </w:tr>
    </w:tbl>
    <w:p w:rsidR="00685BE5" w:rsidRPr="005C469C" w:rsidRDefault="00685BE5" w:rsidP="00AE4C3A">
      <w:pPr>
        <w:pStyle w:val="NILSReference"/>
      </w:pPr>
      <w:r w:rsidRPr="005C469C">
        <w:t xml:space="preserve">Source: 2014 NDIS DSP employee survey, Question B11. </w:t>
      </w:r>
    </w:p>
    <w:p w:rsidR="00685BE5" w:rsidRPr="005C469C" w:rsidRDefault="00685BE5" w:rsidP="00AE4C3A">
      <w:pPr>
        <w:pStyle w:val="NILSReference"/>
      </w:pPr>
      <w:r w:rsidRPr="005C469C">
        <w:t xml:space="preserve">Note: Row percentages are shown. </w:t>
      </w:r>
    </w:p>
    <w:p w:rsidR="00B92687" w:rsidRDefault="00B92687" w:rsidP="00AE4C3A"/>
    <w:p w:rsidR="00685BE5" w:rsidRDefault="00685BE5" w:rsidP="00AE4C3A">
      <w:r>
        <w:t>T</w:t>
      </w:r>
      <w:r w:rsidRPr="00AB33E3">
        <w:t xml:space="preserve">able </w:t>
      </w:r>
      <w:r>
        <w:t>4.42</w:t>
      </w:r>
      <w:r w:rsidRPr="00AB33E3">
        <w:t xml:space="preserve"> shows that only 38 </w:t>
      </w:r>
      <w:r>
        <w:t xml:space="preserve">per cent </w:t>
      </w:r>
      <w:r w:rsidRPr="00AB33E3">
        <w:t>of workers spen</w:t>
      </w:r>
      <w:r>
        <w:t>t</w:t>
      </w:r>
      <w:r w:rsidRPr="00AB33E3">
        <w:t xml:space="preserve"> more than two thirds of their shift actively caring for people. About 30 </w:t>
      </w:r>
      <w:r>
        <w:t xml:space="preserve">per cent </w:t>
      </w:r>
      <w:r w:rsidRPr="00AB33E3">
        <w:t>of workers spen</w:t>
      </w:r>
      <w:r>
        <w:t>t</w:t>
      </w:r>
      <w:r w:rsidRPr="00AB33E3">
        <w:t xml:space="preserve"> more than two thirds of their shift on administration tasks</w:t>
      </w:r>
      <w:r>
        <w:t>. The high levels of job satisfaction reported in Table 4.41 coupled with a clear division of labour reported in Table 4.42 suggest that administrative and direct care work was distributed among employees in accordance with their preferences without imposing excessive burden to them.</w:t>
      </w:r>
      <w:r w:rsidRPr="00AB33E3">
        <w:t xml:space="preserve"> </w:t>
      </w:r>
    </w:p>
    <w:p w:rsidR="00685BE5" w:rsidRPr="00AB33E3" w:rsidRDefault="00685BE5" w:rsidP="0044684E">
      <w:pPr>
        <w:pStyle w:val="NILSTableHeading"/>
      </w:pPr>
      <w:bookmarkStart w:id="675" w:name="_Toc425425119"/>
      <w:bookmarkStart w:id="676" w:name="_Toc428279249"/>
      <w:bookmarkStart w:id="677" w:name="_Toc449955380"/>
      <w:r w:rsidRPr="00AB33E3">
        <w:t xml:space="preserve">Table </w:t>
      </w:r>
      <w:r>
        <w:t>4.42:</w:t>
      </w:r>
      <w:r w:rsidRPr="00AB33E3">
        <w:t xml:space="preserve"> Time allocation in current disability support job</w:t>
      </w:r>
      <w:bookmarkEnd w:id="675"/>
      <w:bookmarkEnd w:id="676"/>
      <w:bookmarkEnd w:id="677"/>
    </w:p>
    <w:tbl>
      <w:tblPr>
        <w:tblW w:w="7763" w:type="dxa"/>
        <w:tblBorders>
          <w:top w:val="single" w:sz="4" w:space="0" w:color="auto"/>
          <w:bottom w:val="single" w:sz="4" w:space="0" w:color="auto"/>
        </w:tblBorders>
        <w:tblLayout w:type="fixed"/>
        <w:tblLook w:val="04A0" w:firstRow="1" w:lastRow="0" w:firstColumn="1" w:lastColumn="0" w:noHBand="0" w:noVBand="1"/>
        <w:tblCaption w:val="Table 4.42 Time allocation in current disability support job"/>
      </w:tblPr>
      <w:tblGrid>
        <w:gridCol w:w="4403"/>
        <w:gridCol w:w="1659"/>
        <w:gridCol w:w="1701"/>
      </w:tblGrid>
      <w:tr w:rsidR="00685BE5" w:rsidRPr="000F2CD0" w:rsidTr="00BE2108">
        <w:trPr>
          <w:tblHeader/>
        </w:trPr>
        <w:tc>
          <w:tcPr>
            <w:tcW w:w="4403" w:type="dxa"/>
            <w:tcBorders>
              <w:top w:val="single" w:sz="4" w:space="0" w:color="auto"/>
              <w:bottom w:val="single" w:sz="4" w:space="0" w:color="auto"/>
            </w:tcBorders>
            <w:vAlign w:val="center"/>
          </w:tcPr>
          <w:p w:rsidR="00685BE5" w:rsidRPr="000F2CD0" w:rsidRDefault="00685BE5" w:rsidP="00AE4C3A">
            <w:pPr>
              <w:spacing w:before="20" w:after="20"/>
              <w:jc w:val="center"/>
              <w:rPr>
                <w:sz w:val="20"/>
                <w:szCs w:val="20"/>
              </w:rPr>
            </w:pPr>
            <w:bookmarkStart w:id="678" w:name="Title_4_42"/>
            <w:bookmarkEnd w:id="678"/>
          </w:p>
        </w:tc>
        <w:tc>
          <w:tcPr>
            <w:tcW w:w="1659" w:type="dxa"/>
            <w:tcBorders>
              <w:top w:val="single" w:sz="4" w:space="0" w:color="auto"/>
              <w:bottom w:val="single" w:sz="4" w:space="0" w:color="auto"/>
            </w:tcBorders>
          </w:tcPr>
          <w:p w:rsidR="00685BE5" w:rsidRDefault="00685BE5" w:rsidP="002048E6">
            <w:pPr>
              <w:spacing w:before="20" w:after="20"/>
              <w:ind w:right="40"/>
              <w:jc w:val="center"/>
              <w:rPr>
                <w:sz w:val="20"/>
                <w:szCs w:val="20"/>
              </w:rPr>
            </w:pPr>
            <w:r w:rsidRPr="00E3331B">
              <w:rPr>
                <w:sz w:val="20"/>
                <w:szCs w:val="20"/>
              </w:rPr>
              <w:t>Actively caring for people</w:t>
            </w:r>
          </w:p>
          <w:p w:rsidR="00BE2108" w:rsidRPr="00E3331B" w:rsidRDefault="00BE2108" w:rsidP="002048E6">
            <w:pPr>
              <w:spacing w:before="20" w:after="20"/>
              <w:ind w:right="40"/>
              <w:jc w:val="center"/>
              <w:rPr>
                <w:sz w:val="20"/>
                <w:szCs w:val="20"/>
              </w:rPr>
            </w:pPr>
            <w:r>
              <w:rPr>
                <w:sz w:val="20"/>
                <w:szCs w:val="20"/>
              </w:rPr>
              <w:t>%</w:t>
            </w:r>
          </w:p>
        </w:tc>
        <w:tc>
          <w:tcPr>
            <w:tcW w:w="1701" w:type="dxa"/>
            <w:tcBorders>
              <w:top w:val="single" w:sz="4" w:space="0" w:color="auto"/>
              <w:bottom w:val="single" w:sz="4" w:space="0" w:color="auto"/>
            </w:tcBorders>
          </w:tcPr>
          <w:p w:rsidR="00685BE5" w:rsidRDefault="00685BE5" w:rsidP="00AE4C3A">
            <w:pPr>
              <w:spacing w:before="20" w:after="20"/>
              <w:jc w:val="center"/>
              <w:rPr>
                <w:sz w:val="20"/>
                <w:szCs w:val="20"/>
              </w:rPr>
            </w:pPr>
            <w:r w:rsidRPr="00E3331B">
              <w:rPr>
                <w:sz w:val="20"/>
                <w:szCs w:val="20"/>
              </w:rPr>
              <w:t>Administration tasks</w:t>
            </w:r>
          </w:p>
          <w:p w:rsidR="00BE2108" w:rsidRPr="00E3331B" w:rsidRDefault="00BE2108" w:rsidP="00AE4C3A">
            <w:pPr>
              <w:spacing w:before="20" w:after="20"/>
              <w:jc w:val="center"/>
              <w:rPr>
                <w:sz w:val="20"/>
                <w:szCs w:val="20"/>
              </w:rPr>
            </w:pPr>
            <w:r>
              <w:rPr>
                <w:sz w:val="20"/>
                <w:szCs w:val="20"/>
              </w:rPr>
              <w:t>%</w:t>
            </w:r>
          </w:p>
        </w:tc>
      </w:tr>
      <w:tr w:rsidR="00685BE5" w:rsidRPr="000F2CD0" w:rsidTr="00BE2108">
        <w:tc>
          <w:tcPr>
            <w:tcW w:w="4403" w:type="dxa"/>
            <w:vAlign w:val="center"/>
          </w:tcPr>
          <w:p w:rsidR="00685BE5" w:rsidRPr="000F2CD0" w:rsidRDefault="00685BE5" w:rsidP="00AE4C3A">
            <w:pPr>
              <w:spacing w:before="20" w:after="20"/>
              <w:rPr>
                <w:sz w:val="20"/>
                <w:szCs w:val="20"/>
              </w:rPr>
            </w:pPr>
            <w:r w:rsidRPr="000F2CD0">
              <w:rPr>
                <w:sz w:val="20"/>
                <w:szCs w:val="20"/>
              </w:rPr>
              <w:t>Less than one-third of your time</w:t>
            </w:r>
          </w:p>
        </w:tc>
        <w:tc>
          <w:tcPr>
            <w:tcW w:w="1659" w:type="dxa"/>
            <w:vAlign w:val="bottom"/>
          </w:tcPr>
          <w:p w:rsidR="00685BE5" w:rsidRPr="000F2CD0" w:rsidRDefault="00685BE5" w:rsidP="00AE4C3A">
            <w:pPr>
              <w:tabs>
                <w:tab w:val="decimal" w:pos="823"/>
              </w:tabs>
              <w:spacing w:before="20" w:after="20"/>
              <w:ind w:right="758"/>
              <w:jc w:val="right"/>
              <w:rPr>
                <w:sz w:val="20"/>
                <w:szCs w:val="20"/>
              </w:rPr>
            </w:pPr>
            <w:r w:rsidRPr="000F2CD0">
              <w:rPr>
                <w:sz w:val="20"/>
                <w:szCs w:val="20"/>
              </w:rPr>
              <w:t>27.5</w:t>
            </w:r>
          </w:p>
        </w:tc>
        <w:tc>
          <w:tcPr>
            <w:tcW w:w="1701" w:type="dxa"/>
            <w:vAlign w:val="bottom"/>
          </w:tcPr>
          <w:p w:rsidR="00685BE5" w:rsidRPr="000F2CD0" w:rsidRDefault="00685BE5" w:rsidP="00AE4C3A">
            <w:pPr>
              <w:tabs>
                <w:tab w:val="decimal" w:pos="823"/>
              </w:tabs>
              <w:spacing w:before="20" w:after="20"/>
              <w:ind w:right="615"/>
              <w:jc w:val="right"/>
              <w:rPr>
                <w:sz w:val="20"/>
                <w:szCs w:val="20"/>
              </w:rPr>
            </w:pPr>
            <w:r w:rsidRPr="000F2CD0">
              <w:rPr>
                <w:sz w:val="20"/>
                <w:szCs w:val="20"/>
              </w:rPr>
              <w:t>39.2</w:t>
            </w:r>
          </w:p>
        </w:tc>
      </w:tr>
      <w:tr w:rsidR="00685BE5" w:rsidRPr="000F2CD0" w:rsidTr="00BE2108">
        <w:tc>
          <w:tcPr>
            <w:tcW w:w="4403" w:type="dxa"/>
            <w:vAlign w:val="center"/>
          </w:tcPr>
          <w:p w:rsidR="00685BE5" w:rsidRPr="000F2CD0" w:rsidRDefault="00685BE5" w:rsidP="00AE4C3A">
            <w:pPr>
              <w:spacing w:before="20" w:after="20"/>
              <w:rPr>
                <w:sz w:val="20"/>
                <w:szCs w:val="20"/>
              </w:rPr>
            </w:pPr>
            <w:r w:rsidRPr="000F2CD0">
              <w:rPr>
                <w:sz w:val="20"/>
                <w:szCs w:val="20"/>
              </w:rPr>
              <w:t>Between one-third and two-thirds of your time</w:t>
            </w:r>
          </w:p>
        </w:tc>
        <w:tc>
          <w:tcPr>
            <w:tcW w:w="1659" w:type="dxa"/>
            <w:vAlign w:val="bottom"/>
          </w:tcPr>
          <w:p w:rsidR="00685BE5" w:rsidRPr="000F2CD0" w:rsidRDefault="00685BE5" w:rsidP="00AE4C3A">
            <w:pPr>
              <w:tabs>
                <w:tab w:val="decimal" w:pos="823"/>
              </w:tabs>
              <w:spacing w:before="20" w:after="20"/>
              <w:ind w:right="758"/>
              <w:jc w:val="right"/>
              <w:rPr>
                <w:sz w:val="20"/>
                <w:szCs w:val="20"/>
              </w:rPr>
            </w:pPr>
            <w:r w:rsidRPr="000F2CD0">
              <w:rPr>
                <w:sz w:val="20"/>
                <w:szCs w:val="20"/>
              </w:rPr>
              <w:t>25.8</w:t>
            </w:r>
          </w:p>
        </w:tc>
        <w:tc>
          <w:tcPr>
            <w:tcW w:w="1701" w:type="dxa"/>
            <w:vAlign w:val="bottom"/>
          </w:tcPr>
          <w:p w:rsidR="00685BE5" w:rsidRPr="000F2CD0" w:rsidRDefault="00685BE5" w:rsidP="00AE4C3A">
            <w:pPr>
              <w:tabs>
                <w:tab w:val="decimal" w:pos="823"/>
              </w:tabs>
              <w:spacing w:before="20" w:after="20"/>
              <w:ind w:right="615"/>
              <w:jc w:val="right"/>
              <w:rPr>
                <w:sz w:val="20"/>
                <w:szCs w:val="20"/>
              </w:rPr>
            </w:pPr>
            <w:r w:rsidRPr="000F2CD0">
              <w:rPr>
                <w:sz w:val="20"/>
                <w:szCs w:val="20"/>
              </w:rPr>
              <w:t>24.1</w:t>
            </w:r>
          </w:p>
        </w:tc>
      </w:tr>
      <w:tr w:rsidR="00685BE5" w:rsidRPr="000F2CD0" w:rsidTr="00BE2108">
        <w:tc>
          <w:tcPr>
            <w:tcW w:w="4403" w:type="dxa"/>
            <w:vAlign w:val="center"/>
          </w:tcPr>
          <w:p w:rsidR="00685BE5" w:rsidRPr="000F2CD0" w:rsidRDefault="00685BE5" w:rsidP="00AE4C3A">
            <w:pPr>
              <w:spacing w:before="20" w:after="20"/>
              <w:rPr>
                <w:sz w:val="20"/>
                <w:szCs w:val="20"/>
              </w:rPr>
            </w:pPr>
            <w:r w:rsidRPr="000F2CD0">
              <w:rPr>
                <w:sz w:val="20"/>
                <w:szCs w:val="20"/>
              </w:rPr>
              <w:t>More than two-thirds of your time</w:t>
            </w:r>
          </w:p>
        </w:tc>
        <w:tc>
          <w:tcPr>
            <w:tcW w:w="1659" w:type="dxa"/>
            <w:vAlign w:val="bottom"/>
          </w:tcPr>
          <w:p w:rsidR="00685BE5" w:rsidRPr="000F2CD0" w:rsidRDefault="00685BE5" w:rsidP="00AE4C3A">
            <w:pPr>
              <w:tabs>
                <w:tab w:val="decimal" w:pos="823"/>
              </w:tabs>
              <w:spacing w:before="20" w:after="20"/>
              <w:ind w:right="758"/>
              <w:jc w:val="right"/>
              <w:rPr>
                <w:sz w:val="20"/>
                <w:szCs w:val="20"/>
              </w:rPr>
            </w:pPr>
            <w:r w:rsidRPr="000F2CD0">
              <w:rPr>
                <w:sz w:val="20"/>
                <w:szCs w:val="20"/>
              </w:rPr>
              <w:t>38.0</w:t>
            </w:r>
          </w:p>
        </w:tc>
        <w:tc>
          <w:tcPr>
            <w:tcW w:w="1701" w:type="dxa"/>
            <w:vAlign w:val="bottom"/>
          </w:tcPr>
          <w:p w:rsidR="00685BE5" w:rsidRPr="000F2CD0" w:rsidRDefault="00685BE5" w:rsidP="00AE4C3A">
            <w:pPr>
              <w:tabs>
                <w:tab w:val="decimal" w:pos="823"/>
              </w:tabs>
              <w:spacing w:before="20" w:after="20"/>
              <w:ind w:right="615"/>
              <w:jc w:val="right"/>
              <w:rPr>
                <w:sz w:val="20"/>
                <w:szCs w:val="20"/>
              </w:rPr>
            </w:pPr>
            <w:r w:rsidRPr="000F2CD0">
              <w:rPr>
                <w:sz w:val="20"/>
                <w:szCs w:val="20"/>
              </w:rPr>
              <w:t>29.5</w:t>
            </w:r>
          </w:p>
        </w:tc>
      </w:tr>
      <w:tr w:rsidR="00685BE5" w:rsidRPr="000F2CD0" w:rsidTr="00BE2108">
        <w:tc>
          <w:tcPr>
            <w:tcW w:w="4403" w:type="dxa"/>
            <w:tcBorders>
              <w:bottom w:val="single" w:sz="4" w:space="0" w:color="auto"/>
            </w:tcBorders>
            <w:vAlign w:val="center"/>
          </w:tcPr>
          <w:p w:rsidR="00685BE5" w:rsidRPr="000F2CD0" w:rsidRDefault="00685BE5" w:rsidP="00AE4C3A">
            <w:pPr>
              <w:spacing w:before="20" w:after="20"/>
              <w:rPr>
                <w:sz w:val="20"/>
                <w:szCs w:val="20"/>
              </w:rPr>
            </w:pPr>
            <w:r w:rsidRPr="000F2CD0">
              <w:rPr>
                <w:sz w:val="20"/>
                <w:szCs w:val="20"/>
              </w:rPr>
              <w:t xml:space="preserve">Question not answered </w:t>
            </w:r>
          </w:p>
        </w:tc>
        <w:tc>
          <w:tcPr>
            <w:tcW w:w="1659" w:type="dxa"/>
            <w:tcBorders>
              <w:bottom w:val="single" w:sz="4" w:space="0" w:color="auto"/>
            </w:tcBorders>
            <w:vAlign w:val="bottom"/>
          </w:tcPr>
          <w:p w:rsidR="00685BE5" w:rsidRPr="000F2CD0" w:rsidRDefault="00685BE5" w:rsidP="00AE4C3A">
            <w:pPr>
              <w:tabs>
                <w:tab w:val="decimal" w:pos="823"/>
              </w:tabs>
              <w:spacing w:before="20" w:after="20"/>
              <w:ind w:right="758"/>
              <w:jc w:val="right"/>
              <w:rPr>
                <w:sz w:val="20"/>
                <w:szCs w:val="20"/>
              </w:rPr>
            </w:pPr>
            <w:r w:rsidRPr="000F2CD0">
              <w:rPr>
                <w:sz w:val="20"/>
                <w:szCs w:val="20"/>
              </w:rPr>
              <w:t>8.7</w:t>
            </w:r>
          </w:p>
        </w:tc>
        <w:tc>
          <w:tcPr>
            <w:tcW w:w="1701" w:type="dxa"/>
            <w:tcBorders>
              <w:bottom w:val="single" w:sz="4" w:space="0" w:color="auto"/>
            </w:tcBorders>
            <w:vAlign w:val="bottom"/>
          </w:tcPr>
          <w:p w:rsidR="00685BE5" w:rsidRPr="000F2CD0" w:rsidRDefault="00685BE5" w:rsidP="00AE4C3A">
            <w:pPr>
              <w:tabs>
                <w:tab w:val="decimal" w:pos="823"/>
              </w:tabs>
              <w:spacing w:before="20" w:after="20"/>
              <w:ind w:right="615"/>
              <w:jc w:val="right"/>
              <w:rPr>
                <w:sz w:val="20"/>
                <w:szCs w:val="20"/>
              </w:rPr>
            </w:pPr>
            <w:r w:rsidRPr="000F2CD0">
              <w:rPr>
                <w:sz w:val="20"/>
                <w:szCs w:val="20"/>
              </w:rPr>
              <w:t>7.2</w:t>
            </w:r>
          </w:p>
        </w:tc>
      </w:tr>
      <w:tr w:rsidR="00685BE5" w:rsidRPr="000F2CD0" w:rsidTr="00BE2108">
        <w:tc>
          <w:tcPr>
            <w:tcW w:w="4403" w:type="dxa"/>
            <w:tcBorders>
              <w:top w:val="single" w:sz="4" w:space="0" w:color="auto"/>
              <w:bottom w:val="single" w:sz="4" w:space="0" w:color="auto"/>
            </w:tcBorders>
            <w:vAlign w:val="center"/>
          </w:tcPr>
          <w:p w:rsidR="00685BE5" w:rsidRPr="00E3331B" w:rsidRDefault="00685BE5" w:rsidP="00AE4C3A">
            <w:pPr>
              <w:spacing w:before="20" w:after="20"/>
              <w:rPr>
                <w:b/>
                <w:sz w:val="20"/>
                <w:szCs w:val="20"/>
              </w:rPr>
            </w:pPr>
            <w:r w:rsidRPr="00E3331B">
              <w:rPr>
                <w:b/>
                <w:sz w:val="20"/>
                <w:szCs w:val="20"/>
              </w:rPr>
              <w:t>Total (N=2</w:t>
            </w:r>
            <w:r>
              <w:rPr>
                <w:b/>
                <w:sz w:val="20"/>
                <w:szCs w:val="20"/>
              </w:rPr>
              <w:t>,</w:t>
            </w:r>
            <w:r w:rsidRPr="00E3331B">
              <w:rPr>
                <w:b/>
                <w:sz w:val="20"/>
                <w:szCs w:val="20"/>
              </w:rPr>
              <w:t>133)</w:t>
            </w:r>
          </w:p>
        </w:tc>
        <w:tc>
          <w:tcPr>
            <w:tcW w:w="1659" w:type="dxa"/>
            <w:tcBorders>
              <w:top w:val="single" w:sz="4" w:space="0" w:color="auto"/>
              <w:bottom w:val="single" w:sz="4" w:space="0" w:color="auto"/>
            </w:tcBorders>
            <w:vAlign w:val="bottom"/>
          </w:tcPr>
          <w:p w:rsidR="00685BE5" w:rsidRPr="00E3331B" w:rsidRDefault="00685BE5" w:rsidP="00AE4C3A">
            <w:pPr>
              <w:tabs>
                <w:tab w:val="decimal" w:pos="823"/>
              </w:tabs>
              <w:spacing w:before="20" w:after="20"/>
              <w:ind w:right="758"/>
              <w:jc w:val="right"/>
              <w:rPr>
                <w:b/>
                <w:sz w:val="20"/>
                <w:szCs w:val="20"/>
              </w:rPr>
            </w:pPr>
            <w:r w:rsidRPr="00E3331B">
              <w:rPr>
                <w:b/>
                <w:sz w:val="20"/>
                <w:szCs w:val="20"/>
              </w:rPr>
              <w:t>100</w:t>
            </w:r>
          </w:p>
        </w:tc>
        <w:tc>
          <w:tcPr>
            <w:tcW w:w="1701" w:type="dxa"/>
            <w:tcBorders>
              <w:top w:val="single" w:sz="4" w:space="0" w:color="auto"/>
              <w:bottom w:val="single" w:sz="4" w:space="0" w:color="auto"/>
            </w:tcBorders>
            <w:vAlign w:val="bottom"/>
          </w:tcPr>
          <w:p w:rsidR="00685BE5" w:rsidRPr="00E3331B" w:rsidRDefault="00685BE5" w:rsidP="00AE4C3A">
            <w:pPr>
              <w:tabs>
                <w:tab w:val="decimal" w:pos="823"/>
              </w:tabs>
              <w:spacing w:before="20" w:after="20"/>
              <w:ind w:right="615"/>
              <w:jc w:val="right"/>
              <w:rPr>
                <w:b/>
                <w:sz w:val="20"/>
                <w:szCs w:val="20"/>
              </w:rPr>
            </w:pPr>
            <w:r w:rsidRPr="00E3331B">
              <w:rPr>
                <w:b/>
                <w:sz w:val="20"/>
                <w:szCs w:val="20"/>
              </w:rPr>
              <w:t>100</w:t>
            </w:r>
          </w:p>
        </w:tc>
      </w:tr>
    </w:tbl>
    <w:p w:rsidR="00685BE5" w:rsidRPr="005C469C" w:rsidRDefault="00685BE5" w:rsidP="00AE4C3A">
      <w:pPr>
        <w:pStyle w:val="NILSReference"/>
      </w:pPr>
      <w:r w:rsidRPr="005C469C">
        <w:t xml:space="preserve">Source: 2014 NDIS DSP employee survey, Question B8a. </w:t>
      </w:r>
    </w:p>
    <w:p w:rsidR="00685BE5" w:rsidRPr="005C469C" w:rsidRDefault="00685BE5" w:rsidP="00AE4C3A">
      <w:pPr>
        <w:pStyle w:val="NILSReference"/>
      </w:pPr>
      <w:r w:rsidRPr="005C469C">
        <w:t xml:space="preserve">Note: Column percentages are shown. </w:t>
      </w:r>
    </w:p>
    <w:p w:rsidR="00B92687" w:rsidRDefault="00B92687" w:rsidP="00AE4C3A"/>
    <w:p w:rsidR="00685BE5" w:rsidRPr="00AB33E3" w:rsidRDefault="00685BE5" w:rsidP="00AE4C3A">
      <w:r w:rsidRPr="00AB33E3">
        <w:t xml:space="preserve">Table </w:t>
      </w:r>
      <w:r>
        <w:t>4.4</w:t>
      </w:r>
      <w:r w:rsidRPr="00AB33E3">
        <w:t>3 examines relationships between workers and their manager</w:t>
      </w:r>
      <w:r>
        <w:t>s</w:t>
      </w:r>
      <w:r w:rsidRPr="00AB33E3">
        <w:t>, co-worker</w:t>
      </w:r>
      <w:r>
        <w:t>s</w:t>
      </w:r>
      <w:r w:rsidRPr="00AB33E3">
        <w:t xml:space="preserve"> and service users</w:t>
      </w:r>
      <w:r>
        <w:t>. It</w:t>
      </w:r>
      <w:r w:rsidRPr="00AB33E3">
        <w:t xml:space="preserve"> shows that more than 90 </w:t>
      </w:r>
      <w:r>
        <w:t xml:space="preserve">per cent </w:t>
      </w:r>
      <w:r w:rsidRPr="00AB33E3">
        <w:t>of workers th</w:t>
      </w:r>
      <w:r>
        <w:t>ought</w:t>
      </w:r>
      <w:r w:rsidRPr="00AB33E3">
        <w:t xml:space="preserve"> the relationship</w:t>
      </w:r>
      <w:r>
        <w:t>s</w:t>
      </w:r>
      <w:r w:rsidRPr="00AB33E3">
        <w:t xml:space="preserve"> between employees and clients </w:t>
      </w:r>
      <w:r>
        <w:t>we</w:t>
      </w:r>
      <w:r w:rsidRPr="00AB33E3">
        <w:t xml:space="preserve">re particularly good. Most </w:t>
      </w:r>
      <w:r>
        <w:t xml:space="preserve">workers </w:t>
      </w:r>
      <w:r w:rsidRPr="00AB33E3">
        <w:t>also report</w:t>
      </w:r>
      <w:r>
        <w:t>ed</w:t>
      </w:r>
      <w:r w:rsidRPr="00AB33E3">
        <w:t xml:space="preserve"> very good relationships with their co-workers</w:t>
      </w:r>
      <w:r>
        <w:t>,</w:t>
      </w:r>
      <w:r w:rsidRPr="00AB33E3">
        <w:t xml:space="preserve"> with three quarters of staff also having positive relationship</w:t>
      </w:r>
      <w:r>
        <w:t>s</w:t>
      </w:r>
      <w:r w:rsidRPr="00AB33E3">
        <w:t xml:space="preserve"> with their manager</w:t>
      </w:r>
      <w:r>
        <w:t>s</w:t>
      </w:r>
      <w:r w:rsidRPr="00AB33E3">
        <w:t>.</w:t>
      </w:r>
    </w:p>
    <w:p w:rsidR="00685BE5" w:rsidRPr="00416E15" w:rsidRDefault="00685BE5" w:rsidP="0044684E">
      <w:pPr>
        <w:pStyle w:val="NILSTableHeading"/>
        <w:rPr>
          <w:lang w:val="en-AU"/>
        </w:rPr>
      </w:pPr>
      <w:bookmarkStart w:id="679" w:name="_Toc425425121"/>
      <w:bookmarkStart w:id="680" w:name="_Toc428279250"/>
      <w:bookmarkStart w:id="681" w:name="_Toc449955381"/>
      <w:r>
        <w:lastRenderedPageBreak/>
        <w:t>Table 4.4</w:t>
      </w:r>
      <w:r w:rsidRPr="00AB33E3">
        <w:t>3: Relationship between the fo</w:t>
      </w:r>
      <w:r w:rsidR="00416E15">
        <w:t xml:space="preserve">llowing groups in the outlet </w:t>
      </w:r>
      <w:r w:rsidR="00416E15">
        <w:rPr>
          <w:lang w:val="en-AU"/>
        </w:rPr>
        <w:t>[</w:t>
      </w:r>
      <w:r w:rsidR="00416E15">
        <w:t xml:space="preserve">1 to </w:t>
      </w:r>
      <w:r w:rsidRPr="00AB33E3">
        <w:t>7 bad/good scaling</w:t>
      </w:r>
      <w:bookmarkEnd w:id="679"/>
      <w:bookmarkEnd w:id="680"/>
      <w:r w:rsidR="00416E15">
        <w:rPr>
          <w:lang w:val="en-AU"/>
        </w:rPr>
        <w:t>] (per cent)</w:t>
      </w:r>
      <w:bookmarkEnd w:id="681"/>
    </w:p>
    <w:tbl>
      <w:tblPr>
        <w:tblW w:w="8109" w:type="dxa"/>
        <w:tblInd w:w="-34" w:type="dxa"/>
        <w:tblLayout w:type="fixed"/>
        <w:tblLook w:val="04A0" w:firstRow="1" w:lastRow="0" w:firstColumn="1" w:lastColumn="0" w:noHBand="0" w:noVBand="1"/>
        <w:tblCaption w:val="Table 4.43 Relationship between the following groups in the outlet (1-7 bad/good scaling)"/>
      </w:tblPr>
      <w:tblGrid>
        <w:gridCol w:w="3970"/>
        <w:gridCol w:w="794"/>
        <w:gridCol w:w="794"/>
        <w:gridCol w:w="850"/>
        <w:gridCol w:w="907"/>
        <w:gridCol w:w="794"/>
      </w:tblGrid>
      <w:tr w:rsidR="00685BE5" w:rsidRPr="00B90E88" w:rsidTr="004B2FC8">
        <w:trPr>
          <w:tblHeader/>
        </w:trPr>
        <w:tc>
          <w:tcPr>
            <w:tcW w:w="3970" w:type="dxa"/>
            <w:tcBorders>
              <w:top w:val="single" w:sz="4" w:space="0" w:color="auto"/>
              <w:left w:val="nil"/>
              <w:bottom w:val="nil"/>
              <w:right w:val="nil"/>
            </w:tcBorders>
            <w:shd w:val="clear" w:color="auto" w:fill="auto"/>
            <w:noWrap/>
            <w:hideMark/>
          </w:tcPr>
          <w:p w:rsidR="00685BE5" w:rsidRPr="009D1028" w:rsidRDefault="00685BE5" w:rsidP="00AE4C3A">
            <w:pPr>
              <w:spacing w:before="20" w:after="20"/>
              <w:rPr>
                <w:sz w:val="20"/>
                <w:szCs w:val="20"/>
              </w:rPr>
            </w:pPr>
            <w:bookmarkStart w:id="682" w:name="Title_4_43"/>
            <w:bookmarkEnd w:id="682"/>
          </w:p>
        </w:tc>
        <w:tc>
          <w:tcPr>
            <w:tcW w:w="794" w:type="dxa"/>
            <w:tcBorders>
              <w:top w:val="single" w:sz="4" w:space="0" w:color="auto"/>
              <w:left w:val="nil"/>
              <w:bottom w:val="nil"/>
              <w:right w:val="nil"/>
            </w:tcBorders>
            <w:shd w:val="clear" w:color="auto" w:fill="auto"/>
            <w:noWrap/>
            <w:vAlign w:val="bottom"/>
            <w:hideMark/>
          </w:tcPr>
          <w:p w:rsidR="00685BE5" w:rsidRDefault="00685BE5" w:rsidP="004B2FC8">
            <w:pPr>
              <w:spacing w:before="20" w:after="20"/>
              <w:jc w:val="center"/>
              <w:rPr>
                <w:sz w:val="20"/>
                <w:szCs w:val="20"/>
              </w:rPr>
            </w:pPr>
            <w:r>
              <w:rPr>
                <w:sz w:val="20"/>
                <w:szCs w:val="20"/>
              </w:rPr>
              <w:t>Bad</w:t>
            </w:r>
          </w:p>
          <w:p w:rsidR="00685BE5" w:rsidRPr="007D2274" w:rsidRDefault="00416E15" w:rsidP="004B2FC8">
            <w:pPr>
              <w:spacing w:before="20" w:after="20"/>
              <w:jc w:val="center"/>
              <w:rPr>
                <w:sz w:val="20"/>
                <w:szCs w:val="20"/>
              </w:rPr>
            </w:pPr>
            <w:r>
              <w:rPr>
                <w:sz w:val="20"/>
                <w:szCs w:val="20"/>
              </w:rPr>
              <w:t xml:space="preserve">1 to </w:t>
            </w:r>
            <w:r w:rsidR="00685BE5" w:rsidRPr="007D2274">
              <w:rPr>
                <w:sz w:val="20"/>
                <w:szCs w:val="20"/>
              </w:rPr>
              <w:t>3</w:t>
            </w:r>
          </w:p>
        </w:tc>
        <w:tc>
          <w:tcPr>
            <w:tcW w:w="794" w:type="dxa"/>
            <w:tcBorders>
              <w:top w:val="single" w:sz="4" w:space="0" w:color="auto"/>
              <w:left w:val="nil"/>
              <w:bottom w:val="nil"/>
              <w:right w:val="nil"/>
            </w:tcBorders>
            <w:shd w:val="clear" w:color="auto" w:fill="auto"/>
            <w:noWrap/>
            <w:vAlign w:val="bottom"/>
            <w:hideMark/>
          </w:tcPr>
          <w:p w:rsidR="00885A65" w:rsidRDefault="00885A65" w:rsidP="004B2FC8">
            <w:pPr>
              <w:spacing w:before="20" w:after="20"/>
              <w:jc w:val="center"/>
              <w:rPr>
                <w:sz w:val="20"/>
                <w:szCs w:val="20"/>
              </w:rPr>
            </w:pPr>
          </w:p>
          <w:p w:rsidR="00685BE5" w:rsidRPr="007D2274" w:rsidRDefault="00685BE5" w:rsidP="004B2FC8">
            <w:pPr>
              <w:spacing w:before="20" w:after="20"/>
              <w:jc w:val="center"/>
              <w:rPr>
                <w:sz w:val="20"/>
                <w:szCs w:val="20"/>
              </w:rPr>
            </w:pPr>
            <w:r w:rsidRPr="007D2274">
              <w:rPr>
                <w:sz w:val="20"/>
                <w:szCs w:val="20"/>
              </w:rPr>
              <w:t>4</w:t>
            </w:r>
          </w:p>
        </w:tc>
        <w:tc>
          <w:tcPr>
            <w:tcW w:w="850" w:type="dxa"/>
            <w:tcBorders>
              <w:top w:val="single" w:sz="4" w:space="0" w:color="auto"/>
              <w:left w:val="nil"/>
              <w:bottom w:val="nil"/>
              <w:right w:val="nil"/>
            </w:tcBorders>
            <w:shd w:val="clear" w:color="auto" w:fill="auto"/>
            <w:noWrap/>
            <w:vAlign w:val="bottom"/>
            <w:hideMark/>
          </w:tcPr>
          <w:p w:rsidR="00685BE5" w:rsidRDefault="00685BE5" w:rsidP="004B2FC8">
            <w:pPr>
              <w:spacing w:before="20" w:after="20"/>
              <w:jc w:val="center"/>
              <w:rPr>
                <w:sz w:val="20"/>
                <w:szCs w:val="20"/>
              </w:rPr>
            </w:pPr>
            <w:r>
              <w:rPr>
                <w:sz w:val="20"/>
                <w:szCs w:val="20"/>
              </w:rPr>
              <w:t>Good</w:t>
            </w:r>
          </w:p>
          <w:p w:rsidR="00685BE5" w:rsidRPr="007D2274" w:rsidRDefault="00416E15" w:rsidP="004B2FC8">
            <w:pPr>
              <w:spacing w:before="20" w:after="20"/>
              <w:jc w:val="center"/>
              <w:rPr>
                <w:sz w:val="20"/>
                <w:szCs w:val="20"/>
              </w:rPr>
            </w:pPr>
            <w:r>
              <w:rPr>
                <w:sz w:val="20"/>
                <w:szCs w:val="20"/>
              </w:rPr>
              <w:t xml:space="preserve">5 to </w:t>
            </w:r>
            <w:r w:rsidR="00685BE5" w:rsidRPr="007D2274">
              <w:rPr>
                <w:sz w:val="20"/>
                <w:szCs w:val="20"/>
              </w:rPr>
              <w:t>7</w:t>
            </w:r>
          </w:p>
        </w:tc>
        <w:tc>
          <w:tcPr>
            <w:tcW w:w="907" w:type="dxa"/>
            <w:tcBorders>
              <w:top w:val="single" w:sz="4" w:space="0" w:color="auto"/>
              <w:left w:val="nil"/>
              <w:bottom w:val="nil"/>
              <w:right w:val="nil"/>
            </w:tcBorders>
            <w:shd w:val="clear" w:color="auto" w:fill="auto"/>
            <w:noWrap/>
            <w:hideMark/>
          </w:tcPr>
          <w:p w:rsidR="00685BE5" w:rsidRPr="007D2274" w:rsidRDefault="00685BE5" w:rsidP="001C1889">
            <w:pPr>
              <w:spacing w:before="20" w:after="20"/>
              <w:ind w:left="-81" w:right="-97"/>
              <w:jc w:val="center"/>
              <w:rPr>
                <w:sz w:val="20"/>
                <w:szCs w:val="20"/>
              </w:rPr>
            </w:pPr>
            <w:r w:rsidRPr="007D2274">
              <w:rPr>
                <w:sz w:val="20"/>
                <w:szCs w:val="20"/>
              </w:rPr>
              <w:t>Question not answered</w:t>
            </w:r>
          </w:p>
        </w:tc>
        <w:tc>
          <w:tcPr>
            <w:tcW w:w="794" w:type="dxa"/>
            <w:tcBorders>
              <w:top w:val="single" w:sz="4" w:space="0" w:color="auto"/>
              <w:left w:val="nil"/>
              <w:bottom w:val="nil"/>
              <w:right w:val="nil"/>
            </w:tcBorders>
            <w:shd w:val="clear" w:color="auto" w:fill="auto"/>
            <w:noWrap/>
            <w:vAlign w:val="bottom"/>
            <w:hideMark/>
          </w:tcPr>
          <w:p w:rsidR="00685BE5" w:rsidRPr="007D2274" w:rsidRDefault="00685BE5" w:rsidP="004048D7">
            <w:pPr>
              <w:spacing w:before="20" w:after="20"/>
              <w:jc w:val="center"/>
              <w:rPr>
                <w:sz w:val="20"/>
                <w:szCs w:val="20"/>
              </w:rPr>
            </w:pPr>
            <w:r w:rsidRPr="007D2274">
              <w:rPr>
                <w:sz w:val="20"/>
                <w:szCs w:val="20"/>
              </w:rPr>
              <w:t>Mean</w:t>
            </w:r>
          </w:p>
        </w:tc>
      </w:tr>
      <w:tr w:rsidR="00685BE5" w:rsidRPr="00B90E88" w:rsidTr="004B2FC8">
        <w:trPr>
          <w:trHeight w:val="397"/>
        </w:trPr>
        <w:tc>
          <w:tcPr>
            <w:tcW w:w="3970" w:type="dxa"/>
            <w:tcBorders>
              <w:top w:val="single" w:sz="4" w:space="0" w:color="auto"/>
              <w:left w:val="nil"/>
              <w:bottom w:val="nil"/>
              <w:right w:val="nil"/>
            </w:tcBorders>
            <w:shd w:val="clear" w:color="auto" w:fill="auto"/>
            <w:noWrap/>
            <w:vAlign w:val="bottom"/>
            <w:hideMark/>
          </w:tcPr>
          <w:p w:rsidR="00685BE5" w:rsidRPr="007D2274" w:rsidRDefault="00685BE5" w:rsidP="00AE4C3A">
            <w:pPr>
              <w:spacing w:before="20" w:after="20"/>
              <w:rPr>
                <w:sz w:val="20"/>
                <w:szCs w:val="20"/>
              </w:rPr>
            </w:pPr>
            <w:r w:rsidRPr="007D2274">
              <w:rPr>
                <w:sz w:val="20"/>
                <w:szCs w:val="20"/>
              </w:rPr>
              <w:t>Employees and their manager</w:t>
            </w:r>
          </w:p>
        </w:tc>
        <w:tc>
          <w:tcPr>
            <w:tcW w:w="794" w:type="dxa"/>
            <w:tcBorders>
              <w:top w:val="single" w:sz="4" w:space="0" w:color="auto"/>
              <w:left w:val="nil"/>
              <w:bottom w:val="nil"/>
              <w:right w:val="nil"/>
            </w:tcBorders>
            <w:shd w:val="clear" w:color="auto" w:fill="auto"/>
            <w:noWrap/>
            <w:vAlign w:val="bottom"/>
            <w:hideMark/>
          </w:tcPr>
          <w:p w:rsidR="00685BE5" w:rsidRPr="007D2274" w:rsidRDefault="00685BE5" w:rsidP="00F9697A">
            <w:pPr>
              <w:tabs>
                <w:tab w:val="decimal" w:pos="317"/>
              </w:tabs>
              <w:spacing w:before="20" w:after="20"/>
              <w:rPr>
                <w:sz w:val="20"/>
                <w:szCs w:val="20"/>
              </w:rPr>
            </w:pPr>
            <w:r w:rsidRPr="007D2274">
              <w:rPr>
                <w:sz w:val="20"/>
                <w:szCs w:val="20"/>
              </w:rPr>
              <w:t>12.1</w:t>
            </w:r>
          </w:p>
        </w:tc>
        <w:tc>
          <w:tcPr>
            <w:tcW w:w="794" w:type="dxa"/>
            <w:tcBorders>
              <w:top w:val="single" w:sz="4" w:space="0" w:color="auto"/>
              <w:left w:val="nil"/>
              <w:bottom w:val="nil"/>
              <w:right w:val="nil"/>
            </w:tcBorders>
            <w:shd w:val="clear" w:color="auto" w:fill="auto"/>
            <w:noWrap/>
            <w:vAlign w:val="bottom"/>
            <w:hideMark/>
          </w:tcPr>
          <w:p w:rsidR="00685BE5" w:rsidRPr="007D2274" w:rsidRDefault="00685BE5" w:rsidP="00E37E4B">
            <w:pPr>
              <w:tabs>
                <w:tab w:val="decimal" w:pos="373"/>
              </w:tabs>
              <w:spacing w:before="20" w:after="20"/>
              <w:rPr>
                <w:sz w:val="20"/>
                <w:szCs w:val="20"/>
              </w:rPr>
            </w:pPr>
            <w:r w:rsidRPr="007D2274">
              <w:rPr>
                <w:sz w:val="20"/>
                <w:szCs w:val="20"/>
              </w:rPr>
              <w:t>12.7</w:t>
            </w:r>
          </w:p>
        </w:tc>
        <w:tc>
          <w:tcPr>
            <w:tcW w:w="850" w:type="dxa"/>
            <w:tcBorders>
              <w:top w:val="single" w:sz="4" w:space="0" w:color="auto"/>
              <w:left w:val="nil"/>
              <w:bottom w:val="nil"/>
              <w:right w:val="nil"/>
            </w:tcBorders>
            <w:shd w:val="clear" w:color="auto" w:fill="auto"/>
            <w:noWrap/>
            <w:vAlign w:val="bottom"/>
            <w:hideMark/>
          </w:tcPr>
          <w:p w:rsidR="00685BE5" w:rsidRPr="007D2274" w:rsidRDefault="00685BE5" w:rsidP="00F9697A">
            <w:pPr>
              <w:tabs>
                <w:tab w:val="decimal" w:pos="430"/>
              </w:tabs>
              <w:spacing w:before="20" w:after="20"/>
              <w:rPr>
                <w:sz w:val="20"/>
                <w:szCs w:val="20"/>
              </w:rPr>
            </w:pPr>
            <w:r w:rsidRPr="007D2274">
              <w:rPr>
                <w:sz w:val="20"/>
                <w:szCs w:val="20"/>
              </w:rPr>
              <w:t>74.3</w:t>
            </w:r>
          </w:p>
        </w:tc>
        <w:tc>
          <w:tcPr>
            <w:tcW w:w="907" w:type="dxa"/>
            <w:tcBorders>
              <w:top w:val="single" w:sz="4" w:space="0" w:color="auto"/>
              <w:left w:val="nil"/>
              <w:bottom w:val="nil"/>
              <w:right w:val="nil"/>
            </w:tcBorders>
            <w:shd w:val="clear" w:color="auto" w:fill="auto"/>
            <w:noWrap/>
            <w:vAlign w:val="bottom"/>
            <w:hideMark/>
          </w:tcPr>
          <w:p w:rsidR="00685BE5" w:rsidRPr="007D2274" w:rsidRDefault="00685BE5" w:rsidP="00F9697A">
            <w:pPr>
              <w:tabs>
                <w:tab w:val="decimal" w:pos="345"/>
              </w:tabs>
              <w:spacing w:before="20" w:after="20"/>
              <w:rPr>
                <w:sz w:val="20"/>
                <w:szCs w:val="20"/>
              </w:rPr>
            </w:pPr>
            <w:r w:rsidRPr="007D2274">
              <w:rPr>
                <w:sz w:val="20"/>
                <w:szCs w:val="20"/>
              </w:rPr>
              <w:t>0.9</w:t>
            </w:r>
          </w:p>
        </w:tc>
        <w:tc>
          <w:tcPr>
            <w:tcW w:w="794" w:type="dxa"/>
            <w:tcBorders>
              <w:top w:val="single" w:sz="4" w:space="0" w:color="auto"/>
              <w:left w:val="nil"/>
              <w:bottom w:val="nil"/>
              <w:right w:val="nil"/>
            </w:tcBorders>
            <w:shd w:val="clear" w:color="auto" w:fill="auto"/>
            <w:noWrap/>
            <w:vAlign w:val="bottom"/>
            <w:hideMark/>
          </w:tcPr>
          <w:p w:rsidR="00685BE5" w:rsidRPr="00245A63" w:rsidRDefault="00685BE5" w:rsidP="00F9697A">
            <w:pPr>
              <w:tabs>
                <w:tab w:val="decimal" w:pos="373"/>
              </w:tabs>
              <w:spacing w:before="20" w:after="20"/>
              <w:rPr>
                <w:sz w:val="20"/>
                <w:szCs w:val="20"/>
              </w:rPr>
            </w:pPr>
            <w:r w:rsidRPr="00245A63">
              <w:rPr>
                <w:sz w:val="20"/>
                <w:szCs w:val="20"/>
              </w:rPr>
              <w:t>5.3</w:t>
            </w:r>
          </w:p>
        </w:tc>
      </w:tr>
      <w:tr w:rsidR="00685BE5" w:rsidRPr="00B90E88" w:rsidTr="004B2FC8">
        <w:trPr>
          <w:trHeight w:val="397"/>
        </w:trPr>
        <w:tc>
          <w:tcPr>
            <w:tcW w:w="3970" w:type="dxa"/>
            <w:tcBorders>
              <w:top w:val="nil"/>
              <w:left w:val="nil"/>
              <w:bottom w:val="nil"/>
              <w:right w:val="nil"/>
            </w:tcBorders>
            <w:shd w:val="clear" w:color="auto" w:fill="auto"/>
            <w:noWrap/>
            <w:vAlign w:val="bottom"/>
            <w:hideMark/>
          </w:tcPr>
          <w:p w:rsidR="00685BE5" w:rsidRPr="007D2274" w:rsidRDefault="00685BE5" w:rsidP="00AE4C3A">
            <w:pPr>
              <w:spacing w:before="20" w:after="20"/>
              <w:rPr>
                <w:sz w:val="20"/>
                <w:szCs w:val="20"/>
              </w:rPr>
            </w:pPr>
            <w:r w:rsidRPr="007D2274">
              <w:rPr>
                <w:sz w:val="20"/>
                <w:szCs w:val="20"/>
              </w:rPr>
              <w:t>Employees and their co-workers</w:t>
            </w:r>
          </w:p>
        </w:tc>
        <w:tc>
          <w:tcPr>
            <w:tcW w:w="794" w:type="dxa"/>
            <w:tcBorders>
              <w:top w:val="nil"/>
              <w:left w:val="nil"/>
              <w:bottom w:val="nil"/>
              <w:right w:val="nil"/>
            </w:tcBorders>
            <w:shd w:val="clear" w:color="auto" w:fill="auto"/>
            <w:noWrap/>
            <w:vAlign w:val="bottom"/>
            <w:hideMark/>
          </w:tcPr>
          <w:p w:rsidR="00685BE5" w:rsidRPr="007D2274" w:rsidRDefault="00685BE5" w:rsidP="00F9697A">
            <w:pPr>
              <w:tabs>
                <w:tab w:val="decimal" w:pos="317"/>
              </w:tabs>
              <w:spacing w:before="20" w:after="20"/>
              <w:rPr>
                <w:sz w:val="20"/>
                <w:szCs w:val="20"/>
              </w:rPr>
            </w:pPr>
            <w:r w:rsidRPr="007D2274">
              <w:rPr>
                <w:sz w:val="20"/>
                <w:szCs w:val="20"/>
              </w:rPr>
              <w:t>4.5</w:t>
            </w:r>
          </w:p>
        </w:tc>
        <w:tc>
          <w:tcPr>
            <w:tcW w:w="794" w:type="dxa"/>
            <w:tcBorders>
              <w:top w:val="nil"/>
              <w:left w:val="nil"/>
              <w:bottom w:val="nil"/>
              <w:right w:val="nil"/>
            </w:tcBorders>
            <w:shd w:val="clear" w:color="auto" w:fill="auto"/>
            <w:noWrap/>
            <w:vAlign w:val="bottom"/>
            <w:hideMark/>
          </w:tcPr>
          <w:p w:rsidR="00685BE5" w:rsidRPr="007D2274" w:rsidRDefault="00685BE5" w:rsidP="00E37E4B">
            <w:pPr>
              <w:tabs>
                <w:tab w:val="decimal" w:pos="373"/>
              </w:tabs>
              <w:spacing w:before="20" w:after="20"/>
              <w:rPr>
                <w:sz w:val="20"/>
                <w:szCs w:val="20"/>
              </w:rPr>
            </w:pPr>
            <w:r w:rsidRPr="007D2274">
              <w:rPr>
                <w:sz w:val="20"/>
                <w:szCs w:val="20"/>
              </w:rPr>
              <w:t>8.7</w:t>
            </w:r>
          </w:p>
        </w:tc>
        <w:tc>
          <w:tcPr>
            <w:tcW w:w="850" w:type="dxa"/>
            <w:tcBorders>
              <w:top w:val="nil"/>
              <w:left w:val="nil"/>
              <w:bottom w:val="nil"/>
              <w:right w:val="nil"/>
            </w:tcBorders>
            <w:shd w:val="clear" w:color="auto" w:fill="auto"/>
            <w:noWrap/>
            <w:vAlign w:val="bottom"/>
            <w:hideMark/>
          </w:tcPr>
          <w:p w:rsidR="00685BE5" w:rsidRPr="007D2274" w:rsidRDefault="00685BE5" w:rsidP="00F9697A">
            <w:pPr>
              <w:tabs>
                <w:tab w:val="decimal" w:pos="430"/>
              </w:tabs>
              <w:spacing w:before="20" w:after="20"/>
              <w:rPr>
                <w:sz w:val="20"/>
                <w:szCs w:val="20"/>
              </w:rPr>
            </w:pPr>
            <w:r w:rsidRPr="007D2274">
              <w:rPr>
                <w:sz w:val="20"/>
                <w:szCs w:val="20"/>
              </w:rPr>
              <w:t>85.7</w:t>
            </w:r>
          </w:p>
        </w:tc>
        <w:tc>
          <w:tcPr>
            <w:tcW w:w="907" w:type="dxa"/>
            <w:tcBorders>
              <w:top w:val="nil"/>
              <w:left w:val="nil"/>
              <w:bottom w:val="nil"/>
              <w:right w:val="nil"/>
            </w:tcBorders>
            <w:shd w:val="clear" w:color="auto" w:fill="auto"/>
            <w:noWrap/>
            <w:vAlign w:val="bottom"/>
            <w:hideMark/>
          </w:tcPr>
          <w:p w:rsidR="00685BE5" w:rsidRPr="007D2274" w:rsidRDefault="00685BE5" w:rsidP="00F9697A">
            <w:pPr>
              <w:tabs>
                <w:tab w:val="decimal" w:pos="345"/>
              </w:tabs>
              <w:spacing w:before="20" w:after="20"/>
              <w:rPr>
                <w:sz w:val="20"/>
                <w:szCs w:val="20"/>
              </w:rPr>
            </w:pPr>
            <w:r w:rsidRPr="007D2274">
              <w:rPr>
                <w:sz w:val="20"/>
                <w:szCs w:val="20"/>
              </w:rPr>
              <w:t>1.2</w:t>
            </w:r>
          </w:p>
        </w:tc>
        <w:tc>
          <w:tcPr>
            <w:tcW w:w="794" w:type="dxa"/>
            <w:tcBorders>
              <w:top w:val="nil"/>
              <w:left w:val="nil"/>
              <w:bottom w:val="nil"/>
              <w:right w:val="nil"/>
            </w:tcBorders>
            <w:shd w:val="clear" w:color="auto" w:fill="auto"/>
            <w:noWrap/>
            <w:vAlign w:val="bottom"/>
            <w:hideMark/>
          </w:tcPr>
          <w:p w:rsidR="00685BE5" w:rsidRPr="00245A63" w:rsidRDefault="00685BE5" w:rsidP="00F9697A">
            <w:pPr>
              <w:tabs>
                <w:tab w:val="decimal" w:pos="373"/>
              </w:tabs>
              <w:spacing w:before="20" w:after="20"/>
              <w:rPr>
                <w:sz w:val="20"/>
                <w:szCs w:val="20"/>
              </w:rPr>
            </w:pPr>
            <w:r w:rsidRPr="00245A63">
              <w:rPr>
                <w:sz w:val="20"/>
                <w:szCs w:val="20"/>
              </w:rPr>
              <w:t>5.7</w:t>
            </w:r>
          </w:p>
        </w:tc>
      </w:tr>
      <w:tr w:rsidR="00685BE5" w:rsidRPr="00B90E88" w:rsidTr="004B2FC8">
        <w:trPr>
          <w:trHeight w:val="397"/>
        </w:trPr>
        <w:tc>
          <w:tcPr>
            <w:tcW w:w="3970" w:type="dxa"/>
            <w:tcBorders>
              <w:top w:val="nil"/>
              <w:left w:val="nil"/>
              <w:bottom w:val="single" w:sz="4" w:space="0" w:color="auto"/>
              <w:right w:val="nil"/>
            </w:tcBorders>
            <w:shd w:val="clear" w:color="auto" w:fill="auto"/>
            <w:noWrap/>
            <w:vAlign w:val="bottom"/>
            <w:hideMark/>
          </w:tcPr>
          <w:p w:rsidR="00685BE5" w:rsidRPr="007D2274" w:rsidRDefault="00685BE5" w:rsidP="00AE4C3A">
            <w:pPr>
              <w:spacing w:before="20" w:after="20"/>
              <w:rPr>
                <w:sz w:val="20"/>
                <w:szCs w:val="20"/>
              </w:rPr>
            </w:pPr>
            <w:r w:rsidRPr="007D2274">
              <w:rPr>
                <w:sz w:val="20"/>
                <w:szCs w:val="20"/>
              </w:rPr>
              <w:t xml:space="preserve">Employees and the people for whom they provide care and support </w:t>
            </w:r>
          </w:p>
        </w:tc>
        <w:tc>
          <w:tcPr>
            <w:tcW w:w="794" w:type="dxa"/>
            <w:tcBorders>
              <w:top w:val="nil"/>
              <w:left w:val="nil"/>
              <w:bottom w:val="single" w:sz="4" w:space="0" w:color="auto"/>
              <w:right w:val="nil"/>
            </w:tcBorders>
            <w:shd w:val="clear" w:color="auto" w:fill="auto"/>
            <w:noWrap/>
            <w:vAlign w:val="center"/>
            <w:hideMark/>
          </w:tcPr>
          <w:p w:rsidR="00685BE5" w:rsidRPr="007D2274" w:rsidRDefault="00685BE5" w:rsidP="004B2FC8">
            <w:pPr>
              <w:tabs>
                <w:tab w:val="decimal" w:pos="317"/>
              </w:tabs>
              <w:spacing w:before="20" w:after="20"/>
              <w:rPr>
                <w:sz w:val="20"/>
                <w:szCs w:val="20"/>
              </w:rPr>
            </w:pPr>
            <w:r w:rsidRPr="007D2274">
              <w:rPr>
                <w:sz w:val="20"/>
                <w:szCs w:val="20"/>
              </w:rPr>
              <w:t>1.2</w:t>
            </w:r>
          </w:p>
        </w:tc>
        <w:tc>
          <w:tcPr>
            <w:tcW w:w="794" w:type="dxa"/>
            <w:tcBorders>
              <w:top w:val="nil"/>
              <w:left w:val="nil"/>
              <w:bottom w:val="single" w:sz="4" w:space="0" w:color="auto"/>
              <w:right w:val="nil"/>
            </w:tcBorders>
            <w:shd w:val="clear" w:color="auto" w:fill="auto"/>
            <w:noWrap/>
            <w:vAlign w:val="center"/>
            <w:hideMark/>
          </w:tcPr>
          <w:p w:rsidR="00685BE5" w:rsidRPr="007D2274" w:rsidRDefault="00685BE5" w:rsidP="00E37E4B">
            <w:pPr>
              <w:tabs>
                <w:tab w:val="decimal" w:pos="373"/>
              </w:tabs>
              <w:spacing w:before="20" w:after="20"/>
              <w:rPr>
                <w:sz w:val="20"/>
                <w:szCs w:val="20"/>
              </w:rPr>
            </w:pPr>
            <w:r w:rsidRPr="007D2274">
              <w:rPr>
                <w:sz w:val="20"/>
                <w:szCs w:val="20"/>
              </w:rPr>
              <w:t>4.8</w:t>
            </w:r>
          </w:p>
        </w:tc>
        <w:tc>
          <w:tcPr>
            <w:tcW w:w="850" w:type="dxa"/>
            <w:tcBorders>
              <w:top w:val="nil"/>
              <w:left w:val="nil"/>
              <w:bottom w:val="single" w:sz="4" w:space="0" w:color="auto"/>
              <w:right w:val="nil"/>
            </w:tcBorders>
            <w:shd w:val="clear" w:color="auto" w:fill="auto"/>
            <w:noWrap/>
            <w:vAlign w:val="center"/>
            <w:hideMark/>
          </w:tcPr>
          <w:p w:rsidR="00685BE5" w:rsidRPr="007D2274" w:rsidRDefault="00685BE5" w:rsidP="004B2FC8">
            <w:pPr>
              <w:tabs>
                <w:tab w:val="decimal" w:pos="430"/>
              </w:tabs>
              <w:spacing w:before="20" w:after="20"/>
              <w:rPr>
                <w:sz w:val="20"/>
                <w:szCs w:val="20"/>
              </w:rPr>
            </w:pPr>
            <w:r w:rsidRPr="007D2274">
              <w:rPr>
                <w:sz w:val="20"/>
                <w:szCs w:val="20"/>
              </w:rPr>
              <w:t>92.7</w:t>
            </w:r>
          </w:p>
        </w:tc>
        <w:tc>
          <w:tcPr>
            <w:tcW w:w="907" w:type="dxa"/>
            <w:tcBorders>
              <w:top w:val="nil"/>
              <w:left w:val="nil"/>
              <w:bottom w:val="single" w:sz="4" w:space="0" w:color="auto"/>
              <w:right w:val="nil"/>
            </w:tcBorders>
            <w:shd w:val="clear" w:color="auto" w:fill="auto"/>
            <w:noWrap/>
            <w:vAlign w:val="center"/>
            <w:hideMark/>
          </w:tcPr>
          <w:p w:rsidR="00685BE5" w:rsidRPr="007D2274" w:rsidRDefault="00685BE5" w:rsidP="004B2FC8">
            <w:pPr>
              <w:tabs>
                <w:tab w:val="decimal" w:pos="345"/>
              </w:tabs>
              <w:spacing w:before="20" w:after="20"/>
              <w:rPr>
                <w:sz w:val="20"/>
                <w:szCs w:val="20"/>
              </w:rPr>
            </w:pPr>
            <w:r w:rsidRPr="007D2274">
              <w:rPr>
                <w:sz w:val="20"/>
                <w:szCs w:val="20"/>
              </w:rPr>
              <w:t>1.3</w:t>
            </w:r>
          </w:p>
        </w:tc>
        <w:tc>
          <w:tcPr>
            <w:tcW w:w="794" w:type="dxa"/>
            <w:tcBorders>
              <w:top w:val="nil"/>
              <w:left w:val="nil"/>
              <w:bottom w:val="single" w:sz="4" w:space="0" w:color="auto"/>
              <w:right w:val="nil"/>
            </w:tcBorders>
            <w:shd w:val="clear" w:color="auto" w:fill="auto"/>
            <w:noWrap/>
            <w:vAlign w:val="center"/>
            <w:hideMark/>
          </w:tcPr>
          <w:p w:rsidR="00685BE5" w:rsidRPr="00245A63" w:rsidRDefault="00685BE5" w:rsidP="004B2FC8">
            <w:pPr>
              <w:tabs>
                <w:tab w:val="decimal" w:pos="373"/>
              </w:tabs>
              <w:spacing w:before="20" w:after="20"/>
              <w:rPr>
                <w:sz w:val="20"/>
                <w:szCs w:val="20"/>
              </w:rPr>
            </w:pPr>
            <w:r w:rsidRPr="00245A63">
              <w:rPr>
                <w:sz w:val="20"/>
                <w:szCs w:val="20"/>
              </w:rPr>
              <w:t>6.0</w:t>
            </w:r>
          </w:p>
        </w:tc>
      </w:tr>
      <w:tr w:rsidR="00685BE5" w:rsidRPr="00B90E88" w:rsidTr="00F9697A">
        <w:tc>
          <w:tcPr>
            <w:tcW w:w="3970" w:type="dxa"/>
            <w:tcBorders>
              <w:top w:val="single" w:sz="4" w:space="0" w:color="auto"/>
              <w:left w:val="nil"/>
              <w:bottom w:val="single" w:sz="4" w:space="0" w:color="auto"/>
              <w:right w:val="nil"/>
            </w:tcBorders>
            <w:shd w:val="clear" w:color="auto" w:fill="auto"/>
            <w:noWrap/>
            <w:vAlign w:val="bottom"/>
          </w:tcPr>
          <w:p w:rsidR="00685BE5" w:rsidRPr="007D2274" w:rsidRDefault="00685BE5" w:rsidP="00AE4C3A">
            <w:pPr>
              <w:spacing w:before="20" w:after="20"/>
              <w:rPr>
                <w:sz w:val="20"/>
                <w:szCs w:val="20"/>
              </w:rPr>
            </w:pPr>
            <w:r w:rsidRPr="00E3331B">
              <w:rPr>
                <w:rFonts w:cstheme="minorHAnsi"/>
                <w:b/>
                <w:sz w:val="20"/>
                <w:szCs w:val="20"/>
              </w:rPr>
              <w:t>Total (N=2</w:t>
            </w:r>
            <w:r>
              <w:rPr>
                <w:rFonts w:cstheme="minorHAnsi"/>
                <w:b/>
                <w:sz w:val="20"/>
                <w:szCs w:val="20"/>
              </w:rPr>
              <w:t>,</w:t>
            </w:r>
            <w:r w:rsidRPr="00E3331B">
              <w:rPr>
                <w:rFonts w:cstheme="minorHAnsi"/>
                <w:b/>
                <w:sz w:val="20"/>
                <w:szCs w:val="20"/>
              </w:rPr>
              <w:t>133)</w:t>
            </w:r>
          </w:p>
        </w:tc>
        <w:tc>
          <w:tcPr>
            <w:tcW w:w="794" w:type="dxa"/>
            <w:tcBorders>
              <w:top w:val="single" w:sz="4" w:space="0" w:color="auto"/>
              <w:left w:val="nil"/>
              <w:bottom w:val="single" w:sz="4" w:space="0" w:color="auto"/>
              <w:right w:val="nil"/>
            </w:tcBorders>
            <w:shd w:val="clear" w:color="auto" w:fill="auto"/>
            <w:noWrap/>
            <w:vAlign w:val="bottom"/>
          </w:tcPr>
          <w:p w:rsidR="00685BE5" w:rsidRPr="007D2274" w:rsidRDefault="00685BE5" w:rsidP="00F9697A">
            <w:pPr>
              <w:tabs>
                <w:tab w:val="decimal" w:pos="317"/>
              </w:tabs>
              <w:spacing w:before="20" w:after="20"/>
              <w:rPr>
                <w:sz w:val="20"/>
                <w:szCs w:val="20"/>
              </w:rPr>
            </w:pPr>
          </w:p>
        </w:tc>
        <w:tc>
          <w:tcPr>
            <w:tcW w:w="794" w:type="dxa"/>
            <w:tcBorders>
              <w:top w:val="single" w:sz="4" w:space="0" w:color="auto"/>
              <w:left w:val="nil"/>
              <w:bottom w:val="single" w:sz="4" w:space="0" w:color="auto"/>
              <w:right w:val="nil"/>
            </w:tcBorders>
            <w:shd w:val="clear" w:color="auto" w:fill="auto"/>
            <w:noWrap/>
            <w:vAlign w:val="bottom"/>
          </w:tcPr>
          <w:p w:rsidR="00685BE5" w:rsidRPr="007D2274" w:rsidRDefault="00685BE5" w:rsidP="00E37E4B">
            <w:pPr>
              <w:tabs>
                <w:tab w:val="decimal" w:pos="318"/>
                <w:tab w:val="decimal" w:pos="373"/>
              </w:tabs>
              <w:spacing w:before="20" w:after="20"/>
              <w:rPr>
                <w:sz w:val="20"/>
                <w:szCs w:val="20"/>
              </w:rPr>
            </w:pPr>
          </w:p>
        </w:tc>
        <w:tc>
          <w:tcPr>
            <w:tcW w:w="850" w:type="dxa"/>
            <w:tcBorders>
              <w:top w:val="single" w:sz="4" w:space="0" w:color="auto"/>
              <w:left w:val="nil"/>
              <w:bottom w:val="single" w:sz="4" w:space="0" w:color="auto"/>
              <w:right w:val="nil"/>
            </w:tcBorders>
            <w:shd w:val="clear" w:color="auto" w:fill="auto"/>
            <w:noWrap/>
            <w:vAlign w:val="bottom"/>
          </w:tcPr>
          <w:p w:rsidR="00685BE5" w:rsidRPr="007D2274" w:rsidRDefault="00685BE5" w:rsidP="00F9697A">
            <w:pPr>
              <w:tabs>
                <w:tab w:val="decimal" w:pos="318"/>
                <w:tab w:val="decimal" w:pos="430"/>
              </w:tabs>
              <w:spacing w:before="20" w:after="20"/>
              <w:rPr>
                <w:sz w:val="20"/>
                <w:szCs w:val="20"/>
              </w:rPr>
            </w:pPr>
          </w:p>
        </w:tc>
        <w:tc>
          <w:tcPr>
            <w:tcW w:w="907" w:type="dxa"/>
            <w:tcBorders>
              <w:top w:val="single" w:sz="4" w:space="0" w:color="auto"/>
              <w:left w:val="nil"/>
              <w:bottom w:val="single" w:sz="4" w:space="0" w:color="auto"/>
              <w:right w:val="nil"/>
            </w:tcBorders>
            <w:shd w:val="clear" w:color="auto" w:fill="auto"/>
            <w:noWrap/>
            <w:vAlign w:val="bottom"/>
          </w:tcPr>
          <w:p w:rsidR="00685BE5" w:rsidRPr="007D2274" w:rsidRDefault="00685BE5" w:rsidP="00F9697A">
            <w:pPr>
              <w:tabs>
                <w:tab w:val="decimal" w:pos="345"/>
                <w:tab w:val="decimal" w:pos="420"/>
              </w:tabs>
              <w:spacing w:before="20" w:after="20"/>
              <w:rPr>
                <w:sz w:val="20"/>
                <w:szCs w:val="20"/>
              </w:rPr>
            </w:pPr>
          </w:p>
        </w:tc>
        <w:tc>
          <w:tcPr>
            <w:tcW w:w="794" w:type="dxa"/>
            <w:tcBorders>
              <w:top w:val="single" w:sz="4" w:space="0" w:color="auto"/>
              <w:left w:val="nil"/>
              <w:bottom w:val="single" w:sz="4" w:space="0" w:color="auto"/>
              <w:right w:val="nil"/>
            </w:tcBorders>
            <w:shd w:val="clear" w:color="auto" w:fill="auto"/>
            <w:noWrap/>
            <w:vAlign w:val="bottom"/>
          </w:tcPr>
          <w:p w:rsidR="00685BE5" w:rsidRPr="00B90E88" w:rsidRDefault="00685BE5" w:rsidP="00F9697A">
            <w:pPr>
              <w:tabs>
                <w:tab w:val="decimal" w:pos="318"/>
                <w:tab w:val="decimal" w:pos="373"/>
              </w:tabs>
              <w:spacing w:before="20" w:after="20"/>
              <w:rPr>
                <w:rFonts w:ascii="Calibri" w:eastAsia="Times New Roman" w:hAnsi="Calibri" w:cs="Calibri"/>
                <w:color w:val="000000"/>
                <w:sz w:val="20"/>
                <w:szCs w:val="20"/>
                <w:lang w:eastAsia="zh-CN"/>
              </w:rPr>
            </w:pPr>
          </w:p>
        </w:tc>
      </w:tr>
    </w:tbl>
    <w:p w:rsidR="00685BE5" w:rsidRPr="005C469C" w:rsidRDefault="00685BE5" w:rsidP="00AE4C3A">
      <w:pPr>
        <w:pStyle w:val="NILSReference"/>
      </w:pPr>
      <w:r w:rsidRPr="005C469C">
        <w:t xml:space="preserve">Source: 2014 NDIS DSP employee survey, Question B13. </w:t>
      </w:r>
    </w:p>
    <w:p w:rsidR="00685BE5" w:rsidRPr="005C469C" w:rsidRDefault="00685BE5" w:rsidP="00AE4C3A">
      <w:pPr>
        <w:pStyle w:val="NILSReference"/>
      </w:pPr>
      <w:r w:rsidRPr="005C469C">
        <w:t xml:space="preserve">Note: Row percentages are shown. </w:t>
      </w:r>
    </w:p>
    <w:p w:rsidR="00685BE5" w:rsidRPr="00AB33E3" w:rsidRDefault="00685BE5" w:rsidP="00367B24">
      <w:pPr>
        <w:pStyle w:val="Heading3"/>
      </w:pPr>
      <w:bookmarkStart w:id="683" w:name="_Toc428279199"/>
      <w:bookmarkStart w:id="684" w:name="_Toc449955047"/>
      <w:r w:rsidRPr="00AB33E3">
        <w:t>4.</w:t>
      </w:r>
      <w:r>
        <w:t>3</w:t>
      </w:r>
      <w:r w:rsidRPr="00AB33E3">
        <w:t>.</w:t>
      </w:r>
      <w:r>
        <w:t>6</w:t>
      </w:r>
      <w:r w:rsidRPr="00AB33E3">
        <w:t xml:space="preserve"> A brief summary</w:t>
      </w:r>
      <w:r>
        <w:t xml:space="preserve"> of the nature of the disability support workforce</w:t>
      </w:r>
      <w:bookmarkEnd w:id="683"/>
      <w:bookmarkEnd w:id="684"/>
      <w:r>
        <w:t xml:space="preserve"> </w:t>
      </w:r>
    </w:p>
    <w:p w:rsidR="00685BE5" w:rsidRDefault="00685BE5" w:rsidP="00AE4C3A">
      <w:r w:rsidRPr="00AB33E3">
        <w:t xml:space="preserve">The information provided by employees presents </w:t>
      </w:r>
      <w:r>
        <w:t>a positive</w:t>
      </w:r>
      <w:r w:rsidRPr="00AB33E3">
        <w:t xml:space="preserve"> picture. The workforce </w:t>
      </w:r>
      <w:r>
        <w:t>wa</w:t>
      </w:r>
      <w:r w:rsidRPr="00AB33E3">
        <w:t>s highly educated</w:t>
      </w:r>
      <w:r>
        <w:t xml:space="preserve"> –</w:t>
      </w:r>
      <w:r w:rsidRPr="00AB33E3">
        <w:t xml:space="preserve"> mostly with relevant qualifications</w:t>
      </w:r>
      <w:r>
        <w:t xml:space="preserve"> </w:t>
      </w:r>
      <w:r w:rsidRPr="00AB33E3">
        <w:t xml:space="preserve">- healthy, fluent in English, with a good distribution of different ages and, while it </w:t>
      </w:r>
      <w:r>
        <w:t>wa</w:t>
      </w:r>
      <w:r w:rsidRPr="00AB33E3">
        <w:t>s predominantly female, it ha</w:t>
      </w:r>
      <w:r>
        <w:t>d</w:t>
      </w:r>
      <w:r w:rsidRPr="00AB33E3">
        <w:t xml:space="preserve"> a sizeable representation of men. From a workforce planning perspective, it dr</w:t>
      </w:r>
      <w:r>
        <w:t>ew</w:t>
      </w:r>
      <w:r w:rsidRPr="00AB33E3">
        <w:t xml:space="preserve"> on a wide demographic. It is also helpful that people working in the sector c</w:t>
      </w:r>
      <w:r>
        <w:t>a</w:t>
      </w:r>
      <w:r w:rsidRPr="00AB33E3">
        <w:t xml:space="preserve">me from a wide range of previous occupations. Both these factors suggest that there </w:t>
      </w:r>
      <w:r>
        <w:t>could be</w:t>
      </w:r>
      <w:r w:rsidRPr="00AB33E3">
        <w:t xml:space="preserve"> a substantial pool of people currently working in other areas of the economy who could potentially be attracted into disability care. </w:t>
      </w:r>
      <w:r>
        <w:t>T</w:t>
      </w:r>
      <w:r w:rsidRPr="00AB33E3">
        <w:t xml:space="preserve">he workforce </w:t>
      </w:r>
      <w:r>
        <w:t>placed a strong</w:t>
      </w:r>
      <w:r w:rsidRPr="00AB33E3">
        <w:t xml:space="preserve"> emphasis on job satisfaction as a motivation</w:t>
      </w:r>
      <w:r>
        <w:t xml:space="preserve"> and less on</w:t>
      </w:r>
      <w:r w:rsidRPr="00AB33E3">
        <w:t xml:space="preserve"> pay, job security and opportunities for promotion. The distinctive caring character of the job might be one reason why intention to leave, for both the job and the occupation, </w:t>
      </w:r>
      <w:r>
        <w:t>wa</w:t>
      </w:r>
      <w:r w:rsidRPr="00AB33E3">
        <w:t xml:space="preserve">s quite low. </w:t>
      </w:r>
      <w:r w:rsidR="0090288F">
        <w:t>Of</w:t>
      </w:r>
      <w:r w:rsidRPr="00AB33E3">
        <w:t xml:space="preserve"> note</w:t>
      </w:r>
      <w:r w:rsidR="0090288F">
        <w:t>,</w:t>
      </w:r>
      <w:r w:rsidRPr="00AB33E3">
        <w:t xml:space="preserve"> only six per cent of employees came to disability care from aged care: they seem</w:t>
      </w:r>
      <w:r>
        <w:t>ed</w:t>
      </w:r>
      <w:r w:rsidRPr="00AB33E3">
        <w:t xml:space="preserve"> to be quite distinct work forces. </w:t>
      </w:r>
    </w:p>
    <w:p w:rsidR="00B92687" w:rsidRPr="00AB33E3" w:rsidRDefault="00B92687" w:rsidP="00AE4C3A"/>
    <w:p w:rsidR="00685BE5" w:rsidRDefault="00685BE5" w:rsidP="00AE4C3A">
      <w:r w:rsidRPr="00AB33E3">
        <w:t>Employees ha</w:t>
      </w:r>
      <w:r>
        <w:t>d</w:t>
      </w:r>
      <w:r w:rsidRPr="00AB33E3">
        <w:t xml:space="preserve"> a high level of confidence in their ability to do their job well, get on well with their co-workers and very well with their clients; they </w:t>
      </w:r>
      <w:r>
        <w:t>we</w:t>
      </w:r>
      <w:r w:rsidRPr="00AB33E3">
        <w:t>re not quite so happy with their managers. Fully 83 per cent agree</w:t>
      </w:r>
      <w:r>
        <w:t>d</w:t>
      </w:r>
      <w:r w:rsidRPr="00AB33E3">
        <w:t xml:space="preserve"> that ‘they are proud to tell people who they work for’. </w:t>
      </w:r>
      <w:r>
        <w:t>About 39 per cent</w:t>
      </w:r>
      <w:r w:rsidRPr="00AB33E3">
        <w:t xml:space="preserve"> report</w:t>
      </w:r>
      <w:r>
        <w:t>ed</w:t>
      </w:r>
      <w:r w:rsidRPr="00AB33E3">
        <w:t xml:space="preserve"> feeling under pressure to work even harder and 42 per cent believe</w:t>
      </w:r>
      <w:r>
        <w:t>d</w:t>
      </w:r>
      <w:r w:rsidRPr="00AB33E3">
        <w:t xml:space="preserve"> that they </w:t>
      </w:r>
      <w:r>
        <w:t>we</w:t>
      </w:r>
      <w:r w:rsidRPr="00AB33E3">
        <w:t>re overqualified for their job.</w:t>
      </w:r>
    </w:p>
    <w:p w:rsidR="00B92687" w:rsidRDefault="00B92687">
      <w:pPr>
        <w:rPr>
          <w:rFonts w:eastAsia="Times" w:cstheme="minorHAnsi"/>
          <w:b/>
          <w:kern w:val="32"/>
          <w:sz w:val="26"/>
          <w:szCs w:val="24"/>
          <w:lang w:val="en-AU" w:eastAsia="zh-CN"/>
        </w:rPr>
      </w:pPr>
      <w:bookmarkStart w:id="685" w:name="_Toc428279200"/>
      <w:r>
        <w:br w:type="page"/>
      </w:r>
    </w:p>
    <w:p w:rsidR="00685BE5" w:rsidRDefault="00685BE5" w:rsidP="00EC2C19">
      <w:pPr>
        <w:pStyle w:val="Heading2"/>
      </w:pPr>
      <w:bookmarkStart w:id="686" w:name="_Toc449955048"/>
      <w:r>
        <w:lastRenderedPageBreak/>
        <w:t xml:space="preserve">4.4 </w:t>
      </w:r>
      <w:r w:rsidRPr="006B1072">
        <w:t>Initial findings</w:t>
      </w:r>
      <w:r>
        <w:t xml:space="preserve"> for self-employed DSP</w:t>
      </w:r>
      <w:bookmarkEnd w:id="685"/>
      <w:bookmarkEnd w:id="686"/>
    </w:p>
    <w:p w:rsidR="00685BE5" w:rsidRDefault="00685BE5" w:rsidP="00EC2C19">
      <w:pPr>
        <w:pStyle w:val="Heading3"/>
      </w:pPr>
      <w:bookmarkStart w:id="687" w:name="_Toc428279201"/>
      <w:bookmarkStart w:id="688" w:name="_Toc449955049"/>
      <w:r>
        <w:t>4.4.1 Introduction</w:t>
      </w:r>
      <w:bookmarkEnd w:id="687"/>
      <w:bookmarkEnd w:id="688"/>
      <w:r>
        <w:t xml:space="preserve"> </w:t>
      </w:r>
    </w:p>
    <w:p w:rsidR="00685BE5" w:rsidRPr="00AB33E3" w:rsidRDefault="00685BE5" w:rsidP="00AE4C3A">
      <w:pPr>
        <w:rPr>
          <w:rFonts w:ascii="Calibri" w:eastAsia="SimHei" w:hAnsi="Calibri" w:cs="Times New Roman"/>
        </w:rPr>
      </w:pPr>
      <w:r w:rsidRPr="00AB33E3">
        <w:rPr>
          <w:rFonts w:ascii="Calibri" w:eastAsia="SimHei" w:hAnsi="Calibri" w:cs="Times New Roman"/>
          <w:lang w:val="en-US"/>
        </w:rPr>
        <w:t xml:space="preserve">This </w:t>
      </w:r>
      <w:r>
        <w:rPr>
          <w:rFonts w:ascii="Calibri" w:eastAsia="SimHei" w:hAnsi="Calibri" w:cs="Times New Roman"/>
          <w:lang w:val="en-US"/>
        </w:rPr>
        <w:t>section</w:t>
      </w:r>
      <w:r w:rsidRPr="00AB33E3">
        <w:rPr>
          <w:rFonts w:ascii="Calibri" w:eastAsia="SimHei" w:hAnsi="Calibri" w:cs="Times New Roman"/>
          <w:lang w:val="en-US"/>
        </w:rPr>
        <w:t xml:space="preserve"> provides an overview of self-employed providers of disability care and supports using the data from 272 respondents to the </w:t>
      </w:r>
      <w:r w:rsidRPr="00AB33E3">
        <w:rPr>
          <w:rFonts w:ascii="Calibri" w:eastAsia="SimHei" w:hAnsi="Calibri" w:cs="Times New Roman"/>
        </w:rPr>
        <w:t xml:space="preserve">2014 NDIS DSP survey of </w:t>
      </w:r>
      <w:r>
        <w:rPr>
          <w:rFonts w:ascii="Calibri" w:eastAsia="SimHei" w:hAnsi="Calibri" w:cs="Times New Roman"/>
        </w:rPr>
        <w:t>s</w:t>
      </w:r>
      <w:r w:rsidRPr="00AB33E3">
        <w:rPr>
          <w:rFonts w:ascii="Calibri" w:eastAsia="SimHei" w:hAnsi="Calibri" w:cs="Times New Roman"/>
        </w:rPr>
        <w:t>elf-employed providers</w:t>
      </w:r>
      <w:r w:rsidRPr="00AB33E3">
        <w:rPr>
          <w:rFonts w:ascii="Calibri" w:eastAsia="SimHei" w:hAnsi="Calibri" w:cs="Times New Roman"/>
          <w:lang w:val="en-US"/>
        </w:rPr>
        <w:t xml:space="preserve">. </w:t>
      </w:r>
      <w:r w:rsidR="0090288F">
        <w:rPr>
          <w:rFonts w:ascii="Calibri" w:eastAsia="SimHei" w:hAnsi="Calibri" w:cs="Times New Roman"/>
          <w:lang w:val="en-US"/>
        </w:rPr>
        <w:t xml:space="preserve">It </w:t>
      </w:r>
      <w:r w:rsidRPr="00AB33E3">
        <w:rPr>
          <w:rFonts w:ascii="Calibri" w:eastAsia="SimHei" w:hAnsi="Calibri" w:cs="Times New Roman"/>
          <w:lang w:val="en-US"/>
        </w:rPr>
        <w:t>look</w:t>
      </w:r>
      <w:r w:rsidR="0090288F">
        <w:rPr>
          <w:rFonts w:ascii="Calibri" w:eastAsia="SimHei" w:hAnsi="Calibri" w:cs="Times New Roman"/>
          <w:lang w:val="en-US"/>
        </w:rPr>
        <w:t>s</w:t>
      </w:r>
      <w:r w:rsidRPr="00AB33E3">
        <w:rPr>
          <w:rFonts w:ascii="Calibri" w:eastAsia="SimHei" w:hAnsi="Calibri" w:cs="Times New Roman"/>
          <w:lang w:val="en-US"/>
        </w:rPr>
        <w:t xml:space="preserve"> at their role as independent businesses and employers, as well as their experience as workers </w:t>
      </w:r>
      <w:r>
        <w:rPr>
          <w:rFonts w:ascii="Calibri" w:eastAsia="SimHei" w:hAnsi="Calibri" w:cs="Times New Roman"/>
          <w:lang w:val="en-US"/>
        </w:rPr>
        <w:t>within</w:t>
      </w:r>
      <w:r w:rsidRPr="00AB33E3">
        <w:rPr>
          <w:rFonts w:ascii="Calibri" w:eastAsia="SimHei" w:hAnsi="Calibri" w:cs="Times New Roman"/>
          <w:lang w:val="en-US"/>
        </w:rPr>
        <w:t xml:space="preserve"> their own businesses. </w:t>
      </w:r>
      <w:r w:rsidRPr="00AB33E3">
        <w:rPr>
          <w:rFonts w:ascii="Calibri" w:eastAsia="SimHei" w:hAnsi="Calibri" w:cs="Times New Roman"/>
        </w:rPr>
        <w:t xml:space="preserve">Surveys were sent to 495 DSP self-employed providers and valid responses were received </w:t>
      </w:r>
      <w:r>
        <w:rPr>
          <w:rFonts w:ascii="Calibri" w:eastAsia="SimHei" w:hAnsi="Calibri" w:cs="Times New Roman"/>
        </w:rPr>
        <w:t>by 272 of them (a</w:t>
      </w:r>
      <w:r w:rsidRPr="00AB33E3">
        <w:rPr>
          <w:rFonts w:ascii="Calibri" w:eastAsia="SimHei" w:hAnsi="Calibri" w:cs="Times New Roman"/>
        </w:rPr>
        <w:t xml:space="preserve"> 5</w:t>
      </w:r>
      <w:r>
        <w:rPr>
          <w:rFonts w:ascii="Calibri" w:eastAsia="SimHei" w:hAnsi="Calibri" w:cs="Times New Roman"/>
        </w:rPr>
        <w:t>4</w:t>
      </w:r>
      <w:r w:rsidRPr="00AB33E3">
        <w:rPr>
          <w:rFonts w:ascii="Calibri" w:eastAsia="SimHei" w:hAnsi="Calibri" w:cs="Times New Roman"/>
        </w:rPr>
        <w:t xml:space="preserve"> per cent </w:t>
      </w:r>
      <w:r>
        <w:rPr>
          <w:rFonts w:ascii="Calibri" w:eastAsia="SimHei" w:hAnsi="Calibri" w:cs="Times New Roman"/>
        </w:rPr>
        <w:t>response rate).</w:t>
      </w:r>
      <w:r w:rsidRPr="00AB33E3">
        <w:rPr>
          <w:rFonts w:ascii="Calibri" w:eastAsia="SimHei" w:hAnsi="Calibri" w:cs="Times New Roman"/>
        </w:rPr>
        <w:t xml:space="preserve"> Self-employed provider networks of independent care workers reflect self-employed workers with their own ABN.</w:t>
      </w:r>
    </w:p>
    <w:p w:rsidR="00685BE5" w:rsidRDefault="00685BE5" w:rsidP="00EC2C19">
      <w:pPr>
        <w:pStyle w:val="Heading3"/>
      </w:pPr>
      <w:bookmarkStart w:id="689" w:name="_Toc428279202"/>
      <w:bookmarkStart w:id="690" w:name="_Toc449955050"/>
      <w:r>
        <w:t xml:space="preserve">4.4.2 </w:t>
      </w:r>
      <w:r w:rsidRPr="00AB33E3">
        <w:t xml:space="preserve">A profile of self-employed </w:t>
      </w:r>
      <w:r>
        <w:t>DSP</w:t>
      </w:r>
      <w:bookmarkEnd w:id="689"/>
      <w:bookmarkEnd w:id="690"/>
    </w:p>
    <w:p w:rsidR="00685BE5" w:rsidRDefault="00685BE5" w:rsidP="00AE4C3A">
      <w:pPr>
        <w:rPr>
          <w:rFonts w:ascii="Calibri" w:eastAsia="Times New Roman" w:hAnsi="Calibri" w:cs="Calibri"/>
          <w:color w:val="000000"/>
          <w:lang w:eastAsia="zh-CN"/>
        </w:rPr>
      </w:pPr>
      <w:r w:rsidRPr="00AB33E3">
        <w:rPr>
          <w:rFonts w:ascii="Calibri" w:eastAsia="SimHei" w:hAnsi="Calibri" w:cs="Times New Roman"/>
          <w:lang w:val="en-US"/>
        </w:rPr>
        <w:t xml:space="preserve">To understand the self-employed component of the disability workforce, it is important to appreciate that overwhelmingly they </w:t>
      </w:r>
      <w:r>
        <w:rPr>
          <w:rFonts w:ascii="Calibri" w:eastAsia="SimHei" w:hAnsi="Calibri" w:cs="Times New Roman"/>
          <w:lang w:val="en-US"/>
        </w:rPr>
        <w:t>we</w:t>
      </w:r>
      <w:r w:rsidRPr="00AB33E3">
        <w:rPr>
          <w:rFonts w:ascii="Calibri" w:eastAsia="SimHei" w:hAnsi="Calibri" w:cs="Times New Roman"/>
          <w:lang w:val="en-US"/>
        </w:rPr>
        <w:t>re professionals</w:t>
      </w:r>
      <w:r w:rsidRPr="00AB33E3">
        <w:rPr>
          <w:rFonts w:ascii="Calibri" w:eastAsia="Times New Roman" w:hAnsi="Calibri" w:cs="Calibri"/>
          <w:color w:val="000000"/>
          <w:sz w:val="20"/>
          <w:szCs w:val="20"/>
          <w:lang w:eastAsia="zh-CN"/>
        </w:rPr>
        <w:t xml:space="preserve">. </w:t>
      </w:r>
      <w:r w:rsidRPr="00AB33E3">
        <w:rPr>
          <w:rFonts w:ascii="Calibri" w:eastAsia="Times New Roman" w:hAnsi="Calibri" w:cs="Calibri"/>
          <w:color w:val="000000"/>
          <w:lang w:eastAsia="zh-CN"/>
        </w:rPr>
        <w:t xml:space="preserve">As shown </w:t>
      </w:r>
      <w:r w:rsidRPr="000B5B16">
        <w:rPr>
          <w:rFonts w:ascii="Calibri" w:eastAsia="Times New Roman" w:hAnsi="Calibri" w:cs="Calibri"/>
          <w:color w:val="000000"/>
          <w:lang w:eastAsia="zh-CN"/>
        </w:rPr>
        <w:t>in Tables 4.51 and 4.52 later, 93</w:t>
      </w:r>
      <w:r w:rsidRPr="00AB33E3">
        <w:rPr>
          <w:rFonts w:ascii="Calibri" w:eastAsia="Times New Roman" w:hAnsi="Calibri" w:cs="Calibri"/>
          <w:color w:val="000000"/>
          <w:lang w:eastAsia="zh-CN"/>
        </w:rPr>
        <w:t xml:space="preserve"> per cent ha</w:t>
      </w:r>
      <w:r>
        <w:rPr>
          <w:rFonts w:ascii="Calibri" w:eastAsia="Times New Roman" w:hAnsi="Calibri" w:cs="Calibri"/>
          <w:color w:val="000000"/>
          <w:lang w:eastAsia="zh-CN"/>
        </w:rPr>
        <w:t>d</w:t>
      </w:r>
      <w:r w:rsidRPr="00AB33E3">
        <w:rPr>
          <w:rFonts w:ascii="Calibri" w:eastAsia="Times New Roman" w:hAnsi="Calibri" w:cs="Calibri"/>
          <w:color w:val="000000"/>
          <w:lang w:eastAsia="zh-CN"/>
        </w:rPr>
        <w:t xml:space="preserve"> a </w:t>
      </w:r>
      <w:r>
        <w:rPr>
          <w:rFonts w:ascii="Calibri" w:eastAsia="Times New Roman" w:hAnsi="Calibri" w:cs="Calibri"/>
          <w:color w:val="000000"/>
          <w:lang w:eastAsia="zh-CN"/>
        </w:rPr>
        <w:t>B</w:t>
      </w:r>
      <w:r w:rsidRPr="00AB33E3">
        <w:rPr>
          <w:rFonts w:ascii="Calibri" w:eastAsia="Times New Roman" w:hAnsi="Calibri" w:cs="Calibri"/>
          <w:color w:val="000000"/>
          <w:lang w:eastAsia="zh-CN"/>
        </w:rPr>
        <w:t>achelor degree or above; 71 per cent ha</w:t>
      </w:r>
      <w:r>
        <w:rPr>
          <w:rFonts w:ascii="Calibri" w:eastAsia="Times New Roman" w:hAnsi="Calibri" w:cs="Calibri"/>
          <w:color w:val="000000"/>
          <w:lang w:eastAsia="zh-CN"/>
        </w:rPr>
        <w:t>d</w:t>
      </w:r>
      <w:r w:rsidRPr="00AB33E3">
        <w:rPr>
          <w:rFonts w:ascii="Calibri" w:eastAsia="Times New Roman" w:hAnsi="Calibri" w:cs="Calibri"/>
          <w:color w:val="000000"/>
          <w:lang w:eastAsia="zh-CN"/>
        </w:rPr>
        <w:t xml:space="preserve"> their highest qualification in </w:t>
      </w:r>
      <w:r>
        <w:rPr>
          <w:rFonts w:ascii="Calibri" w:eastAsia="Times New Roman" w:hAnsi="Calibri" w:cs="Calibri"/>
          <w:color w:val="000000"/>
          <w:lang w:eastAsia="zh-CN"/>
        </w:rPr>
        <w:t>a</w:t>
      </w:r>
      <w:r w:rsidRPr="00AB33E3">
        <w:rPr>
          <w:rFonts w:ascii="Calibri" w:eastAsia="Times New Roman" w:hAnsi="Calibri" w:cs="Calibri"/>
          <w:color w:val="000000"/>
          <w:lang w:eastAsia="zh-CN"/>
        </w:rPr>
        <w:t>llied health and 13 per cent ha</w:t>
      </w:r>
      <w:r>
        <w:rPr>
          <w:rFonts w:ascii="Calibri" w:eastAsia="Times New Roman" w:hAnsi="Calibri" w:cs="Calibri"/>
          <w:color w:val="000000"/>
          <w:lang w:eastAsia="zh-CN"/>
        </w:rPr>
        <w:t>d</w:t>
      </w:r>
      <w:r w:rsidRPr="00AB33E3">
        <w:rPr>
          <w:rFonts w:ascii="Calibri" w:eastAsia="Times New Roman" w:hAnsi="Calibri" w:cs="Calibri"/>
          <w:color w:val="000000"/>
          <w:lang w:eastAsia="zh-CN"/>
        </w:rPr>
        <w:t xml:space="preserve"> their highest qualification in psychology/counselling.</w:t>
      </w:r>
    </w:p>
    <w:p w:rsidR="00B92687" w:rsidRPr="00AB33E3" w:rsidRDefault="00B92687" w:rsidP="00AE4C3A">
      <w:pPr>
        <w:rPr>
          <w:rFonts w:ascii="Calibri" w:eastAsia="SimHei" w:hAnsi="Calibri" w:cs="Times New Roman"/>
          <w:lang w:val="en-US"/>
        </w:rPr>
      </w:pPr>
    </w:p>
    <w:p w:rsidR="00685BE5" w:rsidRDefault="00685BE5" w:rsidP="00AE4C3A">
      <w:pPr>
        <w:rPr>
          <w:rFonts w:ascii="Calibri" w:eastAsia="SimHei" w:hAnsi="Calibri" w:cs="Times New Roman"/>
          <w:lang w:val="en-US"/>
        </w:rPr>
      </w:pPr>
      <w:r>
        <w:rPr>
          <w:rFonts w:ascii="Calibri" w:eastAsia="SimHei" w:hAnsi="Calibri" w:cs="Times New Roman"/>
          <w:lang w:val="en-US"/>
        </w:rPr>
        <w:t>Table 4.44</w:t>
      </w:r>
      <w:r w:rsidRPr="00AB33E3">
        <w:rPr>
          <w:rFonts w:ascii="Calibri" w:eastAsia="SimHei" w:hAnsi="Calibri" w:cs="Times New Roman"/>
          <w:lang w:val="en-US"/>
        </w:rPr>
        <w:t xml:space="preserve"> shows the location of the self-employed providers and whether they were </w:t>
      </w:r>
      <w:r>
        <w:rPr>
          <w:rFonts w:ascii="Calibri" w:eastAsia="SimHei" w:hAnsi="Calibri" w:cs="Times New Roman"/>
          <w:lang w:val="en-US"/>
        </w:rPr>
        <w:t>located within an</w:t>
      </w:r>
      <w:r w:rsidRPr="00AB33E3">
        <w:rPr>
          <w:rFonts w:ascii="Calibri" w:eastAsia="SimHei" w:hAnsi="Calibri" w:cs="Times New Roman"/>
          <w:lang w:val="en-US"/>
        </w:rPr>
        <w:t xml:space="preserve"> NDIS trial</w:t>
      </w:r>
      <w:r>
        <w:rPr>
          <w:rFonts w:ascii="Calibri" w:eastAsia="SimHei" w:hAnsi="Calibri" w:cs="Times New Roman"/>
          <w:lang w:val="en-US"/>
        </w:rPr>
        <w:t xml:space="preserve"> site</w:t>
      </w:r>
      <w:r w:rsidRPr="00AB33E3">
        <w:rPr>
          <w:rFonts w:ascii="Calibri" w:eastAsia="SimHei" w:hAnsi="Calibri" w:cs="Times New Roman"/>
          <w:lang w:val="en-US"/>
        </w:rPr>
        <w:t xml:space="preserve">. Amongst the 272 providers surveyed, nearly a third were from Victoria (32 per cent), followed by </w:t>
      </w:r>
      <w:r>
        <w:rPr>
          <w:rFonts w:ascii="Calibri" w:eastAsia="SimHei" w:hAnsi="Calibri" w:cs="Times New Roman"/>
          <w:lang w:val="en-US"/>
        </w:rPr>
        <w:t xml:space="preserve">a quarter in </w:t>
      </w:r>
      <w:r w:rsidRPr="00AB33E3">
        <w:rPr>
          <w:rFonts w:ascii="Calibri" w:eastAsia="SimHei" w:hAnsi="Calibri" w:cs="Times New Roman"/>
          <w:lang w:val="en-US"/>
        </w:rPr>
        <w:t>N</w:t>
      </w:r>
      <w:r>
        <w:rPr>
          <w:rFonts w:ascii="Calibri" w:eastAsia="SimHei" w:hAnsi="Calibri" w:cs="Times New Roman"/>
          <w:lang w:val="en-US"/>
        </w:rPr>
        <w:t xml:space="preserve">ew </w:t>
      </w:r>
      <w:r w:rsidRPr="00AB33E3">
        <w:rPr>
          <w:rFonts w:ascii="Calibri" w:eastAsia="SimHei" w:hAnsi="Calibri" w:cs="Times New Roman"/>
          <w:lang w:val="en-US"/>
        </w:rPr>
        <w:t>S</w:t>
      </w:r>
      <w:r>
        <w:rPr>
          <w:rFonts w:ascii="Calibri" w:eastAsia="SimHei" w:hAnsi="Calibri" w:cs="Times New Roman"/>
          <w:lang w:val="en-US"/>
        </w:rPr>
        <w:t xml:space="preserve">outh </w:t>
      </w:r>
      <w:r w:rsidRPr="00AB33E3">
        <w:rPr>
          <w:rFonts w:ascii="Calibri" w:eastAsia="SimHei" w:hAnsi="Calibri" w:cs="Times New Roman"/>
          <w:lang w:val="en-US"/>
        </w:rPr>
        <w:t>W</w:t>
      </w:r>
      <w:r>
        <w:rPr>
          <w:rFonts w:ascii="Calibri" w:eastAsia="SimHei" w:hAnsi="Calibri" w:cs="Times New Roman"/>
          <w:lang w:val="en-US"/>
        </w:rPr>
        <w:t>ales</w:t>
      </w:r>
      <w:r w:rsidRPr="00AB33E3">
        <w:rPr>
          <w:rFonts w:ascii="Calibri" w:eastAsia="SimHei" w:hAnsi="Calibri" w:cs="Times New Roman"/>
          <w:lang w:val="en-US"/>
        </w:rPr>
        <w:t xml:space="preserve"> (2</w:t>
      </w:r>
      <w:r>
        <w:rPr>
          <w:rFonts w:ascii="Calibri" w:eastAsia="SimHei" w:hAnsi="Calibri" w:cs="Times New Roman"/>
          <w:lang w:val="en-US"/>
        </w:rPr>
        <w:t>4</w:t>
      </w:r>
      <w:r w:rsidRPr="00AB33E3">
        <w:rPr>
          <w:rFonts w:ascii="Calibri" w:eastAsia="SimHei" w:hAnsi="Calibri" w:cs="Times New Roman"/>
          <w:lang w:val="en-US"/>
        </w:rPr>
        <w:t xml:space="preserve"> per cent)</w:t>
      </w:r>
      <w:r>
        <w:rPr>
          <w:rFonts w:ascii="Calibri" w:eastAsia="SimHei" w:hAnsi="Calibri" w:cs="Times New Roman"/>
          <w:lang w:val="en-US"/>
        </w:rPr>
        <w:t xml:space="preserve"> and in</w:t>
      </w:r>
      <w:r w:rsidRPr="00AB33E3">
        <w:rPr>
          <w:rFonts w:ascii="Calibri" w:eastAsia="SimHei" w:hAnsi="Calibri" w:cs="Times New Roman"/>
          <w:lang w:val="en-US"/>
        </w:rPr>
        <w:t xml:space="preserve"> </w:t>
      </w:r>
      <w:r>
        <w:rPr>
          <w:rFonts w:ascii="Calibri" w:eastAsia="SimHei" w:hAnsi="Calibri" w:cs="Times New Roman"/>
          <w:lang w:val="en-US"/>
        </w:rPr>
        <w:t>Queensland</w:t>
      </w:r>
      <w:r w:rsidRPr="00AB33E3">
        <w:rPr>
          <w:rFonts w:ascii="Calibri" w:eastAsia="SimHei" w:hAnsi="Calibri" w:cs="Times New Roman"/>
          <w:lang w:val="en-US"/>
        </w:rPr>
        <w:t xml:space="preserve"> (23 per cent)</w:t>
      </w:r>
      <w:r>
        <w:rPr>
          <w:rFonts w:ascii="Calibri" w:eastAsia="SimHei" w:hAnsi="Calibri" w:cs="Times New Roman"/>
          <w:lang w:val="en-US"/>
        </w:rPr>
        <w:t>,</w:t>
      </w:r>
      <w:r w:rsidRPr="00AB33E3">
        <w:rPr>
          <w:rFonts w:ascii="Calibri" w:eastAsia="SimHei" w:hAnsi="Calibri" w:cs="Times New Roman"/>
          <w:lang w:val="en-US"/>
        </w:rPr>
        <w:t xml:space="preserve"> and </w:t>
      </w:r>
      <w:r>
        <w:rPr>
          <w:rFonts w:ascii="Calibri" w:eastAsia="SimHei" w:hAnsi="Calibri" w:cs="Times New Roman"/>
          <w:lang w:val="en-US"/>
        </w:rPr>
        <w:t xml:space="preserve">about a fifth in </w:t>
      </w:r>
      <w:r w:rsidRPr="00AB33E3">
        <w:rPr>
          <w:rFonts w:ascii="Calibri" w:eastAsia="SimHei" w:hAnsi="Calibri" w:cs="Times New Roman"/>
          <w:lang w:val="en-US"/>
        </w:rPr>
        <w:t>S</w:t>
      </w:r>
      <w:r>
        <w:rPr>
          <w:rFonts w:ascii="Calibri" w:eastAsia="SimHei" w:hAnsi="Calibri" w:cs="Times New Roman"/>
          <w:lang w:val="en-US"/>
        </w:rPr>
        <w:t xml:space="preserve">outh </w:t>
      </w:r>
      <w:r w:rsidRPr="00AB33E3">
        <w:rPr>
          <w:rFonts w:ascii="Calibri" w:eastAsia="SimHei" w:hAnsi="Calibri" w:cs="Times New Roman"/>
          <w:lang w:val="en-US"/>
        </w:rPr>
        <w:t>A</w:t>
      </w:r>
      <w:r>
        <w:rPr>
          <w:rFonts w:ascii="Calibri" w:eastAsia="SimHei" w:hAnsi="Calibri" w:cs="Times New Roman"/>
          <w:lang w:val="en-US"/>
        </w:rPr>
        <w:t>ustralia</w:t>
      </w:r>
      <w:r w:rsidRPr="00AB33E3">
        <w:rPr>
          <w:rFonts w:ascii="Calibri" w:eastAsia="SimHei" w:hAnsi="Calibri" w:cs="Times New Roman"/>
          <w:lang w:val="en-US"/>
        </w:rPr>
        <w:t xml:space="preserve"> (18 per cent). Very few in the sample were servicing Tasmania </w:t>
      </w:r>
      <w:r>
        <w:rPr>
          <w:rFonts w:ascii="Calibri" w:eastAsia="SimHei" w:hAnsi="Calibri" w:cs="Times New Roman"/>
          <w:lang w:val="en-US"/>
        </w:rPr>
        <w:t>or the</w:t>
      </w:r>
      <w:r w:rsidRPr="00AB33E3">
        <w:rPr>
          <w:rFonts w:ascii="Calibri" w:eastAsia="SimHei" w:hAnsi="Calibri" w:cs="Times New Roman"/>
          <w:lang w:val="en-US"/>
        </w:rPr>
        <w:t xml:space="preserve"> A</w:t>
      </w:r>
      <w:r>
        <w:rPr>
          <w:rFonts w:ascii="Calibri" w:eastAsia="SimHei" w:hAnsi="Calibri" w:cs="Times New Roman"/>
          <w:lang w:val="en-US"/>
        </w:rPr>
        <w:t xml:space="preserve">ustralian </w:t>
      </w:r>
      <w:r w:rsidRPr="00AB33E3">
        <w:rPr>
          <w:rFonts w:ascii="Calibri" w:eastAsia="SimHei" w:hAnsi="Calibri" w:cs="Times New Roman"/>
          <w:lang w:val="en-US"/>
        </w:rPr>
        <w:t>C</w:t>
      </w:r>
      <w:r>
        <w:rPr>
          <w:rFonts w:ascii="Calibri" w:eastAsia="SimHei" w:hAnsi="Calibri" w:cs="Times New Roman"/>
          <w:lang w:val="en-US"/>
        </w:rPr>
        <w:t xml:space="preserve">apital </w:t>
      </w:r>
      <w:r w:rsidRPr="00AB33E3">
        <w:rPr>
          <w:rFonts w:ascii="Calibri" w:eastAsia="SimHei" w:hAnsi="Calibri" w:cs="Times New Roman"/>
          <w:lang w:val="en-US"/>
        </w:rPr>
        <w:t>T</w:t>
      </w:r>
      <w:r>
        <w:rPr>
          <w:rFonts w:ascii="Calibri" w:eastAsia="SimHei" w:hAnsi="Calibri" w:cs="Times New Roman"/>
          <w:lang w:val="en-US"/>
        </w:rPr>
        <w:t>erritory</w:t>
      </w:r>
      <w:r w:rsidRPr="00AB33E3">
        <w:rPr>
          <w:rFonts w:ascii="Calibri" w:eastAsia="SimHei" w:hAnsi="Calibri" w:cs="Times New Roman"/>
          <w:lang w:val="en-US"/>
        </w:rPr>
        <w:t xml:space="preserve">. This table also shows that slightly under half of the </w:t>
      </w:r>
      <w:r>
        <w:rPr>
          <w:rFonts w:ascii="Calibri" w:eastAsia="SimHei" w:hAnsi="Calibri" w:cs="Times New Roman"/>
          <w:lang w:val="en-US"/>
        </w:rPr>
        <w:t xml:space="preserve">surveyed </w:t>
      </w:r>
      <w:r w:rsidRPr="00AB33E3">
        <w:rPr>
          <w:rFonts w:ascii="Calibri" w:eastAsia="SimHei" w:hAnsi="Calibri" w:cs="Times New Roman"/>
          <w:lang w:val="en-US"/>
        </w:rPr>
        <w:t>self-employed service providers (4</w:t>
      </w:r>
      <w:r>
        <w:rPr>
          <w:rFonts w:ascii="Calibri" w:eastAsia="SimHei" w:hAnsi="Calibri" w:cs="Times New Roman"/>
          <w:lang w:val="en-US"/>
        </w:rPr>
        <w:t>3</w:t>
      </w:r>
      <w:r w:rsidRPr="00AB33E3">
        <w:rPr>
          <w:rFonts w:ascii="Calibri" w:eastAsia="SimHei" w:hAnsi="Calibri" w:cs="Times New Roman"/>
          <w:lang w:val="en-US"/>
        </w:rPr>
        <w:t xml:space="preserve"> per cent) were servicing NDIS trial areas</w:t>
      </w:r>
      <w:r>
        <w:rPr>
          <w:rFonts w:ascii="Calibri" w:eastAsia="SimHei" w:hAnsi="Calibri" w:cs="Times New Roman"/>
          <w:lang w:val="en-US"/>
        </w:rPr>
        <w:t>, which was a very different picture to that found for NDIS participating outlets (Table 4.1, 29 per cent).</w:t>
      </w:r>
    </w:p>
    <w:p w:rsidR="00B92687" w:rsidRDefault="00B92687" w:rsidP="00AE4C3A">
      <w:pPr>
        <w:rPr>
          <w:rFonts w:ascii="Calibri" w:eastAsia="SimHei" w:hAnsi="Calibri" w:cs="Times New Roman"/>
          <w:lang w:val="en-US"/>
        </w:rPr>
      </w:pPr>
    </w:p>
    <w:p w:rsidR="00685BE5" w:rsidRPr="00211889" w:rsidRDefault="00685BE5" w:rsidP="0044684E">
      <w:pPr>
        <w:pStyle w:val="NILSTableHeading"/>
      </w:pPr>
      <w:bookmarkStart w:id="691" w:name="_Toc449955382"/>
      <w:bookmarkStart w:id="692" w:name="_Toc425752341"/>
      <w:bookmarkStart w:id="693" w:name="_Toc428279251"/>
      <w:r>
        <w:t>Table 4.44</w:t>
      </w:r>
      <w:r w:rsidRPr="00211889">
        <w:t xml:space="preserve">: Distribution of self-employed providers by </w:t>
      </w:r>
      <w:r>
        <w:t>s</w:t>
      </w:r>
      <w:r w:rsidRPr="00211889">
        <w:t>tate and region</w:t>
      </w:r>
      <w:bookmarkEnd w:id="691"/>
      <w:r w:rsidRPr="00211889">
        <w:t xml:space="preserve"> </w:t>
      </w:r>
      <w:bookmarkEnd w:id="692"/>
      <w:bookmarkEnd w:id="693"/>
    </w:p>
    <w:tbl>
      <w:tblPr>
        <w:tblW w:w="4551" w:type="dxa"/>
        <w:tblInd w:w="93" w:type="dxa"/>
        <w:tblLook w:val="04A0" w:firstRow="1" w:lastRow="0" w:firstColumn="1" w:lastColumn="0" w:noHBand="0" w:noVBand="1"/>
        <w:tblCaption w:val="Table 4.44 Distribution of self-employed providers by state and region (per cent)"/>
      </w:tblPr>
      <w:tblGrid>
        <w:gridCol w:w="3559"/>
        <w:gridCol w:w="992"/>
      </w:tblGrid>
      <w:tr w:rsidR="00685BE5" w:rsidRPr="00B90E88" w:rsidTr="00777136">
        <w:trPr>
          <w:tblHeader/>
        </w:trPr>
        <w:tc>
          <w:tcPr>
            <w:tcW w:w="3559" w:type="dxa"/>
            <w:tcBorders>
              <w:top w:val="single" w:sz="4" w:space="0" w:color="auto"/>
              <w:left w:val="nil"/>
              <w:bottom w:val="single" w:sz="4" w:space="0" w:color="auto"/>
              <w:right w:val="nil"/>
            </w:tcBorders>
            <w:shd w:val="clear" w:color="auto" w:fill="auto"/>
            <w:vAlign w:val="center"/>
            <w:hideMark/>
          </w:tcPr>
          <w:p w:rsidR="00685BE5" w:rsidRPr="00B90E88" w:rsidRDefault="00685BE5" w:rsidP="00AE4C3A">
            <w:pPr>
              <w:spacing w:before="20" w:after="20"/>
              <w:jc w:val="both"/>
              <w:rPr>
                <w:rFonts w:ascii="Calibri" w:eastAsia="Times New Roman" w:hAnsi="Calibri" w:cs="Calibri"/>
                <w:color w:val="000000"/>
                <w:sz w:val="20"/>
                <w:szCs w:val="20"/>
                <w:lang w:eastAsia="zh-CN"/>
              </w:rPr>
            </w:pPr>
            <w:r w:rsidRPr="00B90E88">
              <w:rPr>
                <w:rFonts w:ascii="Calibri" w:eastAsia="Times New Roman" w:hAnsi="Calibri" w:cs="Calibri"/>
                <w:color w:val="000000"/>
                <w:sz w:val="20"/>
                <w:szCs w:val="20"/>
                <w:lang w:eastAsia="zh-CN"/>
              </w:rPr>
              <w:t> </w:t>
            </w:r>
            <w:bookmarkStart w:id="694" w:name="Title_4_44"/>
            <w:bookmarkEnd w:id="694"/>
          </w:p>
        </w:tc>
        <w:tc>
          <w:tcPr>
            <w:tcW w:w="992" w:type="dxa"/>
            <w:tcBorders>
              <w:top w:val="single" w:sz="4" w:space="0" w:color="auto"/>
              <w:left w:val="nil"/>
              <w:bottom w:val="single" w:sz="4" w:space="0" w:color="auto"/>
              <w:right w:val="nil"/>
            </w:tcBorders>
            <w:shd w:val="clear" w:color="auto" w:fill="auto"/>
            <w:vAlign w:val="center"/>
            <w:hideMark/>
          </w:tcPr>
          <w:p w:rsidR="00685BE5" w:rsidRPr="00B90E88" w:rsidRDefault="0096484D" w:rsidP="0096484D">
            <w:pPr>
              <w:spacing w:before="20" w:after="20"/>
              <w:jc w:val="center"/>
              <w:rPr>
                <w:rFonts w:ascii="Calibri" w:eastAsia="Times New Roman" w:hAnsi="Calibri" w:cs="Calibri"/>
                <w:color w:val="000000"/>
                <w:sz w:val="20"/>
                <w:szCs w:val="20"/>
                <w:lang w:eastAsia="zh-CN"/>
              </w:rPr>
            </w:pPr>
            <w:r>
              <w:rPr>
                <w:rFonts w:ascii="Calibri" w:eastAsia="Times New Roman" w:hAnsi="Calibri" w:cs="Calibri"/>
                <w:snapToGrid w:val="0"/>
                <w:color w:val="000000"/>
                <w:sz w:val="20"/>
                <w:szCs w:val="20"/>
                <w:lang w:eastAsia="zh-CN"/>
              </w:rPr>
              <w:t>%</w:t>
            </w:r>
          </w:p>
        </w:tc>
      </w:tr>
      <w:tr w:rsidR="00685BE5" w:rsidRPr="00B90E88" w:rsidTr="00777136">
        <w:tc>
          <w:tcPr>
            <w:tcW w:w="3559" w:type="dxa"/>
            <w:tcBorders>
              <w:top w:val="single" w:sz="4" w:space="0" w:color="auto"/>
              <w:left w:val="nil"/>
              <w:right w:val="nil"/>
            </w:tcBorders>
            <w:shd w:val="clear" w:color="auto" w:fill="auto"/>
            <w:vAlign w:val="center"/>
          </w:tcPr>
          <w:p w:rsidR="00685BE5" w:rsidRPr="007D2274" w:rsidRDefault="00685BE5" w:rsidP="00AE4C3A">
            <w:pPr>
              <w:spacing w:before="20" w:after="20"/>
              <w:rPr>
                <w:rFonts w:ascii="Calibri" w:eastAsia="Calibri" w:hAnsi="Calibri" w:cs="Times New Roman"/>
                <w:sz w:val="20"/>
                <w:szCs w:val="20"/>
              </w:rPr>
            </w:pPr>
            <w:r w:rsidRPr="007D2274">
              <w:rPr>
                <w:rFonts w:ascii="Calibri" w:eastAsia="Calibri" w:hAnsi="Calibri" w:cs="Times New Roman"/>
                <w:sz w:val="20"/>
                <w:szCs w:val="20"/>
              </w:rPr>
              <w:t>New South Wales</w:t>
            </w:r>
          </w:p>
        </w:tc>
        <w:tc>
          <w:tcPr>
            <w:tcW w:w="992" w:type="dxa"/>
            <w:tcBorders>
              <w:top w:val="single" w:sz="4" w:space="0" w:color="auto"/>
              <w:left w:val="nil"/>
              <w:right w:val="nil"/>
            </w:tcBorders>
            <w:shd w:val="clear" w:color="auto" w:fill="auto"/>
            <w:vAlign w:val="center"/>
          </w:tcPr>
          <w:p w:rsidR="00685BE5" w:rsidRPr="00777136" w:rsidRDefault="00685BE5" w:rsidP="00AE4C3A">
            <w:pPr>
              <w:spacing w:before="20" w:after="20"/>
              <w:ind w:right="240"/>
              <w:jc w:val="right"/>
              <w:rPr>
                <w:rFonts w:ascii="Calibri" w:eastAsia="Times New Roman" w:hAnsi="Calibri" w:cs="Calibri"/>
                <w:snapToGrid w:val="0"/>
                <w:color w:val="000000"/>
                <w:sz w:val="20"/>
                <w:szCs w:val="20"/>
                <w:lang w:eastAsia="zh-CN"/>
              </w:rPr>
            </w:pPr>
            <w:r w:rsidRPr="00777136">
              <w:rPr>
                <w:rFonts w:ascii="Calibri" w:eastAsia="Times New Roman" w:hAnsi="Calibri" w:cs="Calibri"/>
                <w:snapToGrid w:val="0"/>
                <w:color w:val="000000"/>
                <w:sz w:val="20"/>
                <w:szCs w:val="20"/>
                <w:lang w:eastAsia="zh-CN"/>
              </w:rPr>
              <w:t>23.9</w:t>
            </w:r>
          </w:p>
        </w:tc>
      </w:tr>
      <w:tr w:rsidR="00685BE5" w:rsidRPr="00B90E88" w:rsidTr="00777136">
        <w:tc>
          <w:tcPr>
            <w:tcW w:w="3559" w:type="dxa"/>
            <w:tcBorders>
              <w:top w:val="nil"/>
              <w:left w:val="nil"/>
              <w:bottom w:val="nil"/>
              <w:right w:val="nil"/>
            </w:tcBorders>
            <w:shd w:val="clear" w:color="auto" w:fill="auto"/>
            <w:vAlign w:val="center"/>
            <w:hideMark/>
          </w:tcPr>
          <w:p w:rsidR="00685BE5" w:rsidRPr="007D2274" w:rsidRDefault="00685BE5" w:rsidP="00AE4C3A">
            <w:pPr>
              <w:spacing w:before="20" w:after="20"/>
              <w:ind w:left="191"/>
              <w:rPr>
                <w:rFonts w:ascii="Calibri" w:eastAsia="Calibri" w:hAnsi="Calibri" w:cs="Times New Roman"/>
                <w:i/>
                <w:sz w:val="20"/>
                <w:szCs w:val="20"/>
              </w:rPr>
            </w:pPr>
            <w:r w:rsidRPr="007D2274">
              <w:rPr>
                <w:rFonts w:ascii="Calibri" w:eastAsia="Calibri" w:hAnsi="Calibri" w:cs="Times New Roman"/>
                <w:i/>
                <w:sz w:val="20"/>
                <w:szCs w:val="20"/>
              </w:rPr>
              <w:t xml:space="preserve">Hunter region of </w:t>
            </w:r>
            <w:r>
              <w:rPr>
                <w:rFonts w:ascii="Calibri" w:eastAsia="Calibri" w:hAnsi="Calibri" w:cs="Times New Roman"/>
                <w:i/>
                <w:sz w:val="20"/>
                <w:szCs w:val="20"/>
              </w:rPr>
              <w:t>New South Wales</w:t>
            </w:r>
          </w:p>
        </w:tc>
        <w:tc>
          <w:tcPr>
            <w:tcW w:w="992" w:type="dxa"/>
            <w:tcBorders>
              <w:top w:val="nil"/>
              <w:left w:val="nil"/>
              <w:bottom w:val="nil"/>
              <w:right w:val="nil"/>
            </w:tcBorders>
            <w:shd w:val="clear" w:color="auto" w:fill="auto"/>
            <w:vAlign w:val="center"/>
            <w:hideMark/>
          </w:tcPr>
          <w:p w:rsidR="00685BE5" w:rsidRPr="00777136" w:rsidRDefault="00685BE5" w:rsidP="00AE4C3A">
            <w:pPr>
              <w:spacing w:before="20" w:after="20"/>
              <w:ind w:right="240"/>
              <w:jc w:val="right"/>
              <w:rPr>
                <w:rFonts w:ascii="Calibri" w:eastAsia="Times New Roman" w:hAnsi="Calibri" w:cs="Calibri"/>
                <w:i/>
                <w:color w:val="000000"/>
                <w:sz w:val="20"/>
                <w:szCs w:val="20"/>
                <w:lang w:eastAsia="zh-CN"/>
              </w:rPr>
            </w:pPr>
            <w:r w:rsidRPr="00777136">
              <w:rPr>
                <w:rFonts w:ascii="Calibri" w:eastAsia="Times New Roman" w:hAnsi="Calibri" w:cs="Calibri"/>
                <w:i/>
                <w:snapToGrid w:val="0"/>
                <w:color w:val="000000"/>
                <w:sz w:val="20"/>
                <w:szCs w:val="20"/>
                <w:lang w:eastAsia="zh-CN"/>
              </w:rPr>
              <w:t>8.8</w:t>
            </w:r>
          </w:p>
        </w:tc>
      </w:tr>
      <w:tr w:rsidR="00685BE5" w:rsidRPr="00B90E88" w:rsidTr="00777136">
        <w:tc>
          <w:tcPr>
            <w:tcW w:w="3559" w:type="dxa"/>
            <w:tcBorders>
              <w:top w:val="nil"/>
              <w:left w:val="nil"/>
              <w:bottom w:val="nil"/>
              <w:right w:val="nil"/>
            </w:tcBorders>
            <w:shd w:val="clear" w:color="auto" w:fill="auto"/>
            <w:vAlign w:val="center"/>
            <w:hideMark/>
          </w:tcPr>
          <w:p w:rsidR="00685BE5" w:rsidRPr="007D2274" w:rsidRDefault="00685BE5" w:rsidP="00AE4C3A">
            <w:pPr>
              <w:spacing w:before="20" w:after="20"/>
              <w:ind w:left="191"/>
              <w:rPr>
                <w:rFonts w:ascii="Calibri" w:eastAsia="Calibri" w:hAnsi="Calibri" w:cs="Times New Roman"/>
                <w:i/>
                <w:sz w:val="20"/>
                <w:szCs w:val="20"/>
              </w:rPr>
            </w:pPr>
            <w:r w:rsidRPr="007D2274">
              <w:rPr>
                <w:rFonts w:ascii="Calibri" w:eastAsia="Calibri" w:hAnsi="Calibri" w:cs="Times New Roman"/>
                <w:i/>
                <w:sz w:val="20"/>
                <w:szCs w:val="20"/>
              </w:rPr>
              <w:t xml:space="preserve">Rest of </w:t>
            </w:r>
            <w:r>
              <w:rPr>
                <w:rFonts w:ascii="Calibri" w:eastAsia="Calibri" w:hAnsi="Calibri" w:cs="Times New Roman"/>
                <w:i/>
                <w:sz w:val="20"/>
                <w:szCs w:val="20"/>
              </w:rPr>
              <w:t>New South Wales</w:t>
            </w:r>
            <w:r w:rsidRPr="007D2274">
              <w:rPr>
                <w:rFonts w:ascii="Calibri" w:eastAsia="Calibri" w:hAnsi="Calibri" w:cs="Times New Roman"/>
                <w:i/>
                <w:sz w:val="20"/>
                <w:szCs w:val="20"/>
              </w:rPr>
              <w:t xml:space="preserve"> </w:t>
            </w:r>
          </w:p>
        </w:tc>
        <w:tc>
          <w:tcPr>
            <w:tcW w:w="992" w:type="dxa"/>
            <w:tcBorders>
              <w:top w:val="nil"/>
              <w:left w:val="nil"/>
              <w:bottom w:val="nil"/>
              <w:right w:val="nil"/>
            </w:tcBorders>
            <w:shd w:val="clear" w:color="auto" w:fill="auto"/>
            <w:vAlign w:val="center"/>
            <w:hideMark/>
          </w:tcPr>
          <w:p w:rsidR="00685BE5" w:rsidRPr="00777136" w:rsidRDefault="00685BE5" w:rsidP="00AE4C3A">
            <w:pPr>
              <w:spacing w:before="20" w:after="20"/>
              <w:ind w:right="240"/>
              <w:jc w:val="right"/>
              <w:rPr>
                <w:rFonts w:ascii="Calibri" w:eastAsia="Times New Roman" w:hAnsi="Calibri" w:cs="Calibri"/>
                <w:i/>
                <w:color w:val="000000"/>
                <w:sz w:val="20"/>
                <w:szCs w:val="20"/>
                <w:lang w:eastAsia="zh-CN"/>
              </w:rPr>
            </w:pPr>
            <w:r w:rsidRPr="00777136">
              <w:rPr>
                <w:rFonts w:ascii="Calibri" w:eastAsia="Times New Roman" w:hAnsi="Calibri" w:cs="Calibri"/>
                <w:i/>
                <w:snapToGrid w:val="0"/>
                <w:color w:val="000000"/>
                <w:sz w:val="20"/>
                <w:szCs w:val="20"/>
                <w:lang w:eastAsia="zh-CN"/>
              </w:rPr>
              <w:t>15.1</w:t>
            </w:r>
          </w:p>
        </w:tc>
      </w:tr>
      <w:tr w:rsidR="00685BE5" w:rsidRPr="00B90E88" w:rsidTr="00777136">
        <w:tc>
          <w:tcPr>
            <w:tcW w:w="3559" w:type="dxa"/>
            <w:tcBorders>
              <w:top w:val="nil"/>
              <w:left w:val="nil"/>
              <w:bottom w:val="nil"/>
              <w:right w:val="nil"/>
            </w:tcBorders>
            <w:shd w:val="clear" w:color="auto" w:fill="auto"/>
            <w:vAlign w:val="center"/>
            <w:hideMark/>
          </w:tcPr>
          <w:p w:rsidR="00685BE5" w:rsidRPr="007D2274" w:rsidRDefault="00685BE5" w:rsidP="00AE4C3A">
            <w:pPr>
              <w:spacing w:before="20" w:after="20"/>
              <w:rPr>
                <w:rFonts w:ascii="Calibri" w:eastAsia="Calibri" w:hAnsi="Calibri" w:cs="Times New Roman"/>
                <w:sz w:val="20"/>
                <w:szCs w:val="20"/>
              </w:rPr>
            </w:pPr>
            <w:r w:rsidRPr="007D2274">
              <w:rPr>
                <w:rFonts w:ascii="Calibri" w:eastAsia="Calibri" w:hAnsi="Calibri" w:cs="Times New Roman"/>
                <w:sz w:val="20"/>
                <w:szCs w:val="20"/>
              </w:rPr>
              <w:t>South Australia</w:t>
            </w:r>
          </w:p>
        </w:tc>
        <w:tc>
          <w:tcPr>
            <w:tcW w:w="992" w:type="dxa"/>
            <w:tcBorders>
              <w:top w:val="nil"/>
              <w:left w:val="nil"/>
              <w:bottom w:val="nil"/>
              <w:right w:val="nil"/>
            </w:tcBorders>
            <w:shd w:val="clear" w:color="auto" w:fill="auto"/>
            <w:vAlign w:val="center"/>
            <w:hideMark/>
          </w:tcPr>
          <w:p w:rsidR="00685BE5" w:rsidRPr="00777136" w:rsidRDefault="00685BE5" w:rsidP="00AE4C3A">
            <w:pPr>
              <w:spacing w:before="20" w:after="20"/>
              <w:ind w:right="240"/>
              <w:jc w:val="right"/>
              <w:rPr>
                <w:rFonts w:ascii="Calibri" w:eastAsia="Times New Roman" w:hAnsi="Calibri" w:cs="Calibri"/>
                <w:color w:val="000000"/>
                <w:sz w:val="20"/>
                <w:szCs w:val="20"/>
                <w:lang w:eastAsia="zh-CN"/>
              </w:rPr>
            </w:pPr>
            <w:r w:rsidRPr="00777136">
              <w:rPr>
                <w:rFonts w:ascii="Calibri" w:eastAsia="Times New Roman" w:hAnsi="Calibri" w:cs="Calibri"/>
                <w:snapToGrid w:val="0"/>
                <w:color w:val="000000"/>
                <w:sz w:val="20"/>
                <w:szCs w:val="20"/>
                <w:lang w:eastAsia="zh-CN"/>
              </w:rPr>
              <w:t>18.0</w:t>
            </w:r>
          </w:p>
        </w:tc>
      </w:tr>
      <w:tr w:rsidR="00685BE5" w:rsidRPr="00B90E88" w:rsidTr="00777136">
        <w:tc>
          <w:tcPr>
            <w:tcW w:w="3559" w:type="dxa"/>
            <w:tcBorders>
              <w:top w:val="nil"/>
              <w:left w:val="nil"/>
              <w:bottom w:val="nil"/>
              <w:right w:val="nil"/>
            </w:tcBorders>
            <w:shd w:val="clear" w:color="auto" w:fill="auto"/>
            <w:vAlign w:val="center"/>
            <w:hideMark/>
          </w:tcPr>
          <w:p w:rsidR="00685BE5" w:rsidRPr="00777136" w:rsidRDefault="00685BE5" w:rsidP="00AE4C3A">
            <w:pPr>
              <w:spacing w:before="20" w:after="20"/>
              <w:rPr>
                <w:rFonts w:ascii="Calibri" w:eastAsia="Calibri" w:hAnsi="Calibri" w:cs="Times New Roman"/>
                <w:sz w:val="20"/>
                <w:szCs w:val="20"/>
              </w:rPr>
            </w:pPr>
            <w:r w:rsidRPr="00777136">
              <w:rPr>
                <w:rFonts w:ascii="Calibri" w:eastAsia="Calibri" w:hAnsi="Calibri" w:cs="Times New Roman"/>
                <w:sz w:val="20"/>
                <w:szCs w:val="20"/>
              </w:rPr>
              <w:t>Tasmania</w:t>
            </w:r>
          </w:p>
        </w:tc>
        <w:tc>
          <w:tcPr>
            <w:tcW w:w="992" w:type="dxa"/>
            <w:tcBorders>
              <w:top w:val="nil"/>
              <w:left w:val="nil"/>
              <w:bottom w:val="nil"/>
              <w:right w:val="nil"/>
            </w:tcBorders>
            <w:shd w:val="clear" w:color="auto" w:fill="auto"/>
            <w:vAlign w:val="center"/>
            <w:hideMark/>
          </w:tcPr>
          <w:p w:rsidR="00685BE5" w:rsidRPr="00777136" w:rsidRDefault="00685BE5" w:rsidP="00AE4C3A">
            <w:pPr>
              <w:spacing w:before="20" w:after="20"/>
              <w:ind w:right="240"/>
              <w:jc w:val="right"/>
              <w:rPr>
                <w:rFonts w:ascii="Calibri" w:eastAsia="Times New Roman" w:hAnsi="Calibri" w:cs="Calibri"/>
                <w:color w:val="000000"/>
                <w:sz w:val="20"/>
                <w:szCs w:val="20"/>
                <w:lang w:eastAsia="zh-CN"/>
              </w:rPr>
            </w:pPr>
            <w:r w:rsidRPr="00777136">
              <w:rPr>
                <w:rFonts w:ascii="Calibri" w:eastAsia="Times New Roman" w:hAnsi="Calibri" w:cs="Calibri"/>
                <w:snapToGrid w:val="0"/>
                <w:color w:val="000000"/>
                <w:sz w:val="20"/>
                <w:szCs w:val="20"/>
                <w:lang w:eastAsia="zh-CN"/>
              </w:rPr>
              <w:t>2.2</w:t>
            </w:r>
          </w:p>
        </w:tc>
      </w:tr>
      <w:tr w:rsidR="00685BE5" w:rsidRPr="00B90E88" w:rsidTr="00777136">
        <w:tc>
          <w:tcPr>
            <w:tcW w:w="3559" w:type="dxa"/>
            <w:tcBorders>
              <w:top w:val="nil"/>
              <w:left w:val="nil"/>
              <w:bottom w:val="nil"/>
              <w:right w:val="nil"/>
            </w:tcBorders>
            <w:shd w:val="clear" w:color="auto" w:fill="auto"/>
            <w:vAlign w:val="center"/>
          </w:tcPr>
          <w:p w:rsidR="00685BE5" w:rsidRPr="007D2274" w:rsidRDefault="00685BE5" w:rsidP="00AE4C3A">
            <w:pPr>
              <w:spacing w:before="20" w:after="20"/>
              <w:rPr>
                <w:rFonts w:ascii="Calibri" w:eastAsia="Calibri" w:hAnsi="Calibri" w:cs="Times New Roman"/>
                <w:sz w:val="20"/>
                <w:szCs w:val="20"/>
              </w:rPr>
            </w:pPr>
            <w:r w:rsidRPr="007D2274">
              <w:rPr>
                <w:rFonts w:ascii="Calibri" w:eastAsia="Calibri" w:hAnsi="Calibri" w:cs="Times New Roman"/>
                <w:sz w:val="20"/>
                <w:szCs w:val="20"/>
              </w:rPr>
              <w:t>Victoria</w:t>
            </w:r>
          </w:p>
        </w:tc>
        <w:tc>
          <w:tcPr>
            <w:tcW w:w="992" w:type="dxa"/>
            <w:tcBorders>
              <w:top w:val="nil"/>
              <w:left w:val="nil"/>
              <w:bottom w:val="nil"/>
              <w:right w:val="nil"/>
            </w:tcBorders>
            <w:shd w:val="clear" w:color="auto" w:fill="auto"/>
            <w:vAlign w:val="center"/>
          </w:tcPr>
          <w:p w:rsidR="00685BE5" w:rsidRPr="00777136" w:rsidRDefault="00685BE5" w:rsidP="00AE4C3A">
            <w:pPr>
              <w:spacing w:before="20" w:after="20"/>
              <w:ind w:right="240"/>
              <w:jc w:val="right"/>
              <w:rPr>
                <w:rFonts w:ascii="Calibri" w:eastAsia="Times New Roman" w:hAnsi="Calibri" w:cs="Calibri"/>
                <w:snapToGrid w:val="0"/>
                <w:color w:val="000000"/>
                <w:sz w:val="20"/>
                <w:szCs w:val="20"/>
                <w:lang w:eastAsia="zh-CN"/>
              </w:rPr>
            </w:pPr>
            <w:r w:rsidRPr="00777136">
              <w:rPr>
                <w:rFonts w:ascii="Calibri" w:eastAsia="Times New Roman" w:hAnsi="Calibri" w:cs="Calibri"/>
                <w:snapToGrid w:val="0"/>
                <w:color w:val="000000"/>
                <w:sz w:val="20"/>
                <w:szCs w:val="20"/>
                <w:lang w:eastAsia="zh-CN"/>
              </w:rPr>
              <w:t>32.0</w:t>
            </w:r>
          </w:p>
        </w:tc>
      </w:tr>
      <w:tr w:rsidR="00685BE5" w:rsidRPr="00B90E88" w:rsidTr="00777136">
        <w:tc>
          <w:tcPr>
            <w:tcW w:w="3559" w:type="dxa"/>
            <w:tcBorders>
              <w:top w:val="nil"/>
              <w:left w:val="nil"/>
              <w:bottom w:val="nil"/>
              <w:right w:val="nil"/>
            </w:tcBorders>
            <w:shd w:val="clear" w:color="auto" w:fill="auto"/>
            <w:vAlign w:val="center"/>
          </w:tcPr>
          <w:p w:rsidR="00685BE5" w:rsidRPr="007D2274" w:rsidRDefault="00685BE5" w:rsidP="00AE4C3A">
            <w:pPr>
              <w:spacing w:before="20" w:after="20"/>
              <w:ind w:left="191"/>
              <w:rPr>
                <w:rFonts w:ascii="Calibri" w:eastAsia="Calibri" w:hAnsi="Calibri" w:cs="Times New Roman"/>
                <w:sz w:val="20"/>
                <w:szCs w:val="20"/>
              </w:rPr>
            </w:pPr>
            <w:r w:rsidRPr="007D2274">
              <w:rPr>
                <w:rFonts w:ascii="Calibri" w:eastAsia="Calibri" w:hAnsi="Calibri" w:cs="Times New Roman"/>
                <w:i/>
                <w:sz w:val="20"/>
                <w:szCs w:val="20"/>
              </w:rPr>
              <w:t xml:space="preserve">Barwon area of Victoria </w:t>
            </w:r>
          </w:p>
        </w:tc>
        <w:tc>
          <w:tcPr>
            <w:tcW w:w="992" w:type="dxa"/>
            <w:tcBorders>
              <w:top w:val="nil"/>
              <w:left w:val="nil"/>
              <w:bottom w:val="nil"/>
              <w:right w:val="nil"/>
            </w:tcBorders>
            <w:shd w:val="clear" w:color="auto" w:fill="auto"/>
            <w:vAlign w:val="center"/>
          </w:tcPr>
          <w:p w:rsidR="00685BE5" w:rsidRPr="00777136" w:rsidRDefault="00685BE5" w:rsidP="00AE4C3A">
            <w:pPr>
              <w:spacing w:before="20" w:after="20"/>
              <w:ind w:right="240"/>
              <w:jc w:val="right"/>
              <w:rPr>
                <w:rFonts w:ascii="Calibri" w:eastAsia="Times New Roman" w:hAnsi="Calibri" w:cs="Calibri"/>
                <w:i/>
                <w:snapToGrid w:val="0"/>
                <w:color w:val="000000"/>
                <w:sz w:val="20"/>
                <w:szCs w:val="20"/>
                <w:lang w:eastAsia="zh-CN"/>
              </w:rPr>
            </w:pPr>
            <w:r w:rsidRPr="00777136">
              <w:rPr>
                <w:rFonts w:ascii="Calibri" w:eastAsia="Times New Roman" w:hAnsi="Calibri" w:cs="Calibri"/>
                <w:i/>
                <w:snapToGrid w:val="0"/>
                <w:color w:val="000000"/>
                <w:sz w:val="20"/>
                <w:szCs w:val="20"/>
                <w:lang w:eastAsia="zh-CN"/>
              </w:rPr>
              <w:t>13.2</w:t>
            </w:r>
          </w:p>
        </w:tc>
      </w:tr>
      <w:tr w:rsidR="00685BE5" w:rsidRPr="00B90E88" w:rsidTr="00777136">
        <w:tc>
          <w:tcPr>
            <w:tcW w:w="3559" w:type="dxa"/>
            <w:tcBorders>
              <w:top w:val="nil"/>
              <w:left w:val="nil"/>
              <w:bottom w:val="nil"/>
              <w:right w:val="nil"/>
            </w:tcBorders>
            <w:shd w:val="clear" w:color="auto" w:fill="auto"/>
            <w:vAlign w:val="center"/>
          </w:tcPr>
          <w:p w:rsidR="00685BE5" w:rsidRPr="007D2274" w:rsidRDefault="00685BE5" w:rsidP="00AE4C3A">
            <w:pPr>
              <w:spacing w:before="20" w:after="20"/>
              <w:ind w:left="191"/>
              <w:rPr>
                <w:rFonts w:ascii="Calibri" w:eastAsia="Calibri" w:hAnsi="Calibri" w:cs="Times New Roman"/>
                <w:sz w:val="20"/>
                <w:szCs w:val="20"/>
              </w:rPr>
            </w:pPr>
            <w:r w:rsidRPr="007D2274">
              <w:rPr>
                <w:rFonts w:ascii="Calibri" w:eastAsia="Calibri" w:hAnsi="Calibri" w:cs="Times New Roman"/>
                <w:i/>
                <w:sz w:val="20"/>
                <w:szCs w:val="20"/>
              </w:rPr>
              <w:t xml:space="preserve">Rest of Victoria </w:t>
            </w:r>
          </w:p>
        </w:tc>
        <w:tc>
          <w:tcPr>
            <w:tcW w:w="992" w:type="dxa"/>
            <w:tcBorders>
              <w:top w:val="nil"/>
              <w:left w:val="nil"/>
              <w:bottom w:val="nil"/>
              <w:right w:val="nil"/>
            </w:tcBorders>
            <w:shd w:val="clear" w:color="auto" w:fill="auto"/>
            <w:vAlign w:val="center"/>
          </w:tcPr>
          <w:p w:rsidR="00685BE5" w:rsidRPr="00777136" w:rsidRDefault="00685BE5" w:rsidP="00AE4C3A">
            <w:pPr>
              <w:spacing w:before="20" w:after="20"/>
              <w:ind w:right="240"/>
              <w:jc w:val="right"/>
              <w:rPr>
                <w:rFonts w:ascii="Calibri" w:eastAsia="Times New Roman" w:hAnsi="Calibri" w:cs="Calibri"/>
                <w:i/>
                <w:snapToGrid w:val="0"/>
                <w:color w:val="000000"/>
                <w:sz w:val="20"/>
                <w:szCs w:val="20"/>
                <w:lang w:eastAsia="zh-CN"/>
              </w:rPr>
            </w:pPr>
            <w:r w:rsidRPr="00777136">
              <w:rPr>
                <w:rFonts w:ascii="Calibri" w:eastAsia="Times New Roman" w:hAnsi="Calibri" w:cs="Calibri"/>
                <w:i/>
                <w:snapToGrid w:val="0"/>
                <w:color w:val="000000"/>
                <w:sz w:val="20"/>
                <w:szCs w:val="20"/>
                <w:lang w:eastAsia="zh-CN"/>
              </w:rPr>
              <w:t>18.8</w:t>
            </w:r>
          </w:p>
        </w:tc>
      </w:tr>
      <w:tr w:rsidR="00685BE5" w:rsidRPr="00B90E88" w:rsidTr="00777136">
        <w:tc>
          <w:tcPr>
            <w:tcW w:w="3559" w:type="dxa"/>
            <w:tcBorders>
              <w:top w:val="nil"/>
              <w:left w:val="nil"/>
              <w:bottom w:val="nil"/>
              <w:right w:val="nil"/>
            </w:tcBorders>
            <w:shd w:val="clear" w:color="auto" w:fill="auto"/>
            <w:vAlign w:val="center"/>
          </w:tcPr>
          <w:p w:rsidR="00685BE5" w:rsidRPr="007D2274" w:rsidRDefault="00685BE5" w:rsidP="00AE4C3A">
            <w:pPr>
              <w:spacing w:before="20" w:after="20"/>
              <w:rPr>
                <w:rFonts w:ascii="Calibri" w:eastAsia="Calibri" w:hAnsi="Calibri" w:cs="Times New Roman"/>
                <w:sz w:val="20"/>
                <w:szCs w:val="20"/>
              </w:rPr>
            </w:pPr>
            <w:r w:rsidRPr="007D2274">
              <w:rPr>
                <w:rFonts w:ascii="Calibri" w:eastAsia="Calibri" w:hAnsi="Calibri" w:cs="Times New Roman"/>
                <w:sz w:val="20"/>
                <w:szCs w:val="20"/>
              </w:rPr>
              <w:t>Australian Capital Territory</w:t>
            </w:r>
          </w:p>
        </w:tc>
        <w:tc>
          <w:tcPr>
            <w:tcW w:w="992" w:type="dxa"/>
            <w:tcBorders>
              <w:top w:val="nil"/>
              <w:left w:val="nil"/>
              <w:bottom w:val="nil"/>
              <w:right w:val="nil"/>
            </w:tcBorders>
            <w:shd w:val="clear" w:color="auto" w:fill="auto"/>
            <w:vAlign w:val="center"/>
          </w:tcPr>
          <w:p w:rsidR="00685BE5" w:rsidRPr="00777136" w:rsidRDefault="00685BE5" w:rsidP="00AE4C3A">
            <w:pPr>
              <w:spacing w:before="20" w:after="20"/>
              <w:ind w:right="240"/>
              <w:jc w:val="right"/>
              <w:rPr>
                <w:rFonts w:ascii="Calibri" w:eastAsia="Times New Roman" w:hAnsi="Calibri" w:cs="Calibri"/>
                <w:snapToGrid w:val="0"/>
                <w:color w:val="000000"/>
                <w:sz w:val="20"/>
                <w:szCs w:val="20"/>
                <w:lang w:eastAsia="zh-CN"/>
              </w:rPr>
            </w:pPr>
            <w:r w:rsidRPr="00777136">
              <w:rPr>
                <w:rFonts w:ascii="Calibri" w:eastAsia="Times New Roman" w:hAnsi="Calibri" w:cs="Calibri"/>
                <w:snapToGrid w:val="0"/>
                <w:color w:val="000000"/>
                <w:sz w:val="20"/>
                <w:szCs w:val="20"/>
                <w:lang w:eastAsia="zh-CN"/>
              </w:rPr>
              <w:t>0.7</w:t>
            </w:r>
          </w:p>
        </w:tc>
      </w:tr>
      <w:tr w:rsidR="00685BE5" w:rsidRPr="00B90E88" w:rsidTr="00777136">
        <w:tc>
          <w:tcPr>
            <w:tcW w:w="3559" w:type="dxa"/>
            <w:tcBorders>
              <w:top w:val="nil"/>
              <w:left w:val="nil"/>
              <w:bottom w:val="single" w:sz="4" w:space="0" w:color="auto"/>
              <w:right w:val="nil"/>
            </w:tcBorders>
            <w:shd w:val="clear" w:color="auto" w:fill="auto"/>
            <w:vAlign w:val="center"/>
            <w:hideMark/>
          </w:tcPr>
          <w:p w:rsidR="00685BE5" w:rsidRPr="007D2274" w:rsidRDefault="00685BE5" w:rsidP="00AE4C3A">
            <w:pPr>
              <w:spacing w:before="20" w:after="20"/>
              <w:rPr>
                <w:rFonts w:ascii="Calibri" w:eastAsia="Calibri" w:hAnsi="Calibri" w:cs="Times New Roman"/>
                <w:sz w:val="20"/>
                <w:szCs w:val="20"/>
              </w:rPr>
            </w:pPr>
            <w:r w:rsidRPr="007D2274">
              <w:rPr>
                <w:rFonts w:ascii="Calibri" w:eastAsia="Calibri" w:hAnsi="Calibri" w:cs="Times New Roman"/>
                <w:sz w:val="20"/>
                <w:szCs w:val="20"/>
              </w:rPr>
              <w:t>Queensland</w:t>
            </w:r>
          </w:p>
        </w:tc>
        <w:tc>
          <w:tcPr>
            <w:tcW w:w="992" w:type="dxa"/>
            <w:tcBorders>
              <w:top w:val="nil"/>
              <w:left w:val="nil"/>
              <w:bottom w:val="single" w:sz="4" w:space="0" w:color="auto"/>
              <w:right w:val="nil"/>
            </w:tcBorders>
            <w:shd w:val="clear" w:color="auto" w:fill="auto"/>
            <w:vAlign w:val="center"/>
            <w:hideMark/>
          </w:tcPr>
          <w:p w:rsidR="00685BE5" w:rsidRPr="00777136" w:rsidRDefault="00685BE5" w:rsidP="00AE4C3A">
            <w:pPr>
              <w:spacing w:before="20" w:after="20"/>
              <w:ind w:right="240"/>
              <w:jc w:val="right"/>
              <w:rPr>
                <w:rFonts w:ascii="Calibri" w:eastAsia="Times New Roman" w:hAnsi="Calibri" w:cs="Calibri"/>
                <w:color w:val="000000"/>
                <w:sz w:val="20"/>
                <w:szCs w:val="20"/>
                <w:lang w:eastAsia="zh-CN"/>
              </w:rPr>
            </w:pPr>
            <w:r w:rsidRPr="00777136">
              <w:rPr>
                <w:rFonts w:ascii="Calibri" w:eastAsia="Times New Roman" w:hAnsi="Calibri" w:cs="Calibri"/>
                <w:snapToGrid w:val="0"/>
                <w:color w:val="000000"/>
                <w:sz w:val="20"/>
                <w:szCs w:val="20"/>
                <w:lang w:eastAsia="zh-CN"/>
              </w:rPr>
              <w:t>23.2</w:t>
            </w:r>
          </w:p>
        </w:tc>
      </w:tr>
      <w:tr w:rsidR="00685BE5" w:rsidRPr="00B90E88" w:rsidTr="00777136">
        <w:tc>
          <w:tcPr>
            <w:tcW w:w="3559" w:type="dxa"/>
            <w:tcBorders>
              <w:top w:val="single" w:sz="4" w:space="0" w:color="auto"/>
              <w:left w:val="nil"/>
              <w:bottom w:val="single" w:sz="4" w:space="0" w:color="auto"/>
              <w:right w:val="nil"/>
            </w:tcBorders>
            <w:shd w:val="clear" w:color="auto" w:fill="auto"/>
            <w:vAlign w:val="center"/>
            <w:hideMark/>
          </w:tcPr>
          <w:p w:rsidR="00685BE5" w:rsidRPr="00B90E88" w:rsidRDefault="00685BE5" w:rsidP="00AE4C3A">
            <w:pPr>
              <w:spacing w:before="20" w:after="20"/>
              <w:jc w:val="both"/>
              <w:rPr>
                <w:rFonts w:ascii="Calibri" w:eastAsia="Times New Roman" w:hAnsi="Calibri" w:cs="Calibri"/>
                <w:b/>
                <w:color w:val="000000"/>
                <w:sz w:val="20"/>
                <w:szCs w:val="20"/>
                <w:lang w:eastAsia="zh-CN"/>
              </w:rPr>
            </w:pPr>
            <w:r w:rsidRPr="00B90E88">
              <w:rPr>
                <w:rFonts w:ascii="Calibri" w:eastAsia="Times New Roman" w:hAnsi="Calibri" w:cs="Calibri"/>
                <w:b/>
                <w:snapToGrid w:val="0"/>
                <w:color w:val="000000"/>
                <w:sz w:val="20"/>
                <w:szCs w:val="20"/>
                <w:lang w:eastAsia="zh-CN"/>
              </w:rPr>
              <w:t>Total (N=272)</w:t>
            </w:r>
          </w:p>
        </w:tc>
        <w:tc>
          <w:tcPr>
            <w:tcW w:w="992" w:type="dxa"/>
            <w:tcBorders>
              <w:top w:val="single" w:sz="4" w:space="0" w:color="auto"/>
              <w:left w:val="nil"/>
              <w:bottom w:val="single" w:sz="4" w:space="0" w:color="auto"/>
              <w:right w:val="nil"/>
            </w:tcBorders>
            <w:shd w:val="clear" w:color="auto" w:fill="auto"/>
            <w:vAlign w:val="center"/>
            <w:hideMark/>
          </w:tcPr>
          <w:p w:rsidR="00685BE5" w:rsidRPr="00B90E88" w:rsidRDefault="00685BE5" w:rsidP="00AE4C3A">
            <w:pPr>
              <w:spacing w:before="20" w:after="20"/>
              <w:ind w:right="240"/>
              <w:jc w:val="right"/>
              <w:rPr>
                <w:rFonts w:ascii="Calibri" w:eastAsia="Times New Roman" w:hAnsi="Calibri" w:cs="Calibri"/>
                <w:b/>
                <w:color w:val="000000"/>
                <w:sz w:val="20"/>
                <w:szCs w:val="20"/>
                <w:lang w:eastAsia="zh-CN"/>
              </w:rPr>
            </w:pPr>
            <w:r w:rsidRPr="00B90E88">
              <w:rPr>
                <w:rFonts w:ascii="Calibri" w:eastAsia="Times New Roman" w:hAnsi="Calibri" w:cs="Calibri"/>
                <w:b/>
                <w:snapToGrid w:val="0"/>
                <w:color w:val="000000"/>
                <w:sz w:val="20"/>
                <w:szCs w:val="20"/>
                <w:lang w:eastAsia="zh-CN"/>
              </w:rPr>
              <w:t>100</w:t>
            </w:r>
          </w:p>
        </w:tc>
      </w:tr>
    </w:tbl>
    <w:p w:rsidR="00685BE5" w:rsidRPr="00211889" w:rsidRDefault="00685BE5" w:rsidP="00AE4C3A">
      <w:pPr>
        <w:pStyle w:val="NILSReference"/>
        <w:rPr>
          <w:rFonts w:eastAsia="SimHei"/>
        </w:rPr>
      </w:pPr>
      <w:r w:rsidRPr="00211889">
        <w:rPr>
          <w:rFonts w:eastAsia="SimHei"/>
        </w:rPr>
        <w:t>Source: 2014 NDIS self-employed DSP survey.</w:t>
      </w:r>
    </w:p>
    <w:p w:rsidR="00B92687" w:rsidRDefault="00B92687" w:rsidP="00AE4C3A">
      <w:pPr>
        <w:rPr>
          <w:rFonts w:ascii="Calibri" w:eastAsia="SimHei" w:hAnsi="Calibri" w:cs="Calibri"/>
          <w:lang w:val="en-US"/>
        </w:rPr>
      </w:pPr>
    </w:p>
    <w:p w:rsidR="00685BE5" w:rsidRPr="00AB33E3" w:rsidRDefault="00685BE5" w:rsidP="00AE4C3A">
      <w:pPr>
        <w:rPr>
          <w:rFonts w:ascii="Calibri" w:eastAsia="SimHei" w:hAnsi="Calibri" w:cs="Calibri"/>
          <w:lang w:val="en-US"/>
        </w:rPr>
      </w:pPr>
      <w:r>
        <w:rPr>
          <w:rFonts w:ascii="Calibri" w:eastAsia="SimHei" w:hAnsi="Calibri" w:cs="Calibri"/>
          <w:lang w:val="en-US"/>
        </w:rPr>
        <w:t>Table 4.4</w:t>
      </w:r>
      <w:r w:rsidRPr="00AB33E3">
        <w:rPr>
          <w:rFonts w:ascii="Calibri" w:eastAsia="SimHei" w:hAnsi="Calibri" w:cs="Calibri"/>
          <w:lang w:val="en-US"/>
        </w:rPr>
        <w:t>5 shows the number of employees hired by the self-employed providers. Nearly three quarters of the self-employed worked as the sole trader for their businesses (7</w:t>
      </w:r>
      <w:r>
        <w:rPr>
          <w:rFonts w:ascii="Calibri" w:eastAsia="SimHei" w:hAnsi="Calibri" w:cs="Calibri"/>
          <w:lang w:val="en-US"/>
        </w:rPr>
        <w:t>4</w:t>
      </w:r>
      <w:r w:rsidRPr="00AB33E3">
        <w:rPr>
          <w:rFonts w:ascii="Calibri" w:eastAsia="SimHei" w:hAnsi="Calibri" w:cs="Calibri"/>
          <w:lang w:val="en-US"/>
        </w:rPr>
        <w:t xml:space="preserve"> per cent)</w:t>
      </w:r>
      <w:r>
        <w:rPr>
          <w:rFonts w:ascii="Calibri" w:eastAsia="SimHei" w:hAnsi="Calibri" w:cs="Calibri"/>
          <w:lang w:val="en-US"/>
        </w:rPr>
        <w:t>. O</w:t>
      </w:r>
      <w:r w:rsidRPr="00AB33E3">
        <w:rPr>
          <w:rFonts w:ascii="Calibri" w:eastAsia="SimHei" w:hAnsi="Calibri" w:cs="Calibri"/>
          <w:lang w:val="en-US"/>
        </w:rPr>
        <w:t>ne in ten hired one employee, and one in six (1</w:t>
      </w:r>
      <w:r>
        <w:rPr>
          <w:rFonts w:ascii="Calibri" w:eastAsia="SimHei" w:hAnsi="Calibri" w:cs="Calibri"/>
          <w:lang w:val="en-US"/>
        </w:rPr>
        <w:t>6</w:t>
      </w:r>
      <w:r w:rsidRPr="00AB33E3">
        <w:rPr>
          <w:rFonts w:ascii="Calibri" w:eastAsia="SimHei" w:hAnsi="Calibri" w:cs="Calibri"/>
          <w:lang w:val="en-US"/>
        </w:rPr>
        <w:t xml:space="preserve"> per cent) had more than one employee working for them.</w:t>
      </w:r>
    </w:p>
    <w:p w:rsidR="00B92687" w:rsidRDefault="00B92687" w:rsidP="00AE4C3A">
      <w:pPr>
        <w:rPr>
          <w:rFonts w:ascii="Calibri" w:eastAsia="SimHei" w:hAnsi="Calibri" w:cs="Times New Roman"/>
          <w:lang w:val="en-US"/>
        </w:rPr>
      </w:pPr>
    </w:p>
    <w:p w:rsidR="00685BE5" w:rsidRDefault="00685BE5" w:rsidP="00AE4C3A">
      <w:pPr>
        <w:rPr>
          <w:rFonts w:ascii="Calibri" w:eastAsia="SimHei" w:hAnsi="Calibri" w:cs="Times New Roman"/>
          <w:lang w:val="en-US"/>
        </w:rPr>
      </w:pPr>
      <w:r>
        <w:rPr>
          <w:rFonts w:ascii="Calibri" w:eastAsia="SimHei" w:hAnsi="Calibri" w:cs="Times New Roman"/>
          <w:lang w:val="en-US"/>
        </w:rPr>
        <w:t>As expected, i</w:t>
      </w:r>
      <w:r w:rsidRPr="00AB33E3">
        <w:rPr>
          <w:rFonts w:ascii="Calibri" w:eastAsia="SimHei" w:hAnsi="Calibri" w:cs="Times New Roman"/>
          <w:lang w:val="en-US"/>
        </w:rPr>
        <w:t>n comparison to outlets, the self-employed businesses were very small in size, with 83 per cent of them hiring zero or one employee. In comparison the vast majority of the 697 outlets surveyed (8</w:t>
      </w:r>
      <w:r>
        <w:rPr>
          <w:rFonts w:ascii="Calibri" w:eastAsia="SimHei" w:hAnsi="Calibri" w:cs="Times New Roman"/>
          <w:lang w:val="en-US"/>
        </w:rPr>
        <w:t>2</w:t>
      </w:r>
      <w:r w:rsidRPr="00AB33E3">
        <w:rPr>
          <w:rFonts w:ascii="Calibri" w:eastAsia="SimHei" w:hAnsi="Calibri" w:cs="Times New Roman"/>
          <w:lang w:val="en-US"/>
        </w:rPr>
        <w:t xml:space="preserve"> per cent) had 5 or more employees, with only 1</w:t>
      </w:r>
      <w:r>
        <w:rPr>
          <w:rFonts w:ascii="Calibri" w:eastAsia="SimHei" w:hAnsi="Calibri" w:cs="Times New Roman"/>
          <w:lang w:val="en-US"/>
        </w:rPr>
        <w:t>6</w:t>
      </w:r>
      <w:r w:rsidRPr="00AB33E3">
        <w:rPr>
          <w:rFonts w:ascii="Calibri" w:eastAsia="SimHei" w:hAnsi="Calibri" w:cs="Times New Roman"/>
          <w:lang w:val="en-US"/>
        </w:rPr>
        <w:t xml:space="preserve"> per cent hiring zero to four </w:t>
      </w:r>
      <w:r w:rsidRPr="00AB33E3">
        <w:rPr>
          <w:rFonts w:ascii="Calibri" w:eastAsia="SimHei" w:hAnsi="Calibri" w:cs="Times New Roman"/>
          <w:lang w:val="en-US"/>
        </w:rPr>
        <w:lastRenderedPageBreak/>
        <w:t xml:space="preserve">employees (see Table </w:t>
      </w:r>
      <w:r>
        <w:rPr>
          <w:rFonts w:ascii="Calibri" w:eastAsia="SimHei" w:hAnsi="Calibri" w:cs="Times New Roman"/>
          <w:lang w:val="en-US"/>
        </w:rPr>
        <w:t>4.2</w:t>
      </w:r>
      <w:r w:rsidRPr="00AB33E3">
        <w:rPr>
          <w:rFonts w:ascii="Calibri" w:eastAsia="SimHei" w:hAnsi="Calibri" w:cs="Times New Roman"/>
          <w:lang w:val="en-US"/>
        </w:rPr>
        <w:t xml:space="preserve"> in the Outlet Section). In some cases, the self-employed worked as independent contractors</w:t>
      </w:r>
      <w:r>
        <w:rPr>
          <w:rFonts w:ascii="Calibri" w:eastAsia="SimHei" w:hAnsi="Calibri" w:cs="Times New Roman"/>
          <w:lang w:val="en-US"/>
        </w:rPr>
        <w:t xml:space="preserve"> for outlets. As seen in Table 4.13</w:t>
      </w:r>
      <w:r w:rsidRPr="00AB33E3">
        <w:rPr>
          <w:rFonts w:ascii="Calibri" w:eastAsia="SimHei" w:hAnsi="Calibri" w:cs="Times New Roman"/>
          <w:lang w:val="en-US"/>
        </w:rPr>
        <w:t>, 6 per cent of outlets engaged one or more self-employed allied health workers.</w:t>
      </w:r>
    </w:p>
    <w:p w:rsidR="00685BE5" w:rsidRPr="00AB33E3" w:rsidRDefault="00685BE5" w:rsidP="0044684E">
      <w:pPr>
        <w:pStyle w:val="NILSTableHeading"/>
        <w:rPr>
          <w:lang w:val="en-US"/>
        </w:rPr>
      </w:pPr>
      <w:bookmarkStart w:id="695" w:name="_Toc449955383"/>
      <w:bookmarkStart w:id="696" w:name="_Toc428279252"/>
      <w:r w:rsidRPr="00AB33E3">
        <w:t xml:space="preserve">Table </w:t>
      </w:r>
      <w:r>
        <w:t>4.45</w:t>
      </w:r>
      <w:r w:rsidRPr="00AB33E3">
        <w:t xml:space="preserve">: Number of employees </w:t>
      </w:r>
      <w:r>
        <w:t>of</w:t>
      </w:r>
      <w:r w:rsidRPr="00AB33E3">
        <w:t xml:space="preserve"> self-employed providers</w:t>
      </w:r>
      <w:bookmarkEnd w:id="695"/>
      <w:r w:rsidRPr="00AB33E3">
        <w:rPr>
          <w:lang w:val="en-US"/>
        </w:rPr>
        <w:t xml:space="preserve"> </w:t>
      </w:r>
      <w:bookmarkEnd w:id="696"/>
    </w:p>
    <w:tbl>
      <w:tblPr>
        <w:tblW w:w="3417" w:type="dxa"/>
        <w:tblInd w:w="93" w:type="dxa"/>
        <w:tblLayout w:type="fixed"/>
        <w:tblLook w:val="04A0" w:firstRow="1" w:lastRow="0" w:firstColumn="1" w:lastColumn="0" w:noHBand="0" w:noVBand="1"/>
        <w:tblCaption w:val="Table 4.45 Number of employees of self-employed providers (per cent)"/>
      </w:tblPr>
      <w:tblGrid>
        <w:gridCol w:w="2425"/>
        <w:gridCol w:w="992"/>
      </w:tblGrid>
      <w:tr w:rsidR="00685BE5" w:rsidRPr="00C41FC1" w:rsidTr="00426458">
        <w:trPr>
          <w:tblHeader/>
        </w:trPr>
        <w:tc>
          <w:tcPr>
            <w:tcW w:w="2425" w:type="dxa"/>
            <w:tcBorders>
              <w:top w:val="single" w:sz="4" w:space="0" w:color="auto"/>
              <w:left w:val="nil"/>
              <w:bottom w:val="single" w:sz="4" w:space="0" w:color="auto"/>
              <w:right w:val="nil"/>
            </w:tcBorders>
            <w:shd w:val="clear" w:color="auto" w:fill="auto"/>
            <w:vAlign w:val="center"/>
          </w:tcPr>
          <w:p w:rsidR="00685BE5" w:rsidRPr="00C41FC1" w:rsidRDefault="00685BE5" w:rsidP="00AE4C3A">
            <w:pPr>
              <w:spacing w:before="20" w:after="20"/>
              <w:rPr>
                <w:rFonts w:ascii="Calibri" w:eastAsia="Times New Roman" w:hAnsi="Calibri" w:cs="Calibri"/>
                <w:color w:val="000000"/>
                <w:sz w:val="20"/>
                <w:szCs w:val="20"/>
                <w:lang w:eastAsia="zh-CN"/>
              </w:rPr>
            </w:pPr>
            <w:bookmarkStart w:id="697" w:name="Title_4_45"/>
            <w:bookmarkEnd w:id="697"/>
          </w:p>
        </w:tc>
        <w:tc>
          <w:tcPr>
            <w:tcW w:w="992" w:type="dxa"/>
            <w:tcBorders>
              <w:top w:val="single" w:sz="4" w:space="0" w:color="auto"/>
              <w:left w:val="nil"/>
              <w:bottom w:val="single" w:sz="4" w:space="0" w:color="auto"/>
              <w:right w:val="nil"/>
            </w:tcBorders>
            <w:shd w:val="clear" w:color="auto" w:fill="auto"/>
            <w:vAlign w:val="center"/>
            <w:hideMark/>
          </w:tcPr>
          <w:p w:rsidR="00685BE5" w:rsidRPr="00C41FC1" w:rsidRDefault="0096484D" w:rsidP="00AE4C3A">
            <w:pPr>
              <w:spacing w:before="20" w:after="20"/>
              <w:jc w:val="center"/>
              <w:rPr>
                <w:rFonts w:ascii="Calibri" w:eastAsia="Times New Roman" w:hAnsi="Calibri" w:cs="Calibri"/>
                <w:color w:val="000000"/>
                <w:sz w:val="20"/>
                <w:szCs w:val="20"/>
                <w:lang w:eastAsia="zh-CN"/>
              </w:rPr>
            </w:pPr>
            <w:r>
              <w:rPr>
                <w:rFonts w:ascii="Calibri" w:eastAsia="Times New Roman" w:hAnsi="Calibri" w:cs="Calibri"/>
                <w:color w:val="000000"/>
                <w:sz w:val="20"/>
                <w:szCs w:val="20"/>
                <w:lang w:eastAsia="zh-CN"/>
              </w:rPr>
              <w:t>%</w:t>
            </w:r>
          </w:p>
        </w:tc>
      </w:tr>
      <w:tr w:rsidR="00685BE5" w:rsidRPr="00C41FC1" w:rsidTr="00426458">
        <w:tc>
          <w:tcPr>
            <w:tcW w:w="2425" w:type="dxa"/>
            <w:tcBorders>
              <w:top w:val="nil"/>
              <w:left w:val="nil"/>
              <w:bottom w:val="nil"/>
              <w:right w:val="nil"/>
            </w:tcBorders>
            <w:shd w:val="clear" w:color="auto" w:fill="auto"/>
            <w:vAlign w:val="center"/>
            <w:hideMark/>
          </w:tcPr>
          <w:p w:rsidR="00685BE5" w:rsidRPr="00C41FC1" w:rsidRDefault="00685BE5" w:rsidP="00AE4C3A">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snapToGrid w:val="0"/>
                <w:color w:val="000000"/>
                <w:sz w:val="20"/>
                <w:szCs w:val="20"/>
                <w:lang w:eastAsia="zh-CN"/>
              </w:rPr>
              <w:t>0</w:t>
            </w:r>
          </w:p>
        </w:tc>
        <w:tc>
          <w:tcPr>
            <w:tcW w:w="992" w:type="dxa"/>
            <w:tcBorders>
              <w:top w:val="nil"/>
              <w:left w:val="nil"/>
              <w:bottom w:val="nil"/>
              <w:right w:val="nil"/>
            </w:tcBorders>
            <w:shd w:val="clear" w:color="auto" w:fill="auto"/>
            <w:vAlign w:val="center"/>
            <w:hideMark/>
          </w:tcPr>
          <w:p w:rsidR="00685BE5" w:rsidRPr="00C41FC1" w:rsidRDefault="00685BE5" w:rsidP="00426458">
            <w:pPr>
              <w:tabs>
                <w:tab w:val="decimal" w:pos="317"/>
              </w:tabs>
              <w:spacing w:before="20" w:after="20"/>
              <w:ind w:right="284"/>
              <w:jc w:val="right"/>
              <w:rPr>
                <w:rFonts w:ascii="Calibri" w:eastAsia="Times New Roman" w:hAnsi="Calibri" w:cs="Calibri"/>
                <w:color w:val="000000"/>
                <w:sz w:val="20"/>
                <w:szCs w:val="20"/>
                <w:lang w:eastAsia="zh-CN"/>
              </w:rPr>
            </w:pPr>
            <w:r w:rsidRPr="00C41FC1">
              <w:rPr>
                <w:rFonts w:ascii="Calibri" w:eastAsia="Times New Roman" w:hAnsi="Calibri" w:cs="Calibri"/>
                <w:snapToGrid w:val="0"/>
                <w:color w:val="000000"/>
                <w:sz w:val="20"/>
                <w:szCs w:val="20"/>
                <w:lang w:eastAsia="zh-CN"/>
              </w:rPr>
              <w:t>73.5</w:t>
            </w:r>
          </w:p>
        </w:tc>
      </w:tr>
      <w:tr w:rsidR="00685BE5" w:rsidRPr="00C41FC1" w:rsidTr="00426458">
        <w:tc>
          <w:tcPr>
            <w:tcW w:w="2425" w:type="dxa"/>
            <w:tcBorders>
              <w:top w:val="nil"/>
              <w:left w:val="nil"/>
              <w:bottom w:val="nil"/>
              <w:right w:val="nil"/>
            </w:tcBorders>
            <w:shd w:val="clear" w:color="auto" w:fill="auto"/>
            <w:vAlign w:val="center"/>
            <w:hideMark/>
          </w:tcPr>
          <w:p w:rsidR="00685BE5" w:rsidRPr="00C41FC1" w:rsidRDefault="00685BE5" w:rsidP="00AE4C3A">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snapToGrid w:val="0"/>
                <w:color w:val="000000"/>
                <w:sz w:val="20"/>
                <w:szCs w:val="20"/>
                <w:lang w:eastAsia="zh-CN"/>
              </w:rPr>
              <w:t>1</w:t>
            </w:r>
          </w:p>
        </w:tc>
        <w:tc>
          <w:tcPr>
            <w:tcW w:w="992" w:type="dxa"/>
            <w:tcBorders>
              <w:top w:val="nil"/>
              <w:left w:val="nil"/>
              <w:bottom w:val="nil"/>
              <w:right w:val="nil"/>
            </w:tcBorders>
            <w:shd w:val="clear" w:color="auto" w:fill="auto"/>
            <w:vAlign w:val="center"/>
            <w:hideMark/>
          </w:tcPr>
          <w:p w:rsidR="00685BE5" w:rsidRPr="00C41FC1" w:rsidRDefault="00685BE5" w:rsidP="00426458">
            <w:pPr>
              <w:tabs>
                <w:tab w:val="decimal" w:pos="317"/>
              </w:tabs>
              <w:spacing w:before="20" w:after="20"/>
              <w:ind w:right="284"/>
              <w:jc w:val="right"/>
              <w:rPr>
                <w:rFonts w:ascii="Calibri" w:eastAsia="Times New Roman" w:hAnsi="Calibri" w:cs="Calibri"/>
                <w:color w:val="000000"/>
                <w:sz w:val="20"/>
                <w:szCs w:val="20"/>
                <w:lang w:eastAsia="zh-CN"/>
              </w:rPr>
            </w:pPr>
            <w:r w:rsidRPr="00C41FC1">
              <w:rPr>
                <w:rFonts w:ascii="Calibri" w:eastAsia="Times New Roman" w:hAnsi="Calibri" w:cs="Calibri"/>
                <w:snapToGrid w:val="0"/>
                <w:color w:val="000000"/>
                <w:sz w:val="20"/>
                <w:szCs w:val="20"/>
                <w:lang w:eastAsia="zh-CN"/>
              </w:rPr>
              <w:t>9.9</w:t>
            </w:r>
          </w:p>
        </w:tc>
      </w:tr>
      <w:tr w:rsidR="00685BE5" w:rsidRPr="00C41FC1" w:rsidTr="00426458">
        <w:tc>
          <w:tcPr>
            <w:tcW w:w="2425" w:type="dxa"/>
            <w:tcBorders>
              <w:top w:val="nil"/>
              <w:left w:val="nil"/>
              <w:bottom w:val="nil"/>
              <w:right w:val="nil"/>
            </w:tcBorders>
            <w:shd w:val="clear" w:color="auto" w:fill="auto"/>
            <w:vAlign w:val="center"/>
            <w:hideMark/>
          </w:tcPr>
          <w:p w:rsidR="00685BE5" w:rsidRPr="00C41FC1" w:rsidRDefault="00685BE5" w:rsidP="00AE4C3A">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snapToGrid w:val="0"/>
                <w:color w:val="000000"/>
                <w:sz w:val="20"/>
                <w:szCs w:val="20"/>
                <w:lang w:eastAsia="zh-CN"/>
              </w:rPr>
              <w:t>More than 1</w:t>
            </w:r>
          </w:p>
        </w:tc>
        <w:tc>
          <w:tcPr>
            <w:tcW w:w="992" w:type="dxa"/>
            <w:tcBorders>
              <w:top w:val="nil"/>
              <w:left w:val="nil"/>
              <w:bottom w:val="nil"/>
              <w:right w:val="nil"/>
            </w:tcBorders>
            <w:shd w:val="clear" w:color="auto" w:fill="auto"/>
            <w:vAlign w:val="center"/>
            <w:hideMark/>
          </w:tcPr>
          <w:p w:rsidR="00685BE5" w:rsidRPr="00C41FC1" w:rsidRDefault="00685BE5" w:rsidP="00426458">
            <w:pPr>
              <w:tabs>
                <w:tab w:val="decimal" w:pos="317"/>
              </w:tabs>
              <w:spacing w:before="20" w:after="20"/>
              <w:ind w:right="284"/>
              <w:jc w:val="right"/>
              <w:rPr>
                <w:rFonts w:ascii="Calibri" w:eastAsia="Times New Roman" w:hAnsi="Calibri" w:cs="Calibri"/>
                <w:color w:val="000000"/>
                <w:sz w:val="20"/>
                <w:szCs w:val="20"/>
                <w:lang w:eastAsia="zh-CN"/>
              </w:rPr>
            </w:pPr>
            <w:r w:rsidRPr="00C41FC1">
              <w:rPr>
                <w:rFonts w:ascii="Calibri" w:eastAsia="Times New Roman" w:hAnsi="Calibri" w:cs="Calibri"/>
                <w:snapToGrid w:val="0"/>
                <w:color w:val="000000"/>
                <w:sz w:val="20"/>
                <w:szCs w:val="20"/>
                <w:lang w:eastAsia="zh-CN"/>
              </w:rPr>
              <w:t>15.8</w:t>
            </w:r>
          </w:p>
        </w:tc>
      </w:tr>
      <w:tr w:rsidR="00685BE5" w:rsidRPr="00C41FC1" w:rsidTr="00426458">
        <w:tc>
          <w:tcPr>
            <w:tcW w:w="2425" w:type="dxa"/>
            <w:tcBorders>
              <w:top w:val="nil"/>
              <w:left w:val="nil"/>
              <w:bottom w:val="single" w:sz="4" w:space="0" w:color="auto"/>
              <w:right w:val="nil"/>
            </w:tcBorders>
            <w:shd w:val="clear" w:color="auto" w:fill="auto"/>
            <w:vAlign w:val="center"/>
            <w:hideMark/>
          </w:tcPr>
          <w:p w:rsidR="00685BE5" w:rsidRPr="00C41FC1" w:rsidRDefault="00685BE5" w:rsidP="00AE4C3A">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snapToGrid w:val="0"/>
                <w:color w:val="000000"/>
                <w:sz w:val="20"/>
                <w:szCs w:val="20"/>
                <w:lang w:eastAsia="zh-CN"/>
              </w:rPr>
              <w:t xml:space="preserve">Question not answered </w:t>
            </w:r>
          </w:p>
        </w:tc>
        <w:tc>
          <w:tcPr>
            <w:tcW w:w="992" w:type="dxa"/>
            <w:tcBorders>
              <w:top w:val="nil"/>
              <w:left w:val="nil"/>
              <w:bottom w:val="single" w:sz="4" w:space="0" w:color="auto"/>
              <w:right w:val="nil"/>
            </w:tcBorders>
            <w:shd w:val="clear" w:color="auto" w:fill="auto"/>
            <w:vAlign w:val="center"/>
            <w:hideMark/>
          </w:tcPr>
          <w:p w:rsidR="00685BE5" w:rsidRPr="00C41FC1" w:rsidRDefault="00685BE5" w:rsidP="00426458">
            <w:pPr>
              <w:tabs>
                <w:tab w:val="decimal" w:pos="317"/>
              </w:tabs>
              <w:spacing w:before="20" w:after="20"/>
              <w:ind w:right="284"/>
              <w:jc w:val="right"/>
              <w:rPr>
                <w:rFonts w:ascii="Calibri" w:eastAsia="Times New Roman" w:hAnsi="Calibri" w:cs="Calibri"/>
                <w:color w:val="000000"/>
                <w:sz w:val="20"/>
                <w:szCs w:val="20"/>
                <w:lang w:eastAsia="zh-CN"/>
              </w:rPr>
            </w:pPr>
            <w:r w:rsidRPr="00C41FC1">
              <w:rPr>
                <w:rFonts w:ascii="Calibri" w:eastAsia="Times New Roman" w:hAnsi="Calibri" w:cs="Calibri"/>
                <w:snapToGrid w:val="0"/>
                <w:color w:val="000000"/>
                <w:sz w:val="20"/>
                <w:szCs w:val="20"/>
                <w:lang w:eastAsia="zh-CN"/>
              </w:rPr>
              <w:t>0.7</w:t>
            </w:r>
          </w:p>
        </w:tc>
      </w:tr>
      <w:tr w:rsidR="00685BE5" w:rsidRPr="00C41FC1" w:rsidTr="00EC4846">
        <w:tc>
          <w:tcPr>
            <w:tcW w:w="2425" w:type="dxa"/>
            <w:tcBorders>
              <w:top w:val="single" w:sz="4" w:space="0" w:color="auto"/>
              <w:left w:val="nil"/>
              <w:bottom w:val="single" w:sz="4" w:space="0" w:color="auto"/>
              <w:right w:val="nil"/>
            </w:tcBorders>
            <w:shd w:val="clear" w:color="auto" w:fill="auto"/>
            <w:vAlign w:val="center"/>
            <w:hideMark/>
          </w:tcPr>
          <w:p w:rsidR="00685BE5" w:rsidRPr="00C41FC1" w:rsidRDefault="00685BE5" w:rsidP="00AE4C3A">
            <w:pPr>
              <w:spacing w:before="20" w:after="20"/>
              <w:rPr>
                <w:rFonts w:ascii="Calibri" w:eastAsia="Times New Roman" w:hAnsi="Calibri" w:cs="Calibri"/>
                <w:b/>
                <w:color w:val="000000"/>
                <w:sz w:val="20"/>
                <w:szCs w:val="20"/>
                <w:lang w:eastAsia="zh-CN"/>
              </w:rPr>
            </w:pPr>
            <w:r w:rsidRPr="00C41FC1">
              <w:rPr>
                <w:rFonts w:ascii="Calibri" w:eastAsia="Times New Roman" w:hAnsi="Calibri" w:cs="Calibri"/>
                <w:b/>
                <w:snapToGrid w:val="0"/>
                <w:color w:val="000000"/>
                <w:sz w:val="20"/>
                <w:szCs w:val="20"/>
                <w:lang w:eastAsia="zh-CN"/>
              </w:rPr>
              <w:t>Total (N=272)</w:t>
            </w:r>
          </w:p>
        </w:tc>
        <w:tc>
          <w:tcPr>
            <w:tcW w:w="992" w:type="dxa"/>
            <w:tcBorders>
              <w:top w:val="single" w:sz="4" w:space="0" w:color="auto"/>
              <w:left w:val="nil"/>
              <w:bottom w:val="single" w:sz="4" w:space="0" w:color="auto"/>
              <w:right w:val="nil"/>
            </w:tcBorders>
            <w:shd w:val="clear" w:color="auto" w:fill="auto"/>
            <w:vAlign w:val="center"/>
            <w:hideMark/>
          </w:tcPr>
          <w:p w:rsidR="00685BE5" w:rsidRPr="00C41FC1" w:rsidRDefault="00EC4846" w:rsidP="00EC4846">
            <w:pPr>
              <w:spacing w:before="20" w:after="20"/>
              <w:ind w:right="175"/>
              <w:jc w:val="center"/>
              <w:rPr>
                <w:rFonts w:ascii="Calibri" w:eastAsia="Times New Roman" w:hAnsi="Calibri" w:cs="Calibri"/>
                <w:b/>
                <w:color w:val="000000"/>
                <w:sz w:val="20"/>
                <w:szCs w:val="20"/>
                <w:lang w:eastAsia="zh-CN"/>
              </w:rPr>
            </w:pPr>
            <w:r>
              <w:rPr>
                <w:rFonts w:ascii="Calibri" w:eastAsia="Times New Roman" w:hAnsi="Calibri" w:cs="Calibri"/>
                <w:b/>
                <w:color w:val="000000"/>
                <w:sz w:val="20"/>
                <w:szCs w:val="20"/>
                <w:lang w:eastAsia="zh-CN"/>
              </w:rPr>
              <w:t>100</w:t>
            </w:r>
          </w:p>
        </w:tc>
      </w:tr>
    </w:tbl>
    <w:p w:rsidR="00685BE5" w:rsidRDefault="00685BE5" w:rsidP="00AE4C3A">
      <w:pPr>
        <w:pStyle w:val="NILSReference"/>
        <w:rPr>
          <w:rFonts w:eastAsia="SimHei"/>
        </w:rPr>
      </w:pPr>
      <w:r>
        <w:rPr>
          <w:rFonts w:eastAsia="SimHei"/>
        </w:rPr>
        <w:t xml:space="preserve">Source: </w:t>
      </w:r>
      <w:r w:rsidRPr="00AB33E3">
        <w:rPr>
          <w:rFonts w:eastAsia="SimHei"/>
        </w:rPr>
        <w:t>2014 NDIS self-employed DSP survey</w:t>
      </w:r>
      <w:r>
        <w:rPr>
          <w:rFonts w:eastAsia="SimHei"/>
        </w:rPr>
        <w:t>, Question B5a</w:t>
      </w:r>
      <w:r w:rsidRPr="00AB33E3">
        <w:rPr>
          <w:rFonts w:eastAsia="SimHei"/>
        </w:rPr>
        <w:t>.</w:t>
      </w:r>
    </w:p>
    <w:p w:rsidR="00B92687" w:rsidRDefault="00B92687" w:rsidP="00AE4C3A">
      <w:pPr>
        <w:rPr>
          <w:rFonts w:ascii="Calibri" w:eastAsia="Times New Roman" w:hAnsi="Calibri" w:cs="Calibri"/>
          <w:color w:val="000000"/>
          <w:lang w:eastAsia="zh-CN"/>
        </w:rPr>
      </w:pPr>
    </w:p>
    <w:p w:rsidR="00685BE5" w:rsidRDefault="00685BE5" w:rsidP="00AE4C3A">
      <w:pPr>
        <w:rPr>
          <w:rFonts w:ascii="Calibri" w:eastAsia="Times New Roman" w:hAnsi="Calibri" w:cs="Calibri"/>
          <w:color w:val="000000"/>
          <w:lang w:eastAsia="zh-CN"/>
        </w:rPr>
      </w:pPr>
      <w:r>
        <w:rPr>
          <w:rFonts w:ascii="Calibri" w:eastAsia="Times New Roman" w:hAnsi="Calibri" w:cs="Calibri"/>
          <w:color w:val="000000"/>
          <w:lang w:eastAsia="zh-CN"/>
        </w:rPr>
        <w:t>Table 4.46</w:t>
      </w:r>
      <w:r w:rsidRPr="00AB33E3">
        <w:rPr>
          <w:rFonts w:ascii="Calibri" w:eastAsia="Times New Roman" w:hAnsi="Calibri" w:cs="Calibri"/>
          <w:color w:val="000000"/>
          <w:lang w:eastAsia="zh-CN"/>
        </w:rPr>
        <w:t xml:space="preserve"> shows the proportion of self-employed businesses providing certain types of disability support. Providers were asked to report on all types of services delivered. The most common were therapeutic services (79 per cent) and early intervention (70 per cent), while accommodation support (</w:t>
      </w:r>
      <w:r>
        <w:rPr>
          <w:rFonts w:ascii="Calibri" w:eastAsia="Times New Roman" w:hAnsi="Calibri" w:cs="Calibri"/>
          <w:color w:val="000000"/>
          <w:lang w:eastAsia="zh-CN"/>
        </w:rPr>
        <w:t>2</w:t>
      </w:r>
      <w:r w:rsidRPr="00AB33E3">
        <w:rPr>
          <w:rFonts w:ascii="Calibri" w:eastAsia="Times New Roman" w:hAnsi="Calibri" w:cs="Calibri"/>
          <w:color w:val="000000"/>
          <w:lang w:eastAsia="zh-CN"/>
        </w:rPr>
        <w:t xml:space="preserve"> per cent), respite (</w:t>
      </w:r>
      <w:r>
        <w:rPr>
          <w:rFonts w:ascii="Calibri" w:eastAsia="Times New Roman" w:hAnsi="Calibri" w:cs="Calibri"/>
          <w:color w:val="000000"/>
          <w:lang w:eastAsia="zh-CN"/>
        </w:rPr>
        <w:t>1</w:t>
      </w:r>
      <w:r w:rsidRPr="00AB33E3">
        <w:rPr>
          <w:rFonts w:ascii="Calibri" w:eastAsia="Times New Roman" w:hAnsi="Calibri" w:cs="Calibri"/>
          <w:color w:val="000000"/>
          <w:lang w:eastAsia="zh-CN"/>
        </w:rPr>
        <w:t xml:space="preserve"> per cent) and employment (</w:t>
      </w:r>
      <w:r>
        <w:rPr>
          <w:rFonts w:ascii="Calibri" w:eastAsia="Times New Roman" w:hAnsi="Calibri" w:cs="Calibri"/>
          <w:color w:val="000000"/>
          <w:lang w:eastAsia="zh-CN"/>
        </w:rPr>
        <w:t>1</w:t>
      </w:r>
      <w:r w:rsidRPr="00AB33E3">
        <w:rPr>
          <w:rFonts w:ascii="Calibri" w:eastAsia="Times New Roman" w:hAnsi="Calibri" w:cs="Calibri"/>
          <w:color w:val="000000"/>
          <w:lang w:eastAsia="zh-CN"/>
        </w:rPr>
        <w:t xml:space="preserve"> per cent) were the least commonly provided. This reflects the allied health and psychology/counselling specialisation among the self-employed</w:t>
      </w:r>
      <w:r>
        <w:rPr>
          <w:rFonts w:ascii="Calibri" w:eastAsia="Times New Roman" w:hAnsi="Calibri" w:cs="Calibri"/>
          <w:color w:val="000000"/>
          <w:lang w:eastAsia="zh-CN"/>
        </w:rPr>
        <w:t xml:space="preserve"> sample</w:t>
      </w:r>
      <w:r w:rsidRPr="00AB33E3">
        <w:rPr>
          <w:rFonts w:ascii="Calibri" w:eastAsia="Times New Roman" w:hAnsi="Calibri" w:cs="Calibri"/>
          <w:color w:val="000000"/>
          <w:lang w:eastAsia="zh-CN"/>
        </w:rPr>
        <w:t>.</w:t>
      </w:r>
      <w:r>
        <w:rPr>
          <w:rFonts w:ascii="Calibri" w:eastAsia="Times New Roman" w:hAnsi="Calibri" w:cs="Calibri"/>
          <w:color w:val="000000"/>
          <w:lang w:eastAsia="zh-CN"/>
        </w:rPr>
        <w:t xml:space="preserve"> </w:t>
      </w:r>
      <w:r w:rsidRPr="00AB33E3">
        <w:rPr>
          <w:rFonts w:ascii="Calibri" w:eastAsia="Times New Roman" w:hAnsi="Calibri" w:cs="Calibri"/>
          <w:color w:val="000000"/>
          <w:lang w:eastAsia="zh-CN"/>
        </w:rPr>
        <w:t xml:space="preserve">In contrast outlets surveyed had a more even distribution over service types (see Table </w:t>
      </w:r>
      <w:r>
        <w:rPr>
          <w:rFonts w:ascii="Calibri" w:eastAsia="Times New Roman" w:hAnsi="Calibri" w:cs="Calibri"/>
          <w:color w:val="000000"/>
          <w:lang w:eastAsia="zh-CN"/>
        </w:rPr>
        <w:t>4.3</w:t>
      </w:r>
      <w:r w:rsidRPr="00AB33E3">
        <w:rPr>
          <w:rFonts w:ascii="Calibri" w:eastAsia="Times New Roman" w:hAnsi="Calibri" w:cs="Calibri"/>
          <w:color w:val="000000"/>
          <w:lang w:eastAsia="zh-CN"/>
        </w:rPr>
        <w:t>).</w:t>
      </w:r>
    </w:p>
    <w:p w:rsidR="00685BE5" w:rsidRPr="00AB33E3" w:rsidRDefault="00685BE5" w:rsidP="0044684E">
      <w:pPr>
        <w:pStyle w:val="NILSTableHeading"/>
      </w:pPr>
      <w:bookmarkStart w:id="698" w:name="_Toc449955384"/>
      <w:bookmarkStart w:id="699" w:name="_Toc428279253"/>
      <w:r w:rsidRPr="00AB33E3">
        <w:t xml:space="preserve">Table </w:t>
      </w:r>
      <w:r>
        <w:t>4.46</w:t>
      </w:r>
      <w:r w:rsidRPr="00AB33E3">
        <w:t xml:space="preserve">: </w:t>
      </w:r>
      <w:r>
        <w:t xml:space="preserve">Self-employed DSP </w:t>
      </w:r>
      <w:r w:rsidR="00D16582" w:rsidRPr="00AB33E3">
        <w:t>types</w:t>
      </w:r>
      <w:r w:rsidRPr="00AB33E3">
        <w:t xml:space="preserve"> </w:t>
      </w:r>
      <w:r>
        <w:t>of disability support provided</w:t>
      </w:r>
      <w:bookmarkEnd w:id="698"/>
      <w:r>
        <w:t xml:space="preserve"> </w:t>
      </w:r>
      <w:bookmarkEnd w:id="699"/>
    </w:p>
    <w:tbl>
      <w:tblPr>
        <w:tblW w:w="6536" w:type="dxa"/>
        <w:tblInd w:w="93" w:type="dxa"/>
        <w:tblLayout w:type="fixed"/>
        <w:tblLook w:val="04A0" w:firstRow="1" w:lastRow="0" w:firstColumn="1" w:lastColumn="0" w:noHBand="0" w:noVBand="1"/>
        <w:tblCaption w:val="Table 4.46 Self-employed DSP Types of disability support provided (per cent)"/>
        <w:tblDescription w:val="This table shows the distribution of types of disability support provided by self-employed businesses."/>
      </w:tblPr>
      <w:tblGrid>
        <w:gridCol w:w="5473"/>
        <w:gridCol w:w="1063"/>
      </w:tblGrid>
      <w:tr w:rsidR="00685BE5" w:rsidRPr="00C41FC1" w:rsidTr="007426BD">
        <w:trPr>
          <w:tblHeader/>
        </w:trPr>
        <w:tc>
          <w:tcPr>
            <w:tcW w:w="5473" w:type="dxa"/>
            <w:tcBorders>
              <w:top w:val="single" w:sz="4" w:space="0" w:color="auto"/>
              <w:left w:val="nil"/>
              <w:bottom w:val="single" w:sz="4" w:space="0" w:color="auto"/>
              <w:right w:val="nil"/>
            </w:tcBorders>
            <w:shd w:val="clear" w:color="auto" w:fill="auto"/>
            <w:vAlign w:val="center"/>
          </w:tcPr>
          <w:p w:rsidR="00685BE5" w:rsidRPr="00C41FC1" w:rsidRDefault="00685BE5" w:rsidP="00AE4C3A">
            <w:pPr>
              <w:spacing w:before="20" w:after="20"/>
              <w:rPr>
                <w:rFonts w:ascii="Calibri" w:eastAsia="Times New Roman" w:hAnsi="Calibri" w:cs="Calibri"/>
                <w:color w:val="000000"/>
                <w:sz w:val="20"/>
                <w:szCs w:val="20"/>
                <w:lang w:eastAsia="zh-CN"/>
              </w:rPr>
            </w:pPr>
            <w:bookmarkStart w:id="700" w:name="Title_4_46"/>
            <w:bookmarkEnd w:id="700"/>
          </w:p>
        </w:tc>
        <w:tc>
          <w:tcPr>
            <w:tcW w:w="1063" w:type="dxa"/>
            <w:tcBorders>
              <w:top w:val="single" w:sz="4" w:space="0" w:color="auto"/>
              <w:left w:val="nil"/>
              <w:bottom w:val="single" w:sz="4" w:space="0" w:color="auto"/>
              <w:right w:val="nil"/>
            </w:tcBorders>
            <w:shd w:val="clear" w:color="auto" w:fill="auto"/>
            <w:vAlign w:val="center"/>
            <w:hideMark/>
          </w:tcPr>
          <w:p w:rsidR="00685BE5" w:rsidRPr="00C41FC1" w:rsidRDefault="0096484D" w:rsidP="006869B9">
            <w:pPr>
              <w:spacing w:before="20" w:after="20"/>
              <w:ind w:right="27"/>
              <w:jc w:val="center"/>
              <w:rPr>
                <w:rFonts w:ascii="Calibri" w:eastAsia="Times New Roman" w:hAnsi="Calibri" w:cs="Calibri"/>
                <w:color w:val="000000"/>
                <w:sz w:val="20"/>
                <w:szCs w:val="20"/>
                <w:lang w:eastAsia="zh-CN"/>
              </w:rPr>
            </w:pPr>
            <w:r>
              <w:rPr>
                <w:rFonts w:ascii="Calibri" w:eastAsia="Times New Roman" w:hAnsi="Calibri" w:cs="Calibri"/>
                <w:bCs/>
                <w:color w:val="000000"/>
                <w:sz w:val="20"/>
                <w:szCs w:val="20"/>
                <w:lang w:eastAsia="zh-CN"/>
              </w:rPr>
              <w:t>%</w:t>
            </w:r>
          </w:p>
        </w:tc>
      </w:tr>
      <w:tr w:rsidR="00685BE5" w:rsidRPr="00C41FC1" w:rsidTr="00AE4C3A">
        <w:tc>
          <w:tcPr>
            <w:tcW w:w="5473" w:type="dxa"/>
            <w:tcBorders>
              <w:top w:val="single" w:sz="4" w:space="0" w:color="auto"/>
              <w:left w:val="nil"/>
              <w:bottom w:val="nil"/>
              <w:right w:val="nil"/>
            </w:tcBorders>
            <w:shd w:val="clear" w:color="auto" w:fill="auto"/>
            <w:vAlign w:val="center"/>
            <w:hideMark/>
          </w:tcPr>
          <w:p w:rsidR="00685BE5" w:rsidRPr="00C41FC1" w:rsidRDefault="00685BE5" w:rsidP="00AE4C3A">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Accommodation support</w:t>
            </w:r>
          </w:p>
        </w:tc>
        <w:tc>
          <w:tcPr>
            <w:tcW w:w="1063" w:type="dxa"/>
            <w:tcBorders>
              <w:top w:val="single" w:sz="4" w:space="0" w:color="auto"/>
              <w:left w:val="nil"/>
              <w:bottom w:val="nil"/>
              <w:right w:val="nil"/>
            </w:tcBorders>
            <w:shd w:val="clear" w:color="auto" w:fill="auto"/>
            <w:vAlign w:val="center"/>
            <w:hideMark/>
          </w:tcPr>
          <w:p w:rsidR="00685BE5" w:rsidRPr="00C41FC1" w:rsidRDefault="00685BE5" w:rsidP="006869B9">
            <w:pPr>
              <w:tabs>
                <w:tab w:val="decimal" w:pos="388"/>
              </w:tabs>
              <w:spacing w:before="20" w:after="20"/>
              <w:ind w:right="27"/>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1.5</w:t>
            </w:r>
          </w:p>
        </w:tc>
      </w:tr>
      <w:tr w:rsidR="00685BE5" w:rsidRPr="00C41FC1" w:rsidTr="00AE4C3A">
        <w:tc>
          <w:tcPr>
            <w:tcW w:w="5473" w:type="dxa"/>
            <w:tcBorders>
              <w:top w:val="nil"/>
              <w:left w:val="nil"/>
              <w:bottom w:val="nil"/>
              <w:right w:val="nil"/>
            </w:tcBorders>
            <w:shd w:val="clear" w:color="auto" w:fill="auto"/>
            <w:vAlign w:val="center"/>
            <w:hideMark/>
          </w:tcPr>
          <w:p w:rsidR="00685BE5" w:rsidRPr="00C41FC1" w:rsidRDefault="00685BE5" w:rsidP="00AE4C3A">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Personal support</w:t>
            </w:r>
          </w:p>
        </w:tc>
        <w:tc>
          <w:tcPr>
            <w:tcW w:w="1063" w:type="dxa"/>
            <w:tcBorders>
              <w:top w:val="nil"/>
              <w:left w:val="nil"/>
              <w:bottom w:val="nil"/>
              <w:right w:val="nil"/>
            </w:tcBorders>
            <w:shd w:val="clear" w:color="auto" w:fill="auto"/>
            <w:vAlign w:val="center"/>
            <w:hideMark/>
          </w:tcPr>
          <w:p w:rsidR="00685BE5" w:rsidRPr="00C41FC1" w:rsidRDefault="00685BE5" w:rsidP="006869B9">
            <w:pPr>
              <w:tabs>
                <w:tab w:val="decimal" w:pos="388"/>
              </w:tabs>
              <w:spacing w:before="20" w:after="20"/>
              <w:ind w:right="27"/>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8.8</w:t>
            </w:r>
          </w:p>
        </w:tc>
      </w:tr>
      <w:tr w:rsidR="00685BE5" w:rsidRPr="00C41FC1" w:rsidTr="00AE4C3A">
        <w:tc>
          <w:tcPr>
            <w:tcW w:w="5473" w:type="dxa"/>
            <w:tcBorders>
              <w:top w:val="nil"/>
              <w:left w:val="nil"/>
              <w:bottom w:val="nil"/>
              <w:right w:val="nil"/>
            </w:tcBorders>
            <w:shd w:val="clear" w:color="auto" w:fill="auto"/>
            <w:vAlign w:val="center"/>
            <w:hideMark/>
          </w:tcPr>
          <w:p w:rsidR="00685BE5" w:rsidRPr="00C41FC1" w:rsidRDefault="00685BE5" w:rsidP="00AE4C3A">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Community access</w:t>
            </w:r>
          </w:p>
        </w:tc>
        <w:tc>
          <w:tcPr>
            <w:tcW w:w="1063" w:type="dxa"/>
            <w:tcBorders>
              <w:top w:val="nil"/>
              <w:left w:val="nil"/>
              <w:bottom w:val="nil"/>
              <w:right w:val="nil"/>
            </w:tcBorders>
            <w:shd w:val="clear" w:color="auto" w:fill="auto"/>
            <w:vAlign w:val="center"/>
            <w:hideMark/>
          </w:tcPr>
          <w:p w:rsidR="00685BE5" w:rsidRPr="00C41FC1" w:rsidRDefault="00685BE5" w:rsidP="006869B9">
            <w:pPr>
              <w:tabs>
                <w:tab w:val="decimal" w:pos="388"/>
              </w:tabs>
              <w:spacing w:before="20" w:after="20"/>
              <w:ind w:right="27"/>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2.9</w:t>
            </w:r>
          </w:p>
        </w:tc>
      </w:tr>
      <w:tr w:rsidR="00685BE5" w:rsidRPr="00C41FC1" w:rsidTr="00AE4C3A">
        <w:tc>
          <w:tcPr>
            <w:tcW w:w="5473" w:type="dxa"/>
            <w:tcBorders>
              <w:top w:val="nil"/>
              <w:left w:val="nil"/>
              <w:bottom w:val="nil"/>
              <w:right w:val="nil"/>
            </w:tcBorders>
            <w:shd w:val="clear" w:color="auto" w:fill="auto"/>
            <w:vAlign w:val="center"/>
            <w:hideMark/>
          </w:tcPr>
          <w:p w:rsidR="00685BE5" w:rsidRPr="00C41FC1" w:rsidRDefault="00685BE5" w:rsidP="00AE4C3A">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Respite</w:t>
            </w:r>
          </w:p>
        </w:tc>
        <w:tc>
          <w:tcPr>
            <w:tcW w:w="1063" w:type="dxa"/>
            <w:tcBorders>
              <w:top w:val="nil"/>
              <w:left w:val="nil"/>
              <w:bottom w:val="nil"/>
              <w:right w:val="nil"/>
            </w:tcBorders>
            <w:shd w:val="clear" w:color="auto" w:fill="auto"/>
            <w:vAlign w:val="center"/>
            <w:hideMark/>
          </w:tcPr>
          <w:p w:rsidR="00685BE5" w:rsidRPr="00C41FC1" w:rsidRDefault="00685BE5" w:rsidP="006869B9">
            <w:pPr>
              <w:tabs>
                <w:tab w:val="decimal" w:pos="388"/>
              </w:tabs>
              <w:spacing w:before="20" w:after="20"/>
              <w:ind w:right="27"/>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0.7</w:t>
            </w:r>
          </w:p>
        </w:tc>
      </w:tr>
      <w:tr w:rsidR="00685BE5" w:rsidRPr="00C41FC1" w:rsidTr="00AE4C3A">
        <w:tc>
          <w:tcPr>
            <w:tcW w:w="5473" w:type="dxa"/>
            <w:tcBorders>
              <w:top w:val="nil"/>
              <w:left w:val="nil"/>
              <w:bottom w:val="nil"/>
              <w:right w:val="nil"/>
            </w:tcBorders>
            <w:shd w:val="clear" w:color="auto" w:fill="auto"/>
            <w:vAlign w:val="center"/>
            <w:hideMark/>
          </w:tcPr>
          <w:p w:rsidR="00685BE5" w:rsidRPr="00C41FC1" w:rsidRDefault="00685BE5" w:rsidP="00AE4C3A">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Employment</w:t>
            </w:r>
          </w:p>
        </w:tc>
        <w:tc>
          <w:tcPr>
            <w:tcW w:w="1063" w:type="dxa"/>
            <w:tcBorders>
              <w:top w:val="nil"/>
              <w:left w:val="nil"/>
              <w:bottom w:val="nil"/>
              <w:right w:val="nil"/>
            </w:tcBorders>
            <w:shd w:val="clear" w:color="auto" w:fill="auto"/>
            <w:vAlign w:val="center"/>
            <w:hideMark/>
          </w:tcPr>
          <w:p w:rsidR="00685BE5" w:rsidRPr="00C41FC1" w:rsidRDefault="00685BE5" w:rsidP="006869B9">
            <w:pPr>
              <w:tabs>
                <w:tab w:val="decimal" w:pos="388"/>
              </w:tabs>
              <w:spacing w:before="20" w:after="20"/>
              <w:ind w:right="27"/>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0.7</w:t>
            </w:r>
          </w:p>
        </w:tc>
      </w:tr>
      <w:tr w:rsidR="00685BE5" w:rsidRPr="00C41FC1" w:rsidTr="00AE4C3A">
        <w:tc>
          <w:tcPr>
            <w:tcW w:w="5473" w:type="dxa"/>
            <w:tcBorders>
              <w:top w:val="nil"/>
              <w:left w:val="nil"/>
              <w:bottom w:val="nil"/>
              <w:right w:val="nil"/>
            </w:tcBorders>
            <w:shd w:val="clear" w:color="auto" w:fill="auto"/>
            <w:vAlign w:val="center"/>
            <w:hideMark/>
          </w:tcPr>
          <w:p w:rsidR="00685BE5" w:rsidRPr="00C41FC1" w:rsidRDefault="00685BE5" w:rsidP="00AE4C3A">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Advocacy, information and alternative forms of communication</w:t>
            </w:r>
          </w:p>
        </w:tc>
        <w:tc>
          <w:tcPr>
            <w:tcW w:w="1063" w:type="dxa"/>
            <w:tcBorders>
              <w:top w:val="nil"/>
              <w:left w:val="nil"/>
              <w:bottom w:val="nil"/>
              <w:right w:val="nil"/>
            </w:tcBorders>
            <w:shd w:val="clear" w:color="auto" w:fill="auto"/>
            <w:vAlign w:val="center"/>
            <w:hideMark/>
          </w:tcPr>
          <w:p w:rsidR="00685BE5" w:rsidRPr="00C41FC1" w:rsidRDefault="00685BE5" w:rsidP="006869B9">
            <w:pPr>
              <w:tabs>
                <w:tab w:val="decimal" w:pos="388"/>
              </w:tabs>
              <w:spacing w:before="20" w:after="20"/>
              <w:ind w:right="27"/>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11.4</w:t>
            </w:r>
          </w:p>
        </w:tc>
      </w:tr>
      <w:tr w:rsidR="00685BE5" w:rsidRPr="00C41FC1" w:rsidTr="00AE4C3A">
        <w:tc>
          <w:tcPr>
            <w:tcW w:w="5473" w:type="dxa"/>
            <w:tcBorders>
              <w:top w:val="nil"/>
              <w:left w:val="nil"/>
              <w:bottom w:val="nil"/>
              <w:right w:val="nil"/>
            </w:tcBorders>
            <w:shd w:val="clear" w:color="auto" w:fill="auto"/>
            <w:vAlign w:val="center"/>
            <w:hideMark/>
          </w:tcPr>
          <w:p w:rsidR="00685BE5" w:rsidRPr="00C41FC1" w:rsidRDefault="00685BE5" w:rsidP="00AE4C3A">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Early intervention</w:t>
            </w:r>
          </w:p>
        </w:tc>
        <w:tc>
          <w:tcPr>
            <w:tcW w:w="1063" w:type="dxa"/>
            <w:tcBorders>
              <w:top w:val="nil"/>
              <w:left w:val="nil"/>
              <w:bottom w:val="nil"/>
              <w:right w:val="nil"/>
            </w:tcBorders>
            <w:shd w:val="clear" w:color="auto" w:fill="auto"/>
            <w:vAlign w:val="center"/>
            <w:hideMark/>
          </w:tcPr>
          <w:p w:rsidR="00685BE5" w:rsidRPr="00C41FC1" w:rsidRDefault="00685BE5" w:rsidP="006869B9">
            <w:pPr>
              <w:tabs>
                <w:tab w:val="decimal" w:pos="388"/>
              </w:tabs>
              <w:spacing w:before="20" w:after="20"/>
              <w:ind w:right="27"/>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70.2</w:t>
            </w:r>
          </w:p>
        </w:tc>
      </w:tr>
      <w:tr w:rsidR="00685BE5" w:rsidRPr="00C41FC1" w:rsidTr="00AE4C3A">
        <w:tc>
          <w:tcPr>
            <w:tcW w:w="5473" w:type="dxa"/>
            <w:tcBorders>
              <w:top w:val="nil"/>
              <w:left w:val="nil"/>
              <w:bottom w:val="nil"/>
              <w:right w:val="nil"/>
            </w:tcBorders>
            <w:shd w:val="clear" w:color="auto" w:fill="auto"/>
            <w:vAlign w:val="center"/>
            <w:hideMark/>
          </w:tcPr>
          <w:p w:rsidR="00685BE5" w:rsidRPr="00C41FC1" w:rsidRDefault="00685BE5" w:rsidP="00AE4C3A">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Aids and equipment</w:t>
            </w:r>
          </w:p>
        </w:tc>
        <w:tc>
          <w:tcPr>
            <w:tcW w:w="1063" w:type="dxa"/>
            <w:tcBorders>
              <w:top w:val="nil"/>
              <w:left w:val="nil"/>
              <w:bottom w:val="nil"/>
              <w:right w:val="nil"/>
            </w:tcBorders>
            <w:shd w:val="clear" w:color="auto" w:fill="auto"/>
            <w:vAlign w:val="center"/>
            <w:hideMark/>
          </w:tcPr>
          <w:p w:rsidR="00685BE5" w:rsidRPr="00C41FC1" w:rsidRDefault="00685BE5" w:rsidP="006869B9">
            <w:pPr>
              <w:tabs>
                <w:tab w:val="decimal" w:pos="388"/>
              </w:tabs>
              <w:spacing w:before="20" w:after="20"/>
              <w:ind w:right="27"/>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23.5</w:t>
            </w:r>
          </w:p>
        </w:tc>
      </w:tr>
      <w:tr w:rsidR="00685BE5" w:rsidRPr="00C41FC1" w:rsidTr="00AE4C3A">
        <w:tc>
          <w:tcPr>
            <w:tcW w:w="5473" w:type="dxa"/>
            <w:tcBorders>
              <w:top w:val="nil"/>
              <w:left w:val="nil"/>
              <w:bottom w:val="nil"/>
              <w:right w:val="nil"/>
            </w:tcBorders>
            <w:shd w:val="clear" w:color="auto" w:fill="auto"/>
            <w:vAlign w:val="center"/>
            <w:hideMark/>
          </w:tcPr>
          <w:p w:rsidR="00685BE5" w:rsidRPr="00C41FC1" w:rsidRDefault="00685BE5" w:rsidP="00AE4C3A">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Therapeutic services</w:t>
            </w:r>
          </w:p>
        </w:tc>
        <w:tc>
          <w:tcPr>
            <w:tcW w:w="1063" w:type="dxa"/>
            <w:tcBorders>
              <w:top w:val="nil"/>
              <w:left w:val="nil"/>
              <w:bottom w:val="nil"/>
              <w:right w:val="nil"/>
            </w:tcBorders>
            <w:shd w:val="clear" w:color="auto" w:fill="auto"/>
            <w:vAlign w:val="center"/>
            <w:hideMark/>
          </w:tcPr>
          <w:p w:rsidR="00685BE5" w:rsidRPr="00C41FC1" w:rsidRDefault="00685BE5" w:rsidP="006869B9">
            <w:pPr>
              <w:tabs>
                <w:tab w:val="decimal" w:pos="388"/>
              </w:tabs>
              <w:spacing w:before="20" w:after="20"/>
              <w:ind w:right="27"/>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79.4</w:t>
            </w:r>
          </w:p>
        </w:tc>
      </w:tr>
      <w:tr w:rsidR="00685BE5" w:rsidRPr="00C41FC1" w:rsidTr="00AE4C3A">
        <w:tc>
          <w:tcPr>
            <w:tcW w:w="5473" w:type="dxa"/>
            <w:tcBorders>
              <w:top w:val="nil"/>
              <w:left w:val="nil"/>
              <w:bottom w:val="single" w:sz="4" w:space="0" w:color="auto"/>
              <w:right w:val="nil"/>
            </w:tcBorders>
            <w:shd w:val="clear" w:color="auto" w:fill="auto"/>
            <w:vAlign w:val="center"/>
            <w:hideMark/>
          </w:tcPr>
          <w:p w:rsidR="00685BE5" w:rsidRPr="00C41FC1" w:rsidRDefault="00685BE5" w:rsidP="00AE4C3A">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Other</w:t>
            </w:r>
          </w:p>
        </w:tc>
        <w:tc>
          <w:tcPr>
            <w:tcW w:w="1063" w:type="dxa"/>
            <w:tcBorders>
              <w:top w:val="nil"/>
              <w:left w:val="nil"/>
              <w:bottom w:val="single" w:sz="4" w:space="0" w:color="auto"/>
              <w:right w:val="nil"/>
            </w:tcBorders>
            <w:shd w:val="clear" w:color="auto" w:fill="auto"/>
            <w:vAlign w:val="center"/>
            <w:hideMark/>
          </w:tcPr>
          <w:p w:rsidR="00685BE5" w:rsidRPr="00C41FC1" w:rsidRDefault="00685BE5" w:rsidP="006869B9">
            <w:pPr>
              <w:tabs>
                <w:tab w:val="decimal" w:pos="388"/>
              </w:tabs>
              <w:spacing w:before="20" w:after="20"/>
              <w:ind w:right="27"/>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13.6</w:t>
            </w:r>
          </w:p>
        </w:tc>
      </w:tr>
      <w:tr w:rsidR="00685BE5" w:rsidRPr="00C41FC1" w:rsidTr="00AE4C3A">
        <w:tc>
          <w:tcPr>
            <w:tcW w:w="5473" w:type="dxa"/>
            <w:tcBorders>
              <w:top w:val="single" w:sz="4" w:space="0" w:color="auto"/>
              <w:left w:val="nil"/>
              <w:bottom w:val="single" w:sz="4" w:space="0" w:color="auto"/>
              <w:right w:val="nil"/>
            </w:tcBorders>
            <w:shd w:val="clear" w:color="auto" w:fill="auto"/>
            <w:vAlign w:val="center"/>
          </w:tcPr>
          <w:p w:rsidR="00685BE5" w:rsidRPr="007D2274" w:rsidRDefault="000C3B3C" w:rsidP="00AE4C3A">
            <w:pPr>
              <w:spacing w:before="20" w:after="20"/>
              <w:rPr>
                <w:sz w:val="20"/>
                <w:szCs w:val="20"/>
              </w:rPr>
            </w:pPr>
            <w:r w:rsidRPr="00C41FC1">
              <w:rPr>
                <w:rFonts w:ascii="Calibri" w:eastAsia="Times New Roman" w:hAnsi="Calibri" w:cs="Calibri"/>
                <w:b/>
                <w:color w:val="000000"/>
                <w:sz w:val="20"/>
                <w:szCs w:val="20"/>
                <w:lang w:eastAsia="zh-CN"/>
              </w:rPr>
              <w:t>Total (N=272)</w:t>
            </w:r>
          </w:p>
        </w:tc>
        <w:tc>
          <w:tcPr>
            <w:tcW w:w="1063" w:type="dxa"/>
            <w:tcBorders>
              <w:top w:val="single" w:sz="4" w:space="0" w:color="auto"/>
              <w:left w:val="nil"/>
              <w:bottom w:val="single" w:sz="4" w:space="0" w:color="auto"/>
              <w:right w:val="nil"/>
            </w:tcBorders>
            <w:shd w:val="clear" w:color="auto" w:fill="auto"/>
            <w:vAlign w:val="center"/>
          </w:tcPr>
          <w:p w:rsidR="00685BE5" w:rsidRPr="00C41FC1" w:rsidRDefault="00685BE5" w:rsidP="000C3D80">
            <w:pPr>
              <w:tabs>
                <w:tab w:val="decimal" w:pos="530"/>
              </w:tabs>
              <w:spacing w:before="20" w:after="20"/>
              <w:ind w:right="27"/>
              <w:rPr>
                <w:rFonts w:ascii="Calibri" w:eastAsia="Times New Roman" w:hAnsi="Calibri" w:cs="Calibri"/>
                <w:color w:val="000000"/>
                <w:sz w:val="20"/>
                <w:szCs w:val="20"/>
                <w:lang w:eastAsia="zh-CN"/>
              </w:rPr>
            </w:pPr>
          </w:p>
        </w:tc>
      </w:tr>
    </w:tbl>
    <w:p w:rsidR="00685BE5" w:rsidRDefault="00685BE5" w:rsidP="00AE4C3A">
      <w:pPr>
        <w:pStyle w:val="NILSReference"/>
        <w:rPr>
          <w:rFonts w:eastAsia="SimHei"/>
        </w:rPr>
      </w:pPr>
      <w:r>
        <w:rPr>
          <w:rFonts w:eastAsia="SimHei"/>
        </w:rPr>
        <w:t xml:space="preserve">Source: </w:t>
      </w:r>
      <w:r w:rsidRPr="00AB33E3">
        <w:rPr>
          <w:rFonts w:eastAsia="SimHei"/>
        </w:rPr>
        <w:t>2014 NDIS self-employed DSP survey</w:t>
      </w:r>
      <w:r>
        <w:rPr>
          <w:rFonts w:eastAsia="SimHei"/>
        </w:rPr>
        <w:t>, Question B7</w:t>
      </w:r>
      <w:r w:rsidRPr="00AB33E3">
        <w:rPr>
          <w:rFonts w:eastAsia="SimHei"/>
        </w:rPr>
        <w:t>.</w:t>
      </w:r>
    </w:p>
    <w:p w:rsidR="00685BE5" w:rsidRPr="00AB33E3" w:rsidRDefault="00685BE5" w:rsidP="00AE4C3A">
      <w:pPr>
        <w:pStyle w:val="NILSReference"/>
        <w:rPr>
          <w:rFonts w:eastAsia="SimHei"/>
        </w:rPr>
      </w:pPr>
      <w:r>
        <w:rPr>
          <w:rFonts w:eastAsia="SimHei"/>
        </w:rPr>
        <w:t xml:space="preserve">Note: </w:t>
      </w:r>
      <w:r w:rsidRPr="007D2274">
        <w:rPr>
          <w:rFonts w:eastAsia="SimHei"/>
        </w:rPr>
        <w:t>Multiple responses allowed.</w:t>
      </w:r>
    </w:p>
    <w:p w:rsidR="00B92687" w:rsidRDefault="00B92687" w:rsidP="00AE4C3A">
      <w:pPr>
        <w:rPr>
          <w:rFonts w:ascii="Calibri" w:eastAsia="Times New Roman" w:hAnsi="Calibri" w:cs="Calibri"/>
          <w:bCs/>
          <w:color w:val="000000"/>
          <w:lang w:eastAsia="zh-CN"/>
        </w:rPr>
      </w:pPr>
    </w:p>
    <w:p w:rsidR="00685BE5" w:rsidRDefault="00685BE5" w:rsidP="00AE4C3A">
      <w:pPr>
        <w:rPr>
          <w:rFonts w:ascii="Calibri" w:eastAsia="Times New Roman" w:hAnsi="Calibri" w:cs="Calibri"/>
          <w:bCs/>
          <w:color w:val="000000"/>
          <w:lang w:eastAsia="zh-CN"/>
        </w:rPr>
      </w:pPr>
      <w:r w:rsidRPr="00AB33E3">
        <w:rPr>
          <w:rFonts w:ascii="Calibri" w:eastAsia="Times New Roman" w:hAnsi="Calibri" w:cs="Calibri"/>
          <w:bCs/>
          <w:color w:val="000000"/>
          <w:lang w:eastAsia="zh-CN"/>
        </w:rPr>
        <w:t xml:space="preserve">Table </w:t>
      </w:r>
      <w:r>
        <w:rPr>
          <w:rFonts w:ascii="Calibri" w:eastAsia="Times New Roman" w:hAnsi="Calibri" w:cs="Calibri"/>
          <w:bCs/>
          <w:color w:val="000000"/>
          <w:lang w:eastAsia="zh-CN"/>
        </w:rPr>
        <w:t>4.47</w:t>
      </w:r>
      <w:r w:rsidRPr="00AB33E3">
        <w:rPr>
          <w:rFonts w:ascii="Calibri" w:eastAsia="Times New Roman" w:hAnsi="Calibri" w:cs="Calibri"/>
          <w:bCs/>
          <w:color w:val="000000"/>
          <w:lang w:eastAsia="zh-CN"/>
        </w:rPr>
        <w:t xml:space="preserve"> focuses on the primary disability types </w:t>
      </w:r>
      <w:r>
        <w:rPr>
          <w:rFonts w:ascii="Calibri" w:eastAsia="Times New Roman" w:hAnsi="Calibri" w:cs="Calibri"/>
          <w:bCs/>
          <w:color w:val="000000"/>
          <w:lang w:eastAsia="zh-CN"/>
        </w:rPr>
        <w:t xml:space="preserve">and the age of the clients of </w:t>
      </w:r>
      <w:r w:rsidRPr="00AB33E3">
        <w:rPr>
          <w:rFonts w:ascii="Calibri" w:eastAsia="Times New Roman" w:hAnsi="Calibri" w:cs="Calibri"/>
          <w:bCs/>
          <w:color w:val="000000"/>
          <w:lang w:eastAsia="zh-CN"/>
        </w:rPr>
        <w:t>the self-employed provide</w:t>
      </w:r>
      <w:r>
        <w:rPr>
          <w:rFonts w:ascii="Calibri" w:eastAsia="Times New Roman" w:hAnsi="Calibri" w:cs="Calibri"/>
          <w:bCs/>
          <w:color w:val="000000"/>
          <w:lang w:eastAsia="zh-CN"/>
        </w:rPr>
        <w:t>rs.</w:t>
      </w:r>
      <w:r w:rsidRPr="00AB33E3">
        <w:rPr>
          <w:rFonts w:ascii="Calibri" w:eastAsia="Times New Roman" w:hAnsi="Calibri" w:cs="Calibri"/>
          <w:bCs/>
          <w:color w:val="000000"/>
          <w:lang w:eastAsia="zh-CN"/>
        </w:rPr>
        <w:t xml:space="preserve"> The services were not evenly distributed across the ten listed disability types. Three out of four self-employed providers (7</w:t>
      </w:r>
      <w:r>
        <w:rPr>
          <w:rFonts w:ascii="Calibri" w:eastAsia="Times New Roman" w:hAnsi="Calibri" w:cs="Calibri"/>
          <w:bCs/>
          <w:color w:val="000000"/>
          <w:lang w:eastAsia="zh-CN"/>
        </w:rPr>
        <w:t>6</w:t>
      </w:r>
      <w:r w:rsidRPr="00AB33E3">
        <w:rPr>
          <w:rFonts w:ascii="Calibri" w:eastAsia="Times New Roman" w:hAnsi="Calibri" w:cs="Calibri"/>
          <w:bCs/>
          <w:color w:val="000000"/>
          <w:lang w:eastAsia="zh-CN"/>
        </w:rPr>
        <w:t xml:space="preserve"> per cent) catered to clients with developmental problems. In contrast, services for people with psychiatric disability were least commonly provided with one in ten providers (</w:t>
      </w:r>
      <w:r>
        <w:rPr>
          <w:rFonts w:ascii="Calibri" w:eastAsia="Times New Roman" w:hAnsi="Calibri" w:cs="Calibri"/>
          <w:bCs/>
          <w:color w:val="000000"/>
          <w:lang w:eastAsia="zh-CN"/>
        </w:rPr>
        <w:t>10</w:t>
      </w:r>
      <w:r w:rsidRPr="00AB33E3">
        <w:rPr>
          <w:rFonts w:ascii="Calibri" w:eastAsia="Times New Roman" w:hAnsi="Calibri" w:cs="Calibri"/>
          <w:bCs/>
          <w:color w:val="000000"/>
          <w:lang w:eastAsia="zh-CN"/>
        </w:rPr>
        <w:t xml:space="preserve"> per cent) tending to this group of clients.</w:t>
      </w:r>
    </w:p>
    <w:p w:rsidR="00B92687" w:rsidRPr="00AB33E3" w:rsidRDefault="00B92687" w:rsidP="00AE4C3A">
      <w:pPr>
        <w:rPr>
          <w:rFonts w:ascii="Calibri" w:eastAsia="Times New Roman" w:hAnsi="Calibri" w:cs="Calibri"/>
          <w:bCs/>
          <w:color w:val="000000"/>
          <w:lang w:eastAsia="zh-CN"/>
        </w:rPr>
      </w:pPr>
    </w:p>
    <w:p w:rsidR="00685BE5" w:rsidRDefault="00685BE5" w:rsidP="00AE4C3A">
      <w:pPr>
        <w:rPr>
          <w:rFonts w:ascii="Calibri" w:eastAsia="Times New Roman" w:hAnsi="Calibri" w:cs="Calibri"/>
          <w:bCs/>
          <w:color w:val="000000"/>
          <w:lang w:eastAsia="zh-CN"/>
        </w:rPr>
      </w:pPr>
      <w:r w:rsidRPr="00AB33E3">
        <w:rPr>
          <w:rFonts w:ascii="Calibri" w:eastAsia="Times New Roman" w:hAnsi="Calibri" w:cs="Calibri"/>
          <w:bCs/>
          <w:color w:val="000000"/>
          <w:lang w:eastAsia="zh-CN"/>
        </w:rPr>
        <w:t>The self-employed providers particularly care</w:t>
      </w:r>
      <w:r>
        <w:rPr>
          <w:rFonts w:ascii="Calibri" w:eastAsia="Times New Roman" w:hAnsi="Calibri" w:cs="Calibri"/>
          <w:bCs/>
          <w:color w:val="000000"/>
          <w:lang w:eastAsia="zh-CN"/>
        </w:rPr>
        <w:t>d</w:t>
      </w:r>
      <w:r w:rsidRPr="00AB33E3">
        <w:rPr>
          <w:rFonts w:ascii="Calibri" w:eastAsia="Times New Roman" w:hAnsi="Calibri" w:cs="Calibri"/>
          <w:bCs/>
          <w:color w:val="000000"/>
          <w:lang w:eastAsia="zh-CN"/>
        </w:rPr>
        <w:t xml:space="preserve"> for children, with a concentration on 0-4 years old (74 per cent) and 5-14 years old (</w:t>
      </w:r>
      <w:r>
        <w:rPr>
          <w:rFonts w:ascii="Calibri" w:eastAsia="Times New Roman" w:hAnsi="Calibri" w:cs="Calibri"/>
          <w:bCs/>
          <w:color w:val="000000"/>
          <w:lang w:eastAsia="zh-CN"/>
        </w:rPr>
        <w:t>80</w:t>
      </w:r>
      <w:r w:rsidRPr="00AB33E3">
        <w:rPr>
          <w:rFonts w:ascii="Calibri" w:eastAsia="Times New Roman" w:hAnsi="Calibri" w:cs="Calibri"/>
          <w:bCs/>
          <w:color w:val="000000"/>
          <w:lang w:eastAsia="zh-CN"/>
        </w:rPr>
        <w:t xml:space="preserve"> per cent). As the clients’ age increase</w:t>
      </w:r>
      <w:r>
        <w:rPr>
          <w:rFonts w:ascii="Calibri" w:eastAsia="Times New Roman" w:hAnsi="Calibri" w:cs="Calibri"/>
          <w:bCs/>
          <w:color w:val="000000"/>
          <w:lang w:eastAsia="zh-CN"/>
        </w:rPr>
        <w:t>d</w:t>
      </w:r>
      <w:r w:rsidRPr="00AB33E3">
        <w:rPr>
          <w:rFonts w:ascii="Calibri" w:eastAsia="Times New Roman" w:hAnsi="Calibri" w:cs="Calibri"/>
          <w:bCs/>
          <w:color w:val="000000"/>
          <w:lang w:eastAsia="zh-CN"/>
        </w:rPr>
        <w:t>, the self-employed were less likely to provide services for these groups: only 2</w:t>
      </w:r>
      <w:r>
        <w:rPr>
          <w:rFonts w:ascii="Calibri" w:eastAsia="Times New Roman" w:hAnsi="Calibri" w:cs="Calibri"/>
          <w:bCs/>
          <w:color w:val="000000"/>
          <w:lang w:eastAsia="zh-CN"/>
        </w:rPr>
        <w:t>9</w:t>
      </w:r>
      <w:r w:rsidRPr="00AB33E3">
        <w:rPr>
          <w:rFonts w:ascii="Calibri" w:eastAsia="Times New Roman" w:hAnsi="Calibri" w:cs="Calibri"/>
          <w:bCs/>
          <w:color w:val="000000"/>
          <w:lang w:eastAsia="zh-CN"/>
        </w:rPr>
        <w:t xml:space="preserve"> per cent of providers catered to clients who were </w:t>
      </w:r>
      <w:r>
        <w:rPr>
          <w:rFonts w:ascii="Calibri" w:eastAsia="Times New Roman" w:hAnsi="Calibri" w:cs="Calibri"/>
          <w:bCs/>
          <w:color w:val="000000"/>
          <w:lang w:eastAsia="zh-CN"/>
        </w:rPr>
        <w:t xml:space="preserve">aged </w:t>
      </w:r>
      <w:r w:rsidRPr="00AB33E3">
        <w:rPr>
          <w:rFonts w:ascii="Calibri" w:eastAsia="Times New Roman" w:hAnsi="Calibri" w:cs="Calibri"/>
          <w:bCs/>
          <w:color w:val="000000"/>
          <w:lang w:eastAsia="zh-CN"/>
        </w:rPr>
        <w:t>65 years or older. This pattern also applied to the individual disability types, with the exception of psychiatric disability.</w:t>
      </w:r>
      <w:r>
        <w:rPr>
          <w:rFonts w:ascii="Calibri" w:eastAsia="Times New Roman" w:hAnsi="Calibri" w:cs="Calibri"/>
          <w:bCs/>
          <w:color w:val="000000"/>
          <w:lang w:eastAsia="zh-CN"/>
        </w:rPr>
        <w:t xml:space="preserve"> It is recognised that the high level of early intervention may be due to the particular shape of the NDIS rollout, especially the very young children rollout in South Australia. </w:t>
      </w:r>
      <w:r w:rsidRPr="00AB33E3">
        <w:rPr>
          <w:rFonts w:ascii="Calibri" w:eastAsia="Times New Roman" w:hAnsi="Calibri" w:cs="Calibri"/>
          <w:bCs/>
          <w:color w:val="000000"/>
          <w:lang w:eastAsia="zh-CN"/>
        </w:rPr>
        <w:t xml:space="preserve">Again this contrasts to outlets, where there was smaller variation in the proportions that provided services across each disability type. In addition, the services were most commonly </w:t>
      </w:r>
      <w:r w:rsidRPr="00AB33E3">
        <w:rPr>
          <w:rFonts w:ascii="Calibri" w:eastAsia="Times New Roman" w:hAnsi="Calibri" w:cs="Calibri"/>
          <w:bCs/>
          <w:color w:val="000000"/>
          <w:lang w:eastAsia="zh-CN"/>
        </w:rPr>
        <w:lastRenderedPageBreak/>
        <w:t>provided for people aged 25-64 in the outlets (77 per cent), and not as commonly for the old and the very young, with 4</w:t>
      </w:r>
      <w:r>
        <w:rPr>
          <w:rFonts w:ascii="Calibri" w:eastAsia="Times New Roman" w:hAnsi="Calibri" w:cs="Calibri"/>
          <w:bCs/>
          <w:color w:val="000000"/>
          <w:lang w:eastAsia="zh-CN"/>
        </w:rPr>
        <w:t>2</w:t>
      </w:r>
      <w:r w:rsidRPr="00AB33E3">
        <w:rPr>
          <w:rFonts w:ascii="Calibri" w:eastAsia="Times New Roman" w:hAnsi="Calibri" w:cs="Calibri"/>
          <w:bCs/>
          <w:color w:val="000000"/>
          <w:lang w:eastAsia="zh-CN"/>
        </w:rPr>
        <w:t xml:space="preserve"> per cent of outlets providing services for those 65 years or older, and 38 per cent of outlets providing services for 0-4 year olds.</w:t>
      </w:r>
      <w:r>
        <w:rPr>
          <w:rFonts w:ascii="Calibri" w:eastAsia="Times New Roman" w:hAnsi="Calibri" w:cs="Calibri"/>
          <w:bCs/>
          <w:color w:val="000000"/>
          <w:lang w:eastAsia="zh-CN"/>
        </w:rPr>
        <w:t xml:space="preserve"> The question that arises from the comparison between outlets and self-employed is the degree to which the differences observe</w:t>
      </w:r>
      <w:r w:rsidR="0090288F">
        <w:rPr>
          <w:rFonts w:ascii="Calibri" w:eastAsia="Times New Roman" w:hAnsi="Calibri" w:cs="Calibri"/>
          <w:bCs/>
          <w:color w:val="000000"/>
          <w:lang w:eastAsia="zh-CN"/>
        </w:rPr>
        <w:t>d</w:t>
      </w:r>
      <w:r>
        <w:rPr>
          <w:rFonts w:ascii="Calibri" w:eastAsia="Times New Roman" w:hAnsi="Calibri" w:cs="Calibri"/>
          <w:bCs/>
          <w:color w:val="000000"/>
          <w:lang w:eastAsia="zh-CN"/>
        </w:rPr>
        <w:t xml:space="preserve"> may be due to the possibility that the self-employed may find it easier to respond to increased demand by moving to the NDIS trial sites, than whole establishments would. The second Wave of data collection will shed light to such considerations.</w:t>
      </w:r>
    </w:p>
    <w:p w:rsidR="00685BE5" w:rsidRPr="00AB33E3" w:rsidRDefault="00685BE5" w:rsidP="0044684E">
      <w:pPr>
        <w:pStyle w:val="NILSTableHeading"/>
      </w:pPr>
      <w:bookmarkStart w:id="701" w:name="_Toc428279254"/>
      <w:bookmarkStart w:id="702" w:name="_Toc449955385"/>
      <w:r w:rsidRPr="00AB33E3">
        <w:t xml:space="preserve">Table </w:t>
      </w:r>
      <w:r>
        <w:t>4.47</w:t>
      </w:r>
      <w:r w:rsidRPr="00AB33E3">
        <w:t>: Primary disability types and ages of the current users of the business's disability supports</w:t>
      </w:r>
      <w:r>
        <w:t xml:space="preserve"> of self-employed providers </w:t>
      </w:r>
      <w:r w:rsidRPr="005F5725">
        <w:rPr>
          <w:lang w:val="en-US"/>
        </w:rPr>
        <w:t>(per cent)</w:t>
      </w:r>
      <w:bookmarkEnd w:id="701"/>
      <w:bookmarkEnd w:id="702"/>
    </w:p>
    <w:tbl>
      <w:tblPr>
        <w:tblW w:w="9371" w:type="dxa"/>
        <w:tblInd w:w="93" w:type="dxa"/>
        <w:tblLayout w:type="fixed"/>
        <w:tblLook w:val="04A0" w:firstRow="1" w:lastRow="0" w:firstColumn="1" w:lastColumn="0" w:noHBand="0" w:noVBand="1"/>
        <w:tblCaption w:val="Table 4.47 Primary disability types and ages of the current users of the business's disability supports of self-employed providers (per cent)"/>
      </w:tblPr>
      <w:tblGrid>
        <w:gridCol w:w="3843"/>
        <w:gridCol w:w="765"/>
        <w:gridCol w:w="765"/>
        <w:gridCol w:w="766"/>
        <w:gridCol w:w="765"/>
        <w:gridCol w:w="766"/>
        <w:gridCol w:w="1701"/>
      </w:tblGrid>
      <w:tr w:rsidR="00685BE5" w:rsidRPr="00132AF4" w:rsidTr="006B1E5A">
        <w:trPr>
          <w:tblHeader/>
        </w:trPr>
        <w:tc>
          <w:tcPr>
            <w:tcW w:w="3843" w:type="dxa"/>
            <w:tcBorders>
              <w:top w:val="single" w:sz="4" w:space="0" w:color="auto"/>
              <w:left w:val="nil"/>
              <w:bottom w:val="single" w:sz="4" w:space="0" w:color="000000"/>
              <w:right w:val="nil"/>
            </w:tcBorders>
            <w:vAlign w:val="center"/>
            <w:hideMark/>
          </w:tcPr>
          <w:p w:rsidR="00685BE5" w:rsidRPr="00132AF4" w:rsidRDefault="00C8621D" w:rsidP="00AE4C3A">
            <w:pPr>
              <w:spacing w:before="20" w:after="20"/>
              <w:rPr>
                <w:rFonts w:ascii="Calibri" w:eastAsia="Times New Roman" w:hAnsi="Calibri" w:cs="Calibri"/>
                <w:bCs/>
                <w:color w:val="000000"/>
                <w:sz w:val="20"/>
                <w:szCs w:val="20"/>
                <w:lang w:eastAsia="zh-CN"/>
              </w:rPr>
            </w:pPr>
            <w:bookmarkStart w:id="703" w:name="Title_4_47"/>
            <w:bookmarkEnd w:id="703"/>
            <w:r>
              <w:rPr>
                <w:rFonts w:ascii="Calibri" w:eastAsia="Times New Roman" w:hAnsi="Calibri" w:cs="Calibri"/>
                <w:bCs/>
                <w:color w:val="000000"/>
                <w:sz w:val="20"/>
                <w:szCs w:val="20"/>
                <w:lang w:eastAsia="zh-CN"/>
              </w:rPr>
              <w:t>Primary disability type</w:t>
            </w:r>
          </w:p>
        </w:tc>
        <w:tc>
          <w:tcPr>
            <w:tcW w:w="765" w:type="dxa"/>
            <w:tcBorders>
              <w:top w:val="single" w:sz="4" w:space="0" w:color="auto"/>
              <w:left w:val="nil"/>
              <w:bottom w:val="single" w:sz="4" w:space="0" w:color="auto"/>
              <w:right w:val="nil"/>
            </w:tcBorders>
            <w:shd w:val="clear" w:color="auto" w:fill="auto"/>
            <w:noWrap/>
            <w:vAlign w:val="center"/>
            <w:hideMark/>
          </w:tcPr>
          <w:p w:rsidR="00685BE5" w:rsidRPr="00E3331B" w:rsidRDefault="00685BE5" w:rsidP="00983400">
            <w:pPr>
              <w:spacing w:before="20" w:after="20"/>
              <w:jc w:val="center"/>
              <w:rPr>
                <w:rFonts w:ascii="Calibri" w:eastAsia="Times New Roman" w:hAnsi="Calibri" w:cs="Calibri"/>
                <w:bCs/>
                <w:color w:val="000000"/>
                <w:sz w:val="20"/>
                <w:szCs w:val="20"/>
                <w:lang w:eastAsia="zh-CN"/>
              </w:rPr>
            </w:pPr>
            <w:r w:rsidRPr="00E3331B">
              <w:rPr>
                <w:rFonts w:ascii="Calibri" w:eastAsia="Times New Roman" w:hAnsi="Calibri" w:cs="Calibri"/>
                <w:bCs/>
                <w:color w:val="000000"/>
                <w:sz w:val="20"/>
                <w:szCs w:val="20"/>
                <w:lang w:eastAsia="zh-CN"/>
              </w:rPr>
              <w:t>0</w:t>
            </w:r>
            <w:r w:rsidR="00983400">
              <w:rPr>
                <w:rFonts w:ascii="Calibri" w:eastAsia="Times New Roman" w:hAnsi="Calibri" w:cs="Calibri"/>
                <w:bCs/>
                <w:color w:val="000000"/>
                <w:sz w:val="20"/>
                <w:szCs w:val="20"/>
                <w:lang w:eastAsia="zh-CN"/>
              </w:rPr>
              <w:t xml:space="preserve"> to </w:t>
            </w:r>
            <w:r w:rsidRPr="00E3331B">
              <w:rPr>
                <w:rFonts w:ascii="Calibri" w:eastAsia="Times New Roman" w:hAnsi="Calibri" w:cs="Calibri"/>
                <w:bCs/>
                <w:color w:val="000000"/>
                <w:sz w:val="20"/>
                <w:szCs w:val="20"/>
                <w:lang w:eastAsia="zh-CN"/>
              </w:rPr>
              <w:t>4</w:t>
            </w:r>
            <w:r w:rsidR="00CB6A62">
              <w:rPr>
                <w:rFonts w:ascii="Calibri" w:eastAsia="Times New Roman" w:hAnsi="Calibri" w:cs="Calibri"/>
                <w:bCs/>
                <w:color w:val="000000"/>
                <w:sz w:val="20"/>
                <w:szCs w:val="20"/>
                <w:lang w:eastAsia="zh-CN"/>
              </w:rPr>
              <w:t xml:space="preserve"> years </w:t>
            </w:r>
          </w:p>
        </w:tc>
        <w:tc>
          <w:tcPr>
            <w:tcW w:w="765" w:type="dxa"/>
            <w:tcBorders>
              <w:top w:val="single" w:sz="4" w:space="0" w:color="auto"/>
              <w:left w:val="nil"/>
              <w:bottom w:val="single" w:sz="4" w:space="0" w:color="auto"/>
              <w:right w:val="nil"/>
            </w:tcBorders>
            <w:shd w:val="clear" w:color="auto" w:fill="auto"/>
            <w:noWrap/>
            <w:vAlign w:val="center"/>
            <w:hideMark/>
          </w:tcPr>
          <w:p w:rsidR="00CB6A62" w:rsidRPr="00E3331B" w:rsidRDefault="00685BE5" w:rsidP="00983400">
            <w:pPr>
              <w:spacing w:before="20" w:after="20"/>
              <w:ind w:left="-57" w:right="-136" w:firstLine="6"/>
              <w:jc w:val="center"/>
              <w:rPr>
                <w:rFonts w:ascii="Calibri" w:eastAsia="Times New Roman" w:hAnsi="Calibri" w:cs="Calibri"/>
                <w:bCs/>
                <w:color w:val="000000"/>
                <w:sz w:val="20"/>
                <w:szCs w:val="20"/>
                <w:lang w:eastAsia="zh-CN"/>
              </w:rPr>
            </w:pPr>
            <w:r w:rsidRPr="00E3331B">
              <w:rPr>
                <w:rFonts w:ascii="Calibri" w:eastAsia="Times New Roman" w:hAnsi="Calibri" w:cs="Calibri"/>
                <w:bCs/>
                <w:color w:val="000000"/>
                <w:sz w:val="20"/>
                <w:szCs w:val="20"/>
                <w:lang w:eastAsia="zh-CN"/>
              </w:rPr>
              <w:t>5</w:t>
            </w:r>
            <w:r w:rsidR="00983400">
              <w:rPr>
                <w:rFonts w:ascii="Calibri" w:eastAsia="Times New Roman" w:hAnsi="Calibri" w:cs="Calibri"/>
                <w:bCs/>
                <w:color w:val="000000"/>
                <w:sz w:val="20"/>
                <w:szCs w:val="20"/>
                <w:lang w:eastAsia="zh-CN"/>
              </w:rPr>
              <w:t xml:space="preserve"> to </w:t>
            </w:r>
            <w:r w:rsidRPr="00E3331B">
              <w:rPr>
                <w:rFonts w:ascii="Calibri" w:eastAsia="Times New Roman" w:hAnsi="Calibri" w:cs="Calibri"/>
                <w:bCs/>
                <w:color w:val="000000"/>
                <w:sz w:val="20"/>
                <w:szCs w:val="20"/>
                <w:lang w:eastAsia="zh-CN"/>
              </w:rPr>
              <w:t>14</w:t>
            </w:r>
            <w:r w:rsidR="00CB6A62">
              <w:rPr>
                <w:rFonts w:ascii="Calibri" w:eastAsia="Times New Roman" w:hAnsi="Calibri" w:cs="Calibri"/>
                <w:bCs/>
                <w:color w:val="000000"/>
                <w:sz w:val="20"/>
                <w:szCs w:val="20"/>
                <w:lang w:eastAsia="zh-CN"/>
              </w:rPr>
              <w:t xml:space="preserve"> years</w:t>
            </w:r>
          </w:p>
        </w:tc>
        <w:tc>
          <w:tcPr>
            <w:tcW w:w="766" w:type="dxa"/>
            <w:tcBorders>
              <w:top w:val="single" w:sz="4" w:space="0" w:color="auto"/>
              <w:left w:val="nil"/>
              <w:bottom w:val="single" w:sz="4" w:space="0" w:color="auto"/>
              <w:right w:val="nil"/>
            </w:tcBorders>
            <w:shd w:val="clear" w:color="auto" w:fill="auto"/>
            <w:noWrap/>
            <w:vAlign w:val="center"/>
            <w:hideMark/>
          </w:tcPr>
          <w:p w:rsidR="00CB6A62" w:rsidRPr="00E3331B" w:rsidRDefault="00685BE5" w:rsidP="00983400">
            <w:pPr>
              <w:spacing w:before="20" w:after="20"/>
              <w:ind w:left="-79" w:right="-80"/>
              <w:jc w:val="center"/>
              <w:rPr>
                <w:rFonts w:ascii="Calibri" w:eastAsia="Times New Roman" w:hAnsi="Calibri" w:cs="Calibri"/>
                <w:bCs/>
                <w:color w:val="000000"/>
                <w:sz w:val="20"/>
                <w:szCs w:val="20"/>
                <w:lang w:eastAsia="zh-CN"/>
              </w:rPr>
            </w:pPr>
            <w:r w:rsidRPr="00E3331B">
              <w:rPr>
                <w:rFonts w:ascii="Calibri" w:eastAsia="Times New Roman" w:hAnsi="Calibri" w:cs="Calibri"/>
                <w:bCs/>
                <w:color w:val="000000"/>
                <w:sz w:val="20"/>
                <w:szCs w:val="20"/>
                <w:lang w:eastAsia="zh-CN"/>
              </w:rPr>
              <w:t>15</w:t>
            </w:r>
            <w:r w:rsidR="00983400">
              <w:rPr>
                <w:rFonts w:ascii="Calibri" w:eastAsia="Times New Roman" w:hAnsi="Calibri" w:cs="Calibri"/>
                <w:bCs/>
                <w:color w:val="000000"/>
                <w:sz w:val="20"/>
                <w:szCs w:val="20"/>
                <w:lang w:eastAsia="zh-CN"/>
              </w:rPr>
              <w:t xml:space="preserve"> to </w:t>
            </w:r>
            <w:r w:rsidRPr="00E3331B">
              <w:rPr>
                <w:rFonts w:ascii="Calibri" w:eastAsia="Times New Roman" w:hAnsi="Calibri" w:cs="Calibri"/>
                <w:bCs/>
                <w:color w:val="000000"/>
                <w:sz w:val="20"/>
                <w:szCs w:val="20"/>
                <w:lang w:eastAsia="zh-CN"/>
              </w:rPr>
              <w:t>24</w:t>
            </w:r>
            <w:r w:rsidR="00CB6A62">
              <w:rPr>
                <w:rFonts w:ascii="Calibri" w:eastAsia="Times New Roman" w:hAnsi="Calibri" w:cs="Calibri"/>
                <w:bCs/>
                <w:color w:val="000000"/>
                <w:sz w:val="20"/>
                <w:szCs w:val="20"/>
                <w:lang w:eastAsia="zh-CN"/>
              </w:rPr>
              <w:t xml:space="preserve"> years</w:t>
            </w:r>
          </w:p>
        </w:tc>
        <w:tc>
          <w:tcPr>
            <w:tcW w:w="765" w:type="dxa"/>
            <w:tcBorders>
              <w:top w:val="single" w:sz="4" w:space="0" w:color="auto"/>
              <w:left w:val="nil"/>
              <w:bottom w:val="single" w:sz="4" w:space="0" w:color="auto"/>
              <w:right w:val="nil"/>
            </w:tcBorders>
            <w:shd w:val="clear" w:color="auto" w:fill="auto"/>
            <w:noWrap/>
            <w:vAlign w:val="center"/>
            <w:hideMark/>
          </w:tcPr>
          <w:p w:rsidR="00CB6A62" w:rsidRPr="00E3331B" w:rsidRDefault="00685BE5" w:rsidP="00983400">
            <w:pPr>
              <w:spacing w:before="20" w:after="20"/>
              <w:ind w:left="-136" w:right="-166"/>
              <w:jc w:val="center"/>
              <w:rPr>
                <w:rFonts w:ascii="Calibri" w:eastAsia="Times New Roman" w:hAnsi="Calibri" w:cs="Calibri"/>
                <w:bCs/>
                <w:color w:val="000000"/>
                <w:sz w:val="20"/>
                <w:szCs w:val="20"/>
                <w:lang w:eastAsia="zh-CN"/>
              </w:rPr>
            </w:pPr>
            <w:r w:rsidRPr="00E3331B">
              <w:rPr>
                <w:rFonts w:ascii="Calibri" w:eastAsia="Times New Roman" w:hAnsi="Calibri" w:cs="Calibri"/>
                <w:bCs/>
                <w:color w:val="000000"/>
                <w:sz w:val="20"/>
                <w:szCs w:val="20"/>
                <w:lang w:eastAsia="zh-CN"/>
              </w:rPr>
              <w:t>25</w:t>
            </w:r>
            <w:r w:rsidR="00983400">
              <w:rPr>
                <w:rFonts w:ascii="Calibri" w:eastAsia="Times New Roman" w:hAnsi="Calibri" w:cs="Calibri"/>
                <w:bCs/>
                <w:color w:val="000000"/>
                <w:sz w:val="20"/>
                <w:szCs w:val="20"/>
                <w:lang w:eastAsia="zh-CN"/>
              </w:rPr>
              <w:t xml:space="preserve"> to </w:t>
            </w:r>
            <w:r w:rsidRPr="00E3331B">
              <w:rPr>
                <w:rFonts w:ascii="Calibri" w:eastAsia="Times New Roman" w:hAnsi="Calibri" w:cs="Calibri"/>
                <w:bCs/>
                <w:color w:val="000000"/>
                <w:sz w:val="20"/>
                <w:szCs w:val="20"/>
                <w:lang w:eastAsia="zh-CN"/>
              </w:rPr>
              <w:t>64</w:t>
            </w:r>
            <w:r w:rsidR="00CB6A62">
              <w:rPr>
                <w:rFonts w:ascii="Calibri" w:eastAsia="Times New Roman" w:hAnsi="Calibri" w:cs="Calibri"/>
                <w:bCs/>
                <w:color w:val="000000"/>
                <w:sz w:val="20"/>
                <w:szCs w:val="20"/>
                <w:lang w:eastAsia="zh-CN"/>
              </w:rPr>
              <w:t xml:space="preserve"> years</w:t>
            </w:r>
          </w:p>
        </w:tc>
        <w:tc>
          <w:tcPr>
            <w:tcW w:w="766" w:type="dxa"/>
            <w:tcBorders>
              <w:top w:val="single" w:sz="4" w:space="0" w:color="auto"/>
              <w:left w:val="nil"/>
              <w:bottom w:val="single" w:sz="4" w:space="0" w:color="auto"/>
              <w:right w:val="nil"/>
            </w:tcBorders>
            <w:shd w:val="clear" w:color="auto" w:fill="auto"/>
            <w:noWrap/>
            <w:vAlign w:val="center"/>
            <w:hideMark/>
          </w:tcPr>
          <w:p w:rsidR="00CB6A62" w:rsidRPr="00E3331B" w:rsidRDefault="00685BE5" w:rsidP="005525B9">
            <w:pPr>
              <w:spacing w:before="20" w:after="20"/>
              <w:jc w:val="center"/>
              <w:rPr>
                <w:rFonts w:ascii="Calibri" w:eastAsia="Times New Roman" w:hAnsi="Calibri" w:cs="Calibri"/>
                <w:bCs/>
                <w:color w:val="000000"/>
                <w:sz w:val="20"/>
                <w:szCs w:val="20"/>
                <w:lang w:eastAsia="zh-CN"/>
              </w:rPr>
            </w:pPr>
            <w:r w:rsidRPr="00E3331B">
              <w:rPr>
                <w:rFonts w:ascii="Calibri" w:eastAsia="Times New Roman" w:hAnsi="Calibri" w:cs="Calibri"/>
                <w:bCs/>
                <w:color w:val="000000"/>
                <w:sz w:val="20"/>
                <w:szCs w:val="20"/>
                <w:lang w:eastAsia="zh-CN"/>
              </w:rPr>
              <w:t>65+</w:t>
            </w:r>
            <w:r w:rsidR="00CB6A62">
              <w:rPr>
                <w:rFonts w:ascii="Calibri" w:eastAsia="Times New Roman" w:hAnsi="Calibri" w:cs="Calibri"/>
                <w:bCs/>
                <w:color w:val="000000"/>
                <w:sz w:val="20"/>
                <w:szCs w:val="20"/>
                <w:lang w:eastAsia="zh-CN"/>
              </w:rPr>
              <w:t xml:space="preserve"> year</w:t>
            </w:r>
            <w:r w:rsidR="005525B9">
              <w:rPr>
                <w:rFonts w:ascii="Calibri" w:eastAsia="Times New Roman" w:hAnsi="Calibri" w:cs="Calibri"/>
                <w:bCs/>
                <w:color w:val="000000"/>
                <w:sz w:val="20"/>
                <w:szCs w:val="20"/>
                <w:lang w:eastAsia="zh-CN"/>
              </w:rPr>
              <w:t>s</w:t>
            </w:r>
          </w:p>
        </w:tc>
        <w:tc>
          <w:tcPr>
            <w:tcW w:w="1701" w:type="dxa"/>
            <w:tcBorders>
              <w:top w:val="single" w:sz="4" w:space="0" w:color="auto"/>
              <w:left w:val="nil"/>
              <w:bottom w:val="single" w:sz="4" w:space="0" w:color="auto"/>
              <w:right w:val="nil"/>
            </w:tcBorders>
            <w:shd w:val="clear" w:color="auto" w:fill="auto"/>
            <w:noWrap/>
            <w:vAlign w:val="bottom"/>
            <w:hideMark/>
          </w:tcPr>
          <w:p w:rsidR="00CB6A62" w:rsidRPr="00E3331B" w:rsidRDefault="00685BE5" w:rsidP="002D460A">
            <w:pPr>
              <w:spacing w:before="20" w:after="20"/>
              <w:ind w:left="-108" w:right="-165"/>
              <w:jc w:val="center"/>
              <w:rPr>
                <w:rFonts w:ascii="Calibri" w:eastAsia="Times New Roman" w:hAnsi="Calibri" w:cs="Calibri"/>
                <w:bCs/>
                <w:color w:val="000000"/>
                <w:sz w:val="20"/>
                <w:szCs w:val="20"/>
                <w:lang w:eastAsia="zh-CN"/>
              </w:rPr>
            </w:pPr>
            <w:r w:rsidRPr="00E3331B">
              <w:rPr>
                <w:rFonts w:ascii="Calibri" w:eastAsia="Times New Roman" w:hAnsi="Calibri" w:cs="Calibri"/>
                <w:bCs/>
                <w:color w:val="000000"/>
                <w:sz w:val="20"/>
                <w:szCs w:val="20"/>
                <w:lang w:eastAsia="zh-CN"/>
              </w:rPr>
              <w:t>Users with this disability of any age</w:t>
            </w:r>
          </w:p>
        </w:tc>
      </w:tr>
      <w:tr w:rsidR="00685BE5" w:rsidRPr="00C41FC1" w:rsidTr="006B1E5A">
        <w:tc>
          <w:tcPr>
            <w:tcW w:w="3843" w:type="dxa"/>
            <w:tcBorders>
              <w:top w:val="nil"/>
              <w:left w:val="nil"/>
              <w:bottom w:val="nil"/>
              <w:right w:val="nil"/>
            </w:tcBorders>
            <w:shd w:val="clear" w:color="auto" w:fill="auto"/>
            <w:noWrap/>
            <w:vAlign w:val="center"/>
            <w:hideMark/>
          </w:tcPr>
          <w:p w:rsidR="00685BE5" w:rsidRPr="00C41FC1" w:rsidRDefault="00685BE5" w:rsidP="007E6D53">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Physical</w:t>
            </w:r>
          </w:p>
        </w:tc>
        <w:tc>
          <w:tcPr>
            <w:tcW w:w="765" w:type="dxa"/>
            <w:tcBorders>
              <w:top w:val="single" w:sz="4" w:space="0" w:color="auto"/>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30.5</w:t>
            </w:r>
          </w:p>
        </w:tc>
        <w:tc>
          <w:tcPr>
            <w:tcW w:w="765" w:type="dxa"/>
            <w:tcBorders>
              <w:top w:val="single" w:sz="4" w:space="0" w:color="auto"/>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34.2</w:t>
            </w:r>
          </w:p>
        </w:tc>
        <w:tc>
          <w:tcPr>
            <w:tcW w:w="766" w:type="dxa"/>
            <w:tcBorders>
              <w:top w:val="single" w:sz="4" w:space="0" w:color="auto"/>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15.4</w:t>
            </w:r>
          </w:p>
        </w:tc>
        <w:tc>
          <w:tcPr>
            <w:tcW w:w="765" w:type="dxa"/>
            <w:tcBorders>
              <w:top w:val="single" w:sz="4" w:space="0" w:color="auto"/>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16.2</w:t>
            </w:r>
          </w:p>
        </w:tc>
        <w:tc>
          <w:tcPr>
            <w:tcW w:w="766" w:type="dxa"/>
            <w:tcBorders>
              <w:top w:val="single" w:sz="4" w:space="0" w:color="auto"/>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12.5</w:t>
            </w:r>
          </w:p>
        </w:tc>
        <w:tc>
          <w:tcPr>
            <w:tcW w:w="1701" w:type="dxa"/>
            <w:tcBorders>
              <w:top w:val="single" w:sz="4" w:space="0" w:color="auto"/>
              <w:left w:val="nil"/>
              <w:bottom w:val="nil"/>
              <w:right w:val="nil"/>
            </w:tcBorders>
            <w:shd w:val="clear" w:color="auto" w:fill="auto"/>
            <w:noWrap/>
            <w:vAlign w:val="center"/>
            <w:hideMark/>
          </w:tcPr>
          <w:p w:rsidR="00685BE5" w:rsidRPr="005C469C" w:rsidRDefault="00685BE5" w:rsidP="006B1E5A">
            <w:pPr>
              <w:spacing w:before="20" w:after="20"/>
              <w:ind w:right="601"/>
              <w:jc w:val="right"/>
              <w:rPr>
                <w:rFonts w:ascii="Calibri" w:eastAsia="Times New Roman" w:hAnsi="Calibri" w:cs="Calibri"/>
                <w:color w:val="000000"/>
                <w:sz w:val="20"/>
                <w:szCs w:val="20"/>
                <w:lang w:eastAsia="zh-CN"/>
              </w:rPr>
            </w:pPr>
            <w:r w:rsidRPr="005C469C">
              <w:rPr>
                <w:rFonts w:ascii="Calibri" w:eastAsia="Times New Roman" w:hAnsi="Calibri" w:cs="Calibri"/>
                <w:color w:val="000000"/>
                <w:sz w:val="20"/>
                <w:szCs w:val="20"/>
                <w:lang w:eastAsia="zh-CN"/>
              </w:rPr>
              <w:t>46.0</w:t>
            </w:r>
          </w:p>
        </w:tc>
      </w:tr>
      <w:tr w:rsidR="00685BE5" w:rsidRPr="00C41FC1" w:rsidTr="006B1E5A">
        <w:tc>
          <w:tcPr>
            <w:tcW w:w="3843" w:type="dxa"/>
            <w:tcBorders>
              <w:top w:val="nil"/>
              <w:left w:val="nil"/>
              <w:bottom w:val="nil"/>
              <w:right w:val="nil"/>
            </w:tcBorders>
            <w:shd w:val="clear" w:color="auto" w:fill="auto"/>
            <w:noWrap/>
            <w:vAlign w:val="center"/>
            <w:hideMark/>
          </w:tcPr>
          <w:p w:rsidR="00685BE5" w:rsidRPr="00C41FC1" w:rsidRDefault="00685BE5" w:rsidP="007E6D53">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Mental health/psychosocial</w:t>
            </w:r>
          </w:p>
        </w:tc>
        <w:tc>
          <w:tcPr>
            <w:tcW w:w="765"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22.4</w:t>
            </w:r>
          </w:p>
        </w:tc>
        <w:tc>
          <w:tcPr>
            <w:tcW w:w="765"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29.8</w:t>
            </w:r>
          </w:p>
        </w:tc>
        <w:tc>
          <w:tcPr>
            <w:tcW w:w="766"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18.0</w:t>
            </w:r>
          </w:p>
        </w:tc>
        <w:tc>
          <w:tcPr>
            <w:tcW w:w="765"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12.5</w:t>
            </w:r>
          </w:p>
        </w:tc>
        <w:tc>
          <w:tcPr>
            <w:tcW w:w="766"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9.9</w:t>
            </w:r>
          </w:p>
        </w:tc>
        <w:tc>
          <w:tcPr>
            <w:tcW w:w="1701" w:type="dxa"/>
            <w:tcBorders>
              <w:top w:val="nil"/>
              <w:left w:val="nil"/>
              <w:bottom w:val="nil"/>
              <w:right w:val="nil"/>
            </w:tcBorders>
            <w:shd w:val="clear" w:color="auto" w:fill="auto"/>
            <w:noWrap/>
            <w:vAlign w:val="center"/>
            <w:hideMark/>
          </w:tcPr>
          <w:p w:rsidR="00685BE5" w:rsidRPr="005C469C" w:rsidRDefault="00685BE5" w:rsidP="006B1E5A">
            <w:pPr>
              <w:spacing w:before="20" w:after="20"/>
              <w:ind w:right="601"/>
              <w:jc w:val="right"/>
              <w:rPr>
                <w:rFonts w:ascii="Calibri" w:eastAsia="Times New Roman" w:hAnsi="Calibri" w:cs="Calibri"/>
                <w:color w:val="000000"/>
                <w:sz w:val="20"/>
                <w:szCs w:val="20"/>
                <w:lang w:eastAsia="zh-CN"/>
              </w:rPr>
            </w:pPr>
            <w:r w:rsidRPr="005C469C">
              <w:rPr>
                <w:rFonts w:ascii="Calibri" w:eastAsia="Times New Roman" w:hAnsi="Calibri" w:cs="Calibri"/>
                <w:color w:val="000000"/>
                <w:sz w:val="20"/>
                <w:szCs w:val="20"/>
                <w:lang w:eastAsia="zh-CN"/>
              </w:rPr>
              <w:t>38.2</w:t>
            </w:r>
          </w:p>
        </w:tc>
      </w:tr>
      <w:tr w:rsidR="00685BE5" w:rsidRPr="00C41FC1" w:rsidTr="006B1E5A">
        <w:tc>
          <w:tcPr>
            <w:tcW w:w="3843" w:type="dxa"/>
            <w:tcBorders>
              <w:top w:val="nil"/>
              <w:left w:val="nil"/>
              <w:bottom w:val="nil"/>
              <w:right w:val="nil"/>
            </w:tcBorders>
            <w:shd w:val="clear" w:color="auto" w:fill="auto"/>
            <w:noWrap/>
            <w:vAlign w:val="center"/>
            <w:hideMark/>
          </w:tcPr>
          <w:p w:rsidR="00685BE5" w:rsidRPr="00C41FC1" w:rsidRDefault="00685BE5" w:rsidP="007E6D53">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Psychiatric</w:t>
            </w:r>
          </w:p>
        </w:tc>
        <w:tc>
          <w:tcPr>
            <w:tcW w:w="765"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2.6</w:t>
            </w:r>
          </w:p>
        </w:tc>
        <w:tc>
          <w:tcPr>
            <w:tcW w:w="765"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5.1</w:t>
            </w:r>
          </w:p>
        </w:tc>
        <w:tc>
          <w:tcPr>
            <w:tcW w:w="766"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6.6</w:t>
            </w:r>
          </w:p>
        </w:tc>
        <w:tc>
          <w:tcPr>
            <w:tcW w:w="765"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6.3</w:t>
            </w:r>
          </w:p>
        </w:tc>
        <w:tc>
          <w:tcPr>
            <w:tcW w:w="766"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5.9</w:t>
            </w:r>
          </w:p>
        </w:tc>
        <w:tc>
          <w:tcPr>
            <w:tcW w:w="1701" w:type="dxa"/>
            <w:tcBorders>
              <w:top w:val="nil"/>
              <w:left w:val="nil"/>
              <w:bottom w:val="nil"/>
              <w:right w:val="nil"/>
            </w:tcBorders>
            <w:shd w:val="clear" w:color="auto" w:fill="auto"/>
            <w:noWrap/>
            <w:vAlign w:val="center"/>
            <w:hideMark/>
          </w:tcPr>
          <w:p w:rsidR="00685BE5" w:rsidRPr="005C469C" w:rsidRDefault="00685BE5" w:rsidP="006B1E5A">
            <w:pPr>
              <w:spacing w:before="20" w:after="20"/>
              <w:ind w:right="601"/>
              <w:jc w:val="right"/>
              <w:rPr>
                <w:rFonts w:ascii="Calibri" w:eastAsia="Times New Roman" w:hAnsi="Calibri" w:cs="Calibri"/>
                <w:color w:val="000000"/>
                <w:sz w:val="20"/>
                <w:szCs w:val="20"/>
                <w:lang w:eastAsia="zh-CN"/>
              </w:rPr>
            </w:pPr>
            <w:r w:rsidRPr="005C469C">
              <w:rPr>
                <w:rFonts w:ascii="Calibri" w:eastAsia="Times New Roman" w:hAnsi="Calibri" w:cs="Calibri"/>
                <w:color w:val="000000"/>
                <w:sz w:val="20"/>
                <w:szCs w:val="20"/>
                <w:lang w:eastAsia="zh-CN"/>
              </w:rPr>
              <w:t>9.9</w:t>
            </w:r>
          </w:p>
        </w:tc>
      </w:tr>
      <w:tr w:rsidR="00685BE5" w:rsidRPr="00C41FC1" w:rsidTr="006B1E5A">
        <w:tc>
          <w:tcPr>
            <w:tcW w:w="3843" w:type="dxa"/>
            <w:tcBorders>
              <w:top w:val="nil"/>
              <w:left w:val="nil"/>
              <w:bottom w:val="nil"/>
              <w:right w:val="nil"/>
            </w:tcBorders>
            <w:shd w:val="clear" w:color="auto" w:fill="auto"/>
            <w:noWrap/>
            <w:vAlign w:val="center"/>
            <w:hideMark/>
          </w:tcPr>
          <w:p w:rsidR="00685BE5" w:rsidRPr="00C41FC1" w:rsidRDefault="00685BE5" w:rsidP="007E6D53">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Hearing</w:t>
            </w:r>
          </w:p>
        </w:tc>
        <w:tc>
          <w:tcPr>
            <w:tcW w:w="765"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13.6</w:t>
            </w:r>
          </w:p>
        </w:tc>
        <w:tc>
          <w:tcPr>
            <w:tcW w:w="765"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13.2</w:t>
            </w:r>
          </w:p>
        </w:tc>
        <w:tc>
          <w:tcPr>
            <w:tcW w:w="766"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2.6</w:t>
            </w:r>
          </w:p>
        </w:tc>
        <w:tc>
          <w:tcPr>
            <w:tcW w:w="765"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1.1</w:t>
            </w:r>
          </w:p>
        </w:tc>
        <w:tc>
          <w:tcPr>
            <w:tcW w:w="766"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2.6</w:t>
            </w:r>
          </w:p>
        </w:tc>
        <w:tc>
          <w:tcPr>
            <w:tcW w:w="1701" w:type="dxa"/>
            <w:tcBorders>
              <w:top w:val="nil"/>
              <w:left w:val="nil"/>
              <w:bottom w:val="nil"/>
              <w:right w:val="nil"/>
            </w:tcBorders>
            <w:shd w:val="clear" w:color="auto" w:fill="auto"/>
            <w:noWrap/>
            <w:vAlign w:val="center"/>
            <w:hideMark/>
          </w:tcPr>
          <w:p w:rsidR="00685BE5" w:rsidRPr="005C469C" w:rsidRDefault="00685BE5" w:rsidP="006B1E5A">
            <w:pPr>
              <w:spacing w:before="20" w:after="20"/>
              <w:ind w:right="601"/>
              <w:jc w:val="right"/>
              <w:rPr>
                <w:rFonts w:ascii="Calibri" w:eastAsia="Times New Roman" w:hAnsi="Calibri" w:cs="Calibri"/>
                <w:color w:val="000000"/>
                <w:sz w:val="20"/>
                <w:szCs w:val="20"/>
                <w:lang w:eastAsia="zh-CN"/>
              </w:rPr>
            </w:pPr>
            <w:r w:rsidRPr="005C469C">
              <w:rPr>
                <w:rFonts w:ascii="Calibri" w:eastAsia="Times New Roman" w:hAnsi="Calibri" w:cs="Calibri"/>
                <w:color w:val="000000"/>
                <w:sz w:val="20"/>
                <w:szCs w:val="20"/>
                <w:lang w:eastAsia="zh-CN"/>
              </w:rPr>
              <w:t>20.6</w:t>
            </w:r>
          </w:p>
        </w:tc>
      </w:tr>
      <w:tr w:rsidR="00685BE5" w:rsidRPr="00C41FC1" w:rsidTr="006B1E5A">
        <w:tc>
          <w:tcPr>
            <w:tcW w:w="3843" w:type="dxa"/>
            <w:tcBorders>
              <w:top w:val="nil"/>
              <w:left w:val="nil"/>
              <w:bottom w:val="nil"/>
              <w:right w:val="nil"/>
            </w:tcBorders>
            <w:shd w:val="clear" w:color="auto" w:fill="auto"/>
            <w:noWrap/>
            <w:vAlign w:val="center"/>
            <w:hideMark/>
          </w:tcPr>
          <w:p w:rsidR="00685BE5" w:rsidRPr="00C41FC1" w:rsidRDefault="00685BE5" w:rsidP="007E6D53">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Speech</w:t>
            </w:r>
          </w:p>
        </w:tc>
        <w:tc>
          <w:tcPr>
            <w:tcW w:w="765"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40.4</w:t>
            </w:r>
          </w:p>
        </w:tc>
        <w:tc>
          <w:tcPr>
            <w:tcW w:w="765"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40.8</w:t>
            </w:r>
          </w:p>
        </w:tc>
        <w:tc>
          <w:tcPr>
            <w:tcW w:w="766"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15.4</w:t>
            </w:r>
          </w:p>
        </w:tc>
        <w:tc>
          <w:tcPr>
            <w:tcW w:w="765"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10.7</w:t>
            </w:r>
          </w:p>
        </w:tc>
        <w:tc>
          <w:tcPr>
            <w:tcW w:w="766"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9.9</w:t>
            </w:r>
          </w:p>
        </w:tc>
        <w:tc>
          <w:tcPr>
            <w:tcW w:w="1701" w:type="dxa"/>
            <w:tcBorders>
              <w:top w:val="nil"/>
              <w:left w:val="nil"/>
              <w:bottom w:val="nil"/>
              <w:right w:val="nil"/>
            </w:tcBorders>
            <w:shd w:val="clear" w:color="auto" w:fill="auto"/>
            <w:noWrap/>
            <w:vAlign w:val="center"/>
            <w:hideMark/>
          </w:tcPr>
          <w:p w:rsidR="00685BE5" w:rsidRPr="005C469C" w:rsidRDefault="00685BE5" w:rsidP="006B1E5A">
            <w:pPr>
              <w:spacing w:before="20" w:after="20"/>
              <w:ind w:right="601"/>
              <w:jc w:val="right"/>
              <w:rPr>
                <w:rFonts w:ascii="Calibri" w:eastAsia="Times New Roman" w:hAnsi="Calibri" w:cs="Calibri"/>
                <w:color w:val="000000"/>
                <w:sz w:val="20"/>
                <w:szCs w:val="20"/>
                <w:lang w:eastAsia="zh-CN"/>
              </w:rPr>
            </w:pPr>
            <w:r w:rsidRPr="005C469C">
              <w:rPr>
                <w:rFonts w:ascii="Calibri" w:eastAsia="Times New Roman" w:hAnsi="Calibri" w:cs="Calibri"/>
                <w:color w:val="000000"/>
                <w:sz w:val="20"/>
                <w:szCs w:val="20"/>
                <w:lang w:eastAsia="zh-CN"/>
              </w:rPr>
              <w:t>46.3</w:t>
            </w:r>
          </w:p>
        </w:tc>
      </w:tr>
      <w:tr w:rsidR="00685BE5" w:rsidRPr="00C41FC1" w:rsidTr="006B1E5A">
        <w:tc>
          <w:tcPr>
            <w:tcW w:w="3843" w:type="dxa"/>
            <w:tcBorders>
              <w:top w:val="nil"/>
              <w:left w:val="nil"/>
              <w:bottom w:val="nil"/>
              <w:right w:val="nil"/>
            </w:tcBorders>
            <w:shd w:val="clear" w:color="auto" w:fill="auto"/>
            <w:noWrap/>
            <w:vAlign w:val="center"/>
            <w:hideMark/>
          </w:tcPr>
          <w:p w:rsidR="00685BE5" w:rsidRPr="00C41FC1" w:rsidRDefault="00685BE5" w:rsidP="007E6D53">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Visual</w:t>
            </w:r>
          </w:p>
        </w:tc>
        <w:tc>
          <w:tcPr>
            <w:tcW w:w="765"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10.7</w:t>
            </w:r>
          </w:p>
        </w:tc>
        <w:tc>
          <w:tcPr>
            <w:tcW w:w="765"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9.9</w:t>
            </w:r>
          </w:p>
        </w:tc>
        <w:tc>
          <w:tcPr>
            <w:tcW w:w="766"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2.6</w:t>
            </w:r>
          </w:p>
        </w:tc>
        <w:tc>
          <w:tcPr>
            <w:tcW w:w="765"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1.8</w:t>
            </w:r>
          </w:p>
        </w:tc>
        <w:tc>
          <w:tcPr>
            <w:tcW w:w="766"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2.9</w:t>
            </w:r>
          </w:p>
        </w:tc>
        <w:tc>
          <w:tcPr>
            <w:tcW w:w="1701" w:type="dxa"/>
            <w:tcBorders>
              <w:top w:val="nil"/>
              <w:left w:val="nil"/>
              <w:bottom w:val="nil"/>
              <w:right w:val="nil"/>
            </w:tcBorders>
            <w:shd w:val="clear" w:color="auto" w:fill="auto"/>
            <w:noWrap/>
            <w:vAlign w:val="center"/>
            <w:hideMark/>
          </w:tcPr>
          <w:p w:rsidR="00685BE5" w:rsidRPr="005C469C" w:rsidRDefault="00685BE5" w:rsidP="006B1E5A">
            <w:pPr>
              <w:spacing w:before="20" w:after="20"/>
              <w:ind w:right="601"/>
              <w:jc w:val="right"/>
              <w:rPr>
                <w:rFonts w:ascii="Calibri" w:eastAsia="Times New Roman" w:hAnsi="Calibri" w:cs="Calibri"/>
                <w:color w:val="000000"/>
                <w:sz w:val="20"/>
                <w:szCs w:val="20"/>
                <w:lang w:eastAsia="zh-CN"/>
              </w:rPr>
            </w:pPr>
            <w:r w:rsidRPr="005C469C">
              <w:rPr>
                <w:rFonts w:ascii="Calibri" w:eastAsia="Times New Roman" w:hAnsi="Calibri" w:cs="Calibri"/>
                <w:color w:val="000000"/>
                <w:sz w:val="20"/>
                <w:szCs w:val="20"/>
                <w:lang w:eastAsia="zh-CN"/>
              </w:rPr>
              <w:t>13.2</w:t>
            </w:r>
          </w:p>
        </w:tc>
      </w:tr>
      <w:tr w:rsidR="00685BE5" w:rsidRPr="00C41FC1" w:rsidTr="006B1E5A">
        <w:tc>
          <w:tcPr>
            <w:tcW w:w="3843" w:type="dxa"/>
            <w:tcBorders>
              <w:top w:val="nil"/>
              <w:left w:val="nil"/>
              <w:bottom w:val="nil"/>
              <w:right w:val="nil"/>
            </w:tcBorders>
            <w:shd w:val="clear" w:color="auto" w:fill="auto"/>
            <w:noWrap/>
            <w:vAlign w:val="center"/>
            <w:hideMark/>
          </w:tcPr>
          <w:p w:rsidR="00685BE5" w:rsidRPr="00C41FC1" w:rsidRDefault="00685BE5" w:rsidP="007E6D53">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Developmental</w:t>
            </w:r>
          </w:p>
        </w:tc>
        <w:tc>
          <w:tcPr>
            <w:tcW w:w="765"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66.2</w:t>
            </w:r>
          </w:p>
        </w:tc>
        <w:tc>
          <w:tcPr>
            <w:tcW w:w="765"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66.5</w:t>
            </w:r>
          </w:p>
        </w:tc>
        <w:tc>
          <w:tcPr>
            <w:tcW w:w="766"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20.2</w:t>
            </w:r>
          </w:p>
        </w:tc>
        <w:tc>
          <w:tcPr>
            <w:tcW w:w="765"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8.5</w:t>
            </w:r>
          </w:p>
        </w:tc>
        <w:tc>
          <w:tcPr>
            <w:tcW w:w="766"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5.1</w:t>
            </w:r>
          </w:p>
        </w:tc>
        <w:tc>
          <w:tcPr>
            <w:tcW w:w="1701" w:type="dxa"/>
            <w:tcBorders>
              <w:top w:val="nil"/>
              <w:left w:val="nil"/>
              <w:bottom w:val="nil"/>
              <w:right w:val="nil"/>
            </w:tcBorders>
            <w:shd w:val="clear" w:color="auto" w:fill="auto"/>
            <w:noWrap/>
            <w:vAlign w:val="center"/>
            <w:hideMark/>
          </w:tcPr>
          <w:p w:rsidR="00685BE5" w:rsidRPr="005C469C" w:rsidRDefault="00685BE5" w:rsidP="006B1E5A">
            <w:pPr>
              <w:spacing w:before="20" w:after="20"/>
              <w:ind w:right="601"/>
              <w:jc w:val="right"/>
              <w:rPr>
                <w:rFonts w:ascii="Calibri" w:eastAsia="Times New Roman" w:hAnsi="Calibri" w:cs="Calibri"/>
                <w:color w:val="000000"/>
                <w:sz w:val="20"/>
                <w:szCs w:val="20"/>
                <w:lang w:eastAsia="zh-CN"/>
              </w:rPr>
            </w:pPr>
            <w:r w:rsidRPr="005C469C">
              <w:rPr>
                <w:rFonts w:ascii="Calibri" w:eastAsia="Times New Roman" w:hAnsi="Calibri" w:cs="Calibri"/>
                <w:color w:val="000000"/>
                <w:sz w:val="20"/>
                <w:szCs w:val="20"/>
                <w:lang w:eastAsia="zh-CN"/>
              </w:rPr>
              <w:t>75.7</w:t>
            </w:r>
          </w:p>
        </w:tc>
      </w:tr>
      <w:tr w:rsidR="00685BE5" w:rsidRPr="00C41FC1" w:rsidTr="006B1E5A">
        <w:tc>
          <w:tcPr>
            <w:tcW w:w="3843" w:type="dxa"/>
            <w:tcBorders>
              <w:top w:val="nil"/>
              <w:left w:val="nil"/>
              <w:bottom w:val="nil"/>
              <w:right w:val="nil"/>
            </w:tcBorders>
            <w:shd w:val="clear" w:color="auto" w:fill="auto"/>
            <w:noWrap/>
            <w:vAlign w:val="center"/>
            <w:hideMark/>
          </w:tcPr>
          <w:p w:rsidR="00685BE5" w:rsidRPr="00C41FC1" w:rsidRDefault="00685BE5" w:rsidP="007E6D53">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Other learning or intellectual</w:t>
            </w:r>
          </w:p>
        </w:tc>
        <w:tc>
          <w:tcPr>
            <w:tcW w:w="765"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48.2</w:t>
            </w:r>
          </w:p>
        </w:tc>
        <w:tc>
          <w:tcPr>
            <w:tcW w:w="765"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53.3</w:t>
            </w:r>
          </w:p>
        </w:tc>
        <w:tc>
          <w:tcPr>
            <w:tcW w:w="766"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27.6</w:t>
            </w:r>
          </w:p>
        </w:tc>
        <w:tc>
          <w:tcPr>
            <w:tcW w:w="765"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12.5</w:t>
            </w:r>
          </w:p>
        </w:tc>
        <w:tc>
          <w:tcPr>
            <w:tcW w:w="766"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7.0</w:t>
            </w:r>
          </w:p>
        </w:tc>
        <w:tc>
          <w:tcPr>
            <w:tcW w:w="1701" w:type="dxa"/>
            <w:tcBorders>
              <w:top w:val="nil"/>
              <w:left w:val="nil"/>
              <w:bottom w:val="nil"/>
              <w:right w:val="nil"/>
            </w:tcBorders>
            <w:shd w:val="clear" w:color="auto" w:fill="auto"/>
            <w:noWrap/>
            <w:vAlign w:val="center"/>
            <w:hideMark/>
          </w:tcPr>
          <w:p w:rsidR="00685BE5" w:rsidRPr="005C469C" w:rsidRDefault="00685BE5" w:rsidP="006B1E5A">
            <w:pPr>
              <w:spacing w:before="20" w:after="20"/>
              <w:ind w:right="601"/>
              <w:jc w:val="right"/>
              <w:rPr>
                <w:rFonts w:ascii="Calibri" w:eastAsia="Times New Roman" w:hAnsi="Calibri" w:cs="Calibri"/>
                <w:color w:val="000000"/>
                <w:sz w:val="20"/>
                <w:szCs w:val="20"/>
                <w:lang w:eastAsia="zh-CN"/>
              </w:rPr>
            </w:pPr>
            <w:r w:rsidRPr="005C469C">
              <w:rPr>
                <w:rFonts w:ascii="Calibri" w:eastAsia="Times New Roman" w:hAnsi="Calibri" w:cs="Calibri"/>
                <w:color w:val="000000"/>
                <w:sz w:val="20"/>
                <w:szCs w:val="20"/>
                <w:lang w:eastAsia="zh-CN"/>
              </w:rPr>
              <w:t>62.1</w:t>
            </w:r>
          </w:p>
        </w:tc>
      </w:tr>
      <w:tr w:rsidR="00685BE5" w:rsidRPr="00C41FC1" w:rsidTr="006B1E5A">
        <w:tc>
          <w:tcPr>
            <w:tcW w:w="3843" w:type="dxa"/>
            <w:tcBorders>
              <w:top w:val="nil"/>
              <w:left w:val="nil"/>
              <w:bottom w:val="nil"/>
              <w:right w:val="nil"/>
            </w:tcBorders>
            <w:shd w:val="clear" w:color="auto" w:fill="auto"/>
            <w:noWrap/>
            <w:vAlign w:val="center"/>
            <w:hideMark/>
          </w:tcPr>
          <w:p w:rsidR="00685BE5" w:rsidRPr="00C41FC1" w:rsidRDefault="00685BE5" w:rsidP="007E6D53">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 xml:space="preserve">Neurological, including </w:t>
            </w:r>
            <w:r>
              <w:rPr>
                <w:rFonts w:ascii="Calibri" w:eastAsia="Times New Roman" w:hAnsi="Calibri" w:cs="Calibri"/>
                <w:color w:val="000000"/>
                <w:sz w:val="20"/>
                <w:szCs w:val="20"/>
                <w:lang w:eastAsia="zh-CN"/>
              </w:rPr>
              <w:t>a</w:t>
            </w:r>
            <w:r w:rsidRPr="00C41FC1">
              <w:rPr>
                <w:rFonts w:ascii="Calibri" w:eastAsia="Times New Roman" w:hAnsi="Calibri" w:cs="Calibri"/>
                <w:color w:val="000000"/>
                <w:sz w:val="20"/>
                <w:szCs w:val="20"/>
                <w:lang w:eastAsia="zh-CN"/>
              </w:rPr>
              <w:t xml:space="preserve">cquired </w:t>
            </w:r>
            <w:r>
              <w:rPr>
                <w:rFonts w:ascii="Calibri" w:eastAsia="Times New Roman" w:hAnsi="Calibri" w:cs="Calibri"/>
                <w:color w:val="000000"/>
                <w:sz w:val="20"/>
                <w:szCs w:val="20"/>
                <w:lang w:eastAsia="zh-CN"/>
              </w:rPr>
              <w:t>b</w:t>
            </w:r>
            <w:r w:rsidRPr="00C41FC1">
              <w:rPr>
                <w:rFonts w:ascii="Calibri" w:eastAsia="Times New Roman" w:hAnsi="Calibri" w:cs="Calibri"/>
                <w:color w:val="000000"/>
                <w:sz w:val="20"/>
                <w:szCs w:val="20"/>
                <w:lang w:eastAsia="zh-CN"/>
              </w:rPr>
              <w:t>rain Injury</w:t>
            </w:r>
          </w:p>
        </w:tc>
        <w:tc>
          <w:tcPr>
            <w:tcW w:w="765"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29.4</w:t>
            </w:r>
          </w:p>
        </w:tc>
        <w:tc>
          <w:tcPr>
            <w:tcW w:w="765"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29.0</w:t>
            </w:r>
          </w:p>
        </w:tc>
        <w:tc>
          <w:tcPr>
            <w:tcW w:w="766"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19.9</w:t>
            </w:r>
          </w:p>
        </w:tc>
        <w:tc>
          <w:tcPr>
            <w:tcW w:w="765"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20.6</w:t>
            </w:r>
          </w:p>
        </w:tc>
        <w:tc>
          <w:tcPr>
            <w:tcW w:w="766"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15.4</w:t>
            </w:r>
          </w:p>
        </w:tc>
        <w:tc>
          <w:tcPr>
            <w:tcW w:w="1701" w:type="dxa"/>
            <w:tcBorders>
              <w:top w:val="nil"/>
              <w:left w:val="nil"/>
              <w:bottom w:val="nil"/>
              <w:right w:val="nil"/>
            </w:tcBorders>
            <w:shd w:val="clear" w:color="auto" w:fill="auto"/>
            <w:noWrap/>
            <w:vAlign w:val="center"/>
            <w:hideMark/>
          </w:tcPr>
          <w:p w:rsidR="00685BE5" w:rsidRPr="005C469C" w:rsidRDefault="00685BE5" w:rsidP="006B1E5A">
            <w:pPr>
              <w:spacing w:before="20" w:after="20"/>
              <w:ind w:right="601"/>
              <w:jc w:val="right"/>
              <w:rPr>
                <w:rFonts w:ascii="Calibri" w:eastAsia="Times New Roman" w:hAnsi="Calibri" w:cs="Calibri"/>
                <w:color w:val="000000"/>
                <w:sz w:val="20"/>
                <w:szCs w:val="20"/>
                <w:lang w:eastAsia="zh-CN"/>
              </w:rPr>
            </w:pPr>
            <w:r w:rsidRPr="005C469C">
              <w:rPr>
                <w:rFonts w:ascii="Calibri" w:eastAsia="Times New Roman" w:hAnsi="Calibri" w:cs="Calibri"/>
                <w:color w:val="000000"/>
                <w:sz w:val="20"/>
                <w:szCs w:val="20"/>
                <w:lang w:eastAsia="zh-CN"/>
              </w:rPr>
              <w:t>47.1</w:t>
            </w:r>
          </w:p>
        </w:tc>
      </w:tr>
      <w:tr w:rsidR="00685BE5" w:rsidRPr="00C41FC1" w:rsidTr="006B1E5A">
        <w:tc>
          <w:tcPr>
            <w:tcW w:w="3843" w:type="dxa"/>
            <w:tcBorders>
              <w:top w:val="nil"/>
              <w:left w:val="nil"/>
              <w:bottom w:val="nil"/>
              <w:right w:val="nil"/>
            </w:tcBorders>
            <w:shd w:val="clear" w:color="auto" w:fill="auto"/>
            <w:noWrap/>
            <w:vAlign w:val="center"/>
            <w:hideMark/>
          </w:tcPr>
          <w:p w:rsidR="00685BE5" w:rsidRPr="00C41FC1" w:rsidRDefault="00685BE5" w:rsidP="007E6D53">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Congenital or inherited conditions</w:t>
            </w:r>
          </w:p>
        </w:tc>
        <w:tc>
          <w:tcPr>
            <w:tcW w:w="765"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46.3</w:t>
            </w:r>
          </w:p>
        </w:tc>
        <w:tc>
          <w:tcPr>
            <w:tcW w:w="765"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46.7</w:t>
            </w:r>
          </w:p>
        </w:tc>
        <w:tc>
          <w:tcPr>
            <w:tcW w:w="766"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22.4</w:t>
            </w:r>
          </w:p>
        </w:tc>
        <w:tc>
          <w:tcPr>
            <w:tcW w:w="765"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15.4</w:t>
            </w:r>
          </w:p>
        </w:tc>
        <w:tc>
          <w:tcPr>
            <w:tcW w:w="766" w:type="dxa"/>
            <w:tcBorders>
              <w:top w:val="nil"/>
              <w:left w:val="nil"/>
              <w:bottom w:val="nil"/>
              <w:right w:val="nil"/>
            </w:tcBorders>
            <w:shd w:val="clear" w:color="auto" w:fill="auto"/>
            <w:noWrap/>
            <w:vAlign w:val="center"/>
            <w:hideMark/>
          </w:tcPr>
          <w:p w:rsidR="00685BE5" w:rsidRPr="00C41FC1" w:rsidRDefault="00685BE5" w:rsidP="00AE4C3A">
            <w:pPr>
              <w:spacing w:before="20" w:after="2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9.6</w:t>
            </w:r>
          </w:p>
        </w:tc>
        <w:tc>
          <w:tcPr>
            <w:tcW w:w="1701" w:type="dxa"/>
            <w:tcBorders>
              <w:top w:val="nil"/>
              <w:left w:val="nil"/>
              <w:bottom w:val="nil"/>
              <w:right w:val="nil"/>
            </w:tcBorders>
            <w:shd w:val="clear" w:color="auto" w:fill="auto"/>
            <w:noWrap/>
            <w:vAlign w:val="center"/>
            <w:hideMark/>
          </w:tcPr>
          <w:p w:rsidR="00685BE5" w:rsidRPr="005C469C" w:rsidRDefault="00685BE5" w:rsidP="006B1E5A">
            <w:pPr>
              <w:spacing w:before="20" w:after="20"/>
              <w:ind w:right="601"/>
              <w:jc w:val="right"/>
              <w:rPr>
                <w:rFonts w:ascii="Calibri" w:eastAsia="Times New Roman" w:hAnsi="Calibri" w:cs="Calibri"/>
                <w:color w:val="000000"/>
                <w:sz w:val="20"/>
                <w:szCs w:val="20"/>
                <w:lang w:eastAsia="zh-CN"/>
              </w:rPr>
            </w:pPr>
            <w:r w:rsidRPr="005C469C">
              <w:rPr>
                <w:rFonts w:ascii="Calibri" w:eastAsia="Times New Roman" w:hAnsi="Calibri" w:cs="Calibri"/>
                <w:color w:val="000000"/>
                <w:sz w:val="20"/>
                <w:szCs w:val="20"/>
                <w:lang w:eastAsia="zh-CN"/>
              </w:rPr>
              <w:t>56.6</w:t>
            </w:r>
          </w:p>
        </w:tc>
      </w:tr>
      <w:tr w:rsidR="00685BE5" w:rsidRPr="009D539F" w:rsidTr="006B1E5A">
        <w:tc>
          <w:tcPr>
            <w:tcW w:w="3843" w:type="dxa"/>
            <w:tcBorders>
              <w:top w:val="nil"/>
              <w:left w:val="nil"/>
              <w:bottom w:val="single" w:sz="4" w:space="0" w:color="auto"/>
              <w:right w:val="nil"/>
            </w:tcBorders>
            <w:shd w:val="clear" w:color="auto" w:fill="auto"/>
            <w:noWrap/>
            <w:vAlign w:val="center"/>
            <w:hideMark/>
          </w:tcPr>
          <w:p w:rsidR="00685BE5" w:rsidRPr="005C469C" w:rsidRDefault="00685BE5" w:rsidP="00AE4C3A">
            <w:pPr>
              <w:spacing w:before="20" w:after="20"/>
              <w:rPr>
                <w:rFonts w:ascii="Calibri" w:eastAsia="Times New Roman" w:hAnsi="Calibri" w:cs="Calibri"/>
                <w:color w:val="000000"/>
                <w:sz w:val="20"/>
                <w:szCs w:val="20"/>
                <w:lang w:eastAsia="zh-CN"/>
              </w:rPr>
            </w:pPr>
            <w:r w:rsidRPr="005C469C">
              <w:rPr>
                <w:rFonts w:ascii="Calibri" w:eastAsia="Times New Roman" w:hAnsi="Calibri" w:cs="Calibri"/>
                <w:color w:val="000000"/>
                <w:sz w:val="20"/>
                <w:szCs w:val="20"/>
                <w:lang w:eastAsia="zh-CN"/>
              </w:rPr>
              <w:t>Users with any type of disability for this age</w:t>
            </w:r>
          </w:p>
        </w:tc>
        <w:tc>
          <w:tcPr>
            <w:tcW w:w="765" w:type="dxa"/>
            <w:tcBorders>
              <w:top w:val="nil"/>
              <w:left w:val="nil"/>
              <w:bottom w:val="single" w:sz="4" w:space="0" w:color="auto"/>
              <w:right w:val="nil"/>
            </w:tcBorders>
            <w:shd w:val="clear" w:color="auto" w:fill="auto"/>
            <w:noWrap/>
            <w:vAlign w:val="center"/>
            <w:hideMark/>
          </w:tcPr>
          <w:p w:rsidR="00685BE5" w:rsidRPr="005C469C" w:rsidRDefault="00685BE5" w:rsidP="00AE4C3A">
            <w:pPr>
              <w:spacing w:before="20" w:after="20"/>
              <w:jc w:val="right"/>
              <w:rPr>
                <w:rFonts w:ascii="Calibri" w:eastAsia="Times New Roman" w:hAnsi="Calibri" w:cs="Calibri"/>
                <w:color w:val="000000"/>
                <w:sz w:val="20"/>
                <w:szCs w:val="20"/>
                <w:lang w:eastAsia="zh-CN"/>
              </w:rPr>
            </w:pPr>
            <w:r w:rsidRPr="005C469C">
              <w:rPr>
                <w:rFonts w:ascii="Calibri" w:eastAsia="Times New Roman" w:hAnsi="Calibri" w:cs="Calibri"/>
                <w:color w:val="000000"/>
                <w:sz w:val="20"/>
                <w:szCs w:val="20"/>
                <w:lang w:eastAsia="zh-CN"/>
              </w:rPr>
              <w:t>74.3</w:t>
            </w:r>
          </w:p>
        </w:tc>
        <w:tc>
          <w:tcPr>
            <w:tcW w:w="765" w:type="dxa"/>
            <w:tcBorders>
              <w:top w:val="nil"/>
              <w:left w:val="nil"/>
              <w:bottom w:val="single" w:sz="4" w:space="0" w:color="auto"/>
              <w:right w:val="nil"/>
            </w:tcBorders>
            <w:shd w:val="clear" w:color="auto" w:fill="auto"/>
            <w:noWrap/>
            <w:vAlign w:val="center"/>
            <w:hideMark/>
          </w:tcPr>
          <w:p w:rsidR="00685BE5" w:rsidRPr="005C469C" w:rsidRDefault="00685BE5" w:rsidP="00AE4C3A">
            <w:pPr>
              <w:spacing w:before="20" w:after="20"/>
              <w:jc w:val="right"/>
              <w:rPr>
                <w:rFonts w:ascii="Calibri" w:eastAsia="Times New Roman" w:hAnsi="Calibri" w:cs="Calibri"/>
                <w:color w:val="000000"/>
                <w:sz w:val="20"/>
                <w:szCs w:val="20"/>
                <w:lang w:eastAsia="zh-CN"/>
              </w:rPr>
            </w:pPr>
            <w:r w:rsidRPr="005C469C">
              <w:rPr>
                <w:rFonts w:ascii="Calibri" w:eastAsia="Times New Roman" w:hAnsi="Calibri" w:cs="Calibri"/>
                <w:color w:val="000000"/>
                <w:sz w:val="20"/>
                <w:szCs w:val="20"/>
                <w:lang w:eastAsia="zh-CN"/>
              </w:rPr>
              <w:t>79.8</w:t>
            </w:r>
          </w:p>
        </w:tc>
        <w:tc>
          <w:tcPr>
            <w:tcW w:w="766" w:type="dxa"/>
            <w:tcBorders>
              <w:top w:val="nil"/>
              <w:left w:val="nil"/>
              <w:bottom w:val="single" w:sz="4" w:space="0" w:color="auto"/>
              <w:right w:val="nil"/>
            </w:tcBorders>
            <w:shd w:val="clear" w:color="auto" w:fill="auto"/>
            <w:noWrap/>
            <w:vAlign w:val="center"/>
            <w:hideMark/>
          </w:tcPr>
          <w:p w:rsidR="00685BE5" w:rsidRPr="005C469C" w:rsidRDefault="00685BE5" w:rsidP="00AE4C3A">
            <w:pPr>
              <w:spacing w:before="20" w:after="20"/>
              <w:jc w:val="right"/>
              <w:rPr>
                <w:rFonts w:ascii="Calibri" w:eastAsia="Times New Roman" w:hAnsi="Calibri" w:cs="Calibri"/>
                <w:color w:val="000000"/>
                <w:sz w:val="20"/>
                <w:szCs w:val="20"/>
                <w:lang w:eastAsia="zh-CN"/>
              </w:rPr>
            </w:pPr>
            <w:r w:rsidRPr="005C469C">
              <w:rPr>
                <w:rFonts w:ascii="Calibri" w:eastAsia="Times New Roman" w:hAnsi="Calibri" w:cs="Calibri"/>
                <w:color w:val="000000"/>
                <w:sz w:val="20"/>
                <w:szCs w:val="20"/>
                <w:lang w:eastAsia="zh-CN"/>
              </w:rPr>
              <w:t>44.5</w:t>
            </w:r>
          </w:p>
        </w:tc>
        <w:tc>
          <w:tcPr>
            <w:tcW w:w="765" w:type="dxa"/>
            <w:tcBorders>
              <w:top w:val="nil"/>
              <w:left w:val="nil"/>
              <w:bottom w:val="single" w:sz="4" w:space="0" w:color="auto"/>
              <w:right w:val="nil"/>
            </w:tcBorders>
            <w:shd w:val="clear" w:color="auto" w:fill="auto"/>
            <w:noWrap/>
            <w:vAlign w:val="center"/>
            <w:hideMark/>
          </w:tcPr>
          <w:p w:rsidR="00685BE5" w:rsidRPr="005C469C" w:rsidRDefault="00685BE5" w:rsidP="00AE4C3A">
            <w:pPr>
              <w:spacing w:before="20" w:after="20"/>
              <w:jc w:val="right"/>
              <w:rPr>
                <w:rFonts w:ascii="Calibri" w:eastAsia="Times New Roman" w:hAnsi="Calibri" w:cs="Calibri"/>
                <w:color w:val="000000"/>
                <w:sz w:val="20"/>
                <w:szCs w:val="20"/>
                <w:lang w:eastAsia="zh-CN"/>
              </w:rPr>
            </w:pPr>
            <w:r w:rsidRPr="005C469C">
              <w:rPr>
                <w:rFonts w:ascii="Calibri" w:eastAsia="Times New Roman" w:hAnsi="Calibri" w:cs="Calibri"/>
                <w:color w:val="000000"/>
                <w:sz w:val="20"/>
                <w:szCs w:val="20"/>
                <w:lang w:eastAsia="zh-CN"/>
              </w:rPr>
              <w:t>35.7</w:t>
            </w:r>
          </w:p>
        </w:tc>
        <w:tc>
          <w:tcPr>
            <w:tcW w:w="766" w:type="dxa"/>
            <w:tcBorders>
              <w:top w:val="nil"/>
              <w:left w:val="nil"/>
              <w:bottom w:val="single" w:sz="4" w:space="0" w:color="auto"/>
              <w:right w:val="nil"/>
            </w:tcBorders>
            <w:shd w:val="clear" w:color="auto" w:fill="auto"/>
            <w:noWrap/>
            <w:vAlign w:val="center"/>
            <w:hideMark/>
          </w:tcPr>
          <w:p w:rsidR="00685BE5" w:rsidRPr="005C469C" w:rsidRDefault="00685BE5" w:rsidP="00AE4C3A">
            <w:pPr>
              <w:spacing w:before="20" w:after="20"/>
              <w:jc w:val="right"/>
              <w:rPr>
                <w:rFonts w:ascii="Calibri" w:eastAsia="Times New Roman" w:hAnsi="Calibri" w:cs="Calibri"/>
                <w:color w:val="000000"/>
                <w:sz w:val="20"/>
                <w:szCs w:val="20"/>
                <w:lang w:eastAsia="zh-CN"/>
              </w:rPr>
            </w:pPr>
            <w:r w:rsidRPr="005C469C">
              <w:rPr>
                <w:rFonts w:ascii="Calibri" w:eastAsia="Times New Roman" w:hAnsi="Calibri" w:cs="Calibri"/>
                <w:color w:val="000000"/>
                <w:sz w:val="20"/>
                <w:szCs w:val="20"/>
                <w:lang w:eastAsia="zh-CN"/>
              </w:rPr>
              <w:t>28.7</w:t>
            </w:r>
          </w:p>
        </w:tc>
        <w:tc>
          <w:tcPr>
            <w:tcW w:w="1701" w:type="dxa"/>
            <w:tcBorders>
              <w:top w:val="nil"/>
              <w:left w:val="nil"/>
              <w:bottom w:val="single" w:sz="4" w:space="0" w:color="auto"/>
              <w:right w:val="nil"/>
            </w:tcBorders>
            <w:shd w:val="clear" w:color="auto" w:fill="auto"/>
            <w:noWrap/>
            <w:vAlign w:val="center"/>
            <w:hideMark/>
          </w:tcPr>
          <w:p w:rsidR="00685BE5" w:rsidRPr="005C469C" w:rsidRDefault="00685BE5" w:rsidP="006B1E5A">
            <w:pPr>
              <w:spacing w:before="20" w:after="20"/>
              <w:ind w:right="601"/>
              <w:jc w:val="right"/>
              <w:rPr>
                <w:rFonts w:ascii="Calibri" w:eastAsia="Times New Roman" w:hAnsi="Calibri" w:cs="Calibri"/>
                <w:color w:val="000000"/>
                <w:sz w:val="20"/>
                <w:szCs w:val="20"/>
                <w:lang w:eastAsia="zh-CN"/>
              </w:rPr>
            </w:pPr>
            <w:r w:rsidRPr="005C469C">
              <w:rPr>
                <w:rFonts w:ascii="Calibri" w:eastAsia="Times New Roman" w:hAnsi="Calibri" w:cs="Calibri"/>
                <w:color w:val="000000"/>
                <w:sz w:val="20"/>
                <w:szCs w:val="20"/>
                <w:lang w:eastAsia="zh-CN"/>
              </w:rPr>
              <w:t> </w:t>
            </w:r>
          </w:p>
        </w:tc>
      </w:tr>
      <w:tr w:rsidR="00685BE5" w:rsidRPr="00C41FC1" w:rsidTr="006B1E5A">
        <w:tc>
          <w:tcPr>
            <w:tcW w:w="3843" w:type="dxa"/>
            <w:tcBorders>
              <w:top w:val="single" w:sz="4" w:space="0" w:color="auto"/>
              <w:left w:val="nil"/>
              <w:bottom w:val="single" w:sz="4" w:space="0" w:color="auto"/>
              <w:right w:val="nil"/>
            </w:tcBorders>
            <w:shd w:val="clear" w:color="auto" w:fill="auto"/>
            <w:noWrap/>
            <w:vAlign w:val="center"/>
          </w:tcPr>
          <w:p w:rsidR="00685BE5" w:rsidRPr="00C41FC1" w:rsidRDefault="00685BE5" w:rsidP="00AE4C3A">
            <w:pPr>
              <w:spacing w:before="20" w:after="20"/>
              <w:rPr>
                <w:rFonts w:ascii="Calibri" w:eastAsia="Times New Roman" w:hAnsi="Calibri" w:cs="Calibri"/>
                <w:b/>
                <w:color w:val="000000"/>
                <w:sz w:val="20"/>
                <w:szCs w:val="20"/>
                <w:lang w:eastAsia="zh-CN"/>
              </w:rPr>
            </w:pPr>
            <w:r w:rsidRPr="00C41FC1">
              <w:rPr>
                <w:rFonts w:ascii="Calibri" w:eastAsia="Times New Roman" w:hAnsi="Calibri" w:cs="Calibri"/>
                <w:b/>
                <w:color w:val="000000"/>
                <w:sz w:val="20"/>
                <w:szCs w:val="20"/>
                <w:lang w:eastAsia="zh-CN"/>
              </w:rPr>
              <w:t>Total (N=272)</w:t>
            </w:r>
          </w:p>
        </w:tc>
        <w:tc>
          <w:tcPr>
            <w:tcW w:w="765" w:type="dxa"/>
            <w:tcBorders>
              <w:top w:val="single" w:sz="4" w:space="0" w:color="auto"/>
              <w:left w:val="nil"/>
              <w:bottom w:val="single" w:sz="4" w:space="0" w:color="auto"/>
              <w:right w:val="nil"/>
            </w:tcBorders>
            <w:shd w:val="clear" w:color="auto" w:fill="auto"/>
            <w:noWrap/>
            <w:vAlign w:val="center"/>
          </w:tcPr>
          <w:p w:rsidR="00685BE5" w:rsidRPr="00C41FC1" w:rsidRDefault="00685BE5" w:rsidP="00AE4C3A">
            <w:pPr>
              <w:spacing w:before="20" w:after="20"/>
              <w:jc w:val="right"/>
              <w:rPr>
                <w:rFonts w:ascii="Calibri" w:eastAsia="Times New Roman" w:hAnsi="Calibri" w:cs="Calibri"/>
                <w:b/>
                <w:color w:val="000000"/>
                <w:sz w:val="20"/>
                <w:szCs w:val="20"/>
                <w:lang w:eastAsia="zh-CN"/>
              </w:rPr>
            </w:pPr>
          </w:p>
        </w:tc>
        <w:tc>
          <w:tcPr>
            <w:tcW w:w="765" w:type="dxa"/>
            <w:tcBorders>
              <w:top w:val="single" w:sz="4" w:space="0" w:color="auto"/>
              <w:left w:val="nil"/>
              <w:bottom w:val="single" w:sz="4" w:space="0" w:color="auto"/>
              <w:right w:val="nil"/>
            </w:tcBorders>
            <w:shd w:val="clear" w:color="auto" w:fill="auto"/>
            <w:noWrap/>
            <w:vAlign w:val="center"/>
          </w:tcPr>
          <w:p w:rsidR="00685BE5" w:rsidRPr="00C41FC1" w:rsidRDefault="00685BE5" w:rsidP="00AE4C3A">
            <w:pPr>
              <w:spacing w:before="20" w:after="20"/>
              <w:jc w:val="right"/>
              <w:rPr>
                <w:rFonts w:ascii="Calibri" w:eastAsia="Times New Roman" w:hAnsi="Calibri" w:cs="Calibri"/>
                <w:b/>
                <w:color w:val="000000"/>
                <w:sz w:val="20"/>
                <w:szCs w:val="20"/>
                <w:lang w:eastAsia="zh-CN"/>
              </w:rPr>
            </w:pPr>
          </w:p>
        </w:tc>
        <w:tc>
          <w:tcPr>
            <w:tcW w:w="766" w:type="dxa"/>
            <w:tcBorders>
              <w:top w:val="single" w:sz="4" w:space="0" w:color="auto"/>
              <w:left w:val="nil"/>
              <w:bottom w:val="single" w:sz="4" w:space="0" w:color="auto"/>
              <w:right w:val="nil"/>
            </w:tcBorders>
            <w:shd w:val="clear" w:color="auto" w:fill="auto"/>
            <w:noWrap/>
            <w:vAlign w:val="center"/>
          </w:tcPr>
          <w:p w:rsidR="00685BE5" w:rsidRPr="00C41FC1" w:rsidRDefault="00685BE5" w:rsidP="00AE4C3A">
            <w:pPr>
              <w:spacing w:before="20" w:after="20"/>
              <w:jc w:val="right"/>
              <w:rPr>
                <w:rFonts w:ascii="Calibri" w:eastAsia="Times New Roman" w:hAnsi="Calibri" w:cs="Calibri"/>
                <w:b/>
                <w:color w:val="000000"/>
                <w:sz w:val="20"/>
                <w:szCs w:val="20"/>
                <w:lang w:eastAsia="zh-CN"/>
              </w:rPr>
            </w:pPr>
          </w:p>
        </w:tc>
        <w:tc>
          <w:tcPr>
            <w:tcW w:w="765" w:type="dxa"/>
            <w:tcBorders>
              <w:top w:val="single" w:sz="4" w:space="0" w:color="auto"/>
              <w:left w:val="nil"/>
              <w:bottom w:val="single" w:sz="4" w:space="0" w:color="auto"/>
              <w:right w:val="nil"/>
            </w:tcBorders>
            <w:shd w:val="clear" w:color="auto" w:fill="auto"/>
            <w:noWrap/>
            <w:vAlign w:val="center"/>
          </w:tcPr>
          <w:p w:rsidR="00685BE5" w:rsidRPr="00C41FC1" w:rsidRDefault="00685BE5" w:rsidP="00AE4C3A">
            <w:pPr>
              <w:spacing w:before="20" w:after="20"/>
              <w:jc w:val="right"/>
              <w:rPr>
                <w:rFonts w:ascii="Calibri" w:eastAsia="Times New Roman" w:hAnsi="Calibri" w:cs="Calibri"/>
                <w:b/>
                <w:color w:val="000000"/>
                <w:sz w:val="20"/>
                <w:szCs w:val="20"/>
                <w:lang w:eastAsia="zh-CN"/>
              </w:rPr>
            </w:pPr>
          </w:p>
        </w:tc>
        <w:tc>
          <w:tcPr>
            <w:tcW w:w="766" w:type="dxa"/>
            <w:tcBorders>
              <w:top w:val="single" w:sz="4" w:space="0" w:color="auto"/>
              <w:left w:val="nil"/>
              <w:bottom w:val="single" w:sz="4" w:space="0" w:color="auto"/>
              <w:right w:val="nil"/>
            </w:tcBorders>
            <w:shd w:val="clear" w:color="auto" w:fill="auto"/>
            <w:noWrap/>
            <w:vAlign w:val="center"/>
          </w:tcPr>
          <w:p w:rsidR="00685BE5" w:rsidRPr="00C41FC1" w:rsidRDefault="00685BE5" w:rsidP="00AE4C3A">
            <w:pPr>
              <w:spacing w:before="20" w:after="20"/>
              <w:jc w:val="right"/>
              <w:rPr>
                <w:rFonts w:ascii="Calibri" w:eastAsia="Times New Roman" w:hAnsi="Calibri" w:cs="Calibri"/>
                <w:b/>
                <w:color w:val="000000"/>
                <w:sz w:val="20"/>
                <w:szCs w:val="20"/>
                <w:lang w:eastAsia="zh-CN"/>
              </w:rPr>
            </w:pPr>
          </w:p>
        </w:tc>
        <w:tc>
          <w:tcPr>
            <w:tcW w:w="1701" w:type="dxa"/>
            <w:tcBorders>
              <w:top w:val="single" w:sz="4" w:space="0" w:color="auto"/>
              <w:left w:val="nil"/>
              <w:bottom w:val="single" w:sz="4" w:space="0" w:color="auto"/>
              <w:right w:val="nil"/>
            </w:tcBorders>
            <w:shd w:val="clear" w:color="auto" w:fill="auto"/>
            <w:noWrap/>
            <w:vAlign w:val="center"/>
          </w:tcPr>
          <w:p w:rsidR="00685BE5" w:rsidRPr="00C41FC1" w:rsidRDefault="00685BE5" w:rsidP="006B1E5A">
            <w:pPr>
              <w:spacing w:before="20" w:after="20"/>
              <w:ind w:right="601"/>
              <w:jc w:val="right"/>
              <w:rPr>
                <w:rFonts w:ascii="Calibri" w:eastAsia="Times New Roman" w:hAnsi="Calibri" w:cs="Calibri"/>
                <w:b/>
                <w:color w:val="000000"/>
                <w:sz w:val="20"/>
                <w:szCs w:val="20"/>
                <w:lang w:eastAsia="zh-CN"/>
              </w:rPr>
            </w:pPr>
          </w:p>
        </w:tc>
      </w:tr>
    </w:tbl>
    <w:p w:rsidR="00685BE5" w:rsidRDefault="00685BE5" w:rsidP="00AE4C3A">
      <w:pPr>
        <w:pStyle w:val="NILSReference"/>
        <w:rPr>
          <w:rFonts w:eastAsia="SimHei"/>
        </w:rPr>
      </w:pPr>
      <w:r>
        <w:rPr>
          <w:rFonts w:eastAsia="SimHei"/>
        </w:rPr>
        <w:t xml:space="preserve">Source: </w:t>
      </w:r>
      <w:r w:rsidRPr="00AB33E3">
        <w:rPr>
          <w:rFonts w:eastAsia="SimHei"/>
        </w:rPr>
        <w:t>2014 NDIS self-employed DSP survey</w:t>
      </w:r>
      <w:r>
        <w:rPr>
          <w:rFonts w:eastAsia="SimHei"/>
        </w:rPr>
        <w:t>, Question B9</w:t>
      </w:r>
      <w:r w:rsidRPr="00AB33E3">
        <w:rPr>
          <w:rFonts w:eastAsia="SimHei"/>
        </w:rPr>
        <w:t>.</w:t>
      </w:r>
    </w:p>
    <w:p w:rsidR="00685BE5" w:rsidRPr="00AB33E3" w:rsidRDefault="00685BE5" w:rsidP="00AE4C3A">
      <w:pPr>
        <w:pStyle w:val="NILSReference"/>
        <w:rPr>
          <w:rFonts w:eastAsia="SimHei"/>
        </w:rPr>
      </w:pPr>
      <w:r>
        <w:rPr>
          <w:rFonts w:eastAsia="SimHei"/>
        </w:rPr>
        <w:t xml:space="preserve">Note: </w:t>
      </w:r>
      <w:r w:rsidRPr="007D2274">
        <w:rPr>
          <w:rFonts w:eastAsia="SimHei"/>
        </w:rPr>
        <w:t>Multiple responses allowed.</w:t>
      </w:r>
    </w:p>
    <w:p w:rsidR="00B92687" w:rsidRDefault="00B92687" w:rsidP="00AE4C3A">
      <w:pPr>
        <w:rPr>
          <w:rFonts w:ascii="Calibri" w:eastAsia="SimHei" w:hAnsi="Calibri" w:cs="Calibri"/>
        </w:rPr>
      </w:pPr>
    </w:p>
    <w:p w:rsidR="00685BE5" w:rsidRDefault="00685BE5" w:rsidP="00AE4C3A">
      <w:pPr>
        <w:rPr>
          <w:rFonts w:ascii="Calibri" w:eastAsia="SimHei" w:hAnsi="Calibri" w:cs="Calibri"/>
        </w:rPr>
      </w:pPr>
      <w:r w:rsidRPr="00AB33E3">
        <w:rPr>
          <w:rFonts w:ascii="Calibri" w:eastAsia="SimHei" w:hAnsi="Calibri" w:cs="Calibri"/>
        </w:rPr>
        <w:t>About half of the self-employed providers in the disability secto</w:t>
      </w:r>
      <w:r>
        <w:rPr>
          <w:rFonts w:ascii="Calibri" w:eastAsia="SimHei" w:hAnsi="Calibri" w:cs="Calibri"/>
        </w:rPr>
        <w:t>r were aged 44 or above (Table 4.48</w:t>
      </w:r>
      <w:r w:rsidRPr="00AB33E3">
        <w:rPr>
          <w:rFonts w:ascii="Calibri" w:eastAsia="SimHei" w:hAnsi="Calibri" w:cs="Calibri"/>
        </w:rPr>
        <w:t xml:space="preserve">: The median age </w:t>
      </w:r>
      <w:r>
        <w:rPr>
          <w:rFonts w:ascii="Calibri" w:eastAsia="SimHei" w:hAnsi="Calibri" w:cs="Calibri"/>
        </w:rPr>
        <w:t xml:space="preserve">of </w:t>
      </w:r>
      <w:r w:rsidRPr="00AB33E3">
        <w:rPr>
          <w:rFonts w:ascii="Calibri" w:eastAsia="SimHei" w:hAnsi="Calibri" w:cs="Calibri"/>
        </w:rPr>
        <w:t>44 years</w:t>
      </w:r>
      <w:r>
        <w:rPr>
          <w:rFonts w:ascii="Calibri" w:eastAsia="SimHei" w:hAnsi="Calibri" w:cs="Calibri"/>
        </w:rPr>
        <w:t xml:space="preserve"> for self-empl</w:t>
      </w:r>
      <w:r w:rsidR="00FB089D">
        <w:rPr>
          <w:rFonts w:ascii="Calibri" w:eastAsia="SimHei" w:hAnsi="Calibri" w:cs="Calibri"/>
        </w:rPr>
        <w:t>o</w:t>
      </w:r>
      <w:r>
        <w:rPr>
          <w:rFonts w:ascii="Calibri" w:eastAsia="SimHei" w:hAnsi="Calibri" w:cs="Calibri"/>
        </w:rPr>
        <w:t>yed providers</w:t>
      </w:r>
      <w:r w:rsidRPr="00AB33E3">
        <w:rPr>
          <w:rFonts w:ascii="Calibri" w:eastAsia="SimHei" w:hAnsi="Calibri" w:cs="Calibri"/>
        </w:rPr>
        <w:t xml:space="preserve"> is</w:t>
      </w:r>
      <w:r>
        <w:rPr>
          <w:rFonts w:ascii="Calibri" w:eastAsia="SimHei" w:hAnsi="Calibri" w:cs="Calibri"/>
        </w:rPr>
        <w:t xml:space="preserve"> similar to that of </w:t>
      </w:r>
      <w:r w:rsidRPr="00AB33E3">
        <w:rPr>
          <w:rFonts w:ascii="Calibri" w:eastAsia="SimHei" w:hAnsi="Calibri" w:cs="Calibri"/>
        </w:rPr>
        <w:t>43 years for outlet employees).</w:t>
      </w:r>
      <w:r>
        <w:rPr>
          <w:rFonts w:ascii="Calibri" w:eastAsia="SimHei" w:hAnsi="Calibri" w:cs="Calibri"/>
        </w:rPr>
        <w:t xml:space="preserve"> </w:t>
      </w:r>
    </w:p>
    <w:p w:rsidR="00B92687" w:rsidRPr="00AB33E3" w:rsidRDefault="00B92687" w:rsidP="00AE4C3A">
      <w:pPr>
        <w:rPr>
          <w:rFonts w:ascii="Calibri" w:eastAsia="SimHei" w:hAnsi="Calibri" w:cs="Calibri"/>
        </w:rPr>
      </w:pPr>
    </w:p>
    <w:p w:rsidR="00685BE5" w:rsidRDefault="00685BE5" w:rsidP="00AE4C3A">
      <w:pPr>
        <w:rPr>
          <w:rFonts w:ascii="Calibri" w:eastAsia="SimHei" w:hAnsi="Calibri" w:cs="Calibri"/>
        </w:rPr>
      </w:pPr>
      <w:r w:rsidRPr="00AB33E3">
        <w:rPr>
          <w:rFonts w:ascii="Calibri" w:eastAsia="SimHei" w:hAnsi="Calibri" w:cs="Calibri"/>
        </w:rPr>
        <w:t xml:space="preserve">Extremely few of the self-employed </w:t>
      </w:r>
      <w:r>
        <w:rPr>
          <w:rFonts w:ascii="Calibri" w:eastAsia="SimHei" w:hAnsi="Calibri" w:cs="Calibri"/>
        </w:rPr>
        <w:t>we</w:t>
      </w:r>
      <w:r w:rsidRPr="00AB33E3">
        <w:rPr>
          <w:rFonts w:ascii="Calibri" w:eastAsia="SimHei" w:hAnsi="Calibri" w:cs="Calibri"/>
        </w:rPr>
        <w:t xml:space="preserve">re aged less than 24 years compared to 7 per cent of employees. This reflects at least in part the high levels of education </w:t>
      </w:r>
      <w:r>
        <w:rPr>
          <w:rFonts w:ascii="Calibri" w:eastAsia="SimHei" w:hAnsi="Calibri" w:cs="Calibri"/>
        </w:rPr>
        <w:t xml:space="preserve">and work experience </w:t>
      </w:r>
      <w:r w:rsidRPr="00AB33E3">
        <w:rPr>
          <w:rFonts w:ascii="Calibri" w:eastAsia="SimHei" w:hAnsi="Calibri" w:cs="Calibri"/>
        </w:rPr>
        <w:t>possessed by the self-employed service providers.</w:t>
      </w:r>
    </w:p>
    <w:p w:rsidR="00685BE5" w:rsidRPr="00AB33E3" w:rsidRDefault="00685BE5" w:rsidP="0044684E">
      <w:pPr>
        <w:pStyle w:val="NILSTableHeading"/>
      </w:pPr>
      <w:bookmarkStart w:id="704" w:name="_Toc428279255"/>
      <w:bookmarkStart w:id="705" w:name="_Toc449955386"/>
      <w:r>
        <w:t>Table 4.48</w:t>
      </w:r>
      <w:r w:rsidRPr="00AB33E3">
        <w:t>: Age distribution of self-employed providers of disability care and supports</w:t>
      </w:r>
      <w:bookmarkEnd w:id="704"/>
      <w:bookmarkEnd w:id="705"/>
    </w:p>
    <w:tbl>
      <w:tblPr>
        <w:tblW w:w="3134" w:type="dxa"/>
        <w:tblInd w:w="93" w:type="dxa"/>
        <w:tblLook w:val="04A0" w:firstRow="1" w:lastRow="0" w:firstColumn="1" w:lastColumn="0" w:noHBand="0" w:noVBand="1"/>
        <w:tblCaption w:val="Table 4.48 Age distribution of self-employed providers of disability care and supports"/>
      </w:tblPr>
      <w:tblGrid>
        <w:gridCol w:w="1858"/>
        <w:gridCol w:w="1276"/>
      </w:tblGrid>
      <w:tr w:rsidR="00685BE5" w:rsidRPr="00C41FC1" w:rsidTr="00E37756">
        <w:trPr>
          <w:tblHeader/>
        </w:trPr>
        <w:tc>
          <w:tcPr>
            <w:tcW w:w="1858" w:type="dxa"/>
            <w:tcBorders>
              <w:top w:val="single" w:sz="4" w:space="0" w:color="auto"/>
              <w:left w:val="nil"/>
              <w:bottom w:val="single" w:sz="4" w:space="0" w:color="auto"/>
              <w:right w:val="nil"/>
            </w:tcBorders>
            <w:shd w:val="clear" w:color="auto" w:fill="auto"/>
            <w:noWrap/>
            <w:vAlign w:val="center"/>
            <w:hideMark/>
          </w:tcPr>
          <w:p w:rsidR="00685BE5" w:rsidRPr="00C41FC1" w:rsidRDefault="00685BE5" w:rsidP="00AE4C3A">
            <w:pPr>
              <w:spacing w:before="20" w:after="20"/>
              <w:rPr>
                <w:rFonts w:ascii="Calibri" w:eastAsia="Times New Roman" w:hAnsi="Calibri" w:cs="Calibri"/>
                <w:bCs/>
                <w:color w:val="000000"/>
                <w:sz w:val="20"/>
                <w:szCs w:val="20"/>
                <w:lang w:eastAsia="zh-CN"/>
              </w:rPr>
            </w:pPr>
            <w:bookmarkStart w:id="706" w:name="Title_4_48"/>
            <w:bookmarkEnd w:id="706"/>
          </w:p>
        </w:tc>
        <w:tc>
          <w:tcPr>
            <w:tcW w:w="1276" w:type="dxa"/>
            <w:tcBorders>
              <w:top w:val="single" w:sz="4" w:space="0" w:color="auto"/>
              <w:left w:val="nil"/>
              <w:bottom w:val="single" w:sz="4" w:space="0" w:color="auto"/>
              <w:right w:val="nil"/>
            </w:tcBorders>
            <w:shd w:val="clear" w:color="auto" w:fill="auto"/>
            <w:noWrap/>
            <w:vAlign w:val="center"/>
            <w:hideMark/>
          </w:tcPr>
          <w:p w:rsidR="00685BE5" w:rsidRPr="00C41FC1" w:rsidRDefault="0096484D" w:rsidP="00AE4C3A">
            <w:pPr>
              <w:spacing w:before="20" w:after="20"/>
              <w:jc w:val="center"/>
              <w:rPr>
                <w:rFonts w:ascii="Calibri" w:eastAsia="Times New Roman" w:hAnsi="Calibri" w:cs="Calibri"/>
                <w:color w:val="000000"/>
                <w:sz w:val="20"/>
                <w:szCs w:val="20"/>
                <w:lang w:eastAsia="zh-CN"/>
              </w:rPr>
            </w:pPr>
            <w:r>
              <w:rPr>
                <w:rFonts w:ascii="Calibri" w:eastAsia="Times New Roman" w:hAnsi="Calibri" w:cs="Calibri"/>
                <w:color w:val="000000"/>
                <w:sz w:val="20"/>
                <w:szCs w:val="20"/>
                <w:lang w:eastAsia="zh-CN"/>
              </w:rPr>
              <w:t>%</w:t>
            </w:r>
          </w:p>
        </w:tc>
      </w:tr>
      <w:tr w:rsidR="00685BE5" w:rsidRPr="00C41FC1" w:rsidTr="00AE4C3A">
        <w:tc>
          <w:tcPr>
            <w:tcW w:w="1858" w:type="dxa"/>
            <w:tcBorders>
              <w:top w:val="nil"/>
              <w:left w:val="nil"/>
              <w:bottom w:val="nil"/>
              <w:right w:val="nil"/>
            </w:tcBorders>
            <w:shd w:val="clear" w:color="auto" w:fill="auto"/>
            <w:noWrap/>
            <w:vAlign w:val="center"/>
            <w:hideMark/>
          </w:tcPr>
          <w:p w:rsidR="00685BE5" w:rsidRPr="00C41FC1" w:rsidRDefault="00685BE5" w:rsidP="00AE4C3A">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16-24</w:t>
            </w:r>
          </w:p>
        </w:tc>
        <w:tc>
          <w:tcPr>
            <w:tcW w:w="1276" w:type="dxa"/>
            <w:tcBorders>
              <w:top w:val="nil"/>
              <w:left w:val="nil"/>
              <w:bottom w:val="nil"/>
              <w:right w:val="nil"/>
            </w:tcBorders>
            <w:shd w:val="clear" w:color="auto" w:fill="auto"/>
            <w:noWrap/>
            <w:vAlign w:val="center"/>
            <w:hideMark/>
          </w:tcPr>
          <w:p w:rsidR="00685BE5" w:rsidRPr="00C41FC1" w:rsidRDefault="00685BE5" w:rsidP="0096484D">
            <w:pPr>
              <w:spacing w:before="20" w:after="20"/>
              <w:ind w:right="284"/>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0.4</w:t>
            </w:r>
          </w:p>
        </w:tc>
      </w:tr>
      <w:tr w:rsidR="00685BE5" w:rsidRPr="00C41FC1" w:rsidTr="00AE4C3A">
        <w:tc>
          <w:tcPr>
            <w:tcW w:w="1858" w:type="dxa"/>
            <w:tcBorders>
              <w:top w:val="nil"/>
              <w:left w:val="nil"/>
              <w:bottom w:val="nil"/>
              <w:right w:val="nil"/>
            </w:tcBorders>
            <w:shd w:val="clear" w:color="auto" w:fill="auto"/>
            <w:noWrap/>
            <w:vAlign w:val="center"/>
            <w:hideMark/>
          </w:tcPr>
          <w:p w:rsidR="00685BE5" w:rsidRPr="00C41FC1" w:rsidRDefault="00685BE5" w:rsidP="00AE4C3A">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25-34</w:t>
            </w:r>
          </w:p>
        </w:tc>
        <w:tc>
          <w:tcPr>
            <w:tcW w:w="1276" w:type="dxa"/>
            <w:tcBorders>
              <w:top w:val="nil"/>
              <w:left w:val="nil"/>
              <w:bottom w:val="nil"/>
              <w:right w:val="nil"/>
            </w:tcBorders>
            <w:shd w:val="clear" w:color="auto" w:fill="auto"/>
            <w:noWrap/>
            <w:vAlign w:val="center"/>
            <w:hideMark/>
          </w:tcPr>
          <w:p w:rsidR="00685BE5" w:rsidRPr="00C41FC1" w:rsidRDefault="00685BE5" w:rsidP="0096484D">
            <w:pPr>
              <w:spacing w:before="20" w:after="20"/>
              <w:ind w:right="284"/>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18.4</w:t>
            </w:r>
          </w:p>
        </w:tc>
      </w:tr>
      <w:tr w:rsidR="00685BE5" w:rsidRPr="00C41FC1" w:rsidTr="00AE4C3A">
        <w:tc>
          <w:tcPr>
            <w:tcW w:w="1858" w:type="dxa"/>
            <w:tcBorders>
              <w:top w:val="nil"/>
              <w:left w:val="nil"/>
              <w:bottom w:val="nil"/>
              <w:right w:val="nil"/>
            </w:tcBorders>
            <w:shd w:val="clear" w:color="auto" w:fill="auto"/>
            <w:noWrap/>
            <w:vAlign w:val="center"/>
            <w:hideMark/>
          </w:tcPr>
          <w:p w:rsidR="00685BE5" w:rsidRPr="00C41FC1" w:rsidRDefault="00685BE5" w:rsidP="00AE4C3A">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35-44</w:t>
            </w:r>
          </w:p>
        </w:tc>
        <w:tc>
          <w:tcPr>
            <w:tcW w:w="1276" w:type="dxa"/>
            <w:tcBorders>
              <w:top w:val="nil"/>
              <w:left w:val="nil"/>
              <w:bottom w:val="nil"/>
              <w:right w:val="nil"/>
            </w:tcBorders>
            <w:shd w:val="clear" w:color="auto" w:fill="auto"/>
            <w:noWrap/>
            <w:vAlign w:val="center"/>
            <w:hideMark/>
          </w:tcPr>
          <w:p w:rsidR="00685BE5" w:rsidRPr="00C41FC1" w:rsidRDefault="00685BE5" w:rsidP="0096484D">
            <w:pPr>
              <w:spacing w:before="20" w:after="20"/>
              <w:ind w:right="284"/>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33.1</w:t>
            </w:r>
          </w:p>
        </w:tc>
      </w:tr>
      <w:tr w:rsidR="00685BE5" w:rsidRPr="00C41FC1" w:rsidTr="00AE4C3A">
        <w:tc>
          <w:tcPr>
            <w:tcW w:w="1858" w:type="dxa"/>
            <w:tcBorders>
              <w:top w:val="nil"/>
              <w:left w:val="nil"/>
              <w:bottom w:val="nil"/>
              <w:right w:val="nil"/>
            </w:tcBorders>
            <w:shd w:val="clear" w:color="auto" w:fill="auto"/>
            <w:noWrap/>
            <w:vAlign w:val="center"/>
            <w:hideMark/>
          </w:tcPr>
          <w:p w:rsidR="00685BE5" w:rsidRPr="00C41FC1" w:rsidRDefault="00685BE5" w:rsidP="00AE4C3A">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45-54</w:t>
            </w:r>
          </w:p>
        </w:tc>
        <w:tc>
          <w:tcPr>
            <w:tcW w:w="1276" w:type="dxa"/>
            <w:tcBorders>
              <w:top w:val="nil"/>
              <w:left w:val="nil"/>
              <w:bottom w:val="nil"/>
              <w:right w:val="nil"/>
            </w:tcBorders>
            <w:shd w:val="clear" w:color="auto" w:fill="auto"/>
            <w:noWrap/>
            <w:vAlign w:val="center"/>
            <w:hideMark/>
          </w:tcPr>
          <w:p w:rsidR="00685BE5" w:rsidRPr="00C41FC1" w:rsidRDefault="00685BE5" w:rsidP="0096484D">
            <w:pPr>
              <w:spacing w:before="20" w:after="20"/>
              <w:ind w:right="284"/>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29.8</w:t>
            </w:r>
          </w:p>
        </w:tc>
      </w:tr>
      <w:tr w:rsidR="00685BE5" w:rsidRPr="00C41FC1" w:rsidTr="00AE4C3A">
        <w:tc>
          <w:tcPr>
            <w:tcW w:w="1858" w:type="dxa"/>
            <w:tcBorders>
              <w:top w:val="nil"/>
              <w:left w:val="nil"/>
              <w:bottom w:val="nil"/>
              <w:right w:val="nil"/>
            </w:tcBorders>
            <w:shd w:val="clear" w:color="auto" w:fill="auto"/>
            <w:noWrap/>
            <w:vAlign w:val="center"/>
            <w:hideMark/>
          </w:tcPr>
          <w:p w:rsidR="00685BE5" w:rsidRPr="00C41FC1" w:rsidRDefault="00685BE5" w:rsidP="00AE4C3A">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55-64</w:t>
            </w:r>
          </w:p>
        </w:tc>
        <w:tc>
          <w:tcPr>
            <w:tcW w:w="1276" w:type="dxa"/>
            <w:tcBorders>
              <w:top w:val="nil"/>
              <w:left w:val="nil"/>
              <w:bottom w:val="nil"/>
              <w:right w:val="nil"/>
            </w:tcBorders>
            <w:shd w:val="clear" w:color="auto" w:fill="auto"/>
            <w:noWrap/>
            <w:vAlign w:val="center"/>
            <w:hideMark/>
          </w:tcPr>
          <w:p w:rsidR="00685BE5" w:rsidRPr="00C41FC1" w:rsidRDefault="00685BE5" w:rsidP="0096484D">
            <w:pPr>
              <w:spacing w:before="20" w:after="20"/>
              <w:ind w:right="284"/>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15.8</w:t>
            </w:r>
          </w:p>
        </w:tc>
      </w:tr>
      <w:tr w:rsidR="00685BE5" w:rsidRPr="00C41FC1" w:rsidTr="00AE4C3A">
        <w:tc>
          <w:tcPr>
            <w:tcW w:w="1858" w:type="dxa"/>
            <w:tcBorders>
              <w:top w:val="nil"/>
              <w:left w:val="nil"/>
              <w:bottom w:val="single" w:sz="4" w:space="0" w:color="auto"/>
              <w:right w:val="nil"/>
            </w:tcBorders>
            <w:shd w:val="clear" w:color="auto" w:fill="auto"/>
            <w:noWrap/>
            <w:vAlign w:val="center"/>
            <w:hideMark/>
          </w:tcPr>
          <w:p w:rsidR="00685BE5" w:rsidRPr="00C41FC1" w:rsidRDefault="00685BE5" w:rsidP="00AE4C3A">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65 or above</w:t>
            </w:r>
          </w:p>
        </w:tc>
        <w:tc>
          <w:tcPr>
            <w:tcW w:w="1276" w:type="dxa"/>
            <w:tcBorders>
              <w:top w:val="nil"/>
              <w:left w:val="nil"/>
              <w:bottom w:val="single" w:sz="4" w:space="0" w:color="auto"/>
              <w:right w:val="nil"/>
            </w:tcBorders>
            <w:shd w:val="clear" w:color="auto" w:fill="auto"/>
            <w:noWrap/>
            <w:vAlign w:val="center"/>
            <w:hideMark/>
          </w:tcPr>
          <w:p w:rsidR="00685BE5" w:rsidRPr="00C41FC1" w:rsidRDefault="00685BE5" w:rsidP="0096484D">
            <w:pPr>
              <w:spacing w:before="20" w:after="20"/>
              <w:ind w:right="284"/>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2.6</w:t>
            </w:r>
          </w:p>
        </w:tc>
      </w:tr>
      <w:tr w:rsidR="00685BE5" w:rsidRPr="00C41FC1" w:rsidTr="00AE4C3A">
        <w:tc>
          <w:tcPr>
            <w:tcW w:w="1858" w:type="dxa"/>
            <w:tcBorders>
              <w:top w:val="single" w:sz="4" w:space="0" w:color="auto"/>
              <w:left w:val="nil"/>
              <w:bottom w:val="single" w:sz="4" w:space="0" w:color="auto"/>
              <w:right w:val="nil"/>
            </w:tcBorders>
            <w:shd w:val="clear" w:color="auto" w:fill="auto"/>
            <w:noWrap/>
            <w:vAlign w:val="center"/>
            <w:hideMark/>
          </w:tcPr>
          <w:p w:rsidR="00685BE5" w:rsidRPr="00C41FC1" w:rsidRDefault="00685BE5" w:rsidP="00AE4C3A">
            <w:pPr>
              <w:spacing w:before="20" w:after="20"/>
              <w:rPr>
                <w:rFonts w:ascii="Calibri" w:eastAsia="Times New Roman" w:hAnsi="Calibri" w:cs="Calibri"/>
                <w:b/>
                <w:color w:val="000000"/>
                <w:sz w:val="20"/>
                <w:szCs w:val="20"/>
                <w:lang w:eastAsia="zh-CN"/>
              </w:rPr>
            </w:pPr>
            <w:r w:rsidRPr="00C41FC1">
              <w:rPr>
                <w:rFonts w:ascii="Calibri" w:eastAsia="Times New Roman" w:hAnsi="Calibri" w:cs="Calibri"/>
                <w:b/>
                <w:color w:val="000000"/>
                <w:sz w:val="20"/>
                <w:szCs w:val="20"/>
                <w:lang w:eastAsia="zh-CN"/>
              </w:rPr>
              <w:t>Total (N=272)</w:t>
            </w:r>
          </w:p>
        </w:tc>
        <w:tc>
          <w:tcPr>
            <w:tcW w:w="1276" w:type="dxa"/>
            <w:tcBorders>
              <w:top w:val="single" w:sz="4" w:space="0" w:color="auto"/>
              <w:left w:val="nil"/>
              <w:bottom w:val="single" w:sz="4" w:space="0" w:color="auto"/>
              <w:right w:val="nil"/>
            </w:tcBorders>
            <w:shd w:val="clear" w:color="auto" w:fill="auto"/>
            <w:noWrap/>
            <w:vAlign w:val="center"/>
            <w:hideMark/>
          </w:tcPr>
          <w:p w:rsidR="00685BE5" w:rsidRPr="00C41FC1" w:rsidRDefault="00685BE5" w:rsidP="0096484D">
            <w:pPr>
              <w:spacing w:before="20" w:after="20"/>
              <w:ind w:right="284"/>
              <w:jc w:val="right"/>
              <w:rPr>
                <w:rFonts w:ascii="Calibri" w:eastAsia="Times New Roman" w:hAnsi="Calibri" w:cs="Calibri"/>
                <w:b/>
                <w:color w:val="000000"/>
                <w:sz w:val="20"/>
                <w:szCs w:val="20"/>
                <w:lang w:eastAsia="zh-CN"/>
              </w:rPr>
            </w:pPr>
            <w:r w:rsidRPr="00C41FC1">
              <w:rPr>
                <w:rFonts w:ascii="Calibri" w:eastAsia="Times New Roman" w:hAnsi="Calibri" w:cs="Calibri"/>
                <w:b/>
                <w:color w:val="000000"/>
                <w:sz w:val="20"/>
                <w:szCs w:val="20"/>
                <w:lang w:eastAsia="zh-CN"/>
              </w:rPr>
              <w:t>100</w:t>
            </w:r>
          </w:p>
        </w:tc>
      </w:tr>
      <w:tr w:rsidR="00685BE5" w:rsidRPr="00C41FC1" w:rsidTr="00AE4C3A">
        <w:tc>
          <w:tcPr>
            <w:tcW w:w="1858" w:type="dxa"/>
            <w:tcBorders>
              <w:top w:val="single" w:sz="4" w:space="0" w:color="auto"/>
              <w:left w:val="nil"/>
              <w:bottom w:val="single" w:sz="4" w:space="0" w:color="auto"/>
              <w:right w:val="nil"/>
            </w:tcBorders>
            <w:shd w:val="clear" w:color="auto" w:fill="auto"/>
            <w:noWrap/>
            <w:vAlign w:val="center"/>
          </w:tcPr>
          <w:p w:rsidR="00685BE5" w:rsidRPr="00C41FC1" w:rsidRDefault="00685BE5" w:rsidP="00AE4C3A">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Median</w:t>
            </w:r>
            <w:r w:rsidR="004B44E7">
              <w:rPr>
                <w:rFonts w:ascii="Calibri" w:eastAsia="Times New Roman" w:hAnsi="Calibri" w:cs="Calibri"/>
                <w:color w:val="000000"/>
                <w:sz w:val="20"/>
                <w:szCs w:val="20"/>
                <w:lang w:eastAsia="zh-CN"/>
              </w:rPr>
              <w:t xml:space="preserve"> (years)</w:t>
            </w:r>
          </w:p>
        </w:tc>
        <w:tc>
          <w:tcPr>
            <w:tcW w:w="1276" w:type="dxa"/>
            <w:tcBorders>
              <w:top w:val="single" w:sz="4" w:space="0" w:color="auto"/>
              <w:left w:val="nil"/>
              <w:bottom w:val="single" w:sz="4" w:space="0" w:color="auto"/>
              <w:right w:val="nil"/>
            </w:tcBorders>
            <w:shd w:val="clear" w:color="auto" w:fill="auto"/>
            <w:noWrap/>
            <w:vAlign w:val="center"/>
          </w:tcPr>
          <w:p w:rsidR="00685BE5" w:rsidRPr="00C41FC1" w:rsidRDefault="00685BE5" w:rsidP="0096484D">
            <w:pPr>
              <w:spacing w:before="20" w:after="20"/>
              <w:ind w:right="284"/>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44</w:t>
            </w:r>
          </w:p>
        </w:tc>
      </w:tr>
    </w:tbl>
    <w:p w:rsidR="00685BE5" w:rsidRDefault="00685BE5" w:rsidP="00AE4C3A">
      <w:pPr>
        <w:pStyle w:val="NILSReference"/>
        <w:rPr>
          <w:rFonts w:eastAsia="SimHei"/>
        </w:rPr>
      </w:pPr>
      <w:r>
        <w:rPr>
          <w:rFonts w:eastAsia="SimHei"/>
        </w:rPr>
        <w:t xml:space="preserve">Source: </w:t>
      </w:r>
      <w:r w:rsidRPr="00AB33E3">
        <w:rPr>
          <w:rFonts w:eastAsia="SimHei"/>
        </w:rPr>
        <w:t>2014 NDIS self-employed DSP survey</w:t>
      </w:r>
      <w:r>
        <w:rPr>
          <w:rFonts w:eastAsia="SimHei"/>
        </w:rPr>
        <w:t>, Question A2</w:t>
      </w:r>
      <w:r w:rsidRPr="00AB33E3">
        <w:rPr>
          <w:rFonts w:eastAsia="SimHei"/>
        </w:rPr>
        <w:t>.</w:t>
      </w:r>
    </w:p>
    <w:p w:rsidR="00685BE5" w:rsidRDefault="00685BE5" w:rsidP="00AE4C3A">
      <w:pPr>
        <w:rPr>
          <w:rFonts w:ascii="Calibri" w:eastAsia="SimHei" w:hAnsi="Calibri" w:cs="Calibri"/>
          <w:b/>
        </w:rPr>
      </w:pPr>
    </w:p>
    <w:p w:rsidR="00301C30" w:rsidRDefault="00301C30">
      <w:pPr>
        <w:rPr>
          <w:rFonts w:ascii="Calibri" w:eastAsia="Times New Roman" w:hAnsi="Calibri" w:cs="Calibri"/>
          <w:bCs/>
          <w:color w:val="000000"/>
          <w:lang w:eastAsia="zh-CN"/>
        </w:rPr>
      </w:pPr>
      <w:r>
        <w:rPr>
          <w:rFonts w:ascii="Calibri" w:eastAsia="Times New Roman" w:hAnsi="Calibri" w:cs="Calibri"/>
          <w:bCs/>
          <w:color w:val="000000"/>
          <w:lang w:eastAsia="zh-CN"/>
        </w:rPr>
        <w:br w:type="page"/>
      </w:r>
    </w:p>
    <w:p w:rsidR="00685BE5" w:rsidRDefault="00685BE5" w:rsidP="00AE4C3A">
      <w:pPr>
        <w:rPr>
          <w:rFonts w:ascii="Calibri" w:eastAsia="Times New Roman" w:hAnsi="Calibri" w:cs="Calibri"/>
          <w:bCs/>
          <w:color w:val="000000"/>
          <w:lang w:eastAsia="zh-CN"/>
        </w:rPr>
      </w:pPr>
      <w:r w:rsidRPr="00AB33E3">
        <w:rPr>
          <w:rFonts w:ascii="Calibri" w:eastAsia="Times New Roman" w:hAnsi="Calibri" w:cs="Calibri"/>
          <w:bCs/>
          <w:color w:val="000000"/>
          <w:lang w:eastAsia="zh-CN"/>
        </w:rPr>
        <w:lastRenderedPageBreak/>
        <w:t xml:space="preserve">The vast majority of self-employed providers (80 per cent) </w:t>
      </w:r>
      <w:r>
        <w:rPr>
          <w:rFonts w:ascii="Calibri" w:eastAsia="Times New Roman" w:hAnsi="Calibri" w:cs="Calibri"/>
          <w:bCs/>
          <w:color w:val="000000"/>
          <w:lang w:eastAsia="zh-CN"/>
        </w:rPr>
        <w:t>we</w:t>
      </w:r>
      <w:r w:rsidRPr="00AB33E3">
        <w:rPr>
          <w:rFonts w:ascii="Calibri" w:eastAsia="Times New Roman" w:hAnsi="Calibri" w:cs="Calibri"/>
          <w:bCs/>
          <w:color w:val="000000"/>
          <w:lang w:eastAsia="zh-CN"/>
        </w:rPr>
        <w:t xml:space="preserve">re Australian born (Table </w:t>
      </w:r>
      <w:r>
        <w:rPr>
          <w:rFonts w:ascii="Calibri" w:eastAsia="Times New Roman" w:hAnsi="Calibri" w:cs="Calibri"/>
          <w:bCs/>
          <w:color w:val="000000"/>
          <w:lang w:eastAsia="zh-CN"/>
        </w:rPr>
        <w:t>4.49</w:t>
      </w:r>
      <w:r w:rsidRPr="00AB33E3">
        <w:rPr>
          <w:rFonts w:ascii="Calibri" w:eastAsia="Times New Roman" w:hAnsi="Calibri" w:cs="Calibri"/>
          <w:bCs/>
          <w:color w:val="000000"/>
          <w:lang w:eastAsia="zh-CN"/>
        </w:rPr>
        <w:t xml:space="preserve">). Among those who were born overseas, most </w:t>
      </w:r>
      <w:r>
        <w:rPr>
          <w:rFonts w:ascii="Calibri" w:eastAsia="Times New Roman" w:hAnsi="Calibri" w:cs="Calibri"/>
          <w:bCs/>
          <w:color w:val="000000"/>
          <w:lang w:eastAsia="zh-CN"/>
        </w:rPr>
        <w:t>we</w:t>
      </w:r>
      <w:r w:rsidRPr="00AB33E3">
        <w:rPr>
          <w:rFonts w:ascii="Calibri" w:eastAsia="Times New Roman" w:hAnsi="Calibri" w:cs="Calibri"/>
          <w:bCs/>
          <w:color w:val="000000"/>
          <w:lang w:eastAsia="zh-CN"/>
        </w:rPr>
        <w:t xml:space="preserve">re from English speaking countries. The patterns for country of birth are similar to that for employees. Even more than employees, the self-employed </w:t>
      </w:r>
      <w:r>
        <w:rPr>
          <w:rFonts w:ascii="Calibri" w:eastAsia="Times New Roman" w:hAnsi="Calibri" w:cs="Calibri"/>
          <w:bCs/>
          <w:color w:val="000000"/>
          <w:lang w:eastAsia="zh-CN"/>
        </w:rPr>
        <w:t>we</w:t>
      </w:r>
      <w:r w:rsidRPr="00AB33E3">
        <w:rPr>
          <w:rFonts w:ascii="Calibri" w:eastAsia="Times New Roman" w:hAnsi="Calibri" w:cs="Calibri"/>
          <w:bCs/>
          <w:color w:val="000000"/>
          <w:lang w:eastAsia="zh-CN"/>
        </w:rPr>
        <w:t>re native born or if migrants, ha</w:t>
      </w:r>
      <w:r>
        <w:rPr>
          <w:rFonts w:ascii="Calibri" w:eastAsia="Times New Roman" w:hAnsi="Calibri" w:cs="Calibri"/>
          <w:bCs/>
          <w:color w:val="000000"/>
          <w:lang w:eastAsia="zh-CN"/>
        </w:rPr>
        <w:t>d</w:t>
      </w:r>
      <w:r w:rsidRPr="00AB33E3">
        <w:rPr>
          <w:rFonts w:ascii="Calibri" w:eastAsia="Times New Roman" w:hAnsi="Calibri" w:cs="Calibri"/>
          <w:bCs/>
          <w:color w:val="000000"/>
          <w:lang w:eastAsia="zh-CN"/>
        </w:rPr>
        <w:t xml:space="preserve"> been in Australia a long time; this </w:t>
      </w:r>
      <w:r>
        <w:rPr>
          <w:rFonts w:ascii="Calibri" w:eastAsia="Times New Roman" w:hAnsi="Calibri" w:cs="Calibri"/>
          <w:bCs/>
          <w:color w:val="000000"/>
          <w:lang w:eastAsia="zh-CN"/>
        </w:rPr>
        <w:t>wa</w:t>
      </w:r>
      <w:r w:rsidRPr="00AB33E3">
        <w:rPr>
          <w:rFonts w:ascii="Calibri" w:eastAsia="Times New Roman" w:hAnsi="Calibri" w:cs="Calibri"/>
          <w:bCs/>
          <w:color w:val="000000"/>
          <w:lang w:eastAsia="zh-CN"/>
        </w:rPr>
        <w:t xml:space="preserve">s not a workforce that draws on recent migrants. </w:t>
      </w:r>
      <w:r>
        <w:rPr>
          <w:rFonts w:ascii="Calibri" w:eastAsia="Times New Roman" w:hAnsi="Calibri" w:cs="Calibri"/>
          <w:bCs/>
          <w:color w:val="000000"/>
          <w:lang w:eastAsia="zh-CN"/>
        </w:rPr>
        <w:t>V</w:t>
      </w:r>
      <w:r w:rsidRPr="00AB33E3">
        <w:rPr>
          <w:rFonts w:ascii="Calibri" w:eastAsia="Times New Roman" w:hAnsi="Calibri" w:cs="Calibri"/>
          <w:bCs/>
          <w:color w:val="000000"/>
          <w:lang w:eastAsia="zh-CN"/>
        </w:rPr>
        <w:t xml:space="preserve">irtually all </w:t>
      </w:r>
      <w:r>
        <w:rPr>
          <w:rFonts w:ascii="Calibri" w:eastAsia="Times New Roman" w:hAnsi="Calibri" w:cs="Calibri"/>
          <w:bCs/>
          <w:color w:val="000000"/>
          <w:lang w:eastAsia="zh-CN"/>
        </w:rPr>
        <w:t>reported</w:t>
      </w:r>
      <w:r w:rsidRPr="00AB33E3">
        <w:rPr>
          <w:rFonts w:ascii="Calibri" w:eastAsia="Times New Roman" w:hAnsi="Calibri" w:cs="Calibri"/>
          <w:bCs/>
          <w:color w:val="000000"/>
          <w:lang w:eastAsia="zh-CN"/>
        </w:rPr>
        <w:t xml:space="preserve"> very good English language skills</w:t>
      </w:r>
      <w:r>
        <w:rPr>
          <w:rFonts w:ascii="Calibri" w:eastAsia="Times New Roman" w:hAnsi="Calibri" w:cs="Calibri"/>
          <w:bCs/>
          <w:color w:val="000000"/>
          <w:lang w:eastAsia="zh-CN"/>
        </w:rPr>
        <w:t xml:space="preserve"> (Table not shown)</w:t>
      </w:r>
      <w:r w:rsidRPr="00AB33E3">
        <w:rPr>
          <w:rFonts w:ascii="Calibri" w:eastAsia="Times New Roman" w:hAnsi="Calibri" w:cs="Calibri"/>
          <w:bCs/>
          <w:color w:val="000000"/>
          <w:lang w:eastAsia="zh-CN"/>
        </w:rPr>
        <w:t>.</w:t>
      </w:r>
    </w:p>
    <w:p w:rsidR="00685BE5" w:rsidRPr="00AB33E3" w:rsidRDefault="00685BE5" w:rsidP="0044684E">
      <w:pPr>
        <w:pStyle w:val="NILSTableHeading"/>
      </w:pPr>
      <w:bookmarkStart w:id="707" w:name="_Toc428279256"/>
      <w:bookmarkStart w:id="708" w:name="_Toc449955387"/>
      <w:r w:rsidRPr="00AB33E3">
        <w:t xml:space="preserve">Table </w:t>
      </w:r>
      <w:r>
        <w:t>4.49</w:t>
      </w:r>
      <w:r w:rsidRPr="00AB33E3">
        <w:t>: Country of birth self-employed providers of disability care and supports</w:t>
      </w:r>
      <w:bookmarkEnd w:id="707"/>
      <w:bookmarkEnd w:id="708"/>
    </w:p>
    <w:tbl>
      <w:tblPr>
        <w:tblW w:w="0" w:type="auto"/>
        <w:tblInd w:w="108" w:type="dxa"/>
        <w:tblLook w:val="04A0" w:firstRow="1" w:lastRow="0" w:firstColumn="1" w:lastColumn="0" w:noHBand="0" w:noVBand="1"/>
        <w:tblCaption w:val="This table shows the country of birth self-employed providers of disability care and supports"/>
      </w:tblPr>
      <w:tblGrid>
        <w:gridCol w:w="1701"/>
        <w:gridCol w:w="1348"/>
      </w:tblGrid>
      <w:tr w:rsidR="00685BE5" w:rsidRPr="00C41FC1" w:rsidTr="00F10536">
        <w:trPr>
          <w:tblHeader/>
        </w:trPr>
        <w:tc>
          <w:tcPr>
            <w:tcW w:w="1701" w:type="dxa"/>
            <w:tcBorders>
              <w:top w:val="single" w:sz="4" w:space="0" w:color="auto"/>
              <w:left w:val="nil"/>
              <w:bottom w:val="single" w:sz="4" w:space="0" w:color="auto"/>
              <w:right w:val="nil"/>
            </w:tcBorders>
            <w:noWrap/>
            <w:vAlign w:val="center"/>
          </w:tcPr>
          <w:p w:rsidR="00685BE5" w:rsidRPr="00C41FC1" w:rsidRDefault="00685BE5" w:rsidP="00AE4C3A">
            <w:pPr>
              <w:spacing w:before="100" w:beforeAutospacing="1" w:after="100" w:afterAutospacing="1" w:line="276" w:lineRule="auto"/>
              <w:rPr>
                <w:rFonts w:ascii="Calibri" w:eastAsia="Calibri" w:hAnsi="Calibri" w:cs="Calibri"/>
                <w:bCs/>
                <w:color w:val="000000"/>
                <w:sz w:val="20"/>
                <w:szCs w:val="20"/>
                <w:lang w:eastAsia="zh-CN"/>
              </w:rPr>
            </w:pPr>
            <w:bookmarkStart w:id="709" w:name="Title_4_49"/>
            <w:bookmarkEnd w:id="709"/>
          </w:p>
        </w:tc>
        <w:tc>
          <w:tcPr>
            <w:tcW w:w="1348" w:type="dxa"/>
            <w:tcBorders>
              <w:top w:val="single" w:sz="4" w:space="0" w:color="auto"/>
              <w:left w:val="nil"/>
              <w:bottom w:val="single" w:sz="4" w:space="0" w:color="auto"/>
              <w:right w:val="nil"/>
            </w:tcBorders>
            <w:noWrap/>
            <w:vAlign w:val="center"/>
            <w:hideMark/>
          </w:tcPr>
          <w:p w:rsidR="00685BE5" w:rsidRPr="00F10536" w:rsidRDefault="0096484D" w:rsidP="00F10536">
            <w:pPr>
              <w:spacing w:before="100" w:beforeAutospacing="1" w:after="100" w:afterAutospacing="1"/>
              <w:jc w:val="center"/>
              <w:rPr>
                <w:rFonts w:ascii="Calibri" w:eastAsia="Times New Roman" w:hAnsi="Calibri" w:cs="Calibri"/>
                <w:bCs/>
                <w:color w:val="000000"/>
                <w:sz w:val="20"/>
                <w:szCs w:val="20"/>
                <w:lang w:eastAsia="zh-CN"/>
              </w:rPr>
            </w:pPr>
            <w:r w:rsidRPr="00F10536">
              <w:rPr>
                <w:rFonts w:ascii="Calibri" w:eastAsia="Times New Roman" w:hAnsi="Calibri" w:cs="Calibri"/>
                <w:bCs/>
                <w:color w:val="000000"/>
                <w:sz w:val="20"/>
                <w:szCs w:val="20"/>
                <w:lang w:eastAsia="zh-CN"/>
              </w:rPr>
              <w:t>%</w:t>
            </w:r>
          </w:p>
        </w:tc>
      </w:tr>
      <w:tr w:rsidR="00685BE5" w:rsidRPr="00C41FC1" w:rsidTr="0096484D">
        <w:tc>
          <w:tcPr>
            <w:tcW w:w="1701" w:type="dxa"/>
            <w:noWrap/>
            <w:vAlign w:val="center"/>
            <w:hideMark/>
          </w:tcPr>
          <w:p w:rsidR="00685BE5" w:rsidRPr="00C41FC1" w:rsidRDefault="00685BE5" w:rsidP="00AE4C3A">
            <w:pPr>
              <w:spacing w:before="100" w:beforeAutospacing="1" w:after="100" w:afterAutospacing="1" w:line="276" w:lineRule="auto"/>
              <w:rPr>
                <w:rFonts w:ascii="Calibri" w:eastAsia="Calibri" w:hAnsi="Calibri" w:cs="Calibri"/>
                <w:color w:val="000000"/>
                <w:sz w:val="20"/>
                <w:szCs w:val="20"/>
                <w:lang w:eastAsia="zh-CN"/>
              </w:rPr>
            </w:pPr>
            <w:r w:rsidRPr="00C41FC1">
              <w:rPr>
                <w:rFonts w:ascii="Calibri" w:eastAsia="Calibri" w:hAnsi="Calibri" w:cs="Calibri"/>
                <w:color w:val="000000"/>
                <w:sz w:val="20"/>
                <w:szCs w:val="20"/>
              </w:rPr>
              <w:t>Australia</w:t>
            </w:r>
          </w:p>
        </w:tc>
        <w:tc>
          <w:tcPr>
            <w:tcW w:w="1348" w:type="dxa"/>
            <w:noWrap/>
            <w:vAlign w:val="bottom"/>
            <w:hideMark/>
          </w:tcPr>
          <w:p w:rsidR="00685BE5" w:rsidRPr="00C41FC1" w:rsidRDefault="00685BE5" w:rsidP="00AE4C3A">
            <w:pPr>
              <w:spacing w:before="100" w:beforeAutospacing="1" w:after="100" w:afterAutospacing="1" w:line="276" w:lineRule="auto"/>
              <w:ind w:right="317"/>
              <w:jc w:val="right"/>
              <w:rPr>
                <w:rFonts w:ascii="Calibri" w:eastAsia="Calibri" w:hAnsi="Calibri" w:cs="Calibri"/>
                <w:color w:val="000000"/>
                <w:sz w:val="20"/>
                <w:szCs w:val="20"/>
                <w:lang w:eastAsia="zh-CN"/>
              </w:rPr>
            </w:pPr>
            <w:r w:rsidRPr="00C41FC1">
              <w:rPr>
                <w:rFonts w:ascii="Calibri" w:eastAsia="Calibri" w:hAnsi="Calibri" w:cs="Calibri"/>
                <w:color w:val="000000"/>
                <w:sz w:val="20"/>
                <w:szCs w:val="20"/>
              </w:rPr>
              <w:t>80.1</w:t>
            </w:r>
          </w:p>
        </w:tc>
      </w:tr>
      <w:tr w:rsidR="00685BE5" w:rsidRPr="00C41FC1" w:rsidTr="0096484D">
        <w:tc>
          <w:tcPr>
            <w:tcW w:w="1701" w:type="dxa"/>
            <w:noWrap/>
            <w:vAlign w:val="bottom"/>
            <w:hideMark/>
          </w:tcPr>
          <w:p w:rsidR="00685BE5" w:rsidRPr="00C41FC1" w:rsidRDefault="00685BE5" w:rsidP="00AE4C3A">
            <w:pPr>
              <w:spacing w:before="100" w:beforeAutospacing="1" w:after="100" w:afterAutospacing="1" w:line="276" w:lineRule="auto"/>
              <w:rPr>
                <w:rFonts w:ascii="Calibri" w:eastAsia="Calibri" w:hAnsi="Calibri" w:cs="Calibri"/>
                <w:color w:val="000000"/>
                <w:sz w:val="20"/>
                <w:szCs w:val="20"/>
                <w:lang w:eastAsia="zh-CN"/>
              </w:rPr>
            </w:pPr>
            <w:r w:rsidRPr="00C41FC1">
              <w:rPr>
                <w:rFonts w:ascii="Calibri" w:eastAsia="Calibri" w:hAnsi="Calibri" w:cs="Calibri"/>
                <w:color w:val="000000"/>
                <w:sz w:val="20"/>
                <w:szCs w:val="20"/>
              </w:rPr>
              <w:t>UK</w:t>
            </w:r>
          </w:p>
        </w:tc>
        <w:tc>
          <w:tcPr>
            <w:tcW w:w="1348" w:type="dxa"/>
            <w:noWrap/>
            <w:vAlign w:val="bottom"/>
            <w:hideMark/>
          </w:tcPr>
          <w:p w:rsidR="00685BE5" w:rsidRPr="00C41FC1" w:rsidRDefault="00685BE5" w:rsidP="00AE4C3A">
            <w:pPr>
              <w:spacing w:before="100" w:beforeAutospacing="1" w:after="100" w:afterAutospacing="1" w:line="276" w:lineRule="auto"/>
              <w:ind w:right="317"/>
              <w:jc w:val="right"/>
              <w:rPr>
                <w:rFonts w:ascii="Calibri" w:eastAsia="Calibri" w:hAnsi="Calibri" w:cs="Calibri"/>
                <w:color w:val="000000"/>
                <w:sz w:val="20"/>
                <w:szCs w:val="20"/>
                <w:lang w:eastAsia="zh-CN"/>
              </w:rPr>
            </w:pPr>
            <w:r w:rsidRPr="00C41FC1">
              <w:rPr>
                <w:rFonts w:ascii="Calibri" w:eastAsia="Calibri" w:hAnsi="Calibri" w:cs="Calibri"/>
                <w:color w:val="000000"/>
                <w:sz w:val="20"/>
                <w:szCs w:val="20"/>
              </w:rPr>
              <w:t>5.5</w:t>
            </w:r>
          </w:p>
        </w:tc>
      </w:tr>
      <w:tr w:rsidR="00685BE5" w:rsidRPr="00C41FC1" w:rsidTr="0096484D">
        <w:tc>
          <w:tcPr>
            <w:tcW w:w="1701" w:type="dxa"/>
            <w:noWrap/>
            <w:vAlign w:val="bottom"/>
            <w:hideMark/>
          </w:tcPr>
          <w:p w:rsidR="00685BE5" w:rsidRPr="00C41FC1" w:rsidRDefault="00685BE5" w:rsidP="00AE4C3A">
            <w:pPr>
              <w:spacing w:before="100" w:beforeAutospacing="1" w:after="100" w:afterAutospacing="1" w:line="276" w:lineRule="auto"/>
              <w:rPr>
                <w:rFonts w:ascii="Calibri" w:eastAsia="Calibri" w:hAnsi="Calibri" w:cs="Calibri"/>
                <w:color w:val="000000"/>
                <w:sz w:val="20"/>
                <w:szCs w:val="20"/>
                <w:lang w:eastAsia="zh-CN"/>
              </w:rPr>
            </w:pPr>
            <w:r w:rsidRPr="00C41FC1">
              <w:rPr>
                <w:rFonts w:ascii="Calibri" w:eastAsia="Calibri" w:hAnsi="Calibri" w:cs="Calibri"/>
                <w:color w:val="000000"/>
                <w:sz w:val="20"/>
                <w:szCs w:val="20"/>
              </w:rPr>
              <w:t>South Africa</w:t>
            </w:r>
          </w:p>
        </w:tc>
        <w:tc>
          <w:tcPr>
            <w:tcW w:w="1348" w:type="dxa"/>
            <w:noWrap/>
            <w:vAlign w:val="bottom"/>
            <w:hideMark/>
          </w:tcPr>
          <w:p w:rsidR="00685BE5" w:rsidRPr="00C41FC1" w:rsidRDefault="00685BE5" w:rsidP="00AE4C3A">
            <w:pPr>
              <w:spacing w:before="100" w:beforeAutospacing="1" w:after="100" w:afterAutospacing="1" w:line="276" w:lineRule="auto"/>
              <w:ind w:right="317"/>
              <w:jc w:val="right"/>
              <w:rPr>
                <w:rFonts w:ascii="Calibri" w:eastAsia="Calibri" w:hAnsi="Calibri" w:cs="Calibri"/>
                <w:color w:val="000000"/>
                <w:sz w:val="20"/>
                <w:szCs w:val="20"/>
                <w:lang w:eastAsia="zh-CN"/>
              </w:rPr>
            </w:pPr>
            <w:r w:rsidRPr="00C41FC1">
              <w:rPr>
                <w:rFonts w:ascii="Calibri" w:eastAsia="Calibri" w:hAnsi="Calibri" w:cs="Calibri"/>
                <w:color w:val="000000"/>
                <w:sz w:val="20"/>
                <w:szCs w:val="20"/>
              </w:rPr>
              <w:t>2.6</w:t>
            </w:r>
          </w:p>
        </w:tc>
      </w:tr>
      <w:tr w:rsidR="00685BE5" w:rsidRPr="00C41FC1" w:rsidTr="0096484D">
        <w:tc>
          <w:tcPr>
            <w:tcW w:w="1701" w:type="dxa"/>
            <w:noWrap/>
            <w:vAlign w:val="bottom"/>
            <w:hideMark/>
          </w:tcPr>
          <w:p w:rsidR="00685BE5" w:rsidRPr="00C41FC1" w:rsidRDefault="00685BE5" w:rsidP="00AE4C3A">
            <w:pPr>
              <w:spacing w:before="100" w:beforeAutospacing="1" w:after="100" w:afterAutospacing="1" w:line="276" w:lineRule="auto"/>
              <w:rPr>
                <w:rFonts w:ascii="Calibri" w:eastAsia="Calibri" w:hAnsi="Calibri" w:cs="Calibri"/>
                <w:color w:val="000000"/>
                <w:sz w:val="20"/>
                <w:szCs w:val="20"/>
                <w:lang w:eastAsia="zh-CN"/>
              </w:rPr>
            </w:pPr>
            <w:r w:rsidRPr="00C41FC1">
              <w:rPr>
                <w:rFonts w:ascii="Calibri" w:eastAsia="Calibri" w:hAnsi="Calibri" w:cs="Calibri"/>
                <w:color w:val="000000"/>
                <w:sz w:val="20"/>
                <w:szCs w:val="20"/>
              </w:rPr>
              <w:t>New Zealand</w:t>
            </w:r>
          </w:p>
        </w:tc>
        <w:tc>
          <w:tcPr>
            <w:tcW w:w="1348" w:type="dxa"/>
            <w:noWrap/>
            <w:vAlign w:val="bottom"/>
            <w:hideMark/>
          </w:tcPr>
          <w:p w:rsidR="00685BE5" w:rsidRPr="00C41FC1" w:rsidRDefault="00685BE5" w:rsidP="00AE4C3A">
            <w:pPr>
              <w:spacing w:before="100" w:beforeAutospacing="1" w:after="100" w:afterAutospacing="1" w:line="276" w:lineRule="auto"/>
              <w:ind w:right="317"/>
              <w:jc w:val="right"/>
              <w:rPr>
                <w:rFonts w:ascii="Calibri" w:eastAsia="Calibri" w:hAnsi="Calibri" w:cs="Calibri"/>
                <w:color w:val="000000"/>
                <w:sz w:val="20"/>
                <w:szCs w:val="20"/>
                <w:lang w:eastAsia="zh-CN"/>
              </w:rPr>
            </w:pPr>
            <w:r w:rsidRPr="00C41FC1">
              <w:rPr>
                <w:rFonts w:ascii="Calibri" w:eastAsia="Calibri" w:hAnsi="Calibri" w:cs="Calibri"/>
                <w:color w:val="000000"/>
                <w:sz w:val="20"/>
                <w:szCs w:val="20"/>
              </w:rPr>
              <w:t>1.8</w:t>
            </w:r>
          </w:p>
        </w:tc>
      </w:tr>
      <w:tr w:rsidR="00685BE5" w:rsidRPr="00C41FC1" w:rsidTr="0096484D">
        <w:tc>
          <w:tcPr>
            <w:tcW w:w="1701" w:type="dxa"/>
            <w:tcBorders>
              <w:bottom w:val="single" w:sz="4" w:space="0" w:color="auto"/>
            </w:tcBorders>
            <w:noWrap/>
            <w:vAlign w:val="center"/>
            <w:hideMark/>
          </w:tcPr>
          <w:p w:rsidR="00685BE5" w:rsidRPr="00C41FC1" w:rsidRDefault="00685BE5" w:rsidP="00AE4C3A">
            <w:pPr>
              <w:spacing w:before="100" w:beforeAutospacing="1" w:after="100" w:afterAutospacing="1" w:line="276" w:lineRule="auto"/>
              <w:rPr>
                <w:rFonts w:ascii="Calibri" w:eastAsia="Calibri" w:hAnsi="Calibri" w:cs="Calibri"/>
                <w:color w:val="000000"/>
                <w:sz w:val="20"/>
                <w:szCs w:val="20"/>
                <w:lang w:eastAsia="zh-CN"/>
              </w:rPr>
            </w:pPr>
            <w:r w:rsidRPr="00C41FC1">
              <w:rPr>
                <w:rFonts w:ascii="Calibri" w:eastAsia="Calibri" w:hAnsi="Calibri" w:cs="Calibri"/>
                <w:color w:val="000000"/>
                <w:sz w:val="20"/>
                <w:szCs w:val="20"/>
              </w:rPr>
              <w:t>Other</w:t>
            </w:r>
          </w:p>
        </w:tc>
        <w:tc>
          <w:tcPr>
            <w:tcW w:w="1348" w:type="dxa"/>
            <w:tcBorders>
              <w:bottom w:val="single" w:sz="4" w:space="0" w:color="auto"/>
            </w:tcBorders>
            <w:noWrap/>
            <w:vAlign w:val="bottom"/>
            <w:hideMark/>
          </w:tcPr>
          <w:p w:rsidR="00685BE5" w:rsidRPr="00C41FC1" w:rsidRDefault="00685BE5" w:rsidP="00AE4C3A">
            <w:pPr>
              <w:spacing w:before="100" w:beforeAutospacing="1" w:after="100" w:afterAutospacing="1" w:line="276" w:lineRule="auto"/>
              <w:ind w:right="317"/>
              <w:jc w:val="right"/>
              <w:rPr>
                <w:rFonts w:ascii="Calibri" w:eastAsia="Calibri" w:hAnsi="Calibri" w:cs="Calibri"/>
                <w:color w:val="000000"/>
                <w:sz w:val="20"/>
                <w:szCs w:val="20"/>
                <w:lang w:eastAsia="zh-CN"/>
              </w:rPr>
            </w:pPr>
            <w:r w:rsidRPr="00C41FC1">
              <w:rPr>
                <w:rFonts w:ascii="Calibri" w:eastAsia="Calibri" w:hAnsi="Calibri" w:cs="Calibri"/>
                <w:color w:val="000000"/>
                <w:sz w:val="20"/>
                <w:szCs w:val="20"/>
              </w:rPr>
              <w:t>9.9</w:t>
            </w:r>
          </w:p>
        </w:tc>
      </w:tr>
      <w:tr w:rsidR="00685BE5" w:rsidRPr="00C41FC1" w:rsidTr="0096484D">
        <w:tc>
          <w:tcPr>
            <w:tcW w:w="1701" w:type="dxa"/>
            <w:tcBorders>
              <w:top w:val="single" w:sz="4" w:space="0" w:color="auto"/>
              <w:left w:val="nil"/>
              <w:bottom w:val="single" w:sz="4" w:space="0" w:color="auto"/>
              <w:right w:val="nil"/>
            </w:tcBorders>
            <w:noWrap/>
            <w:vAlign w:val="center"/>
            <w:hideMark/>
          </w:tcPr>
          <w:p w:rsidR="00685BE5" w:rsidRPr="00C41FC1" w:rsidRDefault="00685BE5" w:rsidP="00AE4C3A">
            <w:pPr>
              <w:spacing w:before="100" w:beforeAutospacing="1" w:after="100" w:afterAutospacing="1" w:line="276" w:lineRule="auto"/>
              <w:rPr>
                <w:rFonts w:ascii="Calibri" w:eastAsia="Calibri" w:hAnsi="Calibri" w:cs="Calibri"/>
                <w:b/>
                <w:color w:val="000000"/>
                <w:sz w:val="20"/>
                <w:szCs w:val="20"/>
                <w:lang w:eastAsia="zh-CN"/>
              </w:rPr>
            </w:pPr>
            <w:r w:rsidRPr="00C41FC1">
              <w:rPr>
                <w:rFonts w:ascii="Calibri" w:eastAsia="Calibri" w:hAnsi="Calibri" w:cs="Calibri"/>
                <w:b/>
                <w:color w:val="000000"/>
                <w:sz w:val="20"/>
                <w:szCs w:val="20"/>
              </w:rPr>
              <w:t>Total (N=272)</w:t>
            </w:r>
          </w:p>
        </w:tc>
        <w:tc>
          <w:tcPr>
            <w:tcW w:w="1348" w:type="dxa"/>
            <w:tcBorders>
              <w:top w:val="single" w:sz="4" w:space="0" w:color="auto"/>
              <w:left w:val="nil"/>
              <w:bottom w:val="single" w:sz="4" w:space="0" w:color="auto"/>
              <w:right w:val="nil"/>
            </w:tcBorders>
            <w:noWrap/>
            <w:vAlign w:val="bottom"/>
            <w:hideMark/>
          </w:tcPr>
          <w:p w:rsidR="00685BE5" w:rsidRPr="00C41FC1" w:rsidRDefault="00685BE5" w:rsidP="00AE4C3A">
            <w:pPr>
              <w:spacing w:before="100" w:beforeAutospacing="1" w:after="100" w:afterAutospacing="1" w:line="276" w:lineRule="auto"/>
              <w:ind w:right="317"/>
              <w:jc w:val="right"/>
              <w:rPr>
                <w:rFonts w:ascii="Calibri" w:eastAsia="Calibri" w:hAnsi="Calibri" w:cs="Calibri"/>
                <w:b/>
                <w:color w:val="000000"/>
                <w:sz w:val="20"/>
                <w:szCs w:val="20"/>
                <w:lang w:eastAsia="zh-CN"/>
              </w:rPr>
            </w:pPr>
            <w:r w:rsidRPr="00C41FC1">
              <w:rPr>
                <w:rFonts w:ascii="Calibri" w:eastAsia="Calibri" w:hAnsi="Calibri" w:cs="Calibri"/>
                <w:b/>
                <w:color w:val="000000"/>
                <w:sz w:val="20"/>
                <w:szCs w:val="20"/>
              </w:rPr>
              <w:t>100</w:t>
            </w:r>
          </w:p>
        </w:tc>
      </w:tr>
    </w:tbl>
    <w:p w:rsidR="00685BE5" w:rsidRDefault="00685BE5" w:rsidP="00AE4C3A">
      <w:pPr>
        <w:pStyle w:val="NILSReference"/>
        <w:rPr>
          <w:rFonts w:eastAsia="SimHei"/>
        </w:rPr>
      </w:pPr>
      <w:r>
        <w:rPr>
          <w:rFonts w:eastAsia="SimHei"/>
        </w:rPr>
        <w:t xml:space="preserve">Source: </w:t>
      </w:r>
      <w:r w:rsidRPr="00AB33E3">
        <w:rPr>
          <w:rFonts w:eastAsia="SimHei"/>
        </w:rPr>
        <w:t>2014 NDIS self-employed DSP survey</w:t>
      </w:r>
      <w:r>
        <w:rPr>
          <w:rFonts w:eastAsia="SimHei"/>
        </w:rPr>
        <w:t>, Question A3</w:t>
      </w:r>
      <w:r w:rsidRPr="00AB33E3">
        <w:rPr>
          <w:rFonts w:eastAsia="SimHei"/>
        </w:rPr>
        <w:t>.</w:t>
      </w:r>
    </w:p>
    <w:p w:rsidR="00B92687" w:rsidRDefault="00B92687" w:rsidP="00AE4C3A"/>
    <w:p w:rsidR="00685BE5" w:rsidRDefault="00685BE5" w:rsidP="00AE4C3A">
      <w:pPr>
        <w:rPr>
          <w:bCs/>
        </w:rPr>
      </w:pPr>
      <w:r w:rsidRPr="00AB33E3">
        <w:t>More than 80 per cent of self-employed providers report</w:t>
      </w:r>
      <w:r>
        <w:t>ed</w:t>
      </w:r>
      <w:r w:rsidRPr="00AB33E3">
        <w:t xml:space="preserve"> they </w:t>
      </w:r>
      <w:r>
        <w:t>we</w:t>
      </w:r>
      <w:r w:rsidRPr="00AB33E3">
        <w:t>re in excellen</w:t>
      </w:r>
      <w:r>
        <w:t>t or very good health (Table 4.50</w:t>
      </w:r>
      <w:r w:rsidRPr="00AB33E3">
        <w:t xml:space="preserve">), which </w:t>
      </w:r>
      <w:r>
        <w:t>wa</w:t>
      </w:r>
      <w:r w:rsidRPr="00AB33E3">
        <w:t>s higher than that of employees (67 per cent), the general Australian workforce (55 per cent, HILDA 2014) and the aged care workforce of 2012 (around 60 per cent</w:t>
      </w:r>
      <w:r>
        <w:rPr>
          <w:rStyle w:val="FootnoteReference"/>
          <w:rFonts w:ascii="Calibri" w:eastAsia="Calibri" w:hAnsi="Calibri" w:cs="Calibri"/>
        </w:rPr>
        <w:footnoteReference w:id="29"/>
      </w:r>
      <w:r w:rsidRPr="00AB33E3">
        <w:t xml:space="preserve">). </w:t>
      </w:r>
      <w:r w:rsidRPr="00AB33E3">
        <w:rPr>
          <w:bCs/>
        </w:rPr>
        <w:t>Ten per cent of self-employed providers report</w:t>
      </w:r>
      <w:r>
        <w:rPr>
          <w:bCs/>
        </w:rPr>
        <w:t>ed</w:t>
      </w:r>
      <w:r w:rsidRPr="00AB33E3">
        <w:rPr>
          <w:bCs/>
        </w:rPr>
        <w:t xml:space="preserve"> their day-to-day activities limited a little because of a health problem or disability that ha</w:t>
      </w:r>
      <w:r>
        <w:rPr>
          <w:bCs/>
        </w:rPr>
        <w:t>d</w:t>
      </w:r>
      <w:r w:rsidRPr="00AB33E3">
        <w:rPr>
          <w:bCs/>
        </w:rPr>
        <w:t xml:space="preserve"> lasted or </w:t>
      </w:r>
      <w:r>
        <w:rPr>
          <w:bCs/>
        </w:rPr>
        <w:t>wa</w:t>
      </w:r>
      <w:r w:rsidRPr="00AB33E3">
        <w:rPr>
          <w:bCs/>
        </w:rPr>
        <w:t>s expected to last at least 12 months, but none indicate</w:t>
      </w:r>
      <w:r>
        <w:rPr>
          <w:bCs/>
        </w:rPr>
        <w:t>d</w:t>
      </w:r>
      <w:r w:rsidRPr="00AB33E3">
        <w:rPr>
          <w:bCs/>
        </w:rPr>
        <w:t xml:space="preserve"> the existence of significant limitations.</w:t>
      </w:r>
    </w:p>
    <w:p w:rsidR="00685BE5" w:rsidRPr="00AB33E3" w:rsidRDefault="00685BE5" w:rsidP="0044684E">
      <w:pPr>
        <w:pStyle w:val="NILSTableHeading"/>
      </w:pPr>
      <w:bookmarkStart w:id="710" w:name="_Toc428279257"/>
      <w:bookmarkStart w:id="711" w:name="_Toc449955388"/>
      <w:r w:rsidRPr="00AB33E3">
        <w:t xml:space="preserve">Table </w:t>
      </w:r>
      <w:r>
        <w:t>4.50</w:t>
      </w:r>
      <w:r w:rsidRPr="00AB33E3">
        <w:t>: Self-reported general health of self-employed providers of disability care and supports</w:t>
      </w:r>
      <w:bookmarkEnd w:id="710"/>
      <w:bookmarkEnd w:id="711"/>
    </w:p>
    <w:tbl>
      <w:tblPr>
        <w:tblW w:w="3559" w:type="dxa"/>
        <w:tblInd w:w="93" w:type="dxa"/>
        <w:tblLook w:val="04A0" w:firstRow="1" w:lastRow="0" w:firstColumn="1" w:lastColumn="0" w:noHBand="0" w:noVBand="1"/>
        <w:tblCaption w:val="Table 4.50 Self-reported general health of self-employed providers of disability care and supports"/>
      </w:tblPr>
      <w:tblGrid>
        <w:gridCol w:w="2283"/>
        <w:gridCol w:w="1286"/>
      </w:tblGrid>
      <w:tr w:rsidR="00685BE5" w:rsidRPr="00C41FC1" w:rsidTr="00F10536">
        <w:trPr>
          <w:tblHeader/>
        </w:trPr>
        <w:tc>
          <w:tcPr>
            <w:tcW w:w="2283" w:type="dxa"/>
            <w:tcBorders>
              <w:top w:val="single" w:sz="4" w:space="0" w:color="auto"/>
              <w:left w:val="nil"/>
              <w:bottom w:val="single" w:sz="4" w:space="0" w:color="auto"/>
              <w:right w:val="nil"/>
            </w:tcBorders>
            <w:shd w:val="clear" w:color="auto" w:fill="auto"/>
            <w:noWrap/>
            <w:vAlign w:val="center"/>
            <w:hideMark/>
          </w:tcPr>
          <w:p w:rsidR="00685BE5" w:rsidRPr="00C41FC1" w:rsidRDefault="00685BE5" w:rsidP="00AE4C3A">
            <w:pPr>
              <w:spacing w:before="100" w:beforeAutospacing="1" w:after="100" w:afterAutospacing="1"/>
              <w:rPr>
                <w:rFonts w:ascii="Calibri" w:eastAsia="Times New Roman" w:hAnsi="Calibri" w:cs="Calibri"/>
                <w:bCs/>
                <w:color w:val="000000"/>
                <w:sz w:val="20"/>
                <w:szCs w:val="20"/>
                <w:lang w:eastAsia="zh-CN"/>
              </w:rPr>
            </w:pPr>
            <w:bookmarkStart w:id="712" w:name="Title_4_50"/>
            <w:bookmarkEnd w:id="712"/>
          </w:p>
        </w:tc>
        <w:tc>
          <w:tcPr>
            <w:tcW w:w="1276" w:type="dxa"/>
            <w:tcBorders>
              <w:top w:val="single" w:sz="4" w:space="0" w:color="auto"/>
              <w:left w:val="nil"/>
              <w:bottom w:val="single" w:sz="4" w:space="0" w:color="auto"/>
              <w:right w:val="nil"/>
            </w:tcBorders>
            <w:shd w:val="clear" w:color="auto" w:fill="auto"/>
            <w:noWrap/>
            <w:vAlign w:val="center"/>
            <w:hideMark/>
          </w:tcPr>
          <w:p w:rsidR="00685BE5" w:rsidRPr="00C41FC1" w:rsidRDefault="0096484D" w:rsidP="00AE4C3A">
            <w:pPr>
              <w:spacing w:before="100" w:beforeAutospacing="1" w:after="100" w:afterAutospacing="1"/>
              <w:jc w:val="center"/>
              <w:rPr>
                <w:rFonts w:ascii="Calibri" w:eastAsia="Times New Roman" w:hAnsi="Calibri" w:cs="Calibri"/>
                <w:bCs/>
                <w:color w:val="000000"/>
                <w:sz w:val="20"/>
                <w:szCs w:val="20"/>
                <w:lang w:eastAsia="zh-CN"/>
              </w:rPr>
            </w:pPr>
            <w:r>
              <w:rPr>
                <w:rFonts w:ascii="Calibri" w:eastAsia="Times New Roman" w:hAnsi="Calibri" w:cs="Calibri"/>
                <w:bCs/>
                <w:color w:val="000000"/>
                <w:sz w:val="20"/>
                <w:szCs w:val="20"/>
                <w:lang w:eastAsia="zh-CN"/>
              </w:rPr>
              <w:t>%</w:t>
            </w:r>
          </w:p>
        </w:tc>
      </w:tr>
      <w:tr w:rsidR="00685BE5" w:rsidRPr="00C41FC1" w:rsidTr="00F10536">
        <w:tc>
          <w:tcPr>
            <w:tcW w:w="2283" w:type="dxa"/>
            <w:tcBorders>
              <w:top w:val="nil"/>
              <w:left w:val="nil"/>
              <w:bottom w:val="nil"/>
              <w:right w:val="nil"/>
            </w:tcBorders>
            <w:shd w:val="clear" w:color="auto" w:fill="auto"/>
            <w:noWrap/>
            <w:vAlign w:val="center"/>
            <w:hideMark/>
          </w:tcPr>
          <w:p w:rsidR="00685BE5" w:rsidRPr="00C41FC1" w:rsidRDefault="00685BE5" w:rsidP="00AE4C3A">
            <w:pPr>
              <w:spacing w:before="100" w:beforeAutospacing="1" w:after="100" w:afterAutospacing="1"/>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Excellent</w:t>
            </w:r>
          </w:p>
        </w:tc>
        <w:tc>
          <w:tcPr>
            <w:tcW w:w="1276" w:type="dxa"/>
            <w:tcBorders>
              <w:top w:val="nil"/>
              <w:left w:val="nil"/>
              <w:bottom w:val="nil"/>
              <w:right w:val="nil"/>
            </w:tcBorders>
            <w:shd w:val="clear" w:color="auto" w:fill="auto"/>
            <w:noWrap/>
            <w:vAlign w:val="center"/>
            <w:hideMark/>
          </w:tcPr>
          <w:p w:rsidR="00685BE5" w:rsidRPr="00C41FC1" w:rsidRDefault="00685BE5" w:rsidP="00AE4C3A">
            <w:pPr>
              <w:tabs>
                <w:tab w:val="decimal" w:pos="601"/>
              </w:tabs>
              <w:spacing w:before="100" w:beforeAutospacing="1" w:after="100" w:afterAutospacing="1"/>
              <w:ind w:right="317"/>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46.7</w:t>
            </w:r>
          </w:p>
        </w:tc>
      </w:tr>
      <w:tr w:rsidR="00685BE5" w:rsidRPr="00C41FC1" w:rsidTr="00F10536">
        <w:tc>
          <w:tcPr>
            <w:tcW w:w="2283" w:type="dxa"/>
            <w:tcBorders>
              <w:top w:val="nil"/>
              <w:left w:val="nil"/>
              <w:bottom w:val="nil"/>
              <w:right w:val="nil"/>
            </w:tcBorders>
            <w:shd w:val="clear" w:color="auto" w:fill="auto"/>
            <w:noWrap/>
            <w:vAlign w:val="center"/>
            <w:hideMark/>
          </w:tcPr>
          <w:p w:rsidR="00685BE5" w:rsidRPr="00C41FC1" w:rsidRDefault="00685BE5" w:rsidP="00AE4C3A">
            <w:pPr>
              <w:spacing w:before="100" w:beforeAutospacing="1" w:after="100" w:afterAutospacing="1"/>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Very good</w:t>
            </w:r>
          </w:p>
        </w:tc>
        <w:tc>
          <w:tcPr>
            <w:tcW w:w="1276" w:type="dxa"/>
            <w:tcBorders>
              <w:top w:val="nil"/>
              <w:left w:val="nil"/>
              <w:bottom w:val="nil"/>
              <w:right w:val="nil"/>
            </w:tcBorders>
            <w:shd w:val="clear" w:color="auto" w:fill="auto"/>
            <w:noWrap/>
            <w:vAlign w:val="center"/>
            <w:hideMark/>
          </w:tcPr>
          <w:p w:rsidR="00685BE5" w:rsidRPr="00C41FC1" w:rsidRDefault="00685BE5" w:rsidP="00AE4C3A">
            <w:pPr>
              <w:tabs>
                <w:tab w:val="decimal" w:pos="601"/>
              </w:tabs>
              <w:spacing w:before="100" w:beforeAutospacing="1" w:after="100" w:afterAutospacing="1"/>
              <w:ind w:right="317"/>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34.6</w:t>
            </w:r>
          </w:p>
        </w:tc>
      </w:tr>
      <w:tr w:rsidR="00685BE5" w:rsidRPr="00C41FC1" w:rsidTr="00F10536">
        <w:tc>
          <w:tcPr>
            <w:tcW w:w="2283" w:type="dxa"/>
            <w:tcBorders>
              <w:top w:val="nil"/>
              <w:left w:val="nil"/>
              <w:bottom w:val="nil"/>
              <w:right w:val="nil"/>
            </w:tcBorders>
            <w:shd w:val="clear" w:color="auto" w:fill="auto"/>
            <w:noWrap/>
            <w:vAlign w:val="center"/>
            <w:hideMark/>
          </w:tcPr>
          <w:p w:rsidR="00685BE5" w:rsidRPr="00C41FC1" w:rsidRDefault="00685BE5" w:rsidP="00AE4C3A">
            <w:pPr>
              <w:spacing w:before="100" w:beforeAutospacing="1" w:after="100" w:afterAutospacing="1"/>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Good</w:t>
            </w:r>
          </w:p>
        </w:tc>
        <w:tc>
          <w:tcPr>
            <w:tcW w:w="1276" w:type="dxa"/>
            <w:tcBorders>
              <w:top w:val="nil"/>
              <w:left w:val="nil"/>
              <w:bottom w:val="nil"/>
              <w:right w:val="nil"/>
            </w:tcBorders>
            <w:shd w:val="clear" w:color="auto" w:fill="auto"/>
            <w:noWrap/>
            <w:vAlign w:val="center"/>
            <w:hideMark/>
          </w:tcPr>
          <w:p w:rsidR="00685BE5" w:rsidRPr="00C41FC1" w:rsidRDefault="00685BE5" w:rsidP="00AE4C3A">
            <w:pPr>
              <w:tabs>
                <w:tab w:val="decimal" w:pos="601"/>
              </w:tabs>
              <w:spacing w:before="100" w:beforeAutospacing="1" w:after="100" w:afterAutospacing="1"/>
              <w:ind w:right="317"/>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15.8</w:t>
            </w:r>
          </w:p>
        </w:tc>
      </w:tr>
      <w:tr w:rsidR="00685BE5" w:rsidRPr="00C41FC1" w:rsidTr="00F10536">
        <w:tc>
          <w:tcPr>
            <w:tcW w:w="2283" w:type="dxa"/>
            <w:tcBorders>
              <w:top w:val="nil"/>
              <w:left w:val="nil"/>
              <w:bottom w:val="nil"/>
              <w:right w:val="nil"/>
            </w:tcBorders>
            <w:shd w:val="clear" w:color="auto" w:fill="auto"/>
            <w:noWrap/>
            <w:vAlign w:val="center"/>
            <w:hideMark/>
          </w:tcPr>
          <w:p w:rsidR="00685BE5" w:rsidRPr="00C41FC1" w:rsidRDefault="00685BE5" w:rsidP="00AE4C3A">
            <w:pPr>
              <w:spacing w:before="100" w:beforeAutospacing="1" w:after="100" w:afterAutospacing="1"/>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Fair</w:t>
            </w:r>
          </w:p>
        </w:tc>
        <w:tc>
          <w:tcPr>
            <w:tcW w:w="1276" w:type="dxa"/>
            <w:tcBorders>
              <w:top w:val="nil"/>
              <w:left w:val="nil"/>
              <w:bottom w:val="nil"/>
              <w:right w:val="nil"/>
            </w:tcBorders>
            <w:shd w:val="clear" w:color="auto" w:fill="auto"/>
            <w:noWrap/>
            <w:vAlign w:val="center"/>
            <w:hideMark/>
          </w:tcPr>
          <w:p w:rsidR="00685BE5" w:rsidRPr="00C41FC1" w:rsidRDefault="00685BE5" w:rsidP="00AE4C3A">
            <w:pPr>
              <w:tabs>
                <w:tab w:val="decimal" w:pos="601"/>
              </w:tabs>
              <w:spacing w:before="100" w:beforeAutospacing="1" w:after="100" w:afterAutospacing="1"/>
              <w:ind w:right="317"/>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2.6</w:t>
            </w:r>
          </w:p>
        </w:tc>
      </w:tr>
      <w:tr w:rsidR="00685BE5" w:rsidRPr="00C41FC1" w:rsidTr="00F10536">
        <w:tc>
          <w:tcPr>
            <w:tcW w:w="2283" w:type="dxa"/>
            <w:tcBorders>
              <w:top w:val="nil"/>
              <w:left w:val="nil"/>
              <w:bottom w:val="nil"/>
              <w:right w:val="nil"/>
            </w:tcBorders>
            <w:shd w:val="clear" w:color="auto" w:fill="auto"/>
            <w:noWrap/>
            <w:vAlign w:val="center"/>
            <w:hideMark/>
          </w:tcPr>
          <w:p w:rsidR="00685BE5" w:rsidRPr="00C41FC1" w:rsidRDefault="00685BE5" w:rsidP="00AE4C3A">
            <w:pPr>
              <w:spacing w:before="100" w:beforeAutospacing="1" w:after="100" w:afterAutospacing="1"/>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Poor</w:t>
            </w:r>
          </w:p>
        </w:tc>
        <w:tc>
          <w:tcPr>
            <w:tcW w:w="1276" w:type="dxa"/>
            <w:tcBorders>
              <w:top w:val="nil"/>
              <w:left w:val="nil"/>
              <w:bottom w:val="nil"/>
              <w:right w:val="nil"/>
            </w:tcBorders>
            <w:shd w:val="clear" w:color="auto" w:fill="auto"/>
            <w:noWrap/>
            <w:vAlign w:val="center"/>
            <w:hideMark/>
          </w:tcPr>
          <w:p w:rsidR="00685BE5" w:rsidRPr="00C41FC1" w:rsidRDefault="00685BE5" w:rsidP="00AE4C3A">
            <w:pPr>
              <w:tabs>
                <w:tab w:val="decimal" w:pos="601"/>
              </w:tabs>
              <w:spacing w:before="100" w:beforeAutospacing="1" w:after="100" w:afterAutospacing="1"/>
              <w:ind w:right="317"/>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0.0</w:t>
            </w:r>
          </w:p>
        </w:tc>
      </w:tr>
      <w:tr w:rsidR="00685BE5" w:rsidRPr="00C41FC1" w:rsidTr="00F10536">
        <w:tc>
          <w:tcPr>
            <w:tcW w:w="2283" w:type="dxa"/>
            <w:tcBorders>
              <w:top w:val="nil"/>
              <w:left w:val="nil"/>
              <w:bottom w:val="single" w:sz="4" w:space="0" w:color="auto"/>
              <w:right w:val="nil"/>
            </w:tcBorders>
            <w:shd w:val="clear" w:color="auto" w:fill="auto"/>
            <w:noWrap/>
            <w:vAlign w:val="center"/>
            <w:hideMark/>
          </w:tcPr>
          <w:p w:rsidR="00685BE5" w:rsidRPr="00C41FC1" w:rsidRDefault="00685BE5" w:rsidP="00AE4C3A">
            <w:pPr>
              <w:spacing w:before="100" w:beforeAutospacing="1" w:after="100" w:afterAutospacing="1"/>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 xml:space="preserve">Question not answered </w:t>
            </w:r>
          </w:p>
        </w:tc>
        <w:tc>
          <w:tcPr>
            <w:tcW w:w="1276" w:type="dxa"/>
            <w:tcBorders>
              <w:top w:val="nil"/>
              <w:left w:val="nil"/>
              <w:bottom w:val="single" w:sz="4" w:space="0" w:color="auto"/>
              <w:right w:val="nil"/>
            </w:tcBorders>
            <w:shd w:val="clear" w:color="auto" w:fill="auto"/>
            <w:noWrap/>
            <w:vAlign w:val="center"/>
            <w:hideMark/>
          </w:tcPr>
          <w:p w:rsidR="00685BE5" w:rsidRPr="00C41FC1" w:rsidRDefault="00685BE5" w:rsidP="00AE4C3A">
            <w:pPr>
              <w:tabs>
                <w:tab w:val="decimal" w:pos="601"/>
              </w:tabs>
              <w:spacing w:before="100" w:beforeAutospacing="1" w:after="100" w:afterAutospacing="1"/>
              <w:ind w:right="317"/>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0.4</w:t>
            </w:r>
          </w:p>
        </w:tc>
      </w:tr>
      <w:tr w:rsidR="00685BE5" w:rsidRPr="00C41FC1" w:rsidTr="00F10536">
        <w:tc>
          <w:tcPr>
            <w:tcW w:w="2283" w:type="dxa"/>
            <w:tcBorders>
              <w:top w:val="single" w:sz="4" w:space="0" w:color="auto"/>
              <w:left w:val="nil"/>
              <w:bottom w:val="single" w:sz="4" w:space="0" w:color="auto"/>
              <w:right w:val="nil"/>
            </w:tcBorders>
            <w:shd w:val="clear" w:color="auto" w:fill="auto"/>
            <w:noWrap/>
            <w:vAlign w:val="center"/>
            <w:hideMark/>
          </w:tcPr>
          <w:p w:rsidR="00685BE5" w:rsidRPr="00C41FC1" w:rsidRDefault="00685BE5" w:rsidP="00AE4C3A">
            <w:pPr>
              <w:spacing w:before="100" w:beforeAutospacing="1" w:after="100" w:afterAutospacing="1"/>
              <w:rPr>
                <w:rFonts w:ascii="Calibri" w:eastAsia="Times New Roman" w:hAnsi="Calibri" w:cs="Calibri"/>
                <w:b/>
                <w:color w:val="000000"/>
                <w:sz w:val="20"/>
                <w:szCs w:val="20"/>
                <w:lang w:eastAsia="zh-CN"/>
              </w:rPr>
            </w:pPr>
            <w:r w:rsidRPr="00C41FC1">
              <w:rPr>
                <w:rFonts w:ascii="Calibri" w:eastAsia="Times New Roman" w:hAnsi="Calibri" w:cs="Calibri"/>
                <w:b/>
                <w:color w:val="000000"/>
                <w:sz w:val="20"/>
                <w:szCs w:val="20"/>
                <w:lang w:eastAsia="zh-CN"/>
              </w:rPr>
              <w:t>Total (N=272)</w:t>
            </w:r>
          </w:p>
        </w:tc>
        <w:tc>
          <w:tcPr>
            <w:tcW w:w="1276" w:type="dxa"/>
            <w:tcBorders>
              <w:top w:val="single" w:sz="4" w:space="0" w:color="auto"/>
              <w:left w:val="nil"/>
              <w:bottom w:val="single" w:sz="4" w:space="0" w:color="auto"/>
              <w:right w:val="nil"/>
            </w:tcBorders>
            <w:shd w:val="clear" w:color="auto" w:fill="auto"/>
            <w:noWrap/>
            <w:vAlign w:val="center"/>
            <w:hideMark/>
          </w:tcPr>
          <w:p w:rsidR="00685BE5" w:rsidRPr="00C41FC1" w:rsidRDefault="00685BE5" w:rsidP="00AE4C3A">
            <w:pPr>
              <w:tabs>
                <w:tab w:val="decimal" w:pos="601"/>
              </w:tabs>
              <w:spacing w:before="100" w:beforeAutospacing="1" w:after="100" w:afterAutospacing="1"/>
              <w:ind w:right="317"/>
              <w:jc w:val="right"/>
              <w:rPr>
                <w:rFonts w:ascii="Calibri" w:eastAsia="Times New Roman" w:hAnsi="Calibri" w:cs="Calibri"/>
                <w:b/>
                <w:color w:val="000000"/>
                <w:sz w:val="20"/>
                <w:szCs w:val="20"/>
                <w:lang w:eastAsia="zh-CN"/>
              </w:rPr>
            </w:pPr>
            <w:r w:rsidRPr="00C41FC1">
              <w:rPr>
                <w:rFonts w:ascii="Calibri" w:eastAsia="Times New Roman" w:hAnsi="Calibri" w:cs="Calibri"/>
                <w:b/>
                <w:color w:val="000000"/>
                <w:sz w:val="20"/>
                <w:szCs w:val="20"/>
                <w:lang w:eastAsia="zh-CN"/>
              </w:rPr>
              <w:t>100</w:t>
            </w:r>
          </w:p>
        </w:tc>
      </w:tr>
    </w:tbl>
    <w:p w:rsidR="00685BE5" w:rsidRDefault="00685BE5" w:rsidP="00AE4C3A">
      <w:pPr>
        <w:pStyle w:val="NILSReference"/>
        <w:rPr>
          <w:rFonts w:eastAsia="SimHei"/>
        </w:rPr>
      </w:pPr>
      <w:r>
        <w:rPr>
          <w:rFonts w:eastAsia="SimHei"/>
        </w:rPr>
        <w:t>Source:</w:t>
      </w:r>
      <w:r w:rsidR="00FB089D">
        <w:rPr>
          <w:rFonts w:eastAsia="SimHei"/>
        </w:rPr>
        <w:t xml:space="preserve"> </w:t>
      </w:r>
      <w:r w:rsidRPr="00AB33E3">
        <w:rPr>
          <w:rFonts w:eastAsia="SimHei"/>
        </w:rPr>
        <w:t>2014 NDIS self-employed DSP survey</w:t>
      </w:r>
      <w:r>
        <w:rPr>
          <w:rFonts w:eastAsia="SimHei"/>
        </w:rPr>
        <w:t>, Question A11</w:t>
      </w:r>
      <w:r w:rsidRPr="00AB33E3">
        <w:rPr>
          <w:rFonts w:eastAsia="SimHei"/>
        </w:rPr>
        <w:t>.</w:t>
      </w:r>
    </w:p>
    <w:p w:rsidR="00B92687" w:rsidRDefault="00B92687" w:rsidP="00AE4C3A">
      <w:pPr>
        <w:rPr>
          <w:rFonts w:ascii="Calibri" w:eastAsia="SimHei" w:hAnsi="Calibri" w:cs="Calibri"/>
          <w:bCs/>
        </w:rPr>
      </w:pPr>
    </w:p>
    <w:p w:rsidR="00685BE5" w:rsidRPr="00AB33E3" w:rsidRDefault="00685BE5" w:rsidP="00AE4C3A">
      <w:pPr>
        <w:rPr>
          <w:rFonts w:ascii="Calibri" w:eastAsia="Times New Roman" w:hAnsi="Calibri" w:cs="Calibri"/>
          <w:b/>
          <w:bCs/>
          <w:color w:val="000000"/>
          <w:lang w:eastAsia="zh-CN"/>
        </w:rPr>
      </w:pPr>
      <w:r w:rsidRPr="005E604D">
        <w:rPr>
          <w:rFonts w:ascii="Calibri" w:eastAsia="SimHei" w:hAnsi="Calibri" w:cs="Calibri"/>
          <w:bCs/>
        </w:rPr>
        <w:t>Virtually all self-employed providers reported formal post-school qualifications (Table 4.51</w:t>
      </w:r>
      <w:r w:rsidRPr="000E7E36">
        <w:rPr>
          <w:rFonts w:ascii="Calibri" w:eastAsia="SimHei" w:hAnsi="Calibri" w:cs="Calibri"/>
          <w:bCs/>
        </w:rPr>
        <w:t>). An</w:t>
      </w:r>
      <w:r w:rsidRPr="00AB33E3">
        <w:rPr>
          <w:rFonts w:ascii="Calibri" w:eastAsia="SimHei" w:hAnsi="Calibri" w:cs="Calibri"/>
          <w:bCs/>
        </w:rPr>
        <w:t xml:space="preserve"> extremely high share of self-employed (93 per cent) had a university degree in contrast to 40 per cent for employees</w:t>
      </w:r>
      <w:r>
        <w:rPr>
          <w:rFonts w:ascii="Calibri" w:eastAsia="SimHei" w:hAnsi="Calibri" w:cs="Calibri"/>
          <w:bCs/>
        </w:rPr>
        <w:t xml:space="preserve"> (shown earlier in Table 4.24)</w:t>
      </w:r>
      <w:r w:rsidRPr="00AB33E3">
        <w:rPr>
          <w:rFonts w:ascii="Calibri" w:eastAsia="SimHei" w:hAnsi="Calibri" w:cs="Calibri"/>
          <w:bCs/>
        </w:rPr>
        <w:t xml:space="preserve">. This reflects the formal qualification requirements for </w:t>
      </w:r>
      <w:r>
        <w:rPr>
          <w:rFonts w:ascii="Calibri" w:eastAsia="SimHei" w:hAnsi="Calibri" w:cs="Calibri"/>
          <w:bCs/>
        </w:rPr>
        <w:t>a</w:t>
      </w:r>
      <w:r w:rsidRPr="00AB33E3">
        <w:rPr>
          <w:rFonts w:ascii="Calibri" w:eastAsia="SimHei" w:hAnsi="Calibri" w:cs="Calibri"/>
          <w:bCs/>
        </w:rPr>
        <w:t>llied health and psychology roles which the majority performed. A low share (18 per cent) ha</w:t>
      </w:r>
      <w:r>
        <w:rPr>
          <w:rFonts w:ascii="Calibri" w:eastAsia="SimHei" w:hAnsi="Calibri" w:cs="Calibri"/>
          <w:bCs/>
        </w:rPr>
        <w:t>d</w:t>
      </w:r>
      <w:r w:rsidRPr="00AB33E3">
        <w:rPr>
          <w:rFonts w:ascii="Calibri" w:eastAsia="SimHei" w:hAnsi="Calibri" w:cs="Calibri"/>
          <w:bCs/>
        </w:rPr>
        <w:t xml:space="preserve"> a </w:t>
      </w:r>
      <w:r>
        <w:rPr>
          <w:rFonts w:ascii="Calibri" w:eastAsia="SimHei" w:hAnsi="Calibri" w:cs="Calibri"/>
          <w:bCs/>
        </w:rPr>
        <w:t>vocational</w:t>
      </w:r>
      <w:r w:rsidRPr="00AB33E3">
        <w:rPr>
          <w:rFonts w:ascii="Calibri" w:eastAsia="SimHei" w:hAnsi="Calibri" w:cs="Calibri"/>
          <w:bCs/>
        </w:rPr>
        <w:t xml:space="preserve"> qualification compared to 63 per cent for employees. The vast majority (90 per cent) of self-employed </w:t>
      </w:r>
      <w:r>
        <w:rPr>
          <w:rFonts w:ascii="Calibri" w:eastAsia="SimHei" w:hAnsi="Calibri" w:cs="Calibri"/>
          <w:bCs/>
        </w:rPr>
        <w:t xml:space="preserve">providers </w:t>
      </w:r>
      <w:r w:rsidRPr="00AB33E3">
        <w:rPr>
          <w:rFonts w:ascii="Calibri" w:eastAsia="SimHei" w:hAnsi="Calibri" w:cs="Calibri"/>
          <w:bCs/>
        </w:rPr>
        <w:t>complete</w:t>
      </w:r>
      <w:r>
        <w:rPr>
          <w:rFonts w:ascii="Calibri" w:eastAsia="SimHei" w:hAnsi="Calibri" w:cs="Calibri"/>
          <w:bCs/>
        </w:rPr>
        <w:t>d</w:t>
      </w:r>
      <w:r w:rsidRPr="00AB33E3">
        <w:rPr>
          <w:rFonts w:ascii="Calibri" w:eastAsia="SimHei" w:hAnsi="Calibri" w:cs="Calibri"/>
          <w:bCs/>
        </w:rPr>
        <w:t xml:space="preserve"> their highest qualification in Australia. </w:t>
      </w:r>
    </w:p>
    <w:p w:rsidR="00685BE5" w:rsidRDefault="00685BE5">
      <w:pPr>
        <w:rPr>
          <w:b/>
          <w:sz w:val="20"/>
          <w:lang w:eastAsia="zh-CN"/>
        </w:rPr>
      </w:pPr>
    </w:p>
    <w:p w:rsidR="00685BE5" w:rsidRDefault="00685BE5">
      <w:pPr>
        <w:rPr>
          <w:b/>
          <w:sz w:val="20"/>
        </w:rPr>
      </w:pPr>
      <w:r>
        <w:br w:type="page"/>
      </w:r>
    </w:p>
    <w:p w:rsidR="00685BE5" w:rsidRPr="00AB33E3" w:rsidRDefault="00685BE5" w:rsidP="0044684E">
      <w:pPr>
        <w:pStyle w:val="NILSTableHeading"/>
      </w:pPr>
      <w:bookmarkStart w:id="713" w:name="_Toc428279258"/>
      <w:bookmarkStart w:id="714" w:name="_Toc449955389"/>
      <w:r w:rsidRPr="00AB33E3">
        <w:lastRenderedPageBreak/>
        <w:t xml:space="preserve">Table </w:t>
      </w:r>
      <w:r>
        <w:t>4.51</w:t>
      </w:r>
      <w:r w:rsidRPr="00AB33E3">
        <w:t>: Level of qualifications completed of self-employed</w:t>
      </w:r>
      <w:r w:rsidR="009509F2">
        <w:rPr>
          <w:lang w:val="en-AU"/>
        </w:rPr>
        <w:t xml:space="preserve"> </w:t>
      </w:r>
      <w:r w:rsidRPr="00AB33E3">
        <w:t>providers of disability care and supports</w:t>
      </w:r>
      <w:bookmarkEnd w:id="713"/>
      <w:bookmarkEnd w:id="714"/>
    </w:p>
    <w:tbl>
      <w:tblPr>
        <w:tblW w:w="4977" w:type="dxa"/>
        <w:tblInd w:w="93" w:type="dxa"/>
        <w:tblLook w:val="04A0" w:firstRow="1" w:lastRow="0" w:firstColumn="1" w:lastColumn="0" w:noHBand="0" w:noVBand="1"/>
        <w:tblCaption w:val="Table 4.51 Level of qualifications completed of self-employed providers of disability care and supports"/>
      </w:tblPr>
      <w:tblGrid>
        <w:gridCol w:w="3417"/>
        <w:gridCol w:w="1570"/>
      </w:tblGrid>
      <w:tr w:rsidR="00685BE5" w:rsidRPr="00C41FC1" w:rsidTr="00F10536">
        <w:trPr>
          <w:tblHeader/>
        </w:trPr>
        <w:tc>
          <w:tcPr>
            <w:tcW w:w="3417" w:type="dxa"/>
            <w:tcBorders>
              <w:top w:val="single" w:sz="4" w:space="0" w:color="auto"/>
              <w:left w:val="nil"/>
              <w:bottom w:val="single" w:sz="4" w:space="0" w:color="auto"/>
              <w:right w:val="nil"/>
            </w:tcBorders>
            <w:shd w:val="clear" w:color="auto" w:fill="auto"/>
            <w:noWrap/>
            <w:vAlign w:val="bottom"/>
            <w:hideMark/>
          </w:tcPr>
          <w:p w:rsidR="00685BE5" w:rsidRPr="00C41FC1" w:rsidRDefault="00685BE5" w:rsidP="00AE4C3A">
            <w:pPr>
              <w:spacing w:before="100" w:beforeAutospacing="1" w:after="100" w:afterAutospacing="1"/>
              <w:rPr>
                <w:rFonts w:ascii="Calibri" w:eastAsia="Times New Roman" w:hAnsi="Calibri" w:cs="Calibri"/>
                <w:color w:val="000000"/>
                <w:sz w:val="20"/>
                <w:szCs w:val="20"/>
                <w:lang w:eastAsia="zh-CN"/>
              </w:rPr>
            </w:pPr>
            <w:bookmarkStart w:id="715" w:name="Title_4_51"/>
            <w:bookmarkEnd w:id="715"/>
          </w:p>
        </w:tc>
        <w:tc>
          <w:tcPr>
            <w:tcW w:w="1560" w:type="dxa"/>
            <w:tcBorders>
              <w:top w:val="single" w:sz="4" w:space="0" w:color="auto"/>
              <w:left w:val="nil"/>
              <w:bottom w:val="single" w:sz="4" w:space="0" w:color="auto"/>
              <w:right w:val="nil"/>
            </w:tcBorders>
            <w:shd w:val="clear" w:color="auto" w:fill="auto"/>
            <w:noWrap/>
            <w:vAlign w:val="bottom"/>
            <w:hideMark/>
          </w:tcPr>
          <w:p w:rsidR="00685BE5" w:rsidRPr="00C41FC1" w:rsidRDefault="0096484D" w:rsidP="00AE4C3A">
            <w:pPr>
              <w:spacing w:before="100" w:beforeAutospacing="1" w:after="100" w:afterAutospacing="1"/>
              <w:jc w:val="center"/>
              <w:rPr>
                <w:rFonts w:ascii="Calibri" w:eastAsia="Times New Roman" w:hAnsi="Calibri" w:cs="Calibri"/>
                <w:color w:val="000000"/>
                <w:sz w:val="20"/>
                <w:szCs w:val="20"/>
                <w:lang w:eastAsia="zh-CN"/>
              </w:rPr>
            </w:pPr>
            <w:r>
              <w:rPr>
                <w:rFonts w:ascii="Calibri" w:eastAsia="Times New Roman" w:hAnsi="Calibri" w:cs="Calibri"/>
                <w:color w:val="000000"/>
                <w:sz w:val="20"/>
                <w:szCs w:val="20"/>
                <w:lang w:eastAsia="zh-CN"/>
              </w:rPr>
              <w:t>%</w:t>
            </w:r>
            <w:r w:rsidR="00685BE5" w:rsidRPr="00C41FC1">
              <w:rPr>
                <w:rFonts w:ascii="Calibri" w:eastAsia="Times New Roman" w:hAnsi="Calibri" w:cs="Calibri"/>
                <w:color w:val="000000"/>
                <w:sz w:val="20"/>
                <w:szCs w:val="20"/>
                <w:lang w:eastAsia="zh-CN"/>
              </w:rPr>
              <w:t xml:space="preserve"> </w:t>
            </w:r>
          </w:p>
        </w:tc>
      </w:tr>
      <w:tr w:rsidR="00685BE5" w:rsidRPr="00C41FC1" w:rsidTr="00F10536">
        <w:tc>
          <w:tcPr>
            <w:tcW w:w="3417" w:type="dxa"/>
            <w:tcBorders>
              <w:top w:val="single" w:sz="4" w:space="0" w:color="auto"/>
              <w:left w:val="nil"/>
              <w:bottom w:val="nil"/>
              <w:right w:val="nil"/>
            </w:tcBorders>
            <w:shd w:val="clear" w:color="auto" w:fill="auto"/>
            <w:noWrap/>
            <w:vAlign w:val="center"/>
            <w:hideMark/>
          </w:tcPr>
          <w:p w:rsidR="00685BE5" w:rsidRPr="00C41FC1" w:rsidRDefault="00685BE5" w:rsidP="00AE4C3A">
            <w:pPr>
              <w:spacing w:before="100" w:beforeAutospacing="1" w:after="100" w:afterAutospacing="1"/>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Postgraduate degree</w:t>
            </w:r>
          </w:p>
        </w:tc>
        <w:tc>
          <w:tcPr>
            <w:tcW w:w="1560" w:type="dxa"/>
            <w:tcBorders>
              <w:top w:val="single" w:sz="4" w:space="0" w:color="auto"/>
              <w:left w:val="nil"/>
              <w:bottom w:val="nil"/>
              <w:right w:val="nil"/>
            </w:tcBorders>
            <w:shd w:val="clear" w:color="auto" w:fill="auto"/>
            <w:noWrap/>
            <w:vAlign w:val="center"/>
            <w:hideMark/>
          </w:tcPr>
          <w:p w:rsidR="00685BE5" w:rsidRPr="00C41FC1" w:rsidRDefault="00685BE5" w:rsidP="00AE4C3A">
            <w:pPr>
              <w:tabs>
                <w:tab w:val="decimal" w:pos="743"/>
              </w:tabs>
              <w:spacing w:before="100" w:beforeAutospacing="1" w:after="100" w:afterAutospacing="1"/>
              <w:ind w:right="459"/>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29.8</w:t>
            </w:r>
          </w:p>
        </w:tc>
      </w:tr>
      <w:tr w:rsidR="00685BE5" w:rsidRPr="00C41FC1" w:rsidTr="00F10536">
        <w:tc>
          <w:tcPr>
            <w:tcW w:w="3417" w:type="dxa"/>
            <w:tcBorders>
              <w:top w:val="nil"/>
              <w:left w:val="nil"/>
              <w:bottom w:val="nil"/>
              <w:right w:val="nil"/>
            </w:tcBorders>
            <w:shd w:val="clear" w:color="auto" w:fill="auto"/>
            <w:noWrap/>
            <w:vAlign w:val="center"/>
            <w:hideMark/>
          </w:tcPr>
          <w:p w:rsidR="00685BE5" w:rsidRPr="00C41FC1" w:rsidRDefault="00685BE5" w:rsidP="00AE4C3A">
            <w:pPr>
              <w:spacing w:before="100" w:beforeAutospacing="1" w:after="100" w:afterAutospacing="1"/>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Bachelor degree</w:t>
            </w:r>
          </w:p>
        </w:tc>
        <w:tc>
          <w:tcPr>
            <w:tcW w:w="1560" w:type="dxa"/>
            <w:tcBorders>
              <w:top w:val="nil"/>
              <w:left w:val="nil"/>
              <w:bottom w:val="nil"/>
              <w:right w:val="nil"/>
            </w:tcBorders>
            <w:shd w:val="clear" w:color="auto" w:fill="auto"/>
            <w:noWrap/>
            <w:vAlign w:val="center"/>
            <w:hideMark/>
          </w:tcPr>
          <w:p w:rsidR="00685BE5" w:rsidRPr="00C41FC1" w:rsidRDefault="00685BE5" w:rsidP="00AE4C3A">
            <w:pPr>
              <w:tabs>
                <w:tab w:val="decimal" w:pos="743"/>
              </w:tabs>
              <w:spacing w:before="100" w:beforeAutospacing="1" w:after="100" w:afterAutospacing="1"/>
              <w:ind w:right="459"/>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76.1</w:t>
            </w:r>
          </w:p>
        </w:tc>
      </w:tr>
      <w:tr w:rsidR="00685BE5" w:rsidRPr="00C41FC1" w:rsidTr="00F10536">
        <w:tc>
          <w:tcPr>
            <w:tcW w:w="3417" w:type="dxa"/>
            <w:tcBorders>
              <w:top w:val="nil"/>
              <w:left w:val="nil"/>
              <w:bottom w:val="nil"/>
              <w:right w:val="nil"/>
            </w:tcBorders>
            <w:shd w:val="clear" w:color="auto" w:fill="auto"/>
            <w:noWrap/>
            <w:vAlign w:val="center"/>
            <w:hideMark/>
          </w:tcPr>
          <w:p w:rsidR="00685BE5" w:rsidRPr="00C41FC1" w:rsidRDefault="00685BE5" w:rsidP="00B97A09">
            <w:pPr>
              <w:spacing w:before="100" w:beforeAutospacing="1" w:after="100" w:afterAutospacing="1"/>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Diploma or advanced diploma</w:t>
            </w:r>
          </w:p>
        </w:tc>
        <w:tc>
          <w:tcPr>
            <w:tcW w:w="1560" w:type="dxa"/>
            <w:tcBorders>
              <w:top w:val="nil"/>
              <w:left w:val="nil"/>
              <w:bottom w:val="nil"/>
              <w:right w:val="nil"/>
            </w:tcBorders>
            <w:shd w:val="clear" w:color="auto" w:fill="auto"/>
            <w:noWrap/>
            <w:vAlign w:val="center"/>
            <w:hideMark/>
          </w:tcPr>
          <w:p w:rsidR="00685BE5" w:rsidRPr="00C41FC1" w:rsidRDefault="00685BE5" w:rsidP="00AE4C3A">
            <w:pPr>
              <w:tabs>
                <w:tab w:val="decimal" w:pos="743"/>
              </w:tabs>
              <w:spacing w:before="100" w:beforeAutospacing="1" w:after="100" w:afterAutospacing="1"/>
              <w:ind w:right="459"/>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13.2</w:t>
            </w:r>
          </w:p>
        </w:tc>
      </w:tr>
      <w:tr w:rsidR="00685BE5" w:rsidRPr="00C41FC1" w:rsidTr="00F10536">
        <w:tc>
          <w:tcPr>
            <w:tcW w:w="3417" w:type="dxa"/>
            <w:tcBorders>
              <w:top w:val="nil"/>
              <w:left w:val="nil"/>
              <w:bottom w:val="nil"/>
              <w:right w:val="nil"/>
            </w:tcBorders>
            <w:shd w:val="clear" w:color="auto" w:fill="auto"/>
            <w:noWrap/>
            <w:vAlign w:val="center"/>
            <w:hideMark/>
          </w:tcPr>
          <w:p w:rsidR="00685BE5" w:rsidRPr="00C41FC1" w:rsidRDefault="00685BE5" w:rsidP="00AE4C3A">
            <w:pPr>
              <w:spacing w:before="100" w:beforeAutospacing="1" w:after="100" w:afterAutospacing="1"/>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Certificate IV</w:t>
            </w:r>
          </w:p>
        </w:tc>
        <w:tc>
          <w:tcPr>
            <w:tcW w:w="1560" w:type="dxa"/>
            <w:tcBorders>
              <w:top w:val="nil"/>
              <w:left w:val="nil"/>
              <w:bottom w:val="nil"/>
              <w:right w:val="nil"/>
            </w:tcBorders>
            <w:shd w:val="clear" w:color="auto" w:fill="auto"/>
            <w:noWrap/>
            <w:vAlign w:val="center"/>
            <w:hideMark/>
          </w:tcPr>
          <w:p w:rsidR="00685BE5" w:rsidRPr="00C41FC1" w:rsidRDefault="00685BE5" w:rsidP="00AE4C3A">
            <w:pPr>
              <w:tabs>
                <w:tab w:val="decimal" w:pos="743"/>
              </w:tabs>
              <w:spacing w:before="100" w:beforeAutospacing="1" w:after="100" w:afterAutospacing="1"/>
              <w:ind w:right="459"/>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7.0</w:t>
            </w:r>
          </w:p>
        </w:tc>
      </w:tr>
      <w:tr w:rsidR="00685BE5" w:rsidRPr="00C41FC1" w:rsidTr="00F10536">
        <w:tc>
          <w:tcPr>
            <w:tcW w:w="3417" w:type="dxa"/>
            <w:tcBorders>
              <w:top w:val="nil"/>
              <w:left w:val="nil"/>
              <w:bottom w:val="nil"/>
              <w:right w:val="nil"/>
            </w:tcBorders>
            <w:shd w:val="clear" w:color="auto" w:fill="auto"/>
            <w:noWrap/>
            <w:vAlign w:val="center"/>
            <w:hideMark/>
          </w:tcPr>
          <w:p w:rsidR="00685BE5" w:rsidRPr="00C41FC1" w:rsidRDefault="00685BE5" w:rsidP="00AE4C3A">
            <w:pPr>
              <w:spacing w:before="100" w:beforeAutospacing="1" w:after="100" w:afterAutospacing="1"/>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Certificate III</w:t>
            </w:r>
          </w:p>
        </w:tc>
        <w:tc>
          <w:tcPr>
            <w:tcW w:w="1560" w:type="dxa"/>
            <w:tcBorders>
              <w:top w:val="nil"/>
              <w:left w:val="nil"/>
              <w:bottom w:val="nil"/>
              <w:right w:val="nil"/>
            </w:tcBorders>
            <w:shd w:val="clear" w:color="auto" w:fill="auto"/>
            <w:noWrap/>
            <w:vAlign w:val="center"/>
            <w:hideMark/>
          </w:tcPr>
          <w:p w:rsidR="00685BE5" w:rsidRPr="00C41FC1" w:rsidRDefault="00685BE5" w:rsidP="00AE4C3A">
            <w:pPr>
              <w:tabs>
                <w:tab w:val="decimal" w:pos="743"/>
              </w:tabs>
              <w:spacing w:before="100" w:beforeAutospacing="1" w:after="100" w:afterAutospacing="1"/>
              <w:ind w:right="459"/>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2.2</w:t>
            </w:r>
          </w:p>
        </w:tc>
      </w:tr>
      <w:tr w:rsidR="00685BE5" w:rsidRPr="00C41FC1" w:rsidTr="00F10536">
        <w:tc>
          <w:tcPr>
            <w:tcW w:w="3417" w:type="dxa"/>
            <w:tcBorders>
              <w:top w:val="nil"/>
              <w:left w:val="nil"/>
              <w:bottom w:val="nil"/>
              <w:right w:val="nil"/>
            </w:tcBorders>
            <w:shd w:val="clear" w:color="auto" w:fill="auto"/>
            <w:noWrap/>
            <w:vAlign w:val="center"/>
            <w:hideMark/>
          </w:tcPr>
          <w:p w:rsidR="00685BE5" w:rsidRPr="00C41FC1" w:rsidRDefault="00685BE5" w:rsidP="00AE4C3A">
            <w:pPr>
              <w:spacing w:before="100" w:beforeAutospacing="1" w:after="100" w:afterAutospacing="1"/>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Certificate I or II</w:t>
            </w:r>
          </w:p>
        </w:tc>
        <w:tc>
          <w:tcPr>
            <w:tcW w:w="1560" w:type="dxa"/>
            <w:tcBorders>
              <w:top w:val="nil"/>
              <w:left w:val="nil"/>
              <w:bottom w:val="nil"/>
              <w:right w:val="nil"/>
            </w:tcBorders>
            <w:shd w:val="clear" w:color="auto" w:fill="auto"/>
            <w:noWrap/>
            <w:vAlign w:val="center"/>
            <w:hideMark/>
          </w:tcPr>
          <w:p w:rsidR="00685BE5" w:rsidRPr="00C41FC1" w:rsidRDefault="00685BE5" w:rsidP="00AE4C3A">
            <w:pPr>
              <w:tabs>
                <w:tab w:val="decimal" w:pos="743"/>
              </w:tabs>
              <w:spacing w:before="100" w:beforeAutospacing="1" w:after="100" w:afterAutospacing="1"/>
              <w:ind w:right="459"/>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2.6</w:t>
            </w:r>
          </w:p>
        </w:tc>
      </w:tr>
      <w:tr w:rsidR="00685BE5" w:rsidRPr="00C41FC1" w:rsidTr="00F10536">
        <w:tc>
          <w:tcPr>
            <w:tcW w:w="3417" w:type="dxa"/>
            <w:tcBorders>
              <w:top w:val="nil"/>
              <w:left w:val="nil"/>
              <w:right w:val="nil"/>
            </w:tcBorders>
            <w:shd w:val="clear" w:color="auto" w:fill="auto"/>
            <w:noWrap/>
            <w:vAlign w:val="center"/>
            <w:hideMark/>
          </w:tcPr>
          <w:p w:rsidR="00685BE5" w:rsidRPr="00C41FC1" w:rsidRDefault="00685BE5" w:rsidP="00AE4C3A">
            <w:pPr>
              <w:spacing w:before="100" w:beforeAutospacing="1" w:after="100" w:afterAutospacing="1"/>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Other</w:t>
            </w:r>
          </w:p>
        </w:tc>
        <w:tc>
          <w:tcPr>
            <w:tcW w:w="1560" w:type="dxa"/>
            <w:tcBorders>
              <w:top w:val="nil"/>
              <w:left w:val="nil"/>
              <w:right w:val="nil"/>
            </w:tcBorders>
            <w:shd w:val="clear" w:color="auto" w:fill="auto"/>
            <w:noWrap/>
            <w:vAlign w:val="center"/>
            <w:hideMark/>
          </w:tcPr>
          <w:p w:rsidR="00685BE5" w:rsidRPr="00C41FC1" w:rsidRDefault="00685BE5" w:rsidP="00AE4C3A">
            <w:pPr>
              <w:tabs>
                <w:tab w:val="decimal" w:pos="743"/>
              </w:tabs>
              <w:spacing w:before="100" w:beforeAutospacing="1" w:after="100" w:afterAutospacing="1"/>
              <w:ind w:right="459"/>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5.5</w:t>
            </w:r>
          </w:p>
        </w:tc>
      </w:tr>
      <w:tr w:rsidR="00685BE5" w:rsidRPr="00C41FC1" w:rsidTr="00F10536">
        <w:tc>
          <w:tcPr>
            <w:tcW w:w="3417" w:type="dxa"/>
            <w:tcBorders>
              <w:top w:val="nil"/>
              <w:left w:val="nil"/>
              <w:right w:val="nil"/>
            </w:tcBorders>
            <w:shd w:val="clear" w:color="auto" w:fill="auto"/>
            <w:noWrap/>
            <w:vAlign w:val="center"/>
            <w:hideMark/>
          </w:tcPr>
          <w:p w:rsidR="00685BE5" w:rsidRPr="00C41FC1" w:rsidRDefault="00685BE5" w:rsidP="00AE4C3A">
            <w:pPr>
              <w:spacing w:before="100" w:beforeAutospacing="1" w:after="100" w:afterAutospacing="1"/>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No formal qualification</w:t>
            </w:r>
          </w:p>
        </w:tc>
        <w:tc>
          <w:tcPr>
            <w:tcW w:w="1560" w:type="dxa"/>
            <w:tcBorders>
              <w:top w:val="nil"/>
              <w:left w:val="nil"/>
              <w:right w:val="nil"/>
            </w:tcBorders>
            <w:shd w:val="clear" w:color="auto" w:fill="auto"/>
            <w:noWrap/>
            <w:vAlign w:val="center"/>
            <w:hideMark/>
          </w:tcPr>
          <w:p w:rsidR="00685BE5" w:rsidRPr="00C41FC1" w:rsidRDefault="00685BE5" w:rsidP="00AE4C3A">
            <w:pPr>
              <w:tabs>
                <w:tab w:val="decimal" w:pos="743"/>
              </w:tabs>
              <w:spacing w:before="100" w:beforeAutospacing="1" w:after="100" w:afterAutospacing="1"/>
              <w:ind w:right="459"/>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1.1</w:t>
            </w:r>
          </w:p>
        </w:tc>
      </w:tr>
      <w:tr w:rsidR="00685BE5" w:rsidRPr="00C41FC1" w:rsidTr="00F10536">
        <w:tc>
          <w:tcPr>
            <w:tcW w:w="3417" w:type="dxa"/>
            <w:tcBorders>
              <w:left w:val="nil"/>
              <w:right w:val="nil"/>
            </w:tcBorders>
            <w:shd w:val="clear" w:color="auto" w:fill="auto"/>
            <w:noWrap/>
            <w:vAlign w:val="center"/>
            <w:hideMark/>
          </w:tcPr>
          <w:p w:rsidR="00685BE5" w:rsidRPr="00C41FC1" w:rsidRDefault="00685BE5" w:rsidP="00AE4C3A">
            <w:pPr>
              <w:tabs>
                <w:tab w:val="decimal" w:pos="459"/>
              </w:tabs>
              <w:spacing w:before="100" w:beforeAutospacing="1" w:after="100" w:afterAutospacing="1"/>
              <w:rPr>
                <w:rFonts w:ascii="Calibri" w:eastAsia="Times New Roman" w:hAnsi="Calibri" w:cs="Calibri"/>
                <w:bCs/>
                <w:color w:val="000000"/>
                <w:sz w:val="20"/>
                <w:szCs w:val="20"/>
                <w:lang w:eastAsia="zh-CN"/>
              </w:rPr>
            </w:pPr>
          </w:p>
        </w:tc>
        <w:tc>
          <w:tcPr>
            <w:tcW w:w="1560" w:type="dxa"/>
            <w:tcBorders>
              <w:left w:val="nil"/>
              <w:right w:val="nil"/>
            </w:tcBorders>
            <w:shd w:val="clear" w:color="auto" w:fill="auto"/>
            <w:noWrap/>
            <w:vAlign w:val="center"/>
            <w:hideMark/>
          </w:tcPr>
          <w:p w:rsidR="00685BE5" w:rsidRPr="00C41FC1" w:rsidRDefault="00685BE5" w:rsidP="00AE4C3A">
            <w:pPr>
              <w:tabs>
                <w:tab w:val="decimal" w:pos="743"/>
              </w:tabs>
              <w:spacing w:before="100" w:beforeAutospacing="1" w:after="100" w:afterAutospacing="1"/>
              <w:ind w:right="459"/>
              <w:jc w:val="right"/>
              <w:rPr>
                <w:rFonts w:ascii="Calibri" w:eastAsia="Times New Roman" w:hAnsi="Calibri" w:cs="Calibri"/>
                <w:color w:val="000000"/>
                <w:sz w:val="20"/>
                <w:szCs w:val="20"/>
                <w:lang w:eastAsia="zh-CN"/>
              </w:rPr>
            </w:pPr>
          </w:p>
        </w:tc>
      </w:tr>
      <w:tr w:rsidR="00685BE5" w:rsidRPr="00C41FC1" w:rsidTr="00F10536">
        <w:tc>
          <w:tcPr>
            <w:tcW w:w="3417" w:type="dxa"/>
            <w:tcBorders>
              <w:left w:val="nil"/>
              <w:bottom w:val="nil"/>
              <w:right w:val="nil"/>
            </w:tcBorders>
            <w:shd w:val="clear" w:color="auto" w:fill="auto"/>
            <w:noWrap/>
            <w:vAlign w:val="center"/>
            <w:hideMark/>
          </w:tcPr>
          <w:p w:rsidR="00685BE5" w:rsidRPr="00C41FC1" w:rsidRDefault="00685BE5" w:rsidP="00AE4C3A">
            <w:pPr>
              <w:tabs>
                <w:tab w:val="decimal" w:pos="459"/>
              </w:tabs>
              <w:spacing w:before="100" w:beforeAutospacing="1" w:after="100" w:afterAutospacing="1"/>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Bachelor degrees and above</w:t>
            </w:r>
          </w:p>
        </w:tc>
        <w:tc>
          <w:tcPr>
            <w:tcW w:w="1560" w:type="dxa"/>
            <w:tcBorders>
              <w:left w:val="nil"/>
              <w:bottom w:val="nil"/>
              <w:right w:val="nil"/>
            </w:tcBorders>
            <w:shd w:val="clear" w:color="auto" w:fill="auto"/>
            <w:noWrap/>
            <w:vAlign w:val="center"/>
            <w:hideMark/>
          </w:tcPr>
          <w:p w:rsidR="00685BE5" w:rsidRPr="00C41FC1" w:rsidRDefault="00685BE5" w:rsidP="00AE4C3A">
            <w:pPr>
              <w:tabs>
                <w:tab w:val="decimal" w:pos="743"/>
              </w:tabs>
              <w:spacing w:before="100" w:beforeAutospacing="1" w:after="100" w:afterAutospacing="1"/>
              <w:ind w:right="459"/>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93.0</w:t>
            </w:r>
          </w:p>
        </w:tc>
      </w:tr>
      <w:tr w:rsidR="00685BE5" w:rsidRPr="00C41FC1" w:rsidTr="00F10536">
        <w:tc>
          <w:tcPr>
            <w:tcW w:w="3417" w:type="dxa"/>
            <w:tcBorders>
              <w:top w:val="nil"/>
              <w:left w:val="nil"/>
              <w:bottom w:val="nil"/>
              <w:right w:val="nil"/>
            </w:tcBorders>
            <w:shd w:val="clear" w:color="auto" w:fill="auto"/>
            <w:noWrap/>
            <w:vAlign w:val="center"/>
            <w:hideMark/>
          </w:tcPr>
          <w:p w:rsidR="00685BE5" w:rsidRPr="00C41FC1" w:rsidRDefault="00685BE5" w:rsidP="00AE4C3A">
            <w:pPr>
              <w:tabs>
                <w:tab w:val="decimal" w:pos="459"/>
              </w:tabs>
              <w:spacing w:before="100" w:beforeAutospacing="1" w:after="100" w:afterAutospacing="1"/>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Diplomas and Certificates</w:t>
            </w:r>
          </w:p>
        </w:tc>
        <w:tc>
          <w:tcPr>
            <w:tcW w:w="1560" w:type="dxa"/>
            <w:tcBorders>
              <w:top w:val="nil"/>
              <w:left w:val="nil"/>
              <w:bottom w:val="nil"/>
              <w:right w:val="nil"/>
            </w:tcBorders>
            <w:shd w:val="clear" w:color="auto" w:fill="auto"/>
            <w:noWrap/>
            <w:vAlign w:val="center"/>
            <w:hideMark/>
          </w:tcPr>
          <w:p w:rsidR="00685BE5" w:rsidRPr="00C41FC1" w:rsidRDefault="00685BE5" w:rsidP="00AE4C3A">
            <w:pPr>
              <w:tabs>
                <w:tab w:val="decimal" w:pos="743"/>
              </w:tabs>
              <w:spacing w:before="100" w:beforeAutospacing="1" w:after="100" w:afterAutospacing="1"/>
              <w:ind w:right="459"/>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18.0</w:t>
            </w:r>
          </w:p>
        </w:tc>
      </w:tr>
      <w:tr w:rsidR="00685BE5" w:rsidRPr="00C41FC1" w:rsidTr="00F10536">
        <w:tc>
          <w:tcPr>
            <w:tcW w:w="3417" w:type="dxa"/>
            <w:tcBorders>
              <w:top w:val="nil"/>
              <w:left w:val="nil"/>
              <w:bottom w:val="nil"/>
              <w:right w:val="nil"/>
            </w:tcBorders>
            <w:shd w:val="clear" w:color="auto" w:fill="auto"/>
            <w:noWrap/>
            <w:vAlign w:val="center"/>
            <w:hideMark/>
          </w:tcPr>
          <w:p w:rsidR="00685BE5" w:rsidRPr="00C41FC1" w:rsidRDefault="00685BE5" w:rsidP="00AE4C3A">
            <w:pPr>
              <w:tabs>
                <w:tab w:val="decimal" w:pos="459"/>
              </w:tabs>
              <w:spacing w:before="100" w:beforeAutospacing="1" w:after="100" w:afterAutospacing="1"/>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Other</w:t>
            </w:r>
          </w:p>
        </w:tc>
        <w:tc>
          <w:tcPr>
            <w:tcW w:w="1560" w:type="dxa"/>
            <w:tcBorders>
              <w:top w:val="nil"/>
              <w:left w:val="nil"/>
              <w:bottom w:val="nil"/>
              <w:right w:val="nil"/>
            </w:tcBorders>
            <w:shd w:val="clear" w:color="auto" w:fill="auto"/>
            <w:noWrap/>
            <w:vAlign w:val="center"/>
            <w:hideMark/>
          </w:tcPr>
          <w:p w:rsidR="00685BE5" w:rsidRPr="00C41FC1" w:rsidRDefault="00685BE5" w:rsidP="00AE4C3A">
            <w:pPr>
              <w:tabs>
                <w:tab w:val="decimal" w:pos="743"/>
              </w:tabs>
              <w:spacing w:before="100" w:beforeAutospacing="1" w:after="100" w:afterAutospacing="1"/>
              <w:ind w:right="459"/>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5.5</w:t>
            </w:r>
          </w:p>
        </w:tc>
      </w:tr>
      <w:tr w:rsidR="00685BE5" w:rsidRPr="00C41FC1" w:rsidTr="00F10536">
        <w:tc>
          <w:tcPr>
            <w:tcW w:w="3417" w:type="dxa"/>
            <w:tcBorders>
              <w:top w:val="nil"/>
              <w:left w:val="nil"/>
              <w:bottom w:val="single" w:sz="4" w:space="0" w:color="auto"/>
              <w:right w:val="nil"/>
            </w:tcBorders>
            <w:shd w:val="clear" w:color="auto" w:fill="auto"/>
            <w:noWrap/>
            <w:vAlign w:val="center"/>
            <w:hideMark/>
          </w:tcPr>
          <w:p w:rsidR="00685BE5" w:rsidRPr="00C41FC1" w:rsidRDefault="00685BE5" w:rsidP="00AE4C3A">
            <w:pPr>
              <w:tabs>
                <w:tab w:val="decimal" w:pos="459"/>
              </w:tabs>
              <w:spacing w:before="100" w:beforeAutospacing="1" w:after="100" w:afterAutospacing="1"/>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No formal qualification</w:t>
            </w:r>
          </w:p>
        </w:tc>
        <w:tc>
          <w:tcPr>
            <w:tcW w:w="1560" w:type="dxa"/>
            <w:tcBorders>
              <w:top w:val="nil"/>
              <w:left w:val="nil"/>
              <w:bottom w:val="single" w:sz="4" w:space="0" w:color="auto"/>
              <w:right w:val="nil"/>
            </w:tcBorders>
            <w:shd w:val="clear" w:color="auto" w:fill="auto"/>
            <w:noWrap/>
            <w:vAlign w:val="center"/>
            <w:hideMark/>
          </w:tcPr>
          <w:p w:rsidR="00685BE5" w:rsidRPr="00C41FC1" w:rsidRDefault="00685BE5" w:rsidP="00AE4C3A">
            <w:pPr>
              <w:tabs>
                <w:tab w:val="decimal" w:pos="743"/>
              </w:tabs>
              <w:spacing w:before="100" w:beforeAutospacing="1" w:after="100" w:afterAutospacing="1"/>
              <w:ind w:right="459"/>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1.1</w:t>
            </w:r>
          </w:p>
        </w:tc>
      </w:tr>
      <w:tr w:rsidR="00685BE5" w:rsidRPr="00C41FC1" w:rsidTr="00F10536">
        <w:tc>
          <w:tcPr>
            <w:tcW w:w="3417" w:type="dxa"/>
            <w:tcBorders>
              <w:top w:val="single" w:sz="4" w:space="0" w:color="auto"/>
              <w:left w:val="nil"/>
              <w:bottom w:val="single" w:sz="4" w:space="0" w:color="auto"/>
              <w:right w:val="nil"/>
            </w:tcBorders>
            <w:shd w:val="clear" w:color="auto" w:fill="auto"/>
            <w:noWrap/>
            <w:vAlign w:val="center"/>
          </w:tcPr>
          <w:p w:rsidR="00685BE5" w:rsidRPr="007D2274" w:rsidRDefault="00685BE5" w:rsidP="00AE4C3A">
            <w:pPr>
              <w:tabs>
                <w:tab w:val="decimal" w:pos="459"/>
              </w:tabs>
              <w:spacing w:before="100" w:beforeAutospacing="1" w:after="100" w:afterAutospacing="1"/>
              <w:rPr>
                <w:sz w:val="20"/>
                <w:szCs w:val="20"/>
              </w:rPr>
            </w:pPr>
            <w:r w:rsidRPr="00C41FC1">
              <w:rPr>
                <w:rFonts w:ascii="Calibri" w:eastAsia="Times New Roman" w:hAnsi="Calibri" w:cs="Calibri"/>
                <w:b/>
                <w:color w:val="000000"/>
                <w:sz w:val="20"/>
                <w:szCs w:val="20"/>
                <w:lang w:eastAsia="zh-CN"/>
              </w:rPr>
              <w:t>Total (N=272)</w:t>
            </w:r>
          </w:p>
        </w:tc>
        <w:tc>
          <w:tcPr>
            <w:tcW w:w="1560" w:type="dxa"/>
            <w:tcBorders>
              <w:top w:val="single" w:sz="4" w:space="0" w:color="auto"/>
              <w:left w:val="nil"/>
              <w:bottom w:val="single" w:sz="4" w:space="0" w:color="auto"/>
              <w:right w:val="nil"/>
            </w:tcBorders>
            <w:shd w:val="clear" w:color="auto" w:fill="auto"/>
            <w:noWrap/>
            <w:vAlign w:val="center"/>
          </w:tcPr>
          <w:p w:rsidR="00685BE5" w:rsidRPr="00C41FC1" w:rsidRDefault="00685BE5" w:rsidP="00AE4C3A">
            <w:pPr>
              <w:tabs>
                <w:tab w:val="decimal" w:pos="743"/>
              </w:tabs>
              <w:spacing w:before="100" w:beforeAutospacing="1" w:after="100" w:afterAutospacing="1"/>
              <w:ind w:right="459"/>
              <w:jc w:val="right"/>
              <w:rPr>
                <w:rFonts w:ascii="Calibri" w:eastAsia="Times New Roman" w:hAnsi="Calibri" w:cs="Calibri"/>
                <w:b/>
                <w:color w:val="000000"/>
                <w:sz w:val="20"/>
                <w:szCs w:val="20"/>
                <w:lang w:eastAsia="zh-CN"/>
              </w:rPr>
            </w:pPr>
          </w:p>
        </w:tc>
      </w:tr>
    </w:tbl>
    <w:p w:rsidR="00685BE5" w:rsidRDefault="00685BE5" w:rsidP="00AE4C3A">
      <w:pPr>
        <w:pStyle w:val="NILSReference"/>
        <w:rPr>
          <w:rFonts w:eastAsia="SimHei"/>
        </w:rPr>
      </w:pPr>
      <w:r>
        <w:rPr>
          <w:rFonts w:eastAsia="SimHei"/>
        </w:rPr>
        <w:t xml:space="preserve">Source: </w:t>
      </w:r>
      <w:r w:rsidRPr="00AB33E3">
        <w:rPr>
          <w:rFonts w:eastAsia="SimHei"/>
        </w:rPr>
        <w:t>2014 NDIS self-employed DSP survey</w:t>
      </w:r>
      <w:r>
        <w:rPr>
          <w:rFonts w:eastAsia="SimHei"/>
        </w:rPr>
        <w:t>, Questions A7a and A7b</w:t>
      </w:r>
      <w:r w:rsidRPr="00AB33E3">
        <w:rPr>
          <w:rFonts w:eastAsia="SimHei"/>
        </w:rPr>
        <w:t>.</w:t>
      </w:r>
    </w:p>
    <w:p w:rsidR="00685BE5" w:rsidRPr="00AB33E3" w:rsidRDefault="00685BE5" w:rsidP="00AE4C3A">
      <w:pPr>
        <w:pStyle w:val="NILSReference"/>
        <w:rPr>
          <w:rFonts w:eastAsia="SimHei"/>
        </w:rPr>
      </w:pPr>
      <w:r>
        <w:rPr>
          <w:rFonts w:eastAsia="SimHei"/>
        </w:rPr>
        <w:t xml:space="preserve">Note: </w:t>
      </w:r>
      <w:r w:rsidRPr="007D2274">
        <w:rPr>
          <w:rFonts w:eastAsia="SimHei"/>
        </w:rPr>
        <w:t>Multiple responses allowed.</w:t>
      </w:r>
    </w:p>
    <w:p w:rsidR="00B92687" w:rsidRDefault="00B92687" w:rsidP="00AE4C3A"/>
    <w:p w:rsidR="00685BE5" w:rsidRDefault="00685BE5" w:rsidP="00AE4C3A">
      <w:r w:rsidRPr="00AB33E3">
        <w:t xml:space="preserve">Table </w:t>
      </w:r>
      <w:r>
        <w:t>4.52</w:t>
      </w:r>
      <w:r w:rsidRPr="00AB33E3">
        <w:t xml:space="preserve"> shows that more than 80 per cent of self-employed providers ha</w:t>
      </w:r>
      <w:r>
        <w:t>d</w:t>
      </w:r>
      <w:r w:rsidRPr="00AB33E3">
        <w:t xml:space="preserve"> qualifications in either ‘</w:t>
      </w:r>
      <w:r>
        <w:t>allied</w:t>
      </w:r>
      <w:r w:rsidRPr="00AB33E3">
        <w:t xml:space="preserve"> health’ (71 per cent) or ‘</w:t>
      </w:r>
      <w:r>
        <w:t>p</w:t>
      </w:r>
      <w:r w:rsidRPr="00AB33E3">
        <w:t>sychology/counselling’ (1</w:t>
      </w:r>
      <w:r>
        <w:t>3</w:t>
      </w:r>
      <w:r w:rsidRPr="00AB33E3">
        <w:t xml:space="preserve"> per cent). These </w:t>
      </w:r>
      <w:r>
        <w:t>we</w:t>
      </w:r>
      <w:r w:rsidRPr="00AB33E3">
        <w:t xml:space="preserve">re also the qualifications </w:t>
      </w:r>
      <w:r>
        <w:t>that</w:t>
      </w:r>
      <w:r w:rsidRPr="00AB33E3">
        <w:t xml:space="preserve"> </w:t>
      </w:r>
      <w:r>
        <w:t>we</w:t>
      </w:r>
      <w:r w:rsidRPr="00AB33E3">
        <w:t xml:space="preserve">re most relevant for their work. </w:t>
      </w:r>
    </w:p>
    <w:p w:rsidR="00B92687" w:rsidRPr="00AB33E3" w:rsidRDefault="00B92687" w:rsidP="00AE4C3A"/>
    <w:p w:rsidR="00685BE5" w:rsidRDefault="00685BE5" w:rsidP="00AE4C3A">
      <w:pPr>
        <w:contextualSpacing/>
        <w:rPr>
          <w:rFonts w:ascii="Calibri" w:eastAsia="Calibri" w:hAnsi="Calibri" w:cs="Calibri"/>
        </w:rPr>
      </w:pPr>
      <w:r w:rsidRPr="00AB33E3">
        <w:rPr>
          <w:rFonts w:ascii="Calibri" w:eastAsia="SimHei" w:hAnsi="Calibri" w:cs="Calibri"/>
        </w:rPr>
        <w:t xml:space="preserve">This </w:t>
      </w:r>
      <w:r>
        <w:rPr>
          <w:rFonts w:ascii="Calibri" w:eastAsia="SimHei" w:hAnsi="Calibri" w:cs="Calibri"/>
        </w:rPr>
        <w:t>wa</w:t>
      </w:r>
      <w:r w:rsidRPr="00AB33E3">
        <w:rPr>
          <w:rFonts w:ascii="Calibri" w:eastAsia="SimHei" w:hAnsi="Calibri" w:cs="Calibri"/>
        </w:rPr>
        <w:t>s quite different from the diversity for outlet employees. Only 1</w:t>
      </w:r>
      <w:r>
        <w:rPr>
          <w:rFonts w:ascii="Calibri" w:eastAsia="SimHei" w:hAnsi="Calibri" w:cs="Calibri"/>
        </w:rPr>
        <w:t>1</w:t>
      </w:r>
      <w:r w:rsidRPr="00AB33E3">
        <w:rPr>
          <w:rFonts w:ascii="Calibri" w:eastAsia="SimHei" w:hAnsi="Calibri" w:cs="Calibri"/>
        </w:rPr>
        <w:t xml:space="preserve"> per cent of employees ha</w:t>
      </w:r>
      <w:r>
        <w:rPr>
          <w:rFonts w:ascii="Calibri" w:eastAsia="SimHei" w:hAnsi="Calibri" w:cs="Calibri"/>
        </w:rPr>
        <w:t>d</w:t>
      </w:r>
      <w:r w:rsidRPr="00AB33E3">
        <w:rPr>
          <w:rFonts w:ascii="Calibri" w:eastAsia="SimHei" w:hAnsi="Calibri" w:cs="Calibri"/>
        </w:rPr>
        <w:t xml:space="preserve"> </w:t>
      </w:r>
      <w:r>
        <w:rPr>
          <w:rFonts w:ascii="Calibri" w:eastAsia="SimHei" w:hAnsi="Calibri" w:cs="Calibri"/>
        </w:rPr>
        <w:t>allied</w:t>
      </w:r>
      <w:r w:rsidRPr="00AB33E3">
        <w:rPr>
          <w:rFonts w:ascii="Calibri" w:eastAsia="SimHei" w:hAnsi="Calibri" w:cs="Calibri"/>
        </w:rPr>
        <w:t xml:space="preserve"> health or psychology/counselling as their highest qualification</w:t>
      </w:r>
      <w:r>
        <w:rPr>
          <w:rFonts w:ascii="Calibri" w:eastAsia="SimHei" w:hAnsi="Calibri" w:cs="Calibri"/>
        </w:rPr>
        <w:t xml:space="preserve"> (see Table 4.25)</w:t>
      </w:r>
      <w:r w:rsidRPr="00AB33E3">
        <w:rPr>
          <w:rFonts w:ascii="Calibri" w:eastAsia="SimHei" w:hAnsi="Calibri" w:cs="Calibri"/>
        </w:rPr>
        <w:t>. The top two prevalent fields of</w:t>
      </w:r>
      <w:r>
        <w:rPr>
          <w:rFonts w:ascii="Calibri" w:eastAsia="SimHei" w:hAnsi="Calibri" w:cs="Calibri"/>
        </w:rPr>
        <w:t xml:space="preserve"> study for outlet employees were</w:t>
      </w:r>
      <w:r w:rsidRPr="00AB33E3">
        <w:rPr>
          <w:rFonts w:ascii="Calibri" w:eastAsia="SimHei" w:hAnsi="Calibri" w:cs="Calibri"/>
        </w:rPr>
        <w:t xml:space="preserve"> </w:t>
      </w:r>
      <w:r w:rsidRPr="00AB33E3">
        <w:rPr>
          <w:rFonts w:ascii="Calibri" w:eastAsia="Calibri" w:hAnsi="Calibri" w:cs="Calibri"/>
        </w:rPr>
        <w:t>‘Disability/Disability Studies’ and ‘Community Work/Community Services/Welfare Services/Care Work’, which account</w:t>
      </w:r>
      <w:r>
        <w:rPr>
          <w:rFonts w:ascii="Calibri" w:eastAsia="Calibri" w:hAnsi="Calibri" w:cs="Calibri"/>
        </w:rPr>
        <w:t>ed</w:t>
      </w:r>
      <w:r w:rsidRPr="00AB33E3">
        <w:rPr>
          <w:rFonts w:ascii="Calibri" w:eastAsia="Calibri" w:hAnsi="Calibri" w:cs="Calibri"/>
        </w:rPr>
        <w:t xml:space="preserve"> for one third of their qualifications.</w:t>
      </w:r>
      <w:r>
        <w:rPr>
          <w:rFonts w:ascii="Calibri" w:eastAsia="Calibri" w:hAnsi="Calibri" w:cs="Calibri"/>
        </w:rPr>
        <w:t xml:space="preserve"> These differences suggest that the outlets and self-employed providers offered different services.</w:t>
      </w:r>
    </w:p>
    <w:p w:rsidR="00685BE5" w:rsidRPr="00AB33E3" w:rsidRDefault="00685BE5" w:rsidP="0044684E">
      <w:pPr>
        <w:pStyle w:val="NILSTableHeading"/>
      </w:pPr>
      <w:bookmarkStart w:id="716" w:name="_Toc428279259"/>
      <w:bookmarkStart w:id="717" w:name="_Toc449955390"/>
      <w:r w:rsidRPr="00AB33E3">
        <w:t xml:space="preserve">Table </w:t>
      </w:r>
      <w:r>
        <w:t>4.52</w:t>
      </w:r>
      <w:r w:rsidRPr="00AB33E3">
        <w:t>: Field of study of the highest and the most relevant qualification of self-employed providers of disability care and supports</w:t>
      </w:r>
      <w:bookmarkEnd w:id="716"/>
      <w:bookmarkEnd w:id="717"/>
    </w:p>
    <w:tbl>
      <w:tblPr>
        <w:tblW w:w="8662" w:type="dxa"/>
        <w:tblInd w:w="93" w:type="dxa"/>
        <w:tblLook w:val="04A0" w:firstRow="1" w:lastRow="0" w:firstColumn="1" w:lastColumn="0" w:noHBand="0" w:noVBand="1"/>
        <w:tblCaption w:val="Table 4.52 Field of study of the highest and the most relevant qualification of self-employed providers of disability care and supports"/>
      </w:tblPr>
      <w:tblGrid>
        <w:gridCol w:w="5848"/>
        <w:gridCol w:w="1255"/>
        <w:gridCol w:w="1559"/>
      </w:tblGrid>
      <w:tr w:rsidR="00685BE5" w:rsidRPr="00C41FC1" w:rsidTr="00FD721A">
        <w:trPr>
          <w:tblHeader/>
        </w:trPr>
        <w:tc>
          <w:tcPr>
            <w:tcW w:w="5848" w:type="dxa"/>
            <w:tcBorders>
              <w:top w:val="single" w:sz="4" w:space="0" w:color="auto"/>
              <w:left w:val="nil"/>
              <w:bottom w:val="single" w:sz="4" w:space="0" w:color="auto"/>
              <w:right w:val="nil"/>
            </w:tcBorders>
            <w:shd w:val="clear" w:color="auto" w:fill="auto"/>
            <w:noWrap/>
            <w:vAlign w:val="center"/>
            <w:hideMark/>
          </w:tcPr>
          <w:p w:rsidR="00685BE5" w:rsidRPr="00C41FC1" w:rsidRDefault="00685BE5" w:rsidP="00AE4C3A">
            <w:pPr>
              <w:spacing w:before="20" w:after="20"/>
              <w:rPr>
                <w:rFonts w:ascii="Calibri" w:eastAsia="Times New Roman" w:hAnsi="Calibri" w:cs="Calibri"/>
                <w:bCs/>
                <w:color w:val="000000"/>
                <w:sz w:val="20"/>
                <w:szCs w:val="20"/>
                <w:lang w:eastAsia="zh-CN"/>
              </w:rPr>
            </w:pPr>
            <w:r w:rsidRPr="00C41FC1">
              <w:rPr>
                <w:rFonts w:ascii="Calibri" w:eastAsia="Times New Roman" w:hAnsi="Calibri" w:cs="Calibri"/>
                <w:bCs/>
                <w:color w:val="000000"/>
                <w:sz w:val="20"/>
                <w:szCs w:val="20"/>
                <w:lang w:eastAsia="zh-CN"/>
              </w:rPr>
              <w:t> </w:t>
            </w:r>
            <w:bookmarkStart w:id="718" w:name="Title_4_52"/>
            <w:bookmarkEnd w:id="718"/>
          </w:p>
        </w:tc>
        <w:tc>
          <w:tcPr>
            <w:tcW w:w="1255" w:type="dxa"/>
            <w:tcBorders>
              <w:top w:val="single" w:sz="4" w:space="0" w:color="auto"/>
              <w:left w:val="nil"/>
              <w:bottom w:val="single" w:sz="4" w:space="0" w:color="auto"/>
              <w:right w:val="nil"/>
            </w:tcBorders>
            <w:shd w:val="clear" w:color="auto" w:fill="auto"/>
            <w:vAlign w:val="center"/>
            <w:hideMark/>
          </w:tcPr>
          <w:p w:rsidR="0096484D" w:rsidRDefault="00685BE5" w:rsidP="0096484D">
            <w:pPr>
              <w:spacing w:before="20" w:after="20"/>
              <w:jc w:val="center"/>
              <w:rPr>
                <w:rFonts w:ascii="Calibri" w:eastAsia="Times New Roman" w:hAnsi="Calibri" w:cs="Calibri"/>
                <w:bCs/>
                <w:color w:val="000000"/>
                <w:sz w:val="20"/>
                <w:szCs w:val="20"/>
                <w:lang w:eastAsia="zh-CN"/>
              </w:rPr>
            </w:pPr>
            <w:r w:rsidRPr="00C41FC1">
              <w:rPr>
                <w:rFonts w:ascii="Calibri" w:eastAsia="Times New Roman" w:hAnsi="Calibri" w:cs="Calibri"/>
                <w:bCs/>
                <w:color w:val="000000"/>
                <w:sz w:val="20"/>
                <w:szCs w:val="20"/>
                <w:lang w:eastAsia="zh-CN"/>
              </w:rPr>
              <w:t>Highest qualification</w:t>
            </w:r>
            <w:r w:rsidR="000669CB">
              <w:rPr>
                <w:rFonts w:ascii="Calibri" w:eastAsia="Times New Roman" w:hAnsi="Calibri" w:cs="Calibri"/>
                <w:bCs/>
                <w:color w:val="000000"/>
                <w:sz w:val="20"/>
                <w:szCs w:val="20"/>
                <w:lang w:eastAsia="zh-CN"/>
              </w:rPr>
              <w:t xml:space="preserve"> </w:t>
            </w:r>
          </w:p>
          <w:p w:rsidR="00685BE5" w:rsidRPr="00C41FC1" w:rsidRDefault="0096484D" w:rsidP="0096484D">
            <w:pPr>
              <w:spacing w:before="20" w:after="20"/>
              <w:jc w:val="center"/>
              <w:rPr>
                <w:rFonts w:ascii="Calibri" w:eastAsia="Times New Roman" w:hAnsi="Calibri" w:cs="Calibri"/>
                <w:bCs/>
                <w:color w:val="000000"/>
                <w:sz w:val="20"/>
                <w:szCs w:val="20"/>
                <w:lang w:eastAsia="zh-CN"/>
              </w:rPr>
            </w:pPr>
            <w:r>
              <w:rPr>
                <w:rFonts w:ascii="Calibri" w:eastAsia="Times New Roman" w:hAnsi="Calibri" w:cs="Calibri"/>
                <w:bCs/>
                <w:color w:val="000000"/>
                <w:sz w:val="20"/>
                <w:szCs w:val="20"/>
                <w:lang w:eastAsia="zh-CN"/>
              </w:rPr>
              <w:t>%</w:t>
            </w:r>
          </w:p>
        </w:tc>
        <w:tc>
          <w:tcPr>
            <w:tcW w:w="1559" w:type="dxa"/>
            <w:tcBorders>
              <w:top w:val="single" w:sz="4" w:space="0" w:color="auto"/>
              <w:left w:val="nil"/>
              <w:bottom w:val="single" w:sz="4" w:space="0" w:color="auto"/>
              <w:right w:val="nil"/>
            </w:tcBorders>
            <w:shd w:val="clear" w:color="auto" w:fill="auto"/>
            <w:vAlign w:val="bottom"/>
            <w:hideMark/>
          </w:tcPr>
          <w:p w:rsidR="0096484D" w:rsidRDefault="00685BE5" w:rsidP="0096484D">
            <w:pPr>
              <w:spacing w:before="20" w:after="20"/>
              <w:ind w:right="55"/>
              <w:jc w:val="center"/>
              <w:rPr>
                <w:rFonts w:ascii="Calibri" w:eastAsia="Times New Roman" w:hAnsi="Calibri" w:cs="Calibri"/>
                <w:bCs/>
                <w:color w:val="000000"/>
                <w:sz w:val="20"/>
                <w:szCs w:val="20"/>
                <w:lang w:eastAsia="zh-CN"/>
              </w:rPr>
            </w:pPr>
            <w:r w:rsidRPr="00C41FC1">
              <w:rPr>
                <w:rFonts w:ascii="Calibri" w:eastAsia="Times New Roman" w:hAnsi="Calibri" w:cs="Calibri"/>
                <w:bCs/>
                <w:color w:val="000000"/>
                <w:sz w:val="20"/>
                <w:szCs w:val="20"/>
                <w:lang w:eastAsia="zh-CN"/>
              </w:rPr>
              <w:t>Most relevant qualification</w:t>
            </w:r>
            <w:r w:rsidR="0058291A">
              <w:rPr>
                <w:rFonts w:ascii="Calibri" w:eastAsia="Times New Roman" w:hAnsi="Calibri" w:cs="Calibri"/>
                <w:bCs/>
                <w:color w:val="000000"/>
                <w:sz w:val="20"/>
                <w:szCs w:val="20"/>
                <w:lang w:eastAsia="zh-CN"/>
              </w:rPr>
              <w:t xml:space="preserve"> </w:t>
            </w:r>
          </w:p>
          <w:p w:rsidR="000669CB" w:rsidRPr="00C41FC1" w:rsidRDefault="0096484D" w:rsidP="0096484D">
            <w:pPr>
              <w:spacing w:before="20" w:after="20"/>
              <w:ind w:right="55"/>
              <w:jc w:val="center"/>
              <w:rPr>
                <w:rFonts w:ascii="Calibri" w:eastAsia="Times New Roman" w:hAnsi="Calibri" w:cs="Calibri"/>
                <w:bCs/>
                <w:color w:val="000000"/>
                <w:sz w:val="20"/>
                <w:szCs w:val="20"/>
                <w:lang w:eastAsia="zh-CN"/>
              </w:rPr>
            </w:pPr>
            <w:r>
              <w:rPr>
                <w:rFonts w:ascii="Calibri" w:eastAsia="Times New Roman" w:hAnsi="Calibri" w:cs="Calibri"/>
                <w:bCs/>
                <w:color w:val="000000"/>
                <w:sz w:val="20"/>
                <w:szCs w:val="20"/>
                <w:lang w:eastAsia="zh-CN"/>
              </w:rPr>
              <w:t>%</w:t>
            </w:r>
          </w:p>
        </w:tc>
      </w:tr>
      <w:tr w:rsidR="00685BE5" w:rsidRPr="00C41FC1" w:rsidTr="00FD721A">
        <w:tc>
          <w:tcPr>
            <w:tcW w:w="5848" w:type="dxa"/>
            <w:tcBorders>
              <w:top w:val="nil"/>
              <w:left w:val="nil"/>
              <w:bottom w:val="nil"/>
              <w:right w:val="nil"/>
            </w:tcBorders>
            <w:shd w:val="clear" w:color="auto" w:fill="auto"/>
            <w:noWrap/>
            <w:vAlign w:val="center"/>
            <w:hideMark/>
          </w:tcPr>
          <w:p w:rsidR="00685BE5" w:rsidRPr="00C41FC1" w:rsidRDefault="00685BE5" w:rsidP="00AE4C3A">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 xml:space="preserve">Social </w:t>
            </w:r>
            <w:r>
              <w:rPr>
                <w:rFonts w:ascii="Calibri" w:eastAsia="Times New Roman" w:hAnsi="Calibri" w:cs="Calibri"/>
                <w:color w:val="000000"/>
                <w:sz w:val="20"/>
                <w:szCs w:val="20"/>
                <w:lang w:eastAsia="zh-CN"/>
              </w:rPr>
              <w:t>w</w:t>
            </w:r>
            <w:r w:rsidRPr="00C41FC1">
              <w:rPr>
                <w:rFonts w:ascii="Calibri" w:eastAsia="Times New Roman" w:hAnsi="Calibri" w:cs="Calibri"/>
                <w:color w:val="000000"/>
                <w:sz w:val="20"/>
                <w:szCs w:val="20"/>
                <w:lang w:eastAsia="zh-CN"/>
              </w:rPr>
              <w:t>ork</w:t>
            </w:r>
          </w:p>
        </w:tc>
        <w:tc>
          <w:tcPr>
            <w:tcW w:w="1255" w:type="dxa"/>
            <w:tcBorders>
              <w:top w:val="nil"/>
              <w:left w:val="nil"/>
              <w:bottom w:val="nil"/>
              <w:right w:val="nil"/>
            </w:tcBorders>
            <w:shd w:val="clear" w:color="auto" w:fill="auto"/>
            <w:noWrap/>
            <w:vAlign w:val="center"/>
            <w:hideMark/>
          </w:tcPr>
          <w:p w:rsidR="00685BE5" w:rsidRPr="00C41FC1" w:rsidRDefault="00685BE5" w:rsidP="00FD721A">
            <w:pPr>
              <w:spacing w:before="20" w:after="20"/>
              <w:ind w:right="339"/>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1.5</w:t>
            </w:r>
          </w:p>
        </w:tc>
        <w:tc>
          <w:tcPr>
            <w:tcW w:w="1559" w:type="dxa"/>
            <w:tcBorders>
              <w:top w:val="nil"/>
              <w:left w:val="nil"/>
              <w:bottom w:val="nil"/>
              <w:right w:val="nil"/>
            </w:tcBorders>
            <w:shd w:val="clear" w:color="auto" w:fill="auto"/>
            <w:noWrap/>
            <w:vAlign w:val="bottom"/>
            <w:hideMark/>
          </w:tcPr>
          <w:p w:rsidR="00685BE5" w:rsidRPr="00C41FC1" w:rsidRDefault="00685BE5" w:rsidP="00AE4C3A">
            <w:pPr>
              <w:tabs>
                <w:tab w:val="decimal" w:pos="627"/>
              </w:tabs>
              <w:spacing w:before="20" w:after="20"/>
              <w:ind w:right="459"/>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1.8</w:t>
            </w:r>
          </w:p>
        </w:tc>
      </w:tr>
      <w:tr w:rsidR="00685BE5" w:rsidRPr="00C41FC1" w:rsidTr="00FD721A">
        <w:tc>
          <w:tcPr>
            <w:tcW w:w="5848" w:type="dxa"/>
            <w:tcBorders>
              <w:top w:val="nil"/>
              <w:left w:val="nil"/>
              <w:bottom w:val="nil"/>
              <w:right w:val="nil"/>
            </w:tcBorders>
            <w:shd w:val="clear" w:color="auto" w:fill="auto"/>
            <w:noWrap/>
            <w:vAlign w:val="center"/>
            <w:hideMark/>
          </w:tcPr>
          <w:p w:rsidR="00685BE5" w:rsidRPr="00C41FC1" w:rsidRDefault="00685BE5" w:rsidP="00AE4C3A">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Disability/</w:t>
            </w:r>
            <w:r>
              <w:rPr>
                <w:rFonts w:ascii="Calibri" w:eastAsia="Times New Roman" w:hAnsi="Calibri" w:cs="Calibri"/>
                <w:color w:val="000000"/>
                <w:sz w:val="20"/>
                <w:szCs w:val="20"/>
                <w:lang w:eastAsia="zh-CN"/>
              </w:rPr>
              <w:t>d</w:t>
            </w:r>
            <w:r w:rsidRPr="00C41FC1">
              <w:rPr>
                <w:rFonts w:ascii="Calibri" w:eastAsia="Times New Roman" w:hAnsi="Calibri" w:cs="Calibri"/>
                <w:color w:val="000000"/>
                <w:sz w:val="20"/>
                <w:szCs w:val="20"/>
                <w:lang w:eastAsia="zh-CN"/>
              </w:rPr>
              <w:t xml:space="preserve">isability </w:t>
            </w:r>
            <w:r>
              <w:rPr>
                <w:rFonts w:ascii="Calibri" w:eastAsia="Times New Roman" w:hAnsi="Calibri" w:cs="Calibri"/>
                <w:color w:val="000000"/>
                <w:sz w:val="20"/>
                <w:szCs w:val="20"/>
                <w:lang w:eastAsia="zh-CN"/>
              </w:rPr>
              <w:t>s</w:t>
            </w:r>
            <w:r w:rsidRPr="00C41FC1">
              <w:rPr>
                <w:rFonts w:ascii="Calibri" w:eastAsia="Times New Roman" w:hAnsi="Calibri" w:cs="Calibri"/>
                <w:color w:val="000000"/>
                <w:sz w:val="20"/>
                <w:szCs w:val="20"/>
                <w:lang w:eastAsia="zh-CN"/>
              </w:rPr>
              <w:t>tudies</w:t>
            </w:r>
          </w:p>
        </w:tc>
        <w:tc>
          <w:tcPr>
            <w:tcW w:w="1255" w:type="dxa"/>
            <w:tcBorders>
              <w:top w:val="nil"/>
              <w:left w:val="nil"/>
              <w:bottom w:val="nil"/>
              <w:right w:val="nil"/>
            </w:tcBorders>
            <w:shd w:val="clear" w:color="auto" w:fill="auto"/>
            <w:noWrap/>
            <w:vAlign w:val="center"/>
            <w:hideMark/>
          </w:tcPr>
          <w:p w:rsidR="00685BE5" w:rsidRPr="00C41FC1" w:rsidRDefault="00685BE5" w:rsidP="00FD721A">
            <w:pPr>
              <w:spacing w:before="20" w:after="20"/>
              <w:ind w:right="339"/>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1.5</w:t>
            </w:r>
          </w:p>
        </w:tc>
        <w:tc>
          <w:tcPr>
            <w:tcW w:w="1559" w:type="dxa"/>
            <w:tcBorders>
              <w:top w:val="nil"/>
              <w:left w:val="nil"/>
              <w:bottom w:val="nil"/>
              <w:right w:val="nil"/>
            </w:tcBorders>
            <w:shd w:val="clear" w:color="auto" w:fill="auto"/>
            <w:noWrap/>
            <w:vAlign w:val="bottom"/>
            <w:hideMark/>
          </w:tcPr>
          <w:p w:rsidR="00685BE5" w:rsidRPr="00C41FC1" w:rsidRDefault="00685BE5" w:rsidP="00AE4C3A">
            <w:pPr>
              <w:tabs>
                <w:tab w:val="decimal" w:pos="627"/>
              </w:tabs>
              <w:spacing w:before="20" w:after="20"/>
              <w:ind w:right="459"/>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1.5</w:t>
            </w:r>
          </w:p>
        </w:tc>
      </w:tr>
      <w:tr w:rsidR="00685BE5" w:rsidRPr="00C41FC1" w:rsidTr="00FD721A">
        <w:tc>
          <w:tcPr>
            <w:tcW w:w="5848" w:type="dxa"/>
            <w:tcBorders>
              <w:top w:val="nil"/>
              <w:left w:val="nil"/>
              <w:bottom w:val="nil"/>
              <w:right w:val="nil"/>
            </w:tcBorders>
            <w:shd w:val="clear" w:color="auto" w:fill="auto"/>
            <w:noWrap/>
            <w:vAlign w:val="center"/>
            <w:hideMark/>
          </w:tcPr>
          <w:p w:rsidR="00685BE5" w:rsidRPr="00C41FC1" w:rsidRDefault="00685BE5" w:rsidP="00AE4C3A">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Nursing</w:t>
            </w:r>
          </w:p>
        </w:tc>
        <w:tc>
          <w:tcPr>
            <w:tcW w:w="1255" w:type="dxa"/>
            <w:tcBorders>
              <w:top w:val="nil"/>
              <w:left w:val="nil"/>
              <w:bottom w:val="nil"/>
              <w:right w:val="nil"/>
            </w:tcBorders>
            <w:shd w:val="clear" w:color="auto" w:fill="auto"/>
            <w:noWrap/>
            <w:vAlign w:val="center"/>
            <w:hideMark/>
          </w:tcPr>
          <w:p w:rsidR="00685BE5" w:rsidRPr="00C41FC1" w:rsidRDefault="00685BE5" w:rsidP="00FD721A">
            <w:pPr>
              <w:spacing w:before="20" w:after="20"/>
              <w:ind w:right="339"/>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0.7</w:t>
            </w:r>
          </w:p>
        </w:tc>
        <w:tc>
          <w:tcPr>
            <w:tcW w:w="1559" w:type="dxa"/>
            <w:tcBorders>
              <w:top w:val="nil"/>
              <w:left w:val="nil"/>
              <w:bottom w:val="nil"/>
              <w:right w:val="nil"/>
            </w:tcBorders>
            <w:shd w:val="clear" w:color="auto" w:fill="auto"/>
            <w:noWrap/>
            <w:vAlign w:val="bottom"/>
            <w:hideMark/>
          </w:tcPr>
          <w:p w:rsidR="00685BE5" w:rsidRPr="00C41FC1" w:rsidRDefault="00685BE5" w:rsidP="00AE4C3A">
            <w:pPr>
              <w:tabs>
                <w:tab w:val="decimal" w:pos="627"/>
              </w:tabs>
              <w:spacing w:before="20" w:after="20"/>
              <w:ind w:right="459"/>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0.4</w:t>
            </w:r>
          </w:p>
        </w:tc>
      </w:tr>
      <w:tr w:rsidR="00685BE5" w:rsidRPr="00C41FC1" w:rsidTr="00FD721A">
        <w:tc>
          <w:tcPr>
            <w:tcW w:w="5848" w:type="dxa"/>
            <w:tcBorders>
              <w:top w:val="nil"/>
              <w:left w:val="nil"/>
              <w:bottom w:val="nil"/>
              <w:right w:val="nil"/>
            </w:tcBorders>
            <w:shd w:val="clear" w:color="auto" w:fill="auto"/>
            <w:noWrap/>
            <w:vAlign w:val="center"/>
            <w:hideMark/>
          </w:tcPr>
          <w:p w:rsidR="00685BE5" w:rsidRPr="00C41FC1" w:rsidRDefault="00685BE5" w:rsidP="00AE4C3A">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Psychology/</w:t>
            </w:r>
            <w:r>
              <w:rPr>
                <w:rFonts w:ascii="Calibri" w:eastAsia="Times New Roman" w:hAnsi="Calibri" w:cs="Calibri"/>
                <w:color w:val="000000"/>
                <w:sz w:val="20"/>
                <w:szCs w:val="20"/>
                <w:lang w:eastAsia="zh-CN"/>
              </w:rPr>
              <w:t>c</w:t>
            </w:r>
            <w:r w:rsidRPr="00C41FC1">
              <w:rPr>
                <w:rFonts w:ascii="Calibri" w:eastAsia="Times New Roman" w:hAnsi="Calibri" w:cs="Calibri"/>
                <w:color w:val="000000"/>
                <w:sz w:val="20"/>
                <w:szCs w:val="20"/>
                <w:lang w:eastAsia="zh-CN"/>
              </w:rPr>
              <w:t>ounselling</w:t>
            </w:r>
          </w:p>
        </w:tc>
        <w:tc>
          <w:tcPr>
            <w:tcW w:w="1255" w:type="dxa"/>
            <w:tcBorders>
              <w:top w:val="nil"/>
              <w:left w:val="nil"/>
              <w:bottom w:val="nil"/>
              <w:right w:val="nil"/>
            </w:tcBorders>
            <w:shd w:val="clear" w:color="auto" w:fill="auto"/>
            <w:noWrap/>
            <w:vAlign w:val="center"/>
            <w:hideMark/>
          </w:tcPr>
          <w:p w:rsidR="00685BE5" w:rsidRPr="00C41FC1" w:rsidRDefault="00685BE5" w:rsidP="00FD721A">
            <w:pPr>
              <w:spacing w:before="20" w:after="20"/>
              <w:ind w:right="339"/>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12.9</w:t>
            </w:r>
          </w:p>
        </w:tc>
        <w:tc>
          <w:tcPr>
            <w:tcW w:w="1559" w:type="dxa"/>
            <w:tcBorders>
              <w:top w:val="nil"/>
              <w:left w:val="nil"/>
              <w:bottom w:val="nil"/>
              <w:right w:val="nil"/>
            </w:tcBorders>
            <w:shd w:val="clear" w:color="auto" w:fill="auto"/>
            <w:noWrap/>
            <w:vAlign w:val="bottom"/>
            <w:hideMark/>
          </w:tcPr>
          <w:p w:rsidR="00685BE5" w:rsidRPr="00C41FC1" w:rsidRDefault="00685BE5" w:rsidP="00AE4C3A">
            <w:pPr>
              <w:tabs>
                <w:tab w:val="decimal" w:pos="627"/>
              </w:tabs>
              <w:spacing w:before="20" w:after="20"/>
              <w:ind w:right="459"/>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12.9</w:t>
            </w:r>
          </w:p>
        </w:tc>
      </w:tr>
      <w:tr w:rsidR="00685BE5" w:rsidRPr="00C41FC1" w:rsidTr="00FD721A">
        <w:tc>
          <w:tcPr>
            <w:tcW w:w="5848" w:type="dxa"/>
            <w:tcBorders>
              <w:top w:val="nil"/>
              <w:left w:val="nil"/>
              <w:bottom w:val="nil"/>
              <w:right w:val="nil"/>
            </w:tcBorders>
            <w:shd w:val="clear" w:color="auto" w:fill="auto"/>
            <w:noWrap/>
            <w:vAlign w:val="center"/>
            <w:hideMark/>
          </w:tcPr>
          <w:p w:rsidR="00685BE5" w:rsidRPr="00C41FC1" w:rsidRDefault="00685BE5" w:rsidP="00AE4C3A">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 xml:space="preserve">Community </w:t>
            </w:r>
            <w:r>
              <w:rPr>
                <w:rFonts w:ascii="Calibri" w:eastAsia="Times New Roman" w:hAnsi="Calibri" w:cs="Calibri"/>
                <w:color w:val="000000"/>
                <w:sz w:val="20"/>
                <w:szCs w:val="20"/>
                <w:lang w:eastAsia="zh-CN"/>
              </w:rPr>
              <w:t>w</w:t>
            </w:r>
            <w:r w:rsidRPr="00C41FC1">
              <w:rPr>
                <w:rFonts w:ascii="Calibri" w:eastAsia="Times New Roman" w:hAnsi="Calibri" w:cs="Calibri"/>
                <w:color w:val="000000"/>
                <w:sz w:val="20"/>
                <w:szCs w:val="20"/>
                <w:lang w:eastAsia="zh-CN"/>
              </w:rPr>
              <w:t>ork/</w:t>
            </w:r>
            <w:r>
              <w:rPr>
                <w:rFonts w:ascii="Calibri" w:eastAsia="Times New Roman" w:hAnsi="Calibri" w:cs="Calibri"/>
                <w:color w:val="000000"/>
                <w:sz w:val="20"/>
                <w:szCs w:val="20"/>
                <w:lang w:eastAsia="zh-CN"/>
              </w:rPr>
              <w:t>c</w:t>
            </w:r>
            <w:r w:rsidRPr="00C41FC1">
              <w:rPr>
                <w:rFonts w:ascii="Calibri" w:eastAsia="Times New Roman" w:hAnsi="Calibri" w:cs="Calibri"/>
                <w:color w:val="000000"/>
                <w:sz w:val="20"/>
                <w:szCs w:val="20"/>
                <w:lang w:eastAsia="zh-CN"/>
              </w:rPr>
              <w:t xml:space="preserve">ommunity </w:t>
            </w:r>
            <w:r>
              <w:rPr>
                <w:rFonts w:ascii="Calibri" w:eastAsia="Times New Roman" w:hAnsi="Calibri" w:cs="Calibri"/>
                <w:color w:val="000000"/>
                <w:sz w:val="20"/>
                <w:szCs w:val="20"/>
                <w:lang w:eastAsia="zh-CN"/>
              </w:rPr>
              <w:t>s</w:t>
            </w:r>
            <w:r w:rsidRPr="00C41FC1">
              <w:rPr>
                <w:rFonts w:ascii="Calibri" w:eastAsia="Times New Roman" w:hAnsi="Calibri" w:cs="Calibri"/>
                <w:color w:val="000000"/>
                <w:sz w:val="20"/>
                <w:szCs w:val="20"/>
                <w:lang w:eastAsia="zh-CN"/>
              </w:rPr>
              <w:t>ervices/</w:t>
            </w:r>
            <w:r>
              <w:rPr>
                <w:rFonts w:ascii="Calibri" w:eastAsia="Times New Roman" w:hAnsi="Calibri" w:cs="Calibri"/>
                <w:color w:val="000000"/>
                <w:sz w:val="20"/>
                <w:szCs w:val="20"/>
                <w:lang w:eastAsia="zh-CN"/>
              </w:rPr>
              <w:t>w</w:t>
            </w:r>
            <w:r w:rsidRPr="00C41FC1">
              <w:rPr>
                <w:rFonts w:ascii="Calibri" w:eastAsia="Times New Roman" w:hAnsi="Calibri" w:cs="Calibri"/>
                <w:color w:val="000000"/>
                <w:sz w:val="20"/>
                <w:szCs w:val="20"/>
                <w:lang w:eastAsia="zh-CN"/>
              </w:rPr>
              <w:t xml:space="preserve">elfare </w:t>
            </w:r>
            <w:r>
              <w:rPr>
                <w:rFonts w:ascii="Calibri" w:eastAsia="Times New Roman" w:hAnsi="Calibri" w:cs="Calibri"/>
                <w:color w:val="000000"/>
                <w:sz w:val="20"/>
                <w:szCs w:val="20"/>
                <w:lang w:eastAsia="zh-CN"/>
              </w:rPr>
              <w:t>s</w:t>
            </w:r>
            <w:r w:rsidRPr="00C41FC1">
              <w:rPr>
                <w:rFonts w:ascii="Calibri" w:eastAsia="Times New Roman" w:hAnsi="Calibri" w:cs="Calibri"/>
                <w:color w:val="000000"/>
                <w:sz w:val="20"/>
                <w:szCs w:val="20"/>
                <w:lang w:eastAsia="zh-CN"/>
              </w:rPr>
              <w:t>ervices/</w:t>
            </w:r>
            <w:r>
              <w:rPr>
                <w:rFonts w:ascii="Calibri" w:eastAsia="Times New Roman" w:hAnsi="Calibri" w:cs="Calibri"/>
                <w:color w:val="000000"/>
                <w:sz w:val="20"/>
                <w:szCs w:val="20"/>
                <w:lang w:eastAsia="zh-CN"/>
              </w:rPr>
              <w:t>c</w:t>
            </w:r>
            <w:r w:rsidRPr="00C41FC1">
              <w:rPr>
                <w:rFonts w:ascii="Calibri" w:eastAsia="Times New Roman" w:hAnsi="Calibri" w:cs="Calibri"/>
                <w:color w:val="000000"/>
                <w:sz w:val="20"/>
                <w:szCs w:val="20"/>
                <w:lang w:eastAsia="zh-CN"/>
              </w:rPr>
              <w:t xml:space="preserve">are </w:t>
            </w:r>
            <w:r>
              <w:rPr>
                <w:rFonts w:ascii="Calibri" w:eastAsia="Times New Roman" w:hAnsi="Calibri" w:cs="Calibri"/>
                <w:color w:val="000000"/>
                <w:sz w:val="20"/>
                <w:szCs w:val="20"/>
                <w:lang w:eastAsia="zh-CN"/>
              </w:rPr>
              <w:t>w</w:t>
            </w:r>
            <w:r w:rsidRPr="00C41FC1">
              <w:rPr>
                <w:rFonts w:ascii="Calibri" w:eastAsia="Times New Roman" w:hAnsi="Calibri" w:cs="Calibri"/>
                <w:color w:val="000000"/>
                <w:sz w:val="20"/>
                <w:szCs w:val="20"/>
                <w:lang w:eastAsia="zh-CN"/>
              </w:rPr>
              <w:t>ork</w:t>
            </w:r>
          </w:p>
        </w:tc>
        <w:tc>
          <w:tcPr>
            <w:tcW w:w="1255" w:type="dxa"/>
            <w:tcBorders>
              <w:top w:val="nil"/>
              <w:left w:val="nil"/>
              <w:bottom w:val="nil"/>
              <w:right w:val="nil"/>
            </w:tcBorders>
            <w:shd w:val="clear" w:color="auto" w:fill="auto"/>
            <w:noWrap/>
            <w:vAlign w:val="center"/>
            <w:hideMark/>
          </w:tcPr>
          <w:p w:rsidR="00685BE5" w:rsidRPr="00C41FC1" w:rsidRDefault="00685BE5" w:rsidP="00FD721A">
            <w:pPr>
              <w:spacing w:before="20" w:after="20"/>
              <w:ind w:right="339"/>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0.4</w:t>
            </w:r>
          </w:p>
        </w:tc>
        <w:tc>
          <w:tcPr>
            <w:tcW w:w="1559" w:type="dxa"/>
            <w:tcBorders>
              <w:top w:val="nil"/>
              <w:left w:val="nil"/>
              <w:bottom w:val="nil"/>
              <w:right w:val="nil"/>
            </w:tcBorders>
            <w:shd w:val="clear" w:color="auto" w:fill="auto"/>
            <w:noWrap/>
            <w:vAlign w:val="bottom"/>
            <w:hideMark/>
          </w:tcPr>
          <w:p w:rsidR="00685BE5" w:rsidRPr="00C41FC1" w:rsidRDefault="00685BE5" w:rsidP="00AE4C3A">
            <w:pPr>
              <w:tabs>
                <w:tab w:val="decimal" w:pos="627"/>
              </w:tabs>
              <w:spacing w:before="20" w:after="20"/>
              <w:ind w:right="459"/>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0</w:t>
            </w:r>
          </w:p>
        </w:tc>
      </w:tr>
      <w:tr w:rsidR="00685BE5" w:rsidRPr="00C41FC1" w:rsidTr="00FD721A">
        <w:tc>
          <w:tcPr>
            <w:tcW w:w="5848" w:type="dxa"/>
            <w:tcBorders>
              <w:top w:val="nil"/>
              <w:left w:val="nil"/>
              <w:bottom w:val="nil"/>
              <w:right w:val="nil"/>
            </w:tcBorders>
            <w:shd w:val="clear" w:color="auto" w:fill="auto"/>
            <w:noWrap/>
            <w:vAlign w:val="center"/>
            <w:hideMark/>
          </w:tcPr>
          <w:p w:rsidR="00685BE5" w:rsidRPr="00C41FC1" w:rsidRDefault="00685BE5" w:rsidP="00AE4C3A">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 xml:space="preserve">Allied </w:t>
            </w:r>
            <w:r>
              <w:rPr>
                <w:rFonts w:ascii="Calibri" w:eastAsia="Times New Roman" w:hAnsi="Calibri" w:cs="Calibri"/>
                <w:color w:val="000000"/>
                <w:sz w:val="20"/>
                <w:szCs w:val="20"/>
                <w:lang w:eastAsia="zh-CN"/>
              </w:rPr>
              <w:t>h</w:t>
            </w:r>
            <w:r w:rsidRPr="00C41FC1">
              <w:rPr>
                <w:rFonts w:ascii="Calibri" w:eastAsia="Times New Roman" w:hAnsi="Calibri" w:cs="Calibri"/>
                <w:color w:val="000000"/>
                <w:sz w:val="20"/>
                <w:szCs w:val="20"/>
                <w:lang w:eastAsia="zh-CN"/>
              </w:rPr>
              <w:t xml:space="preserve">ealth (e.g. </w:t>
            </w:r>
            <w:r>
              <w:rPr>
                <w:rFonts w:ascii="Calibri" w:eastAsia="Times New Roman" w:hAnsi="Calibri" w:cs="Calibri"/>
                <w:color w:val="000000"/>
                <w:sz w:val="20"/>
                <w:szCs w:val="20"/>
                <w:lang w:eastAsia="zh-CN"/>
              </w:rPr>
              <w:t>p</w:t>
            </w:r>
            <w:r w:rsidRPr="00C41FC1">
              <w:rPr>
                <w:rFonts w:ascii="Calibri" w:eastAsia="Times New Roman" w:hAnsi="Calibri" w:cs="Calibri"/>
                <w:color w:val="000000"/>
                <w:sz w:val="20"/>
                <w:szCs w:val="20"/>
                <w:lang w:eastAsia="zh-CN"/>
              </w:rPr>
              <w:t xml:space="preserve">hysiotherapy, </w:t>
            </w:r>
            <w:r>
              <w:rPr>
                <w:rFonts w:ascii="Calibri" w:eastAsia="Times New Roman" w:hAnsi="Calibri" w:cs="Calibri"/>
                <w:color w:val="000000"/>
                <w:sz w:val="20"/>
                <w:szCs w:val="20"/>
                <w:lang w:eastAsia="zh-CN"/>
              </w:rPr>
              <w:t>p</w:t>
            </w:r>
            <w:r w:rsidRPr="00C41FC1">
              <w:rPr>
                <w:rFonts w:ascii="Calibri" w:eastAsia="Times New Roman" w:hAnsi="Calibri" w:cs="Calibri"/>
                <w:color w:val="000000"/>
                <w:sz w:val="20"/>
                <w:szCs w:val="20"/>
                <w:lang w:eastAsia="zh-CN"/>
              </w:rPr>
              <w:t xml:space="preserve">odiatry, </w:t>
            </w:r>
            <w:r>
              <w:rPr>
                <w:rFonts w:ascii="Calibri" w:eastAsia="Times New Roman" w:hAnsi="Calibri" w:cs="Calibri"/>
                <w:color w:val="000000"/>
                <w:sz w:val="20"/>
                <w:szCs w:val="20"/>
                <w:lang w:eastAsia="zh-CN"/>
              </w:rPr>
              <w:t>s</w:t>
            </w:r>
            <w:r w:rsidRPr="00C41FC1">
              <w:rPr>
                <w:rFonts w:ascii="Calibri" w:eastAsia="Times New Roman" w:hAnsi="Calibri" w:cs="Calibri"/>
                <w:color w:val="000000"/>
                <w:sz w:val="20"/>
                <w:szCs w:val="20"/>
                <w:lang w:eastAsia="zh-CN"/>
              </w:rPr>
              <w:t xml:space="preserve">peech </w:t>
            </w:r>
            <w:r>
              <w:rPr>
                <w:rFonts w:ascii="Calibri" w:eastAsia="Times New Roman" w:hAnsi="Calibri" w:cs="Calibri"/>
                <w:color w:val="000000"/>
                <w:sz w:val="20"/>
                <w:szCs w:val="20"/>
                <w:lang w:eastAsia="zh-CN"/>
              </w:rPr>
              <w:t>t</w:t>
            </w:r>
            <w:r w:rsidRPr="00C41FC1">
              <w:rPr>
                <w:rFonts w:ascii="Calibri" w:eastAsia="Times New Roman" w:hAnsi="Calibri" w:cs="Calibri"/>
                <w:color w:val="000000"/>
                <w:sz w:val="20"/>
                <w:szCs w:val="20"/>
                <w:lang w:eastAsia="zh-CN"/>
              </w:rPr>
              <w:t>herapy)</w:t>
            </w:r>
          </w:p>
        </w:tc>
        <w:tc>
          <w:tcPr>
            <w:tcW w:w="1255" w:type="dxa"/>
            <w:tcBorders>
              <w:top w:val="nil"/>
              <w:left w:val="nil"/>
              <w:bottom w:val="nil"/>
              <w:right w:val="nil"/>
            </w:tcBorders>
            <w:shd w:val="clear" w:color="auto" w:fill="auto"/>
            <w:noWrap/>
            <w:vAlign w:val="center"/>
            <w:hideMark/>
          </w:tcPr>
          <w:p w:rsidR="00685BE5" w:rsidRPr="00C41FC1" w:rsidRDefault="00685BE5" w:rsidP="00FD721A">
            <w:pPr>
              <w:spacing w:before="20" w:after="20"/>
              <w:ind w:right="339"/>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71.0</w:t>
            </w:r>
          </w:p>
        </w:tc>
        <w:tc>
          <w:tcPr>
            <w:tcW w:w="1559" w:type="dxa"/>
            <w:tcBorders>
              <w:top w:val="nil"/>
              <w:left w:val="nil"/>
              <w:bottom w:val="nil"/>
              <w:right w:val="nil"/>
            </w:tcBorders>
            <w:shd w:val="clear" w:color="auto" w:fill="auto"/>
            <w:noWrap/>
            <w:vAlign w:val="bottom"/>
            <w:hideMark/>
          </w:tcPr>
          <w:p w:rsidR="00685BE5" w:rsidRPr="00C41FC1" w:rsidRDefault="00685BE5" w:rsidP="00AE4C3A">
            <w:pPr>
              <w:tabs>
                <w:tab w:val="decimal" w:pos="627"/>
              </w:tabs>
              <w:spacing w:before="20" w:after="20"/>
              <w:ind w:right="459"/>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76.5</w:t>
            </w:r>
          </w:p>
        </w:tc>
      </w:tr>
      <w:tr w:rsidR="00685BE5" w:rsidRPr="00C41FC1" w:rsidTr="00FD721A">
        <w:tc>
          <w:tcPr>
            <w:tcW w:w="5848" w:type="dxa"/>
            <w:tcBorders>
              <w:top w:val="nil"/>
              <w:left w:val="nil"/>
              <w:bottom w:val="nil"/>
              <w:right w:val="nil"/>
            </w:tcBorders>
            <w:shd w:val="clear" w:color="auto" w:fill="auto"/>
            <w:noWrap/>
            <w:vAlign w:val="center"/>
            <w:hideMark/>
          </w:tcPr>
          <w:p w:rsidR="00685BE5" w:rsidRPr="00C41FC1" w:rsidRDefault="00685BE5" w:rsidP="00AE4C3A">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Business/</w:t>
            </w:r>
            <w:r>
              <w:rPr>
                <w:rFonts w:ascii="Calibri" w:eastAsia="Times New Roman" w:hAnsi="Calibri" w:cs="Calibri"/>
                <w:color w:val="000000"/>
                <w:sz w:val="20"/>
                <w:szCs w:val="20"/>
                <w:lang w:eastAsia="zh-CN"/>
              </w:rPr>
              <w:t>b</w:t>
            </w:r>
            <w:r w:rsidRPr="00C41FC1">
              <w:rPr>
                <w:rFonts w:ascii="Calibri" w:eastAsia="Times New Roman" w:hAnsi="Calibri" w:cs="Calibri"/>
                <w:color w:val="000000"/>
                <w:sz w:val="20"/>
                <w:szCs w:val="20"/>
                <w:lang w:eastAsia="zh-CN"/>
              </w:rPr>
              <w:t xml:space="preserve">usiness </w:t>
            </w:r>
            <w:r>
              <w:rPr>
                <w:rFonts w:ascii="Calibri" w:eastAsia="Times New Roman" w:hAnsi="Calibri" w:cs="Calibri"/>
                <w:color w:val="000000"/>
                <w:sz w:val="20"/>
                <w:szCs w:val="20"/>
                <w:lang w:eastAsia="zh-CN"/>
              </w:rPr>
              <w:t>m</w:t>
            </w:r>
            <w:r w:rsidRPr="00C41FC1">
              <w:rPr>
                <w:rFonts w:ascii="Calibri" w:eastAsia="Times New Roman" w:hAnsi="Calibri" w:cs="Calibri"/>
                <w:color w:val="000000"/>
                <w:sz w:val="20"/>
                <w:szCs w:val="20"/>
                <w:lang w:eastAsia="zh-CN"/>
              </w:rPr>
              <w:t>anagement</w:t>
            </w:r>
          </w:p>
        </w:tc>
        <w:tc>
          <w:tcPr>
            <w:tcW w:w="1255" w:type="dxa"/>
            <w:tcBorders>
              <w:top w:val="nil"/>
              <w:left w:val="nil"/>
              <w:bottom w:val="nil"/>
              <w:right w:val="nil"/>
            </w:tcBorders>
            <w:shd w:val="clear" w:color="auto" w:fill="auto"/>
            <w:noWrap/>
            <w:vAlign w:val="center"/>
            <w:hideMark/>
          </w:tcPr>
          <w:p w:rsidR="00685BE5" w:rsidRPr="00C41FC1" w:rsidRDefault="00685BE5" w:rsidP="00FD721A">
            <w:pPr>
              <w:spacing w:before="20" w:after="20"/>
              <w:ind w:right="339"/>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1.5</w:t>
            </w:r>
          </w:p>
        </w:tc>
        <w:tc>
          <w:tcPr>
            <w:tcW w:w="1559" w:type="dxa"/>
            <w:tcBorders>
              <w:top w:val="nil"/>
              <w:left w:val="nil"/>
              <w:bottom w:val="nil"/>
              <w:right w:val="nil"/>
            </w:tcBorders>
            <w:shd w:val="clear" w:color="auto" w:fill="auto"/>
            <w:noWrap/>
            <w:vAlign w:val="bottom"/>
            <w:hideMark/>
          </w:tcPr>
          <w:p w:rsidR="00685BE5" w:rsidRPr="00C41FC1" w:rsidRDefault="00685BE5" w:rsidP="00AE4C3A">
            <w:pPr>
              <w:tabs>
                <w:tab w:val="decimal" w:pos="627"/>
              </w:tabs>
              <w:spacing w:before="20" w:after="20"/>
              <w:ind w:right="459"/>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0.4</w:t>
            </w:r>
          </w:p>
        </w:tc>
      </w:tr>
      <w:tr w:rsidR="00685BE5" w:rsidRPr="00C41FC1" w:rsidTr="00FD721A">
        <w:tc>
          <w:tcPr>
            <w:tcW w:w="5848" w:type="dxa"/>
            <w:tcBorders>
              <w:top w:val="nil"/>
              <w:left w:val="nil"/>
              <w:bottom w:val="nil"/>
              <w:right w:val="nil"/>
            </w:tcBorders>
            <w:shd w:val="clear" w:color="auto" w:fill="auto"/>
            <w:noWrap/>
            <w:vAlign w:val="center"/>
            <w:hideMark/>
          </w:tcPr>
          <w:p w:rsidR="00685BE5" w:rsidRPr="00C41FC1" w:rsidRDefault="00685BE5" w:rsidP="00AE4C3A">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Other</w:t>
            </w:r>
          </w:p>
        </w:tc>
        <w:tc>
          <w:tcPr>
            <w:tcW w:w="1255" w:type="dxa"/>
            <w:tcBorders>
              <w:top w:val="nil"/>
              <w:left w:val="nil"/>
              <w:bottom w:val="nil"/>
              <w:right w:val="nil"/>
            </w:tcBorders>
            <w:shd w:val="clear" w:color="auto" w:fill="auto"/>
            <w:noWrap/>
            <w:vAlign w:val="center"/>
            <w:hideMark/>
          </w:tcPr>
          <w:p w:rsidR="00685BE5" w:rsidRPr="00C41FC1" w:rsidRDefault="00685BE5" w:rsidP="00FD721A">
            <w:pPr>
              <w:spacing w:before="20" w:after="20"/>
              <w:ind w:right="339"/>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8.5</w:t>
            </w:r>
          </w:p>
        </w:tc>
        <w:tc>
          <w:tcPr>
            <w:tcW w:w="1559" w:type="dxa"/>
            <w:tcBorders>
              <w:top w:val="nil"/>
              <w:left w:val="nil"/>
              <w:bottom w:val="nil"/>
              <w:right w:val="nil"/>
            </w:tcBorders>
            <w:shd w:val="clear" w:color="auto" w:fill="auto"/>
            <w:noWrap/>
            <w:vAlign w:val="bottom"/>
            <w:hideMark/>
          </w:tcPr>
          <w:p w:rsidR="00685BE5" w:rsidRPr="00C41FC1" w:rsidRDefault="00685BE5" w:rsidP="00AE4C3A">
            <w:pPr>
              <w:tabs>
                <w:tab w:val="decimal" w:pos="627"/>
              </w:tabs>
              <w:spacing w:before="20" w:after="20"/>
              <w:ind w:right="459"/>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4.4</w:t>
            </w:r>
          </w:p>
        </w:tc>
      </w:tr>
      <w:tr w:rsidR="00685BE5" w:rsidRPr="00C41FC1" w:rsidTr="00FD721A">
        <w:tc>
          <w:tcPr>
            <w:tcW w:w="5848" w:type="dxa"/>
            <w:tcBorders>
              <w:top w:val="nil"/>
              <w:left w:val="nil"/>
              <w:bottom w:val="nil"/>
              <w:right w:val="nil"/>
            </w:tcBorders>
            <w:shd w:val="clear" w:color="auto" w:fill="auto"/>
            <w:noWrap/>
            <w:vAlign w:val="center"/>
            <w:hideMark/>
          </w:tcPr>
          <w:p w:rsidR="00685BE5" w:rsidRPr="00C41FC1" w:rsidRDefault="00685BE5" w:rsidP="00AE4C3A">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 xml:space="preserve">Question not answered </w:t>
            </w:r>
          </w:p>
        </w:tc>
        <w:tc>
          <w:tcPr>
            <w:tcW w:w="1255" w:type="dxa"/>
            <w:tcBorders>
              <w:top w:val="nil"/>
              <w:left w:val="nil"/>
              <w:bottom w:val="nil"/>
              <w:right w:val="nil"/>
            </w:tcBorders>
            <w:shd w:val="clear" w:color="auto" w:fill="auto"/>
            <w:noWrap/>
            <w:vAlign w:val="center"/>
            <w:hideMark/>
          </w:tcPr>
          <w:p w:rsidR="00685BE5" w:rsidRPr="00C41FC1" w:rsidRDefault="00685BE5" w:rsidP="00FD721A">
            <w:pPr>
              <w:spacing w:before="20" w:after="20"/>
              <w:ind w:right="339"/>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1.5</w:t>
            </w:r>
          </w:p>
        </w:tc>
        <w:tc>
          <w:tcPr>
            <w:tcW w:w="1559" w:type="dxa"/>
            <w:tcBorders>
              <w:top w:val="nil"/>
              <w:left w:val="nil"/>
              <w:bottom w:val="nil"/>
              <w:right w:val="nil"/>
            </w:tcBorders>
            <w:shd w:val="clear" w:color="auto" w:fill="auto"/>
            <w:noWrap/>
            <w:vAlign w:val="bottom"/>
            <w:hideMark/>
          </w:tcPr>
          <w:p w:rsidR="00685BE5" w:rsidRPr="00C41FC1" w:rsidRDefault="00685BE5" w:rsidP="00AE4C3A">
            <w:pPr>
              <w:tabs>
                <w:tab w:val="decimal" w:pos="627"/>
              </w:tabs>
              <w:spacing w:before="20" w:after="20"/>
              <w:ind w:right="459"/>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1.1</w:t>
            </w:r>
          </w:p>
        </w:tc>
      </w:tr>
      <w:tr w:rsidR="00685BE5" w:rsidRPr="00C41FC1" w:rsidTr="00FD721A">
        <w:tc>
          <w:tcPr>
            <w:tcW w:w="5848" w:type="dxa"/>
            <w:tcBorders>
              <w:top w:val="nil"/>
              <w:left w:val="nil"/>
              <w:bottom w:val="single" w:sz="4" w:space="0" w:color="auto"/>
              <w:right w:val="nil"/>
            </w:tcBorders>
            <w:shd w:val="clear" w:color="auto" w:fill="auto"/>
            <w:noWrap/>
            <w:vAlign w:val="center"/>
            <w:hideMark/>
          </w:tcPr>
          <w:p w:rsidR="00685BE5" w:rsidRPr="00C41FC1" w:rsidRDefault="00685BE5" w:rsidP="00AE4C3A">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Not applicable</w:t>
            </w:r>
          </w:p>
        </w:tc>
        <w:tc>
          <w:tcPr>
            <w:tcW w:w="1255" w:type="dxa"/>
            <w:tcBorders>
              <w:top w:val="nil"/>
              <w:left w:val="nil"/>
              <w:bottom w:val="single" w:sz="4" w:space="0" w:color="auto"/>
              <w:right w:val="nil"/>
            </w:tcBorders>
            <w:shd w:val="clear" w:color="auto" w:fill="auto"/>
            <w:noWrap/>
            <w:vAlign w:val="center"/>
            <w:hideMark/>
          </w:tcPr>
          <w:p w:rsidR="00685BE5" w:rsidRPr="00C41FC1" w:rsidRDefault="00685BE5" w:rsidP="00FD721A">
            <w:pPr>
              <w:spacing w:before="20" w:after="20"/>
              <w:ind w:right="339"/>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0.7</w:t>
            </w:r>
          </w:p>
        </w:tc>
        <w:tc>
          <w:tcPr>
            <w:tcW w:w="1559" w:type="dxa"/>
            <w:tcBorders>
              <w:top w:val="nil"/>
              <w:left w:val="nil"/>
              <w:bottom w:val="single" w:sz="4" w:space="0" w:color="auto"/>
              <w:right w:val="nil"/>
            </w:tcBorders>
            <w:shd w:val="clear" w:color="auto" w:fill="auto"/>
            <w:noWrap/>
            <w:vAlign w:val="bottom"/>
            <w:hideMark/>
          </w:tcPr>
          <w:p w:rsidR="00685BE5" w:rsidRPr="00C41FC1" w:rsidRDefault="00685BE5" w:rsidP="00AE4C3A">
            <w:pPr>
              <w:tabs>
                <w:tab w:val="decimal" w:pos="627"/>
              </w:tabs>
              <w:spacing w:before="20" w:after="20"/>
              <w:ind w:right="459"/>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1.1</w:t>
            </w:r>
          </w:p>
        </w:tc>
      </w:tr>
      <w:tr w:rsidR="00685BE5" w:rsidRPr="00C41FC1" w:rsidTr="00FD721A">
        <w:tc>
          <w:tcPr>
            <w:tcW w:w="5848" w:type="dxa"/>
            <w:tcBorders>
              <w:top w:val="single" w:sz="4" w:space="0" w:color="auto"/>
              <w:left w:val="nil"/>
              <w:bottom w:val="single" w:sz="4" w:space="0" w:color="auto"/>
              <w:right w:val="nil"/>
            </w:tcBorders>
            <w:shd w:val="clear" w:color="auto" w:fill="auto"/>
            <w:noWrap/>
            <w:vAlign w:val="center"/>
            <w:hideMark/>
          </w:tcPr>
          <w:p w:rsidR="00685BE5" w:rsidRPr="00C41FC1" w:rsidRDefault="00685BE5" w:rsidP="00AE4C3A">
            <w:pPr>
              <w:spacing w:before="20" w:after="20"/>
              <w:rPr>
                <w:rFonts w:ascii="Calibri" w:eastAsia="Times New Roman" w:hAnsi="Calibri" w:cs="Calibri"/>
                <w:b/>
                <w:color w:val="000000"/>
                <w:sz w:val="20"/>
                <w:szCs w:val="20"/>
                <w:lang w:eastAsia="zh-CN"/>
              </w:rPr>
            </w:pPr>
            <w:r w:rsidRPr="00C41FC1">
              <w:rPr>
                <w:rFonts w:ascii="Calibri" w:eastAsia="Times New Roman" w:hAnsi="Calibri" w:cs="Calibri"/>
                <w:b/>
                <w:color w:val="000000"/>
                <w:sz w:val="20"/>
                <w:szCs w:val="20"/>
                <w:lang w:eastAsia="zh-CN"/>
              </w:rPr>
              <w:t>Total (N=272)</w:t>
            </w:r>
          </w:p>
        </w:tc>
        <w:tc>
          <w:tcPr>
            <w:tcW w:w="1255" w:type="dxa"/>
            <w:tcBorders>
              <w:top w:val="single" w:sz="4" w:space="0" w:color="auto"/>
              <w:left w:val="nil"/>
              <w:bottom w:val="single" w:sz="4" w:space="0" w:color="auto"/>
              <w:right w:val="nil"/>
            </w:tcBorders>
            <w:shd w:val="clear" w:color="auto" w:fill="auto"/>
            <w:noWrap/>
            <w:vAlign w:val="center"/>
            <w:hideMark/>
          </w:tcPr>
          <w:p w:rsidR="00685BE5" w:rsidRPr="00C41FC1" w:rsidRDefault="00685BE5" w:rsidP="00FD721A">
            <w:pPr>
              <w:spacing w:before="20" w:after="20"/>
              <w:ind w:right="339"/>
              <w:jc w:val="right"/>
              <w:rPr>
                <w:rFonts w:ascii="Calibri" w:eastAsia="Times New Roman" w:hAnsi="Calibri" w:cs="Calibri"/>
                <w:b/>
                <w:color w:val="000000"/>
                <w:sz w:val="20"/>
                <w:szCs w:val="20"/>
                <w:lang w:eastAsia="zh-CN"/>
              </w:rPr>
            </w:pPr>
            <w:r w:rsidRPr="00C41FC1">
              <w:rPr>
                <w:rFonts w:ascii="Calibri" w:eastAsia="Times New Roman" w:hAnsi="Calibri" w:cs="Calibri"/>
                <w:b/>
                <w:color w:val="000000"/>
                <w:sz w:val="20"/>
                <w:szCs w:val="20"/>
                <w:lang w:eastAsia="zh-CN"/>
              </w:rPr>
              <w:t>100</w:t>
            </w:r>
          </w:p>
        </w:tc>
        <w:tc>
          <w:tcPr>
            <w:tcW w:w="1559" w:type="dxa"/>
            <w:tcBorders>
              <w:top w:val="single" w:sz="4" w:space="0" w:color="auto"/>
              <w:left w:val="nil"/>
              <w:bottom w:val="single" w:sz="4" w:space="0" w:color="auto"/>
              <w:right w:val="nil"/>
            </w:tcBorders>
            <w:shd w:val="clear" w:color="auto" w:fill="auto"/>
            <w:noWrap/>
            <w:vAlign w:val="bottom"/>
            <w:hideMark/>
          </w:tcPr>
          <w:p w:rsidR="00685BE5" w:rsidRPr="00C41FC1" w:rsidRDefault="00685BE5" w:rsidP="00AE4C3A">
            <w:pPr>
              <w:tabs>
                <w:tab w:val="decimal" w:pos="627"/>
              </w:tabs>
              <w:spacing w:before="20" w:after="20"/>
              <w:ind w:right="459"/>
              <w:jc w:val="right"/>
              <w:rPr>
                <w:rFonts w:ascii="Calibri" w:eastAsia="Times New Roman" w:hAnsi="Calibri" w:cs="Calibri"/>
                <w:b/>
                <w:color w:val="000000"/>
                <w:sz w:val="20"/>
                <w:szCs w:val="20"/>
                <w:lang w:eastAsia="zh-CN"/>
              </w:rPr>
            </w:pPr>
            <w:r w:rsidRPr="00C41FC1">
              <w:rPr>
                <w:rFonts w:ascii="Calibri" w:eastAsia="Times New Roman" w:hAnsi="Calibri" w:cs="Calibri"/>
                <w:b/>
                <w:color w:val="000000"/>
                <w:sz w:val="20"/>
                <w:szCs w:val="20"/>
                <w:lang w:eastAsia="zh-CN"/>
              </w:rPr>
              <w:t>100</w:t>
            </w:r>
          </w:p>
        </w:tc>
      </w:tr>
    </w:tbl>
    <w:p w:rsidR="00685BE5" w:rsidRDefault="00685BE5" w:rsidP="00AE4C3A">
      <w:pPr>
        <w:pStyle w:val="NILSReference"/>
        <w:rPr>
          <w:rFonts w:eastAsia="SimHei"/>
        </w:rPr>
      </w:pPr>
      <w:r>
        <w:rPr>
          <w:rFonts w:eastAsia="SimHei"/>
        </w:rPr>
        <w:t xml:space="preserve">Source: </w:t>
      </w:r>
      <w:r w:rsidRPr="00AB33E3">
        <w:rPr>
          <w:rFonts w:eastAsia="SimHei"/>
        </w:rPr>
        <w:t>2014 NDIS self-employed DSP survey</w:t>
      </w:r>
      <w:r>
        <w:rPr>
          <w:rFonts w:eastAsia="SimHei"/>
        </w:rPr>
        <w:t>, Questions A7d and A7e</w:t>
      </w:r>
      <w:r w:rsidRPr="00AB33E3">
        <w:rPr>
          <w:rFonts w:eastAsia="SimHei"/>
        </w:rPr>
        <w:t>.</w:t>
      </w:r>
    </w:p>
    <w:p w:rsidR="007A309A" w:rsidRDefault="007A309A">
      <w:r>
        <w:br w:type="page"/>
      </w:r>
    </w:p>
    <w:p w:rsidR="00685BE5" w:rsidRDefault="00685BE5" w:rsidP="00AE4C3A">
      <w:r>
        <w:lastRenderedPageBreak/>
        <w:t>Table 4.</w:t>
      </w:r>
      <w:r w:rsidRPr="00AB33E3">
        <w:t>5</w:t>
      </w:r>
      <w:r>
        <w:t>3</w:t>
      </w:r>
      <w:r w:rsidRPr="00AB33E3">
        <w:t xml:space="preserve"> shows that on average, self-employed providers work</w:t>
      </w:r>
      <w:r>
        <w:t>ed</w:t>
      </w:r>
      <w:r w:rsidRPr="00AB33E3">
        <w:t xml:space="preserve"> fewer hours than employees</w:t>
      </w:r>
      <w:r>
        <w:t xml:space="preserve"> (mean of 32.2 against 35.8 for employees)</w:t>
      </w:r>
      <w:r w:rsidRPr="00AB33E3">
        <w:t>. Also compared to employees</w:t>
      </w:r>
      <w:r>
        <w:t xml:space="preserve"> (Table 4.30)</w:t>
      </w:r>
      <w:r w:rsidRPr="00AB33E3">
        <w:t xml:space="preserve">, they </w:t>
      </w:r>
      <w:r>
        <w:t>we</w:t>
      </w:r>
      <w:r w:rsidRPr="00AB33E3">
        <w:t xml:space="preserve">re </w:t>
      </w:r>
      <w:r>
        <w:t xml:space="preserve">much </w:t>
      </w:r>
      <w:r w:rsidRPr="00AB33E3">
        <w:t xml:space="preserve">more likely to </w:t>
      </w:r>
      <w:r w:rsidR="00CC3D82">
        <w:t xml:space="preserve">have </w:t>
      </w:r>
      <w:r w:rsidRPr="00AB33E3">
        <w:t>work</w:t>
      </w:r>
      <w:r w:rsidR="00CC3D82">
        <w:t>ed</w:t>
      </w:r>
      <w:r w:rsidRPr="00AB33E3">
        <w:t xml:space="preserve"> short hours (1-15)</w:t>
      </w:r>
      <w:r>
        <w:t>, with 19.1 per c</w:t>
      </w:r>
      <w:r w:rsidR="00FB089D">
        <w:t xml:space="preserve">ent against only 6 per cent for </w:t>
      </w:r>
      <w:r>
        <w:t>employees.</w:t>
      </w:r>
      <w:r w:rsidRPr="00AB33E3">
        <w:t xml:space="preserve"> More than 50 per cent of self-employed providers work</w:t>
      </w:r>
      <w:r>
        <w:t>ed</w:t>
      </w:r>
      <w:r w:rsidRPr="00AB33E3">
        <w:t xml:space="preserve"> part-time (&lt;35 hours a week) and 19 per cent work</w:t>
      </w:r>
      <w:r>
        <w:t>ed</w:t>
      </w:r>
      <w:r w:rsidRPr="00AB33E3">
        <w:t xml:space="preserve"> for 15 hours or less. </w:t>
      </w:r>
      <w:r>
        <w:t>A</w:t>
      </w:r>
      <w:r w:rsidRPr="00AB33E3">
        <w:t xml:space="preserve"> large proportion of self-employed (28 per cent) work</w:t>
      </w:r>
      <w:r>
        <w:t>ed</w:t>
      </w:r>
      <w:r w:rsidRPr="00AB33E3">
        <w:t xml:space="preserve"> for 40 hours or more a week</w:t>
      </w:r>
      <w:r>
        <w:t xml:space="preserve"> and a</w:t>
      </w:r>
      <w:r w:rsidRPr="00AB33E3">
        <w:t xml:space="preserve"> relatively small proportion (16 per cent) work</w:t>
      </w:r>
      <w:r>
        <w:t>ed</w:t>
      </w:r>
      <w:r w:rsidRPr="00AB33E3">
        <w:t xml:space="preserve"> for 35-40 hours</w:t>
      </w:r>
      <w:r>
        <w:t xml:space="preserve"> a week</w:t>
      </w:r>
      <w:r w:rsidRPr="00AB33E3">
        <w:t>.</w:t>
      </w:r>
    </w:p>
    <w:p w:rsidR="00685BE5" w:rsidRPr="00AB33E3" w:rsidRDefault="00685BE5" w:rsidP="0044684E">
      <w:pPr>
        <w:pStyle w:val="NILSTableHeading"/>
      </w:pPr>
      <w:bookmarkStart w:id="719" w:name="_Toc428279260"/>
      <w:bookmarkStart w:id="720" w:name="_Toc449955391"/>
      <w:r>
        <w:t>Table 4.53</w:t>
      </w:r>
      <w:r w:rsidRPr="00AB33E3">
        <w:t xml:space="preserve">: </w:t>
      </w:r>
      <w:r>
        <w:t>Self-employed DSP n</w:t>
      </w:r>
      <w:r w:rsidRPr="00AB33E3">
        <w:t>ormal weekly working hours in the business</w:t>
      </w:r>
      <w:bookmarkEnd w:id="719"/>
      <w:bookmarkEnd w:id="720"/>
    </w:p>
    <w:tbl>
      <w:tblPr>
        <w:tblW w:w="4410" w:type="dxa"/>
        <w:tblInd w:w="93" w:type="dxa"/>
        <w:tblLook w:val="04A0" w:firstRow="1" w:lastRow="0" w:firstColumn="1" w:lastColumn="0" w:noHBand="0" w:noVBand="1"/>
        <w:tblCaption w:val="Table 4.53 Self-employed DSP normal weekly working hours in the business"/>
      </w:tblPr>
      <w:tblGrid>
        <w:gridCol w:w="3134"/>
        <w:gridCol w:w="1276"/>
      </w:tblGrid>
      <w:tr w:rsidR="00685BE5" w:rsidRPr="00C41FC1" w:rsidTr="003F2133">
        <w:trPr>
          <w:trHeight w:val="288"/>
          <w:tblHeader/>
        </w:trPr>
        <w:tc>
          <w:tcPr>
            <w:tcW w:w="3134" w:type="dxa"/>
            <w:tcBorders>
              <w:top w:val="single" w:sz="4" w:space="0" w:color="auto"/>
              <w:left w:val="nil"/>
              <w:bottom w:val="single" w:sz="4" w:space="0" w:color="auto"/>
              <w:right w:val="nil"/>
            </w:tcBorders>
            <w:shd w:val="clear" w:color="auto" w:fill="auto"/>
            <w:noWrap/>
            <w:vAlign w:val="center"/>
            <w:hideMark/>
          </w:tcPr>
          <w:p w:rsidR="00685BE5" w:rsidRPr="00C41FC1" w:rsidRDefault="00685BE5" w:rsidP="00AE4C3A">
            <w:pPr>
              <w:spacing w:before="20" w:after="20"/>
              <w:rPr>
                <w:rFonts w:ascii="Calibri" w:eastAsia="Times New Roman" w:hAnsi="Calibri" w:cs="Calibri"/>
                <w:bCs/>
                <w:color w:val="000000"/>
                <w:sz w:val="20"/>
                <w:szCs w:val="20"/>
                <w:lang w:eastAsia="zh-CN"/>
              </w:rPr>
            </w:pPr>
            <w:r w:rsidRPr="00C41FC1">
              <w:rPr>
                <w:rFonts w:ascii="Calibri" w:eastAsia="Times New Roman" w:hAnsi="Calibri" w:cs="Calibri"/>
                <w:bCs/>
                <w:color w:val="000000"/>
                <w:sz w:val="20"/>
                <w:szCs w:val="20"/>
                <w:lang w:eastAsia="zh-CN"/>
              </w:rPr>
              <w:t> </w:t>
            </w:r>
            <w:bookmarkStart w:id="721" w:name="Title_4_53"/>
            <w:bookmarkEnd w:id="721"/>
          </w:p>
        </w:tc>
        <w:tc>
          <w:tcPr>
            <w:tcW w:w="1276" w:type="dxa"/>
            <w:tcBorders>
              <w:top w:val="single" w:sz="4" w:space="0" w:color="auto"/>
              <w:left w:val="nil"/>
              <w:bottom w:val="single" w:sz="4" w:space="0" w:color="auto"/>
              <w:right w:val="nil"/>
            </w:tcBorders>
            <w:shd w:val="clear" w:color="auto" w:fill="auto"/>
            <w:noWrap/>
            <w:vAlign w:val="center"/>
            <w:hideMark/>
          </w:tcPr>
          <w:p w:rsidR="00685BE5" w:rsidRPr="00C41FC1" w:rsidRDefault="0096484D" w:rsidP="00AE4C3A">
            <w:pPr>
              <w:spacing w:before="20" w:after="20"/>
              <w:jc w:val="center"/>
              <w:rPr>
                <w:rFonts w:ascii="Calibri" w:eastAsia="Times New Roman" w:hAnsi="Calibri" w:cs="Calibri"/>
                <w:bCs/>
                <w:color w:val="000000"/>
                <w:sz w:val="20"/>
                <w:szCs w:val="20"/>
                <w:lang w:eastAsia="zh-CN"/>
              </w:rPr>
            </w:pPr>
            <w:r>
              <w:rPr>
                <w:rFonts w:ascii="Calibri" w:eastAsia="Times New Roman" w:hAnsi="Calibri" w:cs="Calibri"/>
                <w:bCs/>
                <w:color w:val="000000"/>
                <w:sz w:val="20"/>
                <w:szCs w:val="20"/>
                <w:lang w:eastAsia="zh-CN"/>
              </w:rPr>
              <w:t>%</w:t>
            </w:r>
          </w:p>
        </w:tc>
      </w:tr>
      <w:tr w:rsidR="00685BE5" w:rsidRPr="00C41FC1" w:rsidTr="003F2133">
        <w:trPr>
          <w:trHeight w:val="288"/>
        </w:trPr>
        <w:tc>
          <w:tcPr>
            <w:tcW w:w="3134" w:type="dxa"/>
            <w:tcBorders>
              <w:top w:val="nil"/>
              <w:left w:val="nil"/>
              <w:bottom w:val="nil"/>
              <w:right w:val="nil"/>
            </w:tcBorders>
            <w:shd w:val="clear" w:color="auto" w:fill="auto"/>
            <w:noWrap/>
            <w:vAlign w:val="center"/>
            <w:hideMark/>
          </w:tcPr>
          <w:p w:rsidR="00685BE5" w:rsidRPr="00C41FC1" w:rsidRDefault="00685BE5" w:rsidP="005E0BA5">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w:t>
            </w:r>
            <w:r w:rsidR="005E0BA5">
              <w:rPr>
                <w:rFonts w:ascii="Calibri" w:eastAsia="Times New Roman" w:hAnsi="Calibri" w:cs="Calibri"/>
                <w:color w:val="000000"/>
                <w:sz w:val="20"/>
                <w:szCs w:val="20"/>
                <w:lang w:eastAsia="zh-CN"/>
              </w:rPr>
              <w:t xml:space="preserve"> to </w:t>
            </w:r>
            <w:r w:rsidRPr="00C41FC1">
              <w:rPr>
                <w:rFonts w:ascii="Calibri" w:eastAsia="Times New Roman" w:hAnsi="Calibri" w:cs="Calibri"/>
                <w:color w:val="000000"/>
                <w:sz w:val="20"/>
                <w:szCs w:val="20"/>
                <w:lang w:eastAsia="zh-CN"/>
              </w:rPr>
              <w:t>15</w:t>
            </w:r>
            <w:r w:rsidR="00C27E96">
              <w:rPr>
                <w:rFonts w:ascii="Calibri" w:eastAsia="Times New Roman" w:hAnsi="Calibri" w:cs="Calibri"/>
                <w:color w:val="000000"/>
                <w:sz w:val="20"/>
                <w:szCs w:val="20"/>
                <w:lang w:eastAsia="zh-CN"/>
              </w:rPr>
              <w:t xml:space="preserve"> </w:t>
            </w:r>
            <w:r w:rsidR="00C27E96" w:rsidRPr="00C27E96">
              <w:rPr>
                <w:rFonts w:ascii="Calibri" w:eastAsia="Times New Roman" w:hAnsi="Calibri" w:cs="Calibri"/>
                <w:color w:val="FFFFFF" w:themeColor="background1"/>
                <w:sz w:val="20"/>
                <w:szCs w:val="20"/>
                <w:lang w:eastAsia="zh-CN"/>
              </w:rPr>
              <w:t>hours</w:t>
            </w:r>
          </w:p>
        </w:tc>
        <w:tc>
          <w:tcPr>
            <w:tcW w:w="1276" w:type="dxa"/>
            <w:tcBorders>
              <w:top w:val="nil"/>
              <w:left w:val="nil"/>
              <w:bottom w:val="nil"/>
              <w:right w:val="nil"/>
            </w:tcBorders>
            <w:shd w:val="clear" w:color="auto" w:fill="auto"/>
            <w:noWrap/>
            <w:vAlign w:val="center"/>
            <w:hideMark/>
          </w:tcPr>
          <w:p w:rsidR="00685BE5" w:rsidRPr="00C41FC1" w:rsidRDefault="00685BE5" w:rsidP="003F2133">
            <w:pPr>
              <w:spacing w:before="20" w:after="20"/>
              <w:ind w:right="284"/>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19.1</w:t>
            </w:r>
          </w:p>
        </w:tc>
      </w:tr>
      <w:tr w:rsidR="00685BE5" w:rsidRPr="00C41FC1" w:rsidTr="003F2133">
        <w:trPr>
          <w:trHeight w:val="288"/>
        </w:trPr>
        <w:tc>
          <w:tcPr>
            <w:tcW w:w="3134" w:type="dxa"/>
            <w:tcBorders>
              <w:top w:val="nil"/>
              <w:left w:val="nil"/>
              <w:bottom w:val="nil"/>
              <w:right w:val="nil"/>
            </w:tcBorders>
            <w:shd w:val="clear" w:color="auto" w:fill="auto"/>
            <w:noWrap/>
            <w:vAlign w:val="center"/>
            <w:hideMark/>
          </w:tcPr>
          <w:p w:rsidR="00685BE5" w:rsidRPr="00C41FC1" w:rsidRDefault="00685BE5" w:rsidP="005E0BA5">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16</w:t>
            </w:r>
            <w:r w:rsidR="005E0BA5">
              <w:rPr>
                <w:rFonts w:ascii="Calibri" w:eastAsia="Times New Roman" w:hAnsi="Calibri" w:cs="Calibri"/>
                <w:color w:val="000000"/>
                <w:sz w:val="20"/>
                <w:szCs w:val="20"/>
                <w:lang w:eastAsia="zh-CN"/>
              </w:rPr>
              <w:t xml:space="preserve"> to </w:t>
            </w:r>
            <w:r w:rsidRPr="00C41FC1">
              <w:rPr>
                <w:rFonts w:ascii="Calibri" w:eastAsia="Times New Roman" w:hAnsi="Calibri" w:cs="Calibri"/>
                <w:color w:val="000000"/>
                <w:sz w:val="20"/>
                <w:szCs w:val="20"/>
                <w:lang w:eastAsia="zh-CN"/>
              </w:rPr>
              <w:t>34</w:t>
            </w:r>
            <w:r w:rsidR="00C27E96">
              <w:rPr>
                <w:rFonts w:ascii="Calibri" w:eastAsia="Times New Roman" w:hAnsi="Calibri" w:cs="Calibri"/>
                <w:color w:val="000000"/>
                <w:sz w:val="20"/>
                <w:szCs w:val="20"/>
                <w:lang w:eastAsia="zh-CN"/>
              </w:rPr>
              <w:t xml:space="preserve"> </w:t>
            </w:r>
            <w:r w:rsidR="00C27E96" w:rsidRPr="00C27E96">
              <w:rPr>
                <w:rFonts w:ascii="Calibri" w:eastAsia="Times New Roman" w:hAnsi="Calibri" w:cs="Calibri"/>
                <w:color w:val="FFFFFF" w:themeColor="background1"/>
                <w:sz w:val="20"/>
                <w:szCs w:val="20"/>
                <w:lang w:eastAsia="zh-CN"/>
              </w:rPr>
              <w:t>hours</w:t>
            </w:r>
          </w:p>
        </w:tc>
        <w:tc>
          <w:tcPr>
            <w:tcW w:w="1276" w:type="dxa"/>
            <w:tcBorders>
              <w:top w:val="nil"/>
              <w:left w:val="nil"/>
              <w:bottom w:val="nil"/>
              <w:right w:val="nil"/>
            </w:tcBorders>
            <w:shd w:val="clear" w:color="auto" w:fill="auto"/>
            <w:noWrap/>
            <w:vAlign w:val="center"/>
            <w:hideMark/>
          </w:tcPr>
          <w:p w:rsidR="00685BE5" w:rsidRPr="00C41FC1" w:rsidRDefault="00685BE5" w:rsidP="003F2133">
            <w:pPr>
              <w:spacing w:before="20" w:after="20"/>
              <w:ind w:right="284"/>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36.4</w:t>
            </w:r>
          </w:p>
        </w:tc>
      </w:tr>
      <w:tr w:rsidR="00685BE5" w:rsidRPr="00C41FC1" w:rsidTr="003F2133">
        <w:trPr>
          <w:trHeight w:val="288"/>
        </w:trPr>
        <w:tc>
          <w:tcPr>
            <w:tcW w:w="3134" w:type="dxa"/>
            <w:tcBorders>
              <w:top w:val="nil"/>
              <w:left w:val="nil"/>
              <w:bottom w:val="nil"/>
              <w:right w:val="nil"/>
            </w:tcBorders>
            <w:shd w:val="clear" w:color="auto" w:fill="auto"/>
            <w:noWrap/>
            <w:vAlign w:val="center"/>
            <w:hideMark/>
          </w:tcPr>
          <w:p w:rsidR="00685BE5" w:rsidRPr="00C41FC1" w:rsidRDefault="00685BE5" w:rsidP="005E0BA5">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35</w:t>
            </w:r>
            <w:r w:rsidR="005E0BA5">
              <w:rPr>
                <w:rFonts w:ascii="Calibri" w:eastAsia="Times New Roman" w:hAnsi="Calibri" w:cs="Calibri"/>
                <w:color w:val="000000"/>
                <w:sz w:val="20"/>
                <w:szCs w:val="20"/>
                <w:lang w:eastAsia="zh-CN"/>
              </w:rPr>
              <w:t xml:space="preserve"> to </w:t>
            </w:r>
            <w:r w:rsidRPr="00C41FC1">
              <w:rPr>
                <w:rFonts w:ascii="Calibri" w:eastAsia="Times New Roman" w:hAnsi="Calibri" w:cs="Calibri"/>
                <w:color w:val="000000"/>
                <w:sz w:val="20"/>
                <w:szCs w:val="20"/>
                <w:lang w:eastAsia="zh-CN"/>
              </w:rPr>
              <w:t>40</w:t>
            </w:r>
            <w:r w:rsidR="00C27E96">
              <w:rPr>
                <w:rFonts w:ascii="Calibri" w:eastAsia="Times New Roman" w:hAnsi="Calibri" w:cs="Calibri"/>
                <w:color w:val="000000"/>
                <w:sz w:val="20"/>
                <w:szCs w:val="20"/>
                <w:lang w:eastAsia="zh-CN"/>
              </w:rPr>
              <w:t xml:space="preserve"> </w:t>
            </w:r>
            <w:r w:rsidR="00C27E96" w:rsidRPr="00C27E96">
              <w:rPr>
                <w:rFonts w:ascii="Calibri" w:eastAsia="Times New Roman" w:hAnsi="Calibri" w:cs="Calibri"/>
                <w:color w:val="FFFFFF" w:themeColor="background1"/>
                <w:sz w:val="20"/>
                <w:szCs w:val="20"/>
                <w:lang w:eastAsia="zh-CN"/>
              </w:rPr>
              <w:t>hours</w:t>
            </w:r>
          </w:p>
        </w:tc>
        <w:tc>
          <w:tcPr>
            <w:tcW w:w="1276" w:type="dxa"/>
            <w:tcBorders>
              <w:top w:val="nil"/>
              <w:left w:val="nil"/>
              <w:bottom w:val="nil"/>
              <w:right w:val="nil"/>
            </w:tcBorders>
            <w:shd w:val="clear" w:color="auto" w:fill="auto"/>
            <w:noWrap/>
            <w:vAlign w:val="center"/>
            <w:hideMark/>
          </w:tcPr>
          <w:p w:rsidR="00685BE5" w:rsidRPr="00C41FC1" w:rsidRDefault="00685BE5" w:rsidP="003F2133">
            <w:pPr>
              <w:spacing w:before="20" w:after="20"/>
              <w:ind w:right="284"/>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16.2</w:t>
            </w:r>
          </w:p>
        </w:tc>
      </w:tr>
      <w:tr w:rsidR="00685BE5" w:rsidRPr="00C41FC1" w:rsidTr="003F2133">
        <w:trPr>
          <w:trHeight w:val="288"/>
        </w:trPr>
        <w:tc>
          <w:tcPr>
            <w:tcW w:w="3134" w:type="dxa"/>
            <w:tcBorders>
              <w:top w:val="nil"/>
              <w:left w:val="nil"/>
              <w:bottom w:val="single" w:sz="4" w:space="0" w:color="auto"/>
              <w:right w:val="nil"/>
            </w:tcBorders>
            <w:shd w:val="clear" w:color="auto" w:fill="auto"/>
            <w:noWrap/>
            <w:vAlign w:val="center"/>
            <w:hideMark/>
          </w:tcPr>
          <w:p w:rsidR="00685BE5" w:rsidRPr="00C41FC1" w:rsidRDefault="00685BE5" w:rsidP="00AE4C3A">
            <w:pPr>
              <w:spacing w:before="20" w:after="20"/>
              <w:rPr>
                <w:rFonts w:ascii="Calibri" w:eastAsia="Times New Roman" w:hAnsi="Calibri" w:cs="Calibri"/>
                <w:color w:val="000000"/>
                <w:sz w:val="20"/>
                <w:szCs w:val="20"/>
                <w:lang w:eastAsia="zh-CN"/>
              </w:rPr>
            </w:pPr>
            <w:r>
              <w:rPr>
                <w:rFonts w:ascii="Calibri" w:eastAsia="Times New Roman" w:hAnsi="Calibri" w:cs="Calibri"/>
                <w:color w:val="000000"/>
                <w:sz w:val="20"/>
                <w:szCs w:val="20"/>
                <w:lang w:eastAsia="zh-CN"/>
              </w:rPr>
              <w:t>40 or above</w:t>
            </w:r>
          </w:p>
        </w:tc>
        <w:tc>
          <w:tcPr>
            <w:tcW w:w="1276" w:type="dxa"/>
            <w:tcBorders>
              <w:top w:val="nil"/>
              <w:left w:val="nil"/>
              <w:bottom w:val="single" w:sz="4" w:space="0" w:color="auto"/>
              <w:right w:val="nil"/>
            </w:tcBorders>
            <w:shd w:val="clear" w:color="auto" w:fill="auto"/>
            <w:noWrap/>
            <w:vAlign w:val="center"/>
            <w:hideMark/>
          </w:tcPr>
          <w:p w:rsidR="00685BE5" w:rsidRPr="00C41FC1" w:rsidRDefault="00685BE5" w:rsidP="003F2133">
            <w:pPr>
              <w:spacing w:before="20" w:after="20"/>
              <w:ind w:right="284"/>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28.3</w:t>
            </w:r>
          </w:p>
        </w:tc>
      </w:tr>
      <w:tr w:rsidR="00685BE5" w:rsidRPr="00C41FC1" w:rsidTr="003F2133">
        <w:trPr>
          <w:trHeight w:val="288"/>
        </w:trPr>
        <w:tc>
          <w:tcPr>
            <w:tcW w:w="3134" w:type="dxa"/>
            <w:tcBorders>
              <w:top w:val="single" w:sz="4" w:space="0" w:color="auto"/>
              <w:left w:val="nil"/>
              <w:bottom w:val="single" w:sz="4" w:space="0" w:color="auto"/>
              <w:right w:val="nil"/>
            </w:tcBorders>
            <w:shd w:val="clear" w:color="auto" w:fill="auto"/>
            <w:noWrap/>
            <w:vAlign w:val="center"/>
            <w:hideMark/>
          </w:tcPr>
          <w:p w:rsidR="00685BE5" w:rsidRPr="00C41FC1" w:rsidRDefault="00685BE5" w:rsidP="00AE4C3A">
            <w:pPr>
              <w:spacing w:before="20" w:after="20"/>
              <w:rPr>
                <w:rFonts w:ascii="Calibri" w:eastAsia="Times New Roman" w:hAnsi="Calibri" w:cs="Calibri"/>
                <w:b/>
                <w:color w:val="000000"/>
                <w:sz w:val="20"/>
                <w:szCs w:val="20"/>
                <w:lang w:eastAsia="zh-CN"/>
              </w:rPr>
            </w:pPr>
            <w:r w:rsidRPr="00C41FC1">
              <w:rPr>
                <w:rFonts w:ascii="Calibri" w:eastAsia="Times New Roman" w:hAnsi="Calibri" w:cs="Calibri"/>
                <w:b/>
                <w:color w:val="000000"/>
                <w:sz w:val="20"/>
                <w:szCs w:val="20"/>
                <w:lang w:eastAsia="zh-CN"/>
              </w:rPr>
              <w:t>Total (N=272)</w:t>
            </w:r>
          </w:p>
        </w:tc>
        <w:tc>
          <w:tcPr>
            <w:tcW w:w="1276" w:type="dxa"/>
            <w:tcBorders>
              <w:top w:val="single" w:sz="4" w:space="0" w:color="auto"/>
              <w:left w:val="nil"/>
              <w:bottom w:val="single" w:sz="4" w:space="0" w:color="auto"/>
              <w:right w:val="nil"/>
            </w:tcBorders>
            <w:shd w:val="clear" w:color="auto" w:fill="auto"/>
            <w:noWrap/>
            <w:vAlign w:val="center"/>
            <w:hideMark/>
          </w:tcPr>
          <w:p w:rsidR="00685BE5" w:rsidRPr="00C41FC1" w:rsidRDefault="00685BE5" w:rsidP="003F2133">
            <w:pPr>
              <w:spacing w:before="20" w:after="20"/>
              <w:ind w:right="284"/>
              <w:jc w:val="right"/>
              <w:rPr>
                <w:rFonts w:ascii="Calibri" w:eastAsia="Times New Roman" w:hAnsi="Calibri" w:cs="Calibri"/>
                <w:b/>
                <w:color w:val="000000"/>
                <w:sz w:val="20"/>
                <w:szCs w:val="20"/>
                <w:lang w:eastAsia="zh-CN"/>
              </w:rPr>
            </w:pPr>
            <w:r w:rsidRPr="00C41FC1">
              <w:rPr>
                <w:rFonts w:ascii="Calibri" w:eastAsia="Times New Roman" w:hAnsi="Calibri" w:cs="Calibri"/>
                <w:b/>
                <w:color w:val="000000"/>
                <w:sz w:val="20"/>
                <w:szCs w:val="20"/>
                <w:lang w:eastAsia="zh-CN"/>
              </w:rPr>
              <w:t>100</w:t>
            </w:r>
          </w:p>
        </w:tc>
      </w:tr>
    </w:tbl>
    <w:p w:rsidR="00ED1B8A" w:rsidRPr="00FA4A28" w:rsidRDefault="00ED1B8A" w:rsidP="00ED1B8A">
      <w:pPr>
        <w:rPr>
          <w:sz w:val="2"/>
          <w:szCs w:val="2"/>
        </w:rPr>
      </w:pPr>
    </w:p>
    <w:tbl>
      <w:tblPr>
        <w:tblW w:w="4410" w:type="dxa"/>
        <w:tblInd w:w="93" w:type="dxa"/>
        <w:tblLook w:val="04A0" w:firstRow="1" w:lastRow="0" w:firstColumn="1" w:lastColumn="0" w:noHBand="0" w:noVBand="1"/>
        <w:tblCaption w:val="The remainder of table 4.53 shows the mean and median hours "/>
      </w:tblPr>
      <w:tblGrid>
        <w:gridCol w:w="3134"/>
        <w:gridCol w:w="1276"/>
      </w:tblGrid>
      <w:tr w:rsidR="00685BE5" w:rsidRPr="00C41FC1" w:rsidTr="003F2133">
        <w:trPr>
          <w:trHeight w:val="288"/>
          <w:tblHeader/>
        </w:trPr>
        <w:tc>
          <w:tcPr>
            <w:tcW w:w="3134" w:type="dxa"/>
            <w:tcBorders>
              <w:left w:val="nil"/>
              <w:bottom w:val="dotted" w:sz="4" w:space="0" w:color="auto"/>
              <w:right w:val="nil"/>
            </w:tcBorders>
            <w:shd w:val="clear" w:color="auto" w:fill="auto"/>
            <w:noWrap/>
            <w:vAlign w:val="center"/>
            <w:hideMark/>
          </w:tcPr>
          <w:p w:rsidR="00685BE5" w:rsidRPr="00C41FC1" w:rsidRDefault="00685BE5" w:rsidP="00AE4C3A">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 </w:t>
            </w:r>
            <w:bookmarkStart w:id="722" w:name="Title_4_53_mean_median_hours"/>
            <w:bookmarkEnd w:id="722"/>
          </w:p>
        </w:tc>
        <w:tc>
          <w:tcPr>
            <w:tcW w:w="1276" w:type="dxa"/>
            <w:tcBorders>
              <w:left w:val="nil"/>
              <w:bottom w:val="dotted" w:sz="4" w:space="0" w:color="auto"/>
              <w:right w:val="nil"/>
            </w:tcBorders>
            <w:shd w:val="clear" w:color="auto" w:fill="auto"/>
            <w:noWrap/>
            <w:vAlign w:val="center"/>
            <w:hideMark/>
          </w:tcPr>
          <w:p w:rsidR="00685BE5" w:rsidRPr="00C41FC1" w:rsidRDefault="00685BE5" w:rsidP="003F2133">
            <w:pPr>
              <w:spacing w:before="20" w:after="20"/>
              <w:ind w:right="227"/>
              <w:jc w:val="right"/>
              <w:rPr>
                <w:rFonts w:ascii="Calibri" w:eastAsia="Times New Roman" w:hAnsi="Calibri" w:cs="Calibri"/>
                <w:bCs/>
                <w:color w:val="000000"/>
                <w:sz w:val="20"/>
                <w:szCs w:val="20"/>
                <w:lang w:eastAsia="zh-CN"/>
              </w:rPr>
            </w:pPr>
            <w:r w:rsidRPr="00C41FC1">
              <w:rPr>
                <w:rFonts w:ascii="Calibri" w:eastAsia="Times New Roman" w:hAnsi="Calibri" w:cs="Calibri"/>
                <w:bCs/>
                <w:color w:val="000000"/>
                <w:sz w:val="20"/>
                <w:szCs w:val="20"/>
                <w:lang w:eastAsia="zh-CN"/>
              </w:rPr>
              <w:t>Hours</w:t>
            </w:r>
          </w:p>
        </w:tc>
      </w:tr>
      <w:tr w:rsidR="00685BE5" w:rsidRPr="00C41FC1" w:rsidTr="003F2133">
        <w:trPr>
          <w:trHeight w:val="288"/>
        </w:trPr>
        <w:tc>
          <w:tcPr>
            <w:tcW w:w="3134" w:type="dxa"/>
            <w:tcBorders>
              <w:top w:val="dotted" w:sz="4" w:space="0" w:color="auto"/>
              <w:left w:val="nil"/>
              <w:bottom w:val="nil"/>
              <w:right w:val="nil"/>
            </w:tcBorders>
            <w:shd w:val="clear" w:color="auto" w:fill="auto"/>
            <w:noWrap/>
            <w:vAlign w:val="center"/>
            <w:hideMark/>
          </w:tcPr>
          <w:p w:rsidR="00685BE5" w:rsidRPr="00C41FC1" w:rsidRDefault="00685BE5" w:rsidP="00AE4C3A">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Mean</w:t>
            </w:r>
          </w:p>
        </w:tc>
        <w:tc>
          <w:tcPr>
            <w:tcW w:w="1276" w:type="dxa"/>
            <w:tcBorders>
              <w:top w:val="dotted" w:sz="4" w:space="0" w:color="auto"/>
              <w:left w:val="nil"/>
              <w:bottom w:val="nil"/>
              <w:right w:val="nil"/>
            </w:tcBorders>
            <w:shd w:val="clear" w:color="auto" w:fill="auto"/>
            <w:noWrap/>
            <w:vAlign w:val="bottom"/>
            <w:hideMark/>
          </w:tcPr>
          <w:p w:rsidR="00685BE5" w:rsidRPr="00C41FC1" w:rsidRDefault="00685BE5" w:rsidP="003F2133">
            <w:pPr>
              <w:tabs>
                <w:tab w:val="decimal" w:pos="601"/>
              </w:tabs>
              <w:spacing w:before="20" w:after="20"/>
              <w:ind w:right="284"/>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32.2</w:t>
            </w:r>
          </w:p>
        </w:tc>
      </w:tr>
      <w:tr w:rsidR="00685BE5" w:rsidRPr="00C41FC1" w:rsidTr="003F2133">
        <w:trPr>
          <w:trHeight w:val="288"/>
        </w:trPr>
        <w:tc>
          <w:tcPr>
            <w:tcW w:w="3134" w:type="dxa"/>
            <w:tcBorders>
              <w:top w:val="nil"/>
              <w:left w:val="nil"/>
              <w:bottom w:val="single" w:sz="4" w:space="0" w:color="auto"/>
              <w:right w:val="nil"/>
            </w:tcBorders>
            <w:shd w:val="clear" w:color="auto" w:fill="auto"/>
            <w:noWrap/>
            <w:vAlign w:val="center"/>
            <w:hideMark/>
          </w:tcPr>
          <w:p w:rsidR="00685BE5" w:rsidRPr="00C41FC1" w:rsidRDefault="00685BE5" w:rsidP="00AE4C3A">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Median</w:t>
            </w:r>
          </w:p>
        </w:tc>
        <w:tc>
          <w:tcPr>
            <w:tcW w:w="1276" w:type="dxa"/>
            <w:tcBorders>
              <w:top w:val="nil"/>
              <w:left w:val="nil"/>
              <w:bottom w:val="single" w:sz="4" w:space="0" w:color="auto"/>
              <w:right w:val="nil"/>
            </w:tcBorders>
            <w:shd w:val="clear" w:color="auto" w:fill="auto"/>
            <w:noWrap/>
            <w:vAlign w:val="bottom"/>
            <w:hideMark/>
          </w:tcPr>
          <w:p w:rsidR="00685BE5" w:rsidRPr="00C41FC1" w:rsidRDefault="00685BE5" w:rsidP="003F2133">
            <w:pPr>
              <w:tabs>
                <w:tab w:val="decimal" w:pos="601"/>
              </w:tabs>
              <w:spacing w:before="20" w:after="20"/>
              <w:ind w:right="284"/>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30</w:t>
            </w:r>
            <w:r w:rsidR="00B4193C">
              <w:rPr>
                <w:rFonts w:ascii="Calibri" w:eastAsia="Times New Roman" w:hAnsi="Calibri" w:cs="Calibri"/>
                <w:color w:val="000000"/>
                <w:sz w:val="20"/>
                <w:szCs w:val="20"/>
                <w:lang w:eastAsia="zh-CN"/>
              </w:rPr>
              <w:t>.0</w:t>
            </w:r>
          </w:p>
        </w:tc>
      </w:tr>
    </w:tbl>
    <w:p w:rsidR="00685BE5" w:rsidRDefault="00685BE5" w:rsidP="00AE4C3A">
      <w:pPr>
        <w:pStyle w:val="NILSReference"/>
        <w:rPr>
          <w:rFonts w:eastAsia="SimHei"/>
        </w:rPr>
      </w:pPr>
      <w:r>
        <w:rPr>
          <w:rFonts w:eastAsia="SimHei"/>
        </w:rPr>
        <w:t xml:space="preserve">Source: </w:t>
      </w:r>
      <w:r w:rsidRPr="00AB33E3">
        <w:rPr>
          <w:rFonts w:eastAsia="SimHei"/>
        </w:rPr>
        <w:t>2014 NDIS self-employed DSP survey</w:t>
      </w:r>
      <w:r>
        <w:rPr>
          <w:rFonts w:eastAsia="SimHei"/>
        </w:rPr>
        <w:t>, Question C5</w:t>
      </w:r>
      <w:r w:rsidRPr="00AB33E3">
        <w:rPr>
          <w:rFonts w:eastAsia="SimHei"/>
        </w:rPr>
        <w:t>.</w:t>
      </w:r>
    </w:p>
    <w:p w:rsidR="00B92687" w:rsidRPr="00CC3D82" w:rsidRDefault="00B92687" w:rsidP="00AE4C3A">
      <w:pPr>
        <w:rPr>
          <w:sz w:val="16"/>
          <w:szCs w:val="16"/>
          <w:lang w:eastAsia="zh-CN"/>
        </w:rPr>
      </w:pPr>
    </w:p>
    <w:p w:rsidR="00685BE5" w:rsidRDefault="00685BE5" w:rsidP="00AE4C3A">
      <w:pPr>
        <w:rPr>
          <w:lang w:eastAsia="zh-CN"/>
        </w:rPr>
      </w:pPr>
      <w:r w:rsidRPr="008A0037">
        <w:rPr>
          <w:lang w:eastAsia="zh-CN"/>
        </w:rPr>
        <w:t xml:space="preserve">The self-employed </w:t>
      </w:r>
      <w:r>
        <w:rPr>
          <w:lang w:eastAsia="zh-CN"/>
        </w:rPr>
        <w:t xml:space="preserve">providers </w:t>
      </w:r>
      <w:r w:rsidRPr="008A0037">
        <w:rPr>
          <w:lang w:eastAsia="zh-CN"/>
        </w:rPr>
        <w:t>reported mean and median weekly gr</w:t>
      </w:r>
      <w:r>
        <w:rPr>
          <w:lang w:eastAsia="zh-CN"/>
        </w:rPr>
        <w:t>oss income are shown in Table 4.54</w:t>
      </w:r>
      <w:r w:rsidRPr="008A0037">
        <w:rPr>
          <w:lang w:eastAsia="zh-CN"/>
        </w:rPr>
        <w:t xml:space="preserve">. The median shows that half of the reported incomes </w:t>
      </w:r>
      <w:r>
        <w:rPr>
          <w:lang w:eastAsia="zh-CN"/>
        </w:rPr>
        <w:t>we</w:t>
      </w:r>
      <w:r w:rsidRPr="008A0037">
        <w:rPr>
          <w:lang w:eastAsia="zh-CN"/>
        </w:rPr>
        <w:t xml:space="preserve">re lower than $627 a week, however the mean </w:t>
      </w:r>
      <w:r>
        <w:rPr>
          <w:lang w:eastAsia="zh-CN"/>
        </w:rPr>
        <w:t>wa</w:t>
      </w:r>
      <w:r w:rsidRPr="008A0037">
        <w:rPr>
          <w:lang w:eastAsia="zh-CN"/>
        </w:rPr>
        <w:t xml:space="preserve">s higher at $939 </w:t>
      </w:r>
      <w:r>
        <w:rPr>
          <w:lang w:eastAsia="zh-CN"/>
        </w:rPr>
        <w:t xml:space="preserve">because </w:t>
      </w:r>
      <w:r w:rsidRPr="008A0037">
        <w:rPr>
          <w:lang w:eastAsia="zh-CN"/>
        </w:rPr>
        <w:t>a significant proportion of self-employed providers record</w:t>
      </w:r>
      <w:r>
        <w:rPr>
          <w:lang w:eastAsia="zh-CN"/>
        </w:rPr>
        <w:t>ed</w:t>
      </w:r>
      <w:r w:rsidRPr="008A0037">
        <w:rPr>
          <w:lang w:eastAsia="zh-CN"/>
        </w:rPr>
        <w:t xml:space="preserve"> much higher incomes. </w:t>
      </w:r>
    </w:p>
    <w:p w:rsidR="00685BE5" w:rsidRPr="008A0037" w:rsidRDefault="00685BE5" w:rsidP="0044684E">
      <w:pPr>
        <w:pStyle w:val="NILSTableHeading"/>
      </w:pPr>
      <w:bookmarkStart w:id="723" w:name="_Toc428279261"/>
      <w:bookmarkStart w:id="724" w:name="_Toc449955392"/>
      <w:r>
        <w:t>Table 4.54</w:t>
      </w:r>
      <w:r w:rsidRPr="008A0037">
        <w:t>: Self-employed DSP Weekly gross income</w:t>
      </w:r>
      <w:bookmarkEnd w:id="723"/>
      <w:bookmarkEnd w:id="724"/>
    </w:p>
    <w:tbl>
      <w:tblPr>
        <w:tblW w:w="4410" w:type="dxa"/>
        <w:tblInd w:w="93" w:type="dxa"/>
        <w:tblCellMar>
          <w:left w:w="0" w:type="dxa"/>
          <w:right w:w="0" w:type="dxa"/>
        </w:tblCellMar>
        <w:tblLook w:val="04A0" w:firstRow="1" w:lastRow="0" w:firstColumn="1" w:lastColumn="0" w:noHBand="0" w:noVBand="1"/>
        <w:tblCaption w:val="Table 4.54 Self-employed DSP Weekly gross income"/>
        <w:tblDescription w:val="This table shows the mean and median weekly gross income of self-employed disability support providers."/>
      </w:tblPr>
      <w:tblGrid>
        <w:gridCol w:w="2283"/>
        <w:gridCol w:w="2127"/>
      </w:tblGrid>
      <w:tr w:rsidR="00685BE5" w:rsidRPr="00C41FC1" w:rsidTr="00FA0EB9">
        <w:trPr>
          <w:tblHeader/>
        </w:trPr>
        <w:tc>
          <w:tcPr>
            <w:tcW w:w="2283" w:type="dxa"/>
            <w:tcBorders>
              <w:top w:val="single" w:sz="8" w:space="0" w:color="auto"/>
              <w:left w:val="nil"/>
              <w:bottom w:val="single" w:sz="8" w:space="0" w:color="auto"/>
              <w:right w:val="nil"/>
            </w:tcBorders>
            <w:noWrap/>
            <w:tcMar>
              <w:top w:w="0" w:type="dxa"/>
              <w:left w:w="108" w:type="dxa"/>
              <w:bottom w:w="0" w:type="dxa"/>
              <w:right w:w="108" w:type="dxa"/>
            </w:tcMar>
            <w:vAlign w:val="center"/>
            <w:hideMark/>
          </w:tcPr>
          <w:p w:rsidR="00685BE5" w:rsidRPr="007D2274" w:rsidRDefault="00685BE5" w:rsidP="00AE4C3A">
            <w:pPr>
              <w:spacing w:before="20" w:after="20"/>
              <w:rPr>
                <w:rFonts w:ascii="Calibri" w:hAnsi="Calibri" w:cs="Calibri"/>
                <w:color w:val="000000"/>
                <w:sz w:val="20"/>
                <w:szCs w:val="20"/>
                <w:lang w:eastAsia="zh-CN"/>
              </w:rPr>
            </w:pPr>
            <w:bookmarkStart w:id="725" w:name="Title_4_54"/>
            <w:bookmarkEnd w:id="725"/>
          </w:p>
        </w:tc>
        <w:tc>
          <w:tcPr>
            <w:tcW w:w="2127" w:type="dxa"/>
            <w:tcBorders>
              <w:top w:val="single" w:sz="8" w:space="0" w:color="auto"/>
              <w:left w:val="nil"/>
              <w:bottom w:val="single" w:sz="8" w:space="0" w:color="auto"/>
              <w:right w:val="nil"/>
            </w:tcBorders>
            <w:noWrap/>
            <w:tcMar>
              <w:top w:w="0" w:type="dxa"/>
              <w:left w:w="108" w:type="dxa"/>
              <w:bottom w:w="0" w:type="dxa"/>
              <w:right w:w="108" w:type="dxa"/>
            </w:tcMar>
            <w:vAlign w:val="center"/>
            <w:hideMark/>
          </w:tcPr>
          <w:p w:rsidR="00685BE5" w:rsidRDefault="00685BE5" w:rsidP="00AE4C3A">
            <w:pPr>
              <w:spacing w:before="20" w:after="20"/>
              <w:jc w:val="center"/>
              <w:rPr>
                <w:rFonts w:ascii="Calibri" w:hAnsi="Calibri" w:cs="Calibri"/>
                <w:color w:val="000000"/>
                <w:sz w:val="20"/>
                <w:szCs w:val="20"/>
                <w:lang w:eastAsia="zh-CN"/>
              </w:rPr>
            </w:pPr>
            <w:r w:rsidRPr="007D2274">
              <w:rPr>
                <w:rFonts w:ascii="Calibri" w:hAnsi="Calibri" w:cs="Calibri"/>
                <w:color w:val="000000"/>
                <w:sz w:val="20"/>
                <w:szCs w:val="20"/>
                <w:lang w:eastAsia="zh-CN"/>
              </w:rPr>
              <w:t xml:space="preserve">Weekly gross income </w:t>
            </w:r>
          </w:p>
          <w:p w:rsidR="00685BE5" w:rsidRPr="007D2274" w:rsidRDefault="00685BE5" w:rsidP="00AE4C3A">
            <w:pPr>
              <w:spacing w:before="20" w:after="20"/>
              <w:jc w:val="center"/>
              <w:rPr>
                <w:rFonts w:ascii="Calibri" w:hAnsi="Calibri" w:cs="Calibri"/>
                <w:color w:val="000000"/>
                <w:sz w:val="20"/>
                <w:szCs w:val="20"/>
                <w:lang w:eastAsia="zh-CN"/>
              </w:rPr>
            </w:pPr>
            <w:r w:rsidRPr="007D2274">
              <w:rPr>
                <w:rFonts w:ascii="Calibri" w:hAnsi="Calibri" w:cs="Calibri"/>
                <w:color w:val="000000"/>
                <w:sz w:val="20"/>
                <w:szCs w:val="20"/>
                <w:lang w:eastAsia="zh-CN"/>
              </w:rPr>
              <w:t>$</w:t>
            </w:r>
          </w:p>
        </w:tc>
      </w:tr>
      <w:tr w:rsidR="00685BE5" w:rsidRPr="00C41FC1" w:rsidTr="00AE4C3A">
        <w:tc>
          <w:tcPr>
            <w:tcW w:w="2283" w:type="dxa"/>
            <w:noWrap/>
            <w:tcMar>
              <w:top w:w="0" w:type="dxa"/>
              <w:left w:w="108" w:type="dxa"/>
              <w:bottom w:w="0" w:type="dxa"/>
              <w:right w:w="108" w:type="dxa"/>
            </w:tcMar>
            <w:vAlign w:val="center"/>
            <w:hideMark/>
          </w:tcPr>
          <w:p w:rsidR="00685BE5" w:rsidRPr="007D2274" w:rsidRDefault="00685BE5" w:rsidP="00AE4C3A">
            <w:pPr>
              <w:spacing w:before="20" w:after="20"/>
              <w:rPr>
                <w:rFonts w:ascii="Calibri" w:hAnsi="Calibri" w:cs="Calibri"/>
                <w:color w:val="000000"/>
                <w:sz w:val="20"/>
                <w:szCs w:val="20"/>
                <w:lang w:eastAsia="zh-CN"/>
              </w:rPr>
            </w:pPr>
            <w:r w:rsidRPr="007D2274">
              <w:rPr>
                <w:rFonts w:ascii="Calibri" w:hAnsi="Calibri" w:cs="Calibri"/>
                <w:color w:val="000000"/>
                <w:sz w:val="20"/>
                <w:szCs w:val="20"/>
                <w:lang w:eastAsia="zh-CN"/>
              </w:rPr>
              <w:t>Mean (N=247)</w:t>
            </w:r>
          </w:p>
        </w:tc>
        <w:tc>
          <w:tcPr>
            <w:tcW w:w="2127" w:type="dxa"/>
            <w:noWrap/>
            <w:tcMar>
              <w:top w:w="0" w:type="dxa"/>
              <w:left w:w="108" w:type="dxa"/>
              <w:bottom w:w="0" w:type="dxa"/>
              <w:right w:w="108" w:type="dxa"/>
            </w:tcMar>
            <w:vAlign w:val="center"/>
            <w:hideMark/>
          </w:tcPr>
          <w:p w:rsidR="00685BE5" w:rsidRPr="007D2274" w:rsidRDefault="00685BE5" w:rsidP="00AE4C3A">
            <w:pPr>
              <w:spacing w:before="20" w:after="20"/>
              <w:ind w:right="721"/>
              <w:jc w:val="right"/>
              <w:rPr>
                <w:rFonts w:ascii="Calibri" w:hAnsi="Calibri" w:cs="Calibri"/>
                <w:color w:val="000000"/>
                <w:sz w:val="20"/>
                <w:szCs w:val="20"/>
                <w:lang w:eastAsia="zh-CN"/>
              </w:rPr>
            </w:pPr>
            <w:r w:rsidRPr="007D2274">
              <w:rPr>
                <w:rFonts w:ascii="Calibri" w:hAnsi="Calibri" w:cs="Calibri"/>
                <w:color w:val="000000"/>
                <w:sz w:val="20"/>
                <w:szCs w:val="20"/>
                <w:lang w:eastAsia="zh-CN"/>
              </w:rPr>
              <w:t>939.3</w:t>
            </w:r>
          </w:p>
        </w:tc>
      </w:tr>
      <w:tr w:rsidR="00685BE5" w:rsidRPr="00C41FC1" w:rsidTr="00AE4C3A">
        <w:tc>
          <w:tcPr>
            <w:tcW w:w="2283" w:type="dxa"/>
            <w:tcBorders>
              <w:top w:val="nil"/>
              <w:left w:val="nil"/>
              <w:bottom w:val="single" w:sz="8" w:space="0" w:color="auto"/>
              <w:right w:val="nil"/>
            </w:tcBorders>
            <w:noWrap/>
            <w:tcMar>
              <w:top w:w="0" w:type="dxa"/>
              <w:left w:w="108" w:type="dxa"/>
              <w:bottom w:w="0" w:type="dxa"/>
              <w:right w:w="108" w:type="dxa"/>
            </w:tcMar>
            <w:vAlign w:val="center"/>
            <w:hideMark/>
          </w:tcPr>
          <w:p w:rsidR="00685BE5" w:rsidRPr="007D2274" w:rsidRDefault="00685BE5" w:rsidP="00AE4C3A">
            <w:pPr>
              <w:spacing w:before="20" w:after="20"/>
              <w:rPr>
                <w:rFonts w:ascii="Calibri" w:hAnsi="Calibri" w:cs="Calibri"/>
                <w:color w:val="000000"/>
                <w:sz w:val="20"/>
                <w:szCs w:val="20"/>
                <w:lang w:eastAsia="zh-CN"/>
              </w:rPr>
            </w:pPr>
            <w:r w:rsidRPr="007D2274">
              <w:rPr>
                <w:rFonts w:ascii="Calibri" w:hAnsi="Calibri" w:cs="Calibri"/>
                <w:color w:val="000000"/>
                <w:sz w:val="20"/>
                <w:szCs w:val="20"/>
                <w:lang w:eastAsia="zh-CN"/>
              </w:rPr>
              <w:t>Median (N=247)</w:t>
            </w:r>
          </w:p>
        </w:tc>
        <w:tc>
          <w:tcPr>
            <w:tcW w:w="2127" w:type="dxa"/>
            <w:tcBorders>
              <w:top w:val="nil"/>
              <w:left w:val="nil"/>
              <w:bottom w:val="single" w:sz="8" w:space="0" w:color="auto"/>
              <w:right w:val="nil"/>
            </w:tcBorders>
            <w:noWrap/>
            <w:tcMar>
              <w:top w:w="0" w:type="dxa"/>
              <w:left w:w="108" w:type="dxa"/>
              <w:bottom w:w="0" w:type="dxa"/>
              <w:right w:w="108" w:type="dxa"/>
            </w:tcMar>
            <w:vAlign w:val="center"/>
            <w:hideMark/>
          </w:tcPr>
          <w:p w:rsidR="00685BE5" w:rsidRPr="007D2274" w:rsidRDefault="00685BE5" w:rsidP="00AE4C3A">
            <w:pPr>
              <w:spacing w:before="20" w:after="20"/>
              <w:ind w:right="721"/>
              <w:jc w:val="right"/>
              <w:rPr>
                <w:rFonts w:ascii="Calibri" w:hAnsi="Calibri" w:cs="Calibri"/>
                <w:color w:val="000000"/>
                <w:sz w:val="20"/>
                <w:szCs w:val="20"/>
                <w:lang w:eastAsia="zh-CN"/>
              </w:rPr>
            </w:pPr>
            <w:r w:rsidRPr="007D2274">
              <w:rPr>
                <w:rFonts w:ascii="Calibri" w:hAnsi="Calibri" w:cs="Calibri"/>
                <w:color w:val="000000"/>
                <w:sz w:val="20"/>
                <w:szCs w:val="20"/>
                <w:lang w:eastAsia="zh-CN"/>
              </w:rPr>
              <w:t>627.9</w:t>
            </w:r>
          </w:p>
        </w:tc>
      </w:tr>
    </w:tbl>
    <w:p w:rsidR="00685BE5" w:rsidRPr="000C0BF5" w:rsidRDefault="00685BE5" w:rsidP="00AE4C3A">
      <w:pPr>
        <w:pStyle w:val="NILSReference"/>
        <w:rPr>
          <w:rFonts w:eastAsia="SimHei"/>
        </w:rPr>
      </w:pPr>
      <w:r w:rsidRPr="000C0BF5">
        <w:rPr>
          <w:rFonts w:eastAsia="SimHei"/>
        </w:rPr>
        <w:t>Source: 2014 NDIS self-employed DSP survey, Question B11.</w:t>
      </w:r>
    </w:p>
    <w:p w:rsidR="00685BE5" w:rsidRPr="007D2274" w:rsidRDefault="00685BE5" w:rsidP="00AE4C3A">
      <w:pPr>
        <w:pStyle w:val="NILSReference"/>
        <w:rPr>
          <w:rFonts w:eastAsia="SimHei"/>
        </w:rPr>
      </w:pPr>
      <w:r w:rsidRPr="000C0BF5">
        <w:rPr>
          <w:rFonts w:eastAsia="SimHei"/>
        </w:rPr>
        <w:t>Note: t</w:t>
      </w:r>
      <w:r w:rsidRPr="007D2274">
        <w:rPr>
          <w:rFonts w:eastAsia="SimHei"/>
        </w:rPr>
        <w:t>his is based on 247 self-employed people who provided a valid answer (i.e. a number that equals to or greater than 0) and their reported income was not over $10,000 a week. 4 observations with reported income over $10,000 per week are excluded.</w:t>
      </w:r>
    </w:p>
    <w:p w:rsidR="00B92687" w:rsidRPr="00CC3D82" w:rsidRDefault="00B92687" w:rsidP="00AE4C3A">
      <w:pPr>
        <w:rPr>
          <w:sz w:val="16"/>
          <w:szCs w:val="16"/>
          <w:lang w:eastAsia="zh-CN"/>
        </w:rPr>
      </w:pPr>
    </w:p>
    <w:p w:rsidR="00685BE5" w:rsidRDefault="00685BE5" w:rsidP="00AE4C3A">
      <w:pPr>
        <w:rPr>
          <w:lang w:eastAsia="zh-CN"/>
        </w:rPr>
      </w:pPr>
      <w:r>
        <w:rPr>
          <w:lang w:eastAsia="zh-CN"/>
        </w:rPr>
        <w:t>Table 4.55</w:t>
      </w:r>
      <w:r w:rsidRPr="00AB33E3">
        <w:rPr>
          <w:lang w:eastAsia="zh-CN"/>
        </w:rPr>
        <w:t xml:space="preserve"> reflects the age </w:t>
      </w:r>
      <w:r>
        <w:rPr>
          <w:lang w:eastAsia="zh-CN"/>
        </w:rPr>
        <w:t>at which</w:t>
      </w:r>
      <w:r w:rsidRPr="00AB33E3">
        <w:rPr>
          <w:lang w:eastAsia="zh-CN"/>
        </w:rPr>
        <w:t xml:space="preserve"> self-employed </w:t>
      </w:r>
      <w:r>
        <w:rPr>
          <w:lang w:eastAsia="zh-CN"/>
        </w:rPr>
        <w:t xml:space="preserve">providers </w:t>
      </w:r>
      <w:r w:rsidRPr="00AB33E3">
        <w:rPr>
          <w:lang w:eastAsia="zh-CN"/>
        </w:rPr>
        <w:t xml:space="preserve">started working in disability support. </w:t>
      </w:r>
      <w:r>
        <w:rPr>
          <w:lang w:eastAsia="zh-CN"/>
        </w:rPr>
        <w:t>Most</w:t>
      </w:r>
      <w:r w:rsidRPr="00AB33E3">
        <w:rPr>
          <w:lang w:eastAsia="zh-CN"/>
        </w:rPr>
        <w:t xml:space="preserve"> self-employed providers started working in the sector when they were less than 30 years</w:t>
      </w:r>
      <w:r>
        <w:rPr>
          <w:lang w:eastAsia="zh-CN"/>
        </w:rPr>
        <w:t xml:space="preserve"> of age</w:t>
      </w:r>
      <w:r w:rsidRPr="00AB33E3">
        <w:rPr>
          <w:lang w:eastAsia="zh-CN"/>
        </w:rPr>
        <w:t xml:space="preserve">. This </w:t>
      </w:r>
      <w:r>
        <w:rPr>
          <w:lang w:eastAsia="zh-CN"/>
        </w:rPr>
        <w:t>wa</w:t>
      </w:r>
      <w:r w:rsidRPr="00AB33E3">
        <w:rPr>
          <w:lang w:eastAsia="zh-CN"/>
        </w:rPr>
        <w:t>s different from employees, of whom a large proportion join</w:t>
      </w:r>
      <w:r>
        <w:rPr>
          <w:lang w:eastAsia="zh-CN"/>
        </w:rPr>
        <w:t>ed</w:t>
      </w:r>
      <w:r w:rsidRPr="00AB33E3">
        <w:rPr>
          <w:lang w:eastAsia="zh-CN"/>
        </w:rPr>
        <w:t xml:space="preserve"> the sector at a middle stage in life. It is likely that many of the 29 per cent who started work in the sector at age 21 years or less did so while they were also studying to get their professional degree.</w:t>
      </w:r>
    </w:p>
    <w:p w:rsidR="005274AC" w:rsidRDefault="005274AC">
      <w:pPr>
        <w:rPr>
          <w:b/>
          <w:sz w:val="20"/>
          <w:lang w:val="x-none"/>
        </w:rPr>
      </w:pPr>
      <w:bookmarkStart w:id="726" w:name="_Toc428279262"/>
      <w:r>
        <w:br w:type="page"/>
      </w:r>
    </w:p>
    <w:p w:rsidR="00685BE5" w:rsidRPr="00AB33E3" w:rsidRDefault="00685BE5" w:rsidP="0044684E">
      <w:pPr>
        <w:pStyle w:val="NILSTableHeading"/>
      </w:pPr>
      <w:bookmarkStart w:id="727" w:name="_Toc449955393"/>
      <w:r>
        <w:lastRenderedPageBreak/>
        <w:t>Table 4.55</w:t>
      </w:r>
      <w:r w:rsidRPr="00AB33E3">
        <w:t>: Age</w:t>
      </w:r>
      <w:r>
        <w:t xml:space="preserve"> </w:t>
      </w:r>
      <w:r w:rsidRPr="00AB33E3">
        <w:t xml:space="preserve">at which </w:t>
      </w:r>
      <w:r>
        <w:t>self-employed providers</w:t>
      </w:r>
      <w:r w:rsidRPr="00AB33E3">
        <w:t xml:space="preserve"> began working in the disability support sector</w:t>
      </w:r>
      <w:r>
        <w:t xml:space="preserve"> </w:t>
      </w:r>
      <w:r w:rsidRPr="005F5725">
        <w:rPr>
          <w:lang w:val="en-US"/>
        </w:rPr>
        <w:t>(per cent)</w:t>
      </w:r>
      <w:bookmarkEnd w:id="726"/>
      <w:bookmarkEnd w:id="727"/>
    </w:p>
    <w:tbl>
      <w:tblPr>
        <w:tblW w:w="0" w:type="auto"/>
        <w:tblInd w:w="93" w:type="dxa"/>
        <w:tblLook w:val="04A0" w:firstRow="1" w:lastRow="0" w:firstColumn="1" w:lastColumn="0" w:noHBand="0" w:noVBand="1"/>
        <w:tblCaption w:val="Table 4.55 Age at which self-employed providers began working in the disability support sector (per cent)"/>
      </w:tblPr>
      <w:tblGrid>
        <w:gridCol w:w="2850"/>
        <w:gridCol w:w="993"/>
      </w:tblGrid>
      <w:tr w:rsidR="00685BE5" w:rsidRPr="00C41FC1" w:rsidTr="00CA7DF7">
        <w:trPr>
          <w:tblHeader/>
        </w:trPr>
        <w:tc>
          <w:tcPr>
            <w:tcW w:w="2850" w:type="dxa"/>
            <w:tcBorders>
              <w:top w:val="single" w:sz="4" w:space="0" w:color="auto"/>
              <w:left w:val="nil"/>
              <w:bottom w:val="single" w:sz="4" w:space="0" w:color="auto"/>
              <w:right w:val="nil"/>
            </w:tcBorders>
            <w:shd w:val="clear" w:color="auto" w:fill="auto"/>
            <w:noWrap/>
            <w:vAlign w:val="center"/>
            <w:hideMark/>
          </w:tcPr>
          <w:p w:rsidR="00685BE5" w:rsidRPr="00C41FC1" w:rsidRDefault="00685BE5" w:rsidP="00AE4C3A">
            <w:pPr>
              <w:spacing w:before="20" w:after="20"/>
              <w:rPr>
                <w:rFonts w:ascii="Calibri" w:eastAsia="Times New Roman" w:hAnsi="Calibri" w:cs="Calibri"/>
                <w:bCs/>
                <w:color w:val="000000"/>
                <w:sz w:val="20"/>
                <w:szCs w:val="20"/>
                <w:lang w:eastAsia="zh-CN"/>
              </w:rPr>
            </w:pPr>
            <w:bookmarkStart w:id="728" w:name="Title_4_55"/>
            <w:bookmarkEnd w:id="728"/>
          </w:p>
        </w:tc>
        <w:tc>
          <w:tcPr>
            <w:tcW w:w="993" w:type="dxa"/>
            <w:tcBorders>
              <w:top w:val="single" w:sz="4" w:space="0" w:color="auto"/>
              <w:left w:val="nil"/>
              <w:bottom w:val="single" w:sz="4" w:space="0" w:color="auto"/>
              <w:right w:val="nil"/>
            </w:tcBorders>
            <w:shd w:val="clear" w:color="auto" w:fill="auto"/>
            <w:noWrap/>
            <w:vAlign w:val="center"/>
            <w:hideMark/>
          </w:tcPr>
          <w:p w:rsidR="00685BE5" w:rsidRPr="00C41FC1" w:rsidRDefault="0096484D" w:rsidP="00AE4C3A">
            <w:pPr>
              <w:spacing w:before="20" w:after="20"/>
              <w:jc w:val="center"/>
              <w:rPr>
                <w:rFonts w:ascii="Calibri" w:eastAsia="Times New Roman" w:hAnsi="Calibri" w:cs="Calibri"/>
                <w:bCs/>
                <w:color w:val="000000"/>
                <w:sz w:val="20"/>
                <w:szCs w:val="20"/>
                <w:lang w:eastAsia="zh-CN"/>
              </w:rPr>
            </w:pPr>
            <w:r>
              <w:rPr>
                <w:rFonts w:ascii="Calibri" w:eastAsia="Times New Roman" w:hAnsi="Calibri" w:cs="Calibri"/>
                <w:bCs/>
                <w:color w:val="000000"/>
                <w:sz w:val="20"/>
                <w:szCs w:val="20"/>
                <w:lang w:eastAsia="zh-CN"/>
              </w:rPr>
              <w:t>%</w:t>
            </w:r>
          </w:p>
        </w:tc>
      </w:tr>
      <w:tr w:rsidR="00685BE5" w:rsidRPr="00C41FC1" w:rsidTr="00CA7DF7">
        <w:tc>
          <w:tcPr>
            <w:tcW w:w="2850" w:type="dxa"/>
            <w:tcBorders>
              <w:top w:val="nil"/>
              <w:left w:val="nil"/>
              <w:bottom w:val="nil"/>
              <w:right w:val="nil"/>
            </w:tcBorders>
            <w:shd w:val="clear" w:color="auto" w:fill="auto"/>
            <w:noWrap/>
            <w:vAlign w:val="center"/>
            <w:hideMark/>
          </w:tcPr>
          <w:p w:rsidR="00685BE5" w:rsidRPr="00C41FC1" w:rsidRDefault="00685BE5" w:rsidP="00AE4C3A">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21 or under</w:t>
            </w:r>
          </w:p>
        </w:tc>
        <w:tc>
          <w:tcPr>
            <w:tcW w:w="993" w:type="dxa"/>
            <w:tcBorders>
              <w:top w:val="nil"/>
              <w:left w:val="nil"/>
              <w:bottom w:val="nil"/>
              <w:right w:val="nil"/>
            </w:tcBorders>
            <w:shd w:val="clear" w:color="auto" w:fill="auto"/>
            <w:noWrap/>
            <w:vAlign w:val="center"/>
            <w:hideMark/>
          </w:tcPr>
          <w:p w:rsidR="00685BE5" w:rsidRPr="00C41FC1" w:rsidRDefault="00685BE5" w:rsidP="00AE4C3A">
            <w:pPr>
              <w:spacing w:before="20" w:after="20"/>
              <w:ind w:right="175"/>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29.4</w:t>
            </w:r>
          </w:p>
        </w:tc>
      </w:tr>
      <w:tr w:rsidR="00685BE5" w:rsidRPr="00C41FC1" w:rsidTr="00CA7DF7">
        <w:tc>
          <w:tcPr>
            <w:tcW w:w="2850" w:type="dxa"/>
            <w:tcBorders>
              <w:top w:val="nil"/>
              <w:left w:val="nil"/>
              <w:bottom w:val="nil"/>
              <w:right w:val="nil"/>
            </w:tcBorders>
            <w:shd w:val="clear" w:color="auto" w:fill="auto"/>
            <w:noWrap/>
            <w:vAlign w:val="center"/>
            <w:hideMark/>
          </w:tcPr>
          <w:p w:rsidR="00685BE5" w:rsidRPr="00C41FC1" w:rsidRDefault="00685BE5" w:rsidP="00AE4C3A">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22-29</w:t>
            </w:r>
          </w:p>
        </w:tc>
        <w:tc>
          <w:tcPr>
            <w:tcW w:w="993" w:type="dxa"/>
            <w:tcBorders>
              <w:top w:val="nil"/>
              <w:left w:val="nil"/>
              <w:bottom w:val="nil"/>
              <w:right w:val="nil"/>
            </w:tcBorders>
            <w:shd w:val="clear" w:color="auto" w:fill="auto"/>
            <w:noWrap/>
            <w:vAlign w:val="center"/>
            <w:hideMark/>
          </w:tcPr>
          <w:p w:rsidR="00685BE5" w:rsidRPr="00C41FC1" w:rsidRDefault="00685BE5" w:rsidP="00AE4C3A">
            <w:pPr>
              <w:spacing w:before="20" w:after="20"/>
              <w:ind w:right="175"/>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49.3</w:t>
            </w:r>
          </w:p>
        </w:tc>
      </w:tr>
      <w:tr w:rsidR="00685BE5" w:rsidRPr="00C41FC1" w:rsidTr="00CA7DF7">
        <w:tc>
          <w:tcPr>
            <w:tcW w:w="2850" w:type="dxa"/>
            <w:tcBorders>
              <w:top w:val="nil"/>
              <w:left w:val="nil"/>
              <w:bottom w:val="nil"/>
              <w:right w:val="nil"/>
            </w:tcBorders>
            <w:shd w:val="clear" w:color="auto" w:fill="auto"/>
            <w:noWrap/>
            <w:vAlign w:val="center"/>
            <w:hideMark/>
          </w:tcPr>
          <w:p w:rsidR="00685BE5" w:rsidRPr="00C41FC1" w:rsidRDefault="00685BE5" w:rsidP="00AE4C3A">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30-39</w:t>
            </w:r>
          </w:p>
        </w:tc>
        <w:tc>
          <w:tcPr>
            <w:tcW w:w="993" w:type="dxa"/>
            <w:tcBorders>
              <w:top w:val="nil"/>
              <w:left w:val="nil"/>
              <w:bottom w:val="nil"/>
              <w:right w:val="nil"/>
            </w:tcBorders>
            <w:shd w:val="clear" w:color="auto" w:fill="auto"/>
            <w:noWrap/>
            <w:vAlign w:val="center"/>
            <w:hideMark/>
          </w:tcPr>
          <w:p w:rsidR="00685BE5" w:rsidRPr="00C41FC1" w:rsidRDefault="00685BE5" w:rsidP="00AE4C3A">
            <w:pPr>
              <w:spacing w:before="20" w:after="20"/>
              <w:ind w:right="175"/>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9.9</w:t>
            </w:r>
          </w:p>
        </w:tc>
      </w:tr>
      <w:tr w:rsidR="00685BE5" w:rsidRPr="00C41FC1" w:rsidTr="00CA7DF7">
        <w:tc>
          <w:tcPr>
            <w:tcW w:w="2850" w:type="dxa"/>
            <w:tcBorders>
              <w:top w:val="nil"/>
              <w:left w:val="nil"/>
              <w:bottom w:val="nil"/>
              <w:right w:val="nil"/>
            </w:tcBorders>
            <w:shd w:val="clear" w:color="auto" w:fill="auto"/>
            <w:noWrap/>
            <w:vAlign w:val="center"/>
            <w:hideMark/>
          </w:tcPr>
          <w:p w:rsidR="00685BE5" w:rsidRPr="00C41FC1" w:rsidRDefault="00685BE5" w:rsidP="00AE4C3A">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40-49</w:t>
            </w:r>
          </w:p>
        </w:tc>
        <w:tc>
          <w:tcPr>
            <w:tcW w:w="993" w:type="dxa"/>
            <w:tcBorders>
              <w:top w:val="nil"/>
              <w:left w:val="nil"/>
              <w:bottom w:val="nil"/>
              <w:right w:val="nil"/>
            </w:tcBorders>
            <w:shd w:val="clear" w:color="auto" w:fill="auto"/>
            <w:noWrap/>
            <w:vAlign w:val="center"/>
            <w:hideMark/>
          </w:tcPr>
          <w:p w:rsidR="00685BE5" w:rsidRPr="00C41FC1" w:rsidRDefault="00685BE5" w:rsidP="00AE4C3A">
            <w:pPr>
              <w:spacing w:before="20" w:after="20"/>
              <w:ind w:right="175"/>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7.7</w:t>
            </w:r>
          </w:p>
        </w:tc>
      </w:tr>
      <w:tr w:rsidR="00685BE5" w:rsidRPr="00C41FC1" w:rsidTr="00CA7DF7">
        <w:tc>
          <w:tcPr>
            <w:tcW w:w="2850" w:type="dxa"/>
            <w:tcBorders>
              <w:top w:val="nil"/>
              <w:left w:val="nil"/>
              <w:bottom w:val="nil"/>
              <w:right w:val="nil"/>
            </w:tcBorders>
            <w:shd w:val="clear" w:color="auto" w:fill="auto"/>
            <w:noWrap/>
            <w:vAlign w:val="center"/>
            <w:hideMark/>
          </w:tcPr>
          <w:p w:rsidR="00685BE5" w:rsidRPr="00C41FC1" w:rsidRDefault="00685BE5" w:rsidP="00AE4C3A">
            <w:pPr>
              <w:spacing w:before="20" w:after="20"/>
              <w:rPr>
                <w:rFonts w:ascii="Calibri" w:eastAsia="Times New Roman" w:hAnsi="Calibri" w:cs="Calibri"/>
                <w:color w:val="000000"/>
                <w:sz w:val="20"/>
                <w:szCs w:val="20"/>
                <w:lang w:eastAsia="zh-CN"/>
              </w:rPr>
            </w:pPr>
            <w:r>
              <w:rPr>
                <w:rFonts w:ascii="Calibri" w:eastAsia="Times New Roman" w:hAnsi="Calibri" w:cs="Calibri"/>
                <w:color w:val="000000"/>
                <w:sz w:val="20"/>
                <w:szCs w:val="20"/>
                <w:lang w:eastAsia="zh-CN"/>
              </w:rPr>
              <w:t>50 or above</w:t>
            </w:r>
          </w:p>
        </w:tc>
        <w:tc>
          <w:tcPr>
            <w:tcW w:w="993" w:type="dxa"/>
            <w:tcBorders>
              <w:top w:val="nil"/>
              <w:left w:val="nil"/>
              <w:bottom w:val="nil"/>
              <w:right w:val="nil"/>
            </w:tcBorders>
            <w:shd w:val="clear" w:color="auto" w:fill="auto"/>
            <w:noWrap/>
            <w:vAlign w:val="center"/>
            <w:hideMark/>
          </w:tcPr>
          <w:p w:rsidR="00685BE5" w:rsidRPr="00C41FC1" w:rsidRDefault="00685BE5" w:rsidP="00AE4C3A">
            <w:pPr>
              <w:spacing w:before="20" w:after="20"/>
              <w:ind w:right="175"/>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2.2</w:t>
            </w:r>
          </w:p>
        </w:tc>
      </w:tr>
      <w:tr w:rsidR="00685BE5" w:rsidRPr="00C41FC1" w:rsidTr="00CA7DF7">
        <w:tc>
          <w:tcPr>
            <w:tcW w:w="2850" w:type="dxa"/>
            <w:tcBorders>
              <w:top w:val="nil"/>
              <w:left w:val="nil"/>
              <w:bottom w:val="single" w:sz="4" w:space="0" w:color="auto"/>
              <w:right w:val="nil"/>
            </w:tcBorders>
            <w:shd w:val="clear" w:color="auto" w:fill="auto"/>
            <w:noWrap/>
            <w:vAlign w:val="center"/>
            <w:hideMark/>
          </w:tcPr>
          <w:p w:rsidR="00685BE5" w:rsidRPr="00C41FC1" w:rsidRDefault="00685BE5" w:rsidP="00AE4C3A">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 xml:space="preserve">Question not answered </w:t>
            </w:r>
          </w:p>
        </w:tc>
        <w:tc>
          <w:tcPr>
            <w:tcW w:w="993" w:type="dxa"/>
            <w:tcBorders>
              <w:top w:val="nil"/>
              <w:left w:val="nil"/>
              <w:bottom w:val="single" w:sz="4" w:space="0" w:color="auto"/>
              <w:right w:val="nil"/>
            </w:tcBorders>
            <w:shd w:val="clear" w:color="auto" w:fill="auto"/>
            <w:noWrap/>
            <w:vAlign w:val="center"/>
            <w:hideMark/>
          </w:tcPr>
          <w:p w:rsidR="00685BE5" w:rsidRPr="00C41FC1" w:rsidRDefault="00685BE5" w:rsidP="00AE4C3A">
            <w:pPr>
              <w:spacing w:before="20" w:after="20"/>
              <w:ind w:right="175"/>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1.5</w:t>
            </w:r>
          </w:p>
        </w:tc>
      </w:tr>
      <w:tr w:rsidR="00685BE5" w:rsidRPr="00C41FC1" w:rsidTr="00CA7DF7">
        <w:tc>
          <w:tcPr>
            <w:tcW w:w="2850" w:type="dxa"/>
            <w:tcBorders>
              <w:top w:val="single" w:sz="4" w:space="0" w:color="auto"/>
              <w:left w:val="nil"/>
              <w:bottom w:val="single" w:sz="4" w:space="0" w:color="auto"/>
              <w:right w:val="nil"/>
            </w:tcBorders>
            <w:shd w:val="clear" w:color="auto" w:fill="auto"/>
            <w:noWrap/>
            <w:vAlign w:val="center"/>
            <w:hideMark/>
          </w:tcPr>
          <w:p w:rsidR="00685BE5" w:rsidRPr="00C41FC1" w:rsidRDefault="00685BE5" w:rsidP="00AE4C3A">
            <w:pPr>
              <w:spacing w:before="20" w:after="20"/>
              <w:rPr>
                <w:rFonts w:ascii="Calibri" w:eastAsia="Times New Roman" w:hAnsi="Calibri" w:cs="Calibri"/>
                <w:b/>
                <w:color w:val="000000"/>
                <w:sz w:val="20"/>
                <w:szCs w:val="20"/>
                <w:lang w:eastAsia="zh-CN"/>
              </w:rPr>
            </w:pPr>
            <w:r w:rsidRPr="00C41FC1">
              <w:rPr>
                <w:rFonts w:ascii="Calibri" w:eastAsia="Times New Roman" w:hAnsi="Calibri" w:cs="Calibri"/>
                <w:b/>
                <w:color w:val="000000"/>
                <w:sz w:val="20"/>
                <w:szCs w:val="20"/>
                <w:lang w:eastAsia="zh-CN"/>
              </w:rPr>
              <w:t>Total (N=272)</w:t>
            </w:r>
          </w:p>
        </w:tc>
        <w:tc>
          <w:tcPr>
            <w:tcW w:w="993" w:type="dxa"/>
            <w:tcBorders>
              <w:top w:val="single" w:sz="4" w:space="0" w:color="auto"/>
              <w:left w:val="nil"/>
              <w:bottom w:val="single" w:sz="4" w:space="0" w:color="auto"/>
              <w:right w:val="nil"/>
            </w:tcBorders>
            <w:shd w:val="clear" w:color="auto" w:fill="auto"/>
            <w:noWrap/>
            <w:vAlign w:val="center"/>
            <w:hideMark/>
          </w:tcPr>
          <w:p w:rsidR="00685BE5" w:rsidRPr="00C41FC1" w:rsidRDefault="00685BE5" w:rsidP="00AE4C3A">
            <w:pPr>
              <w:spacing w:before="20" w:after="20"/>
              <w:ind w:right="175"/>
              <w:jc w:val="right"/>
              <w:rPr>
                <w:rFonts w:ascii="Calibri" w:eastAsia="Times New Roman" w:hAnsi="Calibri" w:cs="Calibri"/>
                <w:b/>
                <w:color w:val="000000"/>
                <w:sz w:val="20"/>
                <w:szCs w:val="20"/>
                <w:lang w:eastAsia="zh-CN"/>
              </w:rPr>
            </w:pPr>
            <w:r w:rsidRPr="00C41FC1">
              <w:rPr>
                <w:rFonts w:ascii="Calibri" w:eastAsia="Times New Roman" w:hAnsi="Calibri" w:cs="Calibri"/>
                <w:b/>
                <w:color w:val="000000"/>
                <w:sz w:val="20"/>
                <w:szCs w:val="20"/>
                <w:lang w:eastAsia="zh-CN"/>
              </w:rPr>
              <w:t>100</w:t>
            </w:r>
          </w:p>
        </w:tc>
      </w:tr>
    </w:tbl>
    <w:p w:rsidR="00685BE5" w:rsidRPr="00DE1613" w:rsidRDefault="00685BE5" w:rsidP="00FB089D">
      <w:pPr>
        <w:pStyle w:val="NILSFootnote"/>
        <w:rPr>
          <w:rFonts w:eastAsia="SimHei"/>
        </w:rPr>
      </w:pPr>
      <w:r>
        <w:rPr>
          <w:rFonts w:eastAsia="SimHei"/>
        </w:rPr>
        <w:t xml:space="preserve">Source: </w:t>
      </w:r>
      <w:r w:rsidRPr="00AB33E3">
        <w:rPr>
          <w:rFonts w:eastAsia="SimHei"/>
        </w:rPr>
        <w:t xml:space="preserve">2014 NDIS </w:t>
      </w:r>
      <w:r w:rsidRPr="00DE1613">
        <w:rPr>
          <w:rFonts w:eastAsia="SimHei"/>
        </w:rPr>
        <w:t>self-employed DSP survey, Question C2.</w:t>
      </w:r>
    </w:p>
    <w:p w:rsidR="00685BE5" w:rsidRPr="00AB33E3" w:rsidRDefault="00685BE5" w:rsidP="00FB089D">
      <w:pPr>
        <w:pStyle w:val="NILSFootnote"/>
        <w:rPr>
          <w:rFonts w:eastAsia="SimHei"/>
        </w:rPr>
      </w:pPr>
    </w:p>
    <w:p w:rsidR="00685BE5" w:rsidRDefault="00685BE5" w:rsidP="00AE4C3A">
      <w:r w:rsidRPr="00AB33E3">
        <w:t>The number of years that self-employed providers ha</w:t>
      </w:r>
      <w:r>
        <w:t>d</w:t>
      </w:r>
      <w:r w:rsidRPr="00AB33E3">
        <w:t xml:space="preserve"> been working in the disability support sector is shown in Table </w:t>
      </w:r>
      <w:r>
        <w:t>4.56</w:t>
      </w:r>
      <w:r w:rsidRPr="00AB33E3">
        <w:t>. The large majority of providers (around 80 per cent) ha</w:t>
      </w:r>
      <w:r>
        <w:t>d</w:t>
      </w:r>
      <w:r w:rsidRPr="00AB33E3">
        <w:t xml:space="preserve"> been working in the sector for 10 years or more. Fewer than 10 per cent ha</w:t>
      </w:r>
      <w:r>
        <w:t>d</w:t>
      </w:r>
      <w:r w:rsidRPr="00AB33E3">
        <w:t xml:space="preserve"> been working in the sector for less than 5 years. Self-employed providers, on average, ha</w:t>
      </w:r>
      <w:r>
        <w:t>d</w:t>
      </w:r>
      <w:r w:rsidRPr="00AB33E3">
        <w:t xml:space="preserve"> much longer experience in this sector than employees.</w:t>
      </w:r>
      <w:r>
        <w:t xml:space="preserve"> The picture that emerges was one where few newcomers were present, with 8.8 per cent of the current workforce having joined the sector in the last four years. This was not the picture of change that may be necessary in preparation for a large rollout of new services.</w:t>
      </w:r>
    </w:p>
    <w:p w:rsidR="00685BE5" w:rsidRPr="00AB33E3" w:rsidRDefault="00685BE5" w:rsidP="0044684E">
      <w:pPr>
        <w:pStyle w:val="NILSTableHeading"/>
      </w:pPr>
      <w:bookmarkStart w:id="729" w:name="_Toc449955394"/>
      <w:bookmarkStart w:id="730" w:name="_Toc428279263"/>
      <w:r>
        <w:t>Table 4.56</w:t>
      </w:r>
      <w:r w:rsidRPr="00AB33E3">
        <w:t>: Total number of years spent working in the disability support sector</w:t>
      </w:r>
      <w:r>
        <w:t xml:space="preserve"> by self-employed providers</w:t>
      </w:r>
      <w:bookmarkEnd w:id="729"/>
      <w:r>
        <w:t xml:space="preserve"> </w:t>
      </w:r>
      <w:bookmarkEnd w:id="730"/>
    </w:p>
    <w:tbl>
      <w:tblPr>
        <w:tblW w:w="3417" w:type="dxa"/>
        <w:tblInd w:w="93" w:type="dxa"/>
        <w:tblLook w:val="04A0" w:firstRow="1" w:lastRow="0" w:firstColumn="1" w:lastColumn="0" w:noHBand="0" w:noVBand="1"/>
        <w:tblCaption w:val="Table 4.56 Total number of years spent working in the disability support sector by self-employed providers (per cent)"/>
      </w:tblPr>
      <w:tblGrid>
        <w:gridCol w:w="2425"/>
        <w:gridCol w:w="992"/>
      </w:tblGrid>
      <w:tr w:rsidR="00685BE5" w:rsidRPr="00C41FC1" w:rsidTr="004B159D">
        <w:trPr>
          <w:tblHeader/>
        </w:trPr>
        <w:tc>
          <w:tcPr>
            <w:tcW w:w="2425" w:type="dxa"/>
            <w:tcBorders>
              <w:top w:val="single" w:sz="4" w:space="0" w:color="auto"/>
              <w:left w:val="nil"/>
              <w:bottom w:val="single" w:sz="4" w:space="0" w:color="auto"/>
              <w:right w:val="nil"/>
            </w:tcBorders>
            <w:shd w:val="clear" w:color="auto" w:fill="auto"/>
            <w:noWrap/>
            <w:vAlign w:val="center"/>
            <w:hideMark/>
          </w:tcPr>
          <w:p w:rsidR="00685BE5" w:rsidRPr="00C41FC1" w:rsidRDefault="00685BE5" w:rsidP="00EC6D3A">
            <w:pPr>
              <w:spacing w:before="20" w:after="20"/>
              <w:rPr>
                <w:rFonts w:ascii="Calibri" w:eastAsia="Times New Roman" w:hAnsi="Calibri" w:cs="Calibri"/>
                <w:bCs/>
                <w:color w:val="000000"/>
                <w:sz w:val="20"/>
                <w:szCs w:val="20"/>
                <w:lang w:eastAsia="zh-CN"/>
              </w:rPr>
            </w:pPr>
            <w:r w:rsidRPr="00C41FC1">
              <w:rPr>
                <w:rFonts w:ascii="Calibri" w:eastAsia="Times New Roman" w:hAnsi="Calibri" w:cs="Calibri"/>
                <w:bCs/>
                <w:color w:val="000000"/>
                <w:sz w:val="20"/>
                <w:szCs w:val="20"/>
                <w:lang w:eastAsia="zh-CN"/>
              </w:rPr>
              <w:t> </w:t>
            </w:r>
            <w:bookmarkStart w:id="731" w:name="Title_4_56"/>
            <w:bookmarkEnd w:id="731"/>
          </w:p>
        </w:tc>
        <w:tc>
          <w:tcPr>
            <w:tcW w:w="992" w:type="dxa"/>
            <w:tcBorders>
              <w:top w:val="single" w:sz="4" w:space="0" w:color="auto"/>
              <w:left w:val="nil"/>
              <w:bottom w:val="single" w:sz="4" w:space="0" w:color="auto"/>
              <w:right w:val="nil"/>
            </w:tcBorders>
            <w:shd w:val="clear" w:color="auto" w:fill="auto"/>
            <w:noWrap/>
            <w:vAlign w:val="center"/>
            <w:hideMark/>
          </w:tcPr>
          <w:p w:rsidR="00685BE5" w:rsidRPr="00C41FC1" w:rsidRDefault="00592921" w:rsidP="00EC6D3A">
            <w:pPr>
              <w:spacing w:before="20" w:after="20"/>
              <w:jc w:val="center"/>
              <w:rPr>
                <w:rFonts w:ascii="Calibri" w:eastAsia="Times New Roman" w:hAnsi="Calibri" w:cs="Calibri"/>
                <w:bCs/>
                <w:color w:val="000000"/>
                <w:sz w:val="20"/>
                <w:szCs w:val="20"/>
                <w:lang w:eastAsia="zh-CN"/>
              </w:rPr>
            </w:pPr>
            <w:r>
              <w:rPr>
                <w:rFonts w:ascii="Calibri" w:eastAsia="Times New Roman" w:hAnsi="Calibri" w:cs="Calibri"/>
                <w:bCs/>
                <w:color w:val="000000"/>
                <w:sz w:val="20"/>
                <w:szCs w:val="20"/>
                <w:lang w:eastAsia="zh-CN"/>
              </w:rPr>
              <w:t>%</w:t>
            </w:r>
          </w:p>
        </w:tc>
      </w:tr>
      <w:tr w:rsidR="00AC634F" w:rsidRPr="00C41FC1" w:rsidTr="00AC634F">
        <w:tc>
          <w:tcPr>
            <w:tcW w:w="2425" w:type="dxa"/>
            <w:tcBorders>
              <w:top w:val="nil"/>
              <w:left w:val="nil"/>
              <w:bottom w:val="nil"/>
              <w:right w:val="nil"/>
            </w:tcBorders>
            <w:shd w:val="clear" w:color="auto" w:fill="auto"/>
            <w:noWrap/>
            <w:vAlign w:val="center"/>
          </w:tcPr>
          <w:p w:rsidR="00AC634F" w:rsidRPr="00C41FC1" w:rsidRDefault="00AC634F" w:rsidP="00163746">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w:t>
            </w:r>
            <w:r w:rsidR="00163746">
              <w:rPr>
                <w:rFonts w:ascii="Calibri" w:eastAsia="Times New Roman" w:hAnsi="Calibri" w:cs="Calibri"/>
                <w:color w:val="000000"/>
                <w:sz w:val="20"/>
                <w:szCs w:val="20"/>
                <w:lang w:eastAsia="zh-CN"/>
              </w:rPr>
              <w:t xml:space="preserve"> year</w:t>
            </w:r>
            <w:r w:rsidRPr="00C41FC1">
              <w:rPr>
                <w:rFonts w:ascii="Calibri" w:eastAsia="Times New Roman" w:hAnsi="Calibri" w:cs="Calibri"/>
                <w:color w:val="000000"/>
                <w:sz w:val="20"/>
                <w:szCs w:val="20"/>
                <w:lang w:eastAsia="zh-CN"/>
              </w:rPr>
              <w:t xml:space="preserve"> or less</w:t>
            </w:r>
            <w:r w:rsidR="00163746">
              <w:rPr>
                <w:rFonts w:ascii="Calibri" w:eastAsia="Times New Roman" w:hAnsi="Calibri" w:cs="Calibri"/>
                <w:color w:val="000000"/>
                <w:sz w:val="20"/>
                <w:szCs w:val="20"/>
                <w:lang w:eastAsia="zh-CN"/>
              </w:rPr>
              <w:t xml:space="preserve"> </w:t>
            </w:r>
          </w:p>
        </w:tc>
        <w:tc>
          <w:tcPr>
            <w:tcW w:w="992" w:type="dxa"/>
            <w:tcBorders>
              <w:top w:val="nil"/>
              <w:left w:val="nil"/>
              <w:bottom w:val="nil"/>
              <w:right w:val="nil"/>
            </w:tcBorders>
            <w:shd w:val="clear" w:color="auto" w:fill="auto"/>
            <w:noWrap/>
            <w:vAlign w:val="center"/>
          </w:tcPr>
          <w:p w:rsidR="00AC634F" w:rsidRPr="00C41FC1" w:rsidRDefault="00AC634F" w:rsidP="00F71699">
            <w:pPr>
              <w:spacing w:before="20" w:after="20"/>
              <w:ind w:right="17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2.9</w:t>
            </w:r>
          </w:p>
        </w:tc>
      </w:tr>
      <w:tr w:rsidR="00AC634F" w:rsidRPr="00C41FC1" w:rsidTr="00AC634F">
        <w:tc>
          <w:tcPr>
            <w:tcW w:w="2425" w:type="dxa"/>
            <w:tcBorders>
              <w:top w:val="nil"/>
              <w:left w:val="nil"/>
              <w:bottom w:val="nil"/>
              <w:right w:val="nil"/>
            </w:tcBorders>
            <w:shd w:val="clear" w:color="auto" w:fill="auto"/>
            <w:noWrap/>
            <w:vAlign w:val="center"/>
          </w:tcPr>
          <w:p w:rsidR="00AC634F" w:rsidRPr="00C41FC1" w:rsidRDefault="00AC634F" w:rsidP="00163746">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2</w:t>
            </w:r>
            <w:r w:rsidR="00163746">
              <w:rPr>
                <w:rFonts w:ascii="Calibri" w:eastAsia="Times New Roman" w:hAnsi="Calibri" w:cs="Calibri"/>
                <w:color w:val="000000"/>
                <w:sz w:val="20"/>
                <w:szCs w:val="20"/>
                <w:lang w:eastAsia="zh-CN"/>
              </w:rPr>
              <w:t xml:space="preserve"> to </w:t>
            </w:r>
            <w:r w:rsidRPr="00C41FC1">
              <w:rPr>
                <w:rFonts w:ascii="Calibri" w:eastAsia="Times New Roman" w:hAnsi="Calibri" w:cs="Calibri"/>
                <w:color w:val="000000"/>
                <w:sz w:val="20"/>
                <w:szCs w:val="20"/>
                <w:lang w:eastAsia="zh-CN"/>
              </w:rPr>
              <w:t>4</w:t>
            </w:r>
            <w:r w:rsidR="00163746" w:rsidRPr="00163746">
              <w:rPr>
                <w:rFonts w:ascii="Calibri" w:eastAsia="Times New Roman" w:hAnsi="Calibri" w:cs="Calibri"/>
                <w:color w:val="FFFFFF" w:themeColor="background1"/>
                <w:sz w:val="20"/>
                <w:szCs w:val="20"/>
                <w:lang w:eastAsia="zh-CN"/>
              </w:rPr>
              <w:t xml:space="preserve"> years</w:t>
            </w:r>
          </w:p>
        </w:tc>
        <w:tc>
          <w:tcPr>
            <w:tcW w:w="992" w:type="dxa"/>
            <w:tcBorders>
              <w:top w:val="nil"/>
              <w:left w:val="nil"/>
              <w:bottom w:val="nil"/>
              <w:right w:val="nil"/>
            </w:tcBorders>
            <w:shd w:val="clear" w:color="auto" w:fill="auto"/>
            <w:noWrap/>
            <w:vAlign w:val="center"/>
          </w:tcPr>
          <w:p w:rsidR="00AC634F" w:rsidRPr="00C41FC1" w:rsidRDefault="00AC634F" w:rsidP="00F71699">
            <w:pPr>
              <w:spacing w:before="20" w:after="20"/>
              <w:ind w:right="17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5.9</w:t>
            </w:r>
          </w:p>
        </w:tc>
      </w:tr>
      <w:tr w:rsidR="00AC634F" w:rsidRPr="00C41FC1" w:rsidTr="00AE4C3A">
        <w:tc>
          <w:tcPr>
            <w:tcW w:w="2425" w:type="dxa"/>
            <w:tcBorders>
              <w:top w:val="nil"/>
              <w:left w:val="nil"/>
              <w:bottom w:val="nil"/>
              <w:right w:val="nil"/>
            </w:tcBorders>
            <w:shd w:val="clear" w:color="auto" w:fill="auto"/>
            <w:noWrap/>
            <w:vAlign w:val="center"/>
          </w:tcPr>
          <w:p w:rsidR="00AC634F" w:rsidRPr="00C41FC1" w:rsidRDefault="00163746" w:rsidP="007B7EC5">
            <w:pPr>
              <w:spacing w:before="20" w:after="20"/>
              <w:rPr>
                <w:rFonts w:ascii="Calibri" w:eastAsia="Times New Roman" w:hAnsi="Calibri" w:cs="Calibri"/>
                <w:color w:val="000000"/>
                <w:sz w:val="20"/>
                <w:szCs w:val="20"/>
                <w:lang w:eastAsia="zh-CN"/>
              </w:rPr>
            </w:pPr>
            <w:r>
              <w:rPr>
                <w:rFonts w:ascii="Calibri" w:eastAsia="Times New Roman" w:hAnsi="Calibri" w:cs="Calibri"/>
                <w:color w:val="000000"/>
                <w:sz w:val="20"/>
                <w:szCs w:val="20"/>
                <w:lang w:eastAsia="zh-CN"/>
              </w:rPr>
              <w:t xml:space="preserve">5 to </w:t>
            </w:r>
            <w:r w:rsidR="00AC634F" w:rsidRPr="00C41FC1">
              <w:rPr>
                <w:rFonts w:ascii="Calibri" w:eastAsia="Times New Roman" w:hAnsi="Calibri" w:cs="Calibri"/>
                <w:color w:val="000000"/>
                <w:sz w:val="20"/>
                <w:szCs w:val="20"/>
                <w:lang w:eastAsia="zh-CN"/>
              </w:rPr>
              <w:t>9</w:t>
            </w:r>
            <w:r>
              <w:rPr>
                <w:rFonts w:ascii="Calibri" w:eastAsia="Times New Roman" w:hAnsi="Calibri" w:cs="Calibri"/>
                <w:color w:val="000000"/>
                <w:sz w:val="20"/>
                <w:szCs w:val="20"/>
                <w:lang w:eastAsia="zh-CN"/>
              </w:rPr>
              <w:t xml:space="preserve"> </w:t>
            </w:r>
            <w:r w:rsidRPr="00163746">
              <w:rPr>
                <w:rFonts w:ascii="Calibri" w:eastAsia="Times New Roman" w:hAnsi="Calibri" w:cs="Calibri"/>
                <w:color w:val="FFFFFF" w:themeColor="background1"/>
                <w:sz w:val="20"/>
                <w:szCs w:val="20"/>
                <w:lang w:eastAsia="zh-CN"/>
              </w:rPr>
              <w:t>years</w:t>
            </w:r>
          </w:p>
        </w:tc>
        <w:tc>
          <w:tcPr>
            <w:tcW w:w="992" w:type="dxa"/>
            <w:tcBorders>
              <w:top w:val="nil"/>
              <w:left w:val="nil"/>
              <w:bottom w:val="nil"/>
              <w:right w:val="nil"/>
            </w:tcBorders>
            <w:shd w:val="clear" w:color="auto" w:fill="auto"/>
            <w:noWrap/>
            <w:vAlign w:val="center"/>
          </w:tcPr>
          <w:p w:rsidR="00AC634F" w:rsidRPr="00C41FC1" w:rsidRDefault="00AC634F" w:rsidP="00F71699">
            <w:pPr>
              <w:spacing w:before="20" w:after="20"/>
              <w:ind w:right="17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13.6</w:t>
            </w:r>
          </w:p>
        </w:tc>
      </w:tr>
      <w:tr w:rsidR="00AC634F" w:rsidRPr="00C41FC1" w:rsidTr="00AE4C3A">
        <w:tc>
          <w:tcPr>
            <w:tcW w:w="2425" w:type="dxa"/>
            <w:tcBorders>
              <w:top w:val="nil"/>
              <w:left w:val="nil"/>
              <w:bottom w:val="nil"/>
              <w:right w:val="nil"/>
            </w:tcBorders>
            <w:shd w:val="clear" w:color="auto" w:fill="auto"/>
            <w:noWrap/>
            <w:vAlign w:val="center"/>
            <w:hideMark/>
          </w:tcPr>
          <w:p w:rsidR="00AC634F" w:rsidRPr="00C41FC1" w:rsidRDefault="00163746" w:rsidP="00EC6D3A">
            <w:pPr>
              <w:spacing w:before="20" w:after="20"/>
              <w:rPr>
                <w:rFonts w:ascii="Calibri" w:eastAsia="Times New Roman" w:hAnsi="Calibri" w:cs="Calibri"/>
                <w:color w:val="000000"/>
                <w:sz w:val="20"/>
                <w:szCs w:val="20"/>
                <w:lang w:eastAsia="zh-CN"/>
              </w:rPr>
            </w:pPr>
            <w:r>
              <w:rPr>
                <w:rFonts w:ascii="Calibri" w:eastAsia="Times New Roman" w:hAnsi="Calibri" w:cs="Calibri"/>
                <w:color w:val="000000"/>
                <w:sz w:val="20"/>
                <w:szCs w:val="20"/>
                <w:lang w:eastAsia="zh-CN"/>
              </w:rPr>
              <w:t xml:space="preserve">10 to </w:t>
            </w:r>
            <w:r w:rsidR="00AC634F" w:rsidRPr="00C41FC1">
              <w:rPr>
                <w:rFonts w:ascii="Calibri" w:eastAsia="Times New Roman" w:hAnsi="Calibri" w:cs="Calibri"/>
                <w:color w:val="000000"/>
                <w:sz w:val="20"/>
                <w:szCs w:val="20"/>
                <w:lang w:eastAsia="zh-CN"/>
              </w:rPr>
              <w:t>14</w:t>
            </w:r>
            <w:r w:rsidRPr="00163746">
              <w:rPr>
                <w:rFonts w:ascii="Calibri" w:eastAsia="Times New Roman" w:hAnsi="Calibri" w:cs="Calibri"/>
                <w:color w:val="FFFFFF" w:themeColor="background1"/>
                <w:sz w:val="20"/>
                <w:szCs w:val="20"/>
                <w:lang w:eastAsia="zh-CN"/>
              </w:rPr>
              <w:t xml:space="preserve"> years</w:t>
            </w:r>
          </w:p>
        </w:tc>
        <w:tc>
          <w:tcPr>
            <w:tcW w:w="992" w:type="dxa"/>
            <w:tcBorders>
              <w:top w:val="nil"/>
              <w:left w:val="nil"/>
              <w:bottom w:val="nil"/>
              <w:right w:val="nil"/>
            </w:tcBorders>
            <w:shd w:val="clear" w:color="auto" w:fill="auto"/>
            <w:noWrap/>
            <w:vAlign w:val="center"/>
            <w:hideMark/>
          </w:tcPr>
          <w:p w:rsidR="00AC634F" w:rsidRPr="00C41FC1" w:rsidRDefault="00AC634F" w:rsidP="00F71699">
            <w:pPr>
              <w:spacing w:before="20" w:after="20"/>
              <w:ind w:right="17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20.2</w:t>
            </w:r>
          </w:p>
        </w:tc>
      </w:tr>
      <w:tr w:rsidR="00AC634F" w:rsidRPr="00C41FC1" w:rsidTr="00AE4C3A">
        <w:tc>
          <w:tcPr>
            <w:tcW w:w="2425" w:type="dxa"/>
            <w:tcBorders>
              <w:top w:val="nil"/>
              <w:left w:val="nil"/>
              <w:bottom w:val="nil"/>
              <w:right w:val="nil"/>
            </w:tcBorders>
            <w:shd w:val="clear" w:color="auto" w:fill="auto"/>
            <w:noWrap/>
            <w:vAlign w:val="center"/>
            <w:hideMark/>
          </w:tcPr>
          <w:p w:rsidR="00AC634F" w:rsidRPr="00C41FC1" w:rsidRDefault="00AC634F" w:rsidP="00163746">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15</w:t>
            </w:r>
            <w:r w:rsidR="00163746">
              <w:rPr>
                <w:rFonts w:ascii="Calibri" w:eastAsia="Times New Roman" w:hAnsi="Calibri" w:cs="Calibri"/>
                <w:color w:val="000000"/>
                <w:sz w:val="20"/>
                <w:szCs w:val="20"/>
                <w:lang w:eastAsia="zh-CN"/>
              </w:rPr>
              <w:t xml:space="preserve"> to </w:t>
            </w:r>
            <w:r w:rsidRPr="00C41FC1">
              <w:rPr>
                <w:rFonts w:ascii="Calibri" w:eastAsia="Times New Roman" w:hAnsi="Calibri" w:cs="Calibri"/>
                <w:color w:val="000000"/>
                <w:sz w:val="20"/>
                <w:szCs w:val="20"/>
                <w:lang w:eastAsia="zh-CN"/>
              </w:rPr>
              <w:t>19</w:t>
            </w:r>
            <w:r w:rsidR="00163746">
              <w:rPr>
                <w:rFonts w:ascii="Calibri" w:eastAsia="Times New Roman" w:hAnsi="Calibri" w:cs="Calibri"/>
                <w:color w:val="000000"/>
                <w:sz w:val="20"/>
                <w:szCs w:val="20"/>
                <w:lang w:eastAsia="zh-CN"/>
              </w:rPr>
              <w:t xml:space="preserve"> </w:t>
            </w:r>
            <w:r w:rsidR="00163746" w:rsidRPr="00163746">
              <w:rPr>
                <w:rFonts w:ascii="Calibri" w:eastAsia="Times New Roman" w:hAnsi="Calibri" w:cs="Calibri"/>
                <w:color w:val="FFFFFF" w:themeColor="background1"/>
                <w:sz w:val="20"/>
                <w:szCs w:val="20"/>
                <w:lang w:eastAsia="zh-CN"/>
              </w:rPr>
              <w:t>years</w:t>
            </w:r>
          </w:p>
        </w:tc>
        <w:tc>
          <w:tcPr>
            <w:tcW w:w="992" w:type="dxa"/>
            <w:tcBorders>
              <w:top w:val="nil"/>
              <w:left w:val="nil"/>
              <w:bottom w:val="nil"/>
              <w:right w:val="nil"/>
            </w:tcBorders>
            <w:shd w:val="clear" w:color="auto" w:fill="auto"/>
            <w:noWrap/>
            <w:vAlign w:val="center"/>
            <w:hideMark/>
          </w:tcPr>
          <w:p w:rsidR="00AC634F" w:rsidRPr="00C41FC1" w:rsidRDefault="00AC634F" w:rsidP="00F71699">
            <w:pPr>
              <w:spacing w:before="20" w:after="20"/>
              <w:ind w:right="17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15.1</w:t>
            </w:r>
          </w:p>
        </w:tc>
      </w:tr>
      <w:tr w:rsidR="00AC634F" w:rsidRPr="00C41FC1" w:rsidTr="00AE4C3A">
        <w:tc>
          <w:tcPr>
            <w:tcW w:w="2425" w:type="dxa"/>
            <w:tcBorders>
              <w:top w:val="nil"/>
              <w:left w:val="nil"/>
              <w:bottom w:val="nil"/>
              <w:right w:val="nil"/>
            </w:tcBorders>
            <w:shd w:val="clear" w:color="auto" w:fill="auto"/>
            <w:noWrap/>
            <w:vAlign w:val="center"/>
            <w:hideMark/>
          </w:tcPr>
          <w:p w:rsidR="00AC634F" w:rsidRPr="00C41FC1" w:rsidRDefault="00AC634F" w:rsidP="000B4843">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20</w:t>
            </w:r>
            <w:r>
              <w:rPr>
                <w:rFonts w:ascii="Calibri" w:eastAsia="Times New Roman" w:hAnsi="Calibri" w:cs="Calibri"/>
                <w:color w:val="000000"/>
                <w:sz w:val="20"/>
                <w:szCs w:val="20"/>
                <w:lang w:eastAsia="zh-CN"/>
              </w:rPr>
              <w:t xml:space="preserve"> </w:t>
            </w:r>
            <w:r w:rsidR="000B4843">
              <w:rPr>
                <w:rFonts w:ascii="Calibri" w:eastAsia="Times New Roman" w:hAnsi="Calibri" w:cs="Calibri"/>
                <w:color w:val="000000"/>
                <w:sz w:val="20"/>
                <w:szCs w:val="20"/>
                <w:lang w:eastAsia="zh-CN"/>
              </w:rPr>
              <w:t xml:space="preserve">years </w:t>
            </w:r>
            <w:r w:rsidRPr="009D1028">
              <w:rPr>
                <w:rFonts w:ascii="Calibri" w:eastAsia="Times New Roman" w:hAnsi="Calibri" w:cs="Calibri"/>
                <w:color w:val="000000"/>
                <w:sz w:val="20"/>
                <w:szCs w:val="20"/>
                <w:lang w:eastAsia="zh-CN"/>
              </w:rPr>
              <w:t xml:space="preserve">or </w:t>
            </w:r>
            <w:r w:rsidR="000B4843">
              <w:rPr>
                <w:rFonts w:ascii="Calibri" w:eastAsia="Times New Roman" w:hAnsi="Calibri" w:cs="Calibri"/>
                <w:color w:val="000000"/>
                <w:sz w:val="20"/>
                <w:szCs w:val="20"/>
                <w:lang w:eastAsia="zh-CN"/>
              </w:rPr>
              <w:t>more</w:t>
            </w:r>
          </w:p>
        </w:tc>
        <w:tc>
          <w:tcPr>
            <w:tcW w:w="992" w:type="dxa"/>
            <w:tcBorders>
              <w:top w:val="nil"/>
              <w:left w:val="nil"/>
              <w:bottom w:val="nil"/>
              <w:right w:val="nil"/>
            </w:tcBorders>
            <w:shd w:val="clear" w:color="auto" w:fill="auto"/>
            <w:noWrap/>
            <w:vAlign w:val="center"/>
            <w:hideMark/>
          </w:tcPr>
          <w:p w:rsidR="00AC634F" w:rsidRPr="00C41FC1" w:rsidRDefault="00AC634F" w:rsidP="00F71699">
            <w:pPr>
              <w:spacing w:before="20" w:after="20"/>
              <w:ind w:right="17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41.5</w:t>
            </w:r>
          </w:p>
        </w:tc>
      </w:tr>
      <w:tr w:rsidR="00AC634F" w:rsidRPr="00C41FC1" w:rsidTr="00AE4C3A">
        <w:tc>
          <w:tcPr>
            <w:tcW w:w="2425" w:type="dxa"/>
            <w:tcBorders>
              <w:top w:val="nil"/>
              <w:left w:val="nil"/>
              <w:bottom w:val="single" w:sz="4" w:space="0" w:color="auto"/>
              <w:right w:val="nil"/>
            </w:tcBorders>
            <w:shd w:val="clear" w:color="auto" w:fill="auto"/>
            <w:noWrap/>
            <w:vAlign w:val="center"/>
            <w:hideMark/>
          </w:tcPr>
          <w:p w:rsidR="00AC634F" w:rsidRPr="00C41FC1" w:rsidRDefault="00AC634F" w:rsidP="00EC6D3A">
            <w:pPr>
              <w:spacing w:before="20" w:after="20"/>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 xml:space="preserve">Question not answered </w:t>
            </w:r>
          </w:p>
        </w:tc>
        <w:tc>
          <w:tcPr>
            <w:tcW w:w="992" w:type="dxa"/>
            <w:tcBorders>
              <w:top w:val="nil"/>
              <w:left w:val="nil"/>
              <w:bottom w:val="single" w:sz="4" w:space="0" w:color="auto"/>
              <w:right w:val="nil"/>
            </w:tcBorders>
            <w:shd w:val="clear" w:color="auto" w:fill="auto"/>
            <w:noWrap/>
            <w:vAlign w:val="center"/>
            <w:hideMark/>
          </w:tcPr>
          <w:p w:rsidR="00AC634F" w:rsidRPr="00C41FC1" w:rsidRDefault="00AC634F" w:rsidP="00F71699">
            <w:pPr>
              <w:spacing w:before="20" w:after="20"/>
              <w:ind w:right="170"/>
              <w:jc w:val="right"/>
              <w:rPr>
                <w:rFonts w:ascii="Calibri" w:eastAsia="Times New Roman" w:hAnsi="Calibri" w:cs="Calibri"/>
                <w:color w:val="000000"/>
                <w:sz w:val="20"/>
                <w:szCs w:val="20"/>
                <w:lang w:eastAsia="zh-CN"/>
              </w:rPr>
            </w:pPr>
            <w:r w:rsidRPr="00C41FC1">
              <w:rPr>
                <w:rFonts w:ascii="Calibri" w:eastAsia="Times New Roman" w:hAnsi="Calibri" w:cs="Calibri"/>
                <w:color w:val="000000"/>
                <w:sz w:val="20"/>
                <w:szCs w:val="20"/>
                <w:lang w:eastAsia="zh-CN"/>
              </w:rPr>
              <w:t>0.7</w:t>
            </w:r>
          </w:p>
        </w:tc>
      </w:tr>
      <w:tr w:rsidR="00AC634F" w:rsidRPr="00C41FC1" w:rsidTr="00AE4C3A">
        <w:tc>
          <w:tcPr>
            <w:tcW w:w="2425" w:type="dxa"/>
            <w:tcBorders>
              <w:top w:val="single" w:sz="4" w:space="0" w:color="auto"/>
              <w:left w:val="nil"/>
              <w:bottom w:val="single" w:sz="4" w:space="0" w:color="auto"/>
              <w:right w:val="nil"/>
            </w:tcBorders>
            <w:shd w:val="clear" w:color="auto" w:fill="auto"/>
            <w:noWrap/>
            <w:vAlign w:val="center"/>
            <w:hideMark/>
          </w:tcPr>
          <w:p w:rsidR="00AC634F" w:rsidRPr="00C41FC1" w:rsidRDefault="00AC634F" w:rsidP="00EC6D3A">
            <w:pPr>
              <w:spacing w:before="20" w:after="20"/>
              <w:rPr>
                <w:rFonts w:ascii="Calibri" w:eastAsia="Times New Roman" w:hAnsi="Calibri" w:cs="Calibri"/>
                <w:b/>
                <w:color w:val="000000"/>
                <w:sz w:val="20"/>
                <w:szCs w:val="20"/>
                <w:lang w:eastAsia="zh-CN"/>
              </w:rPr>
            </w:pPr>
            <w:r w:rsidRPr="00C41FC1">
              <w:rPr>
                <w:rFonts w:ascii="Calibri" w:eastAsia="Times New Roman" w:hAnsi="Calibri" w:cs="Calibri"/>
                <w:b/>
                <w:color w:val="000000"/>
                <w:sz w:val="20"/>
                <w:szCs w:val="20"/>
                <w:lang w:eastAsia="zh-CN"/>
              </w:rPr>
              <w:t>Total (N=272)</w:t>
            </w:r>
          </w:p>
        </w:tc>
        <w:tc>
          <w:tcPr>
            <w:tcW w:w="992" w:type="dxa"/>
            <w:tcBorders>
              <w:top w:val="single" w:sz="4" w:space="0" w:color="auto"/>
              <w:left w:val="nil"/>
              <w:bottom w:val="single" w:sz="4" w:space="0" w:color="auto"/>
              <w:right w:val="nil"/>
            </w:tcBorders>
            <w:shd w:val="clear" w:color="auto" w:fill="auto"/>
            <w:noWrap/>
            <w:vAlign w:val="center"/>
            <w:hideMark/>
          </w:tcPr>
          <w:p w:rsidR="00AC634F" w:rsidRPr="00C41FC1" w:rsidRDefault="00AC634F" w:rsidP="00F71699">
            <w:pPr>
              <w:spacing w:before="20" w:after="20"/>
              <w:ind w:right="170"/>
              <w:jc w:val="right"/>
              <w:rPr>
                <w:rFonts w:ascii="Calibri" w:eastAsia="Times New Roman" w:hAnsi="Calibri" w:cs="Calibri"/>
                <w:b/>
                <w:color w:val="000000"/>
                <w:sz w:val="20"/>
                <w:szCs w:val="20"/>
                <w:lang w:eastAsia="zh-CN"/>
              </w:rPr>
            </w:pPr>
            <w:r w:rsidRPr="00C41FC1">
              <w:rPr>
                <w:rFonts w:ascii="Calibri" w:eastAsia="Times New Roman" w:hAnsi="Calibri" w:cs="Calibri"/>
                <w:b/>
                <w:color w:val="000000"/>
                <w:sz w:val="20"/>
                <w:szCs w:val="20"/>
                <w:lang w:eastAsia="zh-CN"/>
              </w:rPr>
              <w:t>100</w:t>
            </w:r>
          </w:p>
        </w:tc>
      </w:tr>
    </w:tbl>
    <w:p w:rsidR="00685BE5" w:rsidRDefault="00685BE5" w:rsidP="00FB089D">
      <w:pPr>
        <w:pStyle w:val="NILSFootnote"/>
        <w:rPr>
          <w:rFonts w:eastAsia="SimHei"/>
        </w:rPr>
      </w:pPr>
      <w:r>
        <w:rPr>
          <w:rFonts w:eastAsia="SimHei"/>
        </w:rPr>
        <w:t xml:space="preserve">Source: </w:t>
      </w:r>
      <w:r w:rsidRPr="00AB33E3">
        <w:rPr>
          <w:rFonts w:eastAsia="SimHei"/>
        </w:rPr>
        <w:t>2014 NDIS self-employed DSP survey</w:t>
      </w:r>
      <w:r>
        <w:rPr>
          <w:rFonts w:eastAsia="SimHei"/>
        </w:rPr>
        <w:t>, Question C1</w:t>
      </w:r>
      <w:r w:rsidRPr="00AB33E3">
        <w:rPr>
          <w:rFonts w:eastAsia="SimHei"/>
        </w:rPr>
        <w:t>.</w:t>
      </w:r>
    </w:p>
    <w:p w:rsidR="00B92687" w:rsidRDefault="00B92687" w:rsidP="00AE4C3A">
      <w:pPr>
        <w:rPr>
          <w:bCs/>
          <w:lang w:eastAsia="zh-CN"/>
        </w:rPr>
      </w:pPr>
    </w:p>
    <w:p w:rsidR="00685BE5" w:rsidRDefault="00685BE5" w:rsidP="00AE4C3A">
      <w:pPr>
        <w:rPr>
          <w:lang w:eastAsia="zh-CN"/>
        </w:rPr>
      </w:pPr>
      <w:r>
        <w:rPr>
          <w:bCs/>
          <w:lang w:eastAsia="zh-CN"/>
        </w:rPr>
        <w:t>Table 4.57</w:t>
      </w:r>
      <w:r w:rsidRPr="00AB33E3">
        <w:rPr>
          <w:bCs/>
          <w:lang w:eastAsia="zh-CN"/>
        </w:rPr>
        <w:t xml:space="preserve"> considers the reasons these providers had for undertaking a self-employed disability support role. ‘To achieve </w:t>
      </w:r>
      <w:r w:rsidRPr="00AB33E3">
        <w:rPr>
          <w:lang w:eastAsia="zh-CN"/>
        </w:rPr>
        <w:t xml:space="preserve">greater control/autonomy over work’ </w:t>
      </w:r>
      <w:r>
        <w:rPr>
          <w:lang w:eastAsia="zh-CN"/>
        </w:rPr>
        <w:t>wa</w:t>
      </w:r>
      <w:r w:rsidRPr="00AB33E3">
        <w:rPr>
          <w:lang w:eastAsia="zh-CN"/>
        </w:rPr>
        <w:t>s the dominant reason for becoming a self-employed provider of disability supports (2</w:t>
      </w:r>
      <w:r>
        <w:rPr>
          <w:lang w:eastAsia="zh-CN"/>
        </w:rPr>
        <w:t>4</w:t>
      </w:r>
      <w:r w:rsidRPr="00AB33E3">
        <w:rPr>
          <w:lang w:eastAsia="zh-CN"/>
        </w:rPr>
        <w:t xml:space="preserve"> per cent). Some also report</w:t>
      </w:r>
      <w:r>
        <w:rPr>
          <w:lang w:eastAsia="zh-CN"/>
        </w:rPr>
        <w:t>ed</w:t>
      </w:r>
      <w:r w:rsidRPr="00AB33E3">
        <w:rPr>
          <w:lang w:eastAsia="zh-CN"/>
        </w:rPr>
        <w:t xml:space="preserve"> seeking higher pay, more discretion over time use and the ability to spend more time with clients.</w:t>
      </w:r>
      <w:r>
        <w:rPr>
          <w:lang w:eastAsia="zh-CN"/>
        </w:rPr>
        <w:t xml:space="preserve"> The future analysis of this information will consider asking the self-employed whether they would have preferred to be an employee but could not, hence they became self-employed.</w:t>
      </w:r>
    </w:p>
    <w:p w:rsidR="005274AC" w:rsidRDefault="005274AC">
      <w:pPr>
        <w:rPr>
          <w:b/>
          <w:sz w:val="20"/>
          <w:lang w:val="x-none"/>
        </w:rPr>
      </w:pPr>
      <w:bookmarkStart w:id="732" w:name="_Toc428279264"/>
      <w:r>
        <w:br w:type="page"/>
      </w:r>
    </w:p>
    <w:p w:rsidR="00685BE5" w:rsidRPr="00AB33E3" w:rsidRDefault="00685BE5" w:rsidP="0044684E">
      <w:pPr>
        <w:pStyle w:val="NILSTableHeading"/>
      </w:pPr>
      <w:bookmarkStart w:id="733" w:name="_Toc449955395"/>
      <w:r w:rsidRPr="00AB33E3">
        <w:lastRenderedPageBreak/>
        <w:t>Table 4</w:t>
      </w:r>
      <w:r>
        <w:t>.57</w:t>
      </w:r>
      <w:r w:rsidRPr="00AB33E3">
        <w:t>: The main reason for becoming a self-employed provider of disability supports</w:t>
      </w:r>
      <w:bookmarkEnd w:id="732"/>
      <w:bookmarkEnd w:id="733"/>
    </w:p>
    <w:tbl>
      <w:tblPr>
        <w:tblW w:w="6111" w:type="dxa"/>
        <w:tblInd w:w="93" w:type="dxa"/>
        <w:tblLook w:val="04A0" w:firstRow="1" w:lastRow="0" w:firstColumn="1" w:lastColumn="0" w:noHBand="0" w:noVBand="1"/>
        <w:tblCaption w:val="Table 4.57 The main reason for becoming a self-employed provider of disability supports"/>
      </w:tblPr>
      <w:tblGrid>
        <w:gridCol w:w="5118"/>
        <w:gridCol w:w="993"/>
      </w:tblGrid>
      <w:tr w:rsidR="00685BE5" w:rsidRPr="00A415AD" w:rsidTr="001032EF">
        <w:trPr>
          <w:trHeight w:val="288"/>
        </w:trPr>
        <w:tc>
          <w:tcPr>
            <w:tcW w:w="5118" w:type="dxa"/>
            <w:tcBorders>
              <w:top w:val="single" w:sz="4" w:space="0" w:color="auto"/>
              <w:left w:val="nil"/>
              <w:bottom w:val="single" w:sz="4" w:space="0" w:color="auto"/>
              <w:right w:val="nil"/>
            </w:tcBorders>
            <w:shd w:val="clear" w:color="auto" w:fill="auto"/>
            <w:noWrap/>
            <w:vAlign w:val="bottom"/>
            <w:hideMark/>
          </w:tcPr>
          <w:p w:rsidR="00685BE5" w:rsidRPr="001032EF" w:rsidRDefault="00685BE5" w:rsidP="001032EF">
            <w:pPr>
              <w:rPr>
                <w:sz w:val="20"/>
                <w:szCs w:val="20"/>
                <w:lang w:eastAsia="zh-CN"/>
              </w:rPr>
            </w:pPr>
            <w:bookmarkStart w:id="734" w:name="Title_4_57"/>
            <w:bookmarkEnd w:id="734"/>
          </w:p>
        </w:tc>
        <w:tc>
          <w:tcPr>
            <w:tcW w:w="993" w:type="dxa"/>
            <w:tcBorders>
              <w:top w:val="single" w:sz="4" w:space="0" w:color="auto"/>
              <w:left w:val="nil"/>
              <w:bottom w:val="single" w:sz="4" w:space="0" w:color="auto"/>
              <w:right w:val="nil"/>
            </w:tcBorders>
            <w:shd w:val="clear" w:color="auto" w:fill="auto"/>
            <w:noWrap/>
            <w:vAlign w:val="bottom"/>
            <w:hideMark/>
          </w:tcPr>
          <w:p w:rsidR="00685BE5" w:rsidRPr="001032EF" w:rsidRDefault="00592921" w:rsidP="00592921">
            <w:pPr>
              <w:jc w:val="center"/>
              <w:rPr>
                <w:sz w:val="20"/>
                <w:szCs w:val="20"/>
                <w:lang w:eastAsia="zh-CN"/>
              </w:rPr>
            </w:pPr>
            <w:r>
              <w:rPr>
                <w:rFonts w:ascii="Calibri" w:eastAsia="Times New Roman" w:hAnsi="Calibri" w:cs="Calibri"/>
                <w:bCs/>
                <w:color w:val="000000"/>
                <w:sz w:val="20"/>
                <w:szCs w:val="20"/>
                <w:lang w:eastAsia="zh-CN"/>
              </w:rPr>
              <w:t>%</w:t>
            </w:r>
          </w:p>
        </w:tc>
      </w:tr>
      <w:tr w:rsidR="00685BE5" w:rsidRPr="00A415AD" w:rsidTr="001032EF">
        <w:trPr>
          <w:trHeight w:val="288"/>
        </w:trPr>
        <w:tc>
          <w:tcPr>
            <w:tcW w:w="5118" w:type="dxa"/>
            <w:tcBorders>
              <w:top w:val="nil"/>
              <w:left w:val="nil"/>
              <w:bottom w:val="nil"/>
              <w:right w:val="nil"/>
            </w:tcBorders>
            <w:shd w:val="clear" w:color="auto" w:fill="auto"/>
            <w:noWrap/>
            <w:vAlign w:val="bottom"/>
            <w:hideMark/>
          </w:tcPr>
          <w:p w:rsidR="00685BE5" w:rsidRPr="001032EF" w:rsidRDefault="00685BE5" w:rsidP="001032EF">
            <w:pPr>
              <w:rPr>
                <w:sz w:val="20"/>
                <w:szCs w:val="20"/>
                <w:lang w:eastAsia="zh-CN"/>
              </w:rPr>
            </w:pPr>
            <w:r w:rsidRPr="001032EF">
              <w:rPr>
                <w:sz w:val="20"/>
                <w:szCs w:val="20"/>
                <w:lang w:eastAsia="zh-CN"/>
              </w:rPr>
              <w:t>To achieve a higher income</w:t>
            </w:r>
          </w:p>
        </w:tc>
        <w:tc>
          <w:tcPr>
            <w:tcW w:w="993" w:type="dxa"/>
            <w:tcBorders>
              <w:top w:val="nil"/>
              <w:left w:val="nil"/>
              <w:bottom w:val="nil"/>
              <w:right w:val="nil"/>
            </w:tcBorders>
            <w:shd w:val="clear" w:color="auto" w:fill="auto"/>
            <w:noWrap/>
            <w:vAlign w:val="bottom"/>
            <w:hideMark/>
          </w:tcPr>
          <w:p w:rsidR="00685BE5" w:rsidRPr="001032EF" w:rsidRDefault="00685BE5" w:rsidP="00F71699">
            <w:pPr>
              <w:ind w:right="170"/>
              <w:jc w:val="right"/>
              <w:rPr>
                <w:sz w:val="20"/>
                <w:szCs w:val="20"/>
                <w:lang w:eastAsia="zh-CN"/>
              </w:rPr>
            </w:pPr>
            <w:r w:rsidRPr="001032EF">
              <w:rPr>
                <w:sz w:val="20"/>
                <w:szCs w:val="20"/>
                <w:lang w:eastAsia="zh-CN"/>
              </w:rPr>
              <w:t>7.4</w:t>
            </w:r>
          </w:p>
        </w:tc>
      </w:tr>
      <w:tr w:rsidR="00685BE5" w:rsidRPr="00A415AD" w:rsidTr="001032EF">
        <w:trPr>
          <w:trHeight w:val="288"/>
        </w:trPr>
        <w:tc>
          <w:tcPr>
            <w:tcW w:w="5118" w:type="dxa"/>
            <w:tcBorders>
              <w:top w:val="nil"/>
              <w:left w:val="nil"/>
              <w:bottom w:val="nil"/>
              <w:right w:val="nil"/>
            </w:tcBorders>
            <w:shd w:val="clear" w:color="auto" w:fill="auto"/>
            <w:noWrap/>
            <w:vAlign w:val="bottom"/>
            <w:hideMark/>
          </w:tcPr>
          <w:p w:rsidR="00685BE5" w:rsidRPr="001032EF" w:rsidRDefault="00685BE5" w:rsidP="001032EF">
            <w:pPr>
              <w:rPr>
                <w:sz w:val="20"/>
                <w:szCs w:val="20"/>
                <w:lang w:eastAsia="zh-CN"/>
              </w:rPr>
            </w:pPr>
            <w:r w:rsidRPr="001032EF">
              <w:rPr>
                <w:sz w:val="20"/>
                <w:szCs w:val="20"/>
                <w:lang w:eastAsia="zh-CN"/>
              </w:rPr>
              <w:t>To avoid managers I did not get along with</w:t>
            </w:r>
          </w:p>
        </w:tc>
        <w:tc>
          <w:tcPr>
            <w:tcW w:w="993" w:type="dxa"/>
            <w:tcBorders>
              <w:top w:val="nil"/>
              <w:left w:val="nil"/>
              <w:bottom w:val="nil"/>
              <w:right w:val="nil"/>
            </w:tcBorders>
            <w:shd w:val="clear" w:color="auto" w:fill="auto"/>
            <w:noWrap/>
            <w:vAlign w:val="bottom"/>
            <w:hideMark/>
          </w:tcPr>
          <w:p w:rsidR="00685BE5" w:rsidRPr="001032EF" w:rsidRDefault="00685BE5" w:rsidP="00F71699">
            <w:pPr>
              <w:ind w:right="170"/>
              <w:jc w:val="right"/>
              <w:rPr>
                <w:sz w:val="20"/>
                <w:szCs w:val="20"/>
                <w:lang w:eastAsia="zh-CN"/>
              </w:rPr>
            </w:pPr>
            <w:r w:rsidRPr="001032EF">
              <w:rPr>
                <w:sz w:val="20"/>
                <w:szCs w:val="20"/>
                <w:lang w:eastAsia="zh-CN"/>
              </w:rPr>
              <w:t>1.1</w:t>
            </w:r>
          </w:p>
        </w:tc>
      </w:tr>
      <w:tr w:rsidR="00685BE5" w:rsidRPr="00A415AD" w:rsidTr="001032EF">
        <w:trPr>
          <w:trHeight w:val="288"/>
        </w:trPr>
        <w:tc>
          <w:tcPr>
            <w:tcW w:w="5118" w:type="dxa"/>
            <w:tcBorders>
              <w:top w:val="nil"/>
              <w:left w:val="nil"/>
              <w:bottom w:val="nil"/>
              <w:right w:val="nil"/>
            </w:tcBorders>
            <w:shd w:val="clear" w:color="auto" w:fill="auto"/>
            <w:noWrap/>
            <w:vAlign w:val="bottom"/>
            <w:hideMark/>
          </w:tcPr>
          <w:p w:rsidR="00685BE5" w:rsidRPr="001032EF" w:rsidRDefault="00685BE5" w:rsidP="001032EF">
            <w:pPr>
              <w:rPr>
                <w:sz w:val="20"/>
                <w:szCs w:val="20"/>
                <w:lang w:eastAsia="zh-CN"/>
              </w:rPr>
            </w:pPr>
            <w:r w:rsidRPr="001032EF">
              <w:rPr>
                <w:sz w:val="20"/>
                <w:szCs w:val="20"/>
                <w:lang w:eastAsia="zh-CN"/>
              </w:rPr>
              <w:t>Previous job was too stressful</w:t>
            </w:r>
          </w:p>
        </w:tc>
        <w:tc>
          <w:tcPr>
            <w:tcW w:w="993" w:type="dxa"/>
            <w:tcBorders>
              <w:top w:val="nil"/>
              <w:left w:val="nil"/>
              <w:bottom w:val="nil"/>
              <w:right w:val="nil"/>
            </w:tcBorders>
            <w:shd w:val="clear" w:color="auto" w:fill="auto"/>
            <w:noWrap/>
            <w:vAlign w:val="bottom"/>
            <w:hideMark/>
          </w:tcPr>
          <w:p w:rsidR="00685BE5" w:rsidRPr="001032EF" w:rsidRDefault="00685BE5" w:rsidP="00F71699">
            <w:pPr>
              <w:ind w:right="170"/>
              <w:jc w:val="right"/>
              <w:rPr>
                <w:sz w:val="20"/>
                <w:szCs w:val="20"/>
                <w:lang w:eastAsia="zh-CN"/>
              </w:rPr>
            </w:pPr>
            <w:r w:rsidRPr="001032EF">
              <w:rPr>
                <w:sz w:val="20"/>
                <w:szCs w:val="20"/>
                <w:lang w:eastAsia="zh-CN"/>
              </w:rPr>
              <w:t>0.7</w:t>
            </w:r>
          </w:p>
        </w:tc>
      </w:tr>
      <w:tr w:rsidR="00685BE5" w:rsidRPr="00A415AD" w:rsidTr="001032EF">
        <w:trPr>
          <w:trHeight w:val="288"/>
        </w:trPr>
        <w:tc>
          <w:tcPr>
            <w:tcW w:w="5118" w:type="dxa"/>
            <w:tcBorders>
              <w:top w:val="nil"/>
              <w:left w:val="nil"/>
              <w:bottom w:val="nil"/>
              <w:right w:val="nil"/>
            </w:tcBorders>
            <w:shd w:val="clear" w:color="auto" w:fill="auto"/>
            <w:noWrap/>
            <w:vAlign w:val="bottom"/>
            <w:hideMark/>
          </w:tcPr>
          <w:p w:rsidR="00685BE5" w:rsidRPr="001032EF" w:rsidRDefault="00685BE5" w:rsidP="001032EF">
            <w:pPr>
              <w:rPr>
                <w:sz w:val="20"/>
                <w:szCs w:val="20"/>
                <w:lang w:eastAsia="zh-CN"/>
              </w:rPr>
            </w:pPr>
            <w:r w:rsidRPr="001032EF">
              <w:rPr>
                <w:sz w:val="20"/>
                <w:szCs w:val="20"/>
                <w:lang w:eastAsia="zh-CN"/>
              </w:rPr>
              <w:t>To be able to spend more time with service users</w:t>
            </w:r>
          </w:p>
        </w:tc>
        <w:tc>
          <w:tcPr>
            <w:tcW w:w="993" w:type="dxa"/>
            <w:tcBorders>
              <w:top w:val="nil"/>
              <w:left w:val="nil"/>
              <w:bottom w:val="nil"/>
              <w:right w:val="nil"/>
            </w:tcBorders>
            <w:shd w:val="clear" w:color="auto" w:fill="auto"/>
            <w:noWrap/>
            <w:vAlign w:val="bottom"/>
            <w:hideMark/>
          </w:tcPr>
          <w:p w:rsidR="00685BE5" w:rsidRPr="001032EF" w:rsidRDefault="00685BE5" w:rsidP="00F71699">
            <w:pPr>
              <w:ind w:right="170"/>
              <w:jc w:val="right"/>
              <w:rPr>
                <w:sz w:val="20"/>
                <w:szCs w:val="20"/>
                <w:lang w:eastAsia="zh-CN"/>
              </w:rPr>
            </w:pPr>
            <w:r w:rsidRPr="001032EF">
              <w:rPr>
                <w:sz w:val="20"/>
                <w:szCs w:val="20"/>
                <w:lang w:eastAsia="zh-CN"/>
              </w:rPr>
              <w:t>7.4</w:t>
            </w:r>
          </w:p>
        </w:tc>
      </w:tr>
      <w:tr w:rsidR="00685BE5" w:rsidRPr="00A415AD" w:rsidTr="001032EF">
        <w:trPr>
          <w:trHeight w:val="288"/>
        </w:trPr>
        <w:tc>
          <w:tcPr>
            <w:tcW w:w="5118" w:type="dxa"/>
            <w:tcBorders>
              <w:top w:val="nil"/>
              <w:left w:val="nil"/>
              <w:bottom w:val="nil"/>
              <w:right w:val="nil"/>
            </w:tcBorders>
            <w:shd w:val="clear" w:color="auto" w:fill="auto"/>
            <w:noWrap/>
            <w:vAlign w:val="bottom"/>
            <w:hideMark/>
          </w:tcPr>
          <w:p w:rsidR="00685BE5" w:rsidRPr="001032EF" w:rsidRDefault="00685BE5" w:rsidP="001032EF">
            <w:pPr>
              <w:rPr>
                <w:sz w:val="20"/>
                <w:szCs w:val="20"/>
                <w:lang w:eastAsia="zh-CN"/>
              </w:rPr>
            </w:pPr>
            <w:r w:rsidRPr="001032EF">
              <w:rPr>
                <w:sz w:val="20"/>
                <w:szCs w:val="20"/>
                <w:lang w:eastAsia="zh-CN"/>
              </w:rPr>
              <w:t>To get the working hours or shifts I wanted</w:t>
            </w:r>
          </w:p>
        </w:tc>
        <w:tc>
          <w:tcPr>
            <w:tcW w:w="993" w:type="dxa"/>
            <w:tcBorders>
              <w:top w:val="nil"/>
              <w:left w:val="nil"/>
              <w:bottom w:val="nil"/>
              <w:right w:val="nil"/>
            </w:tcBorders>
            <w:shd w:val="clear" w:color="auto" w:fill="auto"/>
            <w:noWrap/>
            <w:vAlign w:val="bottom"/>
            <w:hideMark/>
          </w:tcPr>
          <w:p w:rsidR="00685BE5" w:rsidRPr="001032EF" w:rsidRDefault="00685BE5" w:rsidP="00F71699">
            <w:pPr>
              <w:ind w:right="170"/>
              <w:jc w:val="right"/>
              <w:rPr>
                <w:sz w:val="20"/>
                <w:szCs w:val="20"/>
                <w:lang w:eastAsia="zh-CN"/>
              </w:rPr>
            </w:pPr>
            <w:r w:rsidRPr="001032EF">
              <w:rPr>
                <w:sz w:val="20"/>
                <w:szCs w:val="20"/>
                <w:lang w:eastAsia="zh-CN"/>
              </w:rPr>
              <w:t>4.8</w:t>
            </w:r>
          </w:p>
        </w:tc>
      </w:tr>
      <w:tr w:rsidR="00685BE5" w:rsidRPr="00A415AD" w:rsidTr="001032EF">
        <w:trPr>
          <w:trHeight w:val="288"/>
        </w:trPr>
        <w:tc>
          <w:tcPr>
            <w:tcW w:w="5118" w:type="dxa"/>
            <w:tcBorders>
              <w:top w:val="nil"/>
              <w:left w:val="nil"/>
              <w:bottom w:val="nil"/>
              <w:right w:val="nil"/>
            </w:tcBorders>
            <w:shd w:val="clear" w:color="auto" w:fill="auto"/>
            <w:noWrap/>
            <w:vAlign w:val="bottom"/>
            <w:hideMark/>
          </w:tcPr>
          <w:p w:rsidR="00685BE5" w:rsidRPr="001032EF" w:rsidRDefault="00685BE5" w:rsidP="001032EF">
            <w:pPr>
              <w:rPr>
                <w:sz w:val="20"/>
                <w:szCs w:val="20"/>
                <w:lang w:eastAsia="zh-CN"/>
              </w:rPr>
            </w:pPr>
            <w:r w:rsidRPr="001032EF">
              <w:rPr>
                <w:sz w:val="20"/>
                <w:szCs w:val="20"/>
                <w:lang w:eastAsia="zh-CN"/>
              </w:rPr>
              <w:t>To achieve greater control/autonomy over my work</w:t>
            </w:r>
          </w:p>
        </w:tc>
        <w:tc>
          <w:tcPr>
            <w:tcW w:w="993" w:type="dxa"/>
            <w:tcBorders>
              <w:top w:val="nil"/>
              <w:left w:val="nil"/>
              <w:bottom w:val="nil"/>
              <w:right w:val="nil"/>
            </w:tcBorders>
            <w:shd w:val="clear" w:color="auto" w:fill="auto"/>
            <w:noWrap/>
            <w:vAlign w:val="bottom"/>
            <w:hideMark/>
          </w:tcPr>
          <w:p w:rsidR="00685BE5" w:rsidRPr="001032EF" w:rsidRDefault="00685BE5" w:rsidP="00F71699">
            <w:pPr>
              <w:ind w:right="170"/>
              <w:jc w:val="right"/>
              <w:rPr>
                <w:sz w:val="20"/>
                <w:szCs w:val="20"/>
                <w:lang w:eastAsia="zh-CN"/>
              </w:rPr>
            </w:pPr>
            <w:r w:rsidRPr="001032EF">
              <w:rPr>
                <w:sz w:val="20"/>
                <w:szCs w:val="20"/>
                <w:lang w:eastAsia="zh-CN"/>
              </w:rPr>
              <w:t>23.5</w:t>
            </w:r>
          </w:p>
        </w:tc>
      </w:tr>
      <w:tr w:rsidR="00685BE5" w:rsidRPr="00A415AD" w:rsidTr="001032EF">
        <w:trPr>
          <w:trHeight w:val="288"/>
        </w:trPr>
        <w:tc>
          <w:tcPr>
            <w:tcW w:w="5118" w:type="dxa"/>
            <w:tcBorders>
              <w:top w:val="nil"/>
              <w:left w:val="nil"/>
              <w:bottom w:val="nil"/>
              <w:right w:val="nil"/>
            </w:tcBorders>
            <w:shd w:val="clear" w:color="auto" w:fill="auto"/>
            <w:noWrap/>
            <w:vAlign w:val="bottom"/>
            <w:hideMark/>
          </w:tcPr>
          <w:p w:rsidR="00685BE5" w:rsidRPr="001032EF" w:rsidRDefault="00685BE5" w:rsidP="001032EF">
            <w:pPr>
              <w:rPr>
                <w:sz w:val="20"/>
                <w:szCs w:val="20"/>
                <w:lang w:eastAsia="zh-CN"/>
              </w:rPr>
            </w:pPr>
            <w:r w:rsidRPr="001032EF">
              <w:rPr>
                <w:sz w:val="20"/>
                <w:szCs w:val="20"/>
                <w:lang w:eastAsia="zh-CN"/>
              </w:rPr>
              <w:t>To achieve greater flexibility in time management</w:t>
            </w:r>
          </w:p>
        </w:tc>
        <w:tc>
          <w:tcPr>
            <w:tcW w:w="993" w:type="dxa"/>
            <w:tcBorders>
              <w:top w:val="nil"/>
              <w:left w:val="nil"/>
              <w:bottom w:val="nil"/>
              <w:right w:val="nil"/>
            </w:tcBorders>
            <w:shd w:val="clear" w:color="auto" w:fill="auto"/>
            <w:noWrap/>
            <w:vAlign w:val="bottom"/>
            <w:hideMark/>
          </w:tcPr>
          <w:p w:rsidR="00685BE5" w:rsidRPr="001032EF" w:rsidRDefault="00685BE5" w:rsidP="00F71699">
            <w:pPr>
              <w:ind w:right="170"/>
              <w:jc w:val="right"/>
              <w:rPr>
                <w:sz w:val="20"/>
                <w:szCs w:val="20"/>
                <w:lang w:eastAsia="zh-CN"/>
              </w:rPr>
            </w:pPr>
            <w:r w:rsidRPr="001032EF">
              <w:rPr>
                <w:sz w:val="20"/>
                <w:szCs w:val="20"/>
                <w:lang w:eastAsia="zh-CN"/>
              </w:rPr>
              <w:t>7.7</w:t>
            </w:r>
          </w:p>
        </w:tc>
      </w:tr>
      <w:tr w:rsidR="00685BE5" w:rsidRPr="00A415AD" w:rsidTr="001032EF">
        <w:trPr>
          <w:trHeight w:val="288"/>
        </w:trPr>
        <w:tc>
          <w:tcPr>
            <w:tcW w:w="5118" w:type="dxa"/>
            <w:tcBorders>
              <w:top w:val="nil"/>
              <w:left w:val="nil"/>
              <w:bottom w:val="nil"/>
              <w:right w:val="nil"/>
            </w:tcBorders>
            <w:shd w:val="clear" w:color="auto" w:fill="auto"/>
            <w:noWrap/>
            <w:vAlign w:val="bottom"/>
            <w:hideMark/>
          </w:tcPr>
          <w:p w:rsidR="00685BE5" w:rsidRPr="001032EF" w:rsidRDefault="00685BE5" w:rsidP="001032EF">
            <w:pPr>
              <w:rPr>
                <w:sz w:val="20"/>
                <w:szCs w:val="20"/>
                <w:lang w:eastAsia="zh-CN"/>
              </w:rPr>
            </w:pPr>
            <w:r w:rsidRPr="001032EF">
              <w:rPr>
                <w:sz w:val="20"/>
                <w:szCs w:val="20"/>
                <w:lang w:eastAsia="zh-CN"/>
              </w:rPr>
              <w:t>To be closer to home</w:t>
            </w:r>
          </w:p>
        </w:tc>
        <w:tc>
          <w:tcPr>
            <w:tcW w:w="993" w:type="dxa"/>
            <w:tcBorders>
              <w:top w:val="nil"/>
              <w:left w:val="nil"/>
              <w:bottom w:val="nil"/>
              <w:right w:val="nil"/>
            </w:tcBorders>
            <w:shd w:val="clear" w:color="auto" w:fill="auto"/>
            <w:noWrap/>
            <w:vAlign w:val="bottom"/>
            <w:hideMark/>
          </w:tcPr>
          <w:p w:rsidR="00685BE5" w:rsidRPr="001032EF" w:rsidRDefault="00685BE5" w:rsidP="00F71699">
            <w:pPr>
              <w:ind w:right="170"/>
              <w:jc w:val="right"/>
              <w:rPr>
                <w:sz w:val="20"/>
                <w:szCs w:val="20"/>
                <w:lang w:eastAsia="zh-CN"/>
              </w:rPr>
            </w:pPr>
            <w:r w:rsidRPr="001032EF">
              <w:rPr>
                <w:sz w:val="20"/>
                <w:szCs w:val="20"/>
                <w:lang w:eastAsia="zh-CN"/>
              </w:rPr>
              <w:t>2.6</w:t>
            </w:r>
          </w:p>
        </w:tc>
      </w:tr>
      <w:tr w:rsidR="00685BE5" w:rsidRPr="00A415AD" w:rsidTr="001032EF">
        <w:trPr>
          <w:trHeight w:val="288"/>
        </w:trPr>
        <w:tc>
          <w:tcPr>
            <w:tcW w:w="5118" w:type="dxa"/>
            <w:tcBorders>
              <w:top w:val="nil"/>
              <w:left w:val="nil"/>
              <w:bottom w:val="nil"/>
              <w:right w:val="nil"/>
            </w:tcBorders>
            <w:shd w:val="clear" w:color="auto" w:fill="auto"/>
            <w:noWrap/>
            <w:vAlign w:val="bottom"/>
            <w:hideMark/>
          </w:tcPr>
          <w:p w:rsidR="00685BE5" w:rsidRPr="001032EF" w:rsidRDefault="00685BE5" w:rsidP="001032EF">
            <w:pPr>
              <w:rPr>
                <w:sz w:val="20"/>
                <w:szCs w:val="20"/>
                <w:lang w:eastAsia="zh-CN"/>
              </w:rPr>
            </w:pPr>
            <w:r w:rsidRPr="001032EF">
              <w:rPr>
                <w:sz w:val="20"/>
                <w:szCs w:val="20"/>
                <w:lang w:eastAsia="zh-CN"/>
              </w:rPr>
              <w:t>To find more challenging work</w:t>
            </w:r>
          </w:p>
        </w:tc>
        <w:tc>
          <w:tcPr>
            <w:tcW w:w="993" w:type="dxa"/>
            <w:tcBorders>
              <w:top w:val="nil"/>
              <w:left w:val="nil"/>
              <w:bottom w:val="nil"/>
              <w:right w:val="nil"/>
            </w:tcBorders>
            <w:shd w:val="clear" w:color="auto" w:fill="auto"/>
            <w:noWrap/>
            <w:vAlign w:val="bottom"/>
            <w:hideMark/>
          </w:tcPr>
          <w:p w:rsidR="00685BE5" w:rsidRPr="001032EF" w:rsidRDefault="00685BE5" w:rsidP="00F71699">
            <w:pPr>
              <w:ind w:right="170"/>
              <w:jc w:val="right"/>
              <w:rPr>
                <w:sz w:val="20"/>
                <w:szCs w:val="20"/>
                <w:lang w:eastAsia="zh-CN"/>
              </w:rPr>
            </w:pPr>
            <w:r w:rsidRPr="001032EF">
              <w:rPr>
                <w:sz w:val="20"/>
                <w:szCs w:val="20"/>
                <w:lang w:eastAsia="zh-CN"/>
              </w:rPr>
              <w:t>2.2</w:t>
            </w:r>
          </w:p>
        </w:tc>
      </w:tr>
      <w:tr w:rsidR="00685BE5" w:rsidRPr="00A415AD" w:rsidTr="001032EF">
        <w:trPr>
          <w:trHeight w:val="288"/>
        </w:trPr>
        <w:tc>
          <w:tcPr>
            <w:tcW w:w="5118" w:type="dxa"/>
            <w:tcBorders>
              <w:top w:val="nil"/>
              <w:left w:val="nil"/>
              <w:bottom w:val="nil"/>
              <w:right w:val="nil"/>
            </w:tcBorders>
            <w:shd w:val="clear" w:color="auto" w:fill="auto"/>
            <w:noWrap/>
            <w:vAlign w:val="bottom"/>
            <w:hideMark/>
          </w:tcPr>
          <w:p w:rsidR="00685BE5" w:rsidRPr="001032EF" w:rsidRDefault="00685BE5" w:rsidP="001032EF">
            <w:pPr>
              <w:rPr>
                <w:sz w:val="20"/>
                <w:szCs w:val="20"/>
                <w:lang w:eastAsia="zh-CN"/>
              </w:rPr>
            </w:pPr>
            <w:r w:rsidRPr="001032EF">
              <w:rPr>
                <w:sz w:val="20"/>
                <w:szCs w:val="20"/>
                <w:lang w:eastAsia="zh-CN"/>
              </w:rPr>
              <w:t>Made redundant or retrenched</w:t>
            </w:r>
          </w:p>
        </w:tc>
        <w:tc>
          <w:tcPr>
            <w:tcW w:w="993" w:type="dxa"/>
            <w:tcBorders>
              <w:top w:val="nil"/>
              <w:left w:val="nil"/>
              <w:bottom w:val="nil"/>
              <w:right w:val="nil"/>
            </w:tcBorders>
            <w:shd w:val="clear" w:color="auto" w:fill="auto"/>
            <w:noWrap/>
            <w:vAlign w:val="bottom"/>
            <w:hideMark/>
          </w:tcPr>
          <w:p w:rsidR="00685BE5" w:rsidRPr="001032EF" w:rsidRDefault="00685BE5" w:rsidP="00F71699">
            <w:pPr>
              <w:ind w:right="170"/>
              <w:jc w:val="right"/>
              <w:rPr>
                <w:sz w:val="20"/>
                <w:szCs w:val="20"/>
                <w:lang w:eastAsia="zh-CN"/>
              </w:rPr>
            </w:pPr>
            <w:r w:rsidRPr="001032EF">
              <w:rPr>
                <w:sz w:val="20"/>
                <w:szCs w:val="20"/>
                <w:lang w:eastAsia="zh-CN"/>
              </w:rPr>
              <w:t>0.4</w:t>
            </w:r>
          </w:p>
        </w:tc>
      </w:tr>
      <w:tr w:rsidR="00685BE5" w:rsidRPr="00A415AD" w:rsidTr="001032EF">
        <w:trPr>
          <w:trHeight w:val="288"/>
        </w:trPr>
        <w:tc>
          <w:tcPr>
            <w:tcW w:w="5118" w:type="dxa"/>
            <w:tcBorders>
              <w:top w:val="nil"/>
              <w:left w:val="nil"/>
              <w:bottom w:val="nil"/>
              <w:right w:val="nil"/>
            </w:tcBorders>
            <w:shd w:val="clear" w:color="auto" w:fill="auto"/>
            <w:noWrap/>
            <w:vAlign w:val="bottom"/>
            <w:hideMark/>
          </w:tcPr>
          <w:p w:rsidR="00685BE5" w:rsidRPr="001032EF" w:rsidRDefault="00685BE5" w:rsidP="001032EF">
            <w:pPr>
              <w:rPr>
                <w:sz w:val="20"/>
                <w:szCs w:val="20"/>
                <w:lang w:eastAsia="zh-CN"/>
              </w:rPr>
            </w:pPr>
            <w:r w:rsidRPr="001032EF">
              <w:rPr>
                <w:sz w:val="20"/>
                <w:szCs w:val="20"/>
                <w:lang w:eastAsia="zh-CN"/>
              </w:rPr>
              <w:t>Contract ended or funding ceased</w:t>
            </w:r>
          </w:p>
        </w:tc>
        <w:tc>
          <w:tcPr>
            <w:tcW w:w="993" w:type="dxa"/>
            <w:tcBorders>
              <w:top w:val="nil"/>
              <w:left w:val="nil"/>
              <w:bottom w:val="nil"/>
              <w:right w:val="nil"/>
            </w:tcBorders>
            <w:shd w:val="clear" w:color="auto" w:fill="auto"/>
            <w:noWrap/>
            <w:vAlign w:val="bottom"/>
            <w:hideMark/>
          </w:tcPr>
          <w:p w:rsidR="00685BE5" w:rsidRPr="001032EF" w:rsidRDefault="00685BE5" w:rsidP="00F71699">
            <w:pPr>
              <w:ind w:right="170"/>
              <w:jc w:val="right"/>
              <w:rPr>
                <w:sz w:val="20"/>
                <w:szCs w:val="20"/>
                <w:lang w:eastAsia="zh-CN"/>
              </w:rPr>
            </w:pPr>
            <w:r w:rsidRPr="001032EF">
              <w:rPr>
                <w:sz w:val="20"/>
                <w:szCs w:val="20"/>
                <w:lang w:eastAsia="zh-CN"/>
              </w:rPr>
              <w:t>0.7</w:t>
            </w:r>
          </w:p>
        </w:tc>
      </w:tr>
      <w:tr w:rsidR="00685BE5" w:rsidRPr="00A415AD" w:rsidTr="001032EF">
        <w:trPr>
          <w:trHeight w:val="288"/>
        </w:trPr>
        <w:tc>
          <w:tcPr>
            <w:tcW w:w="5118" w:type="dxa"/>
            <w:tcBorders>
              <w:top w:val="nil"/>
              <w:left w:val="nil"/>
              <w:bottom w:val="nil"/>
              <w:right w:val="nil"/>
            </w:tcBorders>
            <w:shd w:val="clear" w:color="auto" w:fill="auto"/>
            <w:noWrap/>
            <w:vAlign w:val="bottom"/>
            <w:hideMark/>
          </w:tcPr>
          <w:p w:rsidR="00685BE5" w:rsidRPr="001032EF" w:rsidRDefault="00685BE5" w:rsidP="001032EF">
            <w:pPr>
              <w:rPr>
                <w:sz w:val="20"/>
                <w:szCs w:val="20"/>
                <w:lang w:eastAsia="zh-CN"/>
              </w:rPr>
            </w:pPr>
            <w:r w:rsidRPr="001032EF">
              <w:rPr>
                <w:sz w:val="20"/>
                <w:szCs w:val="20"/>
                <w:lang w:eastAsia="zh-CN"/>
              </w:rPr>
              <w:t>Other</w:t>
            </w:r>
          </w:p>
        </w:tc>
        <w:tc>
          <w:tcPr>
            <w:tcW w:w="993" w:type="dxa"/>
            <w:tcBorders>
              <w:top w:val="nil"/>
              <w:left w:val="nil"/>
              <w:bottom w:val="nil"/>
              <w:right w:val="nil"/>
            </w:tcBorders>
            <w:shd w:val="clear" w:color="auto" w:fill="auto"/>
            <w:noWrap/>
            <w:vAlign w:val="bottom"/>
            <w:hideMark/>
          </w:tcPr>
          <w:p w:rsidR="00685BE5" w:rsidRPr="001032EF" w:rsidRDefault="00685BE5" w:rsidP="00F71699">
            <w:pPr>
              <w:ind w:right="170"/>
              <w:jc w:val="right"/>
              <w:rPr>
                <w:sz w:val="20"/>
                <w:szCs w:val="20"/>
                <w:lang w:eastAsia="zh-CN"/>
              </w:rPr>
            </w:pPr>
            <w:r w:rsidRPr="001032EF">
              <w:rPr>
                <w:sz w:val="20"/>
                <w:szCs w:val="20"/>
                <w:lang w:eastAsia="zh-CN"/>
              </w:rPr>
              <w:t>9.2</w:t>
            </w:r>
          </w:p>
        </w:tc>
      </w:tr>
      <w:tr w:rsidR="00685BE5" w:rsidRPr="00A415AD" w:rsidTr="001032EF">
        <w:trPr>
          <w:trHeight w:val="288"/>
        </w:trPr>
        <w:tc>
          <w:tcPr>
            <w:tcW w:w="5118" w:type="dxa"/>
            <w:tcBorders>
              <w:top w:val="nil"/>
              <w:left w:val="nil"/>
              <w:bottom w:val="single" w:sz="4" w:space="0" w:color="auto"/>
              <w:right w:val="nil"/>
            </w:tcBorders>
            <w:shd w:val="clear" w:color="auto" w:fill="auto"/>
            <w:noWrap/>
            <w:vAlign w:val="bottom"/>
            <w:hideMark/>
          </w:tcPr>
          <w:p w:rsidR="00685BE5" w:rsidRPr="001032EF" w:rsidRDefault="00685BE5" w:rsidP="001032EF">
            <w:pPr>
              <w:rPr>
                <w:sz w:val="20"/>
                <w:szCs w:val="20"/>
                <w:lang w:eastAsia="zh-CN"/>
              </w:rPr>
            </w:pPr>
            <w:r w:rsidRPr="001032EF">
              <w:rPr>
                <w:sz w:val="20"/>
                <w:szCs w:val="20"/>
                <w:lang w:eastAsia="zh-CN"/>
              </w:rPr>
              <w:t xml:space="preserve">Question not answered </w:t>
            </w:r>
          </w:p>
        </w:tc>
        <w:tc>
          <w:tcPr>
            <w:tcW w:w="993" w:type="dxa"/>
            <w:tcBorders>
              <w:top w:val="nil"/>
              <w:left w:val="nil"/>
              <w:bottom w:val="single" w:sz="4" w:space="0" w:color="auto"/>
              <w:right w:val="nil"/>
            </w:tcBorders>
            <w:shd w:val="clear" w:color="auto" w:fill="auto"/>
            <w:noWrap/>
            <w:vAlign w:val="bottom"/>
            <w:hideMark/>
          </w:tcPr>
          <w:p w:rsidR="00685BE5" w:rsidRPr="001032EF" w:rsidRDefault="00685BE5" w:rsidP="00F71699">
            <w:pPr>
              <w:ind w:right="170"/>
              <w:jc w:val="right"/>
              <w:rPr>
                <w:sz w:val="20"/>
                <w:szCs w:val="20"/>
                <w:lang w:eastAsia="zh-CN"/>
              </w:rPr>
            </w:pPr>
            <w:r w:rsidRPr="001032EF">
              <w:rPr>
                <w:sz w:val="20"/>
                <w:szCs w:val="20"/>
                <w:lang w:eastAsia="zh-CN"/>
              </w:rPr>
              <w:t>32.4</w:t>
            </w:r>
          </w:p>
        </w:tc>
      </w:tr>
      <w:tr w:rsidR="00685BE5" w:rsidRPr="00A415AD" w:rsidTr="001032EF">
        <w:trPr>
          <w:trHeight w:val="288"/>
        </w:trPr>
        <w:tc>
          <w:tcPr>
            <w:tcW w:w="5118" w:type="dxa"/>
            <w:tcBorders>
              <w:top w:val="single" w:sz="4" w:space="0" w:color="auto"/>
              <w:left w:val="nil"/>
              <w:bottom w:val="single" w:sz="4" w:space="0" w:color="auto"/>
              <w:right w:val="nil"/>
            </w:tcBorders>
            <w:shd w:val="clear" w:color="auto" w:fill="auto"/>
            <w:noWrap/>
            <w:vAlign w:val="bottom"/>
            <w:hideMark/>
          </w:tcPr>
          <w:p w:rsidR="00685BE5" w:rsidRPr="001032EF" w:rsidRDefault="00685BE5" w:rsidP="001032EF">
            <w:pPr>
              <w:rPr>
                <w:b/>
                <w:sz w:val="20"/>
                <w:szCs w:val="20"/>
                <w:lang w:eastAsia="zh-CN"/>
              </w:rPr>
            </w:pPr>
            <w:r w:rsidRPr="001032EF">
              <w:rPr>
                <w:b/>
                <w:sz w:val="20"/>
                <w:szCs w:val="20"/>
                <w:lang w:eastAsia="zh-CN"/>
              </w:rPr>
              <w:t>Total (N=272)</w:t>
            </w:r>
          </w:p>
        </w:tc>
        <w:tc>
          <w:tcPr>
            <w:tcW w:w="993" w:type="dxa"/>
            <w:tcBorders>
              <w:top w:val="single" w:sz="4" w:space="0" w:color="auto"/>
              <w:left w:val="nil"/>
              <w:bottom w:val="single" w:sz="4" w:space="0" w:color="auto"/>
              <w:right w:val="nil"/>
            </w:tcBorders>
            <w:shd w:val="clear" w:color="auto" w:fill="auto"/>
            <w:noWrap/>
            <w:vAlign w:val="bottom"/>
            <w:hideMark/>
          </w:tcPr>
          <w:p w:rsidR="00685BE5" w:rsidRPr="001032EF" w:rsidRDefault="00685BE5" w:rsidP="00F71699">
            <w:pPr>
              <w:ind w:right="170"/>
              <w:jc w:val="right"/>
              <w:rPr>
                <w:b/>
                <w:sz w:val="20"/>
                <w:szCs w:val="20"/>
                <w:lang w:eastAsia="zh-CN"/>
              </w:rPr>
            </w:pPr>
            <w:r w:rsidRPr="001032EF">
              <w:rPr>
                <w:b/>
                <w:sz w:val="20"/>
                <w:szCs w:val="20"/>
                <w:lang w:eastAsia="zh-CN"/>
              </w:rPr>
              <w:t>100</w:t>
            </w:r>
          </w:p>
        </w:tc>
      </w:tr>
    </w:tbl>
    <w:p w:rsidR="00685BE5" w:rsidRDefault="00685BE5" w:rsidP="00FB089D">
      <w:pPr>
        <w:pStyle w:val="NILSFootnote"/>
        <w:rPr>
          <w:rFonts w:eastAsia="SimHei"/>
        </w:rPr>
      </w:pPr>
      <w:r>
        <w:rPr>
          <w:rFonts w:eastAsia="SimHei"/>
        </w:rPr>
        <w:t xml:space="preserve">Source: </w:t>
      </w:r>
      <w:r w:rsidRPr="00AB33E3">
        <w:rPr>
          <w:rFonts w:eastAsia="SimHei"/>
        </w:rPr>
        <w:t>2014 NDIS self-employed DSP survey</w:t>
      </w:r>
      <w:r>
        <w:rPr>
          <w:rFonts w:eastAsia="SimHei"/>
        </w:rPr>
        <w:t>, Question C4</w:t>
      </w:r>
      <w:r w:rsidRPr="00AB33E3">
        <w:rPr>
          <w:rFonts w:eastAsia="SimHei"/>
        </w:rPr>
        <w:t>.</w:t>
      </w:r>
    </w:p>
    <w:p w:rsidR="00B92687" w:rsidRDefault="00B92687" w:rsidP="00AE4C3A"/>
    <w:p w:rsidR="00685BE5" w:rsidRDefault="00685BE5" w:rsidP="00AE4C3A">
      <w:r>
        <w:t>Table 4.58</w:t>
      </w:r>
      <w:r w:rsidRPr="00AB33E3">
        <w:t xml:space="preserve"> shows that even more than</w:t>
      </w:r>
      <w:r>
        <w:t xml:space="preserve"> for</w:t>
      </w:r>
      <w:r w:rsidRPr="00AB33E3">
        <w:t xml:space="preserve"> employees, </w:t>
      </w:r>
      <w:r>
        <w:t xml:space="preserve">the </w:t>
      </w:r>
      <w:r w:rsidRPr="00AB33E3">
        <w:t xml:space="preserve">‘desire to help others’ and ‘desire to do something worthwhile’ </w:t>
      </w:r>
      <w:r>
        <w:t>we</w:t>
      </w:r>
      <w:r w:rsidRPr="00AB33E3">
        <w:t xml:space="preserve">re the dominant reasons for self-employed </w:t>
      </w:r>
      <w:r>
        <w:t xml:space="preserve">providers </w:t>
      </w:r>
      <w:r w:rsidRPr="00AB33E3">
        <w:t xml:space="preserve">working in the disability support sector with more than three quarters of providers citing these two factors for working in the sector. It is interesting to note that pay, job security and career prospects </w:t>
      </w:r>
      <w:r>
        <w:t>we</w:t>
      </w:r>
      <w:r w:rsidRPr="00AB33E3">
        <w:t xml:space="preserve">re even less motivating for the self-employed than they </w:t>
      </w:r>
      <w:r>
        <w:t>we</w:t>
      </w:r>
      <w:r w:rsidRPr="00AB33E3">
        <w:t xml:space="preserve">re for employees. Again </w:t>
      </w:r>
      <w:r w:rsidR="007F2E4B">
        <w:t>results show</w:t>
      </w:r>
      <w:r w:rsidRPr="00AB33E3">
        <w:t xml:space="preserve"> the strong motivation to do work that </w:t>
      </w:r>
      <w:r>
        <w:t>wa</w:t>
      </w:r>
      <w:r w:rsidRPr="00AB33E3">
        <w:t>s valued and worthwhile, rather than to gain the more material aspects of employment.</w:t>
      </w:r>
    </w:p>
    <w:p w:rsidR="00B92687" w:rsidRPr="00AB33E3" w:rsidRDefault="00B92687" w:rsidP="00AE4C3A"/>
    <w:p w:rsidR="00685BE5" w:rsidRDefault="00685BE5" w:rsidP="00AE4C3A">
      <w:pPr>
        <w:rPr>
          <w:rFonts w:eastAsia="SimHei" w:cs="Times New Roman"/>
          <w:lang w:eastAsia="zh-CN"/>
        </w:rPr>
      </w:pPr>
      <w:r w:rsidRPr="00AB33E3">
        <w:t>A number of other work characteristics, such as, work</w:t>
      </w:r>
      <w:r>
        <w:t xml:space="preserve"> being valued and appreciated</w:t>
      </w:r>
      <w:r w:rsidRPr="00AB33E3">
        <w:t xml:space="preserve">, variety in tasks and learnings, training and the application of skills </w:t>
      </w:r>
      <w:r>
        <w:t>we</w:t>
      </w:r>
      <w:r w:rsidRPr="00AB33E3">
        <w:t xml:space="preserve">re also reported as significant reasons to work as a self-employed provider in the disability sector. </w:t>
      </w:r>
      <w:r w:rsidRPr="00AB33E3">
        <w:rPr>
          <w:rFonts w:eastAsia="Times New Roman"/>
          <w:bCs/>
          <w:color w:val="000000"/>
          <w:lang w:eastAsia="zh-CN"/>
        </w:rPr>
        <w:t>A</w:t>
      </w:r>
      <w:r w:rsidRPr="00AB33E3">
        <w:rPr>
          <w:rFonts w:eastAsia="SimHei" w:cs="Times New Roman"/>
          <w:lang w:eastAsia="zh-CN"/>
        </w:rPr>
        <w:t>lmost all self-employed providers (97 per cent) expect</w:t>
      </w:r>
      <w:r>
        <w:rPr>
          <w:rFonts w:eastAsia="SimHei" w:cs="Times New Roman"/>
          <w:lang w:eastAsia="zh-CN"/>
        </w:rPr>
        <w:t>ed to</w:t>
      </w:r>
      <w:r w:rsidRPr="00AB33E3">
        <w:rPr>
          <w:rFonts w:eastAsia="SimHei" w:cs="Times New Roman"/>
          <w:lang w:eastAsia="zh-CN"/>
        </w:rPr>
        <w:t xml:space="preserve"> still be doing the same sort of work 12 months from now</w:t>
      </w:r>
      <w:r>
        <w:rPr>
          <w:rFonts w:eastAsia="SimHei" w:cs="Times New Roman"/>
          <w:lang w:eastAsia="zh-CN"/>
        </w:rPr>
        <w:t xml:space="preserve"> (Table not shown)</w:t>
      </w:r>
      <w:r w:rsidRPr="00AB33E3">
        <w:rPr>
          <w:rFonts w:eastAsia="SimHei" w:cs="Times New Roman"/>
          <w:lang w:eastAsia="zh-CN"/>
        </w:rPr>
        <w:t>.</w:t>
      </w:r>
    </w:p>
    <w:p w:rsidR="00B92687" w:rsidRPr="00AB33E3" w:rsidRDefault="00B92687" w:rsidP="00AE4C3A">
      <w:pPr>
        <w:rPr>
          <w:rFonts w:eastAsia="SimHei" w:cs="Times New Roman"/>
          <w:lang w:eastAsia="zh-CN"/>
        </w:rPr>
      </w:pPr>
    </w:p>
    <w:p w:rsidR="00685BE5" w:rsidRPr="00AB33E3" w:rsidRDefault="00685BE5" w:rsidP="0044684E">
      <w:pPr>
        <w:pStyle w:val="NILSTableHeading"/>
      </w:pPr>
      <w:bookmarkStart w:id="735" w:name="_Toc428279265"/>
      <w:bookmarkStart w:id="736" w:name="_Toc449955396"/>
      <w:r>
        <w:t>Table 4.58</w:t>
      </w:r>
      <w:r w:rsidRPr="00AB33E3">
        <w:t>: Reasons</w:t>
      </w:r>
      <w:r>
        <w:t xml:space="preserve"> for self-employed providers</w:t>
      </w:r>
      <w:r w:rsidRPr="00AB33E3">
        <w:t xml:space="preserve"> to work in the disability support sector</w:t>
      </w:r>
      <w:bookmarkEnd w:id="735"/>
      <w:bookmarkEnd w:id="736"/>
    </w:p>
    <w:tbl>
      <w:tblPr>
        <w:tblW w:w="6252" w:type="dxa"/>
        <w:tblInd w:w="93" w:type="dxa"/>
        <w:tblLook w:val="04A0" w:firstRow="1" w:lastRow="0" w:firstColumn="1" w:lastColumn="0" w:noHBand="0" w:noVBand="1"/>
        <w:tblCaption w:val="Table 4.58 Reasons for self-employed providers to work in the disability support sector"/>
      </w:tblPr>
      <w:tblGrid>
        <w:gridCol w:w="5260"/>
        <w:gridCol w:w="992"/>
      </w:tblGrid>
      <w:tr w:rsidR="00685BE5" w:rsidRPr="00EC6D3A" w:rsidTr="00592921">
        <w:trPr>
          <w:tblHeader/>
        </w:trPr>
        <w:tc>
          <w:tcPr>
            <w:tcW w:w="5260" w:type="dxa"/>
            <w:tcBorders>
              <w:top w:val="single" w:sz="4" w:space="0" w:color="auto"/>
              <w:left w:val="nil"/>
              <w:bottom w:val="single" w:sz="4" w:space="0" w:color="auto"/>
              <w:right w:val="nil"/>
            </w:tcBorders>
            <w:shd w:val="clear" w:color="auto" w:fill="auto"/>
            <w:noWrap/>
            <w:vAlign w:val="center"/>
            <w:hideMark/>
          </w:tcPr>
          <w:p w:rsidR="00685BE5" w:rsidRPr="00EC6D3A" w:rsidRDefault="00685BE5" w:rsidP="00EC6D3A">
            <w:pPr>
              <w:spacing w:before="20" w:after="20"/>
              <w:rPr>
                <w:sz w:val="20"/>
                <w:szCs w:val="20"/>
                <w:lang w:eastAsia="zh-CN"/>
              </w:rPr>
            </w:pPr>
            <w:bookmarkStart w:id="737" w:name="Title_4_58"/>
            <w:bookmarkEnd w:id="737"/>
          </w:p>
        </w:tc>
        <w:tc>
          <w:tcPr>
            <w:tcW w:w="992" w:type="dxa"/>
            <w:tcBorders>
              <w:top w:val="single" w:sz="4" w:space="0" w:color="auto"/>
              <w:left w:val="nil"/>
              <w:bottom w:val="single" w:sz="4" w:space="0" w:color="auto"/>
              <w:right w:val="nil"/>
            </w:tcBorders>
            <w:shd w:val="clear" w:color="auto" w:fill="auto"/>
            <w:noWrap/>
            <w:vAlign w:val="center"/>
            <w:hideMark/>
          </w:tcPr>
          <w:p w:rsidR="00685BE5" w:rsidRPr="00EC6D3A" w:rsidRDefault="00592921" w:rsidP="00EC6D3A">
            <w:pPr>
              <w:spacing w:before="20" w:after="20"/>
              <w:jc w:val="center"/>
              <w:rPr>
                <w:sz w:val="20"/>
                <w:szCs w:val="20"/>
                <w:lang w:eastAsia="zh-CN"/>
              </w:rPr>
            </w:pPr>
            <w:r>
              <w:rPr>
                <w:rFonts w:ascii="Calibri" w:eastAsia="Times New Roman" w:hAnsi="Calibri" w:cs="Calibri"/>
                <w:bCs/>
                <w:color w:val="000000"/>
                <w:sz w:val="20"/>
                <w:szCs w:val="20"/>
                <w:lang w:eastAsia="zh-CN"/>
              </w:rPr>
              <w:t>%</w:t>
            </w:r>
          </w:p>
        </w:tc>
      </w:tr>
      <w:tr w:rsidR="00685BE5" w:rsidRPr="00EC6D3A" w:rsidTr="00592921">
        <w:tc>
          <w:tcPr>
            <w:tcW w:w="5260" w:type="dxa"/>
            <w:tcBorders>
              <w:top w:val="single" w:sz="4" w:space="0" w:color="auto"/>
              <w:left w:val="nil"/>
              <w:bottom w:val="nil"/>
              <w:right w:val="nil"/>
            </w:tcBorders>
            <w:shd w:val="clear" w:color="auto" w:fill="auto"/>
            <w:noWrap/>
            <w:vAlign w:val="center"/>
            <w:hideMark/>
          </w:tcPr>
          <w:p w:rsidR="00685BE5" w:rsidRPr="00EC6D3A" w:rsidRDefault="00685BE5" w:rsidP="00EC6D3A">
            <w:pPr>
              <w:spacing w:before="20" w:after="20"/>
              <w:rPr>
                <w:sz w:val="20"/>
                <w:szCs w:val="20"/>
                <w:lang w:eastAsia="zh-CN"/>
              </w:rPr>
            </w:pPr>
            <w:r w:rsidRPr="00EC6D3A">
              <w:rPr>
                <w:sz w:val="20"/>
                <w:szCs w:val="20"/>
                <w:lang w:eastAsia="zh-CN"/>
              </w:rPr>
              <w:t>Desire to help others</w:t>
            </w:r>
          </w:p>
        </w:tc>
        <w:tc>
          <w:tcPr>
            <w:tcW w:w="992" w:type="dxa"/>
            <w:tcBorders>
              <w:top w:val="single" w:sz="4" w:space="0" w:color="auto"/>
              <w:left w:val="nil"/>
              <w:bottom w:val="nil"/>
              <w:right w:val="nil"/>
            </w:tcBorders>
            <w:shd w:val="clear" w:color="auto" w:fill="auto"/>
            <w:noWrap/>
            <w:vAlign w:val="center"/>
            <w:hideMark/>
          </w:tcPr>
          <w:p w:rsidR="00685BE5" w:rsidRPr="00EC6D3A" w:rsidRDefault="00685BE5" w:rsidP="00592921">
            <w:pPr>
              <w:spacing w:before="20" w:after="20"/>
              <w:ind w:right="136"/>
              <w:jc w:val="right"/>
              <w:rPr>
                <w:sz w:val="20"/>
                <w:szCs w:val="20"/>
                <w:lang w:eastAsia="zh-CN"/>
              </w:rPr>
            </w:pPr>
            <w:r w:rsidRPr="00EC6D3A">
              <w:rPr>
                <w:sz w:val="20"/>
                <w:szCs w:val="20"/>
                <w:lang w:eastAsia="zh-CN"/>
              </w:rPr>
              <w:t>83.1</w:t>
            </w:r>
          </w:p>
        </w:tc>
      </w:tr>
      <w:tr w:rsidR="00685BE5" w:rsidRPr="00EC6D3A" w:rsidTr="00592921">
        <w:tc>
          <w:tcPr>
            <w:tcW w:w="5260" w:type="dxa"/>
            <w:tcBorders>
              <w:top w:val="nil"/>
              <w:left w:val="nil"/>
              <w:bottom w:val="nil"/>
              <w:right w:val="nil"/>
            </w:tcBorders>
            <w:shd w:val="clear" w:color="auto" w:fill="auto"/>
            <w:noWrap/>
            <w:vAlign w:val="center"/>
            <w:hideMark/>
          </w:tcPr>
          <w:p w:rsidR="00685BE5" w:rsidRPr="00EC6D3A" w:rsidRDefault="00685BE5" w:rsidP="00EC6D3A">
            <w:pPr>
              <w:spacing w:before="20" w:after="20"/>
              <w:rPr>
                <w:sz w:val="20"/>
                <w:szCs w:val="20"/>
                <w:lang w:eastAsia="zh-CN"/>
              </w:rPr>
            </w:pPr>
            <w:r w:rsidRPr="00EC6D3A">
              <w:rPr>
                <w:sz w:val="20"/>
                <w:szCs w:val="20"/>
                <w:lang w:eastAsia="zh-CN"/>
              </w:rPr>
              <w:t>Desire to do something worthwhile</w:t>
            </w:r>
          </w:p>
        </w:tc>
        <w:tc>
          <w:tcPr>
            <w:tcW w:w="992" w:type="dxa"/>
            <w:tcBorders>
              <w:top w:val="nil"/>
              <w:left w:val="nil"/>
              <w:bottom w:val="nil"/>
              <w:right w:val="nil"/>
            </w:tcBorders>
            <w:shd w:val="clear" w:color="auto" w:fill="auto"/>
            <w:noWrap/>
            <w:vAlign w:val="center"/>
            <w:hideMark/>
          </w:tcPr>
          <w:p w:rsidR="00685BE5" w:rsidRPr="00EC6D3A" w:rsidRDefault="00685BE5" w:rsidP="00592921">
            <w:pPr>
              <w:spacing w:before="20" w:after="20"/>
              <w:ind w:right="136"/>
              <w:jc w:val="right"/>
              <w:rPr>
                <w:sz w:val="20"/>
                <w:szCs w:val="20"/>
                <w:lang w:eastAsia="zh-CN"/>
              </w:rPr>
            </w:pPr>
            <w:r w:rsidRPr="00EC6D3A">
              <w:rPr>
                <w:sz w:val="20"/>
                <w:szCs w:val="20"/>
                <w:lang w:eastAsia="zh-CN"/>
              </w:rPr>
              <w:t>76.5</w:t>
            </w:r>
          </w:p>
        </w:tc>
      </w:tr>
      <w:tr w:rsidR="00685BE5" w:rsidRPr="00EC6D3A" w:rsidTr="00592921">
        <w:tc>
          <w:tcPr>
            <w:tcW w:w="5260" w:type="dxa"/>
            <w:tcBorders>
              <w:top w:val="nil"/>
              <w:left w:val="nil"/>
              <w:bottom w:val="nil"/>
              <w:right w:val="nil"/>
            </w:tcBorders>
            <w:shd w:val="clear" w:color="auto" w:fill="auto"/>
            <w:noWrap/>
            <w:vAlign w:val="center"/>
            <w:hideMark/>
          </w:tcPr>
          <w:p w:rsidR="00685BE5" w:rsidRPr="00EC6D3A" w:rsidRDefault="00685BE5" w:rsidP="00EC6D3A">
            <w:pPr>
              <w:spacing w:before="20" w:after="20"/>
              <w:rPr>
                <w:sz w:val="20"/>
                <w:szCs w:val="20"/>
                <w:lang w:eastAsia="zh-CN"/>
              </w:rPr>
            </w:pPr>
            <w:r w:rsidRPr="00EC6D3A">
              <w:rPr>
                <w:sz w:val="20"/>
                <w:szCs w:val="20"/>
                <w:lang w:eastAsia="zh-CN"/>
              </w:rPr>
              <w:t>Work being valued and appreciated</w:t>
            </w:r>
          </w:p>
        </w:tc>
        <w:tc>
          <w:tcPr>
            <w:tcW w:w="992" w:type="dxa"/>
            <w:tcBorders>
              <w:top w:val="nil"/>
              <w:left w:val="nil"/>
              <w:bottom w:val="nil"/>
              <w:right w:val="nil"/>
            </w:tcBorders>
            <w:shd w:val="clear" w:color="auto" w:fill="auto"/>
            <w:noWrap/>
            <w:vAlign w:val="center"/>
            <w:hideMark/>
          </w:tcPr>
          <w:p w:rsidR="00685BE5" w:rsidRPr="00EC6D3A" w:rsidRDefault="00685BE5" w:rsidP="00592921">
            <w:pPr>
              <w:spacing w:before="20" w:after="20"/>
              <w:ind w:right="136"/>
              <w:jc w:val="right"/>
              <w:rPr>
                <w:sz w:val="20"/>
                <w:szCs w:val="20"/>
                <w:lang w:eastAsia="zh-CN"/>
              </w:rPr>
            </w:pPr>
            <w:r w:rsidRPr="00EC6D3A">
              <w:rPr>
                <w:sz w:val="20"/>
                <w:szCs w:val="20"/>
                <w:lang w:eastAsia="zh-CN"/>
              </w:rPr>
              <w:t>51.8</w:t>
            </w:r>
          </w:p>
        </w:tc>
      </w:tr>
      <w:tr w:rsidR="00685BE5" w:rsidRPr="00EC6D3A" w:rsidTr="00592921">
        <w:tc>
          <w:tcPr>
            <w:tcW w:w="5260" w:type="dxa"/>
            <w:tcBorders>
              <w:top w:val="nil"/>
              <w:left w:val="nil"/>
              <w:bottom w:val="nil"/>
              <w:right w:val="nil"/>
            </w:tcBorders>
            <w:shd w:val="clear" w:color="auto" w:fill="auto"/>
            <w:noWrap/>
            <w:vAlign w:val="center"/>
            <w:hideMark/>
          </w:tcPr>
          <w:p w:rsidR="00685BE5" w:rsidRPr="00EC6D3A" w:rsidRDefault="00685BE5" w:rsidP="00EC6D3A">
            <w:pPr>
              <w:spacing w:before="20" w:after="20"/>
              <w:rPr>
                <w:sz w:val="20"/>
                <w:szCs w:val="20"/>
                <w:lang w:eastAsia="zh-CN"/>
              </w:rPr>
            </w:pPr>
            <w:r w:rsidRPr="00EC6D3A">
              <w:rPr>
                <w:sz w:val="20"/>
                <w:szCs w:val="20"/>
                <w:lang w:eastAsia="zh-CN"/>
              </w:rPr>
              <w:t>Supportive co-workers and management</w:t>
            </w:r>
          </w:p>
        </w:tc>
        <w:tc>
          <w:tcPr>
            <w:tcW w:w="992" w:type="dxa"/>
            <w:tcBorders>
              <w:top w:val="nil"/>
              <w:left w:val="nil"/>
              <w:bottom w:val="nil"/>
              <w:right w:val="nil"/>
            </w:tcBorders>
            <w:shd w:val="clear" w:color="auto" w:fill="auto"/>
            <w:noWrap/>
            <w:vAlign w:val="center"/>
            <w:hideMark/>
          </w:tcPr>
          <w:p w:rsidR="00685BE5" w:rsidRPr="00EC6D3A" w:rsidRDefault="00685BE5" w:rsidP="00592921">
            <w:pPr>
              <w:spacing w:before="20" w:after="20"/>
              <w:ind w:right="136"/>
              <w:jc w:val="right"/>
              <w:rPr>
                <w:sz w:val="20"/>
                <w:szCs w:val="20"/>
                <w:lang w:eastAsia="zh-CN"/>
              </w:rPr>
            </w:pPr>
            <w:r w:rsidRPr="00EC6D3A">
              <w:rPr>
                <w:sz w:val="20"/>
                <w:szCs w:val="20"/>
                <w:lang w:eastAsia="zh-CN"/>
              </w:rPr>
              <w:t>14.3</w:t>
            </w:r>
          </w:p>
        </w:tc>
      </w:tr>
      <w:tr w:rsidR="00685BE5" w:rsidRPr="00EC6D3A" w:rsidTr="00592921">
        <w:tc>
          <w:tcPr>
            <w:tcW w:w="5260" w:type="dxa"/>
            <w:tcBorders>
              <w:top w:val="nil"/>
              <w:left w:val="nil"/>
              <w:bottom w:val="nil"/>
              <w:right w:val="nil"/>
            </w:tcBorders>
            <w:shd w:val="clear" w:color="auto" w:fill="auto"/>
            <w:noWrap/>
            <w:vAlign w:val="center"/>
            <w:hideMark/>
          </w:tcPr>
          <w:p w:rsidR="00685BE5" w:rsidRPr="00EC6D3A" w:rsidRDefault="00685BE5" w:rsidP="00EC6D3A">
            <w:pPr>
              <w:spacing w:before="20" w:after="20"/>
              <w:rPr>
                <w:sz w:val="20"/>
                <w:szCs w:val="20"/>
                <w:lang w:eastAsia="zh-CN"/>
              </w:rPr>
            </w:pPr>
            <w:r w:rsidRPr="00EC6D3A">
              <w:rPr>
                <w:sz w:val="20"/>
                <w:szCs w:val="20"/>
                <w:lang w:eastAsia="zh-CN"/>
              </w:rPr>
              <w:t>Flexibility in working hours or shifts</w:t>
            </w:r>
          </w:p>
        </w:tc>
        <w:tc>
          <w:tcPr>
            <w:tcW w:w="992" w:type="dxa"/>
            <w:tcBorders>
              <w:top w:val="nil"/>
              <w:left w:val="nil"/>
              <w:bottom w:val="nil"/>
              <w:right w:val="nil"/>
            </w:tcBorders>
            <w:shd w:val="clear" w:color="auto" w:fill="auto"/>
            <w:noWrap/>
            <w:vAlign w:val="center"/>
            <w:hideMark/>
          </w:tcPr>
          <w:p w:rsidR="00685BE5" w:rsidRPr="00EC6D3A" w:rsidRDefault="00685BE5" w:rsidP="00592921">
            <w:pPr>
              <w:spacing w:before="20" w:after="20"/>
              <w:ind w:right="136"/>
              <w:jc w:val="right"/>
              <w:rPr>
                <w:sz w:val="20"/>
                <w:szCs w:val="20"/>
                <w:lang w:eastAsia="zh-CN"/>
              </w:rPr>
            </w:pPr>
            <w:r w:rsidRPr="00EC6D3A">
              <w:rPr>
                <w:sz w:val="20"/>
                <w:szCs w:val="20"/>
                <w:lang w:eastAsia="zh-CN"/>
              </w:rPr>
              <w:t>22.1</w:t>
            </w:r>
          </w:p>
        </w:tc>
      </w:tr>
      <w:tr w:rsidR="00685BE5" w:rsidRPr="00EC6D3A" w:rsidTr="00592921">
        <w:tc>
          <w:tcPr>
            <w:tcW w:w="5260" w:type="dxa"/>
            <w:tcBorders>
              <w:top w:val="nil"/>
              <w:left w:val="nil"/>
              <w:bottom w:val="nil"/>
              <w:right w:val="nil"/>
            </w:tcBorders>
            <w:shd w:val="clear" w:color="auto" w:fill="auto"/>
            <w:noWrap/>
            <w:vAlign w:val="center"/>
            <w:hideMark/>
          </w:tcPr>
          <w:p w:rsidR="00685BE5" w:rsidRPr="00EC6D3A" w:rsidRDefault="00685BE5" w:rsidP="00EC6D3A">
            <w:pPr>
              <w:spacing w:before="20" w:after="20"/>
              <w:rPr>
                <w:sz w:val="20"/>
                <w:szCs w:val="20"/>
                <w:lang w:eastAsia="zh-CN"/>
              </w:rPr>
            </w:pPr>
            <w:r w:rsidRPr="00EC6D3A">
              <w:rPr>
                <w:sz w:val="20"/>
                <w:szCs w:val="20"/>
                <w:lang w:eastAsia="zh-CN"/>
              </w:rPr>
              <w:t>Independence/autonomy and responsibility in work</w:t>
            </w:r>
          </w:p>
        </w:tc>
        <w:tc>
          <w:tcPr>
            <w:tcW w:w="992" w:type="dxa"/>
            <w:tcBorders>
              <w:top w:val="nil"/>
              <w:left w:val="nil"/>
              <w:bottom w:val="nil"/>
              <w:right w:val="nil"/>
            </w:tcBorders>
            <w:shd w:val="clear" w:color="auto" w:fill="auto"/>
            <w:noWrap/>
            <w:vAlign w:val="center"/>
            <w:hideMark/>
          </w:tcPr>
          <w:p w:rsidR="00685BE5" w:rsidRPr="00EC6D3A" w:rsidRDefault="00685BE5" w:rsidP="00592921">
            <w:pPr>
              <w:spacing w:before="20" w:after="20"/>
              <w:ind w:right="136"/>
              <w:jc w:val="right"/>
              <w:rPr>
                <w:sz w:val="20"/>
                <w:szCs w:val="20"/>
                <w:lang w:eastAsia="zh-CN"/>
              </w:rPr>
            </w:pPr>
            <w:r w:rsidRPr="00EC6D3A">
              <w:rPr>
                <w:sz w:val="20"/>
                <w:szCs w:val="20"/>
                <w:lang w:eastAsia="zh-CN"/>
              </w:rPr>
              <w:t>35.3</w:t>
            </w:r>
          </w:p>
        </w:tc>
      </w:tr>
      <w:tr w:rsidR="00685BE5" w:rsidRPr="00EC6D3A" w:rsidTr="00592921">
        <w:tc>
          <w:tcPr>
            <w:tcW w:w="5260" w:type="dxa"/>
            <w:tcBorders>
              <w:top w:val="nil"/>
              <w:left w:val="nil"/>
              <w:bottom w:val="nil"/>
              <w:right w:val="nil"/>
            </w:tcBorders>
            <w:shd w:val="clear" w:color="auto" w:fill="auto"/>
            <w:noWrap/>
            <w:vAlign w:val="center"/>
            <w:hideMark/>
          </w:tcPr>
          <w:p w:rsidR="00685BE5" w:rsidRPr="00EC6D3A" w:rsidRDefault="00685BE5" w:rsidP="00EC6D3A">
            <w:pPr>
              <w:spacing w:before="20" w:after="20"/>
              <w:rPr>
                <w:sz w:val="20"/>
                <w:szCs w:val="20"/>
                <w:lang w:eastAsia="zh-CN"/>
              </w:rPr>
            </w:pPr>
            <w:r w:rsidRPr="00EC6D3A">
              <w:rPr>
                <w:sz w:val="20"/>
                <w:szCs w:val="20"/>
                <w:lang w:eastAsia="zh-CN"/>
              </w:rPr>
              <w:t>Variety in tasks</w:t>
            </w:r>
          </w:p>
        </w:tc>
        <w:tc>
          <w:tcPr>
            <w:tcW w:w="992" w:type="dxa"/>
            <w:tcBorders>
              <w:top w:val="nil"/>
              <w:left w:val="nil"/>
              <w:bottom w:val="nil"/>
              <w:right w:val="nil"/>
            </w:tcBorders>
            <w:shd w:val="clear" w:color="auto" w:fill="auto"/>
            <w:noWrap/>
            <w:vAlign w:val="center"/>
            <w:hideMark/>
          </w:tcPr>
          <w:p w:rsidR="00685BE5" w:rsidRPr="00EC6D3A" w:rsidRDefault="00685BE5" w:rsidP="00592921">
            <w:pPr>
              <w:spacing w:before="20" w:after="20"/>
              <w:ind w:right="136"/>
              <w:jc w:val="right"/>
              <w:rPr>
                <w:sz w:val="20"/>
                <w:szCs w:val="20"/>
                <w:lang w:eastAsia="zh-CN"/>
              </w:rPr>
            </w:pPr>
            <w:r w:rsidRPr="00EC6D3A">
              <w:rPr>
                <w:sz w:val="20"/>
                <w:szCs w:val="20"/>
                <w:lang w:eastAsia="zh-CN"/>
              </w:rPr>
              <w:t>46.0</w:t>
            </w:r>
          </w:p>
        </w:tc>
      </w:tr>
      <w:tr w:rsidR="00685BE5" w:rsidRPr="00EC6D3A" w:rsidTr="00592921">
        <w:tc>
          <w:tcPr>
            <w:tcW w:w="5260" w:type="dxa"/>
            <w:tcBorders>
              <w:top w:val="nil"/>
              <w:left w:val="nil"/>
              <w:bottom w:val="nil"/>
              <w:right w:val="nil"/>
            </w:tcBorders>
            <w:shd w:val="clear" w:color="auto" w:fill="auto"/>
            <w:noWrap/>
            <w:vAlign w:val="center"/>
            <w:hideMark/>
          </w:tcPr>
          <w:p w:rsidR="00685BE5" w:rsidRPr="00EC6D3A" w:rsidRDefault="00685BE5" w:rsidP="00EC6D3A">
            <w:pPr>
              <w:spacing w:before="20" w:after="20"/>
              <w:rPr>
                <w:sz w:val="20"/>
                <w:szCs w:val="20"/>
                <w:lang w:eastAsia="zh-CN"/>
              </w:rPr>
            </w:pPr>
            <w:r w:rsidRPr="00EC6D3A">
              <w:rPr>
                <w:sz w:val="20"/>
                <w:szCs w:val="20"/>
                <w:lang w:eastAsia="zh-CN"/>
              </w:rPr>
              <w:t>Learnings, training and the application of skills</w:t>
            </w:r>
          </w:p>
        </w:tc>
        <w:tc>
          <w:tcPr>
            <w:tcW w:w="992" w:type="dxa"/>
            <w:tcBorders>
              <w:top w:val="nil"/>
              <w:left w:val="nil"/>
              <w:bottom w:val="nil"/>
              <w:right w:val="nil"/>
            </w:tcBorders>
            <w:shd w:val="clear" w:color="auto" w:fill="auto"/>
            <w:noWrap/>
            <w:vAlign w:val="center"/>
            <w:hideMark/>
          </w:tcPr>
          <w:p w:rsidR="00685BE5" w:rsidRPr="00EC6D3A" w:rsidRDefault="00685BE5" w:rsidP="00592921">
            <w:pPr>
              <w:spacing w:before="20" w:after="20"/>
              <w:ind w:right="136"/>
              <w:jc w:val="right"/>
              <w:rPr>
                <w:sz w:val="20"/>
                <w:szCs w:val="20"/>
                <w:lang w:eastAsia="zh-CN"/>
              </w:rPr>
            </w:pPr>
            <w:r w:rsidRPr="00EC6D3A">
              <w:rPr>
                <w:sz w:val="20"/>
                <w:szCs w:val="20"/>
                <w:lang w:eastAsia="zh-CN"/>
              </w:rPr>
              <w:t>44.9</w:t>
            </w:r>
          </w:p>
        </w:tc>
      </w:tr>
      <w:tr w:rsidR="00685BE5" w:rsidRPr="00EC6D3A" w:rsidTr="00592921">
        <w:tc>
          <w:tcPr>
            <w:tcW w:w="5260" w:type="dxa"/>
            <w:tcBorders>
              <w:top w:val="nil"/>
              <w:left w:val="nil"/>
              <w:bottom w:val="nil"/>
              <w:right w:val="nil"/>
            </w:tcBorders>
            <w:shd w:val="clear" w:color="auto" w:fill="auto"/>
            <w:noWrap/>
            <w:vAlign w:val="center"/>
            <w:hideMark/>
          </w:tcPr>
          <w:p w:rsidR="00685BE5" w:rsidRPr="00EC6D3A" w:rsidRDefault="00685BE5" w:rsidP="00EC6D3A">
            <w:pPr>
              <w:spacing w:before="20" w:after="20"/>
              <w:rPr>
                <w:sz w:val="20"/>
                <w:szCs w:val="20"/>
                <w:lang w:eastAsia="zh-CN"/>
              </w:rPr>
            </w:pPr>
            <w:r w:rsidRPr="00EC6D3A">
              <w:rPr>
                <w:sz w:val="20"/>
                <w:szCs w:val="20"/>
                <w:lang w:eastAsia="zh-CN"/>
              </w:rPr>
              <w:t>Job security</w:t>
            </w:r>
          </w:p>
        </w:tc>
        <w:tc>
          <w:tcPr>
            <w:tcW w:w="992" w:type="dxa"/>
            <w:tcBorders>
              <w:top w:val="nil"/>
              <w:left w:val="nil"/>
              <w:bottom w:val="nil"/>
              <w:right w:val="nil"/>
            </w:tcBorders>
            <w:shd w:val="clear" w:color="auto" w:fill="auto"/>
            <w:noWrap/>
            <w:vAlign w:val="center"/>
            <w:hideMark/>
          </w:tcPr>
          <w:p w:rsidR="00685BE5" w:rsidRPr="00EC6D3A" w:rsidRDefault="00685BE5" w:rsidP="00592921">
            <w:pPr>
              <w:spacing w:before="20" w:after="20"/>
              <w:ind w:right="136"/>
              <w:jc w:val="right"/>
              <w:rPr>
                <w:sz w:val="20"/>
                <w:szCs w:val="20"/>
                <w:lang w:eastAsia="zh-CN"/>
              </w:rPr>
            </w:pPr>
            <w:r w:rsidRPr="00EC6D3A">
              <w:rPr>
                <w:sz w:val="20"/>
                <w:szCs w:val="20"/>
                <w:lang w:eastAsia="zh-CN"/>
              </w:rPr>
              <w:t>15.1</w:t>
            </w:r>
          </w:p>
        </w:tc>
      </w:tr>
      <w:tr w:rsidR="00685BE5" w:rsidRPr="00EC6D3A" w:rsidTr="00592921">
        <w:tc>
          <w:tcPr>
            <w:tcW w:w="5260" w:type="dxa"/>
            <w:tcBorders>
              <w:top w:val="nil"/>
              <w:left w:val="nil"/>
              <w:bottom w:val="nil"/>
              <w:right w:val="nil"/>
            </w:tcBorders>
            <w:shd w:val="clear" w:color="auto" w:fill="auto"/>
            <w:noWrap/>
            <w:vAlign w:val="center"/>
            <w:hideMark/>
          </w:tcPr>
          <w:p w:rsidR="00685BE5" w:rsidRPr="00EC6D3A" w:rsidRDefault="00685BE5" w:rsidP="00EC6D3A">
            <w:pPr>
              <w:spacing w:before="20" w:after="20"/>
              <w:rPr>
                <w:sz w:val="20"/>
                <w:szCs w:val="20"/>
                <w:lang w:eastAsia="zh-CN"/>
              </w:rPr>
            </w:pPr>
            <w:r w:rsidRPr="00EC6D3A">
              <w:rPr>
                <w:sz w:val="20"/>
                <w:szCs w:val="20"/>
                <w:lang w:eastAsia="zh-CN"/>
              </w:rPr>
              <w:t>Pay</w:t>
            </w:r>
          </w:p>
        </w:tc>
        <w:tc>
          <w:tcPr>
            <w:tcW w:w="992" w:type="dxa"/>
            <w:tcBorders>
              <w:top w:val="nil"/>
              <w:left w:val="nil"/>
              <w:bottom w:val="nil"/>
              <w:right w:val="nil"/>
            </w:tcBorders>
            <w:shd w:val="clear" w:color="auto" w:fill="auto"/>
            <w:noWrap/>
            <w:vAlign w:val="center"/>
            <w:hideMark/>
          </w:tcPr>
          <w:p w:rsidR="00685BE5" w:rsidRPr="00EC6D3A" w:rsidRDefault="00685BE5" w:rsidP="00592921">
            <w:pPr>
              <w:spacing w:before="20" w:after="20"/>
              <w:ind w:right="136"/>
              <w:jc w:val="right"/>
              <w:rPr>
                <w:sz w:val="20"/>
                <w:szCs w:val="20"/>
                <w:lang w:eastAsia="zh-CN"/>
              </w:rPr>
            </w:pPr>
            <w:r w:rsidRPr="00EC6D3A">
              <w:rPr>
                <w:sz w:val="20"/>
                <w:szCs w:val="20"/>
                <w:lang w:eastAsia="zh-CN"/>
              </w:rPr>
              <w:t>10.7</w:t>
            </w:r>
          </w:p>
        </w:tc>
      </w:tr>
      <w:tr w:rsidR="00685BE5" w:rsidRPr="00EC6D3A" w:rsidTr="00592921">
        <w:tc>
          <w:tcPr>
            <w:tcW w:w="5260" w:type="dxa"/>
            <w:tcBorders>
              <w:top w:val="nil"/>
              <w:left w:val="nil"/>
              <w:bottom w:val="nil"/>
              <w:right w:val="nil"/>
            </w:tcBorders>
            <w:shd w:val="clear" w:color="auto" w:fill="auto"/>
            <w:noWrap/>
            <w:vAlign w:val="center"/>
            <w:hideMark/>
          </w:tcPr>
          <w:p w:rsidR="00685BE5" w:rsidRPr="00EC6D3A" w:rsidRDefault="00685BE5" w:rsidP="00EC6D3A">
            <w:pPr>
              <w:spacing w:before="20" w:after="20"/>
              <w:rPr>
                <w:sz w:val="20"/>
                <w:szCs w:val="20"/>
                <w:lang w:eastAsia="zh-CN"/>
              </w:rPr>
            </w:pPr>
            <w:r w:rsidRPr="00EC6D3A">
              <w:rPr>
                <w:sz w:val="20"/>
                <w:szCs w:val="20"/>
                <w:lang w:eastAsia="zh-CN"/>
              </w:rPr>
              <w:t>Career prospects</w:t>
            </w:r>
          </w:p>
        </w:tc>
        <w:tc>
          <w:tcPr>
            <w:tcW w:w="992" w:type="dxa"/>
            <w:tcBorders>
              <w:top w:val="nil"/>
              <w:left w:val="nil"/>
              <w:bottom w:val="nil"/>
              <w:right w:val="nil"/>
            </w:tcBorders>
            <w:shd w:val="clear" w:color="auto" w:fill="auto"/>
            <w:noWrap/>
            <w:vAlign w:val="center"/>
            <w:hideMark/>
          </w:tcPr>
          <w:p w:rsidR="00685BE5" w:rsidRPr="00EC6D3A" w:rsidRDefault="00685BE5" w:rsidP="00592921">
            <w:pPr>
              <w:spacing w:before="20" w:after="20"/>
              <w:ind w:right="136"/>
              <w:jc w:val="right"/>
              <w:rPr>
                <w:sz w:val="20"/>
                <w:szCs w:val="20"/>
                <w:lang w:eastAsia="zh-CN"/>
              </w:rPr>
            </w:pPr>
            <w:r w:rsidRPr="00EC6D3A">
              <w:rPr>
                <w:sz w:val="20"/>
                <w:szCs w:val="20"/>
                <w:lang w:eastAsia="zh-CN"/>
              </w:rPr>
              <w:t>18.4</w:t>
            </w:r>
          </w:p>
        </w:tc>
      </w:tr>
      <w:tr w:rsidR="00685BE5" w:rsidRPr="00EC6D3A" w:rsidTr="00592921">
        <w:tc>
          <w:tcPr>
            <w:tcW w:w="5260" w:type="dxa"/>
            <w:tcBorders>
              <w:top w:val="nil"/>
              <w:left w:val="nil"/>
              <w:bottom w:val="single" w:sz="4" w:space="0" w:color="auto"/>
              <w:right w:val="nil"/>
            </w:tcBorders>
            <w:shd w:val="clear" w:color="auto" w:fill="auto"/>
            <w:noWrap/>
            <w:vAlign w:val="center"/>
            <w:hideMark/>
          </w:tcPr>
          <w:p w:rsidR="00685BE5" w:rsidRPr="00EC6D3A" w:rsidRDefault="00685BE5" w:rsidP="00EC6D3A">
            <w:pPr>
              <w:spacing w:before="20" w:after="20"/>
              <w:rPr>
                <w:sz w:val="20"/>
                <w:szCs w:val="20"/>
                <w:lang w:eastAsia="zh-CN"/>
              </w:rPr>
            </w:pPr>
            <w:r w:rsidRPr="00EC6D3A">
              <w:rPr>
                <w:sz w:val="20"/>
                <w:szCs w:val="20"/>
                <w:lang w:eastAsia="zh-CN"/>
              </w:rPr>
              <w:t>Other</w:t>
            </w:r>
          </w:p>
        </w:tc>
        <w:tc>
          <w:tcPr>
            <w:tcW w:w="992" w:type="dxa"/>
            <w:tcBorders>
              <w:top w:val="nil"/>
              <w:left w:val="nil"/>
              <w:bottom w:val="single" w:sz="4" w:space="0" w:color="auto"/>
              <w:right w:val="nil"/>
            </w:tcBorders>
            <w:shd w:val="clear" w:color="auto" w:fill="auto"/>
            <w:noWrap/>
            <w:vAlign w:val="center"/>
            <w:hideMark/>
          </w:tcPr>
          <w:p w:rsidR="00685BE5" w:rsidRPr="00EC6D3A" w:rsidRDefault="00685BE5" w:rsidP="00592921">
            <w:pPr>
              <w:spacing w:before="20" w:after="20"/>
              <w:ind w:right="136"/>
              <w:jc w:val="right"/>
              <w:rPr>
                <w:sz w:val="20"/>
                <w:szCs w:val="20"/>
                <w:lang w:eastAsia="zh-CN"/>
              </w:rPr>
            </w:pPr>
            <w:r w:rsidRPr="00EC6D3A">
              <w:rPr>
                <w:sz w:val="20"/>
                <w:szCs w:val="20"/>
                <w:lang w:eastAsia="zh-CN"/>
              </w:rPr>
              <w:t>7.4</w:t>
            </w:r>
          </w:p>
        </w:tc>
      </w:tr>
      <w:tr w:rsidR="00685BE5" w:rsidRPr="00EC6D3A" w:rsidTr="00592921">
        <w:tc>
          <w:tcPr>
            <w:tcW w:w="5260" w:type="dxa"/>
            <w:tcBorders>
              <w:top w:val="single" w:sz="4" w:space="0" w:color="auto"/>
              <w:left w:val="nil"/>
              <w:bottom w:val="single" w:sz="4" w:space="0" w:color="auto"/>
              <w:right w:val="nil"/>
            </w:tcBorders>
            <w:shd w:val="clear" w:color="auto" w:fill="auto"/>
            <w:noWrap/>
            <w:vAlign w:val="center"/>
          </w:tcPr>
          <w:p w:rsidR="00685BE5" w:rsidRPr="00EC6D3A" w:rsidRDefault="00685BE5" w:rsidP="00EC6D3A">
            <w:pPr>
              <w:spacing w:before="20" w:after="20"/>
              <w:rPr>
                <w:b/>
                <w:sz w:val="20"/>
                <w:szCs w:val="20"/>
                <w:lang w:eastAsia="zh-CN"/>
              </w:rPr>
            </w:pPr>
            <w:r w:rsidRPr="00EC6D3A">
              <w:rPr>
                <w:b/>
                <w:sz w:val="20"/>
                <w:szCs w:val="20"/>
                <w:lang w:eastAsia="zh-CN"/>
              </w:rPr>
              <w:t>Total (N=272)</w:t>
            </w:r>
          </w:p>
        </w:tc>
        <w:tc>
          <w:tcPr>
            <w:tcW w:w="992" w:type="dxa"/>
            <w:tcBorders>
              <w:top w:val="single" w:sz="4" w:space="0" w:color="auto"/>
              <w:left w:val="nil"/>
              <w:bottom w:val="single" w:sz="4" w:space="0" w:color="auto"/>
              <w:right w:val="nil"/>
            </w:tcBorders>
            <w:shd w:val="clear" w:color="auto" w:fill="auto"/>
            <w:noWrap/>
            <w:vAlign w:val="center"/>
          </w:tcPr>
          <w:p w:rsidR="00685BE5" w:rsidRPr="00EC6D3A" w:rsidRDefault="00685BE5" w:rsidP="00EC6D3A">
            <w:pPr>
              <w:spacing w:before="20" w:after="20"/>
              <w:rPr>
                <w:b/>
                <w:sz w:val="20"/>
                <w:szCs w:val="20"/>
                <w:lang w:eastAsia="zh-CN"/>
              </w:rPr>
            </w:pPr>
          </w:p>
        </w:tc>
      </w:tr>
    </w:tbl>
    <w:p w:rsidR="00685BE5" w:rsidRDefault="00685BE5" w:rsidP="00D53B5C">
      <w:pPr>
        <w:pStyle w:val="NILSReference"/>
        <w:rPr>
          <w:rFonts w:eastAsia="SimHei"/>
        </w:rPr>
      </w:pPr>
      <w:r w:rsidRPr="00D53B5C">
        <w:rPr>
          <w:rFonts w:eastAsia="SimHei"/>
        </w:rPr>
        <w:t>Source</w:t>
      </w:r>
      <w:r>
        <w:rPr>
          <w:rFonts w:eastAsia="SimHei"/>
        </w:rPr>
        <w:t xml:space="preserve">: </w:t>
      </w:r>
      <w:r w:rsidRPr="00AB33E3">
        <w:rPr>
          <w:rFonts w:eastAsia="SimHei"/>
        </w:rPr>
        <w:t>2014 NDIS self-employed DSP survey</w:t>
      </w:r>
      <w:r>
        <w:rPr>
          <w:rFonts w:eastAsia="SimHei"/>
        </w:rPr>
        <w:t>, Question C3</w:t>
      </w:r>
      <w:r w:rsidRPr="00AB33E3">
        <w:rPr>
          <w:rFonts w:eastAsia="SimHei"/>
        </w:rPr>
        <w:t>.</w:t>
      </w:r>
    </w:p>
    <w:p w:rsidR="00685BE5" w:rsidRPr="00AB33E3" w:rsidRDefault="00685BE5" w:rsidP="00D53B5C">
      <w:pPr>
        <w:pStyle w:val="NILSReference"/>
        <w:rPr>
          <w:rFonts w:eastAsia="SimHei"/>
        </w:rPr>
      </w:pPr>
      <w:r>
        <w:rPr>
          <w:rFonts w:eastAsia="SimHei"/>
        </w:rPr>
        <w:t xml:space="preserve">Note: </w:t>
      </w:r>
      <w:r w:rsidRPr="007D2274">
        <w:rPr>
          <w:rFonts w:eastAsia="SimHei"/>
        </w:rPr>
        <w:t>Multiple responses allowed, rows will not sum to 100.</w:t>
      </w:r>
    </w:p>
    <w:p w:rsidR="00B92687" w:rsidRDefault="00B92687" w:rsidP="00AE4C3A">
      <w:pPr>
        <w:rPr>
          <w:rFonts w:eastAsia="SimHei" w:cs="Calibri"/>
        </w:rPr>
      </w:pPr>
    </w:p>
    <w:p w:rsidR="00685BE5" w:rsidRPr="00AB33E3" w:rsidRDefault="00685BE5" w:rsidP="00AE4C3A">
      <w:r w:rsidRPr="00AB33E3">
        <w:rPr>
          <w:rFonts w:eastAsia="SimHei" w:cs="Calibri"/>
        </w:rPr>
        <w:lastRenderedPageBreak/>
        <w:t xml:space="preserve">Even more than </w:t>
      </w:r>
      <w:r>
        <w:rPr>
          <w:rFonts w:eastAsia="SimHei" w:cs="Calibri"/>
        </w:rPr>
        <w:t xml:space="preserve">was the case for </w:t>
      </w:r>
      <w:r w:rsidRPr="00AB33E3">
        <w:rPr>
          <w:rFonts w:eastAsia="SimHei" w:cs="Calibri"/>
        </w:rPr>
        <w:t>employees</w:t>
      </w:r>
      <w:r>
        <w:rPr>
          <w:rFonts w:eastAsia="SimHei" w:cs="Calibri"/>
        </w:rPr>
        <w:t xml:space="preserve"> (shown earlier in Table 4.40)</w:t>
      </w:r>
      <w:r w:rsidRPr="00AB33E3">
        <w:rPr>
          <w:rFonts w:eastAsia="SimHei" w:cs="Calibri"/>
        </w:rPr>
        <w:t xml:space="preserve">, Table </w:t>
      </w:r>
      <w:r>
        <w:rPr>
          <w:rFonts w:eastAsia="SimHei" w:cs="Calibri"/>
        </w:rPr>
        <w:t>4.59</w:t>
      </w:r>
      <w:r w:rsidRPr="00AB33E3">
        <w:rPr>
          <w:rFonts w:eastAsia="SimHei" w:cs="Calibri"/>
        </w:rPr>
        <w:t xml:space="preserve"> shows that the </w:t>
      </w:r>
      <w:r w:rsidRPr="00AB33E3">
        <w:t xml:space="preserve">self-employed </w:t>
      </w:r>
      <w:r>
        <w:t>we</w:t>
      </w:r>
      <w:r w:rsidRPr="00AB33E3">
        <w:t>re highly satisfied with the work that they d</w:t>
      </w:r>
      <w:r>
        <w:t>id</w:t>
      </w:r>
      <w:r w:rsidRPr="00AB33E3">
        <w:t xml:space="preserve"> and the sense of achievement it </w:t>
      </w:r>
      <w:r>
        <w:t>brought</w:t>
      </w:r>
      <w:r w:rsidRPr="00AB33E3">
        <w:t xml:space="preserve">. The self-employed providers </w:t>
      </w:r>
      <w:r>
        <w:t>we</w:t>
      </w:r>
      <w:r w:rsidRPr="00AB33E3">
        <w:t xml:space="preserve">re also very satisfied with the match between </w:t>
      </w:r>
      <w:r>
        <w:t xml:space="preserve">the </w:t>
      </w:r>
      <w:r w:rsidRPr="00AB33E3">
        <w:t xml:space="preserve">work </w:t>
      </w:r>
      <w:r>
        <w:t xml:space="preserve">they did </w:t>
      </w:r>
      <w:r w:rsidRPr="00AB33E3">
        <w:t xml:space="preserve">and </w:t>
      </w:r>
      <w:r>
        <w:t xml:space="preserve">their </w:t>
      </w:r>
      <w:r w:rsidRPr="00AB33E3">
        <w:t xml:space="preserve">qualifications. As with employees, </w:t>
      </w:r>
      <w:r>
        <w:t>t</w:t>
      </w:r>
      <w:r w:rsidRPr="00AB33E3">
        <w:t xml:space="preserve">hey </w:t>
      </w:r>
      <w:r>
        <w:t>we</w:t>
      </w:r>
      <w:r w:rsidRPr="00AB33E3">
        <w:t>re relatively less satisfied with their income and the level of support they receive</w:t>
      </w:r>
      <w:r>
        <w:t>d</w:t>
      </w:r>
      <w:r w:rsidRPr="00AB33E3">
        <w:t xml:space="preserve"> at work. </w:t>
      </w:r>
      <w:r>
        <w:t>D</w:t>
      </w:r>
      <w:r w:rsidRPr="00AB33E3">
        <w:t xml:space="preserve">espite the higher levels of part-time </w:t>
      </w:r>
      <w:r>
        <w:t>work</w:t>
      </w:r>
      <w:r w:rsidRPr="00AB33E3">
        <w:t xml:space="preserve"> in this group, they </w:t>
      </w:r>
      <w:r>
        <w:t>we</w:t>
      </w:r>
      <w:r w:rsidRPr="00AB33E3">
        <w:t>re less satisfied than employees with the hours that they work</w:t>
      </w:r>
      <w:r>
        <w:t>ed</w:t>
      </w:r>
      <w:r w:rsidRPr="00AB33E3">
        <w:t xml:space="preserve">. </w:t>
      </w:r>
      <w:r>
        <w:t>One possible explanation is that they would like to be working more hours, which would suggest that there was a degree of underemployment (that is, self-employed would like to work and get paid for more hours than they currently do). Further analysis will be needed to unpack this relationship.</w:t>
      </w:r>
    </w:p>
    <w:p w:rsidR="00B92687" w:rsidRDefault="00B92687" w:rsidP="00AE4C3A">
      <w:pPr>
        <w:contextualSpacing/>
        <w:rPr>
          <w:rFonts w:ascii="Calibri" w:eastAsia="Calibri" w:hAnsi="Calibri" w:cs="Times New Roman"/>
        </w:rPr>
      </w:pPr>
    </w:p>
    <w:p w:rsidR="00685BE5" w:rsidRPr="00AB33E3" w:rsidRDefault="00685BE5" w:rsidP="00AE4C3A">
      <w:pPr>
        <w:contextualSpacing/>
        <w:rPr>
          <w:rFonts w:ascii="Calibri" w:eastAsia="Calibri" w:hAnsi="Calibri" w:cs="Times New Roman"/>
        </w:rPr>
      </w:pPr>
      <w:r w:rsidRPr="00AB33E3">
        <w:rPr>
          <w:rFonts w:ascii="Calibri" w:eastAsia="Calibri" w:hAnsi="Calibri" w:cs="Times New Roman"/>
        </w:rPr>
        <w:t xml:space="preserve">The self-employed </w:t>
      </w:r>
      <w:r>
        <w:rPr>
          <w:rFonts w:ascii="Calibri" w:eastAsia="Calibri" w:hAnsi="Calibri" w:cs="Times New Roman"/>
        </w:rPr>
        <w:t>we</w:t>
      </w:r>
      <w:r w:rsidRPr="00AB33E3">
        <w:rPr>
          <w:rFonts w:ascii="Calibri" w:eastAsia="Calibri" w:hAnsi="Calibri" w:cs="Times New Roman"/>
        </w:rPr>
        <w:t xml:space="preserve">re reasonably satisfied with </w:t>
      </w:r>
      <w:r>
        <w:rPr>
          <w:rFonts w:ascii="Calibri" w:eastAsia="Calibri" w:hAnsi="Calibri" w:cs="Times New Roman"/>
        </w:rPr>
        <w:t>most</w:t>
      </w:r>
      <w:r w:rsidRPr="00AB33E3">
        <w:rPr>
          <w:rFonts w:ascii="Calibri" w:eastAsia="Calibri" w:hAnsi="Calibri" w:cs="Times New Roman"/>
        </w:rPr>
        <w:t xml:space="preserve"> facets of the</w:t>
      </w:r>
      <w:r>
        <w:rPr>
          <w:rFonts w:ascii="Calibri" w:eastAsia="Calibri" w:hAnsi="Calibri" w:cs="Times New Roman"/>
        </w:rPr>
        <w:t>ir</w:t>
      </w:r>
      <w:r w:rsidRPr="00AB33E3">
        <w:rPr>
          <w:rFonts w:ascii="Calibri" w:eastAsia="Calibri" w:hAnsi="Calibri" w:cs="Times New Roman"/>
        </w:rPr>
        <w:t xml:space="preserve"> job</w:t>
      </w:r>
      <w:r>
        <w:rPr>
          <w:rFonts w:ascii="Calibri" w:eastAsia="Calibri" w:hAnsi="Calibri" w:cs="Times New Roman"/>
        </w:rPr>
        <w:t>s</w:t>
      </w:r>
      <w:r w:rsidRPr="00AB33E3">
        <w:rPr>
          <w:rFonts w:ascii="Calibri" w:eastAsia="Calibri" w:hAnsi="Calibri" w:cs="Times New Roman"/>
        </w:rPr>
        <w:t xml:space="preserve">, though a significant proportion of them (17 per cent) </w:t>
      </w:r>
      <w:r>
        <w:rPr>
          <w:rFonts w:ascii="Calibri" w:eastAsia="Calibri" w:hAnsi="Calibri" w:cs="Times New Roman"/>
        </w:rPr>
        <w:t>we</w:t>
      </w:r>
      <w:r w:rsidRPr="00AB33E3">
        <w:rPr>
          <w:rFonts w:ascii="Calibri" w:eastAsia="Calibri" w:hAnsi="Calibri" w:cs="Times New Roman"/>
        </w:rPr>
        <w:t>re not satisfied with flexibility available to balance work and non-work commitments.</w:t>
      </w:r>
    </w:p>
    <w:p w:rsidR="00685BE5" w:rsidRDefault="00685BE5">
      <w:pPr>
        <w:rPr>
          <w:b/>
          <w:sz w:val="20"/>
        </w:rPr>
      </w:pPr>
    </w:p>
    <w:p w:rsidR="00685BE5" w:rsidRPr="00BA3D07" w:rsidRDefault="00685BE5" w:rsidP="0044684E">
      <w:pPr>
        <w:pStyle w:val="NILSTableHeading"/>
        <w:rPr>
          <w:lang w:val="en-AU"/>
        </w:rPr>
      </w:pPr>
      <w:bookmarkStart w:id="738" w:name="_Toc428279266"/>
      <w:bookmarkStart w:id="739" w:name="_Toc449955397"/>
      <w:r>
        <w:t>Table 4.59</w:t>
      </w:r>
      <w:r w:rsidRPr="00AB33E3">
        <w:t xml:space="preserve">: Job satisfaction </w:t>
      </w:r>
      <w:r>
        <w:t xml:space="preserve">of self-employed providers </w:t>
      </w:r>
      <w:r w:rsidR="00BA3D07">
        <w:rPr>
          <w:lang w:val="en-AU"/>
        </w:rPr>
        <w:t>[</w:t>
      </w:r>
      <w:r w:rsidR="00043330">
        <w:t>1</w:t>
      </w:r>
      <w:r w:rsidR="00043330">
        <w:rPr>
          <w:lang w:val="en-AU"/>
        </w:rPr>
        <w:t xml:space="preserve"> to </w:t>
      </w:r>
      <w:r w:rsidRPr="00AB33E3">
        <w:t>10 dissatisfied/satisfied</w:t>
      </w:r>
      <w:r w:rsidR="00BA3D07">
        <w:rPr>
          <w:lang w:val="en-AU"/>
        </w:rPr>
        <w:t xml:space="preserve"> </w:t>
      </w:r>
      <w:r w:rsidRPr="00AB33E3">
        <w:t>scaling</w:t>
      </w:r>
      <w:bookmarkEnd w:id="738"/>
      <w:r w:rsidR="00BA3D07">
        <w:rPr>
          <w:lang w:val="en-AU"/>
        </w:rPr>
        <w:t>] (per cent)</w:t>
      </w:r>
      <w:bookmarkEnd w:id="739"/>
    </w:p>
    <w:tbl>
      <w:tblPr>
        <w:tblW w:w="9242" w:type="dxa"/>
        <w:tblInd w:w="-34" w:type="dxa"/>
        <w:tblLook w:val="04A0" w:firstRow="1" w:lastRow="0" w:firstColumn="1" w:lastColumn="0" w:noHBand="0" w:noVBand="1"/>
        <w:tblCaption w:val="Table 4.59 Job satisfaction of self-employed providers (per cent)"/>
        <w:tblDescription w:val="This table shows results of responses by self-employed providers on job satisfaction. Scaling is from 1 to 4 dissatisfied, 5 to 6 neither satisfied nor dissatisfied and 7 to 10 satisfied.  Column 6 is the mean."/>
      </w:tblPr>
      <w:tblGrid>
        <w:gridCol w:w="4602"/>
        <w:gridCol w:w="1094"/>
        <w:gridCol w:w="848"/>
        <w:gridCol w:w="872"/>
        <w:gridCol w:w="1133"/>
        <w:gridCol w:w="718"/>
      </w:tblGrid>
      <w:tr w:rsidR="00685BE5" w:rsidRPr="00EC6D3A" w:rsidTr="00941152">
        <w:trPr>
          <w:tblHeader/>
        </w:trPr>
        <w:tc>
          <w:tcPr>
            <w:tcW w:w="4602" w:type="dxa"/>
            <w:tcBorders>
              <w:top w:val="single" w:sz="4" w:space="0" w:color="auto"/>
              <w:left w:val="nil"/>
              <w:bottom w:val="single" w:sz="4" w:space="0" w:color="auto"/>
              <w:right w:val="nil"/>
            </w:tcBorders>
            <w:shd w:val="clear" w:color="auto" w:fill="auto"/>
            <w:noWrap/>
            <w:hideMark/>
          </w:tcPr>
          <w:p w:rsidR="00685BE5" w:rsidRPr="00EC6D3A" w:rsidRDefault="00685BE5" w:rsidP="00EC6D3A">
            <w:pPr>
              <w:spacing w:before="16" w:after="16"/>
              <w:rPr>
                <w:sz w:val="19"/>
                <w:szCs w:val="19"/>
                <w:lang w:eastAsia="zh-CN"/>
              </w:rPr>
            </w:pPr>
            <w:bookmarkStart w:id="740" w:name="Title_4_59"/>
            <w:bookmarkEnd w:id="740"/>
          </w:p>
        </w:tc>
        <w:tc>
          <w:tcPr>
            <w:tcW w:w="1069" w:type="dxa"/>
            <w:tcBorders>
              <w:top w:val="single" w:sz="4" w:space="0" w:color="auto"/>
              <w:left w:val="nil"/>
              <w:bottom w:val="single" w:sz="4" w:space="0" w:color="auto"/>
              <w:right w:val="nil"/>
            </w:tcBorders>
            <w:shd w:val="clear" w:color="auto" w:fill="auto"/>
            <w:noWrap/>
            <w:vAlign w:val="bottom"/>
            <w:hideMark/>
          </w:tcPr>
          <w:p w:rsidR="0051679D" w:rsidRPr="00EC6D3A" w:rsidRDefault="00941152" w:rsidP="00FE5373">
            <w:pPr>
              <w:spacing w:before="16" w:after="16"/>
              <w:jc w:val="center"/>
              <w:rPr>
                <w:sz w:val="19"/>
                <w:szCs w:val="19"/>
                <w:lang w:eastAsia="zh-CN"/>
              </w:rPr>
            </w:pPr>
            <w:r>
              <w:rPr>
                <w:sz w:val="19"/>
                <w:szCs w:val="19"/>
                <w:lang w:eastAsia="zh-CN"/>
              </w:rPr>
              <w:t xml:space="preserve">Dissatisfied 1 to </w:t>
            </w:r>
            <w:r w:rsidR="00685BE5" w:rsidRPr="00EC6D3A">
              <w:rPr>
                <w:sz w:val="19"/>
                <w:szCs w:val="19"/>
                <w:lang w:eastAsia="zh-CN"/>
              </w:rPr>
              <w:t>4</w:t>
            </w:r>
          </w:p>
        </w:tc>
        <w:tc>
          <w:tcPr>
            <w:tcW w:w="848" w:type="dxa"/>
            <w:tcBorders>
              <w:top w:val="single" w:sz="4" w:space="0" w:color="auto"/>
              <w:left w:val="nil"/>
              <w:bottom w:val="single" w:sz="4" w:space="0" w:color="auto"/>
              <w:right w:val="nil"/>
            </w:tcBorders>
            <w:shd w:val="clear" w:color="auto" w:fill="auto"/>
            <w:noWrap/>
            <w:vAlign w:val="bottom"/>
            <w:hideMark/>
          </w:tcPr>
          <w:p w:rsidR="0051679D" w:rsidRPr="00EC6D3A" w:rsidRDefault="00685BE5" w:rsidP="00941152">
            <w:pPr>
              <w:spacing w:before="16" w:after="16"/>
              <w:jc w:val="center"/>
              <w:rPr>
                <w:sz w:val="19"/>
                <w:szCs w:val="19"/>
                <w:lang w:eastAsia="zh-CN"/>
              </w:rPr>
            </w:pPr>
            <w:r w:rsidRPr="00EC6D3A">
              <w:rPr>
                <w:sz w:val="19"/>
                <w:szCs w:val="19"/>
                <w:lang w:eastAsia="zh-CN"/>
              </w:rPr>
              <w:t>5</w:t>
            </w:r>
            <w:r w:rsidR="00941152">
              <w:rPr>
                <w:sz w:val="19"/>
                <w:szCs w:val="19"/>
                <w:lang w:eastAsia="zh-CN"/>
              </w:rPr>
              <w:t xml:space="preserve"> to </w:t>
            </w:r>
            <w:r w:rsidRPr="00EC6D3A">
              <w:rPr>
                <w:sz w:val="19"/>
                <w:szCs w:val="19"/>
                <w:lang w:eastAsia="zh-CN"/>
              </w:rPr>
              <w:t>6</w:t>
            </w:r>
          </w:p>
        </w:tc>
        <w:tc>
          <w:tcPr>
            <w:tcW w:w="872" w:type="dxa"/>
            <w:tcBorders>
              <w:top w:val="single" w:sz="4" w:space="0" w:color="auto"/>
              <w:left w:val="nil"/>
              <w:bottom w:val="single" w:sz="4" w:space="0" w:color="auto"/>
              <w:right w:val="nil"/>
            </w:tcBorders>
            <w:shd w:val="clear" w:color="auto" w:fill="auto"/>
            <w:noWrap/>
            <w:vAlign w:val="bottom"/>
            <w:hideMark/>
          </w:tcPr>
          <w:p w:rsidR="0051679D" w:rsidRPr="00EC6D3A" w:rsidRDefault="00685BE5" w:rsidP="00941152">
            <w:pPr>
              <w:spacing w:before="16" w:after="16"/>
              <w:jc w:val="center"/>
              <w:rPr>
                <w:sz w:val="19"/>
                <w:szCs w:val="19"/>
                <w:lang w:eastAsia="zh-CN"/>
              </w:rPr>
            </w:pPr>
            <w:r w:rsidRPr="00EC6D3A">
              <w:rPr>
                <w:sz w:val="19"/>
                <w:szCs w:val="19"/>
                <w:lang w:eastAsia="zh-CN"/>
              </w:rPr>
              <w:t>Satisfied 7</w:t>
            </w:r>
            <w:r w:rsidR="00941152">
              <w:rPr>
                <w:sz w:val="19"/>
                <w:szCs w:val="19"/>
                <w:lang w:eastAsia="zh-CN"/>
              </w:rPr>
              <w:t xml:space="preserve"> to </w:t>
            </w:r>
            <w:r w:rsidRPr="00EC6D3A">
              <w:rPr>
                <w:sz w:val="19"/>
                <w:szCs w:val="19"/>
                <w:lang w:eastAsia="zh-CN"/>
              </w:rPr>
              <w:t>10</w:t>
            </w:r>
          </w:p>
        </w:tc>
        <w:tc>
          <w:tcPr>
            <w:tcW w:w="1133" w:type="dxa"/>
            <w:tcBorders>
              <w:top w:val="single" w:sz="4" w:space="0" w:color="auto"/>
              <w:left w:val="nil"/>
              <w:bottom w:val="single" w:sz="4" w:space="0" w:color="auto"/>
              <w:right w:val="nil"/>
            </w:tcBorders>
            <w:shd w:val="clear" w:color="auto" w:fill="auto"/>
            <w:noWrap/>
            <w:vAlign w:val="bottom"/>
            <w:hideMark/>
          </w:tcPr>
          <w:p w:rsidR="0051679D" w:rsidRPr="00EC6D3A" w:rsidRDefault="00685BE5" w:rsidP="00FE5373">
            <w:pPr>
              <w:spacing w:before="16" w:after="16"/>
              <w:ind w:left="-127" w:right="-90"/>
              <w:jc w:val="center"/>
              <w:rPr>
                <w:sz w:val="19"/>
                <w:szCs w:val="19"/>
                <w:lang w:eastAsia="zh-CN"/>
              </w:rPr>
            </w:pPr>
            <w:r w:rsidRPr="00EC6D3A">
              <w:rPr>
                <w:sz w:val="19"/>
                <w:szCs w:val="19"/>
                <w:lang w:eastAsia="zh-CN"/>
              </w:rPr>
              <w:t>Question not answered</w:t>
            </w:r>
          </w:p>
        </w:tc>
        <w:tc>
          <w:tcPr>
            <w:tcW w:w="718" w:type="dxa"/>
            <w:tcBorders>
              <w:top w:val="single" w:sz="4" w:space="0" w:color="auto"/>
              <w:left w:val="nil"/>
              <w:bottom w:val="single" w:sz="4" w:space="0" w:color="auto"/>
              <w:right w:val="nil"/>
            </w:tcBorders>
            <w:shd w:val="clear" w:color="auto" w:fill="auto"/>
            <w:noWrap/>
            <w:vAlign w:val="bottom"/>
            <w:hideMark/>
          </w:tcPr>
          <w:p w:rsidR="0051679D" w:rsidRPr="00EC6D3A" w:rsidRDefault="00685BE5" w:rsidP="00FE5373">
            <w:pPr>
              <w:spacing w:before="16" w:after="16"/>
              <w:jc w:val="center"/>
              <w:rPr>
                <w:sz w:val="19"/>
                <w:szCs w:val="19"/>
                <w:lang w:eastAsia="zh-CN"/>
              </w:rPr>
            </w:pPr>
            <w:r w:rsidRPr="00EC6D3A">
              <w:rPr>
                <w:sz w:val="19"/>
                <w:szCs w:val="19"/>
                <w:lang w:eastAsia="zh-CN"/>
              </w:rPr>
              <w:t>Mean</w:t>
            </w:r>
          </w:p>
        </w:tc>
      </w:tr>
      <w:tr w:rsidR="00685BE5" w:rsidRPr="00EC6D3A" w:rsidTr="00941152">
        <w:tc>
          <w:tcPr>
            <w:tcW w:w="4602" w:type="dxa"/>
            <w:tcBorders>
              <w:top w:val="single" w:sz="4" w:space="0" w:color="auto"/>
              <w:left w:val="nil"/>
              <w:bottom w:val="nil"/>
              <w:right w:val="nil"/>
            </w:tcBorders>
            <w:shd w:val="clear" w:color="auto" w:fill="auto"/>
            <w:noWrap/>
            <w:vAlign w:val="center"/>
            <w:hideMark/>
          </w:tcPr>
          <w:p w:rsidR="00685BE5" w:rsidRPr="00EC6D3A" w:rsidRDefault="00685BE5" w:rsidP="00EC6D3A">
            <w:pPr>
              <w:spacing w:before="16" w:after="16"/>
              <w:rPr>
                <w:sz w:val="19"/>
                <w:szCs w:val="19"/>
                <w:lang w:eastAsia="zh-CN"/>
              </w:rPr>
            </w:pPr>
            <w:r w:rsidRPr="00EC6D3A">
              <w:rPr>
                <w:sz w:val="19"/>
                <w:szCs w:val="19"/>
                <w:lang w:eastAsia="zh-CN"/>
              </w:rPr>
              <w:t>The sense of achievement you get from your work</w:t>
            </w:r>
          </w:p>
        </w:tc>
        <w:tc>
          <w:tcPr>
            <w:tcW w:w="1069" w:type="dxa"/>
            <w:tcBorders>
              <w:top w:val="single" w:sz="4" w:space="0" w:color="auto"/>
              <w:left w:val="nil"/>
              <w:bottom w:val="nil"/>
              <w:right w:val="nil"/>
            </w:tcBorders>
            <w:shd w:val="clear" w:color="auto" w:fill="auto"/>
            <w:noWrap/>
            <w:vAlign w:val="center"/>
            <w:hideMark/>
          </w:tcPr>
          <w:p w:rsidR="00685BE5" w:rsidRPr="00EC6D3A" w:rsidRDefault="00685BE5" w:rsidP="00592921">
            <w:pPr>
              <w:tabs>
                <w:tab w:val="decimal" w:pos="535"/>
              </w:tabs>
              <w:spacing w:before="16" w:after="16"/>
              <w:rPr>
                <w:sz w:val="19"/>
                <w:szCs w:val="19"/>
                <w:lang w:eastAsia="zh-CN"/>
              </w:rPr>
            </w:pPr>
            <w:r w:rsidRPr="00EC6D3A">
              <w:rPr>
                <w:sz w:val="19"/>
                <w:szCs w:val="19"/>
                <w:lang w:eastAsia="zh-CN"/>
              </w:rPr>
              <w:t>1.1</w:t>
            </w:r>
          </w:p>
        </w:tc>
        <w:tc>
          <w:tcPr>
            <w:tcW w:w="848" w:type="dxa"/>
            <w:tcBorders>
              <w:top w:val="single" w:sz="4" w:space="0" w:color="auto"/>
              <w:left w:val="nil"/>
              <w:bottom w:val="nil"/>
              <w:right w:val="nil"/>
            </w:tcBorders>
            <w:shd w:val="clear" w:color="auto" w:fill="auto"/>
            <w:noWrap/>
            <w:vAlign w:val="center"/>
            <w:hideMark/>
          </w:tcPr>
          <w:p w:rsidR="00685BE5" w:rsidRPr="00EC6D3A" w:rsidRDefault="00685BE5" w:rsidP="00EC6D3A">
            <w:pPr>
              <w:tabs>
                <w:tab w:val="decimal" w:pos="312"/>
              </w:tabs>
              <w:spacing w:before="16" w:after="16"/>
              <w:rPr>
                <w:sz w:val="19"/>
                <w:szCs w:val="19"/>
                <w:lang w:eastAsia="zh-CN"/>
              </w:rPr>
            </w:pPr>
            <w:r w:rsidRPr="00EC6D3A">
              <w:rPr>
                <w:sz w:val="19"/>
                <w:szCs w:val="19"/>
                <w:lang w:eastAsia="zh-CN"/>
              </w:rPr>
              <w:t>4.8</w:t>
            </w:r>
          </w:p>
        </w:tc>
        <w:tc>
          <w:tcPr>
            <w:tcW w:w="872" w:type="dxa"/>
            <w:tcBorders>
              <w:top w:val="single" w:sz="4" w:space="0" w:color="auto"/>
              <w:left w:val="nil"/>
              <w:bottom w:val="nil"/>
              <w:right w:val="nil"/>
            </w:tcBorders>
            <w:shd w:val="clear" w:color="auto" w:fill="auto"/>
            <w:noWrap/>
            <w:vAlign w:val="center"/>
            <w:hideMark/>
          </w:tcPr>
          <w:p w:rsidR="00685BE5" w:rsidRPr="00EC6D3A" w:rsidRDefault="00685BE5" w:rsidP="00EC6D3A">
            <w:pPr>
              <w:tabs>
                <w:tab w:val="decimal" w:pos="453"/>
              </w:tabs>
              <w:spacing w:before="16" w:after="16"/>
              <w:rPr>
                <w:sz w:val="19"/>
                <w:szCs w:val="19"/>
                <w:lang w:eastAsia="zh-CN"/>
              </w:rPr>
            </w:pPr>
            <w:r w:rsidRPr="00EC6D3A">
              <w:rPr>
                <w:sz w:val="19"/>
                <w:szCs w:val="19"/>
                <w:lang w:eastAsia="zh-CN"/>
              </w:rPr>
              <w:t>93.4</w:t>
            </w:r>
          </w:p>
        </w:tc>
        <w:tc>
          <w:tcPr>
            <w:tcW w:w="1133" w:type="dxa"/>
            <w:tcBorders>
              <w:top w:val="single" w:sz="4" w:space="0" w:color="auto"/>
              <w:left w:val="nil"/>
              <w:bottom w:val="nil"/>
              <w:right w:val="nil"/>
            </w:tcBorders>
            <w:shd w:val="clear" w:color="auto" w:fill="auto"/>
            <w:noWrap/>
            <w:vAlign w:val="center"/>
            <w:hideMark/>
          </w:tcPr>
          <w:p w:rsidR="00685BE5" w:rsidRPr="00EC6D3A" w:rsidRDefault="00685BE5" w:rsidP="00EC6D3A">
            <w:pPr>
              <w:tabs>
                <w:tab w:val="decimal" w:pos="459"/>
              </w:tabs>
              <w:spacing w:before="16" w:after="16"/>
              <w:rPr>
                <w:sz w:val="19"/>
                <w:szCs w:val="19"/>
                <w:lang w:eastAsia="zh-CN"/>
              </w:rPr>
            </w:pPr>
            <w:r w:rsidRPr="00EC6D3A">
              <w:rPr>
                <w:sz w:val="19"/>
                <w:szCs w:val="19"/>
                <w:lang w:eastAsia="zh-CN"/>
              </w:rPr>
              <w:t>0.7</w:t>
            </w:r>
          </w:p>
        </w:tc>
        <w:tc>
          <w:tcPr>
            <w:tcW w:w="718" w:type="dxa"/>
            <w:tcBorders>
              <w:top w:val="single" w:sz="4" w:space="0" w:color="auto"/>
              <w:left w:val="nil"/>
              <w:bottom w:val="nil"/>
              <w:right w:val="nil"/>
            </w:tcBorders>
            <w:shd w:val="clear" w:color="auto" w:fill="auto"/>
            <w:noWrap/>
            <w:vAlign w:val="bottom"/>
            <w:hideMark/>
          </w:tcPr>
          <w:p w:rsidR="00685BE5" w:rsidRPr="00EC6D3A" w:rsidRDefault="00685BE5" w:rsidP="00EC6D3A">
            <w:pPr>
              <w:tabs>
                <w:tab w:val="decimal" w:pos="317"/>
              </w:tabs>
              <w:spacing w:before="16" w:after="16"/>
              <w:rPr>
                <w:sz w:val="19"/>
                <w:szCs w:val="19"/>
                <w:lang w:eastAsia="zh-CN"/>
              </w:rPr>
            </w:pPr>
            <w:r w:rsidRPr="00EC6D3A">
              <w:rPr>
                <w:sz w:val="19"/>
                <w:szCs w:val="19"/>
                <w:lang w:eastAsia="zh-CN"/>
              </w:rPr>
              <w:t>8.5</w:t>
            </w:r>
          </w:p>
        </w:tc>
      </w:tr>
      <w:tr w:rsidR="00685BE5" w:rsidRPr="00EC6D3A" w:rsidTr="00941152">
        <w:tc>
          <w:tcPr>
            <w:tcW w:w="4602" w:type="dxa"/>
            <w:tcBorders>
              <w:top w:val="nil"/>
              <w:left w:val="nil"/>
              <w:bottom w:val="nil"/>
              <w:right w:val="nil"/>
            </w:tcBorders>
            <w:shd w:val="clear" w:color="auto" w:fill="auto"/>
            <w:noWrap/>
            <w:vAlign w:val="center"/>
            <w:hideMark/>
          </w:tcPr>
          <w:p w:rsidR="00685BE5" w:rsidRPr="00EC6D3A" w:rsidRDefault="00685BE5" w:rsidP="00EC6D3A">
            <w:pPr>
              <w:spacing w:before="16" w:after="16"/>
              <w:rPr>
                <w:sz w:val="19"/>
                <w:szCs w:val="19"/>
                <w:lang w:eastAsia="zh-CN"/>
              </w:rPr>
            </w:pPr>
            <w:r w:rsidRPr="00EC6D3A">
              <w:rPr>
                <w:sz w:val="19"/>
                <w:szCs w:val="19"/>
                <w:lang w:eastAsia="zh-CN"/>
              </w:rPr>
              <w:t>Your income from doing this work</w:t>
            </w:r>
          </w:p>
        </w:tc>
        <w:tc>
          <w:tcPr>
            <w:tcW w:w="1069" w:type="dxa"/>
            <w:tcBorders>
              <w:top w:val="nil"/>
              <w:left w:val="nil"/>
              <w:bottom w:val="nil"/>
              <w:right w:val="nil"/>
            </w:tcBorders>
            <w:shd w:val="clear" w:color="auto" w:fill="auto"/>
            <w:noWrap/>
            <w:vAlign w:val="center"/>
            <w:hideMark/>
          </w:tcPr>
          <w:p w:rsidR="00685BE5" w:rsidRPr="00EC6D3A" w:rsidRDefault="00685BE5" w:rsidP="00592921">
            <w:pPr>
              <w:tabs>
                <w:tab w:val="decimal" w:pos="535"/>
              </w:tabs>
              <w:spacing w:before="16" w:after="16"/>
              <w:rPr>
                <w:sz w:val="19"/>
                <w:szCs w:val="19"/>
                <w:lang w:eastAsia="zh-CN"/>
              </w:rPr>
            </w:pPr>
            <w:r w:rsidRPr="00EC6D3A">
              <w:rPr>
                <w:sz w:val="19"/>
                <w:szCs w:val="19"/>
                <w:lang w:eastAsia="zh-CN"/>
              </w:rPr>
              <w:t>13.2</w:t>
            </w:r>
          </w:p>
        </w:tc>
        <w:tc>
          <w:tcPr>
            <w:tcW w:w="848" w:type="dxa"/>
            <w:tcBorders>
              <w:top w:val="nil"/>
              <w:left w:val="nil"/>
              <w:bottom w:val="nil"/>
              <w:right w:val="nil"/>
            </w:tcBorders>
            <w:shd w:val="clear" w:color="auto" w:fill="auto"/>
            <w:noWrap/>
            <w:vAlign w:val="center"/>
            <w:hideMark/>
          </w:tcPr>
          <w:p w:rsidR="00685BE5" w:rsidRPr="00EC6D3A" w:rsidRDefault="00685BE5" w:rsidP="00EC6D3A">
            <w:pPr>
              <w:tabs>
                <w:tab w:val="decimal" w:pos="312"/>
              </w:tabs>
              <w:spacing w:before="16" w:after="16"/>
              <w:rPr>
                <w:sz w:val="19"/>
                <w:szCs w:val="19"/>
                <w:lang w:eastAsia="zh-CN"/>
              </w:rPr>
            </w:pPr>
            <w:r w:rsidRPr="00EC6D3A">
              <w:rPr>
                <w:sz w:val="19"/>
                <w:szCs w:val="19"/>
                <w:lang w:eastAsia="zh-CN"/>
              </w:rPr>
              <w:t>23.9</w:t>
            </w:r>
          </w:p>
        </w:tc>
        <w:tc>
          <w:tcPr>
            <w:tcW w:w="872" w:type="dxa"/>
            <w:tcBorders>
              <w:top w:val="nil"/>
              <w:left w:val="nil"/>
              <w:bottom w:val="nil"/>
              <w:right w:val="nil"/>
            </w:tcBorders>
            <w:shd w:val="clear" w:color="auto" w:fill="auto"/>
            <w:noWrap/>
            <w:vAlign w:val="center"/>
            <w:hideMark/>
          </w:tcPr>
          <w:p w:rsidR="00685BE5" w:rsidRPr="00EC6D3A" w:rsidRDefault="00685BE5" w:rsidP="00EC6D3A">
            <w:pPr>
              <w:tabs>
                <w:tab w:val="decimal" w:pos="453"/>
              </w:tabs>
              <w:spacing w:before="16" w:after="16"/>
              <w:rPr>
                <w:sz w:val="19"/>
                <w:szCs w:val="19"/>
                <w:lang w:eastAsia="zh-CN"/>
              </w:rPr>
            </w:pPr>
            <w:r w:rsidRPr="00EC6D3A">
              <w:rPr>
                <w:sz w:val="19"/>
                <w:szCs w:val="19"/>
                <w:lang w:eastAsia="zh-CN"/>
              </w:rPr>
              <w:t>62.1</w:t>
            </w:r>
          </w:p>
        </w:tc>
        <w:tc>
          <w:tcPr>
            <w:tcW w:w="1133" w:type="dxa"/>
            <w:tcBorders>
              <w:top w:val="nil"/>
              <w:left w:val="nil"/>
              <w:bottom w:val="nil"/>
              <w:right w:val="nil"/>
            </w:tcBorders>
            <w:shd w:val="clear" w:color="auto" w:fill="auto"/>
            <w:noWrap/>
            <w:vAlign w:val="center"/>
            <w:hideMark/>
          </w:tcPr>
          <w:p w:rsidR="00685BE5" w:rsidRPr="00EC6D3A" w:rsidRDefault="00685BE5" w:rsidP="00EC6D3A">
            <w:pPr>
              <w:tabs>
                <w:tab w:val="decimal" w:pos="459"/>
              </w:tabs>
              <w:spacing w:before="16" w:after="16"/>
              <w:rPr>
                <w:sz w:val="19"/>
                <w:szCs w:val="19"/>
                <w:lang w:eastAsia="zh-CN"/>
              </w:rPr>
            </w:pPr>
            <w:r w:rsidRPr="00EC6D3A">
              <w:rPr>
                <w:sz w:val="19"/>
                <w:szCs w:val="19"/>
                <w:lang w:eastAsia="zh-CN"/>
              </w:rPr>
              <w:t>0.7</w:t>
            </w:r>
          </w:p>
        </w:tc>
        <w:tc>
          <w:tcPr>
            <w:tcW w:w="718" w:type="dxa"/>
            <w:tcBorders>
              <w:top w:val="nil"/>
              <w:left w:val="nil"/>
              <w:bottom w:val="nil"/>
              <w:right w:val="nil"/>
            </w:tcBorders>
            <w:shd w:val="clear" w:color="auto" w:fill="auto"/>
            <w:noWrap/>
            <w:vAlign w:val="bottom"/>
            <w:hideMark/>
          </w:tcPr>
          <w:p w:rsidR="00685BE5" w:rsidRPr="00EC6D3A" w:rsidRDefault="00685BE5" w:rsidP="00EC6D3A">
            <w:pPr>
              <w:tabs>
                <w:tab w:val="decimal" w:pos="317"/>
              </w:tabs>
              <w:spacing w:before="16" w:after="16"/>
              <w:rPr>
                <w:sz w:val="19"/>
                <w:szCs w:val="19"/>
                <w:lang w:eastAsia="zh-CN"/>
              </w:rPr>
            </w:pPr>
            <w:r w:rsidRPr="00EC6D3A">
              <w:rPr>
                <w:sz w:val="19"/>
                <w:szCs w:val="19"/>
                <w:lang w:eastAsia="zh-CN"/>
              </w:rPr>
              <w:t>6.8</w:t>
            </w:r>
          </w:p>
        </w:tc>
      </w:tr>
      <w:tr w:rsidR="00685BE5" w:rsidRPr="00EC6D3A" w:rsidTr="00941152">
        <w:tc>
          <w:tcPr>
            <w:tcW w:w="4602" w:type="dxa"/>
            <w:tcBorders>
              <w:top w:val="nil"/>
              <w:left w:val="nil"/>
              <w:bottom w:val="nil"/>
              <w:right w:val="nil"/>
            </w:tcBorders>
            <w:shd w:val="clear" w:color="auto" w:fill="auto"/>
            <w:noWrap/>
            <w:vAlign w:val="center"/>
            <w:hideMark/>
          </w:tcPr>
          <w:p w:rsidR="00685BE5" w:rsidRPr="00EC6D3A" w:rsidRDefault="00685BE5" w:rsidP="00EC6D3A">
            <w:pPr>
              <w:spacing w:before="16" w:after="16"/>
              <w:rPr>
                <w:sz w:val="19"/>
                <w:szCs w:val="19"/>
                <w:lang w:eastAsia="zh-CN"/>
              </w:rPr>
            </w:pPr>
            <w:r w:rsidRPr="00EC6D3A">
              <w:rPr>
                <w:sz w:val="19"/>
                <w:szCs w:val="19"/>
                <w:lang w:eastAsia="zh-CN"/>
              </w:rPr>
              <w:t>Your likelihood of having ongoing work</w:t>
            </w:r>
          </w:p>
        </w:tc>
        <w:tc>
          <w:tcPr>
            <w:tcW w:w="1069" w:type="dxa"/>
            <w:tcBorders>
              <w:top w:val="nil"/>
              <w:left w:val="nil"/>
              <w:bottom w:val="nil"/>
              <w:right w:val="nil"/>
            </w:tcBorders>
            <w:shd w:val="clear" w:color="auto" w:fill="auto"/>
            <w:noWrap/>
            <w:vAlign w:val="center"/>
            <w:hideMark/>
          </w:tcPr>
          <w:p w:rsidR="00685BE5" w:rsidRPr="00EC6D3A" w:rsidRDefault="00685BE5" w:rsidP="00592921">
            <w:pPr>
              <w:tabs>
                <w:tab w:val="decimal" w:pos="535"/>
              </w:tabs>
              <w:spacing w:before="16" w:after="16"/>
              <w:rPr>
                <w:sz w:val="19"/>
                <w:szCs w:val="19"/>
                <w:lang w:eastAsia="zh-CN"/>
              </w:rPr>
            </w:pPr>
            <w:r w:rsidRPr="00EC6D3A">
              <w:rPr>
                <w:sz w:val="19"/>
                <w:szCs w:val="19"/>
                <w:lang w:eastAsia="zh-CN"/>
              </w:rPr>
              <w:t>5.1</w:t>
            </w:r>
          </w:p>
        </w:tc>
        <w:tc>
          <w:tcPr>
            <w:tcW w:w="848" w:type="dxa"/>
            <w:tcBorders>
              <w:top w:val="nil"/>
              <w:left w:val="nil"/>
              <w:bottom w:val="nil"/>
              <w:right w:val="nil"/>
            </w:tcBorders>
            <w:shd w:val="clear" w:color="auto" w:fill="auto"/>
            <w:noWrap/>
            <w:vAlign w:val="center"/>
            <w:hideMark/>
          </w:tcPr>
          <w:p w:rsidR="00685BE5" w:rsidRPr="00EC6D3A" w:rsidRDefault="00685BE5" w:rsidP="00EC6D3A">
            <w:pPr>
              <w:tabs>
                <w:tab w:val="decimal" w:pos="312"/>
              </w:tabs>
              <w:spacing w:before="16" w:after="16"/>
              <w:rPr>
                <w:sz w:val="19"/>
                <w:szCs w:val="19"/>
                <w:lang w:eastAsia="zh-CN"/>
              </w:rPr>
            </w:pPr>
            <w:r w:rsidRPr="00EC6D3A">
              <w:rPr>
                <w:sz w:val="19"/>
                <w:szCs w:val="19"/>
                <w:lang w:eastAsia="zh-CN"/>
              </w:rPr>
              <w:t>16.9</w:t>
            </w:r>
          </w:p>
        </w:tc>
        <w:tc>
          <w:tcPr>
            <w:tcW w:w="872" w:type="dxa"/>
            <w:tcBorders>
              <w:top w:val="nil"/>
              <w:left w:val="nil"/>
              <w:bottom w:val="nil"/>
              <w:right w:val="nil"/>
            </w:tcBorders>
            <w:shd w:val="clear" w:color="auto" w:fill="auto"/>
            <w:noWrap/>
            <w:vAlign w:val="center"/>
            <w:hideMark/>
          </w:tcPr>
          <w:p w:rsidR="00685BE5" w:rsidRPr="00EC6D3A" w:rsidRDefault="00685BE5" w:rsidP="00EC6D3A">
            <w:pPr>
              <w:tabs>
                <w:tab w:val="decimal" w:pos="453"/>
              </w:tabs>
              <w:spacing w:before="16" w:after="16"/>
              <w:rPr>
                <w:sz w:val="19"/>
                <w:szCs w:val="19"/>
                <w:lang w:eastAsia="zh-CN"/>
              </w:rPr>
            </w:pPr>
            <w:r w:rsidRPr="00EC6D3A">
              <w:rPr>
                <w:sz w:val="19"/>
                <w:szCs w:val="19"/>
                <w:lang w:eastAsia="zh-CN"/>
              </w:rPr>
              <w:t>77.2</w:t>
            </w:r>
          </w:p>
        </w:tc>
        <w:tc>
          <w:tcPr>
            <w:tcW w:w="1133" w:type="dxa"/>
            <w:tcBorders>
              <w:top w:val="nil"/>
              <w:left w:val="nil"/>
              <w:bottom w:val="nil"/>
              <w:right w:val="nil"/>
            </w:tcBorders>
            <w:shd w:val="clear" w:color="auto" w:fill="auto"/>
            <w:noWrap/>
            <w:vAlign w:val="center"/>
            <w:hideMark/>
          </w:tcPr>
          <w:p w:rsidR="00685BE5" w:rsidRPr="00EC6D3A" w:rsidRDefault="00685BE5" w:rsidP="00EC6D3A">
            <w:pPr>
              <w:tabs>
                <w:tab w:val="decimal" w:pos="459"/>
              </w:tabs>
              <w:spacing w:before="16" w:after="16"/>
              <w:rPr>
                <w:sz w:val="19"/>
                <w:szCs w:val="19"/>
                <w:lang w:eastAsia="zh-CN"/>
              </w:rPr>
            </w:pPr>
            <w:r w:rsidRPr="00EC6D3A">
              <w:rPr>
                <w:sz w:val="19"/>
                <w:szCs w:val="19"/>
                <w:lang w:eastAsia="zh-CN"/>
              </w:rPr>
              <w:t>0.7</w:t>
            </w:r>
          </w:p>
        </w:tc>
        <w:tc>
          <w:tcPr>
            <w:tcW w:w="718" w:type="dxa"/>
            <w:tcBorders>
              <w:top w:val="nil"/>
              <w:left w:val="nil"/>
              <w:bottom w:val="nil"/>
              <w:right w:val="nil"/>
            </w:tcBorders>
            <w:shd w:val="clear" w:color="auto" w:fill="auto"/>
            <w:noWrap/>
            <w:vAlign w:val="bottom"/>
            <w:hideMark/>
          </w:tcPr>
          <w:p w:rsidR="00685BE5" w:rsidRPr="00EC6D3A" w:rsidRDefault="00685BE5" w:rsidP="00EC6D3A">
            <w:pPr>
              <w:tabs>
                <w:tab w:val="decimal" w:pos="317"/>
              </w:tabs>
              <w:spacing w:before="16" w:after="16"/>
              <w:rPr>
                <w:sz w:val="19"/>
                <w:szCs w:val="19"/>
                <w:lang w:eastAsia="zh-CN"/>
              </w:rPr>
            </w:pPr>
            <w:r w:rsidRPr="00EC6D3A">
              <w:rPr>
                <w:sz w:val="19"/>
                <w:szCs w:val="19"/>
                <w:lang w:eastAsia="zh-CN"/>
              </w:rPr>
              <w:t>7.7</w:t>
            </w:r>
          </w:p>
        </w:tc>
      </w:tr>
      <w:tr w:rsidR="00685BE5" w:rsidRPr="00EC6D3A" w:rsidTr="00941152">
        <w:tc>
          <w:tcPr>
            <w:tcW w:w="4602" w:type="dxa"/>
            <w:tcBorders>
              <w:top w:val="nil"/>
              <w:left w:val="nil"/>
              <w:bottom w:val="nil"/>
              <w:right w:val="nil"/>
            </w:tcBorders>
            <w:shd w:val="clear" w:color="auto" w:fill="auto"/>
            <w:noWrap/>
            <w:vAlign w:val="center"/>
            <w:hideMark/>
          </w:tcPr>
          <w:p w:rsidR="00685BE5" w:rsidRPr="00EC6D3A" w:rsidRDefault="00685BE5" w:rsidP="00EC6D3A">
            <w:pPr>
              <w:spacing w:before="16" w:after="16"/>
              <w:rPr>
                <w:sz w:val="19"/>
                <w:szCs w:val="19"/>
                <w:lang w:eastAsia="zh-CN"/>
              </w:rPr>
            </w:pPr>
            <w:r w:rsidRPr="00EC6D3A">
              <w:rPr>
                <w:sz w:val="19"/>
                <w:szCs w:val="19"/>
                <w:lang w:eastAsia="zh-CN"/>
              </w:rPr>
              <w:t>The work itself (what you do)</w:t>
            </w:r>
          </w:p>
        </w:tc>
        <w:tc>
          <w:tcPr>
            <w:tcW w:w="1069" w:type="dxa"/>
            <w:tcBorders>
              <w:top w:val="nil"/>
              <w:left w:val="nil"/>
              <w:bottom w:val="nil"/>
              <w:right w:val="nil"/>
            </w:tcBorders>
            <w:shd w:val="clear" w:color="auto" w:fill="auto"/>
            <w:noWrap/>
            <w:vAlign w:val="center"/>
            <w:hideMark/>
          </w:tcPr>
          <w:p w:rsidR="00685BE5" w:rsidRPr="00EC6D3A" w:rsidRDefault="00685BE5" w:rsidP="00592921">
            <w:pPr>
              <w:tabs>
                <w:tab w:val="decimal" w:pos="535"/>
              </w:tabs>
              <w:spacing w:before="16" w:after="16"/>
              <w:rPr>
                <w:sz w:val="19"/>
                <w:szCs w:val="19"/>
                <w:lang w:eastAsia="zh-CN"/>
              </w:rPr>
            </w:pPr>
            <w:r w:rsidRPr="00EC6D3A">
              <w:rPr>
                <w:sz w:val="19"/>
                <w:szCs w:val="19"/>
                <w:lang w:eastAsia="zh-CN"/>
              </w:rPr>
              <w:t>1.1</w:t>
            </w:r>
          </w:p>
        </w:tc>
        <w:tc>
          <w:tcPr>
            <w:tcW w:w="848" w:type="dxa"/>
            <w:tcBorders>
              <w:top w:val="nil"/>
              <w:left w:val="nil"/>
              <w:bottom w:val="nil"/>
              <w:right w:val="nil"/>
            </w:tcBorders>
            <w:shd w:val="clear" w:color="auto" w:fill="auto"/>
            <w:noWrap/>
            <w:vAlign w:val="center"/>
            <w:hideMark/>
          </w:tcPr>
          <w:p w:rsidR="00685BE5" w:rsidRPr="00EC6D3A" w:rsidRDefault="00685BE5" w:rsidP="00EC6D3A">
            <w:pPr>
              <w:tabs>
                <w:tab w:val="decimal" w:pos="312"/>
              </w:tabs>
              <w:spacing w:before="16" w:after="16"/>
              <w:rPr>
                <w:sz w:val="19"/>
                <w:szCs w:val="19"/>
                <w:lang w:eastAsia="zh-CN"/>
              </w:rPr>
            </w:pPr>
            <w:r w:rsidRPr="00EC6D3A">
              <w:rPr>
                <w:sz w:val="19"/>
                <w:szCs w:val="19"/>
                <w:lang w:eastAsia="zh-CN"/>
              </w:rPr>
              <w:t>5.5</w:t>
            </w:r>
          </w:p>
        </w:tc>
        <w:tc>
          <w:tcPr>
            <w:tcW w:w="872" w:type="dxa"/>
            <w:tcBorders>
              <w:top w:val="nil"/>
              <w:left w:val="nil"/>
              <w:bottom w:val="nil"/>
              <w:right w:val="nil"/>
            </w:tcBorders>
            <w:shd w:val="clear" w:color="auto" w:fill="auto"/>
            <w:noWrap/>
            <w:vAlign w:val="center"/>
            <w:hideMark/>
          </w:tcPr>
          <w:p w:rsidR="00685BE5" w:rsidRPr="00EC6D3A" w:rsidRDefault="00685BE5" w:rsidP="00EC6D3A">
            <w:pPr>
              <w:tabs>
                <w:tab w:val="decimal" w:pos="453"/>
              </w:tabs>
              <w:spacing w:before="16" w:after="16"/>
              <w:rPr>
                <w:sz w:val="19"/>
                <w:szCs w:val="19"/>
                <w:lang w:eastAsia="zh-CN"/>
              </w:rPr>
            </w:pPr>
            <w:r w:rsidRPr="00EC6D3A">
              <w:rPr>
                <w:sz w:val="19"/>
                <w:szCs w:val="19"/>
                <w:lang w:eastAsia="zh-CN"/>
              </w:rPr>
              <w:t>92.3</w:t>
            </w:r>
          </w:p>
        </w:tc>
        <w:tc>
          <w:tcPr>
            <w:tcW w:w="1133" w:type="dxa"/>
            <w:tcBorders>
              <w:top w:val="nil"/>
              <w:left w:val="nil"/>
              <w:bottom w:val="nil"/>
              <w:right w:val="nil"/>
            </w:tcBorders>
            <w:shd w:val="clear" w:color="auto" w:fill="auto"/>
            <w:noWrap/>
            <w:vAlign w:val="center"/>
            <w:hideMark/>
          </w:tcPr>
          <w:p w:rsidR="00685BE5" w:rsidRPr="00EC6D3A" w:rsidRDefault="00685BE5" w:rsidP="00EC6D3A">
            <w:pPr>
              <w:tabs>
                <w:tab w:val="decimal" w:pos="459"/>
              </w:tabs>
              <w:spacing w:before="16" w:after="16"/>
              <w:rPr>
                <w:sz w:val="19"/>
                <w:szCs w:val="19"/>
                <w:lang w:eastAsia="zh-CN"/>
              </w:rPr>
            </w:pPr>
            <w:r w:rsidRPr="00EC6D3A">
              <w:rPr>
                <w:sz w:val="19"/>
                <w:szCs w:val="19"/>
                <w:lang w:eastAsia="zh-CN"/>
              </w:rPr>
              <w:t>1.1</w:t>
            </w:r>
          </w:p>
        </w:tc>
        <w:tc>
          <w:tcPr>
            <w:tcW w:w="718" w:type="dxa"/>
            <w:tcBorders>
              <w:top w:val="nil"/>
              <w:left w:val="nil"/>
              <w:bottom w:val="nil"/>
              <w:right w:val="nil"/>
            </w:tcBorders>
            <w:shd w:val="clear" w:color="auto" w:fill="auto"/>
            <w:noWrap/>
            <w:vAlign w:val="bottom"/>
            <w:hideMark/>
          </w:tcPr>
          <w:p w:rsidR="00685BE5" w:rsidRPr="00EC6D3A" w:rsidRDefault="00685BE5" w:rsidP="00EC6D3A">
            <w:pPr>
              <w:tabs>
                <w:tab w:val="decimal" w:pos="317"/>
              </w:tabs>
              <w:spacing w:before="16" w:after="16"/>
              <w:rPr>
                <w:sz w:val="19"/>
                <w:szCs w:val="19"/>
                <w:lang w:eastAsia="zh-CN"/>
              </w:rPr>
            </w:pPr>
            <w:r w:rsidRPr="00EC6D3A">
              <w:rPr>
                <w:sz w:val="19"/>
                <w:szCs w:val="19"/>
                <w:lang w:eastAsia="zh-CN"/>
              </w:rPr>
              <w:t>8.6</w:t>
            </w:r>
          </w:p>
        </w:tc>
      </w:tr>
      <w:tr w:rsidR="00685BE5" w:rsidRPr="00EC6D3A" w:rsidTr="00941152">
        <w:tc>
          <w:tcPr>
            <w:tcW w:w="4602" w:type="dxa"/>
            <w:tcBorders>
              <w:top w:val="nil"/>
              <w:left w:val="nil"/>
              <w:bottom w:val="nil"/>
              <w:right w:val="nil"/>
            </w:tcBorders>
            <w:shd w:val="clear" w:color="auto" w:fill="auto"/>
            <w:noWrap/>
            <w:vAlign w:val="center"/>
            <w:hideMark/>
          </w:tcPr>
          <w:p w:rsidR="00685BE5" w:rsidRPr="00EC6D3A" w:rsidRDefault="00685BE5" w:rsidP="00EC6D3A">
            <w:pPr>
              <w:spacing w:before="16" w:after="16"/>
              <w:rPr>
                <w:sz w:val="19"/>
                <w:szCs w:val="19"/>
                <w:lang w:eastAsia="zh-CN"/>
              </w:rPr>
            </w:pPr>
            <w:r w:rsidRPr="00EC6D3A">
              <w:rPr>
                <w:sz w:val="19"/>
                <w:szCs w:val="19"/>
                <w:lang w:eastAsia="zh-CN"/>
              </w:rPr>
              <w:t>The hours you work</w:t>
            </w:r>
          </w:p>
        </w:tc>
        <w:tc>
          <w:tcPr>
            <w:tcW w:w="1069" w:type="dxa"/>
            <w:tcBorders>
              <w:top w:val="nil"/>
              <w:left w:val="nil"/>
              <w:bottom w:val="nil"/>
              <w:right w:val="nil"/>
            </w:tcBorders>
            <w:shd w:val="clear" w:color="auto" w:fill="auto"/>
            <w:noWrap/>
            <w:vAlign w:val="center"/>
            <w:hideMark/>
          </w:tcPr>
          <w:p w:rsidR="00685BE5" w:rsidRPr="00EC6D3A" w:rsidRDefault="00685BE5" w:rsidP="00592921">
            <w:pPr>
              <w:tabs>
                <w:tab w:val="decimal" w:pos="535"/>
              </w:tabs>
              <w:spacing w:before="16" w:after="16"/>
              <w:rPr>
                <w:sz w:val="19"/>
                <w:szCs w:val="19"/>
                <w:lang w:eastAsia="zh-CN"/>
              </w:rPr>
            </w:pPr>
            <w:r w:rsidRPr="00EC6D3A">
              <w:rPr>
                <w:sz w:val="19"/>
                <w:szCs w:val="19"/>
                <w:lang w:eastAsia="zh-CN"/>
              </w:rPr>
              <w:t>20.2</w:t>
            </w:r>
          </w:p>
        </w:tc>
        <w:tc>
          <w:tcPr>
            <w:tcW w:w="848" w:type="dxa"/>
            <w:tcBorders>
              <w:top w:val="nil"/>
              <w:left w:val="nil"/>
              <w:bottom w:val="nil"/>
              <w:right w:val="nil"/>
            </w:tcBorders>
            <w:shd w:val="clear" w:color="auto" w:fill="auto"/>
            <w:noWrap/>
            <w:vAlign w:val="center"/>
            <w:hideMark/>
          </w:tcPr>
          <w:p w:rsidR="00685BE5" w:rsidRPr="00EC6D3A" w:rsidRDefault="00685BE5" w:rsidP="00EC6D3A">
            <w:pPr>
              <w:tabs>
                <w:tab w:val="decimal" w:pos="312"/>
              </w:tabs>
              <w:spacing w:before="16" w:after="16"/>
              <w:rPr>
                <w:sz w:val="19"/>
                <w:szCs w:val="19"/>
                <w:lang w:eastAsia="zh-CN"/>
              </w:rPr>
            </w:pPr>
            <w:r w:rsidRPr="00EC6D3A">
              <w:rPr>
                <w:sz w:val="19"/>
                <w:szCs w:val="19"/>
                <w:lang w:eastAsia="zh-CN"/>
              </w:rPr>
              <w:t>18.8</w:t>
            </w:r>
          </w:p>
        </w:tc>
        <w:tc>
          <w:tcPr>
            <w:tcW w:w="872" w:type="dxa"/>
            <w:tcBorders>
              <w:top w:val="nil"/>
              <w:left w:val="nil"/>
              <w:bottom w:val="nil"/>
              <w:right w:val="nil"/>
            </w:tcBorders>
            <w:shd w:val="clear" w:color="auto" w:fill="auto"/>
            <w:noWrap/>
            <w:vAlign w:val="center"/>
            <w:hideMark/>
          </w:tcPr>
          <w:p w:rsidR="00685BE5" w:rsidRPr="00EC6D3A" w:rsidRDefault="00685BE5" w:rsidP="00EC6D3A">
            <w:pPr>
              <w:tabs>
                <w:tab w:val="decimal" w:pos="453"/>
              </w:tabs>
              <w:spacing w:before="16" w:after="16"/>
              <w:rPr>
                <w:sz w:val="19"/>
                <w:szCs w:val="19"/>
                <w:lang w:eastAsia="zh-CN"/>
              </w:rPr>
            </w:pPr>
            <w:r w:rsidRPr="00EC6D3A">
              <w:rPr>
                <w:sz w:val="19"/>
                <w:szCs w:val="19"/>
                <w:lang w:eastAsia="zh-CN"/>
              </w:rPr>
              <w:t>59.9</w:t>
            </w:r>
          </w:p>
        </w:tc>
        <w:tc>
          <w:tcPr>
            <w:tcW w:w="1133" w:type="dxa"/>
            <w:tcBorders>
              <w:top w:val="nil"/>
              <w:left w:val="nil"/>
              <w:bottom w:val="nil"/>
              <w:right w:val="nil"/>
            </w:tcBorders>
            <w:shd w:val="clear" w:color="auto" w:fill="auto"/>
            <w:noWrap/>
            <w:vAlign w:val="center"/>
            <w:hideMark/>
          </w:tcPr>
          <w:p w:rsidR="00685BE5" w:rsidRPr="00EC6D3A" w:rsidRDefault="00685BE5" w:rsidP="00EC6D3A">
            <w:pPr>
              <w:tabs>
                <w:tab w:val="decimal" w:pos="459"/>
              </w:tabs>
              <w:spacing w:before="16" w:after="16"/>
              <w:rPr>
                <w:sz w:val="19"/>
                <w:szCs w:val="19"/>
                <w:lang w:eastAsia="zh-CN"/>
              </w:rPr>
            </w:pPr>
            <w:r w:rsidRPr="00EC6D3A">
              <w:rPr>
                <w:sz w:val="19"/>
                <w:szCs w:val="19"/>
                <w:lang w:eastAsia="zh-CN"/>
              </w:rPr>
              <w:t>1.1</w:t>
            </w:r>
          </w:p>
        </w:tc>
        <w:tc>
          <w:tcPr>
            <w:tcW w:w="718" w:type="dxa"/>
            <w:tcBorders>
              <w:top w:val="nil"/>
              <w:left w:val="nil"/>
              <w:bottom w:val="nil"/>
              <w:right w:val="nil"/>
            </w:tcBorders>
            <w:shd w:val="clear" w:color="auto" w:fill="auto"/>
            <w:noWrap/>
            <w:vAlign w:val="bottom"/>
            <w:hideMark/>
          </w:tcPr>
          <w:p w:rsidR="00685BE5" w:rsidRPr="00EC6D3A" w:rsidRDefault="00685BE5" w:rsidP="00EC6D3A">
            <w:pPr>
              <w:tabs>
                <w:tab w:val="decimal" w:pos="317"/>
              </w:tabs>
              <w:spacing w:before="16" w:after="16"/>
              <w:rPr>
                <w:sz w:val="19"/>
                <w:szCs w:val="19"/>
                <w:lang w:eastAsia="zh-CN"/>
              </w:rPr>
            </w:pPr>
            <w:r w:rsidRPr="00EC6D3A">
              <w:rPr>
                <w:sz w:val="19"/>
                <w:szCs w:val="19"/>
                <w:lang w:eastAsia="zh-CN"/>
              </w:rPr>
              <w:t>6.7</w:t>
            </w:r>
          </w:p>
        </w:tc>
      </w:tr>
      <w:tr w:rsidR="00685BE5" w:rsidRPr="00EC6D3A" w:rsidTr="00941152">
        <w:tc>
          <w:tcPr>
            <w:tcW w:w="4602" w:type="dxa"/>
            <w:tcBorders>
              <w:top w:val="nil"/>
              <w:left w:val="nil"/>
              <w:bottom w:val="nil"/>
              <w:right w:val="nil"/>
            </w:tcBorders>
            <w:shd w:val="clear" w:color="auto" w:fill="auto"/>
            <w:noWrap/>
            <w:vAlign w:val="center"/>
            <w:hideMark/>
          </w:tcPr>
          <w:p w:rsidR="00685BE5" w:rsidRPr="00EC6D3A" w:rsidRDefault="00685BE5" w:rsidP="00EC6D3A">
            <w:pPr>
              <w:spacing w:before="16" w:after="16"/>
              <w:rPr>
                <w:sz w:val="19"/>
                <w:szCs w:val="19"/>
                <w:lang w:eastAsia="zh-CN"/>
              </w:rPr>
            </w:pPr>
            <w:r w:rsidRPr="00EC6D3A">
              <w:rPr>
                <w:sz w:val="19"/>
                <w:szCs w:val="19"/>
                <w:lang w:eastAsia="zh-CN"/>
              </w:rPr>
              <w:t>The match between your work and your qualifications</w:t>
            </w:r>
          </w:p>
        </w:tc>
        <w:tc>
          <w:tcPr>
            <w:tcW w:w="1069" w:type="dxa"/>
            <w:tcBorders>
              <w:top w:val="nil"/>
              <w:left w:val="nil"/>
              <w:bottom w:val="nil"/>
              <w:right w:val="nil"/>
            </w:tcBorders>
            <w:shd w:val="clear" w:color="auto" w:fill="auto"/>
            <w:noWrap/>
            <w:vAlign w:val="center"/>
            <w:hideMark/>
          </w:tcPr>
          <w:p w:rsidR="00685BE5" w:rsidRPr="00EC6D3A" w:rsidRDefault="00685BE5" w:rsidP="00592921">
            <w:pPr>
              <w:tabs>
                <w:tab w:val="decimal" w:pos="535"/>
              </w:tabs>
              <w:spacing w:before="16" w:after="16"/>
              <w:rPr>
                <w:sz w:val="19"/>
                <w:szCs w:val="19"/>
                <w:lang w:eastAsia="zh-CN"/>
              </w:rPr>
            </w:pPr>
            <w:r w:rsidRPr="00EC6D3A">
              <w:rPr>
                <w:sz w:val="19"/>
                <w:szCs w:val="19"/>
                <w:lang w:eastAsia="zh-CN"/>
              </w:rPr>
              <w:t>2.2</w:t>
            </w:r>
          </w:p>
        </w:tc>
        <w:tc>
          <w:tcPr>
            <w:tcW w:w="848" w:type="dxa"/>
            <w:tcBorders>
              <w:top w:val="nil"/>
              <w:left w:val="nil"/>
              <w:bottom w:val="nil"/>
              <w:right w:val="nil"/>
            </w:tcBorders>
            <w:shd w:val="clear" w:color="auto" w:fill="auto"/>
            <w:noWrap/>
            <w:vAlign w:val="center"/>
            <w:hideMark/>
          </w:tcPr>
          <w:p w:rsidR="00685BE5" w:rsidRPr="00EC6D3A" w:rsidRDefault="00685BE5" w:rsidP="00EC6D3A">
            <w:pPr>
              <w:tabs>
                <w:tab w:val="decimal" w:pos="312"/>
              </w:tabs>
              <w:spacing w:before="16" w:after="16"/>
              <w:rPr>
                <w:sz w:val="19"/>
                <w:szCs w:val="19"/>
                <w:lang w:eastAsia="zh-CN"/>
              </w:rPr>
            </w:pPr>
            <w:r w:rsidRPr="00EC6D3A">
              <w:rPr>
                <w:sz w:val="19"/>
                <w:szCs w:val="19"/>
                <w:lang w:eastAsia="zh-CN"/>
              </w:rPr>
              <w:t>4.4</w:t>
            </w:r>
          </w:p>
        </w:tc>
        <w:tc>
          <w:tcPr>
            <w:tcW w:w="872" w:type="dxa"/>
            <w:tcBorders>
              <w:top w:val="nil"/>
              <w:left w:val="nil"/>
              <w:bottom w:val="nil"/>
              <w:right w:val="nil"/>
            </w:tcBorders>
            <w:shd w:val="clear" w:color="auto" w:fill="auto"/>
            <w:noWrap/>
            <w:vAlign w:val="center"/>
            <w:hideMark/>
          </w:tcPr>
          <w:p w:rsidR="00685BE5" w:rsidRPr="00EC6D3A" w:rsidRDefault="00685BE5" w:rsidP="00EC6D3A">
            <w:pPr>
              <w:tabs>
                <w:tab w:val="decimal" w:pos="453"/>
              </w:tabs>
              <w:spacing w:before="16" w:after="16"/>
              <w:rPr>
                <w:sz w:val="19"/>
                <w:szCs w:val="19"/>
                <w:lang w:eastAsia="zh-CN"/>
              </w:rPr>
            </w:pPr>
            <w:r w:rsidRPr="00EC6D3A">
              <w:rPr>
                <w:sz w:val="19"/>
                <w:szCs w:val="19"/>
                <w:lang w:eastAsia="zh-CN"/>
              </w:rPr>
              <w:t>92.6</w:t>
            </w:r>
          </w:p>
        </w:tc>
        <w:tc>
          <w:tcPr>
            <w:tcW w:w="1133" w:type="dxa"/>
            <w:tcBorders>
              <w:top w:val="nil"/>
              <w:left w:val="nil"/>
              <w:bottom w:val="nil"/>
              <w:right w:val="nil"/>
            </w:tcBorders>
            <w:shd w:val="clear" w:color="auto" w:fill="auto"/>
            <w:noWrap/>
            <w:vAlign w:val="center"/>
            <w:hideMark/>
          </w:tcPr>
          <w:p w:rsidR="00685BE5" w:rsidRPr="00EC6D3A" w:rsidRDefault="00685BE5" w:rsidP="00EC6D3A">
            <w:pPr>
              <w:tabs>
                <w:tab w:val="decimal" w:pos="459"/>
              </w:tabs>
              <w:spacing w:before="16" w:after="16"/>
              <w:rPr>
                <w:sz w:val="19"/>
                <w:szCs w:val="19"/>
                <w:lang w:eastAsia="zh-CN"/>
              </w:rPr>
            </w:pPr>
            <w:r w:rsidRPr="00EC6D3A">
              <w:rPr>
                <w:sz w:val="19"/>
                <w:szCs w:val="19"/>
                <w:lang w:eastAsia="zh-CN"/>
              </w:rPr>
              <w:t>0.7</w:t>
            </w:r>
          </w:p>
        </w:tc>
        <w:tc>
          <w:tcPr>
            <w:tcW w:w="718" w:type="dxa"/>
            <w:tcBorders>
              <w:top w:val="nil"/>
              <w:left w:val="nil"/>
              <w:bottom w:val="nil"/>
              <w:right w:val="nil"/>
            </w:tcBorders>
            <w:shd w:val="clear" w:color="auto" w:fill="auto"/>
            <w:noWrap/>
            <w:vAlign w:val="bottom"/>
            <w:hideMark/>
          </w:tcPr>
          <w:p w:rsidR="00685BE5" w:rsidRPr="00EC6D3A" w:rsidRDefault="00685BE5" w:rsidP="00EC6D3A">
            <w:pPr>
              <w:tabs>
                <w:tab w:val="decimal" w:pos="317"/>
              </w:tabs>
              <w:spacing w:before="16" w:after="16"/>
              <w:rPr>
                <w:sz w:val="19"/>
                <w:szCs w:val="19"/>
                <w:lang w:eastAsia="zh-CN"/>
              </w:rPr>
            </w:pPr>
            <w:r w:rsidRPr="00EC6D3A">
              <w:rPr>
                <w:sz w:val="19"/>
                <w:szCs w:val="19"/>
                <w:lang w:eastAsia="zh-CN"/>
              </w:rPr>
              <w:t>8.6</w:t>
            </w:r>
          </w:p>
        </w:tc>
      </w:tr>
      <w:tr w:rsidR="00685BE5" w:rsidRPr="00EC6D3A" w:rsidTr="00941152">
        <w:tc>
          <w:tcPr>
            <w:tcW w:w="4602" w:type="dxa"/>
            <w:tcBorders>
              <w:top w:val="nil"/>
              <w:left w:val="nil"/>
              <w:bottom w:val="nil"/>
              <w:right w:val="nil"/>
            </w:tcBorders>
            <w:shd w:val="clear" w:color="auto" w:fill="auto"/>
            <w:noWrap/>
            <w:vAlign w:val="center"/>
            <w:hideMark/>
          </w:tcPr>
          <w:p w:rsidR="00685BE5" w:rsidRPr="00EC6D3A" w:rsidRDefault="00685BE5" w:rsidP="00EC6D3A">
            <w:pPr>
              <w:spacing w:before="16" w:after="16"/>
              <w:rPr>
                <w:sz w:val="19"/>
                <w:szCs w:val="19"/>
                <w:lang w:eastAsia="zh-CN"/>
              </w:rPr>
            </w:pPr>
            <w:r w:rsidRPr="00EC6D3A">
              <w:rPr>
                <w:sz w:val="19"/>
                <w:szCs w:val="19"/>
                <w:lang w:eastAsia="zh-CN"/>
              </w:rPr>
              <w:t>The opportunity to develop your skills and abilities</w:t>
            </w:r>
          </w:p>
        </w:tc>
        <w:tc>
          <w:tcPr>
            <w:tcW w:w="1069" w:type="dxa"/>
            <w:tcBorders>
              <w:top w:val="nil"/>
              <w:left w:val="nil"/>
              <w:bottom w:val="nil"/>
              <w:right w:val="nil"/>
            </w:tcBorders>
            <w:shd w:val="clear" w:color="auto" w:fill="auto"/>
            <w:noWrap/>
            <w:vAlign w:val="center"/>
            <w:hideMark/>
          </w:tcPr>
          <w:p w:rsidR="00685BE5" w:rsidRPr="00EC6D3A" w:rsidRDefault="00685BE5" w:rsidP="00592921">
            <w:pPr>
              <w:tabs>
                <w:tab w:val="decimal" w:pos="535"/>
              </w:tabs>
              <w:spacing w:before="16" w:after="16"/>
              <w:rPr>
                <w:sz w:val="19"/>
                <w:szCs w:val="19"/>
                <w:lang w:eastAsia="zh-CN"/>
              </w:rPr>
            </w:pPr>
            <w:r w:rsidRPr="00EC6D3A">
              <w:rPr>
                <w:sz w:val="19"/>
                <w:szCs w:val="19"/>
                <w:lang w:eastAsia="zh-CN"/>
              </w:rPr>
              <w:t>5.5</w:t>
            </w:r>
          </w:p>
        </w:tc>
        <w:tc>
          <w:tcPr>
            <w:tcW w:w="848" w:type="dxa"/>
            <w:tcBorders>
              <w:top w:val="nil"/>
              <w:left w:val="nil"/>
              <w:bottom w:val="nil"/>
              <w:right w:val="nil"/>
            </w:tcBorders>
            <w:shd w:val="clear" w:color="auto" w:fill="auto"/>
            <w:noWrap/>
            <w:vAlign w:val="center"/>
            <w:hideMark/>
          </w:tcPr>
          <w:p w:rsidR="00685BE5" w:rsidRPr="00EC6D3A" w:rsidRDefault="00685BE5" w:rsidP="00EC6D3A">
            <w:pPr>
              <w:tabs>
                <w:tab w:val="decimal" w:pos="312"/>
              </w:tabs>
              <w:spacing w:before="16" w:after="16"/>
              <w:rPr>
                <w:sz w:val="19"/>
                <w:szCs w:val="19"/>
                <w:lang w:eastAsia="zh-CN"/>
              </w:rPr>
            </w:pPr>
            <w:r w:rsidRPr="00EC6D3A">
              <w:rPr>
                <w:sz w:val="19"/>
                <w:szCs w:val="19"/>
                <w:lang w:eastAsia="zh-CN"/>
              </w:rPr>
              <w:t>16.5</w:t>
            </w:r>
          </w:p>
        </w:tc>
        <w:tc>
          <w:tcPr>
            <w:tcW w:w="872" w:type="dxa"/>
            <w:tcBorders>
              <w:top w:val="nil"/>
              <w:left w:val="nil"/>
              <w:bottom w:val="nil"/>
              <w:right w:val="nil"/>
            </w:tcBorders>
            <w:shd w:val="clear" w:color="auto" w:fill="auto"/>
            <w:noWrap/>
            <w:vAlign w:val="center"/>
            <w:hideMark/>
          </w:tcPr>
          <w:p w:rsidR="00685BE5" w:rsidRPr="00EC6D3A" w:rsidRDefault="00685BE5" w:rsidP="00EC6D3A">
            <w:pPr>
              <w:tabs>
                <w:tab w:val="decimal" w:pos="453"/>
              </w:tabs>
              <w:spacing w:before="16" w:after="16"/>
              <w:rPr>
                <w:sz w:val="19"/>
                <w:szCs w:val="19"/>
                <w:lang w:eastAsia="zh-CN"/>
              </w:rPr>
            </w:pPr>
            <w:r w:rsidRPr="00EC6D3A">
              <w:rPr>
                <w:sz w:val="19"/>
                <w:szCs w:val="19"/>
                <w:lang w:eastAsia="zh-CN"/>
              </w:rPr>
              <w:t>77.2</w:t>
            </w:r>
          </w:p>
        </w:tc>
        <w:tc>
          <w:tcPr>
            <w:tcW w:w="1133" w:type="dxa"/>
            <w:tcBorders>
              <w:top w:val="nil"/>
              <w:left w:val="nil"/>
              <w:bottom w:val="nil"/>
              <w:right w:val="nil"/>
            </w:tcBorders>
            <w:shd w:val="clear" w:color="auto" w:fill="auto"/>
            <w:noWrap/>
            <w:vAlign w:val="center"/>
            <w:hideMark/>
          </w:tcPr>
          <w:p w:rsidR="00685BE5" w:rsidRPr="00EC6D3A" w:rsidRDefault="00685BE5" w:rsidP="00EC6D3A">
            <w:pPr>
              <w:tabs>
                <w:tab w:val="decimal" w:pos="459"/>
              </w:tabs>
              <w:spacing w:before="16" w:after="16"/>
              <w:rPr>
                <w:sz w:val="19"/>
                <w:szCs w:val="19"/>
                <w:lang w:eastAsia="zh-CN"/>
              </w:rPr>
            </w:pPr>
            <w:r w:rsidRPr="00EC6D3A">
              <w:rPr>
                <w:sz w:val="19"/>
                <w:szCs w:val="19"/>
                <w:lang w:eastAsia="zh-CN"/>
              </w:rPr>
              <w:t>0.7</w:t>
            </w:r>
          </w:p>
        </w:tc>
        <w:tc>
          <w:tcPr>
            <w:tcW w:w="718" w:type="dxa"/>
            <w:tcBorders>
              <w:top w:val="nil"/>
              <w:left w:val="nil"/>
              <w:bottom w:val="nil"/>
              <w:right w:val="nil"/>
            </w:tcBorders>
            <w:shd w:val="clear" w:color="auto" w:fill="auto"/>
            <w:noWrap/>
            <w:vAlign w:val="bottom"/>
            <w:hideMark/>
          </w:tcPr>
          <w:p w:rsidR="00685BE5" w:rsidRPr="00EC6D3A" w:rsidRDefault="00685BE5" w:rsidP="00EC6D3A">
            <w:pPr>
              <w:tabs>
                <w:tab w:val="decimal" w:pos="317"/>
              </w:tabs>
              <w:spacing w:before="16" w:after="16"/>
              <w:rPr>
                <w:sz w:val="19"/>
                <w:szCs w:val="19"/>
                <w:lang w:eastAsia="zh-CN"/>
              </w:rPr>
            </w:pPr>
            <w:r w:rsidRPr="00EC6D3A">
              <w:rPr>
                <w:sz w:val="19"/>
                <w:szCs w:val="19"/>
                <w:lang w:eastAsia="zh-CN"/>
              </w:rPr>
              <w:t>7.7</w:t>
            </w:r>
          </w:p>
        </w:tc>
      </w:tr>
      <w:tr w:rsidR="00685BE5" w:rsidRPr="00EC6D3A" w:rsidTr="00941152">
        <w:tc>
          <w:tcPr>
            <w:tcW w:w="4602" w:type="dxa"/>
            <w:tcBorders>
              <w:top w:val="nil"/>
              <w:left w:val="nil"/>
              <w:bottom w:val="nil"/>
              <w:right w:val="nil"/>
            </w:tcBorders>
            <w:shd w:val="clear" w:color="auto" w:fill="auto"/>
            <w:noWrap/>
            <w:vAlign w:val="center"/>
            <w:hideMark/>
          </w:tcPr>
          <w:p w:rsidR="00685BE5" w:rsidRPr="00EC6D3A" w:rsidRDefault="00685BE5" w:rsidP="00EC6D3A">
            <w:pPr>
              <w:spacing w:before="16" w:after="16"/>
              <w:rPr>
                <w:sz w:val="19"/>
                <w:szCs w:val="19"/>
                <w:lang w:eastAsia="zh-CN"/>
              </w:rPr>
            </w:pPr>
            <w:r w:rsidRPr="00EC6D3A">
              <w:rPr>
                <w:sz w:val="19"/>
                <w:szCs w:val="19"/>
                <w:lang w:eastAsia="zh-CN"/>
              </w:rPr>
              <w:t>The level of support given to your work</w:t>
            </w:r>
          </w:p>
        </w:tc>
        <w:tc>
          <w:tcPr>
            <w:tcW w:w="1069" w:type="dxa"/>
            <w:tcBorders>
              <w:top w:val="nil"/>
              <w:left w:val="nil"/>
              <w:bottom w:val="nil"/>
              <w:right w:val="nil"/>
            </w:tcBorders>
            <w:shd w:val="clear" w:color="auto" w:fill="auto"/>
            <w:noWrap/>
            <w:vAlign w:val="center"/>
            <w:hideMark/>
          </w:tcPr>
          <w:p w:rsidR="00685BE5" w:rsidRPr="00EC6D3A" w:rsidRDefault="00685BE5" w:rsidP="00592921">
            <w:pPr>
              <w:tabs>
                <w:tab w:val="decimal" w:pos="535"/>
              </w:tabs>
              <w:spacing w:before="16" w:after="16"/>
              <w:rPr>
                <w:sz w:val="19"/>
                <w:szCs w:val="19"/>
                <w:lang w:eastAsia="zh-CN"/>
              </w:rPr>
            </w:pPr>
            <w:r w:rsidRPr="00EC6D3A">
              <w:rPr>
                <w:sz w:val="19"/>
                <w:szCs w:val="19"/>
                <w:lang w:eastAsia="zh-CN"/>
              </w:rPr>
              <w:t>14.7</w:t>
            </w:r>
          </w:p>
        </w:tc>
        <w:tc>
          <w:tcPr>
            <w:tcW w:w="848" w:type="dxa"/>
            <w:tcBorders>
              <w:top w:val="nil"/>
              <w:left w:val="nil"/>
              <w:bottom w:val="nil"/>
              <w:right w:val="nil"/>
            </w:tcBorders>
            <w:shd w:val="clear" w:color="auto" w:fill="auto"/>
            <w:noWrap/>
            <w:vAlign w:val="center"/>
            <w:hideMark/>
          </w:tcPr>
          <w:p w:rsidR="00685BE5" w:rsidRPr="00EC6D3A" w:rsidRDefault="00685BE5" w:rsidP="00EC6D3A">
            <w:pPr>
              <w:tabs>
                <w:tab w:val="decimal" w:pos="312"/>
              </w:tabs>
              <w:spacing w:before="16" w:after="16"/>
              <w:rPr>
                <w:sz w:val="19"/>
                <w:szCs w:val="19"/>
                <w:lang w:eastAsia="zh-CN"/>
              </w:rPr>
            </w:pPr>
            <w:r w:rsidRPr="00EC6D3A">
              <w:rPr>
                <w:sz w:val="19"/>
                <w:szCs w:val="19"/>
                <w:lang w:eastAsia="zh-CN"/>
              </w:rPr>
              <w:t>29.4</w:t>
            </w:r>
          </w:p>
        </w:tc>
        <w:tc>
          <w:tcPr>
            <w:tcW w:w="872" w:type="dxa"/>
            <w:tcBorders>
              <w:top w:val="nil"/>
              <w:left w:val="nil"/>
              <w:bottom w:val="nil"/>
              <w:right w:val="nil"/>
            </w:tcBorders>
            <w:shd w:val="clear" w:color="auto" w:fill="auto"/>
            <w:noWrap/>
            <w:vAlign w:val="center"/>
            <w:hideMark/>
          </w:tcPr>
          <w:p w:rsidR="00685BE5" w:rsidRPr="00EC6D3A" w:rsidRDefault="00685BE5" w:rsidP="00EC6D3A">
            <w:pPr>
              <w:tabs>
                <w:tab w:val="decimal" w:pos="453"/>
              </w:tabs>
              <w:spacing w:before="16" w:after="16"/>
              <w:rPr>
                <w:sz w:val="19"/>
                <w:szCs w:val="19"/>
                <w:lang w:eastAsia="zh-CN"/>
              </w:rPr>
            </w:pPr>
            <w:r w:rsidRPr="00EC6D3A">
              <w:rPr>
                <w:sz w:val="19"/>
                <w:szCs w:val="19"/>
                <w:lang w:eastAsia="zh-CN"/>
              </w:rPr>
              <w:t>53.7</w:t>
            </w:r>
          </w:p>
        </w:tc>
        <w:tc>
          <w:tcPr>
            <w:tcW w:w="1133" w:type="dxa"/>
            <w:tcBorders>
              <w:top w:val="nil"/>
              <w:left w:val="nil"/>
              <w:bottom w:val="nil"/>
              <w:right w:val="nil"/>
            </w:tcBorders>
            <w:shd w:val="clear" w:color="auto" w:fill="auto"/>
            <w:noWrap/>
            <w:vAlign w:val="center"/>
            <w:hideMark/>
          </w:tcPr>
          <w:p w:rsidR="00685BE5" w:rsidRPr="00EC6D3A" w:rsidRDefault="00685BE5" w:rsidP="00EC6D3A">
            <w:pPr>
              <w:tabs>
                <w:tab w:val="decimal" w:pos="459"/>
              </w:tabs>
              <w:spacing w:before="16" w:after="16"/>
              <w:rPr>
                <w:sz w:val="19"/>
                <w:szCs w:val="19"/>
                <w:lang w:eastAsia="zh-CN"/>
              </w:rPr>
            </w:pPr>
            <w:r w:rsidRPr="00EC6D3A">
              <w:rPr>
                <w:sz w:val="19"/>
                <w:szCs w:val="19"/>
                <w:lang w:eastAsia="zh-CN"/>
              </w:rPr>
              <w:t>2.2</w:t>
            </w:r>
          </w:p>
        </w:tc>
        <w:tc>
          <w:tcPr>
            <w:tcW w:w="718" w:type="dxa"/>
            <w:tcBorders>
              <w:top w:val="nil"/>
              <w:left w:val="nil"/>
              <w:bottom w:val="nil"/>
              <w:right w:val="nil"/>
            </w:tcBorders>
            <w:shd w:val="clear" w:color="auto" w:fill="auto"/>
            <w:noWrap/>
            <w:vAlign w:val="bottom"/>
            <w:hideMark/>
          </w:tcPr>
          <w:p w:rsidR="00685BE5" w:rsidRPr="00EC6D3A" w:rsidRDefault="00685BE5" w:rsidP="00EC6D3A">
            <w:pPr>
              <w:tabs>
                <w:tab w:val="decimal" w:pos="317"/>
              </w:tabs>
              <w:spacing w:before="16" w:after="16"/>
              <w:rPr>
                <w:sz w:val="19"/>
                <w:szCs w:val="19"/>
                <w:lang w:eastAsia="zh-CN"/>
              </w:rPr>
            </w:pPr>
            <w:r w:rsidRPr="00EC6D3A">
              <w:rPr>
                <w:sz w:val="19"/>
                <w:szCs w:val="19"/>
                <w:lang w:eastAsia="zh-CN"/>
              </w:rPr>
              <w:t>6.5</w:t>
            </w:r>
          </w:p>
        </w:tc>
      </w:tr>
      <w:tr w:rsidR="00685BE5" w:rsidRPr="00EC6D3A" w:rsidTr="00941152">
        <w:tc>
          <w:tcPr>
            <w:tcW w:w="4602" w:type="dxa"/>
            <w:tcBorders>
              <w:top w:val="nil"/>
              <w:left w:val="nil"/>
              <w:bottom w:val="nil"/>
              <w:right w:val="nil"/>
            </w:tcBorders>
            <w:shd w:val="clear" w:color="auto" w:fill="auto"/>
            <w:noWrap/>
            <w:vAlign w:val="center"/>
            <w:hideMark/>
          </w:tcPr>
          <w:p w:rsidR="00685BE5" w:rsidRPr="00EC6D3A" w:rsidRDefault="00685BE5" w:rsidP="00EC6D3A">
            <w:pPr>
              <w:spacing w:before="16" w:after="16"/>
              <w:rPr>
                <w:sz w:val="19"/>
                <w:szCs w:val="19"/>
                <w:lang w:eastAsia="zh-CN"/>
              </w:rPr>
            </w:pPr>
            <w:r w:rsidRPr="00EC6D3A">
              <w:rPr>
                <w:sz w:val="19"/>
                <w:szCs w:val="19"/>
                <w:lang w:eastAsia="zh-CN"/>
              </w:rPr>
              <w:t>The flexibility available to balance work and non-work commitments</w:t>
            </w:r>
          </w:p>
        </w:tc>
        <w:tc>
          <w:tcPr>
            <w:tcW w:w="1069" w:type="dxa"/>
            <w:tcBorders>
              <w:top w:val="nil"/>
              <w:left w:val="nil"/>
              <w:bottom w:val="nil"/>
              <w:right w:val="nil"/>
            </w:tcBorders>
            <w:shd w:val="clear" w:color="auto" w:fill="auto"/>
            <w:noWrap/>
            <w:vAlign w:val="center"/>
            <w:hideMark/>
          </w:tcPr>
          <w:p w:rsidR="00685BE5" w:rsidRPr="00EC6D3A" w:rsidRDefault="00685BE5" w:rsidP="00592921">
            <w:pPr>
              <w:tabs>
                <w:tab w:val="decimal" w:pos="535"/>
              </w:tabs>
              <w:spacing w:before="16" w:after="16"/>
              <w:rPr>
                <w:sz w:val="19"/>
                <w:szCs w:val="19"/>
                <w:lang w:eastAsia="zh-CN"/>
              </w:rPr>
            </w:pPr>
            <w:r w:rsidRPr="00EC6D3A">
              <w:rPr>
                <w:sz w:val="19"/>
                <w:szCs w:val="19"/>
                <w:lang w:eastAsia="zh-CN"/>
              </w:rPr>
              <w:t>16.5</w:t>
            </w:r>
          </w:p>
        </w:tc>
        <w:tc>
          <w:tcPr>
            <w:tcW w:w="848" w:type="dxa"/>
            <w:tcBorders>
              <w:top w:val="nil"/>
              <w:left w:val="nil"/>
              <w:bottom w:val="nil"/>
              <w:right w:val="nil"/>
            </w:tcBorders>
            <w:shd w:val="clear" w:color="auto" w:fill="auto"/>
            <w:noWrap/>
            <w:vAlign w:val="center"/>
            <w:hideMark/>
          </w:tcPr>
          <w:p w:rsidR="00685BE5" w:rsidRPr="00EC6D3A" w:rsidRDefault="00685BE5" w:rsidP="00EC6D3A">
            <w:pPr>
              <w:tabs>
                <w:tab w:val="decimal" w:pos="312"/>
              </w:tabs>
              <w:spacing w:before="16" w:after="16"/>
              <w:rPr>
                <w:sz w:val="19"/>
                <w:szCs w:val="19"/>
                <w:lang w:eastAsia="zh-CN"/>
              </w:rPr>
            </w:pPr>
            <w:r w:rsidRPr="00EC6D3A">
              <w:rPr>
                <w:sz w:val="19"/>
                <w:szCs w:val="19"/>
                <w:lang w:eastAsia="zh-CN"/>
              </w:rPr>
              <w:t>15.4</w:t>
            </w:r>
          </w:p>
        </w:tc>
        <w:tc>
          <w:tcPr>
            <w:tcW w:w="872" w:type="dxa"/>
            <w:tcBorders>
              <w:top w:val="nil"/>
              <w:left w:val="nil"/>
              <w:bottom w:val="nil"/>
              <w:right w:val="nil"/>
            </w:tcBorders>
            <w:shd w:val="clear" w:color="auto" w:fill="auto"/>
            <w:noWrap/>
            <w:vAlign w:val="center"/>
            <w:hideMark/>
          </w:tcPr>
          <w:p w:rsidR="00685BE5" w:rsidRPr="00EC6D3A" w:rsidRDefault="00685BE5" w:rsidP="00EC6D3A">
            <w:pPr>
              <w:tabs>
                <w:tab w:val="decimal" w:pos="453"/>
              </w:tabs>
              <w:spacing w:before="16" w:after="16"/>
              <w:rPr>
                <w:sz w:val="19"/>
                <w:szCs w:val="19"/>
                <w:lang w:eastAsia="zh-CN"/>
              </w:rPr>
            </w:pPr>
            <w:r w:rsidRPr="00EC6D3A">
              <w:rPr>
                <w:sz w:val="19"/>
                <w:szCs w:val="19"/>
                <w:lang w:eastAsia="zh-CN"/>
              </w:rPr>
              <w:t>67.3</w:t>
            </w:r>
          </w:p>
        </w:tc>
        <w:tc>
          <w:tcPr>
            <w:tcW w:w="1133" w:type="dxa"/>
            <w:tcBorders>
              <w:top w:val="nil"/>
              <w:left w:val="nil"/>
              <w:bottom w:val="nil"/>
              <w:right w:val="nil"/>
            </w:tcBorders>
            <w:shd w:val="clear" w:color="auto" w:fill="auto"/>
            <w:noWrap/>
            <w:vAlign w:val="center"/>
            <w:hideMark/>
          </w:tcPr>
          <w:p w:rsidR="00685BE5" w:rsidRPr="00EC6D3A" w:rsidRDefault="00685BE5" w:rsidP="00EC6D3A">
            <w:pPr>
              <w:tabs>
                <w:tab w:val="decimal" w:pos="459"/>
              </w:tabs>
              <w:spacing w:before="16" w:after="16"/>
              <w:rPr>
                <w:sz w:val="19"/>
                <w:szCs w:val="19"/>
                <w:lang w:eastAsia="zh-CN"/>
              </w:rPr>
            </w:pPr>
            <w:r w:rsidRPr="00EC6D3A">
              <w:rPr>
                <w:sz w:val="19"/>
                <w:szCs w:val="19"/>
                <w:lang w:eastAsia="zh-CN"/>
              </w:rPr>
              <w:t>0.7</w:t>
            </w:r>
          </w:p>
        </w:tc>
        <w:tc>
          <w:tcPr>
            <w:tcW w:w="718" w:type="dxa"/>
            <w:tcBorders>
              <w:top w:val="nil"/>
              <w:left w:val="nil"/>
              <w:bottom w:val="nil"/>
              <w:right w:val="nil"/>
            </w:tcBorders>
            <w:shd w:val="clear" w:color="auto" w:fill="auto"/>
            <w:noWrap/>
            <w:vAlign w:val="bottom"/>
            <w:hideMark/>
          </w:tcPr>
          <w:p w:rsidR="00685BE5" w:rsidRPr="00EC6D3A" w:rsidRDefault="00685BE5" w:rsidP="00EC6D3A">
            <w:pPr>
              <w:tabs>
                <w:tab w:val="decimal" w:pos="317"/>
              </w:tabs>
              <w:spacing w:before="16" w:after="16"/>
              <w:rPr>
                <w:sz w:val="19"/>
                <w:szCs w:val="19"/>
                <w:lang w:eastAsia="zh-CN"/>
              </w:rPr>
            </w:pPr>
            <w:r w:rsidRPr="00EC6D3A">
              <w:rPr>
                <w:sz w:val="19"/>
                <w:szCs w:val="19"/>
                <w:lang w:eastAsia="zh-CN"/>
              </w:rPr>
              <w:t>7.1</w:t>
            </w:r>
          </w:p>
        </w:tc>
      </w:tr>
      <w:tr w:rsidR="00685BE5" w:rsidRPr="00EC6D3A" w:rsidTr="00941152">
        <w:tc>
          <w:tcPr>
            <w:tcW w:w="4602" w:type="dxa"/>
            <w:tcBorders>
              <w:top w:val="nil"/>
              <w:left w:val="nil"/>
              <w:bottom w:val="single" w:sz="4" w:space="0" w:color="auto"/>
              <w:right w:val="nil"/>
            </w:tcBorders>
            <w:shd w:val="clear" w:color="auto" w:fill="auto"/>
            <w:noWrap/>
            <w:vAlign w:val="center"/>
            <w:hideMark/>
          </w:tcPr>
          <w:p w:rsidR="00685BE5" w:rsidRPr="00EC6D3A" w:rsidRDefault="00685BE5" w:rsidP="00EC6D3A">
            <w:pPr>
              <w:spacing w:before="16" w:after="16"/>
              <w:rPr>
                <w:sz w:val="19"/>
                <w:szCs w:val="19"/>
                <w:lang w:eastAsia="zh-CN"/>
              </w:rPr>
            </w:pPr>
            <w:r w:rsidRPr="00EC6D3A">
              <w:rPr>
                <w:sz w:val="19"/>
                <w:szCs w:val="19"/>
                <w:lang w:eastAsia="zh-CN"/>
              </w:rPr>
              <w:t>All things considered (i.e. the work overall)</w:t>
            </w:r>
          </w:p>
        </w:tc>
        <w:tc>
          <w:tcPr>
            <w:tcW w:w="1069" w:type="dxa"/>
            <w:tcBorders>
              <w:top w:val="nil"/>
              <w:left w:val="nil"/>
              <w:bottom w:val="single" w:sz="4" w:space="0" w:color="auto"/>
              <w:right w:val="nil"/>
            </w:tcBorders>
            <w:shd w:val="clear" w:color="auto" w:fill="auto"/>
            <w:noWrap/>
            <w:vAlign w:val="center"/>
            <w:hideMark/>
          </w:tcPr>
          <w:p w:rsidR="00685BE5" w:rsidRPr="00EC6D3A" w:rsidRDefault="00685BE5" w:rsidP="00592921">
            <w:pPr>
              <w:tabs>
                <w:tab w:val="decimal" w:pos="535"/>
              </w:tabs>
              <w:spacing w:before="16" w:after="16"/>
              <w:rPr>
                <w:sz w:val="19"/>
                <w:szCs w:val="19"/>
                <w:lang w:eastAsia="zh-CN"/>
              </w:rPr>
            </w:pPr>
            <w:r w:rsidRPr="00EC6D3A">
              <w:rPr>
                <w:sz w:val="19"/>
                <w:szCs w:val="19"/>
                <w:lang w:eastAsia="zh-CN"/>
              </w:rPr>
              <w:t>0.7</w:t>
            </w:r>
          </w:p>
        </w:tc>
        <w:tc>
          <w:tcPr>
            <w:tcW w:w="848" w:type="dxa"/>
            <w:tcBorders>
              <w:top w:val="nil"/>
              <w:left w:val="nil"/>
              <w:bottom w:val="single" w:sz="4" w:space="0" w:color="auto"/>
              <w:right w:val="nil"/>
            </w:tcBorders>
            <w:shd w:val="clear" w:color="auto" w:fill="auto"/>
            <w:noWrap/>
            <w:vAlign w:val="center"/>
            <w:hideMark/>
          </w:tcPr>
          <w:p w:rsidR="00685BE5" w:rsidRPr="00EC6D3A" w:rsidRDefault="00685BE5" w:rsidP="00EC6D3A">
            <w:pPr>
              <w:tabs>
                <w:tab w:val="decimal" w:pos="312"/>
              </w:tabs>
              <w:spacing w:before="16" w:after="16"/>
              <w:rPr>
                <w:sz w:val="19"/>
                <w:szCs w:val="19"/>
                <w:lang w:eastAsia="zh-CN"/>
              </w:rPr>
            </w:pPr>
            <w:r w:rsidRPr="00EC6D3A">
              <w:rPr>
                <w:sz w:val="19"/>
                <w:szCs w:val="19"/>
                <w:lang w:eastAsia="zh-CN"/>
              </w:rPr>
              <w:t>8.1</w:t>
            </w:r>
          </w:p>
        </w:tc>
        <w:tc>
          <w:tcPr>
            <w:tcW w:w="872" w:type="dxa"/>
            <w:tcBorders>
              <w:top w:val="nil"/>
              <w:left w:val="nil"/>
              <w:bottom w:val="single" w:sz="4" w:space="0" w:color="auto"/>
              <w:right w:val="nil"/>
            </w:tcBorders>
            <w:shd w:val="clear" w:color="auto" w:fill="auto"/>
            <w:noWrap/>
            <w:vAlign w:val="center"/>
            <w:hideMark/>
          </w:tcPr>
          <w:p w:rsidR="00685BE5" w:rsidRPr="00EC6D3A" w:rsidRDefault="00685BE5" w:rsidP="00EC6D3A">
            <w:pPr>
              <w:tabs>
                <w:tab w:val="decimal" w:pos="453"/>
              </w:tabs>
              <w:spacing w:before="16" w:after="16"/>
              <w:rPr>
                <w:sz w:val="19"/>
                <w:szCs w:val="19"/>
                <w:lang w:eastAsia="zh-CN"/>
              </w:rPr>
            </w:pPr>
            <w:r w:rsidRPr="00EC6D3A">
              <w:rPr>
                <w:sz w:val="19"/>
                <w:szCs w:val="19"/>
                <w:lang w:eastAsia="zh-CN"/>
              </w:rPr>
              <w:t>89.7</w:t>
            </w:r>
          </w:p>
        </w:tc>
        <w:tc>
          <w:tcPr>
            <w:tcW w:w="1133" w:type="dxa"/>
            <w:tcBorders>
              <w:top w:val="nil"/>
              <w:left w:val="nil"/>
              <w:bottom w:val="single" w:sz="4" w:space="0" w:color="auto"/>
              <w:right w:val="nil"/>
            </w:tcBorders>
            <w:shd w:val="clear" w:color="auto" w:fill="auto"/>
            <w:noWrap/>
            <w:vAlign w:val="center"/>
            <w:hideMark/>
          </w:tcPr>
          <w:p w:rsidR="00685BE5" w:rsidRPr="00EC6D3A" w:rsidRDefault="00685BE5" w:rsidP="00EC6D3A">
            <w:pPr>
              <w:tabs>
                <w:tab w:val="decimal" w:pos="459"/>
              </w:tabs>
              <w:spacing w:before="16" w:after="16"/>
              <w:rPr>
                <w:sz w:val="19"/>
                <w:szCs w:val="19"/>
                <w:lang w:eastAsia="zh-CN"/>
              </w:rPr>
            </w:pPr>
            <w:r w:rsidRPr="00EC6D3A">
              <w:rPr>
                <w:sz w:val="19"/>
                <w:szCs w:val="19"/>
                <w:lang w:eastAsia="zh-CN"/>
              </w:rPr>
              <w:t>1.5</w:t>
            </w:r>
          </w:p>
        </w:tc>
        <w:tc>
          <w:tcPr>
            <w:tcW w:w="718" w:type="dxa"/>
            <w:tcBorders>
              <w:top w:val="nil"/>
              <w:left w:val="nil"/>
              <w:bottom w:val="single" w:sz="4" w:space="0" w:color="auto"/>
              <w:right w:val="nil"/>
            </w:tcBorders>
            <w:shd w:val="clear" w:color="auto" w:fill="auto"/>
            <w:noWrap/>
            <w:vAlign w:val="bottom"/>
            <w:hideMark/>
          </w:tcPr>
          <w:p w:rsidR="00685BE5" w:rsidRPr="00EC6D3A" w:rsidRDefault="00685BE5" w:rsidP="00EC6D3A">
            <w:pPr>
              <w:tabs>
                <w:tab w:val="decimal" w:pos="317"/>
              </w:tabs>
              <w:spacing w:before="16" w:after="16"/>
              <w:rPr>
                <w:sz w:val="19"/>
                <w:szCs w:val="19"/>
                <w:lang w:eastAsia="zh-CN"/>
              </w:rPr>
            </w:pPr>
            <w:r w:rsidRPr="00EC6D3A">
              <w:rPr>
                <w:sz w:val="19"/>
                <w:szCs w:val="19"/>
                <w:lang w:eastAsia="zh-CN"/>
              </w:rPr>
              <w:t>8.2</w:t>
            </w:r>
          </w:p>
        </w:tc>
      </w:tr>
      <w:tr w:rsidR="00685BE5" w:rsidRPr="00EC6D3A" w:rsidTr="00941152">
        <w:tc>
          <w:tcPr>
            <w:tcW w:w="4602" w:type="dxa"/>
            <w:tcBorders>
              <w:top w:val="single" w:sz="4" w:space="0" w:color="auto"/>
              <w:left w:val="nil"/>
              <w:bottom w:val="single" w:sz="4" w:space="0" w:color="auto"/>
              <w:right w:val="nil"/>
            </w:tcBorders>
            <w:shd w:val="clear" w:color="auto" w:fill="auto"/>
            <w:noWrap/>
            <w:vAlign w:val="center"/>
          </w:tcPr>
          <w:p w:rsidR="00685BE5" w:rsidRPr="00EC6D3A" w:rsidRDefault="00685BE5" w:rsidP="00EC6D3A">
            <w:pPr>
              <w:spacing w:before="16" w:after="16"/>
              <w:rPr>
                <w:b/>
                <w:sz w:val="19"/>
                <w:szCs w:val="19"/>
                <w:lang w:eastAsia="zh-CN"/>
              </w:rPr>
            </w:pPr>
            <w:r w:rsidRPr="00EC6D3A">
              <w:rPr>
                <w:b/>
                <w:sz w:val="19"/>
                <w:szCs w:val="19"/>
              </w:rPr>
              <w:t>Total (N=272)</w:t>
            </w:r>
          </w:p>
        </w:tc>
        <w:tc>
          <w:tcPr>
            <w:tcW w:w="1069" w:type="dxa"/>
            <w:tcBorders>
              <w:top w:val="single" w:sz="4" w:space="0" w:color="auto"/>
              <w:left w:val="nil"/>
              <w:bottom w:val="single" w:sz="4" w:space="0" w:color="auto"/>
              <w:right w:val="nil"/>
            </w:tcBorders>
            <w:shd w:val="clear" w:color="auto" w:fill="auto"/>
            <w:noWrap/>
            <w:vAlign w:val="center"/>
          </w:tcPr>
          <w:p w:rsidR="00685BE5" w:rsidRPr="00EC6D3A" w:rsidRDefault="00685BE5" w:rsidP="00EC6D3A">
            <w:pPr>
              <w:spacing w:before="16" w:after="16"/>
              <w:rPr>
                <w:b/>
                <w:sz w:val="19"/>
                <w:szCs w:val="19"/>
                <w:lang w:eastAsia="zh-CN"/>
              </w:rPr>
            </w:pPr>
          </w:p>
        </w:tc>
        <w:tc>
          <w:tcPr>
            <w:tcW w:w="848" w:type="dxa"/>
            <w:tcBorders>
              <w:top w:val="single" w:sz="4" w:space="0" w:color="auto"/>
              <w:left w:val="nil"/>
              <w:bottom w:val="single" w:sz="4" w:space="0" w:color="auto"/>
              <w:right w:val="nil"/>
            </w:tcBorders>
            <w:shd w:val="clear" w:color="auto" w:fill="auto"/>
            <w:noWrap/>
            <w:vAlign w:val="center"/>
          </w:tcPr>
          <w:p w:rsidR="00685BE5" w:rsidRPr="00EC6D3A" w:rsidRDefault="00685BE5" w:rsidP="00EC6D3A">
            <w:pPr>
              <w:spacing w:before="16" w:after="16"/>
              <w:rPr>
                <w:b/>
                <w:sz w:val="19"/>
                <w:szCs w:val="19"/>
                <w:lang w:eastAsia="zh-CN"/>
              </w:rPr>
            </w:pPr>
          </w:p>
        </w:tc>
        <w:tc>
          <w:tcPr>
            <w:tcW w:w="872" w:type="dxa"/>
            <w:tcBorders>
              <w:top w:val="single" w:sz="4" w:space="0" w:color="auto"/>
              <w:left w:val="nil"/>
              <w:bottom w:val="single" w:sz="4" w:space="0" w:color="auto"/>
              <w:right w:val="nil"/>
            </w:tcBorders>
            <w:shd w:val="clear" w:color="auto" w:fill="auto"/>
            <w:noWrap/>
            <w:vAlign w:val="center"/>
          </w:tcPr>
          <w:p w:rsidR="00685BE5" w:rsidRPr="00EC6D3A" w:rsidRDefault="00685BE5" w:rsidP="00EC6D3A">
            <w:pPr>
              <w:spacing w:before="16" w:after="16"/>
              <w:rPr>
                <w:b/>
                <w:sz w:val="19"/>
                <w:szCs w:val="19"/>
                <w:lang w:eastAsia="zh-CN"/>
              </w:rPr>
            </w:pPr>
          </w:p>
        </w:tc>
        <w:tc>
          <w:tcPr>
            <w:tcW w:w="1133" w:type="dxa"/>
            <w:tcBorders>
              <w:top w:val="single" w:sz="4" w:space="0" w:color="auto"/>
              <w:left w:val="nil"/>
              <w:bottom w:val="single" w:sz="4" w:space="0" w:color="auto"/>
              <w:right w:val="nil"/>
            </w:tcBorders>
            <w:shd w:val="clear" w:color="auto" w:fill="auto"/>
            <w:noWrap/>
            <w:vAlign w:val="center"/>
          </w:tcPr>
          <w:p w:rsidR="00685BE5" w:rsidRPr="00EC6D3A" w:rsidRDefault="00685BE5" w:rsidP="00EC6D3A">
            <w:pPr>
              <w:spacing w:before="16" w:after="16"/>
              <w:rPr>
                <w:b/>
                <w:sz w:val="19"/>
                <w:szCs w:val="19"/>
                <w:lang w:eastAsia="zh-CN"/>
              </w:rPr>
            </w:pPr>
          </w:p>
        </w:tc>
        <w:tc>
          <w:tcPr>
            <w:tcW w:w="718" w:type="dxa"/>
            <w:tcBorders>
              <w:top w:val="single" w:sz="4" w:space="0" w:color="auto"/>
              <w:left w:val="nil"/>
              <w:bottom w:val="single" w:sz="4" w:space="0" w:color="auto"/>
              <w:right w:val="nil"/>
            </w:tcBorders>
            <w:shd w:val="clear" w:color="auto" w:fill="auto"/>
            <w:noWrap/>
            <w:vAlign w:val="bottom"/>
          </w:tcPr>
          <w:p w:rsidR="00685BE5" w:rsidRPr="00EC6D3A" w:rsidRDefault="00685BE5" w:rsidP="00EC6D3A">
            <w:pPr>
              <w:spacing w:before="16" w:after="16"/>
              <w:rPr>
                <w:b/>
                <w:sz w:val="19"/>
                <w:szCs w:val="19"/>
                <w:lang w:eastAsia="zh-CN"/>
              </w:rPr>
            </w:pPr>
          </w:p>
        </w:tc>
      </w:tr>
    </w:tbl>
    <w:p w:rsidR="00685BE5" w:rsidRDefault="00685BE5" w:rsidP="00EC6D3A">
      <w:pPr>
        <w:pStyle w:val="NILSReference"/>
        <w:rPr>
          <w:rFonts w:eastAsia="SimHei"/>
        </w:rPr>
      </w:pPr>
      <w:r w:rsidRPr="007D2274">
        <w:rPr>
          <w:rFonts w:eastAsia="SimHei"/>
        </w:rPr>
        <w:t xml:space="preserve">Source: 2014 NDIS self-employed DSP survey, Question C8. </w:t>
      </w:r>
    </w:p>
    <w:p w:rsidR="00AF608C" w:rsidRPr="007D2274" w:rsidRDefault="00AF608C" w:rsidP="00AF608C">
      <w:pPr>
        <w:pStyle w:val="NILSReference"/>
        <w:rPr>
          <w:rFonts w:cs="Calibri"/>
          <w:b/>
          <w:bCs/>
          <w:color w:val="000000"/>
          <w:lang w:eastAsia="zh-CN"/>
        </w:rPr>
      </w:pPr>
      <w:r w:rsidRPr="000C0BF5">
        <w:rPr>
          <w:rFonts w:eastAsia="SimHei"/>
        </w:rPr>
        <w:t>Note: Row percentages</w:t>
      </w:r>
      <w:r w:rsidRPr="007D2274">
        <w:rPr>
          <w:rFonts w:eastAsia="SimHei"/>
        </w:rPr>
        <w:t xml:space="preserve"> are shown.</w:t>
      </w:r>
    </w:p>
    <w:p w:rsidR="00B92687" w:rsidRDefault="00B92687" w:rsidP="00AE4C3A"/>
    <w:p w:rsidR="00685BE5" w:rsidRDefault="00685BE5" w:rsidP="00AE4C3A">
      <w:r>
        <w:t>Table 4.60</w:t>
      </w:r>
      <w:r w:rsidRPr="00AB33E3">
        <w:t xml:space="preserve"> shows that similarly to employees, self-employed providers also ha</w:t>
      </w:r>
      <w:r>
        <w:t>d</w:t>
      </w:r>
      <w:r w:rsidRPr="00AB33E3">
        <w:t xml:space="preserve"> very high level of agreement regarding statements on sufficient skills and abilities they ha</w:t>
      </w:r>
      <w:r>
        <w:t>d</w:t>
      </w:r>
      <w:r w:rsidRPr="00AB33E3">
        <w:t xml:space="preserve"> for the job and the sufficient utilisation of their skills and abilities in the job, with an average score of 6.3 and 6.5 out of 7 respectively. Just over half (57 per cent) believe</w:t>
      </w:r>
      <w:r>
        <w:t>d</w:t>
      </w:r>
      <w:r w:rsidRPr="00AB33E3">
        <w:t xml:space="preserve"> there </w:t>
      </w:r>
      <w:r>
        <w:t>we</w:t>
      </w:r>
      <w:r w:rsidRPr="00AB33E3">
        <w:t>re plenty of training opportunities available to them. However, a large proportion (32 per cent) report</w:t>
      </w:r>
      <w:r>
        <w:t>ed</w:t>
      </w:r>
      <w:r w:rsidRPr="00AB33E3">
        <w:t xml:space="preserve"> that they ha</w:t>
      </w:r>
      <w:r>
        <w:t>d</w:t>
      </w:r>
      <w:r w:rsidRPr="00AB33E3">
        <w:t xml:space="preserve"> a higher qualification than required for the job. Also a considerable proportion of the self-employed workers fel</w:t>
      </w:r>
      <w:r>
        <w:t>t</w:t>
      </w:r>
      <w:r w:rsidRPr="00AB33E3">
        <w:t xml:space="preserve"> under pressure (61 per cent) and stressed (34 per cent).</w:t>
      </w:r>
    </w:p>
    <w:p w:rsidR="00B92687" w:rsidRPr="00AB33E3" w:rsidRDefault="00B92687" w:rsidP="00AE4C3A"/>
    <w:p w:rsidR="00685BE5" w:rsidRDefault="00685BE5" w:rsidP="00AE4C3A">
      <w:pPr>
        <w:contextualSpacing/>
        <w:rPr>
          <w:rFonts w:ascii="Calibri" w:eastAsia="Calibri" w:hAnsi="Calibri" w:cs="Times New Roman"/>
        </w:rPr>
      </w:pPr>
      <w:r w:rsidRPr="00AB33E3">
        <w:rPr>
          <w:rFonts w:ascii="Calibri" w:eastAsia="Calibri" w:hAnsi="Calibri" w:cs="Times New Roman"/>
        </w:rPr>
        <w:t xml:space="preserve">In almost all respects, the self-employed </w:t>
      </w:r>
      <w:r>
        <w:rPr>
          <w:rFonts w:ascii="Calibri" w:eastAsia="Calibri" w:hAnsi="Calibri" w:cs="Times New Roman"/>
        </w:rPr>
        <w:t xml:space="preserve">in Table 4.60 </w:t>
      </w:r>
      <w:r w:rsidRPr="00AB33E3">
        <w:rPr>
          <w:rFonts w:ascii="Calibri" w:eastAsia="Calibri" w:hAnsi="Calibri" w:cs="Times New Roman"/>
        </w:rPr>
        <w:t>report</w:t>
      </w:r>
      <w:r>
        <w:rPr>
          <w:rFonts w:ascii="Calibri" w:eastAsia="Calibri" w:hAnsi="Calibri" w:cs="Times New Roman"/>
        </w:rPr>
        <w:t>ed</w:t>
      </w:r>
      <w:r w:rsidRPr="00AB33E3">
        <w:rPr>
          <w:rFonts w:ascii="Calibri" w:eastAsia="Calibri" w:hAnsi="Calibri" w:cs="Times New Roman"/>
        </w:rPr>
        <w:t xml:space="preserve"> somewhat higher levels of agreement than d</w:t>
      </w:r>
      <w:r>
        <w:rPr>
          <w:rFonts w:ascii="Calibri" w:eastAsia="Calibri" w:hAnsi="Calibri" w:cs="Times New Roman"/>
        </w:rPr>
        <w:t>id</w:t>
      </w:r>
      <w:r w:rsidRPr="00AB33E3">
        <w:rPr>
          <w:rFonts w:ascii="Calibri" w:eastAsia="Calibri" w:hAnsi="Calibri" w:cs="Times New Roman"/>
        </w:rPr>
        <w:t xml:space="preserve"> employees</w:t>
      </w:r>
      <w:r>
        <w:rPr>
          <w:rFonts w:ascii="Calibri" w:eastAsia="Calibri" w:hAnsi="Calibri" w:cs="Times New Roman"/>
        </w:rPr>
        <w:t xml:space="preserve"> (see Table 4.41)</w:t>
      </w:r>
      <w:r w:rsidRPr="00AB33E3">
        <w:rPr>
          <w:rFonts w:ascii="Calibri" w:eastAsia="Calibri" w:hAnsi="Calibri" w:cs="Times New Roman"/>
        </w:rPr>
        <w:t xml:space="preserve"> with the positive statements about the listed aspects of their work. This might be because of the professional nature of their work, or it could arise from the autonomy they ha</w:t>
      </w:r>
      <w:r>
        <w:rPr>
          <w:rFonts w:ascii="Calibri" w:eastAsia="Calibri" w:hAnsi="Calibri" w:cs="Times New Roman"/>
        </w:rPr>
        <w:t>d</w:t>
      </w:r>
      <w:r w:rsidRPr="00AB33E3">
        <w:rPr>
          <w:rFonts w:ascii="Calibri" w:eastAsia="Calibri" w:hAnsi="Calibri" w:cs="Times New Roman"/>
        </w:rPr>
        <w:t xml:space="preserve"> as self-employed</w:t>
      </w:r>
      <w:r>
        <w:rPr>
          <w:rFonts w:ascii="Calibri" w:eastAsia="Calibri" w:hAnsi="Calibri" w:cs="Times New Roman"/>
        </w:rPr>
        <w:t>, which would imply that they had the opportunity to choose what they did more than their employee counterparts</w:t>
      </w:r>
      <w:r w:rsidRPr="00AB33E3">
        <w:rPr>
          <w:rFonts w:ascii="Calibri" w:eastAsia="Calibri" w:hAnsi="Calibri" w:cs="Times New Roman"/>
        </w:rPr>
        <w:t xml:space="preserve">. Apart from the indicator of stress and pressure to work harder, they </w:t>
      </w:r>
      <w:r>
        <w:rPr>
          <w:rFonts w:ascii="Calibri" w:eastAsia="Calibri" w:hAnsi="Calibri" w:cs="Times New Roman"/>
        </w:rPr>
        <w:t>we</w:t>
      </w:r>
      <w:r w:rsidRPr="00AB33E3">
        <w:rPr>
          <w:rFonts w:ascii="Calibri" w:eastAsia="Calibri" w:hAnsi="Calibri" w:cs="Times New Roman"/>
        </w:rPr>
        <w:t>re very positive about their work. An extraordinary 96 per cent sa</w:t>
      </w:r>
      <w:r>
        <w:rPr>
          <w:rFonts w:ascii="Calibri" w:eastAsia="Calibri" w:hAnsi="Calibri" w:cs="Times New Roman"/>
        </w:rPr>
        <w:t>id</w:t>
      </w:r>
      <w:r w:rsidRPr="00AB33E3">
        <w:rPr>
          <w:rFonts w:ascii="Calibri" w:eastAsia="Calibri" w:hAnsi="Calibri" w:cs="Times New Roman"/>
        </w:rPr>
        <w:t xml:space="preserve"> they </w:t>
      </w:r>
      <w:r>
        <w:rPr>
          <w:rFonts w:ascii="Calibri" w:eastAsia="Calibri" w:hAnsi="Calibri" w:cs="Times New Roman"/>
        </w:rPr>
        <w:t>we</w:t>
      </w:r>
      <w:r w:rsidRPr="00AB33E3">
        <w:rPr>
          <w:rFonts w:ascii="Calibri" w:eastAsia="Calibri" w:hAnsi="Calibri" w:cs="Times New Roman"/>
        </w:rPr>
        <w:t>re ‘proud to tell people who I work for’</w:t>
      </w:r>
      <w:r>
        <w:rPr>
          <w:rFonts w:ascii="Calibri" w:eastAsia="Calibri" w:hAnsi="Calibri" w:cs="Times New Roman"/>
        </w:rPr>
        <w:t xml:space="preserve"> (for the self-employed, this was themselves)</w:t>
      </w:r>
      <w:r w:rsidRPr="00AB33E3">
        <w:rPr>
          <w:rFonts w:ascii="Calibri" w:eastAsia="Calibri" w:hAnsi="Calibri" w:cs="Times New Roman"/>
        </w:rPr>
        <w:t>.</w:t>
      </w:r>
    </w:p>
    <w:p w:rsidR="00B92687" w:rsidRPr="00AB33E3" w:rsidRDefault="00B92687" w:rsidP="00AE4C3A">
      <w:pPr>
        <w:contextualSpacing/>
        <w:rPr>
          <w:rFonts w:ascii="Calibri" w:eastAsia="Calibri" w:hAnsi="Calibri" w:cs="Times New Roman"/>
        </w:rPr>
      </w:pPr>
    </w:p>
    <w:p w:rsidR="00A92038" w:rsidRDefault="00A92038">
      <w:pPr>
        <w:rPr>
          <w:b/>
          <w:sz w:val="20"/>
          <w:lang w:val="x-none"/>
        </w:rPr>
      </w:pPr>
      <w:bookmarkStart w:id="741" w:name="_Toc428279267"/>
      <w:r>
        <w:br w:type="page"/>
      </w:r>
    </w:p>
    <w:p w:rsidR="0044684E" w:rsidRDefault="00685BE5" w:rsidP="0044684E">
      <w:pPr>
        <w:pStyle w:val="NILSTableHeading"/>
        <w:spacing w:after="0"/>
        <w:rPr>
          <w:lang w:val="en-AU"/>
        </w:rPr>
      </w:pPr>
      <w:bookmarkStart w:id="742" w:name="_Toc449955398"/>
      <w:r>
        <w:lastRenderedPageBreak/>
        <w:t>Table 4.60</w:t>
      </w:r>
      <w:r w:rsidRPr="00AB33E3">
        <w:t>: Opinions about aspects of work</w:t>
      </w:r>
      <w:r>
        <w:t xml:space="preserve"> of self-employed providers</w:t>
      </w:r>
      <w:bookmarkEnd w:id="742"/>
      <w:r w:rsidR="005A3F74">
        <w:t xml:space="preserve"> </w:t>
      </w:r>
    </w:p>
    <w:p w:rsidR="00685BE5" w:rsidRPr="005A3F74" w:rsidRDefault="005A3F74" w:rsidP="0044684E">
      <w:pPr>
        <w:pStyle w:val="NILSTableHeading"/>
        <w:spacing w:before="0"/>
        <w:rPr>
          <w:lang w:val="en-AU"/>
        </w:rPr>
      </w:pPr>
      <w:bookmarkStart w:id="743" w:name="_Toc449955399"/>
      <w:r>
        <w:rPr>
          <w:lang w:val="en-AU"/>
        </w:rPr>
        <w:t>[</w:t>
      </w:r>
      <w:r w:rsidR="00685BE5" w:rsidRPr="00AB33E3">
        <w:t>1</w:t>
      </w:r>
      <w:r w:rsidR="00416E15">
        <w:rPr>
          <w:lang w:val="en-AU"/>
        </w:rPr>
        <w:t xml:space="preserve"> to </w:t>
      </w:r>
      <w:r w:rsidR="00685BE5" w:rsidRPr="00AB33E3">
        <w:t>7 disagree</w:t>
      </w:r>
      <w:r w:rsidR="001766C0">
        <w:rPr>
          <w:lang w:val="en-AU"/>
        </w:rPr>
        <w:t>/</w:t>
      </w:r>
      <w:r w:rsidR="00685BE5" w:rsidRPr="00AB33E3">
        <w:t>agree scaling</w:t>
      </w:r>
      <w:bookmarkEnd w:id="741"/>
      <w:r>
        <w:rPr>
          <w:lang w:val="en-AU"/>
        </w:rPr>
        <w:t xml:space="preserve">] </w:t>
      </w:r>
      <w:r w:rsidR="005307B2">
        <w:rPr>
          <w:lang w:val="en-AU"/>
        </w:rPr>
        <w:t>(per</w:t>
      </w:r>
      <w:r w:rsidR="0044684E">
        <w:rPr>
          <w:lang w:val="en-AU"/>
        </w:rPr>
        <w:t xml:space="preserve"> </w:t>
      </w:r>
      <w:r w:rsidR="005307B2">
        <w:rPr>
          <w:lang w:val="en-AU"/>
        </w:rPr>
        <w:t>cent)</w:t>
      </w:r>
      <w:bookmarkEnd w:id="743"/>
    </w:p>
    <w:tbl>
      <w:tblPr>
        <w:tblW w:w="9889" w:type="dxa"/>
        <w:tblLook w:val="04A0" w:firstRow="1" w:lastRow="0" w:firstColumn="1" w:lastColumn="0" w:noHBand="0" w:noVBand="1"/>
        <w:tblCaption w:val="Table 4.60 Opinions about aspects of work of self-employed providers (1-7 disagree/agree scaling)"/>
        <w:tblDescription w:val="This table shows results in percentages; of responses by self-employed providers on their opinions about aspects of their work. Scale from 1 to 7: 1 to 3 disagree, 4 is neither disagree nor agree, and 5 to 7 agree. Column 6 is the mean."/>
      </w:tblPr>
      <w:tblGrid>
        <w:gridCol w:w="5778"/>
        <w:gridCol w:w="852"/>
        <w:gridCol w:w="617"/>
        <w:gridCol w:w="658"/>
        <w:gridCol w:w="1275"/>
        <w:gridCol w:w="709"/>
      </w:tblGrid>
      <w:tr w:rsidR="00685BE5" w:rsidRPr="000C0BF5" w:rsidTr="00A67171">
        <w:trPr>
          <w:cantSplit/>
          <w:tblHeader/>
        </w:trPr>
        <w:tc>
          <w:tcPr>
            <w:tcW w:w="5778" w:type="dxa"/>
            <w:tcBorders>
              <w:top w:val="single" w:sz="4" w:space="0" w:color="auto"/>
              <w:left w:val="nil"/>
              <w:bottom w:val="single" w:sz="4" w:space="0" w:color="auto"/>
              <w:right w:val="nil"/>
            </w:tcBorders>
            <w:shd w:val="clear" w:color="auto" w:fill="auto"/>
            <w:noWrap/>
            <w:hideMark/>
          </w:tcPr>
          <w:p w:rsidR="00685BE5" w:rsidRPr="000C0BF5" w:rsidRDefault="00685BE5" w:rsidP="00AE4C3A">
            <w:pPr>
              <w:spacing w:before="20" w:after="20"/>
              <w:rPr>
                <w:rFonts w:ascii="Calibri" w:eastAsia="Times New Roman" w:hAnsi="Calibri" w:cs="Calibri"/>
                <w:b/>
                <w:color w:val="000000"/>
                <w:sz w:val="18"/>
                <w:szCs w:val="18"/>
                <w:lang w:eastAsia="zh-CN"/>
              </w:rPr>
            </w:pPr>
            <w:bookmarkStart w:id="744" w:name="Title_4_60"/>
            <w:bookmarkEnd w:id="744"/>
          </w:p>
        </w:tc>
        <w:tc>
          <w:tcPr>
            <w:tcW w:w="852" w:type="dxa"/>
            <w:tcBorders>
              <w:top w:val="single" w:sz="4" w:space="0" w:color="auto"/>
              <w:left w:val="nil"/>
              <w:bottom w:val="single" w:sz="4" w:space="0" w:color="auto"/>
              <w:right w:val="nil"/>
            </w:tcBorders>
            <w:shd w:val="clear" w:color="auto" w:fill="auto"/>
            <w:noWrap/>
            <w:hideMark/>
          </w:tcPr>
          <w:p w:rsidR="00A67171" w:rsidRPr="000C0BF5" w:rsidRDefault="00685BE5" w:rsidP="005307B2">
            <w:pPr>
              <w:spacing w:before="20" w:after="20"/>
              <w:jc w:val="center"/>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Disagree</w:t>
            </w:r>
            <w:r w:rsidR="00F65718">
              <w:rPr>
                <w:rFonts w:ascii="Calibri" w:eastAsia="Times New Roman" w:hAnsi="Calibri" w:cs="Calibri"/>
                <w:color w:val="000000"/>
                <w:sz w:val="18"/>
                <w:szCs w:val="18"/>
                <w:lang w:eastAsia="zh-CN"/>
              </w:rPr>
              <w:t xml:space="preserve"> </w:t>
            </w:r>
            <w:r w:rsidR="000B41E3">
              <w:rPr>
                <w:rFonts w:ascii="Calibri" w:eastAsia="Times New Roman" w:hAnsi="Calibri" w:cs="Calibri"/>
                <w:color w:val="000000"/>
                <w:sz w:val="18"/>
                <w:szCs w:val="18"/>
                <w:lang w:eastAsia="zh-CN"/>
              </w:rPr>
              <w:t xml:space="preserve">1 to </w:t>
            </w:r>
            <w:r w:rsidRPr="000C0BF5">
              <w:rPr>
                <w:rFonts w:ascii="Calibri" w:eastAsia="Times New Roman" w:hAnsi="Calibri" w:cs="Calibri"/>
                <w:color w:val="000000"/>
                <w:sz w:val="18"/>
                <w:szCs w:val="18"/>
                <w:lang w:eastAsia="zh-CN"/>
              </w:rPr>
              <w:t>3</w:t>
            </w:r>
            <w:r w:rsidR="00AA0EE6">
              <w:rPr>
                <w:rFonts w:ascii="Calibri" w:eastAsia="Times New Roman" w:hAnsi="Calibri" w:cs="Calibri"/>
                <w:color w:val="000000"/>
                <w:sz w:val="18"/>
                <w:szCs w:val="18"/>
                <w:lang w:eastAsia="zh-CN"/>
              </w:rPr>
              <w:t xml:space="preserve"> </w:t>
            </w:r>
          </w:p>
        </w:tc>
        <w:tc>
          <w:tcPr>
            <w:tcW w:w="617" w:type="dxa"/>
            <w:tcBorders>
              <w:top w:val="single" w:sz="4" w:space="0" w:color="auto"/>
              <w:left w:val="nil"/>
              <w:bottom w:val="single" w:sz="4" w:space="0" w:color="auto"/>
              <w:right w:val="nil"/>
            </w:tcBorders>
            <w:shd w:val="clear" w:color="auto" w:fill="auto"/>
            <w:noWrap/>
            <w:hideMark/>
          </w:tcPr>
          <w:p w:rsidR="00C20924" w:rsidRDefault="00C20924" w:rsidP="00F65718">
            <w:pPr>
              <w:spacing w:before="20" w:after="20"/>
              <w:jc w:val="center"/>
              <w:rPr>
                <w:rFonts w:ascii="Calibri" w:eastAsia="Times New Roman" w:hAnsi="Calibri" w:cs="Calibri"/>
                <w:color w:val="000000"/>
                <w:sz w:val="18"/>
                <w:szCs w:val="18"/>
                <w:lang w:eastAsia="zh-CN"/>
              </w:rPr>
            </w:pPr>
          </w:p>
          <w:p w:rsidR="00A67171" w:rsidRPr="000C0BF5" w:rsidRDefault="00685BE5" w:rsidP="005307B2">
            <w:pPr>
              <w:spacing w:before="20" w:after="20"/>
              <w:jc w:val="center"/>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4</w:t>
            </w:r>
          </w:p>
        </w:tc>
        <w:tc>
          <w:tcPr>
            <w:tcW w:w="658" w:type="dxa"/>
            <w:tcBorders>
              <w:top w:val="single" w:sz="4" w:space="0" w:color="auto"/>
              <w:left w:val="nil"/>
              <w:bottom w:val="single" w:sz="4" w:space="0" w:color="auto"/>
              <w:right w:val="nil"/>
            </w:tcBorders>
            <w:shd w:val="clear" w:color="auto" w:fill="auto"/>
            <w:noWrap/>
            <w:hideMark/>
          </w:tcPr>
          <w:p w:rsidR="00A67171" w:rsidRPr="000C0BF5" w:rsidRDefault="00685BE5" w:rsidP="000B41E3">
            <w:pPr>
              <w:spacing w:before="20" w:after="20"/>
              <w:jc w:val="center"/>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Agree</w:t>
            </w:r>
            <w:r w:rsidR="00F65718">
              <w:rPr>
                <w:rFonts w:ascii="Calibri" w:eastAsia="Times New Roman" w:hAnsi="Calibri" w:cs="Calibri"/>
                <w:color w:val="000000"/>
                <w:sz w:val="18"/>
                <w:szCs w:val="18"/>
                <w:lang w:eastAsia="zh-CN"/>
              </w:rPr>
              <w:t xml:space="preserve"> </w:t>
            </w:r>
            <w:r w:rsidRPr="000C0BF5">
              <w:rPr>
                <w:rFonts w:ascii="Calibri" w:eastAsia="Times New Roman" w:hAnsi="Calibri" w:cs="Calibri"/>
                <w:color w:val="000000"/>
                <w:sz w:val="18"/>
                <w:szCs w:val="18"/>
                <w:lang w:eastAsia="zh-CN"/>
              </w:rPr>
              <w:t>5</w:t>
            </w:r>
            <w:r w:rsidR="000B41E3">
              <w:rPr>
                <w:rFonts w:ascii="Calibri" w:eastAsia="Times New Roman" w:hAnsi="Calibri" w:cs="Calibri"/>
                <w:color w:val="000000"/>
                <w:sz w:val="18"/>
                <w:szCs w:val="18"/>
                <w:lang w:eastAsia="zh-CN"/>
              </w:rPr>
              <w:t xml:space="preserve"> to </w:t>
            </w:r>
            <w:r w:rsidRPr="000C0BF5">
              <w:rPr>
                <w:rFonts w:ascii="Calibri" w:eastAsia="Times New Roman" w:hAnsi="Calibri" w:cs="Calibri"/>
                <w:color w:val="000000"/>
                <w:sz w:val="18"/>
                <w:szCs w:val="18"/>
                <w:lang w:eastAsia="zh-CN"/>
              </w:rPr>
              <w:t>7</w:t>
            </w:r>
          </w:p>
        </w:tc>
        <w:tc>
          <w:tcPr>
            <w:tcW w:w="1275" w:type="dxa"/>
            <w:tcBorders>
              <w:top w:val="single" w:sz="4" w:space="0" w:color="auto"/>
              <w:left w:val="nil"/>
              <w:bottom w:val="single" w:sz="4" w:space="0" w:color="auto"/>
              <w:right w:val="nil"/>
            </w:tcBorders>
            <w:shd w:val="clear" w:color="auto" w:fill="auto"/>
            <w:noWrap/>
            <w:hideMark/>
          </w:tcPr>
          <w:p w:rsidR="00A67171" w:rsidRPr="000C0BF5" w:rsidRDefault="00685BE5" w:rsidP="005307B2">
            <w:pPr>
              <w:spacing w:before="20" w:after="20"/>
              <w:jc w:val="center"/>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Question not answered</w:t>
            </w:r>
          </w:p>
        </w:tc>
        <w:tc>
          <w:tcPr>
            <w:tcW w:w="709" w:type="dxa"/>
            <w:tcBorders>
              <w:top w:val="single" w:sz="4" w:space="0" w:color="auto"/>
              <w:left w:val="nil"/>
              <w:bottom w:val="single" w:sz="4" w:space="0" w:color="auto"/>
              <w:right w:val="nil"/>
            </w:tcBorders>
            <w:shd w:val="clear" w:color="auto" w:fill="auto"/>
            <w:noWrap/>
            <w:vAlign w:val="bottom"/>
            <w:hideMark/>
          </w:tcPr>
          <w:p w:rsidR="00A67171" w:rsidRPr="000C0BF5" w:rsidRDefault="00685BE5" w:rsidP="005307B2">
            <w:pPr>
              <w:spacing w:before="20" w:after="20"/>
              <w:jc w:val="center"/>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Mean</w:t>
            </w:r>
          </w:p>
        </w:tc>
      </w:tr>
      <w:tr w:rsidR="00685BE5" w:rsidRPr="000C0BF5" w:rsidTr="001766C0">
        <w:trPr>
          <w:cantSplit/>
        </w:trPr>
        <w:tc>
          <w:tcPr>
            <w:tcW w:w="5778" w:type="dxa"/>
            <w:tcBorders>
              <w:top w:val="nil"/>
              <w:left w:val="nil"/>
              <w:bottom w:val="nil"/>
              <w:right w:val="nil"/>
            </w:tcBorders>
            <w:shd w:val="clear" w:color="auto" w:fill="auto"/>
            <w:noWrap/>
            <w:vAlign w:val="center"/>
            <w:hideMark/>
          </w:tcPr>
          <w:p w:rsidR="00685BE5" w:rsidRPr="000C0BF5" w:rsidRDefault="00685BE5" w:rsidP="00AE4C3A">
            <w:pPr>
              <w:spacing w:before="20" w:after="20"/>
              <w:rPr>
                <w:rFonts w:ascii="Calibri" w:eastAsia="Times New Roman" w:hAnsi="Calibri" w:cs="Calibri"/>
                <w:color w:val="211D1E"/>
                <w:sz w:val="18"/>
                <w:szCs w:val="18"/>
                <w:lang w:eastAsia="zh-CN"/>
              </w:rPr>
            </w:pPr>
            <w:r w:rsidRPr="000C0BF5">
              <w:rPr>
                <w:rFonts w:ascii="Calibri" w:eastAsia="Times New Roman" w:hAnsi="Calibri" w:cs="Calibri"/>
                <w:color w:val="211D1E"/>
                <w:sz w:val="18"/>
                <w:szCs w:val="18"/>
                <w:lang w:eastAsia="zh-CN"/>
              </w:rPr>
              <w:t>I spend enough time with each person accessing supports</w:t>
            </w:r>
          </w:p>
        </w:tc>
        <w:tc>
          <w:tcPr>
            <w:tcW w:w="852" w:type="dxa"/>
            <w:tcBorders>
              <w:top w:val="nil"/>
              <w:left w:val="nil"/>
              <w:bottom w:val="nil"/>
              <w:right w:val="nil"/>
            </w:tcBorders>
            <w:shd w:val="clear" w:color="auto" w:fill="auto"/>
            <w:noWrap/>
            <w:vAlign w:val="center"/>
            <w:hideMark/>
          </w:tcPr>
          <w:p w:rsidR="00685BE5" w:rsidRPr="000C0BF5" w:rsidRDefault="00685BE5" w:rsidP="00A27695">
            <w:pPr>
              <w:tabs>
                <w:tab w:val="right" w:pos="459"/>
              </w:tabs>
              <w:spacing w:before="20" w:after="20"/>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ab/>
            </w:r>
            <w:r w:rsidRPr="000C0BF5">
              <w:rPr>
                <w:rFonts w:ascii="Calibri" w:eastAsia="Times New Roman" w:hAnsi="Calibri" w:cs="Calibri"/>
                <w:color w:val="000000"/>
                <w:sz w:val="18"/>
                <w:szCs w:val="18"/>
                <w:lang w:eastAsia="zh-CN"/>
              </w:rPr>
              <w:t>18</w:t>
            </w:r>
          </w:p>
        </w:tc>
        <w:tc>
          <w:tcPr>
            <w:tcW w:w="617" w:type="dxa"/>
            <w:tcBorders>
              <w:top w:val="nil"/>
              <w:left w:val="nil"/>
              <w:bottom w:val="nil"/>
              <w:right w:val="nil"/>
            </w:tcBorders>
            <w:shd w:val="clear" w:color="auto" w:fill="auto"/>
            <w:noWrap/>
            <w:vAlign w:val="center"/>
            <w:hideMark/>
          </w:tcPr>
          <w:p w:rsidR="00685BE5" w:rsidRPr="000C0BF5" w:rsidRDefault="00685BE5" w:rsidP="00AE4C3A">
            <w:pPr>
              <w:tabs>
                <w:tab w:val="decimal" w:pos="264"/>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11.8</w:t>
            </w:r>
          </w:p>
        </w:tc>
        <w:tc>
          <w:tcPr>
            <w:tcW w:w="658" w:type="dxa"/>
            <w:tcBorders>
              <w:top w:val="nil"/>
              <w:left w:val="nil"/>
              <w:bottom w:val="nil"/>
              <w:right w:val="nil"/>
            </w:tcBorders>
            <w:shd w:val="clear" w:color="auto" w:fill="auto"/>
            <w:noWrap/>
            <w:vAlign w:val="center"/>
            <w:hideMark/>
          </w:tcPr>
          <w:p w:rsidR="00685BE5" w:rsidRPr="000C0BF5" w:rsidRDefault="00685BE5" w:rsidP="00AE4C3A">
            <w:pPr>
              <w:tabs>
                <w:tab w:val="decimal" w:pos="283"/>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68.4</w:t>
            </w:r>
          </w:p>
        </w:tc>
        <w:tc>
          <w:tcPr>
            <w:tcW w:w="1275" w:type="dxa"/>
            <w:tcBorders>
              <w:top w:val="nil"/>
              <w:left w:val="nil"/>
              <w:bottom w:val="nil"/>
              <w:right w:val="nil"/>
            </w:tcBorders>
            <w:shd w:val="clear" w:color="auto" w:fill="auto"/>
            <w:noWrap/>
            <w:vAlign w:val="center"/>
            <w:hideMark/>
          </w:tcPr>
          <w:p w:rsidR="00685BE5" w:rsidRPr="000C0BF5" w:rsidRDefault="00685BE5" w:rsidP="00A27695">
            <w:pPr>
              <w:tabs>
                <w:tab w:val="decimal" w:pos="459"/>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1.8</w:t>
            </w:r>
          </w:p>
        </w:tc>
        <w:tc>
          <w:tcPr>
            <w:tcW w:w="709" w:type="dxa"/>
            <w:tcBorders>
              <w:top w:val="nil"/>
              <w:left w:val="nil"/>
              <w:bottom w:val="nil"/>
              <w:right w:val="nil"/>
            </w:tcBorders>
            <w:shd w:val="clear" w:color="auto" w:fill="auto"/>
            <w:noWrap/>
            <w:vAlign w:val="bottom"/>
            <w:hideMark/>
          </w:tcPr>
          <w:p w:rsidR="00685BE5" w:rsidRPr="000C0BF5" w:rsidRDefault="00685BE5" w:rsidP="00AE4C3A">
            <w:pPr>
              <w:tabs>
                <w:tab w:val="decimal" w:pos="302"/>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5.2</w:t>
            </w:r>
          </w:p>
        </w:tc>
      </w:tr>
      <w:tr w:rsidR="00685BE5" w:rsidRPr="000C0BF5" w:rsidTr="001766C0">
        <w:trPr>
          <w:cantSplit/>
        </w:trPr>
        <w:tc>
          <w:tcPr>
            <w:tcW w:w="5778" w:type="dxa"/>
            <w:tcBorders>
              <w:top w:val="nil"/>
              <w:left w:val="nil"/>
              <w:bottom w:val="nil"/>
              <w:right w:val="nil"/>
            </w:tcBorders>
            <w:shd w:val="clear" w:color="auto" w:fill="auto"/>
            <w:noWrap/>
            <w:vAlign w:val="center"/>
            <w:hideMark/>
          </w:tcPr>
          <w:p w:rsidR="00685BE5" w:rsidRPr="000C0BF5" w:rsidRDefault="00685BE5" w:rsidP="00AE4C3A">
            <w:pPr>
              <w:spacing w:before="20" w:after="20"/>
              <w:rPr>
                <w:rFonts w:ascii="Calibri" w:eastAsia="Times New Roman" w:hAnsi="Calibri" w:cs="Calibri"/>
                <w:color w:val="211D1E"/>
                <w:sz w:val="18"/>
                <w:szCs w:val="18"/>
                <w:lang w:eastAsia="zh-CN"/>
              </w:rPr>
            </w:pPr>
            <w:r w:rsidRPr="000C0BF5">
              <w:rPr>
                <w:rFonts w:ascii="Calibri" w:eastAsia="Times New Roman" w:hAnsi="Calibri" w:cs="Calibri"/>
                <w:color w:val="211D1E"/>
                <w:sz w:val="18"/>
                <w:szCs w:val="18"/>
                <w:lang w:eastAsia="zh-CN"/>
              </w:rPr>
              <w:t>I have adequate continuity of contact with each person accessing supports</w:t>
            </w:r>
          </w:p>
        </w:tc>
        <w:tc>
          <w:tcPr>
            <w:tcW w:w="852" w:type="dxa"/>
            <w:tcBorders>
              <w:top w:val="nil"/>
              <w:left w:val="nil"/>
              <w:bottom w:val="nil"/>
              <w:right w:val="nil"/>
            </w:tcBorders>
            <w:shd w:val="clear" w:color="auto" w:fill="auto"/>
            <w:noWrap/>
            <w:vAlign w:val="center"/>
            <w:hideMark/>
          </w:tcPr>
          <w:p w:rsidR="00685BE5" w:rsidRPr="000C0BF5" w:rsidRDefault="00685BE5" w:rsidP="00A27695">
            <w:pPr>
              <w:tabs>
                <w:tab w:val="right" w:pos="459"/>
              </w:tabs>
              <w:spacing w:before="20" w:after="20"/>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ab/>
            </w:r>
            <w:r w:rsidRPr="000C0BF5">
              <w:rPr>
                <w:rFonts w:ascii="Calibri" w:eastAsia="Times New Roman" w:hAnsi="Calibri" w:cs="Calibri"/>
                <w:color w:val="000000"/>
                <w:sz w:val="18"/>
                <w:szCs w:val="18"/>
                <w:lang w:eastAsia="zh-CN"/>
              </w:rPr>
              <w:t>14.3</w:t>
            </w:r>
          </w:p>
        </w:tc>
        <w:tc>
          <w:tcPr>
            <w:tcW w:w="617" w:type="dxa"/>
            <w:tcBorders>
              <w:top w:val="nil"/>
              <w:left w:val="nil"/>
              <w:bottom w:val="nil"/>
              <w:right w:val="nil"/>
            </w:tcBorders>
            <w:shd w:val="clear" w:color="auto" w:fill="auto"/>
            <w:noWrap/>
            <w:vAlign w:val="center"/>
            <w:hideMark/>
          </w:tcPr>
          <w:p w:rsidR="00685BE5" w:rsidRPr="000C0BF5" w:rsidRDefault="00685BE5" w:rsidP="00AE4C3A">
            <w:pPr>
              <w:tabs>
                <w:tab w:val="decimal" w:pos="264"/>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9.9</w:t>
            </w:r>
          </w:p>
        </w:tc>
        <w:tc>
          <w:tcPr>
            <w:tcW w:w="658" w:type="dxa"/>
            <w:tcBorders>
              <w:top w:val="nil"/>
              <w:left w:val="nil"/>
              <w:bottom w:val="nil"/>
              <w:right w:val="nil"/>
            </w:tcBorders>
            <w:shd w:val="clear" w:color="auto" w:fill="auto"/>
            <w:noWrap/>
            <w:vAlign w:val="center"/>
            <w:hideMark/>
          </w:tcPr>
          <w:p w:rsidR="00685BE5" w:rsidRPr="000C0BF5" w:rsidRDefault="00685BE5" w:rsidP="00AE4C3A">
            <w:pPr>
              <w:tabs>
                <w:tab w:val="decimal" w:pos="283"/>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73.9</w:t>
            </w:r>
          </w:p>
        </w:tc>
        <w:tc>
          <w:tcPr>
            <w:tcW w:w="1275" w:type="dxa"/>
            <w:tcBorders>
              <w:top w:val="nil"/>
              <w:left w:val="nil"/>
              <w:bottom w:val="nil"/>
              <w:right w:val="nil"/>
            </w:tcBorders>
            <w:shd w:val="clear" w:color="auto" w:fill="auto"/>
            <w:noWrap/>
            <w:vAlign w:val="center"/>
            <w:hideMark/>
          </w:tcPr>
          <w:p w:rsidR="00685BE5" w:rsidRPr="000C0BF5" w:rsidRDefault="00685BE5" w:rsidP="00A27695">
            <w:pPr>
              <w:tabs>
                <w:tab w:val="decimal" w:pos="459"/>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1.8</w:t>
            </w:r>
          </w:p>
        </w:tc>
        <w:tc>
          <w:tcPr>
            <w:tcW w:w="709" w:type="dxa"/>
            <w:tcBorders>
              <w:top w:val="nil"/>
              <w:left w:val="nil"/>
              <w:bottom w:val="nil"/>
              <w:right w:val="nil"/>
            </w:tcBorders>
            <w:shd w:val="clear" w:color="auto" w:fill="auto"/>
            <w:noWrap/>
            <w:vAlign w:val="bottom"/>
            <w:hideMark/>
          </w:tcPr>
          <w:p w:rsidR="00685BE5" w:rsidRPr="000C0BF5" w:rsidRDefault="00685BE5" w:rsidP="00AE4C3A">
            <w:pPr>
              <w:tabs>
                <w:tab w:val="decimal" w:pos="302"/>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5.2</w:t>
            </w:r>
          </w:p>
        </w:tc>
      </w:tr>
      <w:tr w:rsidR="00685BE5" w:rsidRPr="000C0BF5" w:rsidTr="001766C0">
        <w:trPr>
          <w:cantSplit/>
        </w:trPr>
        <w:tc>
          <w:tcPr>
            <w:tcW w:w="5778" w:type="dxa"/>
            <w:tcBorders>
              <w:top w:val="nil"/>
              <w:left w:val="nil"/>
              <w:bottom w:val="nil"/>
              <w:right w:val="nil"/>
            </w:tcBorders>
            <w:shd w:val="clear" w:color="auto" w:fill="auto"/>
            <w:noWrap/>
            <w:vAlign w:val="center"/>
            <w:hideMark/>
          </w:tcPr>
          <w:p w:rsidR="00685BE5" w:rsidRPr="000C0BF5" w:rsidRDefault="00685BE5" w:rsidP="00AE4C3A">
            <w:pPr>
              <w:spacing w:before="20" w:after="20"/>
              <w:rPr>
                <w:rFonts w:ascii="Calibri" w:eastAsia="Times New Roman" w:hAnsi="Calibri" w:cs="Calibri"/>
                <w:color w:val="211D1E"/>
                <w:sz w:val="18"/>
                <w:szCs w:val="18"/>
                <w:lang w:eastAsia="zh-CN"/>
              </w:rPr>
            </w:pPr>
            <w:r w:rsidRPr="000C0BF5">
              <w:rPr>
                <w:rFonts w:ascii="Calibri" w:eastAsia="Times New Roman" w:hAnsi="Calibri" w:cs="Calibri"/>
                <w:color w:val="211D1E"/>
                <w:sz w:val="18"/>
                <w:szCs w:val="18"/>
                <w:lang w:eastAsia="zh-CN"/>
              </w:rPr>
              <w:t>I have the skills and abilities I need to do my work</w:t>
            </w:r>
          </w:p>
        </w:tc>
        <w:tc>
          <w:tcPr>
            <w:tcW w:w="852" w:type="dxa"/>
            <w:tcBorders>
              <w:top w:val="nil"/>
              <w:left w:val="nil"/>
              <w:bottom w:val="nil"/>
              <w:right w:val="nil"/>
            </w:tcBorders>
            <w:shd w:val="clear" w:color="auto" w:fill="auto"/>
            <w:noWrap/>
            <w:vAlign w:val="center"/>
            <w:hideMark/>
          </w:tcPr>
          <w:p w:rsidR="00685BE5" w:rsidRPr="000C0BF5" w:rsidRDefault="00685BE5" w:rsidP="00A27695">
            <w:pPr>
              <w:tabs>
                <w:tab w:val="right" w:pos="459"/>
              </w:tabs>
              <w:spacing w:before="20" w:after="20"/>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ab/>
            </w:r>
            <w:r w:rsidRPr="000C0BF5">
              <w:rPr>
                <w:rFonts w:ascii="Calibri" w:eastAsia="Times New Roman" w:hAnsi="Calibri" w:cs="Calibri"/>
                <w:color w:val="000000"/>
                <w:sz w:val="18"/>
                <w:szCs w:val="18"/>
                <w:lang w:eastAsia="zh-CN"/>
              </w:rPr>
              <w:t>0.7</w:t>
            </w:r>
          </w:p>
        </w:tc>
        <w:tc>
          <w:tcPr>
            <w:tcW w:w="617" w:type="dxa"/>
            <w:tcBorders>
              <w:top w:val="nil"/>
              <w:left w:val="nil"/>
              <w:bottom w:val="nil"/>
              <w:right w:val="nil"/>
            </w:tcBorders>
            <w:shd w:val="clear" w:color="auto" w:fill="auto"/>
            <w:noWrap/>
            <w:vAlign w:val="center"/>
            <w:hideMark/>
          </w:tcPr>
          <w:p w:rsidR="00685BE5" w:rsidRPr="000C0BF5" w:rsidRDefault="00685BE5" w:rsidP="00AE4C3A">
            <w:pPr>
              <w:tabs>
                <w:tab w:val="decimal" w:pos="264"/>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3.3</w:t>
            </w:r>
          </w:p>
        </w:tc>
        <w:tc>
          <w:tcPr>
            <w:tcW w:w="658" w:type="dxa"/>
            <w:tcBorders>
              <w:top w:val="nil"/>
              <w:left w:val="nil"/>
              <w:bottom w:val="nil"/>
              <w:right w:val="nil"/>
            </w:tcBorders>
            <w:shd w:val="clear" w:color="auto" w:fill="auto"/>
            <w:noWrap/>
            <w:vAlign w:val="center"/>
            <w:hideMark/>
          </w:tcPr>
          <w:p w:rsidR="00685BE5" w:rsidRPr="000C0BF5" w:rsidRDefault="00685BE5" w:rsidP="00AE4C3A">
            <w:pPr>
              <w:tabs>
                <w:tab w:val="decimal" w:pos="283"/>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94.9</w:t>
            </w:r>
          </w:p>
        </w:tc>
        <w:tc>
          <w:tcPr>
            <w:tcW w:w="1275" w:type="dxa"/>
            <w:tcBorders>
              <w:top w:val="nil"/>
              <w:left w:val="nil"/>
              <w:bottom w:val="nil"/>
              <w:right w:val="nil"/>
            </w:tcBorders>
            <w:shd w:val="clear" w:color="auto" w:fill="auto"/>
            <w:noWrap/>
            <w:vAlign w:val="center"/>
            <w:hideMark/>
          </w:tcPr>
          <w:p w:rsidR="00685BE5" w:rsidRPr="000C0BF5" w:rsidRDefault="00685BE5" w:rsidP="00A27695">
            <w:pPr>
              <w:tabs>
                <w:tab w:val="decimal" w:pos="459"/>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1.1</w:t>
            </w:r>
          </w:p>
        </w:tc>
        <w:tc>
          <w:tcPr>
            <w:tcW w:w="709" w:type="dxa"/>
            <w:tcBorders>
              <w:top w:val="nil"/>
              <w:left w:val="nil"/>
              <w:bottom w:val="nil"/>
              <w:right w:val="nil"/>
            </w:tcBorders>
            <w:shd w:val="clear" w:color="auto" w:fill="auto"/>
            <w:noWrap/>
            <w:vAlign w:val="bottom"/>
            <w:hideMark/>
          </w:tcPr>
          <w:p w:rsidR="00685BE5" w:rsidRPr="000C0BF5" w:rsidRDefault="00685BE5" w:rsidP="00AE4C3A">
            <w:pPr>
              <w:tabs>
                <w:tab w:val="decimal" w:pos="302"/>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6.3</w:t>
            </w:r>
          </w:p>
        </w:tc>
      </w:tr>
      <w:tr w:rsidR="00685BE5" w:rsidRPr="000C0BF5" w:rsidTr="001766C0">
        <w:trPr>
          <w:cantSplit/>
        </w:trPr>
        <w:tc>
          <w:tcPr>
            <w:tcW w:w="5778" w:type="dxa"/>
            <w:tcBorders>
              <w:top w:val="nil"/>
              <w:left w:val="nil"/>
              <w:bottom w:val="nil"/>
              <w:right w:val="nil"/>
            </w:tcBorders>
            <w:shd w:val="clear" w:color="auto" w:fill="auto"/>
            <w:noWrap/>
            <w:vAlign w:val="center"/>
            <w:hideMark/>
          </w:tcPr>
          <w:p w:rsidR="00685BE5" w:rsidRPr="000C0BF5" w:rsidRDefault="00685BE5" w:rsidP="00AE4C3A">
            <w:pPr>
              <w:spacing w:before="20" w:after="20"/>
              <w:rPr>
                <w:rFonts w:ascii="Calibri" w:eastAsia="Times New Roman" w:hAnsi="Calibri" w:cs="Calibri"/>
                <w:color w:val="211D1E"/>
                <w:sz w:val="18"/>
                <w:szCs w:val="18"/>
                <w:lang w:eastAsia="zh-CN"/>
              </w:rPr>
            </w:pPr>
            <w:r w:rsidRPr="000C0BF5">
              <w:rPr>
                <w:rFonts w:ascii="Calibri" w:eastAsia="Times New Roman" w:hAnsi="Calibri" w:cs="Calibri"/>
                <w:color w:val="211D1E"/>
                <w:sz w:val="18"/>
                <w:szCs w:val="18"/>
                <w:lang w:eastAsia="zh-CN"/>
              </w:rPr>
              <w:t>I use many of my skills and abilities in my work</w:t>
            </w:r>
          </w:p>
        </w:tc>
        <w:tc>
          <w:tcPr>
            <w:tcW w:w="852" w:type="dxa"/>
            <w:tcBorders>
              <w:top w:val="nil"/>
              <w:left w:val="nil"/>
              <w:bottom w:val="nil"/>
              <w:right w:val="nil"/>
            </w:tcBorders>
            <w:shd w:val="clear" w:color="auto" w:fill="auto"/>
            <w:noWrap/>
            <w:vAlign w:val="center"/>
            <w:hideMark/>
          </w:tcPr>
          <w:p w:rsidR="00685BE5" w:rsidRPr="000C0BF5" w:rsidRDefault="00685BE5" w:rsidP="00A27695">
            <w:pPr>
              <w:tabs>
                <w:tab w:val="right" w:pos="459"/>
              </w:tabs>
              <w:spacing w:before="20" w:after="20"/>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ab/>
            </w:r>
            <w:r w:rsidRPr="000C0BF5">
              <w:rPr>
                <w:rFonts w:ascii="Calibri" w:eastAsia="Times New Roman" w:hAnsi="Calibri" w:cs="Calibri"/>
                <w:color w:val="000000"/>
                <w:sz w:val="18"/>
                <w:szCs w:val="18"/>
                <w:lang w:eastAsia="zh-CN"/>
              </w:rPr>
              <w:t>0.4</w:t>
            </w:r>
          </w:p>
        </w:tc>
        <w:tc>
          <w:tcPr>
            <w:tcW w:w="617" w:type="dxa"/>
            <w:tcBorders>
              <w:top w:val="nil"/>
              <w:left w:val="nil"/>
              <w:bottom w:val="nil"/>
              <w:right w:val="nil"/>
            </w:tcBorders>
            <w:shd w:val="clear" w:color="auto" w:fill="auto"/>
            <w:noWrap/>
            <w:vAlign w:val="center"/>
            <w:hideMark/>
          </w:tcPr>
          <w:p w:rsidR="00685BE5" w:rsidRPr="000C0BF5" w:rsidRDefault="00685BE5" w:rsidP="00AE4C3A">
            <w:pPr>
              <w:tabs>
                <w:tab w:val="decimal" w:pos="264"/>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1.8</w:t>
            </w:r>
          </w:p>
        </w:tc>
        <w:tc>
          <w:tcPr>
            <w:tcW w:w="658" w:type="dxa"/>
            <w:tcBorders>
              <w:top w:val="nil"/>
              <w:left w:val="nil"/>
              <w:bottom w:val="nil"/>
              <w:right w:val="nil"/>
            </w:tcBorders>
            <w:shd w:val="clear" w:color="auto" w:fill="auto"/>
            <w:noWrap/>
            <w:vAlign w:val="center"/>
            <w:hideMark/>
          </w:tcPr>
          <w:p w:rsidR="00685BE5" w:rsidRPr="000C0BF5" w:rsidRDefault="00685BE5">
            <w:pPr>
              <w:tabs>
                <w:tab w:val="decimal" w:pos="283"/>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96.7</w:t>
            </w:r>
          </w:p>
        </w:tc>
        <w:tc>
          <w:tcPr>
            <w:tcW w:w="1275" w:type="dxa"/>
            <w:tcBorders>
              <w:top w:val="nil"/>
              <w:left w:val="nil"/>
              <w:bottom w:val="nil"/>
              <w:right w:val="nil"/>
            </w:tcBorders>
            <w:shd w:val="clear" w:color="auto" w:fill="auto"/>
            <w:noWrap/>
            <w:vAlign w:val="center"/>
            <w:hideMark/>
          </w:tcPr>
          <w:p w:rsidR="00685BE5" w:rsidRPr="000C0BF5" w:rsidRDefault="00685BE5" w:rsidP="00A27695">
            <w:pPr>
              <w:tabs>
                <w:tab w:val="decimal" w:pos="459"/>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1.1</w:t>
            </w:r>
          </w:p>
        </w:tc>
        <w:tc>
          <w:tcPr>
            <w:tcW w:w="709" w:type="dxa"/>
            <w:tcBorders>
              <w:top w:val="nil"/>
              <w:left w:val="nil"/>
              <w:bottom w:val="nil"/>
              <w:right w:val="nil"/>
            </w:tcBorders>
            <w:shd w:val="clear" w:color="auto" w:fill="auto"/>
            <w:noWrap/>
            <w:vAlign w:val="bottom"/>
            <w:hideMark/>
          </w:tcPr>
          <w:p w:rsidR="00685BE5" w:rsidRPr="000C0BF5" w:rsidRDefault="00685BE5" w:rsidP="00AE4C3A">
            <w:pPr>
              <w:tabs>
                <w:tab w:val="decimal" w:pos="302"/>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6.5</w:t>
            </w:r>
          </w:p>
        </w:tc>
      </w:tr>
      <w:tr w:rsidR="00685BE5" w:rsidRPr="000C0BF5" w:rsidTr="001766C0">
        <w:trPr>
          <w:cantSplit/>
        </w:trPr>
        <w:tc>
          <w:tcPr>
            <w:tcW w:w="5778" w:type="dxa"/>
            <w:tcBorders>
              <w:top w:val="nil"/>
              <w:left w:val="nil"/>
              <w:bottom w:val="nil"/>
              <w:right w:val="nil"/>
            </w:tcBorders>
            <w:shd w:val="clear" w:color="auto" w:fill="auto"/>
            <w:noWrap/>
            <w:vAlign w:val="center"/>
            <w:hideMark/>
          </w:tcPr>
          <w:p w:rsidR="00685BE5" w:rsidRPr="000C0BF5" w:rsidRDefault="00685BE5" w:rsidP="00AE4C3A">
            <w:pPr>
              <w:spacing w:before="20" w:after="20"/>
              <w:rPr>
                <w:rFonts w:ascii="Calibri" w:eastAsia="Times New Roman" w:hAnsi="Calibri" w:cs="Calibri"/>
                <w:color w:val="211D1E"/>
                <w:sz w:val="18"/>
                <w:szCs w:val="18"/>
                <w:lang w:eastAsia="zh-CN"/>
              </w:rPr>
            </w:pPr>
            <w:r w:rsidRPr="000C0BF5">
              <w:rPr>
                <w:rFonts w:ascii="Calibri" w:eastAsia="Times New Roman" w:hAnsi="Calibri" w:cs="Calibri"/>
                <w:color w:val="211D1E"/>
                <w:sz w:val="18"/>
                <w:szCs w:val="18"/>
                <w:lang w:eastAsia="zh-CN"/>
              </w:rPr>
              <w:t>I have a higher qualification than the one required for my work</w:t>
            </w:r>
          </w:p>
        </w:tc>
        <w:tc>
          <w:tcPr>
            <w:tcW w:w="852" w:type="dxa"/>
            <w:tcBorders>
              <w:top w:val="nil"/>
              <w:left w:val="nil"/>
              <w:bottom w:val="nil"/>
              <w:right w:val="nil"/>
            </w:tcBorders>
            <w:shd w:val="clear" w:color="auto" w:fill="auto"/>
            <w:noWrap/>
            <w:vAlign w:val="center"/>
            <w:hideMark/>
          </w:tcPr>
          <w:p w:rsidR="00685BE5" w:rsidRPr="000C0BF5" w:rsidRDefault="00685BE5" w:rsidP="00A27695">
            <w:pPr>
              <w:tabs>
                <w:tab w:val="right" w:pos="459"/>
              </w:tabs>
              <w:spacing w:before="20" w:after="20"/>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ab/>
            </w:r>
            <w:r w:rsidRPr="000C0BF5">
              <w:rPr>
                <w:rFonts w:ascii="Calibri" w:eastAsia="Times New Roman" w:hAnsi="Calibri" w:cs="Calibri"/>
                <w:color w:val="000000"/>
                <w:sz w:val="18"/>
                <w:szCs w:val="18"/>
                <w:lang w:eastAsia="zh-CN"/>
              </w:rPr>
              <w:t>46</w:t>
            </w:r>
          </w:p>
        </w:tc>
        <w:tc>
          <w:tcPr>
            <w:tcW w:w="617" w:type="dxa"/>
            <w:tcBorders>
              <w:top w:val="nil"/>
              <w:left w:val="nil"/>
              <w:bottom w:val="nil"/>
              <w:right w:val="nil"/>
            </w:tcBorders>
            <w:shd w:val="clear" w:color="auto" w:fill="auto"/>
            <w:noWrap/>
            <w:vAlign w:val="center"/>
            <w:hideMark/>
          </w:tcPr>
          <w:p w:rsidR="00685BE5" w:rsidRPr="000C0BF5" w:rsidRDefault="00685BE5" w:rsidP="00AE4C3A">
            <w:pPr>
              <w:tabs>
                <w:tab w:val="decimal" w:pos="264"/>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20.6</w:t>
            </w:r>
          </w:p>
        </w:tc>
        <w:tc>
          <w:tcPr>
            <w:tcW w:w="658" w:type="dxa"/>
            <w:tcBorders>
              <w:top w:val="nil"/>
              <w:left w:val="nil"/>
              <w:bottom w:val="nil"/>
              <w:right w:val="nil"/>
            </w:tcBorders>
            <w:shd w:val="clear" w:color="auto" w:fill="auto"/>
            <w:noWrap/>
            <w:vAlign w:val="center"/>
            <w:hideMark/>
          </w:tcPr>
          <w:p w:rsidR="00685BE5" w:rsidRPr="000C0BF5" w:rsidRDefault="00685BE5" w:rsidP="00AE4C3A">
            <w:pPr>
              <w:tabs>
                <w:tab w:val="decimal" w:pos="283"/>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32.4</w:t>
            </w:r>
          </w:p>
        </w:tc>
        <w:tc>
          <w:tcPr>
            <w:tcW w:w="1275" w:type="dxa"/>
            <w:tcBorders>
              <w:top w:val="nil"/>
              <w:left w:val="nil"/>
              <w:bottom w:val="nil"/>
              <w:right w:val="nil"/>
            </w:tcBorders>
            <w:shd w:val="clear" w:color="auto" w:fill="auto"/>
            <w:noWrap/>
            <w:vAlign w:val="center"/>
            <w:hideMark/>
          </w:tcPr>
          <w:p w:rsidR="00685BE5" w:rsidRPr="000C0BF5" w:rsidRDefault="00685BE5" w:rsidP="00A27695">
            <w:pPr>
              <w:tabs>
                <w:tab w:val="decimal" w:pos="459"/>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1.1</w:t>
            </w:r>
          </w:p>
        </w:tc>
        <w:tc>
          <w:tcPr>
            <w:tcW w:w="709" w:type="dxa"/>
            <w:tcBorders>
              <w:top w:val="nil"/>
              <w:left w:val="nil"/>
              <w:bottom w:val="nil"/>
              <w:right w:val="nil"/>
            </w:tcBorders>
            <w:shd w:val="clear" w:color="auto" w:fill="auto"/>
            <w:noWrap/>
            <w:vAlign w:val="bottom"/>
            <w:hideMark/>
          </w:tcPr>
          <w:p w:rsidR="00685BE5" w:rsidRPr="000C0BF5" w:rsidRDefault="00685BE5" w:rsidP="00AE4C3A">
            <w:pPr>
              <w:tabs>
                <w:tab w:val="decimal" w:pos="302"/>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3.6</w:t>
            </w:r>
          </w:p>
        </w:tc>
      </w:tr>
      <w:tr w:rsidR="00685BE5" w:rsidRPr="000C0BF5" w:rsidTr="001766C0">
        <w:trPr>
          <w:cantSplit/>
        </w:trPr>
        <w:tc>
          <w:tcPr>
            <w:tcW w:w="5778" w:type="dxa"/>
            <w:tcBorders>
              <w:top w:val="nil"/>
              <w:left w:val="nil"/>
              <w:bottom w:val="nil"/>
              <w:right w:val="nil"/>
            </w:tcBorders>
            <w:shd w:val="clear" w:color="auto" w:fill="auto"/>
            <w:noWrap/>
            <w:vAlign w:val="center"/>
            <w:hideMark/>
          </w:tcPr>
          <w:p w:rsidR="00685BE5" w:rsidRPr="000C0BF5" w:rsidRDefault="00685BE5" w:rsidP="00AE4C3A">
            <w:pPr>
              <w:spacing w:before="20" w:after="20"/>
              <w:rPr>
                <w:rFonts w:ascii="Calibri" w:eastAsia="Times New Roman" w:hAnsi="Calibri" w:cs="Calibri"/>
                <w:color w:val="211D1E"/>
                <w:sz w:val="18"/>
                <w:szCs w:val="18"/>
                <w:lang w:eastAsia="zh-CN"/>
              </w:rPr>
            </w:pPr>
            <w:r w:rsidRPr="000C0BF5">
              <w:rPr>
                <w:rFonts w:ascii="Calibri" w:eastAsia="Times New Roman" w:hAnsi="Calibri" w:cs="Calibri"/>
                <w:color w:val="211D1E"/>
                <w:sz w:val="18"/>
                <w:szCs w:val="18"/>
                <w:lang w:eastAsia="zh-CN"/>
              </w:rPr>
              <w:t>I have a lot of freedom to decide how I do my work</w:t>
            </w:r>
          </w:p>
        </w:tc>
        <w:tc>
          <w:tcPr>
            <w:tcW w:w="852" w:type="dxa"/>
            <w:tcBorders>
              <w:top w:val="nil"/>
              <w:left w:val="nil"/>
              <w:bottom w:val="nil"/>
              <w:right w:val="nil"/>
            </w:tcBorders>
            <w:shd w:val="clear" w:color="auto" w:fill="auto"/>
            <w:noWrap/>
            <w:vAlign w:val="center"/>
            <w:hideMark/>
          </w:tcPr>
          <w:p w:rsidR="00685BE5" w:rsidRPr="000C0BF5" w:rsidRDefault="00685BE5" w:rsidP="00A27695">
            <w:pPr>
              <w:tabs>
                <w:tab w:val="right" w:pos="459"/>
              </w:tabs>
              <w:spacing w:before="20" w:after="20"/>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ab/>
            </w:r>
            <w:r w:rsidRPr="000C0BF5">
              <w:rPr>
                <w:rFonts w:ascii="Calibri" w:eastAsia="Times New Roman" w:hAnsi="Calibri" w:cs="Calibri"/>
                <w:color w:val="000000"/>
                <w:sz w:val="18"/>
                <w:szCs w:val="18"/>
                <w:lang w:eastAsia="zh-CN"/>
              </w:rPr>
              <w:t>3.7</w:t>
            </w:r>
          </w:p>
        </w:tc>
        <w:tc>
          <w:tcPr>
            <w:tcW w:w="617" w:type="dxa"/>
            <w:tcBorders>
              <w:top w:val="nil"/>
              <w:left w:val="nil"/>
              <w:bottom w:val="nil"/>
              <w:right w:val="nil"/>
            </w:tcBorders>
            <w:shd w:val="clear" w:color="auto" w:fill="auto"/>
            <w:noWrap/>
            <w:vAlign w:val="center"/>
            <w:hideMark/>
          </w:tcPr>
          <w:p w:rsidR="00685BE5" w:rsidRPr="000C0BF5" w:rsidRDefault="00685BE5" w:rsidP="00AE4C3A">
            <w:pPr>
              <w:tabs>
                <w:tab w:val="decimal" w:pos="264"/>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9.6</w:t>
            </w:r>
          </w:p>
        </w:tc>
        <w:tc>
          <w:tcPr>
            <w:tcW w:w="658" w:type="dxa"/>
            <w:tcBorders>
              <w:top w:val="nil"/>
              <w:left w:val="nil"/>
              <w:bottom w:val="nil"/>
              <w:right w:val="nil"/>
            </w:tcBorders>
            <w:shd w:val="clear" w:color="auto" w:fill="auto"/>
            <w:noWrap/>
            <w:vAlign w:val="center"/>
            <w:hideMark/>
          </w:tcPr>
          <w:p w:rsidR="00685BE5" w:rsidRPr="000C0BF5" w:rsidRDefault="00685BE5" w:rsidP="00AE4C3A">
            <w:pPr>
              <w:tabs>
                <w:tab w:val="decimal" w:pos="283"/>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85.3</w:t>
            </w:r>
          </w:p>
        </w:tc>
        <w:tc>
          <w:tcPr>
            <w:tcW w:w="1275" w:type="dxa"/>
            <w:tcBorders>
              <w:top w:val="nil"/>
              <w:left w:val="nil"/>
              <w:bottom w:val="nil"/>
              <w:right w:val="nil"/>
            </w:tcBorders>
            <w:shd w:val="clear" w:color="auto" w:fill="auto"/>
            <w:noWrap/>
            <w:vAlign w:val="center"/>
            <w:hideMark/>
          </w:tcPr>
          <w:p w:rsidR="00685BE5" w:rsidRPr="000C0BF5" w:rsidRDefault="00685BE5" w:rsidP="00A27695">
            <w:pPr>
              <w:tabs>
                <w:tab w:val="decimal" w:pos="459"/>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1.5</w:t>
            </w:r>
          </w:p>
        </w:tc>
        <w:tc>
          <w:tcPr>
            <w:tcW w:w="709" w:type="dxa"/>
            <w:tcBorders>
              <w:top w:val="nil"/>
              <w:left w:val="nil"/>
              <w:bottom w:val="nil"/>
              <w:right w:val="nil"/>
            </w:tcBorders>
            <w:shd w:val="clear" w:color="auto" w:fill="auto"/>
            <w:noWrap/>
            <w:vAlign w:val="bottom"/>
            <w:hideMark/>
          </w:tcPr>
          <w:p w:rsidR="00685BE5" w:rsidRPr="000C0BF5" w:rsidRDefault="00685BE5" w:rsidP="00AE4C3A">
            <w:pPr>
              <w:tabs>
                <w:tab w:val="decimal" w:pos="302"/>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5.9</w:t>
            </w:r>
          </w:p>
        </w:tc>
      </w:tr>
      <w:tr w:rsidR="00685BE5" w:rsidRPr="000C0BF5" w:rsidTr="001766C0">
        <w:trPr>
          <w:cantSplit/>
        </w:trPr>
        <w:tc>
          <w:tcPr>
            <w:tcW w:w="5778" w:type="dxa"/>
            <w:tcBorders>
              <w:top w:val="nil"/>
              <w:left w:val="nil"/>
              <w:bottom w:val="nil"/>
              <w:right w:val="nil"/>
            </w:tcBorders>
            <w:shd w:val="clear" w:color="auto" w:fill="auto"/>
            <w:noWrap/>
            <w:vAlign w:val="center"/>
            <w:hideMark/>
          </w:tcPr>
          <w:p w:rsidR="00685BE5" w:rsidRPr="000C0BF5" w:rsidRDefault="00685BE5" w:rsidP="00AE4C3A">
            <w:pPr>
              <w:spacing w:before="20" w:after="20"/>
              <w:rPr>
                <w:rFonts w:ascii="Calibri" w:eastAsia="Times New Roman" w:hAnsi="Calibri" w:cs="Calibri"/>
                <w:color w:val="211D1E"/>
                <w:sz w:val="18"/>
                <w:szCs w:val="18"/>
                <w:lang w:eastAsia="zh-CN"/>
              </w:rPr>
            </w:pPr>
            <w:r w:rsidRPr="000C0BF5">
              <w:rPr>
                <w:rFonts w:ascii="Calibri" w:eastAsia="Times New Roman" w:hAnsi="Calibri" w:cs="Calibri"/>
                <w:color w:val="211D1E"/>
                <w:sz w:val="18"/>
                <w:szCs w:val="18"/>
                <w:lang w:eastAsia="zh-CN"/>
              </w:rPr>
              <w:t>I feel under pressure to work harder in my business</w:t>
            </w:r>
          </w:p>
        </w:tc>
        <w:tc>
          <w:tcPr>
            <w:tcW w:w="852" w:type="dxa"/>
            <w:tcBorders>
              <w:top w:val="nil"/>
              <w:left w:val="nil"/>
              <w:bottom w:val="nil"/>
              <w:right w:val="nil"/>
            </w:tcBorders>
            <w:shd w:val="clear" w:color="auto" w:fill="auto"/>
            <w:noWrap/>
            <w:vAlign w:val="center"/>
            <w:hideMark/>
          </w:tcPr>
          <w:p w:rsidR="00685BE5" w:rsidRPr="000C0BF5" w:rsidRDefault="00685BE5" w:rsidP="00A27695">
            <w:pPr>
              <w:tabs>
                <w:tab w:val="right" w:pos="459"/>
              </w:tabs>
              <w:spacing w:before="20" w:after="20"/>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ab/>
            </w:r>
            <w:r w:rsidRPr="000C0BF5">
              <w:rPr>
                <w:rFonts w:ascii="Calibri" w:eastAsia="Times New Roman" w:hAnsi="Calibri" w:cs="Calibri"/>
                <w:color w:val="000000"/>
                <w:sz w:val="18"/>
                <w:szCs w:val="18"/>
                <w:lang w:eastAsia="zh-CN"/>
              </w:rPr>
              <w:t>21</w:t>
            </w:r>
          </w:p>
        </w:tc>
        <w:tc>
          <w:tcPr>
            <w:tcW w:w="617" w:type="dxa"/>
            <w:tcBorders>
              <w:top w:val="nil"/>
              <w:left w:val="nil"/>
              <w:bottom w:val="nil"/>
              <w:right w:val="nil"/>
            </w:tcBorders>
            <w:shd w:val="clear" w:color="auto" w:fill="auto"/>
            <w:noWrap/>
            <w:vAlign w:val="center"/>
            <w:hideMark/>
          </w:tcPr>
          <w:p w:rsidR="00685BE5" w:rsidRPr="000C0BF5" w:rsidRDefault="00685BE5" w:rsidP="00AE4C3A">
            <w:pPr>
              <w:tabs>
                <w:tab w:val="decimal" w:pos="264"/>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17.3</w:t>
            </w:r>
          </w:p>
        </w:tc>
        <w:tc>
          <w:tcPr>
            <w:tcW w:w="658" w:type="dxa"/>
            <w:tcBorders>
              <w:top w:val="nil"/>
              <w:left w:val="nil"/>
              <w:bottom w:val="nil"/>
              <w:right w:val="nil"/>
            </w:tcBorders>
            <w:shd w:val="clear" w:color="auto" w:fill="auto"/>
            <w:noWrap/>
            <w:vAlign w:val="center"/>
            <w:hideMark/>
          </w:tcPr>
          <w:p w:rsidR="00685BE5" w:rsidRPr="000C0BF5" w:rsidRDefault="00685BE5" w:rsidP="00AE4C3A">
            <w:pPr>
              <w:tabs>
                <w:tab w:val="decimal" w:pos="283"/>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60.7</w:t>
            </w:r>
          </w:p>
        </w:tc>
        <w:tc>
          <w:tcPr>
            <w:tcW w:w="1275" w:type="dxa"/>
            <w:tcBorders>
              <w:top w:val="nil"/>
              <w:left w:val="nil"/>
              <w:bottom w:val="nil"/>
              <w:right w:val="nil"/>
            </w:tcBorders>
            <w:shd w:val="clear" w:color="auto" w:fill="auto"/>
            <w:noWrap/>
            <w:vAlign w:val="center"/>
            <w:hideMark/>
          </w:tcPr>
          <w:p w:rsidR="00685BE5" w:rsidRPr="000C0BF5" w:rsidRDefault="00685BE5" w:rsidP="00A27695">
            <w:pPr>
              <w:tabs>
                <w:tab w:val="decimal" w:pos="459"/>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1.1</w:t>
            </w:r>
          </w:p>
        </w:tc>
        <w:tc>
          <w:tcPr>
            <w:tcW w:w="709" w:type="dxa"/>
            <w:tcBorders>
              <w:top w:val="nil"/>
              <w:left w:val="nil"/>
              <w:bottom w:val="nil"/>
              <w:right w:val="nil"/>
            </w:tcBorders>
            <w:shd w:val="clear" w:color="auto" w:fill="auto"/>
            <w:noWrap/>
            <w:vAlign w:val="bottom"/>
            <w:hideMark/>
          </w:tcPr>
          <w:p w:rsidR="00685BE5" w:rsidRPr="000C0BF5" w:rsidRDefault="00685BE5" w:rsidP="00AE4C3A">
            <w:pPr>
              <w:tabs>
                <w:tab w:val="decimal" w:pos="302"/>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4.8</w:t>
            </w:r>
          </w:p>
        </w:tc>
      </w:tr>
      <w:tr w:rsidR="00685BE5" w:rsidRPr="000C0BF5" w:rsidTr="001766C0">
        <w:trPr>
          <w:cantSplit/>
        </w:trPr>
        <w:tc>
          <w:tcPr>
            <w:tcW w:w="5778" w:type="dxa"/>
            <w:tcBorders>
              <w:top w:val="nil"/>
              <w:left w:val="nil"/>
              <w:bottom w:val="nil"/>
              <w:right w:val="nil"/>
            </w:tcBorders>
            <w:shd w:val="clear" w:color="auto" w:fill="auto"/>
            <w:noWrap/>
            <w:vAlign w:val="center"/>
            <w:hideMark/>
          </w:tcPr>
          <w:p w:rsidR="00685BE5" w:rsidRPr="000C0BF5" w:rsidRDefault="00685BE5" w:rsidP="00AE4C3A">
            <w:pPr>
              <w:spacing w:before="20" w:after="20"/>
              <w:rPr>
                <w:rFonts w:ascii="Calibri" w:eastAsia="Times New Roman" w:hAnsi="Calibri" w:cs="Calibri"/>
                <w:color w:val="211D1E"/>
                <w:sz w:val="18"/>
                <w:szCs w:val="18"/>
                <w:lang w:eastAsia="zh-CN"/>
              </w:rPr>
            </w:pPr>
            <w:r w:rsidRPr="000C0BF5">
              <w:rPr>
                <w:rFonts w:ascii="Calibri" w:eastAsia="Times New Roman" w:hAnsi="Calibri" w:cs="Calibri"/>
                <w:color w:val="211D1E"/>
                <w:sz w:val="18"/>
                <w:szCs w:val="18"/>
                <w:lang w:eastAsia="zh-CN"/>
              </w:rPr>
              <w:t>My work is more stressful than I had ever imagined</w:t>
            </w:r>
          </w:p>
        </w:tc>
        <w:tc>
          <w:tcPr>
            <w:tcW w:w="852" w:type="dxa"/>
            <w:tcBorders>
              <w:top w:val="nil"/>
              <w:left w:val="nil"/>
              <w:bottom w:val="nil"/>
              <w:right w:val="nil"/>
            </w:tcBorders>
            <w:shd w:val="clear" w:color="auto" w:fill="auto"/>
            <w:noWrap/>
            <w:vAlign w:val="center"/>
            <w:hideMark/>
          </w:tcPr>
          <w:p w:rsidR="00685BE5" w:rsidRPr="000C0BF5" w:rsidRDefault="00685BE5" w:rsidP="00A27695">
            <w:pPr>
              <w:tabs>
                <w:tab w:val="right" w:pos="459"/>
              </w:tabs>
              <w:spacing w:before="20" w:after="20"/>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ab/>
            </w:r>
            <w:r w:rsidRPr="000C0BF5">
              <w:rPr>
                <w:rFonts w:ascii="Calibri" w:eastAsia="Times New Roman" w:hAnsi="Calibri" w:cs="Calibri"/>
                <w:color w:val="000000"/>
                <w:sz w:val="18"/>
                <w:szCs w:val="18"/>
                <w:lang w:eastAsia="zh-CN"/>
              </w:rPr>
              <w:t>43</w:t>
            </w:r>
          </w:p>
        </w:tc>
        <w:tc>
          <w:tcPr>
            <w:tcW w:w="617" w:type="dxa"/>
            <w:tcBorders>
              <w:top w:val="nil"/>
              <w:left w:val="nil"/>
              <w:bottom w:val="nil"/>
              <w:right w:val="nil"/>
            </w:tcBorders>
            <w:shd w:val="clear" w:color="auto" w:fill="auto"/>
            <w:noWrap/>
            <w:vAlign w:val="center"/>
            <w:hideMark/>
          </w:tcPr>
          <w:p w:rsidR="00685BE5" w:rsidRPr="000C0BF5" w:rsidRDefault="00685BE5" w:rsidP="00AE4C3A">
            <w:pPr>
              <w:tabs>
                <w:tab w:val="decimal" w:pos="264"/>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22.1</w:t>
            </w:r>
          </w:p>
        </w:tc>
        <w:tc>
          <w:tcPr>
            <w:tcW w:w="658" w:type="dxa"/>
            <w:tcBorders>
              <w:top w:val="nil"/>
              <w:left w:val="nil"/>
              <w:bottom w:val="nil"/>
              <w:right w:val="nil"/>
            </w:tcBorders>
            <w:shd w:val="clear" w:color="auto" w:fill="auto"/>
            <w:noWrap/>
            <w:vAlign w:val="center"/>
            <w:hideMark/>
          </w:tcPr>
          <w:p w:rsidR="00685BE5" w:rsidRPr="000C0BF5" w:rsidRDefault="00685BE5" w:rsidP="00AE4C3A">
            <w:pPr>
              <w:tabs>
                <w:tab w:val="decimal" w:pos="283"/>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33.8</w:t>
            </w:r>
          </w:p>
        </w:tc>
        <w:tc>
          <w:tcPr>
            <w:tcW w:w="1275" w:type="dxa"/>
            <w:tcBorders>
              <w:top w:val="nil"/>
              <w:left w:val="nil"/>
              <w:bottom w:val="nil"/>
              <w:right w:val="nil"/>
            </w:tcBorders>
            <w:shd w:val="clear" w:color="auto" w:fill="auto"/>
            <w:noWrap/>
            <w:vAlign w:val="center"/>
            <w:hideMark/>
          </w:tcPr>
          <w:p w:rsidR="00685BE5" w:rsidRPr="000C0BF5" w:rsidRDefault="00685BE5" w:rsidP="00A27695">
            <w:pPr>
              <w:tabs>
                <w:tab w:val="decimal" w:pos="459"/>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1.1</w:t>
            </w:r>
          </w:p>
        </w:tc>
        <w:tc>
          <w:tcPr>
            <w:tcW w:w="709" w:type="dxa"/>
            <w:tcBorders>
              <w:top w:val="nil"/>
              <w:left w:val="nil"/>
              <w:bottom w:val="nil"/>
              <w:right w:val="nil"/>
            </w:tcBorders>
            <w:shd w:val="clear" w:color="auto" w:fill="auto"/>
            <w:noWrap/>
            <w:vAlign w:val="bottom"/>
            <w:hideMark/>
          </w:tcPr>
          <w:p w:rsidR="00685BE5" w:rsidRPr="000C0BF5" w:rsidRDefault="00685BE5" w:rsidP="00AE4C3A">
            <w:pPr>
              <w:tabs>
                <w:tab w:val="decimal" w:pos="302"/>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3.7</w:t>
            </w:r>
          </w:p>
        </w:tc>
      </w:tr>
      <w:tr w:rsidR="00685BE5" w:rsidRPr="000C0BF5" w:rsidTr="00995B8E">
        <w:trPr>
          <w:cantSplit/>
        </w:trPr>
        <w:tc>
          <w:tcPr>
            <w:tcW w:w="5778" w:type="dxa"/>
            <w:tcBorders>
              <w:top w:val="nil"/>
              <w:left w:val="nil"/>
              <w:bottom w:val="nil"/>
              <w:right w:val="nil"/>
            </w:tcBorders>
            <w:shd w:val="clear" w:color="auto" w:fill="auto"/>
            <w:noWrap/>
            <w:hideMark/>
          </w:tcPr>
          <w:p w:rsidR="00685BE5" w:rsidRPr="000C0BF5" w:rsidRDefault="00685BE5" w:rsidP="00AE4C3A">
            <w:pPr>
              <w:spacing w:before="20" w:after="20"/>
              <w:rPr>
                <w:rFonts w:ascii="Calibri" w:eastAsia="Times New Roman" w:hAnsi="Calibri" w:cs="Calibri"/>
                <w:color w:val="211D1E"/>
                <w:sz w:val="18"/>
                <w:szCs w:val="18"/>
                <w:lang w:eastAsia="zh-CN"/>
              </w:rPr>
            </w:pPr>
            <w:r w:rsidRPr="000C0BF5">
              <w:rPr>
                <w:rFonts w:ascii="Calibri" w:eastAsia="Times New Roman" w:hAnsi="Calibri" w:cs="Calibri"/>
                <w:color w:val="211D1E"/>
                <w:sz w:val="18"/>
                <w:szCs w:val="18"/>
                <w:lang w:eastAsia="zh-CN"/>
              </w:rPr>
              <w:t>I get the respect and acknowledgement I deserve for my efforts and achievements</w:t>
            </w:r>
          </w:p>
        </w:tc>
        <w:tc>
          <w:tcPr>
            <w:tcW w:w="852" w:type="dxa"/>
            <w:tcBorders>
              <w:top w:val="nil"/>
              <w:left w:val="nil"/>
              <w:bottom w:val="nil"/>
              <w:right w:val="nil"/>
            </w:tcBorders>
            <w:shd w:val="clear" w:color="auto" w:fill="auto"/>
            <w:noWrap/>
            <w:vAlign w:val="center"/>
            <w:hideMark/>
          </w:tcPr>
          <w:p w:rsidR="00685BE5" w:rsidRPr="000C0BF5" w:rsidRDefault="00685BE5" w:rsidP="00995B8E">
            <w:pPr>
              <w:tabs>
                <w:tab w:val="right" w:pos="459"/>
              </w:tabs>
              <w:spacing w:before="20" w:after="20"/>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ab/>
            </w:r>
            <w:r w:rsidRPr="000C0BF5">
              <w:rPr>
                <w:rFonts w:ascii="Calibri" w:eastAsia="Times New Roman" w:hAnsi="Calibri" w:cs="Calibri"/>
                <w:color w:val="000000"/>
                <w:sz w:val="18"/>
                <w:szCs w:val="18"/>
                <w:lang w:eastAsia="zh-CN"/>
              </w:rPr>
              <w:t>12.5</w:t>
            </w:r>
          </w:p>
        </w:tc>
        <w:tc>
          <w:tcPr>
            <w:tcW w:w="617" w:type="dxa"/>
            <w:tcBorders>
              <w:top w:val="nil"/>
              <w:left w:val="nil"/>
              <w:bottom w:val="nil"/>
              <w:right w:val="nil"/>
            </w:tcBorders>
            <w:shd w:val="clear" w:color="auto" w:fill="auto"/>
            <w:noWrap/>
            <w:vAlign w:val="center"/>
            <w:hideMark/>
          </w:tcPr>
          <w:p w:rsidR="00685BE5" w:rsidRPr="000C0BF5" w:rsidRDefault="00685BE5" w:rsidP="00995B8E">
            <w:pPr>
              <w:tabs>
                <w:tab w:val="decimal" w:pos="264"/>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22.4</w:t>
            </w:r>
          </w:p>
        </w:tc>
        <w:tc>
          <w:tcPr>
            <w:tcW w:w="658" w:type="dxa"/>
            <w:tcBorders>
              <w:top w:val="nil"/>
              <w:left w:val="nil"/>
              <w:bottom w:val="nil"/>
              <w:right w:val="nil"/>
            </w:tcBorders>
            <w:shd w:val="clear" w:color="auto" w:fill="auto"/>
            <w:noWrap/>
            <w:vAlign w:val="center"/>
            <w:hideMark/>
          </w:tcPr>
          <w:p w:rsidR="00685BE5" w:rsidRPr="000C0BF5" w:rsidRDefault="00685BE5" w:rsidP="00995B8E">
            <w:pPr>
              <w:tabs>
                <w:tab w:val="decimal" w:pos="283"/>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64.0</w:t>
            </w:r>
          </w:p>
        </w:tc>
        <w:tc>
          <w:tcPr>
            <w:tcW w:w="1275" w:type="dxa"/>
            <w:tcBorders>
              <w:top w:val="nil"/>
              <w:left w:val="nil"/>
              <w:bottom w:val="nil"/>
              <w:right w:val="nil"/>
            </w:tcBorders>
            <w:shd w:val="clear" w:color="auto" w:fill="auto"/>
            <w:noWrap/>
            <w:vAlign w:val="center"/>
            <w:hideMark/>
          </w:tcPr>
          <w:p w:rsidR="00685BE5" w:rsidRPr="000C0BF5" w:rsidRDefault="00685BE5" w:rsidP="00995B8E">
            <w:pPr>
              <w:tabs>
                <w:tab w:val="decimal" w:pos="459"/>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1.1</w:t>
            </w:r>
          </w:p>
        </w:tc>
        <w:tc>
          <w:tcPr>
            <w:tcW w:w="709" w:type="dxa"/>
            <w:tcBorders>
              <w:top w:val="nil"/>
              <w:left w:val="nil"/>
              <w:bottom w:val="nil"/>
              <w:right w:val="nil"/>
            </w:tcBorders>
            <w:shd w:val="clear" w:color="auto" w:fill="auto"/>
            <w:noWrap/>
            <w:vAlign w:val="center"/>
            <w:hideMark/>
          </w:tcPr>
          <w:p w:rsidR="00685BE5" w:rsidRPr="000C0BF5" w:rsidRDefault="00685BE5" w:rsidP="00995B8E">
            <w:pPr>
              <w:tabs>
                <w:tab w:val="decimal" w:pos="302"/>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4.9</w:t>
            </w:r>
          </w:p>
        </w:tc>
      </w:tr>
      <w:tr w:rsidR="00685BE5" w:rsidRPr="000C0BF5" w:rsidTr="001766C0">
        <w:trPr>
          <w:cantSplit/>
        </w:trPr>
        <w:tc>
          <w:tcPr>
            <w:tcW w:w="5778" w:type="dxa"/>
            <w:tcBorders>
              <w:top w:val="nil"/>
              <w:left w:val="nil"/>
              <w:bottom w:val="nil"/>
              <w:right w:val="nil"/>
            </w:tcBorders>
            <w:shd w:val="clear" w:color="auto" w:fill="auto"/>
            <w:noWrap/>
            <w:vAlign w:val="center"/>
            <w:hideMark/>
          </w:tcPr>
          <w:p w:rsidR="00685BE5" w:rsidRPr="000C0BF5" w:rsidRDefault="00685BE5" w:rsidP="00AE4C3A">
            <w:pPr>
              <w:spacing w:before="20" w:after="20"/>
              <w:rPr>
                <w:rFonts w:ascii="Calibri" w:eastAsia="Times New Roman" w:hAnsi="Calibri" w:cs="Calibri"/>
                <w:color w:val="211D1E"/>
                <w:sz w:val="18"/>
                <w:szCs w:val="18"/>
                <w:lang w:eastAsia="zh-CN"/>
              </w:rPr>
            </w:pPr>
            <w:r w:rsidRPr="000C0BF5">
              <w:rPr>
                <w:rFonts w:ascii="Calibri" w:eastAsia="Times New Roman" w:hAnsi="Calibri" w:cs="Calibri"/>
                <w:color w:val="211D1E"/>
                <w:sz w:val="18"/>
                <w:szCs w:val="18"/>
                <w:lang w:eastAsia="zh-CN"/>
              </w:rPr>
              <w:t>There are plenty of training opportunities available to me</w:t>
            </w:r>
          </w:p>
        </w:tc>
        <w:tc>
          <w:tcPr>
            <w:tcW w:w="852" w:type="dxa"/>
            <w:tcBorders>
              <w:top w:val="nil"/>
              <w:left w:val="nil"/>
              <w:bottom w:val="nil"/>
              <w:right w:val="nil"/>
            </w:tcBorders>
            <w:shd w:val="clear" w:color="auto" w:fill="auto"/>
            <w:noWrap/>
            <w:vAlign w:val="center"/>
            <w:hideMark/>
          </w:tcPr>
          <w:p w:rsidR="00685BE5" w:rsidRPr="000C0BF5" w:rsidRDefault="00685BE5" w:rsidP="00A27695">
            <w:pPr>
              <w:tabs>
                <w:tab w:val="right" w:pos="459"/>
              </w:tabs>
              <w:spacing w:before="20" w:after="20"/>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ab/>
            </w:r>
            <w:r w:rsidRPr="000C0BF5">
              <w:rPr>
                <w:rFonts w:ascii="Calibri" w:eastAsia="Times New Roman" w:hAnsi="Calibri" w:cs="Calibri"/>
                <w:color w:val="000000"/>
                <w:sz w:val="18"/>
                <w:szCs w:val="18"/>
                <w:lang w:eastAsia="zh-CN"/>
              </w:rPr>
              <w:t>20.2</w:t>
            </w:r>
          </w:p>
        </w:tc>
        <w:tc>
          <w:tcPr>
            <w:tcW w:w="617" w:type="dxa"/>
            <w:tcBorders>
              <w:top w:val="nil"/>
              <w:left w:val="nil"/>
              <w:bottom w:val="nil"/>
              <w:right w:val="nil"/>
            </w:tcBorders>
            <w:shd w:val="clear" w:color="auto" w:fill="auto"/>
            <w:noWrap/>
            <w:vAlign w:val="center"/>
            <w:hideMark/>
          </w:tcPr>
          <w:p w:rsidR="00685BE5" w:rsidRPr="000C0BF5" w:rsidRDefault="00685BE5" w:rsidP="00AE4C3A">
            <w:pPr>
              <w:tabs>
                <w:tab w:val="decimal" w:pos="264"/>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21.3</w:t>
            </w:r>
          </w:p>
        </w:tc>
        <w:tc>
          <w:tcPr>
            <w:tcW w:w="658" w:type="dxa"/>
            <w:tcBorders>
              <w:top w:val="nil"/>
              <w:left w:val="nil"/>
              <w:bottom w:val="nil"/>
              <w:right w:val="nil"/>
            </w:tcBorders>
            <w:shd w:val="clear" w:color="auto" w:fill="auto"/>
            <w:noWrap/>
            <w:vAlign w:val="center"/>
            <w:hideMark/>
          </w:tcPr>
          <w:p w:rsidR="00685BE5" w:rsidRPr="000C0BF5" w:rsidRDefault="00685BE5" w:rsidP="00AE4C3A">
            <w:pPr>
              <w:tabs>
                <w:tab w:val="decimal" w:pos="283"/>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57.4</w:t>
            </w:r>
          </w:p>
        </w:tc>
        <w:tc>
          <w:tcPr>
            <w:tcW w:w="1275" w:type="dxa"/>
            <w:tcBorders>
              <w:top w:val="nil"/>
              <w:left w:val="nil"/>
              <w:bottom w:val="nil"/>
              <w:right w:val="nil"/>
            </w:tcBorders>
            <w:shd w:val="clear" w:color="auto" w:fill="auto"/>
            <w:noWrap/>
            <w:vAlign w:val="center"/>
            <w:hideMark/>
          </w:tcPr>
          <w:p w:rsidR="00685BE5" w:rsidRPr="000C0BF5" w:rsidRDefault="00685BE5" w:rsidP="00A27695">
            <w:pPr>
              <w:tabs>
                <w:tab w:val="decimal" w:pos="459"/>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1.1</w:t>
            </w:r>
          </w:p>
        </w:tc>
        <w:tc>
          <w:tcPr>
            <w:tcW w:w="709" w:type="dxa"/>
            <w:tcBorders>
              <w:top w:val="nil"/>
              <w:left w:val="nil"/>
              <w:bottom w:val="nil"/>
              <w:right w:val="nil"/>
            </w:tcBorders>
            <w:shd w:val="clear" w:color="auto" w:fill="auto"/>
            <w:noWrap/>
            <w:vAlign w:val="bottom"/>
            <w:hideMark/>
          </w:tcPr>
          <w:p w:rsidR="00685BE5" w:rsidRPr="000C0BF5" w:rsidRDefault="00685BE5" w:rsidP="00AE4C3A">
            <w:pPr>
              <w:tabs>
                <w:tab w:val="decimal" w:pos="302"/>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4.7</w:t>
            </w:r>
          </w:p>
        </w:tc>
      </w:tr>
      <w:tr w:rsidR="00685BE5" w:rsidRPr="000C0BF5" w:rsidTr="001766C0">
        <w:trPr>
          <w:cantSplit/>
        </w:trPr>
        <w:tc>
          <w:tcPr>
            <w:tcW w:w="5778" w:type="dxa"/>
            <w:tcBorders>
              <w:top w:val="nil"/>
              <w:left w:val="nil"/>
              <w:bottom w:val="nil"/>
              <w:right w:val="nil"/>
            </w:tcBorders>
            <w:shd w:val="clear" w:color="auto" w:fill="auto"/>
            <w:noWrap/>
            <w:vAlign w:val="center"/>
            <w:hideMark/>
          </w:tcPr>
          <w:p w:rsidR="00685BE5" w:rsidRPr="000C0BF5" w:rsidRDefault="00685BE5" w:rsidP="00AE4C3A">
            <w:pPr>
              <w:spacing w:before="20" w:after="20"/>
              <w:rPr>
                <w:rFonts w:ascii="Calibri" w:eastAsia="Times New Roman" w:hAnsi="Calibri" w:cs="Calibri"/>
                <w:color w:val="211D1E"/>
                <w:sz w:val="18"/>
                <w:szCs w:val="18"/>
                <w:lang w:eastAsia="zh-CN"/>
              </w:rPr>
            </w:pPr>
            <w:r w:rsidRPr="000C0BF5">
              <w:rPr>
                <w:rFonts w:ascii="Calibri" w:eastAsia="Times New Roman" w:hAnsi="Calibri" w:cs="Calibri"/>
                <w:color w:val="211D1E"/>
                <w:sz w:val="18"/>
                <w:szCs w:val="18"/>
                <w:lang w:eastAsia="zh-CN"/>
              </w:rPr>
              <w:t>I feel loyal to the organisations and people I work with</w:t>
            </w:r>
          </w:p>
        </w:tc>
        <w:tc>
          <w:tcPr>
            <w:tcW w:w="852" w:type="dxa"/>
            <w:tcBorders>
              <w:top w:val="nil"/>
              <w:left w:val="nil"/>
              <w:bottom w:val="nil"/>
              <w:right w:val="nil"/>
            </w:tcBorders>
            <w:shd w:val="clear" w:color="auto" w:fill="auto"/>
            <w:noWrap/>
            <w:vAlign w:val="center"/>
            <w:hideMark/>
          </w:tcPr>
          <w:p w:rsidR="00685BE5" w:rsidRPr="000C0BF5" w:rsidRDefault="00685BE5" w:rsidP="00A27695">
            <w:pPr>
              <w:tabs>
                <w:tab w:val="right" w:pos="459"/>
              </w:tabs>
              <w:spacing w:before="20" w:after="20"/>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ab/>
            </w:r>
            <w:r w:rsidRPr="000C0BF5">
              <w:rPr>
                <w:rFonts w:ascii="Calibri" w:eastAsia="Times New Roman" w:hAnsi="Calibri" w:cs="Calibri"/>
                <w:color w:val="000000"/>
                <w:sz w:val="18"/>
                <w:szCs w:val="18"/>
                <w:lang w:eastAsia="zh-CN"/>
              </w:rPr>
              <w:t>2.6</w:t>
            </w:r>
          </w:p>
        </w:tc>
        <w:tc>
          <w:tcPr>
            <w:tcW w:w="617" w:type="dxa"/>
            <w:tcBorders>
              <w:top w:val="nil"/>
              <w:left w:val="nil"/>
              <w:bottom w:val="nil"/>
              <w:right w:val="nil"/>
            </w:tcBorders>
            <w:shd w:val="clear" w:color="auto" w:fill="auto"/>
            <w:noWrap/>
            <w:vAlign w:val="center"/>
            <w:hideMark/>
          </w:tcPr>
          <w:p w:rsidR="00685BE5" w:rsidRPr="000C0BF5" w:rsidRDefault="00685BE5" w:rsidP="00AE4C3A">
            <w:pPr>
              <w:tabs>
                <w:tab w:val="decimal" w:pos="264"/>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10.3</w:t>
            </w:r>
          </w:p>
        </w:tc>
        <w:tc>
          <w:tcPr>
            <w:tcW w:w="658" w:type="dxa"/>
            <w:tcBorders>
              <w:top w:val="nil"/>
              <w:left w:val="nil"/>
              <w:bottom w:val="nil"/>
              <w:right w:val="nil"/>
            </w:tcBorders>
            <w:shd w:val="clear" w:color="auto" w:fill="auto"/>
            <w:noWrap/>
            <w:vAlign w:val="center"/>
            <w:hideMark/>
          </w:tcPr>
          <w:p w:rsidR="00685BE5" w:rsidRPr="000C0BF5" w:rsidRDefault="00685BE5" w:rsidP="00AE4C3A">
            <w:pPr>
              <w:tabs>
                <w:tab w:val="decimal" w:pos="283"/>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85.7</w:t>
            </w:r>
          </w:p>
        </w:tc>
        <w:tc>
          <w:tcPr>
            <w:tcW w:w="1275" w:type="dxa"/>
            <w:tcBorders>
              <w:top w:val="nil"/>
              <w:left w:val="nil"/>
              <w:bottom w:val="nil"/>
              <w:right w:val="nil"/>
            </w:tcBorders>
            <w:shd w:val="clear" w:color="auto" w:fill="auto"/>
            <w:noWrap/>
            <w:vAlign w:val="center"/>
            <w:hideMark/>
          </w:tcPr>
          <w:p w:rsidR="00685BE5" w:rsidRPr="000C0BF5" w:rsidRDefault="00685BE5" w:rsidP="00A27695">
            <w:pPr>
              <w:tabs>
                <w:tab w:val="decimal" w:pos="459"/>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1.5</w:t>
            </w:r>
          </w:p>
        </w:tc>
        <w:tc>
          <w:tcPr>
            <w:tcW w:w="709" w:type="dxa"/>
            <w:tcBorders>
              <w:top w:val="nil"/>
              <w:left w:val="nil"/>
              <w:bottom w:val="nil"/>
              <w:right w:val="nil"/>
            </w:tcBorders>
            <w:shd w:val="clear" w:color="auto" w:fill="auto"/>
            <w:noWrap/>
            <w:vAlign w:val="bottom"/>
            <w:hideMark/>
          </w:tcPr>
          <w:p w:rsidR="00685BE5" w:rsidRPr="000C0BF5" w:rsidRDefault="00685BE5" w:rsidP="00AE4C3A">
            <w:pPr>
              <w:tabs>
                <w:tab w:val="decimal" w:pos="302"/>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5.9</w:t>
            </w:r>
          </w:p>
        </w:tc>
      </w:tr>
      <w:tr w:rsidR="00685BE5" w:rsidRPr="000C0BF5" w:rsidTr="001766C0">
        <w:trPr>
          <w:cantSplit/>
        </w:trPr>
        <w:tc>
          <w:tcPr>
            <w:tcW w:w="5778" w:type="dxa"/>
            <w:tcBorders>
              <w:top w:val="nil"/>
              <w:left w:val="nil"/>
              <w:bottom w:val="single" w:sz="4" w:space="0" w:color="auto"/>
              <w:right w:val="nil"/>
            </w:tcBorders>
            <w:shd w:val="clear" w:color="auto" w:fill="auto"/>
            <w:noWrap/>
            <w:vAlign w:val="center"/>
            <w:hideMark/>
          </w:tcPr>
          <w:p w:rsidR="00685BE5" w:rsidRPr="000C0BF5" w:rsidRDefault="00685BE5" w:rsidP="00AE4C3A">
            <w:pPr>
              <w:spacing w:before="20" w:after="20"/>
              <w:rPr>
                <w:rFonts w:ascii="Calibri" w:eastAsia="Times New Roman" w:hAnsi="Calibri" w:cs="Calibri"/>
                <w:color w:val="211D1E"/>
                <w:sz w:val="18"/>
                <w:szCs w:val="18"/>
                <w:lang w:eastAsia="zh-CN"/>
              </w:rPr>
            </w:pPr>
            <w:r w:rsidRPr="000C0BF5">
              <w:rPr>
                <w:rFonts w:ascii="Calibri" w:eastAsia="Times New Roman" w:hAnsi="Calibri" w:cs="Calibri"/>
                <w:color w:val="211D1E"/>
                <w:sz w:val="18"/>
                <w:szCs w:val="18"/>
                <w:lang w:eastAsia="zh-CN"/>
              </w:rPr>
              <w:t>I am proud about the work I do</w:t>
            </w:r>
          </w:p>
        </w:tc>
        <w:tc>
          <w:tcPr>
            <w:tcW w:w="852" w:type="dxa"/>
            <w:tcBorders>
              <w:top w:val="nil"/>
              <w:left w:val="nil"/>
              <w:bottom w:val="single" w:sz="4" w:space="0" w:color="auto"/>
              <w:right w:val="nil"/>
            </w:tcBorders>
            <w:shd w:val="clear" w:color="auto" w:fill="auto"/>
            <w:noWrap/>
            <w:vAlign w:val="center"/>
            <w:hideMark/>
          </w:tcPr>
          <w:p w:rsidR="00685BE5" w:rsidRPr="000C0BF5" w:rsidRDefault="00685BE5" w:rsidP="00A27695">
            <w:pPr>
              <w:tabs>
                <w:tab w:val="right" w:pos="459"/>
              </w:tabs>
              <w:spacing w:before="20" w:after="20"/>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ab/>
            </w:r>
            <w:r w:rsidRPr="000C0BF5">
              <w:rPr>
                <w:rFonts w:ascii="Calibri" w:eastAsia="Times New Roman" w:hAnsi="Calibri" w:cs="Calibri"/>
                <w:color w:val="000000"/>
                <w:sz w:val="18"/>
                <w:szCs w:val="18"/>
                <w:lang w:eastAsia="zh-CN"/>
              </w:rPr>
              <w:t>1.1</w:t>
            </w:r>
          </w:p>
        </w:tc>
        <w:tc>
          <w:tcPr>
            <w:tcW w:w="617" w:type="dxa"/>
            <w:tcBorders>
              <w:top w:val="nil"/>
              <w:left w:val="nil"/>
              <w:bottom w:val="single" w:sz="4" w:space="0" w:color="auto"/>
              <w:right w:val="nil"/>
            </w:tcBorders>
            <w:shd w:val="clear" w:color="auto" w:fill="auto"/>
            <w:noWrap/>
            <w:vAlign w:val="center"/>
            <w:hideMark/>
          </w:tcPr>
          <w:p w:rsidR="00685BE5" w:rsidRPr="000C0BF5" w:rsidRDefault="00685BE5" w:rsidP="00AE4C3A">
            <w:pPr>
              <w:tabs>
                <w:tab w:val="decimal" w:pos="264"/>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1.5</w:t>
            </w:r>
          </w:p>
        </w:tc>
        <w:tc>
          <w:tcPr>
            <w:tcW w:w="658" w:type="dxa"/>
            <w:tcBorders>
              <w:top w:val="nil"/>
              <w:left w:val="nil"/>
              <w:bottom w:val="single" w:sz="4" w:space="0" w:color="auto"/>
              <w:right w:val="nil"/>
            </w:tcBorders>
            <w:shd w:val="clear" w:color="auto" w:fill="auto"/>
            <w:noWrap/>
            <w:vAlign w:val="center"/>
            <w:hideMark/>
          </w:tcPr>
          <w:p w:rsidR="00685BE5" w:rsidRPr="000C0BF5" w:rsidRDefault="00685BE5" w:rsidP="00AE4C3A">
            <w:pPr>
              <w:tabs>
                <w:tab w:val="decimal" w:pos="283"/>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96.3</w:t>
            </w:r>
          </w:p>
        </w:tc>
        <w:tc>
          <w:tcPr>
            <w:tcW w:w="1275" w:type="dxa"/>
            <w:tcBorders>
              <w:top w:val="nil"/>
              <w:left w:val="nil"/>
              <w:bottom w:val="single" w:sz="4" w:space="0" w:color="auto"/>
              <w:right w:val="nil"/>
            </w:tcBorders>
            <w:shd w:val="clear" w:color="auto" w:fill="auto"/>
            <w:noWrap/>
            <w:vAlign w:val="center"/>
            <w:hideMark/>
          </w:tcPr>
          <w:p w:rsidR="00685BE5" w:rsidRPr="000C0BF5" w:rsidRDefault="00685BE5" w:rsidP="00A27695">
            <w:pPr>
              <w:tabs>
                <w:tab w:val="decimal" w:pos="459"/>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1.1</w:t>
            </w:r>
          </w:p>
        </w:tc>
        <w:tc>
          <w:tcPr>
            <w:tcW w:w="709" w:type="dxa"/>
            <w:tcBorders>
              <w:top w:val="nil"/>
              <w:left w:val="nil"/>
              <w:bottom w:val="single" w:sz="4" w:space="0" w:color="auto"/>
              <w:right w:val="nil"/>
            </w:tcBorders>
            <w:shd w:val="clear" w:color="auto" w:fill="auto"/>
            <w:noWrap/>
            <w:vAlign w:val="bottom"/>
            <w:hideMark/>
          </w:tcPr>
          <w:p w:rsidR="00685BE5" w:rsidRPr="000C0BF5" w:rsidRDefault="00685BE5" w:rsidP="00AE4C3A">
            <w:pPr>
              <w:tabs>
                <w:tab w:val="decimal" w:pos="302"/>
              </w:tabs>
              <w:spacing w:before="20" w:after="20"/>
              <w:rPr>
                <w:rFonts w:ascii="Calibri" w:eastAsia="Times New Roman" w:hAnsi="Calibri" w:cs="Calibri"/>
                <w:color w:val="000000"/>
                <w:sz w:val="18"/>
                <w:szCs w:val="18"/>
                <w:lang w:eastAsia="zh-CN"/>
              </w:rPr>
            </w:pPr>
            <w:r w:rsidRPr="000C0BF5">
              <w:rPr>
                <w:rFonts w:ascii="Calibri" w:eastAsia="Times New Roman" w:hAnsi="Calibri" w:cs="Calibri"/>
                <w:color w:val="000000"/>
                <w:sz w:val="18"/>
                <w:szCs w:val="18"/>
                <w:lang w:eastAsia="zh-CN"/>
              </w:rPr>
              <w:t>6.5</w:t>
            </w:r>
          </w:p>
        </w:tc>
      </w:tr>
      <w:tr w:rsidR="00685BE5" w:rsidRPr="000C0BF5" w:rsidTr="001766C0">
        <w:trPr>
          <w:cantSplit/>
        </w:trPr>
        <w:tc>
          <w:tcPr>
            <w:tcW w:w="5778" w:type="dxa"/>
            <w:tcBorders>
              <w:top w:val="single" w:sz="4" w:space="0" w:color="auto"/>
              <w:left w:val="nil"/>
              <w:bottom w:val="single" w:sz="4" w:space="0" w:color="auto"/>
              <w:right w:val="nil"/>
            </w:tcBorders>
            <w:shd w:val="clear" w:color="auto" w:fill="auto"/>
            <w:noWrap/>
            <w:vAlign w:val="center"/>
          </w:tcPr>
          <w:p w:rsidR="00685BE5" w:rsidRPr="000C0BF5" w:rsidRDefault="00685BE5" w:rsidP="00AE4C3A">
            <w:pPr>
              <w:spacing w:before="20" w:after="20"/>
              <w:rPr>
                <w:rFonts w:ascii="Calibri" w:eastAsia="Times New Roman" w:hAnsi="Calibri" w:cs="Calibri"/>
                <w:color w:val="211D1E"/>
                <w:sz w:val="18"/>
                <w:szCs w:val="18"/>
                <w:lang w:eastAsia="zh-CN"/>
              </w:rPr>
            </w:pPr>
            <w:r w:rsidRPr="005E0BA5">
              <w:rPr>
                <w:b/>
                <w:sz w:val="18"/>
                <w:szCs w:val="18"/>
                <w:lang w:eastAsia="zh-CN"/>
              </w:rPr>
              <w:t>Total (N=272)</w:t>
            </w:r>
          </w:p>
        </w:tc>
        <w:tc>
          <w:tcPr>
            <w:tcW w:w="852" w:type="dxa"/>
            <w:tcBorders>
              <w:top w:val="single" w:sz="4" w:space="0" w:color="auto"/>
              <w:left w:val="nil"/>
              <w:bottom w:val="single" w:sz="4" w:space="0" w:color="auto"/>
              <w:right w:val="nil"/>
            </w:tcBorders>
            <w:shd w:val="clear" w:color="auto" w:fill="auto"/>
            <w:noWrap/>
            <w:vAlign w:val="center"/>
          </w:tcPr>
          <w:p w:rsidR="00685BE5" w:rsidRPr="000C0BF5" w:rsidRDefault="00685BE5" w:rsidP="00AE4C3A">
            <w:pPr>
              <w:tabs>
                <w:tab w:val="decimal" w:pos="354"/>
              </w:tabs>
              <w:spacing w:before="20" w:after="20"/>
              <w:rPr>
                <w:rFonts w:ascii="Calibri" w:eastAsia="Times New Roman" w:hAnsi="Calibri" w:cs="Calibri"/>
                <w:color w:val="000000"/>
                <w:sz w:val="18"/>
                <w:szCs w:val="18"/>
                <w:lang w:eastAsia="zh-CN"/>
              </w:rPr>
            </w:pPr>
          </w:p>
        </w:tc>
        <w:tc>
          <w:tcPr>
            <w:tcW w:w="617" w:type="dxa"/>
            <w:tcBorders>
              <w:top w:val="single" w:sz="4" w:space="0" w:color="auto"/>
              <w:left w:val="nil"/>
              <w:bottom w:val="single" w:sz="4" w:space="0" w:color="auto"/>
              <w:right w:val="nil"/>
            </w:tcBorders>
            <w:shd w:val="clear" w:color="auto" w:fill="auto"/>
            <w:noWrap/>
            <w:vAlign w:val="center"/>
          </w:tcPr>
          <w:p w:rsidR="00685BE5" w:rsidRPr="000C0BF5" w:rsidRDefault="00685BE5" w:rsidP="00AE4C3A">
            <w:pPr>
              <w:tabs>
                <w:tab w:val="decimal" w:pos="264"/>
              </w:tabs>
              <w:spacing w:before="20" w:after="20"/>
              <w:rPr>
                <w:rFonts w:ascii="Calibri" w:eastAsia="Times New Roman" w:hAnsi="Calibri" w:cs="Calibri"/>
                <w:color w:val="000000"/>
                <w:sz w:val="18"/>
                <w:szCs w:val="18"/>
                <w:lang w:eastAsia="zh-CN"/>
              </w:rPr>
            </w:pPr>
          </w:p>
        </w:tc>
        <w:tc>
          <w:tcPr>
            <w:tcW w:w="658" w:type="dxa"/>
            <w:tcBorders>
              <w:top w:val="single" w:sz="4" w:space="0" w:color="auto"/>
              <w:left w:val="nil"/>
              <w:bottom w:val="single" w:sz="4" w:space="0" w:color="auto"/>
              <w:right w:val="nil"/>
            </w:tcBorders>
            <w:shd w:val="clear" w:color="auto" w:fill="auto"/>
            <w:noWrap/>
            <w:vAlign w:val="center"/>
          </w:tcPr>
          <w:p w:rsidR="00685BE5" w:rsidRPr="000C0BF5" w:rsidRDefault="00685BE5" w:rsidP="00AE4C3A">
            <w:pPr>
              <w:tabs>
                <w:tab w:val="decimal" w:pos="283"/>
              </w:tabs>
              <w:spacing w:before="20" w:after="20"/>
              <w:rPr>
                <w:rFonts w:ascii="Calibri" w:eastAsia="Times New Roman" w:hAnsi="Calibri" w:cs="Calibri"/>
                <w:color w:val="000000"/>
                <w:sz w:val="18"/>
                <w:szCs w:val="18"/>
                <w:lang w:eastAsia="zh-CN"/>
              </w:rPr>
            </w:pPr>
          </w:p>
        </w:tc>
        <w:tc>
          <w:tcPr>
            <w:tcW w:w="1275" w:type="dxa"/>
            <w:tcBorders>
              <w:top w:val="single" w:sz="4" w:space="0" w:color="auto"/>
              <w:left w:val="nil"/>
              <w:bottom w:val="single" w:sz="4" w:space="0" w:color="auto"/>
              <w:right w:val="nil"/>
            </w:tcBorders>
            <w:shd w:val="clear" w:color="auto" w:fill="auto"/>
            <w:noWrap/>
            <w:vAlign w:val="center"/>
          </w:tcPr>
          <w:p w:rsidR="00685BE5" w:rsidRPr="000C0BF5" w:rsidRDefault="00685BE5" w:rsidP="00AE4C3A">
            <w:pPr>
              <w:tabs>
                <w:tab w:val="decimal" w:pos="354"/>
              </w:tabs>
              <w:spacing w:before="20" w:after="20"/>
              <w:rPr>
                <w:rFonts w:ascii="Calibri" w:eastAsia="Times New Roman" w:hAnsi="Calibri" w:cs="Calibri"/>
                <w:color w:val="000000"/>
                <w:sz w:val="18"/>
                <w:szCs w:val="18"/>
                <w:lang w:eastAsia="zh-CN"/>
              </w:rPr>
            </w:pPr>
          </w:p>
        </w:tc>
        <w:tc>
          <w:tcPr>
            <w:tcW w:w="709" w:type="dxa"/>
            <w:tcBorders>
              <w:top w:val="single" w:sz="4" w:space="0" w:color="auto"/>
              <w:left w:val="nil"/>
              <w:bottom w:val="single" w:sz="4" w:space="0" w:color="auto"/>
              <w:right w:val="nil"/>
            </w:tcBorders>
            <w:shd w:val="clear" w:color="auto" w:fill="auto"/>
            <w:noWrap/>
            <w:vAlign w:val="bottom"/>
          </w:tcPr>
          <w:p w:rsidR="00685BE5" w:rsidRPr="000C0BF5" w:rsidRDefault="00685BE5" w:rsidP="00AE4C3A">
            <w:pPr>
              <w:tabs>
                <w:tab w:val="decimal" w:pos="302"/>
              </w:tabs>
              <w:spacing w:before="20" w:after="20"/>
              <w:rPr>
                <w:rFonts w:ascii="Calibri" w:eastAsia="Times New Roman" w:hAnsi="Calibri" w:cs="Calibri"/>
                <w:color w:val="000000"/>
                <w:sz w:val="18"/>
                <w:szCs w:val="18"/>
                <w:lang w:eastAsia="zh-CN"/>
              </w:rPr>
            </w:pPr>
          </w:p>
        </w:tc>
      </w:tr>
    </w:tbl>
    <w:p w:rsidR="00685BE5" w:rsidRDefault="00685BE5" w:rsidP="00D53B5C">
      <w:pPr>
        <w:pStyle w:val="NILSReference"/>
        <w:rPr>
          <w:rFonts w:eastAsia="SimHei"/>
        </w:rPr>
      </w:pPr>
      <w:r w:rsidRPr="007D2274">
        <w:rPr>
          <w:rFonts w:eastAsia="SimHei"/>
        </w:rPr>
        <w:t xml:space="preserve">Source: </w:t>
      </w:r>
      <w:r w:rsidRPr="000C0BF5">
        <w:rPr>
          <w:rFonts w:eastAsia="SimHei"/>
        </w:rPr>
        <w:t xml:space="preserve">2014 NDIS self-employed DSP survey, Question C7. </w:t>
      </w:r>
    </w:p>
    <w:p w:rsidR="002E74D0" w:rsidRPr="000C0BF5" w:rsidRDefault="002E74D0" w:rsidP="00D53B5C">
      <w:pPr>
        <w:pStyle w:val="NILSReference"/>
        <w:rPr>
          <w:rFonts w:eastAsia="SimHei"/>
        </w:rPr>
      </w:pPr>
      <w:r w:rsidRPr="002E74D0">
        <w:rPr>
          <w:rFonts w:eastAsia="SimHei"/>
        </w:rPr>
        <w:t>Note: Row percentages are shown.</w:t>
      </w:r>
    </w:p>
    <w:p w:rsidR="00B92687" w:rsidRDefault="00B92687" w:rsidP="00AE4C3A"/>
    <w:p w:rsidR="00685BE5" w:rsidRDefault="00685BE5" w:rsidP="00AE4C3A">
      <w:r>
        <w:t>Table 4.61</w:t>
      </w:r>
      <w:r w:rsidRPr="00AB33E3">
        <w:t xml:space="preserve"> shows that only 40 per cent of self-employed providers spen</w:t>
      </w:r>
      <w:r>
        <w:t>t</w:t>
      </w:r>
      <w:r w:rsidRPr="00AB33E3">
        <w:t xml:space="preserve"> more than two thirds of their shift actively caring for people. This </w:t>
      </w:r>
      <w:r>
        <w:t>wa</w:t>
      </w:r>
      <w:r w:rsidRPr="00AB33E3">
        <w:t xml:space="preserve">s similar to the share of time </w:t>
      </w:r>
      <w:r>
        <w:t xml:space="preserve">spent </w:t>
      </w:r>
      <w:r w:rsidRPr="00AB33E3">
        <w:t>caring indicated for employees</w:t>
      </w:r>
      <w:r>
        <w:t xml:space="preserve"> (see Table 4.42)</w:t>
      </w:r>
      <w:r w:rsidRPr="00AB33E3">
        <w:t xml:space="preserve">. </w:t>
      </w:r>
    </w:p>
    <w:p w:rsidR="00B92687" w:rsidRPr="00AB33E3" w:rsidRDefault="00B92687" w:rsidP="00AE4C3A"/>
    <w:p w:rsidR="00685BE5" w:rsidRDefault="00685BE5" w:rsidP="00AE4C3A">
      <w:pPr>
        <w:contextualSpacing/>
        <w:rPr>
          <w:rFonts w:ascii="Calibri" w:eastAsia="Calibri" w:hAnsi="Calibri" w:cs="Times New Roman"/>
        </w:rPr>
      </w:pPr>
      <w:r w:rsidRPr="00AB33E3">
        <w:rPr>
          <w:rFonts w:ascii="Calibri" w:eastAsia="Calibri" w:hAnsi="Calibri" w:cs="Times New Roman"/>
        </w:rPr>
        <w:t xml:space="preserve">In contrast </w:t>
      </w:r>
      <w:r>
        <w:rPr>
          <w:rFonts w:ascii="Calibri" w:eastAsia="Calibri" w:hAnsi="Calibri" w:cs="Times New Roman"/>
        </w:rPr>
        <w:t xml:space="preserve">to the picture of employees, </w:t>
      </w:r>
      <w:r w:rsidRPr="00AB33E3">
        <w:rPr>
          <w:rFonts w:ascii="Calibri" w:eastAsia="Calibri" w:hAnsi="Calibri" w:cs="Times New Roman"/>
        </w:rPr>
        <w:t>only 8 per cent of self-employed providers spen</w:t>
      </w:r>
      <w:r>
        <w:rPr>
          <w:rFonts w:ascii="Calibri" w:eastAsia="Calibri" w:hAnsi="Calibri" w:cs="Times New Roman"/>
        </w:rPr>
        <w:t>t</w:t>
      </w:r>
      <w:r w:rsidRPr="00AB33E3">
        <w:rPr>
          <w:rFonts w:ascii="Calibri" w:eastAsia="Calibri" w:hAnsi="Calibri" w:cs="Times New Roman"/>
        </w:rPr>
        <w:t xml:space="preserve"> more than two thirds of their shift on administration tasks</w:t>
      </w:r>
      <w:r>
        <w:rPr>
          <w:rFonts w:ascii="Calibri" w:eastAsia="Calibri" w:hAnsi="Calibri" w:cs="Times New Roman"/>
        </w:rPr>
        <w:t>. The corresponding figure for employees is 30 per cent</w:t>
      </w:r>
      <w:r w:rsidRPr="00AB33E3">
        <w:rPr>
          <w:rFonts w:ascii="Calibri" w:eastAsia="Calibri" w:hAnsi="Calibri" w:cs="Times New Roman"/>
        </w:rPr>
        <w:t xml:space="preserve">. These figures </w:t>
      </w:r>
      <w:r>
        <w:rPr>
          <w:rFonts w:ascii="Calibri" w:eastAsia="Calibri" w:hAnsi="Calibri" w:cs="Times New Roman"/>
        </w:rPr>
        <w:t xml:space="preserve">may </w:t>
      </w:r>
      <w:r w:rsidRPr="00AB33E3">
        <w:rPr>
          <w:rFonts w:ascii="Calibri" w:eastAsia="Calibri" w:hAnsi="Calibri" w:cs="Times New Roman"/>
        </w:rPr>
        <w:t xml:space="preserve">indicate that while substantial time </w:t>
      </w:r>
      <w:r>
        <w:rPr>
          <w:rFonts w:ascii="Calibri" w:eastAsia="Calibri" w:hAnsi="Calibri" w:cs="Times New Roman"/>
        </w:rPr>
        <w:t>wa</w:t>
      </w:r>
      <w:r w:rsidRPr="00AB33E3">
        <w:rPr>
          <w:rFonts w:ascii="Calibri" w:eastAsia="Calibri" w:hAnsi="Calibri" w:cs="Times New Roman"/>
        </w:rPr>
        <w:t xml:space="preserve">s devoted to administration by self-employed providers, there </w:t>
      </w:r>
      <w:r>
        <w:rPr>
          <w:rFonts w:ascii="Calibri" w:eastAsia="Calibri" w:hAnsi="Calibri" w:cs="Times New Roman"/>
        </w:rPr>
        <w:t>wa</w:t>
      </w:r>
      <w:r w:rsidRPr="00AB33E3">
        <w:rPr>
          <w:rFonts w:ascii="Calibri" w:eastAsia="Calibri" w:hAnsi="Calibri" w:cs="Times New Roman"/>
        </w:rPr>
        <w:t xml:space="preserve">s not as much </w:t>
      </w:r>
      <w:r>
        <w:rPr>
          <w:rFonts w:ascii="Calibri" w:eastAsia="Calibri" w:hAnsi="Calibri" w:cs="Times New Roman"/>
        </w:rPr>
        <w:t xml:space="preserve">time spent on </w:t>
      </w:r>
      <w:r w:rsidRPr="00AB33E3">
        <w:rPr>
          <w:rFonts w:ascii="Calibri" w:eastAsia="Calibri" w:hAnsi="Calibri" w:cs="Times New Roman"/>
        </w:rPr>
        <w:t xml:space="preserve">administration as </w:t>
      </w:r>
      <w:r>
        <w:rPr>
          <w:rFonts w:ascii="Calibri" w:eastAsia="Calibri" w:hAnsi="Calibri" w:cs="Times New Roman"/>
        </w:rPr>
        <w:t>by</w:t>
      </w:r>
      <w:r w:rsidRPr="00AB33E3">
        <w:rPr>
          <w:rFonts w:ascii="Calibri" w:eastAsia="Calibri" w:hAnsi="Calibri" w:cs="Times New Roman"/>
        </w:rPr>
        <w:t xml:space="preserve"> outlet employees.</w:t>
      </w:r>
      <w:r>
        <w:rPr>
          <w:rFonts w:ascii="Calibri" w:eastAsia="Calibri" w:hAnsi="Calibri" w:cs="Times New Roman"/>
        </w:rPr>
        <w:t xml:space="preserve"> It may also simply indicate that there was a division of labour within larger establishments, whereby fewer employees did more administrative work while others did less. </w:t>
      </w:r>
    </w:p>
    <w:p w:rsidR="00685BE5" w:rsidRDefault="00685BE5" w:rsidP="0044684E">
      <w:pPr>
        <w:pStyle w:val="NILSTableHeading"/>
        <w:rPr>
          <w:lang w:val="en-AU"/>
        </w:rPr>
      </w:pPr>
      <w:bookmarkStart w:id="745" w:name="_Toc428279268"/>
      <w:bookmarkStart w:id="746" w:name="_Toc449955400"/>
      <w:r>
        <w:t>Table 4.61</w:t>
      </w:r>
      <w:r w:rsidRPr="00AB33E3">
        <w:t>: Time allocation at work</w:t>
      </w:r>
      <w:r>
        <w:t xml:space="preserve"> of self-employed providers</w:t>
      </w:r>
      <w:bookmarkEnd w:id="745"/>
      <w:bookmarkEnd w:id="746"/>
    </w:p>
    <w:tbl>
      <w:tblPr>
        <w:tblW w:w="8503" w:type="dxa"/>
        <w:tblInd w:w="93" w:type="dxa"/>
        <w:tblLook w:val="04A0" w:firstRow="1" w:lastRow="0" w:firstColumn="1" w:lastColumn="0" w:noHBand="0" w:noVBand="1"/>
        <w:tblCaption w:val="Table 4.61 Time allocation at work of self-employed providers"/>
      </w:tblPr>
      <w:tblGrid>
        <w:gridCol w:w="4137"/>
        <w:gridCol w:w="2383"/>
        <w:gridCol w:w="1983"/>
      </w:tblGrid>
      <w:tr w:rsidR="00AA0EE6" w:rsidRPr="00A27695" w:rsidTr="001766C0">
        <w:trPr>
          <w:cantSplit/>
          <w:tblHeader/>
        </w:trPr>
        <w:tc>
          <w:tcPr>
            <w:tcW w:w="4137" w:type="dxa"/>
            <w:tcBorders>
              <w:top w:val="single" w:sz="4" w:space="0" w:color="auto"/>
              <w:left w:val="nil"/>
              <w:bottom w:val="single" w:sz="4" w:space="0" w:color="auto"/>
              <w:right w:val="nil"/>
            </w:tcBorders>
            <w:shd w:val="clear" w:color="auto" w:fill="auto"/>
            <w:noWrap/>
            <w:vAlign w:val="bottom"/>
            <w:hideMark/>
          </w:tcPr>
          <w:p w:rsidR="00AA0EE6" w:rsidRPr="00A27695" w:rsidRDefault="00AA0EE6" w:rsidP="0019420F">
            <w:pPr>
              <w:spacing w:before="20" w:after="20"/>
              <w:rPr>
                <w:sz w:val="20"/>
                <w:szCs w:val="20"/>
                <w:lang w:eastAsia="zh-CN"/>
              </w:rPr>
            </w:pPr>
            <w:bookmarkStart w:id="747" w:name="Title_4_61"/>
            <w:bookmarkEnd w:id="747"/>
          </w:p>
        </w:tc>
        <w:tc>
          <w:tcPr>
            <w:tcW w:w="2383" w:type="dxa"/>
            <w:tcBorders>
              <w:top w:val="single" w:sz="4" w:space="0" w:color="auto"/>
              <w:left w:val="nil"/>
              <w:bottom w:val="single" w:sz="4" w:space="0" w:color="auto"/>
              <w:right w:val="nil"/>
            </w:tcBorders>
            <w:shd w:val="clear" w:color="auto" w:fill="auto"/>
            <w:noWrap/>
            <w:vAlign w:val="bottom"/>
            <w:hideMark/>
          </w:tcPr>
          <w:p w:rsidR="00AA0EE6" w:rsidRDefault="00AA0EE6" w:rsidP="0019420F">
            <w:pPr>
              <w:spacing w:before="20" w:after="20"/>
              <w:jc w:val="center"/>
              <w:rPr>
                <w:sz w:val="20"/>
                <w:szCs w:val="20"/>
                <w:lang w:eastAsia="zh-CN"/>
              </w:rPr>
            </w:pPr>
            <w:r w:rsidRPr="00A27695">
              <w:rPr>
                <w:sz w:val="20"/>
                <w:szCs w:val="20"/>
                <w:lang w:eastAsia="zh-CN"/>
              </w:rPr>
              <w:t>Actively caring for people</w:t>
            </w:r>
          </w:p>
          <w:p w:rsidR="00AA0EE6" w:rsidRPr="00A27695" w:rsidRDefault="00592921" w:rsidP="0019420F">
            <w:pPr>
              <w:spacing w:before="20" w:after="20"/>
              <w:jc w:val="center"/>
              <w:rPr>
                <w:sz w:val="20"/>
                <w:szCs w:val="20"/>
                <w:lang w:eastAsia="zh-CN"/>
              </w:rPr>
            </w:pPr>
            <w:r>
              <w:rPr>
                <w:rFonts w:ascii="Calibri" w:eastAsia="Times New Roman" w:hAnsi="Calibri" w:cs="Calibri"/>
                <w:bCs/>
                <w:color w:val="000000"/>
                <w:sz w:val="20"/>
                <w:szCs w:val="20"/>
                <w:lang w:eastAsia="zh-CN"/>
              </w:rPr>
              <w:t>%</w:t>
            </w:r>
          </w:p>
        </w:tc>
        <w:tc>
          <w:tcPr>
            <w:tcW w:w="1983" w:type="dxa"/>
            <w:tcBorders>
              <w:top w:val="single" w:sz="4" w:space="0" w:color="auto"/>
              <w:left w:val="nil"/>
              <w:bottom w:val="single" w:sz="4" w:space="0" w:color="auto"/>
              <w:right w:val="nil"/>
            </w:tcBorders>
            <w:shd w:val="clear" w:color="auto" w:fill="auto"/>
            <w:noWrap/>
            <w:vAlign w:val="bottom"/>
            <w:hideMark/>
          </w:tcPr>
          <w:p w:rsidR="00AA0EE6" w:rsidRDefault="00AA0EE6" w:rsidP="0019420F">
            <w:pPr>
              <w:spacing w:before="20" w:after="20"/>
              <w:jc w:val="center"/>
              <w:rPr>
                <w:sz w:val="20"/>
                <w:szCs w:val="20"/>
                <w:lang w:eastAsia="zh-CN"/>
              </w:rPr>
            </w:pPr>
            <w:r w:rsidRPr="00A27695">
              <w:rPr>
                <w:sz w:val="20"/>
                <w:szCs w:val="20"/>
                <w:lang w:eastAsia="zh-CN"/>
              </w:rPr>
              <w:t>Administration tasks</w:t>
            </w:r>
          </w:p>
          <w:p w:rsidR="00AA0EE6" w:rsidRPr="00A27695" w:rsidRDefault="00592921" w:rsidP="0019420F">
            <w:pPr>
              <w:spacing w:before="20" w:after="20"/>
              <w:jc w:val="center"/>
              <w:rPr>
                <w:sz w:val="20"/>
                <w:szCs w:val="20"/>
                <w:lang w:eastAsia="zh-CN"/>
              </w:rPr>
            </w:pPr>
            <w:r>
              <w:rPr>
                <w:rFonts w:ascii="Calibri" w:eastAsia="Times New Roman" w:hAnsi="Calibri" w:cs="Calibri"/>
                <w:bCs/>
                <w:color w:val="000000"/>
                <w:sz w:val="20"/>
                <w:szCs w:val="20"/>
                <w:lang w:eastAsia="zh-CN"/>
              </w:rPr>
              <w:t>%</w:t>
            </w:r>
          </w:p>
        </w:tc>
      </w:tr>
      <w:tr w:rsidR="00AA0EE6" w:rsidRPr="00A27695" w:rsidTr="001766C0">
        <w:trPr>
          <w:cantSplit/>
        </w:trPr>
        <w:tc>
          <w:tcPr>
            <w:tcW w:w="4137" w:type="dxa"/>
            <w:tcBorders>
              <w:top w:val="nil"/>
              <w:left w:val="nil"/>
              <w:bottom w:val="nil"/>
              <w:right w:val="nil"/>
            </w:tcBorders>
            <w:shd w:val="clear" w:color="auto" w:fill="auto"/>
            <w:noWrap/>
            <w:vAlign w:val="bottom"/>
            <w:hideMark/>
          </w:tcPr>
          <w:p w:rsidR="00AA0EE6" w:rsidRPr="00A27695" w:rsidRDefault="00AA0EE6" w:rsidP="0019420F">
            <w:pPr>
              <w:spacing w:before="20" w:after="20"/>
              <w:rPr>
                <w:sz w:val="20"/>
                <w:szCs w:val="20"/>
                <w:lang w:eastAsia="zh-CN"/>
              </w:rPr>
            </w:pPr>
            <w:r w:rsidRPr="00A27695">
              <w:rPr>
                <w:sz w:val="20"/>
                <w:szCs w:val="20"/>
                <w:lang w:eastAsia="zh-CN"/>
              </w:rPr>
              <w:t>Less than one-third of your time</w:t>
            </w:r>
          </w:p>
        </w:tc>
        <w:tc>
          <w:tcPr>
            <w:tcW w:w="2383" w:type="dxa"/>
            <w:tcBorders>
              <w:top w:val="nil"/>
              <w:left w:val="nil"/>
              <w:bottom w:val="nil"/>
              <w:right w:val="nil"/>
            </w:tcBorders>
            <w:shd w:val="clear" w:color="auto" w:fill="auto"/>
            <w:noWrap/>
            <w:vAlign w:val="bottom"/>
            <w:hideMark/>
          </w:tcPr>
          <w:p w:rsidR="00AA0EE6" w:rsidRPr="00A27695" w:rsidRDefault="00AA0EE6" w:rsidP="0019420F">
            <w:pPr>
              <w:tabs>
                <w:tab w:val="right" w:pos="1299"/>
              </w:tabs>
              <w:spacing w:before="20" w:after="20"/>
              <w:jc w:val="center"/>
              <w:rPr>
                <w:sz w:val="20"/>
                <w:szCs w:val="20"/>
                <w:lang w:eastAsia="zh-CN"/>
              </w:rPr>
            </w:pPr>
            <w:r w:rsidRPr="00A27695">
              <w:rPr>
                <w:sz w:val="20"/>
                <w:szCs w:val="20"/>
                <w:lang w:eastAsia="zh-CN"/>
              </w:rPr>
              <w:t>14.3</w:t>
            </w:r>
          </w:p>
        </w:tc>
        <w:tc>
          <w:tcPr>
            <w:tcW w:w="1983" w:type="dxa"/>
            <w:tcBorders>
              <w:top w:val="nil"/>
              <w:left w:val="nil"/>
              <w:bottom w:val="nil"/>
              <w:right w:val="nil"/>
            </w:tcBorders>
            <w:shd w:val="clear" w:color="auto" w:fill="auto"/>
            <w:noWrap/>
            <w:vAlign w:val="bottom"/>
            <w:hideMark/>
          </w:tcPr>
          <w:p w:rsidR="00AA0EE6" w:rsidRPr="00A27695" w:rsidRDefault="00AA0EE6" w:rsidP="0019420F">
            <w:pPr>
              <w:tabs>
                <w:tab w:val="right" w:pos="1299"/>
              </w:tabs>
              <w:spacing w:before="20" w:after="20"/>
              <w:jc w:val="center"/>
              <w:rPr>
                <w:sz w:val="20"/>
                <w:szCs w:val="20"/>
                <w:lang w:eastAsia="zh-CN"/>
              </w:rPr>
            </w:pPr>
            <w:r w:rsidRPr="00A27695">
              <w:rPr>
                <w:sz w:val="20"/>
                <w:szCs w:val="20"/>
                <w:lang w:eastAsia="zh-CN"/>
              </w:rPr>
              <w:t>52.9</w:t>
            </w:r>
          </w:p>
        </w:tc>
      </w:tr>
      <w:tr w:rsidR="00AA0EE6" w:rsidRPr="00A27695" w:rsidTr="001766C0">
        <w:trPr>
          <w:cantSplit/>
        </w:trPr>
        <w:tc>
          <w:tcPr>
            <w:tcW w:w="4137" w:type="dxa"/>
            <w:tcBorders>
              <w:top w:val="nil"/>
              <w:left w:val="nil"/>
              <w:bottom w:val="nil"/>
              <w:right w:val="nil"/>
            </w:tcBorders>
            <w:shd w:val="clear" w:color="auto" w:fill="auto"/>
            <w:noWrap/>
            <w:vAlign w:val="bottom"/>
            <w:hideMark/>
          </w:tcPr>
          <w:p w:rsidR="00AA0EE6" w:rsidRPr="00A27695" w:rsidRDefault="00AA0EE6" w:rsidP="0019420F">
            <w:pPr>
              <w:spacing w:before="20" w:after="20"/>
              <w:rPr>
                <w:sz w:val="20"/>
                <w:szCs w:val="20"/>
                <w:lang w:eastAsia="zh-CN"/>
              </w:rPr>
            </w:pPr>
            <w:r w:rsidRPr="00A27695">
              <w:rPr>
                <w:sz w:val="20"/>
                <w:szCs w:val="20"/>
                <w:lang w:eastAsia="zh-CN"/>
              </w:rPr>
              <w:t>Between one-third and two-thirds of your time</w:t>
            </w:r>
          </w:p>
        </w:tc>
        <w:tc>
          <w:tcPr>
            <w:tcW w:w="2383" w:type="dxa"/>
            <w:tcBorders>
              <w:top w:val="nil"/>
              <w:left w:val="nil"/>
              <w:bottom w:val="nil"/>
              <w:right w:val="nil"/>
            </w:tcBorders>
            <w:shd w:val="clear" w:color="auto" w:fill="auto"/>
            <w:noWrap/>
            <w:vAlign w:val="bottom"/>
            <w:hideMark/>
          </w:tcPr>
          <w:p w:rsidR="00AA0EE6" w:rsidRPr="00A27695" w:rsidRDefault="00AA0EE6" w:rsidP="0019420F">
            <w:pPr>
              <w:tabs>
                <w:tab w:val="right" w:pos="1299"/>
              </w:tabs>
              <w:spacing w:before="20" w:after="20"/>
              <w:jc w:val="center"/>
              <w:rPr>
                <w:sz w:val="20"/>
                <w:szCs w:val="20"/>
                <w:lang w:eastAsia="zh-CN"/>
              </w:rPr>
            </w:pPr>
            <w:r w:rsidRPr="00A27695">
              <w:rPr>
                <w:sz w:val="20"/>
                <w:szCs w:val="20"/>
                <w:lang w:eastAsia="zh-CN"/>
              </w:rPr>
              <w:t>42.3</w:t>
            </w:r>
          </w:p>
        </w:tc>
        <w:tc>
          <w:tcPr>
            <w:tcW w:w="1983" w:type="dxa"/>
            <w:tcBorders>
              <w:top w:val="nil"/>
              <w:left w:val="nil"/>
              <w:bottom w:val="nil"/>
              <w:right w:val="nil"/>
            </w:tcBorders>
            <w:shd w:val="clear" w:color="auto" w:fill="auto"/>
            <w:noWrap/>
            <w:vAlign w:val="bottom"/>
            <w:hideMark/>
          </w:tcPr>
          <w:p w:rsidR="00AA0EE6" w:rsidRPr="00A27695" w:rsidRDefault="00AA0EE6" w:rsidP="0019420F">
            <w:pPr>
              <w:tabs>
                <w:tab w:val="right" w:pos="1299"/>
              </w:tabs>
              <w:spacing w:before="20" w:after="20"/>
              <w:jc w:val="center"/>
              <w:rPr>
                <w:sz w:val="20"/>
                <w:szCs w:val="20"/>
                <w:lang w:eastAsia="zh-CN"/>
              </w:rPr>
            </w:pPr>
            <w:r w:rsidRPr="00A27695">
              <w:rPr>
                <w:sz w:val="20"/>
                <w:szCs w:val="20"/>
                <w:lang w:eastAsia="zh-CN"/>
              </w:rPr>
              <w:t>35.7</w:t>
            </w:r>
          </w:p>
        </w:tc>
      </w:tr>
      <w:tr w:rsidR="00AA0EE6" w:rsidRPr="00A27695" w:rsidTr="001766C0">
        <w:trPr>
          <w:cantSplit/>
        </w:trPr>
        <w:tc>
          <w:tcPr>
            <w:tcW w:w="4137" w:type="dxa"/>
            <w:tcBorders>
              <w:top w:val="nil"/>
              <w:left w:val="nil"/>
              <w:bottom w:val="nil"/>
              <w:right w:val="nil"/>
            </w:tcBorders>
            <w:shd w:val="clear" w:color="auto" w:fill="auto"/>
            <w:noWrap/>
            <w:vAlign w:val="bottom"/>
            <w:hideMark/>
          </w:tcPr>
          <w:p w:rsidR="00AA0EE6" w:rsidRPr="00A27695" w:rsidRDefault="00AA0EE6" w:rsidP="0019420F">
            <w:pPr>
              <w:spacing w:before="20" w:after="20"/>
              <w:rPr>
                <w:sz w:val="20"/>
                <w:szCs w:val="20"/>
                <w:lang w:eastAsia="zh-CN"/>
              </w:rPr>
            </w:pPr>
            <w:r w:rsidRPr="00A27695">
              <w:rPr>
                <w:sz w:val="20"/>
                <w:szCs w:val="20"/>
                <w:lang w:eastAsia="zh-CN"/>
              </w:rPr>
              <w:t>More than two-thirds of your time</w:t>
            </w:r>
          </w:p>
        </w:tc>
        <w:tc>
          <w:tcPr>
            <w:tcW w:w="2383" w:type="dxa"/>
            <w:tcBorders>
              <w:top w:val="nil"/>
              <w:left w:val="nil"/>
              <w:bottom w:val="nil"/>
              <w:right w:val="nil"/>
            </w:tcBorders>
            <w:shd w:val="clear" w:color="auto" w:fill="auto"/>
            <w:noWrap/>
            <w:vAlign w:val="bottom"/>
            <w:hideMark/>
          </w:tcPr>
          <w:p w:rsidR="00AA0EE6" w:rsidRPr="00A27695" w:rsidRDefault="00AA0EE6" w:rsidP="0019420F">
            <w:pPr>
              <w:tabs>
                <w:tab w:val="right" w:pos="1299"/>
              </w:tabs>
              <w:spacing w:before="20" w:after="20"/>
              <w:jc w:val="center"/>
              <w:rPr>
                <w:sz w:val="20"/>
                <w:szCs w:val="20"/>
                <w:lang w:eastAsia="zh-CN"/>
              </w:rPr>
            </w:pPr>
            <w:r w:rsidRPr="00A27695">
              <w:rPr>
                <w:sz w:val="20"/>
                <w:szCs w:val="20"/>
                <w:lang w:eastAsia="zh-CN"/>
              </w:rPr>
              <w:t>40.4</w:t>
            </w:r>
          </w:p>
        </w:tc>
        <w:tc>
          <w:tcPr>
            <w:tcW w:w="1983" w:type="dxa"/>
            <w:tcBorders>
              <w:top w:val="nil"/>
              <w:left w:val="nil"/>
              <w:bottom w:val="nil"/>
              <w:right w:val="nil"/>
            </w:tcBorders>
            <w:shd w:val="clear" w:color="auto" w:fill="auto"/>
            <w:noWrap/>
            <w:vAlign w:val="bottom"/>
            <w:hideMark/>
          </w:tcPr>
          <w:p w:rsidR="00AA0EE6" w:rsidRPr="00A27695" w:rsidRDefault="00AA0EE6" w:rsidP="0019420F">
            <w:pPr>
              <w:tabs>
                <w:tab w:val="right" w:pos="1299"/>
              </w:tabs>
              <w:spacing w:before="20" w:after="20"/>
              <w:jc w:val="center"/>
              <w:rPr>
                <w:sz w:val="20"/>
                <w:szCs w:val="20"/>
                <w:lang w:eastAsia="zh-CN"/>
              </w:rPr>
            </w:pPr>
            <w:r w:rsidRPr="00A27695">
              <w:rPr>
                <w:sz w:val="20"/>
                <w:szCs w:val="20"/>
                <w:lang w:eastAsia="zh-CN"/>
              </w:rPr>
              <w:t>7.7</w:t>
            </w:r>
          </w:p>
        </w:tc>
      </w:tr>
      <w:tr w:rsidR="00AA0EE6" w:rsidRPr="00A27695" w:rsidTr="001766C0">
        <w:trPr>
          <w:cantSplit/>
        </w:trPr>
        <w:tc>
          <w:tcPr>
            <w:tcW w:w="4137" w:type="dxa"/>
            <w:tcBorders>
              <w:top w:val="nil"/>
              <w:left w:val="nil"/>
              <w:bottom w:val="single" w:sz="4" w:space="0" w:color="auto"/>
              <w:right w:val="nil"/>
            </w:tcBorders>
            <w:shd w:val="clear" w:color="auto" w:fill="auto"/>
            <w:noWrap/>
            <w:vAlign w:val="bottom"/>
            <w:hideMark/>
          </w:tcPr>
          <w:p w:rsidR="00AA0EE6" w:rsidRPr="00A27695" w:rsidRDefault="00AA0EE6" w:rsidP="0019420F">
            <w:pPr>
              <w:spacing w:before="20" w:after="20"/>
              <w:rPr>
                <w:sz w:val="20"/>
                <w:szCs w:val="20"/>
                <w:lang w:eastAsia="zh-CN"/>
              </w:rPr>
            </w:pPr>
            <w:r w:rsidRPr="00A27695">
              <w:rPr>
                <w:sz w:val="20"/>
                <w:szCs w:val="20"/>
                <w:lang w:eastAsia="zh-CN"/>
              </w:rPr>
              <w:t xml:space="preserve">Question not answered </w:t>
            </w:r>
          </w:p>
        </w:tc>
        <w:tc>
          <w:tcPr>
            <w:tcW w:w="2383" w:type="dxa"/>
            <w:tcBorders>
              <w:top w:val="nil"/>
              <w:left w:val="nil"/>
              <w:bottom w:val="single" w:sz="4" w:space="0" w:color="auto"/>
              <w:right w:val="nil"/>
            </w:tcBorders>
            <w:shd w:val="clear" w:color="auto" w:fill="auto"/>
            <w:noWrap/>
            <w:vAlign w:val="bottom"/>
            <w:hideMark/>
          </w:tcPr>
          <w:p w:rsidR="00AA0EE6" w:rsidRPr="00A27695" w:rsidRDefault="00AA0EE6" w:rsidP="0019420F">
            <w:pPr>
              <w:tabs>
                <w:tab w:val="right" w:pos="1299"/>
              </w:tabs>
              <w:spacing w:before="20" w:after="20"/>
              <w:jc w:val="center"/>
              <w:rPr>
                <w:sz w:val="20"/>
                <w:szCs w:val="20"/>
                <w:lang w:eastAsia="zh-CN"/>
              </w:rPr>
            </w:pPr>
            <w:r w:rsidRPr="00A27695">
              <w:rPr>
                <w:sz w:val="20"/>
                <w:szCs w:val="20"/>
                <w:lang w:eastAsia="zh-CN"/>
              </w:rPr>
              <w:t>2.9</w:t>
            </w:r>
          </w:p>
        </w:tc>
        <w:tc>
          <w:tcPr>
            <w:tcW w:w="1983" w:type="dxa"/>
            <w:tcBorders>
              <w:top w:val="nil"/>
              <w:left w:val="nil"/>
              <w:bottom w:val="single" w:sz="4" w:space="0" w:color="auto"/>
              <w:right w:val="nil"/>
            </w:tcBorders>
            <w:shd w:val="clear" w:color="auto" w:fill="auto"/>
            <w:noWrap/>
            <w:vAlign w:val="bottom"/>
            <w:hideMark/>
          </w:tcPr>
          <w:p w:rsidR="00AA0EE6" w:rsidRPr="00A27695" w:rsidRDefault="00AA0EE6" w:rsidP="0019420F">
            <w:pPr>
              <w:tabs>
                <w:tab w:val="right" w:pos="1299"/>
              </w:tabs>
              <w:spacing w:before="20" w:after="20"/>
              <w:jc w:val="center"/>
              <w:rPr>
                <w:sz w:val="20"/>
                <w:szCs w:val="20"/>
                <w:lang w:eastAsia="zh-CN"/>
              </w:rPr>
            </w:pPr>
            <w:r w:rsidRPr="00A27695">
              <w:rPr>
                <w:sz w:val="20"/>
                <w:szCs w:val="20"/>
                <w:lang w:eastAsia="zh-CN"/>
              </w:rPr>
              <w:t>3.7</w:t>
            </w:r>
          </w:p>
        </w:tc>
      </w:tr>
      <w:tr w:rsidR="00AA0EE6" w:rsidRPr="00A27695" w:rsidTr="001766C0">
        <w:trPr>
          <w:cantSplit/>
        </w:trPr>
        <w:tc>
          <w:tcPr>
            <w:tcW w:w="4137" w:type="dxa"/>
            <w:tcBorders>
              <w:top w:val="single" w:sz="4" w:space="0" w:color="auto"/>
              <w:left w:val="nil"/>
              <w:bottom w:val="single" w:sz="4" w:space="0" w:color="auto"/>
              <w:right w:val="nil"/>
            </w:tcBorders>
            <w:shd w:val="clear" w:color="auto" w:fill="auto"/>
            <w:noWrap/>
            <w:vAlign w:val="bottom"/>
            <w:hideMark/>
          </w:tcPr>
          <w:p w:rsidR="00AA0EE6" w:rsidRPr="00A27695" w:rsidRDefault="00AA0EE6" w:rsidP="0019420F">
            <w:pPr>
              <w:spacing w:before="20" w:after="20"/>
              <w:rPr>
                <w:b/>
                <w:sz w:val="20"/>
                <w:szCs w:val="20"/>
                <w:lang w:eastAsia="zh-CN"/>
              </w:rPr>
            </w:pPr>
            <w:r w:rsidRPr="005E0BA5">
              <w:rPr>
                <w:b/>
                <w:sz w:val="20"/>
                <w:szCs w:val="20"/>
                <w:lang w:eastAsia="zh-CN"/>
              </w:rPr>
              <w:t>Total (N=272)</w:t>
            </w:r>
          </w:p>
        </w:tc>
        <w:tc>
          <w:tcPr>
            <w:tcW w:w="2383" w:type="dxa"/>
            <w:tcBorders>
              <w:top w:val="single" w:sz="4" w:space="0" w:color="auto"/>
              <w:left w:val="nil"/>
              <w:bottom w:val="single" w:sz="4" w:space="0" w:color="auto"/>
              <w:right w:val="nil"/>
            </w:tcBorders>
            <w:shd w:val="clear" w:color="auto" w:fill="auto"/>
            <w:noWrap/>
            <w:vAlign w:val="bottom"/>
            <w:hideMark/>
          </w:tcPr>
          <w:p w:rsidR="00AA0EE6" w:rsidRPr="00A27695" w:rsidRDefault="00AA0EE6" w:rsidP="0019420F">
            <w:pPr>
              <w:tabs>
                <w:tab w:val="right" w:pos="1299"/>
              </w:tabs>
              <w:spacing w:before="20" w:after="20"/>
              <w:jc w:val="center"/>
              <w:rPr>
                <w:b/>
                <w:sz w:val="20"/>
                <w:szCs w:val="20"/>
                <w:lang w:eastAsia="zh-CN"/>
              </w:rPr>
            </w:pPr>
            <w:r w:rsidRPr="00A27695">
              <w:rPr>
                <w:b/>
                <w:sz w:val="20"/>
                <w:szCs w:val="20"/>
                <w:lang w:eastAsia="zh-CN"/>
              </w:rPr>
              <w:t>100</w:t>
            </w:r>
          </w:p>
        </w:tc>
        <w:tc>
          <w:tcPr>
            <w:tcW w:w="1983" w:type="dxa"/>
            <w:tcBorders>
              <w:top w:val="single" w:sz="4" w:space="0" w:color="auto"/>
              <w:left w:val="nil"/>
              <w:bottom w:val="single" w:sz="4" w:space="0" w:color="auto"/>
              <w:right w:val="nil"/>
            </w:tcBorders>
            <w:shd w:val="clear" w:color="auto" w:fill="auto"/>
            <w:noWrap/>
            <w:vAlign w:val="bottom"/>
            <w:hideMark/>
          </w:tcPr>
          <w:p w:rsidR="00AA0EE6" w:rsidRPr="00A27695" w:rsidRDefault="00AA0EE6" w:rsidP="0019420F">
            <w:pPr>
              <w:tabs>
                <w:tab w:val="right" w:pos="1299"/>
              </w:tabs>
              <w:spacing w:before="20" w:after="20"/>
              <w:jc w:val="center"/>
              <w:rPr>
                <w:b/>
                <w:sz w:val="20"/>
                <w:szCs w:val="20"/>
                <w:lang w:eastAsia="zh-CN"/>
              </w:rPr>
            </w:pPr>
            <w:r w:rsidRPr="00A27695">
              <w:rPr>
                <w:b/>
                <w:sz w:val="20"/>
                <w:szCs w:val="20"/>
                <w:lang w:eastAsia="zh-CN"/>
              </w:rPr>
              <w:t>100</w:t>
            </w:r>
          </w:p>
        </w:tc>
      </w:tr>
    </w:tbl>
    <w:p w:rsidR="00685BE5" w:rsidRPr="00EC6D3A" w:rsidRDefault="00685BE5" w:rsidP="00EC6D3A">
      <w:pPr>
        <w:pStyle w:val="NILSReference"/>
        <w:rPr>
          <w:rStyle w:val="FootnoteReference"/>
          <w:rFonts w:eastAsia="SimHei"/>
          <w:vertAlign w:val="baseline"/>
        </w:rPr>
      </w:pPr>
      <w:r w:rsidRPr="00EC6D3A">
        <w:rPr>
          <w:rStyle w:val="FootnoteReference"/>
          <w:rFonts w:eastAsia="SimHei"/>
          <w:vertAlign w:val="baseline"/>
        </w:rPr>
        <w:t xml:space="preserve">Source: 2014 NDIS self-employed DSP survey, Question C6a. </w:t>
      </w:r>
    </w:p>
    <w:p w:rsidR="00CF5E9D" w:rsidRDefault="00CF5E9D">
      <w:pPr>
        <w:rPr>
          <w:rFonts w:eastAsia="Times" w:cstheme="minorHAnsi"/>
          <w:b/>
          <w:kern w:val="32"/>
          <w:sz w:val="24"/>
          <w:szCs w:val="28"/>
          <w:lang w:val="en-AU" w:eastAsia="zh-CN"/>
        </w:rPr>
      </w:pPr>
      <w:bookmarkStart w:id="748" w:name="_Toc428279203"/>
      <w:r>
        <w:br w:type="page"/>
      </w:r>
    </w:p>
    <w:p w:rsidR="00685BE5" w:rsidRPr="00AB33E3" w:rsidRDefault="00685BE5" w:rsidP="00367B24">
      <w:pPr>
        <w:pStyle w:val="Heading3"/>
      </w:pPr>
      <w:bookmarkStart w:id="749" w:name="_Toc449955051"/>
      <w:r>
        <w:lastRenderedPageBreak/>
        <w:t xml:space="preserve">4.4.3 </w:t>
      </w:r>
      <w:r w:rsidRPr="00AB33E3">
        <w:t>A brief summary</w:t>
      </w:r>
      <w:r>
        <w:t xml:space="preserve"> of self-employed DSP</w:t>
      </w:r>
      <w:bookmarkEnd w:id="748"/>
      <w:bookmarkEnd w:id="749"/>
    </w:p>
    <w:p w:rsidR="00685BE5" w:rsidRDefault="00685BE5" w:rsidP="00AE4C3A">
      <w:pPr>
        <w:contextualSpacing/>
        <w:rPr>
          <w:rFonts w:ascii="Calibri" w:eastAsia="Calibri" w:hAnsi="Calibri" w:cs="Times New Roman"/>
        </w:rPr>
      </w:pPr>
      <w:r w:rsidRPr="00E2062C">
        <w:rPr>
          <w:rFonts w:ascii="Calibri" w:eastAsia="Calibri" w:hAnsi="Calibri" w:cs="Times New Roman"/>
        </w:rPr>
        <w:t xml:space="preserve">Self-employed workers in the disability care sector </w:t>
      </w:r>
      <w:r>
        <w:rPr>
          <w:rFonts w:ascii="Calibri" w:eastAsia="Calibri" w:hAnsi="Calibri" w:cs="Times New Roman"/>
        </w:rPr>
        <w:t>we</w:t>
      </w:r>
      <w:r w:rsidRPr="00E2062C">
        <w:rPr>
          <w:rFonts w:ascii="Calibri" w:eastAsia="Calibri" w:hAnsi="Calibri" w:cs="Times New Roman"/>
        </w:rPr>
        <w:t xml:space="preserve">re overwhelmingly professionals in the allied health fields and in psychology or counselling. Their main work </w:t>
      </w:r>
      <w:r>
        <w:rPr>
          <w:rFonts w:ascii="Calibri" w:eastAsia="Calibri" w:hAnsi="Calibri" w:cs="Times New Roman"/>
        </w:rPr>
        <w:t>in the present sample wa</w:t>
      </w:r>
      <w:r w:rsidRPr="00E2062C">
        <w:rPr>
          <w:rFonts w:ascii="Calibri" w:eastAsia="Calibri" w:hAnsi="Calibri" w:cs="Times New Roman"/>
        </w:rPr>
        <w:t xml:space="preserve">s with children, typically with developmental disability. They </w:t>
      </w:r>
      <w:r>
        <w:rPr>
          <w:rFonts w:ascii="Calibri" w:eastAsia="Calibri" w:hAnsi="Calibri" w:cs="Times New Roman"/>
        </w:rPr>
        <w:t>we</w:t>
      </w:r>
      <w:r w:rsidRPr="00E2062C">
        <w:rPr>
          <w:rFonts w:ascii="Calibri" w:eastAsia="Calibri" w:hAnsi="Calibri" w:cs="Times New Roman"/>
        </w:rPr>
        <w:t>re highly educated</w:t>
      </w:r>
      <w:r>
        <w:rPr>
          <w:rFonts w:ascii="Calibri" w:eastAsia="Calibri" w:hAnsi="Calibri" w:cs="Times New Roman"/>
        </w:rPr>
        <w:t xml:space="preserve">, </w:t>
      </w:r>
      <w:r w:rsidRPr="00E2062C">
        <w:rPr>
          <w:rFonts w:ascii="Calibri" w:eastAsia="Calibri" w:hAnsi="Calibri" w:cs="Times New Roman"/>
        </w:rPr>
        <w:t xml:space="preserve">predominantly </w:t>
      </w:r>
      <w:r>
        <w:rPr>
          <w:rFonts w:ascii="Calibri" w:eastAsia="Calibri" w:hAnsi="Calibri" w:cs="Times New Roman"/>
        </w:rPr>
        <w:t xml:space="preserve">with </w:t>
      </w:r>
      <w:r w:rsidRPr="00E2062C">
        <w:rPr>
          <w:rFonts w:ascii="Calibri" w:eastAsia="Calibri" w:hAnsi="Calibri" w:cs="Times New Roman"/>
        </w:rPr>
        <w:t>Australia</w:t>
      </w:r>
      <w:r>
        <w:rPr>
          <w:rFonts w:ascii="Calibri" w:eastAsia="Calibri" w:hAnsi="Calibri" w:cs="Times New Roman"/>
        </w:rPr>
        <w:t>n qualifications,</w:t>
      </w:r>
      <w:r w:rsidRPr="00E2062C">
        <w:rPr>
          <w:rFonts w:ascii="Calibri" w:eastAsia="Calibri" w:hAnsi="Calibri" w:cs="Times New Roman"/>
        </w:rPr>
        <w:t xml:space="preserve"> and few </w:t>
      </w:r>
      <w:r>
        <w:rPr>
          <w:rFonts w:ascii="Calibri" w:eastAsia="Calibri" w:hAnsi="Calibri" w:cs="Times New Roman"/>
        </w:rPr>
        <w:t>we</w:t>
      </w:r>
      <w:r w:rsidRPr="00E2062C">
        <w:rPr>
          <w:rFonts w:ascii="Calibri" w:eastAsia="Calibri" w:hAnsi="Calibri" w:cs="Times New Roman"/>
        </w:rPr>
        <w:t xml:space="preserve">re recent migrants. Most </w:t>
      </w:r>
      <w:r>
        <w:rPr>
          <w:rFonts w:ascii="Calibri" w:eastAsia="Calibri" w:hAnsi="Calibri" w:cs="Times New Roman"/>
        </w:rPr>
        <w:t>we</w:t>
      </w:r>
      <w:r w:rsidRPr="00E2062C">
        <w:rPr>
          <w:rFonts w:ascii="Calibri" w:eastAsia="Calibri" w:hAnsi="Calibri" w:cs="Times New Roman"/>
        </w:rPr>
        <w:t>re sole operators, and ha</w:t>
      </w:r>
      <w:r>
        <w:rPr>
          <w:rFonts w:ascii="Calibri" w:eastAsia="Calibri" w:hAnsi="Calibri" w:cs="Times New Roman"/>
        </w:rPr>
        <w:t>d</w:t>
      </w:r>
      <w:r w:rsidRPr="00E2062C">
        <w:rPr>
          <w:rFonts w:ascii="Calibri" w:eastAsia="Calibri" w:hAnsi="Calibri" w:cs="Times New Roman"/>
        </w:rPr>
        <w:t xml:space="preserve"> been working in the disability sector for many years. More than employees, the</w:t>
      </w:r>
      <w:r>
        <w:rPr>
          <w:rFonts w:ascii="Calibri" w:eastAsia="Calibri" w:hAnsi="Calibri" w:cs="Times New Roman"/>
        </w:rPr>
        <w:t xml:space="preserve"> self-employed</w:t>
      </w:r>
      <w:r w:rsidRPr="00E2062C">
        <w:rPr>
          <w:rFonts w:ascii="Calibri" w:eastAsia="Calibri" w:hAnsi="Calibri" w:cs="Times New Roman"/>
        </w:rPr>
        <w:t xml:space="preserve"> work</w:t>
      </w:r>
      <w:r>
        <w:rPr>
          <w:rFonts w:ascii="Calibri" w:eastAsia="Calibri" w:hAnsi="Calibri" w:cs="Times New Roman"/>
        </w:rPr>
        <w:t>ed</w:t>
      </w:r>
      <w:r w:rsidRPr="00E2062C">
        <w:rPr>
          <w:rFonts w:ascii="Calibri" w:eastAsia="Calibri" w:hAnsi="Calibri" w:cs="Times New Roman"/>
        </w:rPr>
        <w:t xml:space="preserve"> </w:t>
      </w:r>
      <w:r>
        <w:rPr>
          <w:rFonts w:ascii="Calibri" w:eastAsia="Calibri" w:hAnsi="Calibri" w:cs="Times New Roman"/>
        </w:rPr>
        <w:t xml:space="preserve">short hours. </w:t>
      </w:r>
      <w:r w:rsidRPr="00E2062C">
        <w:rPr>
          <w:rFonts w:ascii="Calibri" w:eastAsia="Calibri" w:hAnsi="Calibri" w:cs="Times New Roman"/>
        </w:rPr>
        <w:t xml:space="preserve">Despite their autonomy, the self-employed providers </w:t>
      </w:r>
      <w:r>
        <w:rPr>
          <w:rFonts w:ascii="Calibri" w:eastAsia="Calibri" w:hAnsi="Calibri" w:cs="Times New Roman"/>
        </w:rPr>
        <w:t>we</w:t>
      </w:r>
      <w:r w:rsidRPr="00E2062C">
        <w:rPr>
          <w:rFonts w:ascii="Calibri" w:eastAsia="Calibri" w:hAnsi="Calibri" w:cs="Times New Roman"/>
        </w:rPr>
        <w:t>re not particularly happy with the hours that they work</w:t>
      </w:r>
      <w:r>
        <w:rPr>
          <w:rFonts w:ascii="Calibri" w:eastAsia="Calibri" w:hAnsi="Calibri" w:cs="Times New Roman"/>
        </w:rPr>
        <w:t>ed</w:t>
      </w:r>
      <w:r w:rsidRPr="00E2062C">
        <w:rPr>
          <w:rFonts w:ascii="Calibri" w:eastAsia="Calibri" w:hAnsi="Calibri" w:cs="Times New Roman"/>
        </w:rPr>
        <w:t>, but they fe</w:t>
      </w:r>
      <w:r>
        <w:rPr>
          <w:rFonts w:ascii="Calibri" w:eastAsia="Calibri" w:hAnsi="Calibri" w:cs="Times New Roman"/>
        </w:rPr>
        <w:t>lt</w:t>
      </w:r>
      <w:r w:rsidRPr="00E2062C">
        <w:rPr>
          <w:rFonts w:ascii="Calibri" w:eastAsia="Calibri" w:hAnsi="Calibri" w:cs="Times New Roman"/>
        </w:rPr>
        <w:t xml:space="preserve"> fully equipped </w:t>
      </w:r>
      <w:r>
        <w:rPr>
          <w:rFonts w:ascii="Calibri" w:eastAsia="Calibri" w:hAnsi="Calibri" w:cs="Times New Roman"/>
        </w:rPr>
        <w:t xml:space="preserve">in terms of skills and qualifications </w:t>
      </w:r>
      <w:r w:rsidRPr="00E2062C">
        <w:rPr>
          <w:rFonts w:ascii="Calibri" w:eastAsia="Calibri" w:hAnsi="Calibri" w:cs="Times New Roman"/>
        </w:rPr>
        <w:t>to do their job well.</w:t>
      </w:r>
    </w:p>
    <w:p w:rsidR="00685BE5" w:rsidRPr="00E2062C" w:rsidRDefault="00685BE5" w:rsidP="00AE4C3A">
      <w:pPr>
        <w:contextualSpacing/>
        <w:rPr>
          <w:rFonts w:ascii="Calibri" w:eastAsia="Calibri" w:hAnsi="Calibri" w:cs="Times New Roman"/>
        </w:rPr>
      </w:pPr>
    </w:p>
    <w:p w:rsidR="00685BE5" w:rsidRDefault="00685BE5" w:rsidP="00AE4C3A">
      <w:pPr>
        <w:contextualSpacing/>
        <w:rPr>
          <w:rFonts w:ascii="Calibri" w:eastAsia="Calibri" w:hAnsi="Calibri" w:cs="Times New Roman"/>
        </w:rPr>
      </w:pPr>
      <w:r w:rsidRPr="00E2062C">
        <w:rPr>
          <w:rFonts w:ascii="Calibri" w:eastAsia="Calibri" w:hAnsi="Calibri" w:cs="Times New Roman"/>
        </w:rPr>
        <w:t xml:space="preserve">Even more than employees, the self-employed providers </w:t>
      </w:r>
      <w:r>
        <w:rPr>
          <w:rFonts w:ascii="Calibri" w:eastAsia="Calibri" w:hAnsi="Calibri" w:cs="Times New Roman"/>
        </w:rPr>
        <w:t>we</w:t>
      </w:r>
      <w:r w:rsidRPr="00E2062C">
        <w:rPr>
          <w:rFonts w:ascii="Calibri" w:eastAsia="Calibri" w:hAnsi="Calibri" w:cs="Times New Roman"/>
        </w:rPr>
        <w:t xml:space="preserve">re highly motivated to provide care and support for vulnerable people and to do a job that </w:t>
      </w:r>
      <w:r>
        <w:rPr>
          <w:rFonts w:ascii="Calibri" w:eastAsia="Calibri" w:hAnsi="Calibri" w:cs="Times New Roman"/>
        </w:rPr>
        <w:t>wa</w:t>
      </w:r>
      <w:r w:rsidRPr="00E2062C">
        <w:rPr>
          <w:rFonts w:ascii="Calibri" w:eastAsia="Calibri" w:hAnsi="Calibri" w:cs="Times New Roman"/>
        </w:rPr>
        <w:t>s valued and worthwhile. The self-employed workers obtain</w:t>
      </w:r>
      <w:r>
        <w:rPr>
          <w:rFonts w:ascii="Calibri" w:eastAsia="Calibri" w:hAnsi="Calibri" w:cs="Times New Roman"/>
        </w:rPr>
        <w:t>ed</w:t>
      </w:r>
      <w:r w:rsidRPr="00E2062C">
        <w:rPr>
          <w:rFonts w:ascii="Calibri" w:eastAsia="Calibri" w:hAnsi="Calibri" w:cs="Times New Roman"/>
        </w:rPr>
        <w:t xml:space="preserve"> their job satisfaction from the intrinsic rewards of the job rather than from the material rewards and opportunities. Overwhelmingly, they </w:t>
      </w:r>
      <w:r>
        <w:rPr>
          <w:rFonts w:ascii="Calibri" w:eastAsia="Calibri" w:hAnsi="Calibri" w:cs="Times New Roman"/>
        </w:rPr>
        <w:t>we</w:t>
      </w:r>
      <w:r w:rsidRPr="00E2062C">
        <w:rPr>
          <w:rFonts w:ascii="Calibri" w:eastAsia="Calibri" w:hAnsi="Calibri" w:cs="Times New Roman"/>
        </w:rPr>
        <w:t>re proud of what they d</w:t>
      </w:r>
      <w:r>
        <w:rPr>
          <w:rFonts w:ascii="Calibri" w:eastAsia="Calibri" w:hAnsi="Calibri" w:cs="Times New Roman"/>
        </w:rPr>
        <w:t>id</w:t>
      </w:r>
      <w:r w:rsidRPr="00E2062C">
        <w:rPr>
          <w:rFonts w:ascii="Calibri" w:eastAsia="Calibri" w:hAnsi="Calibri" w:cs="Times New Roman"/>
        </w:rPr>
        <w:t>.</w:t>
      </w:r>
    </w:p>
    <w:p w:rsidR="00685BE5" w:rsidRDefault="00685BE5" w:rsidP="00AE4C3A">
      <w:pPr>
        <w:contextualSpacing/>
        <w:rPr>
          <w:rFonts w:ascii="Calibri" w:eastAsia="Calibri" w:hAnsi="Calibri" w:cs="Times New Roman"/>
        </w:rPr>
      </w:pPr>
    </w:p>
    <w:p w:rsidR="00685BE5" w:rsidRPr="00E2062C" w:rsidRDefault="00685BE5" w:rsidP="00AE4C3A">
      <w:pPr>
        <w:contextualSpacing/>
        <w:rPr>
          <w:rFonts w:ascii="Calibri" w:eastAsia="Calibri" w:hAnsi="Calibri" w:cs="Times New Roman"/>
        </w:rPr>
      </w:pPr>
      <w:r w:rsidRPr="002F67B2">
        <w:rPr>
          <w:rFonts w:ascii="Calibri" w:eastAsia="Calibri" w:hAnsi="Calibri" w:cs="Times New Roman"/>
        </w:rPr>
        <w:t xml:space="preserve">The sample of the self-employed providers came a lot more from the NDIS trial sites than </w:t>
      </w:r>
      <w:r>
        <w:rPr>
          <w:rFonts w:ascii="Calibri" w:eastAsia="Calibri" w:hAnsi="Calibri" w:cs="Times New Roman"/>
        </w:rPr>
        <w:t xml:space="preserve">did </w:t>
      </w:r>
      <w:r w:rsidRPr="002F67B2">
        <w:rPr>
          <w:rFonts w:ascii="Calibri" w:eastAsia="Calibri" w:hAnsi="Calibri" w:cs="Times New Roman"/>
        </w:rPr>
        <w:t>the outlets and their employees</w:t>
      </w:r>
      <w:r w:rsidR="001A6B65">
        <w:rPr>
          <w:rFonts w:ascii="Calibri" w:eastAsia="Calibri" w:hAnsi="Calibri" w:cs="Times New Roman"/>
        </w:rPr>
        <w:t>’</w:t>
      </w:r>
      <w:r w:rsidRPr="002F67B2">
        <w:rPr>
          <w:rFonts w:ascii="Calibri" w:eastAsia="Calibri" w:hAnsi="Calibri" w:cs="Times New Roman"/>
        </w:rPr>
        <w:t xml:space="preserve"> samples. This may be a reason for their much higher response</w:t>
      </w:r>
      <w:r>
        <w:rPr>
          <w:rFonts w:ascii="Calibri" w:eastAsia="Calibri" w:hAnsi="Calibri" w:cs="Times New Roman"/>
        </w:rPr>
        <w:t xml:space="preserve"> rate to the survey. It may also be a reason for their specific occupational composition and other possible sample biases. The low overall sample size makes the effort to obtain a Wave 2 ‘top up’ (that is additional sample which will only be interviewed in Wave 2) an important consideration for understanding this part of the sector’s workforce.</w:t>
      </w:r>
    </w:p>
    <w:p w:rsidR="00D907AF" w:rsidRDefault="00D907AF" w:rsidP="00367B24">
      <w:pPr>
        <w:pStyle w:val="Heading1"/>
      </w:pPr>
    </w:p>
    <w:sectPr w:rsidR="00D907AF" w:rsidSect="00C0007F">
      <w:pgSz w:w="11906" w:h="16838" w:code="9"/>
      <w:pgMar w:top="1418" w:right="1558" w:bottom="1247" w:left="1418" w:header="709" w:footer="709" w:gutter="0"/>
      <w:cols w:space="709"/>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746" w:rsidRDefault="00607746">
      <w:r>
        <w:separator/>
      </w:r>
    </w:p>
  </w:endnote>
  <w:endnote w:type="continuationSeparator" w:id="0">
    <w:p w:rsidR="00607746" w:rsidRDefault="0060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746" w:rsidRDefault="00607746" w:rsidP="005E5D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7746" w:rsidRDefault="00607746" w:rsidP="000D75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746" w:rsidRPr="00FA7400" w:rsidRDefault="00607746" w:rsidP="009A0B45">
    <w:pPr>
      <w:pStyle w:val="Footer"/>
      <w:framePr w:wrap="around" w:vAnchor="text" w:hAnchor="margin" w:xAlign="right" w:y="1"/>
      <w:rPr>
        <w:rStyle w:val="PageNumber"/>
        <w:sz w:val="20"/>
      </w:rPr>
    </w:pPr>
    <w:r w:rsidRPr="00FA7400">
      <w:rPr>
        <w:rStyle w:val="PageNumber"/>
        <w:sz w:val="20"/>
      </w:rPr>
      <w:fldChar w:fldCharType="begin"/>
    </w:r>
    <w:r w:rsidRPr="00FA7400">
      <w:rPr>
        <w:rStyle w:val="PageNumber"/>
        <w:sz w:val="20"/>
      </w:rPr>
      <w:instrText xml:space="preserve">PAGE  </w:instrText>
    </w:r>
    <w:r w:rsidRPr="00FA7400">
      <w:rPr>
        <w:rStyle w:val="PageNumber"/>
        <w:sz w:val="20"/>
      </w:rPr>
      <w:fldChar w:fldCharType="separate"/>
    </w:r>
    <w:r w:rsidR="00F05A97">
      <w:rPr>
        <w:rStyle w:val="PageNumber"/>
        <w:noProof/>
        <w:sz w:val="20"/>
      </w:rPr>
      <w:t>iv</w:t>
    </w:r>
    <w:r w:rsidRPr="00FA7400">
      <w:rPr>
        <w:rStyle w:val="PageNumber"/>
        <w:sz w:val="20"/>
      </w:rPr>
      <w:fldChar w:fldCharType="end"/>
    </w:r>
  </w:p>
  <w:p w:rsidR="00607746" w:rsidRDefault="00607746" w:rsidP="0002267A">
    <w:pPr>
      <w:pStyle w:val="Footer"/>
      <w:tabs>
        <w:tab w:val="clear" w:pos="4153"/>
        <w:tab w:val="clear" w:pos="8306"/>
      </w:tabs>
      <w:ind w:right="-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746" w:rsidRDefault="00607746" w:rsidP="003D2614">
    <w:pPr>
      <w:pStyle w:val="Footer"/>
      <w:jc w:val="right"/>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746" w:rsidRPr="00FA7400" w:rsidRDefault="00607746" w:rsidP="009A0B45">
    <w:pPr>
      <w:pStyle w:val="Footer"/>
      <w:framePr w:wrap="around" w:vAnchor="text" w:hAnchor="margin" w:xAlign="right" w:y="1"/>
      <w:rPr>
        <w:rStyle w:val="PageNumber"/>
        <w:sz w:val="20"/>
      </w:rPr>
    </w:pPr>
    <w:r w:rsidRPr="00FA7400">
      <w:rPr>
        <w:rStyle w:val="PageNumber"/>
        <w:sz w:val="20"/>
      </w:rPr>
      <w:fldChar w:fldCharType="begin"/>
    </w:r>
    <w:r w:rsidRPr="00FA7400">
      <w:rPr>
        <w:rStyle w:val="PageNumber"/>
        <w:sz w:val="20"/>
      </w:rPr>
      <w:instrText xml:space="preserve">PAGE  </w:instrText>
    </w:r>
    <w:r w:rsidRPr="00FA7400">
      <w:rPr>
        <w:rStyle w:val="PageNumber"/>
        <w:sz w:val="20"/>
      </w:rPr>
      <w:fldChar w:fldCharType="separate"/>
    </w:r>
    <w:r w:rsidR="00F05A97">
      <w:rPr>
        <w:rStyle w:val="PageNumber"/>
        <w:noProof/>
        <w:sz w:val="20"/>
      </w:rPr>
      <w:t>54</w:t>
    </w:r>
    <w:r w:rsidRPr="00FA7400">
      <w:rPr>
        <w:rStyle w:val="PageNumber"/>
        <w:sz w:val="20"/>
      </w:rPr>
      <w:fldChar w:fldCharType="end"/>
    </w:r>
  </w:p>
  <w:p w:rsidR="00607746" w:rsidRPr="00AB6D46" w:rsidRDefault="00607746" w:rsidP="003E2395">
    <w:pPr>
      <w:pStyle w:val="Header"/>
      <w:jc w:val="center"/>
      <w:rPr>
        <w:b/>
      </w:rPr>
    </w:pPr>
    <w:r w:rsidRPr="00AB6D46">
      <w:rPr>
        <w:b/>
      </w:rPr>
      <w:t>FOR OFFICIAL USE ONLY</w:t>
    </w:r>
  </w:p>
  <w:p w:rsidR="00607746" w:rsidRDefault="00607746" w:rsidP="0002267A">
    <w:pPr>
      <w:pStyle w:val="Footer"/>
      <w:tabs>
        <w:tab w:val="clear" w:pos="4153"/>
        <w:tab w:val="clear" w:pos="8306"/>
      </w:tabs>
      <w:ind w:right="-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3752165"/>
      <w:docPartObj>
        <w:docPartGallery w:val="Page Numbers (Bottom of Page)"/>
        <w:docPartUnique/>
      </w:docPartObj>
    </w:sdtPr>
    <w:sdtEndPr>
      <w:rPr>
        <w:noProof/>
        <w:sz w:val="20"/>
        <w:szCs w:val="20"/>
      </w:rPr>
    </w:sdtEndPr>
    <w:sdtContent>
      <w:p w:rsidR="00607746" w:rsidRPr="00620FA4" w:rsidRDefault="00607746">
        <w:pPr>
          <w:pStyle w:val="Footer"/>
          <w:jc w:val="right"/>
          <w:rPr>
            <w:sz w:val="20"/>
            <w:szCs w:val="20"/>
          </w:rPr>
        </w:pPr>
        <w:r w:rsidRPr="00620FA4">
          <w:rPr>
            <w:sz w:val="20"/>
            <w:szCs w:val="20"/>
          </w:rPr>
          <w:fldChar w:fldCharType="begin"/>
        </w:r>
        <w:r w:rsidRPr="00620FA4">
          <w:rPr>
            <w:sz w:val="20"/>
            <w:szCs w:val="20"/>
          </w:rPr>
          <w:instrText xml:space="preserve"> PAGE   \* MERGEFORMAT </w:instrText>
        </w:r>
        <w:r w:rsidRPr="00620FA4">
          <w:rPr>
            <w:sz w:val="20"/>
            <w:szCs w:val="20"/>
          </w:rPr>
          <w:fldChar w:fldCharType="separate"/>
        </w:r>
        <w:r w:rsidR="00F05A97">
          <w:rPr>
            <w:noProof/>
            <w:sz w:val="20"/>
            <w:szCs w:val="20"/>
          </w:rPr>
          <w:t>170</w:t>
        </w:r>
        <w:r w:rsidRPr="00620FA4">
          <w:rPr>
            <w:noProof/>
            <w:sz w:val="20"/>
            <w:szCs w:val="20"/>
          </w:rPr>
          <w:fldChar w:fldCharType="end"/>
        </w:r>
      </w:p>
    </w:sdtContent>
  </w:sdt>
  <w:p w:rsidR="00607746" w:rsidRPr="00AB6D46" w:rsidRDefault="00607746" w:rsidP="00D907AF">
    <w:pPr>
      <w:pStyle w:val="Header"/>
      <w:jc w:val="center"/>
      <w:rPr>
        <w:b/>
      </w:rPr>
    </w:pPr>
    <w:r w:rsidRPr="00AB6D46">
      <w:rPr>
        <w:b/>
      </w:rPr>
      <w:t>FOR OFFICIAL USE ONLY</w:t>
    </w:r>
  </w:p>
  <w:p w:rsidR="00607746" w:rsidRDefault="0060774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746" w:rsidRPr="00FA7400" w:rsidRDefault="00607746" w:rsidP="009A0B45">
    <w:pPr>
      <w:pStyle w:val="Footer"/>
      <w:framePr w:wrap="around" w:vAnchor="text" w:hAnchor="margin" w:xAlign="right" w:y="1"/>
      <w:rPr>
        <w:rStyle w:val="PageNumber"/>
        <w:sz w:val="20"/>
      </w:rPr>
    </w:pPr>
    <w:r w:rsidRPr="00FA7400">
      <w:rPr>
        <w:rStyle w:val="PageNumber"/>
        <w:sz w:val="20"/>
      </w:rPr>
      <w:fldChar w:fldCharType="begin"/>
    </w:r>
    <w:r w:rsidRPr="00FA7400">
      <w:rPr>
        <w:rStyle w:val="PageNumber"/>
        <w:sz w:val="20"/>
      </w:rPr>
      <w:instrText xml:space="preserve">PAGE  </w:instrText>
    </w:r>
    <w:r w:rsidRPr="00FA7400">
      <w:rPr>
        <w:rStyle w:val="PageNumber"/>
        <w:sz w:val="20"/>
      </w:rPr>
      <w:fldChar w:fldCharType="separate"/>
    </w:r>
    <w:r w:rsidR="00F05A97">
      <w:rPr>
        <w:rStyle w:val="PageNumber"/>
        <w:noProof/>
        <w:sz w:val="20"/>
      </w:rPr>
      <w:t>166</w:t>
    </w:r>
    <w:r w:rsidRPr="00FA7400">
      <w:rPr>
        <w:rStyle w:val="PageNumber"/>
        <w:sz w:val="20"/>
      </w:rPr>
      <w:fldChar w:fldCharType="end"/>
    </w:r>
  </w:p>
  <w:p w:rsidR="00607746" w:rsidRPr="00AB6D46" w:rsidRDefault="00607746" w:rsidP="00AE4C3A">
    <w:pPr>
      <w:pStyle w:val="Header"/>
      <w:jc w:val="center"/>
      <w:rPr>
        <w:b/>
      </w:rPr>
    </w:pPr>
    <w:r w:rsidRPr="00AB6D46">
      <w:rPr>
        <w:b/>
      </w:rPr>
      <w:t>FOR OFFICIAL USE ONLY</w:t>
    </w:r>
  </w:p>
  <w:p w:rsidR="00607746" w:rsidRDefault="00607746" w:rsidP="0002267A">
    <w:pPr>
      <w:pStyle w:val="Footer"/>
      <w:tabs>
        <w:tab w:val="clear" w:pos="4153"/>
        <w:tab w:val="clear" w:pos="8306"/>
      </w:tabs>
      <w:ind w:right="-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746" w:rsidRPr="00FA7400" w:rsidRDefault="00607746" w:rsidP="009A0B45">
    <w:pPr>
      <w:pStyle w:val="Footer"/>
      <w:framePr w:wrap="around" w:vAnchor="text" w:hAnchor="margin" w:xAlign="right" w:y="1"/>
      <w:rPr>
        <w:rStyle w:val="PageNumber"/>
        <w:sz w:val="20"/>
      </w:rPr>
    </w:pPr>
    <w:r w:rsidRPr="00FA7400">
      <w:rPr>
        <w:rStyle w:val="PageNumber"/>
        <w:sz w:val="20"/>
      </w:rPr>
      <w:fldChar w:fldCharType="begin"/>
    </w:r>
    <w:r w:rsidRPr="00FA7400">
      <w:rPr>
        <w:rStyle w:val="PageNumber"/>
        <w:sz w:val="20"/>
      </w:rPr>
      <w:instrText xml:space="preserve">PAGE  </w:instrText>
    </w:r>
    <w:r w:rsidRPr="00FA7400">
      <w:rPr>
        <w:rStyle w:val="PageNumber"/>
        <w:sz w:val="20"/>
      </w:rPr>
      <w:fldChar w:fldCharType="separate"/>
    </w:r>
    <w:r w:rsidR="00F05A97">
      <w:rPr>
        <w:rStyle w:val="PageNumber"/>
        <w:noProof/>
        <w:sz w:val="20"/>
      </w:rPr>
      <w:t>201</w:t>
    </w:r>
    <w:r w:rsidRPr="00FA7400">
      <w:rPr>
        <w:rStyle w:val="PageNumber"/>
        <w:sz w:val="20"/>
      </w:rPr>
      <w:fldChar w:fldCharType="end"/>
    </w:r>
  </w:p>
  <w:p w:rsidR="00607746" w:rsidRPr="00AB6D46" w:rsidRDefault="00607746" w:rsidP="00AE4C3A">
    <w:pPr>
      <w:pStyle w:val="Header"/>
      <w:jc w:val="center"/>
      <w:rPr>
        <w:b/>
      </w:rPr>
    </w:pPr>
    <w:r w:rsidRPr="00AB6D46">
      <w:rPr>
        <w:b/>
      </w:rPr>
      <w:t>FOR OFFICIAL USE ONLY</w:t>
    </w:r>
  </w:p>
  <w:p w:rsidR="00607746" w:rsidRDefault="00607746" w:rsidP="0002267A">
    <w:pPr>
      <w:pStyle w:val="Footer"/>
      <w:tabs>
        <w:tab w:val="clear" w:pos="4153"/>
        <w:tab w:val="clear" w:pos="8306"/>
      </w:tabs>
      <w:ind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746" w:rsidRDefault="00607746">
      <w:r>
        <w:separator/>
      </w:r>
    </w:p>
  </w:footnote>
  <w:footnote w:type="continuationSeparator" w:id="0">
    <w:p w:rsidR="00607746" w:rsidRDefault="00607746">
      <w:r>
        <w:continuationSeparator/>
      </w:r>
    </w:p>
  </w:footnote>
  <w:footnote w:id="1">
    <w:p w:rsidR="00607746" w:rsidRDefault="00607746" w:rsidP="00E145B4">
      <w:pPr>
        <w:pStyle w:val="FootnoteText"/>
      </w:pPr>
      <w:r>
        <w:rPr>
          <w:rStyle w:val="FootnoteReference"/>
        </w:rPr>
        <w:footnoteRef/>
      </w:r>
      <w:r>
        <w:t xml:space="preserve"> The NDIS Evaluation was commissioned in May 2013 by the Australian Government Department of Families, Housing, Community Services and Indigenous Affairs (FaHCSIA).</w:t>
      </w:r>
    </w:p>
  </w:footnote>
  <w:footnote w:id="2">
    <w:p w:rsidR="00607746" w:rsidRPr="00A61328" w:rsidRDefault="00607746" w:rsidP="00A62016">
      <w:pPr>
        <w:pStyle w:val="FootnoteText"/>
        <w:rPr>
          <w:lang w:val="en-US"/>
        </w:rPr>
      </w:pPr>
      <w:r>
        <w:rPr>
          <w:rStyle w:val="FootnoteReference"/>
        </w:rPr>
        <w:footnoteRef/>
      </w:r>
      <w:r>
        <w:t xml:space="preserve"> </w:t>
      </w:r>
      <w:r>
        <w:rPr>
          <w:rFonts w:ascii="Calibri" w:hAnsi="Calibri" w:cs="Calibri"/>
          <w:sz w:val="18"/>
          <w:szCs w:val="18"/>
        </w:rPr>
        <w:t>The Evaluation Framework</w:t>
      </w:r>
      <w:r w:rsidRPr="00A61328">
        <w:rPr>
          <w:rFonts w:ascii="Calibri" w:hAnsi="Calibri" w:cs="Calibri"/>
          <w:sz w:val="18"/>
          <w:szCs w:val="18"/>
        </w:rPr>
        <w:t xml:space="preserve"> contain</w:t>
      </w:r>
      <w:r>
        <w:rPr>
          <w:rFonts w:ascii="Calibri" w:hAnsi="Calibri" w:cs="Calibri"/>
          <w:sz w:val="18"/>
          <w:szCs w:val="18"/>
        </w:rPr>
        <w:t>s</w:t>
      </w:r>
      <w:r w:rsidRPr="00A61328">
        <w:rPr>
          <w:rFonts w:ascii="Calibri" w:hAnsi="Calibri" w:cs="Calibri"/>
          <w:sz w:val="18"/>
          <w:szCs w:val="18"/>
        </w:rPr>
        <w:t xml:space="preserve"> a lot of the necessary preliminary information on the</w:t>
      </w:r>
      <w:r>
        <w:rPr>
          <w:rFonts w:ascii="Calibri" w:hAnsi="Calibri" w:cs="Calibri"/>
          <w:sz w:val="18"/>
          <w:szCs w:val="18"/>
        </w:rPr>
        <w:t xml:space="preserve"> NDIS</w:t>
      </w:r>
      <w:r w:rsidRPr="00A61328">
        <w:rPr>
          <w:rFonts w:ascii="Calibri" w:hAnsi="Calibri" w:cs="Calibri"/>
          <w:sz w:val="18"/>
          <w:szCs w:val="18"/>
        </w:rPr>
        <w:t xml:space="preserve"> Evaluation</w:t>
      </w:r>
      <w:r>
        <w:rPr>
          <w:rFonts w:ascii="Calibri" w:hAnsi="Calibri" w:cs="Calibri"/>
          <w:sz w:val="18"/>
          <w:szCs w:val="18"/>
        </w:rPr>
        <w:t>. We recommend consulting the Framework as a reference point on the overall design of the evaluation.</w:t>
      </w:r>
    </w:p>
  </w:footnote>
  <w:footnote w:id="3">
    <w:p w:rsidR="00607746" w:rsidRDefault="00607746">
      <w:pPr>
        <w:pStyle w:val="FootnoteText"/>
      </w:pPr>
      <w:r>
        <w:rPr>
          <w:rStyle w:val="FootnoteReference"/>
        </w:rPr>
        <w:footnoteRef/>
      </w:r>
      <w:r>
        <w:t xml:space="preserve"> We would like to take the opportunity to thank the numerous organisations and individuals who assisted the researcher with recruitment, as well as, of course, the many respondents.</w:t>
      </w:r>
    </w:p>
  </w:footnote>
  <w:footnote w:id="4">
    <w:p w:rsidR="00607746" w:rsidRDefault="00607746" w:rsidP="00EA4425">
      <w:pPr>
        <w:pStyle w:val="FootnoteText"/>
        <w:spacing w:after="240"/>
      </w:pPr>
      <w:r>
        <w:rPr>
          <w:rStyle w:val="FootnoteReference"/>
        </w:rPr>
        <w:footnoteRef/>
      </w:r>
      <w:r>
        <w:t xml:space="preserve"> </w:t>
      </w:r>
      <w:r w:rsidRPr="00CF6E51">
        <w:rPr>
          <w:rFonts w:cstheme="minorHAnsi"/>
          <w:sz w:val="16"/>
          <w:szCs w:val="16"/>
        </w:rPr>
        <w:t>This age range differs from the survey of people with disability conducted as part of the NDIS</w:t>
      </w:r>
      <w:r>
        <w:rPr>
          <w:rFonts w:cstheme="minorHAnsi"/>
          <w:sz w:val="16"/>
          <w:szCs w:val="16"/>
        </w:rPr>
        <w:t xml:space="preserve"> E</w:t>
      </w:r>
      <w:r w:rsidRPr="00CF6E51">
        <w:rPr>
          <w:rFonts w:cstheme="minorHAnsi"/>
          <w:sz w:val="16"/>
          <w:szCs w:val="16"/>
        </w:rPr>
        <w:t>valuation. This is because the qualitative interviews were designed to explore, in depth, NDIS participants</w:t>
      </w:r>
      <w:r>
        <w:rPr>
          <w:rFonts w:cstheme="minorHAnsi"/>
          <w:sz w:val="16"/>
          <w:szCs w:val="16"/>
        </w:rPr>
        <w:t>’</w:t>
      </w:r>
      <w:r w:rsidRPr="00CF6E51">
        <w:rPr>
          <w:rFonts w:cstheme="minorHAnsi"/>
          <w:sz w:val="16"/>
          <w:szCs w:val="16"/>
        </w:rPr>
        <w:t xml:space="preserve"> experience</w:t>
      </w:r>
      <w:r>
        <w:rPr>
          <w:rFonts w:cstheme="minorHAnsi"/>
          <w:sz w:val="16"/>
          <w:szCs w:val="16"/>
        </w:rPr>
        <w:t>s</w:t>
      </w:r>
      <w:r w:rsidRPr="00CF6E51">
        <w:rPr>
          <w:rFonts w:cstheme="minorHAnsi"/>
          <w:sz w:val="16"/>
          <w:szCs w:val="16"/>
        </w:rPr>
        <w:t xml:space="preserve"> of NDIS processes and procedures (i.e. joining the NDIS, developing plans, implementing plans, satisfactions with supports etc</w:t>
      </w:r>
      <w:r>
        <w:rPr>
          <w:rFonts w:cstheme="minorHAnsi"/>
          <w:sz w:val="16"/>
          <w:szCs w:val="16"/>
        </w:rPr>
        <w:t>.</w:t>
      </w:r>
      <w:r w:rsidRPr="00CF6E51">
        <w:rPr>
          <w:rFonts w:cstheme="minorHAnsi"/>
          <w:sz w:val="16"/>
          <w:szCs w:val="16"/>
        </w:rPr>
        <w:t xml:space="preserve">). Advice from state experts, capacity builders and stakeholders indicated that the age at which a person would have </w:t>
      </w:r>
      <w:r>
        <w:rPr>
          <w:rFonts w:cstheme="minorHAnsi"/>
          <w:sz w:val="16"/>
          <w:szCs w:val="16"/>
        </w:rPr>
        <w:t xml:space="preserve">only very </w:t>
      </w:r>
      <w:r w:rsidRPr="00CF6E51">
        <w:rPr>
          <w:rFonts w:cstheme="minorHAnsi"/>
          <w:sz w:val="16"/>
          <w:szCs w:val="16"/>
        </w:rPr>
        <w:t>limited understanding of these processes would be 12 year</w:t>
      </w:r>
      <w:r>
        <w:rPr>
          <w:rFonts w:cstheme="minorHAnsi"/>
          <w:sz w:val="16"/>
          <w:szCs w:val="16"/>
        </w:rPr>
        <w:t>s</w:t>
      </w:r>
      <w:r w:rsidRPr="00CF6E51">
        <w:rPr>
          <w:rFonts w:cstheme="minorHAnsi"/>
          <w:sz w:val="16"/>
          <w:szCs w:val="16"/>
        </w:rPr>
        <w:t xml:space="preserve"> or below as it would be the parent who would be interacting with the NDIA the most. The exclusion of 12 year olds and below did not rule out a child having input into the interview where they were able</w:t>
      </w:r>
      <w:r>
        <w:rPr>
          <w:rFonts w:cstheme="minorHAnsi"/>
          <w:sz w:val="16"/>
          <w:szCs w:val="16"/>
        </w:rPr>
        <w:t xml:space="preserve"> to do so. However</w:t>
      </w:r>
      <w:r w:rsidRPr="00CF6E51">
        <w:rPr>
          <w:rFonts w:cstheme="minorHAnsi"/>
          <w:sz w:val="16"/>
          <w:szCs w:val="16"/>
        </w:rPr>
        <w:t xml:space="preserve">, we </w:t>
      </w:r>
      <w:r>
        <w:rPr>
          <w:rFonts w:cstheme="minorHAnsi"/>
          <w:sz w:val="16"/>
          <w:szCs w:val="16"/>
        </w:rPr>
        <w:t>sought</w:t>
      </w:r>
      <w:r w:rsidRPr="00CF6E51">
        <w:rPr>
          <w:rFonts w:cstheme="minorHAnsi"/>
          <w:sz w:val="16"/>
          <w:szCs w:val="16"/>
        </w:rPr>
        <w:t xml:space="preserve"> </w:t>
      </w:r>
      <w:r>
        <w:rPr>
          <w:rFonts w:cstheme="minorHAnsi"/>
          <w:sz w:val="16"/>
          <w:szCs w:val="16"/>
        </w:rPr>
        <w:t>to</w:t>
      </w:r>
      <w:r w:rsidRPr="00CF6E51">
        <w:rPr>
          <w:rFonts w:cstheme="minorHAnsi"/>
          <w:sz w:val="16"/>
          <w:szCs w:val="16"/>
        </w:rPr>
        <w:t xml:space="preserve"> not unduly burden NDIS participants of this age with questions which they m</w:t>
      </w:r>
      <w:r>
        <w:rPr>
          <w:rFonts w:cstheme="minorHAnsi"/>
          <w:sz w:val="16"/>
          <w:szCs w:val="16"/>
        </w:rPr>
        <w:t>ight</w:t>
      </w:r>
      <w:r w:rsidRPr="00CF6E51">
        <w:rPr>
          <w:rFonts w:cstheme="minorHAnsi"/>
          <w:sz w:val="16"/>
          <w:szCs w:val="16"/>
        </w:rPr>
        <w:t xml:space="preserve"> have </w:t>
      </w:r>
      <w:r>
        <w:rPr>
          <w:rFonts w:cstheme="minorHAnsi"/>
          <w:sz w:val="16"/>
          <w:szCs w:val="16"/>
        </w:rPr>
        <w:t xml:space="preserve">had </w:t>
      </w:r>
      <w:r w:rsidRPr="00CF6E51">
        <w:rPr>
          <w:rFonts w:cstheme="minorHAnsi"/>
          <w:sz w:val="16"/>
          <w:szCs w:val="16"/>
        </w:rPr>
        <w:t>limited ability to answer.</w:t>
      </w:r>
    </w:p>
  </w:footnote>
  <w:footnote w:id="5">
    <w:p w:rsidR="00607746" w:rsidRDefault="00607746" w:rsidP="00D21636">
      <w:pPr>
        <w:rPr>
          <w:rFonts w:ascii="Calibri" w:hAnsi="Calibri" w:cs="Calibri"/>
          <w:lang w:val="en-AU"/>
        </w:rPr>
      </w:pPr>
      <w:r>
        <w:rPr>
          <w:rStyle w:val="FootnoteReference"/>
        </w:rPr>
        <w:footnoteRef/>
      </w:r>
      <w:r>
        <w:t xml:space="preserve"> In Queensland, this decision was amended in 2015 when the Queensland Government committed to continue to provide Accommodation Support and Respite Services.</w:t>
      </w:r>
    </w:p>
    <w:p w:rsidR="00607746" w:rsidRDefault="00607746" w:rsidP="004C521E">
      <w:pPr>
        <w:rPr>
          <w:rFonts w:ascii="Verdana" w:hAnsi="Verdana"/>
          <w:color w:val="000000"/>
          <w:sz w:val="19"/>
          <w:szCs w:val="19"/>
        </w:rPr>
      </w:pPr>
    </w:p>
    <w:p w:rsidR="00607746" w:rsidRDefault="00607746" w:rsidP="004C521E">
      <w:pPr>
        <w:rPr>
          <w:rFonts w:ascii="Calibri" w:hAnsi="Calibri" w:cs="Calibri"/>
          <w:color w:val="1F497D"/>
          <w:lang w:val="en-AU"/>
        </w:rPr>
      </w:pPr>
      <w:hyperlink r:id="rId1" w:history="1">
        <w:r>
          <w:rPr>
            <w:rStyle w:val="Hyperlink"/>
          </w:rPr>
          <w:t>https://www.communities.qld.gov.au/gateway/reform-renewal/disability-services/national-disability-insurance-scheme-queensland/getting-ready-ndis-queensland/accommodation-support-respite-services-rs</w:t>
        </w:r>
      </w:hyperlink>
    </w:p>
    <w:p w:rsidR="00607746" w:rsidRDefault="00607746" w:rsidP="004C521E">
      <w:pPr>
        <w:rPr>
          <w:rFonts w:ascii="Calibri" w:hAnsi="Calibri" w:cs="Calibri"/>
          <w:i/>
          <w:iCs/>
          <w:color w:val="1F497D"/>
          <w:lang w:val="en-AU"/>
        </w:rPr>
      </w:pPr>
    </w:p>
    <w:p w:rsidR="00607746" w:rsidRPr="00F05A97" w:rsidRDefault="00607746">
      <w:pPr>
        <w:pStyle w:val="FootnoteText"/>
        <w:rPr>
          <w:lang w:val="en-AU"/>
        </w:rPr>
      </w:pPr>
    </w:p>
  </w:footnote>
  <w:footnote w:id="6">
    <w:p w:rsidR="00607746" w:rsidRPr="0087485F" w:rsidRDefault="00607746" w:rsidP="00D907AF">
      <w:pPr>
        <w:rPr>
          <w:sz w:val="20"/>
          <w:szCs w:val="20"/>
        </w:rPr>
      </w:pPr>
      <w:r w:rsidRPr="0087485F">
        <w:rPr>
          <w:rStyle w:val="FootnoteReference"/>
          <w:sz w:val="20"/>
          <w:szCs w:val="20"/>
        </w:rPr>
        <w:footnoteRef/>
      </w:r>
      <w:r w:rsidRPr="0087485F">
        <w:rPr>
          <w:sz w:val="20"/>
          <w:szCs w:val="20"/>
        </w:rPr>
        <w:t xml:space="preserve"> National Disability Insurance Agency (2014) Quarterly Report to Disability Reform Council - 31 December 2013. </w:t>
      </w:r>
    </w:p>
  </w:footnote>
  <w:footnote w:id="7">
    <w:p w:rsidR="00607746" w:rsidRDefault="00607746" w:rsidP="00D907AF">
      <w:pPr>
        <w:pStyle w:val="FootnoteText"/>
        <w:spacing w:after="120"/>
      </w:pPr>
      <w:r>
        <w:rPr>
          <w:rStyle w:val="FootnoteReference"/>
        </w:rPr>
        <w:footnoteRef/>
      </w:r>
      <w:r>
        <w:t xml:space="preserve"> </w:t>
      </w:r>
      <w:r w:rsidRPr="00CB1512">
        <w:t>Since Waves 1a and 1b were sampled and went into field at very different times and, hence, have different levels of ‘maturity’, sampling statistics are reported separately for each.</w:t>
      </w:r>
    </w:p>
  </w:footnote>
  <w:footnote w:id="8">
    <w:p w:rsidR="00607746" w:rsidRDefault="00607746" w:rsidP="00D907AF">
      <w:pPr>
        <w:pStyle w:val="FootnoteText"/>
        <w:spacing w:before="120" w:after="120"/>
      </w:pPr>
      <w:r>
        <w:rPr>
          <w:rStyle w:val="FootnoteReference"/>
        </w:rPr>
        <w:footnoteRef/>
      </w:r>
      <w:r>
        <w:t xml:space="preserve"> This further attrition calls for a</w:t>
      </w:r>
      <w:r w:rsidRPr="004E62D8">
        <w:t xml:space="preserve"> reassessment of the need for this rule in the trial s</w:t>
      </w:r>
      <w:r>
        <w:t>ites.</w:t>
      </w:r>
    </w:p>
  </w:footnote>
  <w:footnote w:id="9">
    <w:p w:rsidR="00607746" w:rsidRPr="00660446" w:rsidRDefault="00607746" w:rsidP="00D907AF">
      <w:pPr>
        <w:pStyle w:val="FootnoteText"/>
        <w:spacing w:after="60"/>
        <w:contextualSpacing/>
      </w:pPr>
      <w:r>
        <w:rPr>
          <w:rStyle w:val="FootnoteReference"/>
        </w:rPr>
        <w:footnoteRef/>
      </w:r>
      <w:r>
        <w:t xml:space="preserve"> </w:t>
      </w:r>
      <w:r w:rsidRPr="00660446">
        <w:t>International Wellbeing Group (2013). Personal Wellbeing Index: 5th Edition. Melbourne: Australian</w:t>
      </w:r>
    </w:p>
    <w:p w:rsidR="00607746" w:rsidRPr="00660446" w:rsidRDefault="00607746" w:rsidP="00D907AF">
      <w:pPr>
        <w:pStyle w:val="FootnoteText"/>
        <w:spacing w:after="60"/>
        <w:contextualSpacing/>
      </w:pPr>
      <w:r w:rsidRPr="00660446">
        <w:t>Centre on Quality of Life, Deakin University</w:t>
      </w:r>
    </w:p>
    <w:p w:rsidR="00607746" w:rsidRPr="00660446" w:rsidRDefault="00607746" w:rsidP="00D907AF">
      <w:pPr>
        <w:pStyle w:val="FootnoteText"/>
        <w:spacing w:after="60"/>
        <w:contextualSpacing/>
      </w:pPr>
      <w:r w:rsidRPr="00660446">
        <w:t>(http://www.deakin.edu.au/research/acqol/instruments/wellbeing-index/index.php)</w:t>
      </w:r>
    </w:p>
  </w:footnote>
  <w:footnote w:id="10">
    <w:p w:rsidR="00607746" w:rsidRPr="00660446" w:rsidRDefault="00607746" w:rsidP="00D907AF">
      <w:pPr>
        <w:pStyle w:val="FootnoteText"/>
        <w:spacing w:after="60"/>
        <w:contextualSpacing/>
      </w:pPr>
      <w:r w:rsidRPr="00660446">
        <w:rPr>
          <w:rStyle w:val="FootnoteReference"/>
        </w:rPr>
        <w:footnoteRef/>
      </w:r>
      <w:r w:rsidRPr="00660446">
        <w:t xml:space="preserve"> OECD (2013), OECD Guidelines on Measuring Subjective </w:t>
      </w:r>
      <w:r>
        <w:t>Wellbeing</w:t>
      </w:r>
      <w:r w:rsidRPr="00660446">
        <w:t>, OECD Publishing.</w:t>
      </w:r>
    </w:p>
    <w:p w:rsidR="00607746" w:rsidRPr="00660446" w:rsidRDefault="00607746" w:rsidP="00D907AF">
      <w:pPr>
        <w:pStyle w:val="FootnoteText"/>
        <w:spacing w:after="60"/>
        <w:contextualSpacing/>
      </w:pPr>
      <w:r w:rsidRPr="00660446">
        <w:t>http://dx.doi.org/10.1787/9789264191655-en</w:t>
      </w:r>
    </w:p>
  </w:footnote>
  <w:footnote w:id="11">
    <w:p w:rsidR="00607746" w:rsidRDefault="00607746" w:rsidP="00D907AF">
      <w:pPr>
        <w:pStyle w:val="FootnoteText"/>
        <w:spacing w:after="60"/>
        <w:contextualSpacing/>
      </w:pPr>
      <w:r>
        <w:rPr>
          <w:rStyle w:val="FootnoteReference"/>
        </w:rPr>
        <w:footnoteRef/>
      </w:r>
      <w:r>
        <w:t xml:space="preserve"> </w:t>
      </w:r>
      <w:r w:rsidRPr="00660446">
        <w:t>http://www.ons.gov.uk/ons/about-ons/get-involved/taking-part-in-a-survey/information-for-households/a-to-z-of-household-and-individual-surveys/life-opportunities-survey/index.html</w:t>
      </w:r>
    </w:p>
  </w:footnote>
  <w:footnote w:id="12">
    <w:p w:rsidR="00607746" w:rsidRDefault="00607746" w:rsidP="00D907AF">
      <w:pPr>
        <w:pStyle w:val="FootnoteText"/>
        <w:spacing w:after="60"/>
        <w:contextualSpacing/>
      </w:pPr>
      <w:r>
        <w:rPr>
          <w:rStyle w:val="FootnoteReference"/>
        </w:rPr>
        <w:footnoteRef/>
      </w:r>
      <w:r>
        <w:t xml:space="preserve"> </w:t>
      </w:r>
      <w:r w:rsidRPr="00660446">
        <w:t xml:space="preserve">Hoffman, L., Marquis, J., Poston, D., Summers, J. A., &amp; Turnbull, A. (2006). Assessing family outcomes: Psychometric evaluation of the </w:t>
      </w:r>
      <w:r>
        <w:t>B</w:t>
      </w:r>
      <w:r w:rsidRPr="00660446">
        <w:t xml:space="preserve">each </w:t>
      </w:r>
      <w:r>
        <w:t>C</w:t>
      </w:r>
      <w:r w:rsidRPr="00660446">
        <w:t>enter family quality of life scale. Journal of Marriage and Family, 68(4), 1069-1083.</w:t>
      </w:r>
    </w:p>
  </w:footnote>
  <w:footnote w:id="13">
    <w:p w:rsidR="00607746" w:rsidRPr="00660446" w:rsidRDefault="00607746" w:rsidP="00D907AF">
      <w:pPr>
        <w:pStyle w:val="FootnoteText"/>
        <w:spacing w:after="60"/>
      </w:pPr>
      <w:r w:rsidRPr="00660446">
        <w:rPr>
          <w:rStyle w:val="FootnoteReference"/>
        </w:rPr>
        <w:footnoteRef/>
      </w:r>
      <w:r w:rsidRPr="00660446">
        <w:t xml:space="preserve"> </w:t>
      </w:r>
      <w:r>
        <w:t>cp.http://www.socialresearchmethods.net/kb/scallik.php</w:t>
      </w:r>
    </w:p>
  </w:footnote>
  <w:footnote w:id="14">
    <w:p w:rsidR="00607746" w:rsidRDefault="00607746" w:rsidP="00D907AF">
      <w:pPr>
        <w:pStyle w:val="FootnoteText"/>
        <w:jc w:val="both"/>
      </w:pPr>
      <w:r>
        <w:rPr>
          <w:rStyle w:val="FootnoteReference"/>
        </w:rPr>
        <w:footnoteRef/>
      </w:r>
      <w:r>
        <w:t xml:space="preserve"> World Health Organisation </w:t>
      </w:r>
      <w:r w:rsidRPr="0045729B">
        <w:t>International Statistical Classification of Diseases and Related Health Problems</w:t>
      </w:r>
      <w:r>
        <w:t>, version 10.</w:t>
      </w:r>
    </w:p>
  </w:footnote>
  <w:footnote w:id="15">
    <w:p w:rsidR="00607746" w:rsidRDefault="00607746" w:rsidP="00D907AF">
      <w:pPr>
        <w:pStyle w:val="FootnoteText"/>
        <w:jc w:val="both"/>
      </w:pPr>
      <w:r>
        <w:rPr>
          <w:rStyle w:val="FootnoteReference"/>
        </w:rPr>
        <w:footnoteRef/>
      </w:r>
      <w:r>
        <w:t xml:space="preserve"> Many people stated several disabilities when asked for their main disability. Some of them may have stated they had no other disabilities while, from their previous answer, it is obvious that they do have multiple disabilities. As the work on the data progresses, this information will be compiled with greater precision.</w:t>
      </w:r>
    </w:p>
  </w:footnote>
  <w:footnote w:id="16">
    <w:p w:rsidR="00607746" w:rsidRDefault="00607746" w:rsidP="00D907AF">
      <w:pPr>
        <w:pStyle w:val="FootnoteText"/>
        <w:contextualSpacing/>
      </w:pPr>
      <w:r>
        <w:rPr>
          <w:rStyle w:val="FootnoteReference"/>
        </w:rPr>
        <w:footnoteRef/>
      </w:r>
      <w:r>
        <w:t xml:space="preserve"> We expect these percentages to be sensitive to the non-random phasing in of participants within the trial group at this initial stage of sampling, but not so for the comparison group.</w:t>
      </w:r>
    </w:p>
  </w:footnote>
  <w:footnote w:id="17">
    <w:p w:rsidR="00607746" w:rsidRPr="006B4979" w:rsidRDefault="00607746" w:rsidP="00D907AF">
      <w:pPr>
        <w:pStyle w:val="FootnoteText"/>
        <w:contextualSpacing/>
        <w:rPr>
          <w:lang w:val="en-US"/>
        </w:rPr>
      </w:pPr>
      <w:r>
        <w:rPr>
          <w:rStyle w:val="FootnoteReference"/>
        </w:rPr>
        <w:footnoteRef/>
      </w:r>
      <w:r>
        <w:rPr>
          <w:lang w:val="en-US"/>
        </w:rPr>
        <w:t xml:space="preserve"> The 833 trial group respondents stated 1,565 different instances where “other people” had assisted them with their decision. This makes for an average of 1.8 instances of other people having assisted each person with disability (1,535/833=1.84, rounded to 1.8). The same calculation for the comparison group suggests an average of 1.0 instances (468/479=0.98, rounded to 1.0). The instances where the answer was “No one” are excluded from this calculation (30 instances in the trial and 55 in the comparison group).</w:t>
      </w:r>
    </w:p>
  </w:footnote>
  <w:footnote w:id="18">
    <w:p w:rsidR="00607746" w:rsidRPr="009B60FB" w:rsidRDefault="00607746" w:rsidP="00D907AF">
      <w:pPr>
        <w:pStyle w:val="FootnoteText"/>
        <w:contextualSpacing/>
        <w:rPr>
          <w:lang w:val="en-US"/>
        </w:rPr>
      </w:pPr>
      <w:r>
        <w:rPr>
          <w:rStyle w:val="FootnoteReference"/>
        </w:rPr>
        <w:footnoteRef/>
      </w:r>
      <w:r>
        <w:t xml:space="preserve"> </w:t>
      </w:r>
      <w:r>
        <w:rPr>
          <w:lang w:val="en-US"/>
        </w:rPr>
        <w:t>Such imbalances between supply and demand could impact on the quality, quantity and price of the full roll-out with major budgetary and performance implications.</w:t>
      </w:r>
    </w:p>
  </w:footnote>
  <w:footnote w:id="19">
    <w:p w:rsidR="00607746" w:rsidRPr="009B60FB" w:rsidRDefault="00607746" w:rsidP="00D907AF">
      <w:pPr>
        <w:pStyle w:val="FootnoteText"/>
        <w:contextualSpacing/>
        <w:rPr>
          <w:lang w:val="en-US"/>
        </w:rPr>
      </w:pPr>
      <w:r>
        <w:rPr>
          <w:rStyle w:val="FootnoteReference"/>
        </w:rPr>
        <w:footnoteRef/>
      </w:r>
      <w:r>
        <w:t xml:space="preserve"> This conclusion, like several of the conclusions drawn in this initial report, depends on the trial area sample being similar to the comparison sample.</w:t>
      </w:r>
    </w:p>
  </w:footnote>
  <w:footnote w:id="20">
    <w:p w:rsidR="00607746" w:rsidRDefault="00607746" w:rsidP="00D907AF">
      <w:pPr>
        <w:pStyle w:val="FootnoteText"/>
      </w:pPr>
      <w:r>
        <w:rPr>
          <w:rStyle w:val="FootnoteReference"/>
        </w:rPr>
        <w:footnoteRef/>
      </w:r>
      <w:r>
        <w:t xml:space="preserve"> </w:t>
      </w:r>
      <w:r w:rsidRPr="00C3183E">
        <w:t>Australian and New Zealand Standard Classification of Occupations</w:t>
      </w:r>
    </w:p>
  </w:footnote>
  <w:footnote w:id="21">
    <w:p w:rsidR="00607746" w:rsidRDefault="00607746" w:rsidP="00D907AF">
      <w:pPr>
        <w:pStyle w:val="FootnoteText"/>
      </w:pPr>
      <w:r>
        <w:rPr>
          <w:rStyle w:val="FootnoteReference"/>
        </w:rPr>
        <w:footnoteRef/>
      </w:r>
      <w:r>
        <w:t xml:space="preserve"> All employees average weekly total earnings $1136.90/week (ABS 2015)</w:t>
      </w:r>
    </w:p>
  </w:footnote>
  <w:footnote w:id="22">
    <w:p w:rsidR="00607746" w:rsidRDefault="00607746" w:rsidP="00D907AF">
      <w:pPr>
        <w:pStyle w:val="FootnoteText"/>
      </w:pPr>
      <w:r>
        <w:rPr>
          <w:rStyle w:val="FootnoteReference"/>
        </w:rPr>
        <w:footnoteRef/>
      </w:r>
      <w:r>
        <w:t xml:space="preserve"> This excludes those who responded that the say (Table 3.64) or choice (Table 3.65) varied depending on the type of supports or provided no answer to one or the other question.</w:t>
      </w:r>
    </w:p>
  </w:footnote>
  <w:footnote w:id="23">
    <w:p w:rsidR="00607746" w:rsidRPr="00AF24EB" w:rsidRDefault="00607746" w:rsidP="00AF24EB">
      <w:r>
        <w:rPr>
          <w:rStyle w:val="FootnoteReference"/>
        </w:rPr>
        <w:footnoteRef/>
      </w:r>
      <w:r w:rsidRPr="00AF24EB">
        <w:rPr>
          <w:sz w:val="20"/>
          <w:szCs w:val="20"/>
        </w:rPr>
        <w:t>Martin, B &amp; Healy, J 2010, ‘Who Works in Community Services? A Profile of Australian Workforces in Child Protection, Juvenile Justice, Disability Services and General Community Services’, Community and Disability Services Ministerial Advisory Council (CDSMAC).</w:t>
      </w:r>
    </w:p>
  </w:footnote>
  <w:footnote w:id="24">
    <w:p w:rsidR="00607746" w:rsidRPr="00977926" w:rsidRDefault="00607746" w:rsidP="00AE4C3A">
      <w:pPr>
        <w:pStyle w:val="FootnoteText"/>
        <w:spacing w:after="60"/>
        <w:rPr>
          <w:lang w:val="en-US"/>
        </w:rPr>
      </w:pPr>
      <w:r>
        <w:rPr>
          <w:rStyle w:val="FootnoteReference"/>
        </w:rPr>
        <w:footnoteRef/>
      </w:r>
      <w:r>
        <w:t xml:space="preserve"> </w:t>
      </w:r>
      <w:r>
        <w:rPr>
          <w:lang w:val="en-US"/>
        </w:rPr>
        <w:t>King, D. et al. (2013)</w:t>
      </w:r>
    </w:p>
  </w:footnote>
  <w:footnote w:id="25">
    <w:p w:rsidR="00607746" w:rsidRPr="00977926" w:rsidRDefault="00607746" w:rsidP="00AE4C3A">
      <w:pPr>
        <w:pStyle w:val="FootnoteText"/>
        <w:spacing w:after="60"/>
        <w:rPr>
          <w:lang w:val="en-US"/>
        </w:rPr>
      </w:pPr>
      <w:r>
        <w:rPr>
          <w:rStyle w:val="FootnoteReference"/>
        </w:rPr>
        <w:footnoteRef/>
      </w:r>
      <w:r>
        <w:t xml:space="preserve"> </w:t>
      </w:r>
      <w:r>
        <w:rPr>
          <w:lang w:val="en-US"/>
        </w:rPr>
        <w:t>Martin, B. and Healy, J. (2010)</w:t>
      </w:r>
    </w:p>
  </w:footnote>
  <w:footnote w:id="26">
    <w:p w:rsidR="00607746" w:rsidRPr="000C0BF5" w:rsidRDefault="00607746" w:rsidP="00AE4C3A">
      <w:pPr>
        <w:rPr>
          <w:sz w:val="20"/>
          <w:szCs w:val="20"/>
          <w:lang w:val="en"/>
        </w:rPr>
      </w:pPr>
      <w:r>
        <w:rPr>
          <w:rStyle w:val="FootnoteReference"/>
        </w:rPr>
        <w:footnoteRef/>
      </w:r>
      <w:r>
        <w:t xml:space="preserve"> </w:t>
      </w:r>
      <w:r w:rsidRPr="000C0BF5">
        <w:rPr>
          <w:sz w:val="20"/>
          <w:szCs w:val="20"/>
          <w:lang w:val="en"/>
        </w:rPr>
        <w:t>The Household, Income and Labour Dynamics in Australia Survey (HILDA) is a household-based longitudinal survey (HILDA). The HILDA Project was initiated and is funded by the Australian Government Department of Social Services (DSS), and is managed by the Melbourne Institute of Applied Economic and Social Research (Melbourne Institute). The findings and views reported in this paper, however, are those of the author and should not be attributed to either DSS or the Melbourne Institute.</w:t>
      </w:r>
    </w:p>
  </w:footnote>
  <w:footnote w:id="27">
    <w:p w:rsidR="00607746" w:rsidRPr="00AF24EB" w:rsidRDefault="00607746" w:rsidP="00AF24EB">
      <w:pPr>
        <w:rPr>
          <w:sz w:val="20"/>
          <w:szCs w:val="20"/>
          <w:lang w:val="en"/>
        </w:rPr>
      </w:pPr>
      <w:r>
        <w:rPr>
          <w:rStyle w:val="FootnoteReference"/>
        </w:rPr>
        <w:footnoteRef/>
      </w:r>
      <w:r>
        <w:t xml:space="preserve"> </w:t>
      </w:r>
      <w:r w:rsidRPr="00AF24EB">
        <w:rPr>
          <w:sz w:val="20"/>
          <w:szCs w:val="20"/>
          <w:lang w:val="en"/>
        </w:rPr>
        <w:t xml:space="preserve">King, D, </w:t>
      </w:r>
      <w:hyperlink r:id="rId2" w:history="1">
        <w:r w:rsidRPr="00AF24EB">
          <w:rPr>
            <w:sz w:val="20"/>
            <w:szCs w:val="20"/>
            <w:lang w:val="en"/>
          </w:rPr>
          <w:t>Mavromaras</w:t>
        </w:r>
      </w:hyperlink>
      <w:r w:rsidRPr="00AF24EB">
        <w:rPr>
          <w:sz w:val="20"/>
          <w:szCs w:val="20"/>
          <w:lang w:val="en"/>
        </w:rPr>
        <w:t>, K, Wei, Z, He, B, Healy, J, Macaitis, K, Moskos, M &amp; Smith, L 2013, ‘The aged care workforce, 2012’, Canberra, Australian Government Department of Health and Ageing.</w:t>
      </w:r>
    </w:p>
    <w:p w:rsidR="00607746" w:rsidRPr="00AF24EB" w:rsidRDefault="00607746">
      <w:pPr>
        <w:pStyle w:val="FootnoteText"/>
        <w:rPr>
          <w:lang w:val="en-US"/>
        </w:rPr>
      </w:pPr>
    </w:p>
  </w:footnote>
  <w:footnote w:id="28">
    <w:p w:rsidR="00607746" w:rsidRPr="000C0BF5" w:rsidRDefault="00607746">
      <w:pPr>
        <w:pStyle w:val="FootnoteText"/>
        <w:rPr>
          <w:lang w:val="en-US"/>
        </w:rPr>
      </w:pPr>
      <w:r>
        <w:rPr>
          <w:rStyle w:val="FootnoteReference"/>
        </w:rPr>
        <w:footnoteRef/>
      </w:r>
      <w:r>
        <w:t xml:space="preserve"> </w:t>
      </w:r>
      <w:r>
        <w:rPr>
          <w:lang w:val="en-US"/>
        </w:rPr>
        <w:t xml:space="preserve">Op cit. </w:t>
      </w:r>
    </w:p>
  </w:footnote>
  <w:footnote w:id="29">
    <w:p w:rsidR="00607746" w:rsidRPr="000C0BF5" w:rsidRDefault="00607746">
      <w:pPr>
        <w:pStyle w:val="FootnoteText"/>
        <w:rPr>
          <w:lang w:val="en-US"/>
        </w:rPr>
      </w:pPr>
      <w:r>
        <w:rPr>
          <w:rStyle w:val="FootnoteReference"/>
        </w:rPr>
        <w:footnoteRef/>
      </w:r>
      <w:r>
        <w:t xml:space="preserve"> </w:t>
      </w:r>
      <w:r>
        <w:rPr>
          <w:lang w:val="en-US"/>
        </w:rPr>
        <w:t>King et al.(2013)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746" w:rsidRPr="00AB6D46" w:rsidRDefault="00607746" w:rsidP="003E2395">
    <w:pPr>
      <w:pStyle w:val="Header"/>
      <w:jc w:val="center"/>
      <w:rPr>
        <w:b/>
      </w:rPr>
    </w:pPr>
    <w:r w:rsidRPr="00AB6D46">
      <w:rPr>
        <w:b/>
      </w:rPr>
      <w:t>FOR OFFICIAL USE ONLY</w:t>
    </w:r>
  </w:p>
  <w:p w:rsidR="00607746" w:rsidRDefault="006077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D11AD"/>
    <w:multiLevelType w:val="hybridMultilevel"/>
    <w:tmpl w:val="7EE6D8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260DFD"/>
    <w:multiLevelType w:val="hybridMultilevel"/>
    <w:tmpl w:val="C8003C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D10F5F"/>
    <w:multiLevelType w:val="hybridMultilevel"/>
    <w:tmpl w:val="E8468244"/>
    <w:lvl w:ilvl="0" w:tplc="697E5D42">
      <w:start w:val="1"/>
      <w:numFmt w:val="decimal"/>
      <w:pStyle w:val="1111NumberedNilsheading"/>
      <w:lvlText w:val="1.1.1.%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5263D"/>
    <w:multiLevelType w:val="hybridMultilevel"/>
    <w:tmpl w:val="3D3A39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1A4190"/>
    <w:multiLevelType w:val="hybridMultilevel"/>
    <w:tmpl w:val="C568AD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7601E3"/>
    <w:multiLevelType w:val="multilevel"/>
    <w:tmpl w:val="67C8D898"/>
    <w:lvl w:ilvl="0">
      <w:start w:val="1"/>
      <w:numFmt w:val="decimal"/>
      <w:pStyle w:val="1Nilsnumberedheading"/>
      <w:lvlText w:val="%1."/>
      <w:lvlJc w:val="left"/>
      <w:pPr>
        <w:ind w:left="360" w:hanging="360"/>
      </w:pPr>
      <w:rPr>
        <w:rFonts w:ascii="Calibri" w:hAnsi="Calibri" w:hint="default"/>
        <w:b/>
        <w:i w:val="0"/>
        <w:sz w:val="28"/>
      </w:rPr>
    </w:lvl>
    <w:lvl w:ilvl="1">
      <w:start w:val="1"/>
      <w:numFmt w:val="decimal"/>
      <w:pStyle w:val="11NumberedNilsheading"/>
      <w:lvlText w:val="%1.%2"/>
      <w:lvlJc w:val="left"/>
      <w:pPr>
        <w:ind w:left="0" w:firstLine="0"/>
      </w:pPr>
      <w:rPr>
        <w:rFonts w:ascii="Arial" w:hAnsi="Arial" w:hint="default"/>
        <w:b/>
        <w:i w:val="0"/>
        <w:sz w:val="26"/>
      </w:rPr>
    </w:lvl>
    <w:lvl w:ilvl="2">
      <w:start w:val="1"/>
      <w:numFmt w:val="decimal"/>
      <w:pStyle w:val="111NumberedNilsheading"/>
      <w:lvlText w:val="%1.%2.%3"/>
      <w:lvlJc w:val="left"/>
      <w:pPr>
        <w:ind w:left="0" w:firstLine="0"/>
      </w:pPr>
      <w:rPr>
        <w:rFonts w:ascii="Arial" w:hAnsi="Arial" w:hint="default"/>
        <w:b/>
        <w:i w:val="0"/>
        <w:sz w:val="24"/>
      </w:rPr>
    </w:lvl>
    <w:lvl w:ilvl="3">
      <w:start w:val="1"/>
      <w:numFmt w:val="decimal"/>
      <w:lvlText w:val="%1.%2.%3.%4"/>
      <w:lvlJc w:val="left"/>
      <w:pPr>
        <w:ind w:left="0" w:firstLine="0"/>
      </w:pPr>
      <w:rPr>
        <w:rFonts w:ascii="Arial" w:hAnsi="Arial" w:hint="default"/>
        <w:b w:val="0"/>
        <w:i/>
        <w:sz w:val="24"/>
      </w:rPr>
    </w:lvl>
    <w:lvl w:ilvl="4">
      <w:start w:val="1"/>
      <w:numFmt w:val="lowerRoman"/>
      <w:lvlText w:val="%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1DA27429"/>
    <w:multiLevelType w:val="hybridMultilevel"/>
    <w:tmpl w:val="0AD01874"/>
    <w:lvl w:ilvl="0" w:tplc="22CC3DE0">
      <w:numFmt w:val="bullet"/>
      <w:lvlText w:val=""/>
      <w:lvlJc w:val="left"/>
      <w:pPr>
        <w:ind w:left="360" w:hanging="360"/>
      </w:pPr>
      <w:rPr>
        <w:rFonts w:ascii="Symbol" w:eastAsiaTheme="minorHAnsi"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FE968F0"/>
    <w:multiLevelType w:val="hybridMultilevel"/>
    <w:tmpl w:val="0450F028"/>
    <w:lvl w:ilvl="0" w:tplc="689CA8AC">
      <w:start w:val="1"/>
      <w:numFmt w:val="bullet"/>
      <w:pStyle w:val="Bullets"/>
      <w:lvlText w:val=""/>
      <w:lvlJc w:val="left"/>
      <w:pPr>
        <w:ind w:left="-290" w:hanging="360"/>
      </w:pPr>
      <w:rPr>
        <w:rFonts w:ascii="Symbol" w:hAnsi="Symbol" w:hint="default"/>
      </w:rPr>
    </w:lvl>
    <w:lvl w:ilvl="1" w:tplc="08090003" w:tentative="1">
      <w:start w:val="1"/>
      <w:numFmt w:val="bullet"/>
      <w:lvlText w:val="o"/>
      <w:lvlJc w:val="left"/>
      <w:pPr>
        <w:ind w:left="430" w:hanging="360"/>
      </w:pPr>
      <w:rPr>
        <w:rFonts w:ascii="Courier New" w:hAnsi="Courier New" w:cs="Courier New" w:hint="default"/>
      </w:rPr>
    </w:lvl>
    <w:lvl w:ilvl="2" w:tplc="08090005" w:tentative="1">
      <w:start w:val="1"/>
      <w:numFmt w:val="bullet"/>
      <w:lvlText w:val=""/>
      <w:lvlJc w:val="left"/>
      <w:pPr>
        <w:ind w:left="1150" w:hanging="360"/>
      </w:pPr>
      <w:rPr>
        <w:rFonts w:ascii="Wingdings" w:hAnsi="Wingdings" w:hint="default"/>
      </w:rPr>
    </w:lvl>
    <w:lvl w:ilvl="3" w:tplc="08090001" w:tentative="1">
      <w:start w:val="1"/>
      <w:numFmt w:val="bullet"/>
      <w:lvlText w:val=""/>
      <w:lvlJc w:val="left"/>
      <w:pPr>
        <w:ind w:left="1870" w:hanging="360"/>
      </w:pPr>
      <w:rPr>
        <w:rFonts w:ascii="Symbol" w:hAnsi="Symbol" w:hint="default"/>
      </w:rPr>
    </w:lvl>
    <w:lvl w:ilvl="4" w:tplc="08090003" w:tentative="1">
      <w:start w:val="1"/>
      <w:numFmt w:val="bullet"/>
      <w:lvlText w:val="o"/>
      <w:lvlJc w:val="left"/>
      <w:pPr>
        <w:ind w:left="2590" w:hanging="360"/>
      </w:pPr>
      <w:rPr>
        <w:rFonts w:ascii="Courier New" w:hAnsi="Courier New" w:cs="Courier New" w:hint="default"/>
      </w:rPr>
    </w:lvl>
    <w:lvl w:ilvl="5" w:tplc="08090005" w:tentative="1">
      <w:start w:val="1"/>
      <w:numFmt w:val="bullet"/>
      <w:lvlText w:val=""/>
      <w:lvlJc w:val="left"/>
      <w:pPr>
        <w:ind w:left="3310" w:hanging="360"/>
      </w:pPr>
      <w:rPr>
        <w:rFonts w:ascii="Wingdings" w:hAnsi="Wingdings" w:hint="default"/>
      </w:rPr>
    </w:lvl>
    <w:lvl w:ilvl="6" w:tplc="08090001" w:tentative="1">
      <w:start w:val="1"/>
      <w:numFmt w:val="bullet"/>
      <w:lvlText w:val=""/>
      <w:lvlJc w:val="left"/>
      <w:pPr>
        <w:ind w:left="4030" w:hanging="360"/>
      </w:pPr>
      <w:rPr>
        <w:rFonts w:ascii="Symbol" w:hAnsi="Symbol" w:hint="default"/>
      </w:rPr>
    </w:lvl>
    <w:lvl w:ilvl="7" w:tplc="08090003" w:tentative="1">
      <w:start w:val="1"/>
      <w:numFmt w:val="bullet"/>
      <w:lvlText w:val="o"/>
      <w:lvlJc w:val="left"/>
      <w:pPr>
        <w:ind w:left="4750" w:hanging="360"/>
      </w:pPr>
      <w:rPr>
        <w:rFonts w:ascii="Courier New" w:hAnsi="Courier New" w:cs="Courier New" w:hint="default"/>
      </w:rPr>
    </w:lvl>
    <w:lvl w:ilvl="8" w:tplc="08090005" w:tentative="1">
      <w:start w:val="1"/>
      <w:numFmt w:val="bullet"/>
      <w:lvlText w:val=""/>
      <w:lvlJc w:val="left"/>
      <w:pPr>
        <w:ind w:left="5470" w:hanging="360"/>
      </w:pPr>
      <w:rPr>
        <w:rFonts w:ascii="Wingdings" w:hAnsi="Wingdings" w:hint="default"/>
      </w:rPr>
    </w:lvl>
  </w:abstractNum>
  <w:abstractNum w:abstractNumId="8" w15:restartNumberingAfterBreak="0">
    <w:nsid w:val="23047BE8"/>
    <w:multiLevelType w:val="multilevel"/>
    <w:tmpl w:val="4FAC072E"/>
    <w:styleLink w:val="Nilsnumberedheadings"/>
    <w:lvl w:ilvl="0">
      <w:start w:val="1"/>
      <w:numFmt w:val="decimal"/>
      <w:lvlText w:val="%1."/>
      <w:lvlJc w:val="left"/>
      <w:pPr>
        <w:ind w:left="397" w:hanging="397"/>
      </w:pPr>
      <w:rPr>
        <w:rFonts w:ascii="Arial" w:hAnsi="Arial" w:hint="default"/>
        <w:b/>
        <w:i w:val="0"/>
        <w:sz w:val="28"/>
      </w:rPr>
    </w:lvl>
    <w:lvl w:ilvl="1">
      <w:start w:val="1"/>
      <w:numFmt w:val="decimal"/>
      <w:lvlText w:val="%1.%2"/>
      <w:lvlJc w:val="left"/>
      <w:pPr>
        <w:ind w:left="624" w:hanging="624"/>
      </w:pPr>
      <w:rPr>
        <w:rFonts w:ascii="Arial" w:hAnsi="Arial" w:hint="default"/>
        <w:b/>
        <w:i w:val="0"/>
        <w:sz w:val="28"/>
      </w:rPr>
    </w:lvl>
    <w:lvl w:ilvl="2">
      <w:start w:val="1"/>
      <w:numFmt w:val="decimal"/>
      <w:lvlText w:val="%1.%2.%3"/>
      <w:lvlJc w:val="left"/>
      <w:pPr>
        <w:ind w:left="1021" w:hanging="1021"/>
      </w:pPr>
      <w:rPr>
        <w:rFonts w:ascii="Arial" w:hAnsi="Arial" w:hint="default"/>
        <w:b/>
        <w:i w:val="0"/>
        <w:sz w:val="24"/>
      </w:rPr>
    </w:lvl>
    <w:lvl w:ilvl="3">
      <w:start w:val="1"/>
      <w:numFmt w:val="decimal"/>
      <w:lvlText w:val="%1.%2.%3.%4"/>
      <w:lvlJc w:val="left"/>
      <w:pPr>
        <w:ind w:left="1474" w:hanging="1474"/>
      </w:pPr>
      <w:rPr>
        <w:rFonts w:ascii="Arial" w:hAnsi="Arial" w:hint="default"/>
        <w:b w:val="0"/>
        <w:i/>
        <w:sz w:val="24"/>
      </w:rPr>
    </w:lvl>
    <w:lvl w:ilvl="4">
      <w:start w:val="1"/>
      <w:numFmt w:val="lowerRoman"/>
      <w:lvlText w:val="%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9556B68"/>
    <w:multiLevelType w:val="hybridMultilevel"/>
    <w:tmpl w:val="AB66FA60"/>
    <w:lvl w:ilvl="0" w:tplc="0C090001">
      <w:start w:val="1"/>
      <w:numFmt w:val="bullet"/>
      <w:lvlText w:val=""/>
      <w:lvlJc w:val="left"/>
      <w:pPr>
        <w:ind w:left="720" w:hanging="72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ADF706A"/>
    <w:multiLevelType w:val="hybridMultilevel"/>
    <w:tmpl w:val="7BF26F7C"/>
    <w:lvl w:ilvl="0" w:tplc="1308797C">
      <w:start w:val="1"/>
      <w:numFmt w:val="bullet"/>
      <w:pStyle w:val="NILStextbulleted"/>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Symbol" w:hAnsi="Symbol"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Symbol" w:hAnsi="Symbol"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Symbol" w:hAnsi="Symbol" w:hint="default"/>
      </w:rPr>
    </w:lvl>
  </w:abstractNum>
  <w:abstractNum w:abstractNumId="11" w15:restartNumberingAfterBreak="0">
    <w:nsid w:val="318321FC"/>
    <w:multiLevelType w:val="hybridMultilevel"/>
    <w:tmpl w:val="D9A40330"/>
    <w:lvl w:ilvl="0" w:tplc="639E2F1C">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EC3B78"/>
    <w:multiLevelType w:val="hybridMultilevel"/>
    <w:tmpl w:val="4FC6E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781402"/>
    <w:multiLevelType w:val="hybridMultilevel"/>
    <w:tmpl w:val="E814F3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F64E64"/>
    <w:multiLevelType w:val="hybridMultilevel"/>
    <w:tmpl w:val="178EF5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BCE1D03"/>
    <w:multiLevelType w:val="hybridMultilevel"/>
    <w:tmpl w:val="625E20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37A4F8E"/>
    <w:multiLevelType w:val="hybridMultilevel"/>
    <w:tmpl w:val="702497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4FF23F6"/>
    <w:multiLevelType w:val="hybridMultilevel"/>
    <w:tmpl w:val="B22A83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B386381"/>
    <w:multiLevelType w:val="hybridMultilevel"/>
    <w:tmpl w:val="AA168812"/>
    <w:lvl w:ilvl="0" w:tplc="A9C09488">
      <w:numFmt w:val="bullet"/>
      <w:lvlText w:val=""/>
      <w:lvlJc w:val="left"/>
      <w:pPr>
        <w:ind w:left="360" w:hanging="360"/>
      </w:pPr>
      <w:rPr>
        <w:rFonts w:ascii="Symbol" w:eastAsiaTheme="minorHAnsi" w:hAnsi="Symbol"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1D349E9"/>
    <w:multiLevelType w:val="hybridMultilevel"/>
    <w:tmpl w:val="0CAA1748"/>
    <w:lvl w:ilvl="0" w:tplc="0C090001">
      <w:start w:val="1"/>
      <w:numFmt w:val="bullet"/>
      <w:lvlText w:val=""/>
      <w:lvlJc w:val="left"/>
      <w:pPr>
        <w:ind w:left="360" w:hanging="360"/>
      </w:pPr>
      <w:rPr>
        <w:rFonts w:ascii="Symbol" w:hAnsi="Symbol" w:hint="default"/>
      </w:rPr>
    </w:lvl>
    <w:lvl w:ilvl="1" w:tplc="C9D22478">
      <w:start w:val="1"/>
      <w:numFmt w:val="decimal"/>
      <w:lvlText w:val="%2."/>
      <w:lvlJc w:val="left"/>
      <w:pPr>
        <w:ind w:left="1080" w:hanging="360"/>
      </w:pPr>
      <w:rPr>
        <w:rFonts w:hint="default"/>
      </w:rPr>
    </w:lvl>
    <w:lvl w:ilvl="2" w:tplc="A8E84282">
      <w:start w:val="1"/>
      <w:numFmt w:val="decimal"/>
      <w:lvlText w:val="(%3)"/>
      <w:lvlJc w:val="left"/>
      <w:pPr>
        <w:ind w:left="2184" w:hanging="564"/>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81321B7"/>
    <w:multiLevelType w:val="hybridMultilevel"/>
    <w:tmpl w:val="23F4B2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03342FD"/>
    <w:multiLevelType w:val="hybridMultilevel"/>
    <w:tmpl w:val="519EB04E"/>
    <w:lvl w:ilvl="0" w:tplc="D0A4CDD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1A96A17"/>
    <w:multiLevelType w:val="hybridMultilevel"/>
    <w:tmpl w:val="90C66C82"/>
    <w:lvl w:ilvl="0" w:tplc="0C090001">
      <w:start w:val="1"/>
      <w:numFmt w:val="bullet"/>
      <w:lvlText w:val=""/>
      <w:lvlJc w:val="left"/>
      <w:pPr>
        <w:ind w:left="720" w:hanging="72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6EB1199"/>
    <w:multiLevelType w:val="hybridMultilevel"/>
    <w:tmpl w:val="2BC23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3B68E8"/>
    <w:multiLevelType w:val="hybridMultilevel"/>
    <w:tmpl w:val="97BA4F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B442184"/>
    <w:multiLevelType w:val="multilevel"/>
    <w:tmpl w:val="07B29B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E9209D8"/>
    <w:multiLevelType w:val="hybridMultilevel"/>
    <w:tmpl w:val="C660C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D62F3F"/>
    <w:multiLevelType w:val="hybridMultilevel"/>
    <w:tmpl w:val="68701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5"/>
  </w:num>
  <w:num w:numId="4">
    <w:abstractNumId w:val="2"/>
  </w:num>
  <w:num w:numId="5">
    <w:abstractNumId w:val="7"/>
  </w:num>
  <w:num w:numId="6">
    <w:abstractNumId w:val="4"/>
  </w:num>
  <w:num w:numId="7">
    <w:abstractNumId w:val="24"/>
  </w:num>
  <w:num w:numId="8">
    <w:abstractNumId w:val="15"/>
  </w:num>
  <w:num w:numId="9">
    <w:abstractNumId w:val="0"/>
  </w:num>
  <w:num w:numId="10">
    <w:abstractNumId w:val="17"/>
  </w:num>
  <w:num w:numId="11">
    <w:abstractNumId w:val="11"/>
  </w:num>
  <w:num w:numId="12">
    <w:abstractNumId w:val="18"/>
  </w:num>
  <w:num w:numId="13">
    <w:abstractNumId w:val="21"/>
  </w:num>
  <w:num w:numId="14">
    <w:abstractNumId w:val="22"/>
  </w:num>
  <w:num w:numId="15">
    <w:abstractNumId w:val="1"/>
  </w:num>
  <w:num w:numId="16">
    <w:abstractNumId w:val="19"/>
  </w:num>
  <w:num w:numId="17">
    <w:abstractNumId w:val="14"/>
  </w:num>
  <w:num w:numId="18">
    <w:abstractNumId w:val="3"/>
  </w:num>
  <w:num w:numId="19">
    <w:abstractNumId w:val="6"/>
  </w:num>
  <w:num w:numId="20">
    <w:abstractNumId w:val="20"/>
  </w:num>
  <w:num w:numId="21">
    <w:abstractNumId w:val="9"/>
  </w:num>
  <w:num w:numId="22">
    <w:abstractNumId w:val="25"/>
  </w:num>
  <w:num w:numId="23">
    <w:abstractNumId w:val="23"/>
  </w:num>
  <w:num w:numId="24">
    <w:abstractNumId w:val="27"/>
  </w:num>
  <w:num w:numId="25">
    <w:abstractNumId w:val="13"/>
  </w:num>
  <w:num w:numId="26">
    <w:abstractNumId w:val="12"/>
  </w:num>
  <w:num w:numId="27">
    <w:abstractNumId w:val="16"/>
  </w:num>
  <w:num w:numId="28">
    <w:abstractNumId w:val="26"/>
  </w:num>
  <w:num w:numId="2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680"/>
  <w:displayHorizontalDrawingGridEvery w:val="0"/>
  <w:displayVerticalDrawingGridEvery w:val="0"/>
  <w:doNotUseMarginsForDrawingGridOrigin/>
  <w:noPunctuationKerning/>
  <w:characterSpacingControl w:val="doNotCompress"/>
  <w:hdrShapeDefaults>
    <o:shapedefaults v:ext="edit" spidmax="10241" fillcolor="white" stroke="f">
      <v:fill color="white"/>
      <v:stroke on="f"/>
      <v:shadow color="black" opacity="49151f" offset=".74833mm,.74833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BD4"/>
    <w:rsid w:val="00001941"/>
    <w:rsid w:val="00005072"/>
    <w:rsid w:val="00005906"/>
    <w:rsid w:val="00006A5E"/>
    <w:rsid w:val="00010019"/>
    <w:rsid w:val="00011358"/>
    <w:rsid w:val="00012C3A"/>
    <w:rsid w:val="00014F50"/>
    <w:rsid w:val="000156CD"/>
    <w:rsid w:val="000158AB"/>
    <w:rsid w:val="0001594B"/>
    <w:rsid w:val="00016778"/>
    <w:rsid w:val="000167F4"/>
    <w:rsid w:val="000167FD"/>
    <w:rsid w:val="000175CD"/>
    <w:rsid w:val="00017A9E"/>
    <w:rsid w:val="00017C6E"/>
    <w:rsid w:val="0002267A"/>
    <w:rsid w:val="00022EF8"/>
    <w:rsid w:val="000235E7"/>
    <w:rsid w:val="00023FB3"/>
    <w:rsid w:val="00024035"/>
    <w:rsid w:val="000242BA"/>
    <w:rsid w:val="00024643"/>
    <w:rsid w:val="0002475A"/>
    <w:rsid w:val="00024E6F"/>
    <w:rsid w:val="00026529"/>
    <w:rsid w:val="00027734"/>
    <w:rsid w:val="000317EE"/>
    <w:rsid w:val="00031910"/>
    <w:rsid w:val="00031EDF"/>
    <w:rsid w:val="00033088"/>
    <w:rsid w:val="000371CA"/>
    <w:rsid w:val="000372BE"/>
    <w:rsid w:val="00037C96"/>
    <w:rsid w:val="00037FA9"/>
    <w:rsid w:val="0004143D"/>
    <w:rsid w:val="00043330"/>
    <w:rsid w:val="000436CE"/>
    <w:rsid w:val="00044C10"/>
    <w:rsid w:val="000450B7"/>
    <w:rsid w:val="00045422"/>
    <w:rsid w:val="00045FD7"/>
    <w:rsid w:val="00047211"/>
    <w:rsid w:val="00050978"/>
    <w:rsid w:val="000519E0"/>
    <w:rsid w:val="00054BD0"/>
    <w:rsid w:val="00054ED8"/>
    <w:rsid w:val="00055280"/>
    <w:rsid w:val="00056A5A"/>
    <w:rsid w:val="00057673"/>
    <w:rsid w:val="00061352"/>
    <w:rsid w:val="00061CB2"/>
    <w:rsid w:val="00061F56"/>
    <w:rsid w:val="00062A2B"/>
    <w:rsid w:val="00063034"/>
    <w:rsid w:val="00063F89"/>
    <w:rsid w:val="000664C4"/>
    <w:rsid w:val="000666FB"/>
    <w:rsid w:val="000669CB"/>
    <w:rsid w:val="0007007E"/>
    <w:rsid w:val="00070A87"/>
    <w:rsid w:val="0007109B"/>
    <w:rsid w:val="00072611"/>
    <w:rsid w:val="00072932"/>
    <w:rsid w:val="00073132"/>
    <w:rsid w:val="000733D8"/>
    <w:rsid w:val="000752D2"/>
    <w:rsid w:val="00075728"/>
    <w:rsid w:val="000767CB"/>
    <w:rsid w:val="00076B21"/>
    <w:rsid w:val="00077C68"/>
    <w:rsid w:val="00077E06"/>
    <w:rsid w:val="00081DA0"/>
    <w:rsid w:val="000820D1"/>
    <w:rsid w:val="00083399"/>
    <w:rsid w:val="000836E8"/>
    <w:rsid w:val="00083B12"/>
    <w:rsid w:val="00083B50"/>
    <w:rsid w:val="00084790"/>
    <w:rsid w:val="00087948"/>
    <w:rsid w:val="00090D11"/>
    <w:rsid w:val="00090F3C"/>
    <w:rsid w:val="000910C6"/>
    <w:rsid w:val="00091843"/>
    <w:rsid w:val="000924FC"/>
    <w:rsid w:val="00093161"/>
    <w:rsid w:val="00094C76"/>
    <w:rsid w:val="0009671C"/>
    <w:rsid w:val="00096B77"/>
    <w:rsid w:val="000A076C"/>
    <w:rsid w:val="000A1775"/>
    <w:rsid w:val="000A21D9"/>
    <w:rsid w:val="000A22AF"/>
    <w:rsid w:val="000A3623"/>
    <w:rsid w:val="000A410C"/>
    <w:rsid w:val="000B077E"/>
    <w:rsid w:val="000B0F2E"/>
    <w:rsid w:val="000B100C"/>
    <w:rsid w:val="000B12B6"/>
    <w:rsid w:val="000B2013"/>
    <w:rsid w:val="000B41E3"/>
    <w:rsid w:val="000B43C2"/>
    <w:rsid w:val="000B44CB"/>
    <w:rsid w:val="000B45DD"/>
    <w:rsid w:val="000B4843"/>
    <w:rsid w:val="000B4C60"/>
    <w:rsid w:val="000B6003"/>
    <w:rsid w:val="000B690E"/>
    <w:rsid w:val="000B7857"/>
    <w:rsid w:val="000C0F3C"/>
    <w:rsid w:val="000C16C6"/>
    <w:rsid w:val="000C16F8"/>
    <w:rsid w:val="000C2128"/>
    <w:rsid w:val="000C2915"/>
    <w:rsid w:val="000C2B7A"/>
    <w:rsid w:val="000C319E"/>
    <w:rsid w:val="000C35DF"/>
    <w:rsid w:val="000C3B3C"/>
    <w:rsid w:val="000C3D80"/>
    <w:rsid w:val="000C3EA3"/>
    <w:rsid w:val="000C3EFA"/>
    <w:rsid w:val="000C505B"/>
    <w:rsid w:val="000C5E6B"/>
    <w:rsid w:val="000C6DED"/>
    <w:rsid w:val="000D348B"/>
    <w:rsid w:val="000D40FC"/>
    <w:rsid w:val="000D42FB"/>
    <w:rsid w:val="000D4610"/>
    <w:rsid w:val="000D5233"/>
    <w:rsid w:val="000D6B88"/>
    <w:rsid w:val="000D75CD"/>
    <w:rsid w:val="000D77B0"/>
    <w:rsid w:val="000E0072"/>
    <w:rsid w:val="000E2FC9"/>
    <w:rsid w:val="000E5163"/>
    <w:rsid w:val="000E66CA"/>
    <w:rsid w:val="000F22A9"/>
    <w:rsid w:val="000F3B01"/>
    <w:rsid w:val="000F5022"/>
    <w:rsid w:val="000F7409"/>
    <w:rsid w:val="000F7D0B"/>
    <w:rsid w:val="001020CB"/>
    <w:rsid w:val="001032EF"/>
    <w:rsid w:val="00103435"/>
    <w:rsid w:val="00104AC9"/>
    <w:rsid w:val="00106914"/>
    <w:rsid w:val="001105A2"/>
    <w:rsid w:val="0011155C"/>
    <w:rsid w:val="00115997"/>
    <w:rsid w:val="001159BB"/>
    <w:rsid w:val="00116ACA"/>
    <w:rsid w:val="00116BB9"/>
    <w:rsid w:val="00117D3B"/>
    <w:rsid w:val="00122968"/>
    <w:rsid w:val="001247A7"/>
    <w:rsid w:val="00125C43"/>
    <w:rsid w:val="00125DCD"/>
    <w:rsid w:val="00125F2C"/>
    <w:rsid w:val="00127169"/>
    <w:rsid w:val="001273F5"/>
    <w:rsid w:val="0012742B"/>
    <w:rsid w:val="00132205"/>
    <w:rsid w:val="00132EED"/>
    <w:rsid w:val="001332EF"/>
    <w:rsid w:val="00134F48"/>
    <w:rsid w:val="00136A8A"/>
    <w:rsid w:val="00137421"/>
    <w:rsid w:val="00137C4D"/>
    <w:rsid w:val="00140957"/>
    <w:rsid w:val="00140D71"/>
    <w:rsid w:val="00140FD3"/>
    <w:rsid w:val="00141D7F"/>
    <w:rsid w:val="00141F7B"/>
    <w:rsid w:val="00143160"/>
    <w:rsid w:val="00143E40"/>
    <w:rsid w:val="0014628E"/>
    <w:rsid w:val="00154C87"/>
    <w:rsid w:val="00157E68"/>
    <w:rsid w:val="00160915"/>
    <w:rsid w:val="001609EE"/>
    <w:rsid w:val="00161A38"/>
    <w:rsid w:val="00161E3F"/>
    <w:rsid w:val="00163643"/>
    <w:rsid w:val="00163746"/>
    <w:rsid w:val="001674EB"/>
    <w:rsid w:val="0017118B"/>
    <w:rsid w:val="001712ED"/>
    <w:rsid w:val="00171EB3"/>
    <w:rsid w:val="001733E4"/>
    <w:rsid w:val="001734E7"/>
    <w:rsid w:val="0017479D"/>
    <w:rsid w:val="00175530"/>
    <w:rsid w:val="001766C0"/>
    <w:rsid w:val="0017776B"/>
    <w:rsid w:val="001779DE"/>
    <w:rsid w:val="00180814"/>
    <w:rsid w:val="00182881"/>
    <w:rsid w:val="0018313D"/>
    <w:rsid w:val="00185580"/>
    <w:rsid w:val="00185AE0"/>
    <w:rsid w:val="00190419"/>
    <w:rsid w:val="0019088E"/>
    <w:rsid w:val="00191811"/>
    <w:rsid w:val="001926F7"/>
    <w:rsid w:val="001938E9"/>
    <w:rsid w:val="0019420F"/>
    <w:rsid w:val="00194F0A"/>
    <w:rsid w:val="00195459"/>
    <w:rsid w:val="00195F18"/>
    <w:rsid w:val="001A2314"/>
    <w:rsid w:val="001A3322"/>
    <w:rsid w:val="001A3A52"/>
    <w:rsid w:val="001A4268"/>
    <w:rsid w:val="001A4E80"/>
    <w:rsid w:val="001A5673"/>
    <w:rsid w:val="001A6142"/>
    <w:rsid w:val="001A6B65"/>
    <w:rsid w:val="001A6BA5"/>
    <w:rsid w:val="001B0BF2"/>
    <w:rsid w:val="001B28D3"/>
    <w:rsid w:val="001B3F58"/>
    <w:rsid w:val="001B427F"/>
    <w:rsid w:val="001B4FB0"/>
    <w:rsid w:val="001B5580"/>
    <w:rsid w:val="001B58C4"/>
    <w:rsid w:val="001B64A8"/>
    <w:rsid w:val="001B74EE"/>
    <w:rsid w:val="001B7A93"/>
    <w:rsid w:val="001C09BD"/>
    <w:rsid w:val="001C146A"/>
    <w:rsid w:val="001C161D"/>
    <w:rsid w:val="001C1649"/>
    <w:rsid w:val="001C1889"/>
    <w:rsid w:val="001C38A3"/>
    <w:rsid w:val="001C46E6"/>
    <w:rsid w:val="001C5224"/>
    <w:rsid w:val="001C5281"/>
    <w:rsid w:val="001C5CCA"/>
    <w:rsid w:val="001C7454"/>
    <w:rsid w:val="001C7F3D"/>
    <w:rsid w:val="001D1526"/>
    <w:rsid w:val="001D1E4A"/>
    <w:rsid w:val="001D50FF"/>
    <w:rsid w:val="001D7317"/>
    <w:rsid w:val="001D75A0"/>
    <w:rsid w:val="001E07E7"/>
    <w:rsid w:val="001E1DF1"/>
    <w:rsid w:val="001E2DDD"/>
    <w:rsid w:val="001E3763"/>
    <w:rsid w:val="001E4106"/>
    <w:rsid w:val="001E58FB"/>
    <w:rsid w:val="001E74F1"/>
    <w:rsid w:val="001E7892"/>
    <w:rsid w:val="001F052F"/>
    <w:rsid w:val="001F1105"/>
    <w:rsid w:val="001F2934"/>
    <w:rsid w:val="001F4EF9"/>
    <w:rsid w:val="001F516F"/>
    <w:rsid w:val="001F6F63"/>
    <w:rsid w:val="001F79E9"/>
    <w:rsid w:val="00200A09"/>
    <w:rsid w:val="00202141"/>
    <w:rsid w:val="0020250A"/>
    <w:rsid w:val="00202681"/>
    <w:rsid w:val="002029D9"/>
    <w:rsid w:val="00202F96"/>
    <w:rsid w:val="00203657"/>
    <w:rsid w:val="002048E6"/>
    <w:rsid w:val="0020495E"/>
    <w:rsid w:val="0020503A"/>
    <w:rsid w:val="00206C1D"/>
    <w:rsid w:val="00206E0C"/>
    <w:rsid w:val="0020716E"/>
    <w:rsid w:val="002105BD"/>
    <w:rsid w:val="002107C8"/>
    <w:rsid w:val="0021113A"/>
    <w:rsid w:val="00211677"/>
    <w:rsid w:val="002156D2"/>
    <w:rsid w:val="00215CE2"/>
    <w:rsid w:val="0021679B"/>
    <w:rsid w:val="00216886"/>
    <w:rsid w:val="00217C89"/>
    <w:rsid w:val="002214B0"/>
    <w:rsid w:val="00221526"/>
    <w:rsid w:val="00222233"/>
    <w:rsid w:val="002235A9"/>
    <w:rsid w:val="002240F2"/>
    <w:rsid w:val="00232A7F"/>
    <w:rsid w:val="00233A9E"/>
    <w:rsid w:val="00233AF5"/>
    <w:rsid w:val="00235597"/>
    <w:rsid w:val="00235BF7"/>
    <w:rsid w:val="002368A8"/>
    <w:rsid w:val="00236B1B"/>
    <w:rsid w:val="00236E02"/>
    <w:rsid w:val="002372C8"/>
    <w:rsid w:val="00237FE8"/>
    <w:rsid w:val="00240424"/>
    <w:rsid w:val="00240F11"/>
    <w:rsid w:val="00241624"/>
    <w:rsid w:val="002418F6"/>
    <w:rsid w:val="0024270F"/>
    <w:rsid w:val="00244811"/>
    <w:rsid w:val="002456D4"/>
    <w:rsid w:val="00245A63"/>
    <w:rsid w:val="00245B46"/>
    <w:rsid w:val="00246E24"/>
    <w:rsid w:val="00250681"/>
    <w:rsid w:val="00260002"/>
    <w:rsid w:val="00260C38"/>
    <w:rsid w:val="002610B0"/>
    <w:rsid w:val="00262918"/>
    <w:rsid w:val="00262ABE"/>
    <w:rsid w:val="002635F0"/>
    <w:rsid w:val="00264963"/>
    <w:rsid w:val="00266612"/>
    <w:rsid w:val="002673A6"/>
    <w:rsid w:val="00267E5C"/>
    <w:rsid w:val="00271837"/>
    <w:rsid w:val="002769C0"/>
    <w:rsid w:val="00277DB1"/>
    <w:rsid w:val="002809F8"/>
    <w:rsid w:val="00282D11"/>
    <w:rsid w:val="00283EBD"/>
    <w:rsid w:val="00284C30"/>
    <w:rsid w:val="0028511A"/>
    <w:rsid w:val="00287C28"/>
    <w:rsid w:val="00287C95"/>
    <w:rsid w:val="0029150A"/>
    <w:rsid w:val="00292064"/>
    <w:rsid w:val="0029283F"/>
    <w:rsid w:val="00292EEB"/>
    <w:rsid w:val="0029478C"/>
    <w:rsid w:val="00294B91"/>
    <w:rsid w:val="00294FC2"/>
    <w:rsid w:val="00295D9E"/>
    <w:rsid w:val="00296A77"/>
    <w:rsid w:val="002A1EDB"/>
    <w:rsid w:val="002A1F34"/>
    <w:rsid w:val="002A2650"/>
    <w:rsid w:val="002A3341"/>
    <w:rsid w:val="002A5073"/>
    <w:rsid w:val="002A74AB"/>
    <w:rsid w:val="002A7F07"/>
    <w:rsid w:val="002A7F75"/>
    <w:rsid w:val="002B03E5"/>
    <w:rsid w:val="002B0F76"/>
    <w:rsid w:val="002B4D51"/>
    <w:rsid w:val="002B5C78"/>
    <w:rsid w:val="002B667E"/>
    <w:rsid w:val="002B7763"/>
    <w:rsid w:val="002C25AE"/>
    <w:rsid w:val="002C266F"/>
    <w:rsid w:val="002C2C86"/>
    <w:rsid w:val="002C3974"/>
    <w:rsid w:val="002C7E3B"/>
    <w:rsid w:val="002D10AD"/>
    <w:rsid w:val="002D12E7"/>
    <w:rsid w:val="002D2EC9"/>
    <w:rsid w:val="002D3DE4"/>
    <w:rsid w:val="002D460A"/>
    <w:rsid w:val="002D46C2"/>
    <w:rsid w:val="002D4C79"/>
    <w:rsid w:val="002E051F"/>
    <w:rsid w:val="002E3B7F"/>
    <w:rsid w:val="002E3E55"/>
    <w:rsid w:val="002E4207"/>
    <w:rsid w:val="002E4E67"/>
    <w:rsid w:val="002E7470"/>
    <w:rsid w:val="002E74D0"/>
    <w:rsid w:val="002F1E00"/>
    <w:rsid w:val="002F2EA9"/>
    <w:rsid w:val="002F2EC4"/>
    <w:rsid w:val="003013FD"/>
    <w:rsid w:val="003014E6"/>
    <w:rsid w:val="00301C30"/>
    <w:rsid w:val="0030240B"/>
    <w:rsid w:val="00303A43"/>
    <w:rsid w:val="00303F10"/>
    <w:rsid w:val="00304963"/>
    <w:rsid w:val="00306280"/>
    <w:rsid w:val="00306725"/>
    <w:rsid w:val="00310628"/>
    <w:rsid w:val="003110A4"/>
    <w:rsid w:val="00313FF3"/>
    <w:rsid w:val="00316F85"/>
    <w:rsid w:val="0031740C"/>
    <w:rsid w:val="00325343"/>
    <w:rsid w:val="003255DE"/>
    <w:rsid w:val="003258B5"/>
    <w:rsid w:val="00325DFA"/>
    <w:rsid w:val="00326ACF"/>
    <w:rsid w:val="003276FC"/>
    <w:rsid w:val="00327DDD"/>
    <w:rsid w:val="00327ECD"/>
    <w:rsid w:val="00331A09"/>
    <w:rsid w:val="00332708"/>
    <w:rsid w:val="00332E2D"/>
    <w:rsid w:val="00334877"/>
    <w:rsid w:val="00334EDB"/>
    <w:rsid w:val="003357A6"/>
    <w:rsid w:val="00336F38"/>
    <w:rsid w:val="00337EC8"/>
    <w:rsid w:val="00341557"/>
    <w:rsid w:val="003418A8"/>
    <w:rsid w:val="00343280"/>
    <w:rsid w:val="0034382D"/>
    <w:rsid w:val="00345037"/>
    <w:rsid w:val="0034685F"/>
    <w:rsid w:val="00347508"/>
    <w:rsid w:val="00351D4C"/>
    <w:rsid w:val="00354446"/>
    <w:rsid w:val="00354555"/>
    <w:rsid w:val="0035709F"/>
    <w:rsid w:val="00357D87"/>
    <w:rsid w:val="00360FCB"/>
    <w:rsid w:val="003612DC"/>
    <w:rsid w:val="00361B91"/>
    <w:rsid w:val="00361D88"/>
    <w:rsid w:val="0036321E"/>
    <w:rsid w:val="003652F8"/>
    <w:rsid w:val="0036697F"/>
    <w:rsid w:val="00366AEA"/>
    <w:rsid w:val="00367250"/>
    <w:rsid w:val="00367925"/>
    <w:rsid w:val="00367B24"/>
    <w:rsid w:val="00370101"/>
    <w:rsid w:val="00370BB2"/>
    <w:rsid w:val="00371AE1"/>
    <w:rsid w:val="00374908"/>
    <w:rsid w:val="00375A60"/>
    <w:rsid w:val="00377BAE"/>
    <w:rsid w:val="00381000"/>
    <w:rsid w:val="00382665"/>
    <w:rsid w:val="00382DCB"/>
    <w:rsid w:val="003845C1"/>
    <w:rsid w:val="0038751B"/>
    <w:rsid w:val="00395326"/>
    <w:rsid w:val="0039572F"/>
    <w:rsid w:val="00397086"/>
    <w:rsid w:val="003A258A"/>
    <w:rsid w:val="003A2B16"/>
    <w:rsid w:val="003A2DCE"/>
    <w:rsid w:val="003A37B0"/>
    <w:rsid w:val="003A3A2E"/>
    <w:rsid w:val="003A4676"/>
    <w:rsid w:val="003A5925"/>
    <w:rsid w:val="003A6A89"/>
    <w:rsid w:val="003A6E73"/>
    <w:rsid w:val="003B05C4"/>
    <w:rsid w:val="003B13E6"/>
    <w:rsid w:val="003B26DC"/>
    <w:rsid w:val="003B2D73"/>
    <w:rsid w:val="003B7037"/>
    <w:rsid w:val="003C0C47"/>
    <w:rsid w:val="003C476E"/>
    <w:rsid w:val="003C4D86"/>
    <w:rsid w:val="003C60CF"/>
    <w:rsid w:val="003C614A"/>
    <w:rsid w:val="003C6519"/>
    <w:rsid w:val="003C6952"/>
    <w:rsid w:val="003C6B3E"/>
    <w:rsid w:val="003D0BE8"/>
    <w:rsid w:val="003D2498"/>
    <w:rsid w:val="003D2614"/>
    <w:rsid w:val="003D3078"/>
    <w:rsid w:val="003D4CF6"/>
    <w:rsid w:val="003D5CF4"/>
    <w:rsid w:val="003D5DF2"/>
    <w:rsid w:val="003E1771"/>
    <w:rsid w:val="003E2395"/>
    <w:rsid w:val="003E2AD9"/>
    <w:rsid w:val="003E37EB"/>
    <w:rsid w:val="003E40DC"/>
    <w:rsid w:val="003E471E"/>
    <w:rsid w:val="003E4943"/>
    <w:rsid w:val="003E61CE"/>
    <w:rsid w:val="003E68F3"/>
    <w:rsid w:val="003F148B"/>
    <w:rsid w:val="003F1508"/>
    <w:rsid w:val="003F2133"/>
    <w:rsid w:val="003F216D"/>
    <w:rsid w:val="003F3AA4"/>
    <w:rsid w:val="003F4342"/>
    <w:rsid w:val="003F61C9"/>
    <w:rsid w:val="003F777B"/>
    <w:rsid w:val="003F7AF4"/>
    <w:rsid w:val="004030FE"/>
    <w:rsid w:val="004048D7"/>
    <w:rsid w:val="00404EFB"/>
    <w:rsid w:val="004056B1"/>
    <w:rsid w:val="00405F53"/>
    <w:rsid w:val="00407884"/>
    <w:rsid w:val="00407F72"/>
    <w:rsid w:val="00410E90"/>
    <w:rsid w:val="00411141"/>
    <w:rsid w:val="00412475"/>
    <w:rsid w:val="004124E3"/>
    <w:rsid w:val="0041273E"/>
    <w:rsid w:val="00416E15"/>
    <w:rsid w:val="00421880"/>
    <w:rsid w:val="00421A9E"/>
    <w:rsid w:val="00423BB4"/>
    <w:rsid w:val="0042472E"/>
    <w:rsid w:val="00424CB0"/>
    <w:rsid w:val="00426458"/>
    <w:rsid w:val="00426728"/>
    <w:rsid w:val="00427D16"/>
    <w:rsid w:val="00430338"/>
    <w:rsid w:val="00430E2F"/>
    <w:rsid w:val="00430E53"/>
    <w:rsid w:val="0043142A"/>
    <w:rsid w:val="00432099"/>
    <w:rsid w:val="00432B91"/>
    <w:rsid w:val="00433A56"/>
    <w:rsid w:val="00433E27"/>
    <w:rsid w:val="004363A1"/>
    <w:rsid w:val="00437F05"/>
    <w:rsid w:val="00440056"/>
    <w:rsid w:val="004408E9"/>
    <w:rsid w:val="00441B2B"/>
    <w:rsid w:val="0044294F"/>
    <w:rsid w:val="004434B7"/>
    <w:rsid w:val="00443F5B"/>
    <w:rsid w:val="0044684E"/>
    <w:rsid w:val="004509AC"/>
    <w:rsid w:val="004523E3"/>
    <w:rsid w:val="00462679"/>
    <w:rsid w:val="004636C1"/>
    <w:rsid w:val="00464A01"/>
    <w:rsid w:val="00472EBF"/>
    <w:rsid w:val="00473DE5"/>
    <w:rsid w:val="004744EE"/>
    <w:rsid w:val="00474504"/>
    <w:rsid w:val="00475621"/>
    <w:rsid w:val="00476EA8"/>
    <w:rsid w:val="004775FE"/>
    <w:rsid w:val="00481CF8"/>
    <w:rsid w:val="00482040"/>
    <w:rsid w:val="0048241A"/>
    <w:rsid w:val="00482937"/>
    <w:rsid w:val="004873B2"/>
    <w:rsid w:val="0048760F"/>
    <w:rsid w:val="00487E1D"/>
    <w:rsid w:val="00490B21"/>
    <w:rsid w:val="00490E22"/>
    <w:rsid w:val="00493B36"/>
    <w:rsid w:val="00493F63"/>
    <w:rsid w:val="0049441C"/>
    <w:rsid w:val="00495309"/>
    <w:rsid w:val="00495E45"/>
    <w:rsid w:val="004961BB"/>
    <w:rsid w:val="00497154"/>
    <w:rsid w:val="004A1DAF"/>
    <w:rsid w:val="004A31BF"/>
    <w:rsid w:val="004A39F6"/>
    <w:rsid w:val="004A48B9"/>
    <w:rsid w:val="004A49FB"/>
    <w:rsid w:val="004A5067"/>
    <w:rsid w:val="004A567F"/>
    <w:rsid w:val="004A6993"/>
    <w:rsid w:val="004B0315"/>
    <w:rsid w:val="004B0597"/>
    <w:rsid w:val="004B09D8"/>
    <w:rsid w:val="004B159D"/>
    <w:rsid w:val="004B2BDC"/>
    <w:rsid w:val="004B2FC8"/>
    <w:rsid w:val="004B3536"/>
    <w:rsid w:val="004B44E7"/>
    <w:rsid w:val="004B4501"/>
    <w:rsid w:val="004B4923"/>
    <w:rsid w:val="004B5DB1"/>
    <w:rsid w:val="004B5EF7"/>
    <w:rsid w:val="004B6A6F"/>
    <w:rsid w:val="004B70D3"/>
    <w:rsid w:val="004B7411"/>
    <w:rsid w:val="004C0775"/>
    <w:rsid w:val="004C2346"/>
    <w:rsid w:val="004C38ED"/>
    <w:rsid w:val="004C3F9C"/>
    <w:rsid w:val="004C4CBD"/>
    <w:rsid w:val="004C521E"/>
    <w:rsid w:val="004C71FE"/>
    <w:rsid w:val="004C7B50"/>
    <w:rsid w:val="004D0CCE"/>
    <w:rsid w:val="004D1056"/>
    <w:rsid w:val="004D43E1"/>
    <w:rsid w:val="004D5608"/>
    <w:rsid w:val="004D7620"/>
    <w:rsid w:val="004E07C3"/>
    <w:rsid w:val="004E1721"/>
    <w:rsid w:val="004E203E"/>
    <w:rsid w:val="004E5167"/>
    <w:rsid w:val="004E59AD"/>
    <w:rsid w:val="004E6585"/>
    <w:rsid w:val="004E70B3"/>
    <w:rsid w:val="004F12D3"/>
    <w:rsid w:val="004F1450"/>
    <w:rsid w:val="004F1D61"/>
    <w:rsid w:val="004F1EA8"/>
    <w:rsid w:val="004F20DB"/>
    <w:rsid w:val="004F4645"/>
    <w:rsid w:val="004F5A1F"/>
    <w:rsid w:val="005015ED"/>
    <w:rsid w:val="00501A83"/>
    <w:rsid w:val="00501C3B"/>
    <w:rsid w:val="005028CC"/>
    <w:rsid w:val="00502F03"/>
    <w:rsid w:val="00502F35"/>
    <w:rsid w:val="00503856"/>
    <w:rsid w:val="00503AC2"/>
    <w:rsid w:val="00503C8E"/>
    <w:rsid w:val="00510AD2"/>
    <w:rsid w:val="0051179C"/>
    <w:rsid w:val="0051234A"/>
    <w:rsid w:val="00512963"/>
    <w:rsid w:val="00513B36"/>
    <w:rsid w:val="0051562D"/>
    <w:rsid w:val="00515975"/>
    <w:rsid w:val="0051679D"/>
    <w:rsid w:val="0051682C"/>
    <w:rsid w:val="00516B6A"/>
    <w:rsid w:val="00517360"/>
    <w:rsid w:val="005219EE"/>
    <w:rsid w:val="00521C98"/>
    <w:rsid w:val="005225DE"/>
    <w:rsid w:val="0052303D"/>
    <w:rsid w:val="00525867"/>
    <w:rsid w:val="005274AC"/>
    <w:rsid w:val="00527E2F"/>
    <w:rsid w:val="00530182"/>
    <w:rsid w:val="005307B2"/>
    <w:rsid w:val="0053296A"/>
    <w:rsid w:val="00532BB8"/>
    <w:rsid w:val="00534299"/>
    <w:rsid w:val="00537209"/>
    <w:rsid w:val="00537BD8"/>
    <w:rsid w:val="00540167"/>
    <w:rsid w:val="005427DE"/>
    <w:rsid w:val="00543554"/>
    <w:rsid w:val="0054451B"/>
    <w:rsid w:val="00544AC3"/>
    <w:rsid w:val="00544B19"/>
    <w:rsid w:val="00544BE5"/>
    <w:rsid w:val="00545770"/>
    <w:rsid w:val="00545838"/>
    <w:rsid w:val="00546962"/>
    <w:rsid w:val="00551FBF"/>
    <w:rsid w:val="005525B9"/>
    <w:rsid w:val="00552D8E"/>
    <w:rsid w:val="005560DF"/>
    <w:rsid w:val="005568F9"/>
    <w:rsid w:val="00556A5D"/>
    <w:rsid w:val="00560F51"/>
    <w:rsid w:val="005613E5"/>
    <w:rsid w:val="00562496"/>
    <w:rsid w:val="00564338"/>
    <w:rsid w:val="005645AA"/>
    <w:rsid w:val="005655C5"/>
    <w:rsid w:val="00570F9D"/>
    <w:rsid w:val="00572300"/>
    <w:rsid w:val="005735DB"/>
    <w:rsid w:val="0057471C"/>
    <w:rsid w:val="005748CB"/>
    <w:rsid w:val="005770CB"/>
    <w:rsid w:val="00581E70"/>
    <w:rsid w:val="0058291A"/>
    <w:rsid w:val="00584C94"/>
    <w:rsid w:val="0058726D"/>
    <w:rsid w:val="005911CE"/>
    <w:rsid w:val="0059151B"/>
    <w:rsid w:val="0059163E"/>
    <w:rsid w:val="00591DFF"/>
    <w:rsid w:val="00592921"/>
    <w:rsid w:val="00595174"/>
    <w:rsid w:val="005A190F"/>
    <w:rsid w:val="005A2403"/>
    <w:rsid w:val="005A3F74"/>
    <w:rsid w:val="005A5F27"/>
    <w:rsid w:val="005A644D"/>
    <w:rsid w:val="005A7471"/>
    <w:rsid w:val="005B0003"/>
    <w:rsid w:val="005B0FB1"/>
    <w:rsid w:val="005B2D5F"/>
    <w:rsid w:val="005B322E"/>
    <w:rsid w:val="005B32E8"/>
    <w:rsid w:val="005B5273"/>
    <w:rsid w:val="005B5F9E"/>
    <w:rsid w:val="005C07D2"/>
    <w:rsid w:val="005C3305"/>
    <w:rsid w:val="005C522B"/>
    <w:rsid w:val="005D023C"/>
    <w:rsid w:val="005D028F"/>
    <w:rsid w:val="005D06E5"/>
    <w:rsid w:val="005D06EF"/>
    <w:rsid w:val="005D1943"/>
    <w:rsid w:val="005D3F20"/>
    <w:rsid w:val="005D6123"/>
    <w:rsid w:val="005E0BA5"/>
    <w:rsid w:val="005E0FBF"/>
    <w:rsid w:val="005E130A"/>
    <w:rsid w:val="005E14E5"/>
    <w:rsid w:val="005E453D"/>
    <w:rsid w:val="005E4E7C"/>
    <w:rsid w:val="005E543B"/>
    <w:rsid w:val="005E5D87"/>
    <w:rsid w:val="005E65BD"/>
    <w:rsid w:val="005E68D6"/>
    <w:rsid w:val="005E72E4"/>
    <w:rsid w:val="005E7EDD"/>
    <w:rsid w:val="005F1BAA"/>
    <w:rsid w:val="005F1C64"/>
    <w:rsid w:val="005F5872"/>
    <w:rsid w:val="005F58A2"/>
    <w:rsid w:val="005F5F1A"/>
    <w:rsid w:val="005F6156"/>
    <w:rsid w:val="005F6F7E"/>
    <w:rsid w:val="005F7B2F"/>
    <w:rsid w:val="0060166F"/>
    <w:rsid w:val="0060235F"/>
    <w:rsid w:val="006027D2"/>
    <w:rsid w:val="00604C86"/>
    <w:rsid w:val="006074E4"/>
    <w:rsid w:val="00607746"/>
    <w:rsid w:val="00607DF8"/>
    <w:rsid w:val="006155A0"/>
    <w:rsid w:val="0061590C"/>
    <w:rsid w:val="00615963"/>
    <w:rsid w:val="00617702"/>
    <w:rsid w:val="006178D8"/>
    <w:rsid w:val="00617B6A"/>
    <w:rsid w:val="0062018A"/>
    <w:rsid w:val="00620740"/>
    <w:rsid w:val="00620F43"/>
    <w:rsid w:val="00621655"/>
    <w:rsid w:val="00622527"/>
    <w:rsid w:val="00622E6D"/>
    <w:rsid w:val="006231A3"/>
    <w:rsid w:val="00624891"/>
    <w:rsid w:val="00624AB1"/>
    <w:rsid w:val="00624C98"/>
    <w:rsid w:val="00626AC1"/>
    <w:rsid w:val="00626C40"/>
    <w:rsid w:val="00630E93"/>
    <w:rsid w:val="0063435E"/>
    <w:rsid w:val="00637C67"/>
    <w:rsid w:val="00637D4D"/>
    <w:rsid w:val="00637E7F"/>
    <w:rsid w:val="00640638"/>
    <w:rsid w:val="006424E1"/>
    <w:rsid w:val="00645749"/>
    <w:rsid w:val="006458C2"/>
    <w:rsid w:val="00646CFE"/>
    <w:rsid w:val="00651B15"/>
    <w:rsid w:val="006528B6"/>
    <w:rsid w:val="00653EAA"/>
    <w:rsid w:val="006574D3"/>
    <w:rsid w:val="00657CD6"/>
    <w:rsid w:val="00660522"/>
    <w:rsid w:val="00660E51"/>
    <w:rsid w:val="00661377"/>
    <w:rsid w:val="006638D1"/>
    <w:rsid w:val="00664C85"/>
    <w:rsid w:val="006656CA"/>
    <w:rsid w:val="00666DE7"/>
    <w:rsid w:val="00667A3E"/>
    <w:rsid w:val="00667B53"/>
    <w:rsid w:val="00667BEC"/>
    <w:rsid w:val="006717F2"/>
    <w:rsid w:val="00671F07"/>
    <w:rsid w:val="006722A7"/>
    <w:rsid w:val="0067288A"/>
    <w:rsid w:val="00675530"/>
    <w:rsid w:val="006761C0"/>
    <w:rsid w:val="00676843"/>
    <w:rsid w:val="00676900"/>
    <w:rsid w:val="00677300"/>
    <w:rsid w:val="00677759"/>
    <w:rsid w:val="00677EA3"/>
    <w:rsid w:val="006831C7"/>
    <w:rsid w:val="006839DF"/>
    <w:rsid w:val="00683BFE"/>
    <w:rsid w:val="00685BE5"/>
    <w:rsid w:val="006869B9"/>
    <w:rsid w:val="006875AF"/>
    <w:rsid w:val="0069122C"/>
    <w:rsid w:val="00691AA4"/>
    <w:rsid w:val="00692AF4"/>
    <w:rsid w:val="00693109"/>
    <w:rsid w:val="006932A4"/>
    <w:rsid w:val="0069365D"/>
    <w:rsid w:val="00693F71"/>
    <w:rsid w:val="00694EDA"/>
    <w:rsid w:val="006953C6"/>
    <w:rsid w:val="00696AA6"/>
    <w:rsid w:val="00696C4A"/>
    <w:rsid w:val="00697084"/>
    <w:rsid w:val="006A17D5"/>
    <w:rsid w:val="006A479D"/>
    <w:rsid w:val="006A6A5C"/>
    <w:rsid w:val="006B05D6"/>
    <w:rsid w:val="006B0CCA"/>
    <w:rsid w:val="006B1E5A"/>
    <w:rsid w:val="006B3743"/>
    <w:rsid w:val="006B41D4"/>
    <w:rsid w:val="006B593C"/>
    <w:rsid w:val="006B7324"/>
    <w:rsid w:val="006B786B"/>
    <w:rsid w:val="006C0848"/>
    <w:rsid w:val="006C0CDC"/>
    <w:rsid w:val="006C1920"/>
    <w:rsid w:val="006C1C71"/>
    <w:rsid w:val="006C1ED6"/>
    <w:rsid w:val="006C2E8C"/>
    <w:rsid w:val="006C3025"/>
    <w:rsid w:val="006C4DA5"/>
    <w:rsid w:val="006C53AA"/>
    <w:rsid w:val="006C5CEE"/>
    <w:rsid w:val="006C5E67"/>
    <w:rsid w:val="006C67C2"/>
    <w:rsid w:val="006C7BE7"/>
    <w:rsid w:val="006C7EE3"/>
    <w:rsid w:val="006D177C"/>
    <w:rsid w:val="006D2013"/>
    <w:rsid w:val="006D2803"/>
    <w:rsid w:val="006D282F"/>
    <w:rsid w:val="006D3CAB"/>
    <w:rsid w:val="006D4328"/>
    <w:rsid w:val="006D4746"/>
    <w:rsid w:val="006D4D1C"/>
    <w:rsid w:val="006D77D7"/>
    <w:rsid w:val="006D78CB"/>
    <w:rsid w:val="006D7CAF"/>
    <w:rsid w:val="006E0F35"/>
    <w:rsid w:val="006E1E7E"/>
    <w:rsid w:val="006E2719"/>
    <w:rsid w:val="006E28CA"/>
    <w:rsid w:val="006E2A49"/>
    <w:rsid w:val="006E2CE9"/>
    <w:rsid w:val="006E4B88"/>
    <w:rsid w:val="006E52A3"/>
    <w:rsid w:val="006E6480"/>
    <w:rsid w:val="006E7B83"/>
    <w:rsid w:val="006F1E87"/>
    <w:rsid w:val="006F2A58"/>
    <w:rsid w:val="006F44DA"/>
    <w:rsid w:val="006F5E0B"/>
    <w:rsid w:val="006F6B4D"/>
    <w:rsid w:val="006F7728"/>
    <w:rsid w:val="006F7D3E"/>
    <w:rsid w:val="0070132A"/>
    <w:rsid w:val="0070182C"/>
    <w:rsid w:val="00702423"/>
    <w:rsid w:val="00702C6B"/>
    <w:rsid w:val="00702D46"/>
    <w:rsid w:val="00703189"/>
    <w:rsid w:val="00705362"/>
    <w:rsid w:val="007061C1"/>
    <w:rsid w:val="007067AE"/>
    <w:rsid w:val="00706D40"/>
    <w:rsid w:val="00711136"/>
    <w:rsid w:val="007125D6"/>
    <w:rsid w:val="0071306F"/>
    <w:rsid w:val="00714688"/>
    <w:rsid w:val="00714B63"/>
    <w:rsid w:val="00714F8C"/>
    <w:rsid w:val="0071509D"/>
    <w:rsid w:val="0071562F"/>
    <w:rsid w:val="00716314"/>
    <w:rsid w:val="00716D6A"/>
    <w:rsid w:val="00720377"/>
    <w:rsid w:val="00720668"/>
    <w:rsid w:val="007212B9"/>
    <w:rsid w:val="0072183B"/>
    <w:rsid w:val="0072413F"/>
    <w:rsid w:val="00724A94"/>
    <w:rsid w:val="00725235"/>
    <w:rsid w:val="00726225"/>
    <w:rsid w:val="00726BE5"/>
    <w:rsid w:val="00726D87"/>
    <w:rsid w:val="00727197"/>
    <w:rsid w:val="007300E1"/>
    <w:rsid w:val="0073485F"/>
    <w:rsid w:val="00737A31"/>
    <w:rsid w:val="00737B01"/>
    <w:rsid w:val="00740BD0"/>
    <w:rsid w:val="00740C0B"/>
    <w:rsid w:val="00741E4F"/>
    <w:rsid w:val="007426BD"/>
    <w:rsid w:val="007427A6"/>
    <w:rsid w:val="00742DC3"/>
    <w:rsid w:val="00742F91"/>
    <w:rsid w:val="00743203"/>
    <w:rsid w:val="0074457B"/>
    <w:rsid w:val="00744621"/>
    <w:rsid w:val="00746EF9"/>
    <w:rsid w:val="007471C4"/>
    <w:rsid w:val="00747D1A"/>
    <w:rsid w:val="00752AEE"/>
    <w:rsid w:val="0075351A"/>
    <w:rsid w:val="00754B15"/>
    <w:rsid w:val="00755C47"/>
    <w:rsid w:val="00756631"/>
    <w:rsid w:val="007566C3"/>
    <w:rsid w:val="00756954"/>
    <w:rsid w:val="007578DE"/>
    <w:rsid w:val="00757A8C"/>
    <w:rsid w:val="0076004D"/>
    <w:rsid w:val="00761DFC"/>
    <w:rsid w:val="00762AB9"/>
    <w:rsid w:val="007635C1"/>
    <w:rsid w:val="00764B3E"/>
    <w:rsid w:val="007650DC"/>
    <w:rsid w:val="00765AB5"/>
    <w:rsid w:val="00766637"/>
    <w:rsid w:val="00766E83"/>
    <w:rsid w:val="007674EA"/>
    <w:rsid w:val="0077029F"/>
    <w:rsid w:val="00770F55"/>
    <w:rsid w:val="00771C6E"/>
    <w:rsid w:val="00773D88"/>
    <w:rsid w:val="00775306"/>
    <w:rsid w:val="0077594F"/>
    <w:rsid w:val="00776829"/>
    <w:rsid w:val="00777136"/>
    <w:rsid w:val="0078010E"/>
    <w:rsid w:val="00781C51"/>
    <w:rsid w:val="00781F8D"/>
    <w:rsid w:val="0078325B"/>
    <w:rsid w:val="00783AE3"/>
    <w:rsid w:val="007842BD"/>
    <w:rsid w:val="00784A40"/>
    <w:rsid w:val="00784C97"/>
    <w:rsid w:val="007861A1"/>
    <w:rsid w:val="00786425"/>
    <w:rsid w:val="007869E5"/>
    <w:rsid w:val="0079019D"/>
    <w:rsid w:val="00791693"/>
    <w:rsid w:val="00791AC7"/>
    <w:rsid w:val="00793EC5"/>
    <w:rsid w:val="00795D27"/>
    <w:rsid w:val="00797C3E"/>
    <w:rsid w:val="00797F09"/>
    <w:rsid w:val="007A019A"/>
    <w:rsid w:val="007A2849"/>
    <w:rsid w:val="007A309A"/>
    <w:rsid w:val="007A3B34"/>
    <w:rsid w:val="007A3D50"/>
    <w:rsid w:val="007A4782"/>
    <w:rsid w:val="007A6076"/>
    <w:rsid w:val="007A6F33"/>
    <w:rsid w:val="007A76F6"/>
    <w:rsid w:val="007B0098"/>
    <w:rsid w:val="007B296F"/>
    <w:rsid w:val="007B329F"/>
    <w:rsid w:val="007B3733"/>
    <w:rsid w:val="007B4B24"/>
    <w:rsid w:val="007B65FC"/>
    <w:rsid w:val="007B660B"/>
    <w:rsid w:val="007B7540"/>
    <w:rsid w:val="007B7AB1"/>
    <w:rsid w:val="007B7B91"/>
    <w:rsid w:val="007B7EC5"/>
    <w:rsid w:val="007C09C0"/>
    <w:rsid w:val="007C1EC2"/>
    <w:rsid w:val="007C24CD"/>
    <w:rsid w:val="007C25CC"/>
    <w:rsid w:val="007C63E4"/>
    <w:rsid w:val="007D0DDA"/>
    <w:rsid w:val="007D0F40"/>
    <w:rsid w:val="007D326A"/>
    <w:rsid w:val="007D4BFE"/>
    <w:rsid w:val="007D5065"/>
    <w:rsid w:val="007D5C21"/>
    <w:rsid w:val="007E04DC"/>
    <w:rsid w:val="007E1008"/>
    <w:rsid w:val="007E3A34"/>
    <w:rsid w:val="007E608A"/>
    <w:rsid w:val="007E6D53"/>
    <w:rsid w:val="007E7729"/>
    <w:rsid w:val="007E7C38"/>
    <w:rsid w:val="007F18A4"/>
    <w:rsid w:val="007F281C"/>
    <w:rsid w:val="007F28D4"/>
    <w:rsid w:val="007F2E4B"/>
    <w:rsid w:val="007F53C6"/>
    <w:rsid w:val="007F6603"/>
    <w:rsid w:val="007F7E8F"/>
    <w:rsid w:val="00800D26"/>
    <w:rsid w:val="0080243B"/>
    <w:rsid w:val="00802EA9"/>
    <w:rsid w:val="00803C84"/>
    <w:rsid w:val="00805566"/>
    <w:rsid w:val="00807A2E"/>
    <w:rsid w:val="00807C54"/>
    <w:rsid w:val="00807DF2"/>
    <w:rsid w:val="00807EF2"/>
    <w:rsid w:val="00810470"/>
    <w:rsid w:val="008104E0"/>
    <w:rsid w:val="00810CE5"/>
    <w:rsid w:val="00813AB3"/>
    <w:rsid w:val="0081464D"/>
    <w:rsid w:val="008160AF"/>
    <w:rsid w:val="00816150"/>
    <w:rsid w:val="008173A5"/>
    <w:rsid w:val="00817673"/>
    <w:rsid w:val="00821370"/>
    <w:rsid w:val="00822E07"/>
    <w:rsid w:val="00823761"/>
    <w:rsid w:val="00824199"/>
    <w:rsid w:val="00825773"/>
    <w:rsid w:val="0082714C"/>
    <w:rsid w:val="00830604"/>
    <w:rsid w:val="00834BC5"/>
    <w:rsid w:val="00834C91"/>
    <w:rsid w:val="00837867"/>
    <w:rsid w:val="00840D6E"/>
    <w:rsid w:val="008421E7"/>
    <w:rsid w:val="00843B24"/>
    <w:rsid w:val="00844231"/>
    <w:rsid w:val="00845B8C"/>
    <w:rsid w:val="008462A3"/>
    <w:rsid w:val="0084764B"/>
    <w:rsid w:val="00851866"/>
    <w:rsid w:val="0085188A"/>
    <w:rsid w:val="008525FC"/>
    <w:rsid w:val="008533A4"/>
    <w:rsid w:val="00853B48"/>
    <w:rsid w:val="00854F0F"/>
    <w:rsid w:val="00855A10"/>
    <w:rsid w:val="00857869"/>
    <w:rsid w:val="00860415"/>
    <w:rsid w:val="008655FF"/>
    <w:rsid w:val="008679E7"/>
    <w:rsid w:val="00870CA6"/>
    <w:rsid w:val="00872286"/>
    <w:rsid w:val="00872F5C"/>
    <w:rsid w:val="00873577"/>
    <w:rsid w:val="008737F1"/>
    <w:rsid w:val="00873C73"/>
    <w:rsid w:val="00875035"/>
    <w:rsid w:val="00875387"/>
    <w:rsid w:val="008811E4"/>
    <w:rsid w:val="0088129D"/>
    <w:rsid w:val="00883988"/>
    <w:rsid w:val="00883A73"/>
    <w:rsid w:val="008841EE"/>
    <w:rsid w:val="00884536"/>
    <w:rsid w:val="00884BFE"/>
    <w:rsid w:val="00885A65"/>
    <w:rsid w:val="0088624A"/>
    <w:rsid w:val="00886886"/>
    <w:rsid w:val="008873EB"/>
    <w:rsid w:val="0088795B"/>
    <w:rsid w:val="00887F99"/>
    <w:rsid w:val="0089037E"/>
    <w:rsid w:val="008914CC"/>
    <w:rsid w:val="008914F3"/>
    <w:rsid w:val="0089219B"/>
    <w:rsid w:val="0089384F"/>
    <w:rsid w:val="00896197"/>
    <w:rsid w:val="00896CF0"/>
    <w:rsid w:val="008973E9"/>
    <w:rsid w:val="00897E3F"/>
    <w:rsid w:val="008A13C7"/>
    <w:rsid w:val="008A14FD"/>
    <w:rsid w:val="008A24AB"/>
    <w:rsid w:val="008A27D9"/>
    <w:rsid w:val="008A3874"/>
    <w:rsid w:val="008A4CE9"/>
    <w:rsid w:val="008A5CB8"/>
    <w:rsid w:val="008A64AF"/>
    <w:rsid w:val="008A6833"/>
    <w:rsid w:val="008A763F"/>
    <w:rsid w:val="008A7749"/>
    <w:rsid w:val="008B02E0"/>
    <w:rsid w:val="008B18D5"/>
    <w:rsid w:val="008B4467"/>
    <w:rsid w:val="008B5B06"/>
    <w:rsid w:val="008B5B4F"/>
    <w:rsid w:val="008B6CD8"/>
    <w:rsid w:val="008C00B5"/>
    <w:rsid w:val="008C11F3"/>
    <w:rsid w:val="008C30DA"/>
    <w:rsid w:val="008C3257"/>
    <w:rsid w:val="008C506D"/>
    <w:rsid w:val="008C5528"/>
    <w:rsid w:val="008C649D"/>
    <w:rsid w:val="008C7C14"/>
    <w:rsid w:val="008D0772"/>
    <w:rsid w:val="008D1683"/>
    <w:rsid w:val="008D33F1"/>
    <w:rsid w:val="008D5233"/>
    <w:rsid w:val="008D79BD"/>
    <w:rsid w:val="008E037D"/>
    <w:rsid w:val="008E1481"/>
    <w:rsid w:val="008E1FD0"/>
    <w:rsid w:val="008E2560"/>
    <w:rsid w:val="008E4FFD"/>
    <w:rsid w:val="008E5884"/>
    <w:rsid w:val="008E7BBA"/>
    <w:rsid w:val="008F03C0"/>
    <w:rsid w:val="008F30D5"/>
    <w:rsid w:val="008F643C"/>
    <w:rsid w:val="0090048D"/>
    <w:rsid w:val="00900D95"/>
    <w:rsid w:val="00902126"/>
    <w:rsid w:val="0090288F"/>
    <w:rsid w:val="009028BA"/>
    <w:rsid w:val="009035A4"/>
    <w:rsid w:val="00904F83"/>
    <w:rsid w:val="00905A9E"/>
    <w:rsid w:val="00907015"/>
    <w:rsid w:val="009123EF"/>
    <w:rsid w:val="00913167"/>
    <w:rsid w:val="00914285"/>
    <w:rsid w:val="009156DC"/>
    <w:rsid w:val="0091764E"/>
    <w:rsid w:val="009212B1"/>
    <w:rsid w:val="00921F3D"/>
    <w:rsid w:val="00922390"/>
    <w:rsid w:val="00923466"/>
    <w:rsid w:val="00923898"/>
    <w:rsid w:val="00924DD0"/>
    <w:rsid w:val="009258B7"/>
    <w:rsid w:val="00926722"/>
    <w:rsid w:val="0093026E"/>
    <w:rsid w:val="00930CDB"/>
    <w:rsid w:val="00930DC4"/>
    <w:rsid w:val="00931562"/>
    <w:rsid w:val="009319ED"/>
    <w:rsid w:val="0093231F"/>
    <w:rsid w:val="009331D3"/>
    <w:rsid w:val="009339C1"/>
    <w:rsid w:val="00934039"/>
    <w:rsid w:val="009358A0"/>
    <w:rsid w:val="00935BCA"/>
    <w:rsid w:val="00941152"/>
    <w:rsid w:val="00942D39"/>
    <w:rsid w:val="009443D9"/>
    <w:rsid w:val="00945644"/>
    <w:rsid w:val="009456D2"/>
    <w:rsid w:val="00946EEE"/>
    <w:rsid w:val="00947352"/>
    <w:rsid w:val="00947B52"/>
    <w:rsid w:val="009508E4"/>
    <w:rsid w:val="009509F2"/>
    <w:rsid w:val="00950E79"/>
    <w:rsid w:val="00951F51"/>
    <w:rsid w:val="00952658"/>
    <w:rsid w:val="00952E07"/>
    <w:rsid w:val="00953EE5"/>
    <w:rsid w:val="009546A9"/>
    <w:rsid w:val="0095487F"/>
    <w:rsid w:val="00955692"/>
    <w:rsid w:val="0095585C"/>
    <w:rsid w:val="00957A1C"/>
    <w:rsid w:val="00962448"/>
    <w:rsid w:val="00964124"/>
    <w:rsid w:val="0096484D"/>
    <w:rsid w:val="009657CA"/>
    <w:rsid w:val="00965F57"/>
    <w:rsid w:val="00971705"/>
    <w:rsid w:val="00971FD7"/>
    <w:rsid w:val="009724CA"/>
    <w:rsid w:val="00972FCC"/>
    <w:rsid w:val="00973064"/>
    <w:rsid w:val="00973989"/>
    <w:rsid w:val="00974559"/>
    <w:rsid w:val="009752BA"/>
    <w:rsid w:val="00975EC8"/>
    <w:rsid w:val="00975F79"/>
    <w:rsid w:val="0097613D"/>
    <w:rsid w:val="009805C7"/>
    <w:rsid w:val="009808A1"/>
    <w:rsid w:val="00981333"/>
    <w:rsid w:val="0098174F"/>
    <w:rsid w:val="00982B73"/>
    <w:rsid w:val="00983400"/>
    <w:rsid w:val="00983F73"/>
    <w:rsid w:val="009841C2"/>
    <w:rsid w:val="00984D70"/>
    <w:rsid w:val="00985D09"/>
    <w:rsid w:val="009862D9"/>
    <w:rsid w:val="00990443"/>
    <w:rsid w:val="00992AF5"/>
    <w:rsid w:val="00993217"/>
    <w:rsid w:val="0099383A"/>
    <w:rsid w:val="00993994"/>
    <w:rsid w:val="009940CE"/>
    <w:rsid w:val="0099552F"/>
    <w:rsid w:val="0099555A"/>
    <w:rsid w:val="00995B8E"/>
    <w:rsid w:val="00996121"/>
    <w:rsid w:val="009972BD"/>
    <w:rsid w:val="009A0890"/>
    <w:rsid w:val="009A0B45"/>
    <w:rsid w:val="009A0EC2"/>
    <w:rsid w:val="009A3425"/>
    <w:rsid w:val="009A524F"/>
    <w:rsid w:val="009A52A4"/>
    <w:rsid w:val="009A584D"/>
    <w:rsid w:val="009A65DD"/>
    <w:rsid w:val="009B3426"/>
    <w:rsid w:val="009B4396"/>
    <w:rsid w:val="009B494F"/>
    <w:rsid w:val="009B4F8B"/>
    <w:rsid w:val="009B6758"/>
    <w:rsid w:val="009B6C53"/>
    <w:rsid w:val="009B7AC9"/>
    <w:rsid w:val="009C1C60"/>
    <w:rsid w:val="009C2487"/>
    <w:rsid w:val="009C26D7"/>
    <w:rsid w:val="009C368A"/>
    <w:rsid w:val="009C45B0"/>
    <w:rsid w:val="009C5D3E"/>
    <w:rsid w:val="009C67F5"/>
    <w:rsid w:val="009C791E"/>
    <w:rsid w:val="009D1677"/>
    <w:rsid w:val="009D3C7A"/>
    <w:rsid w:val="009D787F"/>
    <w:rsid w:val="009D7F07"/>
    <w:rsid w:val="009E0B7F"/>
    <w:rsid w:val="009E0ECE"/>
    <w:rsid w:val="009E41D8"/>
    <w:rsid w:val="009E5C64"/>
    <w:rsid w:val="009E66FD"/>
    <w:rsid w:val="009E6D64"/>
    <w:rsid w:val="009E6DAF"/>
    <w:rsid w:val="009E7B59"/>
    <w:rsid w:val="009F1C1A"/>
    <w:rsid w:val="009F3CAC"/>
    <w:rsid w:val="009F4950"/>
    <w:rsid w:val="009F4F44"/>
    <w:rsid w:val="009F638F"/>
    <w:rsid w:val="009F689A"/>
    <w:rsid w:val="009F7218"/>
    <w:rsid w:val="009F7950"/>
    <w:rsid w:val="00A00B33"/>
    <w:rsid w:val="00A0185B"/>
    <w:rsid w:val="00A0398D"/>
    <w:rsid w:val="00A0481B"/>
    <w:rsid w:val="00A04E5A"/>
    <w:rsid w:val="00A05F0B"/>
    <w:rsid w:val="00A06AE2"/>
    <w:rsid w:val="00A0723D"/>
    <w:rsid w:val="00A072C9"/>
    <w:rsid w:val="00A10996"/>
    <w:rsid w:val="00A1265D"/>
    <w:rsid w:val="00A13AFC"/>
    <w:rsid w:val="00A13F2C"/>
    <w:rsid w:val="00A13F4A"/>
    <w:rsid w:val="00A14146"/>
    <w:rsid w:val="00A1480B"/>
    <w:rsid w:val="00A14CE9"/>
    <w:rsid w:val="00A15B20"/>
    <w:rsid w:val="00A15D3E"/>
    <w:rsid w:val="00A15EA8"/>
    <w:rsid w:val="00A167B6"/>
    <w:rsid w:val="00A16AF1"/>
    <w:rsid w:val="00A17155"/>
    <w:rsid w:val="00A177F6"/>
    <w:rsid w:val="00A21668"/>
    <w:rsid w:val="00A2309B"/>
    <w:rsid w:val="00A242B7"/>
    <w:rsid w:val="00A24DDD"/>
    <w:rsid w:val="00A24F49"/>
    <w:rsid w:val="00A262BC"/>
    <w:rsid w:val="00A2644C"/>
    <w:rsid w:val="00A26F7A"/>
    <w:rsid w:val="00A27695"/>
    <w:rsid w:val="00A30634"/>
    <w:rsid w:val="00A30C6C"/>
    <w:rsid w:val="00A3453F"/>
    <w:rsid w:val="00A359FB"/>
    <w:rsid w:val="00A35B97"/>
    <w:rsid w:val="00A406FC"/>
    <w:rsid w:val="00A415AD"/>
    <w:rsid w:val="00A41A16"/>
    <w:rsid w:val="00A4209C"/>
    <w:rsid w:val="00A42848"/>
    <w:rsid w:val="00A42A8F"/>
    <w:rsid w:val="00A430E9"/>
    <w:rsid w:val="00A46B00"/>
    <w:rsid w:val="00A47460"/>
    <w:rsid w:val="00A50551"/>
    <w:rsid w:val="00A50554"/>
    <w:rsid w:val="00A5145F"/>
    <w:rsid w:val="00A51DF4"/>
    <w:rsid w:val="00A5200F"/>
    <w:rsid w:val="00A55A68"/>
    <w:rsid w:val="00A5641B"/>
    <w:rsid w:val="00A61328"/>
    <w:rsid w:val="00A61950"/>
    <w:rsid w:val="00A62016"/>
    <w:rsid w:val="00A63723"/>
    <w:rsid w:val="00A645AB"/>
    <w:rsid w:val="00A64CBF"/>
    <w:rsid w:val="00A655F6"/>
    <w:rsid w:val="00A66B2F"/>
    <w:rsid w:val="00A66E61"/>
    <w:rsid w:val="00A67171"/>
    <w:rsid w:val="00A67DB2"/>
    <w:rsid w:val="00A70252"/>
    <w:rsid w:val="00A71FD1"/>
    <w:rsid w:val="00A72918"/>
    <w:rsid w:val="00A730C5"/>
    <w:rsid w:val="00A73F12"/>
    <w:rsid w:val="00A74621"/>
    <w:rsid w:val="00A752A9"/>
    <w:rsid w:val="00A80201"/>
    <w:rsid w:val="00A80753"/>
    <w:rsid w:val="00A80B56"/>
    <w:rsid w:val="00A8574A"/>
    <w:rsid w:val="00A87F6C"/>
    <w:rsid w:val="00A90BD4"/>
    <w:rsid w:val="00A90EBB"/>
    <w:rsid w:val="00A92038"/>
    <w:rsid w:val="00A92EA0"/>
    <w:rsid w:val="00A92FE0"/>
    <w:rsid w:val="00A94CF5"/>
    <w:rsid w:val="00A94DB9"/>
    <w:rsid w:val="00A9542F"/>
    <w:rsid w:val="00A970F3"/>
    <w:rsid w:val="00A971A2"/>
    <w:rsid w:val="00A97E54"/>
    <w:rsid w:val="00AA0460"/>
    <w:rsid w:val="00AA0EE6"/>
    <w:rsid w:val="00AA1E79"/>
    <w:rsid w:val="00AA2302"/>
    <w:rsid w:val="00AA2D77"/>
    <w:rsid w:val="00AA37FB"/>
    <w:rsid w:val="00AA3811"/>
    <w:rsid w:val="00AA3C18"/>
    <w:rsid w:val="00AA4667"/>
    <w:rsid w:val="00AA6DAB"/>
    <w:rsid w:val="00AA6DB6"/>
    <w:rsid w:val="00AA7275"/>
    <w:rsid w:val="00AA74C1"/>
    <w:rsid w:val="00AB0DB1"/>
    <w:rsid w:val="00AB17E6"/>
    <w:rsid w:val="00AB1B74"/>
    <w:rsid w:val="00AB1F54"/>
    <w:rsid w:val="00AC070E"/>
    <w:rsid w:val="00AC0845"/>
    <w:rsid w:val="00AC1297"/>
    <w:rsid w:val="00AC1887"/>
    <w:rsid w:val="00AC259A"/>
    <w:rsid w:val="00AC4D45"/>
    <w:rsid w:val="00AC634F"/>
    <w:rsid w:val="00AC6ACE"/>
    <w:rsid w:val="00AC6DE3"/>
    <w:rsid w:val="00AC6EF9"/>
    <w:rsid w:val="00AC7A63"/>
    <w:rsid w:val="00AD0950"/>
    <w:rsid w:val="00AD099A"/>
    <w:rsid w:val="00AD13A2"/>
    <w:rsid w:val="00AD1747"/>
    <w:rsid w:val="00AD22E3"/>
    <w:rsid w:val="00AD2CA9"/>
    <w:rsid w:val="00AD2E87"/>
    <w:rsid w:val="00AD3D47"/>
    <w:rsid w:val="00AD48C1"/>
    <w:rsid w:val="00AD4A4F"/>
    <w:rsid w:val="00AD4BF5"/>
    <w:rsid w:val="00AD6720"/>
    <w:rsid w:val="00AD76AF"/>
    <w:rsid w:val="00AD7AB0"/>
    <w:rsid w:val="00AE0EFB"/>
    <w:rsid w:val="00AE1BEE"/>
    <w:rsid w:val="00AE4C3A"/>
    <w:rsid w:val="00AE510C"/>
    <w:rsid w:val="00AE6806"/>
    <w:rsid w:val="00AE7073"/>
    <w:rsid w:val="00AE7C41"/>
    <w:rsid w:val="00AE7CA8"/>
    <w:rsid w:val="00AF2411"/>
    <w:rsid w:val="00AF24EB"/>
    <w:rsid w:val="00AF2F7C"/>
    <w:rsid w:val="00AF354E"/>
    <w:rsid w:val="00AF3C5C"/>
    <w:rsid w:val="00AF4E1D"/>
    <w:rsid w:val="00AF4F4E"/>
    <w:rsid w:val="00AF5479"/>
    <w:rsid w:val="00AF5E38"/>
    <w:rsid w:val="00AF608C"/>
    <w:rsid w:val="00B00424"/>
    <w:rsid w:val="00B01EE6"/>
    <w:rsid w:val="00B0215D"/>
    <w:rsid w:val="00B03906"/>
    <w:rsid w:val="00B03B50"/>
    <w:rsid w:val="00B0439F"/>
    <w:rsid w:val="00B04649"/>
    <w:rsid w:val="00B048CD"/>
    <w:rsid w:val="00B04F94"/>
    <w:rsid w:val="00B04FCC"/>
    <w:rsid w:val="00B076ED"/>
    <w:rsid w:val="00B1164C"/>
    <w:rsid w:val="00B11B59"/>
    <w:rsid w:val="00B144AF"/>
    <w:rsid w:val="00B17727"/>
    <w:rsid w:val="00B21DE5"/>
    <w:rsid w:val="00B23EE0"/>
    <w:rsid w:val="00B26A57"/>
    <w:rsid w:val="00B27677"/>
    <w:rsid w:val="00B310BB"/>
    <w:rsid w:val="00B31AB3"/>
    <w:rsid w:val="00B31C59"/>
    <w:rsid w:val="00B333AC"/>
    <w:rsid w:val="00B35BB9"/>
    <w:rsid w:val="00B366D5"/>
    <w:rsid w:val="00B36C75"/>
    <w:rsid w:val="00B40707"/>
    <w:rsid w:val="00B40F0A"/>
    <w:rsid w:val="00B41454"/>
    <w:rsid w:val="00B4193C"/>
    <w:rsid w:val="00B41C58"/>
    <w:rsid w:val="00B41FED"/>
    <w:rsid w:val="00B42BAA"/>
    <w:rsid w:val="00B42F21"/>
    <w:rsid w:val="00B43D1F"/>
    <w:rsid w:val="00B50526"/>
    <w:rsid w:val="00B50CE0"/>
    <w:rsid w:val="00B52492"/>
    <w:rsid w:val="00B53A62"/>
    <w:rsid w:val="00B53FF0"/>
    <w:rsid w:val="00B55008"/>
    <w:rsid w:val="00B55AD5"/>
    <w:rsid w:val="00B57552"/>
    <w:rsid w:val="00B63B28"/>
    <w:rsid w:val="00B641B4"/>
    <w:rsid w:val="00B64863"/>
    <w:rsid w:val="00B666AB"/>
    <w:rsid w:val="00B66706"/>
    <w:rsid w:val="00B70E27"/>
    <w:rsid w:val="00B70F6B"/>
    <w:rsid w:val="00B723C8"/>
    <w:rsid w:val="00B74A9B"/>
    <w:rsid w:val="00B74D81"/>
    <w:rsid w:val="00B75419"/>
    <w:rsid w:val="00B75709"/>
    <w:rsid w:val="00B75AE3"/>
    <w:rsid w:val="00B7608C"/>
    <w:rsid w:val="00B76D03"/>
    <w:rsid w:val="00B77A1F"/>
    <w:rsid w:val="00B77B3A"/>
    <w:rsid w:val="00B80E5C"/>
    <w:rsid w:val="00B83D4D"/>
    <w:rsid w:val="00B84ECB"/>
    <w:rsid w:val="00B8667F"/>
    <w:rsid w:val="00B86BD9"/>
    <w:rsid w:val="00B8777F"/>
    <w:rsid w:val="00B907A9"/>
    <w:rsid w:val="00B90E72"/>
    <w:rsid w:val="00B912B9"/>
    <w:rsid w:val="00B92687"/>
    <w:rsid w:val="00B92A70"/>
    <w:rsid w:val="00B93587"/>
    <w:rsid w:val="00B941A7"/>
    <w:rsid w:val="00B967BD"/>
    <w:rsid w:val="00B96B7F"/>
    <w:rsid w:val="00B97A09"/>
    <w:rsid w:val="00BA0596"/>
    <w:rsid w:val="00BA098B"/>
    <w:rsid w:val="00BA2EF7"/>
    <w:rsid w:val="00BA3D07"/>
    <w:rsid w:val="00BA4934"/>
    <w:rsid w:val="00BA6373"/>
    <w:rsid w:val="00BA6D28"/>
    <w:rsid w:val="00BA7213"/>
    <w:rsid w:val="00BB00C8"/>
    <w:rsid w:val="00BB044E"/>
    <w:rsid w:val="00BB09DA"/>
    <w:rsid w:val="00BB1FCA"/>
    <w:rsid w:val="00BB3031"/>
    <w:rsid w:val="00BB309A"/>
    <w:rsid w:val="00BB350A"/>
    <w:rsid w:val="00BB4257"/>
    <w:rsid w:val="00BB58A1"/>
    <w:rsid w:val="00BB789C"/>
    <w:rsid w:val="00BB7FF2"/>
    <w:rsid w:val="00BC06D7"/>
    <w:rsid w:val="00BC1F4A"/>
    <w:rsid w:val="00BC40C5"/>
    <w:rsid w:val="00BC4471"/>
    <w:rsid w:val="00BC6287"/>
    <w:rsid w:val="00BC69BF"/>
    <w:rsid w:val="00BC7B3F"/>
    <w:rsid w:val="00BD2EA6"/>
    <w:rsid w:val="00BD356D"/>
    <w:rsid w:val="00BD4BB0"/>
    <w:rsid w:val="00BD4F9D"/>
    <w:rsid w:val="00BD5616"/>
    <w:rsid w:val="00BD57EF"/>
    <w:rsid w:val="00BD5E71"/>
    <w:rsid w:val="00BD6B5C"/>
    <w:rsid w:val="00BD780F"/>
    <w:rsid w:val="00BE1B85"/>
    <w:rsid w:val="00BE2108"/>
    <w:rsid w:val="00BE2E8D"/>
    <w:rsid w:val="00BE351A"/>
    <w:rsid w:val="00BE431F"/>
    <w:rsid w:val="00BE4AA6"/>
    <w:rsid w:val="00BE5433"/>
    <w:rsid w:val="00BE64D5"/>
    <w:rsid w:val="00BE6A61"/>
    <w:rsid w:val="00BE7B9A"/>
    <w:rsid w:val="00BF05D1"/>
    <w:rsid w:val="00BF5EB3"/>
    <w:rsid w:val="00BF6E43"/>
    <w:rsid w:val="00BF744A"/>
    <w:rsid w:val="00BF7A91"/>
    <w:rsid w:val="00BF7BD7"/>
    <w:rsid w:val="00C0007F"/>
    <w:rsid w:val="00C00977"/>
    <w:rsid w:val="00C00AE2"/>
    <w:rsid w:val="00C0148B"/>
    <w:rsid w:val="00C01D0B"/>
    <w:rsid w:val="00C04195"/>
    <w:rsid w:val="00C05B43"/>
    <w:rsid w:val="00C0627C"/>
    <w:rsid w:val="00C06356"/>
    <w:rsid w:val="00C07FDB"/>
    <w:rsid w:val="00C129C2"/>
    <w:rsid w:val="00C14530"/>
    <w:rsid w:val="00C15FBF"/>
    <w:rsid w:val="00C17217"/>
    <w:rsid w:val="00C200BF"/>
    <w:rsid w:val="00C2046D"/>
    <w:rsid w:val="00C208D9"/>
    <w:rsid w:val="00C20924"/>
    <w:rsid w:val="00C2168D"/>
    <w:rsid w:val="00C232EE"/>
    <w:rsid w:val="00C23932"/>
    <w:rsid w:val="00C23CC6"/>
    <w:rsid w:val="00C24038"/>
    <w:rsid w:val="00C241DA"/>
    <w:rsid w:val="00C2441E"/>
    <w:rsid w:val="00C26283"/>
    <w:rsid w:val="00C268A1"/>
    <w:rsid w:val="00C26A58"/>
    <w:rsid w:val="00C27E96"/>
    <w:rsid w:val="00C306C3"/>
    <w:rsid w:val="00C308FC"/>
    <w:rsid w:val="00C32FE8"/>
    <w:rsid w:val="00C3413E"/>
    <w:rsid w:val="00C34BF4"/>
    <w:rsid w:val="00C36E06"/>
    <w:rsid w:val="00C37BCC"/>
    <w:rsid w:val="00C37EFE"/>
    <w:rsid w:val="00C414D9"/>
    <w:rsid w:val="00C41809"/>
    <w:rsid w:val="00C41C1A"/>
    <w:rsid w:val="00C428F1"/>
    <w:rsid w:val="00C435CB"/>
    <w:rsid w:val="00C4395D"/>
    <w:rsid w:val="00C43B20"/>
    <w:rsid w:val="00C43E8A"/>
    <w:rsid w:val="00C442E5"/>
    <w:rsid w:val="00C44764"/>
    <w:rsid w:val="00C473C2"/>
    <w:rsid w:val="00C473FB"/>
    <w:rsid w:val="00C51DBF"/>
    <w:rsid w:val="00C53883"/>
    <w:rsid w:val="00C55587"/>
    <w:rsid w:val="00C57FE7"/>
    <w:rsid w:val="00C60758"/>
    <w:rsid w:val="00C625D6"/>
    <w:rsid w:val="00C63368"/>
    <w:rsid w:val="00C63FB6"/>
    <w:rsid w:val="00C6508D"/>
    <w:rsid w:val="00C66423"/>
    <w:rsid w:val="00C66B5B"/>
    <w:rsid w:val="00C70154"/>
    <w:rsid w:val="00C71513"/>
    <w:rsid w:val="00C75D8F"/>
    <w:rsid w:val="00C76E9D"/>
    <w:rsid w:val="00C77180"/>
    <w:rsid w:val="00C77351"/>
    <w:rsid w:val="00C77B88"/>
    <w:rsid w:val="00C80BF1"/>
    <w:rsid w:val="00C82EDD"/>
    <w:rsid w:val="00C8346A"/>
    <w:rsid w:val="00C850F9"/>
    <w:rsid w:val="00C86099"/>
    <w:rsid w:val="00C8621D"/>
    <w:rsid w:val="00C868E5"/>
    <w:rsid w:val="00C87284"/>
    <w:rsid w:val="00C8764B"/>
    <w:rsid w:val="00C87FDC"/>
    <w:rsid w:val="00C905E0"/>
    <w:rsid w:val="00C921EE"/>
    <w:rsid w:val="00C92673"/>
    <w:rsid w:val="00C926BE"/>
    <w:rsid w:val="00C92F22"/>
    <w:rsid w:val="00C93A0D"/>
    <w:rsid w:val="00C947F4"/>
    <w:rsid w:val="00C953D9"/>
    <w:rsid w:val="00C95A55"/>
    <w:rsid w:val="00C95C82"/>
    <w:rsid w:val="00C95E65"/>
    <w:rsid w:val="00C961C2"/>
    <w:rsid w:val="00C97CFF"/>
    <w:rsid w:val="00CA19EE"/>
    <w:rsid w:val="00CA3864"/>
    <w:rsid w:val="00CA4762"/>
    <w:rsid w:val="00CA78E4"/>
    <w:rsid w:val="00CA7DF7"/>
    <w:rsid w:val="00CB109E"/>
    <w:rsid w:val="00CB1CF7"/>
    <w:rsid w:val="00CB3D87"/>
    <w:rsid w:val="00CB47F5"/>
    <w:rsid w:val="00CB4B07"/>
    <w:rsid w:val="00CB59B5"/>
    <w:rsid w:val="00CB5E1E"/>
    <w:rsid w:val="00CB6A62"/>
    <w:rsid w:val="00CC1E9C"/>
    <w:rsid w:val="00CC1F5F"/>
    <w:rsid w:val="00CC3D82"/>
    <w:rsid w:val="00CC4D7B"/>
    <w:rsid w:val="00CC6F32"/>
    <w:rsid w:val="00CC7642"/>
    <w:rsid w:val="00CD3087"/>
    <w:rsid w:val="00CD3577"/>
    <w:rsid w:val="00CD4138"/>
    <w:rsid w:val="00CD4BF6"/>
    <w:rsid w:val="00CD5880"/>
    <w:rsid w:val="00CD5E64"/>
    <w:rsid w:val="00CD5E76"/>
    <w:rsid w:val="00CD6045"/>
    <w:rsid w:val="00CD7722"/>
    <w:rsid w:val="00CD781F"/>
    <w:rsid w:val="00CE0601"/>
    <w:rsid w:val="00CE0943"/>
    <w:rsid w:val="00CE0BFB"/>
    <w:rsid w:val="00CE1B06"/>
    <w:rsid w:val="00CE2059"/>
    <w:rsid w:val="00CE5DFE"/>
    <w:rsid w:val="00CE6859"/>
    <w:rsid w:val="00CE6A3A"/>
    <w:rsid w:val="00CE6A7F"/>
    <w:rsid w:val="00CF2184"/>
    <w:rsid w:val="00CF282F"/>
    <w:rsid w:val="00CF3492"/>
    <w:rsid w:val="00CF3551"/>
    <w:rsid w:val="00CF35A6"/>
    <w:rsid w:val="00CF501E"/>
    <w:rsid w:val="00CF589C"/>
    <w:rsid w:val="00CF5E9D"/>
    <w:rsid w:val="00CF6F78"/>
    <w:rsid w:val="00CF7BC8"/>
    <w:rsid w:val="00CF7E95"/>
    <w:rsid w:val="00D02FEA"/>
    <w:rsid w:val="00D03E14"/>
    <w:rsid w:val="00D0425F"/>
    <w:rsid w:val="00D048B1"/>
    <w:rsid w:val="00D061BE"/>
    <w:rsid w:val="00D064E6"/>
    <w:rsid w:val="00D0674D"/>
    <w:rsid w:val="00D067BB"/>
    <w:rsid w:val="00D10204"/>
    <w:rsid w:val="00D10ACC"/>
    <w:rsid w:val="00D12065"/>
    <w:rsid w:val="00D12348"/>
    <w:rsid w:val="00D13584"/>
    <w:rsid w:val="00D14972"/>
    <w:rsid w:val="00D14F98"/>
    <w:rsid w:val="00D16582"/>
    <w:rsid w:val="00D2037A"/>
    <w:rsid w:val="00D21636"/>
    <w:rsid w:val="00D233E8"/>
    <w:rsid w:val="00D24430"/>
    <w:rsid w:val="00D246B7"/>
    <w:rsid w:val="00D251F9"/>
    <w:rsid w:val="00D25EEA"/>
    <w:rsid w:val="00D26992"/>
    <w:rsid w:val="00D27C6A"/>
    <w:rsid w:val="00D27E00"/>
    <w:rsid w:val="00D30348"/>
    <w:rsid w:val="00D3056B"/>
    <w:rsid w:val="00D3095C"/>
    <w:rsid w:val="00D30E21"/>
    <w:rsid w:val="00D317D4"/>
    <w:rsid w:val="00D3433A"/>
    <w:rsid w:val="00D35024"/>
    <w:rsid w:val="00D3624F"/>
    <w:rsid w:val="00D37056"/>
    <w:rsid w:val="00D37BB0"/>
    <w:rsid w:val="00D40550"/>
    <w:rsid w:val="00D40AF7"/>
    <w:rsid w:val="00D410CD"/>
    <w:rsid w:val="00D414B9"/>
    <w:rsid w:val="00D433AF"/>
    <w:rsid w:val="00D4391E"/>
    <w:rsid w:val="00D44C0B"/>
    <w:rsid w:val="00D45023"/>
    <w:rsid w:val="00D454A9"/>
    <w:rsid w:val="00D45631"/>
    <w:rsid w:val="00D46BC4"/>
    <w:rsid w:val="00D524BC"/>
    <w:rsid w:val="00D53B5C"/>
    <w:rsid w:val="00D54CE4"/>
    <w:rsid w:val="00D55450"/>
    <w:rsid w:val="00D55F5E"/>
    <w:rsid w:val="00D56FCA"/>
    <w:rsid w:val="00D57031"/>
    <w:rsid w:val="00D57B3D"/>
    <w:rsid w:val="00D601C5"/>
    <w:rsid w:val="00D60A34"/>
    <w:rsid w:val="00D60FD6"/>
    <w:rsid w:val="00D629DA"/>
    <w:rsid w:val="00D63FA5"/>
    <w:rsid w:val="00D64096"/>
    <w:rsid w:val="00D679D9"/>
    <w:rsid w:val="00D708F1"/>
    <w:rsid w:val="00D71736"/>
    <w:rsid w:val="00D73DF4"/>
    <w:rsid w:val="00D74AFA"/>
    <w:rsid w:val="00D74C34"/>
    <w:rsid w:val="00D74E65"/>
    <w:rsid w:val="00D76471"/>
    <w:rsid w:val="00D77027"/>
    <w:rsid w:val="00D77182"/>
    <w:rsid w:val="00D80153"/>
    <w:rsid w:val="00D803E3"/>
    <w:rsid w:val="00D80540"/>
    <w:rsid w:val="00D80793"/>
    <w:rsid w:val="00D812B4"/>
    <w:rsid w:val="00D82D40"/>
    <w:rsid w:val="00D8454D"/>
    <w:rsid w:val="00D85035"/>
    <w:rsid w:val="00D86DD5"/>
    <w:rsid w:val="00D907AF"/>
    <w:rsid w:val="00D91870"/>
    <w:rsid w:val="00D91B1E"/>
    <w:rsid w:val="00D925A0"/>
    <w:rsid w:val="00D92930"/>
    <w:rsid w:val="00D93DEE"/>
    <w:rsid w:val="00D94801"/>
    <w:rsid w:val="00D952AE"/>
    <w:rsid w:val="00D95320"/>
    <w:rsid w:val="00DA1DF9"/>
    <w:rsid w:val="00DA2FC5"/>
    <w:rsid w:val="00DA3768"/>
    <w:rsid w:val="00DA4A21"/>
    <w:rsid w:val="00DA5AB9"/>
    <w:rsid w:val="00DA6183"/>
    <w:rsid w:val="00DA6F30"/>
    <w:rsid w:val="00DA7BC5"/>
    <w:rsid w:val="00DA7DA5"/>
    <w:rsid w:val="00DB00EE"/>
    <w:rsid w:val="00DB10D4"/>
    <w:rsid w:val="00DB2CD7"/>
    <w:rsid w:val="00DB3691"/>
    <w:rsid w:val="00DB4DD4"/>
    <w:rsid w:val="00DB5938"/>
    <w:rsid w:val="00DB6C89"/>
    <w:rsid w:val="00DB74CD"/>
    <w:rsid w:val="00DB76BA"/>
    <w:rsid w:val="00DB78BA"/>
    <w:rsid w:val="00DC0E55"/>
    <w:rsid w:val="00DC1045"/>
    <w:rsid w:val="00DC33D5"/>
    <w:rsid w:val="00DC3B1C"/>
    <w:rsid w:val="00DC52C8"/>
    <w:rsid w:val="00DC601E"/>
    <w:rsid w:val="00DC657F"/>
    <w:rsid w:val="00DD0DC7"/>
    <w:rsid w:val="00DD2370"/>
    <w:rsid w:val="00DD3BD5"/>
    <w:rsid w:val="00DD4043"/>
    <w:rsid w:val="00DD4946"/>
    <w:rsid w:val="00DD49FE"/>
    <w:rsid w:val="00DD6DA0"/>
    <w:rsid w:val="00DD7DB4"/>
    <w:rsid w:val="00DE1CE9"/>
    <w:rsid w:val="00DE2059"/>
    <w:rsid w:val="00DE25EA"/>
    <w:rsid w:val="00DE4786"/>
    <w:rsid w:val="00DE5BE6"/>
    <w:rsid w:val="00DF06CC"/>
    <w:rsid w:val="00DF0B10"/>
    <w:rsid w:val="00DF1C4C"/>
    <w:rsid w:val="00DF407A"/>
    <w:rsid w:val="00DF48DC"/>
    <w:rsid w:val="00DF5EF5"/>
    <w:rsid w:val="00DF6262"/>
    <w:rsid w:val="00DF6B93"/>
    <w:rsid w:val="00DF7907"/>
    <w:rsid w:val="00E00CC0"/>
    <w:rsid w:val="00E00ECD"/>
    <w:rsid w:val="00E01179"/>
    <w:rsid w:val="00E04482"/>
    <w:rsid w:val="00E056E0"/>
    <w:rsid w:val="00E064FB"/>
    <w:rsid w:val="00E07317"/>
    <w:rsid w:val="00E11E4A"/>
    <w:rsid w:val="00E12D15"/>
    <w:rsid w:val="00E13654"/>
    <w:rsid w:val="00E136D8"/>
    <w:rsid w:val="00E145B4"/>
    <w:rsid w:val="00E15213"/>
    <w:rsid w:val="00E1559A"/>
    <w:rsid w:val="00E204CD"/>
    <w:rsid w:val="00E20A19"/>
    <w:rsid w:val="00E24007"/>
    <w:rsid w:val="00E279F1"/>
    <w:rsid w:val="00E333F0"/>
    <w:rsid w:val="00E33AF3"/>
    <w:rsid w:val="00E36E69"/>
    <w:rsid w:val="00E37756"/>
    <w:rsid w:val="00E37E4B"/>
    <w:rsid w:val="00E37F75"/>
    <w:rsid w:val="00E40DA9"/>
    <w:rsid w:val="00E4221A"/>
    <w:rsid w:val="00E4243F"/>
    <w:rsid w:val="00E462B9"/>
    <w:rsid w:val="00E46F58"/>
    <w:rsid w:val="00E50F1F"/>
    <w:rsid w:val="00E520AA"/>
    <w:rsid w:val="00E55766"/>
    <w:rsid w:val="00E557F0"/>
    <w:rsid w:val="00E56E9A"/>
    <w:rsid w:val="00E5752D"/>
    <w:rsid w:val="00E61795"/>
    <w:rsid w:val="00E626E8"/>
    <w:rsid w:val="00E62CFD"/>
    <w:rsid w:val="00E6423A"/>
    <w:rsid w:val="00E6455B"/>
    <w:rsid w:val="00E64D54"/>
    <w:rsid w:val="00E7059D"/>
    <w:rsid w:val="00E70E65"/>
    <w:rsid w:val="00E71FDF"/>
    <w:rsid w:val="00E72D2B"/>
    <w:rsid w:val="00E735E0"/>
    <w:rsid w:val="00E73961"/>
    <w:rsid w:val="00E75379"/>
    <w:rsid w:val="00E75909"/>
    <w:rsid w:val="00E7643B"/>
    <w:rsid w:val="00E76F24"/>
    <w:rsid w:val="00E77698"/>
    <w:rsid w:val="00E77A56"/>
    <w:rsid w:val="00E8022A"/>
    <w:rsid w:val="00E80C8D"/>
    <w:rsid w:val="00E81278"/>
    <w:rsid w:val="00E813C4"/>
    <w:rsid w:val="00E824A9"/>
    <w:rsid w:val="00E859F9"/>
    <w:rsid w:val="00E87146"/>
    <w:rsid w:val="00E8742F"/>
    <w:rsid w:val="00E877F9"/>
    <w:rsid w:val="00E901D5"/>
    <w:rsid w:val="00E901FB"/>
    <w:rsid w:val="00E90669"/>
    <w:rsid w:val="00E9262D"/>
    <w:rsid w:val="00E953C9"/>
    <w:rsid w:val="00E96A58"/>
    <w:rsid w:val="00EA1ACC"/>
    <w:rsid w:val="00EA2B57"/>
    <w:rsid w:val="00EA4425"/>
    <w:rsid w:val="00EA5765"/>
    <w:rsid w:val="00EA5B7E"/>
    <w:rsid w:val="00EA6F33"/>
    <w:rsid w:val="00EA721D"/>
    <w:rsid w:val="00EB1EBB"/>
    <w:rsid w:val="00EB235F"/>
    <w:rsid w:val="00EB2860"/>
    <w:rsid w:val="00EB4B04"/>
    <w:rsid w:val="00EB5115"/>
    <w:rsid w:val="00EB59A0"/>
    <w:rsid w:val="00EB6412"/>
    <w:rsid w:val="00EB72DF"/>
    <w:rsid w:val="00EC11A3"/>
    <w:rsid w:val="00EC2568"/>
    <w:rsid w:val="00EC25FF"/>
    <w:rsid w:val="00EC2C19"/>
    <w:rsid w:val="00EC2F3F"/>
    <w:rsid w:val="00EC3184"/>
    <w:rsid w:val="00EC42D8"/>
    <w:rsid w:val="00EC4846"/>
    <w:rsid w:val="00EC4E8C"/>
    <w:rsid w:val="00EC51BD"/>
    <w:rsid w:val="00EC5201"/>
    <w:rsid w:val="00EC6D3A"/>
    <w:rsid w:val="00EC745A"/>
    <w:rsid w:val="00EC7D12"/>
    <w:rsid w:val="00ED0A84"/>
    <w:rsid w:val="00ED1B8A"/>
    <w:rsid w:val="00ED26FC"/>
    <w:rsid w:val="00ED3524"/>
    <w:rsid w:val="00ED38D9"/>
    <w:rsid w:val="00ED4462"/>
    <w:rsid w:val="00ED4947"/>
    <w:rsid w:val="00ED4F08"/>
    <w:rsid w:val="00ED60B9"/>
    <w:rsid w:val="00ED62E2"/>
    <w:rsid w:val="00ED7A24"/>
    <w:rsid w:val="00EE03FE"/>
    <w:rsid w:val="00EE1DB1"/>
    <w:rsid w:val="00EE2D9E"/>
    <w:rsid w:val="00EE38F8"/>
    <w:rsid w:val="00EE3944"/>
    <w:rsid w:val="00EE40A6"/>
    <w:rsid w:val="00EE49ED"/>
    <w:rsid w:val="00EE7692"/>
    <w:rsid w:val="00EF0136"/>
    <w:rsid w:val="00EF0E2C"/>
    <w:rsid w:val="00EF1816"/>
    <w:rsid w:val="00EF23E1"/>
    <w:rsid w:val="00EF298F"/>
    <w:rsid w:val="00EF3E32"/>
    <w:rsid w:val="00EF4DE2"/>
    <w:rsid w:val="00EF5A07"/>
    <w:rsid w:val="00EF5F21"/>
    <w:rsid w:val="00EF6563"/>
    <w:rsid w:val="00EF6586"/>
    <w:rsid w:val="00EF676A"/>
    <w:rsid w:val="00EF7590"/>
    <w:rsid w:val="00EF7AC4"/>
    <w:rsid w:val="00EF7C79"/>
    <w:rsid w:val="00F01EF7"/>
    <w:rsid w:val="00F05A97"/>
    <w:rsid w:val="00F07259"/>
    <w:rsid w:val="00F10536"/>
    <w:rsid w:val="00F1113C"/>
    <w:rsid w:val="00F1196A"/>
    <w:rsid w:val="00F12307"/>
    <w:rsid w:val="00F12908"/>
    <w:rsid w:val="00F15203"/>
    <w:rsid w:val="00F15DEB"/>
    <w:rsid w:val="00F1609F"/>
    <w:rsid w:val="00F1625C"/>
    <w:rsid w:val="00F16760"/>
    <w:rsid w:val="00F1716C"/>
    <w:rsid w:val="00F204E0"/>
    <w:rsid w:val="00F20ACE"/>
    <w:rsid w:val="00F21A5D"/>
    <w:rsid w:val="00F23B12"/>
    <w:rsid w:val="00F24238"/>
    <w:rsid w:val="00F24DA2"/>
    <w:rsid w:val="00F24EE4"/>
    <w:rsid w:val="00F258BE"/>
    <w:rsid w:val="00F26056"/>
    <w:rsid w:val="00F2761C"/>
    <w:rsid w:val="00F30D5B"/>
    <w:rsid w:val="00F32A39"/>
    <w:rsid w:val="00F33223"/>
    <w:rsid w:val="00F3445F"/>
    <w:rsid w:val="00F3518D"/>
    <w:rsid w:val="00F35789"/>
    <w:rsid w:val="00F3591A"/>
    <w:rsid w:val="00F37489"/>
    <w:rsid w:val="00F3777A"/>
    <w:rsid w:val="00F40A72"/>
    <w:rsid w:val="00F40BC7"/>
    <w:rsid w:val="00F41C07"/>
    <w:rsid w:val="00F43EA5"/>
    <w:rsid w:val="00F440F1"/>
    <w:rsid w:val="00F45D79"/>
    <w:rsid w:val="00F472AF"/>
    <w:rsid w:val="00F51283"/>
    <w:rsid w:val="00F524FB"/>
    <w:rsid w:val="00F52A2D"/>
    <w:rsid w:val="00F52BBD"/>
    <w:rsid w:val="00F54112"/>
    <w:rsid w:val="00F5608D"/>
    <w:rsid w:val="00F56561"/>
    <w:rsid w:val="00F57467"/>
    <w:rsid w:val="00F604EE"/>
    <w:rsid w:val="00F61196"/>
    <w:rsid w:val="00F61825"/>
    <w:rsid w:val="00F62204"/>
    <w:rsid w:val="00F62A71"/>
    <w:rsid w:val="00F62EB3"/>
    <w:rsid w:val="00F63AD2"/>
    <w:rsid w:val="00F65718"/>
    <w:rsid w:val="00F67070"/>
    <w:rsid w:val="00F706AC"/>
    <w:rsid w:val="00F708E1"/>
    <w:rsid w:val="00F71527"/>
    <w:rsid w:val="00F71699"/>
    <w:rsid w:val="00F75B5E"/>
    <w:rsid w:val="00F773E4"/>
    <w:rsid w:val="00F77F0F"/>
    <w:rsid w:val="00F83A20"/>
    <w:rsid w:val="00F847D2"/>
    <w:rsid w:val="00F85C5E"/>
    <w:rsid w:val="00F86AA2"/>
    <w:rsid w:val="00F872CD"/>
    <w:rsid w:val="00F87D5D"/>
    <w:rsid w:val="00F90AC6"/>
    <w:rsid w:val="00F919A8"/>
    <w:rsid w:val="00F933E2"/>
    <w:rsid w:val="00F95459"/>
    <w:rsid w:val="00F965A2"/>
    <w:rsid w:val="00F9697A"/>
    <w:rsid w:val="00F96A0B"/>
    <w:rsid w:val="00FA0391"/>
    <w:rsid w:val="00FA0EB9"/>
    <w:rsid w:val="00FA122B"/>
    <w:rsid w:val="00FA139B"/>
    <w:rsid w:val="00FA2CBF"/>
    <w:rsid w:val="00FA4A28"/>
    <w:rsid w:val="00FA4DD5"/>
    <w:rsid w:val="00FA7400"/>
    <w:rsid w:val="00FB089D"/>
    <w:rsid w:val="00FB0DF6"/>
    <w:rsid w:val="00FB1503"/>
    <w:rsid w:val="00FB1961"/>
    <w:rsid w:val="00FB2421"/>
    <w:rsid w:val="00FB3E3B"/>
    <w:rsid w:val="00FB526C"/>
    <w:rsid w:val="00FB6CA3"/>
    <w:rsid w:val="00FC19D8"/>
    <w:rsid w:val="00FC38EB"/>
    <w:rsid w:val="00FC3D8E"/>
    <w:rsid w:val="00FC4686"/>
    <w:rsid w:val="00FC6BB6"/>
    <w:rsid w:val="00FC7F27"/>
    <w:rsid w:val="00FD1AFC"/>
    <w:rsid w:val="00FD3E69"/>
    <w:rsid w:val="00FD4011"/>
    <w:rsid w:val="00FD721A"/>
    <w:rsid w:val="00FE247E"/>
    <w:rsid w:val="00FE2FA6"/>
    <w:rsid w:val="00FE3F0C"/>
    <w:rsid w:val="00FE5373"/>
    <w:rsid w:val="00FE7021"/>
    <w:rsid w:val="00FF1187"/>
    <w:rsid w:val="00FF1B62"/>
    <w:rsid w:val="00FF1BAC"/>
    <w:rsid w:val="00FF2B0E"/>
    <w:rsid w:val="00FF331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stroke="f">
      <v:fill color="white"/>
      <v:stroke on="f"/>
      <v:shadow color="black" opacity="49151f" offset=".74833mm,.74833mm"/>
    </o:shapedefaults>
    <o:shapelayout v:ext="edit">
      <o:idmap v:ext="edit" data="1"/>
    </o:shapelayout>
  </w:shapeDefaults>
  <w:doNotEmbedSmartTags/>
  <w:decimalSymbol w:val="."/>
  <w:listSeparator w:val=","/>
  <w15:docId w15:val="{A7AAFB74-8C19-46B3-8205-176104C0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w:hAnsi="Times New Roman" w:cs="Times New Roman"/>
        <w:sz w:val="24"/>
        <w:szCs w:val="24"/>
        <w:lang w:val="en-AU"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994"/>
    <w:rPr>
      <w:rFonts w:asciiTheme="minorHAnsi" w:eastAsiaTheme="minorHAnsi" w:hAnsiTheme="minorHAnsi" w:cstheme="minorBidi"/>
      <w:sz w:val="22"/>
      <w:szCs w:val="22"/>
      <w:lang w:val="en-GB" w:eastAsia="en-US"/>
    </w:rPr>
  </w:style>
  <w:style w:type="paragraph" w:styleId="Heading1">
    <w:name w:val="heading 1"/>
    <w:aliases w:val="Nils heading 1"/>
    <w:next w:val="Normal"/>
    <w:link w:val="Heading1Char"/>
    <w:autoRedefine/>
    <w:qFormat/>
    <w:rsid w:val="008F643C"/>
    <w:pPr>
      <w:keepNext/>
      <w:tabs>
        <w:tab w:val="left" w:pos="567"/>
      </w:tabs>
      <w:spacing w:after="240"/>
      <w:outlineLvl w:val="0"/>
    </w:pPr>
    <w:rPr>
      <w:rFonts w:asciiTheme="minorHAnsi" w:hAnsiTheme="minorHAnsi" w:cstheme="minorHAnsi"/>
      <w:b/>
      <w:kern w:val="32"/>
      <w:sz w:val="28"/>
      <w:szCs w:val="28"/>
    </w:rPr>
  </w:style>
  <w:style w:type="paragraph" w:styleId="Heading2">
    <w:name w:val="heading 2"/>
    <w:aliases w:val="Nils Heading 2 eg 1.1"/>
    <w:basedOn w:val="Heading1"/>
    <w:next w:val="Normal"/>
    <w:link w:val="Heading2Char"/>
    <w:autoRedefine/>
    <w:qFormat/>
    <w:rsid w:val="0072183B"/>
    <w:pPr>
      <w:outlineLvl w:val="1"/>
    </w:pPr>
    <w:rPr>
      <w:sz w:val="26"/>
    </w:rPr>
  </w:style>
  <w:style w:type="paragraph" w:styleId="Heading3">
    <w:name w:val="heading 3"/>
    <w:aliases w:val="Nils Heading 3 eg 1.1.1"/>
    <w:basedOn w:val="Heading2"/>
    <w:next w:val="Normal"/>
    <w:link w:val="Heading3Char"/>
    <w:autoRedefine/>
    <w:qFormat/>
    <w:rsid w:val="000B2013"/>
    <w:pPr>
      <w:tabs>
        <w:tab w:val="left" w:pos="851"/>
      </w:tabs>
      <w:spacing w:before="360"/>
      <w:outlineLvl w:val="2"/>
    </w:pPr>
    <w:rPr>
      <w:sz w:val="24"/>
    </w:rPr>
  </w:style>
  <w:style w:type="paragraph" w:styleId="Heading4">
    <w:name w:val="heading 4"/>
    <w:basedOn w:val="Normal"/>
    <w:next w:val="Normal"/>
    <w:link w:val="Heading4Char"/>
    <w:autoRedefine/>
    <w:rsid w:val="00993994"/>
    <w:pPr>
      <w:keepNext/>
      <w:spacing w:before="360"/>
      <w:outlineLvl w:val="3"/>
    </w:pPr>
    <w:rPr>
      <w:b/>
    </w:rPr>
  </w:style>
  <w:style w:type="paragraph" w:styleId="Heading5">
    <w:name w:val="heading 5"/>
    <w:basedOn w:val="Normal"/>
    <w:next w:val="Normal"/>
    <w:link w:val="Heading5Char"/>
    <w:rsid w:val="0072183B"/>
    <w:pPr>
      <w:keepNext/>
      <w:outlineLvl w:val="4"/>
    </w:pPr>
    <w:rPr>
      <w:i/>
    </w:rPr>
  </w:style>
  <w:style w:type="paragraph" w:styleId="Heading6">
    <w:name w:val="heading 6"/>
    <w:basedOn w:val="Normal"/>
    <w:next w:val="Normal"/>
    <w:link w:val="Heading6Char"/>
    <w:rsid w:val="0072183B"/>
    <w:pPr>
      <w:keepNext/>
      <w:outlineLvl w:val="5"/>
    </w:pPr>
  </w:style>
  <w:style w:type="paragraph" w:styleId="Heading7">
    <w:name w:val="heading 7"/>
    <w:basedOn w:val="Normal"/>
    <w:next w:val="Normal"/>
    <w:link w:val="Heading7Char"/>
    <w:rsid w:val="0072183B"/>
    <w:pPr>
      <w:spacing w:after="60"/>
      <w:outlineLvl w:val="6"/>
    </w:pPr>
  </w:style>
  <w:style w:type="paragraph" w:styleId="Heading8">
    <w:name w:val="heading 8"/>
    <w:basedOn w:val="Normal"/>
    <w:next w:val="Normal"/>
    <w:link w:val="Heading8Char"/>
    <w:uiPriority w:val="9"/>
    <w:semiHidden/>
    <w:unhideWhenUsed/>
    <w:qFormat/>
    <w:rsid w:val="002A74AB"/>
    <w:pPr>
      <w:numPr>
        <w:ilvl w:val="7"/>
        <w:numId w:val="22"/>
      </w:num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A74AB"/>
    <w:pPr>
      <w:numPr>
        <w:ilvl w:val="8"/>
        <w:numId w:val="22"/>
      </w:num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LSReference">
    <w:name w:val="NILS Reference"/>
    <w:basedOn w:val="BodyText"/>
    <w:rsid w:val="001247A7"/>
    <w:pPr>
      <w:spacing w:after="0"/>
    </w:pPr>
    <w:rPr>
      <w:rFonts w:eastAsia="Times New Roman"/>
      <w:sz w:val="18"/>
    </w:rPr>
  </w:style>
  <w:style w:type="paragraph" w:styleId="BodyText">
    <w:name w:val="Body Text"/>
    <w:basedOn w:val="Normal"/>
    <w:link w:val="BodyTextChar"/>
    <w:rsid w:val="0072183B"/>
    <w:pPr>
      <w:spacing w:after="120"/>
    </w:pPr>
  </w:style>
  <w:style w:type="paragraph" w:styleId="TOC1">
    <w:name w:val="toc 1"/>
    <w:basedOn w:val="Normal"/>
    <w:next w:val="Normal"/>
    <w:uiPriority w:val="39"/>
    <w:rsid w:val="0072183B"/>
    <w:pPr>
      <w:tabs>
        <w:tab w:val="right" w:leader="dot" w:pos="9639"/>
      </w:tabs>
      <w:spacing w:before="120" w:after="120"/>
      <w:outlineLvl w:val="0"/>
    </w:pPr>
    <w:rPr>
      <w:bCs/>
      <w:iCs/>
      <w:noProof/>
    </w:rPr>
  </w:style>
  <w:style w:type="paragraph" w:styleId="TOC2">
    <w:name w:val="toc 2"/>
    <w:basedOn w:val="Normal"/>
    <w:next w:val="Normal"/>
    <w:autoRedefine/>
    <w:uiPriority w:val="39"/>
    <w:rsid w:val="007B3733"/>
    <w:pPr>
      <w:tabs>
        <w:tab w:val="right" w:leader="dot" w:pos="9639"/>
      </w:tabs>
      <w:spacing w:before="120" w:after="120"/>
      <w:ind w:left="284"/>
      <w:outlineLvl w:val="1"/>
    </w:pPr>
    <w:rPr>
      <w:bCs/>
    </w:rPr>
  </w:style>
  <w:style w:type="paragraph" w:customStyle="1" w:styleId="Bullets">
    <w:name w:val="Bullets"/>
    <w:basedOn w:val="Normal"/>
    <w:next w:val="Normal"/>
    <w:qFormat/>
    <w:rsid w:val="0072183B"/>
    <w:pPr>
      <w:numPr>
        <w:numId w:val="5"/>
      </w:numPr>
      <w:spacing w:before="120" w:after="120"/>
    </w:pPr>
  </w:style>
  <w:style w:type="paragraph" w:customStyle="1" w:styleId="NILSFootnote">
    <w:name w:val="NILS Footnote"/>
    <w:basedOn w:val="Normal"/>
    <w:link w:val="NILSFootnoteChar"/>
    <w:rsid w:val="0072183B"/>
    <w:pPr>
      <w:ind w:left="567" w:hanging="567"/>
    </w:pPr>
    <w:rPr>
      <w:rFonts w:eastAsia="Times New Roman"/>
      <w:sz w:val="18"/>
      <w:lang w:val="en-US"/>
    </w:rPr>
  </w:style>
  <w:style w:type="paragraph" w:customStyle="1" w:styleId="NILSBodyText">
    <w:name w:val="NILS Body Text"/>
    <w:basedOn w:val="Normal"/>
    <w:link w:val="NILSBodyTextChar"/>
    <w:autoRedefine/>
    <w:qFormat/>
    <w:rsid w:val="0072183B"/>
  </w:style>
  <w:style w:type="paragraph" w:styleId="Title">
    <w:name w:val="Title"/>
    <w:aliases w:val="NILS Title"/>
    <w:basedOn w:val="Normal"/>
    <w:link w:val="TitleChar"/>
    <w:qFormat/>
    <w:rsid w:val="0072183B"/>
    <w:pPr>
      <w:spacing w:after="60"/>
      <w:jc w:val="center"/>
      <w:outlineLvl w:val="0"/>
    </w:pPr>
    <w:rPr>
      <w:b/>
      <w:color w:val="000080"/>
      <w:kern w:val="28"/>
      <w:sz w:val="56"/>
      <w:szCs w:val="32"/>
    </w:rPr>
  </w:style>
  <w:style w:type="paragraph" w:customStyle="1" w:styleId="NILSSubTitle">
    <w:name w:val="NILS Sub Title"/>
    <w:basedOn w:val="Normal"/>
    <w:link w:val="NILSSubTitleChar"/>
    <w:rsid w:val="0072183B"/>
    <w:pPr>
      <w:jc w:val="center"/>
    </w:pPr>
    <w:rPr>
      <w:b/>
      <w:color w:val="000080"/>
      <w:sz w:val="48"/>
    </w:rPr>
  </w:style>
  <w:style w:type="paragraph" w:customStyle="1" w:styleId="NILSTableHeading">
    <w:name w:val="NILS Table Heading"/>
    <w:basedOn w:val="Normal"/>
    <w:next w:val="Normal"/>
    <w:autoRedefine/>
    <w:qFormat/>
    <w:rsid w:val="0044684E"/>
    <w:pPr>
      <w:keepNext/>
      <w:snapToGrid w:val="0"/>
      <w:spacing w:before="360" w:after="60"/>
      <w:ind w:right="141"/>
    </w:pPr>
    <w:rPr>
      <w:b/>
      <w:sz w:val="20"/>
      <w:lang w:val="x-none"/>
    </w:rPr>
  </w:style>
  <w:style w:type="paragraph" w:customStyle="1" w:styleId="NILStextbulleted">
    <w:name w:val="NILS text bulleted"/>
    <w:basedOn w:val="NILSBodyText"/>
    <w:rsid w:val="0072183B"/>
    <w:pPr>
      <w:numPr>
        <w:numId w:val="1"/>
      </w:numPr>
    </w:pPr>
    <w:rPr>
      <w:rFonts w:cs="Arial"/>
    </w:rPr>
  </w:style>
  <w:style w:type="paragraph" w:customStyle="1" w:styleId="Source">
    <w:name w:val="Source"/>
    <w:basedOn w:val="NILSBodyText"/>
    <w:link w:val="SourceChar"/>
    <w:rsid w:val="0072183B"/>
    <w:pPr>
      <w:spacing w:before="60"/>
    </w:pPr>
    <w:rPr>
      <w:sz w:val="18"/>
    </w:rPr>
  </w:style>
  <w:style w:type="paragraph" w:customStyle="1" w:styleId="NILSTabletext">
    <w:name w:val="NILS Table text"/>
    <w:basedOn w:val="NILSBodyText"/>
    <w:autoRedefine/>
    <w:qFormat/>
    <w:rsid w:val="006C7BE7"/>
    <w:pPr>
      <w:spacing w:before="20" w:after="360"/>
    </w:pPr>
    <w:rPr>
      <w:sz w:val="18"/>
    </w:rPr>
  </w:style>
  <w:style w:type="paragraph" w:customStyle="1" w:styleId="NILSTableTitle">
    <w:name w:val="NILS Table Title"/>
    <w:next w:val="Normal"/>
    <w:autoRedefine/>
    <w:rsid w:val="0072183B"/>
    <w:pPr>
      <w:spacing w:after="60"/>
    </w:pPr>
    <w:rPr>
      <w:rFonts w:ascii="Calibri" w:eastAsiaTheme="minorHAnsi" w:hAnsi="Calibri" w:cstheme="minorBidi"/>
      <w:b/>
      <w:sz w:val="20"/>
      <w:szCs w:val="22"/>
      <w:lang w:val="en-GB" w:eastAsia="en-US"/>
    </w:rPr>
  </w:style>
  <w:style w:type="table" w:styleId="TableGrid">
    <w:name w:val="Table Grid"/>
    <w:basedOn w:val="TableNormal"/>
    <w:rsid w:val="0072183B"/>
    <w:pPr>
      <w:spacing w:before="60" w:after="60"/>
    </w:pPr>
    <w:rPr>
      <w:rFonts w:asciiTheme="minorHAnsi" w:hAnsiTheme="minorHAnsi"/>
      <w:sz w:val="20"/>
    </w:rPr>
    <w:tblPr>
      <w:tblStyleRowBandSize w:val="1"/>
    </w:tblPr>
  </w:style>
  <w:style w:type="paragraph" w:styleId="TOC3">
    <w:name w:val="toc 3"/>
    <w:basedOn w:val="Normal"/>
    <w:next w:val="Normal"/>
    <w:autoRedefine/>
    <w:uiPriority w:val="39"/>
    <w:rsid w:val="007B3733"/>
    <w:pPr>
      <w:tabs>
        <w:tab w:val="right" w:leader="dot" w:pos="9639"/>
      </w:tabs>
      <w:spacing w:before="120" w:after="120"/>
      <w:ind w:left="567" w:right="423"/>
      <w:outlineLvl w:val="2"/>
    </w:pPr>
  </w:style>
  <w:style w:type="paragraph" w:customStyle="1" w:styleId="NILSFigureTitle">
    <w:name w:val="NILS Figure Title"/>
    <w:basedOn w:val="Normal"/>
    <w:next w:val="Normal"/>
    <w:rsid w:val="0072183B"/>
    <w:pPr>
      <w:tabs>
        <w:tab w:val="left" w:pos="851"/>
      </w:tabs>
      <w:spacing w:after="60"/>
    </w:pPr>
    <w:rPr>
      <w:rFonts w:eastAsia="Times New Roman"/>
      <w:b/>
      <w:sz w:val="20"/>
      <w:lang w:val="en-US"/>
    </w:rPr>
  </w:style>
  <w:style w:type="paragraph" w:customStyle="1" w:styleId="NILSAuthorDate">
    <w:name w:val="NILS Author/Date"/>
    <w:basedOn w:val="Normal"/>
    <w:rsid w:val="0072183B"/>
    <w:rPr>
      <w:b/>
      <w:color w:val="333399"/>
      <w:sz w:val="32"/>
    </w:rPr>
  </w:style>
  <w:style w:type="paragraph" w:styleId="TOC4">
    <w:name w:val="toc 4"/>
    <w:basedOn w:val="Normal"/>
    <w:next w:val="Normal"/>
    <w:autoRedefine/>
    <w:uiPriority w:val="39"/>
    <w:rsid w:val="007B3733"/>
    <w:pPr>
      <w:tabs>
        <w:tab w:val="right" w:leader="dot" w:pos="9639"/>
      </w:tabs>
      <w:spacing w:before="120" w:after="120"/>
      <w:ind w:left="1560" w:right="139" w:hanging="709"/>
      <w:outlineLvl w:val="3"/>
    </w:pPr>
  </w:style>
  <w:style w:type="paragraph" w:styleId="TOC5">
    <w:name w:val="toc 5"/>
    <w:basedOn w:val="Normal"/>
    <w:next w:val="Normal"/>
    <w:autoRedefine/>
    <w:uiPriority w:val="39"/>
    <w:rsid w:val="0072183B"/>
    <w:pPr>
      <w:ind w:left="880"/>
    </w:pPr>
    <w:rPr>
      <w:sz w:val="20"/>
    </w:rPr>
  </w:style>
  <w:style w:type="paragraph" w:styleId="TOC6">
    <w:name w:val="toc 6"/>
    <w:basedOn w:val="Normal"/>
    <w:next w:val="Normal"/>
    <w:autoRedefine/>
    <w:uiPriority w:val="39"/>
    <w:rsid w:val="0072183B"/>
    <w:pPr>
      <w:ind w:left="1100"/>
    </w:pPr>
    <w:rPr>
      <w:sz w:val="20"/>
    </w:rPr>
  </w:style>
  <w:style w:type="paragraph" w:styleId="TOC7">
    <w:name w:val="toc 7"/>
    <w:basedOn w:val="Normal"/>
    <w:next w:val="Normal"/>
    <w:autoRedefine/>
    <w:uiPriority w:val="39"/>
    <w:rsid w:val="0072183B"/>
    <w:pPr>
      <w:ind w:left="1320"/>
    </w:pPr>
    <w:rPr>
      <w:sz w:val="20"/>
    </w:rPr>
  </w:style>
  <w:style w:type="paragraph" w:styleId="TOC8">
    <w:name w:val="toc 8"/>
    <w:basedOn w:val="Normal"/>
    <w:next w:val="Normal"/>
    <w:autoRedefine/>
    <w:uiPriority w:val="39"/>
    <w:rsid w:val="0072183B"/>
    <w:pPr>
      <w:ind w:left="1540"/>
    </w:pPr>
    <w:rPr>
      <w:sz w:val="20"/>
    </w:rPr>
  </w:style>
  <w:style w:type="paragraph" w:styleId="TOC9">
    <w:name w:val="toc 9"/>
    <w:basedOn w:val="Normal"/>
    <w:next w:val="Normal"/>
    <w:autoRedefine/>
    <w:uiPriority w:val="39"/>
    <w:rsid w:val="0072183B"/>
    <w:pPr>
      <w:ind w:left="1760"/>
    </w:pPr>
    <w:rPr>
      <w:sz w:val="20"/>
    </w:rPr>
  </w:style>
  <w:style w:type="character" w:styleId="Hyperlink">
    <w:name w:val="Hyperlink"/>
    <w:uiPriority w:val="99"/>
    <w:rsid w:val="0072183B"/>
    <w:rPr>
      <w:color w:val="0000FF"/>
      <w:u w:val="single"/>
    </w:rPr>
  </w:style>
  <w:style w:type="paragraph" w:styleId="FootnoteText">
    <w:name w:val="footnote text"/>
    <w:basedOn w:val="Normal"/>
    <w:link w:val="FootnoteTextChar"/>
    <w:uiPriority w:val="99"/>
    <w:semiHidden/>
    <w:rsid w:val="0072183B"/>
    <w:rPr>
      <w:sz w:val="20"/>
    </w:rPr>
  </w:style>
  <w:style w:type="character" w:styleId="FootnoteReference">
    <w:name w:val="footnote reference"/>
    <w:uiPriority w:val="99"/>
    <w:rsid w:val="0072183B"/>
    <w:rPr>
      <w:vertAlign w:val="superscript"/>
    </w:rPr>
  </w:style>
  <w:style w:type="paragraph" w:styleId="Header">
    <w:name w:val="header"/>
    <w:basedOn w:val="Normal"/>
    <w:link w:val="HeaderChar"/>
    <w:rsid w:val="0072183B"/>
    <w:pPr>
      <w:tabs>
        <w:tab w:val="center" w:pos="4153"/>
        <w:tab w:val="right" w:pos="8306"/>
      </w:tabs>
    </w:pPr>
  </w:style>
  <w:style w:type="paragraph" w:styleId="Footer">
    <w:name w:val="footer"/>
    <w:basedOn w:val="Normal"/>
    <w:link w:val="FooterChar"/>
    <w:rsid w:val="0072183B"/>
    <w:pPr>
      <w:tabs>
        <w:tab w:val="center" w:pos="4153"/>
        <w:tab w:val="right" w:pos="8306"/>
      </w:tabs>
    </w:pPr>
  </w:style>
  <w:style w:type="character" w:styleId="PageNumber">
    <w:name w:val="page number"/>
    <w:basedOn w:val="DefaultParagraphFont"/>
    <w:rsid w:val="0072183B"/>
  </w:style>
  <w:style w:type="character" w:customStyle="1" w:styleId="NILSSubTitleChar">
    <w:name w:val="NILS Sub Title Char"/>
    <w:link w:val="NILSSubTitle"/>
    <w:rsid w:val="0072183B"/>
    <w:rPr>
      <w:rFonts w:asciiTheme="minorHAnsi" w:eastAsiaTheme="minorHAnsi" w:hAnsiTheme="minorHAnsi" w:cstheme="minorBidi"/>
      <w:b/>
      <w:color w:val="000080"/>
      <w:sz w:val="48"/>
      <w:szCs w:val="22"/>
      <w:lang w:val="en-GB" w:eastAsia="en-US"/>
    </w:rPr>
  </w:style>
  <w:style w:type="character" w:customStyle="1" w:styleId="NILSFootnoteChar">
    <w:name w:val="NILS Footnote Char"/>
    <w:link w:val="NILSFootnote"/>
    <w:rsid w:val="0072183B"/>
    <w:rPr>
      <w:rFonts w:asciiTheme="minorHAnsi" w:eastAsia="Times New Roman" w:hAnsiTheme="minorHAnsi" w:cstheme="minorBidi"/>
      <w:sz w:val="18"/>
      <w:szCs w:val="22"/>
      <w:lang w:val="en-US" w:eastAsia="en-US"/>
    </w:rPr>
  </w:style>
  <w:style w:type="character" w:customStyle="1" w:styleId="NILSBodyTextChar">
    <w:name w:val="NILS Body Text Char"/>
    <w:link w:val="NILSBodyText"/>
    <w:rsid w:val="0072183B"/>
    <w:rPr>
      <w:rFonts w:asciiTheme="minorHAnsi" w:eastAsiaTheme="minorHAnsi" w:hAnsiTheme="minorHAnsi" w:cstheme="minorBidi"/>
      <w:sz w:val="22"/>
      <w:szCs w:val="22"/>
      <w:lang w:val="en-GB" w:eastAsia="en-US"/>
    </w:rPr>
  </w:style>
  <w:style w:type="character" w:customStyle="1" w:styleId="SourceChar">
    <w:name w:val="Source Char"/>
    <w:link w:val="Source"/>
    <w:rsid w:val="0072183B"/>
    <w:rPr>
      <w:rFonts w:asciiTheme="minorHAnsi" w:eastAsiaTheme="minorHAnsi" w:hAnsiTheme="minorHAnsi" w:cstheme="minorBidi"/>
      <w:sz w:val="18"/>
      <w:szCs w:val="22"/>
      <w:lang w:val="en-GB" w:eastAsia="en-US"/>
    </w:rPr>
  </w:style>
  <w:style w:type="paragraph" w:customStyle="1" w:styleId="Heading40">
    <w:name w:val="Heading4"/>
    <w:aliases w:val="Nils heading 4 eg 1.1.1.1"/>
    <w:basedOn w:val="Heading3"/>
    <w:next w:val="Normal"/>
    <w:link w:val="Heading4Char0"/>
    <w:autoRedefine/>
    <w:qFormat/>
    <w:rsid w:val="0072183B"/>
    <w:rPr>
      <w:sz w:val="22"/>
    </w:rPr>
  </w:style>
  <w:style w:type="paragraph" w:styleId="TOCHeading">
    <w:name w:val="TOC Heading"/>
    <w:next w:val="Normal"/>
    <w:uiPriority w:val="39"/>
    <w:unhideWhenUsed/>
    <w:qFormat/>
    <w:rsid w:val="0072183B"/>
    <w:pPr>
      <w:keepLines/>
      <w:spacing w:after="240"/>
    </w:pPr>
    <w:rPr>
      <w:rFonts w:asciiTheme="minorHAnsi" w:eastAsiaTheme="minorEastAsia" w:hAnsiTheme="minorHAnsi" w:cstheme="minorHAnsi"/>
      <w:b/>
      <w:bCs/>
      <w:color w:val="365F91"/>
      <w:sz w:val="28"/>
      <w:szCs w:val="28"/>
      <w:lang w:val="en-US" w:eastAsia="ja-JP"/>
    </w:rPr>
  </w:style>
  <w:style w:type="character" w:customStyle="1" w:styleId="Heading3Char">
    <w:name w:val="Heading 3 Char"/>
    <w:aliases w:val="Nils Heading 3 eg 1.1.1 Char"/>
    <w:link w:val="Heading3"/>
    <w:rsid w:val="000B2013"/>
    <w:rPr>
      <w:rFonts w:asciiTheme="minorHAnsi" w:hAnsiTheme="minorHAnsi" w:cstheme="minorHAnsi"/>
      <w:b/>
      <w:kern w:val="32"/>
    </w:rPr>
  </w:style>
  <w:style w:type="character" w:customStyle="1" w:styleId="Heading4Char0">
    <w:name w:val="Heading4 Char"/>
    <w:aliases w:val="Nils heading 4 eg 1.1.1.1 Char"/>
    <w:link w:val="Heading40"/>
    <w:rsid w:val="0072183B"/>
    <w:rPr>
      <w:rFonts w:asciiTheme="minorHAnsi" w:hAnsiTheme="minorHAnsi" w:cstheme="minorHAnsi"/>
      <w:b/>
      <w:kern w:val="32"/>
      <w:sz w:val="22"/>
    </w:rPr>
  </w:style>
  <w:style w:type="paragraph" w:customStyle="1" w:styleId="Figureheadings">
    <w:name w:val="Figure headings"/>
    <w:basedOn w:val="NILSFigureTitle"/>
    <w:next w:val="Normal"/>
    <w:qFormat/>
    <w:rsid w:val="0072183B"/>
    <w:rPr>
      <w:rFonts w:ascii="Calibri" w:eastAsia="Times" w:hAnsi="Calibri"/>
      <w:lang w:val="en-AU"/>
    </w:rPr>
  </w:style>
  <w:style w:type="paragraph" w:styleId="TableofFigures">
    <w:name w:val="table of figures"/>
    <w:basedOn w:val="Normal"/>
    <w:next w:val="Normal"/>
    <w:autoRedefine/>
    <w:uiPriority w:val="99"/>
    <w:rsid w:val="00E72D2B"/>
    <w:pPr>
      <w:tabs>
        <w:tab w:val="right" w:leader="dot" w:pos="9639"/>
      </w:tabs>
      <w:spacing w:before="120" w:after="120"/>
      <w:ind w:right="567"/>
    </w:pPr>
  </w:style>
  <w:style w:type="paragraph" w:styleId="Caption">
    <w:name w:val="caption"/>
    <w:basedOn w:val="Normal"/>
    <w:next w:val="Normal"/>
    <w:autoRedefine/>
    <w:unhideWhenUsed/>
    <w:qFormat/>
    <w:rsid w:val="0072183B"/>
    <w:pPr>
      <w:spacing w:after="60"/>
    </w:pPr>
    <w:rPr>
      <w:b/>
      <w:bCs/>
      <w:sz w:val="20"/>
    </w:rPr>
  </w:style>
  <w:style w:type="table" w:customStyle="1" w:styleId="Calendar1">
    <w:name w:val="Calendar 1"/>
    <w:basedOn w:val="TableNormal"/>
    <w:uiPriority w:val="99"/>
    <w:qFormat/>
    <w:rsid w:val="0072183B"/>
    <w:rPr>
      <w:rFonts w:ascii="Calibri" w:eastAsia="MS Mincho" w:hAnsi="Calibri" w:cs="Arial"/>
      <w:sz w:val="22"/>
      <w:szCs w:val="22"/>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eClassic1">
    <w:name w:val="Table Classic 1"/>
    <w:basedOn w:val="TableNormal"/>
    <w:rsid w:val="0072183B"/>
    <w:pPr>
      <w:spacing w:line="28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
    <w:name w:val="Style1"/>
    <w:basedOn w:val="TableNormal"/>
    <w:uiPriority w:val="99"/>
    <w:rsid w:val="0072183B"/>
    <w:rPr>
      <w:rFonts w:ascii="Palatino Linotype" w:hAnsi="Palatino Linotype"/>
    </w:rPr>
    <w:tblPr>
      <w:tblBorders>
        <w:top w:val="single" w:sz="4" w:space="0" w:color="auto"/>
        <w:bottom w:val="single" w:sz="4" w:space="0" w:color="auto"/>
      </w:tblBorders>
    </w:tblPr>
  </w:style>
  <w:style w:type="paragraph" w:styleId="BalloonText">
    <w:name w:val="Balloon Text"/>
    <w:basedOn w:val="Normal"/>
    <w:link w:val="BalloonTextChar"/>
    <w:rsid w:val="0072183B"/>
    <w:rPr>
      <w:rFonts w:ascii="Tahoma" w:hAnsi="Tahoma" w:cs="Tahoma"/>
      <w:sz w:val="16"/>
      <w:szCs w:val="16"/>
    </w:rPr>
  </w:style>
  <w:style w:type="character" w:customStyle="1" w:styleId="BalloonTextChar">
    <w:name w:val="Balloon Text Char"/>
    <w:link w:val="BalloonText"/>
    <w:rsid w:val="0072183B"/>
    <w:rPr>
      <w:rFonts w:ascii="Tahoma" w:eastAsiaTheme="minorHAnsi" w:hAnsi="Tahoma" w:cs="Tahoma"/>
      <w:sz w:val="16"/>
      <w:szCs w:val="16"/>
      <w:lang w:val="en-GB" w:eastAsia="en-US"/>
    </w:rPr>
  </w:style>
  <w:style w:type="table" w:styleId="TableGrid1">
    <w:name w:val="Table Grid 1"/>
    <w:basedOn w:val="TableNormal"/>
    <w:rsid w:val="0072183B"/>
    <w:pPr>
      <w:spacing w:line="28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Nilsnumberedheading">
    <w:name w:val="1. Nils numbered heading"/>
    <w:next w:val="Normal"/>
    <w:autoRedefine/>
    <w:qFormat/>
    <w:rsid w:val="0072183B"/>
    <w:pPr>
      <w:keepNext/>
      <w:numPr>
        <w:numId w:val="3"/>
      </w:numPr>
      <w:tabs>
        <w:tab w:val="left" w:pos="567"/>
      </w:tabs>
      <w:spacing w:before="240" w:after="240"/>
      <w:ind w:left="0" w:firstLine="0"/>
      <w:outlineLvl w:val="0"/>
    </w:pPr>
    <w:rPr>
      <w:rFonts w:ascii="Calibri" w:hAnsi="Calibri"/>
      <w:b/>
      <w:sz w:val="28"/>
    </w:rPr>
  </w:style>
  <w:style w:type="paragraph" w:customStyle="1" w:styleId="11NumberedNilsheading">
    <w:name w:val="1.1 Numbered Nils heading"/>
    <w:basedOn w:val="1Nilsnumberedheading"/>
    <w:next w:val="Normal"/>
    <w:autoRedefine/>
    <w:qFormat/>
    <w:rsid w:val="0072183B"/>
    <w:pPr>
      <w:numPr>
        <w:ilvl w:val="1"/>
      </w:numPr>
      <w:tabs>
        <w:tab w:val="clear" w:pos="567"/>
        <w:tab w:val="left" w:pos="709"/>
      </w:tabs>
      <w:spacing w:before="360"/>
      <w:outlineLvl w:val="1"/>
    </w:pPr>
    <w:rPr>
      <w:sz w:val="26"/>
    </w:rPr>
  </w:style>
  <w:style w:type="paragraph" w:customStyle="1" w:styleId="111NumberedNilsheading">
    <w:name w:val="1.1.1 Numbered Nils heading"/>
    <w:basedOn w:val="11NumberedNilsheading"/>
    <w:next w:val="Normal"/>
    <w:autoRedefine/>
    <w:qFormat/>
    <w:rsid w:val="0072183B"/>
    <w:pPr>
      <w:numPr>
        <w:ilvl w:val="2"/>
      </w:numPr>
      <w:tabs>
        <w:tab w:val="clear" w:pos="709"/>
        <w:tab w:val="left" w:pos="851"/>
      </w:tabs>
      <w:snapToGrid w:val="0"/>
      <w:outlineLvl w:val="2"/>
    </w:pPr>
    <w:rPr>
      <w:sz w:val="24"/>
    </w:rPr>
  </w:style>
  <w:style w:type="paragraph" w:customStyle="1" w:styleId="1111NumberedNilsheading">
    <w:name w:val="1.1.1.1 Numbered Nils heading"/>
    <w:basedOn w:val="111NumberedNilsheading"/>
    <w:next w:val="Normal"/>
    <w:autoRedefine/>
    <w:qFormat/>
    <w:rsid w:val="0072183B"/>
    <w:pPr>
      <w:numPr>
        <w:ilvl w:val="0"/>
        <w:numId w:val="4"/>
      </w:numPr>
      <w:tabs>
        <w:tab w:val="clear" w:pos="851"/>
        <w:tab w:val="left" w:pos="992"/>
      </w:tabs>
      <w:ind w:left="0" w:firstLine="0"/>
      <w:outlineLvl w:val="3"/>
    </w:pPr>
    <w:rPr>
      <w:sz w:val="22"/>
    </w:rPr>
  </w:style>
  <w:style w:type="numbering" w:customStyle="1" w:styleId="Nilsnumberedheadings">
    <w:name w:val="Nils numbered headings"/>
    <w:uiPriority w:val="99"/>
    <w:rsid w:val="0072183B"/>
    <w:pPr>
      <w:numPr>
        <w:numId w:val="2"/>
      </w:numPr>
    </w:pPr>
  </w:style>
  <w:style w:type="paragraph" w:styleId="ListParagraph">
    <w:name w:val="List Paragraph"/>
    <w:basedOn w:val="Normal"/>
    <w:uiPriority w:val="34"/>
    <w:qFormat/>
    <w:rsid w:val="009862D9"/>
    <w:pPr>
      <w:ind w:left="567"/>
    </w:pPr>
  </w:style>
  <w:style w:type="table" w:customStyle="1" w:styleId="TableGrid10">
    <w:name w:val="Table Grid1"/>
    <w:basedOn w:val="TableNormal"/>
    <w:next w:val="TableGrid"/>
    <w:uiPriority w:val="59"/>
    <w:rsid w:val="0072183B"/>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183B"/>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2183B"/>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183B"/>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72183B"/>
    <w:rPr>
      <w:sz w:val="20"/>
      <w:szCs w:val="20"/>
    </w:rPr>
  </w:style>
  <w:style w:type="character" w:customStyle="1" w:styleId="EndnoteTextChar">
    <w:name w:val="Endnote Text Char"/>
    <w:basedOn w:val="DefaultParagraphFont"/>
    <w:link w:val="EndnoteText"/>
    <w:rsid w:val="0072183B"/>
    <w:rPr>
      <w:rFonts w:asciiTheme="minorHAnsi" w:eastAsiaTheme="minorHAnsi" w:hAnsiTheme="minorHAnsi" w:cstheme="minorBidi"/>
      <w:sz w:val="20"/>
      <w:szCs w:val="20"/>
      <w:lang w:val="en-GB" w:eastAsia="en-US"/>
    </w:rPr>
  </w:style>
  <w:style w:type="character" w:styleId="EndnoteReference">
    <w:name w:val="endnote reference"/>
    <w:basedOn w:val="DefaultParagraphFont"/>
    <w:rsid w:val="0072183B"/>
    <w:rPr>
      <w:vertAlign w:val="superscript"/>
    </w:rPr>
  </w:style>
  <w:style w:type="character" w:customStyle="1" w:styleId="Heading8Char">
    <w:name w:val="Heading 8 Char"/>
    <w:basedOn w:val="DefaultParagraphFont"/>
    <w:link w:val="Heading8"/>
    <w:uiPriority w:val="9"/>
    <w:semiHidden/>
    <w:rsid w:val="002A74AB"/>
    <w:rPr>
      <w:rFonts w:asciiTheme="majorHAnsi" w:eastAsiaTheme="majorEastAsia" w:hAnsiTheme="majorHAnsi" w:cstheme="majorBidi"/>
      <w:sz w:val="20"/>
      <w:szCs w:val="20"/>
      <w:lang w:val="en-GB" w:eastAsia="en-US"/>
    </w:rPr>
  </w:style>
  <w:style w:type="character" w:customStyle="1" w:styleId="Heading9Char">
    <w:name w:val="Heading 9 Char"/>
    <w:basedOn w:val="DefaultParagraphFont"/>
    <w:link w:val="Heading9"/>
    <w:uiPriority w:val="9"/>
    <w:semiHidden/>
    <w:rsid w:val="002A74AB"/>
    <w:rPr>
      <w:rFonts w:asciiTheme="majorHAnsi" w:eastAsiaTheme="majorEastAsia" w:hAnsiTheme="majorHAnsi" w:cstheme="majorBidi"/>
      <w:i/>
      <w:iCs/>
      <w:spacing w:val="5"/>
      <w:sz w:val="20"/>
      <w:szCs w:val="20"/>
      <w:lang w:val="en-GB" w:eastAsia="en-US"/>
    </w:rPr>
  </w:style>
  <w:style w:type="character" w:customStyle="1" w:styleId="Heading1Char">
    <w:name w:val="Heading 1 Char"/>
    <w:aliases w:val="Nils heading 1 Char"/>
    <w:basedOn w:val="DefaultParagraphFont"/>
    <w:link w:val="Heading1"/>
    <w:rsid w:val="008F643C"/>
    <w:rPr>
      <w:rFonts w:asciiTheme="minorHAnsi" w:hAnsiTheme="minorHAnsi" w:cstheme="minorHAnsi"/>
      <w:b/>
      <w:kern w:val="32"/>
      <w:sz w:val="28"/>
      <w:szCs w:val="28"/>
    </w:rPr>
  </w:style>
  <w:style w:type="character" w:customStyle="1" w:styleId="Heading2Char">
    <w:name w:val="Heading 2 Char"/>
    <w:aliases w:val="Nils Heading 2 eg 1.1 Char"/>
    <w:basedOn w:val="DefaultParagraphFont"/>
    <w:link w:val="Heading2"/>
    <w:rsid w:val="0072183B"/>
    <w:rPr>
      <w:rFonts w:asciiTheme="minorHAnsi" w:hAnsiTheme="minorHAnsi" w:cstheme="minorHAnsi"/>
      <w:b/>
      <w:kern w:val="32"/>
      <w:sz w:val="26"/>
    </w:rPr>
  </w:style>
  <w:style w:type="character" w:customStyle="1" w:styleId="FootnoteTextChar">
    <w:name w:val="Footnote Text Char"/>
    <w:basedOn w:val="DefaultParagraphFont"/>
    <w:link w:val="FootnoteText"/>
    <w:uiPriority w:val="99"/>
    <w:semiHidden/>
    <w:rsid w:val="00D907AF"/>
    <w:rPr>
      <w:rFonts w:asciiTheme="minorHAnsi" w:eastAsiaTheme="minorHAnsi" w:hAnsiTheme="minorHAnsi" w:cstheme="minorBidi"/>
      <w:sz w:val="20"/>
      <w:szCs w:val="22"/>
      <w:lang w:val="en-GB" w:eastAsia="en-US"/>
    </w:rPr>
  </w:style>
  <w:style w:type="table" w:styleId="MediumGrid3-Accent5">
    <w:name w:val="Medium Grid 3 Accent 5"/>
    <w:basedOn w:val="TableNormal"/>
    <w:uiPriority w:val="69"/>
    <w:rsid w:val="00D907AF"/>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SecBody">
    <w:name w:val="Sec Body"/>
    <w:basedOn w:val="Normal"/>
    <w:qFormat/>
    <w:rsid w:val="00D907AF"/>
    <w:pPr>
      <w:spacing w:before="120" w:after="120"/>
      <w:ind w:left="709"/>
      <w:jc w:val="both"/>
    </w:pPr>
    <w:rPr>
      <w:rFonts w:ascii="Arial" w:hAnsi="Arial"/>
      <w:lang w:val="en-AU"/>
    </w:rPr>
  </w:style>
  <w:style w:type="character" w:styleId="CommentReference">
    <w:name w:val="annotation reference"/>
    <w:basedOn w:val="DefaultParagraphFont"/>
    <w:uiPriority w:val="99"/>
    <w:unhideWhenUsed/>
    <w:rsid w:val="00D907AF"/>
    <w:rPr>
      <w:sz w:val="16"/>
      <w:szCs w:val="16"/>
    </w:rPr>
  </w:style>
  <w:style w:type="paragraph" w:styleId="CommentText">
    <w:name w:val="annotation text"/>
    <w:basedOn w:val="Normal"/>
    <w:link w:val="CommentTextChar"/>
    <w:uiPriority w:val="99"/>
    <w:unhideWhenUsed/>
    <w:rsid w:val="00D907AF"/>
    <w:rPr>
      <w:sz w:val="20"/>
      <w:szCs w:val="20"/>
      <w:lang w:val="en-AU"/>
    </w:rPr>
  </w:style>
  <w:style w:type="character" w:customStyle="1" w:styleId="CommentTextChar">
    <w:name w:val="Comment Text Char"/>
    <w:basedOn w:val="DefaultParagraphFont"/>
    <w:link w:val="CommentText"/>
    <w:uiPriority w:val="99"/>
    <w:rsid w:val="00D907AF"/>
    <w:rPr>
      <w:rFonts w:asciiTheme="minorHAnsi" w:eastAsiaTheme="minorHAnsi" w:hAnsiTheme="minorHAnsi" w:cstheme="minorBidi"/>
      <w:sz w:val="20"/>
      <w:szCs w:val="20"/>
      <w:lang w:eastAsia="en-US"/>
    </w:rPr>
  </w:style>
  <w:style w:type="table" w:customStyle="1" w:styleId="MediumGrid3-Accent11">
    <w:name w:val="Medium Grid 3 - Accent 11"/>
    <w:basedOn w:val="TableNormal"/>
    <w:next w:val="MediumGrid3-Accent1"/>
    <w:uiPriority w:val="69"/>
    <w:rsid w:val="00D907A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1">
    <w:name w:val="Medium Grid 3 Accent 1"/>
    <w:basedOn w:val="TableNormal"/>
    <w:uiPriority w:val="69"/>
    <w:rsid w:val="00D907A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FooterChar">
    <w:name w:val="Footer Char"/>
    <w:basedOn w:val="DefaultParagraphFont"/>
    <w:link w:val="Footer"/>
    <w:rsid w:val="00D907AF"/>
    <w:rPr>
      <w:rFonts w:asciiTheme="minorHAnsi" w:eastAsiaTheme="minorHAnsi" w:hAnsiTheme="minorHAnsi" w:cstheme="minorBidi"/>
      <w:sz w:val="22"/>
      <w:szCs w:val="22"/>
      <w:lang w:val="en-GB" w:eastAsia="en-US"/>
    </w:rPr>
  </w:style>
  <w:style w:type="paragraph" w:styleId="CommentSubject">
    <w:name w:val="annotation subject"/>
    <w:basedOn w:val="CommentText"/>
    <w:next w:val="CommentText"/>
    <w:link w:val="CommentSubjectChar"/>
    <w:uiPriority w:val="99"/>
    <w:rsid w:val="00D907AF"/>
    <w:rPr>
      <w:b/>
      <w:bCs/>
    </w:rPr>
  </w:style>
  <w:style w:type="character" w:customStyle="1" w:styleId="CommentSubjectChar">
    <w:name w:val="Comment Subject Char"/>
    <w:basedOn w:val="CommentTextChar"/>
    <w:link w:val="CommentSubject"/>
    <w:uiPriority w:val="99"/>
    <w:rsid w:val="00D907AF"/>
    <w:rPr>
      <w:rFonts w:asciiTheme="minorHAnsi" w:eastAsiaTheme="minorHAnsi" w:hAnsiTheme="minorHAnsi" w:cstheme="minorBidi"/>
      <w:b/>
      <w:bCs/>
      <w:sz w:val="20"/>
      <w:szCs w:val="20"/>
      <w:lang w:eastAsia="en-US"/>
    </w:rPr>
  </w:style>
  <w:style w:type="paragraph" w:styleId="Revision">
    <w:name w:val="Revision"/>
    <w:hidden/>
    <w:uiPriority w:val="99"/>
    <w:semiHidden/>
    <w:rsid w:val="00D907AF"/>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rsid w:val="00D907AF"/>
    <w:rPr>
      <w:rFonts w:asciiTheme="minorHAnsi" w:eastAsiaTheme="minorHAnsi" w:hAnsiTheme="minorHAnsi" w:cstheme="minorBidi"/>
      <w:sz w:val="22"/>
      <w:szCs w:val="22"/>
      <w:lang w:val="en-GB" w:eastAsia="en-US"/>
    </w:rPr>
  </w:style>
  <w:style w:type="character" w:customStyle="1" w:styleId="Heading4Char">
    <w:name w:val="Heading 4 Char"/>
    <w:basedOn w:val="DefaultParagraphFont"/>
    <w:link w:val="Heading4"/>
    <w:rsid w:val="00993994"/>
    <w:rPr>
      <w:rFonts w:asciiTheme="minorHAnsi" w:eastAsiaTheme="minorHAnsi" w:hAnsiTheme="minorHAnsi" w:cstheme="minorBidi"/>
      <w:b/>
      <w:sz w:val="22"/>
      <w:szCs w:val="22"/>
      <w:lang w:val="en-GB" w:eastAsia="en-US"/>
    </w:rPr>
  </w:style>
  <w:style w:type="character" w:customStyle="1" w:styleId="Heading5Char">
    <w:name w:val="Heading 5 Char"/>
    <w:basedOn w:val="DefaultParagraphFont"/>
    <w:link w:val="Heading5"/>
    <w:rsid w:val="002A74AB"/>
    <w:rPr>
      <w:rFonts w:asciiTheme="minorHAnsi" w:eastAsiaTheme="minorHAnsi" w:hAnsiTheme="minorHAnsi" w:cstheme="minorBidi"/>
      <w:i/>
      <w:sz w:val="22"/>
      <w:szCs w:val="22"/>
      <w:lang w:val="en-GB" w:eastAsia="en-US"/>
    </w:rPr>
  </w:style>
  <w:style w:type="character" w:customStyle="1" w:styleId="Heading6Char">
    <w:name w:val="Heading 6 Char"/>
    <w:basedOn w:val="DefaultParagraphFont"/>
    <w:link w:val="Heading6"/>
    <w:rsid w:val="002A74AB"/>
    <w:rPr>
      <w:rFonts w:asciiTheme="minorHAnsi" w:eastAsiaTheme="minorHAnsi" w:hAnsiTheme="minorHAnsi" w:cstheme="minorBidi"/>
      <w:sz w:val="22"/>
      <w:szCs w:val="22"/>
      <w:lang w:val="en-GB" w:eastAsia="en-US"/>
    </w:rPr>
  </w:style>
  <w:style w:type="character" w:customStyle="1" w:styleId="Heading7Char">
    <w:name w:val="Heading 7 Char"/>
    <w:basedOn w:val="DefaultParagraphFont"/>
    <w:link w:val="Heading7"/>
    <w:rsid w:val="002A74AB"/>
    <w:rPr>
      <w:rFonts w:asciiTheme="minorHAnsi" w:eastAsiaTheme="minorHAnsi" w:hAnsiTheme="minorHAnsi" w:cstheme="minorBidi"/>
      <w:sz w:val="22"/>
      <w:szCs w:val="22"/>
      <w:lang w:val="en-GB" w:eastAsia="en-US"/>
    </w:rPr>
  </w:style>
  <w:style w:type="character" w:customStyle="1" w:styleId="TitleChar">
    <w:name w:val="Title Char"/>
    <w:aliases w:val="NILS Title Char"/>
    <w:basedOn w:val="DefaultParagraphFont"/>
    <w:link w:val="Title"/>
    <w:rsid w:val="002A74AB"/>
    <w:rPr>
      <w:rFonts w:asciiTheme="minorHAnsi" w:eastAsiaTheme="minorHAnsi" w:hAnsiTheme="minorHAnsi" w:cstheme="minorBidi"/>
      <w:b/>
      <w:color w:val="000080"/>
      <w:kern w:val="28"/>
      <w:sz w:val="56"/>
      <w:szCs w:val="32"/>
      <w:lang w:val="en-GB" w:eastAsia="en-US"/>
    </w:rPr>
  </w:style>
  <w:style w:type="paragraph" w:styleId="Subtitle">
    <w:name w:val="Subtitle"/>
    <w:basedOn w:val="Normal"/>
    <w:next w:val="Normal"/>
    <w:link w:val="SubtitleChar"/>
    <w:uiPriority w:val="11"/>
    <w:rsid w:val="002A74A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A74AB"/>
    <w:rPr>
      <w:rFonts w:asciiTheme="majorHAnsi" w:eastAsiaTheme="majorEastAsia" w:hAnsiTheme="majorHAnsi" w:cstheme="majorBidi"/>
      <w:i/>
      <w:iCs/>
      <w:spacing w:val="13"/>
      <w:lang w:eastAsia="en-US"/>
    </w:rPr>
  </w:style>
  <w:style w:type="character" w:styleId="Strong">
    <w:name w:val="Strong"/>
    <w:uiPriority w:val="22"/>
    <w:rsid w:val="002A74AB"/>
    <w:rPr>
      <w:b/>
      <w:bCs/>
    </w:rPr>
  </w:style>
  <w:style w:type="character" w:styleId="Emphasis">
    <w:name w:val="Emphasis"/>
    <w:uiPriority w:val="20"/>
    <w:rsid w:val="002A74AB"/>
    <w:rPr>
      <w:b/>
      <w:bCs/>
      <w:i/>
      <w:iCs/>
      <w:spacing w:val="10"/>
      <w:bdr w:val="none" w:sz="0" w:space="0" w:color="auto"/>
      <w:shd w:val="clear" w:color="auto" w:fill="auto"/>
    </w:rPr>
  </w:style>
  <w:style w:type="paragraph" w:styleId="NoSpacing">
    <w:name w:val="No Spacing"/>
    <w:basedOn w:val="Normal"/>
    <w:uiPriority w:val="1"/>
    <w:rsid w:val="002A74AB"/>
  </w:style>
  <w:style w:type="paragraph" w:styleId="Quote">
    <w:name w:val="Quote"/>
    <w:basedOn w:val="Normal"/>
    <w:next w:val="Normal"/>
    <w:link w:val="QuoteChar"/>
    <w:uiPriority w:val="29"/>
    <w:rsid w:val="002A74AB"/>
    <w:pPr>
      <w:spacing w:before="200"/>
      <w:ind w:left="360" w:right="360"/>
    </w:pPr>
    <w:rPr>
      <w:i/>
      <w:iCs/>
    </w:rPr>
  </w:style>
  <w:style w:type="character" w:customStyle="1" w:styleId="QuoteChar">
    <w:name w:val="Quote Char"/>
    <w:basedOn w:val="DefaultParagraphFont"/>
    <w:link w:val="Quote"/>
    <w:uiPriority w:val="29"/>
    <w:rsid w:val="002A74AB"/>
    <w:rPr>
      <w:rFonts w:asciiTheme="minorHAnsi" w:eastAsiaTheme="minorHAnsi" w:hAnsiTheme="minorHAnsi" w:cstheme="minorBidi"/>
      <w:i/>
      <w:iCs/>
      <w:sz w:val="22"/>
      <w:szCs w:val="22"/>
      <w:lang w:eastAsia="en-US"/>
    </w:rPr>
  </w:style>
  <w:style w:type="paragraph" w:styleId="IntenseQuote">
    <w:name w:val="Intense Quote"/>
    <w:basedOn w:val="Normal"/>
    <w:next w:val="Normal"/>
    <w:link w:val="IntenseQuoteChar"/>
    <w:uiPriority w:val="30"/>
    <w:rsid w:val="002A74A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A74AB"/>
    <w:rPr>
      <w:rFonts w:asciiTheme="minorHAnsi" w:eastAsiaTheme="minorHAnsi" w:hAnsiTheme="minorHAnsi" w:cstheme="minorBidi"/>
      <w:b/>
      <w:bCs/>
      <w:i/>
      <w:iCs/>
      <w:sz w:val="22"/>
      <w:szCs w:val="22"/>
      <w:lang w:eastAsia="en-US"/>
    </w:rPr>
  </w:style>
  <w:style w:type="character" w:styleId="SubtleEmphasis">
    <w:name w:val="Subtle Emphasis"/>
    <w:uiPriority w:val="19"/>
    <w:rsid w:val="002A74AB"/>
    <w:rPr>
      <w:i/>
      <w:iCs/>
    </w:rPr>
  </w:style>
  <w:style w:type="character" w:styleId="IntenseEmphasis">
    <w:name w:val="Intense Emphasis"/>
    <w:uiPriority w:val="21"/>
    <w:rsid w:val="002A74AB"/>
    <w:rPr>
      <w:b/>
      <w:bCs/>
    </w:rPr>
  </w:style>
  <w:style w:type="character" w:styleId="SubtleReference">
    <w:name w:val="Subtle Reference"/>
    <w:uiPriority w:val="31"/>
    <w:rsid w:val="002A74AB"/>
    <w:rPr>
      <w:smallCaps/>
    </w:rPr>
  </w:style>
  <w:style w:type="character" w:styleId="IntenseReference">
    <w:name w:val="Intense Reference"/>
    <w:uiPriority w:val="32"/>
    <w:rsid w:val="002A74AB"/>
    <w:rPr>
      <w:smallCaps/>
      <w:spacing w:val="5"/>
      <w:u w:val="single"/>
    </w:rPr>
  </w:style>
  <w:style w:type="character" w:styleId="BookTitle">
    <w:name w:val="Book Title"/>
    <w:uiPriority w:val="33"/>
    <w:rsid w:val="002A74AB"/>
    <w:rPr>
      <w:i/>
      <w:iCs/>
      <w:smallCaps/>
      <w:spacing w:val="5"/>
    </w:rPr>
  </w:style>
  <w:style w:type="table" w:customStyle="1" w:styleId="Stephreport1">
    <w:name w:val="Steph_report1"/>
    <w:basedOn w:val="LightShading-Accent1"/>
    <w:uiPriority w:val="99"/>
    <w:rsid w:val="00D907AF"/>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1">
    <w:name w:val="Light Shading Accent 1"/>
    <w:basedOn w:val="TableNormal"/>
    <w:uiPriority w:val="60"/>
    <w:rsid w:val="00D907AF"/>
    <w:rPr>
      <w:rFonts w:ascii="Calibri" w:eastAsiaTheme="minorHAnsi" w:hAnsi="Calibri"/>
      <w:color w:val="365F91" w:themeColor="accent1" w:themeShade="BF"/>
      <w:sz w:val="20"/>
      <w:szCs w:val="20"/>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ILSHeading4">
    <w:name w:val="NILS Heading 4"/>
    <w:basedOn w:val="Heading3"/>
    <w:link w:val="NILSHeading4Char"/>
    <w:autoRedefine/>
    <w:qFormat/>
    <w:rsid w:val="00D907AF"/>
    <w:pPr>
      <w:keepLines/>
      <w:tabs>
        <w:tab w:val="clear" w:pos="567"/>
        <w:tab w:val="clear" w:pos="851"/>
      </w:tabs>
      <w:ind w:left="1728" w:hanging="648"/>
    </w:pPr>
    <w:rPr>
      <w:rFonts w:ascii="Palatino Linotype" w:hAnsi="Palatino Linotype" w:cs="Calibri"/>
      <w:bCs/>
      <w:color w:val="4F81BD"/>
      <w:kern w:val="0"/>
      <w:lang w:eastAsia="en-US"/>
    </w:rPr>
  </w:style>
  <w:style w:type="character" w:customStyle="1" w:styleId="NILSHeading4Char">
    <w:name w:val="NILS Heading 4 Char"/>
    <w:basedOn w:val="DefaultParagraphFont"/>
    <w:link w:val="NILSHeading4"/>
    <w:rsid w:val="00D907AF"/>
    <w:rPr>
      <w:rFonts w:ascii="Palatino Linotype" w:hAnsi="Palatino Linotype" w:cs="Calibri"/>
      <w:b/>
      <w:bCs/>
      <w:color w:val="4F81BD"/>
      <w:lang w:eastAsia="en-US"/>
    </w:rPr>
  </w:style>
  <w:style w:type="paragraph" w:styleId="PlainText">
    <w:name w:val="Plain Text"/>
    <w:basedOn w:val="Normal"/>
    <w:link w:val="PlainTextChar"/>
    <w:uiPriority w:val="99"/>
    <w:unhideWhenUsed/>
    <w:rsid w:val="00D907AF"/>
    <w:pPr>
      <w:spacing w:before="240" w:after="240"/>
    </w:pPr>
    <w:rPr>
      <w:rFonts w:ascii="Consolas" w:hAnsi="Consolas" w:cs="Consolas"/>
      <w:sz w:val="21"/>
      <w:szCs w:val="21"/>
      <w:lang w:val="en-AU"/>
    </w:rPr>
  </w:style>
  <w:style w:type="character" w:customStyle="1" w:styleId="PlainTextChar">
    <w:name w:val="Plain Text Char"/>
    <w:basedOn w:val="DefaultParagraphFont"/>
    <w:link w:val="PlainText"/>
    <w:uiPriority w:val="99"/>
    <w:rsid w:val="00D907AF"/>
    <w:rPr>
      <w:rFonts w:ascii="Consolas" w:eastAsiaTheme="minorHAnsi" w:hAnsi="Consolas" w:cs="Consolas"/>
      <w:sz w:val="21"/>
      <w:szCs w:val="21"/>
      <w:lang w:eastAsia="en-US"/>
    </w:rPr>
  </w:style>
  <w:style w:type="table" w:styleId="LightList-Accent5">
    <w:name w:val="Light List Accent 5"/>
    <w:basedOn w:val="TableNormal"/>
    <w:uiPriority w:val="61"/>
    <w:rsid w:val="00D907AF"/>
    <w:rPr>
      <w:rFonts w:ascii="Calibri" w:eastAsiaTheme="minorHAnsi" w:hAnsi="Calibri"/>
      <w:sz w:val="20"/>
      <w:szCs w:val="20"/>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1">
    <w:name w:val="Light List Accent 1"/>
    <w:basedOn w:val="TableNormal"/>
    <w:uiPriority w:val="61"/>
    <w:rsid w:val="00D907AF"/>
    <w:rPr>
      <w:rFonts w:ascii="Calibri" w:eastAsiaTheme="minorHAnsi" w:hAnsi="Calibri"/>
      <w:sz w:val="20"/>
      <w:szCs w:val="20"/>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D907AF"/>
    <w:rPr>
      <w:color w:val="808080"/>
    </w:rPr>
  </w:style>
  <w:style w:type="table" w:customStyle="1" w:styleId="LightGrid1">
    <w:name w:val="Light Grid1"/>
    <w:basedOn w:val="TableNormal"/>
    <w:next w:val="LightGrid"/>
    <w:uiPriority w:val="62"/>
    <w:rsid w:val="00D907AF"/>
    <w:rPr>
      <w:rFonts w:asciiTheme="minorHAnsi" w:eastAsiaTheme="minorHAnsi" w:hAnsiTheme="minorHAnsi" w:cstheme="minorBid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w:eastAsia="Times New Roman" w:hAnsi="Time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w:eastAsia="Times New Roman" w:hAnsi="Time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w:eastAsia="Times New Roman" w:hAnsi="Times" w:cs="Times New Roman"/>
        <w:b/>
        <w:bCs/>
      </w:rPr>
    </w:tblStylePr>
    <w:tblStylePr w:type="lastCol">
      <w:rPr>
        <w:rFonts w:ascii="Times" w:eastAsia="Times New Roman" w:hAnsi="Time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rsid w:val="00D907AF"/>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TMLCite">
    <w:name w:val="HTML Cite"/>
    <w:basedOn w:val="DefaultParagraphFont"/>
    <w:uiPriority w:val="99"/>
    <w:semiHidden/>
    <w:unhideWhenUsed/>
    <w:rsid w:val="00D907AF"/>
    <w:rPr>
      <w:i/>
      <w:iCs/>
    </w:rPr>
  </w:style>
  <w:style w:type="table" w:customStyle="1" w:styleId="TableGrid5">
    <w:name w:val="Table Grid5"/>
    <w:basedOn w:val="TableNormal"/>
    <w:next w:val="TableGrid"/>
    <w:uiPriority w:val="59"/>
    <w:rsid w:val="00D907AF"/>
    <w:pPr>
      <w:spacing w:before="60" w:after="60"/>
    </w:pPr>
    <w:rPr>
      <w:rFonts w:ascii="Calibri" w:eastAsiaTheme="minorEastAsia" w:hAnsi="Calibri"/>
      <w:sz w:val="20"/>
    </w:rPr>
    <w:tblPr>
      <w:tblStyleRowBandSize w:val="1"/>
    </w:tblPr>
  </w:style>
  <w:style w:type="table" w:customStyle="1" w:styleId="TableGrid6">
    <w:name w:val="Table Grid6"/>
    <w:basedOn w:val="TableNormal"/>
    <w:next w:val="TableGrid"/>
    <w:uiPriority w:val="39"/>
    <w:rsid w:val="00D907AF"/>
    <w:pPr>
      <w:spacing w:before="60" w:after="60"/>
    </w:pPr>
    <w:rPr>
      <w:rFonts w:ascii="Calibri" w:eastAsiaTheme="minorEastAsia" w:hAnsi="Calibri"/>
      <w:sz w:val="20"/>
    </w:rPr>
    <w:tblPr>
      <w:tblStyleRowBandSize w:val="1"/>
    </w:tblPr>
  </w:style>
  <w:style w:type="table" w:customStyle="1" w:styleId="TableGrid7">
    <w:name w:val="Table Grid7"/>
    <w:basedOn w:val="TableNormal"/>
    <w:next w:val="TableGrid"/>
    <w:uiPriority w:val="39"/>
    <w:rsid w:val="00D907AF"/>
    <w:pPr>
      <w:spacing w:before="60" w:after="60"/>
    </w:pPr>
    <w:rPr>
      <w:rFonts w:ascii="Calibri" w:eastAsiaTheme="minorEastAsia" w:hAnsi="Calibri"/>
      <w:sz w:val="20"/>
    </w:rPr>
    <w:tblPr>
      <w:tblStyleRowBandSize w:val="1"/>
    </w:tblPr>
  </w:style>
  <w:style w:type="numbering" w:customStyle="1" w:styleId="NoList1">
    <w:name w:val="No List1"/>
    <w:next w:val="NoList"/>
    <w:uiPriority w:val="99"/>
    <w:semiHidden/>
    <w:unhideWhenUsed/>
    <w:rsid w:val="00685BE5"/>
  </w:style>
  <w:style w:type="numbering" w:customStyle="1" w:styleId="NoList11">
    <w:name w:val="No List11"/>
    <w:next w:val="NoList"/>
    <w:uiPriority w:val="99"/>
    <w:semiHidden/>
    <w:unhideWhenUsed/>
    <w:rsid w:val="00685BE5"/>
  </w:style>
  <w:style w:type="character" w:customStyle="1" w:styleId="BodyTextChar">
    <w:name w:val="Body Text Char"/>
    <w:basedOn w:val="DefaultParagraphFont"/>
    <w:link w:val="BodyText"/>
    <w:rsid w:val="00685BE5"/>
    <w:rPr>
      <w:rFonts w:asciiTheme="minorHAnsi" w:eastAsiaTheme="minorHAnsi" w:hAnsiTheme="minorHAnsi" w:cstheme="minorBidi"/>
      <w:sz w:val="22"/>
      <w:szCs w:val="22"/>
      <w:lang w:val="en-GB" w:eastAsia="en-US"/>
    </w:rPr>
  </w:style>
  <w:style w:type="table" w:customStyle="1" w:styleId="TableGrid11">
    <w:name w:val="Table Grid11"/>
    <w:basedOn w:val="TableNormal"/>
    <w:next w:val="TableGrid"/>
    <w:rsid w:val="00685BE5"/>
    <w:pPr>
      <w:spacing w:before="60" w:after="60"/>
    </w:pPr>
    <w:rPr>
      <w:rFonts w:ascii="Arial" w:hAnsi="Arial"/>
      <w:sz w:val="20"/>
    </w:rPr>
    <w:tblPr>
      <w:tblStyleRowBandSize w:val="1"/>
    </w:tblPr>
  </w:style>
  <w:style w:type="table" w:customStyle="1" w:styleId="Calendar11">
    <w:name w:val="Calendar 11"/>
    <w:basedOn w:val="TableNormal"/>
    <w:uiPriority w:val="99"/>
    <w:qFormat/>
    <w:rsid w:val="00685BE5"/>
    <w:rPr>
      <w:rFonts w:ascii="Calibri" w:eastAsia="MS Mincho" w:hAnsi="Calibri" w:cs="Arial"/>
      <w:sz w:val="22"/>
      <w:szCs w:val="22"/>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Classic11">
    <w:name w:val="Table Classic 11"/>
    <w:basedOn w:val="TableNormal"/>
    <w:next w:val="TableClassic1"/>
    <w:rsid w:val="00685BE5"/>
    <w:pPr>
      <w:spacing w:line="28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1">
    <w:name w:val="Style11"/>
    <w:basedOn w:val="TableNormal"/>
    <w:uiPriority w:val="99"/>
    <w:rsid w:val="00685BE5"/>
    <w:rPr>
      <w:rFonts w:ascii="Palatino Linotype" w:hAnsi="Palatino Linotype"/>
    </w:rPr>
    <w:tblPr>
      <w:tblBorders>
        <w:top w:val="single" w:sz="4" w:space="0" w:color="auto"/>
        <w:bottom w:val="single" w:sz="4" w:space="0" w:color="auto"/>
      </w:tblBorders>
    </w:tblPr>
  </w:style>
  <w:style w:type="table" w:customStyle="1" w:styleId="TableGrid110">
    <w:name w:val="Table Grid 11"/>
    <w:basedOn w:val="TableNormal"/>
    <w:next w:val="TableGrid1"/>
    <w:rsid w:val="00685BE5"/>
    <w:pPr>
      <w:spacing w:line="28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ilsnumberedheadings1">
    <w:name w:val="Nils numbered headings1"/>
    <w:uiPriority w:val="99"/>
    <w:rsid w:val="00685BE5"/>
  </w:style>
  <w:style w:type="table" w:customStyle="1" w:styleId="TableGrid111">
    <w:name w:val="Table Grid111"/>
    <w:basedOn w:val="TableNormal"/>
    <w:next w:val="TableGrid"/>
    <w:uiPriority w:val="59"/>
    <w:rsid w:val="00685BE5"/>
    <w:rPr>
      <w:rFonts w:ascii="Arial" w:eastAsia="Calibri" w:hAnsi="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85BE5"/>
    <w:rPr>
      <w:rFonts w:ascii="Arial" w:eastAsia="Calibri" w:hAnsi="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85BE5"/>
    <w:rPr>
      <w:rFonts w:ascii="Arial" w:eastAsia="Calibri" w:hAnsi="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685BE5"/>
    <w:rPr>
      <w:rFonts w:ascii="Arial" w:eastAsia="Calibri" w:hAnsi="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DISdecimaltable">
    <w:name w:val="NDIS decimal table"/>
    <w:basedOn w:val="TableNormal"/>
    <w:uiPriority w:val="99"/>
    <w:rsid w:val="00685BE5"/>
    <w:rPr>
      <w:rFonts w:asciiTheme="minorHAnsi" w:eastAsiaTheme="minorHAnsi" w:hAnsiTheme="minorHAnsi" w:cstheme="minorBidi"/>
      <w:sz w:val="20"/>
      <w:szCs w:val="22"/>
      <w:lang w:val="en-GB" w:eastAsia="en-US"/>
    </w:rPr>
    <w:tblPr>
      <w:tblBorders>
        <w:top w:val="single" w:sz="4" w:space="0" w:color="auto"/>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tblStylePr w:type="lastRow">
      <w:rPr>
        <w:b/>
      </w:rPr>
      <w:tblPr/>
      <w:tcPr>
        <w:tcBorders>
          <w:top w:val="single" w:sz="4" w:space="0" w:color="auto"/>
          <w:left w:val="nil"/>
          <w:bottom w:val="single" w:sz="4" w:space="0" w:color="auto"/>
          <w:right w:val="nil"/>
          <w:insideH w:val="nil"/>
          <w:insideV w:val="nil"/>
          <w:tl2br w:val="nil"/>
          <w:tr2bl w:val="nil"/>
        </w:tcBorders>
      </w:tcPr>
    </w:tblStylePr>
  </w:style>
  <w:style w:type="character" w:styleId="FollowedHyperlink">
    <w:name w:val="FollowedHyperlink"/>
    <w:basedOn w:val="DefaultParagraphFont"/>
    <w:semiHidden/>
    <w:unhideWhenUsed/>
    <w:rsid w:val="00685BE5"/>
    <w:rPr>
      <w:color w:val="800080" w:themeColor="followedHyperlink"/>
      <w:u w:val="single"/>
    </w:rPr>
  </w:style>
  <w:style w:type="paragraph" w:customStyle="1" w:styleId="Default">
    <w:name w:val="Default"/>
    <w:rsid w:val="00A90BD4"/>
    <w:pPr>
      <w:autoSpaceDE w:val="0"/>
      <w:autoSpaceDN w:val="0"/>
      <w:adjustRightInd w:val="0"/>
    </w:pPr>
    <w:rPr>
      <w:rFonts w:ascii="Calibri" w:eastAsiaTheme="minorHAnsi" w:hAnsi="Calibri" w:cs="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799753">
      <w:bodyDiv w:val="1"/>
      <w:marLeft w:val="0"/>
      <w:marRight w:val="0"/>
      <w:marTop w:val="0"/>
      <w:marBottom w:val="0"/>
      <w:divBdr>
        <w:top w:val="none" w:sz="0" w:space="0" w:color="auto"/>
        <w:left w:val="none" w:sz="0" w:space="0" w:color="auto"/>
        <w:bottom w:val="none" w:sz="0" w:space="0" w:color="auto"/>
        <w:right w:val="none" w:sz="0" w:space="0" w:color="auto"/>
      </w:divBdr>
    </w:div>
    <w:div w:id="672103556">
      <w:bodyDiv w:val="1"/>
      <w:marLeft w:val="0"/>
      <w:marRight w:val="0"/>
      <w:marTop w:val="0"/>
      <w:marBottom w:val="0"/>
      <w:divBdr>
        <w:top w:val="none" w:sz="0" w:space="0" w:color="auto"/>
        <w:left w:val="none" w:sz="0" w:space="0" w:color="auto"/>
        <w:bottom w:val="none" w:sz="0" w:space="0" w:color="auto"/>
        <w:right w:val="none" w:sz="0" w:space="0" w:color="auto"/>
      </w:divBdr>
    </w:div>
    <w:div w:id="821191724">
      <w:bodyDiv w:val="1"/>
      <w:marLeft w:val="0"/>
      <w:marRight w:val="0"/>
      <w:marTop w:val="0"/>
      <w:marBottom w:val="0"/>
      <w:divBdr>
        <w:top w:val="none" w:sz="0" w:space="0" w:color="auto"/>
        <w:left w:val="none" w:sz="0" w:space="0" w:color="auto"/>
        <w:bottom w:val="none" w:sz="0" w:space="0" w:color="auto"/>
        <w:right w:val="none" w:sz="0" w:space="0" w:color="auto"/>
      </w:divBdr>
    </w:div>
    <w:div w:id="902914039">
      <w:bodyDiv w:val="1"/>
      <w:marLeft w:val="0"/>
      <w:marRight w:val="0"/>
      <w:marTop w:val="0"/>
      <w:marBottom w:val="0"/>
      <w:divBdr>
        <w:top w:val="none" w:sz="0" w:space="0" w:color="auto"/>
        <w:left w:val="none" w:sz="0" w:space="0" w:color="auto"/>
        <w:bottom w:val="none" w:sz="0" w:space="0" w:color="auto"/>
        <w:right w:val="none" w:sz="0" w:space="0" w:color="auto"/>
      </w:divBdr>
    </w:div>
    <w:div w:id="1148935593">
      <w:bodyDiv w:val="1"/>
      <w:marLeft w:val="0"/>
      <w:marRight w:val="0"/>
      <w:marTop w:val="0"/>
      <w:marBottom w:val="0"/>
      <w:divBdr>
        <w:top w:val="none" w:sz="0" w:space="0" w:color="auto"/>
        <w:left w:val="none" w:sz="0" w:space="0" w:color="auto"/>
        <w:bottom w:val="none" w:sz="0" w:space="0" w:color="auto"/>
        <w:right w:val="none" w:sz="0" w:space="0" w:color="auto"/>
      </w:divBdr>
    </w:div>
    <w:div w:id="1258557437">
      <w:bodyDiv w:val="1"/>
      <w:marLeft w:val="0"/>
      <w:marRight w:val="0"/>
      <w:marTop w:val="0"/>
      <w:marBottom w:val="0"/>
      <w:divBdr>
        <w:top w:val="none" w:sz="0" w:space="0" w:color="auto"/>
        <w:left w:val="none" w:sz="0" w:space="0" w:color="auto"/>
        <w:bottom w:val="none" w:sz="0" w:space="0" w:color="auto"/>
        <w:right w:val="none" w:sz="0" w:space="0" w:color="auto"/>
      </w:divBdr>
    </w:div>
    <w:div w:id="1317682344">
      <w:bodyDiv w:val="1"/>
      <w:marLeft w:val="0"/>
      <w:marRight w:val="0"/>
      <w:marTop w:val="0"/>
      <w:marBottom w:val="0"/>
      <w:divBdr>
        <w:top w:val="none" w:sz="0" w:space="0" w:color="auto"/>
        <w:left w:val="none" w:sz="0" w:space="0" w:color="auto"/>
        <w:bottom w:val="none" w:sz="0" w:space="0" w:color="auto"/>
        <w:right w:val="none" w:sz="0" w:space="0" w:color="auto"/>
      </w:divBdr>
    </w:div>
    <w:div w:id="1466971944">
      <w:bodyDiv w:val="1"/>
      <w:marLeft w:val="0"/>
      <w:marRight w:val="0"/>
      <w:marTop w:val="0"/>
      <w:marBottom w:val="0"/>
      <w:divBdr>
        <w:top w:val="none" w:sz="0" w:space="0" w:color="auto"/>
        <w:left w:val="none" w:sz="0" w:space="0" w:color="auto"/>
        <w:bottom w:val="none" w:sz="0" w:space="0" w:color="auto"/>
        <w:right w:val="none" w:sz="0" w:space="0" w:color="auto"/>
      </w:divBdr>
    </w:div>
    <w:div w:id="1595043645">
      <w:bodyDiv w:val="1"/>
      <w:marLeft w:val="0"/>
      <w:marRight w:val="0"/>
      <w:marTop w:val="0"/>
      <w:marBottom w:val="0"/>
      <w:divBdr>
        <w:top w:val="none" w:sz="0" w:space="0" w:color="auto"/>
        <w:left w:val="none" w:sz="0" w:space="0" w:color="auto"/>
        <w:bottom w:val="none" w:sz="0" w:space="0" w:color="auto"/>
        <w:right w:val="none" w:sz="0" w:space="0" w:color="auto"/>
      </w:divBdr>
    </w:div>
    <w:div w:id="1745378058">
      <w:bodyDiv w:val="1"/>
      <w:marLeft w:val="0"/>
      <w:marRight w:val="0"/>
      <w:marTop w:val="0"/>
      <w:marBottom w:val="0"/>
      <w:divBdr>
        <w:top w:val="none" w:sz="0" w:space="0" w:color="auto"/>
        <w:left w:val="none" w:sz="0" w:space="0" w:color="auto"/>
        <w:bottom w:val="none" w:sz="0" w:space="0" w:color="auto"/>
        <w:right w:val="none" w:sz="0" w:space="0" w:color="auto"/>
      </w:divBdr>
    </w:div>
    <w:div w:id="1780947134">
      <w:bodyDiv w:val="1"/>
      <w:marLeft w:val="0"/>
      <w:marRight w:val="0"/>
      <w:marTop w:val="0"/>
      <w:marBottom w:val="0"/>
      <w:divBdr>
        <w:top w:val="none" w:sz="0" w:space="0" w:color="auto"/>
        <w:left w:val="none" w:sz="0" w:space="0" w:color="auto"/>
        <w:bottom w:val="none" w:sz="0" w:space="0" w:color="auto"/>
        <w:right w:val="none" w:sz="0" w:space="0" w:color="auto"/>
      </w:divBdr>
    </w:div>
    <w:div w:id="1884095971">
      <w:bodyDiv w:val="1"/>
      <w:marLeft w:val="0"/>
      <w:marRight w:val="0"/>
      <w:marTop w:val="0"/>
      <w:marBottom w:val="0"/>
      <w:divBdr>
        <w:top w:val="none" w:sz="0" w:space="0" w:color="auto"/>
        <w:left w:val="none" w:sz="0" w:space="0" w:color="auto"/>
        <w:bottom w:val="none" w:sz="0" w:space="0" w:color="auto"/>
        <w:right w:val="none" w:sz="0" w:space="0" w:color="auto"/>
      </w:divBdr>
    </w:div>
    <w:div w:id="2112512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2.emf"/><Relationship Id="rId26" Type="http://schemas.openxmlformats.org/officeDocument/2006/relationships/image" Target="media/image10.emf"/><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image" Target="media/image18.em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emf"/><Relationship Id="rId29" Type="http://schemas.openxmlformats.org/officeDocument/2006/relationships/image" Target="media/image13.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disevaluation@flinders.edu.au" TargetMode="Externa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image" Target="media/image21.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20.emf"/><Relationship Id="rId10" Type="http://schemas.openxmlformats.org/officeDocument/2006/relationships/hyperlink" Target="http://www.NDISEvaluation.net.au" TargetMode="External"/><Relationship Id="rId19" Type="http://schemas.openxmlformats.org/officeDocument/2006/relationships/image" Target="media/image3.png"/><Relationship Id="rId31" Type="http://schemas.openxmlformats.org/officeDocument/2006/relationships/image" Target="media/image15.emf"/><Relationship Id="rId4" Type="http://schemas.openxmlformats.org/officeDocument/2006/relationships/settings" Target="settings.xml"/><Relationship Id="rId9" Type="http://schemas.openxmlformats.org/officeDocument/2006/relationships/hyperlink" Target="mailto:k.mavromaras@flinders.edu.au" TargetMode="External"/><Relationship Id="rId14" Type="http://schemas.openxmlformats.org/officeDocument/2006/relationships/footer" Target="footer2.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image" Target="media/image19.emf"/></Relationships>
</file>

<file path=word/_rels/footnotes.xml.rels><?xml version="1.0" encoding="UTF-8" standalone="yes"?>
<Relationships xmlns="http://schemas.openxmlformats.org/package/2006/relationships"><Relationship Id="rId2" Type="http://schemas.openxmlformats.org/officeDocument/2006/relationships/hyperlink" Target="http://nils.flinders.edu.au/profile/Kostas-Mavromaras/" TargetMode="External"/><Relationship Id="rId1" Type="http://schemas.openxmlformats.org/officeDocument/2006/relationships/hyperlink" Target="https://www.communities.qld.gov.au/gateway/reform-renewal/disability-services/national-disability-insurance-scheme-queensland/getting-ready-ndis-queensland/accommodation-support-respite-services-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NILS\07%20Research%20Resources\NDIS%20template%20-%20August%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695C9-5A1B-4CA7-B527-FD13AE538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NDIS template - August 2015.dotx</Template>
  <TotalTime>0</TotalTime>
  <Pages>212</Pages>
  <Words>97448</Words>
  <Characters>507705</Characters>
  <Application>Microsoft Office Word</Application>
  <DocSecurity>0</DocSecurity>
  <Lines>15865</Lines>
  <Paragraphs>11002</Paragraphs>
  <ScaleCrop>false</ScaleCrop>
  <HeadingPairs>
    <vt:vector size="2" baseType="variant">
      <vt:variant>
        <vt:lpstr>Title</vt:lpstr>
      </vt:variant>
      <vt:variant>
        <vt:i4>1</vt:i4>
      </vt:variant>
    </vt:vector>
  </HeadingPairs>
  <TitlesOfParts>
    <vt:vector size="1" baseType="lpstr">
      <vt:lpstr/>
    </vt:vector>
  </TitlesOfParts>
  <Company>Flinders University</Company>
  <LinksUpToDate>false</LinksUpToDate>
  <CharactersWithSpaces>594151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Sharples</dc:creator>
  <cp:lastModifiedBy>Deb Payne</cp:lastModifiedBy>
  <cp:revision>2</cp:revision>
  <cp:lastPrinted>2016-05-02T01:08:00Z</cp:lastPrinted>
  <dcterms:created xsi:type="dcterms:W3CDTF">2016-12-19T01:46:00Z</dcterms:created>
  <dcterms:modified xsi:type="dcterms:W3CDTF">2016-12-19T01:46:00Z</dcterms:modified>
</cp:coreProperties>
</file>